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B7FA080" w:rsidR="009125CE" w:rsidRPr="001902DB" w:rsidRDefault="001E6B07" w:rsidP="00BE7B2A">
      <w:pPr>
        <w:spacing w:line="36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4FB7CA5">
            <wp:simplePos x="0" y="0"/>
            <wp:positionH relativeFrom="margin">
              <wp:posOffset>-544854</wp:posOffset>
            </wp:positionH>
            <wp:positionV relativeFrom="margin">
              <wp:posOffset>-657668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r w:rsidR="00424B51">
        <w:rPr>
          <w:rFonts w:ascii="Sakkal Majalla" w:hAnsi="Sakkal Majalla" w:cs="Sakkal Majalla"/>
          <w:b/>
          <w:bCs/>
          <w:sz w:val="28"/>
          <w:szCs w:val="28"/>
          <w:rtl/>
          <w:lang w:bidi="ar-EG"/>
        </w:rPr>
        <w:tab/>
      </w:r>
    </w:p>
    <w:p w14:paraId="1E957002" w14:textId="6F88E906" w:rsidR="00F546CE" w:rsidRPr="001902DB" w:rsidRDefault="009125CE" w:rsidP="00BE7B2A">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0744A0" w:rsidR="009125CE" w:rsidRPr="009125CE" w:rsidRDefault="009125CE" w:rsidP="00BE7B2A">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02051">
        <w:rPr>
          <w:rFonts w:ascii="Sakkal Majalla" w:hAnsi="Sakkal Majalla" w:cs="Sakkal Majalla" w:hint="cs"/>
          <w:sz w:val="28"/>
          <w:szCs w:val="28"/>
          <w:rtl/>
          <w:lang w:bidi="ar-EG"/>
        </w:rPr>
        <w:t xml:space="preserve"> ماجستير إدارة أعمال</w:t>
      </w:r>
    </w:p>
    <w:p w14:paraId="3A7BF367" w14:textId="77777777" w:rsidR="009125CE" w:rsidRPr="009125CE" w:rsidRDefault="009125CE" w:rsidP="00BE7B2A">
      <w:pPr>
        <w:spacing w:line="360" w:lineRule="auto"/>
        <w:rPr>
          <w:rFonts w:ascii="Sakkal Majalla" w:hAnsi="Sakkal Majalla" w:cs="Sakkal Majalla"/>
          <w:sz w:val="28"/>
          <w:szCs w:val="28"/>
          <w:rtl/>
          <w:lang w:bidi="ar-EG"/>
        </w:rPr>
      </w:pPr>
    </w:p>
    <w:p w14:paraId="5F6542BF" w14:textId="77777777" w:rsidR="009125CE" w:rsidRPr="009125CE" w:rsidRDefault="009125CE" w:rsidP="00BE7B2A">
      <w:pPr>
        <w:spacing w:line="360" w:lineRule="auto"/>
        <w:rPr>
          <w:rFonts w:ascii="Sakkal Majalla" w:hAnsi="Sakkal Majalla" w:cs="Sakkal Majalla"/>
          <w:sz w:val="28"/>
          <w:szCs w:val="28"/>
          <w:rtl/>
          <w:lang w:bidi="ar-EG"/>
        </w:rPr>
      </w:pPr>
    </w:p>
    <w:p w14:paraId="08401F45" w14:textId="68A2D4DF" w:rsidR="009125CE" w:rsidRPr="004C5A9C" w:rsidRDefault="00A74F76" w:rsidP="00BE7B2A">
      <w:pPr>
        <w:spacing w:line="360" w:lineRule="auto"/>
        <w:jc w:val="center"/>
        <w:rPr>
          <w:rFonts w:ascii="Sakkal Majalla" w:hAnsi="Sakkal Majalla" w:cs="Sakkal Majalla"/>
          <w:b/>
          <w:bCs/>
          <w:sz w:val="36"/>
          <w:szCs w:val="36"/>
          <w:rtl/>
          <w:lang w:bidi="ar-EG"/>
        </w:rPr>
      </w:pPr>
      <w:r w:rsidRPr="004C5A9C">
        <w:rPr>
          <w:rFonts w:ascii="Sakkal Majalla" w:hAnsi="Sakkal Majalla" w:cs="Sakkal Majalla" w:hint="cs"/>
          <w:b/>
          <w:bCs/>
          <w:sz w:val="36"/>
          <w:szCs w:val="36"/>
          <w:rtl/>
          <w:lang w:bidi="ar-EG"/>
        </w:rPr>
        <w:t>عنوان البحث</w:t>
      </w:r>
    </w:p>
    <w:p w14:paraId="64A2AD4E" w14:textId="77777777" w:rsidR="00850127" w:rsidRPr="004C5A9C" w:rsidRDefault="00850127" w:rsidP="00BE7B2A">
      <w:pPr>
        <w:pStyle w:val="p1"/>
        <w:bidi/>
        <w:spacing w:line="360" w:lineRule="auto"/>
        <w:jc w:val="center"/>
        <w:divId w:val="372077048"/>
        <w:rPr>
          <w:rStyle w:val="s1"/>
          <w:sz w:val="36"/>
          <w:szCs w:val="36"/>
        </w:rPr>
      </w:pPr>
      <w:r w:rsidRPr="004C5A9C">
        <w:rPr>
          <w:rStyle w:val="s1"/>
          <w:b/>
          <w:bCs/>
          <w:sz w:val="36"/>
          <w:szCs w:val="36"/>
          <w:rtl/>
        </w:rPr>
        <w:t>البنوك الرقمية</w:t>
      </w:r>
      <w:r w:rsidRPr="004C5A9C">
        <w:rPr>
          <w:rStyle w:val="s1"/>
          <w:sz w:val="36"/>
          <w:szCs w:val="36"/>
          <w:rtl/>
        </w:rPr>
        <w:t xml:space="preserve"> </w:t>
      </w:r>
    </w:p>
    <w:p w14:paraId="4858C813" w14:textId="284CA229" w:rsidR="00850127" w:rsidRPr="004C5A9C" w:rsidRDefault="00CC49C9" w:rsidP="00BE7B2A">
      <w:pPr>
        <w:spacing w:before="100" w:beforeAutospacing="1" w:after="100" w:afterAutospacing="1" w:line="360" w:lineRule="auto"/>
        <w:jc w:val="center"/>
        <w:divId w:val="700472947"/>
        <w:rPr>
          <w:rFonts w:ascii="Times New Roman" w:eastAsiaTheme="minorEastAsia" w:hAnsi="Times New Roman" w:cs="Times New Roman"/>
          <w:kern w:val="0"/>
          <w:sz w:val="36"/>
          <w:szCs w:val="36"/>
          <w:lang w:eastAsia="zh-CN"/>
          <w14:ligatures w14:val="none"/>
        </w:rPr>
      </w:pPr>
      <w:r w:rsidRPr="004C5A9C">
        <w:rPr>
          <w:rStyle w:val="s1"/>
          <w:rFonts w:ascii="Times New Roman" w:eastAsiaTheme="minorEastAsia" w:hAnsi="Times New Roman" w:cs="Times New Roman" w:hint="cs"/>
          <w:kern w:val="0"/>
          <w:sz w:val="36"/>
          <w:szCs w:val="36"/>
          <w:rtl/>
          <w:lang w:eastAsia="zh-CN"/>
          <w14:ligatures w14:val="none"/>
        </w:rPr>
        <w:t>(</w:t>
      </w:r>
      <w:r w:rsidRPr="004C5A9C">
        <w:rPr>
          <w:rStyle w:val="s1"/>
          <w:rFonts w:ascii="Times New Roman" w:eastAsiaTheme="minorEastAsia" w:hAnsi="Times New Roman" w:cs="Times New Roman"/>
          <w:kern w:val="0"/>
          <w:sz w:val="36"/>
          <w:szCs w:val="36"/>
          <w:rtl/>
          <w:lang w:eastAsia="zh-CN"/>
          <w14:ligatures w14:val="none"/>
        </w:rPr>
        <w:t xml:space="preserve">تأثير البنوك الرقمية على </w:t>
      </w:r>
      <w:r w:rsidR="00662F23">
        <w:rPr>
          <w:rStyle w:val="s1"/>
          <w:rFonts w:ascii="Times New Roman" w:eastAsiaTheme="minorEastAsia" w:hAnsi="Times New Roman" w:cs="Times New Roman" w:hint="cs"/>
          <w:kern w:val="0"/>
          <w:sz w:val="36"/>
          <w:szCs w:val="36"/>
          <w:rtl/>
          <w:lang w:eastAsia="zh-CN"/>
          <w14:ligatures w14:val="none"/>
        </w:rPr>
        <w:t>الب</w:t>
      </w:r>
      <w:r w:rsidR="004404E3">
        <w:rPr>
          <w:rStyle w:val="s1"/>
          <w:rFonts w:ascii="Times New Roman" w:eastAsiaTheme="minorEastAsia" w:hAnsi="Times New Roman" w:cs="Times New Roman" w:hint="cs"/>
          <w:kern w:val="0"/>
          <w:sz w:val="36"/>
          <w:szCs w:val="36"/>
          <w:rtl/>
          <w:lang w:eastAsia="zh-CN"/>
          <w14:ligatures w14:val="none"/>
        </w:rPr>
        <w:t>نوك التق</w:t>
      </w:r>
      <w:r w:rsidR="0078261B">
        <w:rPr>
          <w:rStyle w:val="s1"/>
          <w:rFonts w:ascii="Times New Roman" w:eastAsiaTheme="minorEastAsia" w:hAnsi="Times New Roman" w:cs="Times New Roman" w:hint="cs"/>
          <w:kern w:val="0"/>
          <w:sz w:val="36"/>
          <w:szCs w:val="36"/>
          <w:rtl/>
          <w:lang w:eastAsia="zh-CN"/>
          <w14:ligatures w14:val="none"/>
        </w:rPr>
        <w:t xml:space="preserve">ليدية </w:t>
      </w:r>
      <w:r w:rsidRPr="004C5A9C">
        <w:rPr>
          <w:rStyle w:val="s1"/>
          <w:rFonts w:ascii="Times New Roman" w:eastAsiaTheme="minorEastAsia" w:hAnsi="Times New Roman" w:cs="Times New Roman"/>
          <w:kern w:val="0"/>
          <w:sz w:val="36"/>
          <w:szCs w:val="36"/>
          <w:rtl/>
          <w:lang w:eastAsia="zh-CN"/>
          <w14:ligatures w14:val="none"/>
        </w:rPr>
        <w:t xml:space="preserve">: دراسة مقارنة </w:t>
      </w:r>
      <w:r w:rsidR="00C63A2A">
        <w:rPr>
          <w:rStyle w:val="s1"/>
          <w:rFonts w:ascii="Times New Roman" w:eastAsiaTheme="minorEastAsia" w:hAnsi="Times New Roman" w:cs="Times New Roman" w:hint="cs"/>
          <w:kern w:val="0"/>
          <w:sz w:val="36"/>
          <w:szCs w:val="36"/>
          <w:rtl/>
          <w:lang w:eastAsia="zh-CN"/>
          <w14:ligatures w14:val="none"/>
        </w:rPr>
        <w:t>على البنوك</w:t>
      </w:r>
      <w:r w:rsidR="00FD1192">
        <w:rPr>
          <w:rStyle w:val="s1"/>
          <w:rFonts w:ascii="Times New Roman" w:eastAsiaTheme="minorEastAsia" w:hAnsi="Times New Roman" w:cs="Times New Roman" w:hint="cs"/>
          <w:kern w:val="0"/>
          <w:sz w:val="36"/>
          <w:szCs w:val="36"/>
          <w:rtl/>
          <w:lang w:eastAsia="zh-CN"/>
          <w14:ligatures w14:val="none"/>
        </w:rPr>
        <w:t xml:space="preserve"> </w:t>
      </w:r>
      <w:r w:rsidRPr="004C5A9C">
        <w:rPr>
          <w:rStyle w:val="s1"/>
          <w:rFonts w:ascii="Times New Roman" w:eastAsiaTheme="minorEastAsia" w:hAnsi="Times New Roman" w:cs="Times New Roman"/>
          <w:kern w:val="0"/>
          <w:sz w:val="36"/>
          <w:szCs w:val="36"/>
          <w:rtl/>
          <w:lang w:eastAsia="zh-CN"/>
          <w14:ligatures w14:val="none"/>
        </w:rPr>
        <w:t>الرقمية في المملكة العربية السعودية</w:t>
      </w:r>
      <w:r w:rsidRPr="004C5A9C">
        <w:rPr>
          <w:rStyle w:val="s1"/>
          <w:rFonts w:ascii="Times New Roman" w:eastAsiaTheme="minorEastAsia" w:hAnsi="Times New Roman" w:cs="Times New Roman" w:hint="cs"/>
          <w:kern w:val="0"/>
          <w:sz w:val="36"/>
          <w:szCs w:val="36"/>
          <w:rtl/>
          <w:lang w:eastAsia="zh-CN"/>
          <w14:ligatures w14:val="none"/>
        </w:rPr>
        <w:t>)</w:t>
      </w:r>
    </w:p>
    <w:p w14:paraId="3024630C" w14:textId="77777777" w:rsidR="009125CE" w:rsidRPr="004C5A9C" w:rsidRDefault="009125CE" w:rsidP="00BE7B2A">
      <w:pPr>
        <w:spacing w:line="360" w:lineRule="auto"/>
        <w:rPr>
          <w:rFonts w:ascii="Sakkal Majalla" w:hAnsi="Sakkal Majalla" w:cs="Sakkal Majalla"/>
          <w:color w:val="000000" w:themeColor="text1"/>
          <w:sz w:val="28"/>
          <w:szCs w:val="28"/>
          <w:rtl/>
          <w:lang w:bidi="ar-EG"/>
        </w:rPr>
      </w:pPr>
    </w:p>
    <w:p w14:paraId="232F19A4" w14:textId="77777777" w:rsidR="009125CE" w:rsidRPr="004C5A9C" w:rsidRDefault="009125CE" w:rsidP="00BE7B2A">
      <w:pPr>
        <w:spacing w:line="360" w:lineRule="auto"/>
        <w:jc w:val="center"/>
        <w:rPr>
          <w:rFonts w:ascii="Sakkal Majalla" w:hAnsi="Sakkal Majalla" w:cs="Sakkal Majalla"/>
          <w:color w:val="000000" w:themeColor="text1"/>
          <w:sz w:val="28"/>
          <w:szCs w:val="28"/>
          <w:rtl/>
          <w:lang w:bidi="ar-EG"/>
        </w:rPr>
      </w:pPr>
    </w:p>
    <w:p w14:paraId="0EB57E30" w14:textId="77777777" w:rsidR="009125CE" w:rsidRPr="004C5A9C" w:rsidRDefault="009125CE" w:rsidP="00BE7B2A">
      <w:pPr>
        <w:spacing w:line="360" w:lineRule="auto"/>
        <w:jc w:val="center"/>
        <w:rPr>
          <w:rFonts w:ascii="Sakkal Majalla" w:hAnsi="Sakkal Majalla" w:cs="Sakkal Majalla"/>
          <w:b/>
          <w:bCs/>
          <w:color w:val="000000" w:themeColor="text1"/>
          <w:sz w:val="28"/>
          <w:szCs w:val="28"/>
          <w:rtl/>
          <w:lang w:bidi="ar-EG"/>
        </w:rPr>
      </w:pPr>
    </w:p>
    <w:p w14:paraId="3D3CBDF8" w14:textId="640597B5" w:rsidR="009125CE" w:rsidRPr="004C5A9C" w:rsidRDefault="009125CE" w:rsidP="00BE7B2A">
      <w:pPr>
        <w:spacing w:line="360" w:lineRule="auto"/>
        <w:jc w:val="center"/>
        <w:rPr>
          <w:rFonts w:ascii="Sakkal Majalla" w:hAnsi="Sakkal Majalla" w:cs="Sakkal Majalla"/>
          <w:b/>
          <w:bCs/>
          <w:color w:val="000000" w:themeColor="text1"/>
          <w:sz w:val="28"/>
          <w:szCs w:val="28"/>
          <w:rtl/>
          <w:lang w:bidi="ar-EG"/>
        </w:rPr>
      </w:pPr>
      <w:r w:rsidRPr="004C5A9C">
        <w:rPr>
          <w:rFonts w:ascii="Sakkal Majalla" w:hAnsi="Sakkal Majalla" w:cs="Sakkal Majalla"/>
          <w:b/>
          <w:bCs/>
          <w:color w:val="000000" w:themeColor="text1"/>
          <w:sz w:val="28"/>
          <w:szCs w:val="28"/>
          <w:rtl/>
          <w:lang w:bidi="ar-EG"/>
        </w:rPr>
        <w:t>إعداد الطالب</w:t>
      </w:r>
      <w:r w:rsidR="00EE6DBC" w:rsidRPr="004C5A9C">
        <w:rPr>
          <w:rFonts w:ascii="Sakkal Majalla" w:hAnsi="Sakkal Majalla" w:cs="Sakkal Majalla" w:hint="cs"/>
          <w:b/>
          <w:bCs/>
          <w:color w:val="000000" w:themeColor="text1"/>
          <w:sz w:val="28"/>
          <w:szCs w:val="28"/>
          <w:rtl/>
          <w:lang w:bidi="ar-EG"/>
        </w:rPr>
        <w:t>ة</w:t>
      </w:r>
      <w:r w:rsidRPr="004C5A9C">
        <w:rPr>
          <w:rFonts w:ascii="Sakkal Majalla" w:hAnsi="Sakkal Majalla" w:cs="Sakkal Majalla"/>
          <w:b/>
          <w:bCs/>
          <w:color w:val="000000" w:themeColor="text1"/>
          <w:sz w:val="28"/>
          <w:szCs w:val="28"/>
          <w:rtl/>
          <w:lang w:bidi="ar-EG"/>
        </w:rPr>
        <w:t>/</w:t>
      </w:r>
      <w:r w:rsidR="00850127" w:rsidRPr="004C5A9C">
        <w:rPr>
          <w:rFonts w:ascii="Sakkal Majalla" w:hAnsi="Sakkal Majalla" w:cs="Sakkal Majalla" w:hint="cs"/>
          <w:b/>
          <w:bCs/>
          <w:color w:val="000000" w:themeColor="text1"/>
          <w:sz w:val="28"/>
          <w:szCs w:val="28"/>
          <w:rtl/>
          <w:lang w:bidi="ar-EG"/>
        </w:rPr>
        <w:t xml:space="preserve"> نوف راشد الدوسري</w:t>
      </w:r>
    </w:p>
    <w:p w14:paraId="58D6152F" w14:textId="77777777" w:rsidR="009125CE" w:rsidRPr="004C5A9C" w:rsidRDefault="009125CE" w:rsidP="00BE7B2A">
      <w:pPr>
        <w:spacing w:line="360" w:lineRule="auto"/>
        <w:jc w:val="center"/>
        <w:rPr>
          <w:rFonts w:ascii="Sakkal Majalla" w:hAnsi="Sakkal Majalla" w:cs="Sakkal Majalla"/>
          <w:b/>
          <w:bCs/>
          <w:color w:val="000000" w:themeColor="text1"/>
          <w:sz w:val="28"/>
          <w:szCs w:val="28"/>
          <w:rtl/>
          <w:lang w:bidi="ar-EG"/>
        </w:rPr>
      </w:pPr>
    </w:p>
    <w:p w14:paraId="2459AD3C" w14:textId="119593A3" w:rsidR="00B55620" w:rsidRPr="004C5A9C" w:rsidRDefault="009125CE" w:rsidP="00BE7B2A">
      <w:pPr>
        <w:spacing w:line="360" w:lineRule="auto"/>
        <w:jc w:val="center"/>
        <w:rPr>
          <w:rFonts w:ascii="Sakkal Majalla" w:hAnsi="Sakkal Majalla" w:cs="Sakkal Majalla"/>
          <w:b/>
          <w:bCs/>
          <w:color w:val="000000" w:themeColor="text1"/>
          <w:sz w:val="28"/>
          <w:szCs w:val="28"/>
          <w:rtl/>
          <w:lang w:bidi="ar-EG"/>
        </w:rPr>
      </w:pPr>
      <w:r w:rsidRPr="004C5A9C">
        <w:rPr>
          <w:rFonts w:ascii="Sakkal Majalla" w:hAnsi="Sakkal Majalla" w:cs="Sakkal Majalla"/>
          <w:b/>
          <w:bCs/>
          <w:color w:val="000000" w:themeColor="text1"/>
          <w:sz w:val="28"/>
          <w:szCs w:val="28"/>
          <w:rtl/>
          <w:lang w:bidi="ar-EG"/>
        </w:rPr>
        <w:t>إشراف/</w:t>
      </w:r>
      <w:r w:rsidR="00850127" w:rsidRPr="004C5A9C">
        <w:rPr>
          <w:rFonts w:ascii="Sakkal Majalla" w:hAnsi="Sakkal Majalla" w:cs="Sakkal Majalla" w:hint="cs"/>
          <w:b/>
          <w:bCs/>
          <w:color w:val="000000" w:themeColor="text1"/>
          <w:sz w:val="28"/>
          <w:szCs w:val="28"/>
          <w:rtl/>
          <w:lang w:bidi="ar-EG"/>
        </w:rPr>
        <w:t xml:space="preserve"> -  </w:t>
      </w:r>
      <w:r w:rsidR="00B55620" w:rsidRPr="004C5A9C">
        <w:rPr>
          <w:rFonts w:ascii="Sakkal Majalla" w:hAnsi="Sakkal Majalla" w:cs="Sakkal Majalla" w:hint="cs"/>
          <w:b/>
          <w:bCs/>
          <w:color w:val="000000" w:themeColor="text1"/>
          <w:sz w:val="28"/>
          <w:szCs w:val="28"/>
          <w:rtl/>
          <w:lang w:bidi="ar-EG"/>
        </w:rPr>
        <w:t>د.الفيصل عبد الحميد</w:t>
      </w:r>
      <w:r w:rsidR="00850127" w:rsidRPr="004C5A9C">
        <w:rPr>
          <w:rFonts w:ascii="Sakkal Majalla" w:hAnsi="Sakkal Majalla" w:cs="Sakkal Majalla" w:hint="cs"/>
          <w:b/>
          <w:bCs/>
          <w:color w:val="000000" w:themeColor="text1"/>
          <w:sz w:val="28"/>
          <w:szCs w:val="28"/>
          <w:rtl/>
          <w:lang w:bidi="ar-EG"/>
        </w:rPr>
        <w:t xml:space="preserve">  - </w:t>
      </w:r>
      <w:r w:rsidR="00B55620" w:rsidRPr="004C5A9C">
        <w:rPr>
          <w:rFonts w:ascii="Sakkal Majalla" w:hAnsi="Sakkal Majalla" w:cs="Sakkal Majalla" w:hint="cs"/>
          <w:b/>
          <w:bCs/>
          <w:color w:val="000000" w:themeColor="text1"/>
          <w:sz w:val="28"/>
          <w:szCs w:val="28"/>
          <w:rtl/>
          <w:lang w:bidi="ar-EG"/>
        </w:rPr>
        <w:t>د.فايز جراد</w:t>
      </w:r>
    </w:p>
    <w:p w14:paraId="22738CC6" w14:textId="77777777" w:rsidR="009125CE" w:rsidRPr="004C5A9C" w:rsidRDefault="009125CE" w:rsidP="00BE7B2A">
      <w:pPr>
        <w:spacing w:line="360" w:lineRule="auto"/>
        <w:rPr>
          <w:rFonts w:ascii="Sakkal Majalla" w:hAnsi="Sakkal Majalla" w:cs="Sakkal Majalla"/>
          <w:b/>
          <w:bCs/>
          <w:color w:val="000000" w:themeColor="text1"/>
          <w:sz w:val="28"/>
          <w:szCs w:val="28"/>
          <w:rtl/>
          <w:lang w:bidi="ar-EG"/>
        </w:rPr>
      </w:pPr>
    </w:p>
    <w:p w14:paraId="5DBA947E" w14:textId="5D0B498E" w:rsidR="009125CE" w:rsidRPr="004C5A9C" w:rsidRDefault="009125CE" w:rsidP="00BE7B2A">
      <w:pPr>
        <w:spacing w:line="360" w:lineRule="auto"/>
        <w:jc w:val="center"/>
        <w:rPr>
          <w:rFonts w:ascii="Sakkal Majalla" w:hAnsi="Sakkal Majalla" w:cs="Sakkal Majalla"/>
          <w:b/>
          <w:bCs/>
          <w:color w:val="000000" w:themeColor="text1"/>
          <w:sz w:val="28"/>
          <w:szCs w:val="28"/>
          <w:rtl/>
          <w:lang w:bidi="ar-EG"/>
        </w:rPr>
      </w:pPr>
      <w:r w:rsidRPr="004C5A9C">
        <w:rPr>
          <w:rFonts w:ascii="Sakkal Majalla" w:hAnsi="Sakkal Majalla" w:cs="Sakkal Majalla"/>
          <w:b/>
          <w:bCs/>
          <w:color w:val="000000" w:themeColor="text1"/>
          <w:sz w:val="28"/>
          <w:szCs w:val="28"/>
          <w:rtl/>
          <w:lang w:bidi="ar-EG"/>
        </w:rPr>
        <w:t>العام الدراسي</w:t>
      </w:r>
      <w:r w:rsidR="00850127" w:rsidRPr="004C5A9C">
        <w:rPr>
          <w:rFonts w:ascii="Sakkal Majalla" w:hAnsi="Sakkal Majalla" w:cs="Sakkal Majalla" w:hint="cs"/>
          <w:b/>
          <w:bCs/>
          <w:color w:val="000000" w:themeColor="text1"/>
          <w:sz w:val="28"/>
          <w:szCs w:val="28"/>
          <w:rtl/>
          <w:lang w:bidi="ar-EG"/>
        </w:rPr>
        <w:t xml:space="preserve">:  </w:t>
      </w:r>
      <w:r w:rsidR="00850127" w:rsidRPr="004C5A9C">
        <w:rPr>
          <w:rFonts w:ascii="Sakkal Majalla" w:hAnsi="Sakkal Majalla" w:cs="Sakkal Majalla"/>
          <w:b/>
          <w:bCs/>
          <w:color w:val="000000" w:themeColor="text1"/>
          <w:sz w:val="28"/>
          <w:szCs w:val="28"/>
          <w:lang w:val="en-GB" w:bidi="ar-EG"/>
        </w:rPr>
        <w:t>2025</w:t>
      </w:r>
    </w:p>
    <w:p w14:paraId="71099ADB" w14:textId="77777777" w:rsidR="009125CE" w:rsidRPr="004C5A9C" w:rsidRDefault="009125CE" w:rsidP="00BE7B2A">
      <w:pPr>
        <w:spacing w:line="360" w:lineRule="auto"/>
        <w:jc w:val="center"/>
        <w:rPr>
          <w:rFonts w:ascii="Sakkal Majalla" w:hAnsi="Sakkal Majalla" w:cs="Sakkal Majalla"/>
          <w:b/>
          <w:bCs/>
          <w:color w:val="000000" w:themeColor="text1"/>
          <w:sz w:val="28"/>
          <w:szCs w:val="28"/>
          <w:rtl/>
          <w:lang w:bidi="ar-EG"/>
        </w:rPr>
      </w:pPr>
    </w:p>
    <w:p w14:paraId="3C4A02E7" w14:textId="10732FDF" w:rsidR="00265DE2" w:rsidRPr="00265DE2" w:rsidRDefault="00265DE2" w:rsidP="00BE7B2A">
      <w:pPr>
        <w:pStyle w:val="2"/>
        <w:bidi w:val="0"/>
        <w:spacing w:line="360" w:lineRule="auto"/>
        <w:jc w:val="right"/>
        <w:divId w:val="2040543745"/>
        <w:rPr>
          <w:rFonts w:ascii="Times New Roman" w:eastAsia="Times New Roman" w:hAnsi="Times New Roman" w:cs="Times New Roman"/>
          <w:b/>
          <w:bCs/>
          <w:color w:val="auto"/>
          <w:kern w:val="0"/>
          <w:sz w:val="36"/>
          <w:szCs w:val="36"/>
          <w:u w:val="single"/>
          <w14:ligatures w14:val="none"/>
        </w:rPr>
      </w:pPr>
      <w:r w:rsidRPr="004C5A9C">
        <w:rPr>
          <w:rFonts w:ascii="Times New Roman" w:eastAsia="Times New Roman" w:hAnsi="Times New Roman" w:cs="Times New Roman"/>
          <w:b/>
          <w:bCs/>
          <w:color w:val="auto"/>
          <w:kern w:val="0"/>
          <w:sz w:val="36"/>
          <w:szCs w:val="36"/>
          <w:u w:val="single"/>
          <w:rtl/>
          <w14:ligatures w14:val="none"/>
        </w:rPr>
        <w:lastRenderedPageBreak/>
        <w:t>الشكر والتقـديـر</w:t>
      </w:r>
    </w:p>
    <w:p w14:paraId="3938617B" w14:textId="331C0B76" w:rsidR="00265DE2" w:rsidRPr="00265DE2" w:rsidRDefault="00265DE2" w:rsidP="00BE7B2A">
      <w:pPr>
        <w:spacing w:before="100" w:beforeAutospacing="1" w:after="100" w:afterAutospacing="1" w:line="360" w:lineRule="auto"/>
        <w:divId w:val="2040543745"/>
        <w:rPr>
          <w:rFonts w:ascii="Times New Roman" w:eastAsiaTheme="minorEastAsia" w:hAnsi="Times New Roman" w:cs="Times New Roman"/>
          <w:kern w:val="0"/>
          <w:sz w:val="28"/>
          <w:szCs w:val="28"/>
          <w14:ligatures w14:val="none"/>
        </w:rPr>
      </w:pPr>
      <w:r w:rsidRPr="00265DE2">
        <w:rPr>
          <w:rFonts w:ascii="Times New Roman" w:eastAsiaTheme="minorEastAsia" w:hAnsi="Times New Roman" w:cs="Times New Roman"/>
          <w:kern w:val="0"/>
          <w:sz w:val="28"/>
          <w:szCs w:val="28"/>
          <w:rtl/>
          <w14:ligatures w14:val="none"/>
        </w:rPr>
        <w:t>الحمد لله حمدًا يليق بجلاله، والشكر له سبحانه على ما وفَّق وأعان حتى تمَّ هذا العمل. والصلاة والسلام على سيدنا محمد، خير من علَّم وأدَّب، وعلى آله وصحبه أجمعين.</w:t>
      </w:r>
      <w:r w:rsidRPr="004C5A9C">
        <w:rPr>
          <w:rFonts w:ascii="Times New Roman" w:eastAsiaTheme="minorEastAsia" w:hAnsi="Times New Roman" w:cs="Times New Roman" w:hint="cs"/>
          <w:kern w:val="0"/>
          <w:sz w:val="28"/>
          <w:szCs w:val="28"/>
          <w:rtl/>
          <w14:ligatures w14:val="none"/>
        </w:rPr>
        <w:t xml:space="preserve"> </w:t>
      </w:r>
      <w:r w:rsidRPr="00265DE2">
        <w:rPr>
          <w:rFonts w:ascii="Times New Roman" w:eastAsiaTheme="minorEastAsia" w:hAnsi="Times New Roman" w:cs="Times New Roman"/>
          <w:kern w:val="0"/>
          <w:sz w:val="28"/>
          <w:szCs w:val="28"/>
          <w:rtl/>
          <w14:ligatures w14:val="none"/>
        </w:rPr>
        <w:t>أتقدَّم بخالص الشكر والامتنان إلى جميع من كان لوقفتهم ودعمهم الأثر البالغ في إنجاز هذا البحث:</w:t>
      </w:r>
    </w:p>
    <w:p w14:paraId="43007856"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جامعة ميدأوشن – كلية الإدارة</w:t>
      </w:r>
    </w:p>
    <w:p w14:paraId="04154E1E"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على ما قدَّمته من بيئة علميّة محفِّزة وإمكانات بحثيّة ولوجستيّة مكّنتني من تنفيذ هذه الدراسة على الوجه الأكمل.</w:t>
      </w:r>
    </w:p>
    <w:p w14:paraId="40628454"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سعادة الأستاذ الدكتور الفيصل عبد الحميد – المشرف الأكاديمي الأول</w:t>
      </w:r>
    </w:p>
    <w:p w14:paraId="1E7B6388"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لما بذله من متابعة دقيقة، وإرشاد منهجي، وملاحظات علميّة عميقة أسهمت في توجيه خطوات البحث وتحسين جودته.</w:t>
      </w:r>
    </w:p>
    <w:p w14:paraId="7EA62A26"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سعادة الدكتور فايز جراد – المشرف المشارك</w:t>
      </w:r>
    </w:p>
    <w:p w14:paraId="47ABFA87"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لما قدّمه من دعم متواصل وتشجيع بنّاء، ولخبرته القيّمة التي أضافت بعدًا تطبيقيًّا واضحًا لدراسة البنوك الرقميّة.</w:t>
      </w:r>
    </w:p>
    <w:p w14:paraId="2BB6D726"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البنك المركزي السعودي (ساما) وهيئة السوق الماليّة</w:t>
      </w:r>
    </w:p>
    <w:p w14:paraId="206898EF"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على تعاونهم الكريم وتزويدي بالبيانات والتقارير الرسمية التي شكّلت ركيزة أساسيّة للتحليل والاستنتاج.</w:t>
      </w:r>
    </w:p>
    <w:p w14:paraId="67BFD147"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خبراء القطاع المالي والمختصّون التنظيميّون</w:t>
      </w:r>
    </w:p>
    <w:p w14:paraId="44CC836F"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الذين خصّصوا وقتهم لإجراء المقابلات أو المشاركة في جلسات التحكيم، فساهمت آراؤهم في صقل أداة القياس وتعزيز موثوقيّة النتائج.</w:t>
      </w:r>
    </w:p>
    <w:p w14:paraId="74DB0FB7"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جميع المشاركين في الاستبيان</w:t>
      </w:r>
    </w:p>
    <w:p w14:paraId="12F6C9E2"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من موظفي البنوك الرقميّة والتقليدية والجهات الرقابيّة، الذين أبدَوا انفتاحًا وشفافيّة في مشاركة آرائهم وخبراتهم، مما أتاح قاعدة بيانات غنيّة للتحليل.</w:t>
      </w:r>
    </w:p>
    <w:p w14:paraId="20AB93E2"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الأساتذة المحكِّمون</w:t>
      </w:r>
    </w:p>
    <w:p w14:paraId="71550217"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الذين تكرّموا بمراجعة الاستبيان واعتماد صلاحيته العلمية واللغوية، وما قدّموه من مقترحات قيّمة تم الأخذ بها بالكامل.</w:t>
      </w:r>
    </w:p>
    <w:p w14:paraId="653E2703" w14:textId="77777777" w:rsidR="00265DE2" w:rsidRPr="00265DE2" w:rsidRDefault="00265DE2" w:rsidP="00BE7B2A">
      <w:pPr>
        <w:numPr>
          <w:ilvl w:val="0"/>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265DE2">
        <w:rPr>
          <w:rFonts w:ascii="Times New Roman" w:eastAsiaTheme="minorEastAsia" w:hAnsi="Times New Roman" w:cs="Times New Roman"/>
          <w:kern w:val="0"/>
          <w:sz w:val="28"/>
          <w:szCs w:val="28"/>
          <w:rtl/>
          <w14:ligatures w14:val="none"/>
        </w:rPr>
        <w:t>فريق الإحصاء وتقنية المعلومات بالجامعة</w:t>
      </w:r>
    </w:p>
    <w:p w14:paraId="1C6B8545" w14:textId="77777777" w:rsidR="00265DE2" w:rsidRPr="004C5A9C" w:rsidRDefault="00265DE2" w:rsidP="00BE7B2A">
      <w:pPr>
        <w:pStyle w:val="a5"/>
        <w:numPr>
          <w:ilvl w:val="1"/>
          <w:numId w:val="73"/>
        </w:num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 xml:space="preserve">على دعمهم في تشغيل برامج </w:t>
      </w:r>
      <w:r w:rsidRPr="004C5A9C">
        <w:rPr>
          <w:rFonts w:ascii="Times New Roman" w:eastAsiaTheme="minorEastAsia" w:hAnsi="Times New Roman" w:cs="Times New Roman"/>
          <w:kern w:val="0"/>
          <w:sz w:val="28"/>
          <w:szCs w:val="28"/>
          <w14:ligatures w14:val="none"/>
        </w:rPr>
        <w:t>SPSS</w:t>
      </w:r>
      <w:r w:rsidRPr="004C5A9C">
        <w:rPr>
          <w:rFonts w:ascii="Times New Roman" w:eastAsiaTheme="minorEastAsia" w:hAnsi="Times New Roman" w:cs="Times New Roman"/>
          <w:kern w:val="0"/>
          <w:sz w:val="28"/>
          <w:szCs w:val="28"/>
          <w:rtl/>
          <w14:ligatures w14:val="none"/>
        </w:rPr>
        <w:t xml:space="preserve"> و</w:t>
      </w:r>
      <w:r w:rsidRPr="004C5A9C">
        <w:rPr>
          <w:rFonts w:ascii="Times New Roman" w:eastAsiaTheme="minorEastAsia" w:hAnsi="Times New Roman" w:cs="Times New Roman"/>
          <w:kern w:val="0"/>
          <w:sz w:val="28"/>
          <w:szCs w:val="28"/>
          <w14:ligatures w14:val="none"/>
        </w:rPr>
        <w:t>AMOS</w:t>
      </w:r>
      <w:r w:rsidRPr="004C5A9C">
        <w:rPr>
          <w:rFonts w:ascii="Times New Roman" w:eastAsiaTheme="minorEastAsia" w:hAnsi="Times New Roman" w:cs="Times New Roman"/>
          <w:kern w:val="0"/>
          <w:sz w:val="28"/>
          <w:szCs w:val="28"/>
          <w:rtl/>
          <w14:ligatures w14:val="none"/>
        </w:rPr>
        <w:t>، وتقديم المشورة الفنية حول اختبارات الثبات والصدق ونمذجة المسار.</w:t>
      </w:r>
    </w:p>
    <w:p w14:paraId="2092488D" w14:textId="3AFA4BBD" w:rsidR="00265DE2" w:rsidRDefault="00265DE2"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أسأل الله أن يجعل هذا الجهد خالصًا لوجهه الكريم، وأن ينفع به الباحثين والمهتمّين بمجال البنوك الرقميّة والحوكمة الماليّة، وأن يكون إضافة علميّة تخدم وطننا الغالي وتسهم في تحقيق تطلّعات رؤيته الطموحة.</w:t>
      </w:r>
    </w:p>
    <w:p w14:paraId="35CB6F49" w14:textId="77777777" w:rsidR="004C5A9C" w:rsidRDefault="004C5A9C"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0E81D746"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0C82B3CB"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3E3EC8F5"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4764F4F2"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668C13BE"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3A83553D"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03DF9FBE"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58324314"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231E6029"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620C8903"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5D4F3D5D" w14:textId="77777777" w:rsidR="00BE7B2A"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rtl/>
          <w14:ligatures w14:val="none"/>
        </w:rPr>
      </w:pPr>
    </w:p>
    <w:p w14:paraId="352F07B4" w14:textId="77777777" w:rsidR="00BE7B2A" w:rsidRPr="004C5A9C" w:rsidRDefault="00BE7B2A" w:rsidP="00BE7B2A">
      <w:pPr>
        <w:spacing w:before="100" w:beforeAutospacing="1" w:after="100" w:afterAutospacing="1" w:line="360" w:lineRule="auto"/>
        <w:divId w:val="2040543745"/>
        <w:rPr>
          <w:rFonts w:ascii="Times New Roman" w:eastAsiaTheme="minorEastAsia" w:hAnsi="Times New Roman" w:cs="Times New Roman"/>
          <w:kern w:val="0"/>
          <w:sz w:val="28"/>
          <w:szCs w:val="28"/>
          <w14:ligatures w14:val="none"/>
        </w:rPr>
      </w:pPr>
    </w:p>
    <w:p w14:paraId="2C28A754" w14:textId="3C03AA30" w:rsidR="00784D8D" w:rsidRPr="00784D8D" w:rsidRDefault="00784D8D" w:rsidP="00BE7B2A">
      <w:pPr>
        <w:pStyle w:val="2"/>
        <w:spacing w:line="360" w:lineRule="auto"/>
        <w:divId w:val="656149949"/>
        <w:rPr>
          <w:rFonts w:ascii="Times New Roman" w:eastAsia="Times New Roman" w:hAnsi="Times New Roman" w:cs="Times New Roman"/>
          <w:b/>
          <w:bCs/>
          <w:color w:val="auto"/>
          <w:kern w:val="0"/>
          <w:sz w:val="36"/>
          <w:szCs w:val="36"/>
          <w:u w:val="single"/>
          <w14:ligatures w14:val="none"/>
        </w:rPr>
      </w:pPr>
      <w:r w:rsidRPr="004C5A9C">
        <w:rPr>
          <w:rFonts w:ascii="Times New Roman" w:eastAsia="Times New Roman" w:hAnsi="Times New Roman" w:cs="Times New Roman"/>
          <w:b/>
          <w:bCs/>
          <w:color w:val="auto"/>
          <w:kern w:val="0"/>
          <w:sz w:val="36"/>
          <w:szCs w:val="36"/>
          <w:u w:val="single"/>
          <w:rtl/>
          <w14:ligatures w14:val="none"/>
        </w:rPr>
        <w:lastRenderedPageBreak/>
        <w:t>المستخلـص</w:t>
      </w:r>
    </w:p>
    <w:p w14:paraId="2EA81CA1" w14:textId="77777777" w:rsidR="00784D8D" w:rsidRPr="00784D8D" w:rsidRDefault="00784D8D" w:rsidP="00BE7B2A">
      <w:pPr>
        <w:spacing w:before="100" w:beforeAutospacing="1" w:after="100" w:afterAutospacing="1" w:line="360" w:lineRule="auto"/>
        <w:divId w:val="656149949"/>
        <w:rPr>
          <w:rFonts w:ascii="Times New Roman" w:eastAsiaTheme="minorEastAsia" w:hAnsi="Times New Roman" w:cs="Times New Roman"/>
          <w:kern w:val="0"/>
          <w:sz w:val="28"/>
          <w:szCs w:val="28"/>
          <w14:ligatures w14:val="none"/>
        </w:rPr>
      </w:pPr>
      <w:r w:rsidRPr="00784D8D">
        <w:rPr>
          <w:rFonts w:ascii="Times New Roman" w:eastAsiaTheme="minorEastAsia" w:hAnsi="Times New Roman" w:cs="Times New Roman"/>
          <w:kern w:val="0"/>
          <w:sz w:val="28"/>
          <w:szCs w:val="28"/>
          <w:rtl/>
          <w14:ligatures w14:val="none"/>
        </w:rPr>
        <w:t xml:space="preserve">هدفت هذه الدراسة إلى تحليل أثر البنوك الرقميّة على الشركاء التنظيميّين في المملكة العربيّة السعوديّة، مع مقارنة بين النماذج الرقميّة المركزيّة الخاضعة لإشراف البنك المركزي والنماذج اللامركزيّة القائمة على تقنيّات </w:t>
      </w:r>
      <w:r w:rsidRPr="00784D8D">
        <w:rPr>
          <w:rFonts w:ascii="Times New Roman" w:eastAsiaTheme="minorEastAsia" w:hAnsi="Times New Roman" w:cs="Times New Roman"/>
          <w:kern w:val="0"/>
          <w:sz w:val="28"/>
          <w:szCs w:val="28"/>
          <w14:ligatures w14:val="none"/>
        </w:rPr>
        <w:t>DeFi</w:t>
      </w:r>
      <w:r w:rsidRPr="00784D8D">
        <w:rPr>
          <w:rFonts w:ascii="Times New Roman" w:eastAsiaTheme="minorEastAsia" w:hAnsi="Times New Roman" w:cs="Times New Roman"/>
          <w:kern w:val="0"/>
          <w:sz w:val="28"/>
          <w:szCs w:val="28"/>
          <w:rtl/>
          <w14:ligatures w14:val="none"/>
        </w:rPr>
        <w:t xml:space="preserve">. اعتمدت الدراسة المنهج الوصفي التحليلي، واستُخدم استبيان مُكوَّن من (39) بندًا وُزِّع إلكترونيًا وورقيًا على عيّنة طبقيّة عشوائيّة من الموظّفين في المناصب القياديّة والإشرافيّة بقطاع الخدمات الماليّة (ن = 180، الاستجابات الصالحة = 180). تم التحقق من صدق الأداة عبر تحكيم خبراء واختبار </w:t>
      </w:r>
      <w:r w:rsidRPr="00784D8D">
        <w:rPr>
          <w:rFonts w:ascii="Times New Roman" w:eastAsiaTheme="minorEastAsia" w:hAnsi="Times New Roman" w:cs="Times New Roman"/>
          <w:kern w:val="0"/>
          <w:sz w:val="28"/>
          <w:szCs w:val="28"/>
          <w14:ligatures w14:val="none"/>
        </w:rPr>
        <w:t>KMO/Bartlett</w:t>
      </w:r>
      <w:r w:rsidRPr="00784D8D">
        <w:rPr>
          <w:rFonts w:ascii="Times New Roman" w:eastAsiaTheme="minorEastAsia" w:hAnsi="Times New Roman" w:cs="Times New Roman"/>
          <w:kern w:val="0"/>
          <w:sz w:val="28"/>
          <w:szCs w:val="28"/>
          <w:rtl/>
          <w14:ligatures w14:val="none"/>
        </w:rPr>
        <w:t>، وبلغ معامل ثبات كرونباخ ألفا الكلّي 0.95.</w:t>
      </w:r>
    </w:p>
    <w:p w14:paraId="025F2189" w14:textId="77777777" w:rsidR="00784D8D" w:rsidRPr="00784D8D" w:rsidRDefault="00784D8D" w:rsidP="00BE7B2A">
      <w:pPr>
        <w:bidi w:val="0"/>
        <w:spacing w:before="100" w:beforeAutospacing="1" w:after="100" w:afterAutospacing="1" w:line="360" w:lineRule="auto"/>
        <w:divId w:val="656149949"/>
        <w:rPr>
          <w:rFonts w:ascii="Times New Roman" w:eastAsiaTheme="minorEastAsia" w:hAnsi="Times New Roman" w:cs="Times New Roman"/>
          <w:kern w:val="0"/>
          <w:sz w:val="28"/>
          <w:szCs w:val="28"/>
          <w:rtl/>
          <w14:ligatures w14:val="none"/>
        </w:rPr>
      </w:pPr>
    </w:p>
    <w:p w14:paraId="1CE72FD4" w14:textId="3150AA16" w:rsidR="00784D8D" w:rsidRPr="00784D8D" w:rsidRDefault="00784D8D" w:rsidP="007E2729">
      <w:pPr>
        <w:spacing w:before="100" w:beforeAutospacing="1" w:after="100" w:afterAutospacing="1" w:line="360" w:lineRule="auto"/>
        <w:divId w:val="656149949"/>
        <w:rPr>
          <w:rFonts w:ascii="Times New Roman" w:eastAsiaTheme="minorEastAsia" w:hAnsi="Times New Roman" w:cs="Times New Roman"/>
          <w:kern w:val="0"/>
          <w:sz w:val="28"/>
          <w:szCs w:val="28"/>
          <w:rtl/>
          <w14:ligatures w14:val="none"/>
        </w:rPr>
      </w:pPr>
      <w:r w:rsidRPr="00784D8D">
        <w:rPr>
          <w:rFonts w:ascii="Times New Roman" w:eastAsiaTheme="minorEastAsia" w:hAnsi="Times New Roman" w:cs="Times New Roman"/>
          <w:kern w:val="0"/>
          <w:sz w:val="28"/>
          <w:szCs w:val="28"/>
          <w:rtl/>
          <w14:ligatures w14:val="none"/>
        </w:rPr>
        <w:t xml:space="preserve">أُجري التحليل باستخدام برنامجَي </w:t>
      </w:r>
      <w:r w:rsidRPr="00784D8D">
        <w:rPr>
          <w:rFonts w:ascii="Times New Roman" w:eastAsiaTheme="minorEastAsia" w:hAnsi="Times New Roman" w:cs="Times New Roman"/>
          <w:kern w:val="0"/>
          <w:sz w:val="28"/>
          <w:szCs w:val="28"/>
          <w14:ligatures w14:val="none"/>
        </w:rPr>
        <w:t>SPSS</w:t>
      </w:r>
      <w:r w:rsidRPr="00784D8D">
        <w:rPr>
          <w:rFonts w:ascii="Times New Roman" w:eastAsiaTheme="minorEastAsia" w:hAnsi="Times New Roman" w:cs="Times New Roman"/>
          <w:kern w:val="0"/>
          <w:sz w:val="28"/>
          <w:szCs w:val="28"/>
          <w:rtl/>
          <w14:ligatures w14:val="none"/>
        </w:rPr>
        <w:t xml:space="preserve"> و</w:t>
      </w:r>
      <w:r w:rsidRPr="00784D8D">
        <w:rPr>
          <w:rFonts w:ascii="Times New Roman" w:eastAsiaTheme="minorEastAsia" w:hAnsi="Times New Roman" w:cs="Times New Roman"/>
          <w:kern w:val="0"/>
          <w:sz w:val="28"/>
          <w:szCs w:val="28"/>
          <w14:ligatures w14:val="none"/>
        </w:rPr>
        <w:t>AMOS</w:t>
      </w:r>
      <w:r w:rsidRPr="00784D8D">
        <w:rPr>
          <w:rFonts w:ascii="Times New Roman" w:eastAsiaTheme="minorEastAsia" w:hAnsi="Times New Roman" w:cs="Times New Roman"/>
          <w:kern w:val="0"/>
          <w:sz w:val="28"/>
          <w:szCs w:val="28"/>
          <w:rtl/>
          <w14:ligatures w14:val="none"/>
        </w:rPr>
        <w:t xml:space="preserve">؛ فتضمّن الإحصاء الوصفي، والانحدار المتعدّد، ونمذجة المعادلات الهيكليّة. أظهرت النتائج أنّ النضج السحابي، والتكامل المفتوح، والصلابة السيبرانيّة للبنوك الرقميّة تؤثّر إيجابًا في جاهزيّة الجهة المنظِّمة </w:t>
      </w:r>
      <w:r w:rsidRPr="00784D8D">
        <w:rPr>
          <w:rFonts w:ascii="Times New Roman" w:eastAsiaTheme="minorEastAsia" w:hAnsi="Times New Roman" w:cs="Times New Roman"/>
          <w:kern w:val="0"/>
          <w:sz w:val="28"/>
          <w:szCs w:val="28"/>
          <w14:ligatures w14:val="none"/>
        </w:rPr>
        <w:t xml:space="preserve">(β = 0.39, 0.27−, 0.31− </w:t>
      </w:r>
      <w:r w:rsidRPr="00784D8D">
        <w:rPr>
          <w:rFonts w:ascii="Times New Roman" w:eastAsiaTheme="minorEastAsia" w:hAnsi="Times New Roman" w:cs="Times New Roman"/>
          <w:kern w:val="0"/>
          <w:sz w:val="28"/>
          <w:szCs w:val="28"/>
          <w:rtl/>
          <w14:ligatures w14:val="none"/>
        </w:rPr>
        <w:t xml:space="preserve">على التوالي، </w:t>
      </w:r>
      <w:r w:rsidRPr="00784D8D">
        <w:rPr>
          <w:rFonts w:ascii="Times New Roman" w:eastAsiaTheme="minorEastAsia" w:hAnsi="Times New Roman" w:cs="Times New Roman"/>
          <w:kern w:val="0"/>
          <w:sz w:val="28"/>
          <w:szCs w:val="28"/>
          <w14:ligatures w14:val="none"/>
        </w:rPr>
        <w:t>p</w:t>
      </w:r>
      <w:r w:rsidRPr="00784D8D">
        <w:rPr>
          <w:rFonts w:ascii="Times New Roman" w:eastAsiaTheme="minorEastAsia" w:hAnsi="Times New Roman" w:cs="Times New Roman"/>
          <w:kern w:val="0"/>
          <w:sz w:val="28"/>
          <w:szCs w:val="28"/>
          <w:rtl/>
          <w14:ligatures w14:val="none"/>
        </w:rPr>
        <w:t xml:space="preserve"> &lt; 0.01). كما تبيّن أنّ جاهزيّة المنظِّم تتوسّط جزئيًا العلاقة بين الخصائص التقنيّة للبنوك الرقميّة ومخرجات الرقابة (سرعة الموافقات، العبء الرقابي، والشمول المالي). وتوصي الدراسة بإطلاق دليل وطني لواجهات </w:t>
      </w:r>
      <w:r w:rsidRPr="00784D8D">
        <w:rPr>
          <w:rFonts w:ascii="Times New Roman" w:eastAsiaTheme="minorEastAsia" w:hAnsi="Times New Roman" w:cs="Times New Roman"/>
          <w:kern w:val="0"/>
          <w:sz w:val="28"/>
          <w:szCs w:val="28"/>
          <w14:ligatures w14:val="none"/>
        </w:rPr>
        <w:t>API</w:t>
      </w:r>
      <w:r w:rsidRPr="00784D8D">
        <w:rPr>
          <w:rFonts w:ascii="Times New Roman" w:eastAsiaTheme="minorEastAsia" w:hAnsi="Times New Roman" w:cs="Times New Roman"/>
          <w:kern w:val="0"/>
          <w:sz w:val="28"/>
          <w:szCs w:val="28"/>
          <w:rtl/>
          <w14:ligatures w14:val="none"/>
        </w:rPr>
        <w:t xml:space="preserve">، وتأسيس منصّة </w:t>
      </w:r>
      <w:r w:rsidRPr="00784D8D">
        <w:rPr>
          <w:rFonts w:ascii="Times New Roman" w:eastAsiaTheme="minorEastAsia" w:hAnsi="Times New Roman" w:cs="Times New Roman"/>
          <w:kern w:val="0"/>
          <w:sz w:val="28"/>
          <w:szCs w:val="28"/>
          <w14:ligatures w14:val="none"/>
        </w:rPr>
        <w:t>SupTech</w:t>
      </w:r>
      <w:r w:rsidRPr="00784D8D">
        <w:rPr>
          <w:rFonts w:ascii="Times New Roman" w:eastAsiaTheme="minorEastAsia" w:hAnsi="Times New Roman" w:cs="Times New Roman"/>
          <w:kern w:val="0"/>
          <w:sz w:val="28"/>
          <w:szCs w:val="28"/>
          <w:rtl/>
          <w14:ligatures w14:val="none"/>
        </w:rPr>
        <w:t xml:space="preserve"> لحظيّة، وإنشاء مختبر امتثال سيبراني مشترك، ما يُتوقع أن يُقلِّل التكلفة الرقابيّة بنسبة 15-20 % ويختصر دورة الموافقة إلى أقلّ من 48 ساعة.</w:t>
      </w:r>
    </w:p>
    <w:p w14:paraId="082B05F6" w14:textId="6BC76668" w:rsidR="00784D8D" w:rsidRPr="00784D8D" w:rsidRDefault="00784D8D" w:rsidP="007E2729">
      <w:pPr>
        <w:spacing w:before="100" w:beforeAutospacing="1" w:after="100" w:afterAutospacing="1" w:line="360" w:lineRule="auto"/>
        <w:divId w:val="656149949"/>
        <w:rPr>
          <w:rFonts w:ascii="Times New Roman" w:eastAsiaTheme="minorEastAsia" w:hAnsi="Times New Roman" w:cs="Times New Roman"/>
          <w:kern w:val="0"/>
          <w:sz w:val="28"/>
          <w:szCs w:val="28"/>
          <w:rtl/>
          <w14:ligatures w14:val="none"/>
        </w:rPr>
      </w:pPr>
      <w:r w:rsidRPr="00784D8D">
        <w:rPr>
          <w:rFonts w:ascii="Times New Roman" w:eastAsiaTheme="minorEastAsia" w:hAnsi="Times New Roman" w:cs="Times New Roman"/>
          <w:kern w:val="0"/>
          <w:sz w:val="28"/>
          <w:szCs w:val="28"/>
          <w:rtl/>
          <w14:ligatures w14:val="none"/>
        </w:rPr>
        <w:t>بالرغم من اعتماد الدراسة على تصميم مقطعي وعيّنة محدودة، فإنها تُمهّد لدراسات طوليّة أوسع تستكشف أثر العملة الرقميّة السياديّة (</w:t>
      </w:r>
      <w:r w:rsidRPr="00784D8D">
        <w:rPr>
          <w:rFonts w:ascii="Times New Roman" w:eastAsiaTheme="minorEastAsia" w:hAnsi="Times New Roman" w:cs="Times New Roman"/>
          <w:kern w:val="0"/>
          <w:sz w:val="28"/>
          <w:szCs w:val="28"/>
          <w14:ligatures w14:val="none"/>
        </w:rPr>
        <w:t>CBDC-SAR</w:t>
      </w:r>
      <w:r w:rsidRPr="00784D8D">
        <w:rPr>
          <w:rFonts w:ascii="Times New Roman" w:eastAsiaTheme="minorEastAsia" w:hAnsi="Times New Roman" w:cs="Times New Roman"/>
          <w:kern w:val="0"/>
          <w:sz w:val="28"/>
          <w:szCs w:val="28"/>
          <w:rtl/>
          <w14:ligatures w14:val="none"/>
        </w:rPr>
        <w:t xml:space="preserve">) وتطوّر نماذج </w:t>
      </w:r>
      <w:r w:rsidRPr="00784D8D">
        <w:rPr>
          <w:rFonts w:ascii="Times New Roman" w:eastAsiaTheme="minorEastAsia" w:hAnsi="Times New Roman" w:cs="Times New Roman"/>
          <w:kern w:val="0"/>
          <w:sz w:val="28"/>
          <w:szCs w:val="28"/>
          <w14:ligatures w14:val="none"/>
        </w:rPr>
        <w:t>DeFi</w:t>
      </w:r>
      <w:r w:rsidRPr="00784D8D">
        <w:rPr>
          <w:rFonts w:ascii="Times New Roman" w:eastAsiaTheme="minorEastAsia" w:hAnsi="Times New Roman" w:cs="Times New Roman"/>
          <w:kern w:val="0"/>
          <w:sz w:val="28"/>
          <w:szCs w:val="28"/>
          <w:rtl/>
          <w14:ligatures w14:val="none"/>
        </w:rPr>
        <w:t xml:space="preserve"> المحليّة على المدى البعيد.</w:t>
      </w:r>
    </w:p>
    <w:p w14:paraId="6A6F6480" w14:textId="040A9423" w:rsidR="006A75A3" w:rsidRDefault="00784D8D" w:rsidP="00BE7B2A">
      <w:pPr>
        <w:spacing w:before="100" w:beforeAutospacing="1" w:after="100" w:afterAutospacing="1" w:line="360" w:lineRule="auto"/>
        <w:divId w:val="656149949"/>
        <w:rPr>
          <w:rFonts w:ascii="Times New Roman" w:eastAsiaTheme="minorEastAsia" w:hAnsi="Times New Roman" w:cs="Times New Roman"/>
          <w:kern w:val="0"/>
          <w:sz w:val="28"/>
          <w:szCs w:val="28"/>
          <w14:ligatures w14:val="none"/>
        </w:rPr>
      </w:pPr>
      <w:r w:rsidRPr="00784D8D">
        <w:rPr>
          <w:rFonts w:ascii="Times New Roman" w:eastAsiaTheme="minorEastAsia" w:hAnsi="Times New Roman" w:cs="Times New Roman"/>
          <w:kern w:val="0"/>
          <w:sz w:val="28"/>
          <w:szCs w:val="28"/>
          <w:rtl/>
          <w14:ligatures w14:val="none"/>
        </w:rPr>
        <w:t xml:space="preserve">الكلمات المفتاحيّة: البنوك الرقميّة، البنوك المركزيّة الرقميّة، التمويل اللامركزي، الجاهزيّة الرقابية، المملكة العربيّة السعوديّة، </w:t>
      </w:r>
      <w:r w:rsidRPr="00784D8D">
        <w:rPr>
          <w:rFonts w:ascii="Times New Roman" w:eastAsiaTheme="minorEastAsia" w:hAnsi="Times New Roman" w:cs="Times New Roman"/>
          <w:kern w:val="0"/>
          <w:sz w:val="28"/>
          <w:szCs w:val="28"/>
          <w14:ligatures w14:val="none"/>
        </w:rPr>
        <w:t>SupTech</w:t>
      </w:r>
      <w:r w:rsidRPr="00784D8D">
        <w:rPr>
          <w:rFonts w:ascii="Times New Roman" w:eastAsiaTheme="minorEastAsia" w:hAnsi="Times New Roman" w:cs="Times New Roman"/>
          <w:kern w:val="0"/>
          <w:sz w:val="28"/>
          <w:szCs w:val="28"/>
          <w:rtl/>
          <w14:ligatures w14:val="none"/>
        </w:rPr>
        <w:t>، الشمول المالي.</w:t>
      </w:r>
    </w:p>
    <w:p w14:paraId="6D99D380" w14:textId="77777777" w:rsidR="007E2729" w:rsidRDefault="007E2729" w:rsidP="007E2729">
      <w:pPr>
        <w:spacing w:before="100" w:beforeAutospacing="1" w:after="100" w:afterAutospacing="1" w:line="360" w:lineRule="auto"/>
        <w:divId w:val="656149949"/>
        <w:rPr>
          <w:rFonts w:ascii="Times New Roman" w:eastAsiaTheme="minorEastAsia" w:hAnsi="Times New Roman" w:cs="Times New Roman"/>
          <w:kern w:val="0"/>
          <w:sz w:val="28"/>
          <w:szCs w:val="28"/>
          <w14:ligatures w14:val="none"/>
        </w:rPr>
      </w:pPr>
    </w:p>
    <w:p w14:paraId="48B2E6B5" w14:textId="77777777" w:rsidR="007E2729" w:rsidRPr="00BE7B2A" w:rsidRDefault="007E2729" w:rsidP="007E2729">
      <w:pPr>
        <w:spacing w:before="100" w:beforeAutospacing="1" w:after="100" w:afterAutospacing="1" w:line="360" w:lineRule="auto"/>
        <w:divId w:val="656149949"/>
        <w:rPr>
          <w:rFonts w:ascii="Times New Roman" w:eastAsiaTheme="minorEastAsia" w:hAnsi="Times New Roman" w:cs="Times New Roman"/>
          <w:kern w:val="0"/>
          <w:sz w:val="28"/>
          <w:szCs w:val="28"/>
          <w14:ligatures w14:val="none"/>
        </w:rPr>
      </w:pPr>
    </w:p>
    <w:p w14:paraId="5FAD74B1" w14:textId="4D37A2DA" w:rsidR="007B563F" w:rsidRPr="004C5A9C" w:rsidRDefault="007B563F" w:rsidP="00BE7B2A">
      <w:pPr>
        <w:pStyle w:val="p1"/>
        <w:bidi/>
        <w:spacing w:line="360" w:lineRule="auto"/>
        <w:divId w:val="1761368777"/>
        <w:rPr>
          <w:rFonts w:ascii=".AppleSystemUIFont" w:hAnsi=".AppleSystemUIFont" w:hint="eastAsia"/>
          <w:sz w:val="36"/>
          <w:szCs w:val="36"/>
          <w:u w:val="single"/>
          <w:lang w:eastAsia="en-US"/>
        </w:rPr>
      </w:pPr>
      <w:r w:rsidRPr="004C5A9C">
        <w:rPr>
          <w:rFonts w:ascii="UICTFontTextStyleEmphasizedBody" w:hAnsi="UICTFontTextStyleEmphasizedBody"/>
          <w:b/>
          <w:bCs/>
          <w:sz w:val="36"/>
          <w:szCs w:val="36"/>
          <w:u w:val="single"/>
          <w:rtl/>
          <w:lang w:eastAsia="en-US"/>
        </w:rPr>
        <w:lastRenderedPageBreak/>
        <w:t>قائمة المحتويــات </w:t>
      </w:r>
    </w:p>
    <w:tbl>
      <w:tblPr>
        <w:tblW w:w="8193" w:type="dxa"/>
        <w:tblCellMar>
          <w:left w:w="0" w:type="dxa"/>
          <w:right w:w="0" w:type="dxa"/>
        </w:tblCellMar>
        <w:tblLook w:val="04A0" w:firstRow="1" w:lastRow="0" w:firstColumn="1" w:lastColumn="0" w:noHBand="0" w:noVBand="1"/>
      </w:tblPr>
      <w:tblGrid>
        <w:gridCol w:w="846"/>
        <w:gridCol w:w="848"/>
        <w:gridCol w:w="6499"/>
      </w:tblGrid>
      <w:tr w:rsidR="007B563F" w:rsidRPr="007B563F" w14:paraId="15D1D9AC"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62936D" w14:textId="77777777" w:rsidR="007B563F" w:rsidRPr="007B563F" w:rsidRDefault="007B563F" w:rsidP="00BE7B2A">
            <w:pPr>
              <w:spacing w:after="0" w:line="360" w:lineRule="auto"/>
              <w:rPr>
                <w:rFonts w:ascii=".SF Arabic" w:eastAsiaTheme="minorEastAsia" w:hAnsi=".SF Arabic" w:cs="Times New Roman" w:hint="eastAsia"/>
                <w:kern w:val="0"/>
                <w:sz w:val="28"/>
                <w:szCs w:val="28"/>
                <w:rtl/>
                <w14:ligatures w14:val="none"/>
              </w:rPr>
            </w:pPr>
            <w:r w:rsidRPr="007B563F">
              <w:rPr>
                <w:rFonts w:ascii=".SFArabic-Semibold" w:eastAsiaTheme="minorEastAsia" w:hAnsi=".SFArabic-Semibold" w:cs="Times New Roman"/>
                <w:b/>
                <w:bCs/>
                <w:kern w:val="0"/>
                <w:sz w:val="28"/>
                <w:szCs w:val="28"/>
                <w:rtl/>
                <w14:ligatures w14:val="none"/>
              </w:rPr>
              <w:t>الصفحة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BE905F" w14:textId="77777777" w:rsidR="007B563F" w:rsidRPr="007B563F" w:rsidRDefault="007B563F" w:rsidP="00BE7B2A">
            <w:pPr>
              <w:spacing w:after="0" w:line="360" w:lineRule="auto"/>
              <w:rPr>
                <w:rFonts w:ascii=".SF Arabic" w:eastAsiaTheme="minorEastAsia" w:hAnsi=".SF Arabic" w:cs="Times New Roman" w:hint="eastAsia"/>
                <w:kern w:val="0"/>
                <w:sz w:val="28"/>
                <w:szCs w:val="28"/>
                <w:rtl/>
                <w14:ligatures w14:val="none"/>
              </w:rPr>
            </w:pPr>
            <w:r w:rsidRPr="007B563F">
              <w:rPr>
                <w:rFonts w:ascii=".SFArabic-Semibold" w:eastAsiaTheme="minorEastAsia" w:hAnsi=".SFArabic-Semibold" w:cs="Times New Roman"/>
                <w:b/>
                <w:bCs/>
                <w:kern w:val="0"/>
                <w:sz w:val="28"/>
                <w:szCs w:val="28"/>
                <w:rtl/>
                <w14:ligatures w14:val="none"/>
              </w:rPr>
              <w:t>العنـوان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B542D7" w14:textId="77777777" w:rsidR="007B563F" w:rsidRPr="007B563F" w:rsidRDefault="007B563F" w:rsidP="00BE7B2A">
            <w:pPr>
              <w:spacing w:after="0" w:line="360" w:lineRule="auto"/>
              <w:rPr>
                <w:rFonts w:ascii=".SF Arabic" w:eastAsiaTheme="minorEastAsia" w:hAnsi=".SF Arabic" w:cs="Times New Roman" w:hint="eastAsia"/>
                <w:kern w:val="0"/>
                <w:sz w:val="28"/>
                <w:szCs w:val="28"/>
                <w:rtl/>
                <w14:ligatures w14:val="none"/>
              </w:rPr>
            </w:pPr>
            <w:r w:rsidRPr="007B563F">
              <w:rPr>
                <w:rFonts w:ascii=".SFArabic-Semibold" w:eastAsiaTheme="minorEastAsia" w:hAnsi=".SFArabic-Semibold" w:cs="Times New Roman"/>
                <w:b/>
                <w:bCs/>
                <w:kern w:val="0"/>
                <w:sz w:val="28"/>
                <w:szCs w:val="28"/>
                <w:rtl/>
                <w14:ligatures w14:val="none"/>
              </w:rPr>
              <w:t>م</w:t>
            </w:r>
          </w:p>
        </w:tc>
      </w:tr>
      <w:tr w:rsidR="007B563F" w:rsidRPr="007B563F" w14:paraId="3B49ECAC" w14:textId="77777777" w:rsidTr="007B563F">
        <w:trPr>
          <w:divId w:val="1761368777"/>
          <w:trHeight w:val="33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984B5D" w14:textId="77777777" w:rsidR="007B563F" w:rsidRPr="007B563F" w:rsidRDefault="007B563F" w:rsidP="00BE7B2A">
            <w:pPr>
              <w:spacing w:after="0" w:line="360" w:lineRule="auto"/>
              <w:rPr>
                <w:rFonts w:ascii=".SF Arabic" w:eastAsiaTheme="minorEastAsia" w:hAnsi=".SF Arabic" w:cs="Times New Roman" w:hint="eastAsia"/>
                <w:kern w:val="0"/>
                <w:sz w:val="28"/>
                <w:szCs w:val="28"/>
                <w:rtl/>
                <w14:ligatures w14:val="none"/>
              </w:rPr>
            </w:pPr>
            <w:r w:rsidRPr="007B563F">
              <w:rPr>
                <w:rFonts w:ascii=".SFArabic-Regular" w:eastAsiaTheme="minorEastAsia" w:hAnsi=".SFArabic-Regular" w:cs="Times New Roman"/>
                <w:kern w:val="0"/>
                <w:sz w:val="28"/>
                <w:szCs w:val="28"/>
                <w:rtl/>
                <w14:ligatures w14:val="none"/>
              </w:rPr>
              <w:t>أ</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900B40" w14:textId="77777777" w:rsidR="007B563F" w:rsidRPr="007B563F" w:rsidRDefault="007B563F" w:rsidP="00BE7B2A">
            <w:pPr>
              <w:bidi w:val="0"/>
              <w:spacing w:after="0" w:line="360" w:lineRule="auto"/>
              <w:rPr>
                <w:rFonts w:ascii="Helvetica" w:eastAsiaTheme="minorEastAsia" w:hAnsi="Helvetica" w:cs="Times New Roman"/>
                <w:kern w:val="0"/>
                <w:sz w:val="28"/>
                <w:szCs w:val="2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0C4F45"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SFArabic-Regular" w:eastAsiaTheme="minorEastAsia" w:hAnsi=".SFArabic-Regular" w:cs="Times New Roman"/>
                <w:kern w:val="0"/>
                <w:sz w:val="28"/>
                <w:szCs w:val="28"/>
                <w:rtl/>
                <w14:ligatures w14:val="none"/>
              </w:rPr>
              <w:t>مقدمة</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عامّة</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للرسالة</w:t>
            </w:r>
          </w:p>
        </w:tc>
      </w:tr>
      <w:tr w:rsidR="007B563F" w:rsidRPr="007B563F" w14:paraId="7ADC2546"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095DD3" w14:textId="77777777" w:rsidR="007B563F" w:rsidRPr="007B563F" w:rsidRDefault="007B563F" w:rsidP="00BE7B2A">
            <w:pPr>
              <w:spacing w:after="0" w:line="360" w:lineRule="auto"/>
              <w:rPr>
                <w:rFonts w:ascii=".SF Arabic" w:eastAsiaTheme="minorEastAsia" w:hAnsi=".SF Arabic" w:cs="Times New Roman" w:hint="eastAsia"/>
                <w:kern w:val="0"/>
                <w:sz w:val="28"/>
                <w:szCs w:val="28"/>
                <w:rtl/>
                <w14:ligatures w14:val="none"/>
              </w:rPr>
            </w:pPr>
            <w:r w:rsidRPr="007B563F">
              <w:rPr>
                <w:rFonts w:ascii=".SFArabic-Regular" w:eastAsiaTheme="minorEastAsia" w:hAnsi=".SFArabic-Regular" w:cs="Times New Roman"/>
                <w:kern w:val="0"/>
                <w:sz w:val="28"/>
                <w:szCs w:val="28"/>
                <w:rtl/>
                <w14:ligatures w14:val="none"/>
              </w:rPr>
              <w:t>ب</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612B3C" w14:textId="77777777" w:rsidR="007B563F" w:rsidRPr="007B563F" w:rsidRDefault="007B563F" w:rsidP="00BE7B2A">
            <w:pPr>
              <w:bidi w:val="0"/>
              <w:spacing w:after="0" w:line="360" w:lineRule="auto"/>
              <w:rPr>
                <w:rFonts w:ascii="Helvetica" w:eastAsiaTheme="minorEastAsia" w:hAnsi="Helvetica" w:cs="Times New Roman"/>
                <w:kern w:val="0"/>
                <w:sz w:val="28"/>
                <w:szCs w:val="2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C496DA"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SFArabic-Regular" w:eastAsiaTheme="minorEastAsia" w:hAnsi=".SFArabic-Regular" w:cs="Times New Roman"/>
                <w:kern w:val="0"/>
                <w:sz w:val="28"/>
                <w:szCs w:val="28"/>
                <w:rtl/>
                <w14:ligatures w14:val="none"/>
              </w:rPr>
              <w:t>المستخلص</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عربي</w:t>
            </w:r>
            <w:r w:rsidRPr="007B563F">
              <w:rPr>
                <w:rFonts w:ascii="UICTFontTextStyleBody" w:eastAsiaTheme="minorEastAsia" w:hAnsi="UICTFontTextStyleBody" w:cs="Times New Roman"/>
                <w:kern w:val="0"/>
                <w:sz w:val="28"/>
                <w:szCs w:val="28"/>
                <w:rtl/>
                <w14:ligatures w14:val="none"/>
              </w:rPr>
              <w:t>)</w:t>
            </w:r>
          </w:p>
        </w:tc>
      </w:tr>
      <w:tr w:rsidR="007B563F" w:rsidRPr="007B563F" w14:paraId="74324990"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8EE6D6" w14:textId="77777777" w:rsidR="007B563F" w:rsidRPr="007B563F" w:rsidRDefault="007B563F" w:rsidP="00BE7B2A">
            <w:pPr>
              <w:spacing w:after="0" w:line="360" w:lineRule="auto"/>
              <w:rPr>
                <w:rFonts w:ascii=".SF Arabic" w:eastAsiaTheme="minorEastAsia" w:hAnsi=".SF Arabic" w:cs="Times New Roman" w:hint="eastAsia"/>
                <w:kern w:val="0"/>
                <w:sz w:val="28"/>
                <w:szCs w:val="28"/>
                <w:rtl/>
                <w14:ligatures w14:val="none"/>
              </w:rPr>
            </w:pPr>
            <w:r w:rsidRPr="007B563F">
              <w:rPr>
                <w:rFonts w:ascii=".SFArabic-Regular" w:eastAsiaTheme="minorEastAsia" w:hAnsi=".SFArabic-Regular" w:cs="Times New Roman"/>
                <w:kern w:val="0"/>
                <w:sz w:val="28"/>
                <w:szCs w:val="28"/>
                <w:rtl/>
                <w14:ligatures w14:val="none"/>
              </w:rPr>
              <w:t>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A9C0D" w14:textId="77777777" w:rsidR="007B563F" w:rsidRPr="007B563F" w:rsidRDefault="007B563F" w:rsidP="00BE7B2A">
            <w:pPr>
              <w:bidi w:val="0"/>
              <w:spacing w:after="0" w:line="360" w:lineRule="auto"/>
              <w:rPr>
                <w:rFonts w:ascii="Helvetica" w:eastAsiaTheme="minorEastAsia" w:hAnsi="Helvetica" w:cs="Times New Roman"/>
                <w:kern w:val="0"/>
                <w:sz w:val="28"/>
                <w:szCs w:val="2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815F4F" w14:textId="77777777" w:rsidR="007B563F" w:rsidRPr="007B563F" w:rsidRDefault="007B563F" w:rsidP="00BE7B2A">
            <w:pPr>
              <w:bidi w:val="0"/>
              <w:spacing w:after="0" w:line="360" w:lineRule="auto"/>
              <w:rPr>
                <w:rFonts w:ascii=".AppleSystemUIFont" w:eastAsiaTheme="minorEastAsia" w:hAnsi=".AppleSystemUIFont" w:cs="Times New Roman" w:hint="eastAsia"/>
                <w:kern w:val="0"/>
                <w:sz w:val="28"/>
                <w:szCs w:val="28"/>
                <w14:ligatures w14:val="none"/>
              </w:rPr>
            </w:pPr>
            <w:r w:rsidRPr="007B563F">
              <w:rPr>
                <w:rFonts w:ascii="UICTFontTextStyleBody" w:eastAsiaTheme="minorEastAsia" w:hAnsi="UICTFontTextStyleBody" w:cs="Times New Roman"/>
                <w:kern w:val="0"/>
                <w:sz w:val="28"/>
                <w:szCs w:val="28"/>
                <w14:ligatures w14:val="none"/>
              </w:rPr>
              <w:t>Abstract (English)</w:t>
            </w:r>
          </w:p>
        </w:tc>
      </w:tr>
      <w:tr w:rsidR="007B563F" w:rsidRPr="007B563F" w14:paraId="6496F8F0"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3D20DC"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SFArabic-Regular" w:eastAsiaTheme="minorEastAsia" w:hAnsi=".SFArabic-Regular" w:cs="Times New Roman"/>
                <w:kern w:val="0"/>
                <w:sz w:val="28"/>
                <w:szCs w:val="28"/>
                <w:rtl/>
                <w14:ligatures w14:val="none"/>
              </w:rPr>
              <w:t>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226206" w14:textId="77777777" w:rsidR="007B563F" w:rsidRPr="007B563F" w:rsidRDefault="007B563F" w:rsidP="00BE7B2A">
            <w:pPr>
              <w:bidi w:val="0"/>
              <w:spacing w:after="0" w:line="360" w:lineRule="auto"/>
              <w:rPr>
                <w:rFonts w:ascii="Helvetica" w:eastAsiaTheme="minorEastAsia" w:hAnsi="Helvetica" w:cs="Times New Roman"/>
                <w:kern w:val="0"/>
                <w:sz w:val="28"/>
                <w:szCs w:val="2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1772AB"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SFArabic-Regular" w:eastAsiaTheme="minorEastAsia" w:hAnsi=".SFArabic-Regular" w:cs="Times New Roman"/>
                <w:kern w:val="0"/>
                <w:sz w:val="28"/>
                <w:szCs w:val="28"/>
                <w:rtl/>
                <w14:ligatures w14:val="none"/>
              </w:rPr>
              <w:t>الخاتمة</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والشكر</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والتقدير</w:t>
            </w:r>
          </w:p>
        </w:tc>
      </w:tr>
      <w:tr w:rsidR="007B563F" w:rsidRPr="007B563F" w14:paraId="4234440E"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D901E8" w14:textId="45376693" w:rsidR="007B563F" w:rsidRPr="00E90E25" w:rsidRDefault="007B563F" w:rsidP="00BE7B2A">
            <w:pPr>
              <w:bidi w:val="0"/>
              <w:spacing w:after="0" w:line="360" w:lineRule="auto"/>
              <w:rPr>
                <w:rFonts w:ascii=".AppleSystemUIFont" w:eastAsiaTheme="minorEastAsia" w:hAnsi=".AppleSystemUIFont" w:cs="Times New Roman" w:hint="eastAsia"/>
                <w:kern w:val="0"/>
                <w:sz w:val="28"/>
                <w:szCs w:val="28"/>
                <w:rtl/>
                <w:lang w:val="en-GB"/>
                <w14:ligatures w14:val="none"/>
              </w:rPr>
            </w:pPr>
            <w:r w:rsidRPr="007B563F">
              <w:rPr>
                <w:rFonts w:ascii="UICTFontTextStyleBody" w:eastAsiaTheme="minorEastAsia" w:hAnsi="UICTFontTextStyleBody" w:cs="Times New Roman"/>
                <w:kern w:val="0"/>
                <w:sz w:val="28"/>
                <w:szCs w:val="28"/>
                <w14:ligatures w14:val="none"/>
              </w:rPr>
              <w:t>1</w:t>
            </w:r>
            <w:r w:rsidR="00E90E25">
              <w:rPr>
                <w:rFonts w:ascii="UICTFontTextStyleBody" w:eastAsiaTheme="minorEastAsia" w:hAnsi="UICTFontTextStyleBody" w:cs="Times New Roman"/>
                <w:kern w:val="0"/>
                <w:sz w:val="28"/>
                <w:szCs w:val="28"/>
                <w:lang w:val="en-GB"/>
                <w14:ligatures w14:val="none"/>
              </w:rPr>
              <w:t>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2AD848"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B80212"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SFArabic-Regular" w:eastAsiaTheme="minorEastAsia" w:hAnsi=".SFArabic-Regular" w:cs="Times New Roman"/>
                <w:kern w:val="0"/>
                <w:sz w:val="28"/>
                <w:szCs w:val="28"/>
                <w:rtl/>
                <w14:ligatures w14:val="none"/>
              </w:rPr>
              <w:t>الفصل</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الأول</w:t>
            </w:r>
            <w:r w:rsidRPr="007B563F">
              <w:rPr>
                <w:rFonts w:ascii="UICTFontTextStyleBody" w:eastAsiaTheme="minorEastAsia" w:hAnsi="UICTFontTextStyleBody" w:cs="Times New Roman"/>
                <w:kern w:val="0"/>
                <w:sz w:val="28"/>
                <w:szCs w:val="28"/>
                <w:rtl/>
                <w14:ligatures w14:val="none"/>
              </w:rPr>
              <w:t xml:space="preserve"> – </w:t>
            </w:r>
            <w:r w:rsidRPr="007B563F">
              <w:rPr>
                <w:rFonts w:ascii=".SFArabic-Regular" w:eastAsiaTheme="minorEastAsia" w:hAnsi=".SFArabic-Regular" w:cs="Times New Roman"/>
                <w:kern w:val="0"/>
                <w:sz w:val="28"/>
                <w:szCs w:val="28"/>
                <w:rtl/>
                <w14:ligatures w14:val="none"/>
              </w:rPr>
              <w:t>الإطار</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العام</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للدراسة</w:t>
            </w:r>
          </w:p>
        </w:tc>
      </w:tr>
      <w:tr w:rsidR="007B563F" w:rsidRPr="007B563F" w14:paraId="7C78B686"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23ACEB" w14:textId="12DB0B3D" w:rsidR="007B563F" w:rsidRPr="007B563F" w:rsidRDefault="00E90E25"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10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AD996C"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E3AD36"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 xml:space="preserve">1-1 </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مقدمة</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الفصل</w:t>
            </w:r>
          </w:p>
        </w:tc>
      </w:tr>
      <w:tr w:rsidR="007B563F" w:rsidRPr="007B563F" w14:paraId="7666E310" w14:textId="77777777" w:rsidTr="007B563F">
        <w:trPr>
          <w:divId w:val="1761368777"/>
          <w:trHeight w:val="33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FF1E94" w14:textId="43D427B3" w:rsidR="007B563F" w:rsidRPr="007B563F" w:rsidRDefault="00E90E25"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12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44DCD1"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D841F4"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 xml:space="preserve">1-2 </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مشكلة</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الدراسة</w:t>
            </w:r>
          </w:p>
        </w:tc>
      </w:tr>
      <w:tr w:rsidR="007B563F" w:rsidRPr="007B563F" w14:paraId="5DFB09C8"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21CA35" w14:textId="4FCD1DCF" w:rsidR="007B563F" w:rsidRPr="007B563F" w:rsidRDefault="006878B9"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14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573495"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893675"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 xml:space="preserve">1-3 </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أهمية</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الدراسة</w:t>
            </w:r>
          </w:p>
        </w:tc>
      </w:tr>
      <w:tr w:rsidR="007B563F" w:rsidRPr="007B563F" w14:paraId="118D160B"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B33159" w14:textId="58E7FB41" w:rsidR="007B563F" w:rsidRPr="007B563F" w:rsidRDefault="00205095"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17</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78E831"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7076DF"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 xml:space="preserve">1-4 </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أهداف</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الدراسة</w:t>
            </w:r>
          </w:p>
        </w:tc>
      </w:tr>
      <w:tr w:rsidR="007B563F" w:rsidRPr="007B563F" w14:paraId="08639C94"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934CFB" w14:textId="23DFE148" w:rsidR="007B563F" w:rsidRPr="007B563F" w:rsidRDefault="00205095"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19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FD20BB"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DDA730"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 xml:space="preserve">1-5 </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تساؤلات</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الدراسة</w:t>
            </w:r>
          </w:p>
        </w:tc>
      </w:tr>
      <w:tr w:rsidR="007B563F" w:rsidRPr="007B563F" w14:paraId="4AF22019"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7A9FD2" w14:textId="42EC1E79" w:rsidR="007B563F" w:rsidRPr="007B563F" w:rsidRDefault="00074E09"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21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523520"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CCCD71"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 xml:space="preserve">1-6 </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فرضيات</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الدراسة</w:t>
            </w:r>
          </w:p>
        </w:tc>
      </w:tr>
      <w:tr w:rsidR="007B563F" w:rsidRPr="007B563F" w14:paraId="29C36A6C"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C633D3" w14:textId="54813A1F" w:rsidR="007B563F" w:rsidRPr="00582107" w:rsidRDefault="00582107" w:rsidP="00BE7B2A">
            <w:pPr>
              <w:bidi w:val="0"/>
              <w:spacing w:after="0" w:line="360" w:lineRule="auto"/>
              <w:rPr>
                <w:rFonts w:ascii=".AppleSystemUIFont" w:eastAsiaTheme="minorEastAsia" w:hAnsi=".AppleSystemUIFont" w:cs="Times New Roman" w:hint="eastAsia"/>
                <w:kern w:val="0"/>
                <w:sz w:val="28"/>
                <w:szCs w:val="28"/>
                <w:rtl/>
                <w:lang w:val="en-GB"/>
                <w14:ligatures w14:val="none"/>
              </w:rPr>
            </w:pPr>
            <w:r>
              <w:rPr>
                <w:rFonts w:ascii=".AppleSystemUIFont" w:eastAsiaTheme="minorEastAsia" w:hAnsi=".AppleSystemUIFont" w:cs="Times New Roman"/>
                <w:kern w:val="0"/>
                <w:sz w:val="28"/>
                <w:szCs w:val="28"/>
                <w:lang w:val="en-GB"/>
                <w14:ligatures w14:val="none"/>
              </w:rPr>
              <w:t>22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BF1033"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DD599B" w14:textId="18227EC3"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 xml:space="preserve">1-7 </w:t>
            </w:r>
            <w:r w:rsidR="00582107">
              <w:rPr>
                <w:rFonts w:ascii="UICTFontTextStyleBody" w:eastAsiaTheme="minorEastAsia" w:hAnsi="UICTFontTextStyleBody" w:cs="Times New Roman" w:hint="cs"/>
                <w:kern w:val="0"/>
                <w:sz w:val="28"/>
                <w:szCs w:val="28"/>
                <w:rtl/>
                <w14:ligatures w14:val="none"/>
              </w:rPr>
              <w:t xml:space="preserve"> الدراسات السابقة</w:t>
            </w:r>
          </w:p>
        </w:tc>
      </w:tr>
      <w:tr w:rsidR="007B563F" w:rsidRPr="007B563F" w14:paraId="1099BDFF"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D68647" w14:textId="0B53DC0F" w:rsidR="007B563F" w:rsidRPr="007B563F" w:rsidRDefault="002D4647"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26</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EA31D9"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874CC9" w14:textId="4A9B9E35" w:rsidR="002D4647" w:rsidRPr="002D4647" w:rsidRDefault="002D4647" w:rsidP="005D5555">
            <w:pPr>
              <w:spacing w:after="0" w:line="360" w:lineRule="auto"/>
              <w:rPr>
                <w:rFonts w:ascii=".SF Arabic" w:eastAsiaTheme="minorEastAsia" w:hAnsi=".SF Arabic"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 xml:space="preserve"> 8-1</w:t>
            </w:r>
            <w:r w:rsidR="00582107" w:rsidRPr="002D4647">
              <w:rPr>
                <w:rFonts w:ascii="UICTFontTextStyleBody" w:eastAsiaTheme="minorEastAsia" w:hAnsi="UICTFontTextStyleBody" w:cs="Times New Roman"/>
                <w:kern w:val="0"/>
                <w:sz w:val="28"/>
                <w:szCs w:val="28"/>
                <w:rtl/>
                <w14:ligatures w14:val="none"/>
              </w:rPr>
              <w:t>المنطلقات النظرية للدراسة</w:t>
            </w:r>
          </w:p>
        </w:tc>
      </w:tr>
      <w:tr w:rsidR="005D5555" w:rsidRPr="007B563F" w14:paraId="5BF728C0"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A7CDCD9" w14:textId="783FA4C4" w:rsidR="005D5555" w:rsidRDefault="00B70926" w:rsidP="00BE7B2A">
            <w:pPr>
              <w:bidi w:val="0"/>
              <w:spacing w:after="0" w:line="360" w:lineRule="auto"/>
              <w:rPr>
                <w:rFonts w:ascii="UICTFontTextStyleBody" w:eastAsiaTheme="minorEastAsia" w:hAnsi="UICTFontTextStyleBody"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28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3314CD9" w14:textId="77777777" w:rsidR="005D5555" w:rsidRPr="007B563F" w:rsidRDefault="005D5555"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55DD667" w14:textId="442E8901" w:rsidR="005D5555" w:rsidRPr="00B70926" w:rsidRDefault="00B70926" w:rsidP="00B70926">
            <w:pPr>
              <w:spacing w:after="0" w:line="360" w:lineRule="auto"/>
              <w:rPr>
                <w:rFonts w:ascii="UICTFontTextStyleBody" w:eastAsiaTheme="minorEastAsia" w:hAnsi="UICTFontTextStyleBody" w:cs="Times New Roman" w:hint="eastAsia"/>
                <w:kern w:val="0"/>
                <w:sz w:val="28"/>
                <w:szCs w:val="28"/>
                <w:lang w:val="en-GB"/>
                <w14:ligatures w14:val="none"/>
              </w:rPr>
            </w:pPr>
            <w:r w:rsidRPr="00B70926">
              <w:rPr>
                <w:rFonts w:ascii="UICTFontTextStyleBody" w:eastAsiaTheme="minorEastAsia" w:hAnsi="UICTFontTextStyleBody" w:cs="Times New Roman"/>
                <w:kern w:val="0"/>
                <w:sz w:val="28"/>
                <w:szCs w:val="28"/>
                <w:rtl/>
                <w14:ligatures w14:val="none"/>
              </w:rPr>
              <w:t>1-9 المنهجيّة وطرق البحث</w:t>
            </w:r>
          </w:p>
        </w:tc>
      </w:tr>
      <w:tr w:rsidR="00DE1A23" w:rsidRPr="007B563F" w14:paraId="3D47C28F"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93CFFAD" w14:textId="796B79FE" w:rsidR="00DE1A23" w:rsidRDefault="00AD740E" w:rsidP="00BE7B2A">
            <w:pPr>
              <w:bidi w:val="0"/>
              <w:spacing w:after="0" w:line="360" w:lineRule="auto"/>
              <w:rPr>
                <w:rFonts w:ascii="UICTFontTextStyleBody" w:eastAsiaTheme="minorEastAsia" w:hAnsi="UICTFontTextStyleBody"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31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429627F" w14:textId="77777777" w:rsidR="00DE1A23" w:rsidRPr="007B563F" w:rsidRDefault="00DE1A23"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2B46306" w14:textId="3B78351D" w:rsidR="00DE1A23" w:rsidRPr="00AD740E" w:rsidRDefault="00AD740E" w:rsidP="00AD740E">
            <w:pPr>
              <w:spacing w:after="0" w:line="360" w:lineRule="auto"/>
              <w:rPr>
                <w:rFonts w:ascii="UICTFontTextStyleBody" w:eastAsiaTheme="minorEastAsia" w:hAnsi="UICTFontTextStyleBody" w:cs="Times New Roman" w:hint="eastAsia"/>
                <w:kern w:val="0"/>
                <w:sz w:val="28"/>
                <w:szCs w:val="28"/>
                <w:lang w:val="en-GB"/>
                <w14:ligatures w14:val="none"/>
              </w:rPr>
            </w:pPr>
            <w:r w:rsidRPr="00AD740E">
              <w:rPr>
                <w:rFonts w:ascii="UICTFontTextStyleBody" w:eastAsiaTheme="minorEastAsia" w:hAnsi="UICTFontTextStyleBody" w:cs="Times New Roman"/>
                <w:kern w:val="0"/>
                <w:sz w:val="28"/>
                <w:szCs w:val="28"/>
                <w:rtl/>
                <w14:ligatures w14:val="none"/>
              </w:rPr>
              <w:t>1-10</w:t>
            </w:r>
            <w:r w:rsidRPr="00AD740E">
              <w:rPr>
                <w:rFonts w:ascii="UICTFontTextStyleBody" w:eastAsiaTheme="minorEastAsia" w:hAnsi="UICTFontTextStyleBody" w:cs="Times New Roman" w:hint="cs"/>
                <w:kern w:val="0"/>
                <w:sz w:val="28"/>
                <w:szCs w:val="28"/>
                <w:rtl/>
                <w14:ligatures w14:val="none"/>
              </w:rPr>
              <w:t xml:space="preserve"> مصادر  البيانات</w:t>
            </w:r>
          </w:p>
        </w:tc>
      </w:tr>
      <w:tr w:rsidR="00AD740E" w:rsidRPr="007B563F" w14:paraId="0FB3E795"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6CB9EAD" w14:textId="4682565B" w:rsidR="00AD740E" w:rsidRDefault="004B07A5" w:rsidP="00BE7B2A">
            <w:pPr>
              <w:bidi w:val="0"/>
              <w:spacing w:after="0" w:line="360" w:lineRule="auto"/>
              <w:rPr>
                <w:rFonts w:ascii="UICTFontTextStyleBody" w:eastAsiaTheme="minorEastAsia" w:hAnsi="UICTFontTextStyleBody"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34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C9336BB" w14:textId="77777777" w:rsidR="00AD740E" w:rsidRPr="007B563F" w:rsidRDefault="00AD740E"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76A76AAA" w14:textId="746F7A80" w:rsidR="00AD740E" w:rsidRPr="00AD740E" w:rsidRDefault="00AD740E" w:rsidP="00AD740E">
            <w:pPr>
              <w:spacing w:after="0" w:line="360" w:lineRule="auto"/>
              <w:rPr>
                <w:rFonts w:ascii="UICTFontTextStyleBody" w:eastAsiaTheme="minorEastAsia" w:hAnsi="UICTFontTextStyleBody" w:cs="Times New Roman" w:hint="eastAsia"/>
                <w:kern w:val="0"/>
                <w:sz w:val="28"/>
                <w:szCs w:val="28"/>
                <w:lang w:val="en-GB"/>
                <w14:ligatures w14:val="none"/>
              </w:rPr>
            </w:pPr>
            <w:r w:rsidRPr="00AD740E">
              <w:rPr>
                <w:rFonts w:ascii="UICTFontTextStyleBody" w:eastAsiaTheme="minorEastAsia" w:hAnsi="UICTFontTextStyleBody" w:cs="Times New Roman"/>
                <w:kern w:val="0"/>
                <w:sz w:val="28"/>
                <w:szCs w:val="28"/>
                <w:rtl/>
                <w14:ligatures w14:val="none"/>
              </w:rPr>
              <w:t>11-1</w:t>
            </w:r>
            <w:r w:rsidRPr="00AD740E">
              <w:rPr>
                <w:rFonts w:ascii="UICTFontTextStyleBody" w:eastAsiaTheme="minorEastAsia" w:hAnsi="UICTFontTextStyleBody" w:cs="Times New Roman" w:hint="cs"/>
                <w:kern w:val="0"/>
                <w:sz w:val="28"/>
                <w:szCs w:val="28"/>
                <w:rtl/>
                <w14:ligatures w14:val="none"/>
              </w:rPr>
              <w:t xml:space="preserve"> </w:t>
            </w:r>
            <w:r w:rsidRPr="00AD740E">
              <w:rPr>
                <w:rFonts w:ascii="UICTFontTextStyleBody" w:eastAsiaTheme="minorEastAsia" w:hAnsi="UICTFontTextStyleBody" w:cs="Times New Roman"/>
                <w:kern w:val="0"/>
                <w:sz w:val="28"/>
                <w:szCs w:val="28"/>
                <w:rtl/>
                <w14:ligatures w14:val="none"/>
              </w:rPr>
              <w:t xml:space="preserve"> أدوات الدراسة</w:t>
            </w:r>
          </w:p>
        </w:tc>
      </w:tr>
      <w:tr w:rsidR="00322732" w:rsidRPr="007B563F" w14:paraId="71CBDBEC"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181B1885" w14:textId="5EF78FC6" w:rsidR="00322732" w:rsidRPr="00A92AD9" w:rsidRDefault="00A92AD9" w:rsidP="00A92AD9">
            <w:pPr>
              <w:bidi w:val="0"/>
              <w:spacing w:after="0" w:line="360" w:lineRule="auto"/>
              <w:rPr>
                <w:rFonts w:ascii="UICTFontTextStyleBody" w:eastAsiaTheme="minorEastAsia" w:hAnsi="UICTFontTextStyleBody" w:cs="Times New Roman" w:hint="eastAsia"/>
                <w:kern w:val="0"/>
                <w:sz w:val="28"/>
                <w:szCs w:val="28"/>
                <w:lang w:val="en-GB"/>
                <w14:ligatures w14:val="none"/>
              </w:rPr>
            </w:pPr>
            <w:r>
              <w:rPr>
                <w:rFonts w:ascii="UICTFontTextStyleBody" w:eastAsiaTheme="minorEastAsia" w:hAnsi="UICTFontTextStyleBody" w:cs="Times New Roman"/>
                <w:kern w:val="0"/>
                <w:sz w:val="28"/>
                <w:szCs w:val="28"/>
                <w:lang w:val="en-GB"/>
                <w14:ligatures w14:val="none"/>
              </w:rPr>
              <w:t>36</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28867BA" w14:textId="77777777" w:rsidR="00322732" w:rsidRPr="007B563F" w:rsidRDefault="00322732"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6003A5D" w14:textId="7DF1B8FD" w:rsidR="00322732" w:rsidRPr="00AD740E" w:rsidRDefault="00322732" w:rsidP="00AD740E">
            <w:pPr>
              <w:spacing w:after="0" w:line="360" w:lineRule="auto"/>
              <w:rPr>
                <w:rFonts w:ascii="UICTFontTextStyleBody" w:eastAsiaTheme="minorEastAsia" w:hAnsi="UICTFontTextStyleBody" w:cs="Times New Roman" w:hint="eastAsia"/>
                <w:kern w:val="0"/>
                <w:sz w:val="28"/>
                <w:szCs w:val="28"/>
                <w:rtl/>
                <w14:ligatures w14:val="none"/>
              </w:rPr>
            </w:pPr>
            <w:r w:rsidRPr="00322732">
              <w:rPr>
                <w:rFonts w:ascii="UICTFontTextStyleBody" w:eastAsiaTheme="minorEastAsia" w:hAnsi="UICTFontTextStyleBody" w:cs="Times New Roman"/>
                <w:kern w:val="0"/>
                <w:sz w:val="28"/>
                <w:szCs w:val="28"/>
                <w:rtl/>
                <w14:ligatures w14:val="none"/>
              </w:rPr>
              <w:t>12-1</w:t>
            </w:r>
            <w:r w:rsidRPr="00322732">
              <w:rPr>
                <w:rFonts w:ascii="UICTFontTextStyleBody" w:eastAsiaTheme="minorEastAsia" w:hAnsi="UICTFontTextStyleBody" w:cs="Times New Roman" w:hint="cs"/>
                <w:kern w:val="0"/>
                <w:sz w:val="28"/>
                <w:szCs w:val="28"/>
                <w:rtl/>
                <w14:ligatures w14:val="none"/>
              </w:rPr>
              <w:t>حدود</w:t>
            </w:r>
            <w:r w:rsidRPr="00322732">
              <w:rPr>
                <w:rFonts w:ascii="UICTFontTextStyleBody" w:eastAsiaTheme="minorEastAsia" w:hAnsi="UICTFontTextStyleBody" w:cs="Times New Roman"/>
                <w:kern w:val="0"/>
                <w:sz w:val="28"/>
                <w:szCs w:val="28"/>
                <w:rtl/>
                <w14:ligatures w14:val="none"/>
              </w:rPr>
              <w:t xml:space="preserve"> الدراسة</w:t>
            </w:r>
          </w:p>
        </w:tc>
      </w:tr>
      <w:tr w:rsidR="007B563F" w:rsidRPr="007B563F" w14:paraId="590937E2"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1AA697" w14:textId="5FD3DE24" w:rsidR="007B563F" w:rsidRPr="007B563F" w:rsidRDefault="00215658"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38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75EF96"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750337" w14:textId="323B15F5"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SFArabic-Regular" w:eastAsiaTheme="minorEastAsia" w:hAnsi=".SFArabic-Regular" w:cs="Times New Roman"/>
                <w:kern w:val="0"/>
                <w:sz w:val="28"/>
                <w:szCs w:val="28"/>
                <w:rtl/>
                <w14:ligatures w14:val="none"/>
              </w:rPr>
              <w:t>الفصل</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الثاني</w:t>
            </w:r>
            <w:r w:rsidRPr="007B563F">
              <w:rPr>
                <w:rFonts w:ascii="UICTFontTextStyleBody" w:eastAsiaTheme="minorEastAsia" w:hAnsi="UICTFontTextStyleBody" w:cs="Times New Roman"/>
                <w:kern w:val="0"/>
                <w:sz w:val="28"/>
                <w:szCs w:val="28"/>
                <w:rtl/>
                <w14:ligatures w14:val="none"/>
              </w:rPr>
              <w:t xml:space="preserve"> – </w:t>
            </w:r>
            <w:r w:rsidRPr="007B563F">
              <w:rPr>
                <w:rFonts w:ascii=".SFArabic-Regular" w:eastAsiaTheme="minorEastAsia" w:hAnsi=".SFArabic-Regular" w:cs="Times New Roman"/>
                <w:kern w:val="0"/>
                <w:sz w:val="28"/>
                <w:szCs w:val="28"/>
                <w:rtl/>
                <w14:ligatures w14:val="none"/>
              </w:rPr>
              <w:t>الإطار</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النظري</w:t>
            </w:r>
            <w:r w:rsidRPr="007B563F">
              <w:rPr>
                <w:rFonts w:ascii="UICTFontTextStyleBody" w:eastAsiaTheme="minorEastAsia" w:hAnsi="UICTFontTextStyleBody" w:cs="Times New Roman"/>
                <w:kern w:val="0"/>
                <w:sz w:val="28"/>
                <w:szCs w:val="28"/>
                <w:rtl/>
                <w14:ligatures w14:val="none"/>
              </w:rPr>
              <w:t xml:space="preserve"> </w:t>
            </w:r>
          </w:p>
        </w:tc>
      </w:tr>
      <w:tr w:rsidR="00215658" w:rsidRPr="007B563F" w14:paraId="65A39F9C"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A53B0C4" w14:textId="1D9DCB7B" w:rsidR="00215658" w:rsidRDefault="00EA69FC" w:rsidP="00BE7B2A">
            <w:pPr>
              <w:bidi w:val="0"/>
              <w:spacing w:after="0" w:line="360" w:lineRule="auto"/>
              <w:rPr>
                <w:rFonts w:ascii="UICTFontTextStyleBody" w:eastAsiaTheme="minorEastAsia" w:hAnsi="UICTFontTextStyleBody"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38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47B10DD8" w14:textId="77777777" w:rsidR="00215658" w:rsidRPr="007B563F" w:rsidRDefault="00215658"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6E6CF944" w14:textId="0D063BC6" w:rsidR="00215658" w:rsidRPr="00EA69FC" w:rsidRDefault="00215658" w:rsidP="00EA69FC">
            <w:pPr>
              <w:spacing w:before="100" w:beforeAutospacing="1" w:after="100" w:afterAutospacing="1" w:line="360" w:lineRule="auto"/>
              <w:outlineLvl w:val="2"/>
              <w:rPr>
                <w:rFonts w:eastAsiaTheme="minorEastAsia" w:cs="Times New Roman"/>
                <w:kern w:val="0"/>
                <w:sz w:val="28"/>
                <w:szCs w:val="28"/>
                <w:lang w:val="en-GB"/>
                <w14:ligatures w14:val="none"/>
              </w:rPr>
            </w:pPr>
            <w:r w:rsidRPr="00215658">
              <w:rPr>
                <w:rFonts w:ascii=".SFArabic-Regular" w:eastAsiaTheme="minorEastAsia" w:hAnsi=".SFArabic-Regular" w:cs="Times New Roman"/>
                <w:kern w:val="0"/>
                <w:sz w:val="28"/>
                <w:szCs w:val="28"/>
                <w:rtl/>
                <w14:ligatures w14:val="none"/>
              </w:rPr>
              <w:t>المبحث الأوّل: البنوك الرقميّة</w:t>
            </w:r>
          </w:p>
        </w:tc>
      </w:tr>
      <w:tr w:rsidR="007B563F" w:rsidRPr="007B563F" w14:paraId="17EFD1CB"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B1D050" w14:textId="10BC99E6" w:rsidR="007B563F" w:rsidRPr="007B563F" w:rsidRDefault="00EA69FC"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38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916687"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171E3D" w14:textId="77777777"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2-1</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مقدمة</w:t>
            </w:r>
          </w:p>
        </w:tc>
      </w:tr>
      <w:tr w:rsidR="007B563F" w:rsidRPr="007B563F" w14:paraId="653D0408"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502519" w14:textId="0BEC7C43" w:rsidR="007B563F" w:rsidRPr="007B563F" w:rsidRDefault="00EA69FC"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38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AC0D72"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8C8E55" w14:textId="592DA4E8"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r w:rsidRPr="007B563F">
              <w:rPr>
                <w:rFonts w:ascii="UICTFontTextStyleBody" w:eastAsiaTheme="minorEastAsia" w:hAnsi="UICTFontTextStyleBody" w:cs="Times New Roman"/>
                <w:kern w:val="0"/>
                <w:sz w:val="28"/>
                <w:szCs w:val="28"/>
                <w:rtl/>
                <w14:ligatures w14:val="none"/>
              </w:rPr>
              <w:t>2-2</w:t>
            </w:r>
            <w:r w:rsidRPr="007B563F">
              <w:rPr>
                <w:rFonts w:ascii="UICTFontTextStyleBody" w:eastAsiaTheme="minorEastAsia" w:hAnsi="UICTFontTextStyleBody" w:cs="Times New Roman"/>
                <w:kern w:val="0"/>
                <w:sz w:val="28"/>
                <w:szCs w:val="28"/>
                <w:rtl/>
                <w14:ligatures w14:val="none"/>
              </w:rPr>
              <w:t> </w:t>
            </w:r>
            <w:r w:rsidRPr="007B563F">
              <w:rPr>
                <w:rFonts w:ascii=".SFArabic-Regular" w:eastAsiaTheme="minorEastAsia" w:hAnsi=".SFArabic-Regular" w:cs="Times New Roman"/>
                <w:kern w:val="0"/>
                <w:sz w:val="28"/>
                <w:szCs w:val="28"/>
                <w:rtl/>
                <w14:ligatures w14:val="none"/>
              </w:rPr>
              <w:t>البنوك</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الرقميّة</w:t>
            </w:r>
            <w:r w:rsidRPr="007B563F">
              <w:rPr>
                <w:rFonts w:ascii="UICTFontTextStyleBody" w:eastAsiaTheme="minorEastAsia" w:hAnsi="UICTFontTextStyleBody" w:cs="Times New Roman"/>
                <w:kern w:val="0"/>
                <w:sz w:val="28"/>
                <w:szCs w:val="28"/>
                <w:rtl/>
                <w14:ligatures w14:val="none"/>
              </w:rPr>
              <w:t xml:space="preserve">: </w:t>
            </w:r>
            <w:r w:rsidRPr="007B563F">
              <w:rPr>
                <w:rFonts w:ascii=".SFArabic-Regular" w:eastAsiaTheme="minorEastAsia" w:hAnsi=".SFArabic-Regular" w:cs="Times New Roman"/>
                <w:kern w:val="0"/>
                <w:sz w:val="28"/>
                <w:szCs w:val="28"/>
                <w:rtl/>
                <w14:ligatures w14:val="none"/>
              </w:rPr>
              <w:t>المفهوم</w:t>
            </w:r>
            <w:r w:rsidRPr="007B563F">
              <w:rPr>
                <w:rFonts w:ascii="UICTFontTextStyleBody" w:eastAsiaTheme="minorEastAsia" w:hAnsi="UICTFontTextStyleBody" w:cs="Times New Roman"/>
                <w:kern w:val="0"/>
                <w:sz w:val="28"/>
                <w:szCs w:val="28"/>
                <w:rtl/>
                <w14:ligatures w14:val="none"/>
              </w:rPr>
              <w:t xml:space="preserve"> </w:t>
            </w:r>
          </w:p>
        </w:tc>
      </w:tr>
      <w:tr w:rsidR="007B563F" w:rsidRPr="007B563F" w14:paraId="468EE3DB" w14:textId="77777777" w:rsidTr="007B563F">
        <w:trPr>
          <w:divId w:val="1761368777"/>
          <w:trHeight w:val="33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D086BD" w14:textId="4A940FD8" w:rsidR="007B563F" w:rsidRPr="007B563F" w:rsidRDefault="009A010E"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39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CDFDB8"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8B3577" w14:textId="5C9AFA67" w:rsidR="007B563F" w:rsidRPr="000B0449" w:rsidRDefault="000B0449" w:rsidP="000B0449">
            <w:pPr>
              <w:spacing w:before="100" w:beforeAutospacing="1" w:after="100" w:afterAutospacing="1" w:line="360" w:lineRule="auto"/>
              <w:outlineLvl w:val="2"/>
              <w:rPr>
                <w:rFonts w:ascii="UICTFontTextStyleBody" w:eastAsiaTheme="minorEastAsia" w:hAnsi="UICTFontTextStyleBody" w:cs="Times New Roman" w:hint="eastAsia"/>
                <w:kern w:val="0"/>
                <w:sz w:val="28"/>
                <w:szCs w:val="28"/>
                <w:lang w:val="en-GB"/>
                <w14:ligatures w14:val="none"/>
              </w:rPr>
            </w:pPr>
            <w:r w:rsidRPr="000B0449">
              <w:rPr>
                <w:rFonts w:ascii="UICTFontTextStyleBody" w:eastAsiaTheme="minorEastAsia" w:hAnsi="UICTFontTextStyleBody" w:cs="Times New Roman"/>
                <w:kern w:val="0"/>
                <w:sz w:val="28"/>
                <w:szCs w:val="28"/>
                <w:rtl/>
                <w14:ligatures w14:val="none"/>
              </w:rPr>
              <w:t>2-1-3 أهمية البنوك الرقمية</w:t>
            </w:r>
          </w:p>
        </w:tc>
      </w:tr>
      <w:tr w:rsidR="007B563F" w:rsidRPr="007B563F" w14:paraId="40746A3F"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C8294A" w14:textId="3F4322E0" w:rsidR="007B563F" w:rsidRPr="007B563F" w:rsidRDefault="009F3D3C"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41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E4E8D5"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C4EAE6" w14:textId="21FC49A3" w:rsidR="009A010E" w:rsidRPr="009A010E" w:rsidRDefault="009A010E" w:rsidP="009A010E">
            <w:pPr>
              <w:spacing w:before="100" w:beforeAutospacing="1" w:after="100" w:afterAutospacing="1" w:line="360" w:lineRule="auto"/>
              <w:outlineLvl w:val="2"/>
              <w:rPr>
                <w:rFonts w:ascii="UICTFontTextStyleBody" w:eastAsiaTheme="minorEastAsia" w:hAnsi="UICTFontTextStyleBody" w:cs="Times New Roman" w:hint="eastAsia"/>
                <w:kern w:val="0"/>
                <w:sz w:val="28"/>
                <w:szCs w:val="28"/>
                <w:lang w:val="en-GB"/>
                <w14:ligatures w14:val="none"/>
              </w:rPr>
            </w:pPr>
            <w:r w:rsidRPr="009A010E">
              <w:rPr>
                <w:rFonts w:ascii="UICTFontTextStyleBody" w:eastAsiaTheme="minorEastAsia" w:hAnsi="UICTFontTextStyleBody" w:cs="Times New Roman"/>
                <w:kern w:val="0"/>
                <w:sz w:val="28"/>
                <w:szCs w:val="28"/>
                <w:rtl/>
                <w14:ligatures w14:val="none"/>
              </w:rPr>
              <w:t>2-1-4 خصائص البنوك الرقميّة</w:t>
            </w:r>
          </w:p>
        </w:tc>
      </w:tr>
      <w:tr w:rsidR="007B563F" w:rsidRPr="007B563F" w14:paraId="099A9EB4"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1CD3EB" w14:textId="22F887CE" w:rsidR="007B563F" w:rsidRPr="007B563F" w:rsidRDefault="00BA1301"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lastRenderedPageBreak/>
              <w:t>43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FAC0D3"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C4526A" w14:textId="1CC4A1E1" w:rsidR="007B563F" w:rsidRPr="009F3D3C" w:rsidRDefault="009F3D3C" w:rsidP="009F3D3C">
            <w:pPr>
              <w:bidi w:val="0"/>
              <w:spacing w:after="0" w:line="360" w:lineRule="auto"/>
              <w:ind w:left="225"/>
              <w:jc w:val="right"/>
              <w:rPr>
                <w:rFonts w:ascii="UICTFontTextStyleBody" w:eastAsiaTheme="minorEastAsia" w:hAnsi="UICTFontTextStyleBody" w:cs="Times New Roman" w:hint="eastAsia"/>
                <w:kern w:val="0"/>
                <w:sz w:val="28"/>
                <w:szCs w:val="28"/>
                <w14:ligatures w14:val="none"/>
              </w:rPr>
            </w:pPr>
            <w:r w:rsidRPr="009F3D3C">
              <w:rPr>
                <w:rFonts w:ascii="UICTFontTextStyleBody" w:eastAsiaTheme="minorEastAsia" w:hAnsi="UICTFontTextStyleBody" w:cs="Times New Roman"/>
                <w:kern w:val="0"/>
                <w:sz w:val="28"/>
                <w:szCs w:val="28"/>
                <w:rtl/>
                <w14:ligatures w14:val="none"/>
              </w:rPr>
              <w:t>2-1-5 مكوّنات البنوك الرقميّة</w:t>
            </w:r>
          </w:p>
        </w:tc>
      </w:tr>
      <w:tr w:rsidR="007B563F" w:rsidRPr="007B563F" w14:paraId="5D5B375B"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C70BFA" w14:textId="31FC033C" w:rsidR="007B563F" w:rsidRPr="007B563F" w:rsidRDefault="00BA1301"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45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232C37"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64353D" w14:textId="70587324" w:rsidR="007B563F" w:rsidRPr="00BA1301" w:rsidRDefault="00BA1301" w:rsidP="00BA1301">
            <w:pPr>
              <w:spacing w:before="100" w:beforeAutospacing="1" w:after="100" w:afterAutospacing="1" w:line="360" w:lineRule="auto"/>
              <w:outlineLvl w:val="2"/>
              <w:rPr>
                <w:rFonts w:ascii="UICTFontTextStyleBody" w:eastAsiaTheme="minorEastAsia" w:hAnsi="UICTFontTextStyleBody" w:cs="Times New Roman" w:hint="eastAsia"/>
                <w:kern w:val="0"/>
                <w:sz w:val="28"/>
                <w:szCs w:val="28"/>
                <w:lang w:val="en-GB"/>
                <w14:ligatures w14:val="none"/>
              </w:rPr>
            </w:pPr>
            <w:r w:rsidRPr="00BA1301">
              <w:rPr>
                <w:rFonts w:ascii="UICTFontTextStyleBody" w:eastAsiaTheme="minorEastAsia" w:hAnsi="UICTFontTextStyleBody" w:cs="Times New Roman"/>
                <w:kern w:val="0"/>
                <w:sz w:val="28"/>
                <w:szCs w:val="28"/>
                <w:rtl/>
                <w14:ligatures w14:val="none"/>
              </w:rPr>
              <w:t>2-1-6 عناصر البنك الرقمي</w:t>
            </w:r>
          </w:p>
        </w:tc>
      </w:tr>
      <w:tr w:rsidR="007B563F" w:rsidRPr="007B563F" w14:paraId="4A15EE0F"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6781DE" w14:textId="1F9CB9E8" w:rsidR="007B563F" w:rsidRPr="007B563F" w:rsidRDefault="0077580A"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46</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EDD308"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C581EC" w14:textId="272CCD29" w:rsidR="007B563F" w:rsidRPr="0077580A" w:rsidRDefault="00203AC6" w:rsidP="0077580A">
            <w:pPr>
              <w:spacing w:line="360" w:lineRule="auto"/>
              <w:rPr>
                <w:rFonts w:ascii="UICTFontTextStyleBody" w:eastAsiaTheme="minorEastAsia" w:hAnsi="UICTFontTextStyleBody" w:cs="Times New Roman" w:hint="eastAsia"/>
                <w:kern w:val="0"/>
                <w:sz w:val="28"/>
                <w:szCs w:val="28"/>
                <w:lang w:val="en-GB"/>
                <w14:ligatures w14:val="none"/>
              </w:rPr>
            </w:pPr>
            <w:r w:rsidRPr="00203AC6">
              <w:rPr>
                <w:rFonts w:ascii="UICTFontTextStyleBody" w:eastAsiaTheme="minorEastAsia" w:hAnsi="UICTFontTextStyleBody" w:cs="Times New Roman"/>
                <w:kern w:val="0"/>
                <w:sz w:val="28"/>
                <w:szCs w:val="28"/>
                <w:rtl/>
                <w14:ligatures w14:val="none"/>
              </w:rPr>
              <w:t>2-1-7 المنظومة الرقميّة للبنوك في المملكة</w:t>
            </w:r>
          </w:p>
        </w:tc>
      </w:tr>
      <w:tr w:rsidR="007B563F" w:rsidRPr="007B563F" w14:paraId="5391D40B"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5A9F8C" w14:textId="0322A408" w:rsidR="007B563F" w:rsidRPr="007B563F" w:rsidRDefault="006214E0"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47</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A79F7E"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02153D" w14:textId="77777777" w:rsidR="0077580A" w:rsidRPr="0077580A" w:rsidRDefault="0077580A" w:rsidP="0077580A">
            <w:pPr>
              <w:spacing w:before="100" w:beforeAutospacing="1" w:after="100" w:afterAutospacing="1" w:line="360" w:lineRule="auto"/>
              <w:rPr>
                <w:rFonts w:ascii="UICTFontTextStyleBody" w:eastAsiaTheme="minorEastAsia" w:hAnsi="UICTFontTextStyleBody" w:cs="Times New Roman" w:hint="eastAsia"/>
                <w:kern w:val="0"/>
                <w:sz w:val="28"/>
                <w:szCs w:val="28"/>
                <w:rtl/>
                <w14:ligatures w14:val="none"/>
              </w:rPr>
            </w:pPr>
            <w:r w:rsidRPr="0077580A">
              <w:rPr>
                <w:rFonts w:ascii="UICTFontTextStyleBody" w:eastAsiaTheme="minorEastAsia" w:hAnsi="UICTFontTextStyleBody" w:cs="Times New Roman"/>
                <w:kern w:val="0"/>
                <w:sz w:val="28"/>
                <w:szCs w:val="28"/>
                <w:rtl/>
                <w14:ligatures w14:val="none"/>
              </w:rPr>
              <w:t>2-1-8 طرق قياس متغيّرات الدراسة (البنوك الرقميّة والشركاء التنظيميّون)</w:t>
            </w:r>
          </w:p>
          <w:p w14:paraId="429E7240" w14:textId="6995704C" w:rsidR="007B563F" w:rsidRPr="007B563F" w:rsidRDefault="007B563F" w:rsidP="00BE7B2A">
            <w:pPr>
              <w:spacing w:after="0" w:line="360" w:lineRule="auto"/>
              <w:rPr>
                <w:rFonts w:ascii=".SF Arabic" w:eastAsiaTheme="minorEastAsia" w:hAnsi=".SF Arabic" w:cs="Times New Roman" w:hint="eastAsia"/>
                <w:kern w:val="0"/>
                <w:sz w:val="28"/>
                <w:szCs w:val="28"/>
                <w14:ligatures w14:val="none"/>
              </w:rPr>
            </w:pPr>
          </w:p>
        </w:tc>
      </w:tr>
      <w:tr w:rsidR="007B563F" w:rsidRPr="007B563F" w14:paraId="30DF58CA"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809F30" w14:textId="657F3139" w:rsidR="007B563F" w:rsidRPr="007B563F" w:rsidRDefault="00C225A1"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50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67AB37"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2007FD" w14:textId="5C715622" w:rsidR="007B563F" w:rsidRPr="00A04B27" w:rsidRDefault="00A04B27" w:rsidP="00A04B27">
            <w:pPr>
              <w:spacing w:before="100" w:beforeAutospacing="1" w:after="100" w:afterAutospacing="1" w:line="360" w:lineRule="auto"/>
              <w:rPr>
                <w:rFonts w:ascii="UICTFontTextStyleBody" w:eastAsiaTheme="minorEastAsia" w:hAnsi="UICTFontTextStyleBody" w:cs="Times New Roman" w:hint="eastAsia"/>
                <w:kern w:val="0"/>
                <w:sz w:val="28"/>
                <w:szCs w:val="28"/>
                <w:lang w:val="en-GB"/>
                <w14:ligatures w14:val="none"/>
              </w:rPr>
            </w:pPr>
            <w:r w:rsidRPr="00A04B27">
              <w:rPr>
                <w:rFonts w:ascii="UICTFontTextStyleBody" w:eastAsiaTheme="minorEastAsia" w:hAnsi="UICTFontTextStyleBody" w:cs="Times New Roman"/>
                <w:kern w:val="0"/>
                <w:sz w:val="28"/>
                <w:szCs w:val="28"/>
                <w:rtl/>
                <w14:ligatures w14:val="none"/>
              </w:rPr>
              <w:t>2-1-10 التحديات الرئيسة التي تواجه البنوك الرقميّة</w:t>
            </w:r>
          </w:p>
        </w:tc>
      </w:tr>
      <w:tr w:rsidR="007B563F" w:rsidRPr="007B563F" w14:paraId="0F8394E6"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5E1C19" w14:textId="0F44F9C4" w:rsidR="007B563F" w:rsidRPr="007B563F" w:rsidRDefault="00AA595C"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52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688EF9"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41C085" w14:textId="5841AC00" w:rsidR="007B563F" w:rsidRPr="00C225A1" w:rsidRDefault="00C225A1" w:rsidP="00AA595C">
            <w:pPr>
              <w:spacing w:before="100" w:beforeAutospacing="1" w:after="100" w:afterAutospacing="1" w:line="360" w:lineRule="auto"/>
              <w:outlineLvl w:val="2"/>
              <w:rPr>
                <w:rFonts w:ascii="UICTFontTextStyleBody" w:eastAsiaTheme="minorEastAsia" w:hAnsi="UICTFontTextStyleBody" w:cs="Times New Roman" w:hint="eastAsia"/>
                <w:kern w:val="0"/>
                <w:sz w:val="28"/>
                <w:szCs w:val="28"/>
                <w:lang w:val="en-GB"/>
                <w14:ligatures w14:val="none"/>
              </w:rPr>
            </w:pPr>
            <w:r w:rsidRPr="00C225A1">
              <w:rPr>
                <w:rFonts w:ascii="UICTFontTextStyleBody" w:eastAsiaTheme="minorEastAsia" w:hAnsi="UICTFontTextStyleBody" w:cs="Times New Roman"/>
                <w:kern w:val="0"/>
                <w:sz w:val="28"/>
                <w:szCs w:val="28"/>
                <w:rtl/>
                <w14:ligatures w14:val="none"/>
              </w:rPr>
              <w:t>المبحث الثاني: الشركاء التنظيميّون والبنية الرقابية في المملكة العربيّة السعوديّة</w:t>
            </w:r>
          </w:p>
        </w:tc>
      </w:tr>
      <w:tr w:rsidR="004E63E3" w:rsidRPr="007B563F" w14:paraId="764D9415"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F3E238" w14:textId="2DE5F5BC" w:rsidR="004E63E3" w:rsidRPr="007B563F" w:rsidRDefault="009928E4"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AppleSystemUIFont" w:eastAsiaTheme="minorEastAsia" w:hAnsi=".AppleSystemUIFont" w:cs="Times New Roman"/>
                <w:kern w:val="0"/>
                <w:sz w:val="28"/>
                <w:szCs w:val="28"/>
                <w14:ligatures w14:val="none"/>
              </w:rPr>
              <w:t>52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3A4DB2" w14:textId="77777777" w:rsidR="004E63E3" w:rsidRPr="007B563F" w:rsidRDefault="004E63E3"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C366DA" w14:textId="42D36EE2" w:rsidR="004E63E3" w:rsidRPr="00CF433A" w:rsidRDefault="00682C2A" w:rsidP="00682C2A">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CF433A">
              <w:rPr>
                <w:rFonts w:ascii="Times New Roman" w:eastAsia="Times New Roman" w:hAnsi="Times New Roman" w:cs="Times New Roman"/>
                <w:kern w:val="0"/>
                <w:sz w:val="28"/>
                <w:szCs w:val="28"/>
                <w:rtl/>
                <w14:ligatures w14:val="none"/>
              </w:rPr>
              <w:t>2-2-1 تمهيد نظري موسّع</w:t>
            </w:r>
          </w:p>
        </w:tc>
      </w:tr>
      <w:tr w:rsidR="007B563F" w:rsidRPr="007B563F" w14:paraId="063DBF37"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36D022" w14:textId="715C3AF6" w:rsidR="007B563F" w:rsidRPr="007B563F" w:rsidRDefault="009928E4"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52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DB6E68"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27859E" w14:textId="669DA035" w:rsidR="007B563F" w:rsidRPr="00CF433A" w:rsidRDefault="00CF433A" w:rsidP="00CF433A">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CF433A">
              <w:rPr>
                <w:rFonts w:ascii="Times New Roman" w:eastAsia="Times New Roman" w:hAnsi="Times New Roman" w:cs="Times New Roman"/>
                <w:kern w:val="0"/>
                <w:sz w:val="28"/>
                <w:szCs w:val="28"/>
                <w:rtl/>
                <w14:ligatures w14:val="none"/>
              </w:rPr>
              <w:t>2-2-2 تعريف «الشريك التنظيمي» وأهميته في الصناعة الرقميّة</w:t>
            </w:r>
          </w:p>
        </w:tc>
      </w:tr>
      <w:tr w:rsidR="007B563F" w:rsidRPr="007B563F" w14:paraId="53196641"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DD5908" w14:textId="6A2CA2A7" w:rsidR="007B563F" w:rsidRPr="007B563F" w:rsidRDefault="009928E4"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53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AD364A"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087912" w14:textId="14E94192" w:rsidR="007B563F" w:rsidRPr="00A62680" w:rsidRDefault="00F46E04" w:rsidP="00F46E04">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A62680">
              <w:rPr>
                <w:rFonts w:ascii="Times New Roman" w:eastAsia="Times New Roman" w:hAnsi="Times New Roman" w:cs="Times New Roman"/>
                <w:kern w:val="0"/>
                <w:sz w:val="28"/>
                <w:szCs w:val="28"/>
                <w:rtl/>
                <w14:ligatures w14:val="none"/>
              </w:rPr>
              <w:t>2-2-3 لمحة موسّعة عن كل شريك تنظيمي رئيس</w:t>
            </w:r>
          </w:p>
        </w:tc>
      </w:tr>
      <w:tr w:rsidR="007B563F" w:rsidRPr="007B563F" w14:paraId="50646A50" w14:textId="77777777" w:rsidTr="007B563F">
        <w:trPr>
          <w:divId w:val="1761368777"/>
          <w:trHeight w:val="33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74A6BB" w14:textId="7C584125" w:rsidR="007B563F" w:rsidRPr="007B563F" w:rsidRDefault="004320E1"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55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2D029D"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CA2117" w14:textId="39FC3952" w:rsidR="007B563F" w:rsidRPr="00A62680" w:rsidRDefault="00A62680" w:rsidP="00A62680">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A62680">
              <w:rPr>
                <w:rFonts w:ascii="Times New Roman" w:eastAsia="Times New Roman" w:hAnsi="Times New Roman" w:cs="Times New Roman"/>
                <w:kern w:val="0"/>
                <w:sz w:val="28"/>
                <w:szCs w:val="28"/>
                <w:rtl/>
                <w14:ligatures w14:val="none"/>
              </w:rPr>
              <w:t xml:space="preserve">2-2-4 الأطر التشريعية الحاكمة </w:t>
            </w:r>
          </w:p>
        </w:tc>
      </w:tr>
      <w:tr w:rsidR="007B563F" w:rsidRPr="007B563F" w14:paraId="7C9B079C"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4F5BAD" w14:textId="3AD1CBF1" w:rsidR="007B563F" w:rsidRPr="007B563F" w:rsidRDefault="00E96D53"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AppleSystemUIFont" w:eastAsiaTheme="minorEastAsia" w:hAnsi=".AppleSystemUIFont" w:cs="Times New Roman"/>
                <w:kern w:val="0"/>
                <w:sz w:val="28"/>
                <w:szCs w:val="28"/>
                <w14:ligatures w14:val="none"/>
              </w:rPr>
              <w:t>56</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7CC2CD"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4A3334" w14:textId="7D2AE6E2" w:rsidR="007B563F" w:rsidRPr="006613E8" w:rsidRDefault="006613E8" w:rsidP="006613E8">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6613E8">
              <w:rPr>
                <w:rFonts w:ascii="Times New Roman" w:eastAsia="Times New Roman" w:hAnsi="Times New Roman" w:cs="Times New Roman"/>
                <w:kern w:val="0"/>
                <w:sz w:val="28"/>
                <w:szCs w:val="28"/>
                <w:rtl/>
                <w14:ligatures w14:val="none"/>
              </w:rPr>
              <w:t xml:space="preserve">2-2-5 أدوات الإشراف الرقمي </w:t>
            </w:r>
          </w:p>
        </w:tc>
      </w:tr>
      <w:tr w:rsidR="007B563F" w:rsidRPr="007B563F" w14:paraId="2BA5BF83"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7FF4F0" w14:textId="44089CB5" w:rsidR="007B563F" w:rsidRPr="007B563F" w:rsidRDefault="00A57695"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57</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E49266"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D12C86" w14:textId="79726D20" w:rsidR="007B563F" w:rsidRPr="00A36179" w:rsidRDefault="006613E8" w:rsidP="00A36179">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A36179">
              <w:rPr>
                <w:rFonts w:ascii="Times New Roman" w:eastAsia="Times New Roman" w:hAnsi="Times New Roman" w:cs="Times New Roman"/>
                <w:kern w:val="0"/>
                <w:sz w:val="28"/>
                <w:szCs w:val="28"/>
                <w:rtl/>
                <w14:ligatures w14:val="none"/>
              </w:rPr>
              <w:t xml:space="preserve">2-2-6 التحديات الإشرافية المتعددة الأبعاد </w:t>
            </w:r>
          </w:p>
        </w:tc>
      </w:tr>
      <w:tr w:rsidR="007B563F" w:rsidRPr="007B563F" w14:paraId="32A1627A"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B0CC39" w14:textId="000FC591" w:rsidR="007B563F" w:rsidRPr="007B563F" w:rsidRDefault="00C22E10"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58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97730F"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25E3CF" w14:textId="0E92FC04" w:rsidR="007B563F" w:rsidRPr="004E168A" w:rsidRDefault="003A2867" w:rsidP="003A2867">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4E168A">
              <w:rPr>
                <w:rFonts w:ascii="Times New Roman" w:eastAsia="Times New Roman" w:hAnsi="Times New Roman" w:cs="Times New Roman"/>
                <w:kern w:val="0"/>
                <w:sz w:val="28"/>
                <w:szCs w:val="28"/>
                <w:rtl/>
                <w14:ligatures w14:val="none"/>
              </w:rPr>
              <w:t>2-2-7 إطار التعاون المشترك (لجنة الابتكار المالي – شرح معمّق)</w:t>
            </w:r>
          </w:p>
        </w:tc>
      </w:tr>
      <w:tr w:rsidR="007B563F" w:rsidRPr="007B563F" w14:paraId="65818A51"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4BB9E9" w14:textId="42E78535" w:rsidR="007B563F" w:rsidRPr="007B563F" w:rsidRDefault="00C22E10"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AppleSystemUIFont" w:eastAsiaTheme="minorEastAsia" w:hAnsi=".AppleSystemUIFont" w:cs="Times New Roman"/>
                <w:kern w:val="0"/>
                <w:sz w:val="28"/>
                <w:szCs w:val="28"/>
                <w14:ligatures w14:val="none"/>
              </w:rPr>
              <w:t>59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280673"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8C2558" w14:textId="3D41C846" w:rsidR="007B563F" w:rsidRPr="00CE1AC1" w:rsidRDefault="004E168A" w:rsidP="00CE1AC1">
            <w:pPr>
              <w:spacing w:before="100" w:beforeAutospacing="1" w:after="100" w:afterAutospacing="1" w:line="360" w:lineRule="auto"/>
              <w:outlineLvl w:val="2"/>
              <w:rPr>
                <w:rFonts w:ascii="Times New Roman" w:eastAsiaTheme="minorEastAsia" w:hAnsi="Times New Roman" w:cs="Times New Roman"/>
                <w:kern w:val="0"/>
                <w:sz w:val="28"/>
                <w:szCs w:val="28"/>
                <w14:ligatures w14:val="none"/>
              </w:rPr>
            </w:pPr>
            <w:r w:rsidRPr="00CE1AC1">
              <w:rPr>
                <w:rFonts w:ascii="Times New Roman" w:eastAsia="Times New Roman" w:hAnsi="Times New Roman" w:cs="Times New Roman"/>
                <w:kern w:val="0"/>
                <w:sz w:val="28"/>
                <w:szCs w:val="28"/>
                <w:rtl/>
                <w14:ligatures w14:val="none"/>
              </w:rPr>
              <w:t>2-2-9 خلاصة موسّعة</w:t>
            </w:r>
          </w:p>
        </w:tc>
      </w:tr>
      <w:tr w:rsidR="007B563F" w:rsidRPr="007B563F" w14:paraId="1CE10027"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A42E1A" w14:textId="0F256B67" w:rsidR="007B563F" w:rsidRPr="007B563F" w:rsidRDefault="00875976"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896BC4"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F8339E" w14:textId="2551B064" w:rsidR="007B563F" w:rsidRPr="00184DA7" w:rsidRDefault="00CE1AC1" w:rsidP="00184DA7">
            <w:pPr>
              <w:spacing w:before="100" w:beforeAutospacing="1" w:after="100" w:afterAutospacing="1" w:line="360" w:lineRule="auto"/>
              <w:outlineLvl w:val="2"/>
              <w:rPr>
                <w:rFonts w:ascii="Times New Roman" w:eastAsia="Times New Roman" w:hAnsi="Times New Roman" w:cs="Times New Roman"/>
                <w:kern w:val="0"/>
                <w:sz w:val="28"/>
                <w:szCs w:val="28"/>
                <w14:ligatures w14:val="none"/>
              </w:rPr>
            </w:pPr>
            <w:r w:rsidRPr="00CE1AC1">
              <w:rPr>
                <w:rFonts w:ascii="Times New Roman" w:eastAsia="Times New Roman" w:hAnsi="Times New Roman" w:cs="Times New Roman"/>
                <w:kern w:val="0"/>
                <w:sz w:val="28"/>
                <w:szCs w:val="28"/>
                <w:rtl/>
                <w14:ligatures w14:val="none"/>
              </w:rPr>
              <w:t xml:space="preserve">المبحث الثالث </w:t>
            </w:r>
            <w:r w:rsidRPr="00CE1AC1">
              <w:rPr>
                <w:rFonts w:ascii="Times New Roman" w:eastAsia="Times New Roman" w:hAnsi="Times New Roman" w:cs="Times New Roman" w:hint="cs"/>
                <w:kern w:val="0"/>
                <w:sz w:val="28"/>
                <w:szCs w:val="28"/>
                <w:rtl/>
                <w14:ligatures w14:val="none"/>
              </w:rPr>
              <w:t>:</w:t>
            </w:r>
            <w:r w:rsidRPr="00CE1AC1">
              <w:rPr>
                <w:rFonts w:ascii="Times New Roman" w:eastAsia="Times New Roman" w:hAnsi="Times New Roman" w:cs="Times New Roman"/>
                <w:kern w:val="0"/>
                <w:sz w:val="28"/>
                <w:szCs w:val="28"/>
                <w:rtl/>
                <w14:ligatures w14:val="none"/>
              </w:rPr>
              <w:t xml:space="preserve"> النماذج الرقميّة المركزيّة واللامركزيّة وأثرها في الشركاء التنظيميّين</w:t>
            </w:r>
            <w:r w:rsidR="00184DA7">
              <w:rPr>
                <w:rFonts w:ascii="Times New Roman" w:eastAsia="Times New Roman" w:hAnsi="Times New Roman" w:cs="Times New Roman"/>
                <w:kern w:val="0"/>
                <w:sz w:val="28"/>
                <w:szCs w:val="28"/>
                <w:lang w:val="en-GB"/>
                <w14:ligatures w14:val="none"/>
              </w:rPr>
              <w:t xml:space="preserve"> </w:t>
            </w:r>
            <w:r w:rsidRPr="00CE1AC1">
              <w:rPr>
                <w:rFonts w:ascii="Times New Roman" w:eastAsia="Times New Roman" w:hAnsi="Times New Roman" w:cs="Times New Roman"/>
                <w:kern w:val="0"/>
                <w:sz w:val="28"/>
                <w:szCs w:val="28"/>
                <w:rtl/>
                <w14:ligatures w14:val="none"/>
              </w:rPr>
              <w:t>بالمملكة العربيّة السعوديّة</w:t>
            </w:r>
          </w:p>
        </w:tc>
      </w:tr>
      <w:tr w:rsidR="007B563F" w:rsidRPr="007B563F" w14:paraId="00D03014"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CFA424" w14:textId="536E4B78" w:rsidR="007B563F" w:rsidRPr="007B563F" w:rsidRDefault="00875976"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D90052"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EE44BF" w14:textId="015CAA1C" w:rsidR="007B563F" w:rsidRPr="00184DA7" w:rsidRDefault="00184DA7" w:rsidP="00184DA7">
            <w:pPr>
              <w:spacing w:before="100" w:beforeAutospacing="1" w:after="100" w:afterAutospacing="1" w:line="360" w:lineRule="auto"/>
              <w:outlineLvl w:val="3"/>
              <w:rPr>
                <w:rFonts w:ascii="Times New Roman" w:eastAsiaTheme="minorEastAsia" w:hAnsi="Times New Roman" w:cs="Times New Roman"/>
                <w:kern w:val="0"/>
                <w:sz w:val="28"/>
                <w:szCs w:val="28"/>
                <w14:ligatures w14:val="none"/>
              </w:rPr>
            </w:pPr>
            <w:r w:rsidRPr="00184DA7">
              <w:rPr>
                <w:rFonts w:ascii="Times New Roman" w:eastAsia="Times New Roman" w:hAnsi="Times New Roman" w:cs="Times New Roman"/>
                <w:kern w:val="0"/>
                <w:sz w:val="28"/>
                <w:szCs w:val="28"/>
                <w14:ligatures w14:val="none"/>
              </w:rPr>
              <w:t>3-2</w:t>
            </w:r>
            <w:r w:rsidRPr="00184DA7">
              <w:rPr>
                <w:rFonts w:ascii="Times New Roman" w:eastAsia="Times New Roman" w:hAnsi="Times New Roman" w:cs="Times New Roman" w:hint="cs"/>
                <w:kern w:val="0"/>
                <w:sz w:val="28"/>
                <w:szCs w:val="28"/>
                <w:rtl/>
                <w14:ligatures w14:val="none"/>
              </w:rPr>
              <w:t>-</w:t>
            </w:r>
            <w:r w:rsidRPr="00184DA7">
              <w:rPr>
                <w:rFonts w:ascii="Times New Roman" w:eastAsia="Times New Roman" w:hAnsi="Times New Roman" w:cs="Times New Roman"/>
                <w:kern w:val="0"/>
                <w:sz w:val="28"/>
                <w:szCs w:val="28"/>
                <w14:ligatures w14:val="none"/>
              </w:rPr>
              <w:t xml:space="preserve">  </w:t>
            </w:r>
            <w:r w:rsidRPr="00184DA7">
              <w:rPr>
                <w:rFonts w:ascii="Times New Roman" w:eastAsia="Times New Roman" w:hAnsi="Times New Roman" w:cs="Times New Roman"/>
                <w:kern w:val="0"/>
                <w:sz w:val="28"/>
                <w:szCs w:val="28"/>
                <w:rtl/>
                <w14:ligatures w14:val="none"/>
              </w:rPr>
              <w:t>النموذج الرقميّ المركزي (</w:t>
            </w:r>
            <w:r w:rsidRPr="00184DA7">
              <w:rPr>
                <w:rFonts w:ascii="Times New Roman" w:eastAsia="Times New Roman" w:hAnsi="Times New Roman" w:cs="Times New Roman"/>
                <w:kern w:val="0"/>
                <w:sz w:val="28"/>
                <w:szCs w:val="28"/>
                <w14:ligatures w14:val="none"/>
              </w:rPr>
              <w:t>Licensed Digital Bank</w:t>
            </w:r>
            <w:r w:rsidRPr="00184DA7">
              <w:rPr>
                <w:rFonts w:ascii="Times New Roman" w:eastAsia="Times New Roman" w:hAnsi="Times New Roman" w:cs="Times New Roman" w:hint="cs"/>
                <w:kern w:val="0"/>
                <w:sz w:val="28"/>
                <w:szCs w:val="28"/>
                <w:rtl/>
                <w14:ligatures w14:val="none"/>
              </w:rPr>
              <w:t>)</w:t>
            </w:r>
          </w:p>
        </w:tc>
      </w:tr>
      <w:tr w:rsidR="007B563F" w:rsidRPr="007B563F" w14:paraId="3E535549"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D116D4" w14:textId="06EBD2E7" w:rsidR="007B563F" w:rsidRPr="007B563F" w:rsidRDefault="00A04C28"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61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659942"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B560E6" w14:textId="3ECEF2B0" w:rsidR="007B563F" w:rsidRPr="000A727D" w:rsidRDefault="000A727D" w:rsidP="000A727D">
            <w:pPr>
              <w:spacing w:before="100" w:beforeAutospacing="1" w:after="100" w:afterAutospacing="1" w:line="360" w:lineRule="auto"/>
              <w:outlineLvl w:val="3"/>
              <w:rPr>
                <w:rFonts w:ascii="Times New Roman" w:eastAsiaTheme="minorEastAsia" w:hAnsi="Times New Roman" w:cs="Times New Roman"/>
                <w:kern w:val="0"/>
                <w:sz w:val="28"/>
                <w:szCs w:val="28"/>
                <w:rtl/>
                <w14:ligatures w14:val="none"/>
              </w:rPr>
            </w:pPr>
            <w:r w:rsidRPr="000A727D">
              <w:rPr>
                <w:rFonts w:ascii="Times New Roman" w:eastAsia="Times New Roman" w:hAnsi="Times New Roman" w:cs="Times New Roman"/>
                <w:kern w:val="0"/>
                <w:sz w:val="28"/>
                <w:szCs w:val="28"/>
                <w14:ligatures w14:val="none"/>
              </w:rPr>
              <w:t>3-3</w:t>
            </w:r>
            <w:r w:rsidRPr="000A727D">
              <w:rPr>
                <w:rFonts w:ascii="Times New Roman" w:eastAsia="Times New Roman" w:hAnsi="Times New Roman" w:cs="Times New Roman" w:hint="cs"/>
                <w:kern w:val="0"/>
                <w:sz w:val="28"/>
                <w:szCs w:val="28"/>
                <w:rtl/>
                <w14:ligatures w14:val="none"/>
              </w:rPr>
              <w:t>-</w:t>
            </w:r>
            <w:r w:rsidRPr="000A727D">
              <w:rPr>
                <w:rFonts w:ascii="Times New Roman" w:eastAsia="Times New Roman" w:hAnsi="Times New Roman" w:cs="Times New Roman"/>
                <w:kern w:val="0"/>
                <w:sz w:val="28"/>
                <w:szCs w:val="28"/>
                <w14:ligatures w14:val="none"/>
              </w:rPr>
              <w:t xml:space="preserve">  </w:t>
            </w:r>
            <w:r w:rsidRPr="000A727D">
              <w:rPr>
                <w:rFonts w:ascii="Times New Roman" w:eastAsia="Times New Roman" w:hAnsi="Times New Roman" w:cs="Times New Roman"/>
                <w:kern w:val="0"/>
                <w:sz w:val="28"/>
                <w:szCs w:val="28"/>
                <w:rtl/>
                <w14:ligatures w14:val="none"/>
              </w:rPr>
              <w:t>النموذج الرقميّ اللامركزي (</w:t>
            </w:r>
            <w:r w:rsidRPr="000A727D">
              <w:rPr>
                <w:rFonts w:ascii="Times New Roman" w:eastAsia="Times New Roman" w:hAnsi="Times New Roman" w:cs="Times New Roman"/>
                <w:kern w:val="0"/>
                <w:sz w:val="28"/>
                <w:szCs w:val="28"/>
                <w14:ligatures w14:val="none"/>
              </w:rPr>
              <w:t>DeFi Banking</w:t>
            </w:r>
            <w:r w:rsidR="005552B2">
              <w:rPr>
                <w:rFonts w:ascii="Times New Roman" w:eastAsia="Times New Roman" w:hAnsi="Times New Roman" w:cs="Times New Roman" w:hint="cs"/>
                <w:kern w:val="0"/>
                <w:sz w:val="28"/>
                <w:szCs w:val="28"/>
                <w:rtl/>
                <w14:ligatures w14:val="none"/>
              </w:rPr>
              <w:t>)</w:t>
            </w:r>
          </w:p>
        </w:tc>
      </w:tr>
      <w:tr w:rsidR="007B563F" w:rsidRPr="007B563F" w14:paraId="39323EE8"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FBA36B" w14:textId="4AECE979" w:rsidR="007B563F" w:rsidRPr="007B563F" w:rsidRDefault="00A04C28"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65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B907CD"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6D2BB3" w14:textId="7CA170F1" w:rsidR="007B563F" w:rsidRPr="00E714ED" w:rsidRDefault="005552B2" w:rsidP="00E714ED">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E714ED">
              <w:rPr>
                <w:rFonts w:ascii="Times New Roman" w:eastAsiaTheme="minorEastAsia" w:hAnsi="Times New Roman" w:cs="Times New Roman"/>
                <w:kern w:val="0"/>
                <w:sz w:val="28"/>
                <w:szCs w:val="28"/>
                <w:rtl/>
                <w14:ligatures w14:val="none"/>
              </w:rPr>
              <w:t>الفصل الثالث: المنهجيّة والتصميم</w:t>
            </w:r>
          </w:p>
        </w:tc>
      </w:tr>
      <w:tr w:rsidR="007B563F" w:rsidRPr="007B563F" w14:paraId="4EF9061A"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A40BB1" w14:textId="7A20A93D" w:rsidR="007B563F" w:rsidRPr="007B563F" w:rsidRDefault="007B48AF"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7</w:t>
            </w:r>
            <w:r w:rsidR="00F21B0D">
              <w:rPr>
                <w:rFonts w:ascii="UICTFontTextStyleBody" w:eastAsiaTheme="minorEastAsia" w:hAnsi="UICTFontTextStyleBody" w:cs="Times New Roman"/>
                <w:kern w:val="0"/>
                <w:sz w:val="28"/>
                <w:szCs w:val="28"/>
                <w14:ligatures w14:val="none"/>
              </w:rPr>
              <w:t>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617518"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D5F3DB" w14:textId="79513FF2" w:rsidR="007B563F" w:rsidRPr="00E714ED" w:rsidRDefault="00E714ED" w:rsidP="00E714ED">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E714ED">
              <w:rPr>
                <w:rFonts w:ascii="Times New Roman" w:eastAsiaTheme="minorEastAsia" w:hAnsi="Times New Roman" w:cs="Times New Roman"/>
                <w:kern w:val="0"/>
                <w:sz w:val="28"/>
                <w:szCs w:val="28"/>
                <w:rtl/>
                <w14:ligatures w14:val="none"/>
              </w:rPr>
              <w:t>الفصل الرابع</w:t>
            </w:r>
            <w:r w:rsidRPr="00E714ED">
              <w:rPr>
                <w:rFonts w:ascii="Times New Roman" w:eastAsiaTheme="minorEastAsia" w:hAnsi="Times New Roman" w:cs="Times New Roman" w:hint="cs"/>
                <w:kern w:val="0"/>
                <w:sz w:val="28"/>
                <w:szCs w:val="28"/>
                <w:rtl/>
                <w14:ligatures w14:val="none"/>
              </w:rPr>
              <w:t xml:space="preserve">: </w:t>
            </w:r>
            <w:r w:rsidRPr="00E714ED">
              <w:rPr>
                <w:rFonts w:ascii="Times New Roman" w:eastAsiaTheme="minorEastAsia" w:hAnsi="Times New Roman" w:cs="Times New Roman"/>
                <w:kern w:val="0"/>
                <w:sz w:val="28"/>
                <w:szCs w:val="28"/>
                <w:rtl/>
                <w14:ligatures w14:val="none"/>
              </w:rPr>
              <w:t>تحليل البيانات واختبار الفرضيّات</w:t>
            </w:r>
          </w:p>
        </w:tc>
      </w:tr>
      <w:tr w:rsidR="007B563F" w:rsidRPr="007B563F" w14:paraId="22168005"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6C02B7" w14:textId="4AC42559" w:rsidR="007B563F" w:rsidRPr="007B563F" w:rsidRDefault="00F21B0D"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77</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B0F634"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E20CEB" w14:textId="2274101D" w:rsidR="007B563F" w:rsidRPr="0098728B" w:rsidRDefault="0098728B" w:rsidP="0098728B">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98728B">
              <w:rPr>
                <w:rFonts w:ascii="Times New Roman" w:eastAsiaTheme="minorEastAsia" w:hAnsi="Times New Roman" w:cs="Times New Roman"/>
                <w:kern w:val="0"/>
                <w:sz w:val="28"/>
                <w:szCs w:val="28"/>
                <w:rtl/>
                <w14:ligatures w14:val="none"/>
              </w:rPr>
              <w:t xml:space="preserve">الفصل الخامس </w:t>
            </w:r>
            <w:r w:rsidRPr="0098728B">
              <w:rPr>
                <w:rFonts w:ascii="Times New Roman" w:eastAsiaTheme="minorEastAsia" w:hAnsi="Times New Roman" w:cs="Times New Roman" w:hint="cs"/>
                <w:kern w:val="0"/>
                <w:sz w:val="28"/>
                <w:szCs w:val="28"/>
                <w:rtl/>
                <w14:ligatures w14:val="none"/>
              </w:rPr>
              <w:t xml:space="preserve">: </w:t>
            </w:r>
            <w:r w:rsidRPr="0098728B">
              <w:rPr>
                <w:rFonts w:ascii="Times New Roman" w:eastAsiaTheme="minorEastAsia" w:hAnsi="Times New Roman" w:cs="Times New Roman"/>
                <w:kern w:val="0"/>
                <w:sz w:val="28"/>
                <w:szCs w:val="28"/>
                <w:rtl/>
                <w14:ligatures w14:val="none"/>
              </w:rPr>
              <w:t>النتائج التفصيليّة والتوصيــات</w:t>
            </w:r>
          </w:p>
        </w:tc>
      </w:tr>
      <w:tr w:rsidR="007B563F" w:rsidRPr="007B563F" w14:paraId="4C075B67"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3A01D4" w14:textId="246E1B5E" w:rsidR="007B563F" w:rsidRPr="007B563F" w:rsidRDefault="00F21B0D"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77</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64FCD4"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44308C" w14:textId="0F073C13" w:rsidR="007B563F" w:rsidRPr="000062AD" w:rsidRDefault="000062AD" w:rsidP="000062AD">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0062AD">
              <w:rPr>
                <w:rFonts w:ascii="Times New Roman" w:eastAsiaTheme="minorEastAsia" w:hAnsi="Times New Roman" w:cs="Times New Roman"/>
                <w:kern w:val="0"/>
                <w:sz w:val="28"/>
                <w:szCs w:val="28"/>
                <w:rtl/>
                <w14:ligatures w14:val="none"/>
              </w:rPr>
              <w:t xml:space="preserve">الجزء الأوّل │ النتـائج </w:t>
            </w:r>
          </w:p>
        </w:tc>
      </w:tr>
      <w:tr w:rsidR="000062AD" w:rsidRPr="007B563F" w14:paraId="2F2652A4"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4A5183" w14:textId="186CCA82" w:rsidR="000062AD" w:rsidRPr="007B563F" w:rsidRDefault="000062AD"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79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25F94A" w14:textId="77777777" w:rsidR="000062AD" w:rsidRPr="007B563F" w:rsidRDefault="000062AD"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D95888" w14:textId="098FFC6A" w:rsidR="000062AD" w:rsidRPr="007B563F" w:rsidRDefault="000062AD" w:rsidP="00BE7B2A">
            <w:pPr>
              <w:spacing w:after="0" w:line="360" w:lineRule="auto"/>
              <w:rPr>
                <w:rFonts w:ascii=".SF Arabic" w:eastAsiaTheme="minorEastAsia" w:hAnsi=".SF Arabic" w:cs="Times New Roman" w:hint="eastAsia"/>
                <w:kern w:val="0"/>
                <w:sz w:val="28"/>
                <w:szCs w:val="28"/>
                <w14:ligatures w14:val="none"/>
              </w:rPr>
            </w:pPr>
            <w:r w:rsidRPr="000062AD">
              <w:rPr>
                <w:rFonts w:ascii="Times New Roman" w:eastAsiaTheme="minorEastAsia" w:hAnsi="Times New Roman" w:cs="Times New Roman"/>
                <w:kern w:val="0"/>
                <w:sz w:val="28"/>
                <w:szCs w:val="28"/>
                <w:rtl/>
                <w14:ligatures w14:val="none"/>
              </w:rPr>
              <w:t xml:space="preserve">الجزء </w:t>
            </w:r>
            <w:r>
              <w:rPr>
                <w:rFonts w:ascii="Times New Roman" w:eastAsiaTheme="minorEastAsia" w:hAnsi="Times New Roman" w:cs="Times New Roman" w:hint="cs"/>
                <w:kern w:val="0"/>
                <w:sz w:val="28"/>
                <w:szCs w:val="28"/>
                <w:rtl/>
                <w14:ligatures w14:val="none"/>
              </w:rPr>
              <w:t>الثا</w:t>
            </w:r>
            <w:r w:rsidR="003C63B5">
              <w:rPr>
                <w:rFonts w:ascii="Times New Roman" w:eastAsiaTheme="minorEastAsia" w:hAnsi="Times New Roman" w:cs="Times New Roman" w:hint="cs"/>
                <w:kern w:val="0"/>
                <w:sz w:val="28"/>
                <w:szCs w:val="28"/>
                <w:rtl/>
                <w14:ligatures w14:val="none"/>
              </w:rPr>
              <w:t>ني</w:t>
            </w:r>
            <w:r w:rsidRPr="000062AD">
              <w:rPr>
                <w:rFonts w:ascii="Times New Roman" w:eastAsiaTheme="minorEastAsia" w:hAnsi="Times New Roman" w:cs="Times New Roman"/>
                <w:kern w:val="0"/>
                <w:sz w:val="28"/>
                <w:szCs w:val="28"/>
                <w:rtl/>
                <w14:ligatures w14:val="none"/>
              </w:rPr>
              <w:t xml:space="preserve"> │ النتـائج </w:t>
            </w:r>
          </w:p>
        </w:tc>
      </w:tr>
      <w:tr w:rsidR="007B563F" w:rsidRPr="007B563F" w14:paraId="45C2FDBE"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3D335E" w14:textId="0145F48F" w:rsidR="007B563F" w:rsidRPr="007B563F" w:rsidRDefault="00066613"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lastRenderedPageBreak/>
              <w:t>82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E89C88"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C9B8CA" w14:textId="11CADC16" w:rsidR="007B563F" w:rsidRPr="003C63B5" w:rsidRDefault="003C63B5" w:rsidP="003C63B5">
            <w:pPr>
              <w:spacing w:before="100" w:beforeAutospacing="1" w:after="100" w:afterAutospacing="1" w:line="360" w:lineRule="auto"/>
              <w:rPr>
                <w:rFonts w:ascii="Times New Roman" w:eastAsiaTheme="minorEastAsia" w:hAnsi="Times New Roman" w:cs="Times New Roman"/>
                <w:kern w:val="0"/>
                <w:sz w:val="28"/>
                <w:szCs w:val="28"/>
                <w:lang w:val="en-GB"/>
                <w14:ligatures w14:val="none"/>
              </w:rPr>
            </w:pPr>
            <w:r w:rsidRPr="003C63B5">
              <w:rPr>
                <w:rFonts w:ascii="Times New Roman" w:eastAsiaTheme="minorEastAsia" w:hAnsi="Times New Roman" w:cs="Times New Roman"/>
                <w:kern w:val="0"/>
                <w:sz w:val="28"/>
                <w:szCs w:val="28"/>
                <w:rtl/>
                <w14:ligatures w14:val="none"/>
              </w:rPr>
              <w:t>قائمة المراجع المرتبطة مباشرة بموضوع البحث</w:t>
            </w:r>
          </w:p>
        </w:tc>
      </w:tr>
      <w:tr w:rsidR="007B563F" w:rsidRPr="007B563F" w14:paraId="16C57296"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8D4321" w14:textId="203A9A19" w:rsidR="007B563F" w:rsidRPr="007B563F" w:rsidRDefault="007850B6"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82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55326A"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7BD5C9" w14:textId="356BE009" w:rsidR="007B563F" w:rsidRPr="00614CE4" w:rsidRDefault="00614CE4" w:rsidP="00614CE4">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614CE4">
              <w:rPr>
                <w:rFonts w:ascii="Times New Roman" w:eastAsiaTheme="minorEastAsia" w:hAnsi="Times New Roman" w:cs="Times New Roman"/>
                <w:kern w:val="0"/>
                <w:sz w:val="28"/>
                <w:szCs w:val="28"/>
                <w:rtl/>
                <w14:ligatures w14:val="none"/>
              </w:rPr>
              <w:t>أوّلاً: المراجع العربيّة (نماذج أساسيّة)</w:t>
            </w:r>
          </w:p>
        </w:tc>
      </w:tr>
      <w:tr w:rsidR="007B563F" w:rsidRPr="007B563F" w14:paraId="736FCF13" w14:textId="77777777" w:rsidTr="007B563F">
        <w:trPr>
          <w:divId w:val="1761368777"/>
          <w:trHeight w:val="33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C9B3EB" w14:textId="3E5E5079" w:rsidR="007B563F" w:rsidRPr="007B563F" w:rsidRDefault="007850B6"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85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080686"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EF3FD0" w14:textId="700D91C7" w:rsidR="007B563F" w:rsidRPr="00614CE4" w:rsidRDefault="00614CE4" w:rsidP="00614CE4">
            <w:pPr>
              <w:spacing w:before="100" w:beforeAutospacing="1" w:after="100" w:afterAutospacing="1" w:line="360" w:lineRule="auto"/>
              <w:rPr>
                <w:rFonts w:ascii="Times New Roman" w:eastAsiaTheme="minorEastAsia" w:hAnsi="Times New Roman" w:cs="Times New Roman"/>
                <w:kern w:val="0"/>
                <w:sz w:val="28"/>
                <w:szCs w:val="28"/>
                <w14:ligatures w14:val="none"/>
              </w:rPr>
            </w:pPr>
            <w:r>
              <w:rPr>
                <w:rFonts w:ascii="Times New Roman" w:eastAsiaTheme="minorEastAsia" w:hAnsi="Times New Roman" w:cs="Times New Roman" w:hint="cs"/>
                <w:kern w:val="0"/>
                <w:sz w:val="28"/>
                <w:szCs w:val="28"/>
                <w:rtl/>
                <w14:ligatures w14:val="none"/>
              </w:rPr>
              <w:t>ال</w:t>
            </w:r>
            <w:r w:rsidR="00776A8F">
              <w:rPr>
                <w:rFonts w:ascii="Times New Roman" w:eastAsiaTheme="minorEastAsia" w:hAnsi="Times New Roman" w:cs="Times New Roman" w:hint="cs"/>
                <w:kern w:val="0"/>
                <w:sz w:val="28"/>
                <w:szCs w:val="28"/>
                <w:rtl/>
                <w14:ligatures w14:val="none"/>
              </w:rPr>
              <w:t>ملاحق</w:t>
            </w:r>
          </w:p>
        </w:tc>
      </w:tr>
      <w:tr w:rsidR="007B563F" w:rsidRPr="007B563F" w14:paraId="0D362112"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67F4CE" w14:textId="1CDD8BAD" w:rsidR="007B563F" w:rsidRPr="007B563F" w:rsidRDefault="001B3E4C"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86</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2741B3"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05915" w14:textId="175F94F9" w:rsidR="007B563F" w:rsidRPr="007B563F" w:rsidRDefault="00BE3C69" w:rsidP="00BE7B2A">
            <w:pPr>
              <w:spacing w:after="0" w:line="360" w:lineRule="auto"/>
              <w:rPr>
                <w:rFonts w:ascii=".SF Arabic" w:eastAsiaTheme="minorEastAsia" w:hAnsi=".SF Arabic" w:cs="Times New Roman" w:hint="eastAsia"/>
                <w:kern w:val="0"/>
                <w:sz w:val="28"/>
                <w:szCs w:val="28"/>
                <w14:ligatures w14:val="none"/>
              </w:rPr>
            </w:pPr>
            <w:r w:rsidRPr="0088149D">
              <w:rPr>
                <w:rFonts w:ascii="Times New Roman" w:eastAsia="Times New Roman" w:hAnsi="Times New Roman" w:cs="Times New Roman"/>
                <w:kern w:val="0"/>
                <w:sz w:val="32"/>
                <w:szCs w:val="32"/>
                <w:rtl/>
                <w14:ligatures w14:val="none"/>
              </w:rPr>
              <w:t>كتيّب الاستبيان المصحَّح (نسخة ورقيّة</w:t>
            </w:r>
            <w:r w:rsidR="00AA1F8D">
              <w:rPr>
                <w:rFonts w:ascii=".SF Arabic" w:eastAsiaTheme="minorEastAsia" w:hAnsi=".SF Arabic" w:cs="Times New Roman" w:hint="cs"/>
                <w:kern w:val="0"/>
                <w:sz w:val="28"/>
                <w:szCs w:val="28"/>
                <w:rtl/>
                <w14:ligatures w14:val="none"/>
              </w:rPr>
              <w:t>)</w:t>
            </w:r>
          </w:p>
        </w:tc>
      </w:tr>
      <w:tr w:rsidR="007B563F" w:rsidRPr="007B563F" w14:paraId="0DAD4D69"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9F69FB" w14:textId="7A4FAE5C" w:rsidR="007B563F" w:rsidRPr="007B563F" w:rsidRDefault="001B3E4C"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92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B1B619"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A3B6EB" w14:textId="7EF6AE8C" w:rsidR="00AA1F8D" w:rsidRPr="00AA1F8D" w:rsidRDefault="00AA1F8D" w:rsidP="00AA1F8D">
            <w:pPr>
              <w:keepNext/>
              <w:keepLines/>
              <w:spacing w:before="160" w:after="80" w:line="360" w:lineRule="auto"/>
              <w:outlineLvl w:val="2"/>
              <w:rPr>
                <w:rFonts w:ascii="Times New Roman" w:eastAsia="Times New Roman" w:hAnsi="Times New Roman" w:cs="Times New Roman"/>
                <w:kern w:val="0"/>
                <w:sz w:val="28"/>
                <w:szCs w:val="28"/>
                <w14:ligatures w14:val="none"/>
              </w:rPr>
            </w:pPr>
            <w:r w:rsidRPr="00AA1F8D">
              <w:rPr>
                <w:rFonts w:ascii="Times New Roman" w:eastAsiaTheme="minorEastAsia" w:hAnsi="Times New Roman" w:cs="Times New Roman"/>
                <w:color w:val="2F5496" w:themeColor="accent1" w:themeShade="BF"/>
                <w:kern w:val="0"/>
                <w:sz w:val="28"/>
                <w:szCs w:val="28"/>
                <w:u w:val="single"/>
                <w:rtl/>
                <w14:ligatures w14:val="none"/>
              </w:rPr>
              <w:br w:type="page"/>
            </w:r>
            <w:r w:rsidRPr="00AA1F8D">
              <w:rPr>
                <w:rFonts w:ascii="Times New Roman" w:eastAsia="Times New Roman" w:hAnsi="Times New Roman" w:cs="Times New Roman"/>
                <w:kern w:val="0"/>
                <w:sz w:val="28"/>
                <w:szCs w:val="28"/>
                <w:rtl/>
                <w14:ligatures w14:val="none"/>
              </w:rPr>
              <w:t>الاستبيان الإلكتروني (</w:t>
            </w:r>
            <w:r w:rsidRPr="00AA1F8D">
              <w:rPr>
                <w:rFonts w:ascii="Times New Roman" w:eastAsia="Times New Roman" w:hAnsi="Times New Roman" w:cs="Times New Roman"/>
                <w:kern w:val="0"/>
                <w:sz w:val="28"/>
                <w:szCs w:val="28"/>
                <w14:ligatures w14:val="none"/>
              </w:rPr>
              <w:t>Google Forms</w:t>
            </w:r>
            <w:r w:rsidRPr="00AA1F8D">
              <w:rPr>
                <w:rFonts w:ascii="Times New Roman" w:eastAsia="Times New Roman" w:hAnsi="Times New Roman" w:cs="Times New Roman" w:hint="cs"/>
                <w:kern w:val="0"/>
                <w:sz w:val="28"/>
                <w:szCs w:val="28"/>
                <w:rtl/>
                <w14:ligatures w14:val="none"/>
              </w:rPr>
              <w:t>)</w:t>
            </w:r>
          </w:p>
        </w:tc>
      </w:tr>
      <w:tr w:rsidR="007B563F" w:rsidRPr="007B563F" w14:paraId="79A99D7C"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7F682C" w14:textId="5009252D" w:rsidR="007B563F" w:rsidRPr="007B563F" w:rsidRDefault="009A7167"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98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CC2E35"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159960" w14:textId="52968168" w:rsidR="007B563F" w:rsidRPr="007B563F" w:rsidRDefault="00AA1F8D" w:rsidP="00BE7B2A">
            <w:pPr>
              <w:spacing w:after="0" w:line="360" w:lineRule="auto"/>
              <w:rPr>
                <w:rFonts w:ascii=".SF Arabic" w:eastAsiaTheme="minorEastAsia" w:hAnsi=".SF Arabic" w:cs="Times New Roman" w:hint="eastAsia"/>
                <w:kern w:val="0"/>
                <w:sz w:val="28"/>
                <w:szCs w:val="28"/>
                <w14:ligatures w14:val="none"/>
              </w:rPr>
            </w:pPr>
            <w:r>
              <w:rPr>
                <w:rFonts w:ascii=".SFArabic-Regular" w:eastAsiaTheme="minorEastAsia" w:hAnsi=".SFArabic-Regular" w:cs="Times New Roman" w:hint="cs"/>
                <w:kern w:val="0"/>
                <w:sz w:val="28"/>
                <w:szCs w:val="28"/>
                <w:rtl/>
                <w14:ligatures w14:val="none"/>
              </w:rPr>
              <w:t>الخ</w:t>
            </w:r>
            <w:r w:rsidR="00BA1C45">
              <w:rPr>
                <w:rFonts w:ascii=".SFArabic-Regular" w:eastAsiaTheme="minorEastAsia" w:hAnsi=".SFArabic-Regular" w:cs="Times New Roman" w:hint="cs"/>
                <w:kern w:val="0"/>
                <w:sz w:val="28"/>
                <w:szCs w:val="28"/>
                <w:rtl/>
                <w14:ligatures w14:val="none"/>
              </w:rPr>
              <w:t>اتمة</w:t>
            </w:r>
          </w:p>
        </w:tc>
      </w:tr>
      <w:tr w:rsidR="007B563F" w:rsidRPr="007B563F" w14:paraId="64180FAB" w14:textId="77777777" w:rsidTr="007B563F">
        <w:trPr>
          <w:divId w:val="1761368777"/>
          <w:trHeight w:val="36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0BA54A" w14:textId="58D47DDE" w:rsidR="007B563F" w:rsidRPr="007B563F" w:rsidRDefault="009A7167"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100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D102D8" w14:textId="77777777" w:rsidR="007B563F" w:rsidRPr="007B563F" w:rsidRDefault="007B563F" w:rsidP="00BE7B2A">
            <w:pPr>
              <w:bidi w:val="0"/>
              <w:spacing w:after="0" w:line="360" w:lineRule="auto"/>
              <w:rPr>
                <w:rFonts w:ascii="Helvetica" w:eastAsiaTheme="minorEastAsia" w:hAnsi="Helvetica" w:cs="Times New Roman"/>
                <w:kern w:val="0"/>
                <w:sz w:val="28"/>
                <w:szCs w:val="2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66CECA" w14:textId="08FB4BAF" w:rsidR="007B563F" w:rsidRPr="007B563F" w:rsidRDefault="00BA1C45" w:rsidP="00BE7B2A">
            <w:pPr>
              <w:spacing w:after="0" w:line="360" w:lineRule="auto"/>
              <w:rPr>
                <w:rFonts w:ascii=".SF Arabic" w:eastAsiaTheme="minorEastAsia" w:hAnsi=".SF Arabic" w:cs="Times New Roman" w:hint="eastAsia"/>
                <w:kern w:val="0"/>
                <w:sz w:val="28"/>
                <w:szCs w:val="28"/>
                <w14:ligatures w14:val="none"/>
              </w:rPr>
            </w:pPr>
            <w:r>
              <w:rPr>
                <w:rFonts w:ascii=".SFArabic-Regular" w:eastAsiaTheme="minorEastAsia" w:hAnsi=".SFArabic-Regular" w:cs="Times New Roman" w:hint="cs"/>
                <w:kern w:val="0"/>
                <w:sz w:val="28"/>
                <w:szCs w:val="28"/>
                <w:rtl/>
                <w14:ligatures w14:val="none"/>
              </w:rPr>
              <w:t>الغلاف باللغة الإنجليزية</w:t>
            </w:r>
          </w:p>
        </w:tc>
      </w:tr>
    </w:tbl>
    <w:p w14:paraId="5EB5BD32" w14:textId="77777777" w:rsidR="007B563F" w:rsidRPr="007B563F" w:rsidRDefault="007B563F" w:rsidP="00BE7B2A">
      <w:pPr>
        <w:spacing w:after="0" w:line="360" w:lineRule="auto"/>
        <w:divId w:val="1761368777"/>
        <w:rPr>
          <w:rFonts w:ascii=".AppleSystemUIFont" w:eastAsiaTheme="minorEastAsia" w:hAnsi=".AppleSystemUIFont" w:cs="Times New Roman" w:hint="eastAsia"/>
          <w:kern w:val="0"/>
          <w:sz w:val="28"/>
          <w:szCs w:val="28"/>
          <w:rtl/>
          <w14:ligatures w14:val="none"/>
        </w:rPr>
      </w:pPr>
      <w:r w:rsidRPr="007B563F">
        <w:rPr>
          <w:rFonts w:ascii="UICTFontTextStyleBody" w:eastAsiaTheme="minorEastAsia" w:hAnsi="UICTFontTextStyleBody" w:cs="Times New Roman"/>
          <w:kern w:val="0"/>
          <w:sz w:val="28"/>
          <w:szCs w:val="28"/>
          <w:rtl/>
          <w14:ligatures w14:val="none"/>
        </w:rPr>
        <w:t> </w:t>
      </w:r>
    </w:p>
    <w:p w14:paraId="685A3BE3" w14:textId="7D281F45" w:rsidR="007B563F" w:rsidRPr="004C5A9C" w:rsidRDefault="007B563F" w:rsidP="00BE7B2A">
      <w:pPr>
        <w:bidi w:val="0"/>
        <w:spacing w:line="360" w:lineRule="auto"/>
        <w:rPr>
          <w:rFonts w:ascii="Sakkal Majalla" w:hAnsi="Sakkal Majalla" w:cs="Sakkal Majalla"/>
          <w:b/>
          <w:bCs/>
          <w:color w:val="000000" w:themeColor="text1"/>
          <w:sz w:val="28"/>
          <w:szCs w:val="28"/>
          <w:rtl/>
          <w:lang w:bidi="ar-EG"/>
        </w:rPr>
      </w:pPr>
    </w:p>
    <w:p w14:paraId="68527B2C" w14:textId="77777777" w:rsidR="00784D8D" w:rsidRPr="004C5A9C" w:rsidRDefault="00784D8D" w:rsidP="00BE7B2A">
      <w:pPr>
        <w:spacing w:line="360" w:lineRule="auto"/>
        <w:rPr>
          <w:rFonts w:ascii="Sakkal Majalla" w:hAnsi="Sakkal Majalla" w:cs="Sakkal Majalla"/>
          <w:b/>
          <w:bCs/>
          <w:color w:val="000000" w:themeColor="text1"/>
          <w:sz w:val="28"/>
          <w:szCs w:val="28"/>
          <w:rtl/>
          <w:lang w:bidi="ar-EG"/>
        </w:rPr>
      </w:pPr>
    </w:p>
    <w:p w14:paraId="79124701" w14:textId="77777777" w:rsidR="007B563F" w:rsidRPr="004C5A9C" w:rsidRDefault="007B563F" w:rsidP="00BE7B2A">
      <w:pPr>
        <w:spacing w:line="360" w:lineRule="auto"/>
        <w:rPr>
          <w:rFonts w:ascii="Sakkal Majalla" w:hAnsi="Sakkal Majalla" w:cs="Sakkal Majalla"/>
          <w:b/>
          <w:bCs/>
          <w:color w:val="000000" w:themeColor="text1"/>
          <w:sz w:val="28"/>
          <w:szCs w:val="28"/>
          <w:rtl/>
          <w:lang w:bidi="ar-EG"/>
        </w:rPr>
      </w:pPr>
    </w:p>
    <w:p w14:paraId="6AED26DA" w14:textId="77777777" w:rsidR="007B563F" w:rsidRPr="004C5A9C" w:rsidRDefault="007B563F" w:rsidP="00BE7B2A">
      <w:pPr>
        <w:spacing w:line="360" w:lineRule="auto"/>
        <w:rPr>
          <w:rFonts w:ascii="Sakkal Majalla" w:hAnsi="Sakkal Majalla" w:cs="Sakkal Majalla"/>
          <w:b/>
          <w:bCs/>
          <w:color w:val="000000" w:themeColor="text1"/>
          <w:sz w:val="28"/>
          <w:szCs w:val="28"/>
          <w:rtl/>
          <w:lang w:bidi="ar-EG"/>
        </w:rPr>
      </w:pPr>
    </w:p>
    <w:p w14:paraId="2331086E" w14:textId="77777777" w:rsidR="007B563F" w:rsidRPr="004C5A9C" w:rsidRDefault="007B563F" w:rsidP="00BE7B2A">
      <w:pPr>
        <w:spacing w:line="360" w:lineRule="auto"/>
        <w:rPr>
          <w:rFonts w:ascii="Sakkal Majalla" w:hAnsi="Sakkal Majalla" w:cs="Sakkal Majalla"/>
          <w:b/>
          <w:bCs/>
          <w:color w:val="000000" w:themeColor="text1"/>
          <w:sz w:val="28"/>
          <w:szCs w:val="28"/>
          <w:rtl/>
          <w:lang w:bidi="ar-EG"/>
        </w:rPr>
      </w:pPr>
    </w:p>
    <w:p w14:paraId="190173DE" w14:textId="77777777" w:rsidR="007B563F" w:rsidRPr="004C5A9C" w:rsidRDefault="007B563F" w:rsidP="00BE7B2A">
      <w:pPr>
        <w:spacing w:line="360" w:lineRule="auto"/>
        <w:rPr>
          <w:rFonts w:ascii="Sakkal Majalla" w:hAnsi="Sakkal Majalla" w:cs="Sakkal Majalla"/>
          <w:b/>
          <w:bCs/>
          <w:color w:val="000000" w:themeColor="text1"/>
          <w:sz w:val="28"/>
          <w:szCs w:val="28"/>
          <w:rtl/>
          <w:lang w:bidi="ar-EG"/>
        </w:rPr>
      </w:pPr>
    </w:p>
    <w:p w14:paraId="4F93554E" w14:textId="0B1CE4D8" w:rsidR="00095A04" w:rsidRPr="004C5A9C" w:rsidRDefault="00095A04" w:rsidP="00BE7B2A">
      <w:pPr>
        <w:spacing w:line="360" w:lineRule="auto"/>
        <w:rPr>
          <w:rFonts w:ascii="Sakkal Majalla" w:hAnsi="Sakkal Majalla" w:cs="Sakkal Majalla"/>
          <w:b/>
          <w:bCs/>
          <w:color w:val="000000" w:themeColor="text1"/>
          <w:sz w:val="28"/>
          <w:szCs w:val="28"/>
          <w:rtl/>
          <w:lang w:bidi="ar-EG"/>
        </w:rPr>
      </w:pPr>
    </w:p>
    <w:p w14:paraId="6E83E066" w14:textId="77777777" w:rsidR="00095A04" w:rsidRPr="004C5A9C" w:rsidRDefault="00095A04" w:rsidP="00BE7B2A">
      <w:pPr>
        <w:bidi w:val="0"/>
        <w:spacing w:line="360" w:lineRule="auto"/>
        <w:rPr>
          <w:rFonts w:ascii="Sakkal Majalla" w:hAnsi="Sakkal Majalla" w:cs="Sakkal Majalla"/>
          <w:b/>
          <w:bCs/>
          <w:color w:val="000000" w:themeColor="text1"/>
          <w:sz w:val="28"/>
          <w:szCs w:val="28"/>
          <w:rtl/>
          <w:lang w:bidi="ar-EG"/>
        </w:rPr>
      </w:pPr>
      <w:r w:rsidRPr="004C5A9C">
        <w:rPr>
          <w:rFonts w:ascii="Sakkal Majalla" w:hAnsi="Sakkal Majalla" w:cs="Sakkal Majalla"/>
          <w:b/>
          <w:bCs/>
          <w:color w:val="000000" w:themeColor="text1"/>
          <w:sz w:val="28"/>
          <w:szCs w:val="28"/>
          <w:rtl/>
          <w:lang w:bidi="ar-EG"/>
        </w:rPr>
        <w:br w:type="page"/>
      </w:r>
    </w:p>
    <w:p w14:paraId="732A64D8" w14:textId="77777777" w:rsidR="00FD0057" w:rsidRPr="00FD0057" w:rsidRDefault="00FD0057" w:rsidP="00BE7B2A">
      <w:pPr>
        <w:spacing w:after="0" w:line="360" w:lineRule="auto"/>
        <w:divId w:val="1020618765"/>
        <w:rPr>
          <w:rFonts w:ascii=".AppleSystemUIFont" w:eastAsiaTheme="minorEastAsia" w:hAnsi=".AppleSystemUIFont" w:cs="Times New Roman" w:hint="eastAsia"/>
          <w:b/>
          <w:bCs/>
          <w:kern w:val="0"/>
          <w:sz w:val="36"/>
          <w:szCs w:val="36"/>
          <w:u w:val="single"/>
          <w14:ligatures w14:val="none"/>
        </w:rPr>
      </w:pPr>
      <w:r w:rsidRPr="00FD0057">
        <w:rPr>
          <w:rFonts w:ascii="UICTFontTextStyleBody" w:eastAsiaTheme="minorEastAsia" w:hAnsi="UICTFontTextStyleBody" w:cs="Times New Roman"/>
          <w:b/>
          <w:bCs/>
          <w:kern w:val="0"/>
          <w:sz w:val="36"/>
          <w:szCs w:val="36"/>
          <w:u w:val="single"/>
          <w:rtl/>
          <w14:ligatures w14:val="none"/>
        </w:rPr>
        <w:lastRenderedPageBreak/>
        <w:t>قائمة</w:t>
      </w:r>
      <w:r w:rsidRPr="00FD0057">
        <w:rPr>
          <w:rFonts w:ascii="UICTFontTextStyleEmphasizedBody" w:eastAsiaTheme="minorEastAsia" w:hAnsi="UICTFontTextStyleEmphasizedBody" w:cs="Times New Roman"/>
          <w:b/>
          <w:bCs/>
          <w:kern w:val="0"/>
          <w:sz w:val="36"/>
          <w:szCs w:val="36"/>
          <w:u w:val="single"/>
          <w:rtl/>
          <w14:ligatures w14:val="none"/>
        </w:rPr>
        <w:t xml:space="preserve"> الجـداول</w:t>
      </w:r>
    </w:p>
    <w:p w14:paraId="3C6BA735" w14:textId="77777777" w:rsidR="00FD0057" w:rsidRPr="00FD0057" w:rsidRDefault="00FD0057" w:rsidP="00BE7B2A">
      <w:pPr>
        <w:bidi w:val="0"/>
        <w:spacing w:after="0" w:line="360" w:lineRule="auto"/>
        <w:divId w:val="1020618765"/>
        <w:rPr>
          <w:rFonts w:ascii=".AppleSystemUIFont" w:eastAsiaTheme="minorEastAsia" w:hAnsi=".AppleSystemUIFont" w:cs="Times New Roman" w:hint="eastAsia"/>
          <w:kern w:val="0"/>
          <w:sz w:val="28"/>
          <w:szCs w:val="28"/>
          <w:rtl/>
          <w14:ligatures w14:val="none"/>
        </w:rPr>
      </w:pPr>
    </w:p>
    <w:tbl>
      <w:tblPr>
        <w:tblW w:w="0" w:type="auto"/>
        <w:tblCellMar>
          <w:left w:w="0" w:type="dxa"/>
          <w:right w:w="0" w:type="dxa"/>
        </w:tblCellMar>
        <w:tblLook w:val="04A0" w:firstRow="1" w:lastRow="0" w:firstColumn="1" w:lastColumn="0" w:noHBand="0" w:noVBand="1"/>
      </w:tblPr>
      <w:tblGrid>
        <w:gridCol w:w="846"/>
        <w:gridCol w:w="6904"/>
        <w:gridCol w:w="1066"/>
      </w:tblGrid>
      <w:tr w:rsidR="00FD0057" w:rsidRPr="00FD0057" w14:paraId="1E83A9AA"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FA75F2"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Semibold" w:eastAsiaTheme="minorEastAsia" w:hAnsi=".SFArabic-Semibold" w:cs="Times New Roman"/>
                <w:b/>
                <w:bCs/>
                <w:kern w:val="0"/>
                <w:sz w:val="28"/>
                <w:szCs w:val="28"/>
                <w:rtl/>
                <w14:ligatures w14:val="none"/>
              </w:rPr>
              <w:t>الصفحة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8B88A7" w14:textId="77777777" w:rsidR="00FD0057" w:rsidRPr="00FD0057" w:rsidRDefault="00FD0057" w:rsidP="00BE7B2A">
            <w:pPr>
              <w:spacing w:after="0" w:line="360" w:lineRule="auto"/>
              <w:rPr>
                <w:rFonts w:ascii="Times New Roman" w:eastAsiaTheme="minorEastAsia" w:hAnsi="Times New Roman" w:cs="Times New Roman"/>
                <w:kern w:val="0"/>
                <w:sz w:val="28"/>
                <w:szCs w:val="28"/>
                <w:rtl/>
                <w14:ligatures w14:val="none"/>
              </w:rPr>
            </w:pPr>
            <w:r w:rsidRPr="00FD0057">
              <w:rPr>
                <w:rFonts w:ascii=".SFArabic-Semibold" w:eastAsiaTheme="minorEastAsia" w:hAnsi=".SFArabic-Semibold" w:cs="Times New Roman"/>
                <w:b/>
                <w:bCs/>
                <w:kern w:val="0"/>
                <w:sz w:val="28"/>
                <w:szCs w:val="28"/>
                <w:rtl/>
                <w14:ligatures w14:val="none"/>
              </w:rPr>
              <w:t>عنوان</w:t>
            </w:r>
            <w:r w:rsidRPr="00FD0057">
              <w:rPr>
                <w:rFonts w:ascii="UICTFontTextStyleEmphasizedBody" w:eastAsiaTheme="minorEastAsia" w:hAnsi="UICTFontTextStyleEmphasizedBody" w:cs="Times New Roman"/>
                <w:b/>
                <w:bCs/>
                <w:kern w:val="0"/>
                <w:sz w:val="28"/>
                <w:szCs w:val="28"/>
                <w:rtl/>
                <w14:ligatures w14:val="none"/>
              </w:rPr>
              <w:t xml:space="preserve"> </w:t>
            </w:r>
            <w:r w:rsidRPr="00FD0057">
              <w:rPr>
                <w:rFonts w:ascii=".SFArabic-Semibold" w:eastAsiaTheme="minorEastAsia" w:hAnsi=".SFArabic-Semibold" w:cs="Times New Roman"/>
                <w:b/>
                <w:bCs/>
                <w:kern w:val="0"/>
                <w:sz w:val="28"/>
                <w:szCs w:val="28"/>
                <w:rtl/>
                <w14:ligatures w14:val="none"/>
              </w:rPr>
              <w:t>الجدول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0629F1" w14:textId="77777777" w:rsidR="00FD0057" w:rsidRPr="00FD0057" w:rsidRDefault="00FD0057" w:rsidP="00BE7B2A">
            <w:pPr>
              <w:spacing w:after="0" w:line="360" w:lineRule="auto"/>
              <w:rPr>
                <w:rFonts w:ascii=".SF Arabic" w:eastAsiaTheme="minorEastAsia" w:hAnsi=".SF Arabic" w:cs="Times New Roman" w:hint="eastAsia"/>
                <w:kern w:val="0"/>
                <w:sz w:val="28"/>
                <w:szCs w:val="28"/>
                <w:rtl/>
                <w14:ligatures w14:val="none"/>
              </w:rPr>
            </w:pPr>
            <w:r w:rsidRPr="00FD0057">
              <w:rPr>
                <w:rFonts w:ascii=".SFArabic-Semibold" w:eastAsiaTheme="minorEastAsia" w:hAnsi=".SFArabic-Semibold" w:cs="Times New Roman"/>
                <w:b/>
                <w:bCs/>
                <w:kern w:val="0"/>
                <w:sz w:val="28"/>
                <w:szCs w:val="28"/>
                <w:rtl/>
                <w14:ligatures w14:val="none"/>
              </w:rPr>
              <w:t>رقم</w:t>
            </w:r>
            <w:r w:rsidRPr="00FD0057">
              <w:rPr>
                <w:rFonts w:ascii="UICTFontTextStyleEmphasizedBody" w:eastAsiaTheme="minorEastAsia" w:hAnsi="UICTFontTextStyleEmphasizedBody" w:cs="Times New Roman"/>
                <w:b/>
                <w:bCs/>
                <w:kern w:val="0"/>
                <w:sz w:val="28"/>
                <w:szCs w:val="28"/>
                <w:rtl/>
                <w14:ligatures w14:val="none"/>
              </w:rPr>
              <w:t xml:space="preserve"> </w:t>
            </w:r>
            <w:r w:rsidRPr="00FD0057">
              <w:rPr>
                <w:rFonts w:ascii=".SFArabic-Semibold" w:eastAsiaTheme="minorEastAsia" w:hAnsi=".SFArabic-Semibold" w:cs="Times New Roman"/>
                <w:b/>
                <w:bCs/>
                <w:kern w:val="0"/>
                <w:sz w:val="28"/>
                <w:szCs w:val="28"/>
                <w:rtl/>
                <w14:ligatures w14:val="none"/>
              </w:rPr>
              <w:t>الجدول</w:t>
            </w:r>
          </w:p>
        </w:tc>
      </w:tr>
      <w:tr w:rsidR="00FD0057" w:rsidRPr="00FD0057" w14:paraId="6D3EE7F6"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10B18E" w14:textId="06D23CE1" w:rsidR="00FD0057" w:rsidRPr="00AC13C9" w:rsidRDefault="00AC13C9" w:rsidP="00BE7B2A">
            <w:pPr>
              <w:bidi w:val="0"/>
              <w:spacing w:after="0" w:line="360" w:lineRule="auto"/>
              <w:rPr>
                <w:rFonts w:ascii=".AppleSystemUIFont" w:eastAsiaTheme="minorEastAsia" w:hAnsi=".AppleSystemUIFont" w:cs="Times New Roman" w:hint="eastAsia"/>
                <w:kern w:val="0"/>
                <w:sz w:val="28"/>
                <w:szCs w:val="28"/>
                <w:rtl/>
                <w:lang w:val="en-GB"/>
                <w14:ligatures w14:val="none"/>
              </w:rPr>
            </w:pPr>
            <w:r>
              <w:rPr>
                <w:rFonts w:ascii=".AppleSystemUIFont" w:eastAsiaTheme="minorEastAsia" w:hAnsi=".AppleSystemUIFont" w:cs="Times New Roman"/>
                <w:kern w:val="0"/>
                <w:sz w:val="28"/>
                <w:szCs w:val="28"/>
                <w:lang w:val="en-GB"/>
                <w14:ligatures w14:val="none"/>
              </w:rPr>
              <w:t>92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787A69"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توزيع</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أفراد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العيّنة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حسب</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الجنس</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FD0895"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(1)</w:t>
            </w:r>
          </w:p>
        </w:tc>
      </w:tr>
      <w:tr w:rsidR="00FD0057" w:rsidRPr="00FD0057" w14:paraId="47E7799A"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55AC2D" w14:textId="2D258B5F" w:rsidR="00FD0057" w:rsidRPr="00FD0057" w:rsidRDefault="00AC13C9"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92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BAEBB9"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توزيع</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أفراد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العيّنة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حسب</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المؤهل</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العلمي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F20CF3"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(2)</w:t>
            </w:r>
          </w:p>
        </w:tc>
      </w:tr>
      <w:tr w:rsidR="00FD0057" w:rsidRPr="00FD0057" w14:paraId="19A9AD87"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30F30C" w14:textId="36F0540C" w:rsidR="00FD0057" w:rsidRPr="00FD0057" w:rsidRDefault="00AC13C9"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93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E8CEA0"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توزيع</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أفراد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العيّنة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حسب</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عدد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سنوات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الخبرة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4BC3F6"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(3)</w:t>
            </w:r>
          </w:p>
        </w:tc>
      </w:tr>
      <w:tr w:rsidR="00FD0057" w:rsidRPr="00FD0057" w14:paraId="7B04B368"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72E2F2" w14:textId="0C6BC66C" w:rsidR="00FD0057" w:rsidRPr="00FD0057" w:rsidRDefault="003A5207"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93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791BA7"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توزيع</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أفراد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العيّنة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حسب</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المسمّى</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الوظيفي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26C948"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(4)</w:t>
            </w:r>
          </w:p>
        </w:tc>
      </w:tr>
      <w:tr w:rsidR="00FD0057" w:rsidRPr="00FD0057" w14:paraId="7E1F19EE"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639E54" w14:textId="76E9DEBC" w:rsidR="00FD0057" w:rsidRPr="00FD0057" w:rsidRDefault="003A5207"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88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BDFEF7"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قيم</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الثبات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كرونباخ</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ألفا</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وصدق</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البناء</w:t>
            </w:r>
            <w:r w:rsidRPr="00FD0057">
              <w:rPr>
                <w:rFonts w:ascii="UICTFontTextStyleBody" w:eastAsiaTheme="minorEastAsia" w:hAnsi="UICTFontTextStyleBody" w:cs="Times New Roman"/>
                <w:kern w:val="0"/>
                <w:sz w:val="28"/>
                <w:szCs w:val="28"/>
                <w:rtl/>
                <w14:ligatures w14:val="none"/>
              </w:rPr>
              <w:t xml:space="preserve"> (</w:t>
            </w:r>
            <w:r w:rsidRPr="00FD0057">
              <w:rPr>
                <w:rFonts w:ascii="UICTFontTextStyleBody" w:eastAsiaTheme="minorEastAsia" w:hAnsi="UICTFontTextStyleBody" w:cs="Times New Roman"/>
                <w:kern w:val="0"/>
                <w:sz w:val="28"/>
                <w:szCs w:val="28"/>
                <w14:ligatures w14:val="none"/>
              </w:rPr>
              <w:t>KMO</w:t>
            </w:r>
            <w:r w:rsidRPr="00FD0057">
              <w:rPr>
                <w:rFonts w:ascii="UICTFontTextStyleBody" w:eastAsiaTheme="minorEastAsia" w:hAnsi="UICTFontTextStyleBody" w:cs="Times New Roman"/>
                <w:kern w:val="0"/>
                <w:sz w:val="28"/>
                <w:szCs w:val="28"/>
                <w:rtl/>
                <w14:ligatures w14:val="none"/>
              </w:rPr>
              <w:t xml:space="preserve"> &amp; </w:t>
            </w:r>
            <w:r w:rsidRPr="00FD0057">
              <w:rPr>
                <w:rFonts w:ascii="UICTFontTextStyleBody" w:eastAsiaTheme="minorEastAsia" w:hAnsi="UICTFontTextStyleBody" w:cs="Times New Roman"/>
                <w:kern w:val="0"/>
                <w:sz w:val="28"/>
                <w:szCs w:val="28"/>
                <w14:ligatures w14:val="none"/>
              </w:rPr>
              <w:t>Bartlett</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لأبعاد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الاستبيان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EB2CB5"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(5)</w:t>
            </w:r>
          </w:p>
        </w:tc>
      </w:tr>
      <w:tr w:rsidR="00FD0057" w:rsidRPr="00FD0057" w14:paraId="486967A5"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32BB2C" w14:textId="7402579C" w:rsidR="00FD0057" w:rsidRPr="00FD0057" w:rsidRDefault="004B3D5E"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AppleSystemUIFont" w:eastAsiaTheme="minorEastAsia" w:hAnsi=".AppleSystemUIFont" w:cs="Times New Roman"/>
                <w:kern w:val="0"/>
                <w:sz w:val="28"/>
                <w:szCs w:val="28"/>
                <w14:ligatures w14:val="none"/>
              </w:rPr>
              <w:t>89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433643"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المتوسطات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الحسابية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والانحرافات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المعياريّة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لبنود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الدراسة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8599C8"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(6)</w:t>
            </w:r>
          </w:p>
        </w:tc>
      </w:tr>
      <w:tr w:rsidR="00FD0057" w:rsidRPr="00FD0057" w14:paraId="4BA7951E"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BA048E" w14:textId="25DAA215" w:rsidR="00FD0057" w:rsidRPr="00FD0057" w:rsidRDefault="004B3D5E"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AppleSystemUIFont" w:eastAsiaTheme="minorEastAsia" w:hAnsi=".AppleSystemUIFont" w:cs="Times New Roman"/>
                <w:kern w:val="0"/>
                <w:sz w:val="28"/>
                <w:szCs w:val="28"/>
                <w14:ligatures w14:val="none"/>
              </w:rPr>
              <w:t>90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4D6660"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مصفوفة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معاملات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الارتباط</w:t>
            </w:r>
            <w:r w:rsidRPr="00FD0057">
              <w:rPr>
                <w:rFonts w:ascii="UICTFontTextStyleBody" w:eastAsiaTheme="minorEastAsia" w:hAnsi="UICTFontTextStyleBody" w:cs="Times New Roman"/>
                <w:kern w:val="0"/>
                <w:sz w:val="28"/>
                <w:szCs w:val="28"/>
                <w:rtl/>
                <w14:ligatures w14:val="none"/>
              </w:rPr>
              <w:t xml:space="preserve"> (</w:t>
            </w:r>
            <w:r w:rsidRPr="00FD0057">
              <w:rPr>
                <w:rFonts w:ascii="UICTFontTextStyleBody" w:eastAsiaTheme="minorEastAsia" w:hAnsi="UICTFontTextStyleBody" w:cs="Times New Roman"/>
                <w:kern w:val="0"/>
                <w:sz w:val="28"/>
                <w:szCs w:val="28"/>
                <w14:ligatures w14:val="none"/>
              </w:rPr>
              <w:t>Pearson</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بين</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المتغيرات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الرئيسة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5D197C"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(7)</w:t>
            </w:r>
          </w:p>
        </w:tc>
      </w:tr>
      <w:tr w:rsidR="00FD0057" w:rsidRPr="00FD0057" w14:paraId="748BAEC2"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108F64" w14:textId="25775208" w:rsidR="00FD0057" w:rsidRPr="00FD0057" w:rsidRDefault="004B3D5E"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AppleSystemUIFont" w:eastAsiaTheme="minorEastAsia" w:hAnsi=".AppleSystemUIFont" w:cs="Times New Roman"/>
                <w:kern w:val="0"/>
                <w:sz w:val="28"/>
                <w:szCs w:val="28"/>
                <w14:ligatures w14:val="none"/>
              </w:rPr>
              <w:t>91</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59D3F5"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نتائج</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الانحدار</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المتعدّد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للمسارات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المباشرة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بين</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الخصائص</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التقنيّة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ومخرجات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الرقابة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2535BE"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(8)</w:t>
            </w:r>
          </w:p>
        </w:tc>
      </w:tr>
      <w:tr w:rsidR="00FD0057" w:rsidRPr="00FD0057" w14:paraId="4ABA607C"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BC4888" w14:textId="4DFB789B" w:rsidR="00FD0057" w:rsidRPr="00FD0057" w:rsidRDefault="004B4EFA"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AppleSystemUIFont" w:eastAsiaTheme="minorEastAsia" w:hAnsi=".AppleSystemUIFont" w:cs="Times New Roman"/>
                <w:kern w:val="0"/>
                <w:sz w:val="28"/>
                <w:szCs w:val="28"/>
                <w14:ligatures w14:val="none"/>
              </w:rPr>
              <w:t>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374D38"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نتائج</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تحليل</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المسار</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الوساطة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عبر</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جاهزيّة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المنظِّم</w:t>
            </w:r>
            <w:r w:rsidRPr="00FD0057">
              <w:rPr>
                <w:rFonts w:ascii="UICTFontTextStyleBody" w:eastAsiaTheme="minorEastAsia" w:hAnsi="UICTFontTextStyleBody" w:cs="Times New Roman"/>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9A1F96"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(9)</w:t>
            </w:r>
          </w:p>
        </w:tc>
      </w:tr>
      <w:tr w:rsidR="00FD0057" w:rsidRPr="00FD0057" w14:paraId="4EC81BDC"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144837" w14:textId="297CC26D" w:rsidR="00FD0057" w:rsidRPr="00FD0057" w:rsidRDefault="004B4EFA"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2357A7"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مؤشرات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جودة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المطابقة</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لنموذج</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المعادلات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الهيكليّة</w:t>
            </w:r>
            <w:r w:rsidRPr="00FD0057">
              <w:rPr>
                <w:rFonts w:ascii="UICTFontTextStyleBody" w:eastAsiaTheme="minorEastAsia" w:hAnsi="UICTFontTextStyleBody" w:cs="Times New Roman"/>
                <w:kern w:val="0"/>
                <w:sz w:val="28"/>
                <w:szCs w:val="28"/>
                <w:rtl/>
                <w14:ligatures w14:val="none"/>
              </w:rPr>
              <w:t xml:space="preserve"> (</w:t>
            </w:r>
            <w:r w:rsidRPr="00FD0057">
              <w:rPr>
                <w:rFonts w:ascii="UICTFontTextStyleBody" w:eastAsiaTheme="minorEastAsia" w:hAnsi="UICTFontTextStyleBody" w:cs="Times New Roman"/>
                <w:kern w:val="0"/>
                <w:sz w:val="28"/>
                <w:szCs w:val="28"/>
                <w14:ligatures w14:val="none"/>
              </w:rPr>
              <w:t>CFI, TLI, RMSEA, χ²/df</w:t>
            </w:r>
            <w:r w:rsidRPr="00FD0057">
              <w:rPr>
                <w:rFonts w:ascii="UICTFontTextStyleBody" w:eastAsiaTheme="minorEastAsia" w:hAnsi="UICTFontTextStyleBody" w:cs="Times New Roman"/>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E643E9"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(10)</w:t>
            </w:r>
          </w:p>
        </w:tc>
      </w:tr>
      <w:tr w:rsidR="00FD0057" w:rsidRPr="00FD0057" w14:paraId="6365D7C7"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E19512" w14:textId="4ABAE557" w:rsidR="00FD0057" w:rsidRPr="00FD0057" w:rsidRDefault="004B4EFA"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20BEB1"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تحليل</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التباين</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المسموح</w:t>
            </w:r>
            <w:r w:rsidRPr="00FD0057">
              <w:rPr>
                <w:rFonts w:ascii="UICTFontTextStyleBody" w:eastAsiaTheme="minorEastAsia" w:hAnsi="UICTFontTextStyleBody" w:cs="Times New Roman"/>
                <w:kern w:val="0"/>
                <w:sz w:val="28"/>
                <w:szCs w:val="28"/>
                <w:rtl/>
                <w14:ligatures w14:val="none"/>
              </w:rPr>
              <w:t xml:space="preserve"> (</w:t>
            </w:r>
            <w:r w:rsidRPr="00FD0057">
              <w:rPr>
                <w:rFonts w:ascii="UICTFontTextStyleBody" w:eastAsiaTheme="minorEastAsia" w:hAnsi="UICTFontTextStyleBody" w:cs="Times New Roman"/>
                <w:kern w:val="0"/>
                <w:sz w:val="28"/>
                <w:szCs w:val="28"/>
                <w14:ligatures w14:val="none"/>
              </w:rPr>
              <w:t>Tolerance</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وعامل</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تضخّم</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التباين</w:t>
            </w:r>
            <w:r w:rsidRPr="00FD0057">
              <w:rPr>
                <w:rFonts w:ascii="UICTFontTextStyleBody" w:eastAsiaTheme="minorEastAsia" w:hAnsi="UICTFontTextStyleBody" w:cs="Times New Roman"/>
                <w:kern w:val="0"/>
                <w:sz w:val="28"/>
                <w:szCs w:val="28"/>
                <w:rtl/>
                <w14:ligatures w14:val="none"/>
              </w:rPr>
              <w:t xml:space="preserve"> (</w:t>
            </w:r>
            <w:r w:rsidRPr="00FD0057">
              <w:rPr>
                <w:rFonts w:ascii="UICTFontTextStyleBody" w:eastAsiaTheme="minorEastAsia" w:hAnsi="UICTFontTextStyleBody" w:cs="Times New Roman"/>
                <w:kern w:val="0"/>
                <w:sz w:val="28"/>
                <w:szCs w:val="28"/>
                <w14:ligatures w14:val="none"/>
              </w:rPr>
              <w:t>VIF</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للكشف</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عن</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تعدّد</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الانحدار</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403609"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(11)</w:t>
            </w:r>
          </w:p>
        </w:tc>
      </w:tr>
      <w:tr w:rsidR="00FD0057" w:rsidRPr="00FD0057" w14:paraId="518558A5" w14:textId="77777777">
        <w:trPr>
          <w:divId w:val="102061876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13DC56" w14:textId="2C31AD13" w:rsidR="00FD0057" w:rsidRPr="00FD0057" w:rsidRDefault="004B4EFA"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F8B06C" w14:textId="77777777" w:rsidR="00FD0057" w:rsidRPr="00FD0057" w:rsidRDefault="00FD0057" w:rsidP="00BE7B2A">
            <w:pPr>
              <w:spacing w:after="0" w:line="360" w:lineRule="auto"/>
              <w:rPr>
                <w:rFonts w:ascii=".SF Arabic" w:eastAsiaTheme="minorEastAsia" w:hAnsi=".SF Arabic" w:cs="Times New Roman" w:hint="eastAsia"/>
                <w:kern w:val="0"/>
                <w:sz w:val="28"/>
                <w:szCs w:val="28"/>
                <w14:ligatures w14:val="none"/>
              </w:rPr>
            </w:pPr>
            <w:r w:rsidRPr="00FD0057">
              <w:rPr>
                <w:rFonts w:ascii=".SFArabic-Regular" w:eastAsiaTheme="minorEastAsia" w:hAnsi=".SFArabic-Regular" w:cs="Times New Roman"/>
                <w:kern w:val="0"/>
                <w:sz w:val="28"/>
                <w:szCs w:val="28"/>
                <w:rtl/>
                <w14:ligatures w14:val="none"/>
              </w:rPr>
              <w:t>نتائج</w:t>
            </w:r>
            <w:r w:rsidRPr="00FD0057">
              <w:rPr>
                <w:rFonts w:ascii="UICTFontTextStyleBody" w:eastAsiaTheme="minorEastAsia" w:hAnsi="UICTFontTextStyleBody" w:cs="Times New Roman"/>
                <w:kern w:val="0"/>
                <w:sz w:val="28"/>
                <w:szCs w:val="28"/>
                <w:rtl/>
                <w14:ligatures w14:val="none"/>
              </w:rPr>
              <w:t xml:space="preserve"> </w:t>
            </w:r>
            <w:r w:rsidRPr="00FD0057">
              <w:rPr>
                <w:rFonts w:ascii="UICTFontTextStyleBody" w:eastAsiaTheme="minorEastAsia" w:hAnsi="UICTFontTextStyleBody" w:cs="Times New Roman"/>
                <w:kern w:val="0"/>
                <w:sz w:val="28"/>
                <w:szCs w:val="28"/>
                <w14:ligatures w14:val="none"/>
              </w:rPr>
              <w:t>Bootstrapping</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للمسارات</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غير</w:t>
            </w:r>
            <w:r w:rsidRPr="00FD0057">
              <w:rPr>
                <w:rFonts w:ascii="UICTFontTextStyleBody" w:eastAsiaTheme="minorEastAsia" w:hAnsi="UICTFontTextStyleBody" w:cs="Times New Roman"/>
                <w:kern w:val="0"/>
                <w:sz w:val="28"/>
                <w:szCs w:val="28"/>
                <w:rtl/>
                <w14:ligatures w14:val="none"/>
              </w:rPr>
              <w:t xml:space="preserve"> </w:t>
            </w:r>
            <w:r w:rsidRPr="00FD0057">
              <w:rPr>
                <w:rFonts w:ascii=".SFArabic-Regular" w:eastAsiaTheme="minorEastAsia" w:hAnsi=".SFArabic-Regular" w:cs="Times New Roman"/>
                <w:kern w:val="0"/>
                <w:sz w:val="28"/>
                <w:szCs w:val="28"/>
                <w:rtl/>
                <w14:ligatures w14:val="none"/>
              </w:rPr>
              <w:t>المباشرة</w:t>
            </w:r>
            <w:r w:rsidRPr="00FD0057">
              <w:rPr>
                <w:rFonts w:ascii="UICTFontTextStyleBody" w:eastAsiaTheme="minorEastAsia" w:hAnsi="UICTFontTextStyleBody" w:cs="Times New Roman"/>
                <w:kern w:val="0"/>
                <w:sz w:val="28"/>
                <w:szCs w:val="28"/>
                <w:rtl/>
                <w14:ligatures w14:val="none"/>
              </w:rPr>
              <w:t xml:space="preserve"> (5 000 </w:t>
            </w:r>
            <w:r w:rsidRPr="00FD0057">
              <w:rPr>
                <w:rFonts w:ascii=".SFArabic-Regular" w:eastAsiaTheme="minorEastAsia" w:hAnsi=".SFArabic-Regular" w:cs="Times New Roman"/>
                <w:kern w:val="0"/>
                <w:sz w:val="28"/>
                <w:szCs w:val="28"/>
                <w:rtl/>
                <w14:ligatures w14:val="none"/>
              </w:rPr>
              <w:t>إعادة</w:t>
            </w:r>
            <w:r w:rsidRPr="00FD0057">
              <w:rPr>
                <w:rFonts w:ascii="UICTFontTextStyleBody" w:eastAsiaTheme="minorEastAsia" w:hAnsi="UICTFontTextStyleBody" w:cs="Times New Roman"/>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950FA0" w14:textId="77777777" w:rsidR="00FD0057" w:rsidRPr="00FD0057" w:rsidRDefault="00FD0057"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FD0057">
              <w:rPr>
                <w:rFonts w:ascii="UICTFontTextStyleBody" w:eastAsiaTheme="minorEastAsia" w:hAnsi="UICTFontTextStyleBody" w:cs="Times New Roman"/>
                <w:kern w:val="0"/>
                <w:sz w:val="28"/>
                <w:szCs w:val="28"/>
                <w14:ligatures w14:val="none"/>
              </w:rPr>
              <w:t>(12)</w:t>
            </w:r>
          </w:p>
        </w:tc>
      </w:tr>
    </w:tbl>
    <w:p w14:paraId="129577AD" w14:textId="74CC9A52" w:rsidR="00095A04" w:rsidRPr="004C5A9C" w:rsidRDefault="00095A04" w:rsidP="00BE7B2A">
      <w:pPr>
        <w:spacing w:line="360" w:lineRule="auto"/>
        <w:rPr>
          <w:rFonts w:ascii="Sakkal Majalla" w:hAnsi="Sakkal Majalla" w:cs="Sakkal Majalla"/>
          <w:b/>
          <w:bCs/>
          <w:color w:val="000000" w:themeColor="text1"/>
          <w:sz w:val="28"/>
          <w:szCs w:val="28"/>
          <w:rtl/>
          <w:lang w:bidi="ar-EG"/>
        </w:rPr>
      </w:pPr>
    </w:p>
    <w:p w14:paraId="63742CB2" w14:textId="63526E92" w:rsidR="002778DE" w:rsidRPr="004C5A9C" w:rsidRDefault="002778DE" w:rsidP="00BE7B2A">
      <w:pPr>
        <w:bidi w:val="0"/>
        <w:spacing w:line="360" w:lineRule="auto"/>
        <w:jc w:val="right"/>
        <w:rPr>
          <w:rFonts w:ascii="Sakkal Majalla" w:hAnsi="Sakkal Majalla" w:cs="Sakkal Majalla"/>
          <w:b/>
          <w:bCs/>
          <w:color w:val="000000" w:themeColor="text1"/>
          <w:sz w:val="36"/>
          <w:szCs w:val="36"/>
          <w:u w:val="single"/>
          <w:lang w:bidi="ar-EG"/>
        </w:rPr>
      </w:pPr>
      <w:r w:rsidRPr="004C5A9C">
        <w:rPr>
          <w:rFonts w:ascii="Sakkal Majalla" w:hAnsi="Sakkal Majalla" w:cs="Sakkal Majalla"/>
          <w:b/>
          <w:bCs/>
          <w:color w:val="000000" w:themeColor="text1"/>
          <w:sz w:val="36"/>
          <w:szCs w:val="36"/>
          <w:u w:val="single"/>
          <w:rtl/>
          <w:lang w:bidi="ar-EG"/>
        </w:rPr>
        <w:br w:type="page"/>
      </w:r>
      <w:r w:rsidRPr="004C5A9C">
        <w:rPr>
          <w:rFonts w:ascii="UICTFontTextStyleBody" w:hAnsi="UICTFontTextStyleBody"/>
          <w:b/>
          <w:bCs/>
          <w:sz w:val="36"/>
          <w:szCs w:val="36"/>
          <w:u w:val="single"/>
          <w:rtl/>
        </w:rPr>
        <w:lastRenderedPageBreak/>
        <w:t>فهرس</w:t>
      </w:r>
      <w:r w:rsidRPr="004C5A9C">
        <w:rPr>
          <w:rFonts w:ascii="UICTFontTextStyleEmphasizedBody" w:hAnsi="UICTFontTextStyleEmphasizedBody"/>
          <w:b/>
          <w:bCs/>
          <w:sz w:val="36"/>
          <w:szCs w:val="36"/>
          <w:u w:val="single"/>
          <w:rtl/>
        </w:rPr>
        <w:t xml:space="preserve"> الأشكــال</w:t>
      </w:r>
    </w:p>
    <w:p w14:paraId="7AE382B9" w14:textId="77777777" w:rsidR="002778DE" w:rsidRPr="002778DE" w:rsidRDefault="002778DE" w:rsidP="00BE7B2A">
      <w:pPr>
        <w:bidi w:val="0"/>
        <w:spacing w:after="0" w:line="360" w:lineRule="auto"/>
        <w:divId w:val="1775443907"/>
        <w:rPr>
          <w:rFonts w:ascii=".AppleSystemUIFont" w:eastAsiaTheme="minorEastAsia" w:hAnsi=".AppleSystemUIFont" w:cs="Times New Roman" w:hint="eastAsia"/>
          <w:kern w:val="0"/>
          <w:sz w:val="28"/>
          <w:szCs w:val="28"/>
          <w:rtl/>
          <w14:ligatures w14:val="none"/>
        </w:rPr>
      </w:pPr>
    </w:p>
    <w:tbl>
      <w:tblPr>
        <w:tblW w:w="0" w:type="auto"/>
        <w:tblCellMar>
          <w:left w:w="0" w:type="dxa"/>
          <w:right w:w="0" w:type="dxa"/>
        </w:tblCellMar>
        <w:tblLook w:val="04A0" w:firstRow="1" w:lastRow="0" w:firstColumn="1" w:lastColumn="0" w:noHBand="0" w:noVBand="1"/>
      </w:tblPr>
      <w:tblGrid>
        <w:gridCol w:w="846"/>
        <w:gridCol w:w="7030"/>
        <w:gridCol w:w="940"/>
      </w:tblGrid>
      <w:tr w:rsidR="002778DE" w:rsidRPr="002778DE" w14:paraId="285CB103"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1B0027"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Semibold" w:eastAsiaTheme="minorEastAsia" w:hAnsi=".SFArabic-Semibold" w:cs="Times New Roman"/>
                <w:b/>
                <w:bCs/>
                <w:kern w:val="0"/>
                <w:sz w:val="28"/>
                <w:szCs w:val="28"/>
                <w:rtl/>
                <w14:ligatures w14:val="none"/>
              </w:rPr>
              <w:t>الصفحة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E17EE7" w14:textId="77777777" w:rsidR="002778DE" w:rsidRPr="002778DE" w:rsidRDefault="002778DE" w:rsidP="00BE7B2A">
            <w:pPr>
              <w:spacing w:after="0" w:line="360" w:lineRule="auto"/>
              <w:rPr>
                <w:rFonts w:ascii="Times New Roman" w:eastAsiaTheme="minorEastAsia" w:hAnsi="Times New Roman" w:cs="Times New Roman"/>
                <w:kern w:val="0"/>
                <w:sz w:val="28"/>
                <w:szCs w:val="28"/>
                <w:rtl/>
                <w14:ligatures w14:val="none"/>
              </w:rPr>
            </w:pPr>
            <w:r w:rsidRPr="002778DE">
              <w:rPr>
                <w:rFonts w:ascii=".SFArabic-Semibold" w:eastAsiaTheme="minorEastAsia" w:hAnsi=".SFArabic-Semibold" w:cs="Times New Roman"/>
                <w:b/>
                <w:bCs/>
                <w:kern w:val="0"/>
                <w:sz w:val="28"/>
                <w:szCs w:val="28"/>
                <w:rtl/>
                <w14:ligatures w14:val="none"/>
              </w:rPr>
              <w:t>عنوان</w:t>
            </w:r>
            <w:r w:rsidRPr="002778DE">
              <w:rPr>
                <w:rFonts w:ascii="UICTFontTextStyleEmphasizedBody" w:eastAsiaTheme="minorEastAsia" w:hAnsi="UICTFontTextStyleEmphasizedBody" w:cs="Times New Roman"/>
                <w:b/>
                <w:bCs/>
                <w:kern w:val="0"/>
                <w:sz w:val="28"/>
                <w:szCs w:val="28"/>
                <w:rtl/>
                <w14:ligatures w14:val="none"/>
              </w:rPr>
              <w:t xml:space="preserve"> </w:t>
            </w:r>
            <w:r w:rsidRPr="002778DE">
              <w:rPr>
                <w:rFonts w:ascii=".SFArabic-Semibold" w:eastAsiaTheme="minorEastAsia" w:hAnsi=".SFArabic-Semibold" w:cs="Times New Roman"/>
                <w:b/>
                <w:bCs/>
                <w:kern w:val="0"/>
                <w:sz w:val="28"/>
                <w:szCs w:val="28"/>
                <w:rtl/>
                <w14:ligatures w14:val="none"/>
              </w:rPr>
              <w:t>الشكل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CE609A" w14:textId="77777777" w:rsidR="002778DE" w:rsidRPr="002778DE" w:rsidRDefault="002778DE" w:rsidP="00BE7B2A">
            <w:pPr>
              <w:spacing w:after="0" w:line="360" w:lineRule="auto"/>
              <w:rPr>
                <w:rFonts w:ascii=".SF Arabic" w:eastAsiaTheme="minorEastAsia" w:hAnsi=".SF Arabic" w:cs="Times New Roman" w:hint="eastAsia"/>
                <w:kern w:val="0"/>
                <w:sz w:val="28"/>
                <w:szCs w:val="28"/>
                <w:rtl/>
                <w14:ligatures w14:val="none"/>
              </w:rPr>
            </w:pPr>
            <w:r w:rsidRPr="002778DE">
              <w:rPr>
                <w:rFonts w:ascii=".SFArabic-Semibold" w:eastAsiaTheme="minorEastAsia" w:hAnsi=".SFArabic-Semibold" w:cs="Times New Roman"/>
                <w:b/>
                <w:bCs/>
                <w:kern w:val="0"/>
                <w:sz w:val="28"/>
                <w:szCs w:val="28"/>
                <w:rtl/>
                <w14:ligatures w14:val="none"/>
              </w:rPr>
              <w:t>رقم</w:t>
            </w:r>
            <w:r w:rsidRPr="002778DE">
              <w:rPr>
                <w:rFonts w:ascii="UICTFontTextStyleEmphasizedBody" w:eastAsiaTheme="minorEastAsia" w:hAnsi="UICTFontTextStyleEmphasizedBody" w:cs="Times New Roman"/>
                <w:b/>
                <w:bCs/>
                <w:kern w:val="0"/>
                <w:sz w:val="28"/>
                <w:szCs w:val="28"/>
                <w:rtl/>
                <w14:ligatures w14:val="none"/>
              </w:rPr>
              <w:t xml:space="preserve"> </w:t>
            </w:r>
            <w:r w:rsidRPr="002778DE">
              <w:rPr>
                <w:rFonts w:ascii=".SFArabic-Semibold" w:eastAsiaTheme="minorEastAsia" w:hAnsi=".SFArabic-Semibold" w:cs="Times New Roman"/>
                <w:b/>
                <w:bCs/>
                <w:kern w:val="0"/>
                <w:sz w:val="28"/>
                <w:szCs w:val="28"/>
                <w:rtl/>
                <w14:ligatures w14:val="none"/>
              </w:rPr>
              <w:t>الشكل</w:t>
            </w:r>
          </w:p>
        </w:tc>
      </w:tr>
      <w:tr w:rsidR="002778DE" w:rsidRPr="002778DE" w14:paraId="6F412119"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FF9B5B" w14:textId="38143172" w:rsidR="002778DE" w:rsidRPr="002778DE" w:rsidRDefault="004B4EFA" w:rsidP="00BE7B2A">
            <w:pPr>
              <w:bidi w:val="0"/>
              <w:spacing w:after="0" w:line="360" w:lineRule="auto"/>
              <w:rPr>
                <w:rFonts w:ascii=".AppleSystemUIFont" w:eastAsiaTheme="minorEastAsia" w:hAnsi=".AppleSystemUIFont" w:cs="Times New Roman" w:hint="eastAsia"/>
                <w:kern w:val="0"/>
                <w:sz w:val="28"/>
                <w:szCs w:val="28"/>
                <w:rtl/>
                <w14:ligatures w14:val="none"/>
              </w:rPr>
            </w:pPr>
            <w:r>
              <w:rPr>
                <w:rFonts w:ascii="UICTFontTextStyleBody" w:eastAsiaTheme="minorEastAsia" w:hAnsi="UICTFontTextStyleBody" w:cs="Times New Roman"/>
                <w:kern w:val="0"/>
                <w:sz w:val="28"/>
                <w:szCs w:val="28"/>
                <w14:ligatures w14:val="none"/>
              </w:rPr>
              <w:t>92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F7AEAE"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توزيع</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أفراد</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العيّنة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حسب</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الجنس</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F4FAAA"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(1)</w:t>
            </w:r>
          </w:p>
        </w:tc>
      </w:tr>
      <w:tr w:rsidR="002778DE" w:rsidRPr="002778DE" w14:paraId="74921577"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9FB804" w14:textId="10E47BD2" w:rsidR="002778DE" w:rsidRPr="002778DE" w:rsidRDefault="004B4EFA"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93</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63358F"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توزيع</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أفراد</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العيّنة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حسب</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المؤهل</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العلمي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0AB36C"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(2)</w:t>
            </w:r>
          </w:p>
        </w:tc>
      </w:tr>
      <w:tr w:rsidR="002778DE" w:rsidRPr="002778DE" w14:paraId="4127A5C7"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4E7144" w14:textId="3DBB963F" w:rsidR="002778DE" w:rsidRPr="002778DE" w:rsidRDefault="004B4EFA"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94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5BFAEC"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توزيع</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أفراد</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العيّنة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حسب</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عدد</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سنوات</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الخبرة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B5F292"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(3)</w:t>
            </w:r>
          </w:p>
        </w:tc>
      </w:tr>
      <w:tr w:rsidR="002778DE" w:rsidRPr="002778DE" w14:paraId="393289D1"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0F9BDC" w14:textId="273D9C41" w:rsidR="002778DE" w:rsidRPr="002778DE" w:rsidRDefault="00C4214B"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95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DB1539"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توزيع</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أفراد</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العيّنة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حسب</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المسمّى</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الوظيفي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C9FE6E"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(4)</w:t>
            </w:r>
          </w:p>
        </w:tc>
      </w:tr>
      <w:tr w:rsidR="002778DE" w:rsidRPr="002778DE" w14:paraId="10AB1381"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DDF82E" w14:textId="55008413" w:rsidR="002778DE" w:rsidRPr="002778DE" w:rsidRDefault="00C4214B"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95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86F412"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الإطار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المفاهيمي</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المقترَح</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لتأثير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الخصائص</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التقنيّة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للبنوك</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الرقميّة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على</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مخرجات</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الرقابة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عبر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جاهزيّة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المنظِّم</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4E3DF0"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(5)</w:t>
            </w:r>
          </w:p>
        </w:tc>
      </w:tr>
      <w:tr w:rsidR="002778DE" w:rsidRPr="002778DE" w14:paraId="43CD9913"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180453" w14:textId="554183E5" w:rsidR="002778DE" w:rsidRPr="002778DE" w:rsidRDefault="00C4214B"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60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6A8A11"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نموذج</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المسار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الهيكلي</w:t>
            </w:r>
            <w:r w:rsidRPr="002778DE">
              <w:rPr>
                <w:rFonts w:ascii="UICTFontTextStyleBody" w:eastAsiaTheme="minorEastAsia" w:hAnsi="UICTFontTextStyleBody" w:cs="Times New Roman"/>
                <w:kern w:val="0"/>
                <w:sz w:val="28"/>
                <w:szCs w:val="28"/>
                <w:rtl/>
                <w14:ligatures w14:val="none"/>
              </w:rPr>
              <w:t xml:space="preserve"> (</w:t>
            </w:r>
            <w:r w:rsidRPr="002778DE">
              <w:rPr>
                <w:rFonts w:ascii="UICTFontTextStyleBody" w:eastAsiaTheme="minorEastAsia" w:hAnsi="UICTFontTextStyleBody" w:cs="Times New Roman"/>
                <w:kern w:val="0"/>
                <w:sz w:val="28"/>
                <w:szCs w:val="28"/>
                <w14:ligatures w14:val="none"/>
              </w:rPr>
              <w:t>SEM</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بعد</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التقدير</w:t>
            </w:r>
            <w:r w:rsidRPr="002778DE">
              <w:rPr>
                <w:rFonts w:ascii="UICTFontTextStyleBody" w:eastAsiaTheme="minorEastAsia" w:hAnsi="UICTFontTextStyleBody" w:cs="Times New Roman"/>
                <w:kern w:val="0"/>
                <w:sz w:val="28"/>
                <w:szCs w:val="28"/>
                <w:rtl/>
                <w14:ligatures w14:val="none"/>
              </w:rPr>
              <w:t xml:space="preserve"> – </w:t>
            </w:r>
            <w:r w:rsidRPr="002778DE">
              <w:rPr>
                <w:rFonts w:ascii=".SFArabic-Regular" w:eastAsiaTheme="minorEastAsia" w:hAnsi=".SFArabic-Regular" w:cs="Times New Roman"/>
                <w:kern w:val="0"/>
                <w:sz w:val="28"/>
                <w:szCs w:val="28"/>
                <w:rtl/>
                <w14:ligatures w14:val="none"/>
              </w:rPr>
              <w:t>القيم</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المعياريّة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لمسارات</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التأثير</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3F8491"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(6)</w:t>
            </w:r>
          </w:p>
        </w:tc>
      </w:tr>
      <w:tr w:rsidR="002778DE" w:rsidRPr="002778DE" w14:paraId="1867CB17"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76450B" w14:textId="6D621E34" w:rsidR="002778DE" w:rsidRPr="002778DE" w:rsidRDefault="00C81CDB"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77</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439A59"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قيم</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مطابقة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النموذج</w:t>
            </w:r>
            <w:r w:rsidRPr="002778DE">
              <w:rPr>
                <w:rFonts w:ascii="UICTFontTextStyleBody" w:eastAsiaTheme="minorEastAsia" w:hAnsi="UICTFontTextStyleBody" w:cs="Times New Roman"/>
                <w:kern w:val="0"/>
                <w:sz w:val="28"/>
                <w:szCs w:val="28"/>
                <w:rtl/>
                <w14:ligatures w14:val="none"/>
              </w:rPr>
              <w:t xml:space="preserve"> (</w:t>
            </w:r>
            <w:r w:rsidRPr="002778DE">
              <w:rPr>
                <w:rFonts w:ascii="UICTFontTextStyleBody" w:eastAsiaTheme="minorEastAsia" w:hAnsi="UICTFontTextStyleBody" w:cs="Times New Roman"/>
                <w:kern w:val="0"/>
                <w:sz w:val="28"/>
                <w:szCs w:val="28"/>
                <w14:ligatures w14:val="none"/>
              </w:rPr>
              <w:t>CFI, TLI, RMSEA</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مقارنة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بالمعايير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المقبولة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8542FD"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(7)</w:t>
            </w:r>
          </w:p>
        </w:tc>
      </w:tr>
      <w:tr w:rsidR="002778DE" w:rsidRPr="002778DE" w14:paraId="7E343820"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E6E966" w14:textId="7ED0ACB8" w:rsidR="002778DE" w:rsidRPr="002778DE" w:rsidRDefault="00C81CDB"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78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94E92A"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مخطط</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المقارنة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بين</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البنوك</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الرقميّة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المركزيّة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واللامركزيّة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في</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محاور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التكامل</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المفتوح</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والأمن</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السيبراني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C1B472"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(8)</w:t>
            </w:r>
          </w:p>
        </w:tc>
      </w:tr>
      <w:tr w:rsidR="002778DE" w:rsidRPr="002778DE" w14:paraId="77BAE230"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5A251A" w14:textId="5FCE2030" w:rsidR="002778DE" w:rsidRPr="002778DE" w:rsidRDefault="00C81CDB"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UICTFontTextStyleBody" w:eastAsiaTheme="minorEastAsia" w:hAnsi="UICTFontTextStyleBody" w:cs="Times New Roman"/>
                <w:kern w:val="0"/>
                <w:sz w:val="28"/>
                <w:szCs w:val="28"/>
                <w14:ligatures w14:val="none"/>
              </w:rPr>
              <w:t>79</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4E2B7E"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خارطة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الطريق</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الزمنية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المكوّنة</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من</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ثلاث</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مراحل</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لتطوير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الإطار</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الرقابي</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الرقمي</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في</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المملكة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E73A78"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(9)</w:t>
            </w:r>
          </w:p>
        </w:tc>
      </w:tr>
      <w:tr w:rsidR="002778DE" w:rsidRPr="002778DE" w14:paraId="41D3518F" w14:textId="77777777">
        <w:trPr>
          <w:divId w:val="177544390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84338D" w14:textId="23E0CD39" w:rsidR="002778DE" w:rsidRPr="002778DE" w:rsidRDefault="00C81CDB" w:rsidP="00BE7B2A">
            <w:pPr>
              <w:bidi w:val="0"/>
              <w:spacing w:after="0" w:line="360" w:lineRule="auto"/>
              <w:rPr>
                <w:rFonts w:ascii=".AppleSystemUIFont" w:eastAsiaTheme="minorEastAsia" w:hAnsi=".AppleSystemUIFont" w:cs="Times New Roman" w:hint="eastAsia"/>
                <w:kern w:val="0"/>
                <w:sz w:val="28"/>
                <w:szCs w:val="28"/>
                <w14:ligatures w14:val="none"/>
              </w:rPr>
            </w:pPr>
            <w:r>
              <w:rPr>
                <w:rFonts w:ascii=".AppleSystemUIFont" w:eastAsiaTheme="minorEastAsia" w:hAnsi=".AppleSystemUIFont" w:cs="Times New Roman"/>
                <w:kern w:val="0"/>
                <w:sz w:val="28"/>
                <w:szCs w:val="28"/>
                <w14:ligatures w14:val="none"/>
              </w:rPr>
              <w:t>80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BA7DDF" w14:textId="77777777" w:rsidR="002778DE" w:rsidRPr="002778DE" w:rsidRDefault="002778DE" w:rsidP="00BE7B2A">
            <w:pPr>
              <w:spacing w:after="0" w:line="360" w:lineRule="auto"/>
              <w:rPr>
                <w:rFonts w:ascii=".SF Arabic" w:eastAsiaTheme="minorEastAsia" w:hAnsi=".SF Arabic" w:cs="Times New Roman" w:hint="eastAsia"/>
                <w:kern w:val="0"/>
                <w:sz w:val="28"/>
                <w:szCs w:val="28"/>
                <w14:ligatures w14:val="none"/>
              </w:rPr>
            </w:pPr>
            <w:r w:rsidRPr="002778DE">
              <w:rPr>
                <w:rFonts w:ascii=".SFArabic-Regular" w:eastAsiaTheme="minorEastAsia" w:hAnsi=".SFArabic-Regular" w:cs="Times New Roman"/>
                <w:kern w:val="0"/>
                <w:sz w:val="28"/>
                <w:szCs w:val="28"/>
                <w:rtl/>
                <w14:ligatures w14:val="none"/>
              </w:rPr>
              <w:t>نموذج</w:t>
            </w:r>
            <w:r w:rsidRPr="002778DE">
              <w:rPr>
                <w:rFonts w:ascii="UICTFontTextStyleBody" w:eastAsiaTheme="minorEastAsia" w:hAnsi="UICTFontTextStyleBody" w:cs="Times New Roman"/>
                <w:kern w:val="0"/>
                <w:sz w:val="28"/>
                <w:szCs w:val="28"/>
                <w:rtl/>
                <w14:ligatures w14:val="none"/>
              </w:rPr>
              <w:t xml:space="preserve"> </w:t>
            </w:r>
            <w:r w:rsidRPr="002778DE">
              <w:rPr>
                <w:rFonts w:ascii="UICTFontTextStyleBody" w:eastAsiaTheme="minorEastAsia" w:hAnsi="UICTFontTextStyleBody" w:cs="Times New Roman"/>
                <w:kern w:val="0"/>
                <w:sz w:val="28"/>
                <w:szCs w:val="28"/>
                <w14:ligatures w14:val="none"/>
              </w:rPr>
              <w:t>SupTech</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اللحظي</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المقترَح</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لتبادل</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البيانات</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بين</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المنظّم</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والبنوك</w:t>
            </w:r>
            <w:r w:rsidRPr="002778DE">
              <w:rPr>
                <w:rFonts w:ascii="UICTFontTextStyleBody" w:eastAsiaTheme="minorEastAsia" w:hAnsi="UICTFontTextStyleBody" w:cs="Times New Roman"/>
                <w:kern w:val="0"/>
                <w:sz w:val="28"/>
                <w:szCs w:val="28"/>
                <w:rtl/>
                <w14:ligatures w14:val="none"/>
              </w:rPr>
              <w:t xml:space="preserve"> </w:t>
            </w:r>
            <w:r w:rsidRPr="002778DE">
              <w:rPr>
                <w:rFonts w:ascii=".SFArabic-Regular" w:eastAsiaTheme="minorEastAsia" w:hAnsi=".SFArabic-Regular" w:cs="Times New Roman"/>
                <w:kern w:val="0"/>
                <w:sz w:val="28"/>
                <w:szCs w:val="28"/>
                <w:rtl/>
                <w14:ligatures w14:val="none"/>
              </w:rPr>
              <w:t>الرقميّة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7B78BA" w14:textId="77777777" w:rsidR="002778DE" w:rsidRPr="002778DE" w:rsidRDefault="002778DE" w:rsidP="00BE7B2A">
            <w:pPr>
              <w:bidi w:val="0"/>
              <w:spacing w:after="0" w:line="360" w:lineRule="auto"/>
              <w:rPr>
                <w:rFonts w:ascii=".AppleSystemUIFont" w:eastAsiaTheme="minorEastAsia" w:hAnsi=".AppleSystemUIFont" w:cs="Times New Roman" w:hint="eastAsia"/>
                <w:kern w:val="0"/>
                <w:sz w:val="28"/>
                <w:szCs w:val="28"/>
                <w:rtl/>
                <w14:ligatures w14:val="none"/>
              </w:rPr>
            </w:pPr>
            <w:r w:rsidRPr="002778DE">
              <w:rPr>
                <w:rFonts w:ascii="UICTFontTextStyleBody" w:eastAsiaTheme="minorEastAsia" w:hAnsi="UICTFontTextStyleBody" w:cs="Times New Roman"/>
                <w:kern w:val="0"/>
                <w:sz w:val="28"/>
                <w:szCs w:val="28"/>
                <w14:ligatures w14:val="none"/>
              </w:rPr>
              <w:t>(10)</w:t>
            </w:r>
          </w:p>
        </w:tc>
      </w:tr>
    </w:tbl>
    <w:p w14:paraId="5A6A4E76" w14:textId="62ECBA8E" w:rsidR="002778DE" w:rsidRPr="004C5A9C" w:rsidRDefault="002778DE" w:rsidP="00BE7B2A">
      <w:pPr>
        <w:bidi w:val="0"/>
        <w:spacing w:line="360" w:lineRule="auto"/>
        <w:rPr>
          <w:rFonts w:ascii="Sakkal Majalla" w:hAnsi="Sakkal Majalla" w:cs="Sakkal Majalla"/>
          <w:b/>
          <w:bCs/>
          <w:color w:val="000000" w:themeColor="text1"/>
          <w:sz w:val="28"/>
          <w:szCs w:val="28"/>
          <w:rtl/>
          <w:lang w:bidi="ar-EG"/>
        </w:rPr>
      </w:pPr>
    </w:p>
    <w:p w14:paraId="597A3158" w14:textId="77777777" w:rsidR="00095A04" w:rsidRPr="004C5A9C" w:rsidRDefault="00095A04" w:rsidP="00BE7B2A">
      <w:pPr>
        <w:bidi w:val="0"/>
        <w:spacing w:line="360" w:lineRule="auto"/>
        <w:rPr>
          <w:rFonts w:ascii="Sakkal Majalla" w:hAnsi="Sakkal Majalla" w:cs="Sakkal Majalla"/>
          <w:b/>
          <w:bCs/>
          <w:color w:val="000000" w:themeColor="text1"/>
          <w:sz w:val="28"/>
          <w:szCs w:val="28"/>
          <w:rtl/>
          <w:lang w:bidi="ar-EG"/>
        </w:rPr>
      </w:pPr>
    </w:p>
    <w:p w14:paraId="655B25F8" w14:textId="77777777" w:rsidR="007B563F" w:rsidRPr="004C5A9C" w:rsidRDefault="007B563F" w:rsidP="00BE7B2A">
      <w:pPr>
        <w:spacing w:line="360" w:lineRule="auto"/>
        <w:rPr>
          <w:rFonts w:ascii="Sakkal Majalla" w:hAnsi="Sakkal Majalla" w:cs="Sakkal Majalla"/>
          <w:b/>
          <w:bCs/>
          <w:color w:val="000000" w:themeColor="text1"/>
          <w:sz w:val="28"/>
          <w:szCs w:val="28"/>
          <w:rtl/>
          <w:lang w:bidi="ar-EG"/>
        </w:rPr>
      </w:pPr>
    </w:p>
    <w:p w14:paraId="42169876" w14:textId="77777777" w:rsidR="007B563F" w:rsidRPr="004C5A9C" w:rsidRDefault="007B563F" w:rsidP="00BE7B2A">
      <w:pPr>
        <w:spacing w:line="360" w:lineRule="auto"/>
        <w:rPr>
          <w:rFonts w:ascii="Sakkal Majalla" w:hAnsi="Sakkal Majalla" w:cs="Sakkal Majalla"/>
          <w:b/>
          <w:bCs/>
          <w:color w:val="000000" w:themeColor="text1"/>
          <w:sz w:val="28"/>
          <w:szCs w:val="28"/>
          <w:rtl/>
          <w:lang w:bidi="ar-EG"/>
        </w:rPr>
      </w:pPr>
    </w:p>
    <w:p w14:paraId="66E6E70C" w14:textId="77777777" w:rsidR="007B563F" w:rsidRDefault="007B563F" w:rsidP="00BE7B2A">
      <w:pPr>
        <w:spacing w:line="360" w:lineRule="auto"/>
        <w:rPr>
          <w:rFonts w:ascii="Sakkal Majalla" w:hAnsi="Sakkal Majalla" w:cs="Sakkal Majalla"/>
          <w:b/>
          <w:bCs/>
          <w:color w:val="000000" w:themeColor="text1"/>
          <w:sz w:val="28"/>
          <w:szCs w:val="28"/>
          <w:rtl/>
          <w:lang w:bidi="ar-EG"/>
        </w:rPr>
      </w:pPr>
    </w:p>
    <w:p w14:paraId="799A5EC8" w14:textId="77777777" w:rsidR="00BE7B2A" w:rsidRPr="004C5A9C" w:rsidRDefault="00BE7B2A" w:rsidP="00BE7B2A">
      <w:pPr>
        <w:spacing w:line="360" w:lineRule="auto"/>
        <w:rPr>
          <w:rFonts w:ascii="Sakkal Majalla" w:hAnsi="Sakkal Majalla" w:cs="Sakkal Majalla"/>
          <w:b/>
          <w:bCs/>
          <w:color w:val="000000" w:themeColor="text1"/>
          <w:sz w:val="28"/>
          <w:szCs w:val="28"/>
          <w:rtl/>
          <w:lang w:bidi="ar-EG"/>
        </w:rPr>
      </w:pPr>
    </w:p>
    <w:p w14:paraId="2734E9EB" w14:textId="0C93DDEC" w:rsidR="00990B55" w:rsidRPr="004C5A9C" w:rsidRDefault="00990B55" w:rsidP="00BE7B2A">
      <w:pPr>
        <w:spacing w:line="360" w:lineRule="auto"/>
        <w:rPr>
          <w:rFonts w:ascii="Sakkal Majalla" w:hAnsi="Sakkal Majalla" w:cs="Sakkal Majalla"/>
          <w:b/>
          <w:bCs/>
          <w:color w:val="000000" w:themeColor="text1"/>
          <w:sz w:val="36"/>
          <w:szCs w:val="36"/>
          <w:u w:val="single"/>
          <w:rtl/>
        </w:rPr>
      </w:pPr>
      <w:r w:rsidRPr="004C5A9C">
        <w:rPr>
          <w:rFonts w:ascii="Sakkal Majalla" w:hAnsi="Sakkal Majalla" w:cs="Sakkal Majalla"/>
          <w:b/>
          <w:bCs/>
          <w:color w:val="000000" w:themeColor="text1"/>
          <w:sz w:val="36"/>
          <w:szCs w:val="36"/>
          <w:u w:val="single"/>
          <w:rtl/>
        </w:rPr>
        <w:lastRenderedPageBreak/>
        <w:t>الفصل الأول: الإطار العام للدراسة</w:t>
      </w:r>
    </w:p>
    <w:p w14:paraId="33FEAA73" w14:textId="77777777" w:rsidR="00990B55" w:rsidRPr="004C5A9C" w:rsidRDefault="00990B55" w:rsidP="00BE7B2A">
      <w:pPr>
        <w:spacing w:line="360" w:lineRule="auto"/>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t>1-1 مقدمة</w:t>
      </w:r>
    </w:p>
    <w:p w14:paraId="15A03ACA"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بعد الطفرة الرقمية الهائلة التي اجتاحت الأسواق المالية في العقدين الأخيرين، تحوّل القطاع المصرفي من الاعتماد على الفروع المادية والأنظمة التقليدية إلى أنماطٍ جديدة تقوم على الحوسبة السحابية، وتطبيقات الهاتف الذكي، وشبكات البلوكشين. ومع هذا التحوّل برز مفهوم البنوك الرقمية بوصفه أحد أبرز ابتكارات التقنيات المالية (</w:t>
      </w:r>
      <w:r w:rsidRPr="004C5A9C">
        <w:rPr>
          <w:rStyle w:val="s2"/>
          <w:color w:val="000000" w:themeColor="text1"/>
          <w:sz w:val="28"/>
          <w:szCs w:val="28"/>
        </w:rPr>
        <w:t xml:space="preserve">FinTech) </w:t>
      </w:r>
      <w:r w:rsidRPr="004C5A9C">
        <w:rPr>
          <w:rStyle w:val="s2"/>
          <w:color w:val="000000" w:themeColor="text1"/>
          <w:sz w:val="28"/>
          <w:szCs w:val="28"/>
          <w:rtl/>
        </w:rPr>
        <w:t>التي تُعيد تشكيل خريطة الخدمات المصرفية عالميًّا، وتضع أمام الجهات التنظيمية تحدّيات وفرصًا في آنٍ معًا (صندوق النقد الدولي، 2023).</w:t>
      </w:r>
    </w:p>
    <w:p w14:paraId="3EFC1CB1" w14:textId="77777777" w:rsidR="00097D43" w:rsidRPr="004C5A9C" w:rsidRDefault="00097D43" w:rsidP="00BE7B2A">
      <w:pPr>
        <w:pStyle w:val="p3"/>
        <w:bidi/>
        <w:spacing w:line="360" w:lineRule="auto"/>
        <w:divId w:val="1898396862"/>
        <w:rPr>
          <w:rStyle w:val="s2"/>
          <w:color w:val="000000" w:themeColor="text1"/>
          <w:sz w:val="28"/>
          <w:szCs w:val="28"/>
        </w:rPr>
      </w:pPr>
    </w:p>
    <w:p w14:paraId="68E58CD0"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فالبنوك الرقمية لا تقتصر على تقديم خدمات مصرفية عبر الإنترنت فحسب؛ بل تُعد نموذجًا مصرفيًّا متكاملًا يُقدِّم جميع معاملاته – من فتح الحساب وحتى التمويل الاستهلاكي– عبر واجهات رقمية بالكامل، مع الاستفادة من خوارزميات الذكاء الاصطناعي لتحليل البيانات وتخصيص المنتجات (</w:t>
      </w:r>
      <w:r w:rsidRPr="004C5A9C">
        <w:rPr>
          <w:rStyle w:val="s2"/>
          <w:color w:val="000000" w:themeColor="text1"/>
          <w:sz w:val="28"/>
          <w:szCs w:val="28"/>
        </w:rPr>
        <w:t xml:space="preserve">BIS، 2024). </w:t>
      </w:r>
      <w:r w:rsidRPr="004C5A9C">
        <w:rPr>
          <w:rStyle w:val="s2"/>
          <w:color w:val="000000" w:themeColor="text1"/>
          <w:sz w:val="28"/>
          <w:szCs w:val="28"/>
          <w:rtl/>
        </w:rPr>
        <w:t>وقد أسفر هذا الواقع الجديد عن ظهور مسارين رئيسَيْن:</w:t>
      </w:r>
    </w:p>
    <w:p w14:paraId="4957F196"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النماذج الرقمية المركزية (</w:t>
      </w:r>
      <w:r w:rsidRPr="004C5A9C">
        <w:rPr>
          <w:rStyle w:val="s2"/>
          <w:color w:val="000000" w:themeColor="text1"/>
          <w:sz w:val="28"/>
          <w:szCs w:val="28"/>
        </w:rPr>
        <w:t xml:space="preserve">Centralized Digital Banks) </w:t>
      </w:r>
      <w:r w:rsidRPr="004C5A9C">
        <w:rPr>
          <w:rStyle w:val="s2"/>
          <w:color w:val="000000" w:themeColor="text1"/>
          <w:sz w:val="28"/>
          <w:szCs w:val="28"/>
          <w:rtl/>
        </w:rPr>
        <w:t>التي تعمل بترخيصٍ مباشر من المصارف المركزية وتخضع لإشرافٍ رقابي صارم، مثل التجارب المعتمدة في الاتحاد الأوروبي وكوريا الجنوبية.</w:t>
      </w:r>
    </w:p>
    <w:p w14:paraId="4DDBE228"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النماذج الرقمية اللامركزية (</w:t>
      </w:r>
      <w:r w:rsidRPr="004C5A9C">
        <w:rPr>
          <w:rStyle w:val="s2"/>
          <w:color w:val="000000" w:themeColor="text1"/>
          <w:sz w:val="28"/>
          <w:szCs w:val="28"/>
        </w:rPr>
        <w:t xml:space="preserve">Decentralized Digital Banks/DeFi) </w:t>
      </w:r>
      <w:r w:rsidRPr="004C5A9C">
        <w:rPr>
          <w:rStyle w:val="s2"/>
          <w:color w:val="000000" w:themeColor="text1"/>
          <w:sz w:val="28"/>
          <w:szCs w:val="28"/>
          <w:rtl/>
        </w:rPr>
        <w:t>التي تعتمد على العقود الذكية والبلوكتشين وتَعمل دون كيانٍ مركزي، ما يمنحها استقلالية عالية لكن يجعلها في مواجهة إشكاليات الامتثال وقيود مكافحة غسل الأموال (</w:t>
      </w:r>
      <w:r w:rsidRPr="004C5A9C">
        <w:rPr>
          <w:rStyle w:val="s2"/>
          <w:color w:val="000000" w:themeColor="text1"/>
          <w:sz w:val="28"/>
          <w:szCs w:val="28"/>
        </w:rPr>
        <w:t>Chen &amp; Wong، 2023).</w:t>
      </w:r>
    </w:p>
    <w:p w14:paraId="077FEA22" w14:textId="77777777" w:rsidR="00097D43" w:rsidRPr="004C5A9C" w:rsidRDefault="00097D43" w:rsidP="00BE7B2A">
      <w:pPr>
        <w:pStyle w:val="p3"/>
        <w:bidi/>
        <w:spacing w:line="360" w:lineRule="auto"/>
        <w:divId w:val="1898396862"/>
        <w:rPr>
          <w:rStyle w:val="s2"/>
          <w:color w:val="000000" w:themeColor="text1"/>
          <w:sz w:val="28"/>
          <w:szCs w:val="28"/>
        </w:rPr>
      </w:pPr>
    </w:p>
    <w:p w14:paraId="5145C669"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ومع توجه المملكة العربية السعودية – في إطار «رؤية 2030» – إلى تسريع التحول الرقمي وتعزيز الابتكار المالي، أنشأ البنك المركزي السعودي (</w:t>
      </w:r>
      <w:r w:rsidRPr="004C5A9C">
        <w:rPr>
          <w:rStyle w:val="s2"/>
          <w:color w:val="000000" w:themeColor="text1"/>
          <w:sz w:val="28"/>
          <w:szCs w:val="28"/>
        </w:rPr>
        <w:t xml:space="preserve">SAMA) </w:t>
      </w:r>
      <w:r w:rsidRPr="004C5A9C">
        <w:rPr>
          <w:rStyle w:val="s2"/>
          <w:color w:val="000000" w:themeColor="text1"/>
          <w:sz w:val="28"/>
          <w:szCs w:val="28"/>
          <w:rtl/>
        </w:rPr>
        <w:t>بيئة تشريعية تجريبية (</w:t>
      </w:r>
      <w:r w:rsidRPr="004C5A9C">
        <w:rPr>
          <w:rStyle w:val="s2"/>
          <w:color w:val="000000" w:themeColor="text1"/>
          <w:sz w:val="28"/>
          <w:szCs w:val="28"/>
        </w:rPr>
        <w:t xml:space="preserve">Sandbox) </w:t>
      </w:r>
      <w:r w:rsidRPr="004C5A9C">
        <w:rPr>
          <w:rStyle w:val="s2"/>
          <w:color w:val="000000" w:themeColor="text1"/>
          <w:sz w:val="28"/>
          <w:szCs w:val="28"/>
          <w:rtl/>
        </w:rPr>
        <w:t xml:space="preserve">سمحت بترخيص أول بنك رقمي محلي بالكامل، بالتوازي مع دراسة العملات الرقمية للبنك المركزي </w:t>
      </w:r>
      <w:r w:rsidRPr="004C5A9C">
        <w:rPr>
          <w:rStyle w:val="s2"/>
          <w:color w:val="000000" w:themeColor="text1"/>
          <w:sz w:val="28"/>
          <w:szCs w:val="28"/>
          <w:rtl/>
        </w:rPr>
        <w:lastRenderedPageBreak/>
        <w:t>(</w:t>
      </w:r>
      <w:r w:rsidRPr="004C5A9C">
        <w:rPr>
          <w:rStyle w:val="s2"/>
          <w:color w:val="000000" w:themeColor="text1"/>
          <w:sz w:val="28"/>
          <w:szCs w:val="28"/>
        </w:rPr>
        <w:t xml:space="preserve">CBDC) (SAMA، 2024). </w:t>
      </w:r>
      <w:r w:rsidRPr="004C5A9C">
        <w:rPr>
          <w:rStyle w:val="s2"/>
          <w:color w:val="000000" w:themeColor="text1"/>
          <w:sz w:val="28"/>
          <w:szCs w:val="28"/>
          <w:rtl/>
        </w:rPr>
        <w:t>هذا الحراك وضع الشركاء التنظيميين – من جهات رقابية، وهيئات أسواق المال، ووحدات الالتزام ومكافحة الجرائم المالية – في مواجهة أسئلة مفصلية حول:</w:t>
      </w:r>
    </w:p>
    <w:p w14:paraId="7CD97C7D"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مدى كفاية الأطر التشريعية الحالية لمواكبة نماذج الخدمات الرقمية سريعة التطور.</w:t>
      </w:r>
    </w:p>
    <w:p w14:paraId="3E89B927"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قدرة البنى التحتية الوطنية (مثل نظام المدفوعات سريع «سريع») على استيعاب أحجام المعاملات اللحظية للبنوك الرقمية.</w:t>
      </w:r>
    </w:p>
    <w:p w14:paraId="4490DCAB"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المخاطر السيبرانية وحماية البيانات الشخصية في بيئة مترابطة بلا حدود جغرافية.</w:t>
      </w:r>
    </w:p>
    <w:p w14:paraId="046E5B40"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دور معايير «اعرف عميلك» (</w:t>
      </w:r>
      <w:r w:rsidRPr="004C5A9C">
        <w:rPr>
          <w:rStyle w:val="s2"/>
          <w:color w:val="000000" w:themeColor="text1"/>
          <w:sz w:val="28"/>
          <w:szCs w:val="28"/>
        </w:rPr>
        <w:t xml:space="preserve">KYC) </w:t>
      </w:r>
      <w:r w:rsidRPr="004C5A9C">
        <w:rPr>
          <w:rStyle w:val="s2"/>
          <w:color w:val="000000" w:themeColor="text1"/>
          <w:sz w:val="28"/>
          <w:szCs w:val="28"/>
          <w:rtl/>
        </w:rPr>
        <w:t>و**«مكافحة غسل الأموال وتمويل الإرهاب» (</w:t>
      </w:r>
      <w:r w:rsidRPr="004C5A9C">
        <w:rPr>
          <w:rStyle w:val="s2"/>
          <w:color w:val="000000" w:themeColor="text1"/>
          <w:sz w:val="28"/>
          <w:szCs w:val="28"/>
        </w:rPr>
        <w:t xml:space="preserve">AML/CFT)** </w:t>
      </w:r>
      <w:r w:rsidRPr="004C5A9C">
        <w:rPr>
          <w:rStyle w:val="s2"/>
          <w:color w:val="000000" w:themeColor="text1"/>
          <w:sz w:val="28"/>
          <w:szCs w:val="28"/>
          <w:rtl/>
        </w:rPr>
        <w:t>في النماذج اللامركزية التي تعتمد على هوياتٍ مجهولة أو مستعارة.</w:t>
      </w:r>
    </w:p>
    <w:p w14:paraId="18AF5289" w14:textId="77777777" w:rsidR="00097D43" w:rsidRPr="004C5A9C" w:rsidRDefault="00097D43" w:rsidP="00BE7B2A">
      <w:pPr>
        <w:pStyle w:val="p3"/>
        <w:bidi/>
        <w:spacing w:line="360" w:lineRule="auto"/>
        <w:divId w:val="1898396862"/>
        <w:rPr>
          <w:rStyle w:val="s2"/>
          <w:color w:val="000000" w:themeColor="text1"/>
          <w:sz w:val="28"/>
          <w:szCs w:val="28"/>
        </w:rPr>
      </w:pPr>
    </w:p>
    <w:p w14:paraId="18FE12A9"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ومع تزايد استخدام المحافظ المشفّرة والتطبيقات الخارجة عن الإشراف المباشر، برزت حاجة الجهات التنظيمية السعودية إلى وضع منهجية مقارنة تقيس تأثير النموذجين – المركزي واللامركزي – على أنشطتها الرقابية، وتحديد ما إذا كانت البنوك الرقمية تمثل تهديدًا لاستقرار النظام المالي أم فرصة لتوسيع الشمول المالي وتقليل التكاليف التشغيلية.</w:t>
      </w:r>
    </w:p>
    <w:p w14:paraId="661E9C68" w14:textId="77777777" w:rsidR="00097D43" w:rsidRPr="004C5A9C" w:rsidRDefault="00097D43" w:rsidP="00BE7B2A">
      <w:pPr>
        <w:pStyle w:val="p3"/>
        <w:bidi/>
        <w:spacing w:line="360" w:lineRule="auto"/>
        <w:divId w:val="1898396862"/>
        <w:rPr>
          <w:rStyle w:val="s2"/>
          <w:color w:val="000000" w:themeColor="text1"/>
          <w:sz w:val="28"/>
          <w:szCs w:val="28"/>
        </w:rPr>
      </w:pPr>
    </w:p>
    <w:p w14:paraId="3F6338C5"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لذلك يسعى هذا البحث إلى دراسة تأثير البنوك الرقمية على الشركاء التنظيميين في المملكة العربية السعودية من خلال مقارنة خصائص وأبعاد كل نموذج، وتحليل الأدوار الجديدة التي يتعين على الجهات التنظيمية تأديتها لحماية نزاهة النظام المالي دون كبح الابتكار. كما يهدف إلى إبراز التحديات العملية التي يواجهها البنك المركزي السعودي وبقية المؤسسات الرقابية عند الانتقال من بيئة مصرفية تقليدية إلى مشهد مصرفي رقمي/لامركزي شديد التعقيد؛ وذلك من أجل اقتراح سياسات وتوصيات تكفل تحقيق التوازن بين التطور التقني والاستقرار المالي.</w:t>
      </w:r>
    </w:p>
    <w:p w14:paraId="5C85A220" w14:textId="77777777" w:rsidR="00097D43" w:rsidRPr="004C5A9C" w:rsidRDefault="00097D43" w:rsidP="00BE7B2A">
      <w:pPr>
        <w:pStyle w:val="p3"/>
        <w:bidi/>
        <w:spacing w:line="360" w:lineRule="auto"/>
        <w:divId w:val="1898396862"/>
        <w:rPr>
          <w:rStyle w:val="s2"/>
          <w:color w:val="000000" w:themeColor="text1"/>
          <w:sz w:val="28"/>
          <w:szCs w:val="28"/>
        </w:rPr>
      </w:pPr>
    </w:p>
    <w:p w14:paraId="0DA9872F" w14:textId="77777777" w:rsidR="00097D43" w:rsidRPr="004C5A9C" w:rsidRDefault="00097D43" w:rsidP="00BE7B2A">
      <w:pPr>
        <w:pStyle w:val="p3"/>
        <w:bidi/>
        <w:spacing w:line="360" w:lineRule="auto"/>
        <w:divId w:val="1898396862"/>
        <w:rPr>
          <w:rStyle w:val="s2"/>
          <w:color w:val="000000" w:themeColor="text1"/>
          <w:sz w:val="28"/>
          <w:szCs w:val="28"/>
        </w:rPr>
      </w:pPr>
      <w:r w:rsidRPr="004C5A9C">
        <w:rPr>
          <w:rStyle w:val="s2"/>
          <w:color w:val="000000" w:themeColor="text1"/>
          <w:sz w:val="28"/>
          <w:szCs w:val="28"/>
          <w:rtl/>
        </w:rPr>
        <w:t xml:space="preserve">يأتي هذا العمل العلمي استجابةً للفجوة البحثية التي أشارت إليها تقارير سابقة – محلية ودولية – بخصوص ندرة الدراسات التي تُعالج أثر البنوك الرقمية على منظومة الحوكمة والرقابة في الأسواق </w:t>
      </w:r>
      <w:r w:rsidRPr="004C5A9C">
        <w:rPr>
          <w:rStyle w:val="s2"/>
          <w:color w:val="000000" w:themeColor="text1"/>
          <w:sz w:val="28"/>
          <w:szCs w:val="28"/>
          <w:rtl/>
        </w:rPr>
        <w:lastRenderedPageBreak/>
        <w:t>الناشئة، وخصوصًا في دول مجلس التعاون التي تشهد سباقًا حثيثًا لتبنّي التقنيات المالية (</w:t>
      </w:r>
      <w:r w:rsidRPr="004C5A9C">
        <w:rPr>
          <w:rStyle w:val="s2"/>
          <w:color w:val="000000" w:themeColor="text1"/>
          <w:sz w:val="28"/>
          <w:szCs w:val="28"/>
        </w:rPr>
        <w:t>McKinsey، 2023</w:t>
      </w:r>
      <w:r w:rsidRPr="004C5A9C">
        <w:rPr>
          <w:rStyle w:val="s2"/>
          <w:color w:val="000000" w:themeColor="text1"/>
          <w:sz w:val="28"/>
          <w:szCs w:val="28"/>
          <w:rtl/>
        </w:rPr>
        <w:t>؛ البنك الأهلي السعودي، 2023). ومن هذا المنطلق، يُعد تحليل الحالة السعودية نموذجًا ثريًّا لاستخلاص الدروس وتعميمها على اقتصاداتٍ تنتهج مسارًا مشابهًا في التحول الرقمي.</w:t>
      </w:r>
    </w:p>
    <w:p w14:paraId="3BB3DC95" w14:textId="77777777" w:rsidR="00097D43" w:rsidRPr="004C5A9C" w:rsidRDefault="00097D43" w:rsidP="00BE7B2A">
      <w:pPr>
        <w:pStyle w:val="p3"/>
        <w:bidi/>
        <w:spacing w:line="360" w:lineRule="auto"/>
        <w:divId w:val="1898396862"/>
        <w:rPr>
          <w:rStyle w:val="s2"/>
          <w:color w:val="000000" w:themeColor="text1"/>
          <w:sz w:val="28"/>
          <w:szCs w:val="28"/>
        </w:rPr>
      </w:pPr>
    </w:p>
    <w:p w14:paraId="08E13935" w14:textId="4711A66C" w:rsidR="00B9522B" w:rsidRPr="00BE7B2A" w:rsidRDefault="00097D43" w:rsidP="00BE7B2A">
      <w:pPr>
        <w:pStyle w:val="p3"/>
        <w:bidi/>
        <w:spacing w:line="360" w:lineRule="auto"/>
        <w:divId w:val="1898396862"/>
        <w:rPr>
          <w:color w:val="000000" w:themeColor="text1"/>
          <w:sz w:val="28"/>
          <w:szCs w:val="28"/>
        </w:rPr>
      </w:pPr>
      <w:r w:rsidRPr="004C5A9C">
        <w:rPr>
          <w:rStyle w:val="s2"/>
          <w:color w:val="000000" w:themeColor="text1"/>
          <w:sz w:val="28"/>
          <w:szCs w:val="28"/>
          <w:rtl/>
        </w:rPr>
        <w:t>خلاصة المقدمة: تتطلّب المرحلة المقبلة فهمًا معمّقًا للعلاقة الديناميكية بين البنوك الرقمية – بمركزيّتها ولامركزيّتها – والجهات التنظيمية المعنية بضمان نزاهة السوق واستقراره. ويُمثِّل هذا البحث محاولة علمية للإجابة عن الأسئلة الجوهرية المرتبطة بتلك العلاقة، واقتراح إطار عمل يُمكِّن المملكة من اغتنام مزايا الابتكار المالي مع تحييد مخاطره المحتملة</w:t>
      </w:r>
    </w:p>
    <w:p w14:paraId="328E0934" w14:textId="77777777" w:rsidR="00D651C3" w:rsidRPr="004C5A9C" w:rsidRDefault="00D651C3" w:rsidP="00BE7B2A">
      <w:pPr>
        <w:spacing w:after="0" w:line="360" w:lineRule="auto"/>
        <w:divId w:val="2132017349"/>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t>1-2 مشكلة الدراسة</w:t>
      </w:r>
    </w:p>
    <w:p w14:paraId="2CC22EAA" w14:textId="2EACF394"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تُعد الخدمات المصرفية الرقمية اليوم إحدى الركائز الرئيسـة لتحول الاقتصادات نحو نموذج قائم على البيانات والابتكار المالي؛ إذ أسفر انتشار الهواتف الذكية، والحوسبة السحابية، وتقنية البلوكشين عن ظهور مصارف رقمية متكاملة لا تمتلك فروعًا تقليدية وتُقدِّم جميع العمليات عبر منصّات إلكترونية لحظيّة. وقد سارعت المملكة العربية السعودية – في إطار رؤية 2030 وبرنامج تطوير القطاع المالي – إلى إنشاء بيئة تشريعية تجريبية وترخيص أول بنوك رقمية محلية، بالتوازي مع دراسة إصدار عملة رقمية للبنك المركزي (</w:t>
      </w:r>
      <w:r w:rsidRPr="004C5A9C">
        <w:rPr>
          <w:rStyle w:val="s1"/>
          <w:color w:val="000000" w:themeColor="text1"/>
          <w:sz w:val="28"/>
          <w:szCs w:val="28"/>
        </w:rPr>
        <w:t>CBDC).</w:t>
      </w:r>
    </w:p>
    <w:p w14:paraId="30850A92" w14:textId="77777777"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ورغم ما توفِّره هذه التطورات من مكاسب في الشمول المالي وخفض التكاليف التشغيلية، فإنها تطرح تحدّيات معقدة أمام الشركاء التنظيميين (البنك المركزي، هيئة السوق المالية، وحدات مكافحة غسل الأموال، وهيئة الأمن السيبراني، ومقدِّمي البنية التحتية للمدفوعات). فهناك فجوة واضحة في فهم:</w:t>
      </w:r>
    </w:p>
    <w:p w14:paraId="7AF36292" w14:textId="4125519A"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قدرة الأطر الرقابية الحالية على مواكبة الابتكارات المتسارعة لدى النماذج الرقمية المركزية الخاضعة لترخيص رسمي.</w:t>
      </w:r>
    </w:p>
    <w:p w14:paraId="66196B94" w14:textId="3FF45B50" w:rsidR="003C17C6" w:rsidRPr="004C5A9C" w:rsidRDefault="003C17C6" w:rsidP="00BE7B2A">
      <w:pPr>
        <w:pStyle w:val="p1"/>
        <w:numPr>
          <w:ilvl w:val="0"/>
          <w:numId w:val="1"/>
        </w:numPr>
        <w:bidi/>
        <w:spacing w:line="360" w:lineRule="auto"/>
        <w:divId w:val="23293762"/>
        <w:rPr>
          <w:rStyle w:val="s1"/>
          <w:color w:val="000000" w:themeColor="text1"/>
          <w:sz w:val="28"/>
          <w:szCs w:val="28"/>
        </w:rPr>
      </w:pPr>
      <w:r w:rsidRPr="004C5A9C">
        <w:rPr>
          <w:rStyle w:val="s1"/>
          <w:color w:val="000000" w:themeColor="text1"/>
          <w:sz w:val="28"/>
          <w:szCs w:val="28"/>
          <w:rtl/>
        </w:rPr>
        <w:t>كيفية مراقبة النماذج اللامركزية القائمة على العقود الذكية والهويات المُستعارة، في ظل متطلَّبات “اعرف عميلك” (</w:t>
      </w:r>
      <w:r w:rsidRPr="004C5A9C">
        <w:rPr>
          <w:rStyle w:val="s1"/>
          <w:color w:val="000000" w:themeColor="text1"/>
          <w:sz w:val="28"/>
          <w:szCs w:val="28"/>
        </w:rPr>
        <w:t xml:space="preserve">KYC) </w:t>
      </w:r>
      <w:r w:rsidRPr="004C5A9C">
        <w:rPr>
          <w:rStyle w:val="s1"/>
          <w:color w:val="000000" w:themeColor="text1"/>
          <w:sz w:val="28"/>
          <w:szCs w:val="28"/>
          <w:rtl/>
        </w:rPr>
        <w:t>و“مكافحة غسل الأموال وتمويل الإرهاب” (</w:t>
      </w:r>
      <w:r w:rsidRPr="004C5A9C">
        <w:rPr>
          <w:rStyle w:val="s1"/>
          <w:color w:val="000000" w:themeColor="text1"/>
          <w:sz w:val="28"/>
          <w:szCs w:val="28"/>
        </w:rPr>
        <w:t>AML/CFT).</w:t>
      </w:r>
    </w:p>
    <w:p w14:paraId="78410639" w14:textId="6BE4FDC8" w:rsidR="003C17C6" w:rsidRPr="004C5A9C" w:rsidRDefault="003C17C6" w:rsidP="00BE7B2A">
      <w:pPr>
        <w:pStyle w:val="p1"/>
        <w:numPr>
          <w:ilvl w:val="0"/>
          <w:numId w:val="1"/>
        </w:numPr>
        <w:bidi/>
        <w:spacing w:line="360" w:lineRule="auto"/>
        <w:divId w:val="23293762"/>
        <w:rPr>
          <w:rStyle w:val="s1"/>
          <w:color w:val="000000" w:themeColor="text1"/>
          <w:sz w:val="28"/>
          <w:szCs w:val="28"/>
        </w:rPr>
      </w:pPr>
      <w:r w:rsidRPr="004C5A9C">
        <w:rPr>
          <w:rStyle w:val="s1"/>
          <w:color w:val="000000" w:themeColor="text1"/>
          <w:sz w:val="28"/>
          <w:szCs w:val="28"/>
          <w:rtl/>
        </w:rPr>
        <w:lastRenderedPageBreak/>
        <w:t>تأثير التحوّل نحو المصرفية اللحظية على استقرار النظام المالي، ومخاطر السيولة، وأنظمة تسوية المدفوعات الوطنية مثل «سريع» و«إيصال».</w:t>
      </w:r>
    </w:p>
    <w:p w14:paraId="7198A367" w14:textId="5F259270" w:rsidR="003C17C6" w:rsidRPr="004C5A9C" w:rsidRDefault="003C17C6" w:rsidP="00BE7B2A">
      <w:pPr>
        <w:pStyle w:val="p1"/>
        <w:numPr>
          <w:ilvl w:val="0"/>
          <w:numId w:val="1"/>
        </w:numPr>
        <w:bidi/>
        <w:spacing w:line="360" w:lineRule="auto"/>
        <w:divId w:val="23293762"/>
        <w:rPr>
          <w:rStyle w:val="s1"/>
          <w:color w:val="000000" w:themeColor="text1"/>
          <w:sz w:val="28"/>
          <w:szCs w:val="28"/>
        </w:rPr>
      </w:pPr>
      <w:r w:rsidRPr="004C5A9C">
        <w:rPr>
          <w:rStyle w:val="s1"/>
          <w:color w:val="000000" w:themeColor="text1"/>
          <w:sz w:val="28"/>
          <w:szCs w:val="28"/>
          <w:rtl/>
        </w:rPr>
        <w:t>جاهزية الهياكل التنظيمية والكفاءات البشرية لدى الجهات الرقابية لاستخدام أدوات التحليل الفوري للبيانات الضخمة (</w:t>
      </w:r>
      <w:r w:rsidRPr="004C5A9C">
        <w:rPr>
          <w:rStyle w:val="s1"/>
          <w:color w:val="000000" w:themeColor="text1"/>
          <w:sz w:val="28"/>
          <w:szCs w:val="28"/>
        </w:rPr>
        <w:t xml:space="preserve">RegTech </w:t>
      </w:r>
      <w:r w:rsidRPr="004C5A9C">
        <w:rPr>
          <w:rStyle w:val="s1"/>
          <w:color w:val="000000" w:themeColor="text1"/>
          <w:sz w:val="28"/>
          <w:szCs w:val="28"/>
          <w:rtl/>
        </w:rPr>
        <w:t xml:space="preserve">و </w:t>
      </w:r>
      <w:r w:rsidRPr="004C5A9C">
        <w:rPr>
          <w:rStyle w:val="s1"/>
          <w:color w:val="000000" w:themeColor="text1"/>
          <w:sz w:val="28"/>
          <w:szCs w:val="28"/>
        </w:rPr>
        <w:t xml:space="preserve">SupTech) </w:t>
      </w:r>
      <w:r w:rsidRPr="004C5A9C">
        <w:rPr>
          <w:rStyle w:val="s1"/>
          <w:color w:val="000000" w:themeColor="text1"/>
          <w:sz w:val="28"/>
          <w:szCs w:val="28"/>
          <w:rtl/>
        </w:rPr>
        <w:t>لرصد الأنشطة عالية التردد.</w:t>
      </w:r>
    </w:p>
    <w:p w14:paraId="29280A46" w14:textId="662CD86E" w:rsidR="003C17C6" w:rsidRPr="004C5A9C" w:rsidRDefault="003C17C6" w:rsidP="00BE7B2A">
      <w:pPr>
        <w:pStyle w:val="p1"/>
        <w:numPr>
          <w:ilvl w:val="0"/>
          <w:numId w:val="1"/>
        </w:numPr>
        <w:bidi/>
        <w:spacing w:line="360" w:lineRule="auto"/>
        <w:divId w:val="23293762"/>
        <w:rPr>
          <w:rStyle w:val="s1"/>
          <w:color w:val="000000" w:themeColor="text1"/>
          <w:sz w:val="28"/>
          <w:szCs w:val="28"/>
        </w:rPr>
      </w:pPr>
      <w:r w:rsidRPr="004C5A9C">
        <w:rPr>
          <w:rStyle w:val="s1"/>
          <w:color w:val="000000" w:themeColor="text1"/>
          <w:sz w:val="28"/>
          <w:szCs w:val="28"/>
          <w:rtl/>
        </w:rPr>
        <w:t>حدود التعاون المؤسسي بين الجهات التنظيمية، في ظل تداخل اختصاصات الإشراف على الابتكار المالي من جهة، وحماية المستهلك والاستقرار المالي من جهة أخرى.</w:t>
      </w:r>
    </w:p>
    <w:p w14:paraId="39FDFAE9" w14:textId="0DAB019B"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على الجانب الأكاديمي، تُظهر مراجعة الأدبيات ندرة الدراسات التي تُقارِن أثر النماذج الرقمية المركزية واللامركزية معًا على الشركاء التنظيميين في الأسواق الناشئة، ولا سيّما داخل دول مجلس التعاون التي تشهد سباقًا حثيثًا لاعتماد الحلول الرقمية. كما تتركّز معظم الأبحاث الحالية على الجوانب التقنية أو الاستراتيجية للبنوك الرقمية، بينما تُهمِل الدور العملي للجهات الرقابية في إعادة تصميم سياسات الإشراف والحوكمة التنظيمية.</w:t>
      </w:r>
    </w:p>
    <w:p w14:paraId="2164E06D" w14:textId="54A4617B"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لذلك تتبلور مشكلة الدراسة في السؤال الرئيس الآتي:</w:t>
      </w:r>
    </w:p>
    <w:p w14:paraId="36028CAA" w14:textId="77777777"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ما أثر تبني النماذج الرقمية المركزية واللامركزية في المملكة العربية السعودية على مهام الشركاء التنظيميين، وما متطلبات التكيّف الرقابي لضمان الموازنة بين الابتكار والاستقرار المالي؟</w:t>
      </w:r>
    </w:p>
    <w:p w14:paraId="1ADB3226" w14:textId="77777777" w:rsidR="003C17C6" w:rsidRPr="004C5A9C" w:rsidRDefault="003C17C6" w:rsidP="00BE7B2A">
      <w:pPr>
        <w:pStyle w:val="p1"/>
        <w:bidi/>
        <w:spacing w:line="360" w:lineRule="auto"/>
        <w:divId w:val="23293762"/>
        <w:rPr>
          <w:rStyle w:val="s1"/>
          <w:color w:val="000000" w:themeColor="text1"/>
          <w:sz w:val="28"/>
          <w:szCs w:val="28"/>
        </w:rPr>
      </w:pPr>
    </w:p>
    <w:p w14:paraId="661F8DDB" w14:textId="77777777"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ويتفرّع عن هذا السؤال الرئيس مجموعة من الإشكاليات الفرعية:</w:t>
      </w:r>
    </w:p>
    <w:p w14:paraId="6391F149" w14:textId="16DFC373" w:rsidR="003C17C6" w:rsidRPr="004C5A9C" w:rsidRDefault="003C17C6" w:rsidP="00BE7B2A">
      <w:pPr>
        <w:pStyle w:val="p1"/>
        <w:numPr>
          <w:ilvl w:val="0"/>
          <w:numId w:val="2"/>
        </w:numPr>
        <w:bidi/>
        <w:spacing w:line="360" w:lineRule="auto"/>
        <w:divId w:val="23293762"/>
        <w:rPr>
          <w:rStyle w:val="s1"/>
          <w:color w:val="000000" w:themeColor="text1"/>
          <w:sz w:val="28"/>
          <w:szCs w:val="28"/>
        </w:rPr>
      </w:pPr>
      <w:r w:rsidRPr="004C5A9C">
        <w:rPr>
          <w:rStyle w:val="s1"/>
          <w:color w:val="000000" w:themeColor="text1"/>
          <w:sz w:val="28"/>
          <w:szCs w:val="28"/>
          <w:rtl/>
        </w:rPr>
        <w:t>ما أوجه التشابه والاختلاف في المخاطر التشغيلية والائتمانية بين البنوك الرقمية المركزية واللامركزية؟</w:t>
      </w:r>
    </w:p>
    <w:p w14:paraId="70E2587B" w14:textId="7F9A01A6" w:rsidR="003C17C6" w:rsidRPr="004C5A9C" w:rsidRDefault="003C17C6" w:rsidP="00BE7B2A">
      <w:pPr>
        <w:pStyle w:val="p1"/>
        <w:numPr>
          <w:ilvl w:val="0"/>
          <w:numId w:val="2"/>
        </w:numPr>
        <w:bidi/>
        <w:spacing w:line="360" w:lineRule="auto"/>
        <w:divId w:val="23293762"/>
        <w:rPr>
          <w:rStyle w:val="s1"/>
          <w:color w:val="000000" w:themeColor="text1"/>
          <w:sz w:val="28"/>
          <w:szCs w:val="28"/>
        </w:rPr>
      </w:pPr>
      <w:r w:rsidRPr="004C5A9C">
        <w:rPr>
          <w:rStyle w:val="s1"/>
          <w:color w:val="000000" w:themeColor="text1"/>
          <w:sz w:val="28"/>
          <w:szCs w:val="28"/>
          <w:rtl/>
        </w:rPr>
        <w:t>كيف يؤثِّر انتشار البنوك الرقمية في أدوات السياسة النقدية، وسياسات إدارة السيولة لدى البنك المركزي السعودي؟</w:t>
      </w:r>
    </w:p>
    <w:p w14:paraId="36695428" w14:textId="7FE3DC16" w:rsidR="003C17C6" w:rsidRPr="004C5A9C" w:rsidRDefault="003C17C6" w:rsidP="00BE7B2A">
      <w:pPr>
        <w:pStyle w:val="p1"/>
        <w:numPr>
          <w:ilvl w:val="0"/>
          <w:numId w:val="2"/>
        </w:numPr>
        <w:bidi/>
        <w:spacing w:line="360" w:lineRule="auto"/>
        <w:divId w:val="23293762"/>
        <w:rPr>
          <w:rStyle w:val="s1"/>
          <w:color w:val="000000" w:themeColor="text1"/>
          <w:sz w:val="28"/>
          <w:szCs w:val="28"/>
        </w:rPr>
      </w:pPr>
      <w:r w:rsidRPr="004C5A9C">
        <w:rPr>
          <w:rStyle w:val="s1"/>
          <w:color w:val="000000" w:themeColor="text1"/>
          <w:sz w:val="28"/>
          <w:szCs w:val="28"/>
          <w:rtl/>
        </w:rPr>
        <w:t>إلى أي مدى تتطلب النماذج اللامركزية تحديث تشريعات حماية البيانات الشخصية والأمن السيبراني في المملكة؟</w:t>
      </w:r>
    </w:p>
    <w:p w14:paraId="01CE448C" w14:textId="6BDC95FE" w:rsidR="003C17C6" w:rsidRPr="004C5A9C" w:rsidRDefault="003C17C6" w:rsidP="00BE7B2A">
      <w:pPr>
        <w:pStyle w:val="p1"/>
        <w:numPr>
          <w:ilvl w:val="0"/>
          <w:numId w:val="2"/>
        </w:numPr>
        <w:bidi/>
        <w:spacing w:line="360" w:lineRule="auto"/>
        <w:divId w:val="23293762"/>
        <w:rPr>
          <w:rStyle w:val="s1"/>
          <w:color w:val="000000" w:themeColor="text1"/>
          <w:sz w:val="28"/>
          <w:szCs w:val="28"/>
        </w:rPr>
      </w:pPr>
      <w:r w:rsidRPr="004C5A9C">
        <w:rPr>
          <w:rStyle w:val="s1"/>
          <w:color w:val="000000" w:themeColor="text1"/>
          <w:sz w:val="28"/>
          <w:szCs w:val="28"/>
          <w:rtl/>
        </w:rPr>
        <w:t>ما جاهزية منظومة المدفوعات الوطنية والبنية التحتية للتسوية اللحظية لاستيعاب معاملات البنوك الرقمية؟</w:t>
      </w:r>
    </w:p>
    <w:p w14:paraId="6576AD3C" w14:textId="3B82BFE0" w:rsidR="003C17C6" w:rsidRPr="004C5A9C" w:rsidRDefault="003C17C6" w:rsidP="00BE7B2A">
      <w:pPr>
        <w:pStyle w:val="p1"/>
        <w:numPr>
          <w:ilvl w:val="0"/>
          <w:numId w:val="2"/>
        </w:numPr>
        <w:bidi/>
        <w:spacing w:line="360" w:lineRule="auto"/>
        <w:divId w:val="23293762"/>
        <w:rPr>
          <w:rStyle w:val="s1"/>
          <w:color w:val="000000" w:themeColor="text1"/>
          <w:sz w:val="28"/>
          <w:szCs w:val="28"/>
        </w:rPr>
      </w:pPr>
      <w:r w:rsidRPr="004C5A9C">
        <w:rPr>
          <w:rStyle w:val="s1"/>
          <w:color w:val="000000" w:themeColor="text1"/>
          <w:sz w:val="28"/>
          <w:szCs w:val="28"/>
          <w:rtl/>
        </w:rPr>
        <w:lastRenderedPageBreak/>
        <w:t>ما درجة التنسيق الحالي بين الجهات التنظيمية السعودية في تبادل البيانات والإشراف المشترك على منصّات التمويل اللامركزي؟</w:t>
      </w:r>
    </w:p>
    <w:p w14:paraId="231F0C28" w14:textId="77777777" w:rsidR="00453D09" w:rsidRPr="004C5A9C" w:rsidRDefault="003C17C6" w:rsidP="00BE7B2A">
      <w:pPr>
        <w:pStyle w:val="p1"/>
        <w:bidi/>
        <w:spacing w:line="360" w:lineRule="auto"/>
        <w:divId w:val="23293762"/>
        <w:rPr>
          <w:rStyle w:val="s1"/>
          <w:b/>
          <w:bCs/>
          <w:color w:val="000000" w:themeColor="text1"/>
          <w:sz w:val="28"/>
          <w:szCs w:val="28"/>
          <w:rtl/>
        </w:rPr>
      </w:pPr>
      <w:r w:rsidRPr="004C5A9C">
        <w:rPr>
          <w:rStyle w:val="s1"/>
          <w:b/>
          <w:bCs/>
          <w:color w:val="000000" w:themeColor="text1"/>
          <w:sz w:val="28"/>
          <w:szCs w:val="28"/>
          <w:rtl/>
        </w:rPr>
        <w:t>محور القصور البحثي</w:t>
      </w:r>
    </w:p>
    <w:p w14:paraId="4C391D24" w14:textId="231A9B63" w:rsidR="003C17C6" w:rsidRPr="004C5A9C" w:rsidRDefault="003C17C6" w:rsidP="00BE7B2A">
      <w:pPr>
        <w:pStyle w:val="p1"/>
        <w:bidi/>
        <w:spacing w:line="360" w:lineRule="auto"/>
        <w:divId w:val="23293762"/>
        <w:rPr>
          <w:rStyle w:val="s1"/>
          <w:b/>
          <w:bCs/>
          <w:color w:val="000000" w:themeColor="text1"/>
          <w:sz w:val="28"/>
          <w:szCs w:val="28"/>
        </w:rPr>
      </w:pPr>
      <w:r w:rsidRPr="004C5A9C">
        <w:rPr>
          <w:rStyle w:val="s1"/>
          <w:color w:val="000000" w:themeColor="text1"/>
          <w:sz w:val="28"/>
          <w:szCs w:val="28"/>
          <w:rtl/>
        </w:rPr>
        <w:t>تشير المقابلات الأولية مع مسؤولين في القطاعات التنظيمية (ن=35) إلى تباينٍ في الفهم والاستعداد لإدارة المخاطر المستحدثة، وغياب دراسات محلية تناولت التأثير المباشر للبنوك الرقمية على أدوار الشركاء التنظيميين بصورة منهجية مقارنة. كما لا توجد نماذج قياس واضحة لتقييم جاهزية البنية التحتية الرقابية السعودية للتحوّل من الإشراف التقليدي إلى الإشراف اللحظي (</w:t>
      </w:r>
      <w:r w:rsidRPr="004C5A9C">
        <w:rPr>
          <w:rStyle w:val="s1"/>
          <w:color w:val="000000" w:themeColor="text1"/>
          <w:sz w:val="28"/>
          <w:szCs w:val="28"/>
        </w:rPr>
        <w:t>Real-Time Supervision).</w:t>
      </w:r>
    </w:p>
    <w:p w14:paraId="461FBAA8" w14:textId="77777777" w:rsidR="003C17C6" w:rsidRPr="004C5A9C" w:rsidRDefault="003C17C6" w:rsidP="00BE7B2A">
      <w:pPr>
        <w:pStyle w:val="p1"/>
        <w:bidi/>
        <w:spacing w:line="360" w:lineRule="auto"/>
        <w:divId w:val="23293762"/>
        <w:rPr>
          <w:rStyle w:val="s1"/>
          <w:color w:val="000000" w:themeColor="text1"/>
          <w:sz w:val="28"/>
          <w:szCs w:val="28"/>
        </w:rPr>
      </w:pPr>
      <w:r w:rsidRPr="004C5A9C">
        <w:rPr>
          <w:rStyle w:val="s1"/>
          <w:color w:val="000000" w:themeColor="text1"/>
          <w:sz w:val="28"/>
          <w:szCs w:val="28"/>
          <w:rtl/>
        </w:rPr>
        <w:t>من هنا تنطلق هذه الدراسة لسد الفجوة العلمية عبر تحليل مقارن بين النموذجين الرقميين – المركزي واللامركزي – وتحديد ما يتطلبه كلٌ منهما من سياسات رقابية، وكفاءات تقنية، وأُطر قانونية، مع تقديم توصيات تسهم في:</w:t>
      </w:r>
    </w:p>
    <w:p w14:paraId="4A488AEF" w14:textId="01A60980" w:rsidR="003C17C6" w:rsidRPr="004C5A9C" w:rsidRDefault="003C17C6" w:rsidP="00BE7B2A">
      <w:pPr>
        <w:pStyle w:val="p1"/>
        <w:numPr>
          <w:ilvl w:val="0"/>
          <w:numId w:val="3"/>
        </w:numPr>
        <w:bidi/>
        <w:spacing w:line="360" w:lineRule="auto"/>
        <w:divId w:val="23293762"/>
        <w:rPr>
          <w:rStyle w:val="s1"/>
          <w:color w:val="000000" w:themeColor="text1"/>
          <w:sz w:val="28"/>
          <w:szCs w:val="28"/>
        </w:rPr>
      </w:pPr>
      <w:r w:rsidRPr="004C5A9C">
        <w:rPr>
          <w:rStyle w:val="s1"/>
          <w:color w:val="000000" w:themeColor="text1"/>
          <w:sz w:val="28"/>
          <w:szCs w:val="28"/>
          <w:rtl/>
        </w:rPr>
        <w:t>صوغ إستراتيجية رقابية متوازنة تدعم الابتكار وتحافظ على سلامة النظام المالي.</w:t>
      </w:r>
    </w:p>
    <w:p w14:paraId="5C06CCBD" w14:textId="35880B8F" w:rsidR="003C17C6" w:rsidRPr="004C5A9C" w:rsidRDefault="003C17C6" w:rsidP="00BE7B2A">
      <w:pPr>
        <w:pStyle w:val="p1"/>
        <w:numPr>
          <w:ilvl w:val="0"/>
          <w:numId w:val="3"/>
        </w:numPr>
        <w:bidi/>
        <w:spacing w:line="360" w:lineRule="auto"/>
        <w:divId w:val="23293762"/>
        <w:rPr>
          <w:rStyle w:val="s1"/>
          <w:color w:val="000000" w:themeColor="text1"/>
          <w:sz w:val="28"/>
          <w:szCs w:val="28"/>
        </w:rPr>
      </w:pPr>
      <w:r w:rsidRPr="004C5A9C">
        <w:rPr>
          <w:rStyle w:val="s1"/>
          <w:color w:val="000000" w:themeColor="text1"/>
          <w:sz w:val="28"/>
          <w:szCs w:val="28"/>
          <w:rtl/>
        </w:rPr>
        <w:t>تحسين التنسيق المؤسسي وتبادل البيانات بين الأطراف التنظيمية ذات العلاقة.</w:t>
      </w:r>
    </w:p>
    <w:p w14:paraId="0F612A3F" w14:textId="3FF53299" w:rsidR="003C17C6" w:rsidRPr="004C5A9C" w:rsidRDefault="003C17C6" w:rsidP="00BE7B2A">
      <w:pPr>
        <w:pStyle w:val="p1"/>
        <w:numPr>
          <w:ilvl w:val="0"/>
          <w:numId w:val="3"/>
        </w:numPr>
        <w:bidi/>
        <w:spacing w:line="360" w:lineRule="auto"/>
        <w:divId w:val="23293762"/>
        <w:rPr>
          <w:rStyle w:val="s1"/>
          <w:color w:val="000000" w:themeColor="text1"/>
          <w:sz w:val="28"/>
          <w:szCs w:val="28"/>
        </w:rPr>
      </w:pPr>
      <w:r w:rsidRPr="004C5A9C">
        <w:rPr>
          <w:rStyle w:val="s1"/>
          <w:color w:val="000000" w:themeColor="text1"/>
          <w:sz w:val="28"/>
          <w:szCs w:val="28"/>
          <w:rtl/>
        </w:rPr>
        <w:t>تعزيز جاهزية البنية التحتية للمدفوعات بما يتوافق مع المعاملات اللحظية وبيئات البلوكشين العامة والخاصة.</w:t>
      </w:r>
    </w:p>
    <w:p w14:paraId="1DA3746C" w14:textId="2A20987C" w:rsidR="00802051" w:rsidRPr="00BE7B2A" w:rsidRDefault="003C17C6" w:rsidP="00BE7B2A">
      <w:pPr>
        <w:pStyle w:val="p1"/>
        <w:bidi/>
        <w:spacing w:line="360" w:lineRule="auto"/>
        <w:divId w:val="23293762"/>
        <w:rPr>
          <w:color w:val="000000" w:themeColor="text1"/>
          <w:sz w:val="28"/>
          <w:szCs w:val="28"/>
          <w:rtl/>
        </w:rPr>
      </w:pPr>
      <w:r w:rsidRPr="004C5A9C">
        <w:rPr>
          <w:rStyle w:val="s1"/>
          <w:color w:val="000000" w:themeColor="text1"/>
          <w:sz w:val="28"/>
          <w:szCs w:val="28"/>
          <w:rtl/>
        </w:rPr>
        <w:t>خلاصة المشكلة: في ظل التحوّل المتسارع نحو البنوك الرقمية في المملكة، يتعيّن على الجهات التنظيمية إعادة تعريف أدوارها وأدواتها الرقابية. وتكمن جوهر المشكلة في فهم أثر هذين النموذجين – المركزي واللامركزي – على منظومة الحوكمة والإشراف المالي، وصوغ إطار يُمكِّن المملكة من اغتنام مزايا الابتكار مع تجنّب مخاطره النظامية.</w:t>
      </w:r>
    </w:p>
    <w:p w14:paraId="4471851E" w14:textId="77777777" w:rsidR="00962C39" w:rsidRPr="004C5A9C" w:rsidRDefault="00962C39" w:rsidP="00BE7B2A">
      <w:pPr>
        <w:spacing w:after="0" w:line="360" w:lineRule="auto"/>
        <w:divId w:val="1066100898"/>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t>1-3 أهمية الدراسة</w:t>
      </w:r>
    </w:p>
    <w:p w14:paraId="62930BF1" w14:textId="53475B4B" w:rsidR="00E079AB" w:rsidRPr="004C5A9C" w:rsidRDefault="00E079AB" w:rsidP="00BE7B2A">
      <w:pPr>
        <w:pStyle w:val="p1"/>
        <w:bidi/>
        <w:spacing w:line="360" w:lineRule="auto"/>
        <w:divId w:val="751395487"/>
        <w:rPr>
          <w:rStyle w:val="s1"/>
          <w:color w:val="000000" w:themeColor="text1"/>
          <w:sz w:val="28"/>
          <w:szCs w:val="28"/>
        </w:rPr>
      </w:pPr>
      <w:r w:rsidRPr="004C5A9C">
        <w:rPr>
          <w:rStyle w:val="s1"/>
          <w:color w:val="000000" w:themeColor="text1"/>
          <w:sz w:val="28"/>
          <w:szCs w:val="28"/>
          <w:rtl/>
        </w:rPr>
        <w:t xml:space="preserve">تستمد هذه الدراسة أهميّتها من تقاطعها مع ثلاثة مسارات متسارعة تمسّ مستقبل النظام المالي السعودي مباشرةً: التحوّل الرقمي المصرفي، وحوكمة الابتكار المالي، واستراتيجيات الاستقرار المالي. وباعتبارها أوّل عمل أكاديمي سعودي – في حدود اطّلاع الباحث – يقارن بصورة منهجيّة بين </w:t>
      </w:r>
      <w:r w:rsidRPr="004C5A9C">
        <w:rPr>
          <w:rStyle w:val="s1"/>
          <w:color w:val="000000" w:themeColor="text1"/>
          <w:sz w:val="28"/>
          <w:szCs w:val="28"/>
          <w:rtl/>
        </w:rPr>
        <w:lastRenderedPageBreak/>
        <w:t>البنوك الرقمية المركزية واللامركزية ويركّز على أثرهما في أدوار الشركاء التنظيميين، فإنها تُضيف قيمة معرفية وتطبيقية في آن معًا. ويمكن تفصيل أهميّة الدراسة في محورين رئيسين:</w:t>
      </w:r>
    </w:p>
    <w:p w14:paraId="3E3E1111" w14:textId="77777777" w:rsidR="00E079AB" w:rsidRPr="004C5A9C" w:rsidRDefault="00E079AB" w:rsidP="00BE7B2A">
      <w:pPr>
        <w:pStyle w:val="p1"/>
        <w:bidi/>
        <w:spacing w:line="360" w:lineRule="auto"/>
        <w:divId w:val="751395487"/>
        <w:rPr>
          <w:rStyle w:val="s1"/>
          <w:color w:val="000000" w:themeColor="text1"/>
          <w:sz w:val="28"/>
          <w:szCs w:val="28"/>
        </w:rPr>
      </w:pPr>
      <w:r w:rsidRPr="004C5A9C">
        <w:rPr>
          <w:rStyle w:val="s1"/>
          <w:color w:val="000000" w:themeColor="text1"/>
          <w:sz w:val="28"/>
          <w:szCs w:val="28"/>
          <w:rtl/>
        </w:rPr>
        <w:t>أولًا: الأهمية العلمية (النظرية)</w:t>
      </w:r>
    </w:p>
    <w:p w14:paraId="6E217DF5" w14:textId="452BF9C5" w:rsidR="00E079AB" w:rsidRPr="004C5A9C" w:rsidRDefault="00E079AB" w:rsidP="00BE7B2A">
      <w:pPr>
        <w:pStyle w:val="p1"/>
        <w:numPr>
          <w:ilvl w:val="0"/>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سد فجوة بحثيّة واضحة</w:t>
      </w:r>
    </w:p>
    <w:p w14:paraId="15EA1678" w14:textId="5732327E" w:rsidR="00E079AB" w:rsidRPr="004C5A9C" w:rsidRDefault="00E079AB" w:rsidP="00BE7B2A">
      <w:pPr>
        <w:pStyle w:val="p1"/>
        <w:numPr>
          <w:ilvl w:val="1"/>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الدراسات المحلية ركّزت إمّا على تبنّي الخدمات المصرفية الرقمية بوصفها امتدادًا للبنوك التقليدية أو على الجوانب التقنية للبلوكتشين؛ في حين تُهمل انعكاس هذه النماذج على هيكل الحوكمة التنظيمية. تأتي هذه الدراسة لتقدّم إطارًا نظريًا جديدًا يوضح العلاقة الثلاثية بين النموذج التشغيلي للبنك الرقمي – المخاطر النظامية – آليات الإشراف.</w:t>
      </w:r>
    </w:p>
    <w:p w14:paraId="506CB3D0" w14:textId="2A8020C4" w:rsidR="00E079AB" w:rsidRPr="004C5A9C" w:rsidRDefault="00E079AB" w:rsidP="00BE7B2A">
      <w:pPr>
        <w:pStyle w:val="p1"/>
        <w:numPr>
          <w:ilvl w:val="0"/>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إثراء أدبيات كفاءة الأسواق والاستقرار المالي</w:t>
      </w:r>
    </w:p>
    <w:p w14:paraId="753B1192" w14:textId="49BDBCC6" w:rsidR="00E079AB" w:rsidRPr="004C5A9C" w:rsidRDefault="00E079AB" w:rsidP="00BE7B2A">
      <w:pPr>
        <w:pStyle w:val="p1"/>
        <w:numPr>
          <w:ilvl w:val="1"/>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بدمج مفهومي كفاءة السوق (</w:t>
      </w:r>
      <w:r w:rsidRPr="004C5A9C">
        <w:rPr>
          <w:rStyle w:val="s1"/>
          <w:color w:val="000000" w:themeColor="text1"/>
          <w:sz w:val="28"/>
          <w:szCs w:val="28"/>
        </w:rPr>
        <w:t xml:space="preserve">EMH) </w:t>
      </w:r>
      <w:r w:rsidRPr="004C5A9C">
        <w:rPr>
          <w:rStyle w:val="s1"/>
          <w:color w:val="000000" w:themeColor="text1"/>
          <w:sz w:val="28"/>
          <w:szCs w:val="28"/>
          <w:rtl/>
        </w:rPr>
        <w:t>والتحول الرقابي اللحظي (</w:t>
      </w:r>
      <w:r w:rsidRPr="004C5A9C">
        <w:rPr>
          <w:rStyle w:val="s1"/>
          <w:color w:val="000000" w:themeColor="text1"/>
          <w:sz w:val="28"/>
          <w:szCs w:val="28"/>
        </w:rPr>
        <w:t xml:space="preserve">Real-Time Supervision)، </w:t>
      </w:r>
      <w:r w:rsidRPr="004C5A9C">
        <w:rPr>
          <w:rStyle w:val="s1"/>
          <w:color w:val="000000" w:themeColor="text1"/>
          <w:sz w:val="28"/>
          <w:szCs w:val="28"/>
          <w:rtl/>
        </w:rPr>
        <w:t>تُعيد الدراسة صياغة كيفية فهم المخاطر المعلوماتية (</w:t>
      </w:r>
      <w:r w:rsidRPr="004C5A9C">
        <w:rPr>
          <w:rStyle w:val="s1"/>
          <w:color w:val="000000" w:themeColor="text1"/>
          <w:sz w:val="28"/>
          <w:szCs w:val="28"/>
        </w:rPr>
        <w:t xml:space="preserve">Information Asymmetry) </w:t>
      </w:r>
      <w:r w:rsidRPr="004C5A9C">
        <w:rPr>
          <w:rStyle w:val="s1"/>
          <w:color w:val="000000" w:themeColor="text1"/>
          <w:sz w:val="28"/>
          <w:szCs w:val="28"/>
          <w:rtl/>
        </w:rPr>
        <w:t>في بيئة معاملات لحظيّة وموزّعة.</w:t>
      </w:r>
    </w:p>
    <w:p w14:paraId="761DF42A" w14:textId="05D8E779" w:rsidR="00E079AB" w:rsidRPr="004C5A9C" w:rsidRDefault="00E079AB" w:rsidP="00BE7B2A">
      <w:pPr>
        <w:pStyle w:val="p1"/>
        <w:numPr>
          <w:ilvl w:val="0"/>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تطوير مقياس تحليلي أصيل</w:t>
      </w:r>
    </w:p>
    <w:p w14:paraId="762CDF46" w14:textId="05E03299" w:rsidR="00E079AB" w:rsidRPr="004C5A9C" w:rsidRDefault="00E079AB" w:rsidP="00BE7B2A">
      <w:pPr>
        <w:pStyle w:val="p1"/>
        <w:numPr>
          <w:ilvl w:val="1"/>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تطرح الدراسة مصفوفة تقييم جاهزية تنظيمية (</w:t>
      </w:r>
      <w:r w:rsidRPr="004C5A9C">
        <w:rPr>
          <w:rStyle w:val="s1"/>
          <w:color w:val="000000" w:themeColor="text1"/>
          <w:sz w:val="28"/>
          <w:szCs w:val="28"/>
        </w:rPr>
        <w:t xml:space="preserve">Regulatory Readiness Matrix) </w:t>
      </w:r>
      <w:r w:rsidRPr="004C5A9C">
        <w:rPr>
          <w:rStyle w:val="s1"/>
          <w:color w:val="000000" w:themeColor="text1"/>
          <w:sz w:val="28"/>
          <w:szCs w:val="28"/>
          <w:rtl/>
        </w:rPr>
        <w:t xml:space="preserve">مُكوّنة من ستة أبعاد (التشريع، البنية التحتية، البيانات، التنسيق، الكفاءات، تقنيات </w:t>
      </w:r>
      <w:r w:rsidRPr="004C5A9C">
        <w:rPr>
          <w:rStyle w:val="s1"/>
          <w:color w:val="000000" w:themeColor="text1"/>
          <w:sz w:val="28"/>
          <w:szCs w:val="28"/>
        </w:rPr>
        <w:t xml:space="preserve">RegTech/SupTech) </w:t>
      </w:r>
      <w:r w:rsidRPr="004C5A9C">
        <w:rPr>
          <w:rStyle w:val="s1"/>
          <w:color w:val="000000" w:themeColor="text1"/>
          <w:sz w:val="28"/>
          <w:szCs w:val="28"/>
          <w:rtl/>
        </w:rPr>
        <w:t>يمكن تبنّيها في أبحاث لاحقة لمقارنة أسواق ناشئة أخرى.</w:t>
      </w:r>
    </w:p>
    <w:p w14:paraId="327E6F8D" w14:textId="3370D0CB" w:rsidR="00E079AB" w:rsidRPr="004C5A9C" w:rsidRDefault="00E079AB" w:rsidP="00BE7B2A">
      <w:pPr>
        <w:pStyle w:val="p1"/>
        <w:numPr>
          <w:ilvl w:val="0"/>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توليد فرضيات لبحوث مستقبلية</w:t>
      </w:r>
    </w:p>
    <w:p w14:paraId="378A3616" w14:textId="305675F1" w:rsidR="00E079AB" w:rsidRPr="004C5A9C" w:rsidRDefault="00E079AB" w:rsidP="00BE7B2A">
      <w:pPr>
        <w:pStyle w:val="p1"/>
        <w:numPr>
          <w:ilvl w:val="1"/>
          <w:numId w:val="4"/>
        </w:numPr>
        <w:bidi/>
        <w:spacing w:line="360" w:lineRule="auto"/>
        <w:divId w:val="751395487"/>
        <w:rPr>
          <w:rStyle w:val="s1"/>
          <w:color w:val="000000" w:themeColor="text1"/>
          <w:sz w:val="28"/>
          <w:szCs w:val="28"/>
        </w:rPr>
      </w:pPr>
      <w:r w:rsidRPr="004C5A9C">
        <w:rPr>
          <w:rStyle w:val="s1"/>
          <w:color w:val="000000" w:themeColor="text1"/>
          <w:sz w:val="28"/>
          <w:szCs w:val="28"/>
          <w:rtl/>
        </w:rPr>
        <w:t>تُبيّن الروابط بين تنوّع نماذج الهوية الرقمية (</w:t>
      </w:r>
      <w:r w:rsidRPr="004C5A9C">
        <w:rPr>
          <w:rStyle w:val="s1"/>
          <w:color w:val="000000" w:themeColor="text1"/>
          <w:sz w:val="28"/>
          <w:szCs w:val="28"/>
        </w:rPr>
        <w:t xml:space="preserve">Self-Sovereign ID vs. Central KYC) </w:t>
      </w:r>
      <w:r w:rsidRPr="004C5A9C">
        <w:rPr>
          <w:rStyle w:val="s1"/>
          <w:color w:val="000000" w:themeColor="text1"/>
          <w:sz w:val="28"/>
          <w:szCs w:val="28"/>
          <w:rtl/>
        </w:rPr>
        <w:t xml:space="preserve">وبين فعالية سياسات </w:t>
      </w:r>
      <w:r w:rsidRPr="004C5A9C">
        <w:rPr>
          <w:rStyle w:val="s1"/>
          <w:color w:val="000000" w:themeColor="text1"/>
          <w:sz w:val="28"/>
          <w:szCs w:val="28"/>
        </w:rPr>
        <w:t xml:space="preserve">AML/CFT، </w:t>
      </w:r>
      <w:r w:rsidRPr="004C5A9C">
        <w:rPr>
          <w:rStyle w:val="s1"/>
          <w:color w:val="000000" w:themeColor="text1"/>
          <w:sz w:val="28"/>
          <w:szCs w:val="28"/>
          <w:rtl/>
        </w:rPr>
        <w:t>ما يفتح المجال أمام دراسات كمية ونوعية لفحص هذه الفرضيات في دول مجلس التعاون.</w:t>
      </w:r>
    </w:p>
    <w:p w14:paraId="4C49B6DE" w14:textId="77777777" w:rsidR="00E079AB" w:rsidRPr="004C5A9C" w:rsidRDefault="00E079AB" w:rsidP="00BE7B2A">
      <w:pPr>
        <w:pStyle w:val="p1"/>
        <w:bidi/>
        <w:spacing w:line="360" w:lineRule="auto"/>
        <w:divId w:val="751395487"/>
        <w:rPr>
          <w:rStyle w:val="s1"/>
          <w:color w:val="000000" w:themeColor="text1"/>
          <w:sz w:val="28"/>
          <w:szCs w:val="28"/>
        </w:rPr>
      </w:pPr>
    </w:p>
    <w:p w14:paraId="42F94A6D" w14:textId="77777777" w:rsidR="00E079AB" w:rsidRPr="004C5A9C" w:rsidRDefault="00E079AB" w:rsidP="00BE7B2A">
      <w:pPr>
        <w:pStyle w:val="p1"/>
        <w:bidi/>
        <w:spacing w:line="360" w:lineRule="auto"/>
        <w:divId w:val="751395487"/>
        <w:rPr>
          <w:rStyle w:val="s1"/>
          <w:color w:val="000000" w:themeColor="text1"/>
          <w:sz w:val="28"/>
          <w:szCs w:val="28"/>
        </w:rPr>
      </w:pPr>
      <w:r w:rsidRPr="004C5A9C">
        <w:rPr>
          <w:rStyle w:val="s1"/>
          <w:color w:val="000000" w:themeColor="text1"/>
          <w:sz w:val="28"/>
          <w:szCs w:val="28"/>
          <w:rtl/>
        </w:rPr>
        <w:t>ثانيًا: الأهمية العملية (التطبيقية)</w:t>
      </w:r>
    </w:p>
    <w:p w14:paraId="70A90106" w14:textId="540AC2D4" w:rsidR="00E079AB" w:rsidRPr="004C5A9C" w:rsidRDefault="00E079AB" w:rsidP="00BE7B2A">
      <w:pPr>
        <w:pStyle w:val="p1"/>
        <w:numPr>
          <w:ilvl w:val="0"/>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دعم أهداف رؤية المملكة 2030 وبرنامج تطوير القطاع المالي</w:t>
      </w:r>
    </w:p>
    <w:p w14:paraId="1E9943AF" w14:textId="5746AD2C" w:rsidR="00E079AB" w:rsidRPr="004C5A9C" w:rsidRDefault="00E079AB" w:rsidP="00BE7B2A">
      <w:pPr>
        <w:pStyle w:val="p1"/>
        <w:numPr>
          <w:ilvl w:val="1"/>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بتقديم توصيات تنظيمية محدّدة حول خريطة طريق لإطلاق عملة رقمية للبنك المركزي (</w:t>
      </w:r>
      <w:r w:rsidRPr="004C5A9C">
        <w:rPr>
          <w:rStyle w:val="s1"/>
          <w:color w:val="000000" w:themeColor="text1"/>
          <w:sz w:val="28"/>
          <w:szCs w:val="28"/>
        </w:rPr>
        <w:t xml:space="preserve">CBDC) </w:t>
      </w:r>
      <w:r w:rsidRPr="004C5A9C">
        <w:rPr>
          <w:rStyle w:val="s1"/>
          <w:color w:val="000000" w:themeColor="text1"/>
          <w:sz w:val="28"/>
          <w:szCs w:val="28"/>
          <w:rtl/>
        </w:rPr>
        <w:t>وآليات دمجها مع النظم القائمة («سريع»، «إيصال»)، تُساعد نتائج البحث صُنّاع القرار على تحقيق مستهدفات التحوّل إلى اقتصاد لا نقدي.</w:t>
      </w:r>
    </w:p>
    <w:p w14:paraId="78C657D4" w14:textId="17866762" w:rsidR="00E079AB" w:rsidRPr="004C5A9C" w:rsidRDefault="00E079AB" w:rsidP="00BE7B2A">
      <w:pPr>
        <w:pStyle w:val="p1"/>
        <w:numPr>
          <w:ilvl w:val="0"/>
          <w:numId w:val="5"/>
        </w:numPr>
        <w:bidi/>
        <w:spacing w:line="360" w:lineRule="auto"/>
        <w:divId w:val="751395487"/>
        <w:rPr>
          <w:rStyle w:val="s1"/>
          <w:color w:val="000000" w:themeColor="text1"/>
          <w:sz w:val="28"/>
          <w:szCs w:val="28"/>
        </w:rPr>
      </w:pPr>
      <w:r w:rsidRPr="004C5A9C">
        <w:rPr>
          <w:rStyle w:val="s1"/>
          <w:color w:val="000000" w:themeColor="text1"/>
          <w:sz w:val="28"/>
          <w:szCs w:val="28"/>
          <w:rtl/>
        </w:rPr>
        <w:lastRenderedPageBreak/>
        <w:t>تمكين الشركاء التنظيميين من الانتقال إلى الإشراف الرقمي اللحظي</w:t>
      </w:r>
    </w:p>
    <w:p w14:paraId="6C245640" w14:textId="5B795DF3" w:rsidR="00E079AB" w:rsidRPr="004C5A9C" w:rsidRDefault="00E079AB" w:rsidP="00BE7B2A">
      <w:pPr>
        <w:pStyle w:val="p1"/>
        <w:numPr>
          <w:ilvl w:val="1"/>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 xml:space="preserve">تحدّد الدراسة متطلبات تبنّي منصّات </w:t>
      </w:r>
      <w:r w:rsidRPr="004C5A9C">
        <w:rPr>
          <w:rStyle w:val="s1"/>
          <w:color w:val="000000" w:themeColor="text1"/>
          <w:sz w:val="28"/>
          <w:szCs w:val="28"/>
        </w:rPr>
        <w:t xml:space="preserve">SupTech </w:t>
      </w:r>
      <w:r w:rsidRPr="004C5A9C">
        <w:rPr>
          <w:rStyle w:val="s1"/>
          <w:color w:val="000000" w:themeColor="text1"/>
          <w:sz w:val="28"/>
          <w:szCs w:val="28"/>
          <w:rtl/>
        </w:rPr>
        <w:t>لتحليل دفعات البيانات الواردة من واجهات برمجة تطبيقات (</w:t>
      </w:r>
      <w:r w:rsidRPr="004C5A9C">
        <w:rPr>
          <w:rStyle w:val="s1"/>
          <w:color w:val="000000" w:themeColor="text1"/>
          <w:sz w:val="28"/>
          <w:szCs w:val="28"/>
        </w:rPr>
        <w:t xml:space="preserve">APIs) </w:t>
      </w:r>
      <w:r w:rsidRPr="004C5A9C">
        <w:rPr>
          <w:rStyle w:val="s1"/>
          <w:color w:val="000000" w:themeColor="text1"/>
          <w:sz w:val="28"/>
          <w:szCs w:val="28"/>
          <w:rtl/>
        </w:rPr>
        <w:t>البنوك الرقمية في الوقت الفعلي، ما يُحسّن رصد المخاطر السيبرانية ومخاطر السيولة قبل وقوعها.</w:t>
      </w:r>
    </w:p>
    <w:p w14:paraId="490DC737" w14:textId="13D6CA87" w:rsidR="00E079AB" w:rsidRPr="004C5A9C" w:rsidRDefault="00E079AB" w:rsidP="00BE7B2A">
      <w:pPr>
        <w:pStyle w:val="p1"/>
        <w:numPr>
          <w:ilvl w:val="0"/>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تعزيز تنسيق الأدوار المؤسسية</w:t>
      </w:r>
    </w:p>
    <w:p w14:paraId="30A06D76" w14:textId="1C49BAD4" w:rsidR="00E079AB" w:rsidRPr="004C5A9C" w:rsidRDefault="00E079AB" w:rsidP="00BE7B2A">
      <w:pPr>
        <w:pStyle w:val="p1"/>
        <w:numPr>
          <w:ilvl w:val="1"/>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تُقترَح آلية «مركز عمليات رقابي موحّد» (</w:t>
      </w:r>
      <w:r w:rsidRPr="004C5A9C">
        <w:rPr>
          <w:rStyle w:val="s1"/>
          <w:color w:val="000000" w:themeColor="text1"/>
          <w:sz w:val="28"/>
          <w:szCs w:val="28"/>
        </w:rPr>
        <w:t xml:space="preserve">Unified Regulatory Operations Center) </w:t>
      </w:r>
      <w:r w:rsidRPr="004C5A9C">
        <w:rPr>
          <w:rStyle w:val="s1"/>
          <w:color w:val="000000" w:themeColor="text1"/>
          <w:sz w:val="28"/>
          <w:szCs w:val="28"/>
          <w:rtl/>
        </w:rPr>
        <w:t xml:space="preserve">يدمج قواعد بيانات </w:t>
      </w:r>
      <w:r w:rsidRPr="004C5A9C">
        <w:rPr>
          <w:rStyle w:val="s1"/>
          <w:color w:val="000000" w:themeColor="text1"/>
          <w:sz w:val="28"/>
          <w:szCs w:val="28"/>
        </w:rPr>
        <w:t xml:space="preserve">SAMA، </w:t>
      </w:r>
      <w:r w:rsidRPr="004C5A9C">
        <w:rPr>
          <w:rStyle w:val="s1"/>
          <w:color w:val="000000" w:themeColor="text1"/>
          <w:sz w:val="28"/>
          <w:szCs w:val="28"/>
          <w:rtl/>
        </w:rPr>
        <w:t>وهيئة السوق المالية، ووحدة التحريات المالية لمكافحة غسل الأموال، الأمر الذي يقلّل الازدواجية ويُسرّع إجراءات التدخّل.</w:t>
      </w:r>
    </w:p>
    <w:p w14:paraId="15941199" w14:textId="4099FCBE" w:rsidR="00E079AB" w:rsidRPr="004C5A9C" w:rsidRDefault="00E079AB" w:rsidP="00BE7B2A">
      <w:pPr>
        <w:pStyle w:val="p1"/>
        <w:numPr>
          <w:ilvl w:val="0"/>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رفع جاهزية البنية التحتية للمدفوعات</w:t>
      </w:r>
    </w:p>
    <w:p w14:paraId="6C73EA3A" w14:textId="0290A44E" w:rsidR="00E079AB" w:rsidRPr="004C5A9C" w:rsidRDefault="00E079AB" w:rsidP="00BE7B2A">
      <w:pPr>
        <w:pStyle w:val="p1"/>
        <w:numPr>
          <w:ilvl w:val="1"/>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تقدّم الدراسة سيناريوهات اختبار إجهاد (</w:t>
      </w:r>
      <w:r w:rsidRPr="004C5A9C">
        <w:rPr>
          <w:rStyle w:val="s1"/>
          <w:color w:val="000000" w:themeColor="text1"/>
          <w:sz w:val="28"/>
          <w:szCs w:val="28"/>
        </w:rPr>
        <w:t xml:space="preserve">Stress-Testing Scenarios) </w:t>
      </w:r>
      <w:r w:rsidRPr="004C5A9C">
        <w:rPr>
          <w:rStyle w:val="s1"/>
          <w:color w:val="000000" w:themeColor="text1"/>
          <w:sz w:val="28"/>
          <w:szCs w:val="28"/>
          <w:rtl/>
        </w:rPr>
        <w:t>لأنظمة المدفوعات السعودية عند وصول حجم التعاملات اللحظية إلى عشرة أضعاف المستوى الحالي، مع توصيات لترقية السعة الشبكية والتشفير.</w:t>
      </w:r>
    </w:p>
    <w:p w14:paraId="35EDB67F" w14:textId="1ABF6781" w:rsidR="00E079AB" w:rsidRPr="004C5A9C" w:rsidRDefault="00E079AB" w:rsidP="00BE7B2A">
      <w:pPr>
        <w:pStyle w:val="p1"/>
        <w:numPr>
          <w:ilvl w:val="0"/>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تعظيم الأثر الاقتصادي والاجتماعي</w:t>
      </w:r>
    </w:p>
    <w:p w14:paraId="7B7EF08A" w14:textId="3B55ED1E" w:rsidR="00E079AB" w:rsidRPr="004C5A9C" w:rsidRDefault="00E079AB" w:rsidP="00BE7B2A">
      <w:pPr>
        <w:pStyle w:val="p1"/>
        <w:numPr>
          <w:ilvl w:val="1"/>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تُظهر النتائج كيف يمكن للبنوك الرقمية – إذا أُطّرَت رقابيًّا بصورة سليمة – أن تُسهم في الشمول المالي للفئات غير المخدومة وخفض تكلفة التحويلات الداخلية بنسبة قد تصل إلى 40٪، ما ينعكس إيجابًا على الناتج المحلي الإجمالي.</w:t>
      </w:r>
    </w:p>
    <w:p w14:paraId="4FDEC622" w14:textId="035DFAD4" w:rsidR="00E079AB" w:rsidRPr="004C5A9C" w:rsidRDefault="00E079AB" w:rsidP="00BE7B2A">
      <w:pPr>
        <w:pStyle w:val="p1"/>
        <w:numPr>
          <w:ilvl w:val="0"/>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إطار عملي للتصالح مع النماذج اللامركزية</w:t>
      </w:r>
    </w:p>
    <w:p w14:paraId="3063E4B0" w14:textId="5938CE64" w:rsidR="00E079AB" w:rsidRPr="004C5A9C" w:rsidRDefault="00E079AB" w:rsidP="00BE7B2A">
      <w:pPr>
        <w:pStyle w:val="p1"/>
        <w:numPr>
          <w:ilvl w:val="1"/>
          <w:numId w:val="5"/>
        </w:numPr>
        <w:bidi/>
        <w:spacing w:line="360" w:lineRule="auto"/>
        <w:divId w:val="751395487"/>
        <w:rPr>
          <w:rStyle w:val="s1"/>
          <w:color w:val="000000" w:themeColor="text1"/>
          <w:sz w:val="28"/>
          <w:szCs w:val="28"/>
        </w:rPr>
      </w:pPr>
      <w:r w:rsidRPr="004C5A9C">
        <w:rPr>
          <w:rStyle w:val="s1"/>
          <w:color w:val="000000" w:themeColor="text1"/>
          <w:sz w:val="28"/>
          <w:szCs w:val="28"/>
          <w:rtl/>
        </w:rPr>
        <w:t>تضع الدراسة دليلًا إجرائيًّا يُمكّن الجهات الرقابية من الاستفادة من شفافية البلوكشين العام عبر أدوات تحليلات السلاسل (</w:t>
      </w:r>
      <w:r w:rsidRPr="004C5A9C">
        <w:rPr>
          <w:rStyle w:val="s1"/>
          <w:color w:val="000000" w:themeColor="text1"/>
          <w:sz w:val="28"/>
          <w:szCs w:val="28"/>
        </w:rPr>
        <w:t xml:space="preserve">Chain-Analytics) </w:t>
      </w:r>
      <w:r w:rsidRPr="004C5A9C">
        <w:rPr>
          <w:rStyle w:val="s1"/>
          <w:color w:val="000000" w:themeColor="text1"/>
          <w:sz w:val="28"/>
          <w:szCs w:val="28"/>
          <w:rtl/>
        </w:rPr>
        <w:t>مع الحفاظ على خصوصية المستخدمين وفق لوائح حماية البيانات الشخصية السعودية.</w:t>
      </w:r>
    </w:p>
    <w:p w14:paraId="034901B8" w14:textId="77777777" w:rsidR="00E079AB" w:rsidRPr="004C5A9C" w:rsidRDefault="00E079AB" w:rsidP="00BE7B2A">
      <w:pPr>
        <w:pStyle w:val="p1"/>
        <w:bidi/>
        <w:spacing w:line="360" w:lineRule="auto"/>
        <w:divId w:val="751395487"/>
        <w:rPr>
          <w:rStyle w:val="s1"/>
          <w:color w:val="000000" w:themeColor="text1"/>
          <w:sz w:val="28"/>
          <w:szCs w:val="28"/>
        </w:rPr>
      </w:pPr>
    </w:p>
    <w:p w14:paraId="22D391CA" w14:textId="77777777" w:rsidR="00E079AB" w:rsidRPr="004C5A9C" w:rsidRDefault="00E079AB" w:rsidP="00BE7B2A">
      <w:pPr>
        <w:pStyle w:val="p1"/>
        <w:bidi/>
        <w:spacing w:line="360" w:lineRule="auto"/>
        <w:divId w:val="751395487"/>
        <w:rPr>
          <w:rStyle w:val="s1"/>
          <w:b/>
          <w:bCs/>
          <w:color w:val="000000" w:themeColor="text1"/>
          <w:sz w:val="28"/>
          <w:szCs w:val="28"/>
        </w:rPr>
      </w:pPr>
      <w:r w:rsidRPr="004C5A9C">
        <w:rPr>
          <w:rStyle w:val="s1"/>
          <w:b/>
          <w:bCs/>
          <w:color w:val="000000" w:themeColor="text1"/>
          <w:sz w:val="28"/>
          <w:szCs w:val="28"/>
          <w:rtl/>
        </w:rPr>
        <w:t>خلاصة الأهميّة</w:t>
      </w:r>
    </w:p>
    <w:p w14:paraId="3A6E05E4" w14:textId="1D01B1D8" w:rsidR="00A60D35" w:rsidRPr="00BE7B2A" w:rsidRDefault="00E079AB" w:rsidP="00BE7B2A">
      <w:pPr>
        <w:pStyle w:val="p1"/>
        <w:bidi/>
        <w:spacing w:line="360" w:lineRule="auto"/>
        <w:divId w:val="751395487"/>
        <w:rPr>
          <w:color w:val="000000" w:themeColor="text1"/>
          <w:sz w:val="28"/>
          <w:szCs w:val="28"/>
          <w:rtl/>
        </w:rPr>
      </w:pPr>
      <w:r w:rsidRPr="004C5A9C">
        <w:rPr>
          <w:rStyle w:val="s1"/>
          <w:color w:val="000000" w:themeColor="text1"/>
          <w:sz w:val="28"/>
          <w:szCs w:val="28"/>
          <w:rtl/>
        </w:rPr>
        <w:t>هذه الدراسة لا تُضيف فقط فصلًا جديدًا إلى الأدبيات الأكاديمية حول المصرفية الرقمية، بل تمنح الجهات التنظيمية السعودية خارطة طريق عملية لمواءمة الابتكار مع الاستقرار المالي، وتقدّم نموذجًا يمكن تعميمه على أسواق ناشئة أخرى تسعى إلى احتضان البنوك الرقمية بنوعيها المركزي واللامركزي</w:t>
      </w:r>
    </w:p>
    <w:p w14:paraId="7D3B5386" w14:textId="77777777" w:rsidR="00A60D35" w:rsidRPr="004C5A9C" w:rsidRDefault="00A60D35" w:rsidP="00BE7B2A">
      <w:pPr>
        <w:spacing w:after="0" w:line="360" w:lineRule="auto"/>
        <w:divId w:val="1307852376"/>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lastRenderedPageBreak/>
        <w:t>1-4 أهداف الدراسة</w:t>
      </w:r>
    </w:p>
    <w:p w14:paraId="4E77D3B5" w14:textId="77777777" w:rsidR="009438AB" w:rsidRPr="004C5A9C" w:rsidRDefault="009438AB" w:rsidP="00BE7B2A">
      <w:pPr>
        <w:pStyle w:val="p1"/>
        <w:bidi/>
        <w:spacing w:line="360" w:lineRule="auto"/>
        <w:divId w:val="737750452"/>
        <w:rPr>
          <w:rStyle w:val="s1"/>
          <w:color w:val="000000" w:themeColor="text1"/>
          <w:sz w:val="28"/>
          <w:szCs w:val="28"/>
        </w:rPr>
      </w:pPr>
      <w:r w:rsidRPr="004C5A9C">
        <w:rPr>
          <w:rStyle w:val="s1"/>
          <w:color w:val="000000" w:themeColor="text1"/>
          <w:sz w:val="28"/>
          <w:szCs w:val="28"/>
          <w:rtl/>
        </w:rPr>
        <w:t>الهدف الرئيس</w:t>
      </w:r>
    </w:p>
    <w:p w14:paraId="6601AE3A" w14:textId="77777777" w:rsidR="009438AB" w:rsidRPr="004C5A9C" w:rsidRDefault="009438AB" w:rsidP="00BE7B2A">
      <w:pPr>
        <w:pStyle w:val="p1"/>
        <w:bidi/>
        <w:spacing w:line="360" w:lineRule="auto"/>
        <w:divId w:val="737750452"/>
        <w:rPr>
          <w:rStyle w:val="s1"/>
          <w:color w:val="000000" w:themeColor="text1"/>
          <w:sz w:val="28"/>
          <w:szCs w:val="28"/>
        </w:rPr>
      </w:pPr>
      <w:r w:rsidRPr="004C5A9C">
        <w:rPr>
          <w:rStyle w:val="s1"/>
          <w:color w:val="000000" w:themeColor="text1"/>
          <w:sz w:val="28"/>
          <w:szCs w:val="28"/>
          <w:rtl/>
        </w:rPr>
        <w:t>استقصاء أثر نماذج البنوك الرقمية المركزية واللامركزية العاملة (أو المتاحة) في المملكة العربية السعودية على أدوار وأدوات وآليات التنسيق لدى الشركاء التنظيميين، مع تحديد التعديلات الرقابية اللازمة لتحقيق التوازن بين الابتكار والاستقرار المالي.</w:t>
      </w:r>
    </w:p>
    <w:p w14:paraId="6985E15A" w14:textId="77777777" w:rsidR="009438AB" w:rsidRPr="004C5A9C" w:rsidRDefault="009438AB" w:rsidP="00BE7B2A">
      <w:pPr>
        <w:pStyle w:val="p1"/>
        <w:bidi/>
        <w:spacing w:line="360" w:lineRule="auto"/>
        <w:divId w:val="737750452"/>
        <w:rPr>
          <w:rStyle w:val="s1"/>
          <w:color w:val="000000" w:themeColor="text1"/>
          <w:sz w:val="28"/>
          <w:szCs w:val="28"/>
        </w:rPr>
      </w:pPr>
    </w:p>
    <w:p w14:paraId="50232451" w14:textId="77777777" w:rsidR="009438AB" w:rsidRPr="004C5A9C" w:rsidRDefault="009438AB" w:rsidP="00BE7B2A">
      <w:pPr>
        <w:pStyle w:val="p1"/>
        <w:bidi/>
        <w:spacing w:line="360" w:lineRule="auto"/>
        <w:divId w:val="737750452"/>
        <w:rPr>
          <w:rStyle w:val="s1"/>
          <w:color w:val="000000" w:themeColor="text1"/>
          <w:sz w:val="28"/>
          <w:szCs w:val="28"/>
        </w:rPr>
      </w:pPr>
      <w:r w:rsidRPr="004C5A9C">
        <w:rPr>
          <w:rStyle w:val="s1"/>
          <w:color w:val="000000" w:themeColor="text1"/>
          <w:sz w:val="28"/>
          <w:szCs w:val="28"/>
          <w:rtl/>
        </w:rPr>
        <w:t>الأهداف الفرعية</w:t>
      </w:r>
    </w:p>
    <w:p w14:paraId="6F352378" w14:textId="48C391A7"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المقارنة بين النموذجين</w:t>
      </w:r>
    </w:p>
    <w:p w14:paraId="649EAFF2" w14:textId="43B5F4A3"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توصيف الخصائص التشغيلية والتقنية والحوكميّة لكلٍ من البنوك الرقمية المُرخَّصة الخاضعة لإشراف البنك المركزي، ومنصّات التمويل اللامركزي القائمة على العقود الذكية.</w:t>
      </w:r>
    </w:p>
    <w:p w14:paraId="36D0D2C5" w14:textId="19711C15"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تقييم بروفايل المخاطر</w:t>
      </w:r>
    </w:p>
    <w:p w14:paraId="0432B313" w14:textId="5AE7F960"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تحليل فروق المخاطر الاحترازية والسيولة والأمن السيبراني ومكافحة غسل الأموال/تمويل الإرهاب التي يفرضها كل نموذج، وربطها بالأطر التنظيمية السعودية الحالية.</w:t>
      </w:r>
    </w:p>
    <w:p w14:paraId="280C9BC6" w14:textId="75E8684C"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تشخيص الجاهزية التنظيمية</w:t>
      </w:r>
    </w:p>
    <w:p w14:paraId="06C0B36E" w14:textId="68E9AB48"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قياس قدرات الجهات الرقابية (ساما، وهيئة السوق المالية، وحدة التحريات المالية، الهيئة الوطنية للأمن السيبراني) عبر ستة أبعاد باستخدام مصفوفة الجاهزية التنظيمية المقترحة في الدراسة.</w:t>
      </w:r>
    </w:p>
    <w:p w14:paraId="29B034CA" w14:textId="3AFCBB14"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مواءمة أدوات السياسات</w:t>
      </w:r>
    </w:p>
    <w:p w14:paraId="67E5FB34" w14:textId="6D3E5BF8"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رصد تأثير المصرفية الرقمية اللحظية على أدوات السياسة النقدية، واستقرار نظم المدفوعات، وحماية المستهلك، وتحديد الثغرات التي تستلزم تحديثًا تشريعيًا أو لائحيًا.</w:t>
      </w:r>
    </w:p>
    <w:p w14:paraId="7CE2E137" w14:textId="3D537DCC"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تحليل التنسيق المؤسسي</w:t>
      </w:r>
    </w:p>
    <w:p w14:paraId="26E6E754" w14:textId="211C9C85"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تقويم فعالية بروتوكولات تبادل البيانات والرقابة المشتركة عند متابعة معاملات عالية التردد ونشاط العقود الذكية.</w:t>
      </w:r>
    </w:p>
    <w:p w14:paraId="03454E05" w14:textId="1A591727"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lastRenderedPageBreak/>
        <w:t>موازنة الابتكار والاستقرار</w:t>
      </w:r>
    </w:p>
    <w:p w14:paraId="14CEDAC1" w14:textId="51548D7E"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 xml:space="preserve">تقدير المنافع الاجتماعية-الاقتصادية (مثل الشمول المالي وخفض تكاليف التحويل) مقابل المخاطر النظامية (كسحب السيولة السريع أو عدوى الهجمات السيبرانية) في سيناريوهات تبنّي عملات رقمية للبنك المركزي وخدمات </w:t>
      </w:r>
      <w:r w:rsidRPr="004C5A9C">
        <w:rPr>
          <w:rStyle w:val="s1"/>
          <w:color w:val="000000" w:themeColor="text1"/>
          <w:sz w:val="28"/>
          <w:szCs w:val="28"/>
        </w:rPr>
        <w:t>DeFi.</w:t>
      </w:r>
    </w:p>
    <w:p w14:paraId="5EAAD5C9" w14:textId="3E52E9B5"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 xml:space="preserve">إرشادات تطبيق تقنيات </w:t>
      </w:r>
      <w:r w:rsidRPr="004C5A9C">
        <w:rPr>
          <w:rStyle w:val="s1"/>
          <w:color w:val="000000" w:themeColor="text1"/>
          <w:sz w:val="28"/>
          <w:szCs w:val="28"/>
        </w:rPr>
        <w:t>SupTech</w:t>
      </w:r>
    </w:p>
    <w:p w14:paraId="5AD86F49" w14:textId="2938F68F"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وضع خارطة طريق تقنية لتبنّي أدوات الإشراف اللحظي (تحليل سلاسل البلوكشين، واجهات برمجة التطبيقات، كشف الشذوذ بالذكاء الاصطناعي) داخل الجهات التنظيمية السعودية.</w:t>
      </w:r>
    </w:p>
    <w:p w14:paraId="3C32399B" w14:textId="7ACB9704" w:rsidR="009438AB" w:rsidRPr="004C5A9C" w:rsidRDefault="009438AB" w:rsidP="00BE7B2A">
      <w:pPr>
        <w:pStyle w:val="p1"/>
        <w:numPr>
          <w:ilvl w:val="0"/>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صياغة توصيات تنفيذية</w:t>
      </w:r>
    </w:p>
    <w:p w14:paraId="6DD8D356" w14:textId="7E78167B"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تقديم حزمة توصيات سياسية وتشغيلية تمكّن الجهات الرقابية من:</w:t>
      </w:r>
    </w:p>
    <w:p w14:paraId="323076E4" w14:textId="7BE2CFC0"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تحديث التشريعات دون كبح الابتكار.</w:t>
      </w:r>
    </w:p>
    <w:p w14:paraId="084DCAD8" w14:textId="5324F599"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تعزيز قدرة نظم المدفوعات على التوسع الآمن.</w:t>
      </w:r>
    </w:p>
    <w:p w14:paraId="2B6B74EC" w14:textId="264E9D95"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 xml:space="preserve">تقوية منظومة </w:t>
      </w:r>
      <w:r w:rsidRPr="004C5A9C">
        <w:rPr>
          <w:rStyle w:val="s1"/>
          <w:color w:val="000000" w:themeColor="text1"/>
          <w:sz w:val="28"/>
          <w:szCs w:val="28"/>
        </w:rPr>
        <w:t xml:space="preserve">KYC/AML </w:t>
      </w:r>
      <w:r w:rsidRPr="004C5A9C">
        <w:rPr>
          <w:rStyle w:val="s1"/>
          <w:color w:val="000000" w:themeColor="text1"/>
          <w:sz w:val="28"/>
          <w:szCs w:val="28"/>
          <w:rtl/>
        </w:rPr>
        <w:t>في البيئات اللامركزية.</w:t>
      </w:r>
    </w:p>
    <w:p w14:paraId="54713AE7" w14:textId="704C79A2" w:rsidR="009438AB" w:rsidRPr="004C5A9C" w:rsidRDefault="009438AB" w:rsidP="00BE7B2A">
      <w:pPr>
        <w:pStyle w:val="p1"/>
        <w:numPr>
          <w:ilvl w:val="1"/>
          <w:numId w:val="6"/>
        </w:numPr>
        <w:bidi/>
        <w:spacing w:line="360" w:lineRule="auto"/>
        <w:divId w:val="737750452"/>
        <w:rPr>
          <w:rStyle w:val="s1"/>
          <w:color w:val="000000" w:themeColor="text1"/>
          <w:sz w:val="28"/>
          <w:szCs w:val="28"/>
        </w:rPr>
      </w:pPr>
      <w:r w:rsidRPr="004C5A9C">
        <w:rPr>
          <w:rStyle w:val="s1"/>
          <w:color w:val="000000" w:themeColor="text1"/>
          <w:sz w:val="28"/>
          <w:szCs w:val="28"/>
          <w:rtl/>
        </w:rPr>
        <w:t>ترسيخ ثقافة إشرافية موحّدة ومُمكَّنة تقنيًّا بما ينسجم مع رؤية 2030 وبرنامج تطوير القطاع المالي.</w:t>
      </w:r>
    </w:p>
    <w:p w14:paraId="4F2CF6D3" w14:textId="77777777" w:rsidR="009125CE" w:rsidRPr="004C5A9C" w:rsidRDefault="009125CE" w:rsidP="00BE7B2A">
      <w:pPr>
        <w:spacing w:line="360" w:lineRule="auto"/>
        <w:rPr>
          <w:rFonts w:ascii="Sakkal Majalla" w:hAnsi="Sakkal Majalla" w:cs="Sakkal Majalla"/>
          <w:color w:val="000000" w:themeColor="text1"/>
          <w:sz w:val="28"/>
          <w:szCs w:val="28"/>
          <w:rtl/>
        </w:rPr>
      </w:pPr>
    </w:p>
    <w:p w14:paraId="432A0A13" w14:textId="77777777" w:rsidR="00A74F76" w:rsidRPr="004C5A9C" w:rsidRDefault="00A74F76" w:rsidP="00BE7B2A">
      <w:pPr>
        <w:spacing w:line="360" w:lineRule="auto"/>
        <w:rPr>
          <w:rFonts w:ascii="Sakkal Majalla" w:hAnsi="Sakkal Majalla" w:cs="Sakkal Majalla"/>
          <w:color w:val="000000" w:themeColor="text1"/>
          <w:sz w:val="28"/>
          <w:szCs w:val="28"/>
          <w:rtl/>
        </w:rPr>
      </w:pPr>
    </w:p>
    <w:p w14:paraId="0181F17D" w14:textId="77777777" w:rsidR="0098504F" w:rsidRPr="004C5A9C" w:rsidRDefault="0098504F" w:rsidP="00BE7B2A">
      <w:pPr>
        <w:spacing w:line="360" w:lineRule="auto"/>
        <w:rPr>
          <w:rFonts w:ascii="Sakkal Majalla" w:hAnsi="Sakkal Majalla" w:cs="Sakkal Majalla"/>
          <w:color w:val="000000" w:themeColor="text1"/>
          <w:sz w:val="28"/>
          <w:szCs w:val="28"/>
          <w:rtl/>
        </w:rPr>
      </w:pPr>
    </w:p>
    <w:p w14:paraId="0EFD6CD4" w14:textId="77777777" w:rsidR="0098504F" w:rsidRPr="004C5A9C" w:rsidRDefault="0098504F" w:rsidP="00BE7B2A">
      <w:pPr>
        <w:spacing w:line="360" w:lineRule="auto"/>
        <w:rPr>
          <w:rFonts w:ascii="Sakkal Majalla" w:hAnsi="Sakkal Majalla" w:cs="Sakkal Majalla"/>
          <w:color w:val="000000" w:themeColor="text1"/>
          <w:sz w:val="28"/>
          <w:szCs w:val="28"/>
          <w:rtl/>
        </w:rPr>
      </w:pPr>
    </w:p>
    <w:p w14:paraId="0657113E" w14:textId="77777777" w:rsidR="0098504F" w:rsidRPr="004C5A9C" w:rsidRDefault="0098504F" w:rsidP="00BE7B2A">
      <w:pPr>
        <w:spacing w:line="360" w:lineRule="auto"/>
        <w:rPr>
          <w:rFonts w:ascii="Sakkal Majalla" w:hAnsi="Sakkal Majalla" w:cs="Sakkal Majalla"/>
          <w:color w:val="000000" w:themeColor="text1"/>
          <w:sz w:val="28"/>
          <w:szCs w:val="28"/>
          <w:rtl/>
        </w:rPr>
      </w:pPr>
    </w:p>
    <w:p w14:paraId="035E6C19" w14:textId="77777777" w:rsidR="006A75A3" w:rsidRDefault="006A75A3" w:rsidP="00BE7B2A">
      <w:pPr>
        <w:spacing w:line="360" w:lineRule="auto"/>
        <w:rPr>
          <w:rFonts w:ascii="Sakkal Majalla" w:hAnsi="Sakkal Majalla" w:cs="Sakkal Majalla"/>
          <w:color w:val="000000" w:themeColor="text1"/>
          <w:sz w:val="28"/>
          <w:szCs w:val="28"/>
          <w:rtl/>
        </w:rPr>
      </w:pPr>
    </w:p>
    <w:p w14:paraId="7850FD29" w14:textId="77777777" w:rsidR="00BE7B2A" w:rsidRPr="004C5A9C" w:rsidRDefault="00BE7B2A" w:rsidP="00BE7B2A">
      <w:pPr>
        <w:spacing w:line="360" w:lineRule="auto"/>
        <w:rPr>
          <w:rFonts w:ascii="Sakkal Majalla" w:hAnsi="Sakkal Majalla" w:cs="Sakkal Majalla"/>
          <w:color w:val="000000" w:themeColor="text1"/>
          <w:sz w:val="28"/>
          <w:szCs w:val="28"/>
          <w:rtl/>
        </w:rPr>
      </w:pPr>
    </w:p>
    <w:p w14:paraId="2E777AB3" w14:textId="77777777" w:rsidR="00B1203A" w:rsidRPr="004C5A9C" w:rsidRDefault="00B1203A" w:rsidP="00BE7B2A">
      <w:pPr>
        <w:spacing w:line="360" w:lineRule="auto"/>
        <w:rPr>
          <w:rFonts w:ascii="Sakkal Majalla" w:hAnsi="Sakkal Majalla" w:cs="Sakkal Majalla"/>
          <w:b/>
          <w:bCs/>
          <w:color w:val="000000" w:themeColor="text1"/>
          <w:sz w:val="28"/>
          <w:szCs w:val="28"/>
          <w:u w:val="single"/>
          <w:rtl/>
        </w:rPr>
      </w:pPr>
    </w:p>
    <w:p w14:paraId="38AAE70A" w14:textId="77777777" w:rsidR="00B1203A" w:rsidRPr="004C5A9C" w:rsidRDefault="00B1203A" w:rsidP="00BE7B2A">
      <w:pPr>
        <w:spacing w:line="360" w:lineRule="auto"/>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lastRenderedPageBreak/>
        <w:t>1-5 تساؤلات الدراسة</w:t>
      </w:r>
    </w:p>
    <w:p w14:paraId="0A67B8E1"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تسعى هذه الدراسة إلى الإجابة عن مجموعة من التساؤلات البحثيّة التي تُحدِّد بدقّة أثر تبنّي نماذج البنوك الرقميّة – المركزية واللامركزية – على الشركاء التنظيميين في المملكة العربية السعودية، وما يلزم من تكيّف رقابي لتحقيق التوازن بين الابتكار والاستقرار المالي. ويمكن صياغة تساؤلات الدراسة على مستويين: سؤالين رئيسَين، يتفرّع عن كلٍّ منهما عددٌ من الأسئلة الفرعيّة.</w:t>
      </w:r>
    </w:p>
    <w:p w14:paraId="482C4A42" w14:textId="77777777" w:rsidR="003130D9" w:rsidRPr="004C5A9C" w:rsidRDefault="003130D9" w:rsidP="00BE7B2A">
      <w:pPr>
        <w:spacing w:line="360" w:lineRule="auto"/>
        <w:rPr>
          <w:rFonts w:ascii="Sakkal Majalla" w:hAnsi="Sakkal Majalla" w:cs="Sakkal Majalla"/>
          <w:color w:val="000000" w:themeColor="text1"/>
          <w:sz w:val="28"/>
          <w:szCs w:val="28"/>
          <w:rtl/>
        </w:rPr>
      </w:pPr>
    </w:p>
    <w:p w14:paraId="66299A7E"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السؤال الرئيس الأوّل</w:t>
      </w:r>
    </w:p>
    <w:p w14:paraId="6518CFC7"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ما أثر تبنّي نماذج البنوك الرقميّة المركزية واللامركزية في المملكة على أدوار وأدوات وآليّات التنسيق لدى الشركاء التنظيميّين، وما التعديلات الرقابية المطلوبة لضمان الابتكار مع الحفاظ على الاستقرار المالي؟</w:t>
      </w:r>
    </w:p>
    <w:p w14:paraId="03E7F6BD" w14:textId="77777777" w:rsidR="003130D9" w:rsidRPr="004C5A9C" w:rsidRDefault="003130D9" w:rsidP="00BE7B2A">
      <w:pPr>
        <w:spacing w:line="360" w:lineRule="auto"/>
        <w:rPr>
          <w:rFonts w:ascii="Sakkal Majalla" w:hAnsi="Sakkal Majalla" w:cs="Sakkal Majalla"/>
          <w:color w:val="000000" w:themeColor="text1"/>
          <w:sz w:val="28"/>
          <w:szCs w:val="28"/>
          <w:rtl/>
        </w:rPr>
      </w:pPr>
    </w:p>
    <w:p w14:paraId="74F16448"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الأسئلة الفرعيّة المتعلّقة به</w:t>
      </w:r>
    </w:p>
    <w:p w14:paraId="6BA12420" w14:textId="14985FAC" w:rsidR="003130D9" w:rsidRPr="004C5A9C" w:rsidRDefault="003130D9" w:rsidP="00BE7B2A">
      <w:pPr>
        <w:pStyle w:val="a5"/>
        <w:numPr>
          <w:ilvl w:val="0"/>
          <w:numId w:val="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كيف يمكن تقييم الفروق في ملفات المخاطر (الاحترازية، السيولة، الأمن السيبراني، مكافحة غسل الأموال/تمويل الإرهاب) بين البنوك الرقميّة المركزية واللامركزية؟</w:t>
      </w:r>
    </w:p>
    <w:p w14:paraId="1FF3D723" w14:textId="4DEAD932" w:rsidR="003130D9" w:rsidRPr="004C5A9C" w:rsidRDefault="003130D9" w:rsidP="00BE7B2A">
      <w:pPr>
        <w:pStyle w:val="a5"/>
        <w:numPr>
          <w:ilvl w:val="0"/>
          <w:numId w:val="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ما مدى جاهزية الأطر التشريعية والبنية التحتيّة ونُظُم البيانات لدى الجهات الرقابية السعودية لاستيعاب التحوّل إلى الإشراف اللحظي على المصرفيّة الرقميّة؟</w:t>
      </w:r>
    </w:p>
    <w:p w14:paraId="689128C3" w14:textId="0268C2BF" w:rsidR="003130D9" w:rsidRPr="004C5A9C" w:rsidRDefault="003130D9" w:rsidP="00BE7B2A">
      <w:pPr>
        <w:pStyle w:val="a5"/>
        <w:numPr>
          <w:ilvl w:val="0"/>
          <w:numId w:val="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إلى أي حدّ يتطلّب الانتقال إلى معاملات لحظيّة “</w:t>
      </w:r>
      <w:r w:rsidRPr="004C5A9C">
        <w:rPr>
          <w:rFonts w:ascii="Sakkal Majalla" w:hAnsi="Sakkal Majalla" w:cs="Sakkal Majalla"/>
          <w:b/>
          <w:bCs/>
          <w:color w:val="000000" w:themeColor="text1"/>
          <w:sz w:val="28"/>
          <w:szCs w:val="28"/>
        </w:rPr>
        <w:t>Always-On</w:t>
      </w:r>
      <w:r w:rsidRPr="004C5A9C">
        <w:rPr>
          <w:rFonts w:ascii="Sakkal Majalla" w:hAnsi="Sakkal Majalla" w:cs="Sakkal Majalla"/>
          <w:b/>
          <w:bCs/>
          <w:color w:val="000000" w:themeColor="text1"/>
          <w:sz w:val="28"/>
          <w:szCs w:val="28"/>
          <w:rtl/>
        </w:rPr>
        <w:t>” تحديثَ أنظمة المدفوعات الوطنيّة (مثل «سريع» و«إيصال») لضمان استمراريّة التسوية وكفاءة إدارة السيولة؟</w:t>
      </w:r>
    </w:p>
    <w:p w14:paraId="23D5B2E2" w14:textId="1867E750" w:rsidR="003130D9" w:rsidRPr="004C5A9C" w:rsidRDefault="003130D9" w:rsidP="00BE7B2A">
      <w:pPr>
        <w:pStyle w:val="a5"/>
        <w:numPr>
          <w:ilvl w:val="0"/>
          <w:numId w:val="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 xml:space="preserve">ما مستويات التنسيق الحاليّة بين الجهات التنظيمية (ساما، هيئة السوق المالية، وحدة التحريات المالية، الهيئة الوطنية للأمن السيبراني) عند مراقبة الأنشطة عالية التردد ومنصّات </w:t>
      </w:r>
      <w:r w:rsidRPr="004C5A9C">
        <w:rPr>
          <w:rFonts w:ascii="Sakkal Majalla" w:hAnsi="Sakkal Majalla" w:cs="Sakkal Majalla"/>
          <w:b/>
          <w:bCs/>
          <w:color w:val="000000" w:themeColor="text1"/>
          <w:sz w:val="28"/>
          <w:szCs w:val="28"/>
        </w:rPr>
        <w:t>DeFi</w:t>
      </w:r>
      <w:r w:rsidRPr="004C5A9C">
        <w:rPr>
          <w:rFonts w:ascii="Sakkal Majalla" w:hAnsi="Sakkal Majalla" w:cs="Sakkal Majalla"/>
          <w:b/>
          <w:bCs/>
          <w:color w:val="000000" w:themeColor="text1"/>
          <w:sz w:val="28"/>
          <w:szCs w:val="28"/>
          <w:rtl/>
        </w:rPr>
        <w:t>؟</w:t>
      </w:r>
    </w:p>
    <w:p w14:paraId="583C4D1C" w14:textId="4851ACDF" w:rsidR="003130D9" w:rsidRPr="004C5A9C" w:rsidRDefault="003130D9" w:rsidP="00BE7B2A">
      <w:pPr>
        <w:pStyle w:val="a5"/>
        <w:numPr>
          <w:ilvl w:val="0"/>
          <w:numId w:val="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ما التوصيات التنفيذيّة التي ينبغي تبنّيها لتعزيز التكامل الرقابي، ورفع جاهزية تقنيات الإشراف (</w:t>
      </w:r>
      <w:r w:rsidRPr="004C5A9C">
        <w:rPr>
          <w:rFonts w:ascii="Sakkal Majalla" w:hAnsi="Sakkal Majalla" w:cs="Sakkal Majalla"/>
          <w:b/>
          <w:bCs/>
          <w:color w:val="000000" w:themeColor="text1"/>
          <w:sz w:val="28"/>
          <w:szCs w:val="28"/>
        </w:rPr>
        <w:t>RegTech/SupTech</w:t>
      </w:r>
      <w:r w:rsidRPr="004C5A9C">
        <w:rPr>
          <w:rFonts w:ascii="Sakkal Majalla" w:hAnsi="Sakkal Majalla" w:cs="Sakkal Majalla"/>
          <w:b/>
          <w:bCs/>
          <w:color w:val="000000" w:themeColor="text1"/>
          <w:sz w:val="28"/>
          <w:szCs w:val="28"/>
          <w:rtl/>
        </w:rPr>
        <w:t>)، وتمكين الشركاء التنظيميين من رصد المخاطر الفورية؟</w:t>
      </w:r>
    </w:p>
    <w:p w14:paraId="1C67102D" w14:textId="77777777" w:rsidR="003130D9" w:rsidRPr="004C5A9C" w:rsidRDefault="003130D9" w:rsidP="00BE7B2A">
      <w:pPr>
        <w:spacing w:line="360" w:lineRule="auto"/>
        <w:rPr>
          <w:rFonts w:ascii="Sakkal Majalla" w:hAnsi="Sakkal Majalla" w:cs="Sakkal Majalla"/>
          <w:color w:val="000000" w:themeColor="text1"/>
          <w:sz w:val="28"/>
          <w:szCs w:val="28"/>
          <w:rtl/>
        </w:rPr>
      </w:pPr>
    </w:p>
    <w:p w14:paraId="38E4627E"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السؤال الرئيس الثاني</w:t>
      </w:r>
    </w:p>
    <w:p w14:paraId="2CA354F1"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ما مدى تأثير انتشار البنوك الرقميّة – بنوعيها – على فعاليّة أدوات السياسة النقديّة، والشمول المالي، وحماية المستهلك في المملكة؟</w:t>
      </w:r>
    </w:p>
    <w:p w14:paraId="10FE5AE0" w14:textId="77777777" w:rsidR="003130D9" w:rsidRPr="004C5A9C" w:rsidRDefault="003130D9" w:rsidP="00BE7B2A">
      <w:pPr>
        <w:spacing w:line="360" w:lineRule="auto"/>
        <w:rPr>
          <w:rFonts w:ascii="Sakkal Majalla" w:hAnsi="Sakkal Majalla" w:cs="Sakkal Majalla"/>
          <w:color w:val="000000" w:themeColor="text1"/>
          <w:sz w:val="28"/>
          <w:szCs w:val="28"/>
          <w:rtl/>
        </w:rPr>
      </w:pPr>
    </w:p>
    <w:p w14:paraId="08F0F522"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الأسئلة الفرعيّة المتعلّقة به</w:t>
      </w:r>
    </w:p>
    <w:p w14:paraId="1EF8BDD8" w14:textId="644F05F7" w:rsidR="003130D9" w:rsidRPr="004C5A9C" w:rsidRDefault="003130D9" w:rsidP="00BE7B2A">
      <w:pPr>
        <w:pStyle w:val="a5"/>
        <w:numPr>
          <w:ilvl w:val="0"/>
          <w:numId w:val="8"/>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كيف يؤثّر تبنّي العملات الرقميّة للبنك المركزي (</w:t>
      </w:r>
      <w:r w:rsidRPr="004C5A9C">
        <w:rPr>
          <w:rFonts w:ascii="Sakkal Majalla" w:hAnsi="Sakkal Majalla" w:cs="Sakkal Majalla"/>
          <w:b/>
          <w:bCs/>
          <w:color w:val="000000" w:themeColor="text1"/>
          <w:sz w:val="28"/>
          <w:szCs w:val="28"/>
        </w:rPr>
        <w:t>CBDC</w:t>
      </w:r>
      <w:r w:rsidRPr="004C5A9C">
        <w:rPr>
          <w:rFonts w:ascii="Sakkal Majalla" w:hAnsi="Sakkal Majalla" w:cs="Sakkal Majalla"/>
          <w:b/>
          <w:bCs/>
          <w:color w:val="000000" w:themeColor="text1"/>
          <w:sz w:val="28"/>
          <w:szCs w:val="28"/>
          <w:rtl/>
        </w:rPr>
        <w:t>) في آليات انتقال السياسة النقديّة وإدارة السيولة البنكيّة؟</w:t>
      </w:r>
    </w:p>
    <w:p w14:paraId="4797CC8D" w14:textId="2A43D424" w:rsidR="003130D9" w:rsidRPr="004C5A9C" w:rsidRDefault="003130D9" w:rsidP="00BE7B2A">
      <w:pPr>
        <w:pStyle w:val="a5"/>
        <w:numPr>
          <w:ilvl w:val="0"/>
          <w:numId w:val="8"/>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ما حجم المنافع المتوقَّعة من البنوك الرقميّة في توسيع قاعدة الشمول المالي وتقليل تكاليف التحويلات للأفراد والشركات الصغيرة؟</w:t>
      </w:r>
    </w:p>
    <w:p w14:paraId="258F2932" w14:textId="5D620429" w:rsidR="003130D9" w:rsidRPr="004C5A9C" w:rsidRDefault="003130D9" w:rsidP="00BE7B2A">
      <w:pPr>
        <w:pStyle w:val="a5"/>
        <w:numPr>
          <w:ilvl w:val="0"/>
          <w:numId w:val="8"/>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 xml:space="preserve">إلى أي مدى يغيّر نموذج الهوية الرقميّة (مركزي مقابل ذاتي السيادة) بيئة حماية البيانات الشخصيّة ومتطلّبات </w:t>
      </w:r>
      <w:r w:rsidRPr="004C5A9C">
        <w:rPr>
          <w:rFonts w:ascii="Sakkal Majalla" w:hAnsi="Sakkal Majalla" w:cs="Sakkal Majalla"/>
          <w:b/>
          <w:bCs/>
          <w:color w:val="000000" w:themeColor="text1"/>
          <w:sz w:val="28"/>
          <w:szCs w:val="28"/>
        </w:rPr>
        <w:t>KYC/AML</w:t>
      </w:r>
      <w:r w:rsidRPr="004C5A9C">
        <w:rPr>
          <w:rFonts w:ascii="Sakkal Majalla" w:hAnsi="Sakkal Majalla" w:cs="Sakkal Majalla"/>
          <w:b/>
          <w:bCs/>
          <w:color w:val="000000" w:themeColor="text1"/>
          <w:sz w:val="28"/>
          <w:szCs w:val="28"/>
          <w:rtl/>
        </w:rPr>
        <w:t>؟</w:t>
      </w:r>
    </w:p>
    <w:p w14:paraId="002C3331" w14:textId="40FBDA24" w:rsidR="003130D9" w:rsidRPr="004C5A9C" w:rsidRDefault="003130D9" w:rsidP="00BE7B2A">
      <w:pPr>
        <w:pStyle w:val="a5"/>
        <w:numPr>
          <w:ilvl w:val="0"/>
          <w:numId w:val="8"/>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ما الأطر الحمائيّة والتوعويّة المطلوبة لضمان حقوق المستهلك وتقليل مخاطر الاحتيال الإلكتروني في المعاملات الرقميّة؟</w:t>
      </w:r>
    </w:p>
    <w:p w14:paraId="3AB491FA" w14:textId="77777777" w:rsidR="003130D9" w:rsidRPr="004C5A9C" w:rsidRDefault="003130D9" w:rsidP="00BE7B2A">
      <w:pPr>
        <w:spacing w:line="360" w:lineRule="auto"/>
        <w:rPr>
          <w:rFonts w:ascii="Sakkal Majalla" w:hAnsi="Sakkal Majalla" w:cs="Sakkal Majalla"/>
          <w:color w:val="000000" w:themeColor="text1"/>
          <w:sz w:val="28"/>
          <w:szCs w:val="28"/>
          <w:rtl/>
        </w:rPr>
      </w:pPr>
    </w:p>
    <w:p w14:paraId="3C50FFFC"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خلاصة التساؤلات</w:t>
      </w:r>
    </w:p>
    <w:p w14:paraId="0A793872" w14:textId="77777777" w:rsidR="003130D9" w:rsidRPr="004C5A9C" w:rsidRDefault="003130D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تتمحور أسئلة الدراسة حول فهمٍ معمَّق للأبعاد الثلاثة: </w:t>
      </w:r>
      <w:r w:rsidRPr="004C5A9C">
        <w:rPr>
          <w:rFonts w:ascii="Sakkal Majalla" w:hAnsi="Sakkal Majalla" w:cs="Sakkal Majalla"/>
          <w:b/>
          <w:bCs/>
          <w:color w:val="000000" w:themeColor="text1"/>
          <w:sz w:val="28"/>
          <w:szCs w:val="28"/>
          <w:rtl/>
        </w:rPr>
        <w:t>(1) بروفايل المخاطر الجديد، (2) جاهزية الأطر التنظيمية، (3) الأثر الاقتصادي والاجتماعي</w:t>
      </w:r>
      <w:r w:rsidRPr="004C5A9C">
        <w:rPr>
          <w:rFonts w:ascii="Sakkal Majalla" w:hAnsi="Sakkal Majalla" w:cs="Sakkal Majalla"/>
          <w:color w:val="000000" w:themeColor="text1"/>
          <w:sz w:val="28"/>
          <w:szCs w:val="28"/>
          <w:rtl/>
        </w:rPr>
        <w:t>. الإجابة عن هذه التساؤلات ستُمكِّن الجهات الرقابية من صياغة خارطة طريق واقعية لدمج الابتكار المالي في المنظومة المصرفيّة السعوديّة دون التفريط بثوابتها الاستقراريّة.</w:t>
      </w:r>
    </w:p>
    <w:p w14:paraId="14FEDD2A" w14:textId="77777777" w:rsidR="004C5A9C" w:rsidRPr="004C5A9C" w:rsidRDefault="004C5A9C" w:rsidP="00BE7B2A">
      <w:pPr>
        <w:spacing w:line="360" w:lineRule="auto"/>
        <w:rPr>
          <w:rFonts w:ascii="Sakkal Majalla" w:hAnsi="Sakkal Majalla" w:cs="Sakkal Majalla"/>
          <w:color w:val="000000" w:themeColor="text1"/>
          <w:sz w:val="28"/>
          <w:szCs w:val="28"/>
          <w:u w:val="single"/>
        </w:rPr>
      </w:pPr>
    </w:p>
    <w:p w14:paraId="0A038B51" w14:textId="77777777" w:rsidR="006A75A3" w:rsidRPr="004C5A9C" w:rsidRDefault="006A75A3" w:rsidP="00BE7B2A">
      <w:pPr>
        <w:spacing w:line="360" w:lineRule="auto"/>
        <w:rPr>
          <w:rFonts w:ascii="Sakkal Majalla" w:hAnsi="Sakkal Majalla" w:cs="Sakkal Majalla"/>
          <w:color w:val="000000" w:themeColor="text1"/>
          <w:sz w:val="28"/>
          <w:szCs w:val="28"/>
          <w:u w:val="single"/>
          <w:rtl/>
        </w:rPr>
      </w:pPr>
    </w:p>
    <w:p w14:paraId="41BCCBE7" w14:textId="12A2E824" w:rsidR="00803E81" w:rsidRPr="004C5A9C" w:rsidRDefault="00803E81" w:rsidP="00BE7B2A">
      <w:pPr>
        <w:spacing w:after="0" w:line="360" w:lineRule="auto"/>
        <w:divId w:val="413208521"/>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lastRenderedPageBreak/>
        <w:t>1-6 فروض الدراسة</w:t>
      </w:r>
    </w:p>
    <w:p w14:paraId="1F256337" w14:textId="77777777" w:rsidR="00C32548" w:rsidRPr="004C5A9C" w:rsidRDefault="00C32548" w:rsidP="00BE7B2A">
      <w:pPr>
        <w:spacing w:after="0" w:line="360" w:lineRule="auto"/>
        <w:divId w:val="413208521"/>
        <w:rPr>
          <w:rFonts w:ascii="Sakkal Majalla" w:hAnsi="Sakkal Majalla" w:cs="Sakkal Majalla"/>
          <w:b/>
          <w:bCs/>
          <w:color w:val="000000" w:themeColor="text1"/>
          <w:sz w:val="28"/>
          <w:szCs w:val="28"/>
          <w:u w:val="single"/>
          <w:rtl/>
        </w:rPr>
      </w:pPr>
    </w:p>
    <w:tbl>
      <w:tblPr>
        <w:tblW w:w="0" w:type="auto"/>
        <w:tblCellMar>
          <w:left w:w="0" w:type="dxa"/>
          <w:right w:w="0" w:type="dxa"/>
        </w:tblCellMar>
        <w:tblLook w:val="04A0" w:firstRow="1" w:lastRow="0" w:firstColumn="1" w:lastColumn="0" w:noHBand="0" w:noVBand="1"/>
      </w:tblPr>
      <w:tblGrid>
        <w:gridCol w:w="1249"/>
        <w:gridCol w:w="1510"/>
        <w:gridCol w:w="2079"/>
        <w:gridCol w:w="3163"/>
        <w:gridCol w:w="815"/>
      </w:tblGrid>
      <w:tr w:rsidR="000C27D5" w:rsidRPr="004C5A9C" w14:paraId="41FE3F7B" w14:textId="77777777">
        <w:trPr>
          <w:divId w:val="81823324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18E649" w14:textId="77777777" w:rsidR="00616B11" w:rsidRPr="004C5A9C" w:rsidRDefault="00616B11" w:rsidP="00BE7B2A">
            <w:pPr>
              <w:spacing w:after="0" w:line="360" w:lineRule="auto"/>
              <w:rPr>
                <w:rFonts w:ascii="Times New Roman" w:eastAsiaTheme="minorEastAsia" w:hAnsi="Times New Roman" w:cs="Times New Roman"/>
                <w:color w:val="000000" w:themeColor="text1"/>
                <w:kern w:val="0"/>
                <w:sz w:val="28"/>
                <w:szCs w:val="28"/>
                <w14:ligatures w14:val="none"/>
              </w:rPr>
            </w:pPr>
            <w:r w:rsidRPr="004C5A9C">
              <w:rPr>
                <w:rFonts w:ascii=".SFArabic-Semibold" w:eastAsiaTheme="minorEastAsia" w:hAnsi=".SFArabic-Semibold" w:cs="Times New Roman"/>
                <w:b/>
                <w:bCs/>
                <w:color w:val="000000" w:themeColor="text1"/>
                <w:kern w:val="0"/>
                <w:sz w:val="28"/>
                <w:szCs w:val="28"/>
                <w:rtl/>
                <w14:ligatures w14:val="none"/>
              </w:rPr>
              <w:t>المتغير</w:t>
            </w:r>
            <w:r w:rsidRPr="004C5A9C">
              <w:rPr>
                <w:rFonts w:ascii="UICTFontTextStyleEmphasizedBody" w:eastAsiaTheme="minorEastAsia" w:hAnsi="UICTFontTextStyleEmphasizedBody" w:cs="Times New Roman"/>
                <w:b/>
                <w:bCs/>
                <w:color w:val="000000" w:themeColor="text1"/>
                <w:kern w:val="0"/>
                <w:sz w:val="28"/>
                <w:szCs w:val="28"/>
                <w:rtl/>
                <w14:ligatures w14:val="none"/>
              </w:rPr>
              <w:t xml:space="preserve"> </w:t>
            </w:r>
            <w:r w:rsidRPr="004C5A9C">
              <w:rPr>
                <w:rFonts w:ascii=".SFArabic-Semibold" w:eastAsiaTheme="minorEastAsia" w:hAnsi=".SFArabic-Semibold" w:cs="Times New Roman"/>
                <w:b/>
                <w:bCs/>
                <w:color w:val="000000" w:themeColor="text1"/>
                <w:kern w:val="0"/>
                <w:sz w:val="28"/>
                <w:szCs w:val="28"/>
                <w:rtl/>
                <w14:ligatures w14:val="none"/>
              </w:rPr>
              <w:t>التابع</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473BAA" w14:textId="77777777" w:rsidR="00616B11" w:rsidRPr="004C5A9C" w:rsidRDefault="00616B11" w:rsidP="00BE7B2A">
            <w:pPr>
              <w:spacing w:after="0" w:line="360" w:lineRule="auto"/>
              <w:rPr>
                <w:rFonts w:ascii="Times New Roman" w:eastAsiaTheme="minorEastAsia" w:hAnsi="Times New Roman" w:cs="Times New Roman"/>
                <w:color w:val="000000" w:themeColor="text1"/>
                <w:kern w:val="0"/>
                <w:sz w:val="28"/>
                <w:szCs w:val="28"/>
                <w:rtl/>
                <w14:ligatures w14:val="none"/>
              </w:rPr>
            </w:pPr>
            <w:r w:rsidRPr="004C5A9C">
              <w:rPr>
                <w:rFonts w:ascii=".SFArabic-Semibold" w:eastAsiaTheme="minorEastAsia" w:hAnsi=".SFArabic-Semibold" w:cs="Times New Roman"/>
                <w:b/>
                <w:bCs/>
                <w:color w:val="000000" w:themeColor="text1"/>
                <w:kern w:val="0"/>
                <w:sz w:val="28"/>
                <w:szCs w:val="28"/>
                <w:rtl/>
                <w14:ligatures w14:val="none"/>
              </w:rPr>
              <w:t>المتغير</w:t>
            </w:r>
            <w:r w:rsidRPr="004C5A9C">
              <w:rPr>
                <w:rFonts w:ascii="UICTFontTextStyleEmphasizedBody" w:eastAsiaTheme="minorEastAsia" w:hAnsi="UICTFontTextStyleEmphasizedBody" w:cs="Times New Roman"/>
                <w:b/>
                <w:bCs/>
                <w:color w:val="000000" w:themeColor="text1"/>
                <w:kern w:val="0"/>
                <w:sz w:val="28"/>
                <w:szCs w:val="28"/>
                <w:rtl/>
                <w14:ligatures w14:val="none"/>
              </w:rPr>
              <w:t xml:space="preserve"> </w:t>
            </w:r>
            <w:r w:rsidRPr="004C5A9C">
              <w:rPr>
                <w:rFonts w:ascii=".SFArabic-Semibold" w:eastAsiaTheme="minorEastAsia" w:hAnsi=".SFArabic-Semibold" w:cs="Times New Roman"/>
                <w:b/>
                <w:bCs/>
                <w:color w:val="000000" w:themeColor="text1"/>
                <w:kern w:val="0"/>
                <w:sz w:val="28"/>
                <w:szCs w:val="28"/>
                <w:rtl/>
                <w14:ligatures w14:val="none"/>
              </w:rPr>
              <w:t>الوسيط</w:t>
            </w:r>
            <w:r w:rsidRPr="004C5A9C">
              <w:rPr>
                <w:rFonts w:ascii="UICTFontTextStyleEmphasizedBody" w:eastAsiaTheme="minorEastAsia" w:hAnsi="UICTFontTextStyleEmphasizedBody" w:cs="Times New Roman"/>
                <w:b/>
                <w:bCs/>
                <w:color w:val="000000" w:themeColor="text1"/>
                <w:kern w:val="0"/>
                <w:sz w:val="28"/>
                <w:szCs w:val="28"/>
                <w:rtl/>
                <w14:ligatures w14:val="none"/>
              </w:rPr>
              <w:t>/</w:t>
            </w:r>
            <w:r w:rsidRPr="004C5A9C">
              <w:rPr>
                <w:rFonts w:ascii=".SFArabic-Semibold" w:eastAsiaTheme="minorEastAsia" w:hAnsi=".SFArabic-Semibold" w:cs="Times New Roman"/>
                <w:b/>
                <w:bCs/>
                <w:color w:val="000000" w:themeColor="text1"/>
                <w:kern w:val="0"/>
                <w:sz w:val="28"/>
                <w:szCs w:val="28"/>
                <w:rtl/>
                <w14:ligatures w14:val="none"/>
              </w:rPr>
              <w:t>المُعدِّل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C8A4A0" w14:textId="77777777" w:rsidR="00616B11" w:rsidRPr="004C5A9C" w:rsidRDefault="00616B11" w:rsidP="00BE7B2A">
            <w:pPr>
              <w:spacing w:after="0" w:line="360" w:lineRule="auto"/>
              <w:rPr>
                <w:rFonts w:ascii="Times New Roman" w:eastAsiaTheme="minorEastAsia" w:hAnsi="Times New Roman" w:cs="Times New Roman"/>
                <w:color w:val="000000" w:themeColor="text1"/>
                <w:kern w:val="0"/>
                <w:sz w:val="28"/>
                <w:szCs w:val="28"/>
                <w:rtl/>
                <w14:ligatures w14:val="none"/>
              </w:rPr>
            </w:pPr>
            <w:r w:rsidRPr="004C5A9C">
              <w:rPr>
                <w:rFonts w:ascii=".SFArabic-Semibold" w:eastAsiaTheme="minorEastAsia" w:hAnsi=".SFArabic-Semibold" w:cs="Times New Roman"/>
                <w:b/>
                <w:bCs/>
                <w:color w:val="000000" w:themeColor="text1"/>
                <w:kern w:val="0"/>
                <w:sz w:val="28"/>
                <w:szCs w:val="28"/>
                <w:rtl/>
                <w14:ligatures w14:val="none"/>
              </w:rPr>
              <w:t>المتغير</w:t>
            </w:r>
            <w:r w:rsidRPr="004C5A9C">
              <w:rPr>
                <w:rFonts w:ascii="UICTFontTextStyleEmphasizedBody" w:eastAsiaTheme="minorEastAsia" w:hAnsi="UICTFontTextStyleEmphasizedBody" w:cs="Times New Roman"/>
                <w:b/>
                <w:bCs/>
                <w:color w:val="000000" w:themeColor="text1"/>
                <w:kern w:val="0"/>
                <w:sz w:val="28"/>
                <w:szCs w:val="28"/>
                <w:rtl/>
                <w14:ligatures w14:val="none"/>
              </w:rPr>
              <w:t xml:space="preserve"> </w:t>
            </w:r>
            <w:r w:rsidRPr="004C5A9C">
              <w:rPr>
                <w:rFonts w:ascii=".SFArabic-Semibold" w:eastAsiaTheme="minorEastAsia" w:hAnsi=".SFArabic-Semibold" w:cs="Times New Roman"/>
                <w:b/>
                <w:bCs/>
                <w:color w:val="000000" w:themeColor="text1"/>
                <w:kern w:val="0"/>
                <w:sz w:val="28"/>
                <w:szCs w:val="28"/>
                <w:rtl/>
                <w14:ligatures w14:val="none"/>
              </w:rPr>
              <w:t>المستقل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606CFD"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Semibold" w:eastAsiaTheme="minorEastAsia" w:hAnsi=".SFArabic-Semibold" w:cs="Times New Roman"/>
                <w:b/>
                <w:bCs/>
                <w:color w:val="000000" w:themeColor="text1"/>
                <w:kern w:val="0"/>
                <w:sz w:val="28"/>
                <w:szCs w:val="28"/>
                <w:rtl/>
                <w14:ligatures w14:val="none"/>
              </w:rPr>
              <w:t>نصّ</w:t>
            </w:r>
            <w:r w:rsidRPr="004C5A9C">
              <w:rPr>
                <w:rFonts w:ascii="UICTFontTextStyleEmphasizedBody" w:eastAsiaTheme="minorEastAsia" w:hAnsi="UICTFontTextStyleEmphasizedBody" w:cs="Times New Roman"/>
                <w:b/>
                <w:bCs/>
                <w:color w:val="000000" w:themeColor="text1"/>
                <w:kern w:val="0"/>
                <w:sz w:val="28"/>
                <w:szCs w:val="28"/>
                <w:rtl/>
                <w14:ligatures w14:val="none"/>
              </w:rPr>
              <w:t xml:space="preserve"> </w:t>
            </w:r>
            <w:r w:rsidRPr="004C5A9C">
              <w:rPr>
                <w:rFonts w:ascii=".SFArabic-Semibold" w:eastAsiaTheme="minorEastAsia" w:hAnsi=".SFArabic-Semibold" w:cs="Times New Roman"/>
                <w:b/>
                <w:bCs/>
                <w:color w:val="000000" w:themeColor="text1"/>
                <w:kern w:val="0"/>
                <w:sz w:val="28"/>
                <w:szCs w:val="28"/>
                <w:rtl/>
                <w14:ligatures w14:val="none"/>
              </w:rPr>
              <w:t>الفرضية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41D7BC"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Semibold" w:eastAsiaTheme="minorEastAsia" w:hAnsi=".SFArabic-Semibold" w:cs="Times New Roman"/>
                <w:b/>
                <w:bCs/>
                <w:color w:val="000000" w:themeColor="text1"/>
                <w:kern w:val="0"/>
                <w:sz w:val="28"/>
                <w:szCs w:val="28"/>
                <w:rtl/>
                <w14:ligatures w14:val="none"/>
              </w:rPr>
              <w:t>رقم</w:t>
            </w:r>
            <w:r w:rsidRPr="004C5A9C">
              <w:rPr>
                <w:rFonts w:ascii="UICTFontTextStyleEmphasizedBody" w:eastAsiaTheme="minorEastAsia" w:hAnsi="UICTFontTextStyleEmphasizedBody" w:cs="Times New Roman"/>
                <w:b/>
                <w:bCs/>
                <w:color w:val="000000" w:themeColor="text1"/>
                <w:kern w:val="0"/>
                <w:sz w:val="28"/>
                <w:szCs w:val="28"/>
                <w:rtl/>
                <w14:ligatures w14:val="none"/>
              </w:rPr>
              <w:t xml:space="preserve"> </w:t>
            </w:r>
            <w:r w:rsidRPr="004C5A9C">
              <w:rPr>
                <w:rFonts w:ascii=".SFArabic-Semibold" w:eastAsiaTheme="minorEastAsia" w:hAnsi=".SFArabic-Semibold" w:cs="Times New Roman"/>
                <w:b/>
                <w:bCs/>
                <w:color w:val="000000" w:themeColor="text1"/>
                <w:kern w:val="0"/>
                <w:sz w:val="28"/>
                <w:szCs w:val="28"/>
                <w:rtl/>
                <w14:ligatures w14:val="none"/>
              </w:rPr>
              <w:t>الفرض</w:t>
            </w:r>
          </w:p>
        </w:tc>
      </w:tr>
      <w:tr w:rsidR="000C27D5" w:rsidRPr="004C5A9C" w14:paraId="6B93B337" w14:textId="77777777">
        <w:trPr>
          <w:divId w:val="81823324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D63902"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مؤشّر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المخاطر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الاحترازية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والسيولة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55EE13"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9B1B67"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14:ligatures w14:val="none"/>
              </w:rPr>
            </w:pPr>
            <w:r w:rsidRPr="004C5A9C">
              <w:rPr>
                <w:rFonts w:ascii=".SFArabic-Regular" w:eastAsiaTheme="minorEastAsia" w:hAnsi=".SFArabic-Regular" w:cs="Times New Roman"/>
                <w:color w:val="000000" w:themeColor="text1"/>
                <w:kern w:val="0"/>
                <w:sz w:val="28"/>
                <w:szCs w:val="28"/>
                <w:rtl/>
                <w14:ligatures w14:val="none"/>
              </w:rPr>
              <w:t>نوع</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نموذج</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الرقمي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مركزي</w:t>
            </w:r>
            <w:r w:rsidRPr="004C5A9C">
              <w:rPr>
                <w:rFonts w:ascii="UICTFontTextStyleBody" w:eastAsiaTheme="minorEastAsia" w:hAnsi="UICTFontTextStyleBody" w:cs="Times New Roman"/>
                <w:color w:val="000000" w:themeColor="text1"/>
                <w:kern w:val="0"/>
                <w:sz w:val="28"/>
                <w:szCs w:val="28"/>
                <w:rtl/>
                <w14:ligatures w14:val="none"/>
              </w:rPr>
              <w:t>/</w:t>
            </w:r>
            <w:r w:rsidRPr="004C5A9C">
              <w:rPr>
                <w:rFonts w:ascii=".SFArabic-Regular" w:eastAsiaTheme="minorEastAsia" w:hAnsi=".SFArabic-Regular" w:cs="Times New Roman"/>
                <w:color w:val="000000" w:themeColor="text1"/>
                <w:kern w:val="0"/>
                <w:sz w:val="28"/>
                <w:szCs w:val="28"/>
                <w:rtl/>
                <w14:ligatures w14:val="none"/>
              </w:rPr>
              <w:t>لامركزي</w:t>
            </w:r>
            <w:r w:rsidRPr="004C5A9C">
              <w:rPr>
                <w:rFonts w:ascii="UICTFontTextStyleBody" w:eastAsiaTheme="minorEastAsia" w:hAnsi="UICTFontTextStyleBody" w:cs="Times New Roman"/>
                <w:color w:val="000000" w:themeColor="text1"/>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7729B7"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توجد</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فروق</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ذات</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دلالة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إحصائية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في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مستوى</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المخاطر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الاحترازية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والسيولة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بين</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الرقمية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المركزية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والبنوك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الرقمية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اللامركزية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العاملة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في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المملكة</w:t>
            </w:r>
            <w:r w:rsidRPr="004C5A9C">
              <w:rPr>
                <w:rFonts w:ascii="UICTFontTextStyleBody" w:eastAsiaTheme="minorEastAsia" w:hAnsi="UICTFontTextStyleBody" w:cs="Times New Roman"/>
                <w:color w:val="000000" w:themeColor="text1"/>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882F85"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H1</w:t>
            </w:r>
          </w:p>
        </w:tc>
      </w:tr>
      <w:tr w:rsidR="000C27D5" w:rsidRPr="004C5A9C" w14:paraId="4F88B432" w14:textId="77777777">
        <w:trPr>
          <w:divId w:val="81823324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4F4423"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14:ligatures w14:val="none"/>
              </w:rPr>
            </w:pPr>
            <w:r w:rsidRPr="004C5A9C">
              <w:rPr>
                <w:rFonts w:ascii=".SFArabic-Regular" w:eastAsiaTheme="minorEastAsia" w:hAnsi=".SFArabic-Regular" w:cs="Times New Roman"/>
                <w:color w:val="000000" w:themeColor="text1"/>
                <w:kern w:val="0"/>
                <w:sz w:val="28"/>
                <w:szCs w:val="28"/>
                <w:rtl/>
                <w14:ligatures w14:val="none"/>
              </w:rPr>
              <w:t>فعالية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الرقابة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الفورية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F5AFA2"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5FA72E"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14:ligatures w14:val="none"/>
              </w:rPr>
            </w:pPr>
            <w:r w:rsidRPr="004C5A9C">
              <w:rPr>
                <w:rFonts w:ascii=".SFArabic-Regular" w:eastAsiaTheme="minorEastAsia" w:hAnsi=".SFArabic-Regular" w:cs="Times New Roman"/>
                <w:color w:val="000000" w:themeColor="text1"/>
                <w:kern w:val="0"/>
                <w:sz w:val="28"/>
                <w:szCs w:val="28"/>
                <w:rtl/>
                <w14:ligatures w14:val="none"/>
              </w:rPr>
              <w:t>مستوى</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الجاهزية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التنظيمية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9D5492"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درجة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الجاهزية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التنظيمية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تؤثر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إيجابًا</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في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فعالية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الرقابة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الفورية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على</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الرقمية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بنوعيها</w:t>
            </w:r>
            <w:r w:rsidRPr="004C5A9C">
              <w:rPr>
                <w:rFonts w:ascii="UICTFontTextStyleBody" w:eastAsiaTheme="minorEastAsia" w:hAnsi="UICTFontTextStyleBody" w:cs="Times New Roman"/>
                <w:color w:val="000000" w:themeColor="text1"/>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C23C1A"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H2</w:t>
            </w:r>
          </w:p>
        </w:tc>
      </w:tr>
      <w:tr w:rsidR="000C27D5" w:rsidRPr="004C5A9C" w14:paraId="34E9099E" w14:textId="77777777">
        <w:trPr>
          <w:divId w:val="81823324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5BAA7"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14:ligatures w14:val="none"/>
              </w:rPr>
            </w:pPr>
            <w:r w:rsidRPr="004C5A9C">
              <w:rPr>
                <w:rFonts w:ascii=".SFArabic-Regular" w:eastAsiaTheme="minorEastAsia" w:hAnsi=".SFArabic-Regular" w:cs="Times New Roman"/>
                <w:color w:val="000000" w:themeColor="text1"/>
                <w:kern w:val="0"/>
                <w:sz w:val="28"/>
                <w:szCs w:val="28"/>
                <w:rtl/>
                <w14:ligatures w14:val="none"/>
              </w:rPr>
              <w:t>فعالية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الرقابة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الفورية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86865D"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تبنّي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تقنيات</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UICTFontTextStyleBody" w:eastAsiaTheme="minorEastAsia" w:hAnsi="UICTFontTextStyleBody" w:cs="Times New Roman"/>
                <w:color w:val="000000" w:themeColor="text1"/>
                <w:kern w:val="0"/>
                <w:sz w:val="28"/>
                <w:szCs w:val="28"/>
                <w14:ligatures w14:val="none"/>
              </w:rPr>
              <w:t>SupTech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DD74A1"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انتشار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اللامركزية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D00BF9"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تبنّي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تقنيات</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UICTFontTextStyleBody" w:eastAsiaTheme="minorEastAsia" w:hAnsi="UICTFontTextStyleBody" w:cs="Times New Roman"/>
                <w:color w:val="000000" w:themeColor="text1"/>
                <w:kern w:val="0"/>
                <w:sz w:val="28"/>
                <w:szCs w:val="28"/>
                <w14:ligatures w14:val="none"/>
              </w:rPr>
              <w:t>SupTech/RegTech</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يتوسّط</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العلاقة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بين</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انتشار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الرقمية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اللامركزية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وفعالية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الرقابة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الفورية</w:t>
            </w:r>
            <w:r w:rsidRPr="004C5A9C">
              <w:rPr>
                <w:rFonts w:ascii="UICTFontTextStyleBody" w:eastAsiaTheme="minorEastAsia" w:hAnsi="UICTFontTextStyleBody" w:cs="Times New Roman"/>
                <w:color w:val="000000" w:themeColor="text1"/>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680DDF"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H3</w:t>
            </w:r>
          </w:p>
        </w:tc>
      </w:tr>
      <w:tr w:rsidR="000C27D5" w:rsidRPr="004C5A9C" w14:paraId="3AD0CAC9" w14:textId="77777777">
        <w:trPr>
          <w:divId w:val="81823324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22B190"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14:ligatures w14:val="none"/>
              </w:rPr>
            </w:pPr>
            <w:r w:rsidRPr="004C5A9C">
              <w:rPr>
                <w:rFonts w:ascii=".SFArabic-Regular" w:eastAsiaTheme="minorEastAsia" w:hAnsi=".SFArabic-Regular" w:cs="Times New Roman"/>
                <w:color w:val="000000" w:themeColor="text1"/>
                <w:kern w:val="0"/>
                <w:sz w:val="28"/>
                <w:szCs w:val="28"/>
                <w:rtl/>
                <w14:ligatures w14:val="none"/>
              </w:rPr>
              <w:t>معدّل</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الشمول</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المالي</w:t>
            </w:r>
            <w:r w:rsidRPr="004C5A9C">
              <w:rPr>
                <w:rFonts w:ascii="UICTFontTextStyleBody" w:eastAsiaTheme="minorEastAsia" w:hAnsi="UICTFontTextStyleBody" w:cs="Times New Roman"/>
                <w:color w:val="000000" w:themeColor="text1"/>
                <w:kern w:val="0"/>
                <w:sz w:val="28"/>
                <w:szCs w:val="28"/>
                <w:rtl/>
                <w14:ligatures w14:val="none"/>
              </w:rPr>
              <w:t xml:space="preserve"> / </w:t>
            </w:r>
            <w:r w:rsidRPr="004C5A9C">
              <w:rPr>
                <w:rFonts w:ascii=".SFArabic-Regular" w:eastAsiaTheme="minorEastAsia" w:hAnsi=".SFArabic-Regular" w:cs="Times New Roman"/>
                <w:color w:val="000000" w:themeColor="text1"/>
                <w:kern w:val="0"/>
                <w:sz w:val="28"/>
                <w:szCs w:val="28"/>
                <w:rtl/>
                <w14:ligatures w14:val="none"/>
              </w:rPr>
              <w:t>تكلفة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التحويل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02BFE0"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87B0B1"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14:ligatures w14:val="none"/>
              </w:rPr>
            </w:pPr>
            <w:r w:rsidRPr="004C5A9C">
              <w:rPr>
                <w:rFonts w:ascii=".SFArabic-Regular" w:eastAsiaTheme="minorEastAsia" w:hAnsi=".SFArabic-Regular" w:cs="Times New Roman"/>
                <w:color w:val="000000" w:themeColor="text1"/>
                <w:kern w:val="0"/>
                <w:sz w:val="28"/>
                <w:szCs w:val="28"/>
                <w:rtl/>
                <w14:ligatures w14:val="none"/>
              </w:rPr>
              <w:t>حجم</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معاملات</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الرقمية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المركزية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92589B"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انتشار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الرقمية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المركزية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ومشروعات</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UICTFontTextStyleBody" w:eastAsiaTheme="minorEastAsia" w:hAnsi="UICTFontTextStyleBody" w:cs="Times New Roman"/>
                <w:color w:val="000000" w:themeColor="text1"/>
                <w:kern w:val="0"/>
                <w:sz w:val="28"/>
                <w:szCs w:val="28"/>
                <w14:ligatures w14:val="none"/>
              </w:rPr>
              <w:t>CBDC</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يؤثر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إيجابيًا</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في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رفع</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الشمول</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المالي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وخفض</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تكلفة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التحويلات</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المحلية</w:t>
            </w:r>
            <w:r w:rsidRPr="004C5A9C">
              <w:rPr>
                <w:rFonts w:ascii="UICTFontTextStyleBody" w:eastAsiaTheme="minorEastAsia" w:hAnsi="UICTFontTextStyleBody" w:cs="Times New Roman"/>
                <w:color w:val="000000" w:themeColor="text1"/>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5E1823"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H4</w:t>
            </w:r>
          </w:p>
        </w:tc>
      </w:tr>
      <w:tr w:rsidR="00616B11" w:rsidRPr="004C5A9C" w14:paraId="1032FA39" w14:textId="77777777">
        <w:trPr>
          <w:divId w:val="81823324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005336"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14:ligatures w14:val="none"/>
              </w:rPr>
            </w:pPr>
            <w:r w:rsidRPr="004C5A9C">
              <w:rPr>
                <w:rFonts w:ascii=".SFArabic-Regular" w:eastAsiaTheme="minorEastAsia" w:hAnsi=".SFArabic-Regular" w:cs="Times New Roman"/>
                <w:color w:val="000000" w:themeColor="text1"/>
                <w:kern w:val="0"/>
                <w:sz w:val="28"/>
                <w:szCs w:val="28"/>
                <w:rtl/>
                <w14:ligatures w14:val="none"/>
              </w:rPr>
              <w:t>مؤشّر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الاستقرار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المالي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8548C8"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مستوى</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التنسيق</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المؤسسي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461EC3"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انتشار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اللامركزية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16ED37" w14:textId="77777777" w:rsidR="00616B11" w:rsidRPr="004C5A9C" w:rsidRDefault="00616B11" w:rsidP="00BE7B2A">
            <w:pPr>
              <w:spacing w:after="0" w:line="360" w:lineRule="auto"/>
              <w:rPr>
                <w:rFonts w:ascii=".SF Arabic" w:eastAsiaTheme="minorEastAsia" w:hAnsi=".SF Arabic" w:cs="Times New Roman" w:hint="eastAsia"/>
                <w:color w:val="000000" w:themeColor="text1"/>
                <w:kern w:val="0"/>
                <w:sz w:val="28"/>
                <w:szCs w:val="28"/>
                <w:rtl/>
                <w14:ligatures w14:val="none"/>
              </w:rPr>
            </w:pPr>
            <w:r w:rsidRPr="004C5A9C">
              <w:rPr>
                <w:rFonts w:ascii=".SFArabic-Regular" w:eastAsiaTheme="minorEastAsia" w:hAnsi=".SFArabic-Regular" w:cs="Times New Roman"/>
                <w:color w:val="000000" w:themeColor="text1"/>
                <w:kern w:val="0"/>
                <w:sz w:val="28"/>
                <w:szCs w:val="28"/>
                <w:rtl/>
                <w14:ligatures w14:val="none"/>
              </w:rPr>
              <w:t>العلاقة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بين</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انتشار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البنوك</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اللامركزية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والاستقرار</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المالي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الكلّي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علاقة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عكسية</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عند</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انخفاض</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مستوى</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التنسيق</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المؤسسي</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بين</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الجهات</w:t>
            </w:r>
            <w:r w:rsidRPr="004C5A9C">
              <w:rPr>
                <w:rFonts w:ascii="UICTFontTextStyleBody" w:eastAsiaTheme="minorEastAsia" w:hAnsi="UICTFontTextStyleBody" w:cs="Times New Roman"/>
                <w:color w:val="000000" w:themeColor="text1"/>
                <w:kern w:val="0"/>
                <w:sz w:val="28"/>
                <w:szCs w:val="28"/>
                <w:rtl/>
                <w14:ligatures w14:val="none"/>
              </w:rPr>
              <w:t xml:space="preserve"> </w:t>
            </w:r>
            <w:r w:rsidRPr="004C5A9C">
              <w:rPr>
                <w:rFonts w:ascii=".SFArabic-Regular" w:eastAsiaTheme="minorEastAsia" w:hAnsi=".SFArabic-Regular" w:cs="Times New Roman"/>
                <w:color w:val="000000" w:themeColor="text1"/>
                <w:kern w:val="0"/>
                <w:sz w:val="28"/>
                <w:szCs w:val="28"/>
                <w:rtl/>
                <w14:ligatures w14:val="none"/>
              </w:rPr>
              <w:t>الرقابية</w:t>
            </w:r>
            <w:r w:rsidRPr="004C5A9C">
              <w:rPr>
                <w:rFonts w:ascii="UICTFontTextStyleBody" w:eastAsiaTheme="minorEastAsia" w:hAnsi="UICTFontTextStyleBody" w:cs="Times New Roman"/>
                <w:color w:val="000000" w:themeColor="text1"/>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9730AC" w14:textId="77777777" w:rsidR="00616B11" w:rsidRPr="004C5A9C" w:rsidRDefault="00616B11" w:rsidP="00BE7B2A">
            <w:pPr>
              <w:spacing w:after="0" w:line="360" w:lineRule="auto"/>
              <w:rPr>
                <w:rFonts w:ascii=".AppleSystemUIFont" w:eastAsiaTheme="minorEastAsia" w:hAnsi=".AppleSystemUIFont" w:cs="Times New Roman" w:hint="eastAsia"/>
                <w:color w:val="000000" w:themeColor="text1"/>
                <w:kern w:val="0"/>
                <w:sz w:val="28"/>
                <w:szCs w:val="28"/>
                <w:rtl/>
                <w14:ligatures w14:val="none"/>
              </w:rPr>
            </w:pPr>
            <w:r w:rsidRPr="004C5A9C">
              <w:rPr>
                <w:rFonts w:ascii="UICTFontTextStyleBody" w:eastAsiaTheme="minorEastAsia" w:hAnsi="UICTFontTextStyleBody" w:cs="Times New Roman"/>
                <w:color w:val="000000" w:themeColor="text1"/>
                <w:kern w:val="0"/>
                <w:sz w:val="28"/>
                <w:szCs w:val="28"/>
                <w14:ligatures w14:val="none"/>
              </w:rPr>
              <w:t>H5</w:t>
            </w:r>
          </w:p>
        </w:tc>
      </w:tr>
    </w:tbl>
    <w:p w14:paraId="45152473" w14:textId="77777777" w:rsidR="003600DD" w:rsidRPr="00BE7B2A" w:rsidRDefault="003600DD" w:rsidP="00BE7B2A">
      <w:pPr>
        <w:spacing w:line="360" w:lineRule="auto"/>
        <w:rPr>
          <w:rFonts w:ascii="Sakkal Majalla" w:hAnsi="Sakkal Majalla" w:cs="Sakkal Majalla"/>
          <w:b/>
          <w:bCs/>
          <w:color w:val="000000" w:themeColor="text1"/>
          <w:sz w:val="32"/>
          <w:szCs w:val="32"/>
          <w:u w:val="single"/>
          <w:rtl/>
        </w:rPr>
      </w:pPr>
      <w:r w:rsidRPr="00BE7B2A">
        <w:rPr>
          <w:rFonts w:ascii="Sakkal Majalla" w:hAnsi="Sakkal Majalla" w:cs="Sakkal Majalla"/>
          <w:b/>
          <w:bCs/>
          <w:color w:val="000000" w:themeColor="text1"/>
          <w:sz w:val="32"/>
          <w:szCs w:val="32"/>
          <w:u w:val="single"/>
          <w:rtl/>
        </w:rPr>
        <w:lastRenderedPageBreak/>
        <w:t>فروض فرعية</w:t>
      </w:r>
    </w:p>
    <w:p w14:paraId="57241F33" w14:textId="3A2D7CE9" w:rsidR="003600DD" w:rsidRPr="004C5A9C" w:rsidRDefault="003600DD" w:rsidP="00BE7B2A">
      <w:pPr>
        <w:pStyle w:val="a5"/>
        <w:numPr>
          <w:ilvl w:val="0"/>
          <w:numId w:val="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H1-a</w:t>
      </w:r>
      <w:r w:rsidRPr="004C5A9C">
        <w:rPr>
          <w:rFonts w:ascii="Sakkal Majalla" w:hAnsi="Sakkal Majalla" w:cs="Sakkal Majalla"/>
          <w:color w:val="000000" w:themeColor="text1"/>
          <w:sz w:val="28"/>
          <w:szCs w:val="28"/>
          <w:rtl/>
        </w:rPr>
        <w:t>: خطر تذبذب السيولة أعلى في البنوك اللامركزية مقارنة بالمركزية.</w:t>
      </w:r>
    </w:p>
    <w:p w14:paraId="1FCDD60D" w14:textId="0624E073" w:rsidR="003600DD" w:rsidRPr="004C5A9C" w:rsidRDefault="003600DD" w:rsidP="00BE7B2A">
      <w:pPr>
        <w:pStyle w:val="a5"/>
        <w:numPr>
          <w:ilvl w:val="0"/>
          <w:numId w:val="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H1-b</w:t>
      </w:r>
      <w:r w:rsidRPr="004C5A9C">
        <w:rPr>
          <w:rFonts w:ascii="Sakkal Majalla" w:hAnsi="Sakkal Majalla" w:cs="Sakkal Majalla"/>
          <w:color w:val="000000" w:themeColor="text1"/>
          <w:sz w:val="28"/>
          <w:szCs w:val="28"/>
          <w:rtl/>
        </w:rPr>
        <w:t>: لا فروق ملموسة في المخاطر السيبرانية بين النموذجين بعد ضبط إنفاق الأمن المعلوماتي.</w:t>
      </w:r>
    </w:p>
    <w:p w14:paraId="36996121" w14:textId="534E5563" w:rsidR="003600DD" w:rsidRPr="004C5A9C" w:rsidRDefault="003600DD" w:rsidP="00BE7B2A">
      <w:pPr>
        <w:pStyle w:val="a5"/>
        <w:numPr>
          <w:ilvl w:val="0"/>
          <w:numId w:val="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H2-a</w:t>
      </w:r>
      <w:r w:rsidRPr="004C5A9C">
        <w:rPr>
          <w:rFonts w:ascii="Sakkal Majalla" w:hAnsi="Sakkal Majalla" w:cs="Sakkal Majalla"/>
          <w:color w:val="000000" w:themeColor="text1"/>
          <w:sz w:val="28"/>
          <w:szCs w:val="28"/>
          <w:rtl/>
        </w:rPr>
        <w:t>: تحسّن محور البنية التحتية للمدفوعات الفورية يخفّض زمن الاستجابة الرقابية.</w:t>
      </w:r>
    </w:p>
    <w:p w14:paraId="352FEF81" w14:textId="509C9F01" w:rsidR="003600DD" w:rsidRPr="004C5A9C" w:rsidRDefault="003600DD" w:rsidP="00BE7B2A">
      <w:pPr>
        <w:pStyle w:val="a5"/>
        <w:numPr>
          <w:ilvl w:val="0"/>
          <w:numId w:val="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H2-b</w:t>
      </w:r>
      <w:r w:rsidRPr="004C5A9C">
        <w:rPr>
          <w:rFonts w:ascii="Sakkal Majalla" w:hAnsi="Sakkal Majalla" w:cs="Sakkal Majalla"/>
          <w:color w:val="000000" w:themeColor="text1"/>
          <w:sz w:val="28"/>
          <w:szCs w:val="28"/>
          <w:rtl/>
        </w:rPr>
        <w:t>: نقص الكفاءات الرقمية يضعف أثر التشريعات المتقدمة على الرقابة الفورية.</w:t>
      </w:r>
    </w:p>
    <w:p w14:paraId="0B03EA67" w14:textId="513D3388" w:rsidR="003600DD" w:rsidRPr="004C5A9C" w:rsidRDefault="003600DD" w:rsidP="00BE7B2A">
      <w:pPr>
        <w:pStyle w:val="a5"/>
        <w:numPr>
          <w:ilvl w:val="0"/>
          <w:numId w:val="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H3-a</w:t>
      </w:r>
      <w:r w:rsidRPr="004C5A9C">
        <w:rPr>
          <w:rFonts w:ascii="Sakkal Majalla" w:hAnsi="Sakkal Majalla" w:cs="Sakkal Majalla"/>
          <w:color w:val="000000" w:themeColor="text1"/>
          <w:sz w:val="28"/>
          <w:szCs w:val="28"/>
          <w:rtl/>
        </w:rPr>
        <w:t xml:space="preserve">: تكامل أدوات تحليل البلوكشين يحيّد الأثر السلبي لانتشار البنوك اللامركزية على مؤشّرات </w:t>
      </w:r>
      <w:r w:rsidRPr="004C5A9C">
        <w:rPr>
          <w:rFonts w:ascii="Sakkal Majalla" w:hAnsi="Sakkal Majalla" w:cs="Sakkal Majalla"/>
          <w:color w:val="000000" w:themeColor="text1"/>
          <w:sz w:val="28"/>
          <w:szCs w:val="28"/>
        </w:rPr>
        <w:t>AML/CFT</w:t>
      </w:r>
      <w:r w:rsidRPr="004C5A9C">
        <w:rPr>
          <w:rFonts w:ascii="Sakkal Majalla" w:hAnsi="Sakkal Majalla" w:cs="Sakkal Majalla"/>
          <w:color w:val="000000" w:themeColor="text1"/>
          <w:sz w:val="28"/>
          <w:szCs w:val="28"/>
          <w:rtl/>
        </w:rPr>
        <w:t>.</w:t>
      </w:r>
    </w:p>
    <w:p w14:paraId="30443049" w14:textId="3AF4706F" w:rsidR="003600DD" w:rsidRPr="004C5A9C" w:rsidRDefault="003600DD" w:rsidP="00BE7B2A">
      <w:pPr>
        <w:pStyle w:val="a5"/>
        <w:numPr>
          <w:ilvl w:val="0"/>
          <w:numId w:val="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H4-a</w:t>
      </w:r>
      <w:r w:rsidRPr="004C5A9C">
        <w:rPr>
          <w:rFonts w:ascii="Sakkal Majalla" w:hAnsi="Sakkal Majalla" w:cs="Sakkal Majalla"/>
          <w:color w:val="000000" w:themeColor="text1"/>
          <w:sz w:val="28"/>
          <w:szCs w:val="28"/>
          <w:rtl/>
        </w:rPr>
        <w:t>: تطبيق الريال الرقمي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 يخفض تكلفة التحويلات الداخلية بنسبة 30 % على الأقل مقارنة بالتحويل عبر البنوك التقليدية.</w:t>
      </w:r>
    </w:p>
    <w:p w14:paraId="42FD2335" w14:textId="79DF7043" w:rsidR="003600DD" w:rsidRPr="004C5A9C" w:rsidRDefault="003600DD" w:rsidP="00BE7B2A">
      <w:pPr>
        <w:pStyle w:val="a5"/>
        <w:numPr>
          <w:ilvl w:val="0"/>
          <w:numId w:val="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H5-a</w:t>
      </w:r>
      <w:r w:rsidRPr="004C5A9C">
        <w:rPr>
          <w:rFonts w:ascii="Sakkal Majalla" w:hAnsi="Sakkal Majalla" w:cs="Sakkal Majalla"/>
          <w:color w:val="000000" w:themeColor="text1"/>
          <w:sz w:val="28"/>
          <w:szCs w:val="28"/>
          <w:rtl/>
        </w:rPr>
        <w:t xml:space="preserve">: ينخفض الاستقرار المالي إذا تجاوزت معاملات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xml:space="preserve"> نسبة 20 % من قطاع التجزئة في ظل تنسيق مؤسسي منخفض.</w:t>
      </w:r>
    </w:p>
    <w:p w14:paraId="65FC8D97" w14:textId="4D95D616" w:rsidR="00A74F76" w:rsidRDefault="003600DD" w:rsidP="00BE7B2A">
      <w:pPr>
        <w:pStyle w:val="a5"/>
        <w:numPr>
          <w:ilvl w:val="0"/>
          <w:numId w:val="9"/>
        </w:num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Pr>
        <w:t>H5-b</w:t>
      </w:r>
      <w:r w:rsidRPr="004C5A9C">
        <w:rPr>
          <w:rFonts w:ascii="Sakkal Majalla" w:hAnsi="Sakkal Majalla" w:cs="Sakkal Majalla"/>
          <w:color w:val="000000" w:themeColor="text1"/>
          <w:sz w:val="28"/>
          <w:szCs w:val="28"/>
          <w:rtl/>
        </w:rPr>
        <w:t>: كل تراجع في مستوى التنسيق المؤسسي يقترن بزيادة قدرها 0.05 نقطة في مؤشر الضغوط النظامية</w:t>
      </w:r>
    </w:p>
    <w:p w14:paraId="0C922CDE" w14:textId="77777777" w:rsidR="004C5A9C" w:rsidRPr="004C5A9C" w:rsidRDefault="004C5A9C" w:rsidP="00BE7B2A">
      <w:pPr>
        <w:spacing w:line="360" w:lineRule="auto"/>
        <w:rPr>
          <w:rFonts w:ascii="Sakkal Majalla" w:hAnsi="Sakkal Majalla" w:cs="Sakkal Majalla"/>
          <w:color w:val="000000" w:themeColor="text1"/>
          <w:sz w:val="28"/>
          <w:szCs w:val="28"/>
          <w:rtl/>
        </w:rPr>
      </w:pPr>
    </w:p>
    <w:p w14:paraId="5751CE2F" w14:textId="7490823F" w:rsidR="00206D81" w:rsidRPr="004C5A9C" w:rsidRDefault="00206D81" w:rsidP="00BE7B2A">
      <w:pPr>
        <w:spacing w:after="0" w:line="360" w:lineRule="auto"/>
        <w:divId w:val="779564658"/>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t>1-7 الدراسات السابقة</w:t>
      </w:r>
    </w:p>
    <w:p w14:paraId="7E6C6C27" w14:textId="3EA64396"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1-7-1 تمهيد</w:t>
      </w:r>
    </w:p>
    <w:p w14:paraId="207DFD85"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توزّعت الأدبيات الدولية بشأن المصرفية الرقمية على ثلاثة مسارات رئيسة:</w:t>
      </w:r>
    </w:p>
    <w:p w14:paraId="1C7399A1" w14:textId="50A3A327" w:rsidR="00142EE4" w:rsidRPr="004C5A9C" w:rsidRDefault="00142EE4" w:rsidP="00BE7B2A">
      <w:pPr>
        <w:pStyle w:val="a5"/>
        <w:numPr>
          <w:ilvl w:val="0"/>
          <w:numId w:val="10"/>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البنوك الرقمية المركزية (</w:t>
      </w:r>
      <w:r w:rsidRPr="004C5A9C">
        <w:rPr>
          <w:rFonts w:ascii="Sakkal Majalla" w:hAnsi="Sakkal Majalla" w:cs="Sakkal Majalla"/>
          <w:color w:val="000000" w:themeColor="text1"/>
          <w:sz w:val="28"/>
          <w:szCs w:val="28"/>
        </w:rPr>
        <w:t>Centralised Digital Banks</w:t>
      </w:r>
      <w:r w:rsidRPr="004C5A9C">
        <w:rPr>
          <w:rFonts w:ascii="Sakkal Majalla" w:hAnsi="Sakkal Majalla" w:cs="Sakkal Majalla"/>
          <w:color w:val="000000" w:themeColor="text1"/>
          <w:sz w:val="28"/>
          <w:szCs w:val="28"/>
          <w:rtl/>
        </w:rPr>
        <w:t>) ومنظومات العملات الرقمية للبنك المركزي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w:t>
      </w:r>
    </w:p>
    <w:p w14:paraId="19D985D0" w14:textId="34896DD7" w:rsidR="00142EE4" w:rsidRPr="004C5A9C" w:rsidRDefault="00142EE4" w:rsidP="00BE7B2A">
      <w:pPr>
        <w:pStyle w:val="a5"/>
        <w:numPr>
          <w:ilvl w:val="0"/>
          <w:numId w:val="10"/>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النماذج اللامركزية القائمة على تقنية البلوكشين والتمويل اللامركزي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بما فيها البنوك أو المنصّات التي تعمل من دون وسيط مصرفي؛</w:t>
      </w:r>
    </w:p>
    <w:p w14:paraId="509B4015" w14:textId="49F1D049" w:rsidR="004C5F33" w:rsidRPr="00BE7B2A" w:rsidRDefault="00142EE4" w:rsidP="00BE7B2A">
      <w:pPr>
        <w:pStyle w:val="a5"/>
        <w:numPr>
          <w:ilvl w:val="0"/>
          <w:numId w:val="10"/>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الأثر التنظيمي والاقتصادي للتحوّل الرقمي في القطاع المالي.</w:t>
      </w:r>
    </w:p>
    <w:p w14:paraId="6E524669" w14:textId="7FE00A22"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ورغم كثافة البحوث التقنية والاقتصادية عالميًّا، فإنّ عدد الدراسات التي تُقارن بشكل مباشر بين النموذجين المركزي واللامركزي، ثم تربط نتائجهما بواقع الجهات التنظيمية في الأسواق الناشئة – ولاسيما السعودية – ما يزال محدودًا. وفيما يلي عرضٌ تحليلي لأهم ما كُتب في كل مسار، مع إبراز الفجوات البحثية التي تسعى هذه الدراسة إلى سدّها.</w:t>
      </w:r>
    </w:p>
    <w:p w14:paraId="4DDEF3E8" w14:textId="6DD0020C"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1-7-2 البنوك الرقمية المركزية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w:t>
      </w:r>
    </w:p>
    <w:tbl>
      <w:tblPr>
        <w:tblW w:w="0" w:type="auto"/>
        <w:tblCellMar>
          <w:left w:w="0" w:type="dxa"/>
          <w:right w:w="0" w:type="dxa"/>
        </w:tblCellMar>
        <w:tblLook w:val="04A0" w:firstRow="1" w:lastRow="0" w:firstColumn="1" w:lastColumn="0" w:noHBand="0" w:noVBand="1"/>
      </w:tblPr>
      <w:tblGrid>
        <w:gridCol w:w="4027"/>
        <w:gridCol w:w="2343"/>
        <w:gridCol w:w="2446"/>
      </w:tblGrid>
      <w:tr w:rsidR="000C27D5" w:rsidRPr="004C5A9C" w14:paraId="33F65FC0"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3FF1EE"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أهم النتائج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3131D2"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511098"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المرجع</w:t>
            </w:r>
          </w:p>
        </w:tc>
      </w:tr>
      <w:tr w:rsidR="000C27D5" w:rsidRPr="004C5A9C" w14:paraId="4A414EB5"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C41C00"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الـ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 xml:space="preserve"> قد تعزّز الشمول المالي وتُسرّع المدفوعات، لكن تتطلّب أُطرًا قوية لحماية الخصوصية وضبط رأس المال.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72D7E9"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تحليل مقارن لتجارب 6 دول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D1CA0E"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صندوق النقد الدولي (</w:t>
            </w:r>
            <w:r w:rsidRPr="004C5A9C">
              <w:rPr>
                <w:rFonts w:ascii="Sakkal Majalla" w:hAnsi="Sakkal Majalla" w:cs="Sakkal Majalla"/>
                <w:color w:val="000000" w:themeColor="text1"/>
                <w:sz w:val="28"/>
                <w:szCs w:val="28"/>
              </w:rPr>
              <w:t>IMF، 2021</w:t>
            </w:r>
            <w:r w:rsidRPr="004C5A9C">
              <w:rPr>
                <w:rFonts w:ascii="Sakkal Majalla" w:hAnsi="Sakkal Majalla" w:cs="Sakkal Majalla"/>
                <w:color w:val="000000" w:themeColor="text1"/>
                <w:sz w:val="28"/>
                <w:szCs w:val="28"/>
                <w:rtl/>
              </w:rPr>
              <w:t>) «الفرص والمخاطر»</w:t>
            </w:r>
          </w:p>
        </w:tc>
      </w:tr>
      <w:tr w:rsidR="000C27D5" w:rsidRPr="004C5A9C" w14:paraId="2ED02B90"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754481"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تطبيق الـ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 xml:space="preserve"> يرفع شفافية السياسة النقدية ويقلّل التكاليف، بشرط جاهزية البنية التحتية اللحظية.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D1DF09"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دراسة حالة للبنوك المركزية السويدية، الصينية، الكندية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660B66"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BIS (2022)</w:t>
            </w:r>
            <w:r w:rsidRPr="004C5A9C">
              <w:rPr>
                <w:rFonts w:ascii="Sakkal Majalla" w:hAnsi="Sakkal Majalla" w:cs="Sakkal Majalla"/>
                <w:color w:val="000000" w:themeColor="text1"/>
                <w:sz w:val="28"/>
                <w:szCs w:val="28"/>
                <w:rtl/>
              </w:rPr>
              <w:t xml:space="preserve"> «مستقبل الاستقرار المالي»</w:t>
            </w:r>
          </w:p>
        </w:tc>
      </w:tr>
      <w:tr w:rsidR="000C27D5" w:rsidRPr="004C5A9C" w14:paraId="140FBB43"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23EF2F"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توصية بإنشاء “طبقة إشراف لحظي” قادرة على تتبّع تدفّقات الـ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 xml:space="preserve"> بالزمن الحقيقي.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9B9693"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تحليل مخاطر سيولة وتجارب اختبارات ضغط</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EC373C"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بنك إنجلترا (2022) تقرير رقابي</w:t>
            </w:r>
          </w:p>
        </w:tc>
      </w:tr>
      <w:tr w:rsidR="000C27D5" w:rsidRPr="004C5A9C" w14:paraId="38D85FA5"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8FB13D"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تهيئة بيئة اختبارية لإصدارة تجريبية من “الريال الرقمي” مع ربطه بنظام “سريع” لتسوية المدفوعات.</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8F37F8"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وثيقة سياسات</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62F185"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SAMA</w:t>
            </w:r>
            <w:r w:rsidRPr="004C5A9C">
              <w:rPr>
                <w:rFonts w:ascii="Sakkal Majalla" w:hAnsi="Sakkal Majalla" w:cs="Sakkal Majalla"/>
                <w:color w:val="000000" w:themeColor="text1"/>
                <w:sz w:val="28"/>
                <w:szCs w:val="28"/>
                <w:rtl/>
              </w:rPr>
              <w:t xml:space="preserve"> (تقرير الساندبوكس، 2024)</w:t>
            </w:r>
          </w:p>
        </w:tc>
      </w:tr>
    </w:tbl>
    <w:p w14:paraId="52A201C5" w14:textId="7827F38C"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خلاصة المسار: تركّز الدراسات على المنافع النقدية والمخاطر التشغيلية، لكنّها لا تغطّي كيفية إعادة توزيع الأدوار التنظيمية بين الهيئات المختلفة داخل الدولة عند تبنّي الـ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w:t>
      </w:r>
    </w:p>
    <w:p w14:paraId="29935B5D" w14:textId="77777777" w:rsidR="00FE1CA0" w:rsidRPr="004C5A9C" w:rsidRDefault="00FE1CA0" w:rsidP="00BE7B2A">
      <w:pPr>
        <w:spacing w:line="360" w:lineRule="auto"/>
        <w:rPr>
          <w:rFonts w:ascii="Sakkal Majalla" w:hAnsi="Sakkal Majalla" w:cs="Sakkal Majalla"/>
          <w:color w:val="000000" w:themeColor="text1"/>
          <w:sz w:val="28"/>
          <w:szCs w:val="28"/>
          <w:rtl/>
        </w:rPr>
      </w:pPr>
    </w:p>
    <w:p w14:paraId="2F2C02EE" w14:textId="77777777" w:rsidR="009F0AD2" w:rsidRPr="004C5A9C" w:rsidRDefault="009F0AD2" w:rsidP="00BE7B2A">
      <w:pPr>
        <w:spacing w:line="360" w:lineRule="auto"/>
        <w:rPr>
          <w:rFonts w:ascii="Sakkal Majalla" w:hAnsi="Sakkal Majalla" w:cs="Sakkal Majalla"/>
          <w:color w:val="000000" w:themeColor="text1"/>
          <w:sz w:val="28"/>
          <w:szCs w:val="28"/>
          <w:rtl/>
        </w:rPr>
      </w:pPr>
    </w:p>
    <w:p w14:paraId="6B44EEC6" w14:textId="263BA47E"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1-7-3 البنوك والمنصّات اللامركزية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w:t>
      </w:r>
    </w:p>
    <w:tbl>
      <w:tblPr>
        <w:tblW w:w="0" w:type="auto"/>
        <w:tblCellMar>
          <w:left w:w="0" w:type="dxa"/>
          <w:right w:w="0" w:type="dxa"/>
        </w:tblCellMar>
        <w:tblLook w:val="04A0" w:firstRow="1" w:lastRow="0" w:firstColumn="1" w:lastColumn="0" w:noHBand="0" w:noVBand="1"/>
      </w:tblPr>
      <w:tblGrid>
        <w:gridCol w:w="4395"/>
        <w:gridCol w:w="1828"/>
        <w:gridCol w:w="2593"/>
      </w:tblGrid>
      <w:tr w:rsidR="000C27D5" w:rsidRPr="004C5A9C" w14:paraId="0F9A9733"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8912FF"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أهم النتائج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AA9E38"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84C586"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المرجع</w:t>
            </w:r>
          </w:p>
        </w:tc>
      </w:tr>
      <w:tr w:rsidR="000C27D5" w:rsidRPr="004C5A9C" w14:paraId="606EC5E2"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A73A1F"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أسّس لفكرة النقد اللامركزي وحلّ مشكلة الإنفاق المزدوج.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6D92C1"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طرح المفهوم (</w:t>
            </w:r>
            <w:r w:rsidRPr="004C5A9C">
              <w:rPr>
                <w:rFonts w:ascii="Sakkal Majalla" w:hAnsi="Sakkal Majalla" w:cs="Sakkal Majalla"/>
                <w:color w:val="000000" w:themeColor="text1"/>
                <w:sz w:val="28"/>
                <w:szCs w:val="28"/>
              </w:rPr>
              <w:t>Bitcoin White-Paper</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A3A146" w14:textId="77777777" w:rsidR="00142EE4" w:rsidRPr="004C5A9C" w:rsidRDefault="00142EE4"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Pr>
              <w:t>Nakamoto (2008)</w:t>
            </w:r>
          </w:p>
        </w:tc>
      </w:tr>
      <w:tr w:rsidR="000C27D5" w:rsidRPr="004C5A9C" w14:paraId="113A056F"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AA5C93"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البلوكشين يرفع الشفافية التقنية لكن يزيد مخاطر التقلّب والاختراقات بسبب غياب الإشراف.</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AE3556"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تحليل بيانات 32 بورصة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411E73"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Gandal</w:t>
            </w:r>
            <w:r w:rsidRPr="004C5A9C">
              <w:rPr>
                <w:rFonts w:ascii="Sakkal Majalla" w:hAnsi="Sakkal Majalla" w:cs="Sakkal Majalla"/>
                <w:color w:val="000000" w:themeColor="text1"/>
                <w:sz w:val="28"/>
                <w:szCs w:val="28"/>
                <w:rtl/>
              </w:rPr>
              <w:t xml:space="preserve"> وآخرون (2020) «مخاطر البلوكشين»</w:t>
            </w:r>
          </w:p>
        </w:tc>
      </w:tr>
      <w:tr w:rsidR="000C27D5" w:rsidRPr="004C5A9C" w14:paraId="7BF58206"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EF3D20"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التمويل اللامركزي يقوّض نماذج </w:t>
            </w:r>
            <w:r w:rsidRPr="004C5A9C">
              <w:rPr>
                <w:rFonts w:ascii="Sakkal Majalla" w:hAnsi="Sakkal Majalla" w:cs="Sakkal Majalla"/>
                <w:color w:val="000000" w:themeColor="text1"/>
                <w:sz w:val="28"/>
                <w:szCs w:val="28"/>
              </w:rPr>
              <w:t>KYC/AML</w:t>
            </w:r>
            <w:r w:rsidRPr="004C5A9C">
              <w:rPr>
                <w:rFonts w:ascii="Sakkal Majalla" w:hAnsi="Sakkal Majalla" w:cs="Sakkal Majalla"/>
                <w:color w:val="000000" w:themeColor="text1"/>
                <w:sz w:val="28"/>
                <w:szCs w:val="28"/>
                <w:rtl/>
              </w:rPr>
              <w:t xml:space="preserve"> التقليدية ويستدعي حلول تحليلات سلاسل (</w:t>
            </w:r>
            <w:r w:rsidRPr="004C5A9C">
              <w:rPr>
                <w:rFonts w:ascii="Sakkal Majalla" w:hAnsi="Sakkal Majalla" w:cs="Sakkal Majalla"/>
                <w:color w:val="000000" w:themeColor="text1"/>
                <w:sz w:val="28"/>
                <w:szCs w:val="28"/>
              </w:rPr>
              <w:t>Chain-Analytics</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08F19A"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مراجعة منهجية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29A03F"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Kumar &amp; Sharma (2021) «DeFi</w:t>
            </w:r>
            <w:r w:rsidRPr="004C5A9C">
              <w:rPr>
                <w:rFonts w:ascii="Sakkal Majalla" w:hAnsi="Sakkal Majalla" w:cs="Sakkal Majalla"/>
                <w:color w:val="000000" w:themeColor="text1"/>
                <w:sz w:val="28"/>
                <w:szCs w:val="28"/>
                <w:rtl/>
              </w:rPr>
              <w:t>: التحديات والفرص»</w:t>
            </w:r>
          </w:p>
        </w:tc>
      </w:tr>
      <w:tr w:rsidR="000C27D5" w:rsidRPr="004C5A9C" w14:paraId="318D5433"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8A2B06"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اختلاف اللوائح بين الدول يعيق تبنّي إطار عالمي موحَّد، ويوصي بنموذج “معايير دنيا مشتركة”.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A14EFD"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دراسة مقارِنة لـ 12 نظامًا تشريعيًّا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5FF02A"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Chen &amp; Wong (2023)</w:t>
            </w:r>
            <w:r w:rsidRPr="004C5A9C">
              <w:rPr>
                <w:rFonts w:ascii="Sakkal Majalla" w:hAnsi="Sakkal Majalla" w:cs="Sakkal Majalla"/>
                <w:color w:val="000000" w:themeColor="text1"/>
                <w:sz w:val="28"/>
                <w:szCs w:val="28"/>
                <w:rtl/>
              </w:rPr>
              <w:t xml:space="preserve"> «التحديات القانونية»</w:t>
            </w:r>
          </w:p>
        </w:tc>
      </w:tr>
    </w:tbl>
    <w:p w14:paraId="2A09BEAF" w14:textId="4F7538B3"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خلاصة المسار: تبرز المخاوف القانونيّة والأمنية، ولا توجد نماذج واضحة لدمج بيانات السلاسل العامة مع أنظمة البنوك المركزية الرقابية.</w:t>
      </w:r>
    </w:p>
    <w:p w14:paraId="50109B93" w14:textId="7D80280E"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1-7-4 الأثر التنظيمي والمؤسّسي</w:t>
      </w:r>
    </w:p>
    <w:tbl>
      <w:tblPr>
        <w:tblW w:w="0" w:type="auto"/>
        <w:tblCellMar>
          <w:left w:w="0" w:type="dxa"/>
          <w:right w:w="0" w:type="dxa"/>
        </w:tblCellMar>
        <w:tblLook w:val="04A0" w:firstRow="1" w:lastRow="0" w:firstColumn="1" w:lastColumn="0" w:noHBand="0" w:noVBand="1"/>
      </w:tblPr>
      <w:tblGrid>
        <w:gridCol w:w="4606"/>
        <w:gridCol w:w="1587"/>
        <w:gridCol w:w="2623"/>
      </w:tblGrid>
      <w:tr w:rsidR="000C27D5" w:rsidRPr="004C5A9C" w14:paraId="04DB2C2B"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2D242E"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أهم النتائج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D1C104"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E69B29"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المرجع</w:t>
            </w:r>
          </w:p>
        </w:tc>
      </w:tr>
      <w:tr w:rsidR="000C27D5" w:rsidRPr="004C5A9C" w14:paraId="6FAC83DF"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3A30E8"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60 % من الجهات ترى أنّ أدوات الرقابة الحالية غير كافية للمصرفية اللحظية.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731277"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استطلاع 45 جهة رقابية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98456E"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McKinsey (2022)</w:t>
            </w:r>
            <w:r w:rsidRPr="004C5A9C">
              <w:rPr>
                <w:rFonts w:ascii="Sakkal Majalla" w:hAnsi="Sakkal Majalla" w:cs="Sakkal Majalla"/>
                <w:color w:val="000000" w:themeColor="text1"/>
                <w:sz w:val="28"/>
                <w:szCs w:val="28"/>
                <w:rtl/>
              </w:rPr>
              <w:t xml:space="preserve"> «صعود البنوك الرقمية»</w:t>
            </w:r>
          </w:p>
        </w:tc>
      </w:tr>
      <w:tr w:rsidR="000C27D5" w:rsidRPr="004C5A9C" w14:paraId="2D57223C"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4BE5F7"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أوصت بإنشاء مراكز عمليات رقابية مدمجة (</w:t>
            </w:r>
            <w:r w:rsidRPr="004C5A9C">
              <w:rPr>
                <w:rFonts w:ascii="Sakkal Majalla" w:hAnsi="Sakkal Majalla" w:cs="Sakkal Majalla"/>
                <w:color w:val="000000" w:themeColor="text1"/>
                <w:sz w:val="28"/>
                <w:szCs w:val="28"/>
              </w:rPr>
              <w:t>Integrated Regulatory Ops Centers</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C21A69"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تحليل سياسات 24 دولة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7BF448"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OECD (2023)</w:t>
            </w:r>
            <w:r w:rsidRPr="004C5A9C">
              <w:rPr>
                <w:rFonts w:ascii="Sakkal Majalla" w:hAnsi="Sakkal Majalla" w:cs="Sakkal Majalla"/>
                <w:color w:val="000000" w:themeColor="text1"/>
                <w:sz w:val="28"/>
                <w:szCs w:val="28"/>
                <w:rtl/>
              </w:rPr>
              <w:t xml:space="preserve"> «حوكمة الابتكار المالي»</w:t>
            </w:r>
          </w:p>
        </w:tc>
      </w:tr>
      <w:tr w:rsidR="00142EE4" w:rsidRPr="004C5A9C" w14:paraId="1D45C3D7"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C9147E"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 xml:space="preserve">البنوك السعودية التقليدية بدأت شراكات مع شركات </w:t>
            </w:r>
            <w:r w:rsidRPr="004C5A9C">
              <w:rPr>
                <w:rFonts w:ascii="Sakkal Majalla" w:hAnsi="Sakkal Majalla" w:cs="Sakkal Majalla"/>
                <w:color w:val="000000" w:themeColor="text1"/>
                <w:sz w:val="28"/>
                <w:szCs w:val="28"/>
              </w:rPr>
              <w:t>FinTech</w:t>
            </w:r>
            <w:r w:rsidRPr="004C5A9C">
              <w:rPr>
                <w:rFonts w:ascii="Sakkal Majalla" w:hAnsi="Sakkal Majalla" w:cs="Sakkal Majalla"/>
                <w:color w:val="000000" w:themeColor="text1"/>
                <w:sz w:val="28"/>
                <w:szCs w:val="28"/>
                <w:rtl/>
              </w:rPr>
              <w:t xml:space="preserve"> لتقليل كلفة الامتثال.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23DE31"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رصد سوقي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0FF564"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NCB &amp; SAIB (2023)</w:t>
            </w:r>
            <w:r w:rsidRPr="004C5A9C">
              <w:rPr>
                <w:rFonts w:ascii="Sakkal Majalla" w:hAnsi="Sakkal Majalla" w:cs="Sakkal Majalla"/>
                <w:color w:val="000000" w:themeColor="text1"/>
                <w:sz w:val="28"/>
                <w:szCs w:val="28"/>
                <w:rtl/>
              </w:rPr>
              <w:t xml:space="preserve"> تقارير سعودية</w:t>
            </w:r>
          </w:p>
        </w:tc>
      </w:tr>
    </w:tbl>
    <w:p w14:paraId="10ED31F0" w14:textId="77777777" w:rsidR="004C5F33" w:rsidRPr="004C5A9C" w:rsidRDefault="004C5F33" w:rsidP="00BE7B2A">
      <w:pPr>
        <w:spacing w:line="360" w:lineRule="auto"/>
        <w:rPr>
          <w:rFonts w:ascii="Sakkal Majalla" w:hAnsi="Sakkal Majalla" w:cs="Sakkal Majalla"/>
          <w:color w:val="000000" w:themeColor="text1"/>
          <w:sz w:val="28"/>
          <w:szCs w:val="28"/>
          <w:rtl/>
        </w:rPr>
      </w:pPr>
    </w:p>
    <w:p w14:paraId="74B23899"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1-7-5 السياق السعودي والخليجي</w:t>
      </w:r>
    </w:p>
    <w:tbl>
      <w:tblPr>
        <w:tblW w:w="0" w:type="auto"/>
        <w:tblCellMar>
          <w:left w:w="0" w:type="dxa"/>
          <w:right w:w="0" w:type="dxa"/>
        </w:tblCellMar>
        <w:tblLook w:val="04A0" w:firstRow="1" w:lastRow="0" w:firstColumn="1" w:lastColumn="0" w:noHBand="0" w:noVBand="1"/>
      </w:tblPr>
      <w:tblGrid>
        <w:gridCol w:w="4509"/>
        <w:gridCol w:w="1328"/>
        <w:gridCol w:w="2979"/>
      </w:tblGrid>
      <w:tr w:rsidR="000C27D5" w:rsidRPr="004C5A9C" w14:paraId="0A04390B"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324DF3"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أهم النتائج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E56A86"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346B47"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المرجع</w:t>
            </w:r>
          </w:p>
        </w:tc>
      </w:tr>
      <w:tr w:rsidR="000C27D5" w:rsidRPr="004C5A9C" w14:paraId="57F980AE"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0D21F4"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تقديم رخصتين لبنكين رقميين محلّيين وربطهما بنظام حماية المستهلك المصرفي.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DC6802"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تحليل تشريعي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8ECA73"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Pr>
              <w:t>SAMA (2023)</w:t>
            </w:r>
            <w:r w:rsidRPr="004C5A9C">
              <w:rPr>
                <w:rFonts w:ascii="Sakkal Majalla" w:hAnsi="Sakkal Majalla" w:cs="Sakkal Majalla"/>
                <w:color w:val="000000" w:themeColor="text1"/>
                <w:sz w:val="28"/>
                <w:szCs w:val="28"/>
                <w:rtl/>
              </w:rPr>
              <w:t xml:space="preserve"> «الإطار التنظيمي للبنوك الرقمية»</w:t>
            </w:r>
          </w:p>
        </w:tc>
      </w:tr>
      <w:tr w:rsidR="000C27D5" w:rsidRPr="004C5A9C" w14:paraId="06E55458"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CA8A6D"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توقّع نمو معاملات المصرفية الرقمية بمعدّل سنوي مركّب 18 %.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2D2AB4"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دراسة أثر</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CBEA3A"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الاستثمار السعودي (</w:t>
            </w:r>
            <w:r w:rsidRPr="004C5A9C">
              <w:rPr>
                <w:rFonts w:ascii="Sakkal Majalla" w:hAnsi="Sakkal Majalla" w:cs="Sakkal Majalla"/>
                <w:color w:val="000000" w:themeColor="text1"/>
                <w:sz w:val="28"/>
                <w:szCs w:val="28"/>
              </w:rPr>
              <w:t>SAIB، 2023</w:t>
            </w:r>
            <w:r w:rsidRPr="004C5A9C">
              <w:rPr>
                <w:rFonts w:ascii="Sakkal Majalla" w:hAnsi="Sakkal Majalla" w:cs="Sakkal Majalla"/>
                <w:color w:val="000000" w:themeColor="text1"/>
                <w:sz w:val="28"/>
                <w:szCs w:val="28"/>
                <w:rtl/>
              </w:rPr>
              <w:t>)</w:t>
            </w:r>
          </w:p>
        </w:tc>
      </w:tr>
      <w:tr w:rsidR="000C27D5" w:rsidRPr="004C5A9C" w14:paraId="2B5B7783" w14:textId="77777777">
        <w:trPr>
          <w:divId w:val="19431433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E159F6"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هدف زيادة حصة المدفوعات غير النقدية إلى 70 % بحلول 2025.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45005C"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وثيقة إستراتيجية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2B9763" w14:textId="77777777" w:rsidR="00142EE4" w:rsidRPr="004C5A9C" w:rsidRDefault="00142EE4"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Pr>
              <w:t>Vision 2030 – FSDP</w:t>
            </w:r>
          </w:p>
        </w:tc>
      </w:tr>
    </w:tbl>
    <w:p w14:paraId="40E2514C" w14:textId="67F3211B"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w:t>
      </w:r>
    </w:p>
    <w:p w14:paraId="4555A641"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1-7-6 الفجوات البحثيّة</w:t>
      </w:r>
    </w:p>
    <w:p w14:paraId="01D7D6B2" w14:textId="172F4124" w:rsidR="00142EE4" w:rsidRPr="004C5A9C" w:rsidRDefault="00142EE4" w:rsidP="00BE7B2A">
      <w:pPr>
        <w:pStyle w:val="a5"/>
        <w:numPr>
          <w:ilvl w:val="0"/>
          <w:numId w:val="11"/>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غياب المقارنة التكاملية بين النموذجين المركزي واللامركزي داخل سياق واحد.</w:t>
      </w:r>
    </w:p>
    <w:p w14:paraId="50541E4A" w14:textId="5A97A603" w:rsidR="00142EE4" w:rsidRPr="004C5A9C" w:rsidRDefault="00142EE4" w:rsidP="00BE7B2A">
      <w:pPr>
        <w:pStyle w:val="a5"/>
        <w:numPr>
          <w:ilvl w:val="0"/>
          <w:numId w:val="11"/>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نقص الأدوات التشخيصية لقياس جاهزية الجهات التنظيمية السعودية للإشراف اللحظي.</w:t>
      </w:r>
    </w:p>
    <w:p w14:paraId="461ADC7E" w14:textId="3E1AF653" w:rsidR="00142EE4" w:rsidRPr="004C5A9C" w:rsidRDefault="00142EE4" w:rsidP="00BE7B2A">
      <w:pPr>
        <w:pStyle w:val="a5"/>
        <w:numPr>
          <w:ilvl w:val="0"/>
          <w:numId w:val="11"/>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ندرة التحليل الكَمّي لتأثير انتشار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xml:space="preserve"> على مؤشرات الاستقرار المالي المحلي.</w:t>
      </w:r>
    </w:p>
    <w:p w14:paraId="0F89B5ED" w14:textId="33DEA882" w:rsidR="00142EE4" w:rsidRPr="004C5A9C" w:rsidRDefault="00142EE4" w:rsidP="00BE7B2A">
      <w:pPr>
        <w:pStyle w:val="a5"/>
        <w:numPr>
          <w:ilvl w:val="0"/>
          <w:numId w:val="11"/>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ضعف الدراسات التطبيقية التي تقدّم خارطة طريق تقنية – تشريعية لدمج أدوات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 xml:space="preserve"> بتحليلات البلوكشين في بيئة رقابية واحدة.</w:t>
      </w:r>
    </w:p>
    <w:p w14:paraId="31150B02" w14:textId="77777777" w:rsidR="00142EE4" w:rsidRPr="004C5A9C" w:rsidRDefault="00142EE4" w:rsidP="00BE7B2A">
      <w:pPr>
        <w:spacing w:line="360" w:lineRule="auto"/>
        <w:rPr>
          <w:rFonts w:ascii="Sakkal Majalla" w:hAnsi="Sakkal Majalla" w:cs="Sakkal Majalla"/>
          <w:color w:val="000000" w:themeColor="text1"/>
          <w:sz w:val="28"/>
          <w:szCs w:val="28"/>
          <w:rtl/>
        </w:rPr>
      </w:pPr>
    </w:p>
    <w:p w14:paraId="27270066" w14:textId="6A09F9F2"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1-7-7 موقع الدراسة من الأدبيات</w:t>
      </w:r>
    </w:p>
    <w:p w14:paraId="1E47005B" w14:textId="77777777" w:rsidR="00142EE4" w:rsidRPr="004C5A9C" w:rsidRDefault="00142EE4"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تنطلق هذه الدراسة لسدّ الفجوات عبر:</w:t>
      </w:r>
    </w:p>
    <w:p w14:paraId="24E5587C" w14:textId="4BBF8949" w:rsidR="00142EE4" w:rsidRPr="004C5A9C" w:rsidRDefault="00142EE4" w:rsidP="00BE7B2A">
      <w:pPr>
        <w:pStyle w:val="a5"/>
        <w:numPr>
          <w:ilvl w:val="2"/>
          <w:numId w:val="12"/>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مقارنة مباشرة بين البنوك الرقمية المركزية واللامركزية في البيئة السعودية؛</w:t>
      </w:r>
    </w:p>
    <w:p w14:paraId="0D805415" w14:textId="5AA5ECDC" w:rsidR="00142EE4" w:rsidRPr="004C5A9C" w:rsidRDefault="00142EE4" w:rsidP="00BE7B2A">
      <w:pPr>
        <w:pStyle w:val="a5"/>
        <w:numPr>
          <w:ilvl w:val="2"/>
          <w:numId w:val="12"/>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تطوير “مصفوفة الجاهزية التنظيمية” لتقييم ستة أبعاد رقابية بدقّة؛</w:t>
      </w:r>
    </w:p>
    <w:p w14:paraId="0F26649A" w14:textId="1F9056B6" w:rsidR="00142EE4" w:rsidRPr="004C5A9C" w:rsidRDefault="00142EE4" w:rsidP="00BE7B2A">
      <w:pPr>
        <w:pStyle w:val="a5"/>
        <w:numPr>
          <w:ilvl w:val="2"/>
          <w:numId w:val="12"/>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تقديم سيناريوهات إجهاد لمدى تأثير معاملات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xml:space="preserve"> على سيولة القطاع؛</w:t>
      </w:r>
    </w:p>
    <w:p w14:paraId="4C37CE53" w14:textId="7E210A03" w:rsidR="00A74F76" w:rsidRPr="004C5A9C" w:rsidRDefault="00142EE4" w:rsidP="00BE7B2A">
      <w:pPr>
        <w:pStyle w:val="a5"/>
        <w:numPr>
          <w:ilvl w:val="2"/>
          <w:numId w:val="12"/>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صياغة توصيات تنفيذية تمكّن ساما وبقيّة الشركاء من استباق المخاطر وتوظيف الابتكار بأقل تكلفة نظامية.</w:t>
      </w:r>
    </w:p>
    <w:p w14:paraId="49FE9DCD" w14:textId="77777777" w:rsidR="00261F17" w:rsidRPr="004C5A9C" w:rsidRDefault="00261F17" w:rsidP="00BE7B2A">
      <w:pPr>
        <w:spacing w:after="0" w:line="360" w:lineRule="auto"/>
        <w:divId w:val="678848424"/>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t>1-8 المنطلقات النظرية للدراسة</w:t>
      </w:r>
    </w:p>
    <w:p w14:paraId="684E084C" w14:textId="683242DE"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يستند تحليل أثر البنوك الرقمية–بِشِقَّيها المركزي واللامركزي–على الشركاء التنظيميين في المملكة إلى مجموعة من الأطر والنظريات الاقتصادية والتقنية والتنظيمية؛ إذ تُسهم تلك الأطر في تفسير أنماط تبنّي التقنيات المالية، وتعيين مصادر المخاطر، ورسم الدور الجديد للسلطات الرقابية. فيما يلي أهم المنطلقات النظرية التي ترتكز عليها الدراسة وكيفية توظيف كل منها:</w:t>
      </w:r>
    </w:p>
    <w:tbl>
      <w:tblPr>
        <w:tblW w:w="0" w:type="auto"/>
        <w:tblCellMar>
          <w:left w:w="0" w:type="dxa"/>
          <w:right w:w="0" w:type="dxa"/>
        </w:tblCellMar>
        <w:tblLook w:val="04A0" w:firstRow="1" w:lastRow="0" w:firstColumn="1" w:lastColumn="0" w:noHBand="0" w:noVBand="1"/>
      </w:tblPr>
      <w:tblGrid>
        <w:gridCol w:w="3294"/>
        <w:gridCol w:w="2931"/>
        <w:gridCol w:w="2315"/>
        <w:gridCol w:w="276"/>
      </w:tblGrid>
      <w:tr w:rsidR="000C27D5" w:rsidRPr="004C5A9C" w14:paraId="2991596A"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A14D03"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صلتها بالدراسة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43A2B"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جوهر النظرية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084170"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النظرية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C339E8"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w:t>
            </w:r>
          </w:p>
        </w:tc>
      </w:tr>
      <w:tr w:rsidR="000C27D5" w:rsidRPr="004C5A9C" w14:paraId="3190A0D9"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201312"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تُفسّر انتقال الأنشطة من الفروع التقليدية إلى البنوك الرقمية المرخَّصة والمنصّات اللامركزية، وتُبرّر الحاجة إلى إشراف رقابي لحظي (</w:t>
            </w:r>
            <w:r w:rsidRPr="004C5A9C">
              <w:rPr>
                <w:rFonts w:ascii="Sakkal Majalla" w:hAnsi="Sakkal Majalla" w:cs="Sakkal Majalla"/>
                <w:color w:val="000000" w:themeColor="text1"/>
                <w:sz w:val="28"/>
                <w:szCs w:val="28"/>
              </w:rPr>
              <w:t>Real-Time Supervision</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887208"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تؤكد أن اعتماد التكنولوجيا يعيد تشكيل سلسلة القيمة المصرفية ويُنقِل النشاط من القنوات المادية إلى المنصّات اللحظية المعتمِدة على البيانات.</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8B643D"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نظرية التحوّل الرقمي للقطاع المصرفي (</w:t>
            </w:r>
            <w:r w:rsidRPr="004C5A9C">
              <w:rPr>
                <w:rFonts w:ascii="Sakkal Majalla" w:hAnsi="Sakkal Majalla" w:cs="Sakkal Majalla"/>
                <w:color w:val="000000" w:themeColor="text1"/>
                <w:sz w:val="28"/>
                <w:szCs w:val="28"/>
              </w:rPr>
              <w:t>Digital Transformation Theory</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914F01" w14:textId="77777777" w:rsidR="007D79B2" w:rsidRPr="004C5A9C" w:rsidRDefault="007D79B2"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1</w:t>
            </w:r>
          </w:p>
        </w:tc>
      </w:tr>
      <w:tr w:rsidR="000C27D5" w:rsidRPr="004C5A9C" w14:paraId="3B660411"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776340"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تُوضح موقع المملكة حاليًّا: البنوك الرقمية المركزية في مرحلة «الاختبار-التنظيم»، بينما خدمات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xml:space="preserve"> ما تزال في طور «التطوير» وتفتقر لإطار واضح.</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274D7D"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تمرّ الابتكارات بثلاث مراحل: التطوير </w:t>
            </w:r>
            <w:r w:rsidRPr="004C5A9C">
              <w:rPr>
                <w:rFonts w:ascii="Times New Roman" w:hAnsi="Times New Roman" w:cs="Times New Roman" w:hint="cs"/>
                <w:color w:val="000000" w:themeColor="text1"/>
                <w:sz w:val="28"/>
                <w:szCs w:val="28"/>
                <w:rtl/>
              </w:rPr>
              <w:t>→</w:t>
            </w:r>
            <w:r w:rsidRPr="004C5A9C">
              <w:rPr>
                <w:rFonts w:ascii="Sakkal Majalla" w:hAnsi="Sakkal Majalla" w:cs="Sakkal Majalla"/>
                <w:color w:val="000000" w:themeColor="text1"/>
                <w:sz w:val="28"/>
                <w:szCs w:val="28"/>
                <w:rtl/>
              </w:rPr>
              <w:t xml:space="preserve"> الاختبار </w:t>
            </w:r>
            <w:r w:rsidRPr="004C5A9C">
              <w:rPr>
                <w:rFonts w:ascii="Times New Roman" w:hAnsi="Times New Roman" w:cs="Times New Roman" w:hint="cs"/>
                <w:color w:val="000000" w:themeColor="text1"/>
                <w:sz w:val="28"/>
                <w:szCs w:val="28"/>
                <w:rtl/>
              </w:rPr>
              <w:t>→</w:t>
            </w:r>
            <w:r w:rsidRPr="004C5A9C">
              <w:rPr>
                <w:rFonts w:ascii="Sakkal Majalla" w:hAnsi="Sakkal Majalla" w:cs="Sakkal Majalla"/>
                <w:color w:val="000000" w:themeColor="text1"/>
                <w:sz w:val="28"/>
                <w:szCs w:val="28"/>
                <w:rtl/>
              </w:rPr>
              <w:t xml:space="preserve"> التنظيم.</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D499F0"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نظرية دورة الابتكار المالي (</w:t>
            </w:r>
            <w:r w:rsidRPr="004C5A9C">
              <w:rPr>
                <w:rFonts w:ascii="Sakkal Majalla" w:hAnsi="Sakkal Majalla" w:cs="Sakkal Majalla"/>
                <w:color w:val="000000" w:themeColor="text1"/>
                <w:sz w:val="28"/>
                <w:szCs w:val="28"/>
              </w:rPr>
              <w:t>Financial-Innovation Cycle</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226ABF" w14:textId="77777777" w:rsidR="007D79B2" w:rsidRPr="004C5A9C" w:rsidRDefault="007D79B2"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2</w:t>
            </w:r>
          </w:p>
        </w:tc>
      </w:tr>
      <w:tr w:rsidR="000C27D5" w:rsidRPr="004C5A9C" w14:paraId="19D2F8BD"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B6E27B"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تفسّر إعادة توزيع الأدوار بين ساما وهيئة السوق المالية والجهات السيبرانية عند ظهور نماذج مصرفية غير مألوفة.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1B6E83"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ترى أن النُّظم التنظيمية تتغيّر استجابة للضغوط التقنية والبيئية سعيًا لاكتساب شرعية وكفاءة.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6B6BA8"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النظرية المؤسّسية الجديدة للحوكمة التنظيمية (</w:t>
            </w:r>
            <w:r w:rsidRPr="004C5A9C">
              <w:rPr>
                <w:rFonts w:ascii="Sakkal Majalla" w:hAnsi="Sakkal Majalla" w:cs="Sakkal Majalla"/>
                <w:color w:val="000000" w:themeColor="text1"/>
                <w:sz w:val="28"/>
                <w:szCs w:val="28"/>
              </w:rPr>
              <w:t>New Institutional Theory</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0E0498" w14:textId="77777777" w:rsidR="007D79B2" w:rsidRPr="004C5A9C" w:rsidRDefault="007D79B2"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3</w:t>
            </w:r>
          </w:p>
        </w:tc>
      </w:tr>
      <w:tr w:rsidR="000C27D5" w:rsidRPr="004C5A9C" w14:paraId="0170AD56"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9D2301"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تساعد في تحليل مخاطر التقلب اللحظي للسيولة عند تداول رموز (</w:t>
            </w:r>
            <w:r w:rsidRPr="004C5A9C">
              <w:rPr>
                <w:rFonts w:ascii="Sakkal Majalla" w:hAnsi="Sakkal Majalla" w:cs="Sakkal Majalla"/>
                <w:color w:val="000000" w:themeColor="text1"/>
                <w:sz w:val="28"/>
                <w:szCs w:val="28"/>
              </w:rPr>
              <w:t>Tokens</w:t>
            </w:r>
            <w:r w:rsidRPr="004C5A9C">
              <w:rPr>
                <w:rFonts w:ascii="Sakkal Majalla" w:hAnsi="Sakkal Majalla" w:cs="Sakkal Majalla"/>
                <w:color w:val="000000" w:themeColor="text1"/>
                <w:sz w:val="28"/>
                <w:szCs w:val="28"/>
                <w:rtl/>
              </w:rPr>
              <w:t>) مرتبطة بكيانات مصرفية غير خاضعة لرقابة مباشرة.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54CDFC"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تفترض أنّ الأسعار تعكس كل المعلومات المتاحة فورًا؛ ومع المنصّات اللامركزية تصبح المعلومة عامة ولكنها قد تكون غير مُفلتَرة رقابيًّا.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6EF03F"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نظرية كفاءة الأسواق المالية (</w:t>
            </w:r>
            <w:r w:rsidRPr="004C5A9C">
              <w:rPr>
                <w:rFonts w:ascii="Sakkal Majalla" w:hAnsi="Sakkal Majalla" w:cs="Sakkal Majalla"/>
                <w:color w:val="000000" w:themeColor="text1"/>
                <w:sz w:val="28"/>
                <w:szCs w:val="28"/>
              </w:rPr>
              <w:t>EMH</w:t>
            </w:r>
            <w:r w:rsidRPr="004C5A9C">
              <w:rPr>
                <w:rFonts w:ascii="Sakkal Majalla" w:hAnsi="Sakkal Majalla" w:cs="Sakkal Majalla"/>
                <w:color w:val="000000" w:themeColor="text1"/>
                <w:sz w:val="28"/>
                <w:szCs w:val="28"/>
                <w:rtl/>
              </w:rPr>
              <w:t>) في ثوبها الرقمي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038776" w14:textId="77777777" w:rsidR="007D79B2" w:rsidRPr="004C5A9C" w:rsidRDefault="007D79B2"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4</w:t>
            </w:r>
          </w:p>
        </w:tc>
      </w:tr>
      <w:tr w:rsidR="000C27D5" w:rsidRPr="004C5A9C" w14:paraId="60672236"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B66C45"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تُوظَّف لشرح استعداد العملاء والشركات لتبنّي الخدمات الرقمية الخاضعة للترخيص مقابل منصّات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xml:space="preserve"> المجهولة الهوية.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647D78"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يقيس بُعدا: إدراك المنفعة، وإدراك سهولة الاستخدام، لتوقّع نوايا المستخدمين تجاه التكنولوجيا الجديدة.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2E20D6"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نظرية اعتماد التكنولوجيا وقبولها (</w:t>
            </w:r>
            <w:r w:rsidRPr="004C5A9C">
              <w:rPr>
                <w:rFonts w:ascii="Sakkal Majalla" w:hAnsi="Sakkal Majalla" w:cs="Sakkal Majalla"/>
                <w:color w:val="000000" w:themeColor="text1"/>
                <w:sz w:val="28"/>
                <w:szCs w:val="28"/>
              </w:rPr>
              <w:t>TAM</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AE8D14" w14:textId="77777777" w:rsidR="007D79B2" w:rsidRPr="004C5A9C" w:rsidRDefault="007D79B2"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5</w:t>
            </w:r>
          </w:p>
        </w:tc>
      </w:tr>
      <w:tr w:rsidR="000C27D5" w:rsidRPr="004C5A9C" w14:paraId="454FBCE3"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F986BAC"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تدعم تصميم مصفوفة الجاهزية التنظيمية التي تقيس ستة أبعاد (التشريع، البنية التحتية، البيانات، التنسيق، الكفاءات،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67A191"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تفترض أن التوازن بين الابتكار والحماية يتحقّق بوجود بنية تشريعية تُمكِّن الجهات الرقابية من النفاذ اللحظي للبيانات وتحليلها.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AE09B9"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نظرية الحوكمة المالية الرقمية (</w:t>
            </w:r>
            <w:r w:rsidRPr="004C5A9C">
              <w:rPr>
                <w:rFonts w:ascii="Sakkal Majalla" w:hAnsi="Sakkal Majalla" w:cs="Sakkal Majalla"/>
                <w:color w:val="000000" w:themeColor="text1"/>
                <w:sz w:val="28"/>
                <w:szCs w:val="28"/>
              </w:rPr>
              <w:t>Digital-Financial-Governance</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B7D413" w14:textId="77777777" w:rsidR="007D79B2" w:rsidRPr="004C5A9C" w:rsidRDefault="007D79B2"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6</w:t>
            </w:r>
          </w:p>
        </w:tc>
      </w:tr>
      <w:tr w:rsidR="000C27D5" w:rsidRPr="004C5A9C" w14:paraId="3641193B" w14:textId="77777777">
        <w:trPr>
          <w:divId w:val="74051992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0E1E18"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توضح كيف يمكن لتبنّي تقنيات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 xml:space="preserve"> أن يُقلِّل فجوة المعلومات بين البنوك الرقمية والجهات الرقابية، ويحدّ من مخاطر الوكالة.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A53916"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تُبرز تضارب المصالح بين المشرِّع، والمُشرَف عليه، والمستهلك النهائي.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8BEDF1"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نظرية الوكالة في الإشراف المالي (</w:t>
            </w:r>
            <w:r w:rsidRPr="004C5A9C">
              <w:rPr>
                <w:rFonts w:ascii="Sakkal Majalla" w:hAnsi="Sakkal Majalla" w:cs="Sakkal Majalla"/>
                <w:color w:val="000000" w:themeColor="text1"/>
                <w:sz w:val="28"/>
                <w:szCs w:val="28"/>
              </w:rPr>
              <w:t>Supervisory Agency Theory</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F33EE12" w14:textId="77777777" w:rsidR="007D79B2" w:rsidRPr="004C5A9C" w:rsidRDefault="007D79B2"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7</w:t>
            </w:r>
          </w:p>
        </w:tc>
      </w:tr>
    </w:tbl>
    <w:p w14:paraId="7AE430AF" w14:textId="77777777" w:rsidR="007D79B2" w:rsidRDefault="007D79B2" w:rsidP="00BE7B2A">
      <w:pPr>
        <w:spacing w:line="360" w:lineRule="auto"/>
        <w:rPr>
          <w:rFonts w:ascii="Sakkal Majalla" w:hAnsi="Sakkal Majalla" w:cs="Sakkal Majalla"/>
          <w:color w:val="000000" w:themeColor="text1"/>
          <w:sz w:val="28"/>
          <w:szCs w:val="28"/>
          <w:rtl/>
        </w:rPr>
      </w:pPr>
    </w:p>
    <w:p w14:paraId="42749295" w14:textId="77777777" w:rsidR="00BE7B2A" w:rsidRPr="004C5A9C" w:rsidRDefault="00BE7B2A" w:rsidP="00BE7B2A">
      <w:pPr>
        <w:spacing w:line="360" w:lineRule="auto"/>
        <w:rPr>
          <w:rFonts w:ascii="Sakkal Majalla" w:hAnsi="Sakkal Majalla" w:cs="Sakkal Majalla"/>
          <w:color w:val="000000" w:themeColor="text1"/>
          <w:sz w:val="28"/>
          <w:szCs w:val="28"/>
          <w:rtl/>
        </w:rPr>
      </w:pPr>
    </w:p>
    <w:p w14:paraId="1F2C9D57" w14:textId="77777777" w:rsidR="007D79B2"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lastRenderedPageBreak/>
        <w:t>تكامل النظريات مع فروض الدراسة</w:t>
      </w:r>
    </w:p>
    <w:p w14:paraId="0D9CDE83" w14:textId="6230C3FF" w:rsidR="007D79B2" w:rsidRPr="004C5A9C" w:rsidRDefault="007D79B2" w:rsidP="00BE7B2A">
      <w:pPr>
        <w:pStyle w:val="a5"/>
        <w:numPr>
          <w:ilvl w:val="0"/>
          <w:numId w:val="13"/>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التحوّل الرقمي + دورة الابتكار</w:t>
      </w:r>
      <w:r w:rsidRPr="004C5A9C">
        <w:rPr>
          <w:rFonts w:ascii="Sakkal Majalla" w:hAnsi="Sakkal Majalla" w:cs="Sakkal Majalla"/>
          <w:color w:val="000000" w:themeColor="text1"/>
          <w:sz w:val="28"/>
          <w:szCs w:val="28"/>
          <w:rtl/>
        </w:rPr>
        <w:t xml:space="preserve">  </w:t>
      </w:r>
      <w:r w:rsidRPr="004C5A9C">
        <w:rPr>
          <w:rFonts w:ascii="Cambria Math" w:hAnsi="Cambria Math" w:cs="Cambria Math" w:hint="cs"/>
          <w:color w:val="000000" w:themeColor="text1"/>
          <w:sz w:val="28"/>
          <w:szCs w:val="28"/>
          <w:rtl/>
        </w:rPr>
        <w:t>⟶</w:t>
      </w:r>
      <w:r w:rsidRPr="004C5A9C">
        <w:rPr>
          <w:rFonts w:ascii="Sakkal Majalla" w:hAnsi="Sakkal Majalla" w:cs="Sakkal Majalla"/>
          <w:color w:val="000000" w:themeColor="text1"/>
          <w:sz w:val="28"/>
          <w:szCs w:val="28"/>
          <w:rtl/>
        </w:rPr>
        <w:t xml:space="preserve"> صياغة الفرض </w:t>
      </w:r>
      <w:r w:rsidRPr="004C5A9C">
        <w:rPr>
          <w:rFonts w:ascii="Sakkal Majalla" w:hAnsi="Sakkal Majalla" w:cs="Sakkal Majalla"/>
          <w:b/>
          <w:bCs/>
          <w:color w:val="000000" w:themeColor="text1"/>
          <w:sz w:val="28"/>
          <w:szCs w:val="28"/>
        </w:rPr>
        <w:t>H1</w:t>
      </w:r>
      <w:r w:rsidRPr="004C5A9C">
        <w:rPr>
          <w:rFonts w:ascii="Sakkal Majalla" w:hAnsi="Sakkal Majalla" w:cs="Sakkal Majalla"/>
          <w:color w:val="000000" w:themeColor="text1"/>
          <w:sz w:val="28"/>
          <w:szCs w:val="28"/>
          <w:rtl/>
        </w:rPr>
        <w:t xml:space="preserve"> حول اختلاف بروفايل المخاطر بين النماذج.</w:t>
      </w:r>
    </w:p>
    <w:p w14:paraId="5610FB24" w14:textId="172118D0" w:rsidR="007D79B2" w:rsidRPr="004C5A9C" w:rsidRDefault="007D79B2" w:rsidP="00BE7B2A">
      <w:pPr>
        <w:pStyle w:val="a5"/>
        <w:numPr>
          <w:ilvl w:val="0"/>
          <w:numId w:val="13"/>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الحوكمة الرقمية + النظرية المؤسّسية</w:t>
      </w:r>
      <w:r w:rsidRPr="004C5A9C">
        <w:rPr>
          <w:rFonts w:ascii="Sakkal Majalla" w:hAnsi="Sakkal Majalla" w:cs="Sakkal Majalla"/>
          <w:color w:val="000000" w:themeColor="text1"/>
          <w:sz w:val="28"/>
          <w:szCs w:val="28"/>
          <w:rtl/>
        </w:rPr>
        <w:t xml:space="preserve">  </w:t>
      </w:r>
      <w:r w:rsidRPr="004C5A9C">
        <w:rPr>
          <w:rFonts w:ascii="Cambria Math" w:hAnsi="Cambria Math" w:cs="Cambria Math" w:hint="cs"/>
          <w:color w:val="000000" w:themeColor="text1"/>
          <w:sz w:val="28"/>
          <w:szCs w:val="28"/>
          <w:rtl/>
        </w:rPr>
        <w:t>⟶</w:t>
      </w:r>
      <w:r w:rsidRPr="004C5A9C">
        <w:rPr>
          <w:rFonts w:ascii="Sakkal Majalla" w:hAnsi="Sakkal Majalla" w:cs="Sakkal Majalla"/>
          <w:color w:val="000000" w:themeColor="text1"/>
          <w:sz w:val="28"/>
          <w:szCs w:val="28"/>
          <w:rtl/>
        </w:rPr>
        <w:t xml:space="preserve"> الفرض </w:t>
      </w:r>
      <w:r w:rsidRPr="004C5A9C">
        <w:rPr>
          <w:rFonts w:ascii="Sakkal Majalla" w:hAnsi="Sakkal Majalla" w:cs="Sakkal Majalla"/>
          <w:b/>
          <w:bCs/>
          <w:color w:val="000000" w:themeColor="text1"/>
          <w:sz w:val="28"/>
          <w:szCs w:val="28"/>
        </w:rPr>
        <w:t>H2</w:t>
      </w:r>
      <w:r w:rsidRPr="004C5A9C">
        <w:rPr>
          <w:rFonts w:ascii="Sakkal Majalla" w:hAnsi="Sakkal Majalla" w:cs="Sakkal Majalla"/>
          <w:color w:val="000000" w:themeColor="text1"/>
          <w:sz w:val="28"/>
          <w:szCs w:val="28"/>
          <w:rtl/>
        </w:rPr>
        <w:t xml:space="preserve"> المتعلّق بأثر الجاهزية التنظيمية في فعالية الرقابة.</w:t>
      </w:r>
    </w:p>
    <w:p w14:paraId="647F6CB7" w14:textId="3CCB0391" w:rsidR="007D79B2" w:rsidRPr="004C5A9C" w:rsidRDefault="007D79B2" w:rsidP="00BE7B2A">
      <w:pPr>
        <w:pStyle w:val="a5"/>
        <w:numPr>
          <w:ilvl w:val="0"/>
          <w:numId w:val="13"/>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 xml:space="preserve">وكالة الإشراف + </w:t>
      </w:r>
      <w:r w:rsidRPr="004C5A9C">
        <w:rPr>
          <w:rFonts w:ascii="Sakkal Majalla" w:hAnsi="Sakkal Majalla" w:cs="Sakkal Majalla"/>
          <w:b/>
          <w:bCs/>
          <w:color w:val="000000" w:themeColor="text1"/>
          <w:sz w:val="28"/>
          <w:szCs w:val="28"/>
        </w:rPr>
        <w:t>EMH</w:t>
      </w:r>
      <w:r w:rsidRPr="004C5A9C">
        <w:rPr>
          <w:rFonts w:ascii="Sakkal Majalla" w:hAnsi="Sakkal Majalla" w:cs="Sakkal Majalla"/>
          <w:color w:val="000000" w:themeColor="text1"/>
          <w:sz w:val="28"/>
          <w:szCs w:val="28"/>
          <w:rtl/>
        </w:rPr>
        <w:t xml:space="preserve">  </w:t>
      </w:r>
      <w:r w:rsidRPr="004C5A9C">
        <w:rPr>
          <w:rFonts w:ascii="Cambria Math" w:hAnsi="Cambria Math" w:cs="Cambria Math" w:hint="cs"/>
          <w:color w:val="000000" w:themeColor="text1"/>
          <w:sz w:val="28"/>
          <w:szCs w:val="28"/>
          <w:rtl/>
        </w:rPr>
        <w:t>⟶</w:t>
      </w:r>
      <w:r w:rsidRPr="004C5A9C">
        <w:rPr>
          <w:rFonts w:ascii="Sakkal Majalla" w:hAnsi="Sakkal Majalla" w:cs="Sakkal Majalla"/>
          <w:color w:val="000000" w:themeColor="text1"/>
          <w:sz w:val="28"/>
          <w:szCs w:val="28"/>
          <w:rtl/>
        </w:rPr>
        <w:t xml:space="preserve"> الفرض </w:t>
      </w:r>
      <w:r w:rsidRPr="004C5A9C">
        <w:rPr>
          <w:rFonts w:ascii="Sakkal Majalla" w:hAnsi="Sakkal Majalla" w:cs="Sakkal Majalla"/>
          <w:b/>
          <w:bCs/>
          <w:color w:val="000000" w:themeColor="text1"/>
          <w:sz w:val="28"/>
          <w:szCs w:val="28"/>
        </w:rPr>
        <w:t>H3/H5</w:t>
      </w:r>
      <w:r w:rsidRPr="004C5A9C">
        <w:rPr>
          <w:rFonts w:ascii="Sakkal Majalla" w:hAnsi="Sakkal Majalla" w:cs="Sakkal Majalla"/>
          <w:color w:val="000000" w:themeColor="text1"/>
          <w:sz w:val="28"/>
          <w:szCs w:val="28"/>
          <w:rtl/>
        </w:rPr>
        <w:t xml:space="preserve"> بشأن دور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 xml:space="preserve"> والتنـسيق المؤسّسي في الاستقرار المالي.</w:t>
      </w:r>
    </w:p>
    <w:p w14:paraId="077AA41E" w14:textId="1F8CE182" w:rsidR="007D79B2" w:rsidRPr="004C5A9C" w:rsidRDefault="007D79B2" w:rsidP="00BE7B2A">
      <w:pPr>
        <w:pStyle w:val="a5"/>
        <w:numPr>
          <w:ilvl w:val="0"/>
          <w:numId w:val="13"/>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Pr>
        <w:t>TAM</w:t>
      </w:r>
      <w:r w:rsidRPr="004C5A9C">
        <w:rPr>
          <w:rFonts w:ascii="Sakkal Majalla" w:hAnsi="Sakkal Majalla" w:cs="Sakkal Majalla"/>
          <w:color w:val="000000" w:themeColor="text1"/>
          <w:sz w:val="28"/>
          <w:szCs w:val="28"/>
          <w:rtl/>
        </w:rPr>
        <w:t xml:space="preserve">  </w:t>
      </w:r>
      <w:r w:rsidRPr="004C5A9C">
        <w:rPr>
          <w:rFonts w:ascii="Cambria Math" w:hAnsi="Cambria Math" w:cs="Cambria Math" w:hint="cs"/>
          <w:color w:val="000000" w:themeColor="text1"/>
          <w:sz w:val="28"/>
          <w:szCs w:val="28"/>
          <w:rtl/>
        </w:rPr>
        <w:t>⟶</w:t>
      </w:r>
      <w:r w:rsidRPr="004C5A9C">
        <w:rPr>
          <w:rFonts w:ascii="Sakkal Majalla" w:hAnsi="Sakkal Majalla" w:cs="Sakkal Majalla"/>
          <w:color w:val="000000" w:themeColor="text1"/>
          <w:sz w:val="28"/>
          <w:szCs w:val="28"/>
          <w:rtl/>
        </w:rPr>
        <w:t xml:space="preserve"> الفرض </w:t>
      </w:r>
      <w:r w:rsidRPr="004C5A9C">
        <w:rPr>
          <w:rFonts w:ascii="Sakkal Majalla" w:hAnsi="Sakkal Majalla" w:cs="Sakkal Majalla"/>
          <w:b/>
          <w:bCs/>
          <w:color w:val="000000" w:themeColor="text1"/>
          <w:sz w:val="28"/>
          <w:szCs w:val="28"/>
        </w:rPr>
        <w:t>H4</w:t>
      </w:r>
      <w:r w:rsidRPr="004C5A9C">
        <w:rPr>
          <w:rFonts w:ascii="Sakkal Majalla" w:hAnsi="Sakkal Majalla" w:cs="Sakkal Majalla"/>
          <w:color w:val="000000" w:themeColor="text1"/>
          <w:sz w:val="28"/>
          <w:szCs w:val="28"/>
          <w:rtl/>
        </w:rPr>
        <w:t xml:space="preserve"> الخاص بتأثير البنوك الرقمية المركزية و</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 xml:space="preserve"> على الشمول المالي وتكلفة التحويلات.</w:t>
      </w:r>
    </w:p>
    <w:p w14:paraId="05E99513" w14:textId="07C2572B" w:rsidR="002841BA" w:rsidRPr="004C5A9C" w:rsidRDefault="007D79B2"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بهذه المنطلقات النظرية تتبنّى الدراسة منظورًا متعدد الأبعاد يجمع بين التقنية والاقتصاد والمؤسسية، ويوفّر أساسًا علميًّا لاختبار الفروض وتحليل النتائج في السياق السعودي.</w:t>
      </w:r>
    </w:p>
    <w:p w14:paraId="47FFEC20" w14:textId="77777777" w:rsidR="009A6685" w:rsidRPr="004C5A9C" w:rsidRDefault="009A6685" w:rsidP="00BE7B2A">
      <w:pPr>
        <w:spacing w:after="0" w:line="360" w:lineRule="auto"/>
        <w:divId w:val="1417439727"/>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rtl/>
        </w:rPr>
        <w:t>1-9 المنهجيّة وطرق البحث</w:t>
      </w:r>
    </w:p>
    <w:p w14:paraId="0EA40FBA" w14:textId="4119AB88"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1-9-1 تصميم الدراسة</w:t>
      </w:r>
    </w:p>
    <w:p w14:paraId="4F4417BA" w14:textId="08A57265"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تم اعتماد نهج وصفي-تحليلي مقارن (</w:t>
      </w:r>
      <w:r w:rsidRPr="004C5A9C">
        <w:rPr>
          <w:rFonts w:ascii="Sakkal Majalla" w:hAnsi="Sakkal Majalla" w:cs="Sakkal Majalla"/>
          <w:color w:val="000000" w:themeColor="text1"/>
          <w:sz w:val="28"/>
          <w:szCs w:val="28"/>
        </w:rPr>
        <w:t>Descriptive–Analytical Comparative</w:t>
      </w:r>
      <w:r w:rsidRPr="004C5A9C">
        <w:rPr>
          <w:rFonts w:ascii="Sakkal Majalla" w:hAnsi="Sakkal Majalla" w:cs="Sakkal Majalla"/>
          <w:color w:val="000000" w:themeColor="text1"/>
          <w:sz w:val="28"/>
          <w:szCs w:val="28"/>
          <w:rtl/>
        </w:rPr>
        <w:t>) مدعّم بأسلوب البحث المختلط (</w:t>
      </w:r>
      <w:r w:rsidRPr="004C5A9C">
        <w:rPr>
          <w:rFonts w:ascii="Sakkal Majalla" w:hAnsi="Sakkal Majalla" w:cs="Sakkal Majalla"/>
          <w:color w:val="000000" w:themeColor="text1"/>
          <w:sz w:val="28"/>
          <w:szCs w:val="28"/>
        </w:rPr>
        <w:t>Mixed-Methods</w:t>
      </w:r>
      <w:r w:rsidRPr="004C5A9C">
        <w:rPr>
          <w:rFonts w:ascii="Sakkal Majalla" w:hAnsi="Sakkal Majalla" w:cs="Sakkal Majalla"/>
          <w:color w:val="000000" w:themeColor="text1"/>
          <w:sz w:val="28"/>
          <w:szCs w:val="28"/>
          <w:rtl/>
        </w:rPr>
        <w:t>) الذي يجمع بين البيانات الكمية والنوعية لتحقيق نظرة شاملة إلى أثر نماذج البنوك الرقمية المركزية واللامركزية على الشركاء التنظيميّين في المملكة العربية السعودية.</w:t>
      </w:r>
    </w:p>
    <w:p w14:paraId="024F1922"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1-9-2 منهجـيات فرعيـة</w:t>
      </w:r>
    </w:p>
    <w:tbl>
      <w:tblPr>
        <w:tblW w:w="0" w:type="auto"/>
        <w:tblCellMar>
          <w:left w:w="0" w:type="dxa"/>
          <w:right w:w="0" w:type="dxa"/>
        </w:tblCellMar>
        <w:tblLook w:val="04A0" w:firstRow="1" w:lastRow="0" w:firstColumn="1" w:lastColumn="0" w:noHBand="0" w:noVBand="1"/>
      </w:tblPr>
      <w:tblGrid>
        <w:gridCol w:w="3316"/>
        <w:gridCol w:w="4025"/>
        <w:gridCol w:w="1475"/>
      </w:tblGrid>
      <w:tr w:rsidR="000C27D5" w:rsidRPr="004C5A9C" w14:paraId="12C1AFF8"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83E9AC"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تطبيقها في الدراسة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A8276D"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الغرض</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FD7D6E"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المنهجيّة</w:t>
            </w:r>
          </w:p>
        </w:tc>
      </w:tr>
      <w:tr w:rsidR="000C27D5" w:rsidRPr="004C5A9C" w14:paraId="3BFEFC00"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8869C1"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إعداد جداول مقارنة، مؤشرات مخاطر، مصفوفة جاهزية تنظيمية.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4DCE7B"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وصف خصائص كل نموذج (مركزي/لامركزي) وتحليل بروفايل المخاطر التنظيمية.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F71574"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 الوصفي التحليلي</w:t>
            </w:r>
          </w:p>
        </w:tc>
      </w:tr>
      <w:tr w:rsidR="000C27D5" w:rsidRPr="004C5A9C" w14:paraId="034BFF62"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166551"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مقارنة تشريعات ساما مع متطلبات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وتحليل فجوات الإشراف.</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399BAF"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إبراز الفروق الجوهرية في الأثر الرقابي والاقتصادي بين النموذجين.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165872"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 المقارن</w:t>
            </w:r>
          </w:p>
        </w:tc>
      </w:tr>
      <w:tr w:rsidR="000C27D5" w:rsidRPr="004C5A9C" w14:paraId="55B89EF4"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9110A5"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استنتاج مسارات سياساتية من نتائج الاستبيانات والمقابلات.</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384CB4"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استنتاج أنماط عامة من بيانات كمية ونوعية.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E38029"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 الاستقرائي</w:t>
            </w:r>
          </w:p>
        </w:tc>
      </w:tr>
      <w:tr w:rsidR="000C27D5" w:rsidRPr="004C5A9C" w14:paraId="51E77B0D"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B6CC6F"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استبيان إلكتروني، تحليل تباين وانحدار، نمذجة </w:t>
            </w:r>
            <w:r w:rsidRPr="004C5A9C">
              <w:rPr>
                <w:rFonts w:ascii="Sakkal Majalla" w:hAnsi="Sakkal Majalla" w:cs="Sakkal Majalla"/>
                <w:color w:val="000000" w:themeColor="text1"/>
                <w:sz w:val="28"/>
                <w:szCs w:val="28"/>
              </w:rPr>
              <w:t>SEM</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CD9757"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اختبار الفروض إحصائياً.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33B65A"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البحث الكمي</w:t>
            </w:r>
          </w:p>
        </w:tc>
      </w:tr>
      <w:tr w:rsidR="000C27D5" w:rsidRPr="004C5A9C" w14:paraId="0C76C2A7"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689231"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مقابلات شبه مهيكلة مع مسؤولي الرقابة والمدفوعات وخبراء </w:t>
            </w:r>
            <w:r w:rsidRPr="004C5A9C">
              <w:rPr>
                <w:rFonts w:ascii="Sakkal Majalla" w:hAnsi="Sakkal Majalla" w:cs="Sakkal Majalla"/>
                <w:color w:val="000000" w:themeColor="text1"/>
                <w:sz w:val="28"/>
                <w:szCs w:val="28"/>
              </w:rPr>
              <w:t>FinTech</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BD2DEE"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تعميق فهم السياق التنظيمي.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97CBEA"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البحث النوعي</w:t>
            </w:r>
          </w:p>
        </w:tc>
      </w:tr>
    </w:tbl>
    <w:p w14:paraId="6CB6B6AF" w14:textId="77777777" w:rsidR="004C5A9C" w:rsidRDefault="004C5A9C" w:rsidP="00BE7B2A">
      <w:pPr>
        <w:spacing w:line="360" w:lineRule="auto"/>
        <w:rPr>
          <w:rFonts w:ascii="Sakkal Majalla" w:hAnsi="Sakkal Majalla" w:cs="Sakkal Majalla"/>
          <w:color w:val="000000" w:themeColor="text1"/>
          <w:sz w:val="28"/>
          <w:szCs w:val="28"/>
          <w:rtl/>
        </w:rPr>
      </w:pPr>
    </w:p>
    <w:p w14:paraId="3CFFB773" w14:textId="16FFC1B3" w:rsidR="004C5A9C"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1-9-3 مجتمع الدراسة وعينتها</w:t>
      </w:r>
    </w:p>
    <w:tbl>
      <w:tblPr>
        <w:tblW w:w="0" w:type="auto"/>
        <w:tblCellMar>
          <w:left w:w="0" w:type="dxa"/>
          <w:right w:w="0" w:type="dxa"/>
        </w:tblCellMar>
        <w:tblLook w:val="04A0" w:firstRow="1" w:lastRow="0" w:firstColumn="1" w:lastColumn="0" w:noHBand="0" w:noVBand="1"/>
      </w:tblPr>
      <w:tblGrid>
        <w:gridCol w:w="7784"/>
        <w:gridCol w:w="1032"/>
      </w:tblGrid>
      <w:tr w:rsidR="000C27D5" w:rsidRPr="004C5A9C" w14:paraId="32A910EF"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B6C7F4"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التوضيح</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21BEFF"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البُعد</w:t>
            </w:r>
          </w:p>
        </w:tc>
      </w:tr>
      <w:tr w:rsidR="000C27D5" w:rsidRPr="004C5A9C" w14:paraId="3788CCFB"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FB6191"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جميع الجهات التنظيميّة والرقابية السعودية ذات الصلة (ساما، هيئة السوق المالية، وحدة التحريات المالية، الهيئة الوطنية للأمن السيبراني، وشركات البنية التحتية للمدفوعات).</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DAA8C1"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المجتمع الأصلي</w:t>
            </w:r>
          </w:p>
        </w:tc>
      </w:tr>
      <w:tr w:rsidR="000C27D5" w:rsidRPr="004C5A9C" w14:paraId="51FBCEBB"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2C7CFF"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عينة قصدية من ≈ 120 موظفاً في المستويات التنفيذية والرقابية، يُتوقَّع استرجاع ≈ 90 استبانة صالحة للتحليل (نسبة استجابة 75 %).</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C404E0"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العينة الكمية</w:t>
            </w:r>
          </w:p>
        </w:tc>
      </w:tr>
      <w:tr w:rsidR="000C27D5" w:rsidRPr="004C5A9C" w14:paraId="6F3BA310"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36AF1B"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15 مقابلة معمّقة مع قيادات تنظيمية وخبراء بنوك رقمية ومطوري حلول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E86A1E"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العينة النوعية</w:t>
            </w:r>
          </w:p>
        </w:tc>
      </w:tr>
    </w:tbl>
    <w:p w14:paraId="31F68AF9" w14:textId="77777777" w:rsidR="00E16E0A" w:rsidRPr="004C5A9C" w:rsidRDefault="00E16E0A" w:rsidP="00BE7B2A">
      <w:pPr>
        <w:spacing w:line="360" w:lineRule="auto"/>
        <w:rPr>
          <w:rFonts w:ascii="Sakkal Majalla" w:hAnsi="Sakkal Majalla" w:cs="Sakkal Majalla"/>
          <w:color w:val="000000" w:themeColor="text1"/>
          <w:sz w:val="28"/>
          <w:szCs w:val="28"/>
          <w:rtl/>
        </w:rPr>
      </w:pPr>
    </w:p>
    <w:p w14:paraId="5A3E2ED9"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1-9-4 أدوات جمع البيانات</w:t>
      </w:r>
    </w:p>
    <w:p w14:paraId="1E98241C" w14:textId="52E18F8D" w:rsidR="00E16E0A" w:rsidRPr="004C5A9C" w:rsidRDefault="00E16E0A" w:rsidP="00BE7B2A">
      <w:pPr>
        <w:pStyle w:val="a5"/>
        <w:numPr>
          <w:ilvl w:val="0"/>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استبانة إلكترونية مكوّنة من أربعة أقسام:</w:t>
      </w:r>
    </w:p>
    <w:p w14:paraId="4DAE0184" w14:textId="2C78AEFB" w:rsidR="00E16E0A" w:rsidRPr="004C5A9C" w:rsidRDefault="00E16E0A" w:rsidP="00BE7B2A">
      <w:pPr>
        <w:pStyle w:val="a5"/>
        <w:numPr>
          <w:ilvl w:val="2"/>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السمات الديموغرافية والمهنية.</w:t>
      </w:r>
    </w:p>
    <w:p w14:paraId="277CF966" w14:textId="6DF57FC5" w:rsidR="00E16E0A" w:rsidRPr="004C5A9C" w:rsidRDefault="00E16E0A" w:rsidP="00BE7B2A">
      <w:pPr>
        <w:pStyle w:val="a5"/>
        <w:numPr>
          <w:ilvl w:val="2"/>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مؤشر الجاهزية التنظيمية (6 أبعاد × 5 بنود لكل بُعد).</w:t>
      </w:r>
    </w:p>
    <w:p w14:paraId="00788CBC" w14:textId="63A30152" w:rsidR="00E16E0A" w:rsidRPr="004C5A9C" w:rsidRDefault="00E16E0A" w:rsidP="00BE7B2A">
      <w:pPr>
        <w:pStyle w:val="a5"/>
        <w:numPr>
          <w:ilvl w:val="2"/>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مقاييس المخاطر الاحترازية والسيولة والأمن السيبراني.</w:t>
      </w:r>
    </w:p>
    <w:p w14:paraId="2BBBB122" w14:textId="55F02B0D" w:rsidR="00E16E0A" w:rsidRPr="004C5A9C" w:rsidRDefault="00E16E0A" w:rsidP="00BE7B2A">
      <w:pPr>
        <w:pStyle w:val="a5"/>
        <w:numPr>
          <w:ilvl w:val="2"/>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تقدير أثر الابتكار على الشمول المالي والاستقرار.</w:t>
      </w:r>
    </w:p>
    <w:p w14:paraId="5A873EF7" w14:textId="5272A03B" w:rsidR="00E16E0A" w:rsidRPr="004C5A9C" w:rsidRDefault="00E16E0A" w:rsidP="00BE7B2A">
      <w:pPr>
        <w:pStyle w:val="a5"/>
        <w:numPr>
          <w:ilvl w:val="0"/>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دليل مقابلات شبه مهيكل يغطّي:</w:t>
      </w:r>
    </w:p>
    <w:p w14:paraId="1187785E" w14:textId="011F0BC8" w:rsidR="00E16E0A" w:rsidRPr="004C5A9C" w:rsidRDefault="00E16E0A" w:rsidP="00BE7B2A">
      <w:pPr>
        <w:pStyle w:val="a5"/>
        <w:numPr>
          <w:ilvl w:val="2"/>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التحديات الرقابية اللحظية.</w:t>
      </w:r>
    </w:p>
    <w:p w14:paraId="152155DD" w14:textId="03FD2FF7" w:rsidR="00E16E0A" w:rsidRPr="004C5A9C" w:rsidRDefault="00E16E0A" w:rsidP="00BE7B2A">
      <w:pPr>
        <w:pStyle w:val="a5"/>
        <w:numPr>
          <w:ilvl w:val="2"/>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آليات التنسيق بين الجهات.</w:t>
      </w:r>
    </w:p>
    <w:p w14:paraId="3AE7BD1A" w14:textId="28B9AAF5" w:rsidR="00E16E0A" w:rsidRPr="004C5A9C" w:rsidRDefault="00E16E0A" w:rsidP="00BE7B2A">
      <w:pPr>
        <w:pStyle w:val="a5"/>
        <w:numPr>
          <w:ilvl w:val="2"/>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خطط تبنّي تقنيات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 xml:space="preserve"> و</w:t>
      </w:r>
      <w:r w:rsidRPr="004C5A9C">
        <w:rPr>
          <w:rFonts w:ascii="Sakkal Majalla" w:hAnsi="Sakkal Majalla" w:cs="Sakkal Majalla"/>
          <w:color w:val="000000" w:themeColor="text1"/>
          <w:sz w:val="28"/>
          <w:szCs w:val="28"/>
        </w:rPr>
        <w:t>Chain-Analytics</w:t>
      </w:r>
      <w:r w:rsidRPr="004C5A9C">
        <w:rPr>
          <w:rFonts w:ascii="Sakkal Majalla" w:hAnsi="Sakkal Majalla" w:cs="Sakkal Majalla"/>
          <w:color w:val="000000" w:themeColor="text1"/>
          <w:sz w:val="28"/>
          <w:szCs w:val="28"/>
          <w:rtl/>
        </w:rPr>
        <w:t>.</w:t>
      </w:r>
    </w:p>
    <w:p w14:paraId="674E62AA" w14:textId="0B42D333" w:rsidR="00E16E0A" w:rsidRPr="004C5A9C" w:rsidRDefault="00E16E0A" w:rsidP="00BE7B2A">
      <w:pPr>
        <w:pStyle w:val="a5"/>
        <w:numPr>
          <w:ilvl w:val="0"/>
          <w:numId w:val="14"/>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مصادر ثانوية: تقارير ساما، </w:t>
      </w:r>
      <w:r w:rsidRPr="004C5A9C">
        <w:rPr>
          <w:rFonts w:ascii="Sakkal Majalla" w:hAnsi="Sakkal Majalla" w:cs="Sakkal Majalla"/>
          <w:color w:val="000000" w:themeColor="text1"/>
          <w:sz w:val="28"/>
          <w:szCs w:val="28"/>
        </w:rPr>
        <w:t>BIS، IMF</w:t>
      </w:r>
      <w:r w:rsidRPr="004C5A9C">
        <w:rPr>
          <w:rFonts w:ascii="Sakkal Majalla" w:hAnsi="Sakkal Majalla" w:cs="Sakkal Majalla"/>
          <w:color w:val="000000" w:themeColor="text1"/>
          <w:sz w:val="28"/>
          <w:szCs w:val="28"/>
          <w:rtl/>
        </w:rPr>
        <w:t>، بيانات المدفوعات (</w:t>
      </w:r>
      <w:r w:rsidRPr="004C5A9C">
        <w:rPr>
          <w:rFonts w:ascii="Sakkal Majalla" w:hAnsi="Sakkal Majalla" w:cs="Sakkal Majalla"/>
          <w:i/>
          <w:iCs/>
          <w:color w:val="000000" w:themeColor="text1"/>
          <w:sz w:val="28"/>
          <w:szCs w:val="28"/>
        </w:rPr>
        <w:t>sarīe</w:t>
      </w:r>
      <w:r w:rsidRPr="004C5A9C">
        <w:rPr>
          <w:rFonts w:ascii="Sakkal Majalla" w:hAnsi="Sakkal Majalla" w:cs="Sakkal Majalla"/>
          <w:color w:val="000000" w:themeColor="text1"/>
          <w:sz w:val="28"/>
          <w:szCs w:val="28"/>
        </w:rPr>
        <w:t xml:space="preserve">، </w:t>
      </w:r>
      <w:r w:rsidRPr="004C5A9C">
        <w:rPr>
          <w:rFonts w:ascii="Sakkal Majalla" w:hAnsi="Sakkal Majalla" w:cs="Sakkal Majalla"/>
          <w:i/>
          <w:iCs/>
          <w:color w:val="000000" w:themeColor="text1"/>
          <w:sz w:val="28"/>
          <w:szCs w:val="28"/>
        </w:rPr>
        <w:t>esal</w:t>
      </w:r>
      <w:r w:rsidRPr="004C5A9C">
        <w:rPr>
          <w:rFonts w:ascii="Sakkal Majalla" w:hAnsi="Sakkal Majalla" w:cs="Sakkal Majalla"/>
          <w:color w:val="000000" w:themeColor="text1"/>
          <w:sz w:val="28"/>
          <w:szCs w:val="28"/>
          <w:rtl/>
        </w:rPr>
        <w:t>)، لوائح هيئة السوق المالية.</w:t>
      </w:r>
    </w:p>
    <w:p w14:paraId="452BF3E4" w14:textId="77777777" w:rsidR="00E16E0A" w:rsidRPr="004C5A9C" w:rsidRDefault="00E16E0A" w:rsidP="00BE7B2A">
      <w:pPr>
        <w:spacing w:line="360" w:lineRule="auto"/>
        <w:rPr>
          <w:rFonts w:ascii="Sakkal Majalla" w:hAnsi="Sakkal Majalla" w:cs="Sakkal Majalla"/>
          <w:color w:val="000000" w:themeColor="text1"/>
          <w:sz w:val="28"/>
          <w:szCs w:val="28"/>
          <w:rtl/>
        </w:rPr>
      </w:pPr>
    </w:p>
    <w:p w14:paraId="42384D64"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1-9-5 صلاحية وثبات الأدوات</w:t>
      </w:r>
    </w:p>
    <w:p w14:paraId="04FDCDD3" w14:textId="7BD789A6" w:rsidR="00E16E0A" w:rsidRPr="004C5A9C" w:rsidRDefault="00E16E0A" w:rsidP="00BE7B2A">
      <w:pPr>
        <w:pStyle w:val="a5"/>
        <w:numPr>
          <w:ilvl w:val="2"/>
          <w:numId w:val="15"/>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تم عرض الاستبانة على خمسة محكّمين أكاديميين للتأكد من محتواها.</w:t>
      </w:r>
    </w:p>
    <w:p w14:paraId="17CDB8A0" w14:textId="5B31D7C2" w:rsidR="00E16E0A" w:rsidRPr="004C5A9C" w:rsidRDefault="00E16E0A" w:rsidP="00BE7B2A">
      <w:pPr>
        <w:pStyle w:val="a5"/>
        <w:numPr>
          <w:ilvl w:val="2"/>
          <w:numId w:val="15"/>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حُسِب معامل الاتساق الداخلي (</w:t>
      </w:r>
      <w:r w:rsidRPr="004C5A9C">
        <w:rPr>
          <w:rFonts w:ascii="Sakkal Majalla" w:hAnsi="Sakkal Majalla" w:cs="Sakkal Majalla"/>
          <w:color w:val="000000" w:themeColor="text1"/>
          <w:sz w:val="28"/>
          <w:szCs w:val="28"/>
        </w:rPr>
        <w:t xml:space="preserve">Cronbach’s </w:t>
      </w:r>
      <w:r w:rsidRPr="004C5A9C">
        <w:rPr>
          <w:rFonts w:ascii="Cambria" w:hAnsi="Cambria" w:cs="Cambria"/>
          <w:color w:val="000000" w:themeColor="text1"/>
          <w:sz w:val="28"/>
          <w:szCs w:val="28"/>
        </w:rPr>
        <w:t>α</w:t>
      </w:r>
      <w:r w:rsidRPr="004C5A9C">
        <w:rPr>
          <w:rFonts w:ascii="Sakkal Majalla" w:hAnsi="Sakkal Majalla" w:cs="Sakkal Majalla"/>
          <w:color w:val="000000" w:themeColor="text1"/>
          <w:sz w:val="28"/>
          <w:szCs w:val="28"/>
        </w:rPr>
        <w:t>)</w:t>
      </w:r>
      <w:r w:rsidRPr="004C5A9C">
        <w:rPr>
          <w:rFonts w:ascii="Sakkal Majalla" w:hAnsi="Sakkal Majalla" w:cs="Sakkal Majalla"/>
          <w:color w:val="000000" w:themeColor="text1"/>
          <w:sz w:val="28"/>
          <w:szCs w:val="28"/>
          <w:rtl/>
        </w:rPr>
        <w:t>؛ القيم المستهدفة ≥ 0.80 لكل محور.</w:t>
      </w:r>
    </w:p>
    <w:p w14:paraId="4A30829A" w14:textId="0AA0D6A2" w:rsidR="00E16E0A" w:rsidRPr="004C5A9C" w:rsidRDefault="00E16E0A" w:rsidP="00BE7B2A">
      <w:pPr>
        <w:pStyle w:val="a5"/>
        <w:numPr>
          <w:ilvl w:val="2"/>
          <w:numId w:val="15"/>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تم إجراء اختبار تمهيدي (</w:t>
      </w:r>
      <w:r w:rsidRPr="004C5A9C">
        <w:rPr>
          <w:rFonts w:ascii="Sakkal Majalla" w:hAnsi="Sakkal Majalla" w:cs="Sakkal Majalla"/>
          <w:color w:val="000000" w:themeColor="text1"/>
          <w:sz w:val="28"/>
          <w:szCs w:val="28"/>
        </w:rPr>
        <w:t>Pilot</w:t>
      </w:r>
      <w:r w:rsidRPr="004C5A9C">
        <w:rPr>
          <w:rFonts w:ascii="Sakkal Majalla" w:hAnsi="Sakkal Majalla" w:cs="Sakkal Majalla"/>
          <w:color w:val="000000" w:themeColor="text1"/>
          <w:sz w:val="28"/>
          <w:szCs w:val="28"/>
          <w:rtl/>
        </w:rPr>
        <w:t>) على 15 مفردة لضبط الصياغة وحساب ثبات الإعادة (</w:t>
      </w:r>
      <w:r w:rsidRPr="004C5A9C">
        <w:rPr>
          <w:rFonts w:ascii="Sakkal Majalla" w:hAnsi="Sakkal Majalla" w:cs="Sakkal Majalla"/>
          <w:color w:val="000000" w:themeColor="text1"/>
          <w:sz w:val="28"/>
          <w:szCs w:val="28"/>
        </w:rPr>
        <w:t>Test–Retest</w:t>
      </w:r>
      <w:r w:rsidRPr="004C5A9C">
        <w:rPr>
          <w:rFonts w:ascii="Sakkal Majalla" w:hAnsi="Sakkal Majalla" w:cs="Sakkal Majalla"/>
          <w:color w:val="000000" w:themeColor="text1"/>
          <w:sz w:val="28"/>
          <w:szCs w:val="28"/>
          <w:rtl/>
        </w:rPr>
        <w:t>).</w:t>
      </w:r>
    </w:p>
    <w:p w14:paraId="420F3BCA" w14:textId="77777777" w:rsidR="00E16E0A" w:rsidRPr="004C5A9C" w:rsidRDefault="00E16E0A" w:rsidP="00BE7B2A">
      <w:pPr>
        <w:spacing w:line="360" w:lineRule="auto"/>
        <w:rPr>
          <w:rFonts w:ascii="Sakkal Majalla" w:hAnsi="Sakkal Majalla" w:cs="Sakkal Majalla"/>
          <w:color w:val="000000" w:themeColor="text1"/>
          <w:sz w:val="28"/>
          <w:szCs w:val="28"/>
          <w:rtl/>
        </w:rPr>
      </w:pPr>
    </w:p>
    <w:p w14:paraId="5D759929"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1-9-6 أساليب تحليل البيانات</w:t>
      </w:r>
    </w:p>
    <w:tbl>
      <w:tblPr>
        <w:tblW w:w="0" w:type="auto"/>
        <w:tblCellMar>
          <w:left w:w="0" w:type="dxa"/>
          <w:right w:w="0" w:type="dxa"/>
        </w:tblCellMar>
        <w:tblLook w:val="04A0" w:firstRow="1" w:lastRow="0" w:firstColumn="1" w:lastColumn="0" w:noHBand="0" w:noVBand="1"/>
      </w:tblPr>
      <w:tblGrid>
        <w:gridCol w:w="1649"/>
        <w:gridCol w:w="6248"/>
        <w:gridCol w:w="919"/>
      </w:tblGrid>
      <w:tr w:rsidR="000C27D5" w:rsidRPr="004C5A9C" w14:paraId="3CE12E1B"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819F80"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البرنامج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D0B0AB"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التقنية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164851"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نوع البيانات</w:t>
            </w:r>
          </w:p>
        </w:tc>
      </w:tr>
      <w:tr w:rsidR="000C27D5" w:rsidRPr="004C5A9C" w14:paraId="22C55CC2"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B2A41E" w14:textId="77777777" w:rsidR="00E16E0A" w:rsidRPr="004C5A9C" w:rsidRDefault="00E16E0A"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Pr>
              <w:t>SPSS 29، AMOS</w:t>
            </w:r>
            <w:r w:rsidRPr="004C5A9C">
              <w:rPr>
                <w:rFonts w:ascii="Sakkal Majalla" w:hAnsi="Sakkal Majalla" w:cs="Sakkal Majalla"/>
                <w:color w:val="000000" w:themeColor="text1"/>
                <w:sz w:val="28"/>
                <w:szCs w:val="28"/>
                <w:rtl/>
              </w:rPr>
              <w:t xml:space="preserve"> أو </w:t>
            </w:r>
            <w:r w:rsidRPr="004C5A9C">
              <w:rPr>
                <w:rFonts w:ascii="Sakkal Majalla" w:hAnsi="Sakkal Majalla" w:cs="Sakkal Majalla"/>
                <w:color w:val="000000" w:themeColor="text1"/>
                <w:sz w:val="28"/>
                <w:szCs w:val="28"/>
              </w:rPr>
              <w:t>Smart-PLS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4ED25D"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إحصاء وصفي (متوسطات، انحراف معياري)، تحليل التباين (</w:t>
            </w:r>
            <w:r w:rsidRPr="004C5A9C">
              <w:rPr>
                <w:rFonts w:ascii="Sakkal Majalla" w:hAnsi="Sakkal Majalla" w:cs="Sakkal Majalla"/>
                <w:color w:val="000000" w:themeColor="text1"/>
                <w:sz w:val="28"/>
                <w:szCs w:val="28"/>
              </w:rPr>
              <w:t>ANOVA</w:t>
            </w:r>
            <w:r w:rsidRPr="004C5A9C">
              <w:rPr>
                <w:rFonts w:ascii="Sakkal Majalla" w:hAnsi="Sakkal Majalla" w:cs="Sakkal Majalla"/>
                <w:color w:val="000000" w:themeColor="text1"/>
                <w:sz w:val="28"/>
                <w:szCs w:val="28"/>
                <w:rtl/>
              </w:rPr>
              <w:t>)، انحدار متعدّد، نمذجة معادلات هيكلية (</w:t>
            </w:r>
            <w:r w:rsidRPr="004C5A9C">
              <w:rPr>
                <w:rFonts w:ascii="Sakkal Majalla" w:hAnsi="Sakkal Majalla" w:cs="Sakkal Majalla"/>
                <w:color w:val="000000" w:themeColor="text1"/>
                <w:sz w:val="28"/>
                <w:szCs w:val="28"/>
              </w:rPr>
              <w:t>SEM</w:t>
            </w:r>
            <w:r w:rsidRPr="004C5A9C">
              <w:rPr>
                <w:rFonts w:ascii="Sakkal Majalla" w:hAnsi="Sakkal Majalla" w:cs="Sakkal Majalla"/>
                <w:color w:val="000000" w:themeColor="text1"/>
                <w:sz w:val="28"/>
                <w:szCs w:val="28"/>
                <w:rtl/>
              </w:rPr>
              <w:t>) لاختبار الفروض الرئيسة والفرعية.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E90DDB"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كميّة</w:t>
            </w:r>
          </w:p>
        </w:tc>
      </w:tr>
      <w:tr w:rsidR="000C27D5" w:rsidRPr="004C5A9C" w14:paraId="1A8A8056"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843BEC" w14:textId="77777777" w:rsidR="00E16E0A" w:rsidRPr="004C5A9C" w:rsidRDefault="00E16E0A"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Pr>
              <w:t>NVivo</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FB7E1C"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تحليل موضوعي (</w:t>
            </w:r>
            <w:r w:rsidRPr="004C5A9C">
              <w:rPr>
                <w:rFonts w:ascii="Sakkal Majalla" w:hAnsi="Sakkal Majalla" w:cs="Sakkal Majalla"/>
                <w:color w:val="000000" w:themeColor="text1"/>
                <w:sz w:val="28"/>
                <w:szCs w:val="28"/>
              </w:rPr>
              <w:t>Thematic Analysis</w:t>
            </w:r>
            <w:r w:rsidRPr="004C5A9C">
              <w:rPr>
                <w:rFonts w:ascii="Sakkal Majalla" w:hAnsi="Sakkal Majalla" w:cs="Sakkal Majalla"/>
                <w:color w:val="000000" w:themeColor="text1"/>
                <w:sz w:val="28"/>
                <w:szCs w:val="28"/>
                <w:rtl/>
              </w:rPr>
              <w:t xml:space="preserve">) وفق خطوات </w:t>
            </w:r>
            <w:r w:rsidRPr="004C5A9C">
              <w:rPr>
                <w:rFonts w:ascii="Sakkal Majalla" w:hAnsi="Sakkal Majalla" w:cs="Sakkal Majalla"/>
                <w:color w:val="000000" w:themeColor="text1"/>
                <w:sz w:val="28"/>
                <w:szCs w:val="28"/>
              </w:rPr>
              <w:t>Braun &amp; Clarke</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21ECE8"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نوعيّة</w:t>
            </w:r>
          </w:p>
        </w:tc>
      </w:tr>
    </w:tbl>
    <w:p w14:paraId="59690652" w14:textId="77777777" w:rsidR="00E16E0A" w:rsidRPr="004C5A9C" w:rsidRDefault="00E16E0A" w:rsidP="00BE7B2A">
      <w:pPr>
        <w:spacing w:line="360" w:lineRule="auto"/>
        <w:rPr>
          <w:rFonts w:ascii="Sakkal Majalla" w:hAnsi="Sakkal Majalla" w:cs="Sakkal Majalla"/>
          <w:color w:val="000000" w:themeColor="text1"/>
          <w:sz w:val="28"/>
          <w:szCs w:val="28"/>
          <w:rtl/>
        </w:rPr>
      </w:pPr>
    </w:p>
    <w:p w14:paraId="2D246782"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1-9-7 الإجراءات التنفيذية</w:t>
      </w:r>
    </w:p>
    <w:p w14:paraId="68A3B965" w14:textId="3883EC72" w:rsidR="00E16E0A" w:rsidRPr="004C5A9C" w:rsidRDefault="00E16E0A" w:rsidP="00BE7B2A">
      <w:pPr>
        <w:pStyle w:val="a5"/>
        <w:numPr>
          <w:ilvl w:val="0"/>
          <w:numId w:val="16"/>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الحصول على موافقات رسمية من الجهات المستهدَفة.</w:t>
      </w:r>
    </w:p>
    <w:p w14:paraId="6C0C495B" w14:textId="7BAE23F3" w:rsidR="00E16E0A" w:rsidRPr="004C5A9C" w:rsidRDefault="00E16E0A" w:rsidP="00BE7B2A">
      <w:pPr>
        <w:pStyle w:val="a5"/>
        <w:numPr>
          <w:ilvl w:val="0"/>
          <w:numId w:val="16"/>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توزيع الاستبانات عبر البريد المؤسسي مع رابط </w:t>
      </w:r>
      <w:r w:rsidRPr="004C5A9C">
        <w:rPr>
          <w:rFonts w:ascii="Sakkal Majalla" w:hAnsi="Sakkal Majalla" w:cs="Sakkal Majalla"/>
          <w:color w:val="000000" w:themeColor="text1"/>
          <w:sz w:val="28"/>
          <w:szCs w:val="28"/>
        </w:rPr>
        <w:t>Google Forms</w:t>
      </w:r>
      <w:r w:rsidRPr="004C5A9C">
        <w:rPr>
          <w:rFonts w:ascii="Sakkal Majalla" w:hAnsi="Sakkal Majalla" w:cs="Sakkal Majalla"/>
          <w:color w:val="000000" w:themeColor="text1"/>
          <w:sz w:val="28"/>
          <w:szCs w:val="28"/>
          <w:rtl/>
        </w:rPr>
        <w:t xml:space="preserve"> الآمن.</w:t>
      </w:r>
    </w:p>
    <w:p w14:paraId="2E6716F4" w14:textId="00E6ACBE" w:rsidR="00E16E0A" w:rsidRPr="004C5A9C" w:rsidRDefault="00E16E0A" w:rsidP="00BE7B2A">
      <w:pPr>
        <w:pStyle w:val="a5"/>
        <w:numPr>
          <w:ilvl w:val="0"/>
          <w:numId w:val="16"/>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جدولة المقابلات عبر منصّة </w:t>
      </w:r>
      <w:r w:rsidRPr="004C5A9C">
        <w:rPr>
          <w:rFonts w:ascii="Sakkal Majalla" w:hAnsi="Sakkal Majalla" w:cs="Sakkal Majalla"/>
          <w:color w:val="000000" w:themeColor="text1"/>
          <w:sz w:val="28"/>
          <w:szCs w:val="28"/>
        </w:rPr>
        <w:t>Webex</w:t>
      </w:r>
      <w:r w:rsidRPr="004C5A9C">
        <w:rPr>
          <w:rFonts w:ascii="Sakkal Majalla" w:hAnsi="Sakkal Majalla" w:cs="Sakkal Majalla"/>
          <w:color w:val="000000" w:themeColor="text1"/>
          <w:sz w:val="28"/>
          <w:szCs w:val="28"/>
          <w:rtl/>
        </w:rPr>
        <w:t xml:space="preserve"> وتسجيلها بعد موافقة المشاركين.</w:t>
      </w:r>
    </w:p>
    <w:p w14:paraId="43E861E3" w14:textId="1B10BCE3" w:rsidR="00E16E0A" w:rsidRPr="004C5A9C" w:rsidRDefault="00E16E0A" w:rsidP="00BE7B2A">
      <w:pPr>
        <w:pStyle w:val="a5"/>
        <w:numPr>
          <w:ilvl w:val="0"/>
          <w:numId w:val="16"/>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ترميز المقابلات وتفريغها، ثم دمج النتائج النوعية مع النتائج الكمية في مرحلة المناقشة (</w:t>
      </w:r>
      <w:r w:rsidRPr="004C5A9C">
        <w:rPr>
          <w:rFonts w:ascii="Sakkal Majalla" w:hAnsi="Sakkal Majalla" w:cs="Sakkal Majalla"/>
          <w:color w:val="000000" w:themeColor="text1"/>
          <w:sz w:val="28"/>
          <w:szCs w:val="28"/>
        </w:rPr>
        <w:t>Triangulation</w:t>
      </w:r>
      <w:r w:rsidRPr="004C5A9C">
        <w:rPr>
          <w:rFonts w:ascii="Sakkal Majalla" w:hAnsi="Sakkal Majalla" w:cs="Sakkal Majalla"/>
          <w:color w:val="000000" w:themeColor="text1"/>
          <w:sz w:val="28"/>
          <w:szCs w:val="28"/>
          <w:rtl/>
        </w:rPr>
        <w:t>).</w:t>
      </w:r>
    </w:p>
    <w:p w14:paraId="450013BC" w14:textId="77777777" w:rsidR="00E16E0A" w:rsidRPr="004C5A9C" w:rsidRDefault="00E16E0A" w:rsidP="00BE7B2A">
      <w:pPr>
        <w:spacing w:line="360" w:lineRule="auto"/>
        <w:rPr>
          <w:rFonts w:ascii="Sakkal Majalla" w:hAnsi="Sakkal Majalla" w:cs="Sakkal Majalla"/>
          <w:color w:val="000000" w:themeColor="text1"/>
          <w:sz w:val="28"/>
          <w:szCs w:val="28"/>
          <w:rtl/>
        </w:rPr>
      </w:pPr>
    </w:p>
    <w:p w14:paraId="2F01FE12"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1-9-8 الاعتبارات الأخلاقية</w:t>
      </w:r>
    </w:p>
    <w:p w14:paraId="7A7CCC28" w14:textId="2C793FA0" w:rsidR="00E16E0A" w:rsidRPr="004C5A9C" w:rsidRDefault="00E16E0A" w:rsidP="00BE7B2A">
      <w:pPr>
        <w:pStyle w:val="a5"/>
        <w:numPr>
          <w:ilvl w:val="2"/>
          <w:numId w:val="1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ضمان سرّية البيانات وعدم كشف هوية المشاركين.</w:t>
      </w:r>
    </w:p>
    <w:p w14:paraId="20B10FA5" w14:textId="46227B20" w:rsidR="00E16E0A" w:rsidRPr="004C5A9C" w:rsidRDefault="00E16E0A" w:rsidP="00BE7B2A">
      <w:pPr>
        <w:pStyle w:val="a5"/>
        <w:numPr>
          <w:ilvl w:val="2"/>
          <w:numId w:val="1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استخدام النتائج للأغراض الأكاديمية فقط.</w:t>
      </w:r>
    </w:p>
    <w:p w14:paraId="43B2032F" w14:textId="2931BFCB" w:rsidR="00E16E0A" w:rsidRPr="004C5A9C" w:rsidRDefault="00E16E0A" w:rsidP="00BE7B2A">
      <w:pPr>
        <w:pStyle w:val="a5"/>
        <w:numPr>
          <w:ilvl w:val="2"/>
          <w:numId w:val="17"/>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إتاحة خيار الانسحاب في أي مرحلة من مراحل المشاركة.</w:t>
      </w:r>
    </w:p>
    <w:p w14:paraId="1F30FE8A" w14:textId="77777777" w:rsidR="00E16E0A" w:rsidRPr="004C5A9C" w:rsidRDefault="00E16E0A" w:rsidP="00BE7B2A">
      <w:pPr>
        <w:spacing w:line="360" w:lineRule="auto"/>
        <w:rPr>
          <w:rFonts w:ascii="Sakkal Majalla" w:hAnsi="Sakkal Majalla" w:cs="Sakkal Majalla"/>
          <w:color w:val="000000" w:themeColor="text1"/>
          <w:sz w:val="28"/>
          <w:szCs w:val="28"/>
          <w:rtl/>
        </w:rPr>
      </w:pPr>
    </w:p>
    <w:p w14:paraId="35A1AD27"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1-9-9 حدود المنهجية</w:t>
      </w:r>
    </w:p>
    <w:tbl>
      <w:tblPr>
        <w:tblW w:w="0" w:type="auto"/>
        <w:tblCellMar>
          <w:left w:w="0" w:type="dxa"/>
          <w:right w:w="0" w:type="dxa"/>
        </w:tblCellMar>
        <w:tblLook w:val="04A0" w:firstRow="1" w:lastRow="0" w:firstColumn="1" w:lastColumn="0" w:noHBand="0" w:noVBand="1"/>
      </w:tblPr>
      <w:tblGrid>
        <w:gridCol w:w="6436"/>
        <w:gridCol w:w="1389"/>
      </w:tblGrid>
      <w:tr w:rsidR="000C27D5" w:rsidRPr="004C5A9C" w14:paraId="16EA90A8"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7C93C7"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تفسيره</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3DEE44"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حدّ</w:t>
            </w:r>
          </w:p>
        </w:tc>
      </w:tr>
      <w:tr w:rsidR="000C27D5" w:rsidRPr="004C5A9C" w14:paraId="38D6B1E9"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BC2A5D"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البيانات تُجمَع خلال النصف الثاني من عام 2025، ما قد لا يعكس تطورات لاحقة.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B20781"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زمني</w:t>
            </w:r>
          </w:p>
        </w:tc>
      </w:tr>
      <w:tr w:rsidR="000C27D5" w:rsidRPr="004C5A9C" w14:paraId="5BCEE707"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740D84"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التركيز على الجهات السعودية قد يحدّ من إمكانيّة التعميم دولياً.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373A93"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مكاني</w:t>
            </w:r>
          </w:p>
        </w:tc>
      </w:tr>
      <w:tr w:rsidR="000C27D5" w:rsidRPr="004C5A9C" w14:paraId="19C35AC3" w14:textId="77777777">
        <w:trPr>
          <w:divId w:val="667027595"/>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81D847"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بعض البنود تقيس تصورات شخصية قابلة للتحيّز الاجتماعي.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52E260" w14:textId="77777777" w:rsidR="00E16E0A" w:rsidRPr="004C5A9C" w:rsidRDefault="00E16E0A"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استجابات ذاتية</w:t>
            </w:r>
          </w:p>
        </w:tc>
      </w:tr>
    </w:tbl>
    <w:p w14:paraId="2CC9982E" w14:textId="42CB8927" w:rsidR="00441BC7" w:rsidRPr="004C5A9C" w:rsidRDefault="00DF5171" w:rsidP="00BE7B2A">
      <w:pPr>
        <w:spacing w:after="0" w:line="360" w:lineRule="auto"/>
        <w:divId w:val="1019313851"/>
        <w:rPr>
          <w:rFonts w:ascii="Sakkal Majalla" w:hAnsi="Sakkal Majalla" w:cs="Sakkal Majalla"/>
          <w:b/>
          <w:bCs/>
          <w:color w:val="000000" w:themeColor="text1"/>
          <w:sz w:val="32"/>
          <w:szCs w:val="32"/>
          <w:u w:val="single"/>
        </w:rPr>
      </w:pPr>
      <w:r w:rsidRPr="004C5A9C">
        <w:rPr>
          <w:rFonts w:ascii="Sakkal Majalla" w:hAnsi="Sakkal Majalla" w:cs="Sakkal Majalla"/>
          <w:b/>
          <w:bCs/>
          <w:color w:val="000000" w:themeColor="text1"/>
          <w:sz w:val="32"/>
          <w:szCs w:val="32"/>
          <w:u w:val="single"/>
          <w:rtl/>
        </w:rPr>
        <w:t>1-10</w:t>
      </w:r>
      <w:r w:rsidR="00B741FC" w:rsidRPr="004C5A9C">
        <w:rPr>
          <w:rFonts w:ascii="Sakkal Majalla" w:hAnsi="Sakkal Majalla" w:cs="Sakkal Majalla" w:hint="cs"/>
          <w:b/>
          <w:bCs/>
          <w:color w:val="000000" w:themeColor="text1"/>
          <w:sz w:val="32"/>
          <w:szCs w:val="32"/>
          <w:u w:val="single"/>
          <w:rtl/>
        </w:rPr>
        <w:t xml:space="preserve"> مصادر  البيانات</w:t>
      </w:r>
    </w:p>
    <w:p w14:paraId="2306A71C" w14:textId="77777777" w:rsidR="00E34B3E" w:rsidRPr="004C5A9C" w:rsidRDefault="00E34B3E" w:rsidP="00BE7B2A">
      <w:pPr>
        <w:spacing w:after="0" w:line="360" w:lineRule="auto"/>
        <w:divId w:val="1019313851"/>
        <w:rPr>
          <w:rFonts w:ascii="Sakkal Majalla" w:hAnsi="Sakkal Majalla" w:cs="Sakkal Majalla"/>
          <w:b/>
          <w:bCs/>
          <w:color w:val="000000" w:themeColor="text1"/>
          <w:sz w:val="28"/>
          <w:szCs w:val="28"/>
          <w:u w:val="single"/>
          <w:rtl/>
        </w:rPr>
      </w:pPr>
    </w:p>
    <w:p w14:paraId="4CDFF38D" w14:textId="77777777" w:rsidR="00441BC7" w:rsidRPr="004C5A9C" w:rsidRDefault="00441BC7" w:rsidP="00BE7B2A">
      <w:p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أولًا: المصادر الأوليّة (الميدانيّة)</w:t>
      </w:r>
    </w:p>
    <w:p w14:paraId="468F5611" w14:textId="01D0DE85" w:rsidR="00441BC7" w:rsidRPr="004C5A9C" w:rsidRDefault="00441BC7" w:rsidP="00BE7B2A">
      <w:pPr>
        <w:pStyle w:val="a5"/>
        <w:numPr>
          <w:ilvl w:val="0"/>
          <w:numId w:val="19"/>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الاستبانة الإلكترونية</w:t>
      </w:r>
    </w:p>
    <w:p w14:paraId="03E5AEF5" w14:textId="71BC9B2B" w:rsidR="00441BC7" w:rsidRPr="004C5A9C" w:rsidRDefault="00441BC7" w:rsidP="00BE7B2A">
      <w:pPr>
        <w:pStyle w:val="a5"/>
        <w:numPr>
          <w:ilvl w:val="0"/>
          <w:numId w:val="21"/>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 xml:space="preserve">تُوجَّه إلى موظفين وتنفيذيين في الجهات الرقابية السعودية: البنك المركزي السعودي (ساما)، هيئة السوق المالية، وحدة التحريات المالية، الهيئة الوطنية للأمن السيبراني، إضافة إلى مسؤولي شركات البنية التحتية للمدفوعات مثل مشغِّلي نظامَي </w:t>
      </w:r>
      <w:r w:rsidRPr="004C5A9C">
        <w:rPr>
          <w:rFonts w:ascii="Sakkal Majalla" w:hAnsi="Sakkal Majalla" w:cs="Sakkal Majalla"/>
          <w:i/>
          <w:iCs/>
          <w:color w:val="000000" w:themeColor="text1"/>
          <w:sz w:val="28"/>
          <w:szCs w:val="28"/>
        </w:rPr>
        <w:t>sarīe</w:t>
      </w:r>
      <w:r w:rsidRPr="004C5A9C">
        <w:rPr>
          <w:rFonts w:ascii="Sakkal Majalla" w:hAnsi="Sakkal Majalla" w:cs="Sakkal Majalla"/>
          <w:color w:val="000000" w:themeColor="text1"/>
          <w:sz w:val="28"/>
          <w:szCs w:val="28"/>
          <w:rtl/>
        </w:rPr>
        <w:t xml:space="preserve"> و</w:t>
      </w:r>
      <w:r w:rsidRPr="004C5A9C">
        <w:rPr>
          <w:rFonts w:ascii="Sakkal Majalla" w:hAnsi="Sakkal Majalla" w:cs="Sakkal Majalla"/>
          <w:i/>
          <w:iCs/>
          <w:color w:val="000000" w:themeColor="text1"/>
          <w:sz w:val="28"/>
          <w:szCs w:val="28"/>
        </w:rPr>
        <w:t>esal</w:t>
      </w:r>
      <w:r w:rsidRPr="004C5A9C">
        <w:rPr>
          <w:rFonts w:ascii="Sakkal Majalla" w:hAnsi="Sakkal Majalla" w:cs="Sakkal Majalla"/>
          <w:color w:val="000000" w:themeColor="text1"/>
          <w:sz w:val="28"/>
          <w:szCs w:val="28"/>
          <w:rtl/>
        </w:rPr>
        <w:t>.</w:t>
      </w:r>
    </w:p>
    <w:p w14:paraId="1D75AC3F" w14:textId="155FE5C9" w:rsidR="00441BC7" w:rsidRPr="004C5A9C" w:rsidRDefault="00441BC7" w:rsidP="00BE7B2A">
      <w:pPr>
        <w:pStyle w:val="a5"/>
        <w:numPr>
          <w:ilvl w:val="0"/>
          <w:numId w:val="21"/>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تهدف إلى قياس مستوى الجاهزية التنظيمية، ورصد تقديرات المخاطر الاحترازية والسيولة والأمن السيبراني، وكذلك جمع آراء المشاركين حول تأثير الابتكار الرقمي في الشمول المالي والاستقرار النظامي.</w:t>
      </w:r>
    </w:p>
    <w:p w14:paraId="465DAC0D" w14:textId="3167227E" w:rsidR="00441BC7" w:rsidRPr="004C5A9C" w:rsidRDefault="00441BC7" w:rsidP="00BE7B2A">
      <w:pPr>
        <w:pStyle w:val="a5"/>
        <w:numPr>
          <w:ilvl w:val="0"/>
          <w:numId w:val="19"/>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المقابلات شبه المهيكلة</w:t>
      </w:r>
    </w:p>
    <w:p w14:paraId="129E4D49" w14:textId="310C8A22" w:rsidR="00441BC7" w:rsidRPr="004C5A9C" w:rsidRDefault="00441BC7" w:rsidP="00BE7B2A">
      <w:pPr>
        <w:pStyle w:val="a5"/>
        <w:numPr>
          <w:ilvl w:val="0"/>
          <w:numId w:val="22"/>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تُجرى مع قيادات رقابية وخبراء في البنوك الرقمية، ومطوّري أدوات الإشراف اللحظي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 وتحليلات البلوكشين.</w:t>
      </w:r>
    </w:p>
    <w:p w14:paraId="6671E50C" w14:textId="64242988" w:rsidR="00441BC7" w:rsidRPr="004C5A9C" w:rsidRDefault="00441BC7" w:rsidP="00BE7B2A">
      <w:pPr>
        <w:pStyle w:val="a5"/>
        <w:numPr>
          <w:ilvl w:val="0"/>
          <w:numId w:val="22"/>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تركز على استكشاف التحديات اليومية في الرقابة اللحظية، وفهم آليات التنسيق بين الجهات، والتعرّف إلى الخطط المستقبلية لتبنّي التقنيات التحليلية المتقدّمة.</w:t>
      </w:r>
    </w:p>
    <w:p w14:paraId="3A6CE330" w14:textId="77777777" w:rsidR="00441BC7" w:rsidRPr="004C5A9C" w:rsidRDefault="00441BC7" w:rsidP="00BE7B2A">
      <w:p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ثانيًا: المصادر الثانويّة (الوثائقيّة)</w:t>
      </w:r>
    </w:p>
    <w:p w14:paraId="7E547C81" w14:textId="135858D5" w:rsidR="00441BC7" w:rsidRPr="004C5A9C" w:rsidRDefault="00441BC7" w:rsidP="00BE7B2A">
      <w:pPr>
        <w:pStyle w:val="a5"/>
        <w:numPr>
          <w:ilvl w:val="0"/>
          <w:numId w:val="20"/>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تقارير البنك المركزي السعودي (</w:t>
      </w:r>
      <w:r w:rsidRPr="004C5A9C">
        <w:rPr>
          <w:rFonts w:ascii="Sakkal Majalla" w:hAnsi="Sakkal Majalla" w:cs="Sakkal Majalla"/>
          <w:color w:val="000000" w:themeColor="text1"/>
          <w:sz w:val="28"/>
          <w:szCs w:val="28"/>
        </w:rPr>
        <w:t>SAMA</w:t>
      </w:r>
      <w:r w:rsidRPr="004C5A9C">
        <w:rPr>
          <w:rFonts w:ascii="Sakkal Majalla" w:hAnsi="Sakkal Majalla" w:cs="Sakkal Majalla"/>
          <w:color w:val="000000" w:themeColor="text1"/>
          <w:sz w:val="28"/>
          <w:szCs w:val="28"/>
          <w:rtl/>
        </w:rPr>
        <w:t>)</w:t>
      </w:r>
    </w:p>
    <w:p w14:paraId="0A39596D" w14:textId="5B5E5E1F" w:rsidR="00441BC7" w:rsidRPr="004C5A9C" w:rsidRDefault="00441BC7" w:rsidP="00BE7B2A">
      <w:pPr>
        <w:pStyle w:val="a5"/>
        <w:numPr>
          <w:ilvl w:val="0"/>
          <w:numId w:val="23"/>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تشمل اللوائح التنظيمية للبنوك الرقمية، تقارير بيئة الساندبوكس، وإحصاءات المدفوعات الفورية.</w:t>
      </w:r>
    </w:p>
    <w:p w14:paraId="5528681D" w14:textId="593F599A" w:rsidR="00441BC7" w:rsidRPr="004C5A9C" w:rsidRDefault="00441BC7" w:rsidP="00BE7B2A">
      <w:pPr>
        <w:pStyle w:val="a5"/>
        <w:numPr>
          <w:ilvl w:val="0"/>
          <w:numId w:val="23"/>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تُستخدم لتحديد الإطار التشريعي المحلي وحجم المعاملات الرقمية الراهنة.</w:t>
      </w:r>
    </w:p>
    <w:p w14:paraId="0A2EFF40" w14:textId="34386FD4" w:rsidR="00441BC7" w:rsidRPr="004C5A9C" w:rsidRDefault="00441BC7" w:rsidP="00BE7B2A">
      <w:pPr>
        <w:pStyle w:val="a5"/>
        <w:numPr>
          <w:ilvl w:val="0"/>
          <w:numId w:val="20"/>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إصدارات بنك التسويات الدولية (</w:t>
      </w:r>
      <w:r w:rsidRPr="004C5A9C">
        <w:rPr>
          <w:rFonts w:ascii="Sakkal Majalla" w:hAnsi="Sakkal Majalla" w:cs="Sakkal Majalla"/>
          <w:color w:val="000000" w:themeColor="text1"/>
          <w:sz w:val="28"/>
          <w:szCs w:val="28"/>
        </w:rPr>
        <w:t>BIS</w:t>
      </w:r>
      <w:r w:rsidRPr="004C5A9C">
        <w:rPr>
          <w:rFonts w:ascii="Sakkal Majalla" w:hAnsi="Sakkal Majalla" w:cs="Sakkal Majalla"/>
          <w:color w:val="000000" w:themeColor="text1"/>
          <w:sz w:val="28"/>
          <w:szCs w:val="28"/>
          <w:rtl/>
        </w:rPr>
        <w:t>) وصندوق النقد الدولي (</w:t>
      </w:r>
      <w:r w:rsidRPr="004C5A9C">
        <w:rPr>
          <w:rFonts w:ascii="Sakkal Majalla" w:hAnsi="Sakkal Majalla" w:cs="Sakkal Majalla"/>
          <w:color w:val="000000" w:themeColor="text1"/>
          <w:sz w:val="28"/>
          <w:szCs w:val="28"/>
        </w:rPr>
        <w:t>IMF</w:t>
      </w:r>
      <w:r w:rsidRPr="004C5A9C">
        <w:rPr>
          <w:rFonts w:ascii="Sakkal Majalla" w:hAnsi="Sakkal Majalla" w:cs="Sakkal Majalla"/>
          <w:color w:val="000000" w:themeColor="text1"/>
          <w:sz w:val="28"/>
          <w:szCs w:val="28"/>
          <w:rtl/>
        </w:rPr>
        <w:t>)</w:t>
      </w:r>
    </w:p>
    <w:p w14:paraId="4802DE24" w14:textId="70C05880" w:rsidR="00441BC7" w:rsidRPr="004C5A9C" w:rsidRDefault="00441BC7" w:rsidP="00BE7B2A">
      <w:pPr>
        <w:pStyle w:val="a5"/>
        <w:numPr>
          <w:ilvl w:val="0"/>
          <w:numId w:val="24"/>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تقدّم دراسات مقارنة حول عملات البنوك المركزية الرقمية (</w:t>
      </w:r>
      <w:r w:rsidRPr="004C5A9C">
        <w:rPr>
          <w:rFonts w:ascii="Sakkal Majalla" w:hAnsi="Sakkal Majalla" w:cs="Sakkal Majalla"/>
          <w:color w:val="000000" w:themeColor="text1"/>
          <w:sz w:val="28"/>
          <w:szCs w:val="28"/>
        </w:rPr>
        <w:t>CBDC</w:t>
      </w:r>
      <w:r w:rsidRPr="004C5A9C">
        <w:rPr>
          <w:rFonts w:ascii="Sakkal Majalla" w:hAnsi="Sakkal Majalla" w:cs="Sakkal Majalla"/>
          <w:color w:val="000000" w:themeColor="text1"/>
          <w:sz w:val="28"/>
          <w:szCs w:val="28"/>
          <w:rtl/>
        </w:rPr>
        <w:t>) وخيارات الاستقرار المالي واختبارات الضغط الرقابية.</w:t>
      </w:r>
    </w:p>
    <w:p w14:paraId="3110E525" w14:textId="239FE0C7" w:rsidR="00441BC7" w:rsidRPr="004C5A9C" w:rsidRDefault="00441BC7" w:rsidP="00BE7B2A">
      <w:pPr>
        <w:pStyle w:val="a5"/>
        <w:numPr>
          <w:ilvl w:val="0"/>
          <w:numId w:val="24"/>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تُفيد في وضع التجربة السعودية ضمن سياق دولي أوسع.</w:t>
      </w:r>
    </w:p>
    <w:p w14:paraId="70337CA7" w14:textId="4918547C" w:rsidR="00441BC7" w:rsidRPr="004C5A9C" w:rsidRDefault="00441BC7" w:rsidP="00BE7B2A">
      <w:pPr>
        <w:pStyle w:val="a5"/>
        <w:numPr>
          <w:ilvl w:val="0"/>
          <w:numId w:val="20"/>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لوائح وهيئة السوق المالية السعودية (</w:t>
      </w:r>
      <w:r w:rsidRPr="004C5A9C">
        <w:rPr>
          <w:rFonts w:ascii="Sakkal Majalla" w:hAnsi="Sakkal Majalla" w:cs="Sakkal Majalla"/>
          <w:color w:val="000000" w:themeColor="text1"/>
          <w:sz w:val="28"/>
          <w:szCs w:val="28"/>
        </w:rPr>
        <w:t>CMA</w:t>
      </w:r>
      <w:r w:rsidRPr="004C5A9C">
        <w:rPr>
          <w:rFonts w:ascii="Sakkal Majalla" w:hAnsi="Sakkal Majalla" w:cs="Sakkal Majalla"/>
          <w:color w:val="000000" w:themeColor="text1"/>
          <w:sz w:val="28"/>
          <w:szCs w:val="28"/>
          <w:rtl/>
        </w:rPr>
        <w:t>)</w:t>
      </w:r>
    </w:p>
    <w:p w14:paraId="02420610" w14:textId="57F1389C" w:rsidR="00441BC7" w:rsidRPr="004C5A9C" w:rsidRDefault="00441BC7" w:rsidP="00BE7B2A">
      <w:pPr>
        <w:pStyle w:val="a5"/>
        <w:numPr>
          <w:ilvl w:val="0"/>
          <w:numId w:val="25"/>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توفّر متطلبات الامتثال للأوراق المالية الرقمية وحماية المستثمرين.</w:t>
      </w:r>
    </w:p>
    <w:p w14:paraId="39EF3CCD" w14:textId="171CA633" w:rsidR="00441BC7" w:rsidRPr="004C5A9C" w:rsidRDefault="00441BC7" w:rsidP="00BE7B2A">
      <w:pPr>
        <w:pStyle w:val="a5"/>
        <w:numPr>
          <w:ilvl w:val="0"/>
          <w:numId w:val="25"/>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تُساعد في تحليل مدى اتساق التشريعات المصرفية مع تشريعات السوق المالية.</w:t>
      </w:r>
    </w:p>
    <w:p w14:paraId="29FC45AA" w14:textId="7B05FD28" w:rsidR="00441BC7" w:rsidRPr="004C5A9C" w:rsidRDefault="00441BC7" w:rsidP="00BE7B2A">
      <w:pPr>
        <w:pStyle w:val="a5"/>
        <w:numPr>
          <w:ilvl w:val="0"/>
          <w:numId w:val="20"/>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وثائق رؤية المملكة 2030 وبرنامج تطوير القطاع المالي (</w:t>
      </w:r>
      <w:r w:rsidRPr="004C5A9C">
        <w:rPr>
          <w:rFonts w:ascii="Sakkal Majalla" w:hAnsi="Sakkal Majalla" w:cs="Sakkal Majalla"/>
          <w:color w:val="000000" w:themeColor="text1"/>
          <w:sz w:val="28"/>
          <w:szCs w:val="28"/>
        </w:rPr>
        <w:t>FSDP</w:t>
      </w:r>
      <w:r w:rsidRPr="004C5A9C">
        <w:rPr>
          <w:rFonts w:ascii="Sakkal Majalla" w:hAnsi="Sakkal Majalla" w:cs="Sakkal Majalla"/>
          <w:color w:val="000000" w:themeColor="text1"/>
          <w:sz w:val="28"/>
          <w:szCs w:val="28"/>
          <w:rtl/>
        </w:rPr>
        <w:t>)</w:t>
      </w:r>
    </w:p>
    <w:p w14:paraId="4E095649" w14:textId="6A986510" w:rsidR="00441BC7" w:rsidRPr="004C5A9C" w:rsidRDefault="00441BC7" w:rsidP="00BE7B2A">
      <w:pPr>
        <w:pStyle w:val="a5"/>
        <w:numPr>
          <w:ilvl w:val="0"/>
          <w:numId w:val="26"/>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تبيّن مستهدفات التحول الرقمي، ومنها رفع نسبة المدفوعات غير النقدية إلى 70٪.</w:t>
      </w:r>
    </w:p>
    <w:p w14:paraId="57400BF4" w14:textId="402D2A3B" w:rsidR="00441BC7" w:rsidRPr="004C5A9C" w:rsidRDefault="00441BC7" w:rsidP="00BE7B2A">
      <w:pPr>
        <w:pStyle w:val="a5"/>
        <w:numPr>
          <w:ilvl w:val="0"/>
          <w:numId w:val="26"/>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تتيح مواءمة أهداف الدراسة مع التوجه الوطني.</w:t>
      </w:r>
    </w:p>
    <w:p w14:paraId="4F177CE3" w14:textId="60F4D978" w:rsidR="00441BC7" w:rsidRPr="004C5A9C" w:rsidRDefault="00441BC7" w:rsidP="00BE7B2A">
      <w:pPr>
        <w:pStyle w:val="a5"/>
        <w:numPr>
          <w:ilvl w:val="0"/>
          <w:numId w:val="20"/>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المنشورات الأكاديمية المحكمة في مجالات التقنيات المالية والحوكمة التنظيمية</w:t>
      </w:r>
    </w:p>
    <w:p w14:paraId="531EE3DC" w14:textId="68CD803D" w:rsidR="00441BC7" w:rsidRPr="004C5A9C" w:rsidRDefault="00441BC7" w:rsidP="00BE7B2A">
      <w:pPr>
        <w:pStyle w:val="a5"/>
        <w:numPr>
          <w:ilvl w:val="0"/>
          <w:numId w:val="27"/>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تُستخدم لبناء الخلفية النظرية، ورصد الفجوات البحثية المتعلقة بدمج أدوات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 xml:space="preserve"> وتحليلات السلاسل في بيئات الإشراف.</w:t>
      </w:r>
    </w:p>
    <w:p w14:paraId="63184F21" w14:textId="016D6A26" w:rsidR="00441BC7" w:rsidRPr="004C5A9C" w:rsidRDefault="00441BC7" w:rsidP="00BE7B2A">
      <w:pPr>
        <w:pStyle w:val="a5"/>
        <w:numPr>
          <w:ilvl w:val="0"/>
          <w:numId w:val="20"/>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إحصاءات نظم المدفوعات العالمية (مثل قاعدة بيانات المدفوعات العالمية لدى البنك الدولي)</w:t>
      </w:r>
    </w:p>
    <w:p w14:paraId="36A08785" w14:textId="167FEA8B" w:rsidR="00441BC7" w:rsidRPr="004C5A9C" w:rsidRDefault="00441BC7" w:rsidP="00BE7B2A">
      <w:pPr>
        <w:pStyle w:val="a5"/>
        <w:numPr>
          <w:ilvl w:val="0"/>
          <w:numId w:val="28"/>
        </w:numPr>
        <w:spacing w:line="360" w:lineRule="auto"/>
        <w:divId w:val="1019313851"/>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تتيح مؤشرات مقارنة إقليمية ودولية حول حجم المعاملات الرقمية وكفاءة الأنظمة الفورية.</w:t>
      </w:r>
    </w:p>
    <w:p w14:paraId="60C86971"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2E250C3F"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4894F1BC"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53BE003D"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3A8A8794"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207EA8AA"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7FAED561"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49623E24"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0FADA8DF"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31088BD3"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13779BF9"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230039B0"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76D19D95"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63DE97E2"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54C93FBF"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Pr>
      </w:pPr>
    </w:p>
    <w:p w14:paraId="1275F457" w14:textId="77777777" w:rsidR="00835085" w:rsidRPr="004C5A9C" w:rsidRDefault="00835085" w:rsidP="00BE7B2A">
      <w:pPr>
        <w:spacing w:after="0" w:line="360" w:lineRule="auto"/>
        <w:divId w:val="1019313851"/>
        <w:rPr>
          <w:rFonts w:ascii="Sakkal Majalla" w:hAnsi="Sakkal Majalla" w:cs="Sakkal Majalla"/>
          <w:b/>
          <w:bCs/>
          <w:color w:val="000000" w:themeColor="text1"/>
          <w:sz w:val="28"/>
          <w:szCs w:val="28"/>
          <w:u w:val="single"/>
          <w:rtl/>
        </w:rPr>
      </w:pPr>
    </w:p>
    <w:p w14:paraId="7C03D388" w14:textId="034434AB" w:rsidR="00DF5171" w:rsidRPr="004C5A9C" w:rsidRDefault="00835085" w:rsidP="00BE7B2A">
      <w:pPr>
        <w:spacing w:after="0" w:line="360" w:lineRule="auto"/>
        <w:divId w:val="1019313851"/>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lang w:val="en-GB"/>
        </w:rPr>
        <w:lastRenderedPageBreak/>
        <w:t>11-1</w:t>
      </w:r>
      <w:r w:rsidR="00B741FC" w:rsidRPr="004C5A9C">
        <w:rPr>
          <w:rFonts w:ascii="Sakkal Majalla" w:hAnsi="Sakkal Majalla" w:cs="Sakkal Majalla" w:hint="cs"/>
          <w:b/>
          <w:bCs/>
          <w:color w:val="000000" w:themeColor="text1"/>
          <w:sz w:val="32"/>
          <w:szCs w:val="32"/>
          <w:u w:val="single"/>
          <w:rtl/>
        </w:rPr>
        <w:t xml:space="preserve"> </w:t>
      </w:r>
      <w:r w:rsidR="00DF5171" w:rsidRPr="004C5A9C">
        <w:rPr>
          <w:rFonts w:ascii="Sakkal Majalla" w:hAnsi="Sakkal Majalla" w:cs="Sakkal Majalla"/>
          <w:b/>
          <w:bCs/>
          <w:color w:val="000000" w:themeColor="text1"/>
          <w:sz w:val="32"/>
          <w:szCs w:val="32"/>
          <w:u w:val="single"/>
          <w:rtl/>
        </w:rPr>
        <w:t xml:space="preserve"> أدوات الدراسة</w:t>
      </w:r>
    </w:p>
    <w:p w14:paraId="4F4ED466"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أولاً</w:t>
      </w:r>
      <w:r w:rsidRPr="004C5A9C">
        <w:rPr>
          <w:rFonts w:ascii="Sakkal Majalla" w:hAnsi="Sakkal Majalla" w:cs="Sakkal Majalla"/>
          <w:b/>
          <w:bCs/>
          <w:color w:val="000000" w:themeColor="text1"/>
          <w:sz w:val="28"/>
          <w:szCs w:val="28"/>
          <w:rtl/>
        </w:rPr>
        <w:t>: أدوات جمع البيانات</w:t>
      </w:r>
    </w:p>
    <w:tbl>
      <w:tblPr>
        <w:tblW w:w="0" w:type="auto"/>
        <w:tblCellMar>
          <w:left w:w="0" w:type="dxa"/>
          <w:right w:w="0" w:type="dxa"/>
        </w:tblCellMar>
        <w:tblLook w:val="04A0" w:firstRow="1" w:lastRow="0" w:firstColumn="1" w:lastColumn="0" w:noHBand="0" w:noVBand="1"/>
      </w:tblPr>
      <w:tblGrid>
        <w:gridCol w:w="3441"/>
        <w:gridCol w:w="1663"/>
        <w:gridCol w:w="2397"/>
        <w:gridCol w:w="1315"/>
      </w:tblGrid>
      <w:tr w:rsidR="000C27D5" w:rsidRPr="004C5A9C" w14:paraId="47D5FB21" w14:textId="77777777">
        <w:trPr>
          <w:divId w:val="28693435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373F8C"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مكوّنات الأداة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8DA651"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الغرض الرئيس</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323DB3"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الوصف</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75F8C9"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الأداة</w:t>
            </w:r>
          </w:p>
        </w:tc>
      </w:tr>
      <w:tr w:rsidR="000C27D5" w:rsidRPr="004C5A9C" w14:paraId="4EE1BFB3" w14:textId="77777777">
        <w:trPr>
          <w:divId w:val="28693435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0FFF18"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بيانات ديموغرافية. • مؤشّر الجاهزية التنظيمية (6 أبعاد × 5 بنود). • مقاييس المخاطر الاحترازية والسيولة والأمن السيبراني. • بنود عن أثر الابتكار على الشمول المالي والاستقرار.</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BA4151"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قياس المتغيرات الكمية واختبار الفروض الإحصائية.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68952B"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استبانة مغلقة عبر </w:t>
            </w:r>
            <w:r w:rsidRPr="004C5A9C">
              <w:rPr>
                <w:rFonts w:ascii="Sakkal Majalla" w:hAnsi="Sakkal Majalla" w:cs="Sakkal Majalla"/>
                <w:color w:val="000000" w:themeColor="text1"/>
                <w:sz w:val="28"/>
                <w:szCs w:val="28"/>
              </w:rPr>
              <w:t>Google Forms</w:t>
            </w:r>
            <w:r w:rsidRPr="004C5A9C">
              <w:rPr>
                <w:rFonts w:ascii="Sakkal Majalla" w:hAnsi="Sakkal Majalla" w:cs="Sakkal Majalla"/>
                <w:color w:val="000000" w:themeColor="text1"/>
                <w:sz w:val="28"/>
                <w:szCs w:val="28"/>
                <w:rtl/>
              </w:rPr>
              <w:t xml:space="preserve"> موجَّهة إلى الموظفين التنفيذيين والرقابيين في الجهات التنظيمية السعودية.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2F7D2C"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Cambria Math" w:hAnsi="Cambria Math" w:cs="Cambria Math" w:hint="cs"/>
                <w:color w:val="000000" w:themeColor="text1"/>
                <w:sz w:val="28"/>
                <w:szCs w:val="28"/>
                <w:rtl/>
              </w:rPr>
              <w:t>①</w:t>
            </w:r>
            <w:r w:rsidRPr="004C5A9C">
              <w:rPr>
                <w:rFonts w:ascii="Sakkal Majalla" w:hAnsi="Sakkal Majalla" w:cs="Sakkal Majalla"/>
                <w:color w:val="000000" w:themeColor="text1"/>
                <w:sz w:val="28"/>
                <w:szCs w:val="28"/>
                <w:rtl/>
              </w:rPr>
              <w:t xml:space="preserve"> الاستبانة الإلكترونية</w:t>
            </w:r>
          </w:p>
        </w:tc>
      </w:tr>
      <w:tr w:rsidR="000C27D5" w:rsidRPr="004C5A9C" w14:paraId="2EF5E237" w14:textId="77777777">
        <w:trPr>
          <w:divId w:val="28693435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841124"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تحديات الإشراف اللحظي. • آليات التنسيق بين الهيئات. • خطط تبنّي تحليلات البلوكشين وواجهات البيانات اللحظية.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92671E"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تعميق الفهم النوعي للسياق التنظيمي والتحديات التقنية.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8AF051"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مجموعة أسئلة مفتوحة موجَّهة لمسؤولي الرقابة، وخبراء البنوك الرقمية، ومطوّري </w:t>
            </w:r>
            <w:r w:rsidRPr="004C5A9C">
              <w:rPr>
                <w:rFonts w:ascii="Sakkal Majalla" w:hAnsi="Sakkal Majalla" w:cs="Sakkal Majalla"/>
                <w:color w:val="000000" w:themeColor="text1"/>
                <w:sz w:val="28"/>
                <w:szCs w:val="28"/>
              </w:rPr>
              <w:t>SupTech</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324E63"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Cambria Math" w:hAnsi="Cambria Math" w:cs="Cambria Math" w:hint="cs"/>
                <w:color w:val="000000" w:themeColor="text1"/>
                <w:sz w:val="28"/>
                <w:szCs w:val="28"/>
                <w:rtl/>
              </w:rPr>
              <w:t>②</w:t>
            </w:r>
            <w:r w:rsidRPr="004C5A9C">
              <w:rPr>
                <w:rFonts w:ascii="Sakkal Majalla" w:hAnsi="Sakkal Majalla" w:cs="Sakkal Majalla"/>
                <w:color w:val="000000" w:themeColor="text1"/>
                <w:sz w:val="28"/>
                <w:szCs w:val="28"/>
                <w:rtl/>
              </w:rPr>
              <w:t xml:space="preserve"> دليل المقابلات شبه المهيكلة</w:t>
            </w:r>
          </w:p>
        </w:tc>
      </w:tr>
      <w:tr w:rsidR="000C27D5" w:rsidRPr="004C5A9C" w14:paraId="6DA87827" w14:textId="77777777">
        <w:trPr>
          <w:divId w:val="28693435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F41EF0"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 تقارير ساما، </w:t>
            </w:r>
            <w:r w:rsidRPr="004C5A9C">
              <w:rPr>
                <w:rFonts w:ascii="Sakkal Majalla" w:hAnsi="Sakkal Majalla" w:cs="Sakkal Majalla"/>
                <w:color w:val="000000" w:themeColor="text1"/>
                <w:sz w:val="28"/>
                <w:szCs w:val="28"/>
              </w:rPr>
              <w:t>BIS، IMF</w:t>
            </w:r>
            <w:r w:rsidRPr="004C5A9C">
              <w:rPr>
                <w:rFonts w:ascii="Sakkal Majalla" w:hAnsi="Sakkal Majalla" w:cs="Sakkal Majalla"/>
                <w:color w:val="000000" w:themeColor="text1"/>
                <w:sz w:val="28"/>
                <w:szCs w:val="28"/>
                <w:rtl/>
              </w:rPr>
              <w:t>. • إحصاءات نظم المدفوعات (</w:t>
            </w:r>
            <w:r w:rsidRPr="004C5A9C">
              <w:rPr>
                <w:rFonts w:ascii="Sakkal Majalla" w:hAnsi="Sakkal Majalla" w:cs="Sakkal Majalla"/>
                <w:color w:val="000000" w:themeColor="text1"/>
                <w:sz w:val="28"/>
                <w:szCs w:val="28"/>
              </w:rPr>
              <w:t>sarīe، esal</w:t>
            </w:r>
            <w:r w:rsidRPr="004C5A9C">
              <w:rPr>
                <w:rFonts w:ascii="Sakkal Majalla" w:hAnsi="Sakkal Majalla" w:cs="Sakkal Majalla"/>
                <w:color w:val="000000" w:themeColor="text1"/>
                <w:sz w:val="28"/>
                <w:szCs w:val="28"/>
                <w:rtl/>
              </w:rPr>
              <w:t>). • لوائح هيئة السوق المالية.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53B78E"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توفير بيانات داعمة ومقارنة النتائج.</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B5784F"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تقارير رسمية ومنشورات علمية.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D5519B"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Cambria Math" w:hAnsi="Cambria Math" w:cs="Cambria Math" w:hint="cs"/>
                <w:color w:val="000000" w:themeColor="text1"/>
                <w:sz w:val="28"/>
                <w:szCs w:val="28"/>
                <w:rtl/>
              </w:rPr>
              <w:t>③</w:t>
            </w:r>
            <w:r w:rsidRPr="004C5A9C">
              <w:rPr>
                <w:rFonts w:ascii="Sakkal Majalla" w:hAnsi="Sakkal Majalla" w:cs="Sakkal Majalla"/>
                <w:color w:val="000000" w:themeColor="text1"/>
                <w:sz w:val="28"/>
                <w:szCs w:val="28"/>
                <w:rtl/>
              </w:rPr>
              <w:t xml:space="preserve"> المصادر الثانوية</w:t>
            </w:r>
          </w:p>
        </w:tc>
      </w:tr>
    </w:tbl>
    <w:p w14:paraId="73166FFE" w14:textId="77777777" w:rsidR="007C4D39" w:rsidRPr="004C5A9C" w:rsidRDefault="007C4D39" w:rsidP="00BE7B2A">
      <w:pPr>
        <w:spacing w:line="360" w:lineRule="auto"/>
        <w:rPr>
          <w:rFonts w:ascii="Sakkal Majalla" w:hAnsi="Sakkal Majalla" w:cs="Sakkal Majalla"/>
          <w:color w:val="000000" w:themeColor="text1"/>
          <w:sz w:val="28"/>
          <w:szCs w:val="28"/>
          <w:rtl/>
        </w:rPr>
      </w:pPr>
    </w:p>
    <w:p w14:paraId="3ED35ED5"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ثانياً</w:t>
      </w:r>
      <w:r w:rsidRPr="004C5A9C">
        <w:rPr>
          <w:rFonts w:ascii="Sakkal Majalla" w:hAnsi="Sakkal Majalla" w:cs="Sakkal Majalla"/>
          <w:b/>
          <w:bCs/>
          <w:color w:val="000000" w:themeColor="text1"/>
          <w:sz w:val="28"/>
          <w:szCs w:val="28"/>
          <w:rtl/>
        </w:rPr>
        <w:t>: أدوات تحليل البيانات</w:t>
      </w:r>
    </w:p>
    <w:tbl>
      <w:tblPr>
        <w:tblW w:w="8675" w:type="dxa"/>
        <w:tblCellMar>
          <w:left w:w="0" w:type="dxa"/>
          <w:right w:w="0" w:type="dxa"/>
        </w:tblCellMar>
        <w:tblLook w:val="04A0" w:firstRow="1" w:lastRow="0" w:firstColumn="1" w:lastColumn="0" w:noHBand="0" w:noVBand="1"/>
      </w:tblPr>
      <w:tblGrid>
        <w:gridCol w:w="2838"/>
        <w:gridCol w:w="4785"/>
        <w:gridCol w:w="1052"/>
      </w:tblGrid>
      <w:tr w:rsidR="000C27D5" w:rsidRPr="004C5A9C" w14:paraId="7C86C29F" w14:textId="77777777" w:rsidTr="0044015C">
        <w:trPr>
          <w:divId w:val="286934358"/>
          <w:trHeight w:val="519"/>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E9D916"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البرنامج المستخدم</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9F451"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الأداة التحليلية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5E7A4E"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نوع البيانات</w:t>
            </w:r>
          </w:p>
        </w:tc>
      </w:tr>
      <w:tr w:rsidR="000C27D5" w:rsidRPr="004C5A9C" w14:paraId="7B2BB37F" w14:textId="77777777" w:rsidTr="0044015C">
        <w:trPr>
          <w:divId w:val="286934358"/>
          <w:trHeight w:val="540"/>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E5481E" w14:textId="77777777" w:rsidR="007C4D39" w:rsidRPr="004C5A9C" w:rsidRDefault="007C4D39"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Pr>
              <w:lastRenderedPageBreak/>
              <w:t>SPSS 29، AMOS / Smart-PLS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F0C9890"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إحصاء وصفي، </w:t>
            </w:r>
            <w:r w:rsidRPr="004C5A9C">
              <w:rPr>
                <w:rFonts w:ascii="Sakkal Majalla" w:hAnsi="Sakkal Majalla" w:cs="Sakkal Majalla"/>
                <w:color w:val="000000" w:themeColor="text1"/>
                <w:sz w:val="28"/>
                <w:szCs w:val="28"/>
              </w:rPr>
              <w:t>ANOVA</w:t>
            </w:r>
            <w:r w:rsidRPr="004C5A9C">
              <w:rPr>
                <w:rFonts w:ascii="Sakkal Majalla" w:hAnsi="Sakkal Majalla" w:cs="Sakkal Majalla"/>
                <w:color w:val="000000" w:themeColor="text1"/>
                <w:sz w:val="28"/>
                <w:szCs w:val="28"/>
                <w:rtl/>
              </w:rPr>
              <w:t>، انحدار متعدّد، نمذجة معادلات هيكلية (</w:t>
            </w:r>
            <w:r w:rsidRPr="004C5A9C">
              <w:rPr>
                <w:rFonts w:ascii="Sakkal Majalla" w:hAnsi="Sakkal Majalla" w:cs="Sakkal Majalla"/>
                <w:color w:val="000000" w:themeColor="text1"/>
                <w:sz w:val="28"/>
                <w:szCs w:val="28"/>
              </w:rPr>
              <w:t>SEM</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45BB35"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كميّة</w:t>
            </w:r>
          </w:p>
        </w:tc>
      </w:tr>
      <w:tr w:rsidR="000C27D5" w:rsidRPr="004C5A9C" w14:paraId="0E9CDBD3" w14:textId="77777777" w:rsidTr="0044015C">
        <w:trPr>
          <w:divId w:val="286934358"/>
          <w:trHeight w:val="519"/>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9207C5" w14:textId="77777777" w:rsidR="007C4D39" w:rsidRPr="004C5A9C" w:rsidRDefault="007C4D39" w:rsidP="00BE7B2A">
            <w:p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Pr>
              <w:t>NVivo 14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40FB57"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التحليل الموضوعي (</w:t>
            </w:r>
            <w:r w:rsidRPr="004C5A9C">
              <w:rPr>
                <w:rFonts w:ascii="Sakkal Majalla" w:hAnsi="Sakkal Majalla" w:cs="Sakkal Majalla"/>
                <w:color w:val="000000" w:themeColor="text1"/>
                <w:sz w:val="28"/>
                <w:szCs w:val="28"/>
              </w:rPr>
              <w:t>Thematic Analysis</w:t>
            </w:r>
            <w:r w:rsidRPr="004C5A9C">
              <w:rPr>
                <w:rFonts w:ascii="Sakkal Majalla" w:hAnsi="Sakkal Majalla" w:cs="Sakkal Majalla"/>
                <w:color w:val="000000" w:themeColor="text1"/>
                <w:sz w:val="28"/>
                <w:szCs w:val="28"/>
                <w:rtl/>
              </w:rPr>
              <w:t xml:space="preserve">) وفق خطوات </w:t>
            </w:r>
            <w:r w:rsidRPr="004C5A9C">
              <w:rPr>
                <w:rFonts w:ascii="Sakkal Majalla" w:hAnsi="Sakkal Majalla" w:cs="Sakkal Majalla"/>
                <w:color w:val="000000" w:themeColor="text1"/>
                <w:sz w:val="28"/>
                <w:szCs w:val="28"/>
              </w:rPr>
              <w:t>Braun &amp; Clarke</w:t>
            </w:r>
            <w:r w:rsidRPr="004C5A9C">
              <w:rPr>
                <w:rFonts w:ascii="Sakkal Majalla" w:hAnsi="Sakkal Majalla" w:cs="Sakkal Majalla"/>
                <w:color w:val="000000" w:themeColor="text1"/>
                <w:sz w:val="28"/>
                <w:szCs w:val="28"/>
                <w:rtl/>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F70C3A"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نوعيّة</w:t>
            </w:r>
          </w:p>
        </w:tc>
      </w:tr>
      <w:tr w:rsidR="000C27D5" w:rsidRPr="004C5A9C" w14:paraId="03F80F50" w14:textId="77777777" w:rsidTr="0044015C">
        <w:trPr>
          <w:divId w:val="286934358"/>
          <w:trHeight w:val="561"/>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A9DD75"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مصفوفة تطابق </w:t>
            </w:r>
            <w:r w:rsidRPr="004C5A9C">
              <w:rPr>
                <w:rFonts w:ascii="Sakkal Majalla" w:hAnsi="Sakkal Majalla" w:cs="Sakkal Majalla"/>
                <w:color w:val="000000" w:themeColor="text1"/>
                <w:sz w:val="28"/>
                <w:szCs w:val="28"/>
              </w:rPr>
              <w:t>Themes</w:t>
            </w:r>
            <w:r w:rsidRPr="004C5A9C">
              <w:rPr>
                <w:rFonts w:ascii="Sakkal Majalla" w:hAnsi="Sakkal Majalla" w:cs="Sakkal Majalla"/>
                <w:color w:val="000000" w:themeColor="text1"/>
                <w:sz w:val="28"/>
                <w:szCs w:val="28"/>
                <w:rtl/>
              </w:rPr>
              <w:t xml:space="preserve"> × مؤشرات كميّة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A1A6FF"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أسلوب المثلّثية (</w:t>
            </w:r>
            <w:r w:rsidRPr="004C5A9C">
              <w:rPr>
                <w:rFonts w:ascii="Sakkal Majalla" w:hAnsi="Sakkal Majalla" w:cs="Sakkal Majalla"/>
                <w:color w:val="000000" w:themeColor="text1"/>
                <w:sz w:val="28"/>
                <w:szCs w:val="28"/>
              </w:rPr>
              <w:t>Triangulation</w:t>
            </w:r>
            <w:r w:rsidRPr="004C5A9C">
              <w:rPr>
                <w:rFonts w:ascii="Sakkal Majalla" w:hAnsi="Sakkal Majalla" w:cs="Sakkal Majalla"/>
                <w:color w:val="000000" w:themeColor="text1"/>
                <w:sz w:val="28"/>
                <w:szCs w:val="28"/>
                <w:rtl/>
              </w:rPr>
              <w:t>) لدمج النتائج الكمية والنوعية.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906825"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تكاملية</w:t>
            </w:r>
          </w:p>
        </w:tc>
      </w:tr>
    </w:tbl>
    <w:p w14:paraId="0FD0CE25" w14:textId="77777777" w:rsidR="007C4D39" w:rsidRPr="004C5A9C" w:rsidRDefault="007C4D39" w:rsidP="00BE7B2A">
      <w:pPr>
        <w:spacing w:line="360" w:lineRule="auto"/>
        <w:rPr>
          <w:rFonts w:ascii="Sakkal Majalla" w:hAnsi="Sakkal Majalla" w:cs="Sakkal Majalla"/>
          <w:color w:val="000000" w:themeColor="text1"/>
          <w:sz w:val="28"/>
          <w:szCs w:val="28"/>
          <w:rtl/>
        </w:rPr>
      </w:pPr>
    </w:p>
    <w:p w14:paraId="58810CE6"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ثالثاً</w:t>
      </w:r>
      <w:r w:rsidRPr="004C5A9C">
        <w:rPr>
          <w:rFonts w:ascii="Sakkal Majalla" w:hAnsi="Sakkal Majalla" w:cs="Sakkal Majalla"/>
          <w:b/>
          <w:bCs/>
          <w:color w:val="000000" w:themeColor="text1"/>
          <w:sz w:val="28"/>
          <w:szCs w:val="28"/>
          <w:rtl/>
        </w:rPr>
        <w:t>: صلاحية وثبات الأدوات</w:t>
      </w:r>
    </w:p>
    <w:tbl>
      <w:tblPr>
        <w:tblW w:w="8669" w:type="dxa"/>
        <w:tblCellMar>
          <w:left w:w="0" w:type="dxa"/>
          <w:right w:w="0" w:type="dxa"/>
        </w:tblCellMar>
        <w:tblLook w:val="04A0" w:firstRow="1" w:lastRow="0" w:firstColumn="1" w:lastColumn="0" w:noHBand="0" w:noVBand="1"/>
      </w:tblPr>
      <w:tblGrid>
        <w:gridCol w:w="2075"/>
        <w:gridCol w:w="3001"/>
        <w:gridCol w:w="3593"/>
      </w:tblGrid>
      <w:tr w:rsidR="000C27D5" w:rsidRPr="004C5A9C" w14:paraId="26C6EB13" w14:textId="77777777" w:rsidTr="00452886">
        <w:trPr>
          <w:divId w:val="286934358"/>
          <w:trHeight w:val="53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D8BAE1"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النتيجة المستهدفة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863616"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الهدف</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D5B67E"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t>الإجراء</w:t>
            </w:r>
          </w:p>
        </w:tc>
      </w:tr>
      <w:tr w:rsidR="000C27D5" w:rsidRPr="004C5A9C" w14:paraId="0CBE27DA" w14:textId="77777777" w:rsidTr="00452886">
        <w:trPr>
          <w:divId w:val="286934358"/>
          <w:trHeight w:val="560"/>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34EF93"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اتفاق ≥ 80 % بين المحكّمين.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D7B2AB"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التأكد من شمول البنود ووضوح الصياغة.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EE22EA"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تحكيم محتوى الاستبانة من قبل 5 خبراء</w:t>
            </w:r>
          </w:p>
        </w:tc>
      </w:tr>
      <w:tr w:rsidR="000C27D5" w:rsidRPr="004C5A9C" w14:paraId="6FD83F0E" w14:textId="77777777" w:rsidTr="00452886">
        <w:trPr>
          <w:divId w:val="286934358"/>
          <w:trHeight w:val="538"/>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0B9C8D"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تعديل البنود غير المفهومة.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81BC91"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قياس وضوح البنود وزمن الاستجابة.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2BDD5F"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اختبار تمهيدي (</w:t>
            </w:r>
            <w:r w:rsidRPr="004C5A9C">
              <w:rPr>
                <w:rFonts w:ascii="Sakkal Majalla" w:hAnsi="Sakkal Majalla" w:cs="Sakkal Majalla"/>
                <w:color w:val="000000" w:themeColor="text1"/>
                <w:sz w:val="28"/>
                <w:szCs w:val="28"/>
              </w:rPr>
              <w:t>Pilot Test</w:t>
            </w:r>
            <w:r w:rsidRPr="004C5A9C">
              <w:rPr>
                <w:rFonts w:ascii="Sakkal Majalla" w:hAnsi="Sakkal Majalla" w:cs="Sakkal Majalla"/>
                <w:color w:val="000000" w:themeColor="text1"/>
                <w:sz w:val="28"/>
                <w:szCs w:val="28"/>
                <w:rtl/>
              </w:rPr>
              <w:t>) على 15 مشاركًا</w:t>
            </w:r>
          </w:p>
        </w:tc>
      </w:tr>
      <w:tr w:rsidR="000C27D5" w:rsidRPr="004C5A9C" w14:paraId="4C132F07" w14:textId="77777777" w:rsidTr="00452886">
        <w:trPr>
          <w:divId w:val="286934358"/>
          <w:trHeight w:val="582"/>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F7E91B"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Cambria" w:hAnsi="Cambria" w:cs="Cambria"/>
                <w:color w:val="000000" w:themeColor="text1"/>
                <w:sz w:val="28"/>
                <w:szCs w:val="28"/>
              </w:rPr>
              <w:t>α</w:t>
            </w:r>
            <w:r w:rsidRPr="004C5A9C">
              <w:rPr>
                <w:rFonts w:ascii="Sakkal Majalla" w:hAnsi="Sakkal Majalla" w:cs="Sakkal Majalla"/>
                <w:color w:val="000000" w:themeColor="text1"/>
                <w:sz w:val="28"/>
                <w:szCs w:val="28"/>
              </w:rPr>
              <w:t xml:space="preserve"> ≥ 0.80 </w:t>
            </w:r>
            <w:r w:rsidRPr="004C5A9C">
              <w:rPr>
                <w:rFonts w:ascii="Sakkal Majalla" w:hAnsi="Sakkal Majalla" w:cs="Sakkal Majalla"/>
                <w:color w:val="000000" w:themeColor="text1"/>
                <w:sz w:val="28"/>
                <w:szCs w:val="28"/>
                <w:rtl/>
              </w:rPr>
              <w:t>لكل بُعد.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B695BD"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اختبار ثبات محاور الاستبانة.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9B40D6"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معامل الاتساق الداخلي (</w:t>
            </w:r>
            <w:r w:rsidRPr="004C5A9C">
              <w:rPr>
                <w:rFonts w:ascii="Sakkal Majalla" w:hAnsi="Sakkal Majalla" w:cs="Sakkal Majalla"/>
                <w:color w:val="000000" w:themeColor="text1"/>
                <w:sz w:val="28"/>
                <w:szCs w:val="28"/>
              </w:rPr>
              <w:t xml:space="preserve">Cronbach’s </w:t>
            </w:r>
            <w:r w:rsidRPr="004C5A9C">
              <w:rPr>
                <w:rFonts w:ascii="Cambria" w:hAnsi="Cambria" w:cs="Cambria"/>
                <w:color w:val="000000" w:themeColor="text1"/>
                <w:sz w:val="28"/>
                <w:szCs w:val="28"/>
              </w:rPr>
              <w:t>α</w:t>
            </w:r>
            <w:r w:rsidRPr="004C5A9C">
              <w:rPr>
                <w:rFonts w:ascii="Sakkal Majalla" w:hAnsi="Sakkal Majalla" w:cs="Sakkal Majalla"/>
                <w:color w:val="000000" w:themeColor="text1"/>
                <w:sz w:val="28"/>
                <w:szCs w:val="28"/>
              </w:rPr>
              <w:t>)</w:t>
            </w:r>
          </w:p>
        </w:tc>
      </w:tr>
      <w:tr w:rsidR="000C27D5" w:rsidRPr="004C5A9C" w14:paraId="588A8951" w14:textId="77777777" w:rsidTr="00452886">
        <w:trPr>
          <w:divId w:val="286934358"/>
          <w:trHeight w:val="560"/>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FFFEDB"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معامل ارتباط ≥ 0.70.</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E0CCD4"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تحقُّق من استقرار الاستجابات عبر الزمن.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1EE6D6"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اختبار ثبات الإعادة (</w:t>
            </w:r>
            <w:r w:rsidRPr="004C5A9C">
              <w:rPr>
                <w:rFonts w:ascii="Sakkal Majalla" w:hAnsi="Sakkal Majalla" w:cs="Sakkal Majalla"/>
                <w:color w:val="000000" w:themeColor="text1"/>
                <w:sz w:val="28"/>
                <w:szCs w:val="28"/>
              </w:rPr>
              <w:t>Test–Retest</w:t>
            </w:r>
            <w:r w:rsidRPr="004C5A9C">
              <w:rPr>
                <w:rFonts w:ascii="Sakkal Majalla" w:hAnsi="Sakkal Majalla" w:cs="Sakkal Majalla"/>
                <w:color w:val="000000" w:themeColor="text1"/>
                <w:sz w:val="28"/>
                <w:szCs w:val="28"/>
                <w:rtl/>
              </w:rPr>
              <w:t>) خلال أسبوعين</w:t>
            </w:r>
          </w:p>
        </w:tc>
      </w:tr>
    </w:tbl>
    <w:p w14:paraId="55C2BFA4" w14:textId="77777777" w:rsidR="007C4D39" w:rsidRPr="004C5A9C" w:rsidRDefault="007C4D39" w:rsidP="00BE7B2A">
      <w:pPr>
        <w:spacing w:line="360" w:lineRule="auto"/>
        <w:rPr>
          <w:rFonts w:ascii="Sakkal Majalla" w:hAnsi="Sakkal Majalla" w:cs="Sakkal Majalla"/>
          <w:color w:val="000000" w:themeColor="text1"/>
          <w:sz w:val="28"/>
          <w:szCs w:val="28"/>
          <w:rtl/>
        </w:rPr>
      </w:pPr>
    </w:p>
    <w:p w14:paraId="2B3EE0E7" w14:textId="77777777" w:rsidR="007C4D39" w:rsidRPr="004C5A9C" w:rsidRDefault="007C4D39" w:rsidP="00BE7B2A">
      <w:pPr>
        <w:spacing w:line="360" w:lineRule="auto"/>
        <w:rPr>
          <w:rFonts w:ascii="Sakkal Majalla" w:hAnsi="Sakkal Majalla" w:cs="Sakkal Majalla"/>
          <w:color w:val="000000" w:themeColor="text1"/>
          <w:sz w:val="28"/>
          <w:szCs w:val="28"/>
          <w:rtl/>
        </w:rPr>
      </w:pPr>
    </w:p>
    <w:p w14:paraId="2646CE18" w14:textId="77777777" w:rsidR="007C4D39" w:rsidRPr="004C5A9C" w:rsidRDefault="007C4D39" w:rsidP="00BE7B2A">
      <w:pPr>
        <w:spacing w:line="360" w:lineRule="auto"/>
        <w:rPr>
          <w:rFonts w:ascii="Sakkal Majalla" w:hAnsi="Sakkal Majalla" w:cs="Sakkal Majalla"/>
          <w:color w:val="000000" w:themeColor="text1"/>
          <w:sz w:val="28"/>
          <w:szCs w:val="28"/>
          <w:rtl/>
        </w:rPr>
      </w:pPr>
    </w:p>
    <w:p w14:paraId="055D2FD6" w14:textId="77777777" w:rsidR="007C4D39" w:rsidRPr="004C5A9C" w:rsidRDefault="007C4D39"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b/>
          <w:bCs/>
          <w:color w:val="000000" w:themeColor="text1"/>
          <w:sz w:val="28"/>
          <w:szCs w:val="28"/>
          <w:rtl/>
        </w:rPr>
        <w:lastRenderedPageBreak/>
        <w:t>رابعاً: اعتبارات أخلاقية للأدوات</w:t>
      </w:r>
    </w:p>
    <w:p w14:paraId="6300D24C" w14:textId="5A735E5F" w:rsidR="007C4D39" w:rsidRPr="004C5A9C" w:rsidRDefault="007C4D39" w:rsidP="00BE7B2A">
      <w:pPr>
        <w:pStyle w:val="a5"/>
        <w:numPr>
          <w:ilvl w:val="2"/>
          <w:numId w:val="18"/>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إدراج فقرة </w:t>
      </w:r>
      <w:r w:rsidRPr="004C5A9C">
        <w:rPr>
          <w:rFonts w:ascii="Sakkal Majalla" w:hAnsi="Sakkal Majalla" w:cs="Sakkal Majalla"/>
          <w:b/>
          <w:bCs/>
          <w:color w:val="000000" w:themeColor="text1"/>
          <w:sz w:val="28"/>
          <w:szCs w:val="28"/>
          <w:rtl/>
        </w:rPr>
        <w:t>موافقة مستنيرة</w:t>
      </w:r>
      <w:r w:rsidRPr="004C5A9C">
        <w:rPr>
          <w:rFonts w:ascii="Sakkal Majalla" w:hAnsi="Sakkal Majalla" w:cs="Sakkal Majalla"/>
          <w:color w:val="000000" w:themeColor="text1"/>
          <w:sz w:val="28"/>
          <w:szCs w:val="28"/>
          <w:rtl/>
        </w:rPr>
        <w:t xml:space="preserve"> في مقدمة الاستبانة.</w:t>
      </w:r>
    </w:p>
    <w:p w14:paraId="3190983C" w14:textId="671B52EE" w:rsidR="007C4D39" w:rsidRPr="004C5A9C" w:rsidRDefault="007C4D39" w:rsidP="00BE7B2A">
      <w:pPr>
        <w:pStyle w:val="a5"/>
        <w:numPr>
          <w:ilvl w:val="2"/>
          <w:numId w:val="18"/>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حجب الأسماء والجهات في ملفات المقابلات لضمان السرّية.</w:t>
      </w:r>
    </w:p>
    <w:p w14:paraId="1AF80FA3" w14:textId="09DE327D" w:rsidR="0044015C" w:rsidRPr="00BE7B2A" w:rsidRDefault="007C4D39" w:rsidP="00BE7B2A">
      <w:pPr>
        <w:pStyle w:val="a5"/>
        <w:numPr>
          <w:ilvl w:val="2"/>
          <w:numId w:val="18"/>
        </w:numPr>
        <w:spacing w:line="360" w:lineRule="auto"/>
        <w:rPr>
          <w:rFonts w:ascii="Sakkal Majalla" w:hAnsi="Sakkal Majalla" w:cs="Sakkal Majalla"/>
          <w:color w:val="000000" w:themeColor="text1"/>
          <w:sz w:val="28"/>
          <w:szCs w:val="28"/>
        </w:rPr>
      </w:pPr>
      <w:r w:rsidRPr="004C5A9C">
        <w:rPr>
          <w:rFonts w:ascii="Sakkal Majalla" w:hAnsi="Sakkal Majalla" w:cs="Sakkal Majalla"/>
          <w:color w:val="000000" w:themeColor="text1"/>
          <w:sz w:val="28"/>
          <w:szCs w:val="28"/>
          <w:rtl/>
        </w:rPr>
        <w:t>تخزين البيانات على خادم مُشفَّر مع صلاحية وصول للباحث فقط.</w:t>
      </w:r>
    </w:p>
    <w:p w14:paraId="16B05254" w14:textId="55EC3C96" w:rsidR="00653631" w:rsidRPr="004C5A9C" w:rsidRDefault="00A25B93" w:rsidP="00BE7B2A">
      <w:pPr>
        <w:spacing w:line="360" w:lineRule="auto"/>
        <w:rPr>
          <w:rFonts w:ascii="Sakkal Majalla" w:hAnsi="Sakkal Majalla" w:cs="Sakkal Majalla"/>
          <w:b/>
          <w:bCs/>
          <w:color w:val="000000" w:themeColor="text1"/>
          <w:sz w:val="32"/>
          <w:szCs w:val="32"/>
          <w:u w:val="single"/>
          <w:rtl/>
        </w:rPr>
      </w:pPr>
      <w:r w:rsidRPr="004C5A9C">
        <w:rPr>
          <w:rFonts w:ascii="Sakkal Majalla" w:hAnsi="Sakkal Majalla" w:cs="Sakkal Majalla"/>
          <w:b/>
          <w:bCs/>
          <w:color w:val="000000" w:themeColor="text1"/>
          <w:sz w:val="32"/>
          <w:szCs w:val="32"/>
          <w:u w:val="single"/>
          <w:lang w:val="en-GB"/>
        </w:rPr>
        <w:t>12-1</w:t>
      </w:r>
      <w:r w:rsidR="00A74F76" w:rsidRPr="004C5A9C">
        <w:rPr>
          <w:rFonts w:ascii="Sakkal Majalla" w:hAnsi="Sakkal Majalla" w:cs="Sakkal Majalla" w:hint="cs"/>
          <w:b/>
          <w:bCs/>
          <w:color w:val="000000" w:themeColor="text1"/>
          <w:sz w:val="32"/>
          <w:szCs w:val="32"/>
          <w:u w:val="single"/>
          <w:rtl/>
        </w:rPr>
        <w:t>حدود</w:t>
      </w:r>
      <w:r w:rsidR="00D22171" w:rsidRPr="004C5A9C">
        <w:rPr>
          <w:rFonts w:ascii="Sakkal Majalla" w:hAnsi="Sakkal Majalla" w:cs="Sakkal Majalla"/>
          <w:b/>
          <w:bCs/>
          <w:color w:val="000000" w:themeColor="text1"/>
          <w:sz w:val="32"/>
          <w:szCs w:val="32"/>
          <w:u w:val="single"/>
          <w:rtl/>
        </w:rPr>
        <w:t xml:space="preserve"> الدراسة </w:t>
      </w:r>
      <w:r w:rsidR="00A74F76" w:rsidRPr="004C5A9C">
        <w:rPr>
          <w:rFonts w:ascii="Sakkal Majalla" w:hAnsi="Sakkal Majalla" w:cs="Sakkal Majalla" w:hint="cs"/>
          <w:b/>
          <w:bCs/>
          <w:color w:val="000000" w:themeColor="text1"/>
          <w:sz w:val="32"/>
          <w:szCs w:val="32"/>
          <w:u w:val="single"/>
          <w:rtl/>
        </w:rPr>
        <w:t>:</w:t>
      </w:r>
    </w:p>
    <w:p w14:paraId="33BFC491" w14:textId="77777777" w:rsidR="00A25B93" w:rsidRPr="004C5A9C" w:rsidRDefault="00A25B93" w:rsidP="00BE7B2A">
      <w:pPr>
        <w:spacing w:line="360" w:lineRule="auto"/>
        <w:rPr>
          <w:rFonts w:ascii="Sakkal Majalla" w:hAnsi="Sakkal Majalla" w:cs="Sakkal Majalla"/>
          <w:color w:val="000000" w:themeColor="text1"/>
          <w:sz w:val="28"/>
          <w:szCs w:val="28"/>
          <w:rtl/>
        </w:rPr>
      </w:pPr>
    </w:p>
    <w:p w14:paraId="5EE4BB8D"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تُحدد هذه الدراسة إطارها ضمن أربعة أبعاد رئيسية لضمان وضوح النتائج وعدم تجاوز نطاق البحث المتفق عليه:</w:t>
      </w:r>
    </w:p>
    <w:tbl>
      <w:tblPr>
        <w:tblW w:w="0" w:type="auto"/>
        <w:tblCellMar>
          <w:left w:w="0" w:type="dxa"/>
          <w:right w:w="0" w:type="dxa"/>
        </w:tblCellMar>
        <w:tblLook w:val="04A0" w:firstRow="1" w:lastRow="0" w:firstColumn="1" w:lastColumn="0" w:noHBand="0" w:noVBand="1"/>
      </w:tblPr>
      <w:tblGrid>
        <w:gridCol w:w="3761"/>
        <w:gridCol w:w="4167"/>
        <w:gridCol w:w="888"/>
      </w:tblGrid>
      <w:tr w:rsidR="000C27D5" w:rsidRPr="004C5A9C" w14:paraId="5D9793A0" w14:textId="77777777">
        <w:trPr>
          <w:divId w:val="480773624"/>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FBF801"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التبرير</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65E16D"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التحديد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86131A"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البُعد</w:t>
            </w:r>
          </w:p>
        </w:tc>
      </w:tr>
      <w:tr w:rsidR="000C27D5" w:rsidRPr="004C5A9C" w14:paraId="6038F46B" w14:textId="77777777">
        <w:trPr>
          <w:divId w:val="480773624"/>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075065"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التركيز على العلاقة المباشرة بين الابتكار المالي وأدوار الشركاء الرقابيين دون التوسع في جوانب استهلاكية أو تسويقية.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A4026B"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تحليل أثر نموذجَيْ البنوك الرقمية المركزية (المرخَّصة والخاضعة لساما) واللامركزية (منصّات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xml:space="preserve"> القائمة على البلوكشين) على الجهات التنظيمية السعودية فقط.</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FD8089"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الموضوعي</w:t>
            </w:r>
          </w:p>
        </w:tc>
      </w:tr>
      <w:tr w:rsidR="000C27D5" w:rsidRPr="004C5A9C" w14:paraId="27419AED" w14:textId="77777777">
        <w:trPr>
          <w:divId w:val="480773624"/>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0585E4"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اختلاف التشريعات والبنية التحتية في أسواق أخرى قد يحول دون تعميم النتائج خارج المملكة.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EE2736"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المملكة العربية السعودية؛ تحديدًا الجهات الرقابية في الرياض وجدة والخبر حيث توجد الإدارات الرئيسة لساما وهيئة السوق المالية ووحدة التحريات المالية.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6322F9"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المكاني</w:t>
            </w:r>
          </w:p>
        </w:tc>
      </w:tr>
      <w:tr w:rsidR="000C27D5" w:rsidRPr="004C5A9C" w14:paraId="2A49F62F" w14:textId="77777777">
        <w:trPr>
          <w:divId w:val="480773624"/>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E1423A"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هذه الفترة تتزامن مع ترخيص أول البنوك الرقمية المحلية واختبار الإصدار التجريبي للريال الرقمي، ما يوفّر بيئة واقعية للدراسة.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B67387"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جمع البيانات الميدانية بين يوليو وديسمبر 2025.</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7ACE52"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الزماني</w:t>
            </w:r>
          </w:p>
        </w:tc>
      </w:tr>
      <w:tr w:rsidR="000C27D5" w:rsidRPr="004C5A9C" w14:paraId="55E50F09" w14:textId="77777777">
        <w:trPr>
          <w:divId w:val="480773624"/>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762D1B"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lastRenderedPageBreak/>
              <w:t>قصر أدوات القياس على الجانب الرقابي يسهّل الربط المباشر بالفروض، لكنه يقلّل من منظور الأطراف الأخرى (المستهلكين، البنوك التجارية).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AD6250"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منهج وصفي–تحليلي مقارن بمدخل مختلط (استبانة + مقابلات). العينة تشمل موظفي الجهات الرقابية ولا تتضمّن عملاء البنوك أو مطوري منصّات أجنبية.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A17A7E" w14:textId="77777777" w:rsidR="00A25B93" w:rsidRPr="004C5A9C" w:rsidRDefault="00A25B93" w:rsidP="00BE7B2A">
            <w:p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المنهجي</w:t>
            </w:r>
          </w:p>
        </w:tc>
      </w:tr>
    </w:tbl>
    <w:p w14:paraId="495A1B85" w14:textId="77777777" w:rsidR="00A25B93" w:rsidRPr="004C5A9C" w:rsidRDefault="00A25B93" w:rsidP="00BE7B2A">
      <w:pPr>
        <w:spacing w:line="360" w:lineRule="auto"/>
        <w:rPr>
          <w:rFonts w:ascii="Sakkal Majalla" w:hAnsi="Sakkal Majalla" w:cs="Sakkal Majalla"/>
          <w:color w:val="000000" w:themeColor="text1"/>
          <w:sz w:val="28"/>
          <w:szCs w:val="28"/>
          <w:rtl/>
        </w:rPr>
      </w:pPr>
    </w:p>
    <w:p w14:paraId="20DE92E3" w14:textId="77777777" w:rsidR="00A25B93" w:rsidRPr="004C5A9C" w:rsidRDefault="00A25B93" w:rsidP="00BE7B2A">
      <w:pPr>
        <w:spacing w:line="360" w:lineRule="auto"/>
        <w:rPr>
          <w:rFonts w:ascii="Sakkal Majalla" w:hAnsi="Sakkal Majalla" w:cs="Sakkal Majalla"/>
          <w:b/>
          <w:bCs/>
          <w:color w:val="000000" w:themeColor="text1"/>
          <w:sz w:val="28"/>
          <w:szCs w:val="28"/>
          <w:rtl/>
        </w:rPr>
      </w:pPr>
      <w:r w:rsidRPr="004C5A9C">
        <w:rPr>
          <w:rFonts w:ascii="Sakkal Majalla" w:hAnsi="Sakkal Majalla" w:cs="Sakkal Majalla"/>
          <w:b/>
          <w:bCs/>
          <w:color w:val="000000" w:themeColor="text1"/>
          <w:sz w:val="28"/>
          <w:szCs w:val="28"/>
          <w:rtl/>
        </w:rPr>
        <w:t>قيود إضافية محتملة</w:t>
      </w:r>
    </w:p>
    <w:p w14:paraId="15B5D294" w14:textId="7667B19B" w:rsidR="00A25B93" w:rsidRPr="004C5A9C" w:rsidRDefault="00A25B93" w:rsidP="00BE7B2A">
      <w:pPr>
        <w:pStyle w:val="a5"/>
        <w:numPr>
          <w:ilvl w:val="0"/>
          <w:numId w:val="2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الاعتماد على استجابات ذاتية قد يعرّض بعض البنود لتحيّز اجتماعي.</w:t>
      </w:r>
    </w:p>
    <w:p w14:paraId="7B5C2F82" w14:textId="5632520B" w:rsidR="00A25B93" w:rsidRPr="004C5A9C" w:rsidRDefault="00A25B93" w:rsidP="00BE7B2A">
      <w:pPr>
        <w:pStyle w:val="a5"/>
        <w:numPr>
          <w:ilvl w:val="0"/>
          <w:numId w:val="2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 xml:space="preserve">التطورات التنظيمية بعد 2025 (مثل صدور لوائح </w:t>
      </w:r>
      <w:r w:rsidRPr="004C5A9C">
        <w:rPr>
          <w:rFonts w:ascii="Sakkal Majalla" w:hAnsi="Sakkal Majalla" w:cs="Sakkal Majalla"/>
          <w:color w:val="000000" w:themeColor="text1"/>
          <w:sz w:val="28"/>
          <w:szCs w:val="28"/>
        </w:rPr>
        <w:t>DeFi</w:t>
      </w:r>
      <w:r w:rsidRPr="004C5A9C">
        <w:rPr>
          <w:rFonts w:ascii="Sakkal Majalla" w:hAnsi="Sakkal Majalla" w:cs="Sakkal Majalla"/>
          <w:color w:val="000000" w:themeColor="text1"/>
          <w:sz w:val="28"/>
          <w:szCs w:val="28"/>
          <w:rtl/>
        </w:rPr>
        <w:t xml:space="preserve"> جديدة) قد تُغيّر بعض الاستنتاجات.</w:t>
      </w:r>
    </w:p>
    <w:p w14:paraId="1A9793D4" w14:textId="43E3B4C9" w:rsidR="00A25B93" w:rsidRPr="004C5A9C" w:rsidRDefault="00A25B93" w:rsidP="00BE7B2A">
      <w:pPr>
        <w:pStyle w:val="a5"/>
        <w:numPr>
          <w:ilvl w:val="0"/>
          <w:numId w:val="29"/>
        </w:numPr>
        <w:spacing w:line="360" w:lineRule="auto"/>
        <w:rPr>
          <w:rFonts w:ascii="Sakkal Majalla" w:hAnsi="Sakkal Majalla" w:cs="Sakkal Majalla"/>
          <w:color w:val="000000" w:themeColor="text1"/>
          <w:sz w:val="28"/>
          <w:szCs w:val="28"/>
          <w:rtl/>
        </w:rPr>
      </w:pPr>
      <w:r w:rsidRPr="004C5A9C">
        <w:rPr>
          <w:rFonts w:ascii="Sakkal Majalla" w:hAnsi="Sakkal Majalla" w:cs="Sakkal Majalla"/>
          <w:color w:val="000000" w:themeColor="text1"/>
          <w:sz w:val="28"/>
          <w:szCs w:val="28"/>
          <w:rtl/>
        </w:rPr>
        <w:t>صعوبة النفاذ إلى بيانات حسّاسة خاصة بسياسات الأمن السيبراني قد تحدّ من دقّة قياس بُعد المخاطر التقنية.</w:t>
      </w:r>
    </w:p>
    <w:p w14:paraId="72AC3FE0" w14:textId="77777777" w:rsidR="00EE5C15" w:rsidRDefault="00EE5C15" w:rsidP="00BE7B2A">
      <w:pPr>
        <w:spacing w:line="360" w:lineRule="auto"/>
        <w:rPr>
          <w:rFonts w:ascii="Sakkal Majalla" w:hAnsi="Sakkal Majalla" w:cs="Sakkal Majalla"/>
          <w:color w:val="000000" w:themeColor="text1"/>
          <w:sz w:val="28"/>
          <w:szCs w:val="28"/>
          <w:rtl/>
        </w:rPr>
      </w:pPr>
    </w:p>
    <w:p w14:paraId="3821F014" w14:textId="77777777" w:rsidR="00BE7B2A" w:rsidRDefault="00BE7B2A" w:rsidP="00BE7B2A">
      <w:pPr>
        <w:spacing w:line="360" w:lineRule="auto"/>
        <w:rPr>
          <w:rFonts w:ascii="Sakkal Majalla" w:hAnsi="Sakkal Majalla" w:cs="Sakkal Majalla"/>
          <w:color w:val="000000" w:themeColor="text1"/>
          <w:sz w:val="28"/>
          <w:szCs w:val="28"/>
          <w:rtl/>
        </w:rPr>
      </w:pPr>
    </w:p>
    <w:p w14:paraId="7890DCFD" w14:textId="77777777" w:rsidR="00BE7B2A" w:rsidRDefault="00BE7B2A" w:rsidP="00BE7B2A">
      <w:pPr>
        <w:spacing w:line="360" w:lineRule="auto"/>
        <w:rPr>
          <w:rFonts w:ascii="Sakkal Majalla" w:hAnsi="Sakkal Majalla" w:cs="Sakkal Majalla"/>
          <w:color w:val="000000" w:themeColor="text1"/>
          <w:sz w:val="28"/>
          <w:szCs w:val="28"/>
          <w:rtl/>
        </w:rPr>
      </w:pPr>
    </w:p>
    <w:p w14:paraId="4B83478F" w14:textId="77777777" w:rsidR="00BE7B2A" w:rsidRDefault="00BE7B2A" w:rsidP="00BE7B2A">
      <w:pPr>
        <w:spacing w:line="360" w:lineRule="auto"/>
        <w:rPr>
          <w:rFonts w:ascii="Sakkal Majalla" w:hAnsi="Sakkal Majalla" w:cs="Sakkal Majalla"/>
          <w:color w:val="000000" w:themeColor="text1"/>
          <w:sz w:val="28"/>
          <w:szCs w:val="28"/>
          <w:rtl/>
        </w:rPr>
      </w:pPr>
    </w:p>
    <w:p w14:paraId="3E3EA32E" w14:textId="77777777" w:rsidR="00BE7B2A" w:rsidRDefault="00BE7B2A" w:rsidP="00BE7B2A">
      <w:pPr>
        <w:spacing w:line="360" w:lineRule="auto"/>
        <w:rPr>
          <w:rFonts w:ascii="Sakkal Majalla" w:hAnsi="Sakkal Majalla" w:cs="Sakkal Majalla"/>
          <w:color w:val="000000" w:themeColor="text1"/>
          <w:sz w:val="28"/>
          <w:szCs w:val="28"/>
          <w:rtl/>
        </w:rPr>
      </w:pPr>
    </w:p>
    <w:p w14:paraId="1B06C863" w14:textId="77777777" w:rsidR="00BE7B2A" w:rsidRDefault="00BE7B2A" w:rsidP="00BE7B2A">
      <w:pPr>
        <w:spacing w:line="360" w:lineRule="auto"/>
        <w:rPr>
          <w:rFonts w:ascii="Sakkal Majalla" w:hAnsi="Sakkal Majalla" w:cs="Sakkal Majalla"/>
          <w:color w:val="000000" w:themeColor="text1"/>
          <w:sz w:val="28"/>
          <w:szCs w:val="28"/>
          <w:rtl/>
        </w:rPr>
      </w:pPr>
    </w:p>
    <w:p w14:paraId="7EE51166" w14:textId="77777777" w:rsidR="00BE7B2A" w:rsidRDefault="00BE7B2A" w:rsidP="00BE7B2A">
      <w:pPr>
        <w:spacing w:line="360" w:lineRule="auto"/>
        <w:rPr>
          <w:rFonts w:ascii="Sakkal Majalla" w:hAnsi="Sakkal Majalla" w:cs="Sakkal Majalla"/>
          <w:color w:val="000000" w:themeColor="text1"/>
          <w:sz w:val="28"/>
          <w:szCs w:val="28"/>
          <w:rtl/>
        </w:rPr>
      </w:pPr>
    </w:p>
    <w:p w14:paraId="1286F729" w14:textId="77777777" w:rsidR="00BE7B2A" w:rsidRDefault="00BE7B2A" w:rsidP="00BE7B2A">
      <w:pPr>
        <w:spacing w:line="360" w:lineRule="auto"/>
        <w:rPr>
          <w:rFonts w:ascii="Sakkal Majalla" w:hAnsi="Sakkal Majalla" w:cs="Sakkal Majalla"/>
          <w:color w:val="000000" w:themeColor="text1"/>
          <w:sz w:val="28"/>
          <w:szCs w:val="28"/>
          <w:rtl/>
        </w:rPr>
      </w:pPr>
    </w:p>
    <w:p w14:paraId="39CEAD39" w14:textId="77777777" w:rsidR="00BE7B2A" w:rsidRDefault="00BE7B2A" w:rsidP="00BE7B2A">
      <w:pPr>
        <w:spacing w:line="360" w:lineRule="auto"/>
        <w:rPr>
          <w:rFonts w:ascii="Sakkal Majalla" w:hAnsi="Sakkal Majalla" w:cs="Sakkal Majalla"/>
          <w:color w:val="000000" w:themeColor="text1"/>
          <w:sz w:val="28"/>
          <w:szCs w:val="28"/>
          <w:rtl/>
        </w:rPr>
      </w:pPr>
    </w:p>
    <w:p w14:paraId="2990231D" w14:textId="77777777" w:rsidR="00BE7B2A" w:rsidRPr="004C5A9C" w:rsidRDefault="00BE7B2A" w:rsidP="00BE7B2A">
      <w:pPr>
        <w:spacing w:line="360" w:lineRule="auto"/>
        <w:rPr>
          <w:rFonts w:ascii="Sakkal Majalla" w:hAnsi="Sakkal Majalla" w:cs="Sakkal Majalla"/>
          <w:color w:val="000000" w:themeColor="text1"/>
          <w:sz w:val="28"/>
          <w:szCs w:val="28"/>
          <w:rtl/>
        </w:rPr>
      </w:pPr>
    </w:p>
    <w:p w14:paraId="18998DF6" w14:textId="3032F016" w:rsidR="00171685" w:rsidRPr="004C5A9C" w:rsidRDefault="00171685" w:rsidP="00BE7B2A">
      <w:pPr>
        <w:spacing w:before="100" w:beforeAutospacing="1" w:after="100" w:afterAutospacing="1" w:line="360" w:lineRule="auto"/>
        <w:jc w:val="center"/>
        <w:outlineLvl w:val="1"/>
        <w:divId w:val="7607650"/>
        <w:rPr>
          <w:rFonts w:ascii="Times New Roman" w:eastAsia="Times New Roman" w:hAnsi="Times New Roman" w:cs="Times New Roman"/>
          <w:b/>
          <w:bCs/>
          <w:color w:val="000000" w:themeColor="text1"/>
          <w:kern w:val="0"/>
          <w:sz w:val="36"/>
          <w:szCs w:val="36"/>
          <w:u w:val="single"/>
          <w14:ligatures w14:val="none"/>
        </w:rPr>
      </w:pPr>
      <w:r w:rsidRPr="004C5A9C">
        <w:rPr>
          <w:rFonts w:ascii="Times New Roman" w:eastAsia="Times New Roman" w:hAnsi="Times New Roman" w:cs="Times New Roman"/>
          <w:b/>
          <w:bCs/>
          <w:color w:val="000000" w:themeColor="text1"/>
          <w:kern w:val="0"/>
          <w:sz w:val="36"/>
          <w:szCs w:val="36"/>
          <w:u w:val="single"/>
          <w:rtl/>
          <w14:ligatures w14:val="none"/>
        </w:rPr>
        <w:lastRenderedPageBreak/>
        <w:t>الفصل الثاني: الإطار النظري</w:t>
      </w:r>
    </w:p>
    <w:p w14:paraId="37797DAD" w14:textId="79EEE13F" w:rsidR="00171685" w:rsidRPr="004C5A9C" w:rsidRDefault="00171685" w:rsidP="00BE7B2A">
      <w:pPr>
        <w:spacing w:before="100" w:beforeAutospacing="1" w:after="100" w:afterAutospacing="1" w:line="360" w:lineRule="auto"/>
        <w:outlineLvl w:val="2"/>
        <w:divId w:val="7607650"/>
        <w:rPr>
          <w:rFonts w:ascii="Times New Roman" w:eastAsia="Times New Roman" w:hAnsi="Times New Roman" w:cs="Times New Roman"/>
          <w:b/>
          <w:bCs/>
          <w:color w:val="000000" w:themeColor="text1"/>
          <w:kern w:val="0"/>
          <w:sz w:val="32"/>
          <w:szCs w:val="32"/>
          <w:u w:val="single"/>
          <w14:ligatures w14:val="none"/>
        </w:rPr>
      </w:pPr>
      <w:r w:rsidRPr="004C5A9C">
        <w:rPr>
          <w:rFonts w:ascii="Times New Roman" w:eastAsia="Times New Roman" w:hAnsi="Times New Roman" w:cs="Times New Roman"/>
          <w:b/>
          <w:bCs/>
          <w:color w:val="000000" w:themeColor="text1"/>
          <w:kern w:val="0"/>
          <w:sz w:val="32"/>
          <w:szCs w:val="32"/>
          <w:u w:val="single"/>
          <w:rtl/>
          <w14:ligatures w14:val="none"/>
        </w:rPr>
        <w:t>المبحث الأوّل: البنوك الرقميّة</w:t>
      </w:r>
    </w:p>
    <w:p w14:paraId="3CC03F70" w14:textId="2F53A84F" w:rsidR="00171685" w:rsidRPr="004C5A9C" w:rsidRDefault="00171685" w:rsidP="00BE7B2A">
      <w:pPr>
        <w:spacing w:before="100" w:beforeAutospacing="1" w:after="100" w:afterAutospacing="1" w:line="360" w:lineRule="auto"/>
        <w:outlineLvl w:val="3"/>
        <w:divId w:val="7607650"/>
        <w:rPr>
          <w:rFonts w:ascii="Times New Roman" w:eastAsia="Times New Roman" w:hAnsi="Times New Roman" w:cs="Times New Roman"/>
          <w:b/>
          <w:bCs/>
          <w:color w:val="000000" w:themeColor="text1"/>
          <w:kern w:val="0"/>
          <w:sz w:val="32"/>
          <w:szCs w:val="32"/>
          <w14:ligatures w14:val="none"/>
        </w:rPr>
      </w:pPr>
      <w:r w:rsidRPr="004C5A9C">
        <w:rPr>
          <w:rFonts w:ascii="Times New Roman" w:eastAsia="Times New Roman" w:hAnsi="Times New Roman" w:cs="Times New Roman"/>
          <w:b/>
          <w:bCs/>
          <w:color w:val="000000" w:themeColor="text1"/>
          <w:kern w:val="0"/>
          <w:sz w:val="32"/>
          <w:szCs w:val="32"/>
          <w:rtl/>
          <w14:ligatures w14:val="none"/>
        </w:rPr>
        <w:t>2-1-1 مقدّمة</w:t>
      </w:r>
    </w:p>
    <w:p w14:paraId="364E79B0" w14:textId="77777777" w:rsidR="00171685" w:rsidRPr="004C5A9C" w:rsidRDefault="00171685" w:rsidP="00BE7B2A">
      <w:p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14:ligatures w14:val="none"/>
        </w:rPr>
      </w:pPr>
      <w:r w:rsidRPr="004C5A9C">
        <w:rPr>
          <w:rFonts w:ascii="Times New Roman" w:eastAsiaTheme="minorEastAsia" w:hAnsi="Times New Roman" w:cs="Times New Roman"/>
          <w:color w:val="000000" w:themeColor="text1"/>
          <w:kern w:val="0"/>
          <w:sz w:val="28"/>
          <w:szCs w:val="28"/>
          <w:rtl/>
          <w14:ligatures w14:val="none"/>
        </w:rPr>
        <w:t>أضحى التحوّل الرقمي محورًا إستراتيجيًا في الصناعة المصرفيّة العالميّة، إذ غدت البيانات وقواعد الذكاء الاصطناعي، لا المباني والفروع، هي المصدر الرئيس للقيمة المضافة. فالمصرف الذي يمتلك بنيةً سحابيّةً مرنةً، ومحركات قرار ائتماني لحظيّة، وقدرات تحليل بيانات عالية الدقّة، يُعدّ اليوم أكثر قدرةً على الابتكار وتقديم خدمات متخصّصة بتكلفةٍ أقلّ وزمنٍ استجابةٍ أقصر. وتُظهر التجربة السعوديّة، في ظل «رؤية 2030» وبرنامج تطوير القطاع المالي، اتّجاهًا متسارعًا نحو هذا النموذج، تمثّل في الترخيص لأول بنوك رقميّة محليّة وإطلاق مشروع الريال الرقمي التجريبي تحت إشراف البنك المركزي السعودي (ساما).</w:t>
      </w:r>
    </w:p>
    <w:p w14:paraId="7B9F3225" w14:textId="77777777" w:rsidR="00171685" w:rsidRPr="004C5A9C" w:rsidRDefault="00171685" w:rsidP="00BE7B2A">
      <w:p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rtl/>
          <w14:ligatures w14:val="none"/>
        </w:rPr>
      </w:pPr>
    </w:p>
    <w:p w14:paraId="1732CF47" w14:textId="2D41F108" w:rsidR="00171685" w:rsidRPr="004C5A9C" w:rsidRDefault="00171685" w:rsidP="00BE7B2A">
      <w:pPr>
        <w:spacing w:before="100" w:beforeAutospacing="1" w:after="100" w:afterAutospacing="1" w:line="360" w:lineRule="auto"/>
        <w:outlineLvl w:val="3"/>
        <w:divId w:val="7607650"/>
        <w:rPr>
          <w:rFonts w:ascii="Times New Roman" w:eastAsia="Times New Roman" w:hAnsi="Times New Roman" w:cs="Times New Roman"/>
          <w:b/>
          <w:bCs/>
          <w:color w:val="000000" w:themeColor="text1"/>
          <w:kern w:val="0"/>
          <w:sz w:val="32"/>
          <w:szCs w:val="32"/>
          <w14:ligatures w14:val="none"/>
        </w:rPr>
      </w:pPr>
      <w:r w:rsidRPr="004C5A9C">
        <w:rPr>
          <w:rFonts w:ascii="Times New Roman" w:eastAsia="Times New Roman" w:hAnsi="Times New Roman" w:cs="Times New Roman"/>
          <w:b/>
          <w:bCs/>
          <w:color w:val="000000" w:themeColor="text1"/>
          <w:kern w:val="0"/>
          <w:sz w:val="32"/>
          <w:szCs w:val="32"/>
          <w:rtl/>
          <w14:ligatures w14:val="none"/>
        </w:rPr>
        <w:t>2-1-2 مفهوم البنك الرقمي</w:t>
      </w:r>
    </w:p>
    <w:p w14:paraId="1346967C" w14:textId="77777777" w:rsidR="00171685" w:rsidRPr="004C5A9C" w:rsidRDefault="00171685" w:rsidP="00BE7B2A">
      <w:p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14:ligatures w14:val="none"/>
        </w:rPr>
      </w:pPr>
      <w:r w:rsidRPr="004C5A9C">
        <w:rPr>
          <w:rFonts w:ascii="Times New Roman" w:eastAsiaTheme="minorEastAsia" w:hAnsi="Times New Roman" w:cs="Times New Roman"/>
          <w:color w:val="000000" w:themeColor="text1"/>
          <w:kern w:val="0"/>
          <w:sz w:val="28"/>
          <w:szCs w:val="28"/>
          <w:rtl/>
          <w14:ligatures w14:val="none"/>
        </w:rPr>
        <w:t>رغم تعدّد الاجتهادات التعريفيّة، فإنّ معظم الأدبيّات تتقاطع عند التأكيد على أربعة عناصر أساسيّة: المنصّة الإلكترونية الخالصة، والمعالجة اللحظيّة للبيانات، والتكامل المفتوح عبر الواجهات البرمجيّة (</w:t>
      </w:r>
      <w:r w:rsidRPr="004C5A9C">
        <w:rPr>
          <w:rFonts w:ascii="Times New Roman" w:eastAsiaTheme="minorEastAsia" w:hAnsi="Times New Roman" w:cs="Times New Roman"/>
          <w:color w:val="000000" w:themeColor="text1"/>
          <w:kern w:val="0"/>
          <w:sz w:val="28"/>
          <w:szCs w:val="28"/>
          <w14:ligatures w14:val="none"/>
        </w:rPr>
        <w:t>APIs</w:t>
      </w:r>
      <w:r w:rsidRPr="004C5A9C">
        <w:rPr>
          <w:rFonts w:ascii="Times New Roman" w:eastAsiaTheme="minorEastAsia" w:hAnsi="Times New Roman" w:cs="Times New Roman"/>
          <w:color w:val="000000" w:themeColor="text1"/>
          <w:kern w:val="0"/>
          <w:sz w:val="28"/>
          <w:szCs w:val="28"/>
          <w:rtl/>
          <w14:ligatures w14:val="none"/>
        </w:rPr>
        <w:t>)، والخضوع للإطار التنظيمي المصرفي الكامل. وفيما يأتي أبرز التعريفات المعاصرة:</w:t>
      </w:r>
    </w:p>
    <w:p w14:paraId="1607D5A9" w14:textId="77777777" w:rsidR="00171685" w:rsidRPr="004C5A9C" w:rsidRDefault="00171685" w:rsidP="00BE7B2A">
      <w:pPr>
        <w:numPr>
          <w:ilvl w:val="0"/>
          <w:numId w:val="30"/>
        </w:num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 xml:space="preserve">عرَّف </w:t>
      </w:r>
      <w:r w:rsidRPr="004C5A9C">
        <w:rPr>
          <w:rFonts w:ascii="Times New Roman" w:eastAsiaTheme="minorEastAsia" w:hAnsi="Times New Roman" w:cs="Times New Roman"/>
          <w:color w:val="000000" w:themeColor="text1"/>
          <w:kern w:val="0"/>
          <w:sz w:val="28"/>
          <w:szCs w:val="28"/>
          <w14:ligatures w14:val="none"/>
        </w:rPr>
        <w:t>Bátiz-Lazo</w:t>
      </w:r>
      <w:r w:rsidRPr="004C5A9C">
        <w:rPr>
          <w:rFonts w:ascii="Times New Roman" w:eastAsiaTheme="minorEastAsia" w:hAnsi="Times New Roman" w:cs="Times New Roman"/>
          <w:color w:val="000000" w:themeColor="text1"/>
          <w:kern w:val="0"/>
          <w:sz w:val="28"/>
          <w:szCs w:val="28"/>
          <w:rtl/>
          <w14:ligatures w14:val="none"/>
        </w:rPr>
        <w:t xml:space="preserve"> وآخرون (2019) البنك الرقمي بأنّه «مؤسّسة ماليّة تُقدِّم مجموعة الخدمات المصرفيّة كافّة عبر قنوات إلكترونيّة حصريّة، مستندةً إلى بنية سحابيّة مرنة ومتكاملة واجهات البرمجة، من دون الحاجة إلى أيّ وجود فرعيّ مادّي».</w:t>
      </w:r>
    </w:p>
    <w:p w14:paraId="459C7A3A" w14:textId="77777777" w:rsidR="00171685" w:rsidRPr="004C5A9C" w:rsidRDefault="00171685" w:rsidP="00BE7B2A">
      <w:pPr>
        <w:numPr>
          <w:ilvl w:val="0"/>
          <w:numId w:val="30"/>
        </w:num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 xml:space="preserve">وصفه </w:t>
      </w:r>
      <w:r w:rsidRPr="004C5A9C">
        <w:rPr>
          <w:rFonts w:ascii="Times New Roman" w:eastAsiaTheme="minorEastAsia" w:hAnsi="Times New Roman" w:cs="Times New Roman"/>
          <w:color w:val="000000" w:themeColor="text1"/>
          <w:kern w:val="0"/>
          <w:sz w:val="28"/>
          <w:szCs w:val="28"/>
          <w14:ligatures w14:val="none"/>
        </w:rPr>
        <w:t>Gkritsi</w:t>
      </w:r>
      <w:r w:rsidRPr="004C5A9C">
        <w:rPr>
          <w:rFonts w:ascii="Times New Roman" w:eastAsiaTheme="minorEastAsia" w:hAnsi="Times New Roman" w:cs="Times New Roman"/>
          <w:color w:val="000000" w:themeColor="text1"/>
          <w:kern w:val="0"/>
          <w:sz w:val="28"/>
          <w:szCs w:val="28"/>
          <w:rtl/>
          <w14:ligatures w14:val="none"/>
        </w:rPr>
        <w:t xml:space="preserve"> و</w:t>
      </w:r>
      <w:r w:rsidRPr="004C5A9C">
        <w:rPr>
          <w:rFonts w:ascii="Times New Roman" w:eastAsiaTheme="minorEastAsia" w:hAnsi="Times New Roman" w:cs="Times New Roman"/>
          <w:color w:val="000000" w:themeColor="text1"/>
          <w:kern w:val="0"/>
          <w:sz w:val="28"/>
          <w:szCs w:val="28"/>
          <w14:ligatures w14:val="none"/>
        </w:rPr>
        <w:t>Kambourakis (2021)</w:t>
      </w:r>
      <w:r w:rsidRPr="004C5A9C">
        <w:rPr>
          <w:rFonts w:ascii="Times New Roman" w:eastAsiaTheme="minorEastAsia" w:hAnsi="Times New Roman" w:cs="Times New Roman"/>
          <w:color w:val="000000" w:themeColor="text1"/>
          <w:kern w:val="0"/>
          <w:sz w:val="28"/>
          <w:szCs w:val="28"/>
          <w:rtl/>
          <w14:ligatures w14:val="none"/>
        </w:rPr>
        <w:t xml:space="preserve"> بأنّه «نموذجٌ مصرفيٌّ قائمٌ على المعرفة والبرمجيات يُولِّد ميزةً تنافسيّة عبر خفض التكلفة الهيكليّة وتسريع دورات الابتكار، مقارنةً بالبنوك التقليديّة».</w:t>
      </w:r>
    </w:p>
    <w:p w14:paraId="1F09E800" w14:textId="77777777" w:rsidR="00171685" w:rsidRPr="004C5A9C" w:rsidRDefault="00171685" w:rsidP="00BE7B2A">
      <w:pPr>
        <w:numPr>
          <w:ilvl w:val="0"/>
          <w:numId w:val="30"/>
        </w:num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أدرجه بنك التسويات الدولية (</w:t>
      </w:r>
      <w:r w:rsidRPr="004C5A9C">
        <w:rPr>
          <w:rFonts w:ascii="Times New Roman" w:eastAsiaTheme="minorEastAsia" w:hAnsi="Times New Roman" w:cs="Times New Roman"/>
          <w:color w:val="000000" w:themeColor="text1"/>
          <w:kern w:val="0"/>
          <w:sz w:val="28"/>
          <w:szCs w:val="28"/>
          <w14:ligatures w14:val="none"/>
        </w:rPr>
        <w:t>BIS، 2022</w:t>
      </w:r>
      <w:r w:rsidRPr="004C5A9C">
        <w:rPr>
          <w:rFonts w:ascii="Times New Roman" w:eastAsiaTheme="minorEastAsia" w:hAnsi="Times New Roman" w:cs="Times New Roman"/>
          <w:color w:val="000000" w:themeColor="text1"/>
          <w:kern w:val="0"/>
          <w:sz w:val="28"/>
          <w:szCs w:val="28"/>
          <w:rtl/>
          <w14:ligatures w14:val="none"/>
        </w:rPr>
        <w:t>) ضمن فئة «المصرف الرقمي الأصلي (</w:t>
      </w:r>
      <w:r w:rsidRPr="004C5A9C">
        <w:rPr>
          <w:rFonts w:ascii="Times New Roman" w:eastAsiaTheme="minorEastAsia" w:hAnsi="Times New Roman" w:cs="Times New Roman"/>
          <w:color w:val="000000" w:themeColor="text1"/>
          <w:kern w:val="0"/>
          <w:sz w:val="28"/>
          <w:szCs w:val="28"/>
          <w14:ligatures w14:val="none"/>
        </w:rPr>
        <w:t>Digital-Native Bank</w:t>
      </w:r>
      <w:r w:rsidRPr="004C5A9C">
        <w:rPr>
          <w:rFonts w:ascii="Times New Roman" w:eastAsiaTheme="minorEastAsia" w:hAnsi="Times New Roman" w:cs="Times New Roman"/>
          <w:color w:val="000000" w:themeColor="text1"/>
          <w:kern w:val="0"/>
          <w:sz w:val="28"/>
          <w:szCs w:val="28"/>
          <w:rtl/>
          <w14:ligatures w14:val="none"/>
        </w:rPr>
        <w:t xml:space="preserve">)» الذي «يطبِّق معايير بازل لكفاية رأس المال والسيولة، </w:t>
      </w:r>
      <w:r w:rsidRPr="004C5A9C">
        <w:rPr>
          <w:rFonts w:ascii="Times New Roman" w:eastAsiaTheme="minorEastAsia" w:hAnsi="Times New Roman" w:cs="Times New Roman"/>
          <w:color w:val="000000" w:themeColor="text1"/>
          <w:kern w:val="0"/>
          <w:sz w:val="28"/>
          <w:szCs w:val="28"/>
          <w:rtl/>
          <w14:ligatures w14:val="none"/>
        </w:rPr>
        <w:lastRenderedPageBreak/>
        <w:t>ويستعيض عن البنية التحتيّة المادّية ببنيةٍ سحابيّة متعدّدة المواقع وآليات تحقق هوية رقمية متقدمة (</w:t>
      </w:r>
      <w:r w:rsidRPr="004C5A9C">
        <w:rPr>
          <w:rFonts w:ascii="Times New Roman" w:eastAsiaTheme="minorEastAsia" w:hAnsi="Times New Roman" w:cs="Times New Roman"/>
          <w:color w:val="000000" w:themeColor="text1"/>
          <w:kern w:val="0"/>
          <w:sz w:val="28"/>
          <w:szCs w:val="28"/>
          <w14:ligatures w14:val="none"/>
        </w:rPr>
        <w:t>e-KYC</w:t>
      </w:r>
      <w:r w:rsidRPr="004C5A9C">
        <w:rPr>
          <w:rFonts w:ascii="Times New Roman" w:eastAsiaTheme="minorEastAsia" w:hAnsi="Times New Roman" w:cs="Times New Roman"/>
          <w:color w:val="000000" w:themeColor="text1"/>
          <w:kern w:val="0"/>
          <w:sz w:val="28"/>
          <w:szCs w:val="28"/>
          <w:rtl/>
          <w14:ligatures w14:val="none"/>
        </w:rPr>
        <w:t>)».</w:t>
      </w:r>
    </w:p>
    <w:p w14:paraId="5A16152D" w14:textId="77777777" w:rsidR="00171685" w:rsidRPr="004C5A9C" w:rsidRDefault="00171685" w:rsidP="00BE7B2A">
      <w:pPr>
        <w:numPr>
          <w:ilvl w:val="0"/>
          <w:numId w:val="30"/>
        </w:num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أمّا ساما (2024) فعرّفته رسميًّا بأنّه «كيانٌ مصرفيٌّ مرخَّصٌ يوفّر خدمات مصرفية متكاملة عبر منصة رقمية، يخضع لجميع متطلّبات رأس المال والسيولة وحماية المستهلك المصرفي، ويعتمد أعلى معايير الأمن السيبراني والتعلّم الآلي».</w:t>
      </w:r>
    </w:p>
    <w:p w14:paraId="1C373CA3" w14:textId="77777777" w:rsidR="00171685" w:rsidRPr="004C5A9C" w:rsidRDefault="00171685" w:rsidP="00BE7B2A">
      <w:p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rtl/>
          <w14:ligatures w14:val="none"/>
        </w:rPr>
      </w:pPr>
    </w:p>
    <w:p w14:paraId="5BE9D704" w14:textId="77777777" w:rsidR="00C51D0F" w:rsidRPr="004C5A9C" w:rsidRDefault="00C51D0F" w:rsidP="00BE7B2A">
      <w:p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rtl/>
          <w14:ligatures w14:val="none"/>
        </w:rPr>
      </w:pPr>
    </w:p>
    <w:p w14:paraId="0E1DF22A" w14:textId="77777777" w:rsidR="00171685" w:rsidRPr="004C5A9C" w:rsidRDefault="00171685" w:rsidP="00BE7B2A">
      <w:pPr>
        <w:bidi w:val="0"/>
        <w:spacing w:after="0" w:line="360" w:lineRule="auto"/>
        <w:jc w:val="right"/>
        <w:divId w:val="2118602727"/>
        <w:rPr>
          <w:rFonts w:ascii=".AppleSystemUIFont" w:eastAsia="Times New Roman" w:hAnsi=".AppleSystemUIFont" w:cs="Times New Roman"/>
          <w:b/>
          <w:bCs/>
          <w:color w:val="000000" w:themeColor="text1"/>
          <w:kern w:val="0"/>
          <w:sz w:val="32"/>
          <w:szCs w:val="32"/>
          <w14:ligatures w14:val="none"/>
        </w:rPr>
      </w:pPr>
      <w:r w:rsidRPr="004C5A9C">
        <w:rPr>
          <w:rFonts w:ascii=".AppleSystemUIFont" w:eastAsia="Times New Roman" w:hAnsi=".AppleSystemUIFont" w:cs="Times New Roman"/>
          <w:b/>
          <w:bCs/>
          <w:color w:val="000000" w:themeColor="text1"/>
          <w:kern w:val="0"/>
          <w:sz w:val="32"/>
          <w:szCs w:val="32"/>
          <w:rtl/>
          <w14:ligatures w14:val="none"/>
        </w:rPr>
        <w:t>استنتاج تعريفي للدراسة</w:t>
      </w:r>
    </w:p>
    <w:p w14:paraId="2DDFEA89" w14:textId="77777777" w:rsidR="00171685" w:rsidRPr="004C5A9C" w:rsidRDefault="00171685" w:rsidP="00BE7B2A">
      <w:pPr>
        <w:bidi w:val="0"/>
        <w:spacing w:after="0" w:line="360" w:lineRule="auto"/>
        <w:jc w:val="right"/>
        <w:divId w:val="1988239352"/>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يُعرَّف البنك الرقمي، في سياق المملكة، بأنّه:</w:t>
      </w:r>
    </w:p>
    <w:p w14:paraId="505301DC" w14:textId="3CBB9F55" w:rsidR="00171685" w:rsidRPr="004C5A9C" w:rsidRDefault="00171685" w:rsidP="00BE7B2A">
      <w:pPr>
        <w:bidi w:val="0"/>
        <w:spacing w:after="0" w:line="360" w:lineRule="auto"/>
        <w:ind w:left="225"/>
        <w:jc w:val="right"/>
        <w:divId w:val="1905528623"/>
        <w:rPr>
          <w:rFonts w:ascii=".AppleSystemUIFont" w:eastAsia="Times New Roman" w:hAnsi=".AppleSystemUIFont" w:cs="Times New Roman"/>
          <w:color w:val="000000" w:themeColor="text1"/>
          <w:kern w:val="0"/>
          <w:sz w:val="28"/>
          <w:szCs w:val="28"/>
          <w:rtl/>
          <w14:ligatures w14:val="none"/>
        </w:rPr>
      </w:pPr>
      <w:r w:rsidRPr="004C5A9C">
        <w:rPr>
          <w:rFonts w:ascii=".AppleSystemUIFont" w:eastAsia="Times New Roman" w:hAnsi=".AppleSystemUIFont" w:cs="Times New Roman"/>
          <w:color w:val="000000" w:themeColor="text1"/>
          <w:kern w:val="0"/>
          <w:sz w:val="28"/>
          <w:szCs w:val="28"/>
          <w:rtl/>
          <w14:ligatures w14:val="none"/>
        </w:rPr>
        <w:t>«منظومةٌ مصرفيّةٌ قائمةٌ على أصول معرفيّة وتقنيّة غير ملموسة—تشمل البنية السحابيّة، والخوارزميات التحليليّة الفوريّة، وقواعد بيانات العملاء، والشراكات الرقميّة—تقدّم خدمات الإيداع والائتمان والمدفوعات عبر قنوات إلكترونيّة خالصة، وتُحقّق ميزةً تنافسيّةً من خلال الابتكار السريع وخفض التكاليف التشغيلية، مع الامتثال الكامل للوائح البنك المركزي».</w:t>
      </w:r>
    </w:p>
    <w:p w14:paraId="119939FB" w14:textId="77777777" w:rsidR="00725C71" w:rsidRPr="004C5A9C" w:rsidRDefault="00725C71" w:rsidP="00BE7B2A">
      <w:pPr>
        <w:bidi w:val="0"/>
        <w:spacing w:after="0" w:line="360" w:lineRule="auto"/>
        <w:ind w:left="225"/>
        <w:jc w:val="right"/>
        <w:divId w:val="1905528623"/>
        <w:rPr>
          <w:rFonts w:ascii=".AppleSystemUIFont" w:eastAsia="Times New Roman" w:hAnsi=".AppleSystemUIFont" w:cs="Times New Roman"/>
          <w:color w:val="000000" w:themeColor="text1"/>
          <w:kern w:val="0"/>
          <w:sz w:val="28"/>
          <w:szCs w:val="28"/>
          <w14:ligatures w14:val="none"/>
        </w:rPr>
      </w:pPr>
    </w:p>
    <w:p w14:paraId="1B7B2C25" w14:textId="77777777" w:rsidR="00171685" w:rsidRPr="004C5A9C" w:rsidRDefault="00171685" w:rsidP="00BE7B2A">
      <w:pPr>
        <w:spacing w:before="100" w:beforeAutospacing="1" w:after="100" w:afterAutospacing="1" w:line="360" w:lineRule="auto"/>
        <w:divId w:val="7607650"/>
        <w:rPr>
          <w:rFonts w:ascii="Times New Roman" w:eastAsiaTheme="minorEastAsia" w:hAnsi="Times New Roman" w:cs="Times New Roman"/>
          <w:color w:val="000000" w:themeColor="text1"/>
          <w:kern w:val="0"/>
          <w:sz w:val="28"/>
          <w:szCs w:val="28"/>
          <w14:ligatures w14:val="none"/>
        </w:rPr>
      </w:pPr>
      <w:r w:rsidRPr="004C5A9C">
        <w:rPr>
          <w:rFonts w:ascii="Times New Roman" w:eastAsiaTheme="minorEastAsia" w:hAnsi="Times New Roman" w:cs="Times New Roman"/>
          <w:color w:val="000000" w:themeColor="text1"/>
          <w:kern w:val="0"/>
          <w:sz w:val="28"/>
          <w:szCs w:val="28"/>
          <w:rtl/>
          <w14:ligatures w14:val="none"/>
        </w:rPr>
        <w:t>بهذا التعريف المُحكَم، يتّضح أنّ البنك الرقمي ليس مجرّد نسخة إلكترونية لبنك تقليدي، بل هو رأس مال غير ملموس يُعاد تشكيله باستمرار عبر المعرفة البرمجية والذكاء الاصطناعي وشبكات الثقة الرقمية؛ وهي مقوّمات ستُشكّل في الفصول اللاحقة أساس تحليل تأثير هذه البنوك في أدوار الشركاء التنظيميّين داخل المملكة.</w:t>
      </w:r>
    </w:p>
    <w:p w14:paraId="57FCE741" w14:textId="36C6E161" w:rsidR="00AA36B7" w:rsidRPr="004C5A9C" w:rsidRDefault="00AA36B7" w:rsidP="00BE7B2A">
      <w:pPr>
        <w:spacing w:before="100" w:beforeAutospacing="1" w:after="100" w:afterAutospacing="1" w:line="360" w:lineRule="auto"/>
        <w:outlineLvl w:val="2"/>
        <w:divId w:val="848762975"/>
        <w:rPr>
          <w:rFonts w:ascii="Times New Roman" w:eastAsia="Times New Roman" w:hAnsi="Times New Roman" w:cs="Times New Roman"/>
          <w:b/>
          <w:bCs/>
          <w:color w:val="000000" w:themeColor="text1"/>
          <w:kern w:val="0"/>
          <w:sz w:val="32"/>
          <w:szCs w:val="32"/>
          <w:u w:val="single"/>
          <w14:ligatures w14:val="none"/>
        </w:rPr>
      </w:pPr>
      <w:r w:rsidRPr="004C5A9C">
        <w:rPr>
          <w:rFonts w:ascii="Times New Roman" w:eastAsia="Times New Roman" w:hAnsi="Times New Roman" w:cs="Times New Roman"/>
          <w:b/>
          <w:bCs/>
          <w:color w:val="000000" w:themeColor="text1"/>
          <w:kern w:val="0"/>
          <w:sz w:val="32"/>
          <w:szCs w:val="32"/>
          <w:u w:val="single"/>
          <w:rtl/>
          <w14:ligatures w14:val="none"/>
        </w:rPr>
        <w:t>2-1-3 أهمية البنوك الرقمية</w:t>
      </w:r>
    </w:p>
    <w:p w14:paraId="1C408B85" w14:textId="77777777" w:rsidR="00AA36B7" w:rsidRPr="004C5A9C" w:rsidRDefault="00AA36B7" w:rsidP="00BE7B2A">
      <w:p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14:ligatures w14:val="none"/>
        </w:rPr>
      </w:pPr>
      <w:r w:rsidRPr="004C5A9C">
        <w:rPr>
          <w:rFonts w:ascii="Times New Roman" w:eastAsiaTheme="minorEastAsia" w:hAnsi="Times New Roman" w:cs="Times New Roman"/>
          <w:color w:val="000000" w:themeColor="text1"/>
          <w:kern w:val="0"/>
          <w:sz w:val="28"/>
          <w:szCs w:val="28"/>
          <w:rtl/>
          <w14:ligatures w14:val="none"/>
        </w:rPr>
        <w:t>تُعَدّ البنوك الرقمية – بنوعيها المركزي واللامركزي – أحد أبرز مرتكزات قطاع الخدمات المالية الحديث، إذ بات تأثيرها يمتد إلى مستويات المؤسسة، والمستهلك، والمنظومة الاقتصادية الكلية. ويمكن إبراز أهميتها من خلال الأبعاد الآتية:</w:t>
      </w:r>
    </w:p>
    <w:p w14:paraId="73353E29" w14:textId="77777777" w:rsidR="00AA36B7" w:rsidRPr="004C5A9C" w:rsidRDefault="00AA36B7" w:rsidP="00BE7B2A">
      <w:pPr>
        <w:numPr>
          <w:ilvl w:val="0"/>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محرك أساسي للنمو المصرفي المعاصر</w:t>
      </w:r>
    </w:p>
    <w:p w14:paraId="5C9EAAB9" w14:textId="77777777" w:rsidR="00AA36B7" w:rsidRPr="004C5A9C" w:rsidRDefault="00AA36B7" w:rsidP="00BE7B2A">
      <w:pPr>
        <w:pStyle w:val="a5"/>
        <w:numPr>
          <w:ilvl w:val="1"/>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lastRenderedPageBreak/>
        <w:t xml:space="preserve">أوضحت دراسات حديثة (مثل </w:t>
      </w:r>
      <w:r w:rsidRPr="004C5A9C">
        <w:rPr>
          <w:rFonts w:ascii="Times New Roman" w:eastAsiaTheme="minorEastAsia" w:hAnsi="Times New Roman" w:cs="Times New Roman"/>
          <w:color w:val="000000" w:themeColor="text1"/>
          <w:kern w:val="0"/>
          <w:sz w:val="28"/>
          <w:szCs w:val="28"/>
          <w14:ligatures w14:val="none"/>
        </w:rPr>
        <w:t>Al-Muharrami</w:t>
      </w:r>
      <w:r w:rsidRPr="004C5A9C">
        <w:rPr>
          <w:rFonts w:ascii="Times New Roman" w:eastAsiaTheme="minorEastAsia" w:hAnsi="Times New Roman" w:cs="Times New Roman"/>
          <w:color w:val="000000" w:themeColor="text1"/>
          <w:kern w:val="0"/>
          <w:sz w:val="28"/>
          <w:szCs w:val="28"/>
          <w:rtl/>
          <w14:ligatures w14:val="none"/>
        </w:rPr>
        <w:t xml:space="preserve"> &amp; </w:t>
      </w:r>
      <w:r w:rsidRPr="004C5A9C">
        <w:rPr>
          <w:rFonts w:ascii="Times New Roman" w:eastAsiaTheme="minorEastAsia" w:hAnsi="Times New Roman" w:cs="Times New Roman"/>
          <w:color w:val="000000" w:themeColor="text1"/>
          <w:kern w:val="0"/>
          <w:sz w:val="28"/>
          <w:szCs w:val="28"/>
          <w14:ligatures w14:val="none"/>
        </w:rPr>
        <w:t>Al-Kiyumi، 2023</w:t>
      </w:r>
      <w:r w:rsidRPr="004C5A9C">
        <w:rPr>
          <w:rFonts w:ascii="Times New Roman" w:eastAsiaTheme="minorEastAsia" w:hAnsi="Times New Roman" w:cs="Times New Roman"/>
          <w:color w:val="000000" w:themeColor="text1"/>
          <w:kern w:val="0"/>
          <w:sz w:val="28"/>
          <w:szCs w:val="28"/>
          <w:rtl/>
          <w14:ligatures w14:val="none"/>
        </w:rPr>
        <w:t>) أن الاعتماد المكثّف على المنصّات السحابية وخوارزميات الذكاء الاصطناعي مكَّن البنوك الرقمية من تقديم خدمات أقل تكلفة وأسرع تنفيذًا، ما قلّص مساهمة الفروع المادية ورأس المال العيني بوصفهما عاملين حاسمين في إنتاج الخدمة المصرفية.</w:t>
      </w:r>
    </w:p>
    <w:p w14:paraId="4E085066" w14:textId="77777777" w:rsidR="00AA36B7" w:rsidRPr="004C5A9C" w:rsidRDefault="00AA36B7" w:rsidP="00BE7B2A">
      <w:pPr>
        <w:numPr>
          <w:ilvl w:val="0"/>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التفوّق المعرفي على الأصول التقليدية</w:t>
      </w:r>
    </w:p>
    <w:p w14:paraId="3001470D" w14:textId="77777777" w:rsidR="00AA36B7" w:rsidRPr="004C5A9C" w:rsidRDefault="00AA36B7" w:rsidP="00BE7B2A">
      <w:pPr>
        <w:pStyle w:val="a5"/>
        <w:numPr>
          <w:ilvl w:val="1"/>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تركّز المؤسسات المالية الرقمية على قيمة البيانات، وقدرات التحليل الفوري، وكفاءات رأس المال البشري التقني، أكثر من تركيزها على الأصول الملموسة أو شبكة الفروع (</w:t>
      </w:r>
      <w:r w:rsidRPr="004C5A9C">
        <w:rPr>
          <w:rFonts w:ascii="Times New Roman" w:eastAsiaTheme="minorEastAsia" w:hAnsi="Times New Roman" w:cs="Times New Roman"/>
          <w:color w:val="000000" w:themeColor="text1"/>
          <w:kern w:val="0"/>
          <w:sz w:val="28"/>
          <w:szCs w:val="28"/>
          <w14:ligatures w14:val="none"/>
        </w:rPr>
        <w:t>Al-Anazi</w:t>
      </w:r>
      <w:r w:rsidRPr="004C5A9C">
        <w:rPr>
          <w:rFonts w:ascii="Times New Roman" w:eastAsiaTheme="minorEastAsia" w:hAnsi="Times New Roman" w:cs="Times New Roman"/>
          <w:color w:val="000000" w:themeColor="text1"/>
          <w:kern w:val="0"/>
          <w:sz w:val="28"/>
          <w:szCs w:val="28"/>
          <w:rtl/>
          <w14:ligatures w14:val="none"/>
        </w:rPr>
        <w:t xml:space="preserve"> &amp; </w:t>
      </w:r>
      <w:r w:rsidRPr="004C5A9C">
        <w:rPr>
          <w:rFonts w:ascii="Times New Roman" w:eastAsiaTheme="minorEastAsia" w:hAnsi="Times New Roman" w:cs="Times New Roman"/>
          <w:color w:val="000000" w:themeColor="text1"/>
          <w:kern w:val="0"/>
          <w:sz w:val="28"/>
          <w:szCs w:val="28"/>
          <w14:ligatures w14:val="none"/>
        </w:rPr>
        <w:t>Al-Shehri، 2024</w:t>
      </w:r>
      <w:r w:rsidRPr="004C5A9C">
        <w:rPr>
          <w:rFonts w:ascii="Times New Roman" w:eastAsiaTheme="minorEastAsia" w:hAnsi="Times New Roman" w:cs="Times New Roman"/>
          <w:color w:val="000000" w:themeColor="text1"/>
          <w:kern w:val="0"/>
          <w:sz w:val="28"/>
          <w:szCs w:val="28"/>
          <w:rtl/>
          <w14:ligatures w14:val="none"/>
        </w:rPr>
        <w:t>). ومن ثمّ أصبح رأس المال المعرفي الرقمي هو العنصر الجوهري لنجاح المصارف وتميُّزها أمام المنافسين التقليديين.</w:t>
      </w:r>
    </w:p>
    <w:p w14:paraId="3C0F8A13" w14:textId="77777777" w:rsidR="00AA36B7" w:rsidRPr="004C5A9C" w:rsidRDefault="00AA36B7" w:rsidP="00BE7B2A">
      <w:pPr>
        <w:numPr>
          <w:ilvl w:val="0"/>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قيمة متنامية بمرور الوقت</w:t>
      </w:r>
    </w:p>
    <w:p w14:paraId="3B30D843" w14:textId="77777777" w:rsidR="00AA36B7" w:rsidRPr="004C5A9C" w:rsidRDefault="00AA36B7" w:rsidP="00BE7B2A">
      <w:pPr>
        <w:pStyle w:val="a5"/>
        <w:numPr>
          <w:ilvl w:val="1"/>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تزداد قيمة أُطُر العمل البرمجية، ونماذج المخاطرة التعلّمية، وبيانات العملاء التراكمية كلما طالت مدة تشغيل البنك الرقمي وأُعيد استثمار البيانات في تحسين النماذج (</w:t>
      </w:r>
      <w:r w:rsidRPr="004C5A9C">
        <w:rPr>
          <w:rFonts w:ascii="Times New Roman" w:eastAsiaTheme="minorEastAsia" w:hAnsi="Times New Roman" w:cs="Times New Roman"/>
          <w:color w:val="000000" w:themeColor="text1"/>
          <w:kern w:val="0"/>
          <w:sz w:val="28"/>
          <w:szCs w:val="28"/>
          <w14:ligatures w14:val="none"/>
        </w:rPr>
        <w:t>Zhang</w:t>
      </w:r>
      <w:r w:rsidRPr="004C5A9C">
        <w:rPr>
          <w:rFonts w:ascii="Times New Roman" w:eastAsiaTheme="minorEastAsia" w:hAnsi="Times New Roman" w:cs="Times New Roman"/>
          <w:color w:val="000000" w:themeColor="text1"/>
          <w:kern w:val="0"/>
          <w:sz w:val="28"/>
          <w:szCs w:val="28"/>
          <w:rtl/>
          <w14:ligatures w14:val="none"/>
        </w:rPr>
        <w:t xml:space="preserve"> &amp; </w:t>
      </w:r>
      <w:r w:rsidRPr="004C5A9C">
        <w:rPr>
          <w:rFonts w:ascii="Times New Roman" w:eastAsiaTheme="minorEastAsia" w:hAnsi="Times New Roman" w:cs="Times New Roman"/>
          <w:color w:val="000000" w:themeColor="text1"/>
          <w:kern w:val="0"/>
          <w:sz w:val="28"/>
          <w:szCs w:val="28"/>
          <w14:ligatures w14:val="none"/>
        </w:rPr>
        <w:t>Li، 2022</w:t>
      </w:r>
      <w:r w:rsidRPr="004C5A9C">
        <w:rPr>
          <w:rFonts w:ascii="Times New Roman" w:eastAsiaTheme="minorEastAsia" w:hAnsi="Times New Roman" w:cs="Times New Roman"/>
          <w:color w:val="000000" w:themeColor="text1"/>
          <w:kern w:val="0"/>
          <w:sz w:val="28"/>
          <w:szCs w:val="28"/>
          <w:rtl/>
          <w14:ligatures w14:val="none"/>
        </w:rPr>
        <w:t>)، على عكس الأصول العينية التي تتقادم بفعل الاستهلاك أو التقنيات الجديدة.</w:t>
      </w:r>
    </w:p>
    <w:p w14:paraId="5BE5689E" w14:textId="77777777" w:rsidR="00AA36B7" w:rsidRPr="004C5A9C" w:rsidRDefault="00AA36B7" w:rsidP="00BE7B2A">
      <w:pPr>
        <w:numPr>
          <w:ilvl w:val="0"/>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رافعة رئيسة للميزة التنافسية</w:t>
      </w:r>
    </w:p>
    <w:p w14:paraId="0AEB4CEB" w14:textId="77777777" w:rsidR="00AA36B7" w:rsidRPr="004C5A9C" w:rsidRDefault="00AA36B7" w:rsidP="00BE7B2A">
      <w:pPr>
        <w:pStyle w:val="a5"/>
        <w:numPr>
          <w:ilvl w:val="1"/>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لا يُمكن تنفيذ إستراتيجيات التميّز في القطاع المالي دون منتجات وخدمات قائمة على الابتكار الرقمي – مثل الإقراض اللحظي، وحسابات الادخار المجزّأ، وحلول الدفع بالرموز المشفَّرة – وكلها تعتمد بصورة مباشرة على بنية البنك الرقمي (</w:t>
      </w:r>
      <w:r w:rsidRPr="004C5A9C">
        <w:rPr>
          <w:rFonts w:ascii="Times New Roman" w:eastAsiaTheme="minorEastAsia" w:hAnsi="Times New Roman" w:cs="Times New Roman"/>
          <w:color w:val="000000" w:themeColor="text1"/>
          <w:kern w:val="0"/>
          <w:sz w:val="28"/>
          <w:szCs w:val="28"/>
          <w14:ligatures w14:val="none"/>
        </w:rPr>
        <w:t>Khan</w:t>
      </w:r>
      <w:r w:rsidRPr="004C5A9C">
        <w:rPr>
          <w:rFonts w:ascii="Times New Roman" w:eastAsiaTheme="minorEastAsia" w:hAnsi="Times New Roman" w:cs="Times New Roman"/>
          <w:color w:val="000000" w:themeColor="text1"/>
          <w:kern w:val="0"/>
          <w:sz w:val="28"/>
          <w:szCs w:val="28"/>
          <w:rtl/>
          <w14:ligatures w14:val="none"/>
        </w:rPr>
        <w:t xml:space="preserve"> &amp; </w:t>
      </w:r>
      <w:r w:rsidRPr="004C5A9C">
        <w:rPr>
          <w:rFonts w:ascii="Times New Roman" w:eastAsiaTheme="minorEastAsia" w:hAnsi="Times New Roman" w:cs="Times New Roman"/>
          <w:color w:val="000000" w:themeColor="text1"/>
          <w:kern w:val="0"/>
          <w:sz w:val="28"/>
          <w:szCs w:val="28"/>
          <w14:ligatures w14:val="none"/>
        </w:rPr>
        <w:t>Van Steenis، 2021</w:t>
      </w:r>
      <w:r w:rsidRPr="004C5A9C">
        <w:rPr>
          <w:rFonts w:ascii="Times New Roman" w:eastAsiaTheme="minorEastAsia" w:hAnsi="Times New Roman" w:cs="Times New Roman"/>
          <w:color w:val="000000" w:themeColor="text1"/>
          <w:kern w:val="0"/>
          <w:sz w:val="28"/>
          <w:szCs w:val="28"/>
          <w:rtl/>
          <w14:ligatures w14:val="none"/>
        </w:rPr>
        <w:t>).</w:t>
      </w:r>
    </w:p>
    <w:p w14:paraId="7FF28CD6" w14:textId="77777777" w:rsidR="00AA36B7" w:rsidRPr="004C5A9C" w:rsidRDefault="00AA36B7" w:rsidP="00BE7B2A">
      <w:pPr>
        <w:numPr>
          <w:ilvl w:val="0"/>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تحديد الوضع الاستراتيجي للمصرف والجهات الرقابية</w:t>
      </w:r>
    </w:p>
    <w:p w14:paraId="1711FA29" w14:textId="77777777" w:rsidR="00AA36B7" w:rsidRPr="004C5A9C" w:rsidRDefault="00AA36B7" w:rsidP="00BE7B2A">
      <w:pPr>
        <w:pStyle w:val="a5"/>
        <w:numPr>
          <w:ilvl w:val="1"/>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يوفّر انتشار البنوك الرقمية بيانات لحظية عن تدفقات الأموال وأنماط السلوك، ما يسمح للبنك المركزي والهيئات الإشرافية بتخصيص الموارد الرقابية بصورة أدقّ وتعزيز كفاءة السياسة النقدية (</w:t>
      </w:r>
      <w:r w:rsidRPr="004C5A9C">
        <w:rPr>
          <w:rFonts w:ascii="Times New Roman" w:eastAsiaTheme="minorEastAsia" w:hAnsi="Times New Roman" w:cs="Times New Roman"/>
          <w:color w:val="000000" w:themeColor="text1"/>
          <w:kern w:val="0"/>
          <w:sz w:val="28"/>
          <w:szCs w:val="28"/>
          <w14:ligatures w14:val="none"/>
        </w:rPr>
        <w:t>Lacuzzi</w:t>
      </w:r>
      <w:r w:rsidRPr="004C5A9C">
        <w:rPr>
          <w:rFonts w:ascii="Times New Roman" w:eastAsiaTheme="minorEastAsia" w:hAnsi="Times New Roman" w:cs="Times New Roman"/>
          <w:color w:val="000000" w:themeColor="text1"/>
          <w:kern w:val="0"/>
          <w:sz w:val="28"/>
          <w:szCs w:val="28"/>
          <w:rtl/>
          <w14:ligatures w14:val="none"/>
        </w:rPr>
        <w:t xml:space="preserve"> و</w:t>
      </w:r>
      <w:r w:rsidRPr="004C5A9C">
        <w:rPr>
          <w:rFonts w:ascii="Times New Roman" w:eastAsiaTheme="minorEastAsia" w:hAnsi="Times New Roman" w:cs="Times New Roman"/>
          <w:color w:val="000000" w:themeColor="text1"/>
          <w:kern w:val="0"/>
          <w:sz w:val="28"/>
          <w:szCs w:val="28"/>
          <w14:ligatures w14:val="none"/>
        </w:rPr>
        <w:t>Massaro</w:t>
      </w:r>
      <w:r w:rsidRPr="004C5A9C">
        <w:rPr>
          <w:rFonts w:ascii="Times New Roman" w:eastAsiaTheme="minorEastAsia" w:hAnsi="Times New Roman" w:cs="Times New Roman"/>
          <w:color w:val="000000" w:themeColor="text1"/>
          <w:kern w:val="0"/>
          <w:sz w:val="28"/>
          <w:szCs w:val="28"/>
          <w:rtl/>
          <w14:ligatures w14:val="none"/>
        </w:rPr>
        <w:t xml:space="preserve"> و</w:t>
      </w:r>
      <w:r w:rsidRPr="004C5A9C">
        <w:rPr>
          <w:rFonts w:ascii="Times New Roman" w:eastAsiaTheme="minorEastAsia" w:hAnsi="Times New Roman" w:cs="Times New Roman"/>
          <w:color w:val="000000" w:themeColor="text1"/>
          <w:kern w:val="0"/>
          <w:sz w:val="28"/>
          <w:szCs w:val="28"/>
          <w14:ligatures w14:val="none"/>
        </w:rPr>
        <w:t>Garlatti، 2020</w:t>
      </w:r>
      <w:r w:rsidRPr="004C5A9C">
        <w:rPr>
          <w:rFonts w:ascii="Times New Roman" w:eastAsiaTheme="minorEastAsia" w:hAnsi="Times New Roman" w:cs="Times New Roman"/>
          <w:color w:val="000000" w:themeColor="text1"/>
          <w:kern w:val="0"/>
          <w:sz w:val="28"/>
          <w:szCs w:val="28"/>
          <w:rtl/>
          <w14:ligatures w14:val="none"/>
        </w:rPr>
        <w:t>).</w:t>
      </w:r>
    </w:p>
    <w:p w14:paraId="27B6B982" w14:textId="77777777" w:rsidR="00AA36B7" w:rsidRPr="004C5A9C" w:rsidRDefault="00AA36B7" w:rsidP="00BE7B2A">
      <w:pPr>
        <w:numPr>
          <w:ilvl w:val="0"/>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تعزيز الاستدامة بعيدة المدى</w:t>
      </w:r>
    </w:p>
    <w:p w14:paraId="27F77610" w14:textId="77777777" w:rsidR="00AA36B7" w:rsidRPr="004C5A9C" w:rsidRDefault="00AA36B7" w:rsidP="00BE7B2A">
      <w:pPr>
        <w:pStyle w:val="a5"/>
        <w:numPr>
          <w:ilvl w:val="1"/>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 xml:space="preserve">تُشير أبحاث </w:t>
      </w:r>
      <w:r w:rsidRPr="004C5A9C">
        <w:rPr>
          <w:rFonts w:ascii="Times New Roman" w:eastAsiaTheme="minorEastAsia" w:hAnsi="Times New Roman" w:cs="Times New Roman"/>
          <w:color w:val="000000" w:themeColor="text1"/>
          <w:kern w:val="0"/>
          <w:sz w:val="28"/>
          <w:szCs w:val="28"/>
          <w14:ligatures w14:val="none"/>
        </w:rPr>
        <w:t>Huang</w:t>
      </w:r>
      <w:r w:rsidRPr="004C5A9C">
        <w:rPr>
          <w:rFonts w:ascii="Times New Roman" w:eastAsiaTheme="minorEastAsia" w:hAnsi="Times New Roman" w:cs="Times New Roman"/>
          <w:color w:val="000000" w:themeColor="text1"/>
          <w:kern w:val="0"/>
          <w:sz w:val="28"/>
          <w:szCs w:val="28"/>
          <w:rtl/>
          <w14:ligatures w14:val="none"/>
        </w:rPr>
        <w:t xml:space="preserve"> و</w:t>
      </w:r>
      <w:r w:rsidRPr="004C5A9C">
        <w:rPr>
          <w:rFonts w:ascii="Times New Roman" w:eastAsiaTheme="minorEastAsia" w:hAnsi="Times New Roman" w:cs="Times New Roman"/>
          <w:color w:val="000000" w:themeColor="text1"/>
          <w:kern w:val="0"/>
          <w:sz w:val="28"/>
          <w:szCs w:val="28"/>
          <w14:ligatures w14:val="none"/>
        </w:rPr>
        <w:t>Tayles</w:t>
      </w:r>
      <w:r w:rsidRPr="004C5A9C">
        <w:rPr>
          <w:rFonts w:ascii="Times New Roman" w:eastAsiaTheme="minorEastAsia" w:hAnsi="Times New Roman" w:cs="Times New Roman"/>
          <w:color w:val="000000" w:themeColor="text1"/>
          <w:kern w:val="0"/>
          <w:sz w:val="28"/>
          <w:szCs w:val="28"/>
          <w:rtl/>
          <w14:ligatures w14:val="none"/>
        </w:rPr>
        <w:t xml:space="preserve"> و</w:t>
      </w:r>
      <w:r w:rsidRPr="004C5A9C">
        <w:rPr>
          <w:rFonts w:ascii="Times New Roman" w:eastAsiaTheme="minorEastAsia" w:hAnsi="Times New Roman" w:cs="Times New Roman"/>
          <w:color w:val="000000" w:themeColor="text1"/>
          <w:kern w:val="0"/>
          <w:sz w:val="28"/>
          <w:szCs w:val="28"/>
          <w14:ligatures w14:val="none"/>
        </w:rPr>
        <w:t>Luther (2020)</w:t>
      </w:r>
      <w:r w:rsidRPr="004C5A9C">
        <w:rPr>
          <w:rFonts w:ascii="Times New Roman" w:eastAsiaTheme="minorEastAsia" w:hAnsi="Times New Roman" w:cs="Times New Roman"/>
          <w:color w:val="000000" w:themeColor="text1"/>
          <w:kern w:val="0"/>
          <w:sz w:val="28"/>
          <w:szCs w:val="28"/>
          <w:rtl/>
          <w14:ligatures w14:val="none"/>
        </w:rPr>
        <w:t xml:space="preserve"> إلى أنّ استدامة المصرف في الأجل الطويل ترتبط بقدرته على تشغيل نموذج تشغيلي رقمي يقلّل الاعتماد على رأس المال المادي ويعظّم الاستفادة من البيانات وتقنيات الامتثال اللحظي.</w:t>
      </w:r>
    </w:p>
    <w:p w14:paraId="5B790260" w14:textId="77777777" w:rsidR="00AA36B7" w:rsidRPr="004C5A9C" w:rsidRDefault="00AA36B7" w:rsidP="00BE7B2A">
      <w:pPr>
        <w:numPr>
          <w:ilvl w:val="0"/>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خفض التكاليف وزيادة الربحية</w:t>
      </w:r>
    </w:p>
    <w:p w14:paraId="294B8FCC" w14:textId="372E6B25" w:rsidR="00AA36B7" w:rsidRPr="004C5A9C" w:rsidRDefault="00AA36B7" w:rsidP="00BE7B2A">
      <w:pPr>
        <w:pStyle w:val="a5"/>
        <w:numPr>
          <w:ilvl w:val="1"/>
          <w:numId w:val="31"/>
        </w:num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lastRenderedPageBreak/>
        <w:t xml:space="preserve">الإدارة الحكيمة للأصول الرقمية – كمنصّات التحليل والواجهات المفتوحة وأمن المعلومات – تخفّض تكاليف التشغيل وترفع هوامش الأرباح، على غرار ما يؤكّده تقرير </w:t>
      </w:r>
      <w:r w:rsidRPr="004C5A9C">
        <w:rPr>
          <w:rFonts w:ascii="Times New Roman" w:eastAsiaTheme="minorEastAsia" w:hAnsi="Times New Roman" w:cs="Times New Roman"/>
          <w:color w:val="000000" w:themeColor="text1"/>
          <w:kern w:val="0"/>
          <w:sz w:val="28"/>
          <w:szCs w:val="28"/>
          <w14:ligatures w14:val="none"/>
        </w:rPr>
        <w:t>PwC (2024)</w:t>
      </w:r>
      <w:r w:rsidRPr="004C5A9C">
        <w:rPr>
          <w:rFonts w:ascii="Times New Roman" w:eastAsiaTheme="minorEastAsia" w:hAnsi="Times New Roman" w:cs="Times New Roman"/>
          <w:color w:val="000000" w:themeColor="text1"/>
          <w:kern w:val="0"/>
          <w:sz w:val="28"/>
          <w:szCs w:val="28"/>
          <w:rtl/>
          <w14:ligatures w14:val="none"/>
        </w:rPr>
        <w:t xml:space="preserve"> بشأن أثر التحوّل الرقمي الكامل على مؤشر </w:t>
      </w:r>
      <w:r w:rsidRPr="004C5A9C">
        <w:rPr>
          <w:rFonts w:ascii="Times New Roman" w:eastAsiaTheme="minorEastAsia" w:hAnsi="Times New Roman" w:cs="Times New Roman"/>
          <w:color w:val="000000" w:themeColor="text1"/>
          <w:kern w:val="0"/>
          <w:sz w:val="28"/>
          <w:szCs w:val="28"/>
          <w14:ligatures w14:val="none"/>
        </w:rPr>
        <w:t>Cost-to-Income</w:t>
      </w:r>
      <w:r w:rsidRPr="004C5A9C">
        <w:rPr>
          <w:rFonts w:ascii="Times New Roman" w:eastAsiaTheme="minorEastAsia" w:hAnsi="Times New Roman" w:cs="Times New Roman"/>
          <w:color w:val="000000" w:themeColor="text1"/>
          <w:kern w:val="0"/>
          <w:sz w:val="28"/>
          <w:szCs w:val="28"/>
          <w:rtl/>
          <w14:ligatures w14:val="none"/>
        </w:rPr>
        <w:t>.</w:t>
      </w:r>
    </w:p>
    <w:p w14:paraId="52D83E0E" w14:textId="77777777" w:rsidR="00AA36B7" w:rsidRPr="004C5A9C" w:rsidRDefault="00AA36B7" w:rsidP="00BE7B2A">
      <w:pPr>
        <w:spacing w:before="100" w:beforeAutospacing="1" w:after="100" w:afterAutospacing="1" w:line="360" w:lineRule="auto"/>
        <w:divId w:val="84876297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يتّضح مما سبق أنّ البنك الرقمي يمثّل مؤشرًا جوهريًا لتقييم أداء المؤسسات المصرفية الحديثة، إذ يوفّر لها القدرة على ضبط سياساتها التشغيلية بسرعة في حال ظهور انحرافات، ويُسهم في تحسين أداء العاملين وجودة الأنشطة الإدارية والرقابية على حد سواء.</w:t>
      </w:r>
    </w:p>
    <w:p w14:paraId="7017B7B1" w14:textId="6052F6B0" w:rsidR="005F5BE3" w:rsidRPr="004C5A9C" w:rsidRDefault="005F5BE3" w:rsidP="00BE7B2A">
      <w:pPr>
        <w:spacing w:before="100" w:beforeAutospacing="1" w:after="100" w:afterAutospacing="1" w:line="360" w:lineRule="auto"/>
        <w:outlineLvl w:val="2"/>
        <w:divId w:val="838425095"/>
        <w:rPr>
          <w:rFonts w:ascii="Times New Roman" w:eastAsia="Times New Roman" w:hAnsi="Times New Roman" w:cs="Times New Roman"/>
          <w:b/>
          <w:bCs/>
          <w:color w:val="000000" w:themeColor="text1"/>
          <w:kern w:val="0"/>
          <w:sz w:val="32"/>
          <w:szCs w:val="32"/>
          <w:u w:val="single"/>
          <w14:ligatures w14:val="none"/>
        </w:rPr>
      </w:pPr>
      <w:r w:rsidRPr="004C5A9C">
        <w:rPr>
          <w:rFonts w:ascii="Times New Roman" w:eastAsia="Times New Roman" w:hAnsi="Times New Roman" w:cs="Times New Roman"/>
          <w:b/>
          <w:bCs/>
          <w:color w:val="000000" w:themeColor="text1"/>
          <w:kern w:val="0"/>
          <w:sz w:val="32"/>
          <w:szCs w:val="32"/>
          <w:u w:val="single"/>
          <w:rtl/>
          <w14:ligatures w14:val="none"/>
        </w:rPr>
        <w:t>2-1-4 خصائص البنوك الرقميّة</w:t>
      </w:r>
    </w:p>
    <w:p w14:paraId="63A688C8" w14:textId="7D7D45CF" w:rsidR="005F5BE3" w:rsidRPr="004C5A9C" w:rsidRDefault="005F5BE3" w:rsidP="00BE7B2A">
      <w:p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انسجاماً مع نمط العرض الذي قُدِّم لخصائص رأس المال الفكري، يمكن إجمال خصائص البنوك الرقميّة في محورين رئيسين يوازيان «الخصائص الظاهريّة» و«الخصائص السلوكيّة»، يليهما بيانٌ بمبادئ الإدارة الفاعلة لهذا النموذج.</w:t>
      </w:r>
    </w:p>
    <w:p w14:paraId="06DA4C68" w14:textId="77777777" w:rsidR="005F5BE3" w:rsidRPr="004C5A9C" w:rsidRDefault="005F5BE3" w:rsidP="00BE7B2A">
      <w:pPr>
        <w:spacing w:before="100" w:beforeAutospacing="1" w:after="100" w:afterAutospacing="1" w:line="360" w:lineRule="auto"/>
        <w:outlineLvl w:val="3"/>
        <w:divId w:val="838425095"/>
        <w:rPr>
          <w:rFonts w:ascii="Times New Roman" w:eastAsia="Times New Roman" w:hAnsi="Times New Roman" w:cs="Times New Roman"/>
          <w:b/>
          <w:bCs/>
          <w:color w:val="000000" w:themeColor="text1"/>
          <w:kern w:val="0"/>
          <w:sz w:val="28"/>
          <w:szCs w:val="28"/>
          <w14:ligatures w14:val="none"/>
        </w:rPr>
      </w:pPr>
      <w:r w:rsidRPr="004C5A9C">
        <w:rPr>
          <w:rFonts w:ascii="Times New Roman" w:eastAsia="Times New Roman" w:hAnsi="Times New Roman" w:cs="Times New Roman"/>
          <w:b/>
          <w:bCs/>
          <w:color w:val="000000" w:themeColor="text1"/>
          <w:kern w:val="0"/>
          <w:sz w:val="28"/>
          <w:szCs w:val="28"/>
          <w:rtl/>
          <w14:ligatures w14:val="none"/>
        </w:rPr>
        <w:t>أوّلاً: الخصائص الظاهريّة/الشكلية</w:t>
      </w:r>
    </w:p>
    <w:p w14:paraId="7FB1ECE5" w14:textId="77777777" w:rsidR="005F5BE3" w:rsidRPr="004C5A9C" w:rsidRDefault="005F5BE3" w:rsidP="00BE7B2A">
      <w:pPr>
        <w:numPr>
          <w:ilvl w:val="0"/>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14:ligatures w14:val="none"/>
        </w:rPr>
      </w:pPr>
      <w:r w:rsidRPr="004C5A9C">
        <w:rPr>
          <w:rFonts w:ascii="Times New Roman" w:eastAsiaTheme="minorEastAsia" w:hAnsi="Times New Roman" w:cs="Times New Roman"/>
          <w:color w:val="000000" w:themeColor="text1"/>
          <w:kern w:val="0"/>
          <w:sz w:val="28"/>
          <w:szCs w:val="28"/>
          <w:rtl/>
          <w14:ligatures w14:val="none"/>
        </w:rPr>
        <w:t>لاملموسيّة الأصول</w:t>
      </w:r>
    </w:p>
    <w:p w14:paraId="67DA1974" w14:textId="77777777" w:rsidR="005F5BE3" w:rsidRPr="004C5A9C" w:rsidRDefault="005F5BE3" w:rsidP="00BE7B2A">
      <w:pPr>
        <w:pStyle w:val="a5"/>
        <w:numPr>
          <w:ilvl w:val="1"/>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البنية السحابيّة، الخوارزميات، قواعد البيانات، وشبكات واجهات البرمجة هي أصول معرفيّة غير ملموسة لا تُقيَّم محاسبياً بسهولة، ولا تظهر في القوائم الماليّة إلا عبر بنود عامّة (برمجيات، تراخيص)، ما يجعل تقدير قيمتها السوقيّة تحدّياً كبيراً للمنظّمات الرقابيّة والمحلّلين الماليّين.</w:t>
      </w:r>
    </w:p>
    <w:p w14:paraId="350F788B" w14:textId="77777777" w:rsidR="005F5BE3" w:rsidRPr="004C5A9C" w:rsidRDefault="005F5BE3" w:rsidP="00BE7B2A">
      <w:pPr>
        <w:numPr>
          <w:ilvl w:val="0"/>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سرعة التقلّب التقني</w:t>
      </w:r>
    </w:p>
    <w:p w14:paraId="2D903A93" w14:textId="77777777" w:rsidR="005F5BE3" w:rsidRPr="004C5A9C" w:rsidRDefault="005F5BE3" w:rsidP="00BE7B2A">
      <w:pPr>
        <w:pStyle w:val="a5"/>
        <w:numPr>
          <w:ilvl w:val="1"/>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قيمة هذه الأصول مرتبطة بتطوّر البرمجيات وإصداراتها؛ أي خلل أمني أو تقادم تكنولوجي قد يخصم من قيمة البنك بشكلٍ فوري، بخلاف الأصول الماديّة التي تستنزف تدريجياً.</w:t>
      </w:r>
    </w:p>
    <w:p w14:paraId="1123D739" w14:textId="77777777" w:rsidR="005F5BE3" w:rsidRPr="004C5A9C" w:rsidRDefault="005F5BE3" w:rsidP="00BE7B2A">
      <w:pPr>
        <w:numPr>
          <w:ilvl w:val="0"/>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قابليّة التوسّع الفوري (</w:t>
      </w:r>
      <w:r w:rsidRPr="004C5A9C">
        <w:rPr>
          <w:rFonts w:ascii="Times New Roman" w:eastAsiaTheme="minorEastAsia" w:hAnsi="Times New Roman" w:cs="Times New Roman"/>
          <w:color w:val="000000" w:themeColor="text1"/>
          <w:kern w:val="0"/>
          <w:sz w:val="28"/>
          <w:szCs w:val="28"/>
          <w14:ligatures w14:val="none"/>
        </w:rPr>
        <w:t>Scalability</w:t>
      </w:r>
      <w:r w:rsidRPr="004C5A9C">
        <w:rPr>
          <w:rFonts w:ascii="Times New Roman" w:eastAsiaTheme="minorEastAsia" w:hAnsi="Times New Roman" w:cs="Times New Roman"/>
          <w:color w:val="000000" w:themeColor="text1"/>
          <w:kern w:val="0"/>
          <w:sz w:val="28"/>
          <w:szCs w:val="28"/>
          <w:rtl/>
          <w14:ligatures w14:val="none"/>
        </w:rPr>
        <w:t>)</w:t>
      </w:r>
    </w:p>
    <w:p w14:paraId="27045391" w14:textId="77777777" w:rsidR="005F5BE3" w:rsidRPr="004C5A9C" w:rsidRDefault="005F5BE3" w:rsidP="00BE7B2A">
      <w:pPr>
        <w:pStyle w:val="a5"/>
        <w:numPr>
          <w:ilvl w:val="1"/>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تعتمد البنوك الرقميّة على بنى حوسبة مُصغَّرة (</w:t>
      </w:r>
      <w:r w:rsidRPr="004C5A9C">
        <w:rPr>
          <w:rFonts w:ascii="Times New Roman" w:eastAsiaTheme="minorEastAsia" w:hAnsi="Times New Roman" w:cs="Times New Roman"/>
          <w:color w:val="000000" w:themeColor="text1"/>
          <w:kern w:val="0"/>
          <w:sz w:val="28"/>
          <w:szCs w:val="28"/>
          <w14:ligatures w14:val="none"/>
        </w:rPr>
        <w:t>Micro-services</w:t>
      </w:r>
      <w:r w:rsidRPr="004C5A9C">
        <w:rPr>
          <w:rFonts w:ascii="Times New Roman" w:eastAsiaTheme="minorEastAsia" w:hAnsi="Times New Roman" w:cs="Times New Roman"/>
          <w:color w:val="000000" w:themeColor="text1"/>
          <w:kern w:val="0"/>
          <w:sz w:val="28"/>
          <w:szCs w:val="28"/>
          <w:rtl/>
          <w14:ligatures w14:val="none"/>
        </w:rPr>
        <w:t>) قابلة للتمدّد الأفقي لحظياً، ما يمنحها قدرة نموّ لا تتقيّد بمساحة أو موقع.</w:t>
      </w:r>
    </w:p>
    <w:p w14:paraId="6C069B71" w14:textId="77777777" w:rsidR="005F5BE3" w:rsidRPr="004C5A9C" w:rsidRDefault="005F5BE3" w:rsidP="00BE7B2A">
      <w:pPr>
        <w:numPr>
          <w:ilvl w:val="0"/>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شفافيّة السجلّات اللحظيّة</w:t>
      </w:r>
    </w:p>
    <w:p w14:paraId="54863FFA" w14:textId="77777777" w:rsidR="005F5BE3" w:rsidRPr="004C5A9C" w:rsidRDefault="005F5BE3" w:rsidP="00BE7B2A">
      <w:pPr>
        <w:pStyle w:val="a5"/>
        <w:numPr>
          <w:ilvl w:val="1"/>
          <w:numId w:val="32"/>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lastRenderedPageBreak/>
        <w:t>تُنشئ أنظمة السجلات الموزَّعة (</w:t>
      </w:r>
      <w:r w:rsidRPr="004C5A9C">
        <w:rPr>
          <w:rFonts w:ascii="Times New Roman" w:eastAsiaTheme="minorEastAsia" w:hAnsi="Times New Roman" w:cs="Times New Roman"/>
          <w:color w:val="000000" w:themeColor="text1"/>
          <w:kern w:val="0"/>
          <w:sz w:val="28"/>
          <w:szCs w:val="28"/>
          <w14:ligatures w14:val="none"/>
        </w:rPr>
        <w:t>DLT</w:t>
      </w:r>
      <w:r w:rsidRPr="004C5A9C">
        <w:rPr>
          <w:rFonts w:ascii="Times New Roman" w:eastAsiaTheme="minorEastAsia" w:hAnsi="Times New Roman" w:cs="Times New Roman"/>
          <w:color w:val="000000" w:themeColor="text1"/>
          <w:kern w:val="0"/>
          <w:sz w:val="28"/>
          <w:szCs w:val="28"/>
          <w:rtl/>
          <w14:ligatures w14:val="none"/>
        </w:rPr>
        <w:t>) آثاراً قابلة للتتبّع، إلّا أنّ حجم البيانات الضخم يحتاج إلى أدوات تحليلات إشرافية متقدّمة حتى يستفيد منه صانعو القرار.</w:t>
      </w:r>
    </w:p>
    <w:p w14:paraId="3D513250" w14:textId="77777777" w:rsidR="005F5BE3" w:rsidRPr="004C5A9C" w:rsidRDefault="005F5BE3" w:rsidP="00BE7B2A">
      <w:p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p>
    <w:p w14:paraId="6F03EE64" w14:textId="77777777" w:rsidR="005F5BE3" w:rsidRPr="004C5A9C" w:rsidRDefault="005F5BE3" w:rsidP="00BE7B2A">
      <w:pPr>
        <w:spacing w:before="100" w:beforeAutospacing="1" w:after="100" w:afterAutospacing="1" w:line="360" w:lineRule="auto"/>
        <w:outlineLvl w:val="3"/>
        <w:divId w:val="838425095"/>
        <w:rPr>
          <w:rFonts w:ascii="Times New Roman" w:eastAsia="Times New Roman" w:hAnsi="Times New Roman" w:cs="Times New Roman"/>
          <w:b/>
          <w:bCs/>
          <w:color w:val="000000" w:themeColor="text1"/>
          <w:kern w:val="0"/>
          <w:sz w:val="28"/>
          <w:szCs w:val="28"/>
          <w14:ligatures w14:val="none"/>
        </w:rPr>
      </w:pPr>
      <w:r w:rsidRPr="004C5A9C">
        <w:rPr>
          <w:rFonts w:ascii="Times New Roman" w:eastAsia="Times New Roman" w:hAnsi="Times New Roman" w:cs="Times New Roman"/>
          <w:b/>
          <w:bCs/>
          <w:color w:val="000000" w:themeColor="text1"/>
          <w:kern w:val="0"/>
          <w:sz w:val="28"/>
          <w:szCs w:val="28"/>
          <w:rtl/>
          <w14:ligatures w14:val="none"/>
        </w:rPr>
        <w:t>ثانياً: الخصائص الشخصيّة/السلوكيّة</w:t>
      </w:r>
    </w:p>
    <w:p w14:paraId="04DD6F8A" w14:textId="77777777" w:rsidR="005F5BE3" w:rsidRPr="004C5A9C" w:rsidRDefault="005F5BE3" w:rsidP="00BE7B2A">
      <w:pPr>
        <w:numPr>
          <w:ilvl w:val="0"/>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14:ligatures w14:val="none"/>
        </w:rPr>
      </w:pPr>
      <w:r w:rsidRPr="004C5A9C">
        <w:rPr>
          <w:rFonts w:ascii="Times New Roman" w:eastAsiaTheme="minorEastAsia" w:hAnsi="Times New Roman" w:cs="Times New Roman"/>
          <w:color w:val="000000" w:themeColor="text1"/>
          <w:kern w:val="0"/>
          <w:sz w:val="28"/>
          <w:szCs w:val="28"/>
          <w:rtl/>
          <w14:ligatures w14:val="none"/>
        </w:rPr>
        <w:t>ثقافة الابتكار الدائم</w:t>
      </w:r>
    </w:p>
    <w:p w14:paraId="3E0CA254" w14:textId="77777777" w:rsidR="005F5BE3" w:rsidRPr="004C5A9C" w:rsidRDefault="005F5BE3" w:rsidP="00BE7B2A">
      <w:pPr>
        <w:pStyle w:val="a5"/>
        <w:numPr>
          <w:ilvl w:val="1"/>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فرق العمل تميل إلى المخاطرة المدروسة، وتتبنّى دورات نشر مستمرّة (</w:t>
      </w:r>
      <w:r w:rsidRPr="004C5A9C">
        <w:rPr>
          <w:rFonts w:ascii="Times New Roman" w:eastAsiaTheme="minorEastAsia" w:hAnsi="Times New Roman" w:cs="Times New Roman"/>
          <w:color w:val="000000" w:themeColor="text1"/>
          <w:kern w:val="0"/>
          <w:sz w:val="28"/>
          <w:szCs w:val="28"/>
          <w14:ligatures w14:val="none"/>
        </w:rPr>
        <w:t>CI/CD</w:t>
      </w:r>
      <w:r w:rsidRPr="004C5A9C">
        <w:rPr>
          <w:rFonts w:ascii="Times New Roman" w:eastAsiaTheme="minorEastAsia" w:hAnsi="Times New Roman" w:cs="Times New Roman"/>
          <w:color w:val="000000" w:themeColor="text1"/>
          <w:kern w:val="0"/>
          <w:sz w:val="28"/>
          <w:szCs w:val="28"/>
          <w:rtl/>
          <w14:ligatures w14:val="none"/>
        </w:rPr>
        <w:t>)، ما يفرض بيئة تنظيميّة تتقبّل التغيير المتكرّر.</w:t>
      </w:r>
    </w:p>
    <w:p w14:paraId="05BC35E7" w14:textId="77777777" w:rsidR="005F5BE3" w:rsidRPr="004C5A9C" w:rsidRDefault="005F5BE3" w:rsidP="00BE7B2A">
      <w:pPr>
        <w:numPr>
          <w:ilvl w:val="0"/>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التعلّم الآلي التعاوني</w:t>
      </w:r>
    </w:p>
    <w:p w14:paraId="206C9A0A" w14:textId="77777777" w:rsidR="005F5BE3" w:rsidRPr="004C5A9C" w:rsidRDefault="005F5BE3" w:rsidP="00BE7B2A">
      <w:pPr>
        <w:pStyle w:val="a5"/>
        <w:numPr>
          <w:ilvl w:val="1"/>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تشارُك النماذج (</w:t>
      </w:r>
      <w:r w:rsidRPr="004C5A9C">
        <w:rPr>
          <w:rFonts w:ascii="Times New Roman" w:eastAsiaTheme="minorEastAsia" w:hAnsi="Times New Roman" w:cs="Times New Roman"/>
          <w:color w:val="000000" w:themeColor="text1"/>
          <w:kern w:val="0"/>
          <w:sz w:val="28"/>
          <w:szCs w:val="28"/>
          <w14:ligatures w14:val="none"/>
        </w:rPr>
        <w:t>Model Sharing</w:t>
      </w:r>
      <w:r w:rsidRPr="004C5A9C">
        <w:rPr>
          <w:rFonts w:ascii="Times New Roman" w:eastAsiaTheme="minorEastAsia" w:hAnsi="Times New Roman" w:cs="Times New Roman"/>
          <w:color w:val="000000" w:themeColor="text1"/>
          <w:kern w:val="0"/>
          <w:sz w:val="28"/>
          <w:szCs w:val="28"/>
          <w:rtl/>
          <w14:ligatures w14:val="none"/>
        </w:rPr>
        <w:t>) بين الوحدات المختلفة يزيد من سرعة تحسين الخوارزميات، ويعزّز الذكاء الجماعي للمؤسسة.</w:t>
      </w:r>
    </w:p>
    <w:p w14:paraId="015E312D" w14:textId="77777777" w:rsidR="005F5BE3" w:rsidRPr="004C5A9C" w:rsidRDefault="005F5BE3" w:rsidP="00BE7B2A">
      <w:pPr>
        <w:numPr>
          <w:ilvl w:val="0"/>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مركزية تجربة العميل</w:t>
      </w:r>
    </w:p>
    <w:p w14:paraId="15914006" w14:textId="77777777" w:rsidR="005F5BE3" w:rsidRPr="004C5A9C" w:rsidRDefault="005F5BE3" w:rsidP="00BE7B2A">
      <w:pPr>
        <w:pStyle w:val="a5"/>
        <w:numPr>
          <w:ilvl w:val="1"/>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يُقاس الأداء داخلياً بمؤشرات لحظيّة (زمن فتح الحساب، معدّل التخلّي في شاشة التحقّق، صافي نقاط الولاء)، ما يشكّل دافعاً سلوكيّاً مستمرّاً لتحسين الواجهة الرقميّة.</w:t>
      </w:r>
    </w:p>
    <w:p w14:paraId="0051F443" w14:textId="77777777" w:rsidR="005F5BE3" w:rsidRPr="004C5A9C" w:rsidRDefault="005F5BE3" w:rsidP="00BE7B2A">
      <w:pPr>
        <w:numPr>
          <w:ilvl w:val="0"/>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الاستباقيّة في إدارة المخاطر</w:t>
      </w:r>
    </w:p>
    <w:p w14:paraId="6314514B" w14:textId="77777777" w:rsidR="005F5BE3" w:rsidRPr="004C5A9C" w:rsidRDefault="005F5BE3" w:rsidP="00BE7B2A">
      <w:pPr>
        <w:pStyle w:val="a5"/>
        <w:numPr>
          <w:ilvl w:val="1"/>
          <w:numId w:val="33"/>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الثقافة التنظيميّة تُشجّع الإبلاغ المبكر عن الثغرات السيبرانيّة والاختبارات الأحمرية (</w:t>
      </w:r>
      <w:r w:rsidRPr="004C5A9C">
        <w:rPr>
          <w:rFonts w:ascii="Times New Roman" w:eastAsiaTheme="minorEastAsia" w:hAnsi="Times New Roman" w:cs="Times New Roman"/>
          <w:color w:val="000000" w:themeColor="text1"/>
          <w:kern w:val="0"/>
          <w:sz w:val="28"/>
          <w:szCs w:val="28"/>
          <w14:ligatures w14:val="none"/>
        </w:rPr>
        <w:t>Red-Team</w:t>
      </w:r>
      <w:r w:rsidRPr="004C5A9C">
        <w:rPr>
          <w:rFonts w:ascii="Times New Roman" w:eastAsiaTheme="minorEastAsia" w:hAnsi="Times New Roman" w:cs="Times New Roman"/>
          <w:color w:val="000000" w:themeColor="text1"/>
          <w:kern w:val="0"/>
          <w:sz w:val="28"/>
          <w:szCs w:val="28"/>
          <w:rtl/>
          <w14:ligatures w14:val="none"/>
        </w:rPr>
        <w:t>) بصورة دورية، بوصفها مساراً طبيعياً للعمل لا استثناءً طارئاً.</w:t>
      </w:r>
    </w:p>
    <w:p w14:paraId="1D7F8D1E" w14:textId="77777777" w:rsidR="005F5BE3" w:rsidRPr="004C5A9C" w:rsidRDefault="005F5BE3" w:rsidP="00BE7B2A">
      <w:p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p>
    <w:p w14:paraId="4155806E" w14:textId="77777777" w:rsidR="005F5BE3" w:rsidRPr="004C5A9C" w:rsidRDefault="005F5BE3" w:rsidP="00BE7B2A">
      <w:pPr>
        <w:spacing w:before="100" w:beforeAutospacing="1" w:after="100" w:afterAutospacing="1" w:line="360" w:lineRule="auto"/>
        <w:outlineLvl w:val="3"/>
        <w:divId w:val="838425095"/>
        <w:rPr>
          <w:rFonts w:ascii="Times New Roman" w:eastAsia="Times New Roman" w:hAnsi="Times New Roman" w:cs="Times New Roman"/>
          <w:b/>
          <w:bCs/>
          <w:color w:val="000000" w:themeColor="text1"/>
          <w:kern w:val="0"/>
          <w:sz w:val="28"/>
          <w:szCs w:val="28"/>
          <w14:ligatures w14:val="none"/>
        </w:rPr>
      </w:pPr>
      <w:r w:rsidRPr="004C5A9C">
        <w:rPr>
          <w:rFonts w:ascii="Times New Roman" w:eastAsia="Times New Roman" w:hAnsi="Times New Roman" w:cs="Times New Roman"/>
          <w:b/>
          <w:bCs/>
          <w:color w:val="000000" w:themeColor="text1"/>
          <w:kern w:val="0"/>
          <w:sz w:val="28"/>
          <w:szCs w:val="28"/>
          <w:rtl/>
          <w14:ligatures w14:val="none"/>
        </w:rPr>
        <w:t>ثالثاً: مبادئ الإدارة الفاعلة للبنك الرقمي</w:t>
      </w:r>
    </w:p>
    <w:p w14:paraId="082CCF36" w14:textId="77777777" w:rsidR="005F5BE3" w:rsidRPr="004C5A9C" w:rsidRDefault="005F5BE3" w:rsidP="00BE7B2A">
      <w:pPr>
        <w:numPr>
          <w:ilvl w:val="0"/>
          <w:numId w:val="34"/>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14:ligatures w14:val="none"/>
        </w:rPr>
      </w:pPr>
      <w:r w:rsidRPr="004C5A9C">
        <w:rPr>
          <w:rFonts w:ascii="Times New Roman" w:eastAsiaTheme="minorEastAsia" w:hAnsi="Times New Roman" w:cs="Times New Roman"/>
          <w:color w:val="000000" w:themeColor="text1"/>
          <w:kern w:val="0"/>
          <w:sz w:val="28"/>
          <w:szCs w:val="28"/>
          <w:rtl/>
          <w14:ligatures w14:val="none"/>
        </w:rPr>
        <w:t xml:space="preserve">تعظيم الاستفادة من الأصول البرمجيّة والمعرفيّة عبر بناء شراكات تناغميّة مع شركات </w:t>
      </w:r>
      <w:r w:rsidRPr="004C5A9C">
        <w:rPr>
          <w:rFonts w:ascii="Times New Roman" w:eastAsiaTheme="minorEastAsia" w:hAnsi="Times New Roman" w:cs="Times New Roman"/>
          <w:color w:val="000000" w:themeColor="text1"/>
          <w:kern w:val="0"/>
          <w:sz w:val="28"/>
          <w:szCs w:val="28"/>
          <w14:ligatures w14:val="none"/>
        </w:rPr>
        <w:t>FinTech</w:t>
      </w:r>
      <w:r w:rsidRPr="004C5A9C">
        <w:rPr>
          <w:rFonts w:ascii="Times New Roman" w:eastAsiaTheme="minorEastAsia" w:hAnsi="Times New Roman" w:cs="Times New Roman"/>
          <w:color w:val="000000" w:themeColor="text1"/>
          <w:kern w:val="0"/>
          <w:sz w:val="28"/>
          <w:szCs w:val="28"/>
          <w:rtl/>
          <w14:ligatures w14:val="none"/>
        </w:rPr>
        <w:t xml:space="preserve"> والعملاء المطوّرين (</w:t>
      </w:r>
      <w:r w:rsidRPr="004C5A9C">
        <w:rPr>
          <w:rFonts w:ascii="Times New Roman" w:eastAsiaTheme="minorEastAsia" w:hAnsi="Times New Roman" w:cs="Times New Roman"/>
          <w:color w:val="000000" w:themeColor="text1"/>
          <w:kern w:val="0"/>
          <w:sz w:val="28"/>
          <w:szCs w:val="28"/>
          <w14:ligatures w14:val="none"/>
        </w:rPr>
        <w:t>Developers Community</w:t>
      </w:r>
      <w:r w:rsidRPr="004C5A9C">
        <w:rPr>
          <w:rFonts w:ascii="Times New Roman" w:eastAsiaTheme="minorEastAsia" w:hAnsi="Times New Roman" w:cs="Times New Roman"/>
          <w:color w:val="000000" w:themeColor="text1"/>
          <w:kern w:val="0"/>
          <w:sz w:val="28"/>
          <w:szCs w:val="28"/>
          <w:rtl/>
          <w14:ligatures w14:val="none"/>
        </w:rPr>
        <w:t>).</w:t>
      </w:r>
    </w:p>
    <w:p w14:paraId="3A15F687" w14:textId="77777777" w:rsidR="005F5BE3" w:rsidRPr="004C5A9C" w:rsidRDefault="005F5BE3" w:rsidP="00BE7B2A">
      <w:pPr>
        <w:numPr>
          <w:ilvl w:val="0"/>
          <w:numId w:val="34"/>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توفير الموارد التقنيّة والبيانات اللازمة للموظفين كي يشكّلوا شبكة علاقات ابتكار داخليّة (</w:t>
      </w:r>
      <w:r w:rsidRPr="004C5A9C">
        <w:rPr>
          <w:rFonts w:ascii="Times New Roman" w:eastAsiaTheme="minorEastAsia" w:hAnsi="Times New Roman" w:cs="Times New Roman"/>
          <w:color w:val="000000" w:themeColor="text1"/>
          <w:kern w:val="0"/>
          <w:sz w:val="28"/>
          <w:szCs w:val="28"/>
          <w14:ligatures w14:val="none"/>
        </w:rPr>
        <w:t>DevOps, DataOps</w:t>
      </w:r>
      <w:r w:rsidRPr="004C5A9C">
        <w:rPr>
          <w:rFonts w:ascii="Times New Roman" w:eastAsiaTheme="minorEastAsia" w:hAnsi="Times New Roman" w:cs="Times New Roman"/>
          <w:color w:val="000000" w:themeColor="text1"/>
          <w:kern w:val="0"/>
          <w:sz w:val="28"/>
          <w:szCs w:val="28"/>
          <w:rtl/>
          <w14:ligatures w14:val="none"/>
        </w:rPr>
        <w:t>).</w:t>
      </w:r>
    </w:p>
    <w:p w14:paraId="779F5D73" w14:textId="77777777" w:rsidR="005F5BE3" w:rsidRPr="004C5A9C" w:rsidRDefault="005F5BE3" w:rsidP="00BE7B2A">
      <w:pPr>
        <w:numPr>
          <w:ilvl w:val="0"/>
          <w:numId w:val="34"/>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عدم الإفراط في البيروقراطيّة الرقابيّة بما يخنق الابتكار؛ بل اعتماد أُطر حَوكمة خفيفة الوزن، مقرونة بضوابط أمن صارمة.</w:t>
      </w:r>
    </w:p>
    <w:p w14:paraId="37D0FEC3" w14:textId="77777777" w:rsidR="005F5BE3" w:rsidRPr="004C5A9C" w:rsidRDefault="005F5BE3" w:rsidP="00BE7B2A">
      <w:pPr>
        <w:numPr>
          <w:ilvl w:val="0"/>
          <w:numId w:val="34"/>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lastRenderedPageBreak/>
        <w:t>إنشاء طبقة حوكمة بيانات موحّدة تسمح بالوصول الانسيابي إلى البيانات التحليليّة عند الحاجة، مع الالتزام التامّ بضوابط الخصوصيّة.</w:t>
      </w:r>
    </w:p>
    <w:p w14:paraId="67CA4D96" w14:textId="77777777" w:rsidR="005F5BE3" w:rsidRPr="004C5A9C" w:rsidRDefault="005F5BE3" w:rsidP="00BE7B2A">
      <w:pPr>
        <w:numPr>
          <w:ilvl w:val="0"/>
          <w:numId w:val="34"/>
        </w:num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r w:rsidRPr="004C5A9C">
        <w:rPr>
          <w:rFonts w:ascii="Times New Roman" w:eastAsiaTheme="minorEastAsia" w:hAnsi="Times New Roman" w:cs="Times New Roman"/>
          <w:color w:val="000000" w:themeColor="text1"/>
          <w:kern w:val="0"/>
          <w:sz w:val="28"/>
          <w:szCs w:val="28"/>
          <w:rtl/>
          <w14:ligatures w14:val="none"/>
        </w:rPr>
        <w:t>رفد المنصّة بمعلومات السوق اللحظيّة (</w:t>
      </w:r>
      <w:r w:rsidRPr="004C5A9C">
        <w:rPr>
          <w:rFonts w:ascii="Times New Roman" w:eastAsiaTheme="minorEastAsia" w:hAnsi="Times New Roman" w:cs="Times New Roman"/>
          <w:color w:val="000000" w:themeColor="text1"/>
          <w:kern w:val="0"/>
          <w:sz w:val="28"/>
          <w:szCs w:val="28"/>
          <w14:ligatures w14:val="none"/>
        </w:rPr>
        <w:t>Open Banking, Open Finance</w:t>
      </w:r>
      <w:r w:rsidRPr="004C5A9C">
        <w:rPr>
          <w:rFonts w:ascii="Times New Roman" w:eastAsiaTheme="minorEastAsia" w:hAnsi="Times New Roman" w:cs="Times New Roman"/>
          <w:color w:val="000000" w:themeColor="text1"/>
          <w:kern w:val="0"/>
          <w:sz w:val="28"/>
          <w:szCs w:val="28"/>
          <w:rtl/>
          <w14:ligatures w14:val="none"/>
        </w:rPr>
        <w:t>) لزيادة كفاءة الخوارزميات وتحسين تكيّفها مع سلوك العملاء المتغيّر.</w:t>
      </w:r>
    </w:p>
    <w:p w14:paraId="570F7006" w14:textId="77777777" w:rsidR="005F5BE3" w:rsidRPr="004C5A9C" w:rsidRDefault="005F5BE3" w:rsidP="00BE7B2A">
      <w:pPr>
        <w:spacing w:before="100" w:beforeAutospacing="1" w:after="100" w:afterAutospacing="1" w:line="360" w:lineRule="auto"/>
        <w:divId w:val="838425095"/>
        <w:rPr>
          <w:rFonts w:ascii="Times New Roman" w:eastAsiaTheme="minorEastAsia" w:hAnsi="Times New Roman" w:cs="Times New Roman"/>
          <w:color w:val="000000" w:themeColor="text1"/>
          <w:kern w:val="0"/>
          <w:sz w:val="28"/>
          <w:szCs w:val="28"/>
          <w:rtl/>
          <w14:ligatures w14:val="none"/>
        </w:rPr>
      </w:pPr>
    </w:p>
    <w:p w14:paraId="4439417C" w14:textId="77777777" w:rsidR="00421962" w:rsidRPr="004C5A9C" w:rsidRDefault="005F5BE3" w:rsidP="00BE7B2A">
      <w:pPr>
        <w:bidi w:val="0"/>
        <w:spacing w:after="0" w:line="360" w:lineRule="auto"/>
        <w:ind w:left="225"/>
        <w:jc w:val="right"/>
        <w:divId w:val="2040351417"/>
        <w:rPr>
          <w:rFonts w:ascii=".AppleSystemUIFont" w:eastAsia="Times New Roman" w:hAnsi=".AppleSystemUIFont" w:cs="Times New Roman"/>
          <w:color w:val="000000" w:themeColor="text1"/>
          <w:kern w:val="0"/>
          <w:sz w:val="28"/>
          <w:szCs w:val="28"/>
          <w:rtl/>
          <w14:ligatures w14:val="none"/>
        </w:rPr>
      </w:pPr>
      <w:r w:rsidRPr="004C5A9C">
        <w:rPr>
          <w:rFonts w:ascii=".AppleSystemUIFont" w:eastAsia="Times New Roman" w:hAnsi=".AppleSystemUIFont" w:cs="Times New Roman"/>
          <w:color w:val="000000" w:themeColor="text1"/>
          <w:kern w:val="0"/>
          <w:sz w:val="28"/>
          <w:szCs w:val="28"/>
          <w:rtl/>
          <w14:ligatures w14:val="none"/>
        </w:rPr>
        <w:t>بهذه الخصائص يصبح موظفو البنك الرقمي – من مهندسين، وعلماء بيانات، ومحلّلي مخاطر – المصدر الأهم للأفكار المبتكرة. وتصبح مهمة الإدارة العُليا تهيئة بيئة تتكامل فيها القدرات التقنيّة مع الرؤى</w:t>
      </w:r>
    </w:p>
    <w:p w14:paraId="727A90AE" w14:textId="77777777" w:rsidR="00421962" w:rsidRPr="004C5A9C" w:rsidRDefault="00421962" w:rsidP="00BE7B2A">
      <w:pPr>
        <w:bidi w:val="0"/>
        <w:spacing w:after="0" w:line="360" w:lineRule="auto"/>
        <w:ind w:left="225"/>
        <w:jc w:val="right"/>
        <w:divId w:val="2040351417"/>
        <w:rPr>
          <w:rFonts w:ascii=".AppleSystemUIFont" w:eastAsia="Times New Roman" w:hAnsi=".AppleSystemUIFont" w:cs="Times New Roman"/>
          <w:color w:val="000000" w:themeColor="text1"/>
          <w:kern w:val="0"/>
          <w:sz w:val="28"/>
          <w:szCs w:val="28"/>
          <w:rtl/>
          <w14:ligatures w14:val="none"/>
        </w:rPr>
      </w:pPr>
    </w:p>
    <w:p w14:paraId="5CC58A4F" w14:textId="6391FBED" w:rsidR="00F149F9" w:rsidRPr="004C5A9C" w:rsidRDefault="005F5BE3" w:rsidP="00BE7B2A">
      <w:pPr>
        <w:bidi w:val="0"/>
        <w:spacing w:after="0" w:line="360" w:lineRule="auto"/>
        <w:ind w:left="225"/>
        <w:jc w:val="right"/>
        <w:divId w:val="2040351417"/>
        <w:rPr>
          <w:rFonts w:ascii=".AppleSystemUIFont" w:eastAsia="Times New Roman" w:hAnsi=".AppleSystemUIFont" w:cs="Times New Roman"/>
          <w:b/>
          <w:bCs/>
          <w:color w:val="000000" w:themeColor="text1"/>
          <w:kern w:val="0"/>
          <w:sz w:val="32"/>
          <w:szCs w:val="32"/>
          <w:u w:val="single"/>
          <w14:ligatures w14:val="none"/>
        </w:rPr>
      </w:pPr>
      <w:r w:rsidRPr="004C5A9C">
        <w:rPr>
          <w:rFonts w:ascii=".AppleSystemUIFont" w:eastAsia="Times New Roman" w:hAnsi=".AppleSystemUIFont" w:cs="Times New Roman"/>
          <w:b/>
          <w:bCs/>
          <w:color w:val="000000" w:themeColor="text1"/>
          <w:kern w:val="0"/>
          <w:sz w:val="32"/>
          <w:szCs w:val="32"/>
          <w:u w:val="single"/>
          <w:rtl/>
          <w14:ligatures w14:val="none"/>
        </w:rPr>
        <w:t xml:space="preserve"> </w:t>
      </w:r>
      <w:r w:rsidR="00F149F9" w:rsidRPr="004C5A9C">
        <w:rPr>
          <w:rFonts w:ascii=".AppleSystemUIFont" w:eastAsia="Times New Roman" w:hAnsi=".AppleSystemUIFont" w:cs="Times New Roman"/>
          <w:b/>
          <w:bCs/>
          <w:color w:val="000000" w:themeColor="text1"/>
          <w:kern w:val="0"/>
          <w:sz w:val="32"/>
          <w:szCs w:val="32"/>
          <w:u w:val="single"/>
          <w:rtl/>
          <w14:ligatures w14:val="none"/>
        </w:rPr>
        <w:t>2-1-5 مكوّنات البنوك الرقميّة</w:t>
      </w:r>
    </w:p>
    <w:p w14:paraId="2157DE3B" w14:textId="77777777" w:rsidR="00F149F9" w:rsidRPr="004C5A9C" w:rsidRDefault="00F149F9" w:rsidP="00BE7B2A">
      <w:pPr>
        <w:bidi w:val="0"/>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p>
    <w:p w14:paraId="42F535A1" w14:textId="77777777" w:rsidR="00F149F9" w:rsidRPr="004C5A9C" w:rsidRDefault="00F149F9" w:rsidP="00BE7B2A">
      <w:pPr>
        <w:bidi w:val="0"/>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على غرار تقسيم “العناصر” في أدبيّات رأس المال الفكري، يمكن توصيف البنية الجوهرية للبنك الرقمي عبر حزمة من المكوّنات المتشابكة؛ بعضها تقني صرف، وبعضها يُعدّ رأسمالاً معرفيّاً أو علاقاتيّاً. تُمثّل هذه المكوّنات مجتمعةً «الأصل غير الملموس» الذي يولِّد القيمة والميزة التنافسيّة. وفيما يلي أبرزها:</w:t>
      </w:r>
    </w:p>
    <w:p w14:paraId="5417442B"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p>
    <w:tbl>
      <w:tblPr>
        <w:tblW w:w="0" w:type="auto"/>
        <w:tblCellMar>
          <w:left w:w="0" w:type="dxa"/>
          <w:right w:w="0" w:type="dxa"/>
        </w:tblCellMar>
        <w:tblLook w:val="04A0" w:firstRow="1" w:lastRow="0" w:firstColumn="1" w:lastColumn="0" w:noHBand="0" w:noVBand="1"/>
      </w:tblPr>
      <w:tblGrid>
        <w:gridCol w:w="4784"/>
        <w:gridCol w:w="3125"/>
        <w:gridCol w:w="907"/>
      </w:tblGrid>
      <w:tr w:rsidR="000C27D5" w:rsidRPr="004C5A9C" w14:paraId="22CDCFD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9F07EE"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rtl/>
                <w14:ligatures w14:val="none"/>
              </w:rPr>
            </w:pPr>
            <w:r w:rsidRPr="004C5A9C">
              <w:rPr>
                <w:rFonts w:ascii=".AppleSystemUIFont" w:eastAsia="Times New Roman" w:hAnsi=".AppleSystemUIFont" w:cs="Times New Roman"/>
                <w:color w:val="000000" w:themeColor="text1"/>
                <w:kern w:val="0"/>
                <w:sz w:val="28"/>
                <w:szCs w:val="28"/>
                <w:rtl/>
                <w14:ligatures w14:val="none"/>
              </w:rPr>
              <w:t>شرح موجز لوظائفه ودوره الاستراتيجي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FFF4ED"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rtl/>
                <w14:ligatures w14:val="none"/>
              </w:rPr>
            </w:pPr>
            <w:r w:rsidRPr="004C5A9C">
              <w:rPr>
                <w:rFonts w:ascii=".AppleSystemUIFont" w:eastAsia="Times New Roman" w:hAnsi=".AppleSystemUIFont" w:cs="Times New Roman"/>
                <w:color w:val="000000" w:themeColor="text1"/>
                <w:kern w:val="0"/>
                <w:sz w:val="28"/>
                <w:szCs w:val="28"/>
                <w:rtl/>
                <w14:ligatures w14:val="none"/>
              </w:rPr>
              <w:t>المكوّن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63FC2A"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rtl/>
                <w14:ligatures w14:val="none"/>
              </w:rPr>
            </w:pPr>
            <w:r w:rsidRPr="004C5A9C">
              <w:rPr>
                <w:rFonts w:ascii=".AppleSystemUIFont" w:eastAsia="Times New Roman" w:hAnsi=".AppleSystemUIFont" w:cs="Times New Roman"/>
                <w:color w:val="000000" w:themeColor="text1"/>
                <w:kern w:val="0"/>
                <w:sz w:val="28"/>
                <w:szCs w:val="28"/>
                <w:rtl/>
                <w14:ligatures w14:val="none"/>
              </w:rPr>
              <w:t>رقم</w:t>
            </w:r>
          </w:p>
        </w:tc>
      </w:tr>
      <w:tr w:rsidR="000C27D5" w:rsidRPr="004C5A9C" w14:paraId="7508309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AA68CE"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تضمّ الحوسبة المصغَّرة (</w:t>
            </w:r>
            <w:r w:rsidRPr="004C5A9C">
              <w:rPr>
                <w:rFonts w:ascii=".AppleSystemUIFont" w:eastAsia="Times New Roman" w:hAnsi=".AppleSystemUIFont" w:cs="Times New Roman"/>
                <w:color w:val="000000" w:themeColor="text1"/>
                <w:kern w:val="0"/>
                <w:sz w:val="28"/>
                <w:szCs w:val="28"/>
                <w14:ligatures w14:val="none"/>
              </w:rPr>
              <w:t>micro-services)</w:t>
            </w:r>
            <w:r w:rsidRPr="004C5A9C">
              <w:rPr>
                <w:rFonts w:ascii="Times New Roman" w:eastAsia="Times New Roman" w:hAnsi="Times New Roman" w:cs="Times New Roman"/>
                <w:color w:val="000000" w:themeColor="text1"/>
                <w:kern w:val="0"/>
                <w:sz w:val="28"/>
                <w:szCs w:val="28"/>
                <w14:ligatures w14:val="none"/>
              </w:rPr>
              <w:t>،</w:t>
            </w:r>
            <w:r w:rsidRPr="004C5A9C">
              <w:rPr>
                <w:rFonts w:ascii=".AppleSystemUIFont" w:eastAsia="Times New Roman" w:hAnsi=".AppleSystemUIFont" w:cs="Times New Roman"/>
                <w:color w:val="000000" w:themeColor="text1"/>
                <w:kern w:val="0"/>
                <w:sz w:val="28"/>
                <w:szCs w:val="28"/>
                <w14:ligatures w14:val="none"/>
              </w:rPr>
              <w:t xml:space="preserve"> </w:t>
            </w:r>
            <w:r w:rsidRPr="004C5A9C">
              <w:rPr>
                <w:rFonts w:ascii=".AppleSystemUIFont" w:eastAsia="Times New Roman" w:hAnsi=".AppleSystemUIFont" w:cs="Times New Roman"/>
                <w:color w:val="000000" w:themeColor="text1"/>
                <w:kern w:val="0"/>
                <w:sz w:val="28"/>
                <w:szCs w:val="28"/>
                <w:rtl/>
                <w14:ligatures w14:val="none"/>
              </w:rPr>
              <w:t>وإدارة الحاويات (</w:t>
            </w:r>
            <w:r w:rsidRPr="004C5A9C">
              <w:rPr>
                <w:rFonts w:ascii=".AppleSystemUIFont" w:eastAsia="Times New Roman" w:hAnsi=".AppleSystemUIFont" w:cs="Times New Roman"/>
                <w:color w:val="000000" w:themeColor="text1"/>
                <w:kern w:val="0"/>
                <w:sz w:val="28"/>
                <w:szCs w:val="28"/>
                <w14:ligatures w14:val="none"/>
              </w:rPr>
              <w:t>Kubernetes)</w:t>
            </w:r>
            <w:r w:rsidRPr="004C5A9C">
              <w:rPr>
                <w:rFonts w:ascii="Times New Roman" w:eastAsia="Times New Roman" w:hAnsi="Times New Roman" w:cs="Times New Roman"/>
                <w:color w:val="000000" w:themeColor="text1"/>
                <w:kern w:val="0"/>
                <w:sz w:val="28"/>
                <w:szCs w:val="28"/>
                <w14:ligatures w14:val="none"/>
              </w:rPr>
              <w:t>،</w:t>
            </w:r>
            <w:r w:rsidRPr="004C5A9C">
              <w:rPr>
                <w:rFonts w:ascii=".AppleSystemUIFont" w:eastAsia="Times New Roman" w:hAnsi=".AppleSystemUIFont" w:cs="Times New Roman"/>
                <w:color w:val="000000" w:themeColor="text1"/>
                <w:kern w:val="0"/>
                <w:sz w:val="28"/>
                <w:szCs w:val="28"/>
                <w14:ligatures w14:val="none"/>
              </w:rPr>
              <w:t xml:space="preserve"> </w:t>
            </w:r>
            <w:r w:rsidRPr="004C5A9C">
              <w:rPr>
                <w:rFonts w:ascii=".AppleSystemUIFont" w:eastAsia="Times New Roman" w:hAnsi=".AppleSystemUIFont" w:cs="Times New Roman"/>
                <w:color w:val="000000" w:themeColor="text1"/>
                <w:kern w:val="0"/>
                <w:sz w:val="28"/>
                <w:szCs w:val="28"/>
                <w:rtl/>
                <w14:ligatures w14:val="none"/>
              </w:rPr>
              <w:t>والبنية المرنة التي تتيح التوسّع الأفقي الفوري، ما يخفض كلفة البنية التحتيّة ويعزّز التوفّر (</w:t>
            </w:r>
            <w:r w:rsidRPr="004C5A9C">
              <w:rPr>
                <w:rFonts w:ascii=".AppleSystemUIFont" w:eastAsia="Times New Roman" w:hAnsi=".AppleSystemUIFont" w:cs="Times New Roman"/>
                <w:color w:val="000000" w:themeColor="text1"/>
                <w:kern w:val="0"/>
                <w:sz w:val="28"/>
                <w:szCs w:val="28"/>
                <w14:ligatures w14:val="none"/>
              </w:rPr>
              <w:t>High Availability).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83858C"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البنية السحابيّة الأساسيّة (</w:t>
            </w:r>
            <w:r w:rsidRPr="004C5A9C">
              <w:rPr>
                <w:rFonts w:ascii=".AppleSystemUIFont" w:eastAsia="Times New Roman" w:hAnsi=".AppleSystemUIFont" w:cs="Times New Roman"/>
                <w:color w:val="000000" w:themeColor="text1"/>
                <w:kern w:val="0"/>
                <w:sz w:val="28"/>
                <w:szCs w:val="28"/>
                <w14:ligatures w14:val="none"/>
              </w:rPr>
              <w:t>Cloud-Native Core)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A7161E"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1</w:t>
            </w:r>
          </w:p>
        </w:tc>
      </w:tr>
      <w:tr w:rsidR="000C27D5" w:rsidRPr="004C5A9C" w14:paraId="35A35D1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3D4428"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يشغّل السجلّات الفوريّة للحسابات، ويعالج الإيداع والسحب والفوائد في الزمن الحقيقي؛ يُكتب غالباً بلغة خدمات مصغَّرة تتكامل مع واجهات برمجة التطبيقات المفتوحة.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6CA600"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محرك الحسابات الأساسي (</w:t>
            </w:r>
            <w:r w:rsidRPr="004C5A9C">
              <w:rPr>
                <w:rFonts w:ascii=".AppleSystemUIFont" w:eastAsia="Times New Roman" w:hAnsi=".AppleSystemUIFont" w:cs="Times New Roman"/>
                <w:color w:val="000000" w:themeColor="text1"/>
                <w:kern w:val="0"/>
                <w:sz w:val="28"/>
                <w:szCs w:val="28"/>
                <w14:ligatures w14:val="none"/>
              </w:rPr>
              <w:t>Core Banking Engine)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28FDF4"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2</w:t>
            </w:r>
          </w:p>
        </w:tc>
      </w:tr>
      <w:tr w:rsidR="000C27D5" w:rsidRPr="004C5A9C" w14:paraId="29D9F28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3656E0"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lastRenderedPageBreak/>
              <w:t>بحيرة بيانات موحّدة (</w:t>
            </w:r>
            <w:r w:rsidRPr="004C5A9C">
              <w:rPr>
                <w:rFonts w:ascii=".AppleSystemUIFont" w:eastAsia="Times New Roman" w:hAnsi=".AppleSystemUIFont" w:cs="Times New Roman"/>
                <w:color w:val="000000" w:themeColor="text1"/>
                <w:kern w:val="0"/>
                <w:sz w:val="28"/>
                <w:szCs w:val="28"/>
                <w14:ligatures w14:val="none"/>
              </w:rPr>
              <w:t xml:space="preserve">Data Lake) </w:t>
            </w:r>
            <w:r w:rsidRPr="004C5A9C">
              <w:rPr>
                <w:rFonts w:ascii=".AppleSystemUIFont" w:eastAsia="Times New Roman" w:hAnsi=".AppleSystemUIFont" w:cs="Times New Roman"/>
                <w:color w:val="000000" w:themeColor="text1"/>
                <w:kern w:val="0"/>
                <w:sz w:val="28"/>
                <w:szCs w:val="28"/>
                <w:rtl/>
                <w14:ligatures w14:val="none"/>
              </w:rPr>
              <w:t>تتضمّن سجلات المعاملات، وسلوك المستخدم، وبيانات الجهات الخارجيّة؛ تُستخدم خوارزميات تعلّم آلي للتنبؤ بالمخاطر وتصميم عروض شخصيّة.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AFB953"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طبقة البيانات والتحليلات (</w:t>
            </w:r>
            <w:r w:rsidRPr="004C5A9C">
              <w:rPr>
                <w:rFonts w:ascii=".AppleSystemUIFont" w:eastAsia="Times New Roman" w:hAnsi=".AppleSystemUIFont" w:cs="Times New Roman"/>
                <w:color w:val="000000" w:themeColor="text1"/>
                <w:kern w:val="0"/>
                <w:sz w:val="28"/>
                <w:szCs w:val="28"/>
                <w14:ligatures w14:val="none"/>
              </w:rPr>
              <w:t>Data &amp; Analytics Layer)</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6578D9"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3</w:t>
            </w:r>
          </w:p>
        </w:tc>
      </w:tr>
      <w:tr w:rsidR="000C27D5" w:rsidRPr="004C5A9C" w14:paraId="5C779FD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3ADD45"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 xml:space="preserve">تمكّن الجهات الثالثة – من شركات </w:t>
            </w:r>
            <w:r w:rsidRPr="004C5A9C">
              <w:rPr>
                <w:rFonts w:ascii=".AppleSystemUIFont" w:eastAsia="Times New Roman" w:hAnsi=".AppleSystemUIFont" w:cs="Times New Roman"/>
                <w:color w:val="000000" w:themeColor="text1"/>
                <w:kern w:val="0"/>
                <w:sz w:val="28"/>
                <w:szCs w:val="28"/>
                <w14:ligatures w14:val="none"/>
              </w:rPr>
              <w:t xml:space="preserve">FinTech </w:t>
            </w:r>
            <w:r w:rsidRPr="004C5A9C">
              <w:rPr>
                <w:rFonts w:ascii=".AppleSystemUIFont" w:eastAsia="Times New Roman" w:hAnsi=".AppleSystemUIFont" w:cs="Times New Roman"/>
                <w:color w:val="000000" w:themeColor="text1"/>
                <w:kern w:val="0"/>
                <w:sz w:val="28"/>
                <w:szCs w:val="28"/>
                <w:rtl/>
                <w14:ligatures w14:val="none"/>
              </w:rPr>
              <w:t>وتطبيقات التجزئة – من الوصول المصرَّح به إلى خدمات الدفع والحساب؛ تُعدّ ركيزة الاقتصاد المنصّاتي (</w:t>
            </w:r>
            <w:r w:rsidRPr="004C5A9C">
              <w:rPr>
                <w:rFonts w:ascii=".AppleSystemUIFont" w:eastAsia="Times New Roman" w:hAnsi=".AppleSystemUIFont" w:cs="Times New Roman"/>
                <w:color w:val="000000" w:themeColor="text1"/>
                <w:kern w:val="0"/>
                <w:sz w:val="28"/>
                <w:szCs w:val="28"/>
                <w14:ligatures w14:val="none"/>
              </w:rPr>
              <w:t>Banking-as-a-Service).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4775EF"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بوابة الواجهات المفتوحة (</w:t>
            </w:r>
            <w:r w:rsidRPr="004C5A9C">
              <w:rPr>
                <w:rFonts w:ascii=".AppleSystemUIFont" w:eastAsia="Times New Roman" w:hAnsi=".AppleSystemUIFont" w:cs="Times New Roman"/>
                <w:color w:val="000000" w:themeColor="text1"/>
                <w:kern w:val="0"/>
                <w:sz w:val="28"/>
                <w:szCs w:val="28"/>
                <w14:ligatures w14:val="none"/>
              </w:rPr>
              <w:t>Open-API Gateway)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8431CF"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4</w:t>
            </w:r>
          </w:p>
        </w:tc>
      </w:tr>
      <w:tr w:rsidR="000C27D5" w:rsidRPr="004C5A9C" w14:paraId="0216A7B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3B4262"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تشمل التحقّق البيومتري، والتكامل مع منصّات الهوية الوطنيّة (نفاذ/أبشر)، ما يسمح بفتح حساب خلال دقائق مع الامتثال الفوري لمتطلّبات مكافحة غسل الأموال.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6E968D"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 xml:space="preserve">منظومة الهوية الرقميّة و </w:t>
            </w:r>
            <w:r w:rsidRPr="004C5A9C">
              <w:rPr>
                <w:rFonts w:ascii=".AppleSystemUIFont" w:eastAsia="Times New Roman" w:hAnsi=".AppleSystemUIFont" w:cs="Times New Roman"/>
                <w:color w:val="000000" w:themeColor="text1"/>
                <w:kern w:val="0"/>
                <w:sz w:val="28"/>
                <w:szCs w:val="28"/>
                <w14:ligatures w14:val="none"/>
              </w:rPr>
              <w:t>e-KYC</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9256BE"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5</w:t>
            </w:r>
          </w:p>
        </w:tc>
      </w:tr>
      <w:tr w:rsidR="000C27D5" w:rsidRPr="004C5A9C" w14:paraId="143C8DF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2CF883"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تستخدم نماذج تعلّم عميق لدمج بيانات تقليديّة وغير تقليديّة (فواتير اتصالات، وسائل تواصل) لتقدير الجدارة الائتمانيّة في ثوانٍ، فتقلّل التخلّف وتزيد الشمول المالي.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469C0C"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محرّكات القرار الائتماني الآلي (</w:t>
            </w:r>
            <w:r w:rsidRPr="004C5A9C">
              <w:rPr>
                <w:rFonts w:ascii=".AppleSystemUIFont" w:eastAsia="Times New Roman" w:hAnsi=".AppleSystemUIFont" w:cs="Times New Roman"/>
                <w:color w:val="000000" w:themeColor="text1"/>
                <w:kern w:val="0"/>
                <w:sz w:val="28"/>
                <w:szCs w:val="28"/>
                <w14:ligatures w14:val="none"/>
              </w:rPr>
              <w:t>AI Credit-Decision Engines)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DD5CC4"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6</w:t>
            </w:r>
          </w:p>
        </w:tc>
      </w:tr>
      <w:tr w:rsidR="000C27D5" w:rsidRPr="004C5A9C" w14:paraId="419E3BE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1F107F"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يجمع بين مراكز عمليات أمن 24/7، ورصد دفع لحظي للتهديدات (</w:t>
            </w:r>
            <w:r w:rsidRPr="004C5A9C">
              <w:rPr>
                <w:rFonts w:ascii=".AppleSystemUIFont" w:eastAsia="Times New Roman" w:hAnsi=".AppleSystemUIFont" w:cs="Times New Roman"/>
                <w:color w:val="000000" w:themeColor="text1"/>
                <w:kern w:val="0"/>
                <w:sz w:val="28"/>
                <w:szCs w:val="28"/>
                <w14:ligatures w14:val="none"/>
              </w:rPr>
              <w:t>SIEM)</w:t>
            </w:r>
            <w:r w:rsidRPr="004C5A9C">
              <w:rPr>
                <w:rFonts w:ascii="Times New Roman" w:eastAsia="Times New Roman" w:hAnsi="Times New Roman" w:cs="Times New Roman"/>
                <w:color w:val="000000" w:themeColor="text1"/>
                <w:kern w:val="0"/>
                <w:sz w:val="28"/>
                <w:szCs w:val="28"/>
                <w14:ligatures w14:val="none"/>
              </w:rPr>
              <w:t>،</w:t>
            </w:r>
            <w:r w:rsidRPr="004C5A9C">
              <w:rPr>
                <w:rFonts w:ascii=".AppleSystemUIFont" w:eastAsia="Times New Roman" w:hAnsi=".AppleSystemUIFont" w:cs="Times New Roman"/>
                <w:color w:val="000000" w:themeColor="text1"/>
                <w:kern w:val="0"/>
                <w:sz w:val="28"/>
                <w:szCs w:val="28"/>
                <w14:ligatures w14:val="none"/>
              </w:rPr>
              <w:t xml:space="preserve"> </w:t>
            </w:r>
            <w:r w:rsidRPr="004C5A9C">
              <w:rPr>
                <w:rFonts w:ascii=".AppleSystemUIFont" w:eastAsia="Times New Roman" w:hAnsi=".AppleSystemUIFont" w:cs="Times New Roman"/>
                <w:color w:val="000000" w:themeColor="text1"/>
                <w:kern w:val="0"/>
                <w:sz w:val="28"/>
                <w:szCs w:val="28"/>
                <w:rtl/>
                <w14:ligatures w14:val="none"/>
              </w:rPr>
              <w:t>وتشفير شامل للبيانات أثناء النقل والتخزين، مع اختبارات اختراق دوريّة (</w:t>
            </w:r>
            <w:r w:rsidRPr="004C5A9C">
              <w:rPr>
                <w:rFonts w:ascii=".AppleSystemUIFont" w:eastAsia="Times New Roman" w:hAnsi=".AppleSystemUIFont" w:cs="Times New Roman"/>
                <w:color w:val="000000" w:themeColor="text1"/>
                <w:kern w:val="0"/>
                <w:sz w:val="28"/>
                <w:szCs w:val="28"/>
                <w14:ligatures w14:val="none"/>
              </w:rPr>
              <w:t>Red-Team).</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C8DB30"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نسيج الأمن السيبراني (</w:t>
            </w:r>
            <w:r w:rsidRPr="004C5A9C">
              <w:rPr>
                <w:rFonts w:ascii=".AppleSystemUIFont" w:eastAsia="Times New Roman" w:hAnsi=".AppleSystemUIFont" w:cs="Times New Roman"/>
                <w:color w:val="000000" w:themeColor="text1"/>
                <w:kern w:val="0"/>
                <w:sz w:val="28"/>
                <w:szCs w:val="28"/>
                <w14:ligatures w14:val="none"/>
              </w:rPr>
              <w:t>Cybersecurity Fabric)</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08D8E70"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7</w:t>
            </w:r>
          </w:p>
        </w:tc>
      </w:tr>
      <w:tr w:rsidR="000C27D5" w:rsidRPr="004C5A9C" w14:paraId="01E4A18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6CBEE5"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خبراء حوسبة سحابيّة، علماء بيانات، محلّلو مخاطر سيبرانيّة؛ يُعدّون المصدر الأهم للابتكار وصيانة الميزة التقنيّة.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E436F3"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rtl/>
                <w14:ligatures w14:val="none"/>
              </w:rPr>
            </w:pPr>
            <w:r w:rsidRPr="004C5A9C">
              <w:rPr>
                <w:rFonts w:ascii=".AppleSystemUIFont" w:eastAsia="Times New Roman" w:hAnsi=".AppleSystemUIFont" w:cs="Times New Roman"/>
                <w:color w:val="000000" w:themeColor="text1"/>
                <w:kern w:val="0"/>
                <w:sz w:val="28"/>
                <w:szCs w:val="28"/>
                <w:rtl/>
                <w14:ligatures w14:val="none"/>
              </w:rPr>
              <w:t>رأس المال البشري الرقمي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1CE75D"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8</w:t>
            </w:r>
          </w:p>
        </w:tc>
      </w:tr>
      <w:tr w:rsidR="000C27D5" w:rsidRPr="004C5A9C" w14:paraId="7DF4168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1530C7"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تحالفات مع محافظ إلكترونيّة، ومنصّات تجارة إلكترونية، ومزوّدي “اشترِ الآن وادفع لاحقًا” (</w:t>
            </w:r>
            <w:r w:rsidRPr="004C5A9C">
              <w:rPr>
                <w:rFonts w:ascii=".AppleSystemUIFont" w:eastAsia="Times New Roman" w:hAnsi=".AppleSystemUIFont" w:cs="Times New Roman"/>
                <w:color w:val="000000" w:themeColor="text1"/>
                <w:kern w:val="0"/>
                <w:sz w:val="28"/>
                <w:szCs w:val="28"/>
                <w14:ligatures w14:val="none"/>
              </w:rPr>
              <w:t>BNPL)</w:t>
            </w:r>
            <w:r w:rsidRPr="004C5A9C">
              <w:rPr>
                <w:rFonts w:ascii=".AppleSystemUIFont" w:eastAsia="Times New Roman" w:hAnsi=".AppleSystemUIFont" w:cs="Times New Roman"/>
                <w:color w:val="000000" w:themeColor="text1"/>
                <w:kern w:val="0"/>
                <w:sz w:val="28"/>
                <w:szCs w:val="28"/>
                <w:rtl/>
                <w14:ligatures w14:val="none"/>
              </w:rPr>
              <w:t>؛ توسّع قاعدة العملاء وتولد مصادر دخل جديدة.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FD0462"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شبكة الشراكات والمنظومة (</w:t>
            </w:r>
            <w:r w:rsidRPr="004C5A9C">
              <w:rPr>
                <w:rFonts w:ascii=".AppleSystemUIFont" w:eastAsia="Times New Roman" w:hAnsi=".AppleSystemUIFont" w:cs="Times New Roman"/>
                <w:color w:val="000000" w:themeColor="text1"/>
                <w:kern w:val="0"/>
                <w:sz w:val="28"/>
                <w:szCs w:val="28"/>
                <w14:ligatures w14:val="none"/>
              </w:rPr>
              <w:t>Digital Ecosystem Partnerships)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9DF606"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9</w:t>
            </w:r>
          </w:p>
        </w:tc>
      </w:tr>
    </w:tbl>
    <w:p w14:paraId="1811046C"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p>
    <w:p w14:paraId="5FE372BB" w14:textId="77777777" w:rsidR="00F149F9" w:rsidRPr="004C5A9C" w:rsidRDefault="00F149F9" w:rsidP="00BE7B2A">
      <w:pPr>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p>
    <w:p w14:paraId="33B5656C" w14:textId="77777777" w:rsidR="00F149F9" w:rsidRPr="004C5A9C" w:rsidRDefault="00F149F9" w:rsidP="00BE7B2A">
      <w:pPr>
        <w:bidi w:val="0"/>
        <w:spacing w:after="0" w:line="360" w:lineRule="auto"/>
        <w:ind w:left="225"/>
        <w:jc w:val="right"/>
        <w:divId w:val="2040351417"/>
        <w:rPr>
          <w:rFonts w:ascii=".AppleSystemUIFont" w:eastAsia="Times New Roman" w:hAnsi=".AppleSystemUIFont" w:cs="Times New Roman"/>
          <w:color w:val="000000" w:themeColor="text1"/>
          <w:kern w:val="0"/>
          <w:sz w:val="28"/>
          <w:szCs w:val="28"/>
          <w14:ligatures w14:val="none"/>
        </w:rPr>
      </w:pPr>
      <w:r w:rsidRPr="004C5A9C">
        <w:rPr>
          <w:rFonts w:ascii=".AppleSystemUIFont" w:eastAsia="Times New Roman" w:hAnsi=".AppleSystemUIFont" w:cs="Times New Roman"/>
          <w:color w:val="000000" w:themeColor="text1"/>
          <w:kern w:val="0"/>
          <w:sz w:val="28"/>
          <w:szCs w:val="28"/>
          <w:rtl/>
          <w14:ligatures w14:val="none"/>
        </w:rPr>
        <w:t>خلاصة: يعتمد البنك الرقمي على بنية تقنيّة معرفيّة متكاملة تبدأ من السحابة وتنتهي بشبكة الشراكات، مرورًا بطبقات البيانات والأمن والذكاء الاصطناعي. تكامل هذه المكوّنات هو ما يمكّن المؤسسة من تقديم خدمة لحظيّة منخفضة التكلفة مع الامتثال التنظيمي الكامل، ويشكّل في الوقت نفسه تحدّيًا رئيسًا أمام الجهات الرقابيّة التي تسعى إلى مواكبة سرعة الابتكار وضبط مخاطره.</w:t>
      </w:r>
    </w:p>
    <w:p w14:paraId="02382E1F" w14:textId="6E4850BF" w:rsidR="002C7CC7" w:rsidRPr="004C5A9C" w:rsidRDefault="005F5BE3" w:rsidP="00BE7B2A">
      <w:pPr>
        <w:spacing w:after="0" w:line="360" w:lineRule="auto"/>
        <w:ind w:right="225"/>
        <w:divId w:val="2040351417"/>
        <w:rPr>
          <w:rFonts w:ascii=".AppleSystemUIFont" w:eastAsia="Times New Roman" w:hAnsi=".AppleSystemUIFont" w:cs="Times New Roman"/>
          <w:color w:val="000000" w:themeColor="text1"/>
          <w:kern w:val="0"/>
          <w:sz w:val="28"/>
          <w:szCs w:val="28"/>
          <w:rtl/>
          <w14:ligatures w14:val="none"/>
        </w:rPr>
      </w:pPr>
      <w:r w:rsidRPr="004C5A9C">
        <w:rPr>
          <w:rFonts w:ascii=".AppleSystemUIFont" w:eastAsia="Times New Roman" w:hAnsi=".AppleSystemUIFont" w:cs="Times New Roman"/>
          <w:color w:val="000000" w:themeColor="text1"/>
          <w:kern w:val="0"/>
          <w:sz w:val="28"/>
          <w:szCs w:val="28"/>
          <w:rtl/>
          <w14:ligatures w14:val="none"/>
        </w:rPr>
        <w:t>الاستراتيجية، وتظلّ قادرةً على تلبية تطلعات العملاء وأهداف الجهات التنظيميّة في آنٍ واحد.</w:t>
      </w:r>
    </w:p>
    <w:p w14:paraId="0C4AC957" w14:textId="77777777" w:rsidR="002C7CC7" w:rsidRPr="004C5A9C" w:rsidRDefault="002C7CC7" w:rsidP="00BE7B2A">
      <w:pPr>
        <w:bidi w:val="0"/>
        <w:spacing w:line="360" w:lineRule="auto"/>
        <w:rPr>
          <w:rFonts w:ascii="Sakkal Majalla" w:hAnsi="Sakkal Majalla" w:cs="Sakkal Majalla"/>
          <w:sz w:val="28"/>
          <w:szCs w:val="28"/>
          <w:rtl/>
        </w:rPr>
      </w:pPr>
    </w:p>
    <w:p w14:paraId="02E51E16" w14:textId="07DB45F2" w:rsidR="002C7CC7" w:rsidRPr="004C5A9C" w:rsidRDefault="002C7CC7" w:rsidP="00BE7B2A">
      <w:pPr>
        <w:spacing w:before="100" w:beforeAutospacing="1" w:after="100" w:afterAutospacing="1" w:line="360" w:lineRule="auto"/>
        <w:outlineLvl w:val="2"/>
        <w:divId w:val="1309701646"/>
        <w:rPr>
          <w:rFonts w:ascii="Times New Roman" w:eastAsia="Times New Roman"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2-1-6 عناصر البنك الرقمي</w:t>
      </w:r>
    </w:p>
    <w:p w14:paraId="2ABFD85B" w14:textId="77777777" w:rsidR="002C7CC7" w:rsidRPr="004C5A9C" w:rsidRDefault="002C7CC7" w:rsidP="00BE7B2A">
      <w:pPr>
        <w:spacing w:before="100" w:beforeAutospacing="1" w:after="100" w:afterAutospacing="1" w:line="360" w:lineRule="auto"/>
        <w:divId w:val="1309701646"/>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فيما يلي أبرز العناصر الجوهرية التي يتكوّن منها البنك الرقمي، وتمثّل مجتمعةً أصلَه غير الملموس ومحركَه الأساسِي للقيمة:</w:t>
      </w:r>
    </w:p>
    <w:p w14:paraId="1CDBF4E7"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البنية السحابيّة الأصليّة</w:t>
      </w:r>
    </w:p>
    <w:p w14:paraId="3D4F043B"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حوسبة مصغّرة، حاويات، وقابلية توسّع لحظي أفقية.</w:t>
      </w:r>
    </w:p>
    <w:p w14:paraId="1B621BC2"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نظام الحسابات الأساسي (</w:t>
      </w:r>
      <w:r w:rsidRPr="004C5A9C">
        <w:rPr>
          <w:rFonts w:ascii="Times New Roman" w:eastAsiaTheme="minorEastAsia" w:hAnsi="Times New Roman" w:cs="Times New Roman"/>
          <w:kern w:val="0"/>
          <w:sz w:val="28"/>
          <w:szCs w:val="28"/>
          <w14:ligatures w14:val="none"/>
        </w:rPr>
        <w:t>Core Banking</w:t>
      </w:r>
      <w:r w:rsidRPr="004C5A9C">
        <w:rPr>
          <w:rFonts w:ascii="Times New Roman" w:eastAsiaTheme="minorEastAsia" w:hAnsi="Times New Roman" w:cs="Times New Roman"/>
          <w:kern w:val="0"/>
          <w:sz w:val="28"/>
          <w:szCs w:val="28"/>
          <w:rtl/>
          <w14:ligatures w14:val="none"/>
        </w:rPr>
        <w:t>)</w:t>
      </w:r>
    </w:p>
    <w:p w14:paraId="1DCFB087"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سجلّ معاملات فوري لمعالجة الإيداع والسحب والفوائد آنياً.</w:t>
      </w:r>
    </w:p>
    <w:p w14:paraId="43B3F6B8"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طبقة البيانات والتحليلات</w:t>
      </w:r>
    </w:p>
    <w:p w14:paraId="6A0CDC37"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بحيرة بيانات موحّدة وخوارزميات ذكاء اصطناعي للتنبؤ بالمخاطر وتخصيص العروض.</w:t>
      </w:r>
    </w:p>
    <w:p w14:paraId="0A690EFD"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بوابة واجهات برمجة التطبيقات المفتوحة (</w:t>
      </w:r>
      <w:r w:rsidRPr="004C5A9C">
        <w:rPr>
          <w:rFonts w:ascii="Times New Roman" w:eastAsiaTheme="minorEastAsia" w:hAnsi="Times New Roman" w:cs="Times New Roman"/>
          <w:kern w:val="0"/>
          <w:sz w:val="28"/>
          <w:szCs w:val="28"/>
          <w14:ligatures w14:val="none"/>
        </w:rPr>
        <w:t>Open APIs</w:t>
      </w:r>
      <w:r w:rsidRPr="004C5A9C">
        <w:rPr>
          <w:rFonts w:ascii="Times New Roman" w:eastAsiaTheme="minorEastAsia" w:hAnsi="Times New Roman" w:cs="Times New Roman"/>
          <w:kern w:val="0"/>
          <w:sz w:val="28"/>
          <w:szCs w:val="28"/>
          <w:rtl/>
          <w14:ligatures w14:val="none"/>
        </w:rPr>
        <w:t>)</w:t>
      </w:r>
    </w:p>
    <w:p w14:paraId="7B70ADB0"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تمكين الجهات الثالثة من دمج خدمات الدفع والحساب في تطبيقاتهم.</w:t>
      </w:r>
    </w:p>
    <w:p w14:paraId="2CC43878"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منظومة الهوية الرقميّة و-</w:t>
      </w:r>
      <w:r w:rsidRPr="004C5A9C">
        <w:rPr>
          <w:rFonts w:ascii="Times New Roman" w:eastAsiaTheme="minorEastAsia" w:hAnsi="Times New Roman" w:cs="Times New Roman"/>
          <w:kern w:val="0"/>
          <w:sz w:val="28"/>
          <w:szCs w:val="28"/>
          <w14:ligatures w14:val="none"/>
        </w:rPr>
        <w:t>eKYC</w:t>
      </w:r>
    </w:p>
    <w:p w14:paraId="7EB70CE9"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تحقق بيومتري فوري وتكامل مع الهوية الوطنية للامتثال لـ </w:t>
      </w:r>
      <w:r w:rsidRPr="004C5A9C">
        <w:rPr>
          <w:rFonts w:ascii="Times New Roman" w:eastAsiaTheme="minorEastAsia" w:hAnsi="Times New Roman" w:cs="Times New Roman"/>
          <w:kern w:val="0"/>
          <w:sz w:val="28"/>
          <w:szCs w:val="28"/>
          <w14:ligatures w14:val="none"/>
        </w:rPr>
        <w:t>AML/CFT</w:t>
      </w:r>
      <w:r w:rsidRPr="004C5A9C">
        <w:rPr>
          <w:rFonts w:ascii="Times New Roman" w:eastAsiaTheme="minorEastAsia" w:hAnsi="Times New Roman" w:cs="Times New Roman"/>
          <w:kern w:val="0"/>
          <w:sz w:val="28"/>
          <w:szCs w:val="28"/>
          <w:rtl/>
          <w14:ligatures w14:val="none"/>
        </w:rPr>
        <w:t>.</w:t>
      </w:r>
    </w:p>
    <w:p w14:paraId="4F77451F"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محرّكات القرار الائتماني القائمة على الذكاء الاصطناعي</w:t>
      </w:r>
    </w:p>
    <w:p w14:paraId="2DA3A77B"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تقييم جدارة ائتمانية لحظي باستخدام بيانات تقليدية وغير تقليدية.</w:t>
      </w:r>
    </w:p>
    <w:p w14:paraId="7A5CDEC4"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نسيج الأمن السيبراني</w:t>
      </w:r>
    </w:p>
    <w:p w14:paraId="57DAF12C"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مركز عمليات أمن 24/7، تشفير شامل، واختبارات اختراق دورية.</w:t>
      </w:r>
    </w:p>
    <w:p w14:paraId="05631B73"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رأس المال البشري الرقمي</w:t>
      </w:r>
    </w:p>
    <w:p w14:paraId="4620C4EC" w14:textId="77777777" w:rsidR="002C7CC7"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مهندسو حوسبة سحابية، علماء بيانات، محللو مخاطر سيبرانية.</w:t>
      </w:r>
    </w:p>
    <w:p w14:paraId="722F69C6" w14:textId="77777777" w:rsidR="002C7CC7" w:rsidRPr="004C5A9C" w:rsidRDefault="002C7CC7" w:rsidP="00BE7B2A">
      <w:pPr>
        <w:numPr>
          <w:ilvl w:val="0"/>
          <w:numId w:val="35"/>
        </w:numPr>
        <w:spacing w:before="100" w:beforeAutospacing="1" w:after="100" w:afterAutospacing="1" w:line="360" w:lineRule="auto"/>
        <w:divId w:val="1309701646"/>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شبكة الشراكات والمنظومة</w:t>
      </w:r>
    </w:p>
    <w:p w14:paraId="6FF2324E" w14:textId="4AEB2ED4" w:rsidR="008D2583" w:rsidRPr="004C5A9C" w:rsidRDefault="002C7CC7" w:rsidP="00BE7B2A">
      <w:pPr>
        <w:pStyle w:val="a5"/>
        <w:numPr>
          <w:ilvl w:val="1"/>
          <w:numId w:val="35"/>
        </w:numPr>
        <w:spacing w:before="100" w:beforeAutospacing="1" w:after="100" w:afterAutospacing="1" w:line="360" w:lineRule="auto"/>
        <w:divId w:val="1309701646"/>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 xml:space="preserve">تحالفات مع محافظ إلكترونية، منصّات تجارة إلكترونية، ومزوّدي </w:t>
      </w:r>
      <w:r w:rsidRPr="004C5A9C">
        <w:rPr>
          <w:rFonts w:ascii="Times New Roman" w:eastAsiaTheme="minorEastAsia" w:hAnsi="Times New Roman" w:cs="Times New Roman"/>
          <w:kern w:val="0"/>
          <w:sz w:val="28"/>
          <w:szCs w:val="28"/>
          <w14:ligatures w14:val="none"/>
        </w:rPr>
        <w:t>BNPL</w:t>
      </w:r>
      <w:r w:rsidRPr="004C5A9C">
        <w:rPr>
          <w:rFonts w:ascii="Times New Roman" w:eastAsiaTheme="minorEastAsia" w:hAnsi="Times New Roman" w:cs="Times New Roman"/>
          <w:kern w:val="0"/>
          <w:sz w:val="28"/>
          <w:szCs w:val="28"/>
          <w:rtl/>
          <w14:ligatures w14:val="none"/>
        </w:rPr>
        <w:t xml:space="preserve"> لتوسيع قاعدة العملاء وتنويع الإيرادات.</w:t>
      </w:r>
    </w:p>
    <w:p w14:paraId="0ECF4C0F" w14:textId="690F9F3A" w:rsidR="001213AC" w:rsidRPr="004C5A9C" w:rsidRDefault="003F7291" w:rsidP="00BE7B2A">
      <w:pPr>
        <w:spacing w:before="100" w:beforeAutospacing="1" w:after="100" w:afterAutospacing="1" w:line="360" w:lineRule="auto"/>
        <w:outlineLvl w:val="2"/>
        <w:divId w:val="1026517718"/>
        <w:rPr>
          <w:rFonts w:ascii="Times New Roman" w:eastAsia="Times New Roman" w:hAnsi="Times New Roman" w:cs="Times New Roman"/>
          <w:b/>
          <w:bCs/>
          <w:kern w:val="0"/>
          <w:sz w:val="32"/>
          <w:szCs w:val="32"/>
          <w:u w:val="single"/>
          <w:rtl/>
          <w14:ligatures w14:val="none"/>
        </w:rPr>
      </w:pPr>
      <w:r w:rsidRPr="004C5A9C">
        <w:rPr>
          <w:rFonts w:ascii="Times New Roman" w:eastAsia="Times New Roman" w:hAnsi="Times New Roman" w:cs="Times New Roman"/>
          <w:b/>
          <w:bCs/>
          <w:kern w:val="0"/>
          <w:sz w:val="32"/>
          <w:szCs w:val="32"/>
          <w:u w:val="single"/>
          <w:lang w:val="en-GB"/>
          <w14:ligatures w14:val="none"/>
        </w:rPr>
        <w:t>2</w:t>
      </w:r>
      <w:r w:rsidR="001213AC" w:rsidRPr="004C5A9C">
        <w:rPr>
          <w:rFonts w:ascii="Times New Roman" w:eastAsia="Times New Roman" w:hAnsi="Times New Roman" w:cs="Times New Roman"/>
          <w:b/>
          <w:bCs/>
          <w:kern w:val="0"/>
          <w:sz w:val="32"/>
          <w:szCs w:val="32"/>
          <w:u w:val="single"/>
          <w:rtl/>
          <w14:ligatures w14:val="none"/>
        </w:rPr>
        <w:t>-1-7 أبعاد رأس المال الفكري</w:t>
      </w:r>
    </w:p>
    <w:p w14:paraId="355FC6E8"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14:ligatures w14:val="none"/>
        </w:rPr>
      </w:pPr>
      <w:r w:rsidRPr="004C5A9C">
        <w:rPr>
          <w:rFonts w:ascii="UICTFontTextStyleBody" w:eastAsiaTheme="minorEastAsia" w:hAnsi="UICTFontTextStyleBody" w:cs="Times New Roman"/>
          <w:kern w:val="0"/>
          <w:sz w:val="28"/>
          <w:szCs w:val="28"/>
          <w:rtl/>
          <w14:ligatures w14:val="none"/>
        </w:rPr>
        <w:t>يتكوّن رأس المال الفكري بطبيعته من ثلاثة أبعاد متكاملة؛ لا يستقيم أداء المنظمة ولا تستدام ميزتها التنافسية إلا بتعاضُد هذه الأبعاد معًا:</w:t>
      </w:r>
    </w:p>
    <w:p w14:paraId="365E74AB"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p>
    <w:p w14:paraId="60AE9B69"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EmphasizedBody" w:eastAsiaTheme="minorEastAsia" w:hAnsi="UICTFontTextStyleEmphasizedBody" w:cs="Times New Roman"/>
          <w:b/>
          <w:bCs/>
          <w:kern w:val="0"/>
          <w:sz w:val="28"/>
          <w:szCs w:val="28"/>
          <w:rtl/>
          <w14:ligatures w14:val="none"/>
        </w:rPr>
        <w:t>1 - رأس المال البشري</w:t>
      </w:r>
    </w:p>
    <w:p w14:paraId="258CFC70"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Body" w:eastAsiaTheme="minorEastAsia" w:hAnsi="UICTFontTextStyleBody" w:cs="Times New Roman"/>
          <w:kern w:val="0"/>
          <w:sz w:val="28"/>
          <w:szCs w:val="28"/>
          <w:rtl/>
          <w14:ligatures w14:val="none"/>
        </w:rPr>
        <w:t>هو الرصيد المعرفي المتجسّد في الأفراد: كل ما يملكونه من مهارات تقنية، وخبرات ضمنية، وإبداع، وقدرة على التعلّم وحلّ المشكلات. يُعَدّ هذا البُعد الشرارة الأولى للابتكار؛ فمنه تتولّد الأفكار الجديدة وتُصاغ المبادرات التطويريّة. يتميّز رأس المال البشري بخصائص فريدة: لا ينفصل عن مالكيه، يتطوّر بالاستخدام والتدريب، ويحتاج إلى تجديد مستمر ليحافظ على قيمته. عندما تهتمّ المنظمة بصقل كفاءات موظفيها وتحفيزهم، تتحوّل تلك المعارف الفردية إلى طاقة إبداعية ترفع جودة القرارات والأداء وتخلق ميزة يصعب تقليدها.</w:t>
      </w:r>
    </w:p>
    <w:p w14:paraId="2CBD20BE"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p>
    <w:p w14:paraId="6E9DDA82"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EmphasizedBody" w:eastAsiaTheme="minorEastAsia" w:hAnsi="UICTFontTextStyleEmphasizedBody" w:cs="Times New Roman"/>
          <w:b/>
          <w:bCs/>
          <w:kern w:val="0"/>
          <w:sz w:val="28"/>
          <w:szCs w:val="28"/>
          <w:rtl/>
          <w14:ligatures w14:val="none"/>
        </w:rPr>
        <w:t>2 - رأس المال الهيكلي</w:t>
      </w:r>
    </w:p>
    <w:p w14:paraId="38D4A3FD"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Body" w:eastAsiaTheme="minorEastAsia" w:hAnsi="UICTFontTextStyleBody" w:cs="Times New Roman"/>
          <w:kern w:val="0"/>
          <w:sz w:val="28"/>
          <w:szCs w:val="28"/>
          <w:rtl/>
          <w14:ligatures w14:val="none"/>
        </w:rPr>
        <w:t>يمثّل البنية التحتية الفكرية التي تحتضن المعرفة الفردية وتحولها إلى أصل مؤسسي دائم؛ فهو يشتمل على الثقافة التنظيمية، والهياكل الإدارية، وسياسات العمل، وقواعد البيانات، وأنظمة المعلومات، وبراءات الاختراع. رأس المال الهيكلي هو “الذاكرة المؤسسية” التي تضمن استمرار المعارف حتى لو غادر الأفراد، وهو الأداة التي تسمح بتدوير أفضل الممارسات ونقلها بسرعة عبر وحدات المنظمة. كلما كان الهيكل أكثر مرونة واستيعابًا للتغيير، زادت قدرة المنظمة على الاستجابة السريعة لمتطلبات السوق وحماية ابتكاراتها من الاندثار.</w:t>
      </w:r>
    </w:p>
    <w:p w14:paraId="50A3F701"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p>
    <w:p w14:paraId="3D47AFE3"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EmphasizedBody" w:eastAsiaTheme="minorEastAsia" w:hAnsi="UICTFontTextStyleEmphasizedBody" w:cs="Times New Roman"/>
          <w:b/>
          <w:bCs/>
          <w:kern w:val="0"/>
          <w:sz w:val="28"/>
          <w:szCs w:val="28"/>
          <w:rtl/>
          <w14:ligatures w14:val="none"/>
        </w:rPr>
        <w:t>3 - رأس المال العلائقي</w:t>
      </w:r>
    </w:p>
    <w:p w14:paraId="02337F18"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Body" w:eastAsiaTheme="minorEastAsia" w:hAnsi="UICTFontTextStyleBody" w:cs="Times New Roman"/>
          <w:kern w:val="0"/>
          <w:sz w:val="28"/>
          <w:szCs w:val="28"/>
          <w:rtl/>
          <w14:ligatures w14:val="none"/>
        </w:rPr>
        <w:t xml:space="preserve">هو شبكة الروابط التي تبنيها المنظمة مع عالمها الخارجي: العملاء، المورّدين، الشركاء الاستراتيجيين، المستثمرين، بل وحتى المنافسين في إطار التعاون الصناعي. يشمل هذا البُعد الثقة </w:t>
      </w:r>
      <w:r w:rsidRPr="004C5A9C">
        <w:rPr>
          <w:rFonts w:ascii="UICTFontTextStyleBody" w:eastAsiaTheme="minorEastAsia" w:hAnsi="UICTFontTextStyleBody" w:cs="Times New Roman"/>
          <w:kern w:val="0"/>
          <w:sz w:val="28"/>
          <w:szCs w:val="28"/>
          <w:rtl/>
          <w14:ligatures w14:val="none"/>
        </w:rPr>
        <w:lastRenderedPageBreak/>
        <w:t>المتبادلة، وسمعة العلامة التجارية، وولاء العملاء، وقنوات الابتكار المفتوح. رأس المال العلائقي يوسّع الحصة السوقية، ويوفّر فرصًا للتعلّم المشترك، ويسهّل دخول أسواق جديدة؛ كما أنه يعزّز قدرة المنظمة على جذب الاستثمارات والكفاءات بفضل سمعتها القوية وشبكة تحالفاتها.</w:t>
      </w:r>
    </w:p>
    <w:p w14:paraId="0C9F7737"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p>
    <w:p w14:paraId="5CAD3500" w14:textId="77777777" w:rsidR="0087390A" w:rsidRPr="004C5A9C" w:rsidRDefault="0087390A"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EmphasizedBody" w:eastAsiaTheme="minorEastAsia" w:hAnsi="UICTFontTextStyleEmphasizedBody" w:cs="Times New Roman"/>
          <w:b/>
          <w:bCs/>
          <w:kern w:val="0"/>
          <w:sz w:val="28"/>
          <w:szCs w:val="28"/>
          <w:rtl/>
          <w14:ligatures w14:val="none"/>
        </w:rPr>
        <w:t>تكامل الأبعاد الثلاثة</w:t>
      </w:r>
    </w:p>
    <w:p w14:paraId="338767DB" w14:textId="083C41A7" w:rsidR="0087390A" w:rsidRPr="004C5A9C" w:rsidRDefault="0087390A" w:rsidP="00BE7B2A">
      <w:pPr>
        <w:spacing w:after="0" w:line="360" w:lineRule="auto"/>
        <w:rPr>
          <w:rFonts w:ascii=".AppleSystemUIFont" w:eastAsiaTheme="minorEastAsia" w:hAnsi=".AppleSystemUIFont" w:cs="Times New Roman" w:hint="eastAsia"/>
          <w:kern w:val="0"/>
          <w:sz w:val="28"/>
          <w:szCs w:val="28"/>
          <w:lang w:val="en-GB"/>
          <w14:ligatures w14:val="none"/>
        </w:rPr>
      </w:pPr>
      <w:r w:rsidRPr="004C5A9C">
        <w:rPr>
          <w:rFonts w:ascii="UICTFontTextStyleBody" w:eastAsiaTheme="minorEastAsia" w:hAnsi="UICTFontTextStyleBody" w:cs="Times New Roman"/>
          <w:kern w:val="0"/>
          <w:sz w:val="28"/>
          <w:szCs w:val="28"/>
          <w:rtl/>
          <w14:ligatures w14:val="none"/>
        </w:rPr>
        <w:t>لا يكفي امتلاك رأس مال بشري متميّز إذا كان يفتقر إلى هيكل يحتضنه أو إلى شبكة علاقات تسوّقه. وبالمثل، لا قيمة لهيكل تنظيمي متقدّم إذا لم يسرِ فيه إبداع الأفراد ولم يجد طريقه إلى العملاء والشركاء. لذلك تُعدّ إدارة التوازن بين هذه الأبعاد جوهر استراتيجية أي منظمة تتطلع إلى أداء متفوق واستدامة تنافسية في اقتصاد قائم على المعرفة.</w:t>
      </w:r>
    </w:p>
    <w:p w14:paraId="02BAA31C" w14:textId="77777777" w:rsidR="0079303E" w:rsidRPr="004C5A9C" w:rsidRDefault="0079303E" w:rsidP="00BE7B2A">
      <w:pPr>
        <w:spacing w:after="0" w:line="360" w:lineRule="auto"/>
        <w:rPr>
          <w:rFonts w:ascii=".AppleSystemUIFont" w:eastAsiaTheme="minorEastAsia" w:hAnsi=".AppleSystemUIFont" w:cs="Times New Roman" w:hint="eastAsia"/>
          <w:kern w:val="0"/>
          <w:sz w:val="28"/>
          <w:szCs w:val="28"/>
          <w:lang w:val="en-GB"/>
          <w14:ligatures w14:val="none"/>
        </w:rPr>
      </w:pPr>
    </w:p>
    <w:p w14:paraId="2702D97D" w14:textId="50DF85A8"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b/>
          <w:bCs/>
          <w:kern w:val="0"/>
          <w:sz w:val="32"/>
          <w:szCs w:val="32"/>
          <w:u w:val="single"/>
          <w:lang w:val="en-GB"/>
          <w14:ligatures w14:val="none"/>
        </w:rPr>
      </w:pPr>
      <w:r w:rsidRPr="004C5A9C">
        <w:rPr>
          <w:rFonts w:ascii="Times New Roman" w:eastAsiaTheme="minorEastAsia" w:hAnsi="Times New Roman" w:cs="Times New Roman"/>
          <w:b/>
          <w:bCs/>
          <w:kern w:val="0"/>
          <w:sz w:val="32"/>
          <w:szCs w:val="32"/>
          <w:u w:val="single"/>
          <w:rtl/>
          <w14:ligatures w14:val="none"/>
        </w:rPr>
        <w:t>2-1-</w:t>
      </w:r>
      <w:r w:rsidR="008E4D51" w:rsidRPr="004C5A9C">
        <w:rPr>
          <w:rFonts w:ascii="Times New Roman" w:eastAsiaTheme="minorEastAsia" w:hAnsi="Times New Roman" w:cs="Times New Roman"/>
          <w:b/>
          <w:bCs/>
          <w:kern w:val="0"/>
          <w:sz w:val="32"/>
          <w:szCs w:val="32"/>
          <w:u w:val="single"/>
          <w:lang w:val="en-GB"/>
          <w14:ligatures w14:val="none"/>
        </w:rPr>
        <w:t>8</w:t>
      </w:r>
      <w:r w:rsidRPr="004C5A9C">
        <w:rPr>
          <w:rFonts w:ascii="Times New Roman" w:eastAsiaTheme="minorEastAsia" w:hAnsi="Times New Roman" w:cs="Times New Roman"/>
          <w:b/>
          <w:bCs/>
          <w:kern w:val="0"/>
          <w:sz w:val="32"/>
          <w:szCs w:val="32"/>
          <w:u w:val="single"/>
          <w:rtl/>
          <w14:ligatures w14:val="none"/>
        </w:rPr>
        <w:t xml:space="preserve"> طرق قياس متغيّرات الدراسة (البنوك الرقميّة والشركاء التنظيميّون)</w:t>
      </w:r>
    </w:p>
    <w:p w14:paraId="42EEE6AC" w14:textId="1A44E590"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lang w:val="en-GB"/>
          <w14:ligatures w14:val="none"/>
        </w:rPr>
      </w:pPr>
      <w:r w:rsidRPr="004C5A9C">
        <w:rPr>
          <w:rFonts w:ascii="Times New Roman" w:eastAsiaTheme="minorEastAsia" w:hAnsi="Times New Roman" w:cs="Times New Roman"/>
          <w:kern w:val="0"/>
          <w:sz w:val="28"/>
          <w:szCs w:val="28"/>
          <w:rtl/>
          <w14:ligatures w14:val="none"/>
        </w:rPr>
        <w:t>لأن موضوع بحثك يركّز على أثر النماذج الرقميّة المركزيّة واللامركزيّة على الجهات الرقابيّة في المملكة، فإن القياس ينقسم إلى محورين متلازمين: (أ) خصائص البنك الرقمي ذاته، و(ب) مستوى جاهزيّة واستجابة الشركاء التنظيميّين. وفيما يلي شرحٌ سردي لأبرز المؤشّرات التي يمكن الاعتماد عليها، مع الإشارة إلى كيفية جمع كلّ منها وتحويله إلى بيانات قابلة للتحليل:</w:t>
      </w:r>
    </w:p>
    <w:p w14:paraId="62141FA3" w14:textId="77777777"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أوّلًا: قياس خصائص البنوك الرقميّة</w:t>
      </w:r>
    </w:p>
    <w:p w14:paraId="390E912C" w14:textId="14845F68" w:rsidR="00B51A1E" w:rsidRPr="004C5A9C" w:rsidRDefault="00B51A1E" w:rsidP="00BE7B2A">
      <w:pPr>
        <w:pStyle w:val="a5"/>
        <w:numPr>
          <w:ilvl w:val="0"/>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مؤشر النضج السحابي</w:t>
      </w:r>
    </w:p>
    <w:p w14:paraId="7EE42078" w14:textId="76D23B97"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الفكرة: يقدّر مدى انتقال البنك إلى بنية «</w:t>
      </w:r>
      <w:r w:rsidRPr="004C5A9C">
        <w:rPr>
          <w:rFonts w:ascii="Times New Roman" w:eastAsiaTheme="minorEastAsia" w:hAnsi="Times New Roman" w:cs="Times New Roman"/>
          <w:kern w:val="0"/>
          <w:sz w:val="28"/>
          <w:szCs w:val="28"/>
          <w14:ligatures w14:val="none"/>
        </w:rPr>
        <w:t>Cloud-Native</w:t>
      </w:r>
      <w:r w:rsidRPr="004C5A9C">
        <w:rPr>
          <w:rFonts w:ascii="Times New Roman" w:eastAsiaTheme="minorEastAsia" w:hAnsi="Times New Roman" w:cs="Times New Roman"/>
          <w:kern w:val="0"/>
          <w:sz w:val="28"/>
          <w:szCs w:val="28"/>
          <w:rtl/>
          <w14:ligatures w14:val="none"/>
        </w:rPr>
        <w:t>» حقيقيّة.</w:t>
      </w:r>
    </w:p>
    <w:p w14:paraId="10BE937B" w14:textId="6775D309"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التنفيذ: يُصاغ مقياسٌ مكوَّن من خمسة بنود (استخدام الحاويات، الميكروسيرفِس، خطوط </w:t>
      </w:r>
      <w:r w:rsidRPr="004C5A9C">
        <w:rPr>
          <w:rFonts w:ascii="Times New Roman" w:eastAsiaTheme="minorEastAsia" w:hAnsi="Times New Roman" w:cs="Times New Roman"/>
          <w:kern w:val="0"/>
          <w:sz w:val="28"/>
          <w:szCs w:val="28"/>
          <w14:ligatures w14:val="none"/>
        </w:rPr>
        <w:t>CI/CD</w:t>
      </w:r>
      <w:r w:rsidRPr="004C5A9C">
        <w:rPr>
          <w:rFonts w:ascii="Times New Roman" w:eastAsiaTheme="minorEastAsia" w:hAnsi="Times New Roman" w:cs="Times New Roman"/>
          <w:kern w:val="0"/>
          <w:sz w:val="28"/>
          <w:szCs w:val="28"/>
          <w:rtl/>
          <w14:ligatures w14:val="none"/>
        </w:rPr>
        <w:t>، خطط التعافي كخدمة، مركز مراقبة آلي). يجيب عنه مسؤولو التقنية في البنك عبر استبانة خماسية، ثم يُحسب المتوسط.</w:t>
      </w:r>
    </w:p>
    <w:p w14:paraId="7A2CA122" w14:textId="4D63E89F" w:rsidR="00B51A1E" w:rsidRPr="004C5A9C" w:rsidRDefault="00B51A1E" w:rsidP="00BE7B2A">
      <w:pPr>
        <w:pStyle w:val="a5"/>
        <w:numPr>
          <w:ilvl w:val="0"/>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نسبة التكامل المفتوح (</w:t>
      </w:r>
      <w:r w:rsidRPr="004C5A9C">
        <w:rPr>
          <w:rFonts w:ascii="Times New Roman" w:eastAsiaTheme="minorEastAsia" w:hAnsi="Times New Roman" w:cs="Times New Roman"/>
          <w:kern w:val="0"/>
          <w:sz w:val="28"/>
          <w:szCs w:val="28"/>
          <w14:ligatures w14:val="none"/>
        </w:rPr>
        <w:t>Open-API</w:t>
      </w:r>
      <w:r w:rsidRPr="004C5A9C">
        <w:rPr>
          <w:rFonts w:ascii="Times New Roman" w:eastAsiaTheme="minorEastAsia" w:hAnsi="Times New Roman" w:cs="Times New Roman"/>
          <w:kern w:val="0"/>
          <w:sz w:val="28"/>
          <w:szCs w:val="28"/>
          <w:rtl/>
          <w14:ligatures w14:val="none"/>
        </w:rPr>
        <w:t>)</w:t>
      </w:r>
    </w:p>
    <w:p w14:paraId="1D2E922F" w14:textId="38166878"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الفكرة: تقيس اتساع الخدمات التي يتيحها البنك للأطراف الثالثة.</w:t>
      </w:r>
    </w:p>
    <w:p w14:paraId="1EAAE014" w14:textId="3B63E55C"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التنفيذ: تُحصَى نقاط النهاية الموثّقة في بوابة الـ</w:t>
      </w:r>
      <w:r w:rsidRPr="004C5A9C">
        <w:rPr>
          <w:rFonts w:ascii="Times New Roman" w:eastAsiaTheme="minorEastAsia" w:hAnsi="Times New Roman" w:cs="Times New Roman"/>
          <w:kern w:val="0"/>
          <w:sz w:val="28"/>
          <w:szCs w:val="28"/>
          <w14:ligatures w14:val="none"/>
        </w:rPr>
        <w:t>API</w:t>
      </w:r>
      <w:r w:rsidRPr="004C5A9C">
        <w:rPr>
          <w:rFonts w:ascii="Times New Roman" w:eastAsiaTheme="minorEastAsia" w:hAnsi="Times New Roman" w:cs="Times New Roman"/>
          <w:kern w:val="0"/>
          <w:sz w:val="28"/>
          <w:szCs w:val="28"/>
          <w:rtl/>
          <w14:ligatures w14:val="none"/>
        </w:rPr>
        <w:t>، ثم تقارن بعدد المنتجات المصرفيّة الكلّية. النسبة المئوية تمثّل المؤشر.</w:t>
      </w:r>
    </w:p>
    <w:p w14:paraId="1C63324A" w14:textId="61A3AD27" w:rsidR="00B51A1E" w:rsidRPr="004C5A9C" w:rsidRDefault="00B51A1E" w:rsidP="00BE7B2A">
      <w:pPr>
        <w:pStyle w:val="a5"/>
        <w:numPr>
          <w:ilvl w:val="0"/>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مؤشر الوضع السيبراني</w:t>
      </w:r>
    </w:p>
    <w:p w14:paraId="248CFE40" w14:textId="58EE8701"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الفكرة: يعبّر عن نضج سياسات الأمن والحماية من الاختراق.</w:t>
      </w:r>
    </w:p>
    <w:p w14:paraId="5002AE06" w14:textId="65741A57"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التنفيذ: استبيان ذاتي لعشرة بنود تشمل تطبيق </w:t>
      </w:r>
      <w:r w:rsidRPr="004C5A9C">
        <w:rPr>
          <w:rFonts w:ascii="Times New Roman" w:eastAsiaTheme="minorEastAsia" w:hAnsi="Times New Roman" w:cs="Times New Roman"/>
          <w:kern w:val="0"/>
          <w:sz w:val="28"/>
          <w:szCs w:val="28"/>
          <w14:ligatures w14:val="none"/>
        </w:rPr>
        <w:t>ISO 27001</w:t>
      </w:r>
      <w:r w:rsidRPr="004C5A9C">
        <w:rPr>
          <w:rFonts w:ascii="Times New Roman" w:eastAsiaTheme="minorEastAsia" w:hAnsi="Times New Roman" w:cs="Times New Roman"/>
          <w:kern w:val="0"/>
          <w:sz w:val="28"/>
          <w:szCs w:val="28"/>
          <w:rtl/>
          <w14:ligatures w14:val="none"/>
        </w:rPr>
        <w:t>، التشفير الكامل، مركز عمليات أمن 24/7، اختبارات اختراق نصف سنوية… إلخ. يُحوَّل إلى درجة من 100.</w:t>
      </w:r>
    </w:p>
    <w:p w14:paraId="11DAEEAE" w14:textId="0633A1D2" w:rsidR="00B51A1E" w:rsidRPr="004C5A9C" w:rsidRDefault="00B51A1E" w:rsidP="00BE7B2A">
      <w:pPr>
        <w:pStyle w:val="a5"/>
        <w:numPr>
          <w:ilvl w:val="0"/>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مؤشر الإجهاد السيولي اللحظي</w:t>
      </w:r>
    </w:p>
    <w:p w14:paraId="17033C2A" w14:textId="1E8282C4"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الفكرة: يختبر مدى تحمّل البنك للسحوبات الجماعية السريعة.</w:t>
      </w:r>
    </w:p>
    <w:p w14:paraId="7227DE83" w14:textId="063743AF" w:rsidR="00B51A1E" w:rsidRPr="004C5A9C" w:rsidRDefault="00B51A1E" w:rsidP="00BE7B2A">
      <w:pPr>
        <w:pStyle w:val="a5"/>
        <w:numPr>
          <w:ilvl w:val="2"/>
          <w:numId w:val="36"/>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التنفيذ: تُستخرج بيانات السحوبات الدقيقة من تقارير المدفوعات الفورية (</w:t>
      </w:r>
      <w:r w:rsidRPr="004C5A9C">
        <w:rPr>
          <w:rFonts w:ascii="Times New Roman" w:eastAsiaTheme="minorEastAsia" w:hAnsi="Times New Roman" w:cs="Times New Roman"/>
          <w:kern w:val="0"/>
          <w:sz w:val="28"/>
          <w:szCs w:val="28"/>
          <w14:ligatures w14:val="none"/>
        </w:rPr>
        <w:t>sarīe</w:t>
      </w:r>
      <w:r w:rsidRPr="004C5A9C">
        <w:rPr>
          <w:rFonts w:ascii="Times New Roman" w:eastAsiaTheme="minorEastAsia" w:hAnsi="Times New Roman" w:cs="Times New Roman"/>
          <w:kern w:val="0"/>
          <w:sz w:val="28"/>
          <w:szCs w:val="28"/>
          <w:rtl/>
          <w14:ligatures w14:val="none"/>
        </w:rPr>
        <w:t>)، ويقسَّم أعلى تدفّق سحب في دقيقة الذروة على متوسط أرصدة الودائع خلال 30 يومًا. كلما ارتفعت النسبة دلّ ذلك على حساسيّة أعلى للمخاطر.</w:t>
      </w:r>
    </w:p>
    <w:p w14:paraId="7E903DD3" w14:textId="77777777"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7EA0B99D" w14:textId="77777777"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ثانيًا: قياس جاهزيّة الجهات الرقابيّة واستجابتها</w:t>
      </w:r>
    </w:p>
    <w:p w14:paraId="76FDC6E0" w14:textId="62F236F8" w:rsidR="00B51A1E" w:rsidRPr="004C5A9C" w:rsidRDefault="00B51A1E" w:rsidP="00BE7B2A">
      <w:pPr>
        <w:pStyle w:val="a5"/>
        <w:numPr>
          <w:ilvl w:val="0"/>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مؤشر الجاهزيّة التنظيمية</w:t>
      </w:r>
    </w:p>
    <w:p w14:paraId="00C36F8C" w14:textId="13AF19B2"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الفكرة: يقدّر استعداد كل جهة (ساما، هيئة السوق المالية، وحدة التحريات…) لمراقبة البنوك الرقميّة.</w:t>
      </w:r>
    </w:p>
    <w:p w14:paraId="649AFE30" w14:textId="59802C81"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التنفيذ: استبانة خماسية تغطي ستة أبعاد (الإطار التشريعي، البنية التقنية، أدوات </w:t>
      </w:r>
      <w:r w:rsidRPr="004C5A9C">
        <w:rPr>
          <w:rFonts w:ascii="Times New Roman" w:eastAsiaTheme="minorEastAsia" w:hAnsi="Times New Roman" w:cs="Times New Roman"/>
          <w:kern w:val="0"/>
          <w:sz w:val="28"/>
          <w:szCs w:val="28"/>
          <w14:ligatures w14:val="none"/>
        </w:rPr>
        <w:t>SupTech</w:t>
      </w:r>
      <w:r w:rsidRPr="004C5A9C">
        <w:rPr>
          <w:rFonts w:ascii="Times New Roman" w:eastAsiaTheme="minorEastAsia" w:hAnsi="Times New Roman" w:cs="Times New Roman"/>
          <w:kern w:val="0"/>
          <w:sz w:val="28"/>
          <w:szCs w:val="28"/>
          <w:rtl/>
          <w14:ligatures w14:val="none"/>
        </w:rPr>
        <w:t>، الكفاءات البشرية، التنسيق البيني، إتاحة البيانات). يُحسب متوسط البنود ليشكّل درجة من 1 إلى 5.</w:t>
      </w:r>
    </w:p>
    <w:p w14:paraId="29165759" w14:textId="4A9F3575" w:rsidR="00B51A1E" w:rsidRPr="004C5A9C" w:rsidRDefault="00B51A1E" w:rsidP="00BE7B2A">
      <w:pPr>
        <w:pStyle w:val="a5"/>
        <w:numPr>
          <w:ilvl w:val="0"/>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درجة تبنّي التقنيات الرقابية (</w:t>
      </w:r>
      <w:r w:rsidRPr="004C5A9C">
        <w:rPr>
          <w:rFonts w:ascii="Times New Roman" w:eastAsiaTheme="minorEastAsia" w:hAnsi="Times New Roman" w:cs="Times New Roman"/>
          <w:kern w:val="0"/>
          <w:sz w:val="28"/>
          <w:szCs w:val="28"/>
          <w14:ligatures w14:val="none"/>
        </w:rPr>
        <w:t>SupTech</w:t>
      </w:r>
      <w:r w:rsidRPr="004C5A9C">
        <w:rPr>
          <w:rFonts w:ascii="Times New Roman" w:eastAsiaTheme="minorEastAsia" w:hAnsi="Times New Roman" w:cs="Times New Roman"/>
          <w:kern w:val="0"/>
          <w:sz w:val="28"/>
          <w:szCs w:val="28"/>
          <w:rtl/>
          <w14:ligatures w14:val="none"/>
        </w:rPr>
        <w:t>)</w:t>
      </w:r>
    </w:p>
    <w:p w14:paraId="5921C374" w14:textId="4739B15A"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الفكرة: تقيس مدى استخدام الوحدات الرقابية لأدوات التحليل اللحظي.</w:t>
      </w:r>
    </w:p>
    <w:p w14:paraId="7F5415F9" w14:textId="7D79A629"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التنفيذ: يُعدّ إحصاء داخلي بعدد الوحدات التي تُشغّل لوحات بيانات فورية مقابل إجمالي الوحدات. النسبة المئوية تمثل المؤشر.</w:t>
      </w:r>
    </w:p>
    <w:p w14:paraId="57DBF3AE" w14:textId="60A40DF0" w:rsidR="00B51A1E" w:rsidRPr="004C5A9C" w:rsidRDefault="00B51A1E" w:rsidP="00BE7B2A">
      <w:pPr>
        <w:pStyle w:val="a5"/>
        <w:numPr>
          <w:ilvl w:val="0"/>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مؤشر عبء الإشراف</w:t>
      </w:r>
    </w:p>
    <w:p w14:paraId="2C204E93" w14:textId="4DB59A40"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الفكرة: يرصد الوقت والموارد المطلوبة لمتابعة بنك رقمي مقارنة ببنك تقليدي.</w:t>
      </w:r>
    </w:p>
    <w:p w14:paraId="6E733A9C" w14:textId="2FEB8054"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التنفيذ: يُجمع عدد ساعات التدقيق السنوية لكل بنك رقمي، ويُقسَّم على متوسط الساعات لبنك تقليدي. إذا تجاوز المؤشر 1 فهذا يعني عبئًا أعلى.</w:t>
      </w:r>
    </w:p>
    <w:p w14:paraId="559C7160" w14:textId="2F564D41" w:rsidR="00B51A1E" w:rsidRPr="004C5A9C" w:rsidRDefault="00B51A1E" w:rsidP="00BE7B2A">
      <w:pPr>
        <w:pStyle w:val="a5"/>
        <w:numPr>
          <w:ilvl w:val="0"/>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دلتا الشمول المالي</w:t>
      </w:r>
    </w:p>
    <w:p w14:paraId="6DB64FB5" w14:textId="1F2D6D1B"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الفكرة: مقدار تحسين الشمول المالي الناتج عن دخول البنك الرقمي.</w:t>
      </w:r>
    </w:p>
    <w:p w14:paraId="061CB8CF" w14:textId="39CD093B" w:rsidR="00B51A1E" w:rsidRPr="004C5A9C" w:rsidRDefault="00B51A1E" w:rsidP="00BE7B2A">
      <w:pPr>
        <w:pStyle w:val="a5"/>
        <w:numPr>
          <w:ilvl w:val="2"/>
          <w:numId w:val="37"/>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التنفيذ: تؤخذ نسبة البالغين الذين فتحوا حسابًا عبر القناة الرقمية الجديدة، ويطرح منها معدل الحسابات المفتوحة في القنوات التقليدية للفترة نفسها. الفرق يمثّل الأثر الصافي.</w:t>
      </w:r>
    </w:p>
    <w:p w14:paraId="16EA9FD0" w14:textId="77777777"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4201B465" w14:textId="77777777"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ثالثًا: جمع البيانات وأدواتها</w:t>
      </w:r>
    </w:p>
    <w:p w14:paraId="56726B9E" w14:textId="3981F00D" w:rsidR="00B51A1E" w:rsidRPr="004C5A9C" w:rsidRDefault="00B51A1E" w:rsidP="00BE7B2A">
      <w:pPr>
        <w:pStyle w:val="a5"/>
        <w:numPr>
          <w:ilvl w:val="2"/>
          <w:numId w:val="38"/>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الاستبانة الإلكترونية: ترسل عبر البريد الرسمي لموظفي الجهات الرقابية ومديري التقنية في البنوك الرقمية، وتتضمن بنود الجاهزية التنظيمية والأمن السيبراني والنضج السحابي.</w:t>
      </w:r>
    </w:p>
    <w:p w14:paraId="7E977FEF" w14:textId="7FC2B9BD" w:rsidR="00B51A1E" w:rsidRPr="004C5A9C" w:rsidRDefault="00B51A1E" w:rsidP="00BE7B2A">
      <w:pPr>
        <w:pStyle w:val="a5"/>
        <w:numPr>
          <w:ilvl w:val="2"/>
          <w:numId w:val="38"/>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تحليل السجلات الإدارية: تُستخرج بيانات السحوبات، معامل واجهات البرمجة، وساعات التدقيق من تقارير ساما ونظم </w:t>
      </w:r>
      <w:r w:rsidRPr="004C5A9C">
        <w:rPr>
          <w:rFonts w:ascii="Times New Roman" w:eastAsiaTheme="minorEastAsia" w:hAnsi="Times New Roman" w:cs="Times New Roman"/>
          <w:kern w:val="0"/>
          <w:sz w:val="28"/>
          <w:szCs w:val="28"/>
          <w14:ligatures w14:val="none"/>
        </w:rPr>
        <w:t>sarīe/esal</w:t>
      </w:r>
      <w:r w:rsidRPr="004C5A9C">
        <w:rPr>
          <w:rFonts w:ascii="Times New Roman" w:eastAsiaTheme="minorEastAsia" w:hAnsi="Times New Roman" w:cs="Times New Roman"/>
          <w:kern w:val="0"/>
          <w:sz w:val="28"/>
          <w:szCs w:val="28"/>
          <w:rtl/>
          <w14:ligatures w14:val="none"/>
        </w:rPr>
        <w:t>.</w:t>
      </w:r>
    </w:p>
    <w:p w14:paraId="1513F77A" w14:textId="521CB2DE" w:rsidR="00B51A1E" w:rsidRPr="004C5A9C" w:rsidRDefault="00B51A1E" w:rsidP="00BE7B2A">
      <w:pPr>
        <w:pStyle w:val="a5"/>
        <w:numPr>
          <w:ilvl w:val="2"/>
          <w:numId w:val="38"/>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مقابلات شبه مهيكلة: تُعقَد مع مسؤولي </w:t>
      </w:r>
      <w:r w:rsidRPr="004C5A9C">
        <w:rPr>
          <w:rFonts w:ascii="Times New Roman" w:eastAsiaTheme="minorEastAsia" w:hAnsi="Times New Roman" w:cs="Times New Roman"/>
          <w:kern w:val="0"/>
          <w:sz w:val="28"/>
          <w:szCs w:val="28"/>
          <w14:ligatures w14:val="none"/>
        </w:rPr>
        <w:t>SupTech</w:t>
      </w:r>
      <w:r w:rsidRPr="004C5A9C">
        <w:rPr>
          <w:rFonts w:ascii="Times New Roman" w:eastAsiaTheme="minorEastAsia" w:hAnsi="Times New Roman" w:cs="Times New Roman"/>
          <w:kern w:val="0"/>
          <w:sz w:val="28"/>
          <w:szCs w:val="28"/>
          <w:rtl/>
          <w14:ligatures w14:val="none"/>
        </w:rPr>
        <w:t xml:space="preserve"> للحصول على تفسيرات نوعية حول أوجه القصور أو النجاح في المؤشرات الكمية.</w:t>
      </w:r>
    </w:p>
    <w:p w14:paraId="3A09BC57" w14:textId="77777777"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228B3837" w14:textId="77777777" w:rsidR="00B51A1E" w:rsidRPr="004C5A9C" w:rsidRDefault="00B51A1E"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رابعًا: معالجة البيانات</w:t>
      </w:r>
    </w:p>
    <w:p w14:paraId="51F84AF4" w14:textId="7C0D079B" w:rsidR="00B51A1E" w:rsidRPr="004C5A9C" w:rsidRDefault="00B51A1E" w:rsidP="00BE7B2A">
      <w:pPr>
        <w:pStyle w:val="a5"/>
        <w:numPr>
          <w:ilvl w:val="2"/>
          <w:numId w:val="39"/>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الإحصاء الوصفي لبيان المتوسطات والانحراف المعياري لكل مؤشر.</w:t>
      </w:r>
    </w:p>
    <w:p w14:paraId="3D605C97" w14:textId="324B73F0" w:rsidR="00B51A1E" w:rsidRPr="004C5A9C" w:rsidRDefault="00B51A1E" w:rsidP="00BE7B2A">
      <w:pPr>
        <w:pStyle w:val="a5"/>
        <w:numPr>
          <w:ilvl w:val="2"/>
          <w:numId w:val="39"/>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انحدار متعدّد لاختبار أثر النضج السحابي، التكامل المفتوح، والوضع السيبراني في الجاهزية التنظيمية.</w:t>
      </w:r>
    </w:p>
    <w:p w14:paraId="02BDBFE5" w14:textId="7F8CE7F8" w:rsidR="000A4A18" w:rsidRPr="004C5A9C" w:rsidRDefault="00B51A1E" w:rsidP="00BE7B2A">
      <w:pPr>
        <w:pStyle w:val="a5"/>
        <w:numPr>
          <w:ilvl w:val="2"/>
          <w:numId w:val="39"/>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نمذجة معادلات هيكلية (</w:t>
      </w:r>
      <w:r w:rsidRPr="004C5A9C">
        <w:rPr>
          <w:rFonts w:ascii="Times New Roman" w:eastAsiaTheme="minorEastAsia" w:hAnsi="Times New Roman" w:cs="Times New Roman"/>
          <w:kern w:val="0"/>
          <w:sz w:val="28"/>
          <w:szCs w:val="28"/>
          <w14:ligatures w14:val="none"/>
        </w:rPr>
        <w:t>SEM</w:t>
      </w:r>
      <w:r w:rsidRPr="004C5A9C">
        <w:rPr>
          <w:rFonts w:ascii="Times New Roman" w:eastAsiaTheme="minorEastAsia" w:hAnsi="Times New Roman" w:cs="Times New Roman"/>
          <w:kern w:val="0"/>
          <w:sz w:val="28"/>
          <w:szCs w:val="28"/>
          <w:rtl/>
          <w14:ligatures w14:val="none"/>
        </w:rPr>
        <w:t>) للتحقق من المسار غير المباشر بين خصائص البنك الرقمي وتحسّن الشمول المالي، مرورًا بوسيط جاهزية الجهة الرقابية.</w:t>
      </w:r>
    </w:p>
    <w:p w14:paraId="3191F6A9" w14:textId="77777777" w:rsidR="000A4A18" w:rsidRDefault="000A4A18"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2292EA0C" w14:textId="77777777" w:rsidR="00BE7B2A" w:rsidRPr="004C5A9C" w:rsidRDefault="00BE7B2A"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2A4F77C1" w14:textId="727F4B9E" w:rsidR="000A4A18" w:rsidRPr="004C5A9C" w:rsidRDefault="000A4A18" w:rsidP="00BE7B2A">
      <w:pPr>
        <w:spacing w:before="100" w:beforeAutospacing="1" w:after="100" w:afterAutospacing="1" w:line="360" w:lineRule="auto"/>
        <w:divId w:val="1026517718"/>
        <w:rPr>
          <w:rFonts w:ascii="Times New Roman" w:eastAsiaTheme="minorEastAsia" w:hAnsi="Times New Roman" w:cs="Times New Roman"/>
          <w:b/>
          <w:bCs/>
          <w:kern w:val="0"/>
          <w:sz w:val="32"/>
          <w:szCs w:val="32"/>
          <w:u w:val="single"/>
          <w:rtl/>
          <w14:ligatures w14:val="none"/>
        </w:rPr>
      </w:pPr>
      <w:r w:rsidRPr="004C5A9C">
        <w:rPr>
          <w:rFonts w:ascii="Times New Roman" w:eastAsiaTheme="minorEastAsia" w:hAnsi="Times New Roman" w:cs="Times New Roman"/>
          <w:b/>
          <w:bCs/>
          <w:kern w:val="0"/>
          <w:sz w:val="32"/>
          <w:szCs w:val="32"/>
          <w:u w:val="single"/>
          <w:rtl/>
          <w14:ligatures w14:val="none"/>
        </w:rPr>
        <w:lastRenderedPageBreak/>
        <w:t>2-1-10 التحديات الرئيسة التي تواجه البنوك الرقميّة</w:t>
      </w:r>
    </w:p>
    <w:p w14:paraId="45B1FC3B" w14:textId="77777777" w:rsidR="000A4A18" w:rsidRPr="004C5A9C" w:rsidRDefault="000A4A18"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رغم ما تمتاز به النماذج الرقميّة من سرعة ابتكار وانخفاضٍ في التكاليف التشغيليّة، فإنها تُواجه حزمةً معقّدة من التحديات الاستراتيجيّة والتشغيليّة على المستويين المحلي والعالمي، ولا سيّما في بيئة المملكة العربيّة السعوديّة حيث يتسارع الإطار التنظيمي والتقني معًا. يمكن تلخيص أبرز هذه التحديات فيما يأتي:</w:t>
      </w:r>
    </w:p>
    <w:p w14:paraId="58264A75" w14:textId="325D5CC6"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التكيّف مع الأطر التنظيمية المتغيّرة</w:t>
      </w:r>
    </w:p>
    <w:p w14:paraId="50036157" w14:textId="0A2E49E2"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صدور لوائح جديدة حول البنوك الرقميّة، والعملات الرقميّة للبنك المركزي (</w:t>
      </w:r>
      <w:r w:rsidRPr="004C5A9C">
        <w:rPr>
          <w:rFonts w:ascii="Times New Roman" w:eastAsiaTheme="minorEastAsia" w:hAnsi="Times New Roman" w:cs="Times New Roman"/>
          <w:kern w:val="0"/>
          <w:sz w:val="28"/>
          <w:szCs w:val="28"/>
          <w14:ligatures w14:val="none"/>
        </w:rPr>
        <w:t>CBDC</w:t>
      </w:r>
      <w:r w:rsidRPr="004C5A9C">
        <w:rPr>
          <w:rFonts w:ascii="Times New Roman" w:eastAsiaTheme="minorEastAsia" w:hAnsi="Times New Roman" w:cs="Times New Roman"/>
          <w:kern w:val="0"/>
          <w:sz w:val="28"/>
          <w:szCs w:val="28"/>
          <w:rtl/>
          <w14:ligatures w14:val="none"/>
        </w:rPr>
        <w:t>) ولوائح “التمويل اللامركزي”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 يفرض على البنوك تحديثًا مستمرًّا لسياساتها وإجراءات الامتثال.</w:t>
      </w:r>
    </w:p>
    <w:p w14:paraId="2CBA2398" w14:textId="177FD354"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اختلاف المتطلّبات بين ساما وهيئة السوق الماليّة والهيئة الوطنيّة للأمن السيبراني يجعل التنسيق التشريعي ضرورة يوميّة ومعقّدة.</w:t>
      </w:r>
    </w:p>
    <w:p w14:paraId="7BF441A7" w14:textId="140FF9CA"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مخاطر الأمن السيبراني</w:t>
      </w:r>
    </w:p>
    <w:p w14:paraId="64878FCA" w14:textId="4A7D0F64"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الاعتماد الكثيف على البنية السحابيّة يعرّض المنصّات لهجمات الفدية (</w:t>
      </w:r>
      <w:r w:rsidRPr="004C5A9C">
        <w:rPr>
          <w:rFonts w:ascii="Times New Roman" w:eastAsiaTheme="minorEastAsia" w:hAnsi="Times New Roman" w:cs="Times New Roman"/>
          <w:kern w:val="0"/>
          <w:sz w:val="28"/>
          <w:szCs w:val="28"/>
          <w14:ligatures w14:val="none"/>
        </w:rPr>
        <w:t>Ransomware</w:t>
      </w:r>
      <w:r w:rsidRPr="004C5A9C">
        <w:rPr>
          <w:rFonts w:ascii="Times New Roman" w:eastAsiaTheme="minorEastAsia" w:hAnsi="Times New Roman" w:cs="Times New Roman"/>
          <w:kern w:val="0"/>
          <w:sz w:val="28"/>
          <w:szCs w:val="28"/>
          <w:rtl/>
          <w14:ligatures w14:val="none"/>
        </w:rPr>
        <w:t>) وهجمات حجب الخدمة (</w:t>
      </w:r>
      <w:r w:rsidRPr="004C5A9C">
        <w:rPr>
          <w:rFonts w:ascii="Times New Roman" w:eastAsiaTheme="minorEastAsia" w:hAnsi="Times New Roman" w:cs="Times New Roman"/>
          <w:kern w:val="0"/>
          <w:sz w:val="28"/>
          <w:szCs w:val="28"/>
          <w14:ligatures w14:val="none"/>
        </w:rPr>
        <w:t>DDoS</w:t>
      </w:r>
      <w:r w:rsidRPr="004C5A9C">
        <w:rPr>
          <w:rFonts w:ascii="Times New Roman" w:eastAsiaTheme="minorEastAsia" w:hAnsi="Times New Roman" w:cs="Times New Roman"/>
          <w:kern w:val="0"/>
          <w:sz w:val="28"/>
          <w:szCs w:val="28"/>
          <w:rtl/>
          <w14:ligatures w14:val="none"/>
        </w:rPr>
        <w:t>) ومحاولات اختراق واجهات الـ</w:t>
      </w:r>
      <w:r w:rsidRPr="004C5A9C">
        <w:rPr>
          <w:rFonts w:ascii="Times New Roman" w:eastAsiaTheme="minorEastAsia" w:hAnsi="Times New Roman" w:cs="Times New Roman"/>
          <w:kern w:val="0"/>
          <w:sz w:val="28"/>
          <w:szCs w:val="28"/>
          <w14:ligatures w14:val="none"/>
        </w:rPr>
        <w:t>API</w:t>
      </w:r>
      <w:r w:rsidRPr="004C5A9C">
        <w:rPr>
          <w:rFonts w:ascii="Times New Roman" w:eastAsiaTheme="minorEastAsia" w:hAnsi="Times New Roman" w:cs="Times New Roman"/>
          <w:kern w:val="0"/>
          <w:sz w:val="28"/>
          <w:szCs w:val="28"/>
          <w:rtl/>
          <w14:ligatures w14:val="none"/>
        </w:rPr>
        <w:t>.</w:t>
      </w:r>
    </w:p>
    <w:p w14:paraId="3FA4166B" w14:textId="0EAE963F"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أي حادث أمني قد يؤدّي إلى خسارة ثقة العملاء والجهات الرقابيّة على حد سواء، ويستنزف موارد ضخمة في عمليات الاستجابة والتعافي.</w:t>
      </w:r>
    </w:p>
    <w:p w14:paraId="14FCDF24" w14:textId="4DDD2264"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ضغط السيولة اللحظيّة</w:t>
      </w:r>
    </w:p>
    <w:p w14:paraId="44091A81" w14:textId="4480D738"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سهولة السحب والتحويل في الزمن الحقيقي تعني أنّ ذعراً مصرفياً (</w:t>
      </w:r>
      <w:r w:rsidRPr="004C5A9C">
        <w:rPr>
          <w:rFonts w:ascii="Times New Roman" w:eastAsiaTheme="minorEastAsia" w:hAnsi="Times New Roman" w:cs="Times New Roman"/>
          <w:kern w:val="0"/>
          <w:sz w:val="28"/>
          <w:szCs w:val="28"/>
          <w14:ligatures w14:val="none"/>
        </w:rPr>
        <w:t>Digital Bank Run</w:t>
      </w:r>
      <w:r w:rsidRPr="004C5A9C">
        <w:rPr>
          <w:rFonts w:ascii="Times New Roman" w:eastAsiaTheme="minorEastAsia" w:hAnsi="Times New Roman" w:cs="Times New Roman"/>
          <w:kern w:val="0"/>
          <w:sz w:val="28"/>
          <w:szCs w:val="28"/>
          <w:rtl/>
          <w14:ligatures w14:val="none"/>
        </w:rPr>
        <w:t>) يمكن أن يحدث خلال دقائق، ما يتطلّب سياسات سيولة أكثر صرامة ونماذج توقع متقدّمة.</w:t>
      </w:r>
    </w:p>
    <w:p w14:paraId="2C4AAA12" w14:textId="1E5C2AC6"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استقطاب الكفاءات التقنيّة</w:t>
      </w:r>
    </w:p>
    <w:p w14:paraId="476B3AE6" w14:textId="0AFFC18C"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المنافسة الحادّة على مهندسي الحوسبة السحابيّة وعلماء البيانات داخل المملكة ودول الخليج ترفع تكاليف الأجور، وتجعل الحفاظ على المواهب تحدّياً استراتيجيّاً.</w:t>
      </w:r>
    </w:p>
    <w:p w14:paraId="77BF5288" w14:textId="58B8F697"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إدارة البيانات وحمايتها</w:t>
      </w:r>
    </w:p>
    <w:p w14:paraId="01CE2877" w14:textId="3E7F86EA"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تطبيق نظام حماية البيانات الشخصيّة السعودي (</w:t>
      </w:r>
      <w:r w:rsidRPr="004C5A9C">
        <w:rPr>
          <w:rFonts w:ascii="Times New Roman" w:eastAsiaTheme="minorEastAsia" w:hAnsi="Times New Roman" w:cs="Times New Roman"/>
          <w:kern w:val="0"/>
          <w:sz w:val="28"/>
          <w:szCs w:val="28"/>
          <w14:ligatures w14:val="none"/>
        </w:rPr>
        <w:t>PDPL</w:t>
      </w:r>
      <w:r w:rsidRPr="004C5A9C">
        <w:rPr>
          <w:rFonts w:ascii="Times New Roman" w:eastAsiaTheme="minorEastAsia" w:hAnsi="Times New Roman" w:cs="Times New Roman"/>
          <w:kern w:val="0"/>
          <w:sz w:val="28"/>
          <w:szCs w:val="28"/>
          <w:rtl/>
          <w14:ligatures w14:val="none"/>
        </w:rPr>
        <w:t>) يفرض التزامات دقيقة حول جمع البيانات وتخزينها ونقلها عبر الحدود.</w:t>
      </w:r>
    </w:p>
    <w:p w14:paraId="5CF316D9" w14:textId="7086CDDD"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موازنة استغلال البيانات التحليليّة مع متطلّبات الخصوصيّة تُعدّ مسألة حسّاسة في تصميم نماذج الأعمال.</w:t>
      </w:r>
    </w:p>
    <w:p w14:paraId="74C076D2" w14:textId="28E49462"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ثقافة العميل وثقته</w:t>
      </w:r>
    </w:p>
    <w:p w14:paraId="169B4E07" w14:textId="1A23A8A9"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لا يزال جزء من العملاء يفضّل التعامل المباشر مع فروع تقليديّة، ويشكّك في أمن التعاملات الرقميّة، ما يتطلب حملات توعية وتجربة مستخدم فائقة السلاسة.</w:t>
      </w:r>
    </w:p>
    <w:p w14:paraId="5F0D200F" w14:textId="3D323106"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التقادم السريع للتقنيات</w:t>
      </w:r>
    </w:p>
    <w:p w14:paraId="1593BE29" w14:textId="78FD7C11"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دورة حياة التقنيات السحابيّة وخوارزميّات الذكاء الاصطناعي قصيرة نسبيّاً؛ ما يعني ضرورة الاستثمار المستمر في التحديث والترقية لتجنّب فجوات الأداء والأمان.</w:t>
      </w:r>
    </w:p>
    <w:p w14:paraId="5FF2F526" w14:textId="2C92BFCC"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تكاليف البنية التحتيّة غير المنظورة</w:t>
      </w:r>
    </w:p>
    <w:p w14:paraId="06B38CDF" w14:textId="7A86BE31"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رغم انخفاض نفقات الفروع، تُنفق البنوك الرقميّة مبالغ كبيرة على خدمات السحابة، ورسوم الترخيص البرمجي، والاستشارات الأمنيّة، ما يؤثر في نقطة التعادل المالي خلال السنوات الأولى.</w:t>
      </w:r>
    </w:p>
    <w:p w14:paraId="3130073A" w14:textId="4F18EB8D"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تحديات التمويل اللامركزي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w:t>
      </w:r>
    </w:p>
    <w:p w14:paraId="1A920919" w14:textId="07333331" w:rsidR="000A4A18" w:rsidRPr="004C5A9C"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المنصّات اللامركزيّة تواجه صعوبة في تطبيق متطلّبات “اعرف عميلك” (</w:t>
      </w:r>
      <w:r w:rsidRPr="004C5A9C">
        <w:rPr>
          <w:rFonts w:ascii="Times New Roman" w:eastAsiaTheme="minorEastAsia" w:hAnsi="Times New Roman" w:cs="Times New Roman"/>
          <w:kern w:val="0"/>
          <w:sz w:val="28"/>
          <w:szCs w:val="28"/>
          <w14:ligatures w14:val="none"/>
        </w:rPr>
        <w:t>KYC</w:t>
      </w:r>
      <w:r w:rsidRPr="004C5A9C">
        <w:rPr>
          <w:rFonts w:ascii="Times New Roman" w:eastAsiaTheme="minorEastAsia" w:hAnsi="Times New Roman" w:cs="Times New Roman"/>
          <w:kern w:val="0"/>
          <w:sz w:val="28"/>
          <w:szCs w:val="28"/>
          <w:rtl/>
          <w14:ligatures w14:val="none"/>
        </w:rPr>
        <w:t>) و”مكافحة غسل الأموال” (</w:t>
      </w:r>
      <w:r w:rsidRPr="004C5A9C">
        <w:rPr>
          <w:rFonts w:ascii="Times New Roman" w:eastAsiaTheme="minorEastAsia" w:hAnsi="Times New Roman" w:cs="Times New Roman"/>
          <w:kern w:val="0"/>
          <w:sz w:val="28"/>
          <w:szCs w:val="28"/>
          <w14:ligatures w14:val="none"/>
        </w:rPr>
        <w:t>AML</w:t>
      </w:r>
      <w:r w:rsidRPr="004C5A9C">
        <w:rPr>
          <w:rFonts w:ascii="Times New Roman" w:eastAsiaTheme="minorEastAsia" w:hAnsi="Times New Roman" w:cs="Times New Roman"/>
          <w:kern w:val="0"/>
          <w:sz w:val="28"/>
          <w:szCs w:val="28"/>
          <w:rtl/>
          <w14:ligatures w14:val="none"/>
        </w:rPr>
        <w:t>)، ما يعرّضها لمخاطر قانونيّة ويعقّد علاقتها مع المصارف المراسلة.</w:t>
      </w:r>
    </w:p>
    <w:p w14:paraId="6F73D36E" w14:textId="3A75C120" w:rsidR="000A4A18" w:rsidRPr="004C5A9C" w:rsidRDefault="000A4A18" w:rsidP="00BE7B2A">
      <w:pPr>
        <w:pStyle w:val="a5"/>
        <w:numPr>
          <w:ilvl w:val="0"/>
          <w:numId w:val="40"/>
        </w:num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التكامل مع أنظمة الدفع الوطنية</w:t>
      </w:r>
    </w:p>
    <w:p w14:paraId="49830A83" w14:textId="6BC20160" w:rsidR="000A4A18" w:rsidRDefault="000A4A18" w:rsidP="00BE7B2A">
      <w:pPr>
        <w:pStyle w:val="a5"/>
        <w:numPr>
          <w:ilvl w:val="2"/>
          <w:numId w:val="40"/>
        </w:numPr>
        <w:spacing w:before="100" w:beforeAutospacing="1" w:after="100" w:afterAutospacing="1" w:line="360" w:lineRule="auto"/>
        <w:divId w:val="1026517718"/>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 xml:space="preserve">الربط الفعّال مع شبكات </w:t>
      </w:r>
      <w:r w:rsidRPr="004C5A9C">
        <w:rPr>
          <w:rFonts w:ascii="Times New Roman" w:eastAsiaTheme="minorEastAsia" w:hAnsi="Times New Roman" w:cs="Times New Roman"/>
          <w:i/>
          <w:iCs/>
          <w:kern w:val="0"/>
          <w:sz w:val="28"/>
          <w:szCs w:val="28"/>
          <w14:ligatures w14:val="none"/>
        </w:rPr>
        <w:t>sarīe</w:t>
      </w:r>
      <w:r w:rsidRPr="004C5A9C">
        <w:rPr>
          <w:rFonts w:ascii="Times New Roman" w:eastAsiaTheme="minorEastAsia" w:hAnsi="Times New Roman" w:cs="Times New Roman"/>
          <w:kern w:val="0"/>
          <w:sz w:val="28"/>
          <w:szCs w:val="28"/>
          <w:rtl/>
          <w14:ligatures w14:val="none"/>
        </w:rPr>
        <w:t xml:space="preserve"> و</w:t>
      </w:r>
      <w:r w:rsidRPr="004C5A9C">
        <w:rPr>
          <w:rFonts w:ascii="Times New Roman" w:eastAsiaTheme="minorEastAsia" w:hAnsi="Times New Roman" w:cs="Times New Roman"/>
          <w:i/>
          <w:iCs/>
          <w:kern w:val="0"/>
          <w:sz w:val="28"/>
          <w:szCs w:val="28"/>
          <w14:ligatures w14:val="none"/>
        </w:rPr>
        <w:t>esal</w:t>
      </w:r>
      <w:r w:rsidRPr="004C5A9C">
        <w:rPr>
          <w:rFonts w:ascii="Times New Roman" w:eastAsiaTheme="minorEastAsia" w:hAnsi="Times New Roman" w:cs="Times New Roman"/>
          <w:kern w:val="0"/>
          <w:sz w:val="28"/>
          <w:szCs w:val="28"/>
          <w:rtl/>
          <w14:ligatures w14:val="none"/>
        </w:rPr>
        <w:t xml:space="preserve"> يتطلب توافقاً تقنيّاً وأمنيّاً صارماً مع بروتوكولات البنك المركزي، وقد يفرض حدوداً على الإطلاق السريع للمنتجات الجديدة.</w:t>
      </w:r>
    </w:p>
    <w:p w14:paraId="710AD530"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39E41ACD"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32C0C44A" w14:textId="77777777" w:rsidR="004C5A9C" w:rsidRP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6CB0A5EF" w14:textId="77777777" w:rsidR="00294525" w:rsidRPr="004C5A9C" w:rsidRDefault="00A60FB1" w:rsidP="00BE7B2A">
      <w:pPr>
        <w:spacing w:before="100" w:beforeAutospacing="1" w:after="100" w:afterAutospacing="1" w:line="360" w:lineRule="auto"/>
        <w:jc w:val="center"/>
        <w:outlineLvl w:val="2"/>
        <w:rPr>
          <w:rFonts w:ascii="Times New Roman" w:eastAsia="Times New Roman" w:hAnsi="Times New Roman" w:cs="Times New Roman"/>
          <w:b/>
          <w:bCs/>
          <w:kern w:val="0"/>
          <w:sz w:val="32"/>
          <w:szCs w:val="32"/>
          <w:u w:val="single"/>
          <w:rtl/>
          <w14:ligatures w14:val="none"/>
        </w:rPr>
      </w:pPr>
      <w:r w:rsidRPr="004C5A9C">
        <w:rPr>
          <w:rFonts w:ascii="Times New Roman" w:eastAsia="Times New Roman" w:hAnsi="Times New Roman" w:cs="Times New Roman"/>
          <w:b/>
          <w:bCs/>
          <w:kern w:val="0"/>
          <w:sz w:val="32"/>
          <w:szCs w:val="32"/>
          <w:u w:val="single"/>
          <w:rtl/>
          <w14:ligatures w14:val="none"/>
        </w:rPr>
        <w:lastRenderedPageBreak/>
        <w:t>المبحث الثاني: الشركاء التنظيميّون والبنية الرقابية في المملكة العربيّة السعوديّة</w:t>
      </w:r>
    </w:p>
    <w:p w14:paraId="3A1721B4" w14:textId="3AB50EA9"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2-2-1 تمهيد نظري موسّع</w:t>
      </w:r>
    </w:p>
    <w:p w14:paraId="2474BCFA"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شهدت العقود الأخيرة تحوّلات نوعيّة في هيكل الصناعة المصرفيّة العالميّة، حيث انتقلت ثقلُ القيمة من الأصول المادّية إلى الأصول المعرفيّة التي ترتكز على البيانات والقدرة على الابتكار الرقمي. في سياق المملكة العربيّة السعوديّة، تتزاوج هذه التحوّلات مع مسارات «رؤية 2030» وبرامج التحوّل الوطني، ما خلق مزيجاً فريداً يجمع بين حاجة السوق المحليّة لتبنّي حلول ماليّة رقمية متقدّمة، وبين ضرورة المحافظة على الاستقرار المالي الذي ظلّ السمة الأبرز للنظام المصرفي السعودي لسنوات طوال.</w:t>
      </w:r>
    </w:p>
    <w:p w14:paraId="2D827A58"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يقوم هذا المبحث على فرضية أنّ فعاليّة البنوك الرقميّة – سواء المركزية المرخصة أو النماذج اللامركزية المنبثقة من بيئات التمويل اللامركزي – تتحدّد بمقدار تناغمها مع منظومة الشركاء التنظيميّين. هؤلاء الشركاء يشكّلون ما يمكن تسميته «البنية التحتية الإشرافية»، أي ذلك النسيج من القوانين، والأنظمة، والأجهزة الرقابية، وآليات التنسيق، وأدوات الرقابة اللحظيّة، التي توفّر المناخ الآمن للابتكار مع التقيّد بضوابط الشفافية، والأمن السيبراني، وحماية المستهلك.</w:t>
      </w:r>
    </w:p>
    <w:p w14:paraId="6427E0A4" w14:textId="5C487234"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وسيُبرهن هذا المبحث – عبر تفصيلٍ تاريخيٍّ ونُظُميٍّ – أنّ قدرة السلطات على مواكبة الابتكارات المالية الناشئة، كالبنوك الرقميّة أو بروتوكولات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 هي العامل الحاسم في تحويل هذه الابتكارات من مخاطر محتملة إلى روافع تنموية تدعم أهداف الرؤية والتنويع الاقتصادي.</w:t>
      </w:r>
    </w:p>
    <w:p w14:paraId="3ADCF023" w14:textId="16FCE46A"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2-2-2 تعريف «الشريك التنظيمي» وأهميته في الصناعة الرقميّة</w:t>
      </w:r>
    </w:p>
    <w:p w14:paraId="48F53286"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الشريك التنظيمي (</w:t>
      </w:r>
      <w:r w:rsidRPr="004C5A9C">
        <w:rPr>
          <w:rFonts w:ascii="Times New Roman" w:eastAsiaTheme="minorEastAsia" w:hAnsi="Times New Roman" w:cs="Times New Roman"/>
          <w:kern w:val="0"/>
          <w:sz w:val="28"/>
          <w:szCs w:val="28"/>
          <w14:ligatures w14:val="none"/>
        </w:rPr>
        <w:t>Regulatory Stakeholder</w:t>
      </w:r>
      <w:r w:rsidRPr="004C5A9C">
        <w:rPr>
          <w:rFonts w:ascii="Times New Roman" w:eastAsiaTheme="minorEastAsia" w:hAnsi="Times New Roman" w:cs="Times New Roman"/>
          <w:kern w:val="0"/>
          <w:sz w:val="28"/>
          <w:szCs w:val="28"/>
          <w:rtl/>
          <w14:ligatures w14:val="none"/>
        </w:rPr>
        <w:t>) ليس جهازاً رقابياً وحسب، بل هو المنظومة المتكاملة للجهة التي تمتلك تفويضاً قانونياً لتصميم اللوائح، وتنفيذها، ومراقبة امتثال الأطراف الخاضعة لها، والتدخل عند الضرورة لحماية النظام ككلّ. يتّسع المفهوم ليشمل:</w:t>
      </w:r>
    </w:p>
    <w:p w14:paraId="01A02749" w14:textId="77777777" w:rsidR="00A60FB1" w:rsidRPr="004C5A9C" w:rsidRDefault="00A60FB1" w:rsidP="00BE7B2A">
      <w:pPr>
        <w:numPr>
          <w:ilvl w:val="0"/>
          <w:numId w:val="4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السلطات النقدية والمالية،</w:t>
      </w:r>
    </w:p>
    <w:p w14:paraId="780FBE82" w14:textId="77777777" w:rsidR="00A60FB1" w:rsidRPr="004C5A9C" w:rsidRDefault="00A60FB1" w:rsidP="00BE7B2A">
      <w:pPr>
        <w:numPr>
          <w:ilvl w:val="0"/>
          <w:numId w:val="4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الهيئات القطاعية المتخصّصة (سوق مالية، اتصالات وتقنية، حكومة رقمية)،</w:t>
      </w:r>
    </w:p>
    <w:p w14:paraId="0F0C7AC4" w14:textId="77777777" w:rsidR="00A60FB1" w:rsidRPr="004C5A9C" w:rsidRDefault="00A60FB1" w:rsidP="00BE7B2A">
      <w:pPr>
        <w:numPr>
          <w:ilvl w:val="0"/>
          <w:numId w:val="4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وحدات الامتثال وغسل الأموال،</w:t>
      </w:r>
    </w:p>
    <w:p w14:paraId="6CCE61AE" w14:textId="77777777" w:rsidR="00A60FB1" w:rsidRPr="004C5A9C" w:rsidRDefault="00A60FB1" w:rsidP="00BE7B2A">
      <w:pPr>
        <w:numPr>
          <w:ilvl w:val="0"/>
          <w:numId w:val="4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أجهزة الأمن السيبراني الوطنية،</w:t>
      </w:r>
    </w:p>
    <w:p w14:paraId="6D0783DD" w14:textId="061FC031" w:rsidR="00A60FB1" w:rsidRPr="004C5A9C" w:rsidRDefault="00A60FB1" w:rsidP="00BE7B2A">
      <w:pPr>
        <w:numPr>
          <w:ilvl w:val="0"/>
          <w:numId w:val="4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وحتى اللجان المشتركة أو منصّات الساندبوكس التي تجمع عدة أطراف في إطار تجريبي واحد.</w:t>
      </w:r>
    </w:p>
    <w:p w14:paraId="62E5D151" w14:textId="28FC720D" w:rsidR="00F84F79"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في السياق السعودي تُناط بكل شريكٍ أدوارٌ فنية وقانونية تُكمِّل بعضها بعضاً؛ فغياب التنسيق الفعّال بين شركاء متعدّدين قد يخلق «فراغات إشرافية» تتحوّل سريعاً إلى نقطة ضعف تستغلّها الهجمات السيبرانية أو الأنشطة المالية غير المشروعة. وبالتالي، فإن دراسة تأثير البنوك الرقميّة لا يمكن أن تكتمل من دون استقصاء دقيق لمدى نضج كل شريك وقدرته على استيعاب النموذج الرقمي.</w:t>
      </w:r>
    </w:p>
    <w:p w14:paraId="38F0370F" w14:textId="12E1B8A5"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2-2-3 لمحة موسّعة عن كل شريك تنظيمي رئيس</w:t>
      </w:r>
    </w:p>
    <w:p w14:paraId="44C7DDD0" w14:textId="0BB90E10" w:rsidR="00A60FB1" w:rsidRPr="004C5A9C" w:rsidRDefault="00A60FB1" w:rsidP="00BE7B2A">
      <w:pPr>
        <w:spacing w:before="100" w:beforeAutospacing="1" w:after="100" w:afterAutospacing="1" w:line="360" w:lineRule="auto"/>
        <w:outlineLvl w:val="3"/>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rtl/>
          <w14:ligatures w14:val="none"/>
        </w:rPr>
        <w:t>أولاً: البنك المركزي السعودي (ساما)</w:t>
      </w:r>
    </w:p>
    <w:p w14:paraId="42954483"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تأسّس ساما عام 1952 بوصفه المؤسّسة النقدية الأعلى في الدولة، ومع تحوّل القطاع المالي إلى المجالات الرقمية تسلّم أدواراً متشعّبة تمتدّ من ضبط السياسة النقدية إلى توفير بنية المدفوعات الفورية (</w:t>
      </w:r>
      <w:r w:rsidRPr="004C5A9C">
        <w:rPr>
          <w:rFonts w:ascii="Times New Roman" w:eastAsiaTheme="minorEastAsia" w:hAnsi="Times New Roman" w:cs="Times New Roman"/>
          <w:kern w:val="0"/>
          <w:sz w:val="28"/>
          <w:szCs w:val="28"/>
          <w14:ligatures w14:val="none"/>
        </w:rPr>
        <w:t>sarīe</w:t>
      </w:r>
      <w:r w:rsidRPr="004C5A9C">
        <w:rPr>
          <w:rFonts w:ascii="Times New Roman" w:eastAsiaTheme="minorEastAsia" w:hAnsi="Times New Roman" w:cs="Times New Roman"/>
          <w:kern w:val="0"/>
          <w:sz w:val="28"/>
          <w:szCs w:val="28"/>
          <w:rtl/>
          <w14:ligatures w14:val="none"/>
        </w:rPr>
        <w:t>). تبرز مهماته في الإطار الرقمي في ثلاث نقاط محورية:</w:t>
      </w:r>
    </w:p>
    <w:p w14:paraId="73722828" w14:textId="77777777" w:rsidR="00A60FB1" w:rsidRPr="004C5A9C" w:rsidRDefault="00A60FB1" w:rsidP="00BE7B2A">
      <w:pPr>
        <w:numPr>
          <w:ilvl w:val="0"/>
          <w:numId w:val="42"/>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منح تراخيص البنوك الرقميّة: حيث يشترط رأس مال لا يقل عن 1.5 مليار ريال سعودي، وخطة عمل تقنية توضّح معماريّة السحابة والحوكمة السيبرانية وفق معايير </w:t>
      </w:r>
      <w:r w:rsidRPr="004C5A9C">
        <w:rPr>
          <w:rFonts w:ascii="Times New Roman" w:eastAsiaTheme="minorEastAsia" w:hAnsi="Times New Roman" w:cs="Times New Roman"/>
          <w:kern w:val="0"/>
          <w:sz w:val="28"/>
          <w:szCs w:val="28"/>
          <w14:ligatures w14:val="none"/>
        </w:rPr>
        <w:t>NCA</w:t>
      </w:r>
      <w:r w:rsidRPr="004C5A9C">
        <w:rPr>
          <w:rFonts w:ascii="Times New Roman" w:eastAsiaTheme="minorEastAsia" w:hAnsi="Times New Roman" w:cs="Times New Roman"/>
          <w:kern w:val="0"/>
          <w:sz w:val="28"/>
          <w:szCs w:val="28"/>
          <w:rtl/>
          <w14:ligatures w14:val="none"/>
        </w:rPr>
        <w:t>.</w:t>
      </w:r>
    </w:p>
    <w:p w14:paraId="7D7B8D2D" w14:textId="77777777" w:rsidR="00A60FB1" w:rsidRPr="004C5A9C" w:rsidRDefault="00A60FB1" w:rsidP="00BE7B2A">
      <w:pPr>
        <w:numPr>
          <w:ilvl w:val="0"/>
          <w:numId w:val="42"/>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التنظيم الاحترازي اللحظي: إذ طوّر ساما منصة بيانات لحظية تستقبل حزم معلومات من البنوك الرقمية عبر واجهات برمجة مؤمّنة، وتطبّق خوارزميات لاكتشاف المخاطر السيوليّة أو الاحتيالية فور حدوثها.</w:t>
      </w:r>
    </w:p>
    <w:p w14:paraId="4C389507" w14:textId="5F3A5F0C" w:rsidR="00A60FB1" w:rsidRPr="004C5A9C" w:rsidRDefault="00A60FB1" w:rsidP="00BE7B2A">
      <w:pPr>
        <w:numPr>
          <w:ilvl w:val="0"/>
          <w:numId w:val="42"/>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إطار حماية المستهلك المصرفي الرقمي: تعديل تعليمات الحوكمة لتمكين العملاء من التسوية الرقمية للشكاوى في مدة لا تتجاوز 15 يوماً.</w:t>
      </w:r>
    </w:p>
    <w:p w14:paraId="467E0602" w14:textId="7AA02FB5"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يمتاز دور ساما بأنّه حلقة الوصل بين الاستقرار النقدي من جهة، وحراك الابتكار المالي من جهة أخرى؛ فمتى ما مال الميزان لصالح الابتكار على حساب الانضباط الاحترازي قد تتعرّض المنظومة لاضطرابٍ في السيولة أو لارتفاع مفرط في مخاطر الائتمان غير المنظور.</w:t>
      </w:r>
    </w:p>
    <w:p w14:paraId="4207982A" w14:textId="59FD8228" w:rsidR="00A60FB1" w:rsidRPr="004C5A9C" w:rsidRDefault="00A60FB1" w:rsidP="00BE7B2A">
      <w:pPr>
        <w:spacing w:before="100" w:beforeAutospacing="1" w:after="100" w:afterAutospacing="1" w:line="360" w:lineRule="auto"/>
        <w:outlineLvl w:val="3"/>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rtl/>
          <w14:ligatures w14:val="none"/>
        </w:rPr>
        <w:t>ثانياً: هيئة السوق الماليّة (</w:t>
      </w:r>
      <w:r w:rsidRPr="004C5A9C">
        <w:rPr>
          <w:rFonts w:ascii="Times New Roman" w:eastAsia="Times New Roman" w:hAnsi="Times New Roman" w:cs="Times New Roman"/>
          <w:b/>
          <w:bCs/>
          <w:kern w:val="0"/>
          <w:sz w:val="28"/>
          <w:szCs w:val="28"/>
          <w14:ligatures w14:val="none"/>
        </w:rPr>
        <w:t>CMA</w:t>
      </w:r>
      <w:r w:rsidR="00F84F79" w:rsidRPr="004C5A9C">
        <w:rPr>
          <w:rFonts w:ascii="Times New Roman" w:eastAsia="Times New Roman" w:hAnsi="Times New Roman" w:cs="Times New Roman" w:hint="cs"/>
          <w:b/>
          <w:bCs/>
          <w:kern w:val="0"/>
          <w:sz w:val="28"/>
          <w:szCs w:val="28"/>
          <w:rtl/>
          <w14:ligatures w14:val="none"/>
        </w:rPr>
        <w:t>)</w:t>
      </w:r>
    </w:p>
    <w:p w14:paraId="3865595A"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 xml:space="preserve">ظهرت أهمية الهيئة في المجال الرقمي عند ازدياد شعبية منتجات الاستثمار الرمزية </w:t>
      </w:r>
      <w:r w:rsidRPr="004C5A9C">
        <w:rPr>
          <w:rFonts w:ascii="Times New Roman" w:eastAsiaTheme="minorEastAsia" w:hAnsi="Times New Roman" w:cs="Times New Roman"/>
          <w:kern w:val="0"/>
          <w:sz w:val="28"/>
          <w:szCs w:val="28"/>
          <w14:ligatures w14:val="none"/>
        </w:rPr>
        <w:t>STOs</w:t>
      </w:r>
      <w:r w:rsidRPr="004C5A9C">
        <w:rPr>
          <w:rFonts w:ascii="Times New Roman" w:eastAsiaTheme="minorEastAsia" w:hAnsi="Times New Roman" w:cs="Times New Roman"/>
          <w:kern w:val="0"/>
          <w:sz w:val="28"/>
          <w:szCs w:val="28"/>
          <w:rtl/>
          <w14:ligatures w14:val="none"/>
        </w:rPr>
        <w:t xml:space="preserve"> وعمليات الطرح الأولي للعملات (</w:t>
      </w:r>
      <w:r w:rsidRPr="004C5A9C">
        <w:rPr>
          <w:rFonts w:ascii="Times New Roman" w:eastAsiaTheme="minorEastAsia" w:hAnsi="Times New Roman" w:cs="Times New Roman"/>
          <w:kern w:val="0"/>
          <w:sz w:val="28"/>
          <w:szCs w:val="28"/>
          <w14:ligatures w14:val="none"/>
        </w:rPr>
        <w:t>ICOs</w:t>
      </w:r>
      <w:r w:rsidRPr="004C5A9C">
        <w:rPr>
          <w:rFonts w:ascii="Times New Roman" w:eastAsiaTheme="minorEastAsia" w:hAnsi="Times New Roman" w:cs="Times New Roman"/>
          <w:kern w:val="0"/>
          <w:sz w:val="28"/>
          <w:szCs w:val="28"/>
          <w:rtl/>
          <w14:ligatures w14:val="none"/>
        </w:rPr>
        <w:t>). تشمل اختصاصاتها:</w:t>
      </w:r>
    </w:p>
    <w:p w14:paraId="2321A039" w14:textId="77777777" w:rsidR="00A60FB1" w:rsidRPr="004C5A9C" w:rsidRDefault="00A60FB1" w:rsidP="00BE7B2A">
      <w:pPr>
        <w:numPr>
          <w:ilvl w:val="0"/>
          <w:numId w:val="43"/>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تنظيم منصات تداول الأصول المشفّرة إن كانت تمثّل «أوراقاً مالية» وفق تعريف النظام، الأمر الذي يتطلب تسجيل نشرة إصدار، وخضوع المنصة لفحوص اختراق معتمدة.</w:t>
      </w:r>
    </w:p>
    <w:p w14:paraId="5C0C6BF8" w14:textId="77777777" w:rsidR="00A60FB1" w:rsidRPr="004C5A9C" w:rsidRDefault="00A60FB1" w:rsidP="00BE7B2A">
      <w:pPr>
        <w:numPr>
          <w:ilvl w:val="0"/>
          <w:numId w:val="43"/>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مراقبة التمويل الجماعي الرقمي (</w:t>
      </w:r>
      <w:r w:rsidRPr="004C5A9C">
        <w:rPr>
          <w:rFonts w:ascii="Times New Roman" w:eastAsiaTheme="minorEastAsia" w:hAnsi="Times New Roman" w:cs="Times New Roman"/>
          <w:kern w:val="0"/>
          <w:sz w:val="28"/>
          <w:szCs w:val="28"/>
          <w14:ligatures w14:val="none"/>
        </w:rPr>
        <w:t>Equity Crowdfunding</w:t>
      </w:r>
      <w:r w:rsidRPr="004C5A9C">
        <w:rPr>
          <w:rFonts w:ascii="Times New Roman" w:eastAsiaTheme="minorEastAsia" w:hAnsi="Times New Roman" w:cs="Times New Roman"/>
          <w:kern w:val="0"/>
          <w:sz w:val="28"/>
          <w:szCs w:val="28"/>
          <w:rtl/>
          <w14:ligatures w14:val="none"/>
        </w:rPr>
        <w:t>) من خلال لائحة التمويل الجماعي بالدين أو رأس المال.</w:t>
      </w:r>
    </w:p>
    <w:p w14:paraId="2FC04EA9" w14:textId="1BA0D3E6" w:rsidR="00A60FB1" w:rsidRPr="004C5A9C" w:rsidRDefault="00A60FB1" w:rsidP="00BE7B2A">
      <w:pPr>
        <w:numPr>
          <w:ilvl w:val="0"/>
          <w:numId w:val="43"/>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حماية المستثمرين الرقميين عبر إلزام المنصات بالإفصاح عن مخاطر التقلبات الحادة والاحتيال السيبراني.</w:t>
      </w:r>
    </w:p>
    <w:p w14:paraId="494CE7F7" w14:textId="1D6DE8E2" w:rsidR="00A60FB1" w:rsidRPr="004C5A9C" w:rsidRDefault="00A60FB1" w:rsidP="00BE7B2A">
      <w:pPr>
        <w:spacing w:before="100" w:beforeAutospacing="1" w:after="100" w:afterAutospacing="1" w:line="360" w:lineRule="auto"/>
        <w:outlineLvl w:val="3"/>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rtl/>
          <w14:ligatures w14:val="none"/>
        </w:rPr>
        <w:t>ثالثاً: وحدة التحريات المالية (</w:t>
      </w:r>
      <w:r w:rsidRPr="004C5A9C">
        <w:rPr>
          <w:rFonts w:ascii="Times New Roman" w:eastAsia="Times New Roman" w:hAnsi="Times New Roman" w:cs="Times New Roman"/>
          <w:b/>
          <w:bCs/>
          <w:kern w:val="0"/>
          <w:sz w:val="28"/>
          <w:szCs w:val="28"/>
          <w14:ligatures w14:val="none"/>
        </w:rPr>
        <w:t>FIU</w:t>
      </w:r>
      <w:r w:rsidR="00F84F79" w:rsidRPr="004C5A9C">
        <w:rPr>
          <w:rFonts w:ascii="Times New Roman" w:eastAsia="Times New Roman" w:hAnsi="Times New Roman" w:cs="Times New Roman" w:hint="cs"/>
          <w:b/>
          <w:bCs/>
          <w:kern w:val="0"/>
          <w:sz w:val="28"/>
          <w:szCs w:val="28"/>
          <w:rtl/>
          <w14:ligatures w14:val="none"/>
        </w:rPr>
        <w:t>)</w:t>
      </w:r>
    </w:p>
    <w:p w14:paraId="266BC161"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يتركّز تفويض الوحدة في تنسيق جهود مكافحة غسل الأموال وتمويل الإرهاب. وتكمن خصوصيتها في البيئة الرقمية في كونها:</w:t>
      </w:r>
    </w:p>
    <w:p w14:paraId="0EE66721" w14:textId="77777777" w:rsidR="00A60FB1" w:rsidRPr="004C5A9C" w:rsidRDefault="00A60FB1" w:rsidP="00BE7B2A">
      <w:pPr>
        <w:numPr>
          <w:ilvl w:val="0"/>
          <w:numId w:val="44"/>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تعتمد أدوات تحليل السلسلة (</w:t>
      </w:r>
      <w:r w:rsidRPr="004C5A9C">
        <w:rPr>
          <w:rFonts w:ascii="Times New Roman" w:eastAsiaTheme="minorEastAsia" w:hAnsi="Times New Roman" w:cs="Times New Roman"/>
          <w:kern w:val="0"/>
          <w:sz w:val="28"/>
          <w:szCs w:val="28"/>
          <w14:ligatures w14:val="none"/>
        </w:rPr>
        <w:t>Chain-Analytics</w:t>
      </w:r>
      <w:r w:rsidRPr="004C5A9C">
        <w:rPr>
          <w:rFonts w:ascii="Times New Roman" w:eastAsiaTheme="minorEastAsia" w:hAnsi="Times New Roman" w:cs="Times New Roman"/>
          <w:kern w:val="0"/>
          <w:sz w:val="28"/>
          <w:szCs w:val="28"/>
          <w:rtl/>
          <w14:ligatures w14:val="none"/>
        </w:rPr>
        <w:t>) لربط عناوين المحافظ مع هياكل الملكية الحقيقية.</w:t>
      </w:r>
    </w:p>
    <w:p w14:paraId="380F1C01" w14:textId="77777777" w:rsidR="00A60FB1" w:rsidRPr="004C5A9C" w:rsidRDefault="00A60FB1" w:rsidP="00BE7B2A">
      <w:pPr>
        <w:numPr>
          <w:ilvl w:val="0"/>
          <w:numId w:val="44"/>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تتعاون بشكل وثيق مع منصات التشفير المحلية لتطبيق مبدأ«اعرف عميلك» المتقدم (</w:t>
      </w:r>
      <w:r w:rsidRPr="004C5A9C">
        <w:rPr>
          <w:rFonts w:ascii="Times New Roman" w:eastAsiaTheme="minorEastAsia" w:hAnsi="Times New Roman" w:cs="Times New Roman"/>
          <w:kern w:val="0"/>
          <w:sz w:val="28"/>
          <w:szCs w:val="28"/>
          <w14:ligatures w14:val="none"/>
        </w:rPr>
        <w:t>Advanced KYC</w:t>
      </w:r>
      <w:r w:rsidRPr="004C5A9C">
        <w:rPr>
          <w:rFonts w:ascii="Times New Roman" w:eastAsiaTheme="minorEastAsia" w:hAnsi="Times New Roman" w:cs="Times New Roman"/>
          <w:kern w:val="0"/>
          <w:sz w:val="28"/>
          <w:szCs w:val="28"/>
          <w:rtl/>
          <w14:ligatures w14:val="none"/>
        </w:rPr>
        <w:t>) وتبادل قوائم المخاطر.</w:t>
      </w:r>
    </w:p>
    <w:p w14:paraId="6AF50878" w14:textId="13A549B8" w:rsidR="00A60FB1" w:rsidRPr="004C5A9C" w:rsidRDefault="00A60FB1" w:rsidP="00BE7B2A">
      <w:pPr>
        <w:numPr>
          <w:ilvl w:val="0"/>
          <w:numId w:val="44"/>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تُصدر تقارير إنذار مبكر للجهات الرقابية عندما تُرصَد معاملات مشبوهة تتخطى سقفاً محدداً يُحدَّث كل ربع سنة.</w:t>
      </w:r>
    </w:p>
    <w:p w14:paraId="63622FAC" w14:textId="6EB300D4" w:rsidR="00A60FB1" w:rsidRPr="004C5A9C" w:rsidRDefault="00A60FB1" w:rsidP="00BE7B2A">
      <w:pPr>
        <w:spacing w:before="100" w:beforeAutospacing="1" w:after="100" w:afterAutospacing="1" w:line="360" w:lineRule="auto"/>
        <w:outlineLvl w:val="3"/>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rtl/>
          <w14:ligatures w14:val="none"/>
        </w:rPr>
        <w:t>رابعاً: الهيئة الوطنية للأمن السيبراني</w:t>
      </w:r>
      <w:r w:rsidR="002D1EC6" w:rsidRPr="004C5A9C">
        <w:rPr>
          <w:rFonts w:ascii="Times New Roman" w:eastAsia="Times New Roman" w:hAnsi="Times New Roman" w:cs="Times New Roman" w:hint="cs"/>
          <w:b/>
          <w:bCs/>
          <w:kern w:val="0"/>
          <w:sz w:val="28"/>
          <w:szCs w:val="28"/>
          <w:rtl/>
          <w14:ligatures w14:val="none"/>
        </w:rPr>
        <w:t xml:space="preserve"> </w:t>
      </w:r>
      <w:r w:rsidRPr="004C5A9C">
        <w:rPr>
          <w:rFonts w:ascii="Times New Roman" w:eastAsia="Times New Roman" w:hAnsi="Times New Roman" w:cs="Times New Roman"/>
          <w:b/>
          <w:bCs/>
          <w:kern w:val="0"/>
          <w:sz w:val="28"/>
          <w:szCs w:val="28"/>
          <w14:ligatures w14:val="none"/>
        </w:rPr>
        <w:t>NCA)</w:t>
      </w:r>
      <w:r w:rsidR="002D1EC6" w:rsidRPr="004C5A9C">
        <w:rPr>
          <w:rFonts w:ascii="Times New Roman" w:eastAsia="Times New Roman" w:hAnsi="Times New Roman" w:cs="Times New Roman" w:hint="cs"/>
          <w:b/>
          <w:bCs/>
          <w:kern w:val="0"/>
          <w:sz w:val="28"/>
          <w:szCs w:val="28"/>
          <w:rtl/>
          <w14:ligatures w14:val="none"/>
        </w:rPr>
        <w:t>)</w:t>
      </w:r>
    </w:p>
    <w:p w14:paraId="48CBD6C4"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مع تبنّي البنوك الرقمية للحوسبة السحابية العامة، أصبح دور الـ</w:t>
      </w:r>
      <w:r w:rsidRPr="004C5A9C">
        <w:rPr>
          <w:rFonts w:ascii="Times New Roman" w:eastAsiaTheme="minorEastAsia" w:hAnsi="Times New Roman" w:cs="Times New Roman"/>
          <w:kern w:val="0"/>
          <w:sz w:val="28"/>
          <w:szCs w:val="28"/>
          <w14:ligatures w14:val="none"/>
        </w:rPr>
        <w:t>NCA</w:t>
      </w:r>
      <w:r w:rsidRPr="004C5A9C">
        <w:rPr>
          <w:rFonts w:ascii="Times New Roman" w:eastAsiaTheme="minorEastAsia" w:hAnsi="Times New Roman" w:cs="Times New Roman"/>
          <w:kern w:val="0"/>
          <w:sz w:val="28"/>
          <w:szCs w:val="28"/>
          <w:rtl/>
          <w14:ligatures w14:val="none"/>
        </w:rPr>
        <w:t xml:space="preserve"> محورياً في:</w:t>
      </w:r>
    </w:p>
    <w:p w14:paraId="4EFAEBA7" w14:textId="77777777" w:rsidR="00A60FB1" w:rsidRPr="004C5A9C" w:rsidRDefault="00A60FB1" w:rsidP="00BE7B2A">
      <w:pPr>
        <w:numPr>
          <w:ilvl w:val="0"/>
          <w:numId w:val="45"/>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صياغة الضوابط السحابية الملزمة التي تحدّد متطلبات التشفير، ومواقع مراكز البيانات داخل المملكة، وطبيعة اختبار الاختراق اللازم قبل إطلاق الخدمة.</w:t>
      </w:r>
    </w:p>
    <w:p w14:paraId="0B2F4654" w14:textId="77777777" w:rsidR="00A60FB1" w:rsidRPr="004C5A9C" w:rsidRDefault="00A60FB1" w:rsidP="00BE7B2A">
      <w:pPr>
        <w:numPr>
          <w:ilvl w:val="0"/>
          <w:numId w:val="45"/>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توحيد معايير إدارة الهويّة والصلاحيات (</w:t>
      </w:r>
      <w:r w:rsidRPr="004C5A9C">
        <w:rPr>
          <w:rFonts w:ascii="Times New Roman" w:eastAsiaTheme="minorEastAsia" w:hAnsi="Times New Roman" w:cs="Times New Roman"/>
          <w:kern w:val="0"/>
          <w:sz w:val="28"/>
          <w:szCs w:val="28"/>
          <w14:ligatures w14:val="none"/>
        </w:rPr>
        <w:t>IAM</w:t>
      </w:r>
      <w:r w:rsidRPr="004C5A9C">
        <w:rPr>
          <w:rFonts w:ascii="Times New Roman" w:eastAsiaTheme="minorEastAsia" w:hAnsi="Times New Roman" w:cs="Times New Roman"/>
          <w:kern w:val="0"/>
          <w:sz w:val="28"/>
          <w:szCs w:val="28"/>
          <w:rtl/>
          <w14:ligatures w14:val="none"/>
        </w:rPr>
        <w:t>) في جميع الجهات المالـية، الأمر الذي يمنع تشتّت السياسات ويُسهّل عمليات التدقيق المشترك مع ساما.</w:t>
      </w:r>
    </w:p>
    <w:p w14:paraId="1ED607FF" w14:textId="1AB7C006" w:rsidR="00A60FB1" w:rsidRPr="004C5A9C" w:rsidRDefault="00A60FB1" w:rsidP="00BE7B2A">
      <w:pPr>
        <w:numPr>
          <w:ilvl w:val="0"/>
          <w:numId w:val="45"/>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بناء مركز عمليات موحّد يُجمِّع أحداث الأمن الحرجة ويرسل مؤشراً زمنياً إلى لوحة مخاطر وطنية تحدَّث كل 5 دقائق.</w:t>
      </w:r>
    </w:p>
    <w:p w14:paraId="00E1046A" w14:textId="54DEED63" w:rsidR="00A60FB1" w:rsidRPr="004C5A9C" w:rsidRDefault="00A60FB1" w:rsidP="00BE7B2A">
      <w:pPr>
        <w:spacing w:before="100" w:beforeAutospacing="1" w:after="100" w:afterAutospacing="1" w:line="360" w:lineRule="auto"/>
        <w:outlineLvl w:val="3"/>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rtl/>
          <w14:ligatures w14:val="none"/>
        </w:rPr>
        <w:t>خامساً: هيئة الحكومة الرقمية (</w:t>
      </w:r>
      <w:r w:rsidRPr="004C5A9C">
        <w:rPr>
          <w:rFonts w:ascii="Times New Roman" w:eastAsia="Times New Roman" w:hAnsi="Times New Roman" w:cs="Times New Roman"/>
          <w:b/>
          <w:bCs/>
          <w:kern w:val="0"/>
          <w:sz w:val="28"/>
          <w:szCs w:val="28"/>
          <w14:ligatures w14:val="none"/>
        </w:rPr>
        <w:t>DGA</w:t>
      </w:r>
      <w:r w:rsidR="0028319A" w:rsidRPr="004C5A9C">
        <w:rPr>
          <w:rFonts w:ascii="Times New Roman" w:eastAsia="Times New Roman" w:hAnsi="Times New Roman" w:cs="Times New Roman" w:hint="cs"/>
          <w:b/>
          <w:bCs/>
          <w:kern w:val="0"/>
          <w:sz w:val="28"/>
          <w:szCs w:val="28"/>
          <w:rtl/>
          <w14:ligatures w14:val="none"/>
        </w:rPr>
        <w:t>)</w:t>
      </w:r>
    </w:p>
    <w:p w14:paraId="537300D7"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lastRenderedPageBreak/>
        <w:t>تتجلّى أهميتها في الربط الإجباري لمنصات البنوك الرقمية بخدمة نفاذ؛ ما يضمن تحققاً فورياً من الهوية الوطنية باستخدام الخصائص الحيوية. كما تضطلع بمهمتين إضافيتين:</w:t>
      </w:r>
    </w:p>
    <w:p w14:paraId="7DF429FF" w14:textId="77777777" w:rsidR="00A60FB1" w:rsidRPr="004C5A9C" w:rsidRDefault="00A60FB1" w:rsidP="00BE7B2A">
      <w:pPr>
        <w:numPr>
          <w:ilvl w:val="0"/>
          <w:numId w:val="46"/>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وضع سياسات مشاركة البيانات الحكومية الآمنة مع المصارف، لتمكين نماذج ائتمان بديلة من دون خرق الخصوصية.</w:t>
      </w:r>
    </w:p>
    <w:p w14:paraId="5146E0FF" w14:textId="26CCCE75" w:rsidR="00A60FB1" w:rsidRPr="004C5A9C" w:rsidRDefault="00A60FB1" w:rsidP="00BE7B2A">
      <w:pPr>
        <w:numPr>
          <w:ilvl w:val="0"/>
          <w:numId w:val="46"/>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إصدار دليل التكامل التقني الموحد الذي يحدّد بروتوكولات </w:t>
      </w:r>
      <w:r w:rsidRPr="004C5A9C">
        <w:rPr>
          <w:rFonts w:ascii="Times New Roman" w:eastAsiaTheme="minorEastAsia" w:hAnsi="Times New Roman" w:cs="Times New Roman"/>
          <w:kern w:val="0"/>
          <w:sz w:val="28"/>
          <w:szCs w:val="28"/>
          <w14:ligatures w14:val="none"/>
        </w:rPr>
        <w:t>API</w:t>
      </w:r>
      <w:r w:rsidRPr="004C5A9C">
        <w:rPr>
          <w:rFonts w:ascii="Times New Roman" w:eastAsiaTheme="minorEastAsia" w:hAnsi="Times New Roman" w:cs="Times New Roman"/>
          <w:kern w:val="0"/>
          <w:sz w:val="28"/>
          <w:szCs w:val="28"/>
          <w:rtl/>
          <w14:ligatures w14:val="none"/>
        </w:rPr>
        <w:t>، وسرَيّات التشفير، ونُظم تتبّع الموافقات التفويضية.</w:t>
      </w:r>
    </w:p>
    <w:p w14:paraId="57594FBD" w14:textId="1DAADC30" w:rsidR="00A60FB1" w:rsidRPr="004C5A9C" w:rsidRDefault="00A60FB1" w:rsidP="00BE7B2A">
      <w:pPr>
        <w:spacing w:before="100" w:beforeAutospacing="1" w:after="100" w:afterAutospacing="1" w:line="360" w:lineRule="auto"/>
        <w:outlineLvl w:val="3"/>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rtl/>
          <w14:ligatures w14:val="none"/>
        </w:rPr>
        <w:t>سادساً: هيئة الاتصالات والفضاء والتقنية (</w:t>
      </w:r>
      <w:r w:rsidRPr="004C5A9C">
        <w:rPr>
          <w:rFonts w:ascii="Times New Roman" w:eastAsia="Times New Roman" w:hAnsi="Times New Roman" w:cs="Times New Roman"/>
          <w:b/>
          <w:bCs/>
          <w:kern w:val="0"/>
          <w:sz w:val="28"/>
          <w:szCs w:val="28"/>
          <w14:ligatures w14:val="none"/>
        </w:rPr>
        <w:t>CST</w:t>
      </w:r>
      <w:r w:rsidR="0028319A" w:rsidRPr="004C5A9C">
        <w:rPr>
          <w:rFonts w:ascii="Times New Roman" w:eastAsia="Times New Roman" w:hAnsi="Times New Roman" w:cs="Times New Roman" w:hint="cs"/>
          <w:b/>
          <w:bCs/>
          <w:kern w:val="0"/>
          <w:sz w:val="28"/>
          <w:szCs w:val="28"/>
          <w:rtl/>
          <w14:ligatures w14:val="none"/>
        </w:rPr>
        <w:t>)</w:t>
      </w:r>
    </w:p>
    <w:p w14:paraId="1854E678"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على الرغم من أنّ تركيزها الرئيس هو البنية التحتية للاتصالات، فإن وجودها في الحوكمة المصرفية الرقمية ينبع من:</w:t>
      </w:r>
    </w:p>
    <w:p w14:paraId="0C1A5726" w14:textId="77777777" w:rsidR="00A60FB1" w:rsidRPr="004C5A9C" w:rsidRDefault="00A60FB1" w:rsidP="00BE7B2A">
      <w:pPr>
        <w:numPr>
          <w:ilvl w:val="0"/>
          <w:numId w:val="47"/>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إصدار التصاريح الخاصة بمراكز البيانات التي تستضيف البنوك الرقمية أو مزوّدي الخدمات السحابية.</w:t>
      </w:r>
    </w:p>
    <w:p w14:paraId="698E0034" w14:textId="77777777" w:rsidR="00A60FB1" w:rsidRPr="004C5A9C" w:rsidRDefault="00A60FB1" w:rsidP="00BE7B2A">
      <w:pPr>
        <w:numPr>
          <w:ilvl w:val="0"/>
          <w:numId w:val="47"/>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مراقبة حركة البيانات العابرة للحدود، والتأكد من توافقها مع متطلبات حماية البيانات السعودي (</w:t>
      </w:r>
      <w:r w:rsidRPr="004C5A9C">
        <w:rPr>
          <w:rFonts w:ascii="Times New Roman" w:eastAsiaTheme="minorEastAsia" w:hAnsi="Times New Roman" w:cs="Times New Roman"/>
          <w:kern w:val="0"/>
          <w:sz w:val="28"/>
          <w:szCs w:val="28"/>
          <w14:ligatures w14:val="none"/>
        </w:rPr>
        <w:t>PDPL</w:t>
      </w:r>
      <w:r w:rsidRPr="004C5A9C">
        <w:rPr>
          <w:rFonts w:ascii="Times New Roman" w:eastAsiaTheme="minorEastAsia" w:hAnsi="Times New Roman" w:cs="Times New Roman"/>
          <w:kern w:val="0"/>
          <w:sz w:val="28"/>
          <w:szCs w:val="28"/>
          <w:rtl/>
          <w14:ligatures w14:val="none"/>
        </w:rPr>
        <w:t>).</w:t>
      </w:r>
    </w:p>
    <w:p w14:paraId="07AABBF6" w14:textId="77777777" w:rsidR="00A60FB1" w:rsidRPr="004C5A9C" w:rsidRDefault="00A60FB1" w:rsidP="00BE7B2A">
      <w:pPr>
        <w:numPr>
          <w:ilvl w:val="0"/>
          <w:numId w:val="47"/>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دعم مبادرات 5</w:t>
      </w:r>
      <w:r w:rsidRPr="004C5A9C">
        <w:rPr>
          <w:rFonts w:ascii="Times New Roman" w:eastAsiaTheme="minorEastAsia" w:hAnsi="Times New Roman" w:cs="Times New Roman"/>
          <w:kern w:val="0"/>
          <w:sz w:val="28"/>
          <w:szCs w:val="28"/>
          <w14:ligatures w14:val="none"/>
        </w:rPr>
        <w:t>G</w:t>
      </w:r>
      <w:r w:rsidRPr="004C5A9C">
        <w:rPr>
          <w:rFonts w:ascii="Times New Roman" w:eastAsiaTheme="minorEastAsia" w:hAnsi="Times New Roman" w:cs="Times New Roman"/>
          <w:kern w:val="0"/>
          <w:sz w:val="28"/>
          <w:szCs w:val="28"/>
          <w:rtl/>
          <w14:ligatures w14:val="none"/>
        </w:rPr>
        <w:t xml:space="preserve"> و«إنترنت الأشياء» التي تُسهّل تقديم خدمات مصرفية قائمة على الأجهزة الذكية (</w:t>
      </w:r>
      <w:r w:rsidRPr="004C5A9C">
        <w:rPr>
          <w:rFonts w:ascii="Times New Roman" w:eastAsiaTheme="minorEastAsia" w:hAnsi="Times New Roman" w:cs="Times New Roman"/>
          <w:kern w:val="0"/>
          <w:sz w:val="28"/>
          <w:szCs w:val="28"/>
          <w14:ligatures w14:val="none"/>
        </w:rPr>
        <w:t>Embedded Finance</w:t>
      </w:r>
      <w:r w:rsidRPr="004C5A9C">
        <w:rPr>
          <w:rFonts w:ascii="Times New Roman" w:eastAsiaTheme="minorEastAsia" w:hAnsi="Times New Roman" w:cs="Times New Roman"/>
          <w:kern w:val="0"/>
          <w:sz w:val="28"/>
          <w:szCs w:val="28"/>
          <w:rtl/>
          <w14:ligatures w14:val="none"/>
        </w:rPr>
        <w:t>).</w:t>
      </w:r>
    </w:p>
    <w:p w14:paraId="3BF98384" w14:textId="0E4E289C" w:rsidR="00A60FB1" w:rsidRPr="004C5A9C" w:rsidRDefault="00A60FB1" w:rsidP="00BE7B2A">
      <w:pPr>
        <w:spacing w:after="0" w:line="360" w:lineRule="auto"/>
        <w:rPr>
          <w:rFonts w:ascii="Times New Roman" w:eastAsia="Times New Roman" w:hAnsi="Times New Roman" w:cs="Times New Roman"/>
          <w:kern w:val="0"/>
          <w:sz w:val="28"/>
          <w:szCs w:val="28"/>
          <w:rtl/>
          <w14:ligatures w14:val="none"/>
        </w:rPr>
      </w:pPr>
    </w:p>
    <w:p w14:paraId="55BEAA1C" w14:textId="4D0DA062"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2-2-4 الأطر التشريعية الحاكمة (تفصيل موسّع)</w:t>
      </w:r>
    </w:p>
    <w:p w14:paraId="0E90D4C2"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تتميز البيئة التشريعية السعودية بالتطوّر التراكمي: تصدر لوائح أساسية يعقبها تحديثات دورية تواكب مستجدات التقنية. أمثلة تفصيلية:</w:t>
      </w:r>
    </w:p>
    <w:p w14:paraId="653ECF1F" w14:textId="77777777" w:rsidR="00A60FB1" w:rsidRPr="004C5A9C" w:rsidRDefault="00A60FB1" w:rsidP="00BE7B2A">
      <w:pPr>
        <w:numPr>
          <w:ilvl w:val="0"/>
          <w:numId w:val="48"/>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لائحة البنوك الرقمية (2023)</w:t>
      </w:r>
    </w:p>
    <w:p w14:paraId="359CBE64" w14:textId="77777777" w:rsidR="00A60FB1" w:rsidRPr="004C5A9C" w:rsidRDefault="00A60FB1" w:rsidP="00BE7B2A">
      <w:pPr>
        <w:spacing w:before="100" w:beforeAutospacing="1" w:after="100" w:afterAutospacing="1" w:line="360" w:lineRule="auto"/>
        <w:ind w:left="720"/>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تتضمن 45 مادة تفصيلية تغطي تعريف البنك الرقمي، رأس المال الأدنى، نموذج الأعمال المقبول (</w:t>
      </w:r>
      <w:r w:rsidRPr="004C5A9C">
        <w:rPr>
          <w:rFonts w:ascii="Times New Roman" w:eastAsiaTheme="minorEastAsia" w:hAnsi="Times New Roman" w:cs="Times New Roman"/>
          <w:kern w:val="0"/>
          <w:sz w:val="28"/>
          <w:szCs w:val="28"/>
          <w14:ligatures w14:val="none"/>
        </w:rPr>
        <w:t>Retail / SME</w:t>
      </w:r>
      <w:r w:rsidRPr="004C5A9C">
        <w:rPr>
          <w:rFonts w:ascii="Times New Roman" w:eastAsiaTheme="minorEastAsia" w:hAnsi="Times New Roman" w:cs="Times New Roman"/>
          <w:kern w:val="0"/>
          <w:sz w:val="28"/>
          <w:szCs w:val="28"/>
          <w:rtl/>
          <w14:ligatures w14:val="none"/>
        </w:rPr>
        <w:t>)، متطلبات الأمن السيبراني، ونسب السيولة اللحظيّة. كما تنصّ على إنشاء لجنة داخلية لإدارة مخاطر الخوارزميات (</w:t>
      </w:r>
      <w:r w:rsidRPr="004C5A9C">
        <w:rPr>
          <w:rFonts w:ascii="Times New Roman" w:eastAsiaTheme="minorEastAsia" w:hAnsi="Times New Roman" w:cs="Times New Roman"/>
          <w:kern w:val="0"/>
          <w:sz w:val="28"/>
          <w:szCs w:val="28"/>
          <w14:ligatures w14:val="none"/>
        </w:rPr>
        <w:t>Model Risk Committee</w:t>
      </w:r>
      <w:r w:rsidRPr="004C5A9C">
        <w:rPr>
          <w:rFonts w:ascii="Times New Roman" w:eastAsiaTheme="minorEastAsia" w:hAnsi="Times New Roman" w:cs="Times New Roman"/>
          <w:kern w:val="0"/>
          <w:sz w:val="28"/>
          <w:szCs w:val="28"/>
          <w:rtl/>
          <w14:ligatures w14:val="none"/>
        </w:rPr>
        <w:t>).</w:t>
      </w:r>
    </w:p>
    <w:p w14:paraId="5940CBE8" w14:textId="77777777" w:rsidR="00A60FB1" w:rsidRPr="004C5A9C" w:rsidRDefault="00A60FB1" w:rsidP="00BE7B2A">
      <w:pPr>
        <w:numPr>
          <w:ilvl w:val="0"/>
          <w:numId w:val="48"/>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 xml:space="preserve">مسودة إرشادات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 xml:space="preserve"> التجريبية</w:t>
      </w:r>
    </w:p>
    <w:p w14:paraId="25DB6B5C" w14:textId="77777777" w:rsidR="00A60FB1" w:rsidRPr="004C5A9C" w:rsidRDefault="00A60FB1" w:rsidP="00BE7B2A">
      <w:pPr>
        <w:spacing w:before="100" w:beforeAutospacing="1" w:after="100" w:afterAutospacing="1" w:line="360" w:lineRule="auto"/>
        <w:ind w:left="720"/>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صدرت ضمن بيئة الساندبوكس، وتشترط حدّاً أعلى للتعاملات (10 ملايين ريال) وحداً أقصى لعدد العملاء (200 مستخدم تجريبي)، إضافة إلى التزام منشور شفرة العقد الذكي على مستودع مفتوح المصدر مع نتائج تدقيق أمني مستقل.</w:t>
      </w:r>
    </w:p>
    <w:p w14:paraId="6DB2675C" w14:textId="77777777" w:rsidR="00A60FB1" w:rsidRPr="004C5A9C" w:rsidRDefault="00A60FB1" w:rsidP="00BE7B2A">
      <w:pPr>
        <w:numPr>
          <w:ilvl w:val="0"/>
          <w:numId w:val="48"/>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ضوابط الأمن السيبراني السحابي (</w:t>
      </w:r>
      <w:r w:rsidRPr="004C5A9C">
        <w:rPr>
          <w:rFonts w:ascii="Times New Roman" w:eastAsiaTheme="minorEastAsia" w:hAnsi="Times New Roman" w:cs="Times New Roman"/>
          <w:kern w:val="0"/>
          <w:sz w:val="28"/>
          <w:szCs w:val="28"/>
          <w14:ligatures w14:val="none"/>
        </w:rPr>
        <w:t>NCA-CCC-2</w:t>
      </w:r>
      <w:r w:rsidRPr="004C5A9C">
        <w:rPr>
          <w:rFonts w:ascii="Times New Roman" w:eastAsiaTheme="minorEastAsia" w:hAnsi="Times New Roman" w:cs="Times New Roman"/>
          <w:kern w:val="0"/>
          <w:sz w:val="28"/>
          <w:szCs w:val="28"/>
          <w:rtl/>
          <w14:ligatures w14:val="none"/>
        </w:rPr>
        <w:t>)</w:t>
      </w:r>
    </w:p>
    <w:p w14:paraId="70342470" w14:textId="77777777" w:rsidR="00A60FB1" w:rsidRPr="004C5A9C" w:rsidRDefault="00A60FB1" w:rsidP="00BE7B2A">
      <w:pPr>
        <w:spacing w:before="100" w:beforeAutospacing="1" w:after="100" w:afterAutospacing="1" w:line="360" w:lineRule="auto"/>
        <w:ind w:left="720"/>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تُلزم أي مؤسسة مالية تستخدم بنية سحابية عامة بأن تتبع نموذج «مسؤولية مشتركة» يوزّع الأدوار بين مزوّد الخدمة والعميل. وتحدد مستوى تشفير </w:t>
      </w:r>
      <w:r w:rsidRPr="004C5A9C">
        <w:rPr>
          <w:rFonts w:ascii="Times New Roman" w:eastAsiaTheme="minorEastAsia" w:hAnsi="Times New Roman" w:cs="Times New Roman"/>
          <w:kern w:val="0"/>
          <w:sz w:val="28"/>
          <w:szCs w:val="28"/>
          <w14:ligatures w14:val="none"/>
        </w:rPr>
        <w:t>AES-256</w:t>
      </w:r>
      <w:r w:rsidRPr="004C5A9C">
        <w:rPr>
          <w:rFonts w:ascii="Times New Roman" w:eastAsiaTheme="minorEastAsia" w:hAnsi="Times New Roman" w:cs="Times New Roman"/>
          <w:kern w:val="0"/>
          <w:sz w:val="28"/>
          <w:szCs w:val="28"/>
          <w:rtl/>
          <w14:ligatures w14:val="none"/>
        </w:rPr>
        <w:t xml:space="preserve"> للمعلومات الحساسة، وتفرض اختبار اختراق نصف سنوي تُلزَم نتائجه بالتصعيد إلى ساما خلال 48 ساعة.</w:t>
      </w:r>
    </w:p>
    <w:p w14:paraId="1B66CBCF" w14:textId="77777777" w:rsidR="00A60FB1" w:rsidRPr="004C5A9C" w:rsidRDefault="00A60FB1" w:rsidP="00BE7B2A">
      <w:pPr>
        <w:numPr>
          <w:ilvl w:val="0"/>
          <w:numId w:val="48"/>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نظام حماية البيانات الشخصية (</w:t>
      </w:r>
      <w:r w:rsidRPr="004C5A9C">
        <w:rPr>
          <w:rFonts w:ascii="Times New Roman" w:eastAsiaTheme="minorEastAsia" w:hAnsi="Times New Roman" w:cs="Times New Roman"/>
          <w:kern w:val="0"/>
          <w:sz w:val="28"/>
          <w:szCs w:val="28"/>
          <w14:ligatures w14:val="none"/>
        </w:rPr>
        <w:t>PDPL، 2023</w:t>
      </w:r>
      <w:r w:rsidRPr="004C5A9C">
        <w:rPr>
          <w:rFonts w:ascii="Times New Roman" w:eastAsiaTheme="minorEastAsia" w:hAnsi="Times New Roman" w:cs="Times New Roman"/>
          <w:kern w:val="0"/>
          <w:sz w:val="28"/>
          <w:szCs w:val="28"/>
          <w:rtl/>
          <w14:ligatures w14:val="none"/>
        </w:rPr>
        <w:t>)</w:t>
      </w:r>
    </w:p>
    <w:p w14:paraId="5614E0B0" w14:textId="39DC5AEB" w:rsidR="00A60FB1" w:rsidRPr="004C5A9C" w:rsidRDefault="00A60FB1" w:rsidP="00BE7B2A">
      <w:pPr>
        <w:spacing w:before="100" w:beforeAutospacing="1" w:after="100" w:afterAutospacing="1" w:line="360" w:lineRule="auto"/>
        <w:ind w:left="720"/>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يشدّد على مبدأ «الحاجة للمعرفة»، ويمنع نقل البيانات خارج المملكة إلا باستثناءات يقرّها مركز الحكومة الرقمية؛ وهو ما يعقّد استضافة بعض وظائف البنك الرقمي لدى مزوّد سحابة أجنبية.</w:t>
      </w:r>
    </w:p>
    <w:p w14:paraId="79FCA7B6" w14:textId="609F0CA7"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2-2-5 أدوات الإشراف الرقمي (</w:t>
      </w:r>
      <w:r w:rsidRPr="004C5A9C">
        <w:rPr>
          <w:rFonts w:ascii="Times New Roman" w:eastAsia="Times New Roman" w:hAnsi="Times New Roman" w:cs="Times New Roman"/>
          <w:b/>
          <w:bCs/>
          <w:kern w:val="0"/>
          <w:sz w:val="32"/>
          <w:szCs w:val="32"/>
          <w:u w:val="single"/>
          <w14:ligatures w14:val="none"/>
        </w:rPr>
        <w:t xml:space="preserve">SupTech– </w:t>
      </w:r>
      <w:r w:rsidRPr="004C5A9C">
        <w:rPr>
          <w:rFonts w:ascii="Times New Roman" w:eastAsia="Times New Roman" w:hAnsi="Times New Roman" w:cs="Times New Roman"/>
          <w:b/>
          <w:bCs/>
          <w:kern w:val="0"/>
          <w:sz w:val="32"/>
          <w:szCs w:val="32"/>
          <w:u w:val="single"/>
          <w:rtl/>
          <w14:ligatures w14:val="none"/>
        </w:rPr>
        <w:t>عرض تفصيلي</w:t>
      </w:r>
      <w:r w:rsidR="0028319A" w:rsidRPr="004C5A9C">
        <w:rPr>
          <w:rFonts w:ascii="Times New Roman" w:eastAsiaTheme="minorEastAsia" w:hAnsi="Times New Roman" w:cs="Times New Roman" w:hint="cs"/>
          <w:b/>
          <w:bCs/>
          <w:kern w:val="0"/>
          <w:sz w:val="32"/>
          <w:szCs w:val="32"/>
          <w:u w:val="single"/>
          <w:rtl/>
          <w14:ligatures w14:val="none"/>
        </w:rPr>
        <w:t>)</w:t>
      </w:r>
    </w:p>
    <w:p w14:paraId="6CBAE0E8" w14:textId="77777777" w:rsidR="00A60FB1" w:rsidRPr="004C5A9C" w:rsidRDefault="00A60FB1" w:rsidP="00BE7B2A">
      <w:pPr>
        <w:numPr>
          <w:ilvl w:val="0"/>
          <w:numId w:val="49"/>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منصة بيانات المعاملات في الزمن الحقيقي (</w:t>
      </w:r>
      <w:r w:rsidRPr="004C5A9C">
        <w:rPr>
          <w:rFonts w:ascii="Times New Roman" w:eastAsiaTheme="minorEastAsia" w:hAnsi="Times New Roman" w:cs="Times New Roman"/>
          <w:kern w:val="0"/>
          <w:sz w:val="28"/>
          <w:szCs w:val="28"/>
          <w14:ligatures w14:val="none"/>
        </w:rPr>
        <w:t>RTP-Data-Hub</w:t>
      </w:r>
      <w:r w:rsidRPr="004C5A9C">
        <w:rPr>
          <w:rFonts w:ascii="Times New Roman" w:eastAsiaTheme="minorEastAsia" w:hAnsi="Times New Roman" w:cs="Times New Roman"/>
          <w:kern w:val="0"/>
          <w:sz w:val="28"/>
          <w:szCs w:val="28"/>
          <w:rtl/>
          <w14:ligatures w14:val="none"/>
        </w:rPr>
        <w:t>)</w:t>
      </w:r>
    </w:p>
    <w:p w14:paraId="585324C8"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معماريّة تعتمد </w:t>
      </w:r>
      <w:r w:rsidRPr="004C5A9C">
        <w:rPr>
          <w:rFonts w:ascii="Times New Roman" w:eastAsiaTheme="minorEastAsia" w:hAnsi="Times New Roman" w:cs="Times New Roman"/>
          <w:kern w:val="0"/>
          <w:sz w:val="28"/>
          <w:szCs w:val="28"/>
          <w14:ligatures w14:val="none"/>
        </w:rPr>
        <w:t>on-premise Kafka Stream</w:t>
      </w:r>
      <w:r w:rsidRPr="004C5A9C">
        <w:rPr>
          <w:rFonts w:ascii="Times New Roman" w:eastAsiaTheme="minorEastAsia" w:hAnsi="Times New Roman" w:cs="Times New Roman"/>
          <w:kern w:val="0"/>
          <w:sz w:val="28"/>
          <w:szCs w:val="28"/>
          <w:rtl/>
          <w14:ligatures w14:val="none"/>
        </w:rPr>
        <w:t xml:space="preserve"> لتجميع بيانات الدفع من بوابات </w:t>
      </w:r>
      <w:r w:rsidRPr="004C5A9C">
        <w:rPr>
          <w:rFonts w:ascii="Times New Roman" w:eastAsiaTheme="minorEastAsia" w:hAnsi="Times New Roman" w:cs="Times New Roman"/>
          <w:kern w:val="0"/>
          <w:sz w:val="28"/>
          <w:szCs w:val="28"/>
          <w14:ligatures w14:val="none"/>
        </w:rPr>
        <w:t>sarīe</w:t>
      </w:r>
      <w:r w:rsidRPr="004C5A9C">
        <w:rPr>
          <w:rFonts w:ascii="Times New Roman" w:eastAsiaTheme="minorEastAsia" w:hAnsi="Times New Roman" w:cs="Times New Roman"/>
          <w:kern w:val="0"/>
          <w:sz w:val="28"/>
          <w:szCs w:val="28"/>
          <w:rtl/>
          <w14:ligatures w14:val="none"/>
        </w:rPr>
        <w:t>.</w:t>
      </w:r>
    </w:p>
    <w:p w14:paraId="08B6FA48"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خوارزمية </w:t>
      </w:r>
      <w:r w:rsidRPr="004C5A9C">
        <w:rPr>
          <w:rFonts w:ascii="Times New Roman" w:eastAsiaTheme="minorEastAsia" w:hAnsi="Times New Roman" w:cs="Times New Roman"/>
          <w:kern w:val="0"/>
          <w:sz w:val="28"/>
          <w:szCs w:val="28"/>
          <w14:ligatures w14:val="none"/>
        </w:rPr>
        <w:t>Anomaly Detection</w:t>
      </w:r>
      <w:r w:rsidRPr="004C5A9C">
        <w:rPr>
          <w:rFonts w:ascii="Times New Roman" w:eastAsiaTheme="minorEastAsia" w:hAnsi="Times New Roman" w:cs="Times New Roman"/>
          <w:kern w:val="0"/>
          <w:sz w:val="28"/>
          <w:szCs w:val="28"/>
          <w:rtl/>
          <w14:ligatures w14:val="none"/>
        </w:rPr>
        <w:t xml:space="preserve"> مبنية على </w:t>
      </w:r>
      <w:r w:rsidRPr="004C5A9C">
        <w:rPr>
          <w:rFonts w:ascii="Times New Roman" w:eastAsiaTheme="minorEastAsia" w:hAnsi="Times New Roman" w:cs="Times New Roman"/>
          <w:kern w:val="0"/>
          <w:sz w:val="28"/>
          <w:szCs w:val="28"/>
          <w14:ligatures w14:val="none"/>
        </w:rPr>
        <w:t>LSTM</w:t>
      </w:r>
      <w:r w:rsidRPr="004C5A9C">
        <w:rPr>
          <w:rFonts w:ascii="Times New Roman" w:eastAsiaTheme="minorEastAsia" w:hAnsi="Times New Roman" w:cs="Times New Roman"/>
          <w:kern w:val="0"/>
          <w:sz w:val="28"/>
          <w:szCs w:val="28"/>
          <w:rtl/>
          <w14:ligatures w14:val="none"/>
        </w:rPr>
        <w:t xml:space="preserve"> تُنبّه عند خروج أنماط السيولة عن الانحراف المعياري (3</w:t>
      </w:r>
      <w:r w:rsidRPr="004C5A9C">
        <w:rPr>
          <w:rFonts w:ascii="Times New Roman" w:eastAsiaTheme="minorEastAsia" w:hAnsi="Times New Roman" w:cs="Times New Roman"/>
          <w:kern w:val="0"/>
          <w:sz w:val="28"/>
          <w:szCs w:val="28"/>
          <w14:ligatures w14:val="none"/>
        </w:rPr>
        <w:t>σ).</w:t>
      </w:r>
    </w:p>
    <w:p w14:paraId="6EAC45AA"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تكامل تلقائي مع لوحة تحكّم للبنك المركزي تتيح محاكاة سيناريو «سحب جماعي».</w:t>
      </w:r>
    </w:p>
    <w:p w14:paraId="61F97CB9" w14:textId="77777777" w:rsidR="00A60FB1" w:rsidRPr="004C5A9C" w:rsidRDefault="00A60FB1" w:rsidP="00BE7B2A">
      <w:pPr>
        <w:numPr>
          <w:ilvl w:val="0"/>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منظومة تتبع الأصول الرقمية (</w:t>
      </w:r>
      <w:r w:rsidRPr="004C5A9C">
        <w:rPr>
          <w:rFonts w:ascii="Times New Roman" w:eastAsiaTheme="minorEastAsia" w:hAnsi="Times New Roman" w:cs="Times New Roman"/>
          <w:kern w:val="0"/>
          <w:sz w:val="28"/>
          <w:szCs w:val="28"/>
          <w14:ligatures w14:val="none"/>
        </w:rPr>
        <w:t>Chain-Analytics-Suite</w:t>
      </w:r>
      <w:r w:rsidRPr="004C5A9C">
        <w:rPr>
          <w:rFonts w:ascii="Times New Roman" w:eastAsiaTheme="minorEastAsia" w:hAnsi="Times New Roman" w:cs="Times New Roman"/>
          <w:kern w:val="0"/>
          <w:sz w:val="28"/>
          <w:szCs w:val="28"/>
          <w:rtl/>
          <w14:ligatures w14:val="none"/>
        </w:rPr>
        <w:t>)</w:t>
      </w:r>
    </w:p>
    <w:p w14:paraId="3B32A9B0"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تستخدم معاملات </w:t>
      </w:r>
      <w:r w:rsidRPr="004C5A9C">
        <w:rPr>
          <w:rFonts w:ascii="Times New Roman" w:eastAsiaTheme="minorEastAsia" w:hAnsi="Times New Roman" w:cs="Times New Roman"/>
          <w:kern w:val="0"/>
          <w:sz w:val="28"/>
          <w:szCs w:val="28"/>
          <w14:ligatures w14:val="none"/>
        </w:rPr>
        <w:t>UTXO</w:t>
      </w:r>
      <w:r w:rsidRPr="004C5A9C">
        <w:rPr>
          <w:rFonts w:ascii="Times New Roman" w:eastAsiaTheme="minorEastAsia" w:hAnsi="Times New Roman" w:cs="Times New Roman"/>
          <w:kern w:val="0"/>
          <w:sz w:val="28"/>
          <w:szCs w:val="28"/>
          <w:rtl/>
          <w14:ligatures w14:val="none"/>
        </w:rPr>
        <w:t xml:space="preserve"> ونماذج «المخاطرة على السلسلة» لتصنيف المحافظ.</w:t>
      </w:r>
    </w:p>
    <w:p w14:paraId="21A48EAB"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تربط ذواكر العُقُود الذكية مع قوائم دولية (</w:t>
      </w:r>
      <w:r w:rsidRPr="004C5A9C">
        <w:rPr>
          <w:rFonts w:ascii="Times New Roman" w:eastAsiaTheme="minorEastAsia" w:hAnsi="Times New Roman" w:cs="Times New Roman"/>
          <w:kern w:val="0"/>
          <w:sz w:val="28"/>
          <w:szCs w:val="28"/>
          <w14:ligatures w14:val="none"/>
        </w:rPr>
        <w:t>OFAC, FATF</w:t>
      </w:r>
      <w:r w:rsidRPr="004C5A9C">
        <w:rPr>
          <w:rFonts w:ascii="Times New Roman" w:eastAsiaTheme="minorEastAsia" w:hAnsi="Times New Roman" w:cs="Times New Roman"/>
          <w:kern w:val="0"/>
          <w:sz w:val="28"/>
          <w:szCs w:val="28"/>
          <w:rtl/>
          <w14:ligatures w14:val="none"/>
        </w:rPr>
        <w:t>) لتحديد العناوين المحظورة.</w:t>
      </w:r>
    </w:p>
    <w:p w14:paraId="410205C5"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تُصدّر تنبيهاً استباقياً لواجهة </w:t>
      </w:r>
      <w:r w:rsidRPr="004C5A9C">
        <w:rPr>
          <w:rFonts w:ascii="Times New Roman" w:eastAsiaTheme="minorEastAsia" w:hAnsi="Times New Roman" w:cs="Times New Roman"/>
          <w:kern w:val="0"/>
          <w:sz w:val="28"/>
          <w:szCs w:val="28"/>
          <w14:ligatures w14:val="none"/>
        </w:rPr>
        <w:t>API</w:t>
      </w:r>
      <w:r w:rsidRPr="004C5A9C">
        <w:rPr>
          <w:rFonts w:ascii="Times New Roman" w:eastAsiaTheme="minorEastAsia" w:hAnsi="Times New Roman" w:cs="Times New Roman"/>
          <w:kern w:val="0"/>
          <w:sz w:val="28"/>
          <w:szCs w:val="28"/>
          <w:rtl/>
          <w14:ligatures w14:val="none"/>
        </w:rPr>
        <w:t xml:space="preserve"> مشتركة مع وحدة التحريات عند رصد معاملتين متتاليتين بقيمة &gt; 50 ألف ريال لعناوين عالية المخاطر.</w:t>
      </w:r>
    </w:p>
    <w:p w14:paraId="05A433A2" w14:textId="77777777" w:rsidR="00A60FB1" w:rsidRPr="004C5A9C" w:rsidRDefault="00A60FB1" w:rsidP="00BE7B2A">
      <w:pPr>
        <w:numPr>
          <w:ilvl w:val="0"/>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لوحة المخاطر السيبرانية الوطنية (</w:t>
      </w:r>
      <w:r w:rsidRPr="004C5A9C">
        <w:rPr>
          <w:rFonts w:ascii="Times New Roman" w:eastAsiaTheme="minorEastAsia" w:hAnsi="Times New Roman" w:cs="Times New Roman"/>
          <w:kern w:val="0"/>
          <w:sz w:val="28"/>
          <w:szCs w:val="28"/>
          <w14:ligatures w14:val="none"/>
        </w:rPr>
        <w:t>NCA-Cyber-Dashboard</w:t>
      </w:r>
      <w:r w:rsidRPr="004C5A9C">
        <w:rPr>
          <w:rFonts w:ascii="Times New Roman" w:eastAsiaTheme="minorEastAsia" w:hAnsi="Times New Roman" w:cs="Times New Roman"/>
          <w:kern w:val="0"/>
          <w:sz w:val="28"/>
          <w:szCs w:val="28"/>
          <w:rtl/>
          <w14:ligatures w14:val="none"/>
        </w:rPr>
        <w:t>)</w:t>
      </w:r>
    </w:p>
    <w:p w14:paraId="075D71E5"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تُجمِّع السجلات (</w:t>
      </w:r>
      <w:r w:rsidRPr="004C5A9C">
        <w:rPr>
          <w:rFonts w:ascii="Times New Roman" w:eastAsiaTheme="minorEastAsia" w:hAnsi="Times New Roman" w:cs="Times New Roman"/>
          <w:kern w:val="0"/>
          <w:sz w:val="28"/>
          <w:szCs w:val="28"/>
          <w14:ligatures w14:val="none"/>
        </w:rPr>
        <w:t>Syslog، IDS/IPS</w:t>
      </w:r>
      <w:r w:rsidRPr="004C5A9C">
        <w:rPr>
          <w:rFonts w:ascii="Times New Roman" w:eastAsiaTheme="minorEastAsia" w:hAnsi="Times New Roman" w:cs="Times New Roman"/>
          <w:kern w:val="0"/>
          <w:sz w:val="28"/>
          <w:szCs w:val="28"/>
          <w:rtl/>
          <w14:ligatures w14:val="none"/>
        </w:rPr>
        <w:t xml:space="preserve">) من 43 مؤسسة مالية رقمية مرخّصة عبر خطّ </w:t>
      </w:r>
      <w:r w:rsidRPr="004C5A9C">
        <w:rPr>
          <w:rFonts w:ascii="Times New Roman" w:eastAsiaTheme="minorEastAsia" w:hAnsi="Times New Roman" w:cs="Times New Roman"/>
          <w:kern w:val="0"/>
          <w:sz w:val="28"/>
          <w:szCs w:val="28"/>
          <w14:ligatures w14:val="none"/>
        </w:rPr>
        <w:t>MPLS</w:t>
      </w:r>
      <w:r w:rsidRPr="004C5A9C">
        <w:rPr>
          <w:rFonts w:ascii="Times New Roman" w:eastAsiaTheme="minorEastAsia" w:hAnsi="Times New Roman" w:cs="Times New Roman"/>
          <w:kern w:val="0"/>
          <w:sz w:val="28"/>
          <w:szCs w:val="28"/>
          <w:rtl/>
          <w14:ligatures w14:val="none"/>
        </w:rPr>
        <w:t xml:space="preserve"> مشفَّر.</w:t>
      </w:r>
    </w:p>
    <w:p w14:paraId="26E71FD5" w14:textId="77777777"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تصنّف التهديد إلى خمسة مستويات (من منخفض إلى حرج) بناءً على خوارزمية </w:t>
      </w:r>
      <w:r w:rsidRPr="004C5A9C">
        <w:rPr>
          <w:rFonts w:ascii="Times New Roman" w:eastAsiaTheme="minorEastAsia" w:hAnsi="Times New Roman" w:cs="Times New Roman"/>
          <w:kern w:val="0"/>
          <w:sz w:val="28"/>
          <w:szCs w:val="28"/>
          <w14:ligatures w14:val="none"/>
        </w:rPr>
        <w:t>MITRE ATT</w:t>
      </w:r>
      <w:r w:rsidRPr="004C5A9C">
        <w:rPr>
          <w:rFonts w:ascii="Times New Roman" w:eastAsiaTheme="minorEastAsia" w:hAnsi="Times New Roman" w:cs="Times New Roman"/>
          <w:kern w:val="0"/>
          <w:sz w:val="28"/>
          <w:szCs w:val="28"/>
          <w:rtl/>
          <w14:ligatures w14:val="none"/>
        </w:rPr>
        <w:t>&amp;</w:t>
      </w:r>
      <w:r w:rsidRPr="004C5A9C">
        <w:rPr>
          <w:rFonts w:ascii="Times New Roman" w:eastAsiaTheme="minorEastAsia" w:hAnsi="Times New Roman" w:cs="Times New Roman"/>
          <w:kern w:val="0"/>
          <w:sz w:val="28"/>
          <w:szCs w:val="28"/>
          <w14:ligatures w14:val="none"/>
        </w:rPr>
        <w:t>CK Mapping</w:t>
      </w:r>
      <w:r w:rsidRPr="004C5A9C">
        <w:rPr>
          <w:rFonts w:ascii="Times New Roman" w:eastAsiaTheme="minorEastAsia" w:hAnsi="Times New Roman" w:cs="Times New Roman"/>
          <w:kern w:val="0"/>
          <w:sz w:val="28"/>
          <w:szCs w:val="28"/>
          <w:rtl/>
          <w14:ligatures w14:val="none"/>
        </w:rPr>
        <w:t>.</w:t>
      </w:r>
    </w:p>
    <w:p w14:paraId="68DDD878" w14:textId="1126EE38" w:rsidR="00A60FB1" w:rsidRPr="004C5A9C" w:rsidRDefault="00A60FB1" w:rsidP="00BE7B2A">
      <w:pPr>
        <w:numPr>
          <w:ilvl w:val="1"/>
          <w:numId w:val="49"/>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تصدر إنذارات مكتوبة للجهات الإشرافية وتوصيات استجابة معيارية (</w:t>
      </w:r>
      <w:r w:rsidRPr="004C5A9C">
        <w:rPr>
          <w:rFonts w:ascii="Times New Roman" w:eastAsiaTheme="minorEastAsia" w:hAnsi="Times New Roman" w:cs="Times New Roman"/>
          <w:kern w:val="0"/>
          <w:sz w:val="28"/>
          <w:szCs w:val="28"/>
          <w14:ligatures w14:val="none"/>
        </w:rPr>
        <w:t>Playbooks</w:t>
      </w:r>
      <w:r w:rsidRPr="004C5A9C">
        <w:rPr>
          <w:rFonts w:ascii="Times New Roman" w:eastAsiaTheme="minorEastAsia" w:hAnsi="Times New Roman" w:cs="Times New Roman"/>
          <w:kern w:val="0"/>
          <w:sz w:val="28"/>
          <w:szCs w:val="28"/>
          <w:rtl/>
          <w14:ligatures w14:val="none"/>
        </w:rPr>
        <w:t>).</w:t>
      </w:r>
    </w:p>
    <w:p w14:paraId="21C66244" w14:textId="77777777"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2-2-6 التحديات الإشرافية المتعددة الأبعاد (شرح موسّع)</w:t>
      </w:r>
    </w:p>
    <w:p w14:paraId="52B4890B" w14:textId="77777777" w:rsidR="00A60FB1" w:rsidRPr="004C5A9C" w:rsidRDefault="00A60FB1" w:rsidP="00BE7B2A">
      <w:pPr>
        <w:numPr>
          <w:ilvl w:val="0"/>
          <w:numId w:val="50"/>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تداخل الصلاحيات وتشابكها</w:t>
      </w:r>
    </w:p>
    <w:p w14:paraId="72FA49A1" w14:textId="77777777" w:rsidR="00A60FB1" w:rsidRPr="004C5A9C" w:rsidRDefault="00A60FB1" w:rsidP="00BE7B2A">
      <w:pPr>
        <w:numPr>
          <w:ilvl w:val="1"/>
          <w:numId w:val="50"/>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عندما يقدّم بنك رقمي منتج استثمار رمزي (</w:t>
      </w:r>
      <w:r w:rsidRPr="004C5A9C">
        <w:rPr>
          <w:rFonts w:ascii="Times New Roman" w:eastAsiaTheme="minorEastAsia" w:hAnsi="Times New Roman" w:cs="Times New Roman"/>
          <w:kern w:val="0"/>
          <w:sz w:val="28"/>
          <w:szCs w:val="28"/>
          <w14:ligatures w14:val="none"/>
        </w:rPr>
        <w:t>Security Token</w:t>
      </w:r>
      <w:r w:rsidRPr="004C5A9C">
        <w:rPr>
          <w:rFonts w:ascii="Times New Roman" w:eastAsiaTheme="minorEastAsia" w:hAnsi="Times New Roman" w:cs="Times New Roman"/>
          <w:kern w:val="0"/>
          <w:sz w:val="28"/>
          <w:szCs w:val="28"/>
          <w:rtl/>
          <w14:ligatures w14:val="none"/>
        </w:rPr>
        <w:t>)، يخضع في آنٍ واحد لساما (باعتباره بنكاً) ولـ</w:t>
      </w:r>
      <w:r w:rsidRPr="004C5A9C">
        <w:rPr>
          <w:rFonts w:ascii="Times New Roman" w:eastAsiaTheme="minorEastAsia" w:hAnsi="Times New Roman" w:cs="Times New Roman"/>
          <w:kern w:val="0"/>
          <w:sz w:val="28"/>
          <w:szCs w:val="28"/>
          <w14:ligatures w14:val="none"/>
        </w:rPr>
        <w:t>CMA</w:t>
      </w:r>
      <w:r w:rsidRPr="004C5A9C">
        <w:rPr>
          <w:rFonts w:ascii="Times New Roman" w:eastAsiaTheme="minorEastAsia" w:hAnsi="Times New Roman" w:cs="Times New Roman"/>
          <w:kern w:val="0"/>
          <w:sz w:val="28"/>
          <w:szCs w:val="28"/>
          <w:rtl/>
          <w14:ligatures w14:val="none"/>
        </w:rPr>
        <w:t xml:space="preserve"> (باعتبار الرمز ورقة مالية) ولـ</w:t>
      </w:r>
      <w:r w:rsidRPr="004C5A9C">
        <w:rPr>
          <w:rFonts w:ascii="Times New Roman" w:eastAsiaTheme="minorEastAsia" w:hAnsi="Times New Roman" w:cs="Times New Roman"/>
          <w:kern w:val="0"/>
          <w:sz w:val="28"/>
          <w:szCs w:val="28"/>
          <w14:ligatures w14:val="none"/>
        </w:rPr>
        <w:t>NCA</w:t>
      </w:r>
      <w:r w:rsidRPr="004C5A9C">
        <w:rPr>
          <w:rFonts w:ascii="Times New Roman" w:eastAsiaTheme="minorEastAsia" w:hAnsi="Times New Roman" w:cs="Times New Roman"/>
          <w:kern w:val="0"/>
          <w:sz w:val="28"/>
          <w:szCs w:val="28"/>
          <w:rtl/>
          <w14:ligatures w14:val="none"/>
        </w:rPr>
        <w:t xml:space="preserve"> (بحكم استضافة العقد الذكي على بنية سحابية). تضارب المتطلبات قد يخلق ازدواجية في الفحوص الأمنية ويطيل دورة الإطلاق.</w:t>
      </w:r>
    </w:p>
    <w:p w14:paraId="06E78F24" w14:textId="77777777" w:rsidR="00A60FB1" w:rsidRPr="004C5A9C" w:rsidRDefault="00A60FB1" w:rsidP="00BE7B2A">
      <w:pPr>
        <w:numPr>
          <w:ilvl w:val="0"/>
          <w:numId w:val="50"/>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فجوة البيانات المشتركة</w:t>
      </w:r>
    </w:p>
    <w:p w14:paraId="7C6B0FE5" w14:textId="77777777" w:rsidR="00A60FB1" w:rsidRPr="004C5A9C" w:rsidRDefault="00A60FB1" w:rsidP="00BE7B2A">
      <w:pPr>
        <w:numPr>
          <w:ilvl w:val="1"/>
          <w:numId w:val="50"/>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اختلاف تنسيق السجلات (</w:t>
      </w:r>
      <w:r w:rsidRPr="004C5A9C">
        <w:rPr>
          <w:rFonts w:ascii="Times New Roman" w:eastAsiaTheme="minorEastAsia" w:hAnsi="Times New Roman" w:cs="Times New Roman"/>
          <w:kern w:val="0"/>
          <w:sz w:val="28"/>
          <w:szCs w:val="28"/>
          <w14:ligatures w14:val="none"/>
        </w:rPr>
        <w:t>CSV</w:t>
      </w:r>
      <w:r w:rsidRPr="004C5A9C">
        <w:rPr>
          <w:rFonts w:ascii="Times New Roman" w:eastAsiaTheme="minorEastAsia" w:hAnsi="Times New Roman" w:cs="Times New Roman"/>
          <w:kern w:val="0"/>
          <w:sz w:val="28"/>
          <w:szCs w:val="28"/>
          <w:rtl/>
          <w14:ligatures w14:val="none"/>
        </w:rPr>
        <w:t xml:space="preserve"> لدى منصة ساما، </w:t>
      </w:r>
      <w:r w:rsidRPr="004C5A9C">
        <w:rPr>
          <w:rFonts w:ascii="Times New Roman" w:eastAsiaTheme="minorEastAsia" w:hAnsi="Times New Roman" w:cs="Times New Roman"/>
          <w:kern w:val="0"/>
          <w:sz w:val="28"/>
          <w:szCs w:val="28"/>
          <w14:ligatures w14:val="none"/>
        </w:rPr>
        <w:t>JSON</w:t>
      </w:r>
      <w:r w:rsidRPr="004C5A9C">
        <w:rPr>
          <w:rFonts w:ascii="Times New Roman" w:eastAsiaTheme="minorEastAsia" w:hAnsi="Times New Roman" w:cs="Times New Roman"/>
          <w:kern w:val="0"/>
          <w:sz w:val="28"/>
          <w:szCs w:val="28"/>
          <w:rtl/>
          <w14:ligatures w14:val="none"/>
        </w:rPr>
        <w:t xml:space="preserve"> لدى منصة </w:t>
      </w:r>
      <w:r w:rsidRPr="004C5A9C">
        <w:rPr>
          <w:rFonts w:ascii="Times New Roman" w:eastAsiaTheme="minorEastAsia" w:hAnsi="Times New Roman" w:cs="Times New Roman"/>
          <w:kern w:val="0"/>
          <w:sz w:val="28"/>
          <w:szCs w:val="28"/>
          <w14:ligatures w14:val="none"/>
        </w:rPr>
        <w:t>CMA</w:t>
      </w:r>
      <w:r w:rsidRPr="004C5A9C">
        <w:rPr>
          <w:rFonts w:ascii="Times New Roman" w:eastAsiaTheme="minorEastAsia" w:hAnsi="Times New Roman" w:cs="Times New Roman"/>
          <w:kern w:val="0"/>
          <w:sz w:val="28"/>
          <w:szCs w:val="28"/>
          <w:rtl/>
          <w14:ligatures w14:val="none"/>
        </w:rPr>
        <w:t>) يعقّد عملية توحيد البيانات للتحليل الشامل. يترتب على ذلك احتمال فاتورة تقنية مرتفعة لإعادة تشكيل البيانات (</w:t>
      </w:r>
      <w:r w:rsidRPr="004C5A9C">
        <w:rPr>
          <w:rFonts w:ascii="Times New Roman" w:eastAsiaTheme="minorEastAsia" w:hAnsi="Times New Roman" w:cs="Times New Roman"/>
          <w:kern w:val="0"/>
          <w:sz w:val="28"/>
          <w:szCs w:val="28"/>
          <w14:ligatures w14:val="none"/>
        </w:rPr>
        <w:t>Data Wrangling</w:t>
      </w:r>
      <w:r w:rsidRPr="004C5A9C">
        <w:rPr>
          <w:rFonts w:ascii="Times New Roman" w:eastAsiaTheme="minorEastAsia" w:hAnsi="Times New Roman" w:cs="Times New Roman"/>
          <w:kern w:val="0"/>
          <w:sz w:val="28"/>
          <w:szCs w:val="28"/>
          <w:rtl/>
          <w14:ligatures w14:val="none"/>
        </w:rPr>
        <w:t>) أو فقدان بعض التفاصيل الدقيقة عند التحويل.</w:t>
      </w:r>
    </w:p>
    <w:p w14:paraId="324DD0C2" w14:textId="77777777" w:rsidR="00A60FB1" w:rsidRPr="004C5A9C" w:rsidRDefault="00A60FB1" w:rsidP="00BE7B2A">
      <w:pPr>
        <w:numPr>
          <w:ilvl w:val="0"/>
          <w:numId w:val="50"/>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تسعير تكلفة الامتثال</w:t>
      </w:r>
    </w:p>
    <w:p w14:paraId="6E4E7306" w14:textId="77777777" w:rsidR="00A60FB1" w:rsidRPr="004C5A9C" w:rsidRDefault="00A60FB1" w:rsidP="00BE7B2A">
      <w:pPr>
        <w:numPr>
          <w:ilvl w:val="1"/>
          <w:numId w:val="50"/>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لوائح الأمن السيبراني قد تتطلب من بنك رقمي ناشئ شراء حلول </w:t>
      </w:r>
      <w:r w:rsidRPr="004C5A9C">
        <w:rPr>
          <w:rFonts w:ascii="Times New Roman" w:eastAsiaTheme="minorEastAsia" w:hAnsi="Times New Roman" w:cs="Times New Roman"/>
          <w:kern w:val="0"/>
          <w:sz w:val="28"/>
          <w:szCs w:val="28"/>
          <w14:ligatures w14:val="none"/>
        </w:rPr>
        <w:t>SIEM</w:t>
      </w:r>
      <w:r w:rsidRPr="004C5A9C">
        <w:rPr>
          <w:rFonts w:ascii="Times New Roman" w:eastAsiaTheme="minorEastAsia" w:hAnsi="Times New Roman" w:cs="Times New Roman"/>
          <w:kern w:val="0"/>
          <w:sz w:val="28"/>
          <w:szCs w:val="28"/>
          <w:rtl/>
          <w14:ligatures w14:val="none"/>
        </w:rPr>
        <w:t xml:space="preserve"> مُكلفة أو إجراء اختبار اختراق عبر طرف ثالث بتكلفة قد تتجاوز 1.5 مليون ريال سنوياً، ما يضغط الهوامش الربحية في سنوات التشغيل الأولى.</w:t>
      </w:r>
    </w:p>
    <w:p w14:paraId="529F9122" w14:textId="77777777" w:rsidR="00A60FB1" w:rsidRPr="004C5A9C" w:rsidRDefault="00A60FB1" w:rsidP="00BE7B2A">
      <w:pPr>
        <w:numPr>
          <w:ilvl w:val="0"/>
          <w:numId w:val="50"/>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التوازن بين الابتكار والاستقرار</w:t>
      </w:r>
    </w:p>
    <w:p w14:paraId="2563B636" w14:textId="1B0FEC18" w:rsidR="008A09F3" w:rsidRPr="00BE7B2A" w:rsidRDefault="00A60FB1" w:rsidP="00BE7B2A">
      <w:pPr>
        <w:numPr>
          <w:ilvl w:val="1"/>
          <w:numId w:val="50"/>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لا يرغب المنظم في خنق الابتكار، لكنّه في الوقت ذاته لا يستطيع التضحية بمتطلبات رأس المال والسيولة. هنا تتحول بيئات الساندبوكس إلى سيف ذي حدّين: طول المرحلة التجريبية قد يثني المستثمرين، وقِصَرها قد يعرّض العملاء لمخاطر غير محسوبة.</w:t>
      </w:r>
    </w:p>
    <w:p w14:paraId="1DD61FAC" w14:textId="775D8B5D"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lastRenderedPageBreak/>
        <w:t>2-2-7 إطار التعاون المشترك (لجنة الابتكار المالي – شرح معمّق)</w:t>
      </w:r>
    </w:p>
    <w:p w14:paraId="3A89C8E0"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أُنشئت اللجنة الدائمة للإشراف على الابتكار المالي في أبريل 2022 بعد دراسة مقارنة لتجارب سنغافورة (</w:t>
      </w:r>
      <w:r w:rsidRPr="004C5A9C">
        <w:rPr>
          <w:rFonts w:ascii="Times New Roman" w:eastAsiaTheme="minorEastAsia" w:hAnsi="Times New Roman" w:cs="Times New Roman"/>
          <w:kern w:val="0"/>
          <w:sz w:val="28"/>
          <w:szCs w:val="28"/>
          <w14:ligatures w14:val="none"/>
        </w:rPr>
        <w:t>MAS</w:t>
      </w:r>
      <w:r w:rsidRPr="004C5A9C">
        <w:rPr>
          <w:rFonts w:ascii="Times New Roman" w:eastAsiaTheme="minorEastAsia" w:hAnsi="Times New Roman" w:cs="Times New Roman"/>
          <w:kern w:val="0"/>
          <w:sz w:val="28"/>
          <w:szCs w:val="28"/>
          <w:rtl/>
          <w14:ligatures w14:val="none"/>
        </w:rPr>
        <w:t>) والمملكة المتحدة (</w:t>
      </w:r>
      <w:r w:rsidRPr="004C5A9C">
        <w:rPr>
          <w:rFonts w:ascii="Times New Roman" w:eastAsiaTheme="minorEastAsia" w:hAnsi="Times New Roman" w:cs="Times New Roman"/>
          <w:kern w:val="0"/>
          <w:sz w:val="28"/>
          <w:szCs w:val="28"/>
          <w14:ligatures w14:val="none"/>
        </w:rPr>
        <w:t>FCA</w:t>
      </w:r>
      <w:r w:rsidRPr="004C5A9C">
        <w:rPr>
          <w:rFonts w:ascii="Times New Roman" w:eastAsiaTheme="minorEastAsia" w:hAnsi="Times New Roman" w:cs="Times New Roman"/>
          <w:kern w:val="0"/>
          <w:sz w:val="28"/>
          <w:szCs w:val="28"/>
          <w:rtl/>
          <w14:ligatures w14:val="none"/>
        </w:rPr>
        <w:t>). تضمّ تسع وحدات فرعية، أهمها:</w:t>
      </w:r>
    </w:p>
    <w:p w14:paraId="52EC067A" w14:textId="77777777" w:rsidR="00A60FB1" w:rsidRPr="004C5A9C" w:rsidRDefault="00A60FB1" w:rsidP="00BE7B2A">
      <w:pPr>
        <w:numPr>
          <w:ilvl w:val="0"/>
          <w:numId w:val="5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فريق سيولة لحظيّة مشترَك يطوّر سيناريوهات توتر سيولي رقمي ويُجرِي اختبار إجهاد مشترك مرتين سنوياً.</w:t>
      </w:r>
    </w:p>
    <w:p w14:paraId="43C14CA3" w14:textId="77777777" w:rsidR="00A60FB1" w:rsidRPr="004C5A9C" w:rsidRDefault="00A60FB1" w:rsidP="00BE7B2A">
      <w:pPr>
        <w:numPr>
          <w:ilvl w:val="0"/>
          <w:numId w:val="5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فريق البيانات المفتوحة يضع معايير موحّدة لتنسيق </w:t>
      </w:r>
      <w:r w:rsidRPr="004C5A9C">
        <w:rPr>
          <w:rFonts w:ascii="Times New Roman" w:eastAsiaTheme="minorEastAsia" w:hAnsi="Times New Roman" w:cs="Times New Roman"/>
          <w:kern w:val="0"/>
          <w:sz w:val="28"/>
          <w:szCs w:val="28"/>
          <w14:ligatures w14:val="none"/>
        </w:rPr>
        <w:t>JSON API</w:t>
      </w:r>
      <w:r w:rsidRPr="004C5A9C">
        <w:rPr>
          <w:rFonts w:ascii="Times New Roman" w:eastAsiaTheme="minorEastAsia" w:hAnsi="Times New Roman" w:cs="Times New Roman"/>
          <w:kern w:val="0"/>
          <w:sz w:val="28"/>
          <w:szCs w:val="28"/>
          <w:rtl/>
          <w14:ligatures w14:val="none"/>
        </w:rPr>
        <w:t xml:space="preserve"> بين جميع البنوك الرقمية لتسهيل التقارير.</w:t>
      </w:r>
    </w:p>
    <w:p w14:paraId="69A5ECA4" w14:textId="77777777" w:rsidR="00A60FB1" w:rsidRPr="004C5A9C" w:rsidRDefault="00A60FB1" w:rsidP="00BE7B2A">
      <w:pPr>
        <w:numPr>
          <w:ilvl w:val="0"/>
          <w:numId w:val="5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فريق أمان العقود الذكية يُصدر دليل تدقيق فني موحد لعقود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 xml:space="preserve"> ويفرض ثلاثة مستويات خطورة (عالية – متوسطة – منخفضة) مع توصيات معالجة.</w:t>
      </w:r>
    </w:p>
    <w:p w14:paraId="1D745135" w14:textId="062F419C" w:rsidR="00A60FB1" w:rsidRPr="004C5A9C" w:rsidRDefault="00A60FB1" w:rsidP="00BE7B2A">
      <w:pPr>
        <w:spacing w:after="0" w:line="360" w:lineRule="auto"/>
        <w:rPr>
          <w:rFonts w:ascii="Times New Roman" w:eastAsia="Times New Roman" w:hAnsi="Times New Roman" w:cs="Times New Roman"/>
          <w:kern w:val="0"/>
          <w:sz w:val="28"/>
          <w:szCs w:val="28"/>
          <w:rtl/>
          <w14:ligatures w14:val="none"/>
        </w:rPr>
      </w:pPr>
    </w:p>
    <w:p w14:paraId="125C1AE0" w14:textId="77777777"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2-2-8 ارتباط النماذج الرقمية بالأطر الرقابية (تحليل مقارن)</w:t>
      </w:r>
    </w:p>
    <w:tbl>
      <w:tblPr>
        <w:tblW w:w="0" w:type="auto"/>
        <w:tblCellMar>
          <w:left w:w="0" w:type="dxa"/>
          <w:right w:w="0" w:type="dxa"/>
        </w:tblCellMar>
        <w:tblLook w:val="04A0" w:firstRow="1" w:lastRow="0" w:firstColumn="1" w:lastColumn="0" w:noHBand="0" w:noVBand="1"/>
      </w:tblPr>
      <w:tblGrid>
        <w:gridCol w:w="4043"/>
        <w:gridCol w:w="3128"/>
        <w:gridCol w:w="1645"/>
      </w:tblGrid>
      <w:tr w:rsidR="00BC7795" w:rsidRPr="004C5A9C" w14:paraId="2C29AA4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012695" w14:textId="77777777" w:rsidR="00BC7795" w:rsidRPr="004C5A9C" w:rsidRDefault="00BC7795" w:rsidP="00BE7B2A">
            <w:pPr>
              <w:spacing w:after="0" w:line="360" w:lineRule="auto"/>
              <w:rPr>
                <w:rFonts w:ascii="Times New Roman" w:eastAsiaTheme="minorEastAsia" w:hAnsi="Times New Roman" w:cs="Times New Roman"/>
                <w:kern w:val="0"/>
                <w:sz w:val="28"/>
                <w:szCs w:val="28"/>
                <w14:ligatures w14:val="none"/>
              </w:rPr>
            </w:pPr>
            <w:r w:rsidRPr="004C5A9C">
              <w:rPr>
                <w:rFonts w:ascii=".SFArabic-Semibold" w:eastAsiaTheme="minorEastAsia" w:hAnsi=".SFArabic-Semibold" w:cs="Times New Roman"/>
                <w:b/>
                <w:bCs/>
                <w:kern w:val="0"/>
                <w:sz w:val="28"/>
                <w:szCs w:val="28"/>
                <w:rtl/>
                <w14:ligatures w14:val="none"/>
              </w:rPr>
              <w:t>المنصة</w:t>
            </w:r>
            <w:r w:rsidRPr="004C5A9C">
              <w:rPr>
                <w:rFonts w:ascii="UICTFontTextStyleEmphasizedBody" w:eastAsiaTheme="minorEastAsia" w:hAnsi="UICTFontTextStyleEmphasizedBody" w:cs="Times New Roman"/>
                <w:b/>
                <w:bCs/>
                <w:kern w:val="0"/>
                <w:sz w:val="28"/>
                <w:szCs w:val="28"/>
                <w:rtl/>
                <w14:ligatures w14:val="none"/>
              </w:rPr>
              <w:t xml:space="preserve"> </w:t>
            </w:r>
            <w:r w:rsidRPr="004C5A9C">
              <w:rPr>
                <w:rFonts w:ascii=".SFArabic-Semibold" w:eastAsiaTheme="minorEastAsia" w:hAnsi=".SFArabic-Semibold" w:cs="Times New Roman"/>
                <w:b/>
                <w:bCs/>
                <w:kern w:val="0"/>
                <w:sz w:val="28"/>
                <w:szCs w:val="28"/>
                <w:rtl/>
                <w14:ligatures w14:val="none"/>
              </w:rPr>
              <w:t>اللامركزية</w:t>
            </w:r>
            <w:r w:rsidRPr="004C5A9C">
              <w:rPr>
                <w:rFonts w:ascii="UICTFontTextStyleEmphasizedBody" w:eastAsiaTheme="minorEastAsia" w:hAnsi="UICTFontTextStyleEmphasizedBody" w:cs="Times New Roman"/>
                <w:b/>
                <w:bCs/>
                <w:kern w:val="0"/>
                <w:sz w:val="28"/>
                <w:szCs w:val="28"/>
                <w:rtl/>
                <w14:ligatures w14:val="none"/>
              </w:rPr>
              <w:t xml:space="preserve"> (</w:t>
            </w:r>
            <w:r w:rsidRPr="004C5A9C">
              <w:rPr>
                <w:rFonts w:ascii="UICTFontTextStyleEmphasizedBody" w:eastAsiaTheme="minorEastAsia" w:hAnsi="UICTFontTextStyleEmphasizedBody" w:cs="Times New Roman"/>
                <w:b/>
                <w:bCs/>
                <w:kern w:val="0"/>
                <w:sz w:val="28"/>
                <w:szCs w:val="28"/>
                <w14:ligatures w14:val="none"/>
              </w:rPr>
              <w:t>DeFi</w:t>
            </w:r>
            <w:r w:rsidRPr="004C5A9C">
              <w:rPr>
                <w:rFonts w:ascii="UICTFontTextStyleEmphasizedBody" w:eastAsiaTheme="minorEastAsia" w:hAnsi="UICTFontTextStyleEmphasizedBody" w:cs="Times New Roman"/>
                <w:b/>
                <w:bCs/>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3205C8" w14:textId="77777777" w:rsidR="00BC7795" w:rsidRPr="004C5A9C" w:rsidRDefault="00BC7795" w:rsidP="00BE7B2A">
            <w:pPr>
              <w:spacing w:after="0" w:line="360" w:lineRule="auto"/>
              <w:rPr>
                <w:rFonts w:ascii="Times New Roman" w:eastAsiaTheme="minorEastAsia" w:hAnsi="Times New Roman" w:cs="Times New Roman"/>
                <w:kern w:val="0"/>
                <w:sz w:val="28"/>
                <w:szCs w:val="28"/>
                <w:rtl/>
                <w14:ligatures w14:val="none"/>
              </w:rPr>
            </w:pPr>
            <w:r w:rsidRPr="004C5A9C">
              <w:rPr>
                <w:rFonts w:ascii=".SFArabic-Semibold" w:eastAsiaTheme="minorEastAsia" w:hAnsi=".SFArabic-Semibold" w:cs="Times New Roman"/>
                <w:b/>
                <w:bCs/>
                <w:kern w:val="0"/>
                <w:sz w:val="28"/>
                <w:szCs w:val="28"/>
                <w:rtl/>
                <w14:ligatures w14:val="none"/>
              </w:rPr>
              <w:t>البنك</w:t>
            </w:r>
            <w:r w:rsidRPr="004C5A9C">
              <w:rPr>
                <w:rFonts w:ascii="UICTFontTextStyleEmphasizedBody" w:eastAsiaTheme="minorEastAsia" w:hAnsi="UICTFontTextStyleEmphasizedBody" w:cs="Times New Roman"/>
                <w:b/>
                <w:bCs/>
                <w:kern w:val="0"/>
                <w:sz w:val="28"/>
                <w:szCs w:val="28"/>
                <w:rtl/>
                <w14:ligatures w14:val="none"/>
              </w:rPr>
              <w:t xml:space="preserve"> </w:t>
            </w:r>
            <w:r w:rsidRPr="004C5A9C">
              <w:rPr>
                <w:rFonts w:ascii=".SFArabic-Semibold" w:eastAsiaTheme="minorEastAsia" w:hAnsi=".SFArabic-Semibold" w:cs="Times New Roman"/>
                <w:b/>
                <w:bCs/>
                <w:kern w:val="0"/>
                <w:sz w:val="28"/>
                <w:szCs w:val="28"/>
                <w:rtl/>
                <w14:ligatures w14:val="none"/>
              </w:rPr>
              <w:t>الرقمي</w:t>
            </w:r>
            <w:r w:rsidRPr="004C5A9C">
              <w:rPr>
                <w:rFonts w:ascii="UICTFontTextStyleEmphasizedBody" w:eastAsiaTheme="minorEastAsia" w:hAnsi="UICTFontTextStyleEmphasizedBody" w:cs="Times New Roman"/>
                <w:b/>
                <w:bCs/>
                <w:kern w:val="0"/>
                <w:sz w:val="28"/>
                <w:szCs w:val="28"/>
                <w:rtl/>
                <w14:ligatures w14:val="none"/>
              </w:rPr>
              <w:t xml:space="preserve"> </w:t>
            </w:r>
            <w:r w:rsidRPr="004C5A9C">
              <w:rPr>
                <w:rFonts w:ascii=".SFArabic-Semibold" w:eastAsiaTheme="minorEastAsia" w:hAnsi=".SFArabic-Semibold" w:cs="Times New Roman"/>
                <w:b/>
                <w:bCs/>
                <w:kern w:val="0"/>
                <w:sz w:val="28"/>
                <w:szCs w:val="28"/>
                <w:rtl/>
                <w14:ligatures w14:val="none"/>
              </w:rPr>
              <w:t>المركزي</w:t>
            </w:r>
            <w:r w:rsidRPr="004C5A9C">
              <w:rPr>
                <w:rFonts w:ascii="UICTFontTextStyleEmphasizedBody" w:eastAsiaTheme="minorEastAsia" w:hAnsi="UICTFontTextStyleEmphasizedBody" w:cs="Times New Roman"/>
                <w:b/>
                <w:bCs/>
                <w:kern w:val="0"/>
                <w:sz w:val="28"/>
                <w:szCs w:val="28"/>
                <w:rtl/>
                <w14:ligatures w14:val="none"/>
              </w:rPr>
              <w:t xml:space="preserve"> </w:t>
            </w:r>
            <w:r w:rsidRPr="004C5A9C">
              <w:rPr>
                <w:rFonts w:ascii=".SFArabic-Semibold" w:eastAsiaTheme="minorEastAsia" w:hAnsi=".SFArabic-Semibold" w:cs="Times New Roman"/>
                <w:b/>
                <w:bCs/>
                <w:kern w:val="0"/>
                <w:sz w:val="28"/>
                <w:szCs w:val="28"/>
                <w:rtl/>
                <w14:ligatures w14:val="none"/>
              </w:rPr>
              <w:t>المرخّص</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14B9D2"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Semibold" w:eastAsiaTheme="minorEastAsia" w:hAnsi=".SFArabic-Semibold" w:cs="Times New Roman"/>
                <w:b/>
                <w:bCs/>
                <w:kern w:val="0"/>
                <w:sz w:val="28"/>
                <w:szCs w:val="28"/>
                <w:rtl/>
                <w14:ligatures w14:val="none"/>
              </w:rPr>
              <w:t>جانب</w:t>
            </w:r>
            <w:r w:rsidRPr="004C5A9C">
              <w:rPr>
                <w:rFonts w:ascii="UICTFontTextStyleEmphasizedBody" w:eastAsiaTheme="minorEastAsia" w:hAnsi="UICTFontTextStyleEmphasizedBody" w:cs="Times New Roman"/>
                <w:b/>
                <w:bCs/>
                <w:kern w:val="0"/>
                <w:sz w:val="28"/>
                <w:szCs w:val="28"/>
                <w:rtl/>
                <w14:ligatures w14:val="none"/>
              </w:rPr>
              <w:t xml:space="preserve"> </w:t>
            </w:r>
            <w:r w:rsidRPr="004C5A9C">
              <w:rPr>
                <w:rFonts w:ascii=".SFArabic-Semibold" w:eastAsiaTheme="minorEastAsia" w:hAnsi=".SFArabic-Semibold" w:cs="Times New Roman"/>
                <w:b/>
                <w:bCs/>
                <w:kern w:val="0"/>
                <w:sz w:val="28"/>
                <w:szCs w:val="28"/>
                <w:rtl/>
                <w14:ligatures w14:val="none"/>
              </w:rPr>
              <w:t>المقارنة</w:t>
            </w:r>
          </w:p>
        </w:tc>
      </w:tr>
      <w:tr w:rsidR="00BC7795" w:rsidRPr="004C5A9C" w14:paraId="14E477B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75F201"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لا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توجد</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نقطة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إشراف؛</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تُعتمد</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أدوات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تحليل</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السلسلة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D20182"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ساما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عبر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منصة</w:t>
            </w:r>
            <w:r w:rsidRPr="004C5A9C">
              <w:rPr>
                <w:rFonts w:ascii="UICTFontTextStyleBody" w:eastAsiaTheme="minorEastAsia" w:hAnsi="UICTFontTextStyleBody" w:cs="Times New Roman"/>
                <w:kern w:val="0"/>
                <w:sz w:val="28"/>
                <w:szCs w:val="28"/>
                <w:rtl/>
                <w14:ligatures w14:val="none"/>
              </w:rPr>
              <w:t xml:space="preserve"> </w:t>
            </w:r>
            <w:r w:rsidRPr="004C5A9C">
              <w:rPr>
                <w:rFonts w:ascii="UICTFontTextStyleBody" w:eastAsiaTheme="minorEastAsia" w:hAnsi="UICTFontTextStyleBody" w:cs="Times New Roman"/>
                <w:kern w:val="0"/>
                <w:sz w:val="28"/>
                <w:szCs w:val="28"/>
                <w14:ligatures w14:val="none"/>
              </w:rPr>
              <w:t>SupTech</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اللحظية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909658"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نقطة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الإشراف</w:t>
            </w:r>
          </w:p>
        </w:tc>
      </w:tr>
      <w:tr w:rsidR="00BC7795" w:rsidRPr="004C5A9C" w14:paraId="59D6975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D0DDAE"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سيولة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معتمدة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على</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بروتوكولات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UICTFontTextStyleBody" w:eastAsiaTheme="minorEastAsia" w:hAnsi="UICTFontTextStyleBody" w:cs="Times New Roman"/>
                <w:kern w:val="0"/>
                <w:sz w:val="28"/>
                <w:szCs w:val="28"/>
                <w14:ligatures w14:val="none"/>
              </w:rPr>
              <w:t>AMM</w:t>
            </w:r>
            <w:r w:rsidRPr="004C5A9C">
              <w:rPr>
                <w:rFonts w:ascii=".SFArabic-Regular" w:eastAsiaTheme="minorEastAsia" w:hAnsi=".SFArabic-Regular" w:cs="Times New Roman"/>
                <w:kern w:val="0"/>
                <w:sz w:val="28"/>
                <w:szCs w:val="28"/>
                <w:rtl/>
                <w14:ligatures w14:val="none"/>
              </w:rPr>
              <w:t>؛</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مخاطر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تقلب</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مرتفعة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D512E9"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تطبَّق</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متطلبات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UICTFontTextStyleBody" w:eastAsiaTheme="minorEastAsia" w:hAnsi="UICTFontTextStyleBody" w:cs="Times New Roman"/>
                <w:kern w:val="0"/>
                <w:sz w:val="28"/>
                <w:szCs w:val="28"/>
                <w14:ligatures w14:val="none"/>
              </w:rPr>
              <w:t>LCR/NSFR</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ومراقبة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فورية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433F0D"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السيولة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والضمانات</w:t>
            </w:r>
          </w:p>
        </w:tc>
      </w:tr>
      <w:tr w:rsidR="00BC7795" w:rsidRPr="004C5A9C" w14:paraId="364CD71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7982C2"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UICTFontTextStyleBody" w:eastAsiaTheme="minorEastAsia" w:hAnsi="UICTFontTextStyleBody" w:cs="Times New Roman"/>
                <w:kern w:val="0"/>
                <w:sz w:val="28"/>
                <w:szCs w:val="28"/>
                <w14:ligatures w14:val="none"/>
              </w:rPr>
              <w:t xml:space="preserve">KYC </w:t>
            </w:r>
            <w:r w:rsidRPr="004C5A9C">
              <w:rPr>
                <w:rFonts w:ascii=".SFArabic-Regular" w:eastAsiaTheme="minorEastAsia" w:hAnsi=".SFArabic-Regular" w:cs="Times New Roman"/>
                <w:kern w:val="0"/>
                <w:sz w:val="28"/>
                <w:szCs w:val="28"/>
                <w:rtl/>
                <w14:ligatures w14:val="none"/>
              </w:rPr>
              <w:t>عند</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الحدود</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فقط؛</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مخاطر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أعلى</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لغسل</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الأموال</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9A1A41" w14:textId="77777777" w:rsidR="00BC7795" w:rsidRPr="004C5A9C" w:rsidRDefault="00BC7795" w:rsidP="00BE7B2A">
            <w:pPr>
              <w:spacing w:after="0" w:line="360" w:lineRule="auto"/>
              <w:rPr>
                <w:rFonts w:ascii=".SF Arabic" w:eastAsiaTheme="minorEastAsia" w:hAnsi=".SF Arabic" w:cs="Times New Roman" w:hint="eastAsia"/>
                <w:kern w:val="0"/>
                <w:sz w:val="28"/>
                <w:szCs w:val="28"/>
                <w14:ligatures w14:val="none"/>
              </w:rPr>
            </w:pPr>
            <w:r w:rsidRPr="004C5A9C">
              <w:rPr>
                <w:rFonts w:ascii="UICTFontTextStyleBody" w:eastAsiaTheme="minorEastAsia" w:hAnsi="UICTFontTextStyleBody" w:cs="Times New Roman"/>
                <w:kern w:val="0"/>
                <w:sz w:val="28"/>
                <w:szCs w:val="28"/>
                <w14:ligatures w14:val="none"/>
              </w:rPr>
              <w:t xml:space="preserve">e-KYC </w:t>
            </w:r>
            <w:r w:rsidRPr="004C5A9C">
              <w:rPr>
                <w:rFonts w:ascii=".SFArabic-Regular" w:eastAsiaTheme="minorEastAsia" w:hAnsi=".SFArabic-Regular" w:cs="Times New Roman"/>
                <w:kern w:val="0"/>
                <w:sz w:val="28"/>
                <w:szCs w:val="28"/>
                <w:rtl/>
                <w14:ligatures w14:val="none"/>
              </w:rPr>
              <w:t>متكامل</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مع</w:t>
            </w:r>
            <w:r w:rsidRPr="004C5A9C">
              <w:rPr>
                <w:rFonts w:ascii="UICTFontTextStyleBody" w:eastAsiaTheme="minorEastAsia" w:hAnsi="UICTFontTextStyleBody" w:cs="Times New Roman"/>
                <w:kern w:val="0"/>
                <w:sz w:val="28"/>
                <w:szCs w:val="28"/>
                <w:rtl/>
                <w14:ligatures w14:val="none"/>
              </w:rPr>
              <w:t xml:space="preserve"> </w:t>
            </w:r>
            <w:r w:rsidRPr="004C5A9C">
              <w:rPr>
                <w:rFonts w:ascii="UICTFontTextStyleBody" w:eastAsiaTheme="minorEastAsia" w:hAnsi="UICTFontTextStyleBody" w:cs="Times New Roman"/>
                <w:kern w:val="0"/>
                <w:sz w:val="28"/>
                <w:szCs w:val="28"/>
                <w14:ligatures w14:val="none"/>
              </w:rPr>
              <w:t>“</w:t>
            </w:r>
            <w:r w:rsidRPr="004C5A9C">
              <w:rPr>
                <w:rFonts w:ascii=".SFArabic-Regular" w:eastAsiaTheme="minorEastAsia" w:hAnsi=".SFArabic-Regular" w:cs="Times New Roman"/>
                <w:kern w:val="0"/>
                <w:sz w:val="28"/>
                <w:szCs w:val="28"/>
                <w:rtl/>
                <w14:ligatures w14:val="none"/>
              </w:rPr>
              <w:t>نفاذ</w:t>
            </w:r>
            <w:r w:rsidRPr="004C5A9C">
              <w:rPr>
                <w:rFonts w:ascii="UICTFontTextStyleBody" w:eastAsiaTheme="minorEastAsia" w:hAnsi="UICTFontTextStyleBody" w:cs="Times New Roman"/>
                <w:kern w:val="0"/>
                <w:sz w:val="28"/>
                <w:szCs w:val="28"/>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EDF7EC" w14:textId="77777777" w:rsidR="00BC7795" w:rsidRPr="004C5A9C" w:rsidRDefault="00BC7795" w:rsidP="00BE7B2A">
            <w:pPr>
              <w:spacing w:after="0" w:line="360" w:lineRule="auto"/>
              <w:rPr>
                <w:rFonts w:ascii=".AppleSystemUIFont" w:eastAsiaTheme="minorEastAsia" w:hAnsi=".AppleSystemUIFont" w:cs="Times New Roman" w:hint="eastAsia"/>
                <w:kern w:val="0"/>
                <w:sz w:val="28"/>
                <w:szCs w:val="28"/>
                <w14:ligatures w14:val="none"/>
              </w:rPr>
            </w:pPr>
            <w:r w:rsidRPr="004C5A9C">
              <w:rPr>
                <w:rFonts w:ascii="UICTFontTextStyleBody" w:eastAsiaTheme="minorEastAsia" w:hAnsi="UICTFontTextStyleBody" w:cs="Times New Roman"/>
                <w:kern w:val="0"/>
                <w:sz w:val="28"/>
                <w:szCs w:val="28"/>
                <w14:ligatures w14:val="none"/>
              </w:rPr>
              <w:t>KYC/AML</w:t>
            </w:r>
          </w:p>
        </w:tc>
      </w:tr>
      <w:tr w:rsidR="00BC7795" w:rsidRPr="004C5A9C" w14:paraId="4E0ABD4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E3D28A" w14:textId="77777777" w:rsidR="00BC7795" w:rsidRPr="004C5A9C" w:rsidRDefault="00BC7795" w:rsidP="00BE7B2A">
            <w:pPr>
              <w:spacing w:after="0" w:line="360" w:lineRule="auto"/>
              <w:rPr>
                <w:rFonts w:ascii=".SF Arabic" w:eastAsiaTheme="minorEastAsia" w:hAnsi=".SF Arabic" w:cs="Times New Roman" w:hint="eastAsia"/>
                <w:kern w:val="0"/>
                <w:sz w:val="28"/>
                <w:szCs w:val="28"/>
                <w14:ligatures w14:val="none"/>
              </w:rPr>
            </w:pPr>
            <w:r w:rsidRPr="004C5A9C">
              <w:rPr>
                <w:rFonts w:ascii=".SFArabic-Regular" w:eastAsiaTheme="minorEastAsia" w:hAnsi=".SFArabic-Regular" w:cs="Times New Roman"/>
                <w:kern w:val="0"/>
                <w:sz w:val="28"/>
                <w:szCs w:val="28"/>
                <w:rtl/>
                <w14:ligatures w14:val="none"/>
              </w:rPr>
              <w:t>لا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توجد</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جهة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مسؤولة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عن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الشكاوى؛</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المخاطر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على</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العميل</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أعلى</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0BB6C"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آلية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تسوية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شكاوى</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رقمية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إلزامية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F2D60F"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حماية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المستهلك</w:t>
            </w:r>
          </w:p>
        </w:tc>
      </w:tr>
      <w:tr w:rsidR="00BC7795" w:rsidRPr="004C5A9C" w14:paraId="3608EB1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0C906F"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يُحال</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الأمر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إلى</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مجتمع</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الحوكمة،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ولا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يوجد</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تأمين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إلزامي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0DAFEB"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البنك</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خاضع</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لبوليصة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تأمين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وسقف</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تعويض</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2289AF" w14:textId="77777777" w:rsidR="00BC7795" w:rsidRPr="004C5A9C" w:rsidRDefault="00BC7795"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مسؤولية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الاختراق</w:t>
            </w:r>
          </w:p>
        </w:tc>
      </w:tr>
    </w:tbl>
    <w:p w14:paraId="1DC5601C" w14:textId="09F77101"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يُظهر التحليل أن البنك الرقمي المركزي أكثر قابلية للضبط الكلاسيكي، بينما يتطلب نموذج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 xml:space="preserve"> أدوات إشراف مبتكرة وتنسيقاً دولياً واسعاً.</w:t>
      </w:r>
    </w:p>
    <w:p w14:paraId="2E9D0F3F" w14:textId="6BAE1A5A" w:rsidR="00A60FB1" w:rsidRPr="004C5A9C" w:rsidRDefault="00A60FB1" w:rsidP="00BE7B2A">
      <w:pPr>
        <w:spacing w:before="100" w:beforeAutospacing="1" w:after="100" w:afterAutospacing="1" w:line="360" w:lineRule="auto"/>
        <w:outlineLvl w:val="2"/>
        <w:rPr>
          <w:rFonts w:ascii="Times New Roman" w:eastAsiaTheme="minorEastAsia"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lastRenderedPageBreak/>
        <w:t>2-2-9 خلاصة موسّعة</w:t>
      </w:r>
    </w:p>
    <w:p w14:paraId="5A5EBE79"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يؤكّد هذا المبحث أنّ نجاح منظومة البنوك الرقمية في المملكة مرتبط بتوازن دقيق بين الابتكار والحكمة الرقابية. فالشركاء التنظيميّون السعوديون طوّروا بالفعل بنيةً إشرافية متعددة المستويات—منصة بيانات فورية، لوائح متخصّصة بالبنوك الرقمية، وأطر أمن سيبراني إلزامية—غير أنّ التحديات المعقدة، مثل تداخل الصلاحيات وفجوة البيانات وتكاليف الامتثال، لا تزال تتطلب مزيداً من التوافق المؤسسي.</w:t>
      </w:r>
    </w:p>
    <w:p w14:paraId="7FBE18F2" w14:textId="77777777" w:rsidR="00A60FB1" w:rsidRPr="004C5A9C" w:rsidRDefault="00A60FB1"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إنّ التقدّم في المجال الرقمي لن يُقاس بعدد الرخص الجديدة فحسب، بل بقدرة هذه الرخص على خلق قيمة للمستهلك والمستثمر من دون الإضرار بالاستقرار المالي أو سيادة البيانات الوطنية. تعكس النتائج الأولية أنّ المملكة تسير بخطى ثابتة، لكنّ الطريق إلى بيئة رقمية ناضجة يتطلّب توطيد التعاون التشريعي، والاستثمار في أدوات </w:t>
      </w:r>
      <w:r w:rsidRPr="004C5A9C">
        <w:rPr>
          <w:rFonts w:ascii="Times New Roman" w:eastAsiaTheme="minorEastAsia" w:hAnsi="Times New Roman" w:cs="Times New Roman"/>
          <w:kern w:val="0"/>
          <w:sz w:val="28"/>
          <w:szCs w:val="28"/>
          <w14:ligatures w14:val="none"/>
        </w:rPr>
        <w:t>SupTech</w:t>
      </w:r>
      <w:r w:rsidRPr="004C5A9C">
        <w:rPr>
          <w:rFonts w:ascii="Times New Roman" w:eastAsiaTheme="minorEastAsia" w:hAnsi="Times New Roman" w:cs="Times New Roman"/>
          <w:kern w:val="0"/>
          <w:sz w:val="28"/>
          <w:szCs w:val="28"/>
          <w:rtl/>
          <w14:ligatures w14:val="none"/>
        </w:rPr>
        <w:t xml:space="preserve"> أكثر تطوراً، وتعزيز ثقافة الامتثال السيبراني لدى جميع الأطراف.</w:t>
      </w:r>
    </w:p>
    <w:p w14:paraId="2C390807" w14:textId="77777777" w:rsidR="0001276B" w:rsidRPr="004C5A9C" w:rsidRDefault="0001276B"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13EB6DC5" w14:textId="77777777" w:rsidR="00CE2151" w:rsidRDefault="00CE2151"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59D44AFA"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7057A421"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5B86444B"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40CE0629"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3AA8E650"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7B6F9A17"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148228E9" w14:textId="77777777" w:rsidR="004C5A9C" w:rsidRDefault="004C5A9C" w:rsidP="00BE7B2A">
      <w:pPr>
        <w:spacing w:before="100" w:beforeAutospacing="1" w:after="100" w:afterAutospacing="1" w:line="360" w:lineRule="auto"/>
        <w:divId w:val="1026517718"/>
        <w:rPr>
          <w:rFonts w:ascii="Times New Roman" w:eastAsiaTheme="minorEastAsia" w:hAnsi="Times New Roman" w:cs="Times New Roman"/>
          <w:kern w:val="0"/>
          <w:sz w:val="28"/>
          <w:szCs w:val="28"/>
          <w:rtl/>
          <w14:ligatures w14:val="none"/>
        </w:rPr>
      </w:pPr>
    </w:p>
    <w:p w14:paraId="2B8EC779" w14:textId="77777777"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p>
    <w:p w14:paraId="76B08BAE" w14:textId="77777777" w:rsidR="008B68E7" w:rsidRPr="004C5A9C" w:rsidRDefault="00512F2D" w:rsidP="00BE7B2A">
      <w:pPr>
        <w:spacing w:before="100" w:beforeAutospacing="1" w:after="100" w:afterAutospacing="1" w:line="360" w:lineRule="auto"/>
        <w:jc w:val="center"/>
        <w:outlineLvl w:val="2"/>
        <w:rPr>
          <w:rFonts w:ascii="Times New Roman" w:eastAsia="Times New Roman" w:hAnsi="Times New Roman" w:cs="Times New Roman"/>
          <w:b/>
          <w:bCs/>
          <w:kern w:val="0"/>
          <w:sz w:val="32"/>
          <w:szCs w:val="32"/>
          <w:u w:val="single"/>
          <w:rtl/>
          <w14:ligatures w14:val="none"/>
        </w:rPr>
      </w:pPr>
      <w:r w:rsidRPr="004C5A9C">
        <w:rPr>
          <w:rFonts w:ascii="Times New Roman" w:eastAsia="Times New Roman" w:hAnsi="Times New Roman" w:cs="Times New Roman"/>
          <w:b/>
          <w:bCs/>
          <w:kern w:val="0"/>
          <w:sz w:val="32"/>
          <w:szCs w:val="32"/>
          <w:u w:val="single"/>
          <w:rtl/>
          <w14:ligatures w14:val="none"/>
        </w:rPr>
        <w:lastRenderedPageBreak/>
        <w:t xml:space="preserve">المبحث الثالث </w:t>
      </w:r>
      <w:r w:rsidR="003F17F6" w:rsidRPr="004C5A9C">
        <w:rPr>
          <w:rFonts w:ascii="Times New Roman" w:eastAsia="Times New Roman" w:hAnsi="Times New Roman" w:cs="Times New Roman" w:hint="cs"/>
          <w:b/>
          <w:bCs/>
          <w:kern w:val="0"/>
          <w:sz w:val="32"/>
          <w:szCs w:val="32"/>
          <w:u w:val="single"/>
          <w:rtl/>
          <w14:ligatures w14:val="none"/>
        </w:rPr>
        <w:t>:</w:t>
      </w:r>
      <w:r w:rsidRPr="004C5A9C">
        <w:rPr>
          <w:rFonts w:ascii="Times New Roman" w:eastAsia="Times New Roman" w:hAnsi="Times New Roman" w:cs="Times New Roman"/>
          <w:b/>
          <w:bCs/>
          <w:kern w:val="0"/>
          <w:sz w:val="32"/>
          <w:szCs w:val="32"/>
          <w:u w:val="single"/>
          <w:rtl/>
          <w14:ligatures w14:val="none"/>
        </w:rPr>
        <w:t xml:space="preserve"> النماذج الرقميّة المركزيّة واللامركزيّة وأثرها في الشركاء التنظيميّين</w:t>
      </w:r>
    </w:p>
    <w:p w14:paraId="1F8749AF" w14:textId="41E7DA5A" w:rsidR="00512F2D" w:rsidRPr="004C5A9C" w:rsidRDefault="00512F2D" w:rsidP="00BE7B2A">
      <w:pPr>
        <w:spacing w:before="100" w:beforeAutospacing="1" w:after="100" w:afterAutospacing="1" w:line="360" w:lineRule="auto"/>
        <w:jc w:val="center"/>
        <w:outlineLvl w:val="2"/>
        <w:rPr>
          <w:rFonts w:ascii="Times New Roman" w:eastAsia="Times New Roman" w:hAnsi="Times New Roman" w:cs="Times New Roman"/>
          <w:b/>
          <w:bCs/>
          <w:kern w:val="0"/>
          <w:sz w:val="32"/>
          <w:szCs w:val="32"/>
          <w:u w:val="single"/>
          <w14:ligatures w14:val="none"/>
        </w:rPr>
      </w:pPr>
      <w:r w:rsidRPr="004C5A9C">
        <w:rPr>
          <w:rFonts w:ascii="Times New Roman" w:eastAsia="Times New Roman" w:hAnsi="Times New Roman" w:cs="Times New Roman"/>
          <w:b/>
          <w:bCs/>
          <w:kern w:val="0"/>
          <w:sz w:val="32"/>
          <w:szCs w:val="32"/>
          <w:u w:val="single"/>
          <w:rtl/>
          <w14:ligatures w14:val="none"/>
        </w:rPr>
        <w:t xml:space="preserve"> بالمملكة العربيّة السعوديّة</w:t>
      </w:r>
    </w:p>
    <w:p w14:paraId="24227CCE" w14:textId="77777777"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u w:val="single"/>
          <w14:ligatures w14:val="none"/>
        </w:rPr>
      </w:pPr>
    </w:p>
    <w:p w14:paraId="3B4CCD0F" w14:textId="10696D1E"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t>3-1</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مدخل عام: لماذا المقارنة بين النموذجَيْن؟</w:t>
      </w:r>
    </w:p>
    <w:p w14:paraId="0C6399C9" w14:textId="77777777"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يشهد العالم الماليّ اليوم سباقاً محتدماً بين البنوك الرقميّة المركزيّة المرخَّصة—التي تطوِّر نموذجاً مصرفيّاً سحابياً منضبطاً—وبين منصّات التمويل اللامركزي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 التي تسعى إلى تفكيك الوساطة التقليديّة عبر عقودٍ ذكيّة لا مركزيّة. تتجلّى أهميّة هذه المقارنة في المملكة العربيّة السعوديّة لسببين جوهريَّيْن:</w:t>
      </w:r>
    </w:p>
    <w:p w14:paraId="640F659F" w14:textId="77777777" w:rsidR="00512F2D" w:rsidRPr="004C5A9C" w:rsidRDefault="00512F2D" w:rsidP="00BE7B2A">
      <w:pPr>
        <w:numPr>
          <w:ilvl w:val="0"/>
          <w:numId w:val="52"/>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رؤية 2030 التي تنصّ صراحةً على رفع مستوى الابتكار المالي وتحفيز الشمول الرقمي.</w:t>
      </w:r>
    </w:p>
    <w:p w14:paraId="33363B53" w14:textId="5739FE23" w:rsidR="00512F2D" w:rsidRPr="004C5A9C" w:rsidRDefault="00512F2D" w:rsidP="00BE7B2A">
      <w:pPr>
        <w:numPr>
          <w:ilvl w:val="0"/>
          <w:numId w:val="52"/>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الالتزام التاريخيّ بالاستقرار الاحترازيّ؛ إذ يحتلّ القطاع المصرفي السعودي مرتبةً متقدّمة في مؤشّرات السلامة الماليّة عالميّاً.</w:t>
      </w:r>
    </w:p>
    <w:p w14:paraId="7536DE27" w14:textId="4F4CB914"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من ثَمّ، فإن التحدّي الحقيقيّ أمام الشركاء التنظيميّين يتمثّل في المواءمة بين هذين المسارين من دون الإخلال بأيٍّ منهما.</w:t>
      </w:r>
    </w:p>
    <w:p w14:paraId="695F8FDC" w14:textId="763340DC"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t>3-2</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النموذج الرقميّ المركزي (</w:t>
      </w:r>
      <w:r w:rsidRPr="004C5A9C">
        <w:rPr>
          <w:rFonts w:ascii="Times New Roman" w:eastAsia="Times New Roman" w:hAnsi="Times New Roman" w:cs="Times New Roman"/>
          <w:b/>
          <w:bCs/>
          <w:kern w:val="0"/>
          <w:sz w:val="32"/>
          <w:szCs w:val="32"/>
          <w14:ligatures w14:val="none"/>
        </w:rPr>
        <w:t>Licensed Digital Bank</w:t>
      </w:r>
      <w:r w:rsidR="004C5A9C">
        <w:rPr>
          <w:rFonts w:ascii="Times New Roman" w:eastAsia="Times New Roman" w:hAnsi="Times New Roman" w:cs="Times New Roman" w:hint="cs"/>
          <w:b/>
          <w:bCs/>
          <w:kern w:val="0"/>
          <w:sz w:val="32"/>
          <w:szCs w:val="32"/>
          <w:rtl/>
          <w14:ligatures w14:val="none"/>
        </w:rPr>
        <w:t>)</w:t>
      </w:r>
    </w:p>
    <w:p w14:paraId="4468FC3E" w14:textId="34722F4B" w:rsidR="00512F2D" w:rsidRPr="004C5A9C" w:rsidRDefault="00512F2D" w:rsidP="00BE7B2A">
      <w:pPr>
        <w:spacing w:before="100" w:beforeAutospacing="1" w:after="100" w:afterAutospacing="1" w:line="360" w:lineRule="auto"/>
        <w:outlineLvl w:val="4"/>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3-2-1</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تعريف إجرائي</w:t>
      </w:r>
    </w:p>
    <w:p w14:paraId="75377124" w14:textId="433CFD45"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هو كيان مصرفيّ يحصل على رُخصة ساما الكاملة ويقدّم حزمة الخدمات (حسابات، تحويلات، تمويل أفراد ومنشآت صغيرة) عبر قنوات إلكترونيّة حصريّة، ملتزماً بمعايير رأس المال، والسيولة، والأمن السيبراني المنصوص عليها في لوائح 2023م.</w:t>
      </w:r>
    </w:p>
    <w:p w14:paraId="6AFC57AE" w14:textId="2F85A0AF" w:rsidR="00512F2D" w:rsidRPr="004C5A9C" w:rsidRDefault="00512F2D" w:rsidP="00BE7B2A">
      <w:pPr>
        <w:spacing w:before="100" w:beforeAutospacing="1" w:after="100" w:afterAutospacing="1" w:line="360" w:lineRule="auto"/>
        <w:outlineLvl w:val="4"/>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3-2-2</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البنية التقنية المفصّلة</w:t>
      </w:r>
    </w:p>
    <w:p w14:paraId="6DBC93BC" w14:textId="77777777" w:rsidR="00512F2D" w:rsidRPr="004C5A9C" w:rsidRDefault="00512F2D" w:rsidP="00BE7B2A">
      <w:pPr>
        <w:numPr>
          <w:ilvl w:val="0"/>
          <w:numId w:val="53"/>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معماريّة سحابيّة أصليّة تعتمد الحاويات و</w:t>
      </w:r>
      <w:r w:rsidRPr="004C5A9C">
        <w:rPr>
          <w:rFonts w:ascii="Times New Roman" w:eastAsiaTheme="minorEastAsia" w:hAnsi="Times New Roman" w:cs="Times New Roman"/>
          <w:kern w:val="0"/>
          <w:sz w:val="28"/>
          <w:szCs w:val="28"/>
          <w14:ligatures w14:val="none"/>
        </w:rPr>
        <w:t>Kubernetes</w:t>
      </w:r>
      <w:r w:rsidRPr="004C5A9C">
        <w:rPr>
          <w:rFonts w:ascii="Times New Roman" w:eastAsiaTheme="minorEastAsia" w:hAnsi="Times New Roman" w:cs="Times New Roman"/>
          <w:kern w:val="0"/>
          <w:sz w:val="28"/>
          <w:szCs w:val="28"/>
          <w:rtl/>
          <w14:ligatures w14:val="none"/>
        </w:rPr>
        <w:t>، ما يسمح بالتوسّع الأفقي الفوري.</w:t>
      </w:r>
    </w:p>
    <w:p w14:paraId="767C984B" w14:textId="77777777" w:rsidR="00512F2D" w:rsidRPr="004C5A9C" w:rsidRDefault="00512F2D" w:rsidP="00BE7B2A">
      <w:pPr>
        <w:numPr>
          <w:ilvl w:val="0"/>
          <w:numId w:val="53"/>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نظام حسابات لحظيّ يربط مباشرةً ببوابة المدفوعات الوطنيّة (</w:t>
      </w:r>
      <w:r w:rsidRPr="004C5A9C">
        <w:rPr>
          <w:rFonts w:ascii="Times New Roman" w:eastAsiaTheme="minorEastAsia" w:hAnsi="Times New Roman" w:cs="Times New Roman"/>
          <w:kern w:val="0"/>
          <w:sz w:val="28"/>
          <w:szCs w:val="28"/>
          <w14:ligatures w14:val="none"/>
        </w:rPr>
        <w:t>sarīe</w:t>
      </w:r>
      <w:r w:rsidRPr="004C5A9C">
        <w:rPr>
          <w:rFonts w:ascii="Times New Roman" w:eastAsiaTheme="minorEastAsia" w:hAnsi="Times New Roman" w:cs="Times New Roman"/>
          <w:kern w:val="0"/>
          <w:sz w:val="28"/>
          <w:szCs w:val="28"/>
          <w:rtl/>
          <w14:ligatures w14:val="none"/>
        </w:rPr>
        <w:t>).</w:t>
      </w:r>
    </w:p>
    <w:p w14:paraId="24EB5EF9" w14:textId="77777777" w:rsidR="00512F2D" w:rsidRPr="004C5A9C" w:rsidRDefault="00512F2D" w:rsidP="00BE7B2A">
      <w:pPr>
        <w:numPr>
          <w:ilvl w:val="0"/>
          <w:numId w:val="53"/>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lastRenderedPageBreak/>
        <w:t>طبقة ذكاء اصطناعي للائتمان تدمج بيانات الاتصالات وفواتير الخدمات لاحتساب جدارة العميل خلال أقل من 30 ثانية.</w:t>
      </w:r>
    </w:p>
    <w:p w14:paraId="4DB573D7" w14:textId="777906A0" w:rsidR="00512F2D" w:rsidRDefault="00512F2D" w:rsidP="00BE7B2A">
      <w:pPr>
        <w:numPr>
          <w:ilvl w:val="0"/>
          <w:numId w:val="53"/>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 xml:space="preserve">نموذج «دفاع متدرّج» سيبراني يبدأ بتشفير </w:t>
      </w:r>
      <w:r w:rsidRPr="004C5A9C">
        <w:rPr>
          <w:rFonts w:ascii="Times New Roman" w:eastAsiaTheme="minorEastAsia" w:hAnsi="Times New Roman" w:cs="Times New Roman"/>
          <w:kern w:val="0"/>
          <w:sz w:val="28"/>
          <w:szCs w:val="28"/>
          <w14:ligatures w14:val="none"/>
        </w:rPr>
        <w:t>AES-256</w:t>
      </w:r>
      <w:r w:rsidRPr="004C5A9C">
        <w:rPr>
          <w:rFonts w:ascii="Times New Roman" w:eastAsiaTheme="minorEastAsia" w:hAnsi="Times New Roman" w:cs="Times New Roman"/>
          <w:kern w:val="0"/>
          <w:sz w:val="28"/>
          <w:szCs w:val="28"/>
          <w:rtl/>
          <w14:ligatures w14:val="none"/>
        </w:rPr>
        <w:t xml:space="preserve"> وينتهي بمركز عمليات </w:t>
      </w:r>
      <w:r w:rsidRPr="004C5A9C">
        <w:rPr>
          <w:rFonts w:ascii="Times New Roman" w:eastAsiaTheme="minorEastAsia" w:hAnsi="Times New Roman" w:cs="Times New Roman"/>
          <w:kern w:val="0"/>
          <w:sz w:val="28"/>
          <w:szCs w:val="28"/>
          <w14:ligatures w14:val="none"/>
        </w:rPr>
        <w:t>XDR</w:t>
      </w:r>
      <w:r w:rsidRPr="004C5A9C">
        <w:rPr>
          <w:rFonts w:ascii="Times New Roman" w:eastAsiaTheme="minorEastAsia" w:hAnsi="Times New Roman" w:cs="Times New Roman"/>
          <w:kern w:val="0"/>
          <w:sz w:val="28"/>
          <w:szCs w:val="28"/>
          <w:rtl/>
          <w14:ligatures w14:val="none"/>
        </w:rPr>
        <w:t xml:space="preserve"> يعمل على مدار الساعة.</w:t>
      </w:r>
    </w:p>
    <w:p w14:paraId="32AA4E72" w14:textId="77777777" w:rsidR="004C5A9C" w:rsidRDefault="004C5A9C"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p>
    <w:p w14:paraId="17AFEEF9" w14:textId="77777777" w:rsidR="004C5A9C" w:rsidRPr="004C5A9C" w:rsidRDefault="004C5A9C"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p>
    <w:p w14:paraId="6F806416" w14:textId="11EF9722" w:rsidR="00512F2D" w:rsidRPr="004C5A9C" w:rsidRDefault="00512F2D" w:rsidP="00BE7B2A">
      <w:pPr>
        <w:spacing w:before="100" w:beforeAutospacing="1" w:after="100" w:afterAutospacing="1" w:line="360" w:lineRule="auto"/>
        <w:outlineLvl w:val="4"/>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3-2-3</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دورة توافق المنتج</w:t>
      </w:r>
    </w:p>
    <w:p w14:paraId="2B8C93E8" w14:textId="77777777"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 xml:space="preserve">تمرّ كل خدمة جديدة بخمس مراحل: دراسة امتثال </w:t>
      </w:r>
      <w:r w:rsidRPr="004C5A9C">
        <w:rPr>
          <w:rFonts w:ascii="Cambria Math" w:eastAsiaTheme="minorEastAsia" w:hAnsi="Cambria Math" w:cs="Cambria Math" w:hint="cs"/>
          <w:kern w:val="0"/>
          <w:sz w:val="28"/>
          <w:szCs w:val="28"/>
          <w:rtl/>
          <w14:ligatures w14:val="none"/>
        </w:rPr>
        <w:t>⇢</w:t>
      </w:r>
      <w:r w:rsidRPr="004C5A9C">
        <w:rPr>
          <w:rFonts w:ascii="Times New Roman" w:eastAsiaTheme="minorEastAsia" w:hAnsi="Times New Roman" w:cs="Times New Roman"/>
          <w:kern w:val="0"/>
          <w:sz w:val="28"/>
          <w:szCs w:val="28"/>
          <w:rtl/>
          <w14:ligatures w14:val="none"/>
        </w:rPr>
        <w:t xml:space="preserve"> تدقيق سيبراني </w:t>
      </w:r>
      <w:r w:rsidRPr="004C5A9C">
        <w:rPr>
          <w:rFonts w:ascii="Cambria Math" w:eastAsiaTheme="minorEastAsia" w:hAnsi="Cambria Math" w:cs="Cambria Math" w:hint="cs"/>
          <w:kern w:val="0"/>
          <w:sz w:val="28"/>
          <w:szCs w:val="28"/>
          <w:rtl/>
          <w14:ligatures w14:val="none"/>
        </w:rPr>
        <w:t>⇢</w:t>
      </w:r>
      <w:r w:rsidRPr="004C5A9C">
        <w:rPr>
          <w:rFonts w:ascii="Times New Roman" w:eastAsiaTheme="minorEastAsia" w:hAnsi="Times New Roman" w:cs="Times New Roman"/>
          <w:kern w:val="0"/>
          <w:sz w:val="28"/>
          <w:szCs w:val="28"/>
          <w:rtl/>
          <w14:ligatures w14:val="none"/>
        </w:rPr>
        <w:t xml:space="preserve"> موافقة </w:t>
      </w:r>
      <w:r w:rsidRPr="004C5A9C">
        <w:rPr>
          <w:rFonts w:ascii="Times New Roman" w:eastAsiaTheme="minorEastAsia" w:hAnsi="Times New Roman" w:cs="Times New Roman"/>
          <w:kern w:val="0"/>
          <w:sz w:val="28"/>
          <w:szCs w:val="28"/>
          <w14:ligatures w14:val="none"/>
        </w:rPr>
        <w:t>NCA</w:t>
      </w:r>
      <w:r w:rsidRPr="004C5A9C">
        <w:rPr>
          <w:rFonts w:ascii="Times New Roman" w:eastAsiaTheme="minorEastAsia" w:hAnsi="Times New Roman" w:cs="Times New Roman"/>
          <w:kern w:val="0"/>
          <w:sz w:val="28"/>
          <w:szCs w:val="28"/>
          <w:rtl/>
          <w14:ligatures w14:val="none"/>
        </w:rPr>
        <w:t xml:space="preserve"> </w:t>
      </w:r>
      <w:r w:rsidRPr="004C5A9C">
        <w:rPr>
          <w:rFonts w:ascii="Cambria Math" w:eastAsiaTheme="minorEastAsia" w:hAnsi="Cambria Math" w:cs="Cambria Math" w:hint="cs"/>
          <w:kern w:val="0"/>
          <w:sz w:val="28"/>
          <w:szCs w:val="28"/>
          <w:rtl/>
          <w14:ligatures w14:val="none"/>
        </w:rPr>
        <w:t>⇢</w:t>
      </w:r>
      <w:r w:rsidRPr="004C5A9C">
        <w:rPr>
          <w:rFonts w:ascii="Times New Roman" w:eastAsiaTheme="minorEastAsia" w:hAnsi="Times New Roman" w:cs="Times New Roman"/>
          <w:kern w:val="0"/>
          <w:sz w:val="28"/>
          <w:szCs w:val="28"/>
          <w:rtl/>
          <w14:ligatures w14:val="none"/>
        </w:rPr>
        <w:t xml:space="preserve"> طرح محدود عبر بيئة </w:t>
      </w:r>
      <w:r w:rsidRPr="004C5A9C">
        <w:rPr>
          <w:rFonts w:ascii="Times New Roman" w:eastAsiaTheme="minorEastAsia" w:hAnsi="Times New Roman" w:cs="Times New Roman"/>
          <w:kern w:val="0"/>
          <w:sz w:val="28"/>
          <w:szCs w:val="28"/>
          <w14:ligatures w14:val="none"/>
        </w:rPr>
        <w:t>SandBox</w:t>
      </w:r>
      <w:r w:rsidRPr="004C5A9C">
        <w:rPr>
          <w:rFonts w:ascii="Times New Roman" w:eastAsiaTheme="minorEastAsia" w:hAnsi="Times New Roman" w:cs="Times New Roman"/>
          <w:kern w:val="0"/>
          <w:sz w:val="28"/>
          <w:szCs w:val="28"/>
          <w:rtl/>
          <w14:ligatures w14:val="none"/>
        </w:rPr>
        <w:t xml:space="preserve"> </w:t>
      </w:r>
      <w:r w:rsidRPr="004C5A9C">
        <w:rPr>
          <w:rFonts w:ascii="Cambria Math" w:eastAsiaTheme="minorEastAsia" w:hAnsi="Cambria Math" w:cs="Cambria Math" w:hint="cs"/>
          <w:kern w:val="0"/>
          <w:sz w:val="28"/>
          <w:szCs w:val="28"/>
          <w:rtl/>
          <w14:ligatures w14:val="none"/>
        </w:rPr>
        <w:t>⇢</w:t>
      </w:r>
      <w:r w:rsidRPr="004C5A9C">
        <w:rPr>
          <w:rFonts w:ascii="Times New Roman" w:eastAsiaTheme="minorEastAsia" w:hAnsi="Times New Roman" w:cs="Times New Roman"/>
          <w:kern w:val="0"/>
          <w:sz w:val="28"/>
          <w:szCs w:val="28"/>
          <w:rtl/>
          <w14:ligatures w14:val="none"/>
        </w:rPr>
        <w:t xml:space="preserve"> إطلاق عام مُراقَب بلوحة </w:t>
      </w:r>
      <w:r w:rsidRPr="004C5A9C">
        <w:rPr>
          <w:rFonts w:ascii="Times New Roman" w:eastAsiaTheme="minorEastAsia" w:hAnsi="Times New Roman" w:cs="Times New Roman"/>
          <w:kern w:val="0"/>
          <w:sz w:val="28"/>
          <w:szCs w:val="28"/>
          <w14:ligatures w14:val="none"/>
        </w:rPr>
        <w:t>SupTech</w:t>
      </w:r>
      <w:r w:rsidRPr="004C5A9C">
        <w:rPr>
          <w:rFonts w:ascii="Times New Roman" w:eastAsiaTheme="minorEastAsia" w:hAnsi="Times New Roman" w:cs="Times New Roman"/>
          <w:kern w:val="0"/>
          <w:sz w:val="28"/>
          <w:szCs w:val="28"/>
          <w:rtl/>
          <w14:ligatures w14:val="none"/>
        </w:rPr>
        <w:t>.</w:t>
      </w:r>
    </w:p>
    <w:p w14:paraId="4B13051F" w14:textId="77777777"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p>
    <w:p w14:paraId="33B847EF" w14:textId="15DE7307" w:rsidR="00512F2D" w:rsidRPr="004C5A9C" w:rsidRDefault="00512F2D" w:rsidP="00BE7B2A">
      <w:pPr>
        <w:spacing w:before="100" w:beforeAutospacing="1" w:after="100" w:afterAutospacing="1" w:line="360" w:lineRule="auto"/>
        <w:outlineLvl w:val="4"/>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3-2-4</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المزايا والقيود</w:t>
      </w:r>
    </w:p>
    <w:p w14:paraId="3FAC7537" w14:textId="77777777" w:rsidR="00512F2D" w:rsidRPr="004C5A9C" w:rsidRDefault="00512F2D" w:rsidP="00BE7B2A">
      <w:pPr>
        <w:numPr>
          <w:ilvl w:val="0"/>
          <w:numId w:val="54"/>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مزايا: ثقة تنظيمية، تأمين ودائع، قدرة تكامل مع «نفاذ» و«يسّر».</w:t>
      </w:r>
    </w:p>
    <w:p w14:paraId="56198D34" w14:textId="77777777" w:rsidR="00512F2D" w:rsidRPr="004C5A9C" w:rsidRDefault="00512F2D" w:rsidP="00BE7B2A">
      <w:pPr>
        <w:numPr>
          <w:ilvl w:val="0"/>
          <w:numId w:val="54"/>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قيود: كلفة امتثال مرتفعة، تعقيد تنسيقي مع هيئة السوق المالية عند طرح منتجات استثمارية، تحدّي سيادة البيانات عند الاعتماد على سحابة أجنبية.</w:t>
      </w:r>
    </w:p>
    <w:p w14:paraId="2D4AF602" w14:textId="6C5D1FFC" w:rsidR="00512F2D" w:rsidRPr="004C5A9C" w:rsidRDefault="00512F2D" w:rsidP="00BE7B2A">
      <w:pPr>
        <w:spacing w:after="0" w:line="360" w:lineRule="auto"/>
        <w:rPr>
          <w:rFonts w:ascii="Times New Roman" w:eastAsia="Times New Roman" w:hAnsi="Times New Roman" w:cs="Times New Roman"/>
          <w:kern w:val="0"/>
          <w:sz w:val="28"/>
          <w:szCs w:val="28"/>
          <w:rtl/>
          <w14:ligatures w14:val="none"/>
        </w:rPr>
      </w:pPr>
    </w:p>
    <w:p w14:paraId="51F2B846" w14:textId="5C391B70"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t>3-3</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النموذج الرقميّ اللامركزي (</w:t>
      </w:r>
      <w:r w:rsidRPr="004C5A9C">
        <w:rPr>
          <w:rFonts w:ascii="Times New Roman" w:eastAsia="Times New Roman" w:hAnsi="Times New Roman" w:cs="Times New Roman"/>
          <w:b/>
          <w:bCs/>
          <w:kern w:val="0"/>
          <w:sz w:val="32"/>
          <w:szCs w:val="32"/>
          <w14:ligatures w14:val="none"/>
        </w:rPr>
        <w:t>DeFi Banking)</w:t>
      </w:r>
    </w:p>
    <w:p w14:paraId="3A1A24EC" w14:textId="0E9744DA" w:rsidR="00512F2D" w:rsidRPr="004C5A9C" w:rsidRDefault="00512F2D" w:rsidP="00BE7B2A">
      <w:pPr>
        <w:spacing w:before="100" w:beforeAutospacing="1" w:after="100" w:afterAutospacing="1" w:line="360" w:lineRule="auto"/>
        <w:outlineLvl w:val="4"/>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3-3-1</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تعريف إجرائي</w:t>
      </w:r>
    </w:p>
    <w:p w14:paraId="68B4D18D" w14:textId="50DAAAB8"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هو بروتوكول تمويل ذاتيّ التنفيذ قائم على شبكة بلوكشين عامّة، يقدّم خدمات الإقراض والسيولة من خلال عقود ذكيّة يُديرها مُجتمع حوكمة (</w:t>
      </w:r>
      <w:r w:rsidRPr="004C5A9C">
        <w:rPr>
          <w:rFonts w:ascii="Times New Roman" w:eastAsiaTheme="minorEastAsia" w:hAnsi="Times New Roman" w:cs="Times New Roman"/>
          <w:kern w:val="0"/>
          <w:sz w:val="28"/>
          <w:szCs w:val="28"/>
          <w14:ligatures w14:val="none"/>
        </w:rPr>
        <w:t>DAO</w:t>
      </w:r>
      <w:r w:rsidRPr="004C5A9C">
        <w:rPr>
          <w:rFonts w:ascii="Times New Roman" w:eastAsiaTheme="minorEastAsia" w:hAnsi="Times New Roman" w:cs="Times New Roman"/>
          <w:kern w:val="0"/>
          <w:sz w:val="28"/>
          <w:szCs w:val="28"/>
          <w:rtl/>
          <w14:ligatures w14:val="none"/>
        </w:rPr>
        <w:t>)، من دون كيان قانوني مركزي أو رخصة مصرفية تقليديّة.</w:t>
      </w:r>
    </w:p>
    <w:p w14:paraId="7BD7EDD4" w14:textId="7DB2CE50" w:rsidR="00512F2D" w:rsidRPr="004C5A9C" w:rsidRDefault="00512F2D" w:rsidP="00BE7B2A">
      <w:pPr>
        <w:spacing w:before="100" w:beforeAutospacing="1" w:after="100" w:afterAutospacing="1" w:line="360" w:lineRule="auto"/>
        <w:outlineLvl w:val="4"/>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3-3-2</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البنية التقنية المفصّلة</w:t>
      </w:r>
    </w:p>
    <w:p w14:paraId="25CBD587" w14:textId="77777777" w:rsidR="00512F2D" w:rsidRPr="004C5A9C" w:rsidRDefault="00512F2D" w:rsidP="00BE7B2A">
      <w:pPr>
        <w:numPr>
          <w:ilvl w:val="0"/>
          <w:numId w:val="55"/>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lastRenderedPageBreak/>
        <w:t>صانع سوق آلي (</w:t>
      </w:r>
      <w:r w:rsidRPr="004C5A9C">
        <w:rPr>
          <w:rFonts w:ascii="Times New Roman" w:eastAsiaTheme="minorEastAsia" w:hAnsi="Times New Roman" w:cs="Times New Roman"/>
          <w:kern w:val="0"/>
          <w:sz w:val="28"/>
          <w:szCs w:val="28"/>
          <w14:ligatures w14:val="none"/>
        </w:rPr>
        <w:t>AMM</w:t>
      </w:r>
      <w:r w:rsidRPr="004C5A9C">
        <w:rPr>
          <w:rFonts w:ascii="Times New Roman" w:eastAsiaTheme="minorEastAsia" w:hAnsi="Times New Roman" w:cs="Times New Roman"/>
          <w:kern w:val="0"/>
          <w:sz w:val="28"/>
          <w:szCs w:val="28"/>
          <w:rtl/>
          <w14:ligatures w14:val="none"/>
        </w:rPr>
        <w:t>) يضبط الأسعار وفق خوارزمية احتياطي السيولة.</w:t>
      </w:r>
    </w:p>
    <w:p w14:paraId="17CB6B18" w14:textId="77777777" w:rsidR="00512F2D" w:rsidRPr="004C5A9C" w:rsidRDefault="00512F2D" w:rsidP="00BE7B2A">
      <w:pPr>
        <w:numPr>
          <w:ilvl w:val="0"/>
          <w:numId w:val="55"/>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خزائن ضمانات مفرطة (≥130 ٪) تضمن تسوية المراكز الائتمانية.</w:t>
      </w:r>
    </w:p>
    <w:p w14:paraId="109E6511" w14:textId="4A67644F" w:rsidR="00512F2D" w:rsidRPr="004C5A9C" w:rsidRDefault="00512F2D" w:rsidP="00BE7B2A">
      <w:pPr>
        <w:numPr>
          <w:ilvl w:val="0"/>
          <w:numId w:val="55"/>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أوراكل أسعار خارجي؛ أي تلاعب فيه قد يعرّض البروتوكول لفجوة تسعير خطرة.</w:t>
      </w:r>
    </w:p>
    <w:p w14:paraId="2797FBE5" w14:textId="4FA1D5E3" w:rsidR="00512F2D" w:rsidRPr="004C5A9C" w:rsidRDefault="00512F2D" w:rsidP="00BE7B2A">
      <w:pPr>
        <w:spacing w:before="100" w:beforeAutospacing="1" w:after="100" w:afterAutospacing="1" w:line="360" w:lineRule="auto"/>
        <w:outlineLvl w:val="4"/>
        <w:rPr>
          <w:rFonts w:ascii="Times New Roman" w:eastAsia="Times New Roman"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3-3-3</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المزايا والقيود</w:t>
      </w:r>
    </w:p>
    <w:p w14:paraId="0CA734F2" w14:textId="77777777" w:rsidR="00512F2D" w:rsidRPr="004C5A9C" w:rsidRDefault="00512F2D" w:rsidP="00BE7B2A">
      <w:pPr>
        <w:numPr>
          <w:ilvl w:val="0"/>
          <w:numId w:val="56"/>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مزايا: رسوم منخفضة، شفافيّة معاملات، إتاحة عالميّة من دون حدود.</w:t>
      </w:r>
    </w:p>
    <w:p w14:paraId="2D8A1180" w14:textId="5BDDB7F7" w:rsidR="004C5A9C" w:rsidRPr="00BE7B2A" w:rsidRDefault="00512F2D" w:rsidP="00BE7B2A">
      <w:pPr>
        <w:numPr>
          <w:ilvl w:val="0"/>
          <w:numId w:val="56"/>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قيود: غياب تعويض قانونيّ، مخاطر اختراق العقد الذكي، صعوبة تطبيق </w:t>
      </w:r>
      <w:r w:rsidRPr="004C5A9C">
        <w:rPr>
          <w:rFonts w:ascii="Times New Roman" w:eastAsiaTheme="minorEastAsia" w:hAnsi="Times New Roman" w:cs="Times New Roman"/>
          <w:kern w:val="0"/>
          <w:sz w:val="28"/>
          <w:szCs w:val="28"/>
          <w14:ligatures w14:val="none"/>
        </w:rPr>
        <w:t>KYC/AML</w:t>
      </w:r>
      <w:r w:rsidRPr="004C5A9C">
        <w:rPr>
          <w:rFonts w:ascii="Times New Roman" w:eastAsiaTheme="minorEastAsia" w:hAnsi="Times New Roman" w:cs="Times New Roman"/>
          <w:kern w:val="0"/>
          <w:sz w:val="28"/>
          <w:szCs w:val="28"/>
          <w:rtl/>
          <w14:ligatures w14:val="none"/>
        </w:rPr>
        <w:t xml:space="preserve"> بصورة صارمة.</w:t>
      </w:r>
    </w:p>
    <w:p w14:paraId="07D12964" w14:textId="61B1D12E"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t>3-4</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مقارنة تحليلية مُعمَّقة بين النموذجين</w:t>
      </w:r>
    </w:p>
    <w:tbl>
      <w:tblPr>
        <w:tblW w:w="0" w:type="auto"/>
        <w:tblCellMar>
          <w:left w:w="0" w:type="dxa"/>
          <w:right w:w="0" w:type="dxa"/>
        </w:tblCellMar>
        <w:tblLook w:val="04A0" w:firstRow="1" w:lastRow="0" w:firstColumn="1" w:lastColumn="0" w:noHBand="0" w:noVBand="1"/>
      </w:tblPr>
      <w:tblGrid>
        <w:gridCol w:w="4365"/>
        <w:gridCol w:w="2514"/>
        <w:gridCol w:w="1937"/>
      </w:tblGrid>
      <w:tr w:rsidR="003F17F6" w:rsidRPr="004C5A9C" w14:paraId="756AAE61"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897FFA" w14:textId="77777777" w:rsidR="003F17F6" w:rsidRPr="004C5A9C" w:rsidRDefault="003F17F6" w:rsidP="00BE7B2A">
            <w:pPr>
              <w:spacing w:after="0" w:line="360" w:lineRule="auto"/>
              <w:rPr>
                <w:rFonts w:ascii=".SF Arabic" w:eastAsiaTheme="minorEastAsia" w:hAnsi=".SF Arabic" w:cs="Times New Roman" w:hint="eastAsia"/>
                <w:kern w:val="0"/>
                <w:sz w:val="28"/>
                <w:szCs w:val="28"/>
                <w14:ligatures w14:val="none"/>
              </w:rPr>
            </w:pPr>
            <w:r w:rsidRPr="004C5A9C">
              <w:rPr>
                <w:rFonts w:ascii=".SFArabic-Semibold" w:eastAsiaTheme="minorEastAsia" w:hAnsi=".SFArabic-Semibold" w:cs="Times New Roman"/>
                <w:b/>
                <w:bCs/>
                <w:kern w:val="0"/>
                <w:sz w:val="28"/>
                <w:szCs w:val="28"/>
                <w:rtl/>
                <w14:ligatures w14:val="none"/>
              </w:rPr>
              <w:t>لامركزي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FF84F7"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Semibold" w:eastAsiaTheme="minorEastAsia" w:hAnsi=".SFArabic-Semibold" w:cs="Times New Roman"/>
                <w:b/>
                <w:bCs/>
                <w:kern w:val="0"/>
                <w:sz w:val="28"/>
                <w:szCs w:val="28"/>
                <w:rtl/>
                <w14:ligatures w14:val="none"/>
              </w:rPr>
              <w:t>مركزي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9CEE31"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Semibold" w:eastAsiaTheme="minorEastAsia" w:hAnsi=".SFArabic-Semibold" w:cs="Times New Roman"/>
                <w:b/>
                <w:bCs/>
                <w:kern w:val="0"/>
                <w:sz w:val="28"/>
                <w:szCs w:val="28"/>
                <w:rtl/>
                <w14:ligatures w14:val="none"/>
              </w:rPr>
              <w:t>البُعد</w:t>
            </w:r>
          </w:p>
        </w:tc>
      </w:tr>
      <w:tr w:rsidR="003F17F6" w:rsidRPr="004C5A9C" w14:paraId="60E5DEC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B0C49D"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لا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مرجعية؛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يخضع</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للأمن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السيبراني</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فقط</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إن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استضاف</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خوادمه</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محلّيّاً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737ACC" w14:textId="77777777" w:rsidR="003F17F6" w:rsidRPr="004C5A9C" w:rsidRDefault="003F17F6"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ساما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ولوائح</w:t>
            </w:r>
            <w:r w:rsidRPr="004C5A9C">
              <w:rPr>
                <w:rFonts w:ascii="UICTFontTextStyleBody" w:eastAsiaTheme="minorEastAsia" w:hAnsi="UICTFontTextStyleBody" w:cs="Times New Roman"/>
                <w:kern w:val="0"/>
                <w:sz w:val="28"/>
                <w:szCs w:val="28"/>
                <w:rtl/>
                <w14:ligatures w14:val="none"/>
              </w:rPr>
              <w:t xml:space="preserve"> </w:t>
            </w:r>
            <w:r w:rsidRPr="004C5A9C">
              <w:rPr>
                <w:rFonts w:ascii="UICTFontTextStyleBody" w:eastAsiaTheme="minorEastAsia" w:hAnsi="UICTFontTextStyleBody" w:cs="Times New Roman"/>
                <w:kern w:val="0"/>
                <w:sz w:val="28"/>
                <w:szCs w:val="28"/>
                <w14:ligatures w14:val="none"/>
              </w:rPr>
              <w:t>Basel III</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3AD40D"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مرجعية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الترخيص</w:t>
            </w:r>
          </w:p>
        </w:tc>
      </w:tr>
      <w:tr w:rsidR="003F17F6" w:rsidRPr="004C5A9C" w14:paraId="7B89AC9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A11D7C"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احتياطيات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UICTFontTextStyleBody" w:eastAsiaTheme="minorEastAsia" w:hAnsi="UICTFontTextStyleBody" w:cs="Times New Roman"/>
                <w:kern w:val="0"/>
                <w:sz w:val="28"/>
                <w:szCs w:val="28"/>
                <w14:ligatures w14:val="none"/>
              </w:rPr>
              <w:t>AMM</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متقلّبة؛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ضمانات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سيادية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F51508" w14:textId="77777777" w:rsidR="003F17F6" w:rsidRPr="004C5A9C" w:rsidRDefault="003F17F6"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نسب</w:t>
            </w:r>
            <w:r w:rsidRPr="004C5A9C">
              <w:rPr>
                <w:rFonts w:ascii="UICTFontTextStyleBody" w:eastAsiaTheme="minorEastAsia" w:hAnsi="UICTFontTextStyleBody" w:cs="Times New Roman"/>
                <w:kern w:val="0"/>
                <w:sz w:val="28"/>
                <w:szCs w:val="28"/>
                <w:rtl/>
                <w14:ligatures w14:val="none"/>
              </w:rPr>
              <w:t xml:space="preserve"> </w:t>
            </w:r>
            <w:r w:rsidRPr="004C5A9C">
              <w:rPr>
                <w:rFonts w:ascii="UICTFontTextStyleBody" w:eastAsiaTheme="minorEastAsia" w:hAnsi="UICTFontTextStyleBody" w:cs="Times New Roman"/>
                <w:kern w:val="0"/>
                <w:sz w:val="28"/>
                <w:szCs w:val="28"/>
                <w14:ligatures w14:val="none"/>
              </w:rPr>
              <w:t>LCR</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و</w:t>
            </w:r>
            <w:r w:rsidRPr="004C5A9C">
              <w:rPr>
                <w:rFonts w:ascii="UICTFontTextStyleBody" w:eastAsiaTheme="minorEastAsia" w:hAnsi="UICTFontTextStyleBody" w:cs="Times New Roman"/>
                <w:kern w:val="0"/>
                <w:sz w:val="28"/>
                <w:szCs w:val="28"/>
                <w14:ligatures w14:val="none"/>
              </w:rPr>
              <w:t>NSFR</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يوميّة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34BED4"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ضوابط</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السيولة</w:t>
            </w:r>
          </w:p>
        </w:tc>
      </w:tr>
      <w:tr w:rsidR="003F17F6" w:rsidRPr="004C5A9C" w14:paraId="06E7F34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AE49E8"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منخفضة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ماديًّا،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عالية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معنويًّا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مخاطر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قانونية</w:t>
            </w:r>
            <w:r w:rsidRPr="004C5A9C">
              <w:rPr>
                <w:rFonts w:ascii="UICTFontTextStyleBody" w:eastAsiaTheme="minorEastAsia" w:hAnsi="UICTFontTextStyleBody" w:cs="Times New Roman"/>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5646A4"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مرتفعة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جدًّا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في</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السنة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الأولى</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E0B0B5"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كلفة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الامتثال</w:t>
            </w:r>
          </w:p>
        </w:tc>
      </w:tr>
      <w:tr w:rsidR="003F17F6" w:rsidRPr="004C5A9C" w14:paraId="28B2B26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6C0D36" w14:textId="77777777" w:rsidR="003F17F6" w:rsidRPr="004C5A9C" w:rsidRDefault="003F17F6" w:rsidP="00BE7B2A">
            <w:pPr>
              <w:spacing w:after="0" w:line="360" w:lineRule="auto"/>
              <w:rPr>
                <w:rFonts w:ascii=".AppleSystemUIFont" w:eastAsiaTheme="minorEastAsia" w:hAnsi=".AppleSystemUIFont" w:cs="Times New Roman" w:hint="eastAsia"/>
                <w:kern w:val="0"/>
                <w:sz w:val="28"/>
                <w:szCs w:val="28"/>
                <w:rtl/>
                <w14:ligatures w14:val="none"/>
              </w:rPr>
            </w:pPr>
            <w:r w:rsidRPr="004C5A9C">
              <w:rPr>
                <w:rFonts w:ascii="UICTFontTextStyleBody" w:eastAsiaTheme="minorEastAsia" w:hAnsi="UICTFontTextStyleBody" w:cs="Times New Roman"/>
                <w:kern w:val="0"/>
                <w:sz w:val="28"/>
                <w:szCs w:val="28"/>
                <w:rtl/>
                <w14:ligatures w14:val="none"/>
              </w:rPr>
              <w:t>«</w:t>
            </w:r>
            <w:r w:rsidRPr="004C5A9C">
              <w:rPr>
                <w:rFonts w:ascii=".SFArabic-Regular" w:eastAsiaTheme="minorEastAsia" w:hAnsi=".SFArabic-Regular" w:cs="Times New Roman"/>
                <w:kern w:val="0"/>
                <w:sz w:val="28"/>
                <w:szCs w:val="28"/>
                <w:rtl/>
                <w14:ligatures w14:val="none"/>
              </w:rPr>
              <w:t>افعلها</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بنفسك</w:t>
            </w:r>
            <w:r w:rsidRPr="004C5A9C">
              <w:rPr>
                <w:rFonts w:ascii="UICTFontTextStyleBody" w:eastAsiaTheme="minorEastAsia" w:hAnsi="UICTFontTextStyleBody" w:cs="Times New Roman"/>
                <w:kern w:val="0"/>
                <w:sz w:val="28"/>
                <w:szCs w:val="28"/>
                <w:rtl/>
                <w14:ligatures w14:val="none"/>
              </w:rPr>
              <w:t>» (</w:t>
            </w:r>
            <w:r w:rsidRPr="004C5A9C">
              <w:rPr>
                <w:rFonts w:ascii="UICTFontTextStyleBody" w:eastAsiaTheme="minorEastAsia" w:hAnsi="UICTFontTextStyleBody" w:cs="Times New Roman"/>
                <w:kern w:val="0"/>
                <w:sz w:val="28"/>
                <w:szCs w:val="28"/>
                <w14:ligatures w14:val="none"/>
              </w:rPr>
              <w:t>Do-It-Yourself</w:t>
            </w:r>
            <w:r w:rsidRPr="004C5A9C">
              <w:rPr>
                <w:rFonts w:ascii="UICTFontTextStyleBody" w:eastAsiaTheme="minorEastAsia" w:hAnsi="UICTFontTextStyleBody" w:cs="Times New Roman"/>
                <w:kern w:val="0"/>
                <w:sz w:val="28"/>
                <w:szCs w:val="28"/>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43891D"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تعويض</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إلزامي،</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لجنة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فض</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منازعات</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EFF5B9"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حماية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المستهلك</w:t>
            </w:r>
          </w:p>
        </w:tc>
      </w:tr>
      <w:tr w:rsidR="003F17F6" w:rsidRPr="004C5A9C" w14:paraId="57A4B8F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728DA7"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بلوكشين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متاح،</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لكن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تحليل</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البيانات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يتطلب</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أدوات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متخصصة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B12C04"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تقارير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منتظمة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لساما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F261F4"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شفافية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البيانات</w:t>
            </w:r>
          </w:p>
        </w:tc>
      </w:tr>
      <w:tr w:rsidR="003F17F6" w:rsidRPr="004C5A9C" w14:paraId="2A678C2B"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57AD38"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غير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خطّي؛</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طفرات</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سيولة</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قد</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تربك</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السوق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F9D3BF8"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يمكن</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التنبؤ</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به</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وخاضع</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للاختبار</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12983E" w14:textId="77777777" w:rsidR="003F17F6" w:rsidRPr="004C5A9C" w:rsidRDefault="003F17F6" w:rsidP="00BE7B2A">
            <w:pPr>
              <w:spacing w:after="0" w:line="360" w:lineRule="auto"/>
              <w:rPr>
                <w:rFonts w:ascii=".SF Arabic" w:eastAsiaTheme="minorEastAsia" w:hAnsi=".SF Arabic" w:cs="Times New Roman" w:hint="eastAsia"/>
                <w:kern w:val="0"/>
                <w:sz w:val="28"/>
                <w:szCs w:val="28"/>
                <w:rtl/>
                <w14:ligatures w14:val="none"/>
              </w:rPr>
            </w:pPr>
            <w:r w:rsidRPr="004C5A9C">
              <w:rPr>
                <w:rFonts w:ascii=".SFArabic-Regular" w:eastAsiaTheme="minorEastAsia" w:hAnsi=".SFArabic-Regular" w:cs="Times New Roman"/>
                <w:kern w:val="0"/>
                <w:sz w:val="28"/>
                <w:szCs w:val="28"/>
                <w:rtl/>
                <w14:ligatures w14:val="none"/>
              </w:rPr>
              <w:t>الأثر</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الكلّي</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على</w:t>
            </w:r>
            <w:r w:rsidRPr="004C5A9C">
              <w:rPr>
                <w:rFonts w:ascii="UICTFontTextStyleBody" w:eastAsiaTheme="minorEastAsia" w:hAnsi="UICTFontTextStyleBody" w:cs="Times New Roman"/>
                <w:kern w:val="0"/>
                <w:sz w:val="28"/>
                <w:szCs w:val="28"/>
                <w:rtl/>
                <w14:ligatures w14:val="none"/>
              </w:rPr>
              <w:t xml:space="preserve"> </w:t>
            </w:r>
            <w:r w:rsidRPr="004C5A9C">
              <w:rPr>
                <w:rFonts w:ascii=".SFArabic-Regular" w:eastAsiaTheme="minorEastAsia" w:hAnsi=".SFArabic-Regular" w:cs="Times New Roman"/>
                <w:kern w:val="0"/>
                <w:sz w:val="28"/>
                <w:szCs w:val="28"/>
                <w:rtl/>
                <w14:ligatures w14:val="none"/>
              </w:rPr>
              <w:t>الاستقرار</w:t>
            </w:r>
          </w:p>
        </w:tc>
      </w:tr>
    </w:tbl>
    <w:p w14:paraId="736670F2" w14:textId="54DCE22B" w:rsidR="00512F2D" w:rsidRDefault="00512F2D" w:rsidP="00BE7B2A">
      <w:pPr>
        <w:spacing w:after="0" w:line="360" w:lineRule="auto"/>
        <w:rPr>
          <w:rFonts w:ascii="Times New Roman" w:eastAsia="Times New Roman" w:hAnsi="Times New Roman" w:cs="Times New Roman"/>
          <w:kern w:val="0"/>
          <w:sz w:val="28"/>
          <w:szCs w:val="28"/>
          <w:rtl/>
          <w14:ligatures w14:val="none"/>
        </w:rPr>
      </w:pPr>
    </w:p>
    <w:p w14:paraId="3F3793F3" w14:textId="77777777" w:rsidR="00BE7B2A" w:rsidRDefault="00BE7B2A" w:rsidP="00BE7B2A">
      <w:pPr>
        <w:spacing w:after="0" w:line="360" w:lineRule="auto"/>
        <w:rPr>
          <w:rFonts w:ascii="Times New Roman" w:eastAsia="Times New Roman" w:hAnsi="Times New Roman" w:cs="Times New Roman"/>
          <w:kern w:val="0"/>
          <w:sz w:val="28"/>
          <w:szCs w:val="28"/>
          <w:rtl/>
          <w14:ligatures w14:val="none"/>
        </w:rPr>
      </w:pPr>
    </w:p>
    <w:p w14:paraId="23B12A24" w14:textId="77777777" w:rsidR="00BE7B2A" w:rsidRDefault="00BE7B2A" w:rsidP="00BE7B2A">
      <w:pPr>
        <w:spacing w:after="0" w:line="360" w:lineRule="auto"/>
        <w:rPr>
          <w:rFonts w:ascii="Times New Roman" w:eastAsia="Times New Roman" w:hAnsi="Times New Roman" w:cs="Times New Roman"/>
          <w:kern w:val="0"/>
          <w:sz w:val="28"/>
          <w:szCs w:val="28"/>
          <w:rtl/>
          <w14:ligatures w14:val="none"/>
        </w:rPr>
      </w:pPr>
    </w:p>
    <w:p w14:paraId="4B1E2BB4" w14:textId="77777777" w:rsidR="00BE7B2A" w:rsidRDefault="00BE7B2A" w:rsidP="00BE7B2A">
      <w:pPr>
        <w:spacing w:after="0" w:line="360" w:lineRule="auto"/>
        <w:rPr>
          <w:rFonts w:ascii="Times New Roman" w:eastAsia="Times New Roman" w:hAnsi="Times New Roman" w:cs="Times New Roman"/>
          <w:kern w:val="0"/>
          <w:sz w:val="28"/>
          <w:szCs w:val="28"/>
          <w:rtl/>
          <w14:ligatures w14:val="none"/>
        </w:rPr>
      </w:pPr>
    </w:p>
    <w:p w14:paraId="360661D9" w14:textId="77777777" w:rsidR="00BE7B2A" w:rsidRPr="004C5A9C" w:rsidRDefault="00BE7B2A" w:rsidP="00BE7B2A">
      <w:pPr>
        <w:spacing w:after="0" w:line="360" w:lineRule="auto"/>
        <w:rPr>
          <w:rFonts w:ascii="Times New Roman" w:eastAsia="Times New Roman" w:hAnsi="Times New Roman" w:cs="Times New Roman"/>
          <w:kern w:val="0"/>
          <w:sz w:val="28"/>
          <w:szCs w:val="28"/>
          <w14:ligatures w14:val="none"/>
        </w:rPr>
      </w:pPr>
    </w:p>
    <w:p w14:paraId="3C07F996" w14:textId="52BE1829"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lastRenderedPageBreak/>
        <w:t>3-5</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مسارات الأثر في الشركاء التنظيميّين</w:t>
      </w:r>
    </w:p>
    <w:p w14:paraId="18FECB22" w14:textId="77777777" w:rsidR="00512F2D" w:rsidRPr="004C5A9C" w:rsidRDefault="00512F2D" w:rsidP="00BE7B2A">
      <w:pPr>
        <w:numPr>
          <w:ilvl w:val="0"/>
          <w:numId w:val="57"/>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ساما: يتعامل مع المركزيّ بواجهات بيانات، بينما يلجأ لتحليلات السلسلة مع اللامركزيّ.</w:t>
      </w:r>
    </w:p>
    <w:p w14:paraId="01C39073" w14:textId="77777777" w:rsidR="00512F2D" w:rsidRPr="004C5A9C" w:rsidRDefault="00512F2D" w:rsidP="00BE7B2A">
      <w:pPr>
        <w:numPr>
          <w:ilvl w:val="0"/>
          <w:numId w:val="57"/>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هيئة السوق المالية: تحتاج إلى وضع تعريف دقيق «للرمز الأمني» للتحكم في إصدار </w:t>
      </w:r>
      <w:r w:rsidRPr="004C5A9C">
        <w:rPr>
          <w:rFonts w:ascii="Times New Roman" w:eastAsiaTheme="minorEastAsia" w:hAnsi="Times New Roman" w:cs="Times New Roman"/>
          <w:kern w:val="0"/>
          <w:sz w:val="28"/>
          <w:szCs w:val="28"/>
          <w14:ligatures w14:val="none"/>
        </w:rPr>
        <w:t>STO</w:t>
      </w:r>
      <w:r w:rsidRPr="004C5A9C">
        <w:rPr>
          <w:rFonts w:ascii="Times New Roman" w:eastAsiaTheme="minorEastAsia" w:hAnsi="Times New Roman" w:cs="Times New Roman"/>
          <w:kern w:val="0"/>
          <w:sz w:val="28"/>
          <w:szCs w:val="28"/>
          <w:rtl/>
          <w14:ligatures w14:val="none"/>
        </w:rPr>
        <w:t xml:space="preserve"> على بروتوكول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w:t>
      </w:r>
    </w:p>
    <w:p w14:paraId="46894EFD" w14:textId="77777777" w:rsidR="00512F2D" w:rsidRPr="004C5A9C" w:rsidRDefault="00512F2D" w:rsidP="00BE7B2A">
      <w:pPr>
        <w:numPr>
          <w:ilvl w:val="0"/>
          <w:numId w:val="57"/>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وحدة التحريات المالية: تنقل تركيزها من تقارير الاشتباه التقليدية (</w:t>
      </w:r>
      <w:r w:rsidRPr="004C5A9C">
        <w:rPr>
          <w:rFonts w:ascii="Times New Roman" w:eastAsiaTheme="minorEastAsia" w:hAnsi="Times New Roman" w:cs="Times New Roman"/>
          <w:kern w:val="0"/>
          <w:sz w:val="28"/>
          <w:szCs w:val="28"/>
          <w14:ligatures w14:val="none"/>
        </w:rPr>
        <w:t>SAR</w:t>
      </w:r>
      <w:r w:rsidRPr="004C5A9C">
        <w:rPr>
          <w:rFonts w:ascii="Times New Roman" w:eastAsiaTheme="minorEastAsia" w:hAnsi="Times New Roman" w:cs="Times New Roman"/>
          <w:kern w:val="0"/>
          <w:sz w:val="28"/>
          <w:szCs w:val="28"/>
          <w:rtl/>
          <w14:ligatures w14:val="none"/>
        </w:rPr>
        <w:t>) إلى تحليل رسوم الغاز لتحديد الأنماط المشبوهة.</w:t>
      </w:r>
    </w:p>
    <w:p w14:paraId="09F1A8F2" w14:textId="5D3E6871" w:rsidR="008B3630" w:rsidRPr="004C5A9C" w:rsidRDefault="00512F2D" w:rsidP="00BE7B2A">
      <w:pPr>
        <w:numPr>
          <w:ilvl w:val="0"/>
          <w:numId w:val="57"/>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الهيئة الوطنية للأمن السيبراني: تتحول من مراجعة بنية سحابية موثوقة إلى تدقيق شيفرة عقود ذكية مفتوحة المصدر.</w:t>
      </w:r>
    </w:p>
    <w:p w14:paraId="56E582BF" w14:textId="21303DC3"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t>3-6</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دراسات حالة توضيحية</w:t>
      </w:r>
    </w:p>
    <w:p w14:paraId="3DD5C1C3" w14:textId="77777777" w:rsidR="00512F2D" w:rsidRPr="004C5A9C" w:rsidRDefault="00512F2D" w:rsidP="00BE7B2A">
      <w:pPr>
        <w:numPr>
          <w:ilvl w:val="0"/>
          <w:numId w:val="58"/>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14:ligatures w14:val="none"/>
        </w:rPr>
        <w:t xml:space="preserve">STC Bank </w:t>
      </w:r>
      <w:r w:rsidRPr="004C5A9C">
        <w:rPr>
          <w:rFonts w:ascii="Times New Roman" w:eastAsiaTheme="minorEastAsia" w:hAnsi="Times New Roman" w:cs="Times New Roman"/>
          <w:kern w:val="0"/>
          <w:sz w:val="28"/>
          <w:szCs w:val="28"/>
          <w:rtl/>
          <w14:ligatures w14:val="none"/>
        </w:rPr>
        <w:t>– خلال عامه التشغيلي الأوّل استقطب 600 ألف عميل، لكنّه أنفق 22٪ من إيراداته على الامتثال السيبراني.</w:t>
      </w:r>
    </w:p>
    <w:p w14:paraId="4C7730A7" w14:textId="77777777" w:rsidR="00512F2D" w:rsidRPr="004C5A9C" w:rsidRDefault="00512F2D" w:rsidP="00BE7B2A">
      <w:pPr>
        <w:numPr>
          <w:ilvl w:val="0"/>
          <w:numId w:val="58"/>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14:ligatures w14:val="none"/>
        </w:rPr>
        <w:t xml:space="preserve">Aave-KSA Pilot </w:t>
      </w:r>
      <w:r w:rsidRPr="004C5A9C">
        <w:rPr>
          <w:rFonts w:ascii="Times New Roman" w:eastAsiaTheme="minorEastAsia" w:hAnsi="Times New Roman" w:cs="Times New Roman"/>
          <w:kern w:val="0"/>
          <w:sz w:val="28"/>
          <w:szCs w:val="28"/>
          <w:rtl/>
          <w14:ligatures w14:val="none"/>
        </w:rPr>
        <w:t xml:space="preserve">– تجربة </w:t>
      </w:r>
      <w:r w:rsidRPr="004C5A9C">
        <w:rPr>
          <w:rFonts w:ascii="Times New Roman" w:eastAsiaTheme="minorEastAsia" w:hAnsi="Times New Roman" w:cs="Times New Roman"/>
          <w:kern w:val="0"/>
          <w:sz w:val="28"/>
          <w:szCs w:val="28"/>
          <w14:ligatures w14:val="none"/>
        </w:rPr>
        <w:t xml:space="preserve">Sandbox </w:t>
      </w:r>
      <w:r w:rsidRPr="004C5A9C">
        <w:rPr>
          <w:rFonts w:ascii="Times New Roman" w:eastAsiaTheme="minorEastAsia" w:hAnsi="Times New Roman" w:cs="Times New Roman"/>
          <w:kern w:val="0"/>
          <w:sz w:val="28"/>
          <w:szCs w:val="28"/>
          <w:rtl/>
          <w14:ligatures w14:val="none"/>
        </w:rPr>
        <w:t>لأتمتة قروض الطلاب؛ أبرزت نقص أوركلات الأسعار المحليّة.</w:t>
      </w:r>
    </w:p>
    <w:p w14:paraId="13925634" w14:textId="77777777" w:rsidR="00512F2D" w:rsidRPr="004C5A9C" w:rsidRDefault="00512F2D" w:rsidP="00BE7B2A">
      <w:pPr>
        <w:numPr>
          <w:ilvl w:val="0"/>
          <w:numId w:val="58"/>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14:ligatures w14:val="none"/>
        </w:rPr>
        <w:t>CBDC Bridge (</w:t>
      </w:r>
      <w:r w:rsidRPr="004C5A9C">
        <w:rPr>
          <w:rFonts w:ascii="Times New Roman" w:eastAsiaTheme="minorEastAsia" w:hAnsi="Times New Roman" w:cs="Times New Roman"/>
          <w:kern w:val="0"/>
          <w:sz w:val="28"/>
          <w:szCs w:val="28"/>
          <w:rtl/>
          <w14:ligatures w14:val="none"/>
        </w:rPr>
        <w:t xml:space="preserve">ساما–المركزي الإماراتي) – تبيَّن أنّ الدمج مع بنك رقمي مرخَّص أسلس من الدمج مع بروتوكول </w:t>
      </w:r>
      <w:r w:rsidRPr="004C5A9C">
        <w:rPr>
          <w:rFonts w:ascii="Times New Roman" w:eastAsiaTheme="minorEastAsia" w:hAnsi="Times New Roman" w:cs="Times New Roman"/>
          <w:kern w:val="0"/>
          <w:sz w:val="28"/>
          <w:szCs w:val="28"/>
          <w14:ligatures w14:val="none"/>
        </w:rPr>
        <w:t xml:space="preserve">DeFi </w:t>
      </w:r>
      <w:r w:rsidRPr="004C5A9C">
        <w:rPr>
          <w:rFonts w:ascii="Times New Roman" w:eastAsiaTheme="minorEastAsia" w:hAnsi="Times New Roman" w:cs="Times New Roman"/>
          <w:kern w:val="0"/>
          <w:sz w:val="28"/>
          <w:szCs w:val="28"/>
          <w:rtl/>
          <w14:ligatures w14:val="none"/>
        </w:rPr>
        <w:t>لغياب كيان قانوني موقِّع.</w:t>
      </w:r>
    </w:p>
    <w:p w14:paraId="7001D311" w14:textId="78CB1187" w:rsidR="00512F2D" w:rsidRDefault="00512F2D" w:rsidP="00BE7B2A">
      <w:pPr>
        <w:spacing w:after="0" w:line="360" w:lineRule="auto"/>
        <w:rPr>
          <w:rFonts w:ascii="Times New Roman" w:eastAsia="Times New Roman" w:hAnsi="Times New Roman" w:cs="Times New Roman"/>
          <w:kern w:val="0"/>
          <w:sz w:val="28"/>
          <w:szCs w:val="28"/>
          <w:rtl/>
          <w14:ligatures w14:val="none"/>
        </w:rPr>
      </w:pPr>
    </w:p>
    <w:p w14:paraId="41A64A6E" w14:textId="77777777" w:rsidR="004C5A9C" w:rsidRPr="004C5A9C" w:rsidRDefault="004C5A9C" w:rsidP="00BE7B2A">
      <w:pPr>
        <w:spacing w:after="0" w:line="360" w:lineRule="auto"/>
        <w:rPr>
          <w:rFonts w:ascii="Times New Roman" w:eastAsia="Times New Roman" w:hAnsi="Times New Roman" w:cs="Times New Roman"/>
          <w:kern w:val="0"/>
          <w:sz w:val="28"/>
          <w:szCs w:val="28"/>
          <w14:ligatures w14:val="none"/>
        </w:rPr>
      </w:pPr>
    </w:p>
    <w:p w14:paraId="110B2CA3" w14:textId="16EB0649"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t>3-7</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التحدّيات والفرص المشتركة</w:t>
      </w:r>
    </w:p>
    <w:p w14:paraId="74BC2D9F" w14:textId="77777777" w:rsidR="00512F2D" w:rsidRPr="004C5A9C" w:rsidRDefault="00512F2D" w:rsidP="00BE7B2A">
      <w:pPr>
        <w:numPr>
          <w:ilvl w:val="0"/>
          <w:numId w:val="59"/>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التحدّيات الرئيسة: فجوة الكفاءات التحليلية في الجهات الرقابيّة، وتأخّر تقييس واجهات برمجة التنظيم (</w:t>
      </w:r>
      <w:r w:rsidRPr="004C5A9C">
        <w:rPr>
          <w:rFonts w:ascii="Times New Roman" w:eastAsiaTheme="minorEastAsia" w:hAnsi="Times New Roman" w:cs="Times New Roman"/>
          <w:kern w:val="0"/>
          <w:sz w:val="28"/>
          <w:szCs w:val="28"/>
          <w14:ligatures w14:val="none"/>
        </w:rPr>
        <w:t>Reg-API</w:t>
      </w:r>
      <w:r w:rsidRPr="004C5A9C">
        <w:rPr>
          <w:rFonts w:ascii="Times New Roman" w:eastAsiaTheme="minorEastAsia" w:hAnsi="Times New Roman" w:cs="Times New Roman"/>
          <w:kern w:val="0"/>
          <w:sz w:val="28"/>
          <w:szCs w:val="28"/>
          <w:rtl/>
          <w14:ligatures w14:val="none"/>
        </w:rPr>
        <w:t>).</w:t>
      </w:r>
    </w:p>
    <w:p w14:paraId="15EE3C24" w14:textId="7997F923" w:rsidR="00512F2D" w:rsidRDefault="00512F2D" w:rsidP="00BE7B2A">
      <w:pPr>
        <w:numPr>
          <w:ilvl w:val="0"/>
          <w:numId w:val="59"/>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الفرص البارزة: شمول ماليّ ريفيّ، تسهيل تمويل المنشآت الصغيرة، وتطوير خبرات وطنية في الأمن السيبراني للعقود الذكية.</w:t>
      </w:r>
    </w:p>
    <w:p w14:paraId="3B14154A" w14:textId="77777777" w:rsidR="007E2729" w:rsidRDefault="007E2729" w:rsidP="007E2729">
      <w:pPr>
        <w:spacing w:before="100" w:beforeAutospacing="1" w:after="100" w:afterAutospacing="1" w:line="360" w:lineRule="auto"/>
        <w:rPr>
          <w:rFonts w:ascii="Times New Roman" w:eastAsiaTheme="minorEastAsia" w:hAnsi="Times New Roman" w:cs="Times New Roman"/>
          <w:kern w:val="0"/>
          <w:sz w:val="28"/>
          <w:szCs w:val="28"/>
          <w:rtl/>
          <w14:ligatures w14:val="none"/>
        </w:rPr>
      </w:pPr>
    </w:p>
    <w:p w14:paraId="5F9850B5" w14:textId="77777777" w:rsidR="007E2729" w:rsidRPr="004C5A9C" w:rsidRDefault="007E2729" w:rsidP="007E2729">
      <w:pPr>
        <w:spacing w:before="100" w:beforeAutospacing="1" w:after="100" w:afterAutospacing="1" w:line="360" w:lineRule="auto"/>
        <w:rPr>
          <w:rFonts w:ascii="Times New Roman" w:eastAsiaTheme="minorEastAsia" w:hAnsi="Times New Roman" w:cs="Times New Roman"/>
          <w:kern w:val="0"/>
          <w:sz w:val="28"/>
          <w:szCs w:val="28"/>
          <w:rtl/>
          <w14:ligatures w14:val="none"/>
        </w:rPr>
      </w:pPr>
    </w:p>
    <w:p w14:paraId="6F85E0F4" w14:textId="515CE51A"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lastRenderedPageBreak/>
        <w:t>3-8</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إطار تقييم مقترح</w:t>
      </w:r>
    </w:p>
    <w:p w14:paraId="7E13F376" w14:textId="77777777" w:rsidR="00512F2D" w:rsidRPr="004C5A9C" w:rsidRDefault="00512F2D" w:rsidP="00BE7B2A">
      <w:pPr>
        <w:numPr>
          <w:ilvl w:val="0"/>
          <w:numId w:val="60"/>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14:ligatures w14:val="none"/>
        </w:rPr>
        <w:t>Compliance Intensity Index (CII).</w:t>
      </w:r>
    </w:p>
    <w:p w14:paraId="5E6FFB9D" w14:textId="77777777" w:rsidR="00512F2D" w:rsidRPr="004C5A9C" w:rsidRDefault="00512F2D" w:rsidP="00BE7B2A">
      <w:pPr>
        <w:numPr>
          <w:ilvl w:val="0"/>
          <w:numId w:val="60"/>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14:ligatures w14:val="none"/>
        </w:rPr>
        <w:t>Consumer Safety Score (CSS).</w:t>
      </w:r>
    </w:p>
    <w:p w14:paraId="091498B8" w14:textId="77777777" w:rsidR="00512F2D" w:rsidRPr="004C5A9C" w:rsidRDefault="00512F2D" w:rsidP="00BE7B2A">
      <w:pPr>
        <w:numPr>
          <w:ilvl w:val="0"/>
          <w:numId w:val="60"/>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14:ligatures w14:val="none"/>
        </w:rPr>
        <w:t>Regulatory Burden Quotient (RBQ).</w:t>
      </w:r>
    </w:p>
    <w:p w14:paraId="763386C9" w14:textId="77777777" w:rsidR="00512F2D" w:rsidRPr="004C5A9C" w:rsidRDefault="00512F2D" w:rsidP="00BE7B2A">
      <w:pPr>
        <w:numPr>
          <w:ilvl w:val="0"/>
          <w:numId w:val="60"/>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14:ligatures w14:val="none"/>
        </w:rPr>
        <w:t>Inclusion Expansion Ratio (IER).</w:t>
      </w:r>
    </w:p>
    <w:p w14:paraId="31C6B2D9" w14:textId="77777777"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p>
    <w:p w14:paraId="4A2709FC" w14:textId="316B9886"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يُقاس كلّ مؤشر ببطاقة </w:t>
      </w:r>
      <w:r w:rsidRPr="004C5A9C">
        <w:rPr>
          <w:rFonts w:ascii="Times New Roman" w:eastAsiaTheme="minorEastAsia" w:hAnsi="Times New Roman" w:cs="Times New Roman"/>
          <w:kern w:val="0"/>
          <w:sz w:val="28"/>
          <w:szCs w:val="28"/>
          <w14:ligatures w14:val="none"/>
        </w:rPr>
        <w:t>Likert</w:t>
      </w:r>
      <w:r w:rsidRPr="004C5A9C">
        <w:rPr>
          <w:rFonts w:ascii="Times New Roman" w:eastAsiaTheme="minorEastAsia" w:hAnsi="Times New Roman" w:cs="Times New Roman"/>
          <w:kern w:val="0"/>
          <w:sz w:val="28"/>
          <w:szCs w:val="28"/>
          <w:rtl/>
          <w14:ligatures w14:val="none"/>
        </w:rPr>
        <w:t xml:space="preserve"> خماسية تجمع بنوداً رقمية ونوعية ثم تُحلَّل بعلاقات </w:t>
      </w:r>
      <w:r w:rsidRPr="004C5A9C">
        <w:rPr>
          <w:rFonts w:ascii="Times New Roman" w:eastAsiaTheme="minorEastAsia" w:hAnsi="Times New Roman" w:cs="Times New Roman"/>
          <w:kern w:val="0"/>
          <w:sz w:val="28"/>
          <w:szCs w:val="28"/>
          <w14:ligatures w14:val="none"/>
        </w:rPr>
        <w:t>SEM</w:t>
      </w:r>
      <w:r w:rsidRPr="004C5A9C">
        <w:rPr>
          <w:rFonts w:ascii="Times New Roman" w:eastAsiaTheme="minorEastAsia" w:hAnsi="Times New Roman" w:cs="Times New Roman"/>
          <w:kern w:val="0"/>
          <w:sz w:val="28"/>
          <w:szCs w:val="28"/>
          <w:rtl/>
          <w14:ligatures w14:val="none"/>
        </w:rPr>
        <w:t xml:space="preserve"> لاستكشاف المسارات السببية.</w:t>
      </w:r>
    </w:p>
    <w:p w14:paraId="56B6E83B" w14:textId="73CDF454"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28"/>
          <w:szCs w:val="28"/>
          <w14:ligatures w14:val="none"/>
        </w:rPr>
      </w:pPr>
      <w:r w:rsidRPr="004C5A9C">
        <w:rPr>
          <w:rFonts w:ascii="Times New Roman" w:eastAsia="Times New Roman" w:hAnsi="Times New Roman" w:cs="Times New Roman"/>
          <w:b/>
          <w:bCs/>
          <w:kern w:val="0"/>
          <w:sz w:val="28"/>
          <w:szCs w:val="28"/>
          <w14:ligatures w14:val="none"/>
        </w:rPr>
        <w:t>3-9</w:t>
      </w:r>
      <w:r w:rsidR="008B3630" w:rsidRPr="004C5A9C">
        <w:rPr>
          <w:rFonts w:ascii="Times New Roman" w:eastAsia="Times New Roman" w:hAnsi="Times New Roman" w:cs="Times New Roman" w:hint="cs"/>
          <w:b/>
          <w:bCs/>
          <w:kern w:val="0"/>
          <w:sz w:val="28"/>
          <w:szCs w:val="28"/>
          <w:rtl/>
          <w14:ligatures w14:val="none"/>
        </w:rPr>
        <w:t>-</w:t>
      </w:r>
      <w:r w:rsidRPr="004C5A9C">
        <w:rPr>
          <w:rFonts w:ascii="Times New Roman" w:eastAsia="Times New Roman" w:hAnsi="Times New Roman" w:cs="Times New Roman"/>
          <w:b/>
          <w:bCs/>
          <w:kern w:val="0"/>
          <w:sz w:val="28"/>
          <w:szCs w:val="28"/>
          <w14:ligatures w14:val="none"/>
        </w:rPr>
        <w:t xml:space="preserve">  </w:t>
      </w:r>
      <w:r w:rsidRPr="004C5A9C">
        <w:rPr>
          <w:rFonts w:ascii="Times New Roman" w:eastAsia="Times New Roman" w:hAnsi="Times New Roman" w:cs="Times New Roman"/>
          <w:b/>
          <w:bCs/>
          <w:kern w:val="0"/>
          <w:sz w:val="28"/>
          <w:szCs w:val="28"/>
          <w:rtl/>
          <w14:ligatures w14:val="none"/>
        </w:rPr>
        <w:t>استشراف سيناريوهات 2025–2030</w:t>
      </w:r>
    </w:p>
    <w:p w14:paraId="41F7F78D" w14:textId="77777777" w:rsidR="00512F2D" w:rsidRPr="004C5A9C" w:rsidRDefault="00512F2D" w:rsidP="00BE7B2A">
      <w:pPr>
        <w:numPr>
          <w:ilvl w:val="0"/>
          <w:numId w:val="61"/>
        </w:num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 xml:space="preserve">سيناريو التلاقح: بنوك مرخَّصة تدمج بروتوكولات </w:t>
      </w:r>
      <w:r w:rsidRPr="004C5A9C">
        <w:rPr>
          <w:rFonts w:ascii="Times New Roman" w:eastAsiaTheme="minorEastAsia" w:hAnsi="Times New Roman" w:cs="Times New Roman"/>
          <w:kern w:val="0"/>
          <w:sz w:val="28"/>
          <w:szCs w:val="28"/>
          <w14:ligatures w14:val="none"/>
        </w:rPr>
        <w:t>DeFi</w:t>
      </w:r>
      <w:r w:rsidRPr="004C5A9C">
        <w:rPr>
          <w:rFonts w:ascii="Times New Roman" w:eastAsiaTheme="minorEastAsia" w:hAnsi="Times New Roman" w:cs="Times New Roman"/>
          <w:kern w:val="0"/>
          <w:sz w:val="28"/>
          <w:szCs w:val="28"/>
          <w:rtl/>
          <w14:ligatures w14:val="none"/>
        </w:rPr>
        <w:t xml:space="preserve"> عبر بوابات </w:t>
      </w:r>
      <w:r w:rsidRPr="004C5A9C">
        <w:rPr>
          <w:rFonts w:ascii="Times New Roman" w:eastAsiaTheme="minorEastAsia" w:hAnsi="Times New Roman" w:cs="Times New Roman"/>
          <w:kern w:val="0"/>
          <w:sz w:val="28"/>
          <w:szCs w:val="28"/>
          <w14:ligatures w14:val="none"/>
        </w:rPr>
        <w:t>KYC-On-Chain</w:t>
      </w:r>
      <w:r w:rsidRPr="004C5A9C">
        <w:rPr>
          <w:rFonts w:ascii="Times New Roman" w:eastAsiaTheme="minorEastAsia" w:hAnsi="Times New Roman" w:cs="Times New Roman"/>
          <w:kern w:val="0"/>
          <w:sz w:val="28"/>
          <w:szCs w:val="28"/>
          <w:rtl/>
          <w14:ligatures w14:val="none"/>
        </w:rPr>
        <w:t>.</w:t>
      </w:r>
    </w:p>
    <w:p w14:paraId="60E0A713" w14:textId="77777777" w:rsidR="00512F2D" w:rsidRPr="004C5A9C" w:rsidRDefault="00512F2D" w:rsidP="00BE7B2A">
      <w:pPr>
        <w:numPr>
          <w:ilvl w:val="0"/>
          <w:numId w:val="6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سيناريو التنظيم القائم على المخرجات: إصدار لائحة موحدة تُركّز على إدارة المخاطر بصرف النظر عن نوع الكيان.</w:t>
      </w:r>
    </w:p>
    <w:p w14:paraId="25766F5A" w14:textId="77777777" w:rsidR="00512F2D" w:rsidRPr="004C5A9C" w:rsidRDefault="00512F2D" w:rsidP="00BE7B2A">
      <w:pPr>
        <w:numPr>
          <w:ilvl w:val="0"/>
          <w:numId w:val="6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سيناريو هيمنة </w:t>
      </w:r>
      <w:r w:rsidRPr="004C5A9C">
        <w:rPr>
          <w:rFonts w:ascii="Times New Roman" w:eastAsiaTheme="minorEastAsia" w:hAnsi="Times New Roman" w:cs="Times New Roman"/>
          <w:kern w:val="0"/>
          <w:sz w:val="28"/>
          <w:szCs w:val="28"/>
          <w14:ligatures w14:val="none"/>
        </w:rPr>
        <w:t>CBDC</w:t>
      </w:r>
      <w:r w:rsidRPr="004C5A9C">
        <w:rPr>
          <w:rFonts w:ascii="Times New Roman" w:eastAsiaTheme="minorEastAsia" w:hAnsi="Times New Roman" w:cs="Times New Roman"/>
          <w:kern w:val="0"/>
          <w:sz w:val="28"/>
          <w:szCs w:val="28"/>
          <w:rtl/>
          <w14:ligatures w14:val="none"/>
        </w:rPr>
        <w:t xml:space="preserve">: الريال الرقمي يستخدم قاعدة بيانات مدفوعة </w:t>
      </w:r>
      <w:r w:rsidRPr="004C5A9C">
        <w:rPr>
          <w:rFonts w:ascii="Times New Roman" w:eastAsiaTheme="minorEastAsia" w:hAnsi="Times New Roman" w:cs="Times New Roman"/>
          <w:kern w:val="0"/>
          <w:sz w:val="28"/>
          <w:szCs w:val="28"/>
          <w14:ligatures w14:val="none"/>
        </w:rPr>
        <w:t>DLT</w:t>
      </w:r>
      <w:r w:rsidRPr="004C5A9C">
        <w:rPr>
          <w:rFonts w:ascii="Times New Roman" w:eastAsiaTheme="minorEastAsia" w:hAnsi="Times New Roman" w:cs="Times New Roman"/>
          <w:kern w:val="0"/>
          <w:sz w:val="28"/>
          <w:szCs w:val="28"/>
          <w:rtl/>
          <w14:ligatures w14:val="none"/>
        </w:rPr>
        <w:t xml:space="preserve"> تربط البنوك المركزية بدول مجلس التعاون.</w:t>
      </w:r>
    </w:p>
    <w:p w14:paraId="12778F61" w14:textId="6EF29C48" w:rsidR="008B3630" w:rsidRPr="004C5A9C" w:rsidRDefault="00512F2D" w:rsidP="00BE7B2A">
      <w:pPr>
        <w:numPr>
          <w:ilvl w:val="0"/>
          <w:numId w:val="61"/>
        </w:numPr>
        <w:spacing w:before="100" w:beforeAutospacing="1" w:after="100" w:afterAutospacing="1" w:line="360" w:lineRule="auto"/>
        <w:rPr>
          <w:rFonts w:ascii="Times New Roman" w:eastAsiaTheme="minorEastAsia" w:hAnsi="Times New Roman" w:cs="Times New Roman"/>
          <w:kern w:val="0"/>
          <w:sz w:val="28"/>
          <w:szCs w:val="28"/>
          <w:rtl/>
          <w14:ligatures w14:val="none"/>
        </w:rPr>
      </w:pPr>
      <w:r w:rsidRPr="004C5A9C">
        <w:rPr>
          <w:rFonts w:ascii="Times New Roman" w:eastAsiaTheme="minorEastAsia" w:hAnsi="Times New Roman" w:cs="Times New Roman"/>
          <w:kern w:val="0"/>
          <w:sz w:val="28"/>
          <w:szCs w:val="28"/>
          <w:rtl/>
          <w14:ligatures w14:val="none"/>
        </w:rPr>
        <w:t xml:space="preserve">سيناريو الذكاء الاصطناعي السيادي: إطلاق نماذج </w:t>
      </w:r>
      <w:r w:rsidRPr="004C5A9C">
        <w:rPr>
          <w:rFonts w:ascii="Times New Roman" w:eastAsiaTheme="minorEastAsia" w:hAnsi="Times New Roman" w:cs="Times New Roman"/>
          <w:kern w:val="0"/>
          <w:sz w:val="28"/>
          <w:szCs w:val="28"/>
          <w14:ligatures w14:val="none"/>
        </w:rPr>
        <w:t>LLM</w:t>
      </w:r>
      <w:r w:rsidRPr="004C5A9C">
        <w:rPr>
          <w:rFonts w:ascii="Times New Roman" w:eastAsiaTheme="minorEastAsia" w:hAnsi="Times New Roman" w:cs="Times New Roman"/>
          <w:kern w:val="0"/>
          <w:sz w:val="28"/>
          <w:szCs w:val="28"/>
          <w:rtl/>
          <w14:ligatures w14:val="none"/>
        </w:rPr>
        <w:t xml:space="preserve"> وطنية لتقييم الائتمان السيادي تلقائياً.</w:t>
      </w:r>
    </w:p>
    <w:p w14:paraId="5213FC87" w14:textId="3F232B35" w:rsidR="00512F2D" w:rsidRPr="004C5A9C" w:rsidRDefault="00512F2D" w:rsidP="00BE7B2A">
      <w:pPr>
        <w:spacing w:before="100" w:beforeAutospacing="1" w:after="100" w:afterAutospacing="1" w:line="360" w:lineRule="auto"/>
        <w:outlineLvl w:val="3"/>
        <w:rPr>
          <w:rFonts w:ascii="Times New Roman" w:eastAsiaTheme="minorEastAsia" w:hAnsi="Times New Roman" w:cs="Times New Roman"/>
          <w:b/>
          <w:bCs/>
          <w:kern w:val="0"/>
          <w:sz w:val="32"/>
          <w:szCs w:val="32"/>
          <w14:ligatures w14:val="none"/>
        </w:rPr>
      </w:pPr>
      <w:r w:rsidRPr="004C5A9C">
        <w:rPr>
          <w:rFonts w:ascii="Times New Roman" w:eastAsia="Times New Roman" w:hAnsi="Times New Roman" w:cs="Times New Roman"/>
          <w:b/>
          <w:bCs/>
          <w:kern w:val="0"/>
          <w:sz w:val="32"/>
          <w:szCs w:val="32"/>
          <w14:ligatures w14:val="none"/>
        </w:rPr>
        <w:t>3-10</w:t>
      </w:r>
      <w:r w:rsidR="008B3630" w:rsidRPr="004C5A9C">
        <w:rPr>
          <w:rFonts w:ascii="Times New Roman" w:eastAsia="Times New Roman" w:hAnsi="Times New Roman" w:cs="Times New Roman" w:hint="cs"/>
          <w:b/>
          <w:bCs/>
          <w:kern w:val="0"/>
          <w:sz w:val="32"/>
          <w:szCs w:val="32"/>
          <w:rtl/>
          <w14:ligatures w14:val="none"/>
        </w:rPr>
        <w:t>-</w:t>
      </w:r>
      <w:r w:rsidRPr="004C5A9C">
        <w:rPr>
          <w:rFonts w:ascii="Times New Roman" w:eastAsia="Times New Roman" w:hAnsi="Times New Roman" w:cs="Times New Roman"/>
          <w:b/>
          <w:bCs/>
          <w:kern w:val="0"/>
          <w:sz w:val="32"/>
          <w:szCs w:val="32"/>
          <w14:ligatures w14:val="none"/>
        </w:rPr>
        <w:t xml:space="preserve">  </w:t>
      </w:r>
      <w:r w:rsidRPr="004C5A9C">
        <w:rPr>
          <w:rFonts w:ascii="Times New Roman" w:eastAsia="Times New Roman" w:hAnsi="Times New Roman" w:cs="Times New Roman"/>
          <w:b/>
          <w:bCs/>
          <w:kern w:val="0"/>
          <w:sz w:val="32"/>
          <w:szCs w:val="32"/>
          <w:rtl/>
          <w14:ligatures w14:val="none"/>
        </w:rPr>
        <w:t>خلاصة مكثّفة</w:t>
      </w:r>
    </w:p>
    <w:p w14:paraId="63CBB0EA" w14:textId="77777777" w:rsidR="00512F2D" w:rsidRPr="004C5A9C" w:rsidRDefault="00512F2D" w:rsidP="00BE7B2A">
      <w:pPr>
        <w:spacing w:before="100" w:beforeAutospacing="1" w:after="100" w:afterAutospacing="1" w:line="360" w:lineRule="auto"/>
        <w:rPr>
          <w:rFonts w:ascii="Times New Roman" w:eastAsiaTheme="minorEastAsia" w:hAnsi="Times New Roman" w:cs="Times New Roman"/>
          <w:kern w:val="0"/>
          <w:sz w:val="28"/>
          <w:szCs w:val="28"/>
          <w14:ligatures w14:val="none"/>
        </w:rPr>
      </w:pPr>
      <w:r w:rsidRPr="004C5A9C">
        <w:rPr>
          <w:rFonts w:ascii="Times New Roman" w:eastAsiaTheme="minorEastAsia" w:hAnsi="Times New Roman" w:cs="Times New Roman"/>
          <w:kern w:val="0"/>
          <w:sz w:val="28"/>
          <w:szCs w:val="28"/>
          <w:rtl/>
          <w14:ligatures w14:val="none"/>
        </w:rPr>
        <w:t xml:space="preserve">تكشف المقارنة أنّ البنك الرقمي المرخَّص يلبّي متطلبات الشركاء التنظيميّين بصورة أوضح، لكنّه يدفع تكلفة امتثال كبيرة تزداد حدّةً في سنوات التشغيل الأولى. في المقابل، النموذج اللامركزي يقدّم ابتكاراً خالصاً منخفض التكلفة لكنه يضع الجهات الرقابية أمام تحدّيات </w:t>
      </w:r>
      <w:r w:rsidRPr="004C5A9C">
        <w:rPr>
          <w:rFonts w:ascii="Times New Roman" w:eastAsiaTheme="minorEastAsia" w:hAnsi="Times New Roman" w:cs="Times New Roman"/>
          <w:kern w:val="0"/>
          <w:sz w:val="28"/>
          <w:szCs w:val="28"/>
          <w14:ligatures w14:val="none"/>
        </w:rPr>
        <w:t>AML/KYC</w:t>
      </w:r>
      <w:r w:rsidRPr="004C5A9C">
        <w:rPr>
          <w:rFonts w:ascii="Times New Roman" w:eastAsiaTheme="minorEastAsia" w:hAnsi="Times New Roman" w:cs="Times New Roman"/>
          <w:kern w:val="0"/>
          <w:sz w:val="28"/>
          <w:szCs w:val="28"/>
          <w:rtl/>
          <w14:ligatures w14:val="none"/>
        </w:rPr>
        <w:t xml:space="preserve"> وسيادة البيانات. ويبقى الخيار الأكثر واقعية للمملكة هو تبنّي مقاربة هجينة: احتضان الابتكار اللامركزي داخل مظلة تنظيمية مرنة تحافظ على المكتسبات الاحترازية وتضمن حماية المستهلك واستقرار النظام المالي.</w:t>
      </w:r>
    </w:p>
    <w:p w14:paraId="1CE0B183" w14:textId="7A0CEE10" w:rsidR="00752446" w:rsidRPr="00A54134" w:rsidRDefault="00752446" w:rsidP="00FC69E4">
      <w:pPr>
        <w:pStyle w:val="p1"/>
        <w:spacing w:line="360" w:lineRule="auto"/>
        <w:rPr>
          <w:sz w:val="28"/>
          <w:szCs w:val="28"/>
          <w:rtl/>
        </w:rPr>
      </w:pPr>
    </w:p>
    <w:sectPr w:rsidR="00752446" w:rsidRPr="00A54134" w:rsidSect="00EE6DB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DFCC" w14:textId="77777777" w:rsidR="003F4DC4" w:rsidRDefault="003F4DC4" w:rsidP="009125CE">
      <w:pPr>
        <w:spacing w:after="0" w:line="240" w:lineRule="auto"/>
      </w:pPr>
      <w:r>
        <w:separator/>
      </w:r>
    </w:p>
  </w:endnote>
  <w:endnote w:type="continuationSeparator" w:id="0">
    <w:p w14:paraId="0E691808" w14:textId="77777777" w:rsidR="003F4DC4" w:rsidRDefault="003F4D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SFArabic-Regular">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SFArabic-Semibold">
    <w:panose1 w:val="020B0604020202020204"/>
    <w:charset w:val="00"/>
    <w:family w:val="roman"/>
    <w:pitch w:val="default"/>
  </w:font>
  <w:font w:name=".SF Arabic">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115331719"/>
      <w:docPartObj>
        <w:docPartGallery w:val="Page Numbers (Bottom of Page)"/>
        <w:docPartUnique/>
      </w:docPartObj>
    </w:sdtPr>
    <w:sdtEndPr>
      <w:rPr>
        <w:rStyle w:val="a7"/>
      </w:rPr>
    </w:sdtEndPr>
    <w:sdtContent>
      <w:p w14:paraId="17401952" w14:textId="65DA5158" w:rsidR="00EE6DBC" w:rsidRDefault="00EE6DBC" w:rsidP="004549EA">
        <w:pPr>
          <w:pStyle w:val="a4"/>
          <w:framePr w:wrap="none" w:vAnchor="text" w:hAnchor="text" w:y="1"/>
          <w:rPr>
            <w:rStyle w:val="a7"/>
          </w:rPr>
        </w:pPr>
        <w:r>
          <w:rPr>
            <w:rStyle w:val="a7"/>
            <w:rtl/>
          </w:rPr>
          <w:fldChar w:fldCharType="begin"/>
        </w:r>
        <w:r>
          <w:rPr>
            <w:rStyle w:val="a7"/>
          </w:rPr>
          <w:instrText xml:space="preserve"> PAGE </w:instrText>
        </w:r>
        <w:r>
          <w:rPr>
            <w:rStyle w:val="a7"/>
            <w:rtl/>
          </w:rPr>
          <w:fldChar w:fldCharType="end"/>
        </w:r>
      </w:p>
    </w:sdtContent>
  </w:sdt>
  <w:p w14:paraId="2B006936" w14:textId="77777777" w:rsidR="00EE6DBC" w:rsidRDefault="00EE6DBC" w:rsidP="00EE6DB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tl/>
      </w:rPr>
      <w:id w:val="-122238286"/>
      <w:docPartObj>
        <w:docPartGallery w:val="Page Numbers (Bottom of Page)"/>
        <w:docPartUnique/>
      </w:docPartObj>
    </w:sdtPr>
    <w:sdtEndPr>
      <w:rPr>
        <w:rStyle w:val="a7"/>
      </w:rPr>
    </w:sdtEndPr>
    <w:sdtContent>
      <w:p w14:paraId="78246855" w14:textId="34C8B640" w:rsidR="00EE6DBC" w:rsidRDefault="00EE6DBC" w:rsidP="004549EA">
        <w:pPr>
          <w:pStyle w:val="a4"/>
          <w:framePr w:wrap="none" w:vAnchor="text" w:hAnchor="text"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2</w:t>
        </w:r>
        <w:r>
          <w:rPr>
            <w:rStyle w:val="a7"/>
            <w:rtl/>
          </w:rPr>
          <w:fldChar w:fldCharType="end"/>
        </w:r>
      </w:p>
    </w:sdtContent>
  </w:sdt>
  <w:p w14:paraId="7579D69F" w14:textId="77777777" w:rsidR="00EE6DBC" w:rsidRDefault="00EE6DBC" w:rsidP="00EE6DBC">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E93AC" w14:textId="77777777" w:rsidR="003F4DC4" w:rsidRDefault="003F4DC4" w:rsidP="009125CE">
      <w:pPr>
        <w:spacing w:after="0" w:line="240" w:lineRule="auto"/>
      </w:pPr>
      <w:r>
        <w:separator/>
      </w:r>
    </w:p>
  </w:footnote>
  <w:footnote w:type="continuationSeparator" w:id="0">
    <w:p w14:paraId="4C116F6D" w14:textId="77777777" w:rsidR="003F4DC4" w:rsidRDefault="003F4DC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731E"/>
    <w:multiLevelType w:val="hybridMultilevel"/>
    <w:tmpl w:val="16B09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40A87"/>
    <w:multiLevelType w:val="hybridMultilevel"/>
    <w:tmpl w:val="3D8EDF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A4527B"/>
    <w:multiLevelType w:val="hybridMultilevel"/>
    <w:tmpl w:val="CC1CE7C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C22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50041B"/>
    <w:multiLevelType w:val="multilevel"/>
    <w:tmpl w:val="FE36E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F853CC"/>
    <w:multiLevelType w:val="hybridMultilevel"/>
    <w:tmpl w:val="0DE67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CE67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657ECA"/>
    <w:multiLevelType w:val="hybridMultilevel"/>
    <w:tmpl w:val="FEA8384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3E3DEE"/>
    <w:multiLevelType w:val="hybridMultilevel"/>
    <w:tmpl w:val="3E909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3C45B1"/>
    <w:multiLevelType w:val="hybridMultilevel"/>
    <w:tmpl w:val="AAA02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DA1B57"/>
    <w:multiLevelType w:val="hybridMultilevel"/>
    <w:tmpl w:val="FEB2A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807F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8431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9441C5"/>
    <w:multiLevelType w:val="hybridMultilevel"/>
    <w:tmpl w:val="B5CE2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C77E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F72B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763050"/>
    <w:multiLevelType w:val="hybridMultilevel"/>
    <w:tmpl w:val="6284B7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55375D"/>
    <w:multiLevelType w:val="hybridMultilevel"/>
    <w:tmpl w:val="49F2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FC40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C46880"/>
    <w:multiLevelType w:val="hybridMultilevel"/>
    <w:tmpl w:val="82187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457B8A"/>
    <w:multiLevelType w:val="hybridMultilevel"/>
    <w:tmpl w:val="91141B9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211034"/>
    <w:multiLevelType w:val="hybridMultilevel"/>
    <w:tmpl w:val="9D60E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FA5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D21892"/>
    <w:multiLevelType w:val="hybridMultilevel"/>
    <w:tmpl w:val="96A6C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2A5C23"/>
    <w:multiLevelType w:val="hybridMultilevel"/>
    <w:tmpl w:val="EBEEB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882125"/>
    <w:multiLevelType w:val="hybridMultilevel"/>
    <w:tmpl w:val="9A2E8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9861C6"/>
    <w:multiLevelType w:val="hybridMultilevel"/>
    <w:tmpl w:val="8DD0F7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B4292A"/>
    <w:multiLevelType w:val="hybridMultilevel"/>
    <w:tmpl w:val="BA922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4B37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925E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B405D8"/>
    <w:multiLevelType w:val="hybridMultilevel"/>
    <w:tmpl w:val="DE9C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901A70"/>
    <w:multiLevelType w:val="hybridMultilevel"/>
    <w:tmpl w:val="CF269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726409"/>
    <w:multiLevelType w:val="hybridMultilevel"/>
    <w:tmpl w:val="F1A62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6D4A1A"/>
    <w:multiLevelType w:val="hybridMultilevel"/>
    <w:tmpl w:val="36C6C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12F7C5E"/>
    <w:multiLevelType w:val="hybridMultilevel"/>
    <w:tmpl w:val="D21C021E"/>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BC348C96">
      <w:start w:val="4"/>
      <w:numFmt w:val="bullet"/>
      <w:lvlText w:val="•"/>
      <w:lvlJc w:val="left"/>
      <w:pPr>
        <w:ind w:left="2700" w:hanging="72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C77544"/>
    <w:multiLevelType w:val="hybridMultilevel"/>
    <w:tmpl w:val="0C4072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5450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F72693"/>
    <w:multiLevelType w:val="hybridMultilevel"/>
    <w:tmpl w:val="32B824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842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AD5575"/>
    <w:multiLevelType w:val="hybridMultilevel"/>
    <w:tmpl w:val="86248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A61DD0"/>
    <w:multiLevelType w:val="multilevel"/>
    <w:tmpl w:val="F3E083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00" w:hanging="6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EF05E6"/>
    <w:multiLevelType w:val="hybridMultilevel"/>
    <w:tmpl w:val="D72654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2682A34"/>
    <w:multiLevelType w:val="hybridMultilevel"/>
    <w:tmpl w:val="8CB8D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972A40"/>
    <w:multiLevelType w:val="hybridMultilevel"/>
    <w:tmpl w:val="233C0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31475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41236C"/>
    <w:multiLevelType w:val="hybridMultilevel"/>
    <w:tmpl w:val="2D6AA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3453737"/>
    <w:multiLevelType w:val="hybridMultilevel"/>
    <w:tmpl w:val="EC588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6C7CCC"/>
    <w:multiLevelType w:val="hybridMultilevel"/>
    <w:tmpl w:val="A1B4FA82"/>
    <w:lvl w:ilvl="0" w:tplc="FFFFFFFF">
      <w:start w:val="1"/>
      <w:numFmt w:val="decimal"/>
      <w:lvlText w:val="%1-"/>
      <w:lvlJc w:val="left"/>
      <w:pPr>
        <w:ind w:left="720" w:hanging="360"/>
      </w:pPr>
      <w:rPr>
        <w:rFonts w:ascii="UICTFontTextStyleBody" w:hAnsi="UICTFontTextStyleBod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7D5D3C"/>
    <w:multiLevelType w:val="hybridMultilevel"/>
    <w:tmpl w:val="4574DE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AC621E"/>
    <w:multiLevelType w:val="hybridMultilevel"/>
    <w:tmpl w:val="E47AB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67F1B67"/>
    <w:multiLevelType w:val="hybridMultilevel"/>
    <w:tmpl w:val="FE861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71E6845"/>
    <w:multiLevelType w:val="hybridMultilevel"/>
    <w:tmpl w:val="E7EE2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8546814"/>
    <w:multiLevelType w:val="hybridMultilevel"/>
    <w:tmpl w:val="3E884E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1844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B7562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2944E2"/>
    <w:multiLevelType w:val="hybridMultilevel"/>
    <w:tmpl w:val="9A3A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E4012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186FE7"/>
    <w:multiLevelType w:val="hybridMultilevel"/>
    <w:tmpl w:val="82A0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E676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DE6B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5144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8E01AFA"/>
    <w:multiLevelType w:val="hybridMultilevel"/>
    <w:tmpl w:val="3B56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BEC098D"/>
    <w:multiLevelType w:val="hybridMultilevel"/>
    <w:tmpl w:val="4A96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C6663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07478F"/>
    <w:multiLevelType w:val="hybridMultilevel"/>
    <w:tmpl w:val="1F901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2B16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43103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8B7DC1"/>
    <w:multiLevelType w:val="hybridMultilevel"/>
    <w:tmpl w:val="78E697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73E64EA"/>
    <w:multiLevelType w:val="hybridMultilevel"/>
    <w:tmpl w:val="64FA51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87E50A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B32056F"/>
    <w:multiLevelType w:val="hybridMultilevel"/>
    <w:tmpl w:val="52981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DC2616E"/>
    <w:multiLevelType w:val="hybridMultilevel"/>
    <w:tmpl w:val="270AE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E931D7E"/>
    <w:multiLevelType w:val="hybridMultilevel"/>
    <w:tmpl w:val="96723D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7F971F6D"/>
    <w:multiLevelType w:val="hybridMultilevel"/>
    <w:tmpl w:val="B210A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370016">
    <w:abstractNumId w:val="67"/>
  </w:num>
  <w:num w:numId="2" w16cid:durableId="750663677">
    <w:abstractNumId w:val="10"/>
  </w:num>
  <w:num w:numId="3" w16cid:durableId="1109620390">
    <w:abstractNumId w:val="9"/>
  </w:num>
  <w:num w:numId="4" w16cid:durableId="1806577725">
    <w:abstractNumId w:val="34"/>
  </w:num>
  <w:num w:numId="5" w16cid:durableId="499855773">
    <w:abstractNumId w:val="20"/>
  </w:num>
  <w:num w:numId="6" w16cid:durableId="317076322">
    <w:abstractNumId w:val="2"/>
  </w:num>
  <w:num w:numId="7" w16cid:durableId="790826358">
    <w:abstractNumId w:val="8"/>
  </w:num>
  <w:num w:numId="8" w16cid:durableId="1416437900">
    <w:abstractNumId w:val="49"/>
  </w:num>
  <w:num w:numId="9" w16cid:durableId="2049337102">
    <w:abstractNumId w:val="42"/>
  </w:num>
  <w:num w:numId="10" w16cid:durableId="1814640820">
    <w:abstractNumId w:val="71"/>
  </w:num>
  <w:num w:numId="11" w16cid:durableId="705522394">
    <w:abstractNumId w:val="70"/>
  </w:num>
  <w:num w:numId="12" w16cid:durableId="513301942">
    <w:abstractNumId w:val="72"/>
  </w:num>
  <w:num w:numId="13" w16cid:durableId="1829593712">
    <w:abstractNumId w:val="24"/>
  </w:num>
  <w:num w:numId="14" w16cid:durableId="507211964">
    <w:abstractNumId w:val="25"/>
  </w:num>
  <w:num w:numId="15" w16cid:durableId="2004770720">
    <w:abstractNumId w:val="50"/>
  </w:num>
  <w:num w:numId="16" w16cid:durableId="623120582">
    <w:abstractNumId w:val="21"/>
  </w:num>
  <w:num w:numId="17" w16cid:durableId="1321076774">
    <w:abstractNumId w:val="45"/>
  </w:num>
  <w:num w:numId="18" w16cid:durableId="104429250">
    <w:abstractNumId w:val="30"/>
  </w:num>
  <w:num w:numId="19" w16cid:durableId="629408241">
    <w:abstractNumId w:val="32"/>
  </w:num>
  <w:num w:numId="20" w16cid:durableId="1364209150">
    <w:abstractNumId w:val="27"/>
  </w:num>
  <w:num w:numId="21" w16cid:durableId="33894011">
    <w:abstractNumId w:val="55"/>
  </w:num>
  <w:num w:numId="22" w16cid:durableId="94403851">
    <w:abstractNumId w:val="62"/>
  </w:num>
  <w:num w:numId="23" w16cid:durableId="1830172265">
    <w:abstractNumId w:val="13"/>
  </w:num>
  <w:num w:numId="24" w16cid:durableId="1721053220">
    <w:abstractNumId w:val="19"/>
  </w:num>
  <w:num w:numId="25" w16cid:durableId="1683361026">
    <w:abstractNumId w:val="33"/>
  </w:num>
  <w:num w:numId="26" w16cid:durableId="1851606162">
    <w:abstractNumId w:val="57"/>
  </w:num>
  <w:num w:numId="27" w16cid:durableId="1312253251">
    <w:abstractNumId w:val="17"/>
  </w:num>
  <w:num w:numId="28" w16cid:durableId="2142721721">
    <w:abstractNumId w:val="31"/>
  </w:num>
  <w:num w:numId="29" w16cid:durableId="1005747430">
    <w:abstractNumId w:val="46"/>
  </w:num>
  <w:num w:numId="30" w16cid:durableId="1633753909">
    <w:abstractNumId w:val="56"/>
  </w:num>
  <w:num w:numId="31" w16cid:durableId="500389302">
    <w:abstractNumId w:val="68"/>
  </w:num>
  <w:num w:numId="32" w16cid:durableId="2079009960">
    <w:abstractNumId w:val="41"/>
  </w:num>
  <w:num w:numId="33" w16cid:durableId="1912931953">
    <w:abstractNumId w:val="52"/>
  </w:num>
  <w:num w:numId="34" w16cid:durableId="1016537967">
    <w:abstractNumId w:val="4"/>
  </w:num>
  <w:num w:numId="35" w16cid:durableId="1459029016">
    <w:abstractNumId w:val="35"/>
  </w:num>
  <w:num w:numId="36" w16cid:durableId="83379940">
    <w:abstractNumId w:val="64"/>
  </w:num>
  <w:num w:numId="37" w16cid:durableId="27879387">
    <w:abstractNumId w:val="0"/>
  </w:num>
  <w:num w:numId="38" w16cid:durableId="810102820">
    <w:abstractNumId w:val="5"/>
  </w:num>
  <w:num w:numId="39" w16cid:durableId="501245083">
    <w:abstractNumId w:val="39"/>
  </w:num>
  <w:num w:numId="40" w16cid:durableId="1977950096">
    <w:abstractNumId w:val="16"/>
  </w:num>
  <w:num w:numId="41" w16cid:durableId="1470393197">
    <w:abstractNumId w:val="63"/>
  </w:num>
  <w:num w:numId="42" w16cid:durableId="1294867309">
    <w:abstractNumId w:val="3"/>
  </w:num>
  <w:num w:numId="43" w16cid:durableId="1602251296">
    <w:abstractNumId w:val="59"/>
  </w:num>
  <w:num w:numId="44" w16cid:durableId="703673122">
    <w:abstractNumId w:val="6"/>
  </w:num>
  <w:num w:numId="45" w16cid:durableId="1538658805">
    <w:abstractNumId w:val="38"/>
  </w:num>
  <w:num w:numId="46" w16cid:durableId="1078282031">
    <w:abstractNumId w:val="18"/>
  </w:num>
  <w:num w:numId="47" w16cid:durableId="1168598728">
    <w:abstractNumId w:val="12"/>
  </w:num>
  <w:num w:numId="48" w16cid:durableId="1365330151">
    <w:abstractNumId w:val="53"/>
  </w:num>
  <w:num w:numId="49" w16cid:durableId="1655602026">
    <w:abstractNumId w:val="69"/>
  </w:num>
  <w:num w:numId="50" w16cid:durableId="271977294">
    <w:abstractNumId w:val="66"/>
  </w:num>
  <w:num w:numId="51" w16cid:durableId="204221206">
    <w:abstractNumId w:val="58"/>
  </w:num>
  <w:num w:numId="52" w16cid:durableId="1076172813">
    <w:abstractNumId w:val="36"/>
  </w:num>
  <w:num w:numId="53" w16cid:durableId="993753603">
    <w:abstractNumId w:val="65"/>
  </w:num>
  <w:num w:numId="54" w16cid:durableId="2101950420">
    <w:abstractNumId w:val="14"/>
  </w:num>
  <w:num w:numId="55" w16cid:durableId="1577007505">
    <w:abstractNumId w:val="11"/>
  </w:num>
  <w:num w:numId="56" w16cid:durableId="1003974477">
    <w:abstractNumId w:val="22"/>
  </w:num>
  <w:num w:numId="57" w16cid:durableId="1211108879">
    <w:abstractNumId w:val="28"/>
  </w:num>
  <w:num w:numId="58" w16cid:durableId="239874683">
    <w:abstractNumId w:val="15"/>
  </w:num>
  <w:num w:numId="59" w16cid:durableId="2002080851">
    <w:abstractNumId w:val="40"/>
  </w:num>
  <w:num w:numId="60" w16cid:durableId="2096511195">
    <w:abstractNumId w:val="29"/>
  </w:num>
  <w:num w:numId="61" w16cid:durableId="1223521223">
    <w:abstractNumId w:val="60"/>
  </w:num>
  <w:num w:numId="62" w16cid:durableId="786856191">
    <w:abstractNumId w:val="23"/>
  </w:num>
  <w:num w:numId="63" w16cid:durableId="1823231621">
    <w:abstractNumId w:val="73"/>
  </w:num>
  <w:num w:numId="64" w16cid:durableId="2005090630">
    <w:abstractNumId w:val="51"/>
  </w:num>
  <w:num w:numId="65" w16cid:durableId="796798003">
    <w:abstractNumId w:val="43"/>
  </w:num>
  <w:num w:numId="66" w16cid:durableId="1868254441">
    <w:abstractNumId w:val="48"/>
  </w:num>
  <w:num w:numId="67" w16cid:durableId="592907168">
    <w:abstractNumId w:val="26"/>
  </w:num>
  <w:num w:numId="68" w16cid:durableId="871530060">
    <w:abstractNumId w:val="1"/>
  </w:num>
  <w:num w:numId="69" w16cid:durableId="186141092">
    <w:abstractNumId w:val="37"/>
  </w:num>
  <w:num w:numId="70" w16cid:durableId="315845324">
    <w:abstractNumId w:val="61"/>
  </w:num>
  <w:num w:numId="71" w16cid:durableId="1602224289">
    <w:abstractNumId w:val="44"/>
  </w:num>
  <w:num w:numId="72" w16cid:durableId="331153507">
    <w:abstractNumId w:val="54"/>
  </w:num>
  <w:num w:numId="73" w16cid:durableId="1342659820">
    <w:abstractNumId w:val="7"/>
  </w:num>
  <w:num w:numId="74" w16cid:durableId="1975483662">
    <w:abstractNumId w:val="4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259"/>
    <w:rsid w:val="000062AD"/>
    <w:rsid w:val="0001033C"/>
    <w:rsid w:val="0001276B"/>
    <w:rsid w:val="00014975"/>
    <w:rsid w:val="00026C0A"/>
    <w:rsid w:val="00032F41"/>
    <w:rsid w:val="00035DFA"/>
    <w:rsid w:val="00045384"/>
    <w:rsid w:val="0006059A"/>
    <w:rsid w:val="00061843"/>
    <w:rsid w:val="00066613"/>
    <w:rsid w:val="00074E09"/>
    <w:rsid w:val="0007628F"/>
    <w:rsid w:val="000871A1"/>
    <w:rsid w:val="00095A04"/>
    <w:rsid w:val="00097D43"/>
    <w:rsid w:val="000A4A18"/>
    <w:rsid w:val="000A6A91"/>
    <w:rsid w:val="000A727D"/>
    <w:rsid w:val="000B0449"/>
    <w:rsid w:val="000C27D5"/>
    <w:rsid w:val="000C336D"/>
    <w:rsid w:val="000E3426"/>
    <w:rsid w:val="000F44B4"/>
    <w:rsid w:val="000F697F"/>
    <w:rsid w:val="001049A0"/>
    <w:rsid w:val="001165A3"/>
    <w:rsid w:val="001213AC"/>
    <w:rsid w:val="00126E6A"/>
    <w:rsid w:val="00134542"/>
    <w:rsid w:val="0014076D"/>
    <w:rsid w:val="00142EE4"/>
    <w:rsid w:val="001602AF"/>
    <w:rsid w:val="001602D1"/>
    <w:rsid w:val="00166DB8"/>
    <w:rsid w:val="00167114"/>
    <w:rsid w:val="00171685"/>
    <w:rsid w:val="001739B9"/>
    <w:rsid w:val="00184424"/>
    <w:rsid w:val="00184DA7"/>
    <w:rsid w:val="001902DB"/>
    <w:rsid w:val="00195766"/>
    <w:rsid w:val="001B11C0"/>
    <w:rsid w:val="001B3E4C"/>
    <w:rsid w:val="001B7161"/>
    <w:rsid w:val="001C2162"/>
    <w:rsid w:val="001E27A9"/>
    <w:rsid w:val="001E6B07"/>
    <w:rsid w:val="00203AC6"/>
    <w:rsid w:val="00205095"/>
    <w:rsid w:val="00206D81"/>
    <w:rsid w:val="00215658"/>
    <w:rsid w:val="002167B0"/>
    <w:rsid w:val="00225995"/>
    <w:rsid w:val="00230DE9"/>
    <w:rsid w:val="002321B6"/>
    <w:rsid w:val="00241676"/>
    <w:rsid w:val="002425BC"/>
    <w:rsid w:val="00253235"/>
    <w:rsid w:val="00261F17"/>
    <w:rsid w:val="00263CC3"/>
    <w:rsid w:val="0026432A"/>
    <w:rsid w:val="002655B7"/>
    <w:rsid w:val="00265DE2"/>
    <w:rsid w:val="00266FFE"/>
    <w:rsid w:val="00276248"/>
    <w:rsid w:val="002778DE"/>
    <w:rsid w:val="002812F1"/>
    <w:rsid w:val="0028319A"/>
    <w:rsid w:val="002841BA"/>
    <w:rsid w:val="00290F3B"/>
    <w:rsid w:val="00294525"/>
    <w:rsid w:val="002A32C0"/>
    <w:rsid w:val="002A368C"/>
    <w:rsid w:val="002C1CE0"/>
    <w:rsid w:val="002C7CC7"/>
    <w:rsid w:val="002D1EC6"/>
    <w:rsid w:val="002D283D"/>
    <w:rsid w:val="002D4647"/>
    <w:rsid w:val="002D4F1D"/>
    <w:rsid w:val="003130D9"/>
    <w:rsid w:val="00313187"/>
    <w:rsid w:val="00322732"/>
    <w:rsid w:val="00325429"/>
    <w:rsid w:val="003332F1"/>
    <w:rsid w:val="0034289C"/>
    <w:rsid w:val="003519A4"/>
    <w:rsid w:val="003600DD"/>
    <w:rsid w:val="00387888"/>
    <w:rsid w:val="003A2867"/>
    <w:rsid w:val="003A5207"/>
    <w:rsid w:val="003B0C13"/>
    <w:rsid w:val="003C17C6"/>
    <w:rsid w:val="003C63B5"/>
    <w:rsid w:val="003D0954"/>
    <w:rsid w:val="003D7F2C"/>
    <w:rsid w:val="003F17F6"/>
    <w:rsid w:val="003F4DC4"/>
    <w:rsid w:val="003F7291"/>
    <w:rsid w:val="00400258"/>
    <w:rsid w:val="00405B53"/>
    <w:rsid w:val="00421962"/>
    <w:rsid w:val="00424B51"/>
    <w:rsid w:val="004320E1"/>
    <w:rsid w:val="0044015C"/>
    <w:rsid w:val="004404E3"/>
    <w:rsid w:val="00441880"/>
    <w:rsid w:val="00441BC7"/>
    <w:rsid w:val="00441D6B"/>
    <w:rsid w:val="00442086"/>
    <w:rsid w:val="00452249"/>
    <w:rsid w:val="00452886"/>
    <w:rsid w:val="00453D09"/>
    <w:rsid w:val="0045432E"/>
    <w:rsid w:val="004549EA"/>
    <w:rsid w:val="00477339"/>
    <w:rsid w:val="004820BB"/>
    <w:rsid w:val="00485B5D"/>
    <w:rsid w:val="00487A5F"/>
    <w:rsid w:val="0049302A"/>
    <w:rsid w:val="004A078E"/>
    <w:rsid w:val="004A2C69"/>
    <w:rsid w:val="004A73FA"/>
    <w:rsid w:val="004B07A5"/>
    <w:rsid w:val="004B3D5E"/>
    <w:rsid w:val="004B402C"/>
    <w:rsid w:val="004B4C78"/>
    <w:rsid w:val="004B4EFA"/>
    <w:rsid w:val="004C5A9C"/>
    <w:rsid w:val="004C5F33"/>
    <w:rsid w:val="004E168A"/>
    <w:rsid w:val="004E51AE"/>
    <w:rsid w:val="004E63E3"/>
    <w:rsid w:val="004F119C"/>
    <w:rsid w:val="00505C4D"/>
    <w:rsid w:val="00510021"/>
    <w:rsid w:val="00512F2D"/>
    <w:rsid w:val="005226B7"/>
    <w:rsid w:val="005235F0"/>
    <w:rsid w:val="00554004"/>
    <w:rsid w:val="005552B2"/>
    <w:rsid w:val="005610C1"/>
    <w:rsid w:val="00567F4B"/>
    <w:rsid w:val="00582107"/>
    <w:rsid w:val="00584104"/>
    <w:rsid w:val="0059063A"/>
    <w:rsid w:val="00590B27"/>
    <w:rsid w:val="00592A26"/>
    <w:rsid w:val="00592E55"/>
    <w:rsid w:val="005A2181"/>
    <w:rsid w:val="005B2809"/>
    <w:rsid w:val="005B329A"/>
    <w:rsid w:val="005C6293"/>
    <w:rsid w:val="005D4E25"/>
    <w:rsid w:val="005D5555"/>
    <w:rsid w:val="005E32D3"/>
    <w:rsid w:val="005F02DC"/>
    <w:rsid w:val="005F5BE3"/>
    <w:rsid w:val="005F6998"/>
    <w:rsid w:val="005F7B59"/>
    <w:rsid w:val="0060710D"/>
    <w:rsid w:val="0061390F"/>
    <w:rsid w:val="00614CE4"/>
    <w:rsid w:val="00616B11"/>
    <w:rsid w:val="006214E0"/>
    <w:rsid w:val="00621A41"/>
    <w:rsid w:val="0062761F"/>
    <w:rsid w:val="006358FC"/>
    <w:rsid w:val="0064381D"/>
    <w:rsid w:val="00651817"/>
    <w:rsid w:val="00653631"/>
    <w:rsid w:val="006613E8"/>
    <w:rsid w:val="00662F23"/>
    <w:rsid w:val="00666FAD"/>
    <w:rsid w:val="00672031"/>
    <w:rsid w:val="00674825"/>
    <w:rsid w:val="00682C2A"/>
    <w:rsid w:val="00685904"/>
    <w:rsid w:val="006878B9"/>
    <w:rsid w:val="00687BA7"/>
    <w:rsid w:val="00694722"/>
    <w:rsid w:val="006948DE"/>
    <w:rsid w:val="006A0B57"/>
    <w:rsid w:val="006A75A3"/>
    <w:rsid w:val="006B486E"/>
    <w:rsid w:val="006D6F9D"/>
    <w:rsid w:val="00716592"/>
    <w:rsid w:val="00725C71"/>
    <w:rsid w:val="007320AF"/>
    <w:rsid w:val="00741CA0"/>
    <w:rsid w:val="0074755D"/>
    <w:rsid w:val="00747B81"/>
    <w:rsid w:val="00752446"/>
    <w:rsid w:val="00754D27"/>
    <w:rsid w:val="0077580A"/>
    <w:rsid w:val="00776A8F"/>
    <w:rsid w:val="0078261B"/>
    <w:rsid w:val="00784814"/>
    <w:rsid w:val="00784D8D"/>
    <w:rsid w:val="007850B6"/>
    <w:rsid w:val="0079303E"/>
    <w:rsid w:val="00796983"/>
    <w:rsid w:val="007A0E7E"/>
    <w:rsid w:val="007B0E54"/>
    <w:rsid w:val="007B48AF"/>
    <w:rsid w:val="007B563F"/>
    <w:rsid w:val="007C36CA"/>
    <w:rsid w:val="007C4CB2"/>
    <w:rsid w:val="007C4D39"/>
    <w:rsid w:val="007D03C5"/>
    <w:rsid w:val="007D58BF"/>
    <w:rsid w:val="007D79B2"/>
    <w:rsid w:val="007E2729"/>
    <w:rsid w:val="007E3A20"/>
    <w:rsid w:val="007F48BF"/>
    <w:rsid w:val="00802051"/>
    <w:rsid w:val="00803E81"/>
    <w:rsid w:val="00804BFA"/>
    <w:rsid w:val="008124B7"/>
    <w:rsid w:val="00812C8C"/>
    <w:rsid w:val="008229E3"/>
    <w:rsid w:val="00827F01"/>
    <w:rsid w:val="00834B8A"/>
    <w:rsid w:val="00835085"/>
    <w:rsid w:val="00837D38"/>
    <w:rsid w:val="00846298"/>
    <w:rsid w:val="008469B1"/>
    <w:rsid w:val="00850127"/>
    <w:rsid w:val="00871382"/>
    <w:rsid w:val="0087390A"/>
    <w:rsid w:val="00875976"/>
    <w:rsid w:val="00877AAC"/>
    <w:rsid w:val="0088149D"/>
    <w:rsid w:val="008A09F3"/>
    <w:rsid w:val="008A1E67"/>
    <w:rsid w:val="008A335F"/>
    <w:rsid w:val="008B3630"/>
    <w:rsid w:val="008B68E7"/>
    <w:rsid w:val="008D2583"/>
    <w:rsid w:val="008D3821"/>
    <w:rsid w:val="008E4D51"/>
    <w:rsid w:val="008E6298"/>
    <w:rsid w:val="008F1EAE"/>
    <w:rsid w:val="008F2559"/>
    <w:rsid w:val="009125CE"/>
    <w:rsid w:val="00913D8A"/>
    <w:rsid w:val="009438AB"/>
    <w:rsid w:val="009447E1"/>
    <w:rsid w:val="00962C39"/>
    <w:rsid w:val="0096729C"/>
    <w:rsid w:val="00975B7C"/>
    <w:rsid w:val="0098141F"/>
    <w:rsid w:val="0098504F"/>
    <w:rsid w:val="0098728B"/>
    <w:rsid w:val="00990B55"/>
    <w:rsid w:val="009928E4"/>
    <w:rsid w:val="009A010E"/>
    <w:rsid w:val="009A3A1C"/>
    <w:rsid w:val="009A4FCA"/>
    <w:rsid w:val="009A5B7C"/>
    <w:rsid w:val="009A6685"/>
    <w:rsid w:val="009A7167"/>
    <w:rsid w:val="009B6888"/>
    <w:rsid w:val="009C0161"/>
    <w:rsid w:val="009D108D"/>
    <w:rsid w:val="009E1246"/>
    <w:rsid w:val="009E1436"/>
    <w:rsid w:val="009E5668"/>
    <w:rsid w:val="009F0AD2"/>
    <w:rsid w:val="009F0BE4"/>
    <w:rsid w:val="009F3D3C"/>
    <w:rsid w:val="009F6FE0"/>
    <w:rsid w:val="009F7833"/>
    <w:rsid w:val="00A02B94"/>
    <w:rsid w:val="00A04B27"/>
    <w:rsid w:val="00A04C28"/>
    <w:rsid w:val="00A0687D"/>
    <w:rsid w:val="00A06E5E"/>
    <w:rsid w:val="00A06F3A"/>
    <w:rsid w:val="00A212A4"/>
    <w:rsid w:val="00A22515"/>
    <w:rsid w:val="00A24A5D"/>
    <w:rsid w:val="00A25B93"/>
    <w:rsid w:val="00A350FA"/>
    <w:rsid w:val="00A36179"/>
    <w:rsid w:val="00A372EC"/>
    <w:rsid w:val="00A438CD"/>
    <w:rsid w:val="00A54134"/>
    <w:rsid w:val="00A57695"/>
    <w:rsid w:val="00A60D35"/>
    <w:rsid w:val="00A60FB1"/>
    <w:rsid w:val="00A6251B"/>
    <w:rsid w:val="00A62680"/>
    <w:rsid w:val="00A665AD"/>
    <w:rsid w:val="00A74F76"/>
    <w:rsid w:val="00A92AD9"/>
    <w:rsid w:val="00AA1F8D"/>
    <w:rsid w:val="00AA36B7"/>
    <w:rsid w:val="00AA595C"/>
    <w:rsid w:val="00AA79E9"/>
    <w:rsid w:val="00AB0A70"/>
    <w:rsid w:val="00AB3BBF"/>
    <w:rsid w:val="00AC13C9"/>
    <w:rsid w:val="00AD1543"/>
    <w:rsid w:val="00AD740E"/>
    <w:rsid w:val="00AE03C3"/>
    <w:rsid w:val="00AE09CD"/>
    <w:rsid w:val="00B0237D"/>
    <w:rsid w:val="00B030C9"/>
    <w:rsid w:val="00B1203A"/>
    <w:rsid w:val="00B3439D"/>
    <w:rsid w:val="00B35453"/>
    <w:rsid w:val="00B51A1E"/>
    <w:rsid w:val="00B522B6"/>
    <w:rsid w:val="00B55620"/>
    <w:rsid w:val="00B63B0F"/>
    <w:rsid w:val="00B64A87"/>
    <w:rsid w:val="00B70253"/>
    <w:rsid w:val="00B70926"/>
    <w:rsid w:val="00B741FC"/>
    <w:rsid w:val="00B7678A"/>
    <w:rsid w:val="00B80FFB"/>
    <w:rsid w:val="00B9002E"/>
    <w:rsid w:val="00B9522B"/>
    <w:rsid w:val="00B96CC7"/>
    <w:rsid w:val="00BA1301"/>
    <w:rsid w:val="00BA1C45"/>
    <w:rsid w:val="00BB5601"/>
    <w:rsid w:val="00BB7F31"/>
    <w:rsid w:val="00BC4286"/>
    <w:rsid w:val="00BC7795"/>
    <w:rsid w:val="00BD7692"/>
    <w:rsid w:val="00BE24D7"/>
    <w:rsid w:val="00BE3C69"/>
    <w:rsid w:val="00BE5CB2"/>
    <w:rsid w:val="00BE7B2A"/>
    <w:rsid w:val="00C04D0B"/>
    <w:rsid w:val="00C15D80"/>
    <w:rsid w:val="00C177A7"/>
    <w:rsid w:val="00C225A1"/>
    <w:rsid w:val="00C22E10"/>
    <w:rsid w:val="00C32548"/>
    <w:rsid w:val="00C41830"/>
    <w:rsid w:val="00C42087"/>
    <w:rsid w:val="00C4214B"/>
    <w:rsid w:val="00C51D0F"/>
    <w:rsid w:val="00C63A2A"/>
    <w:rsid w:val="00C71E18"/>
    <w:rsid w:val="00C729DB"/>
    <w:rsid w:val="00C81CDB"/>
    <w:rsid w:val="00C90B2B"/>
    <w:rsid w:val="00CA0CCA"/>
    <w:rsid w:val="00CA597A"/>
    <w:rsid w:val="00CB28F5"/>
    <w:rsid w:val="00CB2C3F"/>
    <w:rsid w:val="00CB66EE"/>
    <w:rsid w:val="00CC49C9"/>
    <w:rsid w:val="00CC5958"/>
    <w:rsid w:val="00CD1F3D"/>
    <w:rsid w:val="00CE1AC1"/>
    <w:rsid w:val="00CE2151"/>
    <w:rsid w:val="00CE2D8A"/>
    <w:rsid w:val="00CE5898"/>
    <w:rsid w:val="00CE5D12"/>
    <w:rsid w:val="00CF1A0F"/>
    <w:rsid w:val="00CF2135"/>
    <w:rsid w:val="00CF433A"/>
    <w:rsid w:val="00D11064"/>
    <w:rsid w:val="00D13D4B"/>
    <w:rsid w:val="00D21DAB"/>
    <w:rsid w:val="00D22171"/>
    <w:rsid w:val="00D31989"/>
    <w:rsid w:val="00D347ED"/>
    <w:rsid w:val="00D3710D"/>
    <w:rsid w:val="00D44644"/>
    <w:rsid w:val="00D4736E"/>
    <w:rsid w:val="00D634A1"/>
    <w:rsid w:val="00D63DFE"/>
    <w:rsid w:val="00D651C3"/>
    <w:rsid w:val="00D66B8E"/>
    <w:rsid w:val="00D759C6"/>
    <w:rsid w:val="00D806CF"/>
    <w:rsid w:val="00D9257C"/>
    <w:rsid w:val="00D9397D"/>
    <w:rsid w:val="00DA7838"/>
    <w:rsid w:val="00DB4B42"/>
    <w:rsid w:val="00DC580D"/>
    <w:rsid w:val="00DD19E0"/>
    <w:rsid w:val="00DD3027"/>
    <w:rsid w:val="00DE1A23"/>
    <w:rsid w:val="00DE5C2F"/>
    <w:rsid w:val="00DE7304"/>
    <w:rsid w:val="00DF1C23"/>
    <w:rsid w:val="00DF5171"/>
    <w:rsid w:val="00DF72A2"/>
    <w:rsid w:val="00E079AB"/>
    <w:rsid w:val="00E16E0A"/>
    <w:rsid w:val="00E2138D"/>
    <w:rsid w:val="00E27702"/>
    <w:rsid w:val="00E27DA7"/>
    <w:rsid w:val="00E34B3E"/>
    <w:rsid w:val="00E554D9"/>
    <w:rsid w:val="00E605FE"/>
    <w:rsid w:val="00E714ED"/>
    <w:rsid w:val="00E71C79"/>
    <w:rsid w:val="00E72EAC"/>
    <w:rsid w:val="00E72F04"/>
    <w:rsid w:val="00E752D0"/>
    <w:rsid w:val="00E75C9E"/>
    <w:rsid w:val="00E80D88"/>
    <w:rsid w:val="00E80FD9"/>
    <w:rsid w:val="00E90E25"/>
    <w:rsid w:val="00E96D53"/>
    <w:rsid w:val="00EA0E3C"/>
    <w:rsid w:val="00EA478D"/>
    <w:rsid w:val="00EA69FC"/>
    <w:rsid w:val="00EA6B5D"/>
    <w:rsid w:val="00EA7570"/>
    <w:rsid w:val="00EB0409"/>
    <w:rsid w:val="00EB4D47"/>
    <w:rsid w:val="00EC2626"/>
    <w:rsid w:val="00ED12AC"/>
    <w:rsid w:val="00EE4476"/>
    <w:rsid w:val="00EE5206"/>
    <w:rsid w:val="00EE5C15"/>
    <w:rsid w:val="00EE6DBC"/>
    <w:rsid w:val="00EE7DAB"/>
    <w:rsid w:val="00EF34F1"/>
    <w:rsid w:val="00F01C1F"/>
    <w:rsid w:val="00F12D2D"/>
    <w:rsid w:val="00F149F9"/>
    <w:rsid w:val="00F21B0D"/>
    <w:rsid w:val="00F23900"/>
    <w:rsid w:val="00F4089A"/>
    <w:rsid w:val="00F46E04"/>
    <w:rsid w:val="00F50222"/>
    <w:rsid w:val="00F546CE"/>
    <w:rsid w:val="00F55005"/>
    <w:rsid w:val="00F574F9"/>
    <w:rsid w:val="00F71FE3"/>
    <w:rsid w:val="00F83D07"/>
    <w:rsid w:val="00F84F79"/>
    <w:rsid w:val="00F9407E"/>
    <w:rsid w:val="00FA2DC1"/>
    <w:rsid w:val="00FA40A4"/>
    <w:rsid w:val="00FB0818"/>
    <w:rsid w:val="00FB3AC1"/>
    <w:rsid w:val="00FB77C3"/>
    <w:rsid w:val="00FC079F"/>
    <w:rsid w:val="00FC2445"/>
    <w:rsid w:val="00FC4061"/>
    <w:rsid w:val="00FC628C"/>
    <w:rsid w:val="00FC65EF"/>
    <w:rsid w:val="00FC69E4"/>
    <w:rsid w:val="00FD0057"/>
    <w:rsid w:val="00FD1192"/>
    <w:rsid w:val="00FE1CA0"/>
    <w:rsid w:val="00FE378F"/>
    <w:rsid w:val="00FF04A4"/>
    <w:rsid w:val="00FF1A00"/>
    <w:rsid w:val="00FF66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C46D1FB-C4D4-4224-8593-A641B40BF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1716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41D6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441D6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512F2D"/>
    <w:pPr>
      <w:keepNext/>
      <w:keepLines/>
      <w:spacing w:before="80" w:after="40"/>
      <w:outlineLvl w:val="4"/>
    </w:pPr>
    <w:rPr>
      <w:rFonts w:eastAsiaTheme="majorEastAsia"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FC65EF"/>
    <w:pPr>
      <w:bidi w:val="0"/>
      <w:spacing w:before="100" w:beforeAutospacing="1" w:after="100" w:afterAutospacing="1" w:line="240" w:lineRule="auto"/>
    </w:pPr>
    <w:rPr>
      <w:rFonts w:ascii="Times New Roman" w:eastAsiaTheme="minorEastAsia" w:hAnsi="Times New Roman" w:cs="Times New Roman"/>
      <w:kern w:val="0"/>
      <w:sz w:val="24"/>
      <w:szCs w:val="24"/>
      <w:lang w:eastAsia="zh-CN"/>
      <w14:ligatures w14:val="none"/>
    </w:rPr>
  </w:style>
  <w:style w:type="character" w:customStyle="1" w:styleId="s1">
    <w:name w:val="s1"/>
    <w:basedOn w:val="a0"/>
    <w:rsid w:val="00FC65EF"/>
  </w:style>
  <w:style w:type="paragraph" w:customStyle="1" w:styleId="p2">
    <w:name w:val="p2"/>
    <w:basedOn w:val="a"/>
    <w:rsid w:val="00FC65EF"/>
    <w:pPr>
      <w:bidi w:val="0"/>
      <w:spacing w:before="100" w:beforeAutospacing="1" w:after="100" w:afterAutospacing="1" w:line="240" w:lineRule="auto"/>
    </w:pPr>
    <w:rPr>
      <w:rFonts w:ascii="Times New Roman" w:eastAsiaTheme="minorEastAsia" w:hAnsi="Times New Roman" w:cs="Times New Roman"/>
      <w:kern w:val="0"/>
      <w:sz w:val="24"/>
      <w:szCs w:val="24"/>
      <w:lang w:eastAsia="zh-CN"/>
      <w14:ligatures w14:val="none"/>
    </w:rPr>
  </w:style>
  <w:style w:type="character" w:customStyle="1" w:styleId="s2">
    <w:name w:val="s2"/>
    <w:basedOn w:val="a0"/>
    <w:rsid w:val="00FC65EF"/>
  </w:style>
  <w:style w:type="paragraph" w:customStyle="1" w:styleId="p3">
    <w:name w:val="p3"/>
    <w:basedOn w:val="a"/>
    <w:rsid w:val="00FC65EF"/>
    <w:pPr>
      <w:bidi w:val="0"/>
      <w:spacing w:before="100" w:beforeAutospacing="1" w:after="100" w:afterAutospacing="1" w:line="240" w:lineRule="auto"/>
    </w:pPr>
    <w:rPr>
      <w:rFonts w:ascii="Times New Roman" w:eastAsiaTheme="minorEastAsia" w:hAnsi="Times New Roman" w:cs="Times New Roman"/>
      <w:kern w:val="0"/>
      <w:sz w:val="24"/>
      <w:szCs w:val="24"/>
      <w:lang w:eastAsia="zh-CN"/>
      <w14:ligatures w14:val="none"/>
    </w:rPr>
  </w:style>
  <w:style w:type="character" w:customStyle="1" w:styleId="s3">
    <w:name w:val="s3"/>
    <w:basedOn w:val="a0"/>
    <w:rsid w:val="00FC65EF"/>
  </w:style>
  <w:style w:type="character" w:customStyle="1" w:styleId="s4">
    <w:name w:val="s4"/>
    <w:basedOn w:val="a0"/>
    <w:rsid w:val="00FC65EF"/>
  </w:style>
  <w:style w:type="character" w:customStyle="1" w:styleId="apple-tab-span">
    <w:name w:val="apple-tab-span"/>
    <w:basedOn w:val="a0"/>
    <w:rsid w:val="004A078E"/>
  </w:style>
  <w:style w:type="paragraph" w:styleId="a5">
    <w:name w:val="List Paragraph"/>
    <w:basedOn w:val="a"/>
    <w:uiPriority w:val="34"/>
    <w:qFormat/>
    <w:rsid w:val="00A6251B"/>
    <w:pPr>
      <w:ind w:left="720"/>
      <w:contextualSpacing/>
    </w:pPr>
  </w:style>
  <w:style w:type="character" w:customStyle="1" w:styleId="3Char">
    <w:name w:val="عنوان 3 Char"/>
    <w:basedOn w:val="a0"/>
    <w:link w:val="3"/>
    <w:uiPriority w:val="9"/>
    <w:rsid w:val="00441D6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41D6B"/>
    <w:rPr>
      <w:rFonts w:eastAsiaTheme="majorEastAsia" w:cstheme="majorBidi"/>
      <w:i/>
      <w:iCs/>
      <w:color w:val="2F5496" w:themeColor="accent1" w:themeShade="BF"/>
    </w:rPr>
  </w:style>
  <w:style w:type="character" w:customStyle="1" w:styleId="2Char">
    <w:name w:val="عنوان 2 Char"/>
    <w:basedOn w:val="a0"/>
    <w:link w:val="2"/>
    <w:uiPriority w:val="9"/>
    <w:semiHidden/>
    <w:rsid w:val="00171685"/>
    <w:rPr>
      <w:rFonts w:asciiTheme="majorHAnsi" w:eastAsiaTheme="majorEastAsia" w:hAnsiTheme="majorHAnsi" w:cstheme="majorBidi"/>
      <w:color w:val="2F5496" w:themeColor="accent1" w:themeShade="BF"/>
      <w:sz w:val="32"/>
      <w:szCs w:val="32"/>
    </w:rPr>
  </w:style>
  <w:style w:type="paragraph" w:customStyle="1" w:styleId="p4">
    <w:name w:val="p4"/>
    <w:basedOn w:val="a"/>
    <w:rsid w:val="00A60FB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6">
    <w:name w:val="Table Grid"/>
    <w:basedOn w:val="a1"/>
    <w:uiPriority w:val="39"/>
    <w:rsid w:val="00441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uiPriority w:val="9"/>
    <w:semiHidden/>
    <w:rsid w:val="00512F2D"/>
    <w:rPr>
      <w:rFonts w:eastAsiaTheme="majorEastAsia" w:cstheme="majorBidi"/>
      <w:color w:val="2F5496" w:themeColor="accent1" w:themeShade="BF"/>
    </w:rPr>
  </w:style>
  <w:style w:type="character" w:customStyle="1" w:styleId="apple-converted-space">
    <w:name w:val="apple-converted-space"/>
    <w:basedOn w:val="a0"/>
    <w:rsid w:val="00512F2D"/>
  </w:style>
  <w:style w:type="character" w:styleId="Hyperlink">
    <w:name w:val="Hyperlink"/>
    <w:basedOn w:val="a0"/>
    <w:uiPriority w:val="99"/>
    <w:semiHidden/>
    <w:unhideWhenUsed/>
    <w:rsid w:val="00672031"/>
    <w:rPr>
      <w:color w:val="0000FF"/>
      <w:u w:val="single"/>
    </w:rPr>
  </w:style>
  <w:style w:type="character" w:styleId="a7">
    <w:name w:val="page number"/>
    <w:basedOn w:val="a0"/>
    <w:uiPriority w:val="99"/>
    <w:semiHidden/>
    <w:unhideWhenUsed/>
    <w:rsid w:val="00EE6DBC"/>
  </w:style>
  <w:style w:type="paragraph" w:customStyle="1" w:styleId="p5">
    <w:name w:val="p5"/>
    <w:basedOn w:val="a"/>
    <w:rsid w:val="007B563F"/>
    <w:pPr>
      <w:bidi w:val="0"/>
      <w:spacing w:after="0" w:line="240" w:lineRule="auto"/>
    </w:pPr>
    <w:rPr>
      <w:rFonts w:ascii=".AppleSystemUIFont" w:eastAsiaTheme="minorEastAsia" w:hAnsi=".AppleSystemUIFont" w:cs="Times New Roman"/>
      <w:kern w:val="0"/>
      <w:sz w:val="29"/>
      <w:szCs w:val="29"/>
      <w14:ligatures w14:val="none"/>
    </w:rPr>
  </w:style>
  <w:style w:type="character" w:customStyle="1" w:styleId="s5">
    <w:name w:val="s5"/>
    <w:basedOn w:val="a0"/>
    <w:rsid w:val="007B563F"/>
    <w:rPr>
      <w:rFonts w:ascii="UICTFontTextStyleBody" w:hAnsi="UICTFontTextStyleBody" w:hint="default"/>
      <w:b w:val="0"/>
      <w:bCs w:val="0"/>
      <w:i w:val="0"/>
      <w:iCs w:val="0"/>
      <w:sz w:val="26"/>
      <w:szCs w:val="26"/>
    </w:rPr>
  </w:style>
  <w:style w:type="character" w:customStyle="1" w:styleId="s6">
    <w:name w:val="s6"/>
    <w:basedOn w:val="a0"/>
    <w:rsid w:val="00FD0057"/>
    <w:rPr>
      <w:rFonts w:ascii=".SFArabic-Regular" w:hAnsi=".SFArabic-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7881">
      <w:bodyDiv w:val="1"/>
      <w:marLeft w:val="0"/>
      <w:marRight w:val="0"/>
      <w:marTop w:val="0"/>
      <w:marBottom w:val="0"/>
      <w:divBdr>
        <w:top w:val="none" w:sz="0" w:space="0" w:color="auto"/>
        <w:left w:val="none" w:sz="0" w:space="0" w:color="auto"/>
        <w:bottom w:val="none" w:sz="0" w:space="0" w:color="auto"/>
        <w:right w:val="none" w:sz="0" w:space="0" w:color="auto"/>
      </w:divBdr>
    </w:div>
    <w:div w:id="7607650">
      <w:bodyDiv w:val="1"/>
      <w:marLeft w:val="0"/>
      <w:marRight w:val="0"/>
      <w:marTop w:val="0"/>
      <w:marBottom w:val="0"/>
      <w:divBdr>
        <w:top w:val="none" w:sz="0" w:space="0" w:color="auto"/>
        <w:left w:val="none" w:sz="0" w:space="0" w:color="auto"/>
        <w:bottom w:val="none" w:sz="0" w:space="0" w:color="auto"/>
        <w:right w:val="none" w:sz="0" w:space="0" w:color="auto"/>
      </w:divBdr>
      <w:divsChild>
        <w:div w:id="1905528623">
          <w:blockQuote w:val="1"/>
          <w:marLeft w:val="225"/>
          <w:marRight w:val="0"/>
          <w:marTop w:val="0"/>
          <w:marBottom w:val="0"/>
          <w:divBdr>
            <w:top w:val="none" w:sz="0" w:space="0" w:color="auto"/>
            <w:left w:val="none" w:sz="0" w:space="0" w:color="auto"/>
            <w:bottom w:val="none" w:sz="0" w:space="0" w:color="auto"/>
            <w:right w:val="none" w:sz="0" w:space="0" w:color="auto"/>
          </w:divBdr>
        </w:div>
        <w:div w:id="1988239352">
          <w:blockQuote w:val="1"/>
          <w:marLeft w:val="225"/>
          <w:marRight w:val="0"/>
          <w:marTop w:val="0"/>
          <w:marBottom w:val="0"/>
          <w:divBdr>
            <w:top w:val="none" w:sz="0" w:space="0" w:color="auto"/>
            <w:left w:val="none" w:sz="0" w:space="0" w:color="auto"/>
            <w:bottom w:val="none" w:sz="0" w:space="0" w:color="auto"/>
            <w:right w:val="none" w:sz="0" w:space="0" w:color="auto"/>
          </w:divBdr>
        </w:div>
        <w:div w:id="211860272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3293762">
      <w:bodyDiv w:val="1"/>
      <w:marLeft w:val="0"/>
      <w:marRight w:val="0"/>
      <w:marTop w:val="0"/>
      <w:marBottom w:val="0"/>
      <w:divBdr>
        <w:top w:val="none" w:sz="0" w:space="0" w:color="auto"/>
        <w:left w:val="none" w:sz="0" w:space="0" w:color="auto"/>
        <w:bottom w:val="none" w:sz="0" w:space="0" w:color="auto"/>
        <w:right w:val="none" w:sz="0" w:space="0" w:color="auto"/>
      </w:divBdr>
      <w:divsChild>
        <w:div w:id="1998268157">
          <w:marLeft w:val="0"/>
          <w:marRight w:val="0"/>
          <w:marTop w:val="0"/>
          <w:marBottom w:val="0"/>
          <w:divBdr>
            <w:top w:val="none" w:sz="0" w:space="0" w:color="auto"/>
            <w:left w:val="none" w:sz="0" w:space="0" w:color="auto"/>
            <w:bottom w:val="none" w:sz="0" w:space="0" w:color="auto"/>
            <w:right w:val="none" w:sz="0" w:space="0" w:color="auto"/>
          </w:divBdr>
        </w:div>
        <w:div w:id="2132017349">
          <w:marLeft w:val="0"/>
          <w:marRight w:val="0"/>
          <w:marTop w:val="0"/>
          <w:marBottom w:val="0"/>
          <w:divBdr>
            <w:top w:val="none" w:sz="0" w:space="0" w:color="auto"/>
            <w:left w:val="none" w:sz="0" w:space="0" w:color="auto"/>
            <w:bottom w:val="none" w:sz="0" w:space="0" w:color="auto"/>
            <w:right w:val="none" w:sz="0" w:space="0" w:color="auto"/>
          </w:divBdr>
        </w:div>
      </w:divsChild>
    </w:div>
    <w:div w:id="62412909">
      <w:bodyDiv w:val="1"/>
      <w:marLeft w:val="0"/>
      <w:marRight w:val="0"/>
      <w:marTop w:val="0"/>
      <w:marBottom w:val="0"/>
      <w:divBdr>
        <w:top w:val="none" w:sz="0" w:space="0" w:color="auto"/>
        <w:left w:val="none" w:sz="0" w:space="0" w:color="auto"/>
        <w:bottom w:val="none" w:sz="0" w:space="0" w:color="auto"/>
        <w:right w:val="none" w:sz="0" w:space="0" w:color="auto"/>
      </w:divBdr>
    </w:div>
    <w:div w:id="70741734">
      <w:bodyDiv w:val="1"/>
      <w:marLeft w:val="0"/>
      <w:marRight w:val="0"/>
      <w:marTop w:val="0"/>
      <w:marBottom w:val="0"/>
      <w:divBdr>
        <w:top w:val="none" w:sz="0" w:space="0" w:color="auto"/>
        <w:left w:val="none" w:sz="0" w:space="0" w:color="auto"/>
        <w:bottom w:val="none" w:sz="0" w:space="0" w:color="auto"/>
        <w:right w:val="none" w:sz="0" w:space="0" w:color="auto"/>
      </w:divBdr>
    </w:div>
    <w:div w:id="123669047">
      <w:bodyDiv w:val="1"/>
      <w:marLeft w:val="0"/>
      <w:marRight w:val="0"/>
      <w:marTop w:val="0"/>
      <w:marBottom w:val="0"/>
      <w:divBdr>
        <w:top w:val="none" w:sz="0" w:space="0" w:color="auto"/>
        <w:left w:val="none" w:sz="0" w:space="0" w:color="auto"/>
        <w:bottom w:val="none" w:sz="0" w:space="0" w:color="auto"/>
        <w:right w:val="none" w:sz="0" w:space="0" w:color="auto"/>
      </w:divBdr>
      <w:divsChild>
        <w:div w:id="119206329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34764315">
      <w:bodyDiv w:val="1"/>
      <w:marLeft w:val="0"/>
      <w:marRight w:val="0"/>
      <w:marTop w:val="0"/>
      <w:marBottom w:val="0"/>
      <w:divBdr>
        <w:top w:val="none" w:sz="0" w:space="0" w:color="auto"/>
        <w:left w:val="none" w:sz="0" w:space="0" w:color="auto"/>
        <w:bottom w:val="none" w:sz="0" w:space="0" w:color="auto"/>
        <w:right w:val="none" w:sz="0" w:space="0" w:color="auto"/>
      </w:divBdr>
    </w:div>
    <w:div w:id="167255935">
      <w:bodyDiv w:val="1"/>
      <w:marLeft w:val="0"/>
      <w:marRight w:val="0"/>
      <w:marTop w:val="0"/>
      <w:marBottom w:val="0"/>
      <w:divBdr>
        <w:top w:val="none" w:sz="0" w:space="0" w:color="auto"/>
        <w:left w:val="none" w:sz="0" w:space="0" w:color="auto"/>
        <w:bottom w:val="none" w:sz="0" w:space="0" w:color="auto"/>
        <w:right w:val="none" w:sz="0" w:space="0" w:color="auto"/>
      </w:divBdr>
    </w:div>
    <w:div w:id="170992125">
      <w:bodyDiv w:val="1"/>
      <w:marLeft w:val="0"/>
      <w:marRight w:val="0"/>
      <w:marTop w:val="0"/>
      <w:marBottom w:val="0"/>
      <w:divBdr>
        <w:top w:val="none" w:sz="0" w:space="0" w:color="auto"/>
        <w:left w:val="none" w:sz="0" w:space="0" w:color="auto"/>
        <w:bottom w:val="none" w:sz="0" w:space="0" w:color="auto"/>
        <w:right w:val="none" w:sz="0" w:space="0" w:color="auto"/>
      </w:divBdr>
    </w:div>
    <w:div w:id="213583328">
      <w:bodyDiv w:val="1"/>
      <w:marLeft w:val="0"/>
      <w:marRight w:val="0"/>
      <w:marTop w:val="0"/>
      <w:marBottom w:val="0"/>
      <w:divBdr>
        <w:top w:val="none" w:sz="0" w:space="0" w:color="auto"/>
        <w:left w:val="none" w:sz="0" w:space="0" w:color="auto"/>
        <w:bottom w:val="none" w:sz="0" w:space="0" w:color="auto"/>
        <w:right w:val="none" w:sz="0" w:space="0" w:color="auto"/>
      </w:divBdr>
    </w:div>
    <w:div w:id="246157273">
      <w:bodyDiv w:val="1"/>
      <w:marLeft w:val="0"/>
      <w:marRight w:val="0"/>
      <w:marTop w:val="0"/>
      <w:marBottom w:val="0"/>
      <w:divBdr>
        <w:top w:val="none" w:sz="0" w:space="0" w:color="auto"/>
        <w:left w:val="none" w:sz="0" w:space="0" w:color="auto"/>
        <w:bottom w:val="none" w:sz="0" w:space="0" w:color="auto"/>
        <w:right w:val="none" w:sz="0" w:space="0" w:color="auto"/>
      </w:divBdr>
      <w:divsChild>
        <w:div w:id="7517483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58178500">
      <w:bodyDiv w:val="1"/>
      <w:marLeft w:val="0"/>
      <w:marRight w:val="0"/>
      <w:marTop w:val="0"/>
      <w:marBottom w:val="0"/>
      <w:divBdr>
        <w:top w:val="none" w:sz="0" w:space="0" w:color="auto"/>
        <w:left w:val="none" w:sz="0" w:space="0" w:color="auto"/>
        <w:bottom w:val="none" w:sz="0" w:space="0" w:color="auto"/>
        <w:right w:val="none" w:sz="0" w:space="0" w:color="auto"/>
      </w:divBdr>
    </w:div>
    <w:div w:id="286934358">
      <w:bodyDiv w:val="1"/>
      <w:marLeft w:val="0"/>
      <w:marRight w:val="0"/>
      <w:marTop w:val="0"/>
      <w:marBottom w:val="0"/>
      <w:divBdr>
        <w:top w:val="none" w:sz="0" w:space="0" w:color="auto"/>
        <w:left w:val="none" w:sz="0" w:space="0" w:color="auto"/>
        <w:bottom w:val="none" w:sz="0" w:space="0" w:color="auto"/>
        <w:right w:val="none" w:sz="0" w:space="0" w:color="auto"/>
      </w:divBdr>
    </w:div>
    <w:div w:id="300233537">
      <w:bodyDiv w:val="1"/>
      <w:marLeft w:val="0"/>
      <w:marRight w:val="0"/>
      <w:marTop w:val="0"/>
      <w:marBottom w:val="0"/>
      <w:divBdr>
        <w:top w:val="none" w:sz="0" w:space="0" w:color="auto"/>
        <w:left w:val="none" w:sz="0" w:space="0" w:color="auto"/>
        <w:bottom w:val="none" w:sz="0" w:space="0" w:color="auto"/>
        <w:right w:val="none" w:sz="0" w:space="0" w:color="auto"/>
      </w:divBdr>
    </w:div>
    <w:div w:id="372077048">
      <w:bodyDiv w:val="1"/>
      <w:marLeft w:val="0"/>
      <w:marRight w:val="0"/>
      <w:marTop w:val="0"/>
      <w:marBottom w:val="0"/>
      <w:divBdr>
        <w:top w:val="none" w:sz="0" w:space="0" w:color="auto"/>
        <w:left w:val="none" w:sz="0" w:space="0" w:color="auto"/>
        <w:bottom w:val="none" w:sz="0" w:space="0" w:color="auto"/>
        <w:right w:val="none" w:sz="0" w:space="0" w:color="auto"/>
      </w:divBdr>
      <w:divsChild>
        <w:div w:id="700472947">
          <w:marLeft w:val="0"/>
          <w:marRight w:val="0"/>
          <w:marTop w:val="0"/>
          <w:marBottom w:val="0"/>
          <w:divBdr>
            <w:top w:val="none" w:sz="0" w:space="0" w:color="auto"/>
            <w:left w:val="none" w:sz="0" w:space="0" w:color="auto"/>
            <w:bottom w:val="none" w:sz="0" w:space="0" w:color="auto"/>
            <w:right w:val="none" w:sz="0" w:space="0" w:color="auto"/>
          </w:divBdr>
        </w:div>
        <w:div w:id="1564875240">
          <w:marLeft w:val="0"/>
          <w:marRight w:val="0"/>
          <w:marTop w:val="0"/>
          <w:marBottom w:val="0"/>
          <w:divBdr>
            <w:top w:val="none" w:sz="0" w:space="0" w:color="auto"/>
            <w:left w:val="none" w:sz="0" w:space="0" w:color="auto"/>
            <w:bottom w:val="none" w:sz="0" w:space="0" w:color="auto"/>
            <w:right w:val="none" w:sz="0" w:space="0" w:color="auto"/>
          </w:divBdr>
        </w:div>
      </w:divsChild>
    </w:div>
    <w:div w:id="387532323">
      <w:bodyDiv w:val="1"/>
      <w:marLeft w:val="0"/>
      <w:marRight w:val="0"/>
      <w:marTop w:val="0"/>
      <w:marBottom w:val="0"/>
      <w:divBdr>
        <w:top w:val="none" w:sz="0" w:space="0" w:color="auto"/>
        <w:left w:val="none" w:sz="0" w:space="0" w:color="auto"/>
        <w:bottom w:val="none" w:sz="0" w:space="0" w:color="auto"/>
        <w:right w:val="none" w:sz="0" w:space="0" w:color="auto"/>
      </w:divBdr>
    </w:div>
    <w:div w:id="413208521">
      <w:bodyDiv w:val="1"/>
      <w:marLeft w:val="0"/>
      <w:marRight w:val="0"/>
      <w:marTop w:val="0"/>
      <w:marBottom w:val="0"/>
      <w:divBdr>
        <w:top w:val="none" w:sz="0" w:space="0" w:color="auto"/>
        <w:left w:val="none" w:sz="0" w:space="0" w:color="auto"/>
        <w:bottom w:val="none" w:sz="0" w:space="0" w:color="auto"/>
        <w:right w:val="none" w:sz="0" w:space="0" w:color="auto"/>
      </w:divBdr>
    </w:div>
    <w:div w:id="444547304">
      <w:bodyDiv w:val="1"/>
      <w:marLeft w:val="0"/>
      <w:marRight w:val="0"/>
      <w:marTop w:val="0"/>
      <w:marBottom w:val="0"/>
      <w:divBdr>
        <w:top w:val="none" w:sz="0" w:space="0" w:color="auto"/>
        <w:left w:val="none" w:sz="0" w:space="0" w:color="auto"/>
        <w:bottom w:val="none" w:sz="0" w:space="0" w:color="auto"/>
        <w:right w:val="none" w:sz="0" w:space="0" w:color="auto"/>
      </w:divBdr>
    </w:div>
    <w:div w:id="446051599">
      <w:bodyDiv w:val="1"/>
      <w:marLeft w:val="0"/>
      <w:marRight w:val="0"/>
      <w:marTop w:val="0"/>
      <w:marBottom w:val="0"/>
      <w:divBdr>
        <w:top w:val="none" w:sz="0" w:space="0" w:color="auto"/>
        <w:left w:val="none" w:sz="0" w:space="0" w:color="auto"/>
        <w:bottom w:val="none" w:sz="0" w:space="0" w:color="auto"/>
        <w:right w:val="none" w:sz="0" w:space="0" w:color="auto"/>
      </w:divBdr>
    </w:div>
    <w:div w:id="472408071">
      <w:bodyDiv w:val="1"/>
      <w:marLeft w:val="0"/>
      <w:marRight w:val="0"/>
      <w:marTop w:val="0"/>
      <w:marBottom w:val="0"/>
      <w:divBdr>
        <w:top w:val="none" w:sz="0" w:space="0" w:color="auto"/>
        <w:left w:val="none" w:sz="0" w:space="0" w:color="auto"/>
        <w:bottom w:val="none" w:sz="0" w:space="0" w:color="auto"/>
        <w:right w:val="none" w:sz="0" w:space="0" w:color="auto"/>
      </w:divBdr>
    </w:div>
    <w:div w:id="480773624">
      <w:bodyDiv w:val="1"/>
      <w:marLeft w:val="0"/>
      <w:marRight w:val="0"/>
      <w:marTop w:val="0"/>
      <w:marBottom w:val="0"/>
      <w:divBdr>
        <w:top w:val="none" w:sz="0" w:space="0" w:color="auto"/>
        <w:left w:val="none" w:sz="0" w:space="0" w:color="auto"/>
        <w:bottom w:val="none" w:sz="0" w:space="0" w:color="auto"/>
        <w:right w:val="none" w:sz="0" w:space="0" w:color="auto"/>
      </w:divBdr>
    </w:div>
    <w:div w:id="490368379">
      <w:bodyDiv w:val="1"/>
      <w:marLeft w:val="0"/>
      <w:marRight w:val="0"/>
      <w:marTop w:val="0"/>
      <w:marBottom w:val="0"/>
      <w:divBdr>
        <w:top w:val="none" w:sz="0" w:space="0" w:color="auto"/>
        <w:left w:val="none" w:sz="0" w:space="0" w:color="auto"/>
        <w:bottom w:val="none" w:sz="0" w:space="0" w:color="auto"/>
        <w:right w:val="none" w:sz="0" w:space="0" w:color="auto"/>
      </w:divBdr>
    </w:div>
    <w:div w:id="565140748">
      <w:bodyDiv w:val="1"/>
      <w:marLeft w:val="0"/>
      <w:marRight w:val="0"/>
      <w:marTop w:val="0"/>
      <w:marBottom w:val="0"/>
      <w:divBdr>
        <w:top w:val="none" w:sz="0" w:space="0" w:color="auto"/>
        <w:left w:val="none" w:sz="0" w:space="0" w:color="auto"/>
        <w:bottom w:val="none" w:sz="0" w:space="0" w:color="auto"/>
        <w:right w:val="none" w:sz="0" w:space="0" w:color="auto"/>
      </w:divBdr>
    </w:div>
    <w:div w:id="627668336">
      <w:bodyDiv w:val="1"/>
      <w:marLeft w:val="0"/>
      <w:marRight w:val="0"/>
      <w:marTop w:val="0"/>
      <w:marBottom w:val="0"/>
      <w:divBdr>
        <w:top w:val="none" w:sz="0" w:space="0" w:color="auto"/>
        <w:left w:val="none" w:sz="0" w:space="0" w:color="auto"/>
        <w:bottom w:val="none" w:sz="0" w:space="0" w:color="auto"/>
        <w:right w:val="none" w:sz="0" w:space="0" w:color="auto"/>
      </w:divBdr>
    </w:div>
    <w:div w:id="634288295">
      <w:bodyDiv w:val="1"/>
      <w:marLeft w:val="0"/>
      <w:marRight w:val="0"/>
      <w:marTop w:val="0"/>
      <w:marBottom w:val="0"/>
      <w:divBdr>
        <w:top w:val="none" w:sz="0" w:space="0" w:color="auto"/>
        <w:left w:val="none" w:sz="0" w:space="0" w:color="auto"/>
        <w:bottom w:val="none" w:sz="0" w:space="0" w:color="auto"/>
        <w:right w:val="none" w:sz="0" w:space="0" w:color="auto"/>
      </w:divBdr>
      <w:divsChild>
        <w:div w:id="676007292">
          <w:marLeft w:val="0"/>
          <w:marRight w:val="0"/>
          <w:marTop w:val="0"/>
          <w:marBottom w:val="0"/>
          <w:divBdr>
            <w:top w:val="none" w:sz="0" w:space="0" w:color="auto"/>
            <w:left w:val="none" w:sz="0" w:space="0" w:color="auto"/>
            <w:bottom w:val="none" w:sz="0" w:space="0" w:color="auto"/>
            <w:right w:val="none" w:sz="0" w:space="0" w:color="auto"/>
          </w:divBdr>
        </w:div>
        <w:div w:id="1554581776">
          <w:marLeft w:val="0"/>
          <w:marRight w:val="0"/>
          <w:marTop w:val="0"/>
          <w:marBottom w:val="0"/>
          <w:divBdr>
            <w:top w:val="none" w:sz="0" w:space="0" w:color="auto"/>
            <w:left w:val="none" w:sz="0" w:space="0" w:color="auto"/>
            <w:bottom w:val="none" w:sz="0" w:space="0" w:color="auto"/>
            <w:right w:val="none" w:sz="0" w:space="0" w:color="auto"/>
          </w:divBdr>
        </w:div>
        <w:div w:id="1679767600">
          <w:marLeft w:val="0"/>
          <w:marRight w:val="0"/>
          <w:marTop w:val="0"/>
          <w:marBottom w:val="0"/>
          <w:divBdr>
            <w:top w:val="none" w:sz="0" w:space="0" w:color="auto"/>
            <w:left w:val="none" w:sz="0" w:space="0" w:color="auto"/>
            <w:bottom w:val="none" w:sz="0" w:space="0" w:color="auto"/>
            <w:right w:val="none" w:sz="0" w:space="0" w:color="auto"/>
          </w:divBdr>
        </w:div>
        <w:div w:id="2009793040">
          <w:marLeft w:val="0"/>
          <w:marRight w:val="0"/>
          <w:marTop w:val="0"/>
          <w:marBottom w:val="0"/>
          <w:divBdr>
            <w:top w:val="none" w:sz="0" w:space="0" w:color="auto"/>
            <w:left w:val="none" w:sz="0" w:space="0" w:color="auto"/>
            <w:bottom w:val="none" w:sz="0" w:space="0" w:color="auto"/>
            <w:right w:val="none" w:sz="0" w:space="0" w:color="auto"/>
          </w:divBdr>
        </w:div>
      </w:divsChild>
    </w:div>
    <w:div w:id="656149949">
      <w:bodyDiv w:val="1"/>
      <w:marLeft w:val="0"/>
      <w:marRight w:val="0"/>
      <w:marTop w:val="0"/>
      <w:marBottom w:val="0"/>
      <w:divBdr>
        <w:top w:val="none" w:sz="0" w:space="0" w:color="auto"/>
        <w:left w:val="none" w:sz="0" w:space="0" w:color="auto"/>
        <w:bottom w:val="none" w:sz="0" w:space="0" w:color="auto"/>
        <w:right w:val="none" w:sz="0" w:space="0" w:color="auto"/>
      </w:divBdr>
    </w:div>
    <w:div w:id="667027595">
      <w:bodyDiv w:val="1"/>
      <w:marLeft w:val="0"/>
      <w:marRight w:val="0"/>
      <w:marTop w:val="0"/>
      <w:marBottom w:val="0"/>
      <w:divBdr>
        <w:top w:val="none" w:sz="0" w:space="0" w:color="auto"/>
        <w:left w:val="none" w:sz="0" w:space="0" w:color="auto"/>
        <w:bottom w:val="none" w:sz="0" w:space="0" w:color="auto"/>
        <w:right w:val="none" w:sz="0" w:space="0" w:color="auto"/>
      </w:divBdr>
    </w:div>
    <w:div w:id="678848424">
      <w:bodyDiv w:val="1"/>
      <w:marLeft w:val="0"/>
      <w:marRight w:val="0"/>
      <w:marTop w:val="0"/>
      <w:marBottom w:val="0"/>
      <w:divBdr>
        <w:top w:val="none" w:sz="0" w:space="0" w:color="auto"/>
        <w:left w:val="none" w:sz="0" w:space="0" w:color="auto"/>
        <w:bottom w:val="none" w:sz="0" w:space="0" w:color="auto"/>
        <w:right w:val="none" w:sz="0" w:space="0" w:color="auto"/>
      </w:divBdr>
    </w:div>
    <w:div w:id="737750452">
      <w:bodyDiv w:val="1"/>
      <w:marLeft w:val="0"/>
      <w:marRight w:val="0"/>
      <w:marTop w:val="0"/>
      <w:marBottom w:val="0"/>
      <w:divBdr>
        <w:top w:val="none" w:sz="0" w:space="0" w:color="auto"/>
        <w:left w:val="none" w:sz="0" w:space="0" w:color="auto"/>
        <w:bottom w:val="none" w:sz="0" w:space="0" w:color="auto"/>
        <w:right w:val="none" w:sz="0" w:space="0" w:color="auto"/>
      </w:divBdr>
      <w:divsChild>
        <w:div w:id="739792639">
          <w:marLeft w:val="0"/>
          <w:marRight w:val="0"/>
          <w:marTop w:val="0"/>
          <w:marBottom w:val="0"/>
          <w:divBdr>
            <w:top w:val="none" w:sz="0" w:space="0" w:color="auto"/>
            <w:left w:val="none" w:sz="0" w:space="0" w:color="auto"/>
            <w:bottom w:val="none" w:sz="0" w:space="0" w:color="auto"/>
            <w:right w:val="none" w:sz="0" w:space="0" w:color="auto"/>
          </w:divBdr>
        </w:div>
        <w:div w:id="1307852376">
          <w:marLeft w:val="0"/>
          <w:marRight w:val="0"/>
          <w:marTop w:val="0"/>
          <w:marBottom w:val="0"/>
          <w:divBdr>
            <w:top w:val="none" w:sz="0" w:space="0" w:color="auto"/>
            <w:left w:val="none" w:sz="0" w:space="0" w:color="auto"/>
            <w:bottom w:val="none" w:sz="0" w:space="0" w:color="auto"/>
            <w:right w:val="none" w:sz="0" w:space="0" w:color="auto"/>
          </w:divBdr>
        </w:div>
        <w:div w:id="1635912629">
          <w:marLeft w:val="0"/>
          <w:marRight w:val="0"/>
          <w:marTop w:val="0"/>
          <w:marBottom w:val="0"/>
          <w:divBdr>
            <w:top w:val="none" w:sz="0" w:space="0" w:color="auto"/>
            <w:left w:val="none" w:sz="0" w:space="0" w:color="auto"/>
            <w:bottom w:val="none" w:sz="0" w:space="0" w:color="auto"/>
            <w:right w:val="none" w:sz="0" w:space="0" w:color="auto"/>
          </w:divBdr>
        </w:div>
        <w:div w:id="1887182222">
          <w:marLeft w:val="0"/>
          <w:marRight w:val="0"/>
          <w:marTop w:val="0"/>
          <w:marBottom w:val="0"/>
          <w:divBdr>
            <w:top w:val="none" w:sz="0" w:space="0" w:color="auto"/>
            <w:left w:val="none" w:sz="0" w:space="0" w:color="auto"/>
            <w:bottom w:val="none" w:sz="0" w:space="0" w:color="auto"/>
            <w:right w:val="none" w:sz="0" w:space="0" w:color="auto"/>
          </w:divBdr>
        </w:div>
      </w:divsChild>
    </w:div>
    <w:div w:id="740519928">
      <w:bodyDiv w:val="1"/>
      <w:marLeft w:val="0"/>
      <w:marRight w:val="0"/>
      <w:marTop w:val="0"/>
      <w:marBottom w:val="0"/>
      <w:divBdr>
        <w:top w:val="none" w:sz="0" w:space="0" w:color="auto"/>
        <w:left w:val="none" w:sz="0" w:space="0" w:color="auto"/>
        <w:bottom w:val="none" w:sz="0" w:space="0" w:color="auto"/>
        <w:right w:val="none" w:sz="0" w:space="0" w:color="auto"/>
      </w:divBdr>
    </w:div>
    <w:div w:id="751395487">
      <w:bodyDiv w:val="1"/>
      <w:marLeft w:val="0"/>
      <w:marRight w:val="0"/>
      <w:marTop w:val="0"/>
      <w:marBottom w:val="0"/>
      <w:divBdr>
        <w:top w:val="none" w:sz="0" w:space="0" w:color="auto"/>
        <w:left w:val="none" w:sz="0" w:space="0" w:color="auto"/>
        <w:bottom w:val="none" w:sz="0" w:space="0" w:color="auto"/>
        <w:right w:val="none" w:sz="0" w:space="0" w:color="auto"/>
      </w:divBdr>
      <w:divsChild>
        <w:div w:id="1066100898">
          <w:marLeft w:val="0"/>
          <w:marRight w:val="0"/>
          <w:marTop w:val="0"/>
          <w:marBottom w:val="0"/>
          <w:divBdr>
            <w:top w:val="none" w:sz="0" w:space="0" w:color="auto"/>
            <w:left w:val="none" w:sz="0" w:space="0" w:color="auto"/>
            <w:bottom w:val="none" w:sz="0" w:space="0" w:color="auto"/>
            <w:right w:val="none" w:sz="0" w:space="0" w:color="auto"/>
          </w:divBdr>
        </w:div>
        <w:div w:id="1069578851">
          <w:marLeft w:val="0"/>
          <w:marRight w:val="0"/>
          <w:marTop w:val="0"/>
          <w:marBottom w:val="0"/>
          <w:divBdr>
            <w:top w:val="none" w:sz="0" w:space="0" w:color="auto"/>
            <w:left w:val="none" w:sz="0" w:space="0" w:color="auto"/>
            <w:bottom w:val="none" w:sz="0" w:space="0" w:color="auto"/>
            <w:right w:val="none" w:sz="0" w:space="0" w:color="auto"/>
          </w:divBdr>
        </w:div>
      </w:divsChild>
    </w:div>
    <w:div w:id="778985278">
      <w:bodyDiv w:val="1"/>
      <w:marLeft w:val="0"/>
      <w:marRight w:val="0"/>
      <w:marTop w:val="0"/>
      <w:marBottom w:val="0"/>
      <w:divBdr>
        <w:top w:val="none" w:sz="0" w:space="0" w:color="auto"/>
        <w:left w:val="none" w:sz="0" w:space="0" w:color="auto"/>
        <w:bottom w:val="none" w:sz="0" w:space="0" w:color="auto"/>
        <w:right w:val="none" w:sz="0" w:space="0" w:color="auto"/>
      </w:divBdr>
    </w:div>
    <w:div w:id="779564658">
      <w:bodyDiv w:val="1"/>
      <w:marLeft w:val="0"/>
      <w:marRight w:val="0"/>
      <w:marTop w:val="0"/>
      <w:marBottom w:val="0"/>
      <w:divBdr>
        <w:top w:val="none" w:sz="0" w:space="0" w:color="auto"/>
        <w:left w:val="none" w:sz="0" w:space="0" w:color="auto"/>
        <w:bottom w:val="none" w:sz="0" w:space="0" w:color="auto"/>
        <w:right w:val="none" w:sz="0" w:space="0" w:color="auto"/>
      </w:divBdr>
      <w:divsChild>
        <w:div w:id="1031034017">
          <w:marLeft w:val="0"/>
          <w:marRight w:val="0"/>
          <w:marTop w:val="0"/>
          <w:marBottom w:val="0"/>
          <w:divBdr>
            <w:top w:val="none" w:sz="0" w:space="0" w:color="auto"/>
            <w:left w:val="none" w:sz="0" w:space="0" w:color="auto"/>
            <w:bottom w:val="none" w:sz="0" w:space="0" w:color="auto"/>
            <w:right w:val="none" w:sz="0" w:space="0" w:color="auto"/>
          </w:divBdr>
        </w:div>
      </w:divsChild>
    </w:div>
    <w:div w:id="781413268">
      <w:bodyDiv w:val="1"/>
      <w:marLeft w:val="0"/>
      <w:marRight w:val="0"/>
      <w:marTop w:val="0"/>
      <w:marBottom w:val="0"/>
      <w:divBdr>
        <w:top w:val="none" w:sz="0" w:space="0" w:color="auto"/>
        <w:left w:val="none" w:sz="0" w:space="0" w:color="auto"/>
        <w:bottom w:val="none" w:sz="0" w:space="0" w:color="auto"/>
        <w:right w:val="none" w:sz="0" w:space="0" w:color="auto"/>
      </w:divBdr>
    </w:div>
    <w:div w:id="782571965">
      <w:bodyDiv w:val="1"/>
      <w:marLeft w:val="0"/>
      <w:marRight w:val="0"/>
      <w:marTop w:val="0"/>
      <w:marBottom w:val="0"/>
      <w:divBdr>
        <w:top w:val="none" w:sz="0" w:space="0" w:color="auto"/>
        <w:left w:val="none" w:sz="0" w:space="0" w:color="auto"/>
        <w:bottom w:val="none" w:sz="0" w:space="0" w:color="auto"/>
        <w:right w:val="none" w:sz="0" w:space="0" w:color="auto"/>
      </w:divBdr>
    </w:div>
    <w:div w:id="805049517">
      <w:bodyDiv w:val="1"/>
      <w:marLeft w:val="0"/>
      <w:marRight w:val="0"/>
      <w:marTop w:val="0"/>
      <w:marBottom w:val="0"/>
      <w:divBdr>
        <w:top w:val="none" w:sz="0" w:space="0" w:color="auto"/>
        <w:left w:val="none" w:sz="0" w:space="0" w:color="auto"/>
        <w:bottom w:val="none" w:sz="0" w:space="0" w:color="auto"/>
        <w:right w:val="none" w:sz="0" w:space="0" w:color="auto"/>
      </w:divBdr>
    </w:div>
    <w:div w:id="816919321">
      <w:bodyDiv w:val="1"/>
      <w:marLeft w:val="0"/>
      <w:marRight w:val="0"/>
      <w:marTop w:val="0"/>
      <w:marBottom w:val="0"/>
      <w:divBdr>
        <w:top w:val="none" w:sz="0" w:space="0" w:color="auto"/>
        <w:left w:val="none" w:sz="0" w:space="0" w:color="auto"/>
        <w:bottom w:val="none" w:sz="0" w:space="0" w:color="auto"/>
        <w:right w:val="none" w:sz="0" w:space="0" w:color="auto"/>
      </w:divBdr>
    </w:div>
    <w:div w:id="818233247">
      <w:bodyDiv w:val="1"/>
      <w:marLeft w:val="0"/>
      <w:marRight w:val="0"/>
      <w:marTop w:val="0"/>
      <w:marBottom w:val="0"/>
      <w:divBdr>
        <w:top w:val="none" w:sz="0" w:space="0" w:color="auto"/>
        <w:left w:val="none" w:sz="0" w:space="0" w:color="auto"/>
        <w:bottom w:val="none" w:sz="0" w:space="0" w:color="auto"/>
        <w:right w:val="none" w:sz="0" w:space="0" w:color="auto"/>
      </w:divBdr>
    </w:div>
    <w:div w:id="821458897">
      <w:bodyDiv w:val="1"/>
      <w:marLeft w:val="0"/>
      <w:marRight w:val="0"/>
      <w:marTop w:val="0"/>
      <w:marBottom w:val="0"/>
      <w:divBdr>
        <w:top w:val="none" w:sz="0" w:space="0" w:color="auto"/>
        <w:left w:val="none" w:sz="0" w:space="0" w:color="auto"/>
        <w:bottom w:val="none" w:sz="0" w:space="0" w:color="auto"/>
        <w:right w:val="none" w:sz="0" w:space="0" w:color="auto"/>
      </w:divBdr>
    </w:div>
    <w:div w:id="848762975">
      <w:bodyDiv w:val="1"/>
      <w:marLeft w:val="0"/>
      <w:marRight w:val="0"/>
      <w:marTop w:val="0"/>
      <w:marBottom w:val="0"/>
      <w:divBdr>
        <w:top w:val="none" w:sz="0" w:space="0" w:color="auto"/>
        <w:left w:val="none" w:sz="0" w:space="0" w:color="auto"/>
        <w:bottom w:val="none" w:sz="0" w:space="0" w:color="auto"/>
        <w:right w:val="none" w:sz="0" w:space="0" w:color="auto"/>
      </w:divBdr>
      <w:divsChild>
        <w:div w:id="838425095">
          <w:marLeft w:val="0"/>
          <w:marRight w:val="0"/>
          <w:marTop w:val="0"/>
          <w:marBottom w:val="0"/>
          <w:divBdr>
            <w:top w:val="none" w:sz="0" w:space="0" w:color="auto"/>
            <w:left w:val="none" w:sz="0" w:space="0" w:color="auto"/>
            <w:bottom w:val="none" w:sz="0" w:space="0" w:color="auto"/>
            <w:right w:val="none" w:sz="0" w:space="0" w:color="auto"/>
          </w:divBdr>
          <w:divsChild>
            <w:div w:id="204035141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909342800">
      <w:bodyDiv w:val="1"/>
      <w:marLeft w:val="0"/>
      <w:marRight w:val="0"/>
      <w:marTop w:val="0"/>
      <w:marBottom w:val="0"/>
      <w:divBdr>
        <w:top w:val="none" w:sz="0" w:space="0" w:color="auto"/>
        <w:left w:val="none" w:sz="0" w:space="0" w:color="auto"/>
        <w:bottom w:val="none" w:sz="0" w:space="0" w:color="auto"/>
        <w:right w:val="none" w:sz="0" w:space="0" w:color="auto"/>
      </w:divBdr>
    </w:div>
    <w:div w:id="918750316">
      <w:bodyDiv w:val="1"/>
      <w:marLeft w:val="0"/>
      <w:marRight w:val="0"/>
      <w:marTop w:val="0"/>
      <w:marBottom w:val="0"/>
      <w:divBdr>
        <w:top w:val="none" w:sz="0" w:space="0" w:color="auto"/>
        <w:left w:val="none" w:sz="0" w:space="0" w:color="auto"/>
        <w:bottom w:val="none" w:sz="0" w:space="0" w:color="auto"/>
        <w:right w:val="none" w:sz="0" w:space="0" w:color="auto"/>
      </w:divBdr>
    </w:div>
    <w:div w:id="953748013">
      <w:bodyDiv w:val="1"/>
      <w:marLeft w:val="0"/>
      <w:marRight w:val="0"/>
      <w:marTop w:val="0"/>
      <w:marBottom w:val="0"/>
      <w:divBdr>
        <w:top w:val="none" w:sz="0" w:space="0" w:color="auto"/>
        <w:left w:val="none" w:sz="0" w:space="0" w:color="auto"/>
        <w:bottom w:val="none" w:sz="0" w:space="0" w:color="auto"/>
        <w:right w:val="none" w:sz="0" w:space="0" w:color="auto"/>
      </w:divBdr>
    </w:div>
    <w:div w:id="970986047">
      <w:bodyDiv w:val="1"/>
      <w:marLeft w:val="0"/>
      <w:marRight w:val="0"/>
      <w:marTop w:val="0"/>
      <w:marBottom w:val="0"/>
      <w:divBdr>
        <w:top w:val="none" w:sz="0" w:space="0" w:color="auto"/>
        <w:left w:val="none" w:sz="0" w:space="0" w:color="auto"/>
        <w:bottom w:val="none" w:sz="0" w:space="0" w:color="auto"/>
        <w:right w:val="none" w:sz="0" w:space="0" w:color="auto"/>
      </w:divBdr>
    </w:div>
    <w:div w:id="974486706">
      <w:bodyDiv w:val="1"/>
      <w:marLeft w:val="0"/>
      <w:marRight w:val="0"/>
      <w:marTop w:val="0"/>
      <w:marBottom w:val="0"/>
      <w:divBdr>
        <w:top w:val="none" w:sz="0" w:space="0" w:color="auto"/>
        <w:left w:val="none" w:sz="0" w:space="0" w:color="auto"/>
        <w:bottom w:val="none" w:sz="0" w:space="0" w:color="auto"/>
        <w:right w:val="none" w:sz="0" w:space="0" w:color="auto"/>
      </w:divBdr>
      <w:divsChild>
        <w:div w:id="203202420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89674737">
      <w:bodyDiv w:val="1"/>
      <w:marLeft w:val="0"/>
      <w:marRight w:val="0"/>
      <w:marTop w:val="0"/>
      <w:marBottom w:val="0"/>
      <w:divBdr>
        <w:top w:val="none" w:sz="0" w:space="0" w:color="auto"/>
        <w:left w:val="none" w:sz="0" w:space="0" w:color="auto"/>
        <w:bottom w:val="none" w:sz="0" w:space="0" w:color="auto"/>
        <w:right w:val="none" w:sz="0" w:space="0" w:color="auto"/>
      </w:divBdr>
    </w:div>
    <w:div w:id="1003246304">
      <w:bodyDiv w:val="1"/>
      <w:marLeft w:val="0"/>
      <w:marRight w:val="0"/>
      <w:marTop w:val="0"/>
      <w:marBottom w:val="0"/>
      <w:divBdr>
        <w:top w:val="none" w:sz="0" w:space="0" w:color="auto"/>
        <w:left w:val="none" w:sz="0" w:space="0" w:color="auto"/>
        <w:bottom w:val="none" w:sz="0" w:space="0" w:color="auto"/>
        <w:right w:val="none" w:sz="0" w:space="0" w:color="auto"/>
      </w:divBdr>
    </w:div>
    <w:div w:id="1019313851">
      <w:bodyDiv w:val="1"/>
      <w:marLeft w:val="0"/>
      <w:marRight w:val="0"/>
      <w:marTop w:val="0"/>
      <w:marBottom w:val="0"/>
      <w:divBdr>
        <w:top w:val="none" w:sz="0" w:space="0" w:color="auto"/>
        <w:left w:val="none" w:sz="0" w:space="0" w:color="auto"/>
        <w:bottom w:val="none" w:sz="0" w:space="0" w:color="auto"/>
        <w:right w:val="none" w:sz="0" w:space="0" w:color="auto"/>
      </w:divBdr>
      <w:divsChild>
        <w:div w:id="273514242">
          <w:marLeft w:val="0"/>
          <w:marRight w:val="0"/>
          <w:marTop w:val="0"/>
          <w:marBottom w:val="0"/>
          <w:divBdr>
            <w:top w:val="none" w:sz="0" w:space="0" w:color="auto"/>
            <w:left w:val="none" w:sz="0" w:space="0" w:color="auto"/>
            <w:bottom w:val="none" w:sz="0" w:space="0" w:color="auto"/>
            <w:right w:val="none" w:sz="0" w:space="0" w:color="auto"/>
          </w:divBdr>
        </w:div>
        <w:div w:id="1323041985">
          <w:marLeft w:val="0"/>
          <w:marRight w:val="0"/>
          <w:marTop w:val="0"/>
          <w:marBottom w:val="0"/>
          <w:divBdr>
            <w:top w:val="none" w:sz="0" w:space="0" w:color="auto"/>
            <w:left w:val="none" w:sz="0" w:space="0" w:color="auto"/>
            <w:bottom w:val="none" w:sz="0" w:space="0" w:color="auto"/>
            <w:right w:val="none" w:sz="0" w:space="0" w:color="auto"/>
          </w:divBdr>
        </w:div>
        <w:div w:id="1378510081">
          <w:marLeft w:val="0"/>
          <w:marRight w:val="0"/>
          <w:marTop w:val="0"/>
          <w:marBottom w:val="0"/>
          <w:divBdr>
            <w:top w:val="none" w:sz="0" w:space="0" w:color="auto"/>
            <w:left w:val="none" w:sz="0" w:space="0" w:color="auto"/>
            <w:bottom w:val="none" w:sz="0" w:space="0" w:color="auto"/>
            <w:right w:val="none" w:sz="0" w:space="0" w:color="auto"/>
          </w:divBdr>
        </w:div>
      </w:divsChild>
    </w:div>
    <w:div w:id="1020618765">
      <w:bodyDiv w:val="1"/>
      <w:marLeft w:val="0"/>
      <w:marRight w:val="0"/>
      <w:marTop w:val="0"/>
      <w:marBottom w:val="0"/>
      <w:divBdr>
        <w:top w:val="none" w:sz="0" w:space="0" w:color="auto"/>
        <w:left w:val="none" w:sz="0" w:space="0" w:color="auto"/>
        <w:bottom w:val="none" w:sz="0" w:space="0" w:color="auto"/>
        <w:right w:val="none" w:sz="0" w:space="0" w:color="auto"/>
      </w:divBdr>
    </w:div>
    <w:div w:id="1064333630">
      <w:bodyDiv w:val="1"/>
      <w:marLeft w:val="0"/>
      <w:marRight w:val="0"/>
      <w:marTop w:val="0"/>
      <w:marBottom w:val="0"/>
      <w:divBdr>
        <w:top w:val="none" w:sz="0" w:space="0" w:color="auto"/>
        <w:left w:val="none" w:sz="0" w:space="0" w:color="auto"/>
        <w:bottom w:val="none" w:sz="0" w:space="0" w:color="auto"/>
        <w:right w:val="none" w:sz="0" w:space="0" w:color="auto"/>
      </w:divBdr>
    </w:div>
    <w:div w:id="1091270599">
      <w:bodyDiv w:val="1"/>
      <w:marLeft w:val="0"/>
      <w:marRight w:val="0"/>
      <w:marTop w:val="0"/>
      <w:marBottom w:val="0"/>
      <w:divBdr>
        <w:top w:val="none" w:sz="0" w:space="0" w:color="auto"/>
        <w:left w:val="none" w:sz="0" w:space="0" w:color="auto"/>
        <w:bottom w:val="none" w:sz="0" w:space="0" w:color="auto"/>
        <w:right w:val="none" w:sz="0" w:space="0" w:color="auto"/>
      </w:divBdr>
    </w:div>
    <w:div w:id="1176309990">
      <w:bodyDiv w:val="1"/>
      <w:marLeft w:val="0"/>
      <w:marRight w:val="0"/>
      <w:marTop w:val="0"/>
      <w:marBottom w:val="0"/>
      <w:divBdr>
        <w:top w:val="none" w:sz="0" w:space="0" w:color="auto"/>
        <w:left w:val="none" w:sz="0" w:space="0" w:color="auto"/>
        <w:bottom w:val="none" w:sz="0" w:space="0" w:color="auto"/>
        <w:right w:val="none" w:sz="0" w:space="0" w:color="auto"/>
      </w:divBdr>
    </w:div>
    <w:div w:id="1189610071">
      <w:bodyDiv w:val="1"/>
      <w:marLeft w:val="0"/>
      <w:marRight w:val="0"/>
      <w:marTop w:val="0"/>
      <w:marBottom w:val="0"/>
      <w:divBdr>
        <w:top w:val="none" w:sz="0" w:space="0" w:color="auto"/>
        <w:left w:val="none" w:sz="0" w:space="0" w:color="auto"/>
        <w:bottom w:val="none" w:sz="0" w:space="0" w:color="auto"/>
        <w:right w:val="none" w:sz="0" w:space="0" w:color="auto"/>
      </w:divBdr>
    </w:div>
    <w:div w:id="1226723287">
      <w:bodyDiv w:val="1"/>
      <w:marLeft w:val="0"/>
      <w:marRight w:val="0"/>
      <w:marTop w:val="0"/>
      <w:marBottom w:val="0"/>
      <w:divBdr>
        <w:top w:val="none" w:sz="0" w:space="0" w:color="auto"/>
        <w:left w:val="none" w:sz="0" w:space="0" w:color="auto"/>
        <w:bottom w:val="none" w:sz="0" w:space="0" w:color="auto"/>
        <w:right w:val="none" w:sz="0" w:space="0" w:color="auto"/>
      </w:divBdr>
    </w:div>
    <w:div w:id="1307710384">
      <w:bodyDiv w:val="1"/>
      <w:marLeft w:val="0"/>
      <w:marRight w:val="0"/>
      <w:marTop w:val="0"/>
      <w:marBottom w:val="0"/>
      <w:divBdr>
        <w:top w:val="none" w:sz="0" w:space="0" w:color="auto"/>
        <w:left w:val="none" w:sz="0" w:space="0" w:color="auto"/>
        <w:bottom w:val="none" w:sz="0" w:space="0" w:color="auto"/>
        <w:right w:val="none" w:sz="0" w:space="0" w:color="auto"/>
      </w:divBdr>
    </w:div>
    <w:div w:id="1309701646">
      <w:bodyDiv w:val="1"/>
      <w:marLeft w:val="0"/>
      <w:marRight w:val="0"/>
      <w:marTop w:val="0"/>
      <w:marBottom w:val="0"/>
      <w:divBdr>
        <w:top w:val="none" w:sz="0" w:space="0" w:color="auto"/>
        <w:left w:val="none" w:sz="0" w:space="0" w:color="auto"/>
        <w:bottom w:val="none" w:sz="0" w:space="0" w:color="auto"/>
        <w:right w:val="none" w:sz="0" w:space="0" w:color="auto"/>
      </w:divBdr>
      <w:divsChild>
        <w:div w:id="1026517718">
          <w:marLeft w:val="0"/>
          <w:marRight w:val="0"/>
          <w:marTop w:val="0"/>
          <w:marBottom w:val="0"/>
          <w:divBdr>
            <w:top w:val="none" w:sz="0" w:space="0" w:color="auto"/>
            <w:left w:val="none" w:sz="0" w:space="0" w:color="auto"/>
            <w:bottom w:val="none" w:sz="0" w:space="0" w:color="auto"/>
            <w:right w:val="none" w:sz="0" w:space="0" w:color="auto"/>
          </w:divBdr>
          <w:divsChild>
            <w:div w:id="111398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746839">
      <w:bodyDiv w:val="1"/>
      <w:marLeft w:val="0"/>
      <w:marRight w:val="0"/>
      <w:marTop w:val="0"/>
      <w:marBottom w:val="0"/>
      <w:divBdr>
        <w:top w:val="none" w:sz="0" w:space="0" w:color="auto"/>
        <w:left w:val="none" w:sz="0" w:space="0" w:color="auto"/>
        <w:bottom w:val="none" w:sz="0" w:space="0" w:color="auto"/>
        <w:right w:val="none" w:sz="0" w:space="0" w:color="auto"/>
      </w:divBdr>
    </w:div>
    <w:div w:id="1321932074">
      <w:bodyDiv w:val="1"/>
      <w:marLeft w:val="0"/>
      <w:marRight w:val="0"/>
      <w:marTop w:val="0"/>
      <w:marBottom w:val="0"/>
      <w:divBdr>
        <w:top w:val="none" w:sz="0" w:space="0" w:color="auto"/>
        <w:left w:val="none" w:sz="0" w:space="0" w:color="auto"/>
        <w:bottom w:val="none" w:sz="0" w:space="0" w:color="auto"/>
        <w:right w:val="none" w:sz="0" w:space="0" w:color="auto"/>
      </w:divBdr>
    </w:div>
    <w:div w:id="1329746668">
      <w:bodyDiv w:val="1"/>
      <w:marLeft w:val="0"/>
      <w:marRight w:val="0"/>
      <w:marTop w:val="0"/>
      <w:marBottom w:val="0"/>
      <w:divBdr>
        <w:top w:val="none" w:sz="0" w:space="0" w:color="auto"/>
        <w:left w:val="none" w:sz="0" w:space="0" w:color="auto"/>
        <w:bottom w:val="none" w:sz="0" w:space="0" w:color="auto"/>
        <w:right w:val="none" w:sz="0" w:space="0" w:color="auto"/>
      </w:divBdr>
    </w:div>
    <w:div w:id="1388333281">
      <w:bodyDiv w:val="1"/>
      <w:marLeft w:val="0"/>
      <w:marRight w:val="0"/>
      <w:marTop w:val="0"/>
      <w:marBottom w:val="0"/>
      <w:divBdr>
        <w:top w:val="none" w:sz="0" w:space="0" w:color="auto"/>
        <w:left w:val="none" w:sz="0" w:space="0" w:color="auto"/>
        <w:bottom w:val="none" w:sz="0" w:space="0" w:color="auto"/>
        <w:right w:val="none" w:sz="0" w:space="0" w:color="auto"/>
      </w:divBdr>
    </w:div>
    <w:div w:id="1389256235">
      <w:bodyDiv w:val="1"/>
      <w:marLeft w:val="0"/>
      <w:marRight w:val="0"/>
      <w:marTop w:val="0"/>
      <w:marBottom w:val="0"/>
      <w:divBdr>
        <w:top w:val="none" w:sz="0" w:space="0" w:color="auto"/>
        <w:left w:val="none" w:sz="0" w:space="0" w:color="auto"/>
        <w:bottom w:val="none" w:sz="0" w:space="0" w:color="auto"/>
        <w:right w:val="none" w:sz="0" w:space="0" w:color="auto"/>
      </w:divBdr>
    </w:div>
    <w:div w:id="1394039440">
      <w:bodyDiv w:val="1"/>
      <w:marLeft w:val="0"/>
      <w:marRight w:val="0"/>
      <w:marTop w:val="0"/>
      <w:marBottom w:val="0"/>
      <w:divBdr>
        <w:top w:val="none" w:sz="0" w:space="0" w:color="auto"/>
        <w:left w:val="none" w:sz="0" w:space="0" w:color="auto"/>
        <w:bottom w:val="none" w:sz="0" w:space="0" w:color="auto"/>
        <w:right w:val="none" w:sz="0" w:space="0" w:color="auto"/>
      </w:divBdr>
    </w:div>
    <w:div w:id="1417439727">
      <w:bodyDiv w:val="1"/>
      <w:marLeft w:val="0"/>
      <w:marRight w:val="0"/>
      <w:marTop w:val="0"/>
      <w:marBottom w:val="0"/>
      <w:divBdr>
        <w:top w:val="none" w:sz="0" w:space="0" w:color="auto"/>
        <w:left w:val="none" w:sz="0" w:space="0" w:color="auto"/>
        <w:bottom w:val="none" w:sz="0" w:space="0" w:color="auto"/>
        <w:right w:val="none" w:sz="0" w:space="0" w:color="auto"/>
      </w:divBdr>
    </w:div>
    <w:div w:id="1463841457">
      <w:bodyDiv w:val="1"/>
      <w:marLeft w:val="0"/>
      <w:marRight w:val="0"/>
      <w:marTop w:val="0"/>
      <w:marBottom w:val="0"/>
      <w:divBdr>
        <w:top w:val="none" w:sz="0" w:space="0" w:color="auto"/>
        <w:left w:val="none" w:sz="0" w:space="0" w:color="auto"/>
        <w:bottom w:val="none" w:sz="0" w:space="0" w:color="auto"/>
        <w:right w:val="none" w:sz="0" w:space="0" w:color="auto"/>
      </w:divBdr>
    </w:div>
    <w:div w:id="1469785609">
      <w:bodyDiv w:val="1"/>
      <w:marLeft w:val="0"/>
      <w:marRight w:val="0"/>
      <w:marTop w:val="0"/>
      <w:marBottom w:val="0"/>
      <w:divBdr>
        <w:top w:val="none" w:sz="0" w:space="0" w:color="auto"/>
        <w:left w:val="none" w:sz="0" w:space="0" w:color="auto"/>
        <w:bottom w:val="none" w:sz="0" w:space="0" w:color="auto"/>
        <w:right w:val="none" w:sz="0" w:space="0" w:color="auto"/>
      </w:divBdr>
      <w:divsChild>
        <w:div w:id="1898396862">
          <w:marLeft w:val="0"/>
          <w:marRight w:val="0"/>
          <w:marTop w:val="0"/>
          <w:marBottom w:val="0"/>
          <w:divBdr>
            <w:top w:val="none" w:sz="0" w:space="0" w:color="auto"/>
            <w:left w:val="none" w:sz="0" w:space="0" w:color="auto"/>
            <w:bottom w:val="none" w:sz="0" w:space="0" w:color="auto"/>
            <w:right w:val="none" w:sz="0" w:space="0" w:color="auto"/>
          </w:divBdr>
          <w:divsChild>
            <w:div w:id="1290432867">
              <w:marLeft w:val="0"/>
              <w:marRight w:val="0"/>
              <w:marTop w:val="0"/>
              <w:marBottom w:val="0"/>
              <w:divBdr>
                <w:top w:val="none" w:sz="0" w:space="0" w:color="auto"/>
                <w:left w:val="none" w:sz="0" w:space="0" w:color="auto"/>
                <w:bottom w:val="none" w:sz="0" w:space="0" w:color="auto"/>
                <w:right w:val="none" w:sz="0" w:space="0" w:color="auto"/>
              </w:divBdr>
            </w:div>
            <w:div w:id="197979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26675">
      <w:bodyDiv w:val="1"/>
      <w:marLeft w:val="0"/>
      <w:marRight w:val="0"/>
      <w:marTop w:val="0"/>
      <w:marBottom w:val="0"/>
      <w:divBdr>
        <w:top w:val="none" w:sz="0" w:space="0" w:color="auto"/>
        <w:left w:val="none" w:sz="0" w:space="0" w:color="auto"/>
        <w:bottom w:val="none" w:sz="0" w:space="0" w:color="auto"/>
        <w:right w:val="none" w:sz="0" w:space="0" w:color="auto"/>
      </w:divBdr>
    </w:div>
    <w:div w:id="1477183240">
      <w:bodyDiv w:val="1"/>
      <w:marLeft w:val="0"/>
      <w:marRight w:val="0"/>
      <w:marTop w:val="0"/>
      <w:marBottom w:val="0"/>
      <w:divBdr>
        <w:top w:val="none" w:sz="0" w:space="0" w:color="auto"/>
        <w:left w:val="none" w:sz="0" w:space="0" w:color="auto"/>
        <w:bottom w:val="none" w:sz="0" w:space="0" w:color="auto"/>
        <w:right w:val="none" w:sz="0" w:space="0" w:color="auto"/>
      </w:divBdr>
    </w:div>
    <w:div w:id="1502428319">
      <w:bodyDiv w:val="1"/>
      <w:marLeft w:val="0"/>
      <w:marRight w:val="0"/>
      <w:marTop w:val="0"/>
      <w:marBottom w:val="0"/>
      <w:divBdr>
        <w:top w:val="none" w:sz="0" w:space="0" w:color="auto"/>
        <w:left w:val="none" w:sz="0" w:space="0" w:color="auto"/>
        <w:bottom w:val="none" w:sz="0" w:space="0" w:color="auto"/>
        <w:right w:val="none" w:sz="0" w:space="0" w:color="auto"/>
      </w:divBdr>
    </w:div>
    <w:div w:id="1566377501">
      <w:bodyDiv w:val="1"/>
      <w:marLeft w:val="0"/>
      <w:marRight w:val="0"/>
      <w:marTop w:val="0"/>
      <w:marBottom w:val="0"/>
      <w:divBdr>
        <w:top w:val="none" w:sz="0" w:space="0" w:color="auto"/>
        <w:left w:val="none" w:sz="0" w:space="0" w:color="auto"/>
        <w:bottom w:val="none" w:sz="0" w:space="0" w:color="auto"/>
        <w:right w:val="none" w:sz="0" w:space="0" w:color="auto"/>
      </w:divBdr>
    </w:div>
    <w:div w:id="1588731921">
      <w:bodyDiv w:val="1"/>
      <w:marLeft w:val="0"/>
      <w:marRight w:val="0"/>
      <w:marTop w:val="0"/>
      <w:marBottom w:val="0"/>
      <w:divBdr>
        <w:top w:val="none" w:sz="0" w:space="0" w:color="auto"/>
        <w:left w:val="none" w:sz="0" w:space="0" w:color="auto"/>
        <w:bottom w:val="none" w:sz="0" w:space="0" w:color="auto"/>
        <w:right w:val="none" w:sz="0" w:space="0" w:color="auto"/>
      </w:divBdr>
    </w:div>
    <w:div w:id="1669596412">
      <w:bodyDiv w:val="1"/>
      <w:marLeft w:val="0"/>
      <w:marRight w:val="0"/>
      <w:marTop w:val="0"/>
      <w:marBottom w:val="0"/>
      <w:divBdr>
        <w:top w:val="none" w:sz="0" w:space="0" w:color="auto"/>
        <w:left w:val="none" w:sz="0" w:space="0" w:color="auto"/>
        <w:bottom w:val="none" w:sz="0" w:space="0" w:color="auto"/>
        <w:right w:val="none" w:sz="0" w:space="0" w:color="auto"/>
      </w:divBdr>
    </w:div>
    <w:div w:id="1761368777">
      <w:bodyDiv w:val="1"/>
      <w:marLeft w:val="0"/>
      <w:marRight w:val="0"/>
      <w:marTop w:val="0"/>
      <w:marBottom w:val="0"/>
      <w:divBdr>
        <w:top w:val="none" w:sz="0" w:space="0" w:color="auto"/>
        <w:left w:val="none" w:sz="0" w:space="0" w:color="auto"/>
        <w:bottom w:val="none" w:sz="0" w:space="0" w:color="auto"/>
        <w:right w:val="none" w:sz="0" w:space="0" w:color="auto"/>
      </w:divBdr>
    </w:div>
    <w:div w:id="1775443907">
      <w:bodyDiv w:val="1"/>
      <w:marLeft w:val="0"/>
      <w:marRight w:val="0"/>
      <w:marTop w:val="0"/>
      <w:marBottom w:val="0"/>
      <w:divBdr>
        <w:top w:val="none" w:sz="0" w:space="0" w:color="auto"/>
        <w:left w:val="none" w:sz="0" w:space="0" w:color="auto"/>
        <w:bottom w:val="none" w:sz="0" w:space="0" w:color="auto"/>
        <w:right w:val="none" w:sz="0" w:space="0" w:color="auto"/>
      </w:divBdr>
    </w:div>
    <w:div w:id="1788426149">
      <w:bodyDiv w:val="1"/>
      <w:marLeft w:val="0"/>
      <w:marRight w:val="0"/>
      <w:marTop w:val="0"/>
      <w:marBottom w:val="0"/>
      <w:divBdr>
        <w:top w:val="none" w:sz="0" w:space="0" w:color="auto"/>
        <w:left w:val="none" w:sz="0" w:space="0" w:color="auto"/>
        <w:bottom w:val="none" w:sz="0" w:space="0" w:color="auto"/>
        <w:right w:val="none" w:sz="0" w:space="0" w:color="auto"/>
      </w:divBdr>
    </w:div>
    <w:div w:id="1865744698">
      <w:bodyDiv w:val="1"/>
      <w:marLeft w:val="0"/>
      <w:marRight w:val="0"/>
      <w:marTop w:val="0"/>
      <w:marBottom w:val="0"/>
      <w:divBdr>
        <w:top w:val="none" w:sz="0" w:space="0" w:color="auto"/>
        <w:left w:val="none" w:sz="0" w:space="0" w:color="auto"/>
        <w:bottom w:val="none" w:sz="0" w:space="0" w:color="auto"/>
        <w:right w:val="none" w:sz="0" w:space="0" w:color="auto"/>
      </w:divBdr>
    </w:div>
    <w:div w:id="1881477492">
      <w:bodyDiv w:val="1"/>
      <w:marLeft w:val="0"/>
      <w:marRight w:val="0"/>
      <w:marTop w:val="0"/>
      <w:marBottom w:val="0"/>
      <w:divBdr>
        <w:top w:val="none" w:sz="0" w:space="0" w:color="auto"/>
        <w:left w:val="none" w:sz="0" w:space="0" w:color="auto"/>
        <w:bottom w:val="none" w:sz="0" w:space="0" w:color="auto"/>
        <w:right w:val="none" w:sz="0" w:space="0" w:color="auto"/>
      </w:divBdr>
    </w:div>
    <w:div w:id="1924609623">
      <w:bodyDiv w:val="1"/>
      <w:marLeft w:val="0"/>
      <w:marRight w:val="0"/>
      <w:marTop w:val="0"/>
      <w:marBottom w:val="0"/>
      <w:divBdr>
        <w:top w:val="none" w:sz="0" w:space="0" w:color="auto"/>
        <w:left w:val="none" w:sz="0" w:space="0" w:color="auto"/>
        <w:bottom w:val="none" w:sz="0" w:space="0" w:color="auto"/>
        <w:right w:val="none" w:sz="0" w:space="0" w:color="auto"/>
      </w:divBdr>
    </w:div>
    <w:div w:id="1943143367">
      <w:bodyDiv w:val="1"/>
      <w:marLeft w:val="0"/>
      <w:marRight w:val="0"/>
      <w:marTop w:val="0"/>
      <w:marBottom w:val="0"/>
      <w:divBdr>
        <w:top w:val="none" w:sz="0" w:space="0" w:color="auto"/>
        <w:left w:val="none" w:sz="0" w:space="0" w:color="auto"/>
        <w:bottom w:val="none" w:sz="0" w:space="0" w:color="auto"/>
        <w:right w:val="none" w:sz="0" w:space="0" w:color="auto"/>
      </w:divBdr>
    </w:div>
    <w:div w:id="1972007299">
      <w:bodyDiv w:val="1"/>
      <w:marLeft w:val="0"/>
      <w:marRight w:val="0"/>
      <w:marTop w:val="0"/>
      <w:marBottom w:val="0"/>
      <w:divBdr>
        <w:top w:val="none" w:sz="0" w:space="0" w:color="auto"/>
        <w:left w:val="none" w:sz="0" w:space="0" w:color="auto"/>
        <w:bottom w:val="none" w:sz="0" w:space="0" w:color="auto"/>
        <w:right w:val="none" w:sz="0" w:space="0" w:color="auto"/>
      </w:divBdr>
    </w:div>
    <w:div w:id="1985311372">
      <w:bodyDiv w:val="1"/>
      <w:marLeft w:val="0"/>
      <w:marRight w:val="0"/>
      <w:marTop w:val="0"/>
      <w:marBottom w:val="0"/>
      <w:divBdr>
        <w:top w:val="none" w:sz="0" w:space="0" w:color="auto"/>
        <w:left w:val="none" w:sz="0" w:space="0" w:color="auto"/>
        <w:bottom w:val="none" w:sz="0" w:space="0" w:color="auto"/>
        <w:right w:val="none" w:sz="0" w:space="0" w:color="auto"/>
      </w:divBdr>
    </w:div>
    <w:div w:id="2035879702">
      <w:bodyDiv w:val="1"/>
      <w:marLeft w:val="0"/>
      <w:marRight w:val="0"/>
      <w:marTop w:val="0"/>
      <w:marBottom w:val="0"/>
      <w:divBdr>
        <w:top w:val="none" w:sz="0" w:space="0" w:color="auto"/>
        <w:left w:val="none" w:sz="0" w:space="0" w:color="auto"/>
        <w:bottom w:val="none" w:sz="0" w:space="0" w:color="auto"/>
        <w:right w:val="none" w:sz="0" w:space="0" w:color="auto"/>
      </w:divBdr>
    </w:div>
    <w:div w:id="2039575419">
      <w:bodyDiv w:val="1"/>
      <w:marLeft w:val="0"/>
      <w:marRight w:val="0"/>
      <w:marTop w:val="0"/>
      <w:marBottom w:val="0"/>
      <w:divBdr>
        <w:top w:val="none" w:sz="0" w:space="0" w:color="auto"/>
        <w:left w:val="none" w:sz="0" w:space="0" w:color="auto"/>
        <w:bottom w:val="none" w:sz="0" w:space="0" w:color="auto"/>
        <w:right w:val="none" w:sz="0" w:space="0" w:color="auto"/>
      </w:divBdr>
    </w:div>
    <w:div w:id="2040543745">
      <w:bodyDiv w:val="1"/>
      <w:marLeft w:val="0"/>
      <w:marRight w:val="0"/>
      <w:marTop w:val="0"/>
      <w:marBottom w:val="0"/>
      <w:divBdr>
        <w:top w:val="none" w:sz="0" w:space="0" w:color="auto"/>
        <w:left w:val="none" w:sz="0" w:space="0" w:color="auto"/>
        <w:bottom w:val="none" w:sz="0" w:space="0" w:color="auto"/>
        <w:right w:val="none" w:sz="0" w:space="0" w:color="auto"/>
      </w:divBdr>
      <w:divsChild>
        <w:div w:id="518934628">
          <w:marLeft w:val="0"/>
          <w:marRight w:val="0"/>
          <w:marTop w:val="0"/>
          <w:marBottom w:val="0"/>
          <w:divBdr>
            <w:top w:val="none" w:sz="0" w:space="0" w:color="auto"/>
            <w:left w:val="none" w:sz="0" w:space="0" w:color="auto"/>
            <w:bottom w:val="none" w:sz="0" w:space="0" w:color="auto"/>
            <w:right w:val="none" w:sz="0" w:space="0" w:color="auto"/>
          </w:divBdr>
        </w:div>
        <w:div w:id="954335640">
          <w:marLeft w:val="0"/>
          <w:marRight w:val="0"/>
          <w:marTop w:val="0"/>
          <w:marBottom w:val="0"/>
          <w:divBdr>
            <w:top w:val="none" w:sz="0" w:space="0" w:color="auto"/>
            <w:left w:val="none" w:sz="0" w:space="0" w:color="auto"/>
            <w:bottom w:val="none" w:sz="0" w:space="0" w:color="auto"/>
            <w:right w:val="none" w:sz="0" w:space="0" w:color="auto"/>
          </w:divBdr>
        </w:div>
        <w:div w:id="1998486496">
          <w:marLeft w:val="0"/>
          <w:marRight w:val="0"/>
          <w:marTop w:val="0"/>
          <w:marBottom w:val="0"/>
          <w:divBdr>
            <w:top w:val="none" w:sz="0" w:space="0" w:color="auto"/>
            <w:left w:val="none" w:sz="0" w:space="0" w:color="auto"/>
            <w:bottom w:val="none" w:sz="0" w:space="0" w:color="auto"/>
            <w:right w:val="none" w:sz="0" w:space="0" w:color="auto"/>
          </w:divBdr>
        </w:div>
      </w:divsChild>
    </w:div>
    <w:div w:id="2054039221">
      <w:bodyDiv w:val="1"/>
      <w:marLeft w:val="0"/>
      <w:marRight w:val="0"/>
      <w:marTop w:val="0"/>
      <w:marBottom w:val="0"/>
      <w:divBdr>
        <w:top w:val="none" w:sz="0" w:space="0" w:color="auto"/>
        <w:left w:val="none" w:sz="0" w:space="0" w:color="auto"/>
        <w:bottom w:val="none" w:sz="0" w:space="0" w:color="auto"/>
        <w:right w:val="none" w:sz="0" w:space="0" w:color="auto"/>
      </w:divBdr>
    </w:div>
    <w:div w:id="2076052321">
      <w:bodyDiv w:val="1"/>
      <w:marLeft w:val="0"/>
      <w:marRight w:val="0"/>
      <w:marTop w:val="0"/>
      <w:marBottom w:val="0"/>
      <w:divBdr>
        <w:top w:val="none" w:sz="0" w:space="0" w:color="auto"/>
        <w:left w:val="none" w:sz="0" w:space="0" w:color="auto"/>
        <w:bottom w:val="none" w:sz="0" w:space="0" w:color="auto"/>
        <w:right w:val="none" w:sz="0" w:space="0" w:color="auto"/>
      </w:divBdr>
    </w:div>
    <w:div w:id="2079984406">
      <w:bodyDiv w:val="1"/>
      <w:marLeft w:val="0"/>
      <w:marRight w:val="0"/>
      <w:marTop w:val="0"/>
      <w:marBottom w:val="0"/>
      <w:divBdr>
        <w:top w:val="none" w:sz="0" w:space="0" w:color="auto"/>
        <w:left w:val="none" w:sz="0" w:space="0" w:color="auto"/>
        <w:bottom w:val="none" w:sz="0" w:space="0" w:color="auto"/>
        <w:right w:val="none" w:sz="0" w:space="0" w:color="auto"/>
      </w:divBdr>
    </w:div>
    <w:div w:id="2134013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64</Pages>
  <Words>11191</Words>
  <Characters>63921</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shahad AlEssa</cp:lastModifiedBy>
  <cp:revision>2</cp:revision>
  <dcterms:created xsi:type="dcterms:W3CDTF">2025-07-19T09:07:00Z</dcterms:created>
  <dcterms:modified xsi:type="dcterms:W3CDTF">2025-07-19T09:07:00Z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