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91509F6" w:rsidR="001955FA" w:rsidRPr="00641ED1" w:rsidRDefault="00B25B94" w:rsidP="00B25B9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641ED1">
        <w:rPr>
          <w:rFonts w:ascii="Simplified Arabic" w:hAnsi="Simplified Arabic" w:cs="Simplified Arabic"/>
          <w:b/>
          <w:bCs/>
          <w:noProof/>
          <w:color w:val="000000" w:themeColor="text1"/>
          <w:sz w:val="32"/>
          <w:szCs w:val="32"/>
        </w:rPr>
        <w:drawing>
          <wp:anchor distT="0" distB="0" distL="114300" distR="114300" simplePos="0" relativeHeight="251659264" behindDoc="0" locked="0" layoutInCell="1" allowOverlap="1" wp14:anchorId="4A83F414" wp14:editId="43C3344D">
            <wp:simplePos x="0" y="0"/>
            <wp:positionH relativeFrom="margin">
              <wp:posOffset>407670</wp:posOffset>
            </wp:positionH>
            <wp:positionV relativeFrom="topMargin">
              <wp:posOffset>739140</wp:posOffset>
            </wp:positionV>
            <wp:extent cx="2033270" cy="9086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001955FA" w:rsidRPr="00641ED1">
        <w:rPr>
          <w:rFonts w:ascii="Simplified Arabic" w:eastAsia="Calibri" w:hAnsi="Simplified Arabic" w:cs="Simplified Arabic"/>
          <w:b/>
          <w:bCs/>
          <w:color w:val="000000" w:themeColor="text1"/>
          <w:sz w:val="32"/>
          <w:szCs w:val="32"/>
          <w:rtl/>
          <w:lang w:bidi="ar-EG"/>
        </w:rPr>
        <w:t xml:space="preserve">جامعة </w:t>
      </w:r>
      <w:proofErr w:type="spellStart"/>
      <w:r w:rsidR="001955FA" w:rsidRPr="00641ED1">
        <w:rPr>
          <w:rFonts w:ascii="Simplified Arabic" w:eastAsia="Calibri" w:hAnsi="Simplified Arabic" w:cs="Simplified Arabic"/>
          <w:b/>
          <w:bCs/>
          <w:color w:val="000000" w:themeColor="text1"/>
          <w:sz w:val="32"/>
          <w:szCs w:val="32"/>
          <w:rtl/>
          <w:lang w:bidi="ar-EG"/>
        </w:rPr>
        <w:t>ميدأوشن</w:t>
      </w:r>
      <w:proofErr w:type="spellEnd"/>
      <w:r w:rsidR="001955FA" w:rsidRPr="00641ED1">
        <w:rPr>
          <w:rFonts w:ascii="Simplified Arabic" w:eastAsia="Calibri" w:hAnsi="Simplified Arabic" w:cs="Simplified Arabic"/>
          <w:b/>
          <w:bCs/>
          <w:color w:val="000000" w:themeColor="text1"/>
          <w:sz w:val="32"/>
          <w:szCs w:val="32"/>
          <w:rtl/>
          <w:lang w:bidi="ar-EG"/>
        </w:rPr>
        <w:t xml:space="preserve"> </w:t>
      </w:r>
    </w:p>
    <w:p w14:paraId="3996A7D2" w14:textId="358BA3BB" w:rsidR="00B25B94" w:rsidRPr="00641ED1" w:rsidRDefault="001955FA" w:rsidP="00B25B9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641ED1">
        <w:rPr>
          <w:rFonts w:ascii="Simplified Arabic" w:eastAsia="Calibri" w:hAnsi="Simplified Arabic" w:cs="Simplified Arabic"/>
          <w:b/>
          <w:bCs/>
          <w:color w:val="000000" w:themeColor="text1"/>
          <w:sz w:val="32"/>
          <w:szCs w:val="32"/>
          <w:lang w:bidi="ar-EG"/>
        </w:rPr>
        <w:t xml:space="preserve"> </w:t>
      </w:r>
      <w:r w:rsidR="00B25B94" w:rsidRPr="00641ED1">
        <w:rPr>
          <w:rFonts w:ascii="Simplified Arabic" w:eastAsia="Calibri" w:hAnsi="Simplified Arabic" w:cs="Simplified Arabic"/>
          <w:b/>
          <w:bCs/>
          <w:color w:val="000000" w:themeColor="text1"/>
          <w:sz w:val="32"/>
          <w:szCs w:val="32"/>
          <w:rtl/>
          <w:lang w:bidi="ar-EG"/>
        </w:rPr>
        <w:t>كلية الإدارة</w:t>
      </w:r>
    </w:p>
    <w:p w14:paraId="12619E2E" w14:textId="63B0FFD3" w:rsidR="001955FA" w:rsidRPr="00641ED1" w:rsidRDefault="001955FA" w:rsidP="00B25B9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641ED1">
        <w:rPr>
          <w:rFonts w:ascii="Simplified Arabic" w:eastAsia="Calibri" w:hAnsi="Simplified Arabic" w:cs="Simplified Arabic"/>
          <w:b/>
          <w:bCs/>
          <w:color w:val="000000" w:themeColor="text1"/>
          <w:sz w:val="32"/>
          <w:szCs w:val="32"/>
          <w:rtl/>
          <w:lang w:bidi="ar-EG"/>
        </w:rPr>
        <w:t xml:space="preserve">قسم / </w:t>
      </w:r>
      <w:r w:rsidR="004B20CB" w:rsidRPr="00641ED1">
        <w:rPr>
          <w:rFonts w:ascii="Simplified Arabic" w:eastAsia="Calibri" w:hAnsi="Simplified Arabic" w:cs="Simplified Arabic"/>
          <w:b/>
          <w:bCs/>
          <w:color w:val="000000" w:themeColor="text1"/>
          <w:sz w:val="32"/>
          <w:szCs w:val="32"/>
          <w:rtl/>
        </w:rPr>
        <w:t>إدارة الأعمال</w:t>
      </w:r>
      <w:r w:rsidR="005F4110" w:rsidRPr="00641ED1">
        <w:rPr>
          <w:rFonts w:ascii="Simplified Arabic" w:eastAsia="Calibri" w:hAnsi="Simplified Arabic" w:cs="Simplified Arabic"/>
          <w:b/>
          <w:bCs/>
          <w:color w:val="000000" w:themeColor="text1"/>
          <w:sz w:val="32"/>
          <w:szCs w:val="32"/>
          <w:rtl/>
        </w:rPr>
        <w:t xml:space="preserve"> </w:t>
      </w:r>
    </w:p>
    <w:p w14:paraId="45FE0827" w14:textId="77777777" w:rsidR="001955FA" w:rsidRPr="00641ED1" w:rsidRDefault="001955FA" w:rsidP="00B25B94">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tl/>
          <w:lang w:bidi="ar-EG"/>
        </w:rPr>
      </w:pPr>
    </w:p>
    <w:p w14:paraId="405BAE1E" w14:textId="18640F80" w:rsidR="001955FA" w:rsidRPr="00641ED1" w:rsidRDefault="009B445B" w:rsidP="00B25B94">
      <w:pPr>
        <w:bidi/>
        <w:spacing w:before="100" w:beforeAutospacing="1" w:after="100" w:afterAutospacing="1" w:line="276" w:lineRule="auto"/>
        <w:jc w:val="center"/>
        <w:rPr>
          <w:rFonts w:ascii="Simplified Arabic" w:eastAsia="Times New Roman" w:hAnsi="Simplified Arabic" w:cs="Simplified Arabic"/>
          <w:b/>
          <w:bCs/>
          <w:color w:val="000000" w:themeColor="text1"/>
          <w:sz w:val="40"/>
          <w:szCs w:val="40"/>
          <w:lang w:bidi="ar-EG"/>
        </w:rPr>
      </w:pPr>
      <w:r w:rsidRPr="00641ED1">
        <w:rPr>
          <w:rFonts w:ascii="Simplified Arabic" w:eastAsia="Times New Roman" w:hAnsi="Simplified Arabic" w:cs="Simplified Arabic"/>
          <w:b/>
          <w:bCs/>
          <w:color w:val="000000" w:themeColor="text1"/>
          <w:sz w:val="40"/>
          <w:szCs w:val="40"/>
        </w:rPr>
        <w:t>“</w:t>
      </w:r>
      <w:r w:rsidR="0042403D" w:rsidRPr="00641ED1">
        <w:rPr>
          <w:rFonts w:ascii="Simplified Arabic" w:eastAsia="Times New Roman" w:hAnsi="Simplified Arabic" w:cs="Simplified Arabic"/>
          <w:b/>
          <w:bCs/>
          <w:color w:val="000000" w:themeColor="text1"/>
          <w:sz w:val="40"/>
          <w:szCs w:val="40"/>
          <w:rtl/>
        </w:rPr>
        <w:t>اثر تطبيق استراتيجيات إدارة مخاطر انقطاع الخدمة في تعزيز استمرارية الاعمال دراسة تطبيقية على شركات الاتصالات في المملكة العربية السعودية</w:t>
      </w:r>
    </w:p>
    <w:p w14:paraId="183383BA" w14:textId="03F95C1A" w:rsidR="001955FA" w:rsidRPr="00641ED1" w:rsidRDefault="001955FA" w:rsidP="00B25B94">
      <w:pPr>
        <w:bidi/>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641ED1">
        <w:rPr>
          <w:rFonts w:ascii="Simplified Arabic" w:eastAsia="Calibri" w:hAnsi="Simplified Arabic" w:cs="Simplified Arabic"/>
          <w:b/>
          <w:bCs/>
          <w:color w:val="000000" w:themeColor="text1"/>
          <w:sz w:val="36"/>
          <w:szCs w:val="36"/>
          <w:rtl/>
          <w:lang w:bidi="ar-EG"/>
        </w:rPr>
        <w:t>إعداد الطالب</w:t>
      </w:r>
      <w:r w:rsidRPr="00641ED1">
        <w:rPr>
          <w:rFonts w:ascii="Simplified Arabic" w:eastAsia="Calibri" w:hAnsi="Simplified Arabic" w:cs="Simplified Arabic"/>
          <w:b/>
          <w:bCs/>
          <w:color w:val="000000" w:themeColor="text1"/>
          <w:sz w:val="36"/>
          <w:szCs w:val="36"/>
          <w:lang w:bidi="ar-EG"/>
        </w:rPr>
        <w:t>:</w:t>
      </w:r>
      <w:r w:rsidR="006732FE">
        <w:rPr>
          <w:rFonts w:ascii="Simplified Arabic" w:eastAsia="Calibri" w:hAnsi="Simplified Arabic" w:cs="Simplified Arabic"/>
          <w:b/>
          <w:bCs/>
          <w:color w:val="000000" w:themeColor="text1"/>
          <w:sz w:val="36"/>
          <w:szCs w:val="36"/>
          <w:lang w:bidi="ar-EG"/>
        </w:rPr>
        <w:t xml:space="preserve"> </w:t>
      </w:r>
    </w:p>
    <w:p w14:paraId="0B512D59" w14:textId="447A8702" w:rsidR="001955FA" w:rsidRPr="00641ED1" w:rsidRDefault="00A22470" w:rsidP="00B25B94">
      <w:pPr>
        <w:bidi/>
        <w:spacing w:before="100" w:beforeAutospacing="1" w:after="100" w:afterAutospacing="1" w:line="276" w:lineRule="auto"/>
        <w:jc w:val="center"/>
        <w:rPr>
          <w:rFonts w:ascii="Simplified Arabic" w:eastAsia="Calibri" w:hAnsi="Simplified Arabic" w:cs="Simplified Arabic"/>
          <w:color w:val="000000" w:themeColor="text1"/>
          <w:sz w:val="36"/>
          <w:szCs w:val="36"/>
          <w:rtl/>
        </w:rPr>
      </w:pPr>
      <w:r w:rsidRPr="00641ED1">
        <w:rPr>
          <w:rFonts w:ascii="Simplified Arabic" w:eastAsia="Calibri" w:hAnsi="Simplified Arabic" w:cs="Simplified Arabic"/>
          <w:color w:val="000000" w:themeColor="text1"/>
          <w:sz w:val="36"/>
          <w:szCs w:val="36"/>
          <w:rtl/>
        </w:rPr>
        <w:t xml:space="preserve">م. </w:t>
      </w:r>
      <w:r w:rsidR="009B445B" w:rsidRPr="00641ED1">
        <w:rPr>
          <w:rFonts w:ascii="Simplified Arabic" w:eastAsia="Calibri" w:hAnsi="Simplified Arabic" w:cs="Simplified Arabic"/>
          <w:color w:val="000000" w:themeColor="text1"/>
          <w:sz w:val="36"/>
          <w:szCs w:val="36"/>
          <w:rtl/>
        </w:rPr>
        <w:t>حبيب منير رمضان</w:t>
      </w:r>
    </w:p>
    <w:p w14:paraId="7CEE31F5" w14:textId="77777777" w:rsidR="00B25B94" w:rsidRPr="00641ED1" w:rsidRDefault="00B25B94" w:rsidP="00B25B94">
      <w:pPr>
        <w:bidi/>
        <w:spacing w:before="100" w:beforeAutospacing="1" w:after="100" w:afterAutospacing="1" w:line="276" w:lineRule="auto"/>
        <w:jc w:val="center"/>
        <w:rPr>
          <w:rFonts w:ascii="Simplified Arabic" w:eastAsia="Calibri" w:hAnsi="Simplified Arabic" w:cs="Simplified Arabic"/>
          <w:color w:val="000000" w:themeColor="text1"/>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25B94" w:rsidRPr="00641ED1" w14:paraId="5DA3FA93" w14:textId="77777777" w:rsidTr="00B25B94">
        <w:tc>
          <w:tcPr>
            <w:tcW w:w="4530" w:type="dxa"/>
          </w:tcPr>
          <w:p w14:paraId="6B043AB6" w14:textId="77777777" w:rsidR="00B25B94" w:rsidRPr="00641ED1" w:rsidRDefault="00B25B94" w:rsidP="00B25B9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41ED1">
              <w:rPr>
                <w:rFonts w:ascii="Simplified Arabic" w:hAnsi="Simplified Arabic" w:cs="Simplified Arabic" w:hint="cs"/>
                <w:b/>
                <w:bCs/>
                <w:color w:val="000000" w:themeColor="text1"/>
                <w:sz w:val="36"/>
                <w:szCs w:val="36"/>
                <w:rtl/>
                <w:lang w:bidi="ar-EG"/>
              </w:rPr>
              <w:t>المشرف الرئيسي/</w:t>
            </w:r>
          </w:p>
        </w:tc>
        <w:tc>
          <w:tcPr>
            <w:tcW w:w="4531" w:type="dxa"/>
          </w:tcPr>
          <w:p w14:paraId="1C4D5433" w14:textId="77777777" w:rsidR="00B25B94" w:rsidRPr="00641ED1" w:rsidRDefault="00B25B94" w:rsidP="00B25B9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41ED1">
              <w:rPr>
                <w:rFonts w:ascii="Simplified Arabic" w:hAnsi="Simplified Arabic" w:cs="Simplified Arabic" w:hint="cs"/>
                <w:b/>
                <w:bCs/>
                <w:color w:val="000000" w:themeColor="text1"/>
                <w:sz w:val="36"/>
                <w:szCs w:val="36"/>
                <w:rtl/>
                <w:lang w:bidi="ar-EG"/>
              </w:rPr>
              <w:t>المشرف الثاني/</w:t>
            </w:r>
          </w:p>
        </w:tc>
      </w:tr>
      <w:tr w:rsidR="00B25B94" w:rsidRPr="00641ED1" w14:paraId="50B4226C" w14:textId="77777777" w:rsidTr="00B25B94">
        <w:tc>
          <w:tcPr>
            <w:tcW w:w="4530" w:type="dxa"/>
          </w:tcPr>
          <w:p w14:paraId="76D0AF44" w14:textId="77777777" w:rsidR="00B25B94" w:rsidRPr="00641ED1" w:rsidRDefault="00B25B94" w:rsidP="00B25B9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41ED1">
              <w:rPr>
                <w:rFonts w:ascii="Simplified Arabic" w:eastAsia="Calibri" w:hAnsi="Simplified Arabic" w:cs="Simplified Arabic"/>
                <w:b/>
                <w:bCs/>
                <w:color w:val="000000" w:themeColor="text1"/>
                <w:kern w:val="0"/>
                <w:sz w:val="36"/>
                <w:szCs w:val="36"/>
                <w:rtl/>
                <w:lang w:bidi="ar-EG"/>
                <w14:ligatures w14:val="none"/>
              </w:rPr>
              <w:t>د. الفيصل عبد الحميد</w:t>
            </w:r>
          </w:p>
        </w:tc>
        <w:tc>
          <w:tcPr>
            <w:tcW w:w="4531" w:type="dxa"/>
          </w:tcPr>
          <w:p w14:paraId="3EE0CA0D" w14:textId="77777777" w:rsidR="00B25B94" w:rsidRPr="00641ED1" w:rsidRDefault="00B25B94" w:rsidP="00B25B9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proofErr w:type="gramStart"/>
            <w:r w:rsidRPr="00641ED1">
              <w:rPr>
                <w:rFonts w:ascii="Simplified Arabic" w:eastAsia="Calibri" w:hAnsi="Simplified Arabic" w:cs="Simplified Arabic"/>
                <w:b/>
                <w:bCs/>
                <w:color w:val="000000" w:themeColor="text1"/>
                <w:kern w:val="0"/>
                <w:sz w:val="36"/>
                <w:szCs w:val="36"/>
                <w:rtl/>
                <w:lang w:bidi="ar-EG"/>
                <w14:ligatures w14:val="none"/>
              </w:rPr>
              <w:t>د.فايز</w:t>
            </w:r>
            <w:proofErr w:type="spellEnd"/>
            <w:proofErr w:type="gramEnd"/>
            <w:r w:rsidRPr="00641ED1">
              <w:rPr>
                <w:rFonts w:ascii="Simplified Arabic" w:eastAsia="Calibri" w:hAnsi="Simplified Arabic" w:cs="Simplified Arabic"/>
                <w:b/>
                <w:bCs/>
                <w:color w:val="000000" w:themeColor="text1"/>
                <w:kern w:val="0"/>
                <w:sz w:val="36"/>
                <w:szCs w:val="36"/>
                <w:rtl/>
                <w:lang w:bidi="ar-EG"/>
                <w14:ligatures w14:val="none"/>
              </w:rPr>
              <w:t xml:space="preserve"> جراد</w:t>
            </w:r>
          </w:p>
        </w:tc>
      </w:tr>
    </w:tbl>
    <w:p w14:paraId="299970F0" w14:textId="77777777" w:rsidR="00B25B94" w:rsidRPr="00641ED1" w:rsidRDefault="00B25B94" w:rsidP="00B25B9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641ED1">
        <w:rPr>
          <w:rFonts w:ascii="Simplified Arabic" w:hAnsi="Simplified Arabic" w:cs="Simplified Arabic"/>
          <w:b/>
          <w:bCs/>
          <w:color w:val="000000" w:themeColor="text1"/>
          <w:sz w:val="36"/>
          <w:szCs w:val="36"/>
          <w:rtl/>
          <w:lang w:bidi="ar-EG"/>
        </w:rPr>
        <w:t>العام الدراسي:</w:t>
      </w:r>
    </w:p>
    <w:p w14:paraId="7E8E69A5" w14:textId="77777777" w:rsidR="00B25B94" w:rsidRPr="00641ED1" w:rsidRDefault="00B25B94" w:rsidP="00B25B9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B25B94" w:rsidRPr="00641ED1" w:rsidSect="00B25B94">
          <w:footerReference w:type="default" r:id="rId12"/>
          <w:type w:val="continuous"/>
          <w:pgSz w:w="11906" w:h="16838" w:code="9"/>
          <w:pgMar w:top="1134" w:right="1701" w:bottom="1134" w:left="1134" w:header="720" w:footer="720" w:gutter="0"/>
          <w:pgNumType w:fmt="arabicAbjad" w:start="1"/>
          <w:cols w:space="708"/>
          <w:bidi/>
          <w:rtlGutter/>
          <w:docGrid w:linePitch="360"/>
        </w:sectPr>
      </w:pPr>
      <w:r w:rsidRPr="00641ED1">
        <w:rPr>
          <w:rFonts w:ascii="Simplified Arabic" w:hAnsi="Simplified Arabic" w:cs="Simplified Arabic" w:hint="cs"/>
          <w:color w:val="000000" w:themeColor="text1"/>
          <w:sz w:val="36"/>
          <w:szCs w:val="36"/>
          <w:rtl/>
          <w:lang w:bidi="ar-EG"/>
        </w:rPr>
        <w:t xml:space="preserve">1448 </w:t>
      </w:r>
      <w:r w:rsidRPr="00641ED1">
        <w:rPr>
          <w:rFonts w:ascii="Simplified Arabic" w:hAnsi="Simplified Arabic" w:cs="Simplified Arabic"/>
          <w:color w:val="000000" w:themeColor="text1"/>
          <w:sz w:val="36"/>
          <w:szCs w:val="36"/>
          <w:rtl/>
          <w:lang w:bidi="ar-EG"/>
        </w:rPr>
        <w:t>–</w:t>
      </w:r>
      <w:r w:rsidRPr="00641ED1">
        <w:rPr>
          <w:rFonts w:ascii="Simplified Arabic" w:hAnsi="Simplified Arabic" w:cs="Simplified Arabic" w:hint="cs"/>
          <w:color w:val="000000" w:themeColor="text1"/>
          <w:sz w:val="36"/>
          <w:szCs w:val="36"/>
          <w:rtl/>
          <w:lang w:bidi="ar-EG"/>
        </w:rPr>
        <w:t xml:space="preserve"> 2026</w:t>
      </w:r>
    </w:p>
    <w:p w14:paraId="61891CD3" w14:textId="77777777" w:rsidR="00B25B94" w:rsidRPr="00641ED1" w:rsidRDefault="00B25B94" w:rsidP="00B25B94">
      <w:pPr>
        <w:bidi/>
        <w:spacing w:before="100" w:beforeAutospacing="1" w:after="100" w:afterAutospacing="1" w:line="276" w:lineRule="auto"/>
        <w:jc w:val="center"/>
        <w:rPr>
          <w:rFonts w:ascii="Simplified Arabic" w:eastAsia="Calibri" w:hAnsi="Simplified Arabic" w:cs="Simplified Arabic"/>
          <w:color w:val="000000" w:themeColor="text1"/>
          <w:sz w:val="36"/>
          <w:szCs w:val="36"/>
          <w:rtl/>
        </w:rPr>
        <w:sectPr w:rsidR="00B25B94" w:rsidRPr="00641ED1" w:rsidSect="00B25B94">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134" w:right="1701" w:bottom="1134" w:left="1134" w:header="720" w:footer="720" w:gutter="0"/>
          <w:pgNumType w:fmt="arabicAbjad" w:start="1"/>
          <w:cols w:space="720"/>
          <w:bidi/>
          <w:rtlGutter/>
          <w:docGrid w:linePitch="360"/>
        </w:sectPr>
      </w:pPr>
    </w:p>
    <w:p w14:paraId="52349DE8" w14:textId="2F197610" w:rsidR="00B25B94" w:rsidRPr="00641ED1" w:rsidRDefault="00B25B94" w:rsidP="00B25B94">
      <w:pPr>
        <w:bidi/>
        <w:spacing w:before="100" w:beforeAutospacing="1" w:after="100" w:afterAutospacing="1" w:line="276" w:lineRule="auto"/>
        <w:jc w:val="center"/>
        <w:outlineLvl w:val="0"/>
        <w:rPr>
          <w:rFonts w:ascii="Simplified Arabic" w:eastAsia="Calibri" w:hAnsi="Simplified Arabic" w:cs="Simplified Arabic"/>
          <w:b/>
          <w:bCs/>
          <w:color w:val="000000" w:themeColor="text1"/>
          <w:sz w:val="40"/>
          <w:szCs w:val="40"/>
          <w:rtl/>
        </w:rPr>
      </w:pPr>
      <w:bookmarkStart w:id="0" w:name="_Toc233993650"/>
      <w:r w:rsidRPr="00641ED1">
        <w:rPr>
          <w:rFonts w:ascii="Simplified Arabic" w:eastAsia="Calibri" w:hAnsi="Simplified Arabic" w:cs="Simplified Arabic" w:hint="cs"/>
          <w:b/>
          <w:bCs/>
          <w:color w:val="000000" w:themeColor="text1"/>
          <w:sz w:val="40"/>
          <w:szCs w:val="40"/>
          <w:rtl/>
        </w:rPr>
        <w:lastRenderedPageBreak/>
        <w:t>الفصل الأول: الإطار العام للدراسة</w:t>
      </w:r>
      <w:bookmarkEnd w:id="0"/>
    </w:p>
    <w:p w14:paraId="479A9BCE" w14:textId="207B592B" w:rsidR="00B25B94" w:rsidRPr="00641ED1" w:rsidRDefault="00B25B94" w:rsidP="00B25B94">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rPr>
      </w:pPr>
      <w:bookmarkStart w:id="1" w:name="_Toc233993651"/>
      <w:r w:rsidRPr="00641ED1">
        <w:rPr>
          <w:rFonts w:ascii="Simplified Arabic" w:eastAsia="Calibri" w:hAnsi="Simplified Arabic" w:cs="Simplified Arabic" w:hint="cs"/>
          <w:b/>
          <w:bCs/>
          <w:color w:val="000000" w:themeColor="text1"/>
          <w:sz w:val="36"/>
          <w:szCs w:val="36"/>
          <w:rtl/>
        </w:rPr>
        <w:t>1.1 المقدمة</w:t>
      </w:r>
      <w:bookmarkEnd w:id="1"/>
    </w:p>
    <w:p w14:paraId="29801D07" w14:textId="6D853599"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يشهد العالم المعاصر تحوّلات جوهرية وتحدّيات متسارعة فرضتها العولمة الاقتصادية والثورة الرقمية والتقلّبات البيئية والسياسية، فضلاً عن الأزمات العالمية الطارئة كجائحة كوفيد-19، ممّا جعل بيئة الأعمال أكثر تعقيداً وعُرضةً للاضطرابات من أي وقت مضى. وفي هذا السياق، باتت المنظّمات في مختلف القطاعات تُدرك أنّ قدرتها على البقاء والنموّ لم تعد مرهونةً بكفاءتها التشغيلية فحسب، بل أصبحت مرتبطةً ارتباطاً وثيقاً بمدى استعدادها لمواجهة المخاطر والاضطرابات المفاجئة، وتحقيق استدامة عملياتها في ظلّ الأزمات</w:t>
      </w:r>
      <w:r w:rsidRPr="00641ED1">
        <w:rPr>
          <w:rFonts w:ascii="Simplified Arabic" w:eastAsia="Calibri" w:hAnsi="Simplified Arabic" w:cs="Simplified Arabic"/>
          <w:color w:val="000000" w:themeColor="text1"/>
          <w:sz w:val="28"/>
          <w:szCs w:val="28"/>
          <w:lang w:bidi="ar-EG"/>
        </w:rPr>
        <w:t xml:space="preserve"> (Margherita &amp; Heikkil</w:t>
      </w:r>
      <w:r w:rsidRPr="00641ED1">
        <w:rPr>
          <w:rFonts w:ascii="Cambria" w:eastAsia="Calibri" w:hAnsi="Cambria" w:cs="Cambria"/>
          <w:color w:val="000000" w:themeColor="text1"/>
          <w:sz w:val="28"/>
          <w:szCs w:val="28"/>
          <w:lang w:bidi="ar-EG"/>
        </w:rPr>
        <w:t>ä</w:t>
      </w:r>
      <w:r w:rsidRPr="00641ED1">
        <w:rPr>
          <w:rFonts w:ascii="Simplified Arabic" w:eastAsia="Calibri" w:hAnsi="Simplified Arabic" w:cs="Simplified Arabic"/>
          <w:color w:val="000000" w:themeColor="text1"/>
          <w:sz w:val="28"/>
          <w:szCs w:val="28"/>
          <w:lang w:bidi="ar-EG"/>
        </w:rPr>
        <w:t>, 2021).</w:t>
      </w:r>
    </w:p>
    <w:p w14:paraId="32E667AA"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ومع تصاعد حدّة المخاطر التشغيلية والتقنية والبيئية، أصبح تبنّي استراتيجيات فاعلة لإدارة المخاطر ضرورةً استراتيجية لا خياراً تكتيكياً، إذ تُسهم هذه الاستراتيجيات في تعزيز قدرة المنظّمات على التنبّؤ بالتهديدات المحتملة، وتقييم أثرها، واتخاذ الإجراءات الاستباقية اللازمة للحدّ من تداعياتها. ويُشير الأدب الإداري المعاصر إلى أنّ استراتيجيات إدارة المخاطر تُشكّل الركيزة الأساسية للحوكمة الرشيدة، وتُمثّل خطّ الدفاع الأول أمام الاضطرابات التي قد تُهدّد سلاسل القيمة والعمليات الجوهرية للمنظّمات (العنزي وآخرون، 2024)</w:t>
      </w:r>
      <w:r w:rsidRPr="00641ED1">
        <w:rPr>
          <w:rFonts w:ascii="Simplified Arabic" w:eastAsia="Calibri" w:hAnsi="Simplified Arabic" w:cs="Simplified Arabic"/>
          <w:color w:val="000000" w:themeColor="text1"/>
          <w:sz w:val="28"/>
          <w:szCs w:val="28"/>
          <w:lang w:bidi="ar-EG"/>
        </w:rPr>
        <w:t>.</w:t>
      </w:r>
    </w:p>
    <w:p w14:paraId="4C23C198"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وتُعدّ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من أبرز الاستراتيجيات التي استقطبت اهتمام الباحثين والممارسين على حدّ سواء، لا سيّما في القطاعات القائمة على تقديم خدمات مستمرّة وبالغة الحساسية كقطاع الاتصالات؛ حيث يترتّب على أي انقطاع في الخدمة خسائر مالية جسيمة وتراجعٌ في ثقة العملاء وأضرارٌ في السمعة المؤسسية. وتتضمّن هذه الاستراتيجيات جملةً من الأبعاد المتكاملة كتحديد المخاطر وتقييمها ومعالجتها ومراقبتها، فضلاً عن تصميم اتفاقيات مستوى الخدمة بما يُراعي احتمالات الانقطاع</w:t>
      </w:r>
      <w:r w:rsidRPr="00641ED1">
        <w:rPr>
          <w:rFonts w:ascii="Simplified Arabic" w:eastAsia="Calibri" w:hAnsi="Simplified Arabic" w:cs="Simplified Arabic"/>
          <w:color w:val="000000" w:themeColor="text1"/>
          <w:sz w:val="28"/>
          <w:szCs w:val="28"/>
          <w:lang w:bidi="ar-EG"/>
        </w:rPr>
        <w:t xml:space="preserve"> (Jahani et al., 2021).</w:t>
      </w:r>
    </w:p>
    <w:p w14:paraId="12C6C015" w14:textId="27C5D921"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وقد أفرزت الثورة الرقمية والتحوّل نحو الصناعة 4.0 نمطاً جديداً من المخاطر عالية التعقيد، وهو ما دفع الباحثين إلى استكشاف أدوات مبتكرة لإدارة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الانقطاع كتقنيات التوأم الرقمي والذكاء الاصطناعي </w:t>
      </w:r>
      <w:r w:rsidRPr="00641ED1">
        <w:rPr>
          <w:rFonts w:ascii="Simplified Arabic" w:eastAsia="Calibri" w:hAnsi="Simplified Arabic" w:cs="Simplified Arabic"/>
          <w:color w:val="000000" w:themeColor="text1"/>
          <w:sz w:val="28"/>
          <w:szCs w:val="28"/>
          <w:rtl/>
        </w:rPr>
        <w:lastRenderedPageBreak/>
        <w:t>وتحليل البيانات الضخمة، والتي أثبتت فاعليتها في التنبّؤ بالمخاطر ومعالجتها بشكل استباقي، بما يُعزّز مرونة سلاسل الإمداد ويحافظ على تدفّق العمليات دون انقطاع</w:t>
      </w:r>
      <w:r w:rsidRPr="00641ED1">
        <w:rPr>
          <w:rFonts w:ascii="Simplified Arabic" w:eastAsia="Calibri" w:hAnsi="Simplified Arabic" w:cs="Simplified Arabic"/>
          <w:color w:val="000000" w:themeColor="text1"/>
          <w:sz w:val="28"/>
          <w:szCs w:val="28"/>
          <w:lang w:bidi="ar-EG"/>
        </w:rPr>
        <w:t xml:space="preserve"> (Ivanov &amp; Dolgui, 2021</w:t>
      </w:r>
    </w:p>
    <w:p w14:paraId="6DC3B3A0"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وفي المقابل، بَرَزَ مفهوم استمرارية الأعمال</w:t>
      </w:r>
      <w:r w:rsidRPr="00641ED1">
        <w:rPr>
          <w:rFonts w:ascii="Simplified Arabic" w:eastAsia="Calibri" w:hAnsi="Simplified Arabic" w:cs="Simplified Arabic"/>
          <w:color w:val="000000" w:themeColor="text1"/>
          <w:sz w:val="28"/>
          <w:szCs w:val="28"/>
          <w:lang w:bidi="ar-EG"/>
        </w:rPr>
        <w:t xml:space="preserve"> (Business Continuity) </w:t>
      </w:r>
      <w:r w:rsidRPr="00641ED1">
        <w:rPr>
          <w:rFonts w:ascii="Simplified Arabic" w:eastAsia="Calibri" w:hAnsi="Simplified Arabic" w:cs="Simplified Arabic"/>
          <w:color w:val="000000" w:themeColor="text1"/>
          <w:sz w:val="28"/>
          <w:szCs w:val="28"/>
          <w:rtl/>
        </w:rPr>
        <w:t>بوصفه إطاراً مؤسسياً متكاملاً يهدف إلى ضمان قدرة المنظّمات على مواصلة تقديم منتجاتها وخدماتها الجوهرية عند مستويات مقبولة مسبقاً في أعقاب الحوادث المُعطِّلة، سواء أكانت طبيعية أم بشرية أم تقنية. ويستند هذا المفهوم إلى جملة من الأبعاد التي تشمل التخطيط الاستباقي، وإدارة الأزمات، والمرونة التنظيمية، والتعافي من الكوارث، وتحليل تأثير الأعمال (شديد، 2022)</w:t>
      </w:r>
      <w:r w:rsidRPr="00641ED1">
        <w:rPr>
          <w:rFonts w:ascii="Simplified Arabic" w:eastAsia="Calibri" w:hAnsi="Simplified Arabic" w:cs="Simplified Arabic"/>
          <w:color w:val="000000" w:themeColor="text1"/>
          <w:sz w:val="28"/>
          <w:szCs w:val="28"/>
          <w:lang w:bidi="ar-EG"/>
        </w:rPr>
        <w:t>.</w:t>
      </w:r>
    </w:p>
    <w:p w14:paraId="07CF04B4" w14:textId="6C2788C6"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وتُشكّل استمرارية الأعمال ركيزةً للميزة التنافسية والاستدامة المؤسسية، إذ لم تعد مجرّد استجابة تفاعلية للأزمات، بل غدت منهجاً استراتيجياً متكاملاً يتّصل بالتحوّل الرقمي، والقيادة الرشيدة، واليقظة الاستراتيجية، والتعلّم التنظيمي. وقد أظهرت الدراسات الحديثة أنّ المنظّمات التي تتبنّى أنظمة استمرارية أعمال متطوّرة تكون أكثر قدرةً على مواجهة الاضطرابات وتحقيق مستويات أداء متميّزة مقارنةً بنظيراتها (صلاح، 2025)</w:t>
      </w:r>
      <w:r w:rsidRPr="00641ED1">
        <w:rPr>
          <w:rFonts w:ascii="Simplified Arabic" w:eastAsia="Calibri" w:hAnsi="Simplified Arabic" w:cs="Simplified Arabic"/>
          <w:color w:val="000000" w:themeColor="text1"/>
          <w:sz w:val="28"/>
          <w:szCs w:val="28"/>
          <w:lang w:bidi="ar-EG"/>
        </w:rPr>
        <w:t>.</w:t>
      </w:r>
    </w:p>
    <w:p w14:paraId="4F6438E8" w14:textId="44A74E86"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ومن هنا، تسعى هذه الدراسة إلى استكشاف أثر تطبيق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في تعزيز استمرارية الأعمال بشركات الاتصالات السعودية، بما يُسهم في تقديم إطار علمي وتطبيقي يدعم صانعي القرار في هذا القطاع الحيوي، ويرفد الأدب الإداري بإضافة نظرية وتطبيقية جديدة</w:t>
      </w:r>
      <w:r w:rsidRPr="00641ED1">
        <w:rPr>
          <w:rFonts w:ascii="Simplified Arabic" w:eastAsia="Calibri" w:hAnsi="Simplified Arabic" w:cs="Simplified Arabic"/>
          <w:color w:val="000000" w:themeColor="text1"/>
          <w:sz w:val="28"/>
          <w:szCs w:val="28"/>
          <w:lang w:bidi="ar-EG"/>
        </w:rPr>
        <w:t xml:space="preserve"> </w:t>
      </w:r>
    </w:p>
    <w:p w14:paraId="28A30BE2" w14:textId="6D947E60" w:rsidR="0077109A" w:rsidRPr="00641ED1" w:rsidRDefault="00B25B94" w:rsidP="00B25B94">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 w:name="_Toc233993652"/>
      <w:r w:rsidRPr="00641ED1">
        <w:rPr>
          <w:rFonts w:ascii="Simplified Arabic" w:eastAsia="Calibri" w:hAnsi="Simplified Arabic" w:cs="Simplified Arabic" w:hint="cs"/>
          <w:b/>
          <w:bCs/>
          <w:color w:val="000000" w:themeColor="text1"/>
          <w:sz w:val="36"/>
          <w:szCs w:val="36"/>
          <w:rtl/>
          <w:lang w:bidi="ar-EG"/>
        </w:rPr>
        <w:t xml:space="preserve">2.1 </w:t>
      </w:r>
      <w:r w:rsidR="0077109A" w:rsidRPr="00641ED1">
        <w:rPr>
          <w:rFonts w:ascii="Simplified Arabic" w:eastAsia="Calibri" w:hAnsi="Simplified Arabic" w:cs="Simplified Arabic"/>
          <w:b/>
          <w:bCs/>
          <w:color w:val="000000" w:themeColor="text1"/>
          <w:sz w:val="36"/>
          <w:szCs w:val="36"/>
          <w:rtl/>
        </w:rPr>
        <w:t>مشكلة الدراسة</w:t>
      </w:r>
      <w:bookmarkEnd w:id="2"/>
    </w:p>
    <w:p w14:paraId="120BA290" w14:textId="7751F481"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يُشكّل قطاع الاتصالات في المملكة العربية السعودية العمود الفقري للبنية التحتية الرقمية وأحد أهم القطاعات الاستراتيجية التي تتوقّف عليها فاعلية القطاعات الأخرى كالخدمات المصرفية، والصحّية، والتعليمية، والتجارية، فضلاً عن الأجهزة الحكومية. ومع التوسّع المطّرد في الاعتماد على البنى التحتية الرقمية والخدمات السحابية وإنترنت الأشياء، تضاعفت التهديدات المرتبطة بانقطاع الخدمة، سواء أكانت تهديدات تقنية كأعطال البنية التحتية والهجمات السيبرانية، أم تهديدات تشغيلية كالأخطاء البشرية وضعف الكفاءات، أم تهديدات بيئية كالكوارث الطبيعية والأزمات الصحّية العالمية، وهو ما يفرض تحدّيات جسيمة أمام قدرة شركات الاتصالات على الوفاء بالتزاماتها في تقديم خدمات موثوقة </w:t>
      </w:r>
      <w:proofErr w:type="gramStart"/>
      <w:r w:rsidRPr="00641ED1">
        <w:rPr>
          <w:rFonts w:ascii="Simplified Arabic" w:eastAsia="Calibri" w:hAnsi="Simplified Arabic" w:cs="Simplified Arabic"/>
          <w:color w:val="000000" w:themeColor="text1"/>
          <w:sz w:val="28"/>
          <w:szCs w:val="28"/>
          <w:rtl/>
        </w:rPr>
        <w:t>ومستدامة(</w:t>
      </w:r>
      <w:r w:rsidRPr="00641ED1">
        <w:rPr>
          <w:rFonts w:ascii="Simplified Arabic" w:eastAsia="Calibri" w:hAnsi="Simplified Arabic" w:cs="Simplified Arabic"/>
          <w:color w:val="000000" w:themeColor="text1"/>
          <w:sz w:val="28"/>
          <w:szCs w:val="28"/>
          <w:lang w:bidi="ar-EG"/>
        </w:rPr>
        <w:t xml:space="preserve"> (</w:t>
      </w:r>
      <w:proofErr w:type="gramEnd"/>
      <w:r w:rsidRPr="00641ED1">
        <w:rPr>
          <w:rFonts w:ascii="Simplified Arabic" w:eastAsia="Calibri" w:hAnsi="Simplified Arabic" w:cs="Simplified Arabic"/>
          <w:color w:val="000000" w:themeColor="text1"/>
          <w:sz w:val="28"/>
          <w:szCs w:val="28"/>
          <w:lang w:bidi="ar-EG"/>
        </w:rPr>
        <w:t>Jahani et al., 2021</w:t>
      </w:r>
    </w:p>
    <w:p w14:paraId="63683066"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 xml:space="preserve">ورغم التطوّر الملموس الذي شهده قطاع الاتصالات السعودي في تبنّي أطر الحوكمة وممارسات إدارة المخاطر، إلا أنّ ثمّة مؤشّرات ميدانية تُشير إلى وجود فجوة واضحة بين التبنّي الرسمي لاستراتيجيات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والتطبيق الفعلي الذي يُترجم هذه الاستراتيجيات إلى ممارسات تنظيمية متكاملة تنعكس على مستوى استمرارية الأعمال. فقد كشفت دراسة </w:t>
      </w:r>
      <w:proofErr w:type="spellStart"/>
      <w:r w:rsidRPr="00641ED1">
        <w:rPr>
          <w:rFonts w:ascii="Simplified Arabic" w:eastAsia="Calibri" w:hAnsi="Simplified Arabic" w:cs="Simplified Arabic"/>
          <w:color w:val="000000" w:themeColor="text1"/>
          <w:sz w:val="28"/>
          <w:szCs w:val="28"/>
          <w:rtl/>
        </w:rPr>
        <w:t>القهوادي</w:t>
      </w:r>
      <w:proofErr w:type="spellEnd"/>
      <w:r w:rsidRPr="00641ED1">
        <w:rPr>
          <w:rFonts w:ascii="Simplified Arabic" w:eastAsia="Calibri" w:hAnsi="Simplified Arabic" w:cs="Simplified Arabic"/>
          <w:color w:val="000000" w:themeColor="text1"/>
          <w:sz w:val="28"/>
          <w:szCs w:val="28"/>
          <w:rtl/>
        </w:rPr>
        <w:t xml:space="preserve"> (2024) عن أنّ مستوى ممارسة استراتيجيات إدارة المخاطر يأتي في الغالب بدرجة متوسّطة، مع ضعف واضح في مرحلتَي التقييم والمتابعة، كما أشارت دراسة </w:t>
      </w:r>
      <w:proofErr w:type="gramStart"/>
      <w:r w:rsidRPr="00641ED1">
        <w:rPr>
          <w:rFonts w:ascii="Simplified Arabic" w:eastAsia="Calibri" w:hAnsi="Simplified Arabic" w:cs="Simplified Arabic"/>
          <w:color w:val="000000" w:themeColor="text1"/>
          <w:sz w:val="28"/>
          <w:szCs w:val="28"/>
          <w:rtl/>
        </w:rPr>
        <w:t>عبدالسلام</w:t>
      </w:r>
      <w:proofErr w:type="gramEnd"/>
      <w:r w:rsidRPr="00641ED1">
        <w:rPr>
          <w:rFonts w:ascii="Simplified Arabic" w:eastAsia="Calibri" w:hAnsi="Simplified Arabic" w:cs="Simplified Arabic"/>
          <w:color w:val="000000" w:themeColor="text1"/>
          <w:sz w:val="28"/>
          <w:szCs w:val="28"/>
          <w:rtl/>
        </w:rPr>
        <w:t xml:space="preserve"> (2022) إلى ضعف الوعي المؤسسي بمفهوم استمرارية الأعمال وأبعاده التطبيقية</w:t>
      </w:r>
      <w:r w:rsidRPr="00641ED1">
        <w:rPr>
          <w:rFonts w:ascii="Simplified Arabic" w:eastAsia="Calibri" w:hAnsi="Simplified Arabic" w:cs="Simplified Arabic"/>
          <w:color w:val="000000" w:themeColor="text1"/>
          <w:sz w:val="28"/>
          <w:szCs w:val="28"/>
          <w:lang w:bidi="ar-EG"/>
        </w:rPr>
        <w:t>.</w:t>
      </w:r>
    </w:p>
    <w:p w14:paraId="2F159AD6"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ويُلاحظ الباحث من خلال الاستطلاع الأوّلي أنّ شركات الاتصالات في المملكة العربية السعودية تواجه جملةً من التحدّيات المتمثّلة في تصاعد وتيرة الحوادث المؤثّرة على استمرارية الخدمة، وتشعّب مصادر المخاطر بين الداخلية والخارجية، وتزايد توقّعات العملاء والجهات التنظيمية بشأن مستوى موثوقية الخدمة، فضلاً عن الحاجة الملحّة لمواءمة ممارسات إدارة المخاطر مع المعايير الدولية كمعيار</w:t>
      </w:r>
      <w:r w:rsidRPr="00641ED1">
        <w:rPr>
          <w:rFonts w:ascii="Simplified Arabic" w:eastAsia="Calibri" w:hAnsi="Simplified Arabic" w:cs="Simplified Arabic"/>
          <w:color w:val="000000" w:themeColor="text1"/>
          <w:sz w:val="28"/>
          <w:szCs w:val="28"/>
          <w:lang w:bidi="ar-EG"/>
        </w:rPr>
        <w:t xml:space="preserve"> (ISO 22301) </w:t>
      </w:r>
      <w:r w:rsidRPr="00641ED1">
        <w:rPr>
          <w:rFonts w:ascii="Simplified Arabic" w:eastAsia="Calibri" w:hAnsi="Simplified Arabic" w:cs="Simplified Arabic"/>
          <w:color w:val="000000" w:themeColor="text1"/>
          <w:sz w:val="28"/>
          <w:szCs w:val="28"/>
          <w:rtl/>
        </w:rPr>
        <w:t xml:space="preserve">لاستمرارية الأعمال. ويُضاف إلى ذلك أنّ الأدبيات العربية لا تزال تُعاني من ندرة الدراسات التي تربط بشكل مباشر بين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تحديداً واستمرارية الأعمال في قطاع الاتصالات، إذ ينصبّ معظم البحث السابق إمّا على قطاعات أخرى كالبنوك (قطيشات والشاعر، 2025) والقطاع النفطي (الهاشمي وآخرون، 2025) والتشييد (</w:t>
      </w:r>
      <w:proofErr w:type="spellStart"/>
      <w:r w:rsidRPr="00641ED1">
        <w:rPr>
          <w:rFonts w:ascii="Simplified Arabic" w:eastAsia="Calibri" w:hAnsi="Simplified Arabic" w:cs="Simplified Arabic"/>
          <w:color w:val="000000" w:themeColor="text1"/>
          <w:sz w:val="28"/>
          <w:szCs w:val="28"/>
          <w:rtl/>
        </w:rPr>
        <w:t>القهوادي</w:t>
      </w:r>
      <w:proofErr w:type="spellEnd"/>
      <w:r w:rsidRPr="00641ED1">
        <w:rPr>
          <w:rFonts w:ascii="Simplified Arabic" w:eastAsia="Calibri" w:hAnsi="Simplified Arabic" w:cs="Simplified Arabic"/>
          <w:color w:val="000000" w:themeColor="text1"/>
          <w:sz w:val="28"/>
          <w:szCs w:val="28"/>
          <w:rtl/>
        </w:rPr>
        <w:t>، 2024)، أو يتناول متغيّرات مرتبطة بشكل غير مباشر كاليقظة الاستراتيجية والتحوّل الرقمي (صلاح، 2025)</w:t>
      </w:r>
      <w:r w:rsidRPr="00641ED1">
        <w:rPr>
          <w:rFonts w:ascii="Simplified Arabic" w:eastAsia="Calibri" w:hAnsi="Simplified Arabic" w:cs="Simplified Arabic"/>
          <w:color w:val="000000" w:themeColor="text1"/>
          <w:sz w:val="28"/>
          <w:szCs w:val="28"/>
          <w:lang w:bidi="ar-EG"/>
        </w:rPr>
        <w:t>.</w:t>
      </w:r>
    </w:p>
    <w:p w14:paraId="6AE1DF27"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وتتجلّى الأهمية المعرفية للمشكلة أيضاً في أنّ الدراسات الأجنبية القليلة التي تناولت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انصبّت على البيئات الغربية والآسيوية</w:t>
      </w:r>
      <w:r w:rsidRPr="00641ED1">
        <w:rPr>
          <w:rFonts w:ascii="Simplified Arabic" w:eastAsia="Calibri" w:hAnsi="Simplified Arabic" w:cs="Simplified Arabic"/>
          <w:color w:val="000000" w:themeColor="text1"/>
          <w:sz w:val="28"/>
          <w:szCs w:val="28"/>
          <w:lang w:bidi="ar-EG"/>
        </w:rPr>
        <w:t xml:space="preserve"> (Jahani et al., 2021</w:t>
      </w:r>
      <w:r w:rsidRPr="00641ED1">
        <w:rPr>
          <w:rFonts w:ascii="Simplified Arabic" w:eastAsia="Calibri" w:hAnsi="Simplified Arabic" w:cs="Simplified Arabic"/>
          <w:color w:val="000000" w:themeColor="text1"/>
          <w:sz w:val="28"/>
          <w:szCs w:val="28"/>
          <w:rtl/>
        </w:rPr>
        <w:t>؛</w:t>
      </w:r>
      <w:r w:rsidRPr="00641ED1">
        <w:rPr>
          <w:rFonts w:ascii="Simplified Arabic" w:eastAsia="Calibri" w:hAnsi="Simplified Arabic" w:cs="Simplified Arabic"/>
          <w:color w:val="000000" w:themeColor="text1"/>
          <w:sz w:val="28"/>
          <w:szCs w:val="28"/>
          <w:lang w:bidi="ar-EG"/>
        </w:rPr>
        <w:t xml:space="preserve"> Dreyfus &amp; Nair, 2022</w:t>
      </w:r>
      <w:r w:rsidRPr="00641ED1">
        <w:rPr>
          <w:rFonts w:ascii="Simplified Arabic" w:eastAsia="Calibri" w:hAnsi="Simplified Arabic" w:cs="Simplified Arabic"/>
          <w:color w:val="000000" w:themeColor="text1"/>
          <w:sz w:val="28"/>
          <w:szCs w:val="28"/>
          <w:rtl/>
        </w:rPr>
        <w:t>؛</w:t>
      </w:r>
      <w:r w:rsidRPr="00641ED1">
        <w:rPr>
          <w:rFonts w:ascii="Simplified Arabic" w:eastAsia="Calibri" w:hAnsi="Simplified Arabic" w:cs="Simplified Arabic"/>
          <w:color w:val="000000" w:themeColor="text1"/>
          <w:sz w:val="28"/>
          <w:szCs w:val="28"/>
          <w:lang w:bidi="ar-EG"/>
        </w:rPr>
        <w:t xml:space="preserve"> </w:t>
      </w:r>
      <w:proofErr w:type="spellStart"/>
      <w:r w:rsidRPr="00641ED1">
        <w:rPr>
          <w:rFonts w:ascii="Simplified Arabic" w:eastAsia="Calibri" w:hAnsi="Simplified Arabic" w:cs="Simplified Arabic"/>
          <w:color w:val="000000" w:themeColor="text1"/>
          <w:sz w:val="28"/>
          <w:szCs w:val="28"/>
          <w:lang w:bidi="ar-EG"/>
        </w:rPr>
        <w:t>Ambarwati</w:t>
      </w:r>
      <w:proofErr w:type="spellEnd"/>
      <w:r w:rsidRPr="00641ED1">
        <w:rPr>
          <w:rFonts w:ascii="Simplified Arabic" w:eastAsia="Calibri" w:hAnsi="Simplified Arabic" w:cs="Simplified Arabic"/>
          <w:color w:val="000000" w:themeColor="text1"/>
          <w:sz w:val="28"/>
          <w:szCs w:val="28"/>
          <w:lang w:bidi="ar-EG"/>
        </w:rPr>
        <w:t xml:space="preserve"> et al., 2024)</w:t>
      </w:r>
      <w:r w:rsidRPr="00641ED1">
        <w:rPr>
          <w:rFonts w:ascii="Simplified Arabic" w:eastAsia="Calibri" w:hAnsi="Simplified Arabic" w:cs="Simplified Arabic"/>
          <w:color w:val="000000" w:themeColor="text1"/>
          <w:sz w:val="28"/>
          <w:szCs w:val="28"/>
          <w:rtl/>
        </w:rPr>
        <w:t>، ممّا يستوجب إجراء دراسة تطبيقية تُراعي خصوصية البيئة السعودية وسياقها التنظيمي والثقافي والتقني، خاصّةً في ظلّ التوجّهات الطموحة لرؤية المملكة 2030 التي تُولي التحوّل الرقمي واستدامة البنية التحتية أولويةً قصوى</w:t>
      </w:r>
      <w:r w:rsidRPr="00641ED1">
        <w:rPr>
          <w:rFonts w:ascii="Simplified Arabic" w:eastAsia="Calibri" w:hAnsi="Simplified Arabic" w:cs="Simplified Arabic"/>
          <w:color w:val="000000" w:themeColor="text1"/>
          <w:sz w:val="28"/>
          <w:szCs w:val="28"/>
          <w:lang w:bidi="ar-EG"/>
        </w:rPr>
        <w:t>.</w:t>
      </w:r>
    </w:p>
    <w:p w14:paraId="763ACC15"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ومن ثمّ، تتبلور المشكلة البحثية في وجود فجوة نظرية وتطبيقية تتمثّل في محدودية الفهم العلمي والتطبيقي لمدى إسهام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بأبعادها المختلفة (تحديد المخاطر، تقييمها، معالجتها، مراقبتها) في تعزيز أبعاد استمرارية الأعمال (التخطيط الاستباقي، إدارة الأزمات، المرونة التنظيمية، التعافي) في شركات الاتصالات السعودية</w:t>
      </w:r>
      <w:r w:rsidRPr="00641ED1">
        <w:rPr>
          <w:rFonts w:ascii="Simplified Arabic" w:eastAsia="Calibri" w:hAnsi="Simplified Arabic" w:cs="Simplified Arabic"/>
          <w:color w:val="000000" w:themeColor="text1"/>
          <w:sz w:val="28"/>
          <w:szCs w:val="28"/>
          <w:lang w:bidi="ar-EG"/>
        </w:rPr>
        <w:t>.</w:t>
      </w:r>
    </w:p>
    <w:p w14:paraId="48B437A4" w14:textId="77777777" w:rsidR="0077109A" w:rsidRPr="00641ED1" w:rsidRDefault="0077109A" w:rsidP="00B25B94">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lastRenderedPageBreak/>
        <w:t>وبناءً على ما تقدّم، يمكن صياغة مشكلة الدراسة في التساؤل الرئيسي التالي</w:t>
      </w:r>
      <w:r w:rsidRPr="00641ED1">
        <w:rPr>
          <w:rFonts w:ascii="Simplified Arabic" w:eastAsia="Calibri" w:hAnsi="Simplified Arabic" w:cs="Simplified Arabic"/>
          <w:b/>
          <w:bCs/>
          <w:color w:val="000000" w:themeColor="text1"/>
          <w:sz w:val="28"/>
          <w:szCs w:val="28"/>
          <w:lang w:bidi="ar-EG"/>
        </w:rPr>
        <w:t>:</w:t>
      </w:r>
    </w:p>
    <w:p w14:paraId="44C76BB7"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ما أثر تطبيق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بأبعادها (تحديد المخاطر، تقييم المخاطر، معالجة المخاطر، مراقبة المخاطر) في تعزيز استمرارية الأعمال بأبعادها (التخطيط الاستباقي، إدارة الأزمات، المرونة التنظيمية، التعافي) في شركات الاتصالات في المملكة العربية السعودية؟</w:t>
      </w:r>
    </w:p>
    <w:p w14:paraId="016BBB14" w14:textId="277E216B" w:rsidR="0077109A" w:rsidRPr="00641ED1" w:rsidRDefault="00B25B94" w:rsidP="00B25B94">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3" w:name="_Toc233993653"/>
      <w:r w:rsidRPr="00641ED1">
        <w:rPr>
          <w:rFonts w:ascii="Simplified Arabic" w:eastAsia="Calibri" w:hAnsi="Simplified Arabic" w:cs="Simplified Arabic" w:hint="cs"/>
          <w:b/>
          <w:bCs/>
          <w:color w:val="000000" w:themeColor="text1"/>
          <w:sz w:val="36"/>
          <w:szCs w:val="36"/>
          <w:rtl/>
          <w:lang w:bidi="ar-EG"/>
        </w:rPr>
        <w:t xml:space="preserve">3.1 </w:t>
      </w:r>
      <w:r w:rsidR="0077109A" w:rsidRPr="00641ED1">
        <w:rPr>
          <w:rFonts w:ascii="Simplified Arabic" w:eastAsia="Calibri" w:hAnsi="Simplified Arabic" w:cs="Simplified Arabic"/>
          <w:b/>
          <w:bCs/>
          <w:color w:val="000000" w:themeColor="text1"/>
          <w:sz w:val="36"/>
          <w:szCs w:val="36"/>
          <w:rtl/>
        </w:rPr>
        <w:t>أهمية الدراسة</w:t>
      </w:r>
      <w:bookmarkEnd w:id="3"/>
    </w:p>
    <w:p w14:paraId="1CF4A69D" w14:textId="77777777" w:rsidR="0077109A" w:rsidRPr="00641ED1" w:rsidRDefault="0077109A" w:rsidP="00B25B9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641ED1">
        <w:rPr>
          <w:rFonts w:ascii="Simplified Arabic" w:eastAsia="Calibri" w:hAnsi="Simplified Arabic" w:cs="Simplified Arabic"/>
          <w:b/>
          <w:bCs/>
          <w:color w:val="000000" w:themeColor="text1"/>
          <w:sz w:val="32"/>
          <w:szCs w:val="32"/>
          <w:rtl/>
        </w:rPr>
        <w:t>الأهمية العلمية (النظرية)</w:t>
      </w:r>
      <w:r w:rsidRPr="00641ED1">
        <w:rPr>
          <w:rFonts w:ascii="Simplified Arabic" w:eastAsia="Calibri" w:hAnsi="Simplified Arabic" w:cs="Simplified Arabic"/>
          <w:b/>
          <w:bCs/>
          <w:color w:val="000000" w:themeColor="text1"/>
          <w:sz w:val="32"/>
          <w:szCs w:val="32"/>
          <w:lang w:bidi="ar-EG"/>
        </w:rPr>
        <w:t>:</w:t>
      </w:r>
    </w:p>
    <w:p w14:paraId="70A89F4A" w14:textId="77777777" w:rsidR="0077109A" w:rsidRPr="00641ED1" w:rsidRDefault="0077109A" w:rsidP="00B25B94">
      <w:pPr>
        <w:pStyle w:val="ListParagraph"/>
        <w:numPr>
          <w:ilvl w:val="0"/>
          <w:numId w:val="41"/>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إثراء الأدب الإداري العربي في مجال إدارة المخاطر واستمرارية الأعمال، لا سيّما في القطاعات الحيوية كقطاع الاتصالات الذي يُعاني من ندرة الدراسات العربية المتخصّصة فيه</w:t>
      </w:r>
      <w:r w:rsidRPr="00641ED1">
        <w:rPr>
          <w:rFonts w:ascii="Simplified Arabic" w:eastAsia="Calibri" w:hAnsi="Simplified Arabic" w:cs="Simplified Arabic"/>
          <w:color w:val="000000" w:themeColor="text1"/>
          <w:sz w:val="28"/>
          <w:szCs w:val="28"/>
          <w:lang w:bidi="ar-EG"/>
        </w:rPr>
        <w:t>.</w:t>
      </w:r>
    </w:p>
    <w:p w14:paraId="0FF3BF74" w14:textId="77777777" w:rsidR="0077109A" w:rsidRPr="00641ED1" w:rsidRDefault="0077109A" w:rsidP="00B25B94">
      <w:pPr>
        <w:pStyle w:val="ListParagraph"/>
        <w:numPr>
          <w:ilvl w:val="0"/>
          <w:numId w:val="41"/>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سدّ فجوة معرفية واضحة تتعلّق بالربط المباشر بين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تحديداً واستمرارية الأعمال، والذي لم يحظَ باهتمام كافٍ في الدراسات السابقة</w:t>
      </w:r>
      <w:r w:rsidRPr="00641ED1">
        <w:rPr>
          <w:rFonts w:ascii="Simplified Arabic" w:eastAsia="Calibri" w:hAnsi="Simplified Arabic" w:cs="Simplified Arabic"/>
          <w:color w:val="000000" w:themeColor="text1"/>
          <w:sz w:val="28"/>
          <w:szCs w:val="28"/>
          <w:lang w:bidi="ar-EG"/>
        </w:rPr>
        <w:t>.</w:t>
      </w:r>
    </w:p>
    <w:p w14:paraId="15046DAE" w14:textId="77777777" w:rsidR="0077109A" w:rsidRPr="00641ED1" w:rsidRDefault="0077109A" w:rsidP="00B25B94">
      <w:pPr>
        <w:pStyle w:val="ListParagraph"/>
        <w:numPr>
          <w:ilvl w:val="0"/>
          <w:numId w:val="41"/>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تقديم إطار نظري متكامل يجمع بين أبعاد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وأبعاد استمرارية الأعمال، ممّا يُثري الدراسات المستقبلية ويُتيح للباحثين مرجعاً علمياً موثّقاً</w:t>
      </w:r>
      <w:r w:rsidRPr="00641ED1">
        <w:rPr>
          <w:rFonts w:ascii="Simplified Arabic" w:eastAsia="Calibri" w:hAnsi="Simplified Arabic" w:cs="Simplified Arabic"/>
          <w:color w:val="000000" w:themeColor="text1"/>
          <w:sz w:val="28"/>
          <w:szCs w:val="28"/>
          <w:lang w:bidi="ar-EG"/>
        </w:rPr>
        <w:t>.</w:t>
      </w:r>
    </w:p>
    <w:p w14:paraId="65F069F3" w14:textId="77777777" w:rsidR="0077109A" w:rsidRPr="00641ED1" w:rsidRDefault="0077109A" w:rsidP="00B25B94">
      <w:pPr>
        <w:pStyle w:val="ListParagraph"/>
        <w:numPr>
          <w:ilvl w:val="0"/>
          <w:numId w:val="41"/>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توسيع نطاق تطبيق النظريات الحديثة كنظرية المرونة التنظيمية ونظرية إدارة المخاطر المؤسسية</w:t>
      </w:r>
      <w:r w:rsidRPr="00641ED1">
        <w:rPr>
          <w:rFonts w:ascii="Simplified Arabic" w:eastAsia="Calibri" w:hAnsi="Simplified Arabic" w:cs="Simplified Arabic"/>
          <w:color w:val="000000" w:themeColor="text1"/>
          <w:sz w:val="28"/>
          <w:szCs w:val="28"/>
          <w:lang w:bidi="ar-EG"/>
        </w:rPr>
        <w:t xml:space="preserve"> (ERM) </w:t>
      </w:r>
      <w:r w:rsidRPr="00641ED1">
        <w:rPr>
          <w:rFonts w:ascii="Simplified Arabic" w:eastAsia="Calibri" w:hAnsi="Simplified Arabic" w:cs="Simplified Arabic"/>
          <w:color w:val="000000" w:themeColor="text1"/>
          <w:sz w:val="28"/>
          <w:szCs w:val="28"/>
          <w:rtl/>
        </w:rPr>
        <w:t>في البيئة السعودية</w:t>
      </w:r>
      <w:r w:rsidRPr="00641ED1">
        <w:rPr>
          <w:rFonts w:ascii="Simplified Arabic" w:eastAsia="Calibri" w:hAnsi="Simplified Arabic" w:cs="Simplified Arabic"/>
          <w:color w:val="000000" w:themeColor="text1"/>
          <w:sz w:val="28"/>
          <w:szCs w:val="28"/>
          <w:lang w:bidi="ar-EG"/>
        </w:rPr>
        <w:t>.</w:t>
      </w:r>
    </w:p>
    <w:p w14:paraId="531D82E4" w14:textId="77777777" w:rsidR="0077109A" w:rsidRPr="00641ED1" w:rsidRDefault="0077109A" w:rsidP="00B25B94">
      <w:pPr>
        <w:pStyle w:val="ListParagraph"/>
        <w:numPr>
          <w:ilvl w:val="0"/>
          <w:numId w:val="41"/>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فتح آفاق بحثية جديدة أمام الباحثين لدراسة متغيّرات وسيطة ومعدّلة قد تُؤثّر في العلاقة بين المتغيّرَين، كالتحوّل الرقمي، والقيادة الاستراتيجية، والثقافة التنظيمية</w:t>
      </w:r>
      <w:r w:rsidRPr="00641ED1">
        <w:rPr>
          <w:rFonts w:ascii="Simplified Arabic" w:eastAsia="Calibri" w:hAnsi="Simplified Arabic" w:cs="Simplified Arabic"/>
          <w:color w:val="000000" w:themeColor="text1"/>
          <w:sz w:val="28"/>
          <w:szCs w:val="28"/>
          <w:lang w:bidi="ar-EG"/>
        </w:rPr>
        <w:t>.</w:t>
      </w:r>
    </w:p>
    <w:p w14:paraId="2E334915" w14:textId="77777777" w:rsidR="0077109A" w:rsidRPr="00641ED1" w:rsidRDefault="0077109A" w:rsidP="00B25B9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641ED1">
        <w:rPr>
          <w:rFonts w:ascii="Simplified Arabic" w:eastAsia="Calibri" w:hAnsi="Simplified Arabic" w:cs="Simplified Arabic"/>
          <w:b/>
          <w:bCs/>
          <w:color w:val="000000" w:themeColor="text1"/>
          <w:sz w:val="32"/>
          <w:szCs w:val="32"/>
          <w:rtl/>
        </w:rPr>
        <w:t>الأهمية العملية (التطبيقية)</w:t>
      </w:r>
      <w:r w:rsidRPr="00641ED1">
        <w:rPr>
          <w:rFonts w:ascii="Simplified Arabic" w:eastAsia="Calibri" w:hAnsi="Simplified Arabic" w:cs="Simplified Arabic"/>
          <w:b/>
          <w:bCs/>
          <w:color w:val="000000" w:themeColor="text1"/>
          <w:sz w:val="32"/>
          <w:szCs w:val="32"/>
          <w:lang w:bidi="ar-EG"/>
        </w:rPr>
        <w:t>:</w:t>
      </w:r>
    </w:p>
    <w:p w14:paraId="008785D2" w14:textId="77777777" w:rsidR="0077109A" w:rsidRPr="00641ED1" w:rsidRDefault="0077109A" w:rsidP="00B25B94">
      <w:pPr>
        <w:pStyle w:val="ListParagraph"/>
        <w:numPr>
          <w:ilvl w:val="0"/>
          <w:numId w:val="42"/>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تزويد صانعي القرار في شركات الاتصالات السعودية بتوصيات علمية عملية تُسهم في تطوير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وتعزيز أنظمة استمرارية الأعمال</w:t>
      </w:r>
      <w:r w:rsidRPr="00641ED1">
        <w:rPr>
          <w:rFonts w:ascii="Simplified Arabic" w:eastAsia="Calibri" w:hAnsi="Simplified Arabic" w:cs="Simplified Arabic"/>
          <w:color w:val="000000" w:themeColor="text1"/>
          <w:sz w:val="28"/>
          <w:szCs w:val="28"/>
          <w:lang w:bidi="ar-EG"/>
        </w:rPr>
        <w:t>.</w:t>
      </w:r>
    </w:p>
    <w:p w14:paraId="6A257EEF" w14:textId="77777777" w:rsidR="0077109A" w:rsidRPr="00641ED1" w:rsidRDefault="0077109A" w:rsidP="00B25B94">
      <w:pPr>
        <w:pStyle w:val="ListParagraph"/>
        <w:numPr>
          <w:ilvl w:val="0"/>
          <w:numId w:val="42"/>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دعم توجّهات رؤية المملكة العربية السعودية 2030 في تحقيق التحوّل الرقمي المستدام وتعزيز موثوقية البنية التحتية للاتصالات</w:t>
      </w:r>
      <w:r w:rsidRPr="00641ED1">
        <w:rPr>
          <w:rFonts w:ascii="Simplified Arabic" w:eastAsia="Calibri" w:hAnsi="Simplified Arabic" w:cs="Simplified Arabic"/>
          <w:color w:val="000000" w:themeColor="text1"/>
          <w:sz w:val="28"/>
          <w:szCs w:val="28"/>
          <w:lang w:bidi="ar-EG"/>
        </w:rPr>
        <w:t>.</w:t>
      </w:r>
    </w:p>
    <w:p w14:paraId="3B839920" w14:textId="77777777" w:rsidR="0077109A" w:rsidRPr="00641ED1" w:rsidRDefault="0077109A" w:rsidP="00B25B94">
      <w:pPr>
        <w:pStyle w:val="ListParagraph"/>
        <w:numPr>
          <w:ilvl w:val="0"/>
          <w:numId w:val="42"/>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تقديم إطار تطبيقي يُمكن الاستفادة منه في قياس مدى نضج شركات الاتصالات في تطبيق ممارسات إدارة المخاطر واستمرارية الأعمال وفق المعايير الدولية</w:t>
      </w:r>
      <w:r w:rsidRPr="00641ED1">
        <w:rPr>
          <w:rFonts w:ascii="Simplified Arabic" w:eastAsia="Calibri" w:hAnsi="Simplified Arabic" w:cs="Simplified Arabic"/>
          <w:color w:val="000000" w:themeColor="text1"/>
          <w:sz w:val="28"/>
          <w:szCs w:val="28"/>
          <w:lang w:bidi="ar-EG"/>
        </w:rPr>
        <w:t xml:space="preserve"> (ISO 31000, ISO 22301).</w:t>
      </w:r>
    </w:p>
    <w:p w14:paraId="4296410F" w14:textId="77777777" w:rsidR="0077109A" w:rsidRPr="00641ED1" w:rsidRDefault="0077109A" w:rsidP="00B25B94">
      <w:pPr>
        <w:pStyle w:val="ListParagraph"/>
        <w:numPr>
          <w:ilvl w:val="0"/>
          <w:numId w:val="42"/>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مساعدة الجهات التنظيمية والرقابية كهيئة الاتصالات والفضاء والتقنية على تطوير الأطر التنظيمية المتعلّقة بجودة الخدمة وموثوقيتها</w:t>
      </w:r>
      <w:r w:rsidRPr="00641ED1">
        <w:rPr>
          <w:rFonts w:ascii="Simplified Arabic" w:eastAsia="Calibri" w:hAnsi="Simplified Arabic" w:cs="Simplified Arabic"/>
          <w:color w:val="000000" w:themeColor="text1"/>
          <w:sz w:val="28"/>
          <w:szCs w:val="28"/>
          <w:lang w:bidi="ar-EG"/>
        </w:rPr>
        <w:t>.</w:t>
      </w:r>
    </w:p>
    <w:p w14:paraId="194AAD86" w14:textId="77777777" w:rsidR="0077109A" w:rsidRPr="00641ED1" w:rsidRDefault="0077109A" w:rsidP="00B25B94">
      <w:pPr>
        <w:pStyle w:val="ListParagraph"/>
        <w:numPr>
          <w:ilvl w:val="0"/>
          <w:numId w:val="42"/>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الإسهام في رفع مستوى ثقة العملاء وأصحاب المصالح من خلال تعزيز قدرة شركات الاتصالات على التعافي السريع من الاضطرابات والحفاظ على تدفّق الخدمات</w:t>
      </w:r>
      <w:r w:rsidRPr="00641ED1">
        <w:rPr>
          <w:rFonts w:ascii="Simplified Arabic" w:eastAsia="Calibri" w:hAnsi="Simplified Arabic" w:cs="Simplified Arabic"/>
          <w:color w:val="000000" w:themeColor="text1"/>
          <w:sz w:val="28"/>
          <w:szCs w:val="28"/>
          <w:lang w:bidi="ar-EG"/>
        </w:rPr>
        <w:t>.</w:t>
      </w:r>
    </w:p>
    <w:p w14:paraId="60EFB5AF" w14:textId="77777777" w:rsidR="0077109A" w:rsidRPr="00641ED1" w:rsidRDefault="0077109A" w:rsidP="00B25B94">
      <w:pPr>
        <w:pStyle w:val="ListParagraph"/>
        <w:numPr>
          <w:ilvl w:val="0"/>
          <w:numId w:val="42"/>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توفير قاعدة معرفية للمديرين التنفيذيين والمسؤولين عن إدارة المخاطر واستمرارية الأعمال، تُعينهم على تصميم برامج تدريبية وخطط طوارئ أكثر فاعلية</w:t>
      </w:r>
      <w:r w:rsidRPr="00641ED1">
        <w:rPr>
          <w:rFonts w:ascii="Simplified Arabic" w:eastAsia="Calibri" w:hAnsi="Simplified Arabic" w:cs="Simplified Arabic"/>
          <w:color w:val="000000" w:themeColor="text1"/>
          <w:sz w:val="28"/>
          <w:szCs w:val="28"/>
          <w:lang w:bidi="ar-EG"/>
        </w:rPr>
        <w:t>.</w:t>
      </w:r>
    </w:p>
    <w:p w14:paraId="6829F352" w14:textId="449737EC" w:rsidR="0077109A" w:rsidRPr="00641ED1" w:rsidRDefault="00B25B94" w:rsidP="00B25B94">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4" w:name="_Toc233993654"/>
      <w:r w:rsidRPr="00641ED1">
        <w:rPr>
          <w:rFonts w:ascii="Simplified Arabic" w:eastAsia="Calibri" w:hAnsi="Simplified Arabic" w:cs="Simplified Arabic" w:hint="cs"/>
          <w:b/>
          <w:bCs/>
          <w:color w:val="000000" w:themeColor="text1"/>
          <w:sz w:val="36"/>
          <w:szCs w:val="36"/>
          <w:rtl/>
          <w:lang w:bidi="ar-EG"/>
        </w:rPr>
        <w:t xml:space="preserve">4.1 </w:t>
      </w:r>
      <w:r w:rsidR="0077109A" w:rsidRPr="00641ED1">
        <w:rPr>
          <w:rFonts w:ascii="Simplified Arabic" w:eastAsia="Calibri" w:hAnsi="Simplified Arabic" w:cs="Simplified Arabic"/>
          <w:b/>
          <w:bCs/>
          <w:color w:val="000000" w:themeColor="text1"/>
          <w:sz w:val="36"/>
          <w:szCs w:val="36"/>
          <w:rtl/>
        </w:rPr>
        <w:t>أهداف الدراسة</w:t>
      </w:r>
      <w:bookmarkEnd w:id="4"/>
    </w:p>
    <w:p w14:paraId="2C6878F1" w14:textId="77777777" w:rsidR="0077109A" w:rsidRPr="00641ED1" w:rsidRDefault="0077109A" w:rsidP="00B25B9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641ED1">
        <w:rPr>
          <w:rFonts w:ascii="Simplified Arabic" w:eastAsia="Calibri" w:hAnsi="Simplified Arabic" w:cs="Simplified Arabic"/>
          <w:b/>
          <w:bCs/>
          <w:color w:val="000000" w:themeColor="text1"/>
          <w:sz w:val="32"/>
          <w:szCs w:val="32"/>
          <w:rtl/>
        </w:rPr>
        <w:t>الهدف الرئيسي</w:t>
      </w:r>
      <w:r w:rsidRPr="00641ED1">
        <w:rPr>
          <w:rFonts w:ascii="Simplified Arabic" w:eastAsia="Calibri" w:hAnsi="Simplified Arabic" w:cs="Simplified Arabic"/>
          <w:b/>
          <w:bCs/>
          <w:color w:val="000000" w:themeColor="text1"/>
          <w:sz w:val="32"/>
          <w:szCs w:val="32"/>
          <w:lang w:bidi="ar-EG"/>
        </w:rPr>
        <w:t>:</w:t>
      </w:r>
    </w:p>
    <w:p w14:paraId="3EF47B76"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تهدف الدراسة إلى دراسة أثر تطبيق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بأبعادها (تحديد المخاطر، تقييم المخاطر، معالجة المخاطر، مراقبة المخاطر) على استمرارية الأعمال بأبعادها (التخطيط الاستباقي، إدارة الأزمات، المرونة التنظيمية، التعافي) في شركات الاتصالات في المملكة العربية السعودية</w:t>
      </w:r>
      <w:r w:rsidRPr="00641ED1">
        <w:rPr>
          <w:rFonts w:ascii="Simplified Arabic" w:eastAsia="Calibri" w:hAnsi="Simplified Arabic" w:cs="Simplified Arabic"/>
          <w:color w:val="000000" w:themeColor="text1"/>
          <w:sz w:val="28"/>
          <w:szCs w:val="28"/>
          <w:lang w:bidi="ar-EG"/>
        </w:rPr>
        <w:t>.</w:t>
      </w:r>
    </w:p>
    <w:p w14:paraId="44312367" w14:textId="77777777" w:rsidR="0077109A" w:rsidRPr="00641ED1" w:rsidRDefault="0077109A" w:rsidP="00B25B9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641ED1">
        <w:rPr>
          <w:rFonts w:ascii="Simplified Arabic" w:eastAsia="Calibri" w:hAnsi="Simplified Arabic" w:cs="Simplified Arabic"/>
          <w:b/>
          <w:bCs/>
          <w:color w:val="000000" w:themeColor="text1"/>
          <w:sz w:val="32"/>
          <w:szCs w:val="32"/>
          <w:rtl/>
        </w:rPr>
        <w:t>الأهداف الفرعية</w:t>
      </w:r>
      <w:r w:rsidRPr="00641ED1">
        <w:rPr>
          <w:rFonts w:ascii="Simplified Arabic" w:eastAsia="Calibri" w:hAnsi="Simplified Arabic" w:cs="Simplified Arabic"/>
          <w:b/>
          <w:bCs/>
          <w:color w:val="000000" w:themeColor="text1"/>
          <w:sz w:val="32"/>
          <w:szCs w:val="32"/>
          <w:lang w:bidi="ar-EG"/>
        </w:rPr>
        <w:t>:</w:t>
      </w:r>
    </w:p>
    <w:p w14:paraId="2C27EF79" w14:textId="77777777" w:rsidR="0077109A" w:rsidRPr="00641ED1" w:rsidRDefault="0077109A" w:rsidP="00781571">
      <w:pPr>
        <w:pStyle w:val="ListParagraph"/>
        <w:numPr>
          <w:ilvl w:val="0"/>
          <w:numId w:val="13"/>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التعرّف على المفهوم النظري لاستراتيجيات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وأبعادها المختلفة في ضوء الأدبيات المعاصرة</w:t>
      </w:r>
      <w:r w:rsidRPr="00641ED1">
        <w:rPr>
          <w:rFonts w:ascii="Simplified Arabic" w:eastAsia="Calibri" w:hAnsi="Simplified Arabic" w:cs="Simplified Arabic"/>
          <w:color w:val="000000" w:themeColor="text1"/>
          <w:sz w:val="28"/>
          <w:szCs w:val="28"/>
          <w:lang w:bidi="ar-EG"/>
        </w:rPr>
        <w:t>.</w:t>
      </w:r>
    </w:p>
    <w:p w14:paraId="131AD29F" w14:textId="77777777" w:rsidR="0077109A" w:rsidRPr="00641ED1" w:rsidRDefault="0077109A" w:rsidP="00781571">
      <w:pPr>
        <w:pStyle w:val="ListParagraph"/>
        <w:numPr>
          <w:ilvl w:val="0"/>
          <w:numId w:val="13"/>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استكشاف الإطار المفاهيمي لاستمرارية الأعمال وأبعادها الرئيسية في بيئة شركات الاتصالات</w:t>
      </w:r>
      <w:r w:rsidRPr="00641ED1">
        <w:rPr>
          <w:rFonts w:ascii="Simplified Arabic" w:eastAsia="Calibri" w:hAnsi="Simplified Arabic" w:cs="Simplified Arabic"/>
          <w:color w:val="000000" w:themeColor="text1"/>
          <w:sz w:val="28"/>
          <w:szCs w:val="28"/>
          <w:lang w:bidi="ar-EG"/>
        </w:rPr>
        <w:t>.</w:t>
      </w:r>
    </w:p>
    <w:p w14:paraId="070ED330" w14:textId="77777777" w:rsidR="0077109A" w:rsidRPr="00641ED1" w:rsidRDefault="0077109A" w:rsidP="00781571">
      <w:pPr>
        <w:pStyle w:val="ListParagraph"/>
        <w:numPr>
          <w:ilvl w:val="0"/>
          <w:numId w:val="13"/>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الوقوف على مستوى تطبيق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في شركات الاتصالات السعودية</w:t>
      </w:r>
      <w:r w:rsidRPr="00641ED1">
        <w:rPr>
          <w:rFonts w:ascii="Simplified Arabic" w:eastAsia="Calibri" w:hAnsi="Simplified Arabic" w:cs="Simplified Arabic"/>
          <w:color w:val="000000" w:themeColor="text1"/>
          <w:sz w:val="28"/>
          <w:szCs w:val="28"/>
          <w:lang w:bidi="ar-EG"/>
        </w:rPr>
        <w:t>.</w:t>
      </w:r>
    </w:p>
    <w:p w14:paraId="5EC89F78" w14:textId="77777777" w:rsidR="0077109A" w:rsidRPr="00641ED1" w:rsidRDefault="0077109A" w:rsidP="00781571">
      <w:pPr>
        <w:pStyle w:val="ListParagraph"/>
        <w:numPr>
          <w:ilvl w:val="0"/>
          <w:numId w:val="13"/>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تقييم مستوى تبنّي شركات الاتصالات السعودية لممارسات استمرارية الأعمال</w:t>
      </w:r>
      <w:r w:rsidRPr="00641ED1">
        <w:rPr>
          <w:rFonts w:ascii="Simplified Arabic" w:eastAsia="Calibri" w:hAnsi="Simplified Arabic" w:cs="Simplified Arabic"/>
          <w:color w:val="000000" w:themeColor="text1"/>
          <w:sz w:val="28"/>
          <w:szCs w:val="28"/>
          <w:lang w:bidi="ar-EG"/>
        </w:rPr>
        <w:t>.</w:t>
      </w:r>
    </w:p>
    <w:p w14:paraId="519A9FED" w14:textId="77777777" w:rsidR="0077109A" w:rsidRPr="00641ED1" w:rsidRDefault="0077109A" w:rsidP="00781571">
      <w:pPr>
        <w:pStyle w:val="ListParagraph"/>
        <w:numPr>
          <w:ilvl w:val="0"/>
          <w:numId w:val="13"/>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تحديد أثر بُعد “تحديد المخاطر” في تعزيز استمرارية الأعمال بشركات الاتصالات السعودية</w:t>
      </w:r>
      <w:r w:rsidRPr="00641ED1">
        <w:rPr>
          <w:rFonts w:ascii="Simplified Arabic" w:eastAsia="Calibri" w:hAnsi="Simplified Arabic" w:cs="Simplified Arabic"/>
          <w:color w:val="000000" w:themeColor="text1"/>
          <w:sz w:val="28"/>
          <w:szCs w:val="28"/>
          <w:lang w:bidi="ar-EG"/>
        </w:rPr>
        <w:t>.</w:t>
      </w:r>
    </w:p>
    <w:p w14:paraId="33F61F11" w14:textId="77777777" w:rsidR="0077109A" w:rsidRPr="00641ED1" w:rsidRDefault="0077109A" w:rsidP="00781571">
      <w:pPr>
        <w:pStyle w:val="ListParagraph"/>
        <w:numPr>
          <w:ilvl w:val="0"/>
          <w:numId w:val="13"/>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الكشف عن أثر بُعد “تقييم المخاطر” في تعزيز استمرارية الأعمال بشركات الاتصالات السعودية</w:t>
      </w:r>
      <w:r w:rsidRPr="00641ED1">
        <w:rPr>
          <w:rFonts w:ascii="Simplified Arabic" w:eastAsia="Calibri" w:hAnsi="Simplified Arabic" w:cs="Simplified Arabic"/>
          <w:color w:val="000000" w:themeColor="text1"/>
          <w:sz w:val="28"/>
          <w:szCs w:val="28"/>
          <w:lang w:bidi="ar-EG"/>
        </w:rPr>
        <w:t>.</w:t>
      </w:r>
    </w:p>
    <w:p w14:paraId="04128C19" w14:textId="77777777" w:rsidR="0077109A" w:rsidRPr="00641ED1" w:rsidRDefault="0077109A" w:rsidP="00781571">
      <w:pPr>
        <w:pStyle w:val="ListParagraph"/>
        <w:numPr>
          <w:ilvl w:val="0"/>
          <w:numId w:val="13"/>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تحليل أثر بُعد “معالجة المخاطر” في تعزيز استمرارية الأعمال بشركات الاتصالات السعودية</w:t>
      </w:r>
      <w:r w:rsidRPr="00641ED1">
        <w:rPr>
          <w:rFonts w:ascii="Simplified Arabic" w:eastAsia="Calibri" w:hAnsi="Simplified Arabic" w:cs="Simplified Arabic"/>
          <w:color w:val="000000" w:themeColor="text1"/>
          <w:sz w:val="28"/>
          <w:szCs w:val="28"/>
          <w:lang w:bidi="ar-EG"/>
        </w:rPr>
        <w:t>.</w:t>
      </w:r>
    </w:p>
    <w:p w14:paraId="5695420B" w14:textId="77777777" w:rsidR="0077109A" w:rsidRPr="00641ED1" w:rsidRDefault="0077109A" w:rsidP="00781571">
      <w:pPr>
        <w:pStyle w:val="ListParagraph"/>
        <w:numPr>
          <w:ilvl w:val="0"/>
          <w:numId w:val="13"/>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استقصاء أثر بُعد “مراقبة المخاطر” في تعزيز استمرارية الأعمال بشركات الاتصالات السعودية</w:t>
      </w:r>
      <w:r w:rsidRPr="00641ED1">
        <w:rPr>
          <w:rFonts w:ascii="Simplified Arabic" w:eastAsia="Calibri" w:hAnsi="Simplified Arabic" w:cs="Simplified Arabic"/>
          <w:color w:val="000000" w:themeColor="text1"/>
          <w:sz w:val="28"/>
          <w:szCs w:val="28"/>
          <w:lang w:bidi="ar-EG"/>
        </w:rPr>
        <w:t>.</w:t>
      </w:r>
    </w:p>
    <w:p w14:paraId="03D0BA6A" w14:textId="77777777" w:rsidR="0077109A" w:rsidRPr="00641ED1" w:rsidRDefault="0077109A" w:rsidP="00781571">
      <w:pPr>
        <w:pStyle w:val="ListParagraph"/>
        <w:numPr>
          <w:ilvl w:val="0"/>
          <w:numId w:val="13"/>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 xml:space="preserve">تقديم توصيات علمية وعملية لتطوير ممارسات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بما يُعزّز استمرارية الأعمال في قطاع الاتصالات السعودي</w:t>
      </w:r>
      <w:r w:rsidRPr="00641ED1">
        <w:rPr>
          <w:rFonts w:ascii="Simplified Arabic" w:eastAsia="Calibri" w:hAnsi="Simplified Arabic" w:cs="Simplified Arabic"/>
          <w:color w:val="000000" w:themeColor="text1"/>
          <w:sz w:val="28"/>
          <w:szCs w:val="28"/>
          <w:lang w:bidi="ar-EG"/>
        </w:rPr>
        <w:t>.</w:t>
      </w:r>
    </w:p>
    <w:p w14:paraId="11487BD3" w14:textId="7D3EA3CC" w:rsidR="0077109A" w:rsidRPr="00641ED1" w:rsidRDefault="00781571" w:rsidP="00781571">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5" w:name="_Toc233993655"/>
      <w:r w:rsidRPr="00641ED1">
        <w:rPr>
          <w:rFonts w:ascii="Simplified Arabic" w:eastAsia="Calibri" w:hAnsi="Simplified Arabic" w:cs="Simplified Arabic" w:hint="cs"/>
          <w:b/>
          <w:bCs/>
          <w:color w:val="000000" w:themeColor="text1"/>
          <w:sz w:val="36"/>
          <w:szCs w:val="36"/>
          <w:rtl/>
          <w:lang w:bidi="ar-EG"/>
        </w:rPr>
        <w:t xml:space="preserve">5.1 </w:t>
      </w:r>
      <w:r w:rsidR="0077109A" w:rsidRPr="00641ED1">
        <w:rPr>
          <w:rFonts w:ascii="Simplified Arabic" w:eastAsia="Calibri" w:hAnsi="Simplified Arabic" w:cs="Simplified Arabic"/>
          <w:b/>
          <w:bCs/>
          <w:color w:val="000000" w:themeColor="text1"/>
          <w:sz w:val="36"/>
          <w:szCs w:val="36"/>
          <w:rtl/>
        </w:rPr>
        <w:t>أسئلة الدراسة</w:t>
      </w:r>
      <w:bookmarkEnd w:id="5"/>
    </w:p>
    <w:p w14:paraId="24C30E05"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641ED1">
        <w:rPr>
          <w:rFonts w:ascii="Simplified Arabic" w:eastAsia="Calibri" w:hAnsi="Simplified Arabic" w:cs="Simplified Arabic"/>
          <w:b/>
          <w:bCs/>
          <w:color w:val="000000" w:themeColor="text1"/>
          <w:sz w:val="32"/>
          <w:szCs w:val="32"/>
          <w:rtl/>
        </w:rPr>
        <w:t>السؤال الرئيسي</w:t>
      </w:r>
      <w:r w:rsidRPr="00641ED1">
        <w:rPr>
          <w:rFonts w:ascii="Simplified Arabic" w:eastAsia="Calibri" w:hAnsi="Simplified Arabic" w:cs="Simplified Arabic"/>
          <w:b/>
          <w:bCs/>
          <w:color w:val="000000" w:themeColor="text1"/>
          <w:sz w:val="32"/>
          <w:szCs w:val="32"/>
          <w:lang w:bidi="ar-EG"/>
        </w:rPr>
        <w:t>:</w:t>
      </w:r>
    </w:p>
    <w:p w14:paraId="69FD8A6A" w14:textId="77777777" w:rsidR="0077109A" w:rsidRPr="00641ED1" w:rsidRDefault="0077109A" w:rsidP="00781571">
      <w:pPr>
        <w:bidi/>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ما أثر تطبيق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بأبعادها (تحديد المخاطر، تقييم المخاطر، معالجة المخاطر، مراقبة المخاطر) على استمرارية الأعمال بأبعادها (التخطيط الاستباقي، إدارة الأزمات، المرونة التنظيمية، التعافي) في شركات الاتصالات في المملكة العربية السعودية؟</w:t>
      </w:r>
    </w:p>
    <w:p w14:paraId="3EB3F1FA"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641ED1">
        <w:rPr>
          <w:rFonts w:ascii="Simplified Arabic" w:eastAsia="Calibri" w:hAnsi="Simplified Arabic" w:cs="Simplified Arabic"/>
          <w:b/>
          <w:bCs/>
          <w:color w:val="000000" w:themeColor="text1"/>
          <w:sz w:val="32"/>
          <w:szCs w:val="32"/>
          <w:rtl/>
        </w:rPr>
        <w:t>الأسئلة الفرعية</w:t>
      </w:r>
      <w:r w:rsidRPr="00641ED1">
        <w:rPr>
          <w:rFonts w:ascii="Simplified Arabic" w:eastAsia="Calibri" w:hAnsi="Simplified Arabic" w:cs="Simplified Arabic"/>
          <w:b/>
          <w:bCs/>
          <w:color w:val="000000" w:themeColor="text1"/>
          <w:sz w:val="32"/>
          <w:szCs w:val="32"/>
          <w:lang w:bidi="ar-EG"/>
        </w:rPr>
        <w:t>:</w:t>
      </w:r>
    </w:p>
    <w:p w14:paraId="1856EC20" w14:textId="77777777" w:rsidR="0077109A" w:rsidRPr="00641ED1" w:rsidRDefault="0077109A" w:rsidP="00781571">
      <w:pPr>
        <w:pStyle w:val="ListParagraph"/>
        <w:numPr>
          <w:ilvl w:val="0"/>
          <w:numId w:val="14"/>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ما مستوى تطبيق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بأبعادها المختلفة في شركات الاتصالات السعودية؟</w:t>
      </w:r>
    </w:p>
    <w:p w14:paraId="59AD351B" w14:textId="77777777" w:rsidR="0077109A" w:rsidRPr="00641ED1" w:rsidRDefault="0077109A" w:rsidP="00781571">
      <w:pPr>
        <w:pStyle w:val="ListParagraph"/>
        <w:numPr>
          <w:ilvl w:val="0"/>
          <w:numId w:val="14"/>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ما مستوى تبنّي ممارسات استمرارية الأعمال بأبعادها المختلفة في شركات الاتصالات السعودية؟</w:t>
      </w:r>
    </w:p>
    <w:p w14:paraId="64DB3076" w14:textId="77777777" w:rsidR="0077109A" w:rsidRPr="00641ED1" w:rsidRDefault="0077109A" w:rsidP="00781571">
      <w:pPr>
        <w:pStyle w:val="ListParagraph"/>
        <w:numPr>
          <w:ilvl w:val="0"/>
          <w:numId w:val="14"/>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ما أثر تحديد المخاطر في تعزيز استمرارية الأعمال بشركات الاتصالات السعودية؟</w:t>
      </w:r>
    </w:p>
    <w:p w14:paraId="47DF0F09" w14:textId="77777777" w:rsidR="0077109A" w:rsidRPr="00641ED1" w:rsidRDefault="0077109A" w:rsidP="00781571">
      <w:pPr>
        <w:pStyle w:val="ListParagraph"/>
        <w:numPr>
          <w:ilvl w:val="0"/>
          <w:numId w:val="14"/>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ما أثر تقييم المخاطر في تعزيز استمرارية الأعمال بشركات الاتصالات السعودية؟</w:t>
      </w:r>
    </w:p>
    <w:p w14:paraId="5350A2E3" w14:textId="77777777" w:rsidR="0077109A" w:rsidRPr="00641ED1" w:rsidRDefault="0077109A" w:rsidP="00781571">
      <w:pPr>
        <w:pStyle w:val="ListParagraph"/>
        <w:numPr>
          <w:ilvl w:val="0"/>
          <w:numId w:val="14"/>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ما أثر معالجة المخاطر في تعزيز استمرارية الأعمال بشركات الاتصالات السعودية؟</w:t>
      </w:r>
    </w:p>
    <w:p w14:paraId="5785B767" w14:textId="77777777" w:rsidR="0077109A" w:rsidRPr="00641ED1" w:rsidRDefault="0077109A" w:rsidP="00781571">
      <w:pPr>
        <w:pStyle w:val="ListParagraph"/>
        <w:numPr>
          <w:ilvl w:val="0"/>
          <w:numId w:val="14"/>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ما أثر مراقبة المخاطر في تعزيز استمرارية الأعمال بشركات الاتصالات السعودية؟</w:t>
      </w:r>
    </w:p>
    <w:p w14:paraId="6C7D02B0" w14:textId="20FB2943" w:rsidR="0077109A" w:rsidRPr="00641ED1" w:rsidRDefault="00781571" w:rsidP="00781571">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6" w:name="_Toc233993656"/>
      <w:r w:rsidRPr="00641ED1">
        <w:rPr>
          <w:rFonts w:ascii="Simplified Arabic" w:eastAsia="Calibri" w:hAnsi="Simplified Arabic" w:cs="Simplified Arabic" w:hint="cs"/>
          <w:b/>
          <w:bCs/>
          <w:color w:val="000000" w:themeColor="text1"/>
          <w:sz w:val="36"/>
          <w:szCs w:val="36"/>
          <w:rtl/>
          <w:lang w:bidi="ar-EG"/>
        </w:rPr>
        <w:t xml:space="preserve">6.1 </w:t>
      </w:r>
      <w:r w:rsidR="0077109A" w:rsidRPr="00641ED1">
        <w:rPr>
          <w:rFonts w:ascii="Simplified Arabic" w:eastAsia="Calibri" w:hAnsi="Simplified Arabic" w:cs="Simplified Arabic"/>
          <w:b/>
          <w:bCs/>
          <w:color w:val="000000" w:themeColor="text1"/>
          <w:sz w:val="36"/>
          <w:szCs w:val="36"/>
          <w:rtl/>
        </w:rPr>
        <w:t>فروض الدراسة</w:t>
      </w:r>
      <w:bookmarkEnd w:id="6"/>
    </w:p>
    <w:p w14:paraId="12DD0FF4"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641ED1">
        <w:rPr>
          <w:rFonts w:ascii="Simplified Arabic" w:eastAsia="Calibri" w:hAnsi="Simplified Arabic" w:cs="Simplified Arabic"/>
          <w:b/>
          <w:bCs/>
          <w:color w:val="000000" w:themeColor="text1"/>
          <w:sz w:val="32"/>
          <w:szCs w:val="32"/>
          <w:rtl/>
        </w:rPr>
        <w:t>الفرض الرئيسي</w:t>
      </w:r>
      <w:r w:rsidRPr="00641ED1">
        <w:rPr>
          <w:rFonts w:ascii="Simplified Arabic" w:eastAsia="Calibri" w:hAnsi="Simplified Arabic" w:cs="Simplified Arabic"/>
          <w:b/>
          <w:bCs/>
          <w:color w:val="000000" w:themeColor="text1"/>
          <w:sz w:val="32"/>
          <w:szCs w:val="32"/>
          <w:lang w:bidi="ar-EG"/>
        </w:rPr>
        <w:t>:</w:t>
      </w:r>
    </w:p>
    <w:p w14:paraId="45B9BA6A" w14:textId="77777777" w:rsidR="0077109A" w:rsidRPr="00641ED1" w:rsidRDefault="0077109A" w:rsidP="00781571">
      <w:pPr>
        <w:pStyle w:val="ListParagraph"/>
        <w:numPr>
          <w:ilvl w:val="0"/>
          <w:numId w:val="43"/>
        </w:numPr>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lang w:bidi="ar-EG"/>
        </w:rPr>
        <w:t xml:space="preserve">H1: </w:t>
      </w:r>
      <w:r w:rsidRPr="00641ED1">
        <w:rPr>
          <w:rFonts w:ascii="Simplified Arabic" w:eastAsia="Calibri" w:hAnsi="Simplified Arabic" w:cs="Simplified Arabic"/>
          <w:color w:val="000000" w:themeColor="text1"/>
          <w:sz w:val="28"/>
          <w:szCs w:val="28"/>
          <w:rtl/>
        </w:rPr>
        <w:t>يوجد أثر ذو دلالة إحصائية عند مستوى معنوية</w:t>
      </w:r>
      <w:r w:rsidRPr="00641ED1">
        <w:rPr>
          <w:rFonts w:ascii="Simplified Arabic" w:eastAsia="Calibri" w:hAnsi="Simplified Arabic" w:cs="Simplified Arabic"/>
          <w:color w:val="000000" w:themeColor="text1"/>
          <w:sz w:val="28"/>
          <w:szCs w:val="28"/>
          <w:lang w:bidi="ar-EG"/>
        </w:rPr>
        <w:t xml:space="preserve"> (</w:t>
      </w:r>
      <w:r w:rsidRPr="00641ED1">
        <w:rPr>
          <w:rFonts w:ascii="Cambria" w:eastAsia="Calibri" w:hAnsi="Cambria" w:cs="Cambria"/>
          <w:color w:val="000000" w:themeColor="text1"/>
          <w:sz w:val="28"/>
          <w:szCs w:val="28"/>
          <w:lang w:bidi="ar-EG"/>
        </w:rPr>
        <w:t>α</w:t>
      </w:r>
      <w:r w:rsidRPr="00641ED1">
        <w:rPr>
          <w:rFonts w:ascii="Simplified Arabic" w:eastAsia="Calibri" w:hAnsi="Simplified Arabic" w:cs="Simplified Arabic"/>
          <w:color w:val="000000" w:themeColor="text1"/>
          <w:sz w:val="28"/>
          <w:szCs w:val="28"/>
          <w:lang w:bidi="ar-EG"/>
        </w:rPr>
        <w:t xml:space="preserve"> </w:t>
      </w:r>
      <w:r w:rsidRPr="00641ED1">
        <w:rPr>
          <w:rFonts w:ascii="Times New Roman" w:eastAsia="Calibri" w:hAnsi="Times New Roman" w:cs="Times New Roman"/>
          <w:color w:val="000000" w:themeColor="text1"/>
          <w:sz w:val="28"/>
          <w:szCs w:val="28"/>
          <w:lang w:bidi="ar-EG"/>
        </w:rPr>
        <w:t>≤</w:t>
      </w:r>
      <w:r w:rsidRPr="00641ED1">
        <w:rPr>
          <w:rFonts w:ascii="Simplified Arabic" w:eastAsia="Calibri" w:hAnsi="Simplified Arabic" w:cs="Simplified Arabic"/>
          <w:color w:val="000000" w:themeColor="text1"/>
          <w:sz w:val="28"/>
          <w:szCs w:val="28"/>
          <w:lang w:bidi="ar-EG"/>
        </w:rPr>
        <w:t xml:space="preserve"> 0.05) </w:t>
      </w:r>
      <w:r w:rsidRPr="00641ED1">
        <w:rPr>
          <w:rFonts w:ascii="Simplified Arabic" w:eastAsia="Calibri" w:hAnsi="Simplified Arabic" w:cs="Simplified Arabic"/>
          <w:color w:val="000000" w:themeColor="text1"/>
          <w:sz w:val="28"/>
          <w:szCs w:val="28"/>
          <w:rtl/>
        </w:rPr>
        <w:t>لتطبيق استراتيجيات إدارة مخاطر انقطاع الخدمة بأبعادها (تحديد المخاطر، تقييم المخاطر، معالجة المخاطر، مراقبة المخاطر) على استمرارية الأعمال بأبعادها (التخطيط الاستباقي، إدارة الأزمات، المرونة التنظيمية، التعافي) في شركات الاتصالات في المملكة العربية السعودية</w:t>
      </w:r>
      <w:r w:rsidRPr="00641ED1">
        <w:rPr>
          <w:rFonts w:ascii="Simplified Arabic" w:eastAsia="Calibri" w:hAnsi="Simplified Arabic" w:cs="Simplified Arabic"/>
          <w:color w:val="000000" w:themeColor="text1"/>
          <w:sz w:val="28"/>
          <w:szCs w:val="28"/>
          <w:lang w:bidi="ar-EG"/>
        </w:rPr>
        <w:t>.</w:t>
      </w:r>
    </w:p>
    <w:p w14:paraId="013145E2"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641ED1">
        <w:rPr>
          <w:rFonts w:ascii="Simplified Arabic" w:eastAsia="Calibri" w:hAnsi="Simplified Arabic" w:cs="Simplified Arabic"/>
          <w:b/>
          <w:bCs/>
          <w:color w:val="000000" w:themeColor="text1"/>
          <w:sz w:val="32"/>
          <w:szCs w:val="32"/>
          <w:rtl/>
        </w:rPr>
        <w:lastRenderedPageBreak/>
        <w:t>الفروض الفرعية</w:t>
      </w:r>
      <w:r w:rsidRPr="00641ED1">
        <w:rPr>
          <w:rFonts w:ascii="Simplified Arabic" w:eastAsia="Calibri" w:hAnsi="Simplified Arabic" w:cs="Simplified Arabic"/>
          <w:b/>
          <w:bCs/>
          <w:color w:val="000000" w:themeColor="text1"/>
          <w:sz w:val="32"/>
          <w:szCs w:val="32"/>
          <w:lang w:bidi="ar-EG"/>
        </w:rPr>
        <w:t>:</w:t>
      </w:r>
    </w:p>
    <w:p w14:paraId="5A52AC9E" w14:textId="77777777" w:rsidR="0077109A" w:rsidRPr="00641ED1" w:rsidRDefault="0077109A" w:rsidP="00781571">
      <w:pPr>
        <w:pStyle w:val="ListParagraph"/>
        <w:numPr>
          <w:ilvl w:val="0"/>
          <w:numId w:val="43"/>
        </w:numPr>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lang w:bidi="ar-EG"/>
        </w:rPr>
        <w:t xml:space="preserve">H1-1: </w:t>
      </w:r>
      <w:r w:rsidRPr="00641ED1">
        <w:rPr>
          <w:rFonts w:ascii="Simplified Arabic" w:eastAsia="Calibri" w:hAnsi="Simplified Arabic" w:cs="Simplified Arabic"/>
          <w:color w:val="000000" w:themeColor="text1"/>
          <w:sz w:val="28"/>
          <w:szCs w:val="28"/>
          <w:rtl/>
        </w:rPr>
        <w:t>يوجد أثر ذو دلالة إحصائية عند مستوى معنوية</w:t>
      </w:r>
      <w:r w:rsidRPr="00641ED1">
        <w:rPr>
          <w:rFonts w:ascii="Simplified Arabic" w:eastAsia="Calibri" w:hAnsi="Simplified Arabic" w:cs="Simplified Arabic"/>
          <w:color w:val="000000" w:themeColor="text1"/>
          <w:sz w:val="28"/>
          <w:szCs w:val="28"/>
          <w:lang w:bidi="ar-EG"/>
        </w:rPr>
        <w:t xml:space="preserve"> (</w:t>
      </w:r>
      <w:r w:rsidRPr="00641ED1">
        <w:rPr>
          <w:rFonts w:ascii="Cambria" w:eastAsia="Calibri" w:hAnsi="Cambria" w:cs="Cambria"/>
          <w:color w:val="000000" w:themeColor="text1"/>
          <w:sz w:val="28"/>
          <w:szCs w:val="28"/>
          <w:lang w:bidi="ar-EG"/>
        </w:rPr>
        <w:t>α</w:t>
      </w:r>
      <w:r w:rsidRPr="00641ED1">
        <w:rPr>
          <w:rFonts w:ascii="Simplified Arabic" w:eastAsia="Calibri" w:hAnsi="Simplified Arabic" w:cs="Simplified Arabic"/>
          <w:color w:val="000000" w:themeColor="text1"/>
          <w:sz w:val="28"/>
          <w:szCs w:val="28"/>
          <w:lang w:bidi="ar-EG"/>
        </w:rPr>
        <w:t xml:space="preserve"> </w:t>
      </w:r>
      <w:r w:rsidRPr="00641ED1">
        <w:rPr>
          <w:rFonts w:ascii="Times New Roman" w:eastAsia="Calibri" w:hAnsi="Times New Roman" w:cs="Times New Roman"/>
          <w:color w:val="000000" w:themeColor="text1"/>
          <w:sz w:val="28"/>
          <w:szCs w:val="28"/>
          <w:lang w:bidi="ar-EG"/>
        </w:rPr>
        <w:t>≤</w:t>
      </w:r>
      <w:r w:rsidRPr="00641ED1">
        <w:rPr>
          <w:rFonts w:ascii="Simplified Arabic" w:eastAsia="Calibri" w:hAnsi="Simplified Arabic" w:cs="Simplified Arabic"/>
          <w:color w:val="000000" w:themeColor="text1"/>
          <w:sz w:val="28"/>
          <w:szCs w:val="28"/>
          <w:lang w:bidi="ar-EG"/>
        </w:rPr>
        <w:t xml:space="preserve"> 0.05) </w:t>
      </w:r>
      <w:r w:rsidRPr="00641ED1">
        <w:rPr>
          <w:rFonts w:ascii="Simplified Arabic" w:eastAsia="Calibri" w:hAnsi="Simplified Arabic" w:cs="Simplified Arabic"/>
          <w:color w:val="000000" w:themeColor="text1"/>
          <w:sz w:val="28"/>
          <w:szCs w:val="28"/>
          <w:rtl/>
        </w:rPr>
        <w:t>لبُعد تحديد المخاطر على استمرارية الأعمال في شركات الاتصالات في المملكة العربية السعودية</w:t>
      </w:r>
      <w:r w:rsidRPr="00641ED1">
        <w:rPr>
          <w:rFonts w:ascii="Simplified Arabic" w:eastAsia="Calibri" w:hAnsi="Simplified Arabic" w:cs="Simplified Arabic"/>
          <w:color w:val="000000" w:themeColor="text1"/>
          <w:sz w:val="28"/>
          <w:szCs w:val="28"/>
          <w:lang w:bidi="ar-EG"/>
        </w:rPr>
        <w:t>.</w:t>
      </w:r>
    </w:p>
    <w:p w14:paraId="30B5081C" w14:textId="77777777" w:rsidR="0077109A" w:rsidRPr="00641ED1" w:rsidRDefault="0077109A" w:rsidP="00781571">
      <w:pPr>
        <w:pStyle w:val="ListParagraph"/>
        <w:numPr>
          <w:ilvl w:val="0"/>
          <w:numId w:val="43"/>
        </w:numPr>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lang w:bidi="ar-EG"/>
        </w:rPr>
        <w:t xml:space="preserve">H1-2: </w:t>
      </w:r>
      <w:r w:rsidRPr="00641ED1">
        <w:rPr>
          <w:rFonts w:ascii="Simplified Arabic" w:eastAsia="Calibri" w:hAnsi="Simplified Arabic" w:cs="Simplified Arabic"/>
          <w:color w:val="000000" w:themeColor="text1"/>
          <w:sz w:val="28"/>
          <w:szCs w:val="28"/>
          <w:rtl/>
        </w:rPr>
        <w:t>يوجد أثر ذو دلالة إحصائية عند مستوى معنوية</w:t>
      </w:r>
      <w:r w:rsidRPr="00641ED1">
        <w:rPr>
          <w:rFonts w:ascii="Simplified Arabic" w:eastAsia="Calibri" w:hAnsi="Simplified Arabic" w:cs="Simplified Arabic"/>
          <w:color w:val="000000" w:themeColor="text1"/>
          <w:sz w:val="28"/>
          <w:szCs w:val="28"/>
          <w:lang w:bidi="ar-EG"/>
        </w:rPr>
        <w:t xml:space="preserve"> (</w:t>
      </w:r>
      <w:r w:rsidRPr="00641ED1">
        <w:rPr>
          <w:rFonts w:ascii="Cambria" w:eastAsia="Calibri" w:hAnsi="Cambria" w:cs="Cambria"/>
          <w:color w:val="000000" w:themeColor="text1"/>
          <w:sz w:val="28"/>
          <w:szCs w:val="28"/>
          <w:lang w:bidi="ar-EG"/>
        </w:rPr>
        <w:t>α</w:t>
      </w:r>
      <w:r w:rsidRPr="00641ED1">
        <w:rPr>
          <w:rFonts w:ascii="Simplified Arabic" w:eastAsia="Calibri" w:hAnsi="Simplified Arabic" w:cs="Simplified Arabic"/>
          <w:color w:val="000000" w:themeColor="text1"/>
          <w:sz w:val="28"/>
          <w:szCs w:val="28"/>
          <w:lang w:bidi="ar-EG"/>
        </w:rPr>
        <w:t xml:space="preserve"> </w:t>
      </w:r>
      <w:r w:rsidRPr="00641ED1">
        <w:rPr>
          <w:rFonts w:ascii="Times New Roman" w:eastAsia="Calibri" w:hAnsi="Times New Roman" w:cs="Times New Roman"/>
          <w:color w:val="000000" w:themeColor="text1"/>
          <w:sz w:val="28"/>
          <w:szCs w:val="28"/>
          <w:lang w:bidi="ar-EG"/>
        </w:rPr>
        <w:t>≤</w:t>
      </w:r>
      <w:r w:rsidRPr="00641ED1">
        <w:rPr>
          <w:rFonts w:ascii="Simplified Arabic" w:eastAsia="Calibri" w:hAnsi="Simplified Arabic" w:cs="Simplified Arabic"/>
          <w:color w:val="000000" w:themeColor="text1"/>
          <w:sz w:val="28"/>
          <w:szCs w:val="28"/>
          <w:lang w:bidi="ar-EG"/>
        </w:rPr>
        <w:t xml:space="preserve"> 0.05) </w:t>
      </w:r>
      <w:r w:rsidRPr="00641ED1">
        <w:rPr>
          <w:rFonts w:ascii="Simplified Arabic" w:eastAsia="Calibri" w:hAnsi="Simplified Arabic" w:cs="Simplified Arabic"/>
          <w:color w:val="000000" w:themeColor="text1"/>
          <w:sz w:val="28"/>
          <w:szCs w:val="28"/>
          <w:rtl/>
        </w:rPr>
        <w:t>لبُعد تقييم المخاطر على استمرارية الأعمال في شركات الاتصالات في المملكة العربية السعودية</w:t>
      </w:r>
      <w:r w:rsidRPr="00641ED1">
        <w:rPr>
          <w:rFonts w:ascii="Simplified Arabic" w:eastAsia="Calibri" w:hAnsi="Simplified Arabic" w:cs="Simplified Arabic"/>
          <w:color w:val="000000" w:themeColor="text1"/>
          <w:sz w:val="28"/>
          <w:szCs w:val="28"/>
          <w:lang w:bidi="ar-EG"/>
        </w:rPr>
        <w:t>.</w:t>
      </w:r>
    </w:p>
    <w:p w14:paraId="2C04EFE4" w14:textId="77777777" w:rsidR="0077109A" w:rsidRPr="00641ED1" w:rsidRDefault="0077109A" w:rsidP="00781571">
      <w:pPr>
        <w:pStyle w:val="ListParagraph"/>
        <w:numPr>
          <w:ilvl w:val="0"/>
          <w:numId w:val="43"/>
        </w:numPr>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lang w:bidi="ar-EG"/>
        </w:rPr>
        <w:t xml:space="preserve">H1-3: </w:t>
      </w:r>
      <w:r w:rsidRPr="00641ED1">
        <w:rPr>
          <w:rFonts w:ascii="Simplified Arabic" w:eastAsia="Calibri" w:hAnsi="Simplified Arabic" w:cs="Simplified Arabic"/>
          <w:color w:val="000000" w:themeColor="text1"/>
          <w:sz w:val="28"/>
          <w:szCs w:val="28"/>
          <w:rtl/>
        </w:rPr>
        <w:t>يوجد أثر ذو دلالة إحصائية عند مستوى معنوية</w:t>
      </w:r>
      <w:r w:rsidRPr="00641ED1">
        <w:rPr>
          <w:rFonts w:ascii="Simplified Arabic" w:eastAsia="Calibri" w:hAnsi="Simplified Arabic" w:cs="Simplified Arabic"/>
          <w:color w:val="000000" w:themeColor="text1"/>
          <w:sz w:val="28"/>
          <w:szCs w:val="28"/>
          <w:lang w:bidi="ar-EG"/>
        </w:rPr>
        <w:t xml:space="preserve"> (</w:t>
      </w:r>
      <w:r w:rsidRPr="00641ED1">
        <w:rPr>
          <w:rFonts w:ascii="Cambria" w:eastAsia="Calibri" w:hAnsi="Cambria" w:cs="Cambria"/>
          <w:color w:val="000000" w:themeColor="text1"/>
          <w:sz w:val="28"/>
          <w:szCs w:val="28"/>
          <w:lang w:bidi="ar-EG"/>
        </w:rPr>
        <w:t>α</w:t>
      </w:r>
      <w:r w:rsidRPr="00641ED1">
        <w:rPr>
          <w:rFonts w:ascii="Simplified Arabic" w:eastAsia="Calibri" w:hAnsi="Simplified Arabic" w:cs="Simplified Arabic"/>
          <w:color w:val="000000" w:themeColor="text1"/>
          <w:sz w:val="28"/>
          <w:szCs w:val="28"/>
          <w:lang w:bidi="ar-EG"/>
        </w:rPr>
        <w:t xml:space="preserve"> </w:t>
      </w:r>
      <w:r w:rsidRPr="00641ED1">
        <w:rPr>
          <w:rFonts w:ascii="Times New Roman" w:eastAsia="Calibri" w:hAnsi="Times New Roman" w:cs="Times New Roman"/>
          <w:color w:val="000000" w:themeColor="text1"/>
          <w:sz w:val="28"/>
          <w:szCs w:val="28"/>
          <w:lang w:bidi="ar-EG"/>
        </w:rPr>
        <w:t>≤</w:t>
      </w:r>
      <w:r w:rsidRPr="00641ED1">
        <w:rPr>
          <w:rFonts w:ascii="Simplified Arabic" w:eastAsia="Calibri" w:hAnsi="Simplified Arabic" w:cs="Simplified Arabic"/>
          <w:color w:val="000000" w:themeColor="text1"/>
          <w:sz w:val="28"/>
          <w:szCs w:val="28"/>
          <w:lang w:bidi="ar-EG"/>
        </w:rPr>
        <w:t xml:space="preserve"> 0.05) </w:t>
      </w:r>
      <w:r w:rsidRPr="00641ED1">
        <w:rPr>
          <w:rFonts w:ascii="Simplified Arabic" w:eastAsia="Calibri" w:hAnsi="Simplified Arabic" w:cs="Simplified Arabic"/>
          <w:color w:val="000000" w:themeColor="text1"/>
          <w:sz w:val="28"/>
          <w:szCs w:val="28"/>
          <w:rtl/>
        </w:rPr>
        <w:t>لبُعد معالجة المخاطر على استمرارية الأعمال في شركات الاتصالات في المملكة العربية السعودية</w:t>
      </w:r>
      <w:r w:rsidRPr="00641ED1">
        <w:rPr>
          <w:rFonts w:ascii="Simplified Arabic" w:eastAsia="Calibri" w:hAnsi="Simplified Arabic" w:cs="Simplified Arabic"/>
          <w:color w:val="000000" w:themeColor="text1"/>
          <w:sz w:val="28"/>
          <w:szCs w:val="28"/>
          <w:lang w:bidi="ar-EG"/>
        </w:rPr>
        <w:t>.</w:t>
      </w:r>
    </w:p>
    <w:p w14:paraId="5473CFE0" w14:textId="77777777" w:rsidR="0077109A" w:rsidRPr="00641ED1" w:rsidRDefault="0077109A" w:rsidP="00781571">
      <w:pPr>
        <w:pStyle w:val="ListParagraph"/>
        <w:numPr>
          <w:ilvl w:val="0"/>
          <w:numId w:val="43"/>
        </w:numPr>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lang w:bidi="ar-EG"/>
        </w:rPr>
        <w:t xml:space="preserve">H1-4: </w:t>
      </w:r>
      <w:r w:rsidRPr="00641ED1">
        <w:rPr>
          <w:rFonts w:ascii="Simplified Arabic" w:eastAsia="Calibri" w:hAnsi="Simplified Arabic" w:cs="Simplified Arabic"/>
          <w:color w:val="000000" w:themeColor="text1"/>
          <w:sz w:val="28"/>
          <w:szCs w:val="28"/>
          <w:rtl/>
        </w:rPr>
        <w:t>يوجد أثر ذو دلالة إحصائية عند مستوى معنوية</w:t>
      </w:r>
      <w:r w:rsidRPr="00641ED1">
        <w:rPr>
          <w:rFonts w:ascii="Simplified Arabic" w:eastAsia="Calibri" w:hAnsi="Simplified Arabic" w:cs="Simplified Arabic"/>
          <w:color w:val="000000" w:themeColor="text1"/>
          <w:sz w:val="28"/>
          <w:szCs w:val="28"/>
          <w:lang w:bidi="ar-EG"/>
        </w:rPr>
        <w:t xml:space="preserve"> (</w:t>
      </w:r>
      <w:r w:rsidRPr="00641ED1">
        <w:rPr>
          <w:rFonts w:ascii="Cambria" w:eastAsia="Calibri" w:hAnsi="Cambria" w:cs="Cambria"/>
          <w:color w:val="000000" w:themeColor="text1"/>
          <w:sz w:val="28"/>
          <w:szCs w:val="28"/>
          <w:lang w:bidi="ar-EG"/>
        </w:rPr>
        <w:t>α</w:t>
      </w:r>
      <w:r w:rsidRPr="00641ED1">
        <w:rPr>
          <w:rFonts w:ascii="Simplified Arabic" w:eastAsia="Calibri" w:hAnsi="Simplified Arabic" w:cs="Simplified Arabic"/>
          <w:color w:val="000000" w:themeColor="text1"/>
          <w:sz w:val="28"/>
          <w:szCs w:val="28"/>
          <w:lang w:bidi="ar-EG"/>
        </w:rPr>
        <w:t xml:space="preserve"> </w:t>
      </w:r>
      <w:r w:rsidRPr="00641ED1">
        <w:rPr>
          <w:rFonts w:ascii="Times New Roman" w:eastAsia="Calibri" w:hAnsi="Times New Roman" w:cs="Times New Roman"/>
          <w:color w:val="000000" w:themeColor="text1"/>
          <w:sz w:val="28"/>
          <w:szCs w:val="28"/>
          <w:lang w:bidi="ar-EG"/>
        </w:rPr>
        <w:t>≤</w:t>
      </w:r>
      <w:r w:rsidRPr="00641ED1">
        <w:rPr>
          <w:rFonts w:ascii="Simplified Arabic" w:eastAsia="Calibri" w:hAnsi="Simplified Arabic" w:cs="Simplified Arabic"/>
          <w:color w:val="000000" w:themeColor="text1"/>
          <w:sz w:val="28"/>
          <w:szCs w:val="28"/>
          <w:lang w:bidi="ar-EG"/>
        </w:rPr>
        <w:t xml:space="preserve"> 0.05) </w:t>
      </w:r>
      <w:r w:rsidRPr="00641ED1">
        <w:rPr>
          <w:rFonts w:ascii="Simplified Arabic" w:eastAsia="Calibri" w:hAnsi="Simplified Arabic" w:cs="Simplified Arabic"/>
          <w:color w:val="000000" w:themeColor="text1"/>
          <w:sz w:val="28"/>
          <w:szCs w:val="28"/>
          <w:rtl/>
        </w:rPr>
        <w:t>لبُعد مراقبة المخاطر على استمرارية الأعمال في شركات الاتصالات في المملكة العربية السعودية</w:t>
      </w:r>
      <w:r w:rsidRPr="00641ED1">
        <w:rPr>
          <w:rFonts w:ascii="Simplified Arabic" w:eastAsia="Calibri" w:hAnsi="Simplified Arabic" w:cs="Simplified Arabic"/>
          <w:color w:val="000000" w:themeColor="text1"/>
          <w:sz w:val="28"/>
          <w:szCs w:val="28"/>
          <w:lang w:bidi="ar-EG"/>
        </w:rPr>
        <w:t>.</w:t>
      </w:r>
    </w:p>
    <w:p w14:paraId="56791E0B" w14:textId="304FF26D" w:rsidR="0077109A" w:rsidRPr="00641ED1" w:rsidRDefault="00781571" w:rsidP="00781571">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7" w:name="_Toc233993657"/>
      <w:r w:rsidRPr="00641ED1">
        <w:rPr>
          <w:rFonts w:ascii="Simplified Arabic" w:eastAsia="Calibri" w:hAnsi="Simplified Arabic" w:cs="Simplified Arabic" w:hint="cs"/>
          <w:b/>
          <w:bCs/>
          <w:color w:val="000000" w:themeColor="text1"/>
          <w:sz w:val="36"/>
          <w:szCs w:val="36"/>
          <w:rtl/>
          <w:lang w:bidi="ar-EG"/>
        </w:rPr>
        <w:t xml:space="preserve">7.1 </w:t>
      </w:r>
      <w:r w:rsidR="0077109A" w:rsidRPr="00641ED1">
        <w:rPr>
          <w:rFonts w:ascii="Simplified Arabic" w:eastAsia="Calibri" w:hAnsi="Simplified Arabic" w:cs="Simplified Arabic"/>
          <w:b/>
          <w:bCs/>
          <w:color w:val="000000" w:themeColor="text1"/>
          <w:sz w:val="36"/>
          <w:szCs w:val="36"/>
          <w:rtl/>
        </w:rPr>
        <w:t>مقدمة الدراسات السابقة</w:t>
      </w:r>
      <w:bookmarkEnd w:id="7"/>
    </w:p>
    <w:p w14:paraId="1E3529CE"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641ED1">
        <w:rPr>
          <w:rFonts w:ascii="Simplified Arabic" w:eastAsia="Calibri" w:hAnsi="Simplified Arabic" w:cs="Simplified Arabic"/>
          <w:b/>
          <w:bCs/>
          <w:color w:val="000000" w:themeColor="text1"/>
          <w:sz w:val="32"/>
          <w:szCs w:val="32"/>
          <w:rtl/>
        </w:rPr>
        <w:t xml:space="preserve">المحور الأول: الدراسات المتعلّقة بالمتغيّر المستقل (استراتيجيات إدارة </w:t>
      </w:r>
      <w:proofErr w:type="gramStart"/>
      <w:r w:rsidRPr="00641ED1">
        <w:rPr>
          <w:rFonts w:ascii="Simplified Arabic" w:eastAsia="Calibri" w:hAnsi="Simplified Arabic" w:cs="Simplified Arabic"/>
          <w:b/>
          <w:bCs/>
          <w:color w:val="000000" w:themeColor="text1"/>
          <w:sz w:val="32"/>
          <w:szCs w:val="32"/>
          <w:rtl/>
        </w:rPr>
        <w:t>مخاطر</w:t>
      </w:r>
      <w:proofErr w:type="gramEnd"/>
      <w:r w:rsidRPr="00641ED1">
        <w:rPr>
          <w:rFonts w:ascii="Simplified Arabic" w:eastAsia="Calibri" w:hAnsi="Simplified Arabic" w:cs="Simplified Arabic"/>
          <w:b/>
          <w:bCs/>
          <w:color w:val="000000" w:themeColor="text1"/>
          <w:sz w:val="32"/>
          <w:szCs w:val="32"/>
          <w:rtl/>
        </w:rPr>
        <w:t xml:space="preserve"> انقطاع الخدمة) وعلاقته بمتغيرات أخرى</w:t>
      </w:r>
    </w:p>
    <w:p w14:paraId="6744CD18" w14:textId="382B732B" w:rsidR="00781571" w:rsidRPr="00641ED1" w:rsidRDefault="00781571"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 xml:space="preserve">دراسة سنجاق الدين وحسين (2022) بعنوان: “استراتيجيات نظام الملاءة 2 الأوروبي في إدارة </w:t>
      </w:r>
      <w:proofErr w:type="gramStart"/>
      <w:r w:rsidRPr="00641ED1">
        <w:rPr>
          <w:rFonts w:ascii="Simplified Arabic" w:eastAsia="Calibri" w:hAnsi="Simplified Arabic" w:cs="Simplified Arabic"/>
          <w:b/>
          <w:bCs/>
          <w:color w:val="000000" w:themeColor="text1"/>
          <w:sz w:val="28"/>
          <w:szCs w:val="28"/>
          <w:rtl/>
        </w:rPr>
        <w:t>مخاطر</w:t>
      </w:r>
      <w:proofErr w:type="gramEnd"/>
      <w:r w:rsidRPr="00641ED1">
        <w:rPr>
          <w:rFonts w:ascii="Simplified Arabic" w:eastAsia="Calibri" w:hAnsi="Simplified Arabic" w:cs="Simplified Arabic"/>
          <w:b/>
          <w:bCs/>
          <w:color w:val="000000" w:themeColor="text1"/>
          <w:sz w:val="28"/>
          <w:szCs w:val="28"/>
          <w:rtl/>
        </w:rPr>
        <w:t xml:space="preserve"> شركات التأمين</w:t>
      </w:r>
      <w:r w:rsidRPr="00641ED1">
        <w:rPr>
          <w:rFonts w:ascii="Simplified Arabic" w:eastAsia="Calibri" w:hAnsi="Simplified Arabic" w:cs="Simplified Arabic"/>
          <w:b/>
          <w:bCs/>
          <w:color w:val="000000" w:themeColor="text1"/>
          <w:sz w:val="28"/>
          <w:szCs w:val="28"/>
          <w:lang w:bidi="ar-EG"/>
        </w:rPr>
        <w:t>”</w:t>
      </w:r>
    </w:p>
    <w:p w14:paraId="557D04BC" w14:textId="77777777" w:rsidR="00781571" w:rsidRPr="00641ED1" w:rsidRDefault="00781571"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هدفت الدراسة إلى التعرّف على استراتيجيات نظام الملاءة 2 الأوروبي بأبعاده (المتطلّبات الكمّية، المتطلّبات النوعية، متطلّبات الإفصاح والشفافية) في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شركات التأمين الأوروبية، واستخدمت الدراسة المنهج الوصفي التحليلي المقارن، وتكوّنت العيّنة من مجموعة من شركات التأمين الأوروبية العاملة وفق نظام الملاءة 2. وتوصّلت نتائج الدراسة إلى أنّ نظام الملاءة 2 يُسهم بشكل فاعل في تعزيز قدرة شركات التأمين على مواجهة المخاطر المالية والتشغيلية، وتحسين مستوى الشفافية والإفصاح. وأوصت الدراسة بضرورة الاستفادة من التجربة الأوروبية في تطوير أنظمة الرقابة على شركات التأمين في الدول العربية، وتبنّي معايير الحوكمة الرشيدة في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التأمين</w:t>
      </w:r>
      <w:r w:rsidRPr="00641ED1">
        <w:rPr>
          <w:rFonts w:ascii="Simplified Arabic" w:eastAsia="Calibri" w:hAnsi="Simplified Arabic" w:cs="Simplified Arabic"/>
          <w:color w:val="000000" w:themeColor="text1"/>
          <w:sz w:val="28"/>
          <w:szCs w:val="28"/>
          <w:lang w:bidi="ar-EG"/>
        </w:rPr>
        <w:t>.</w:t>
      </w:r>
    </w:p>
    <w:p w14:paraId="1040466A" w14:textId="3D93B99F" w:rsidR="00781571" w:rsidRPr="00641ED1" w:rsidRDefault="00781571"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 أحمد (2024) بعنوان: “دور استراتيجيات إدارة المخاطر في دعم اتخاذ القرار التسويقي الاستراتيجي: دراسة تطبيقية على الشركات السياحية</w:t>
      </w:r>
      <w:r w:rsidRPr="00641ED1">
        <w:rPr>
          <w:rFonts w:ascii="Simplified Arabic" w:eastAsia="Calibri" w:hAnsi="Simplified Arabic" w:cs="Simplified Arabic"/>
          <w:b/>
          <w:bCs/>
          <w:color w:val="000000" w:themeColor="text1"/>
          <w:sz w:val="28"/>
          <w:szCs w:val="28"/>
          <w:lang w:bidi="ar-EG"/>
        </w:rPr>
        <w:t>”</w:t>
      </w:r>
    </w:p>
    <w:p w14:paraId="0CDA0CAE" w14:textId="77777777" w:rsidR="00781571" w:rsidRPr="00641ED1" w:rsidRDefault="00781571"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هدفت الدراسة إلى التعرّف على دور استراتيجيات إدارة المخاطر بأبعادها (تجنّب المخاطر، تقليل المخاطر، تحويل المخاطر، قبول المخاطر) في دعم اتخاذ القرار التسويقي الاستراتيجي في الشركات السياحية بجمهورية مصر العربية، واستخدمت الدراسة المنهج الوصفي التحليلي، وتكوّنت العيّنة من (210) مفردة من المديرين والعاملين في الشركات السياحية. وتوصّلت نتائج الدراسة إلى وجود أثر إيجابي ذي دلالة إحصائية لاستراتيجيات إدارة المخاطر بجميع أبعادها على جودة القرارات التسويقية الاستراتيجية، كما تبيّن أنّ استراتيجية تقليل المخاطر كانت الأكثر تأثيراً. وأوصت الدراسة بضرورة تبنّي الشركات السياحية لمنهج متكامل في إدارة المخاطر التسويقية، وتطوير أنظمة الإنذار المبكر، ودمج استراتيجيات إدارة المخاطر ضمن الخطط التسويقية طويلة الأجل</w:t>
      </w:r>
      <w:r w:rsidRPr="00641ED1">
        <w:rPr>
          <w:rFonts w:ascii="Simplified Arabic" w:eastAsia="Calibri" w:hAnsi="Simplified Arabic" w:cs="Simplified Arabic"/>
          <w:color w:val="000000" w:themeColor="text1"/>
          <w:sz w:val="28"/>
          <w:szCs w:val="28"/>
          <w:lang w:bidi="ar-EG"/>
        </w:rPr>
        <w:t>.</w:t>
      </w:r>
    </w:p>
    <w:p w14:paraId="24251D38" w14:textId="079B7DB3" w:rsidR="00781571" w:rsidRPr="00641ED1" w:rsidRDefault="00781571"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 العنزي وآخرون (2024) بعنوان: “أثر تطبيق استراتيجيات إدارة المخاطر على نجاح المشروعات: دراسة تطبيقية على الشركات الخاصة بالمنطقة الشرقية</w:t>
      </w:r>
      <w:r w:rsidRPr="00641ED1">
        <w:rPr>
          <w:rFonts w:ascii="Simplified Arabic" w:eastAsia="Calibri" w:hAnsi="Simplified Arabic" w:cs="Simplified Arabic"/>
          <w:b/>
          <w:bCs/>
          <w:color w:val="000000" w:themeColor="text1"/>
          <w:sz w:val="28"/>
          <w:szCs w:val="28"/>
          <w:lang w:bidi="ar-EG"/>
        </w:rPr>
        <w:t>”</w:t>
      </w:r>
    </w:p>
    <w:p w14:paraId="3EDEB50D" w14:textId="77777777" w:rsidR="00781571" w:rsidRPr="00641ED1" w:rsidRDefault="00781571"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هدفت الدراسة إلى التعرّف على أثر تطبيق استراتيجيات إدارة المخاطر بأبعادها (تحديد المخاطر، تحليل المخاطر، الاستجابة للمخاطر، مراقبة المخاطر) على نجاح المشروعات في الشركات الخاصة بالمنطقة الشرقية في المملكة العربية السعودية، واستخدمت الدراسة المنهج الوصفي التحليلي، وتكوّنت العيّنة من (185) مفردة من العاملين في إدارات المشاريع بتلك الشركات. وتوصّلت نتائج الدراسة إلى وجود أثر إيجابي ذي دلالة إحصائية لجميع أبعاد استراتيجيات إدارة المخاطر على نجاح المشروعات، وكان لبُعد الاستجابة للمخاطر الأثر الأكبر. وأوصت الدراسة بضرورة تعزيز ثقافة إدارة المخاطر داخل الشركات، وتوفير برامج تدريبية متخصّصة لمديري المشاريع، وتبنّي منهجيات دولية معتمدة لإدارة المخاطر</w:t>
      </w:r>
      <w:r w:rsidRPr="00641ED1">
        <w:rPr>
          <w:rFonts w:ascii="Simplified Arabic" w:eastAsia="Calibri" w:hAnsi="Simplified Arabic" w:cs="Simplified Arabic"/>
          <w:color w:val="000000" w:themeColor="text1"/>
          <w:sz w:val="28"/>
          <w:szCs w:val="28"/>
          <w:lang w:bidi="ar-EG"/>
        </w:rPr>
        <w:t>.</w:t>
      </w:r>
    </w:p>
    <w:p w14:paraId="00D4870C" w14:textId="7331E84F" w:rsidR="00781571" w:rsidRPr="00641ED1" w:rsidRDefault="00781571"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 xml:space="preserve">دراسة </w:t>
      </w:r>
      <w:proofErr w:type="spellStart"/>
      <w:r w:rsidRPr="00641ED1">
        <w:rPr>
          <w:rFonts w:ascii="Simplified Arabic" w:eastAsia="Calibri" w:hAnsi="Simplified Arabic" w:cs="Simplified Arabic"/>
          <w:b/>
          <w:bCs/>
          <w:color w:val="000000" w:themeColor="text1"/>
          <w:sz w:val="28"/>
          <w:szCs w:val="28"/>
          <w:rtl/>
        </w:rPr>
        <w:t>القهوادي</w:t>
      </w:r>
      <w:proofErr w:type="spellEnd"/>
      <w:r w:rsidRPr="00641ED1">
        <w:rPr>
          <w:rFonts w:ascii="Simplified Arabic" w:eastAsia="Calibri" w:hAnsi="Simplified Arabic" w:cs="Simplified Arabic"/>
          <w:b/>
          <w:bCs/>
          <w:color w:val="000000" w:themeColor="text1"/>
          <w:sz w:val="28"/>
          <w:szCs w:val="28"/>
          <w:rtl/>
        </w:rPr>
        <w:t xml:space="preserve"> (2024) بعنوان: “تقييم ممارسات استراتيجيات إدارة المخاطر في شركات التشييد المحلية: دراسة تحليلية على شركات التشييد المنفذة لمشاريع البنية التحتية بمدينة زليتن</w:t>
      </w:r>
      <w:r w:rsidRPr="00641ED1">
        <w:rPr>
          <w:rFonts w:ascii="Simplified Arabic" w:eastAsia="Calibri" w:hAnsi="Simplified Arabic" w:cs="Simplified Arabic"/>
          <w:b/>
          <w:bCs/>
          <w:color w:val="000000" w:themeColor="text1"/>
          <w:sz w:val="28"/>
          <w:szCs w:val="28"/>
          <w:lang w:bidi="ar-EG"/>
        </w:rPr>
        <w:t>”</w:t>
      </w:r>
    </w:p>
    <w:p w14:paraId="744D8A3C" w14:textId="77777777" w:rsidR="00781571" w:rsidRPr="00641ED1" w:rsidRDefault="00781571"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هدفت الدراسة إلى التعرّف على مستوى ممارسة استراتيجيات إدارة المخاطر بأبعادها (التخطيط، التحديد، التقييم، الاستجابة، المتابعة) في شركات التشييد الليبية المنفّذة لمشاريع البنية التحتية بمدينة زليتن، واستخدمت الدراسة المنهج الوصفي التحليلي، وتكوّنت العيّنة من (75) مفردة من المهندسين ومديري المشاريع في شركات التشييد محل الدراسة. وتوصّلت نتائج الدراسة إلى أنّ مستوى ممارسة استراتيجيات إدارة المخاطر جاء بدرجة متوسّطة، وأنّ هناك ضعفاً واضحاً في مرحلتي التقييم والمتابعة. وأوصت الدراسة </w:t>
      </w:r>
      <w:r w:rsidRPr="00641ED1">
        <w:rPr>
          <w:rFonts w:ascii="Simplified Arabic" w:eastAsia="Calibri" w:hAnsi="Simplified Arabic" w:cs="Simplified Arabic"/>
          <w:color w:val="000000" w:themeColor="text1"/>
          <w:sz w:val="28"/>
          <w:szCs w:val="28"/>
          <w:rtl/>
        </w:rPr>
        <w:lastRenderedPageBreak/>
        <w:t>بضرورة تطوير أدوات وأساليب تقييم المخاطر، وإنشاء وحدات متخصّصة لإدارة المخاطر داخل شركات التشييد، ورفع الوعي بأهمية التخطيط الاستباقي للمخاطر</w:t>
      </w:r>
      <w:r w:rsidRPr="00641ED1">
        <w:rPr>
          <w:rFonts w:ascii="Simplified Arabic" w:eastAsia="Calibri" w:hAnsi="Simplified Arabic" w:cs="Simplified Arabic"/>
          <w:color w:val="000000" w:themeColor="text1"/>
          <w:sz w:val="28"/>
          <w:szCs w:val="28"/>
          <w:lang w:bidi="ar-EG"/>
        </w:rPr>
        <w:t>.</w:t>
      </w:r>
    </w:p>
    <w:p w14:paraId="78917DD4" w14:textId="78774FEA"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 xml:space="preserve">دراسة شاهين (2025) بعنوان: “الإفصاح عن استراتيجيات إدارة المخاطر السيبرانية ضمن تقرير إدارة </w:t>
      </w:r>
      <w:proofErr w:type="gramStart"/>
      <w:r w:rsidRPr="00641ED1">
        <w:rPr>
          <w:rFonts w:ascii="Simplified Arabic" w:eastAsia="Calibri" w:hAnsi="Simplified Arabic" w:cs="Simplified Arabic"/>
          <w:b/>
          <w:bCs/>
          <w:color w:val="000000" w:themeColor="text1"/>
          <w:sz w:val="28"/>
          <w:szCs w:val="28"/>
          <w:rtl/>
        </w:rPr>
        <w:t>مخاطر</w:t>
      </w:r>
      <w:proofErr w:type="gramEnd"/>
      <w:r w:rsidRPr="00641ED1">
        <w:rPr>
          <w:rFonts w:ascii="Simplified Arabic" w:eastAsia="Calibri" w:hAnsi="Simplified Arabic" w:cs="Simplified Arabic"/>
          <w:b/>
          <w:bCs/>
          <w:color w:val="000000" w:themeColor="text1"/>
          <w:sz w:val="28"/>
          <w:szCs w:val="28"/>
          <w:rtl/>
        </w:rPr>
        <w:t xml:space="preserve"> الأمن السيبراني: دوافع وتحديات التطبيق وآليات التطوير</w:t>
      </w:r>
      <w:r w:rsidRPr="00641ED1">
        <w:rPr>
          <w:rFonts w:ascii="Simplified Arabic" w:eastAsia="Calibri" w:hAnsi="Simplified Arabic" w:cs="Simplified Arabic"/>
          <w:b/>
          <w:bCs/>
          <w:color w:val="000000" w:themeColor="text1"/>
          <w:sz w:val="28"/>
          <w:szCs w:val="28"/>
          <w:lang w:bidi="ar-EG"/>
        </w:rPr>
        <w:t>”</w:t>
      </w:r>
    </w:p>
    <w:p w14:paraId="00951E7D"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هدفت الدراسة إلى التعرّف على أثر الإفصاح عن استراتيجيات إدارة المخاطر السيبرانية بأبعاده (دوافع التطبيق، تحديات التطبيق، آليات التطوير) على جودة تقرير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الأمن السيبراني في الشركات المساهمة، واستخدمت الدراسة المنهج الوصفي التحليلي، وتكوّنت العيّنة من مجموعة من المراجعين والمحاسبين والمهتمين بمجال الأمن السيبراني في الشركات محل الدراسة. وتوصّلت نتائج الدراسة إلى وجود دور جوهري للإفصاح عن استراتيجيات إدارة المخاطر السيبرانية في تعزيز ثقة أصحاب المصالح وتقليل حالة عدم التأكد، كما بيّنت أنّ هناك تحديات تطبيقية تتعلّق بضعف الكفاءات البشرية المتخصّصة وارتفاع تكلفة الأنظمة. وأوصت الدراسة بضرورة تبنّي إطار شامل للإفصاح عن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الأمن السيبراني، وتطوير معايير محاسبية ملزمة، وتكثيف برامج التدريب للكوادر العاملة في هذا المجال</w:t>
      </w:r>
      <w:r w:rsidRPr="00641ED1">
        <w:rPr>
          <w:rFonts w:ascii="Simplified Arabic" w:eastAsia="Calibri" w:hAnsi="Simplified Arabic" w:cs="Simplified Arabic"/>
          <w:color w:val="000000" w:themeColor="text1"/>
          <w:sz w:val="28"/>
          <w:szCs w:val="28"/>
          <w:lang w:bidi="ar-EG"/>
        </w:rPr>
        <w:t>.</w:t>
      </w:r>
    </w:p>
    <w:p w14:paraId="6159E7C4" w14:textId="26E0B2FE"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w:t>
      </w:r>
      <w:r w:rsidRPr="00641ED1">
        <w:rPr>
          <w:rFonts w:ascii="Simplified Arabic" w:eastAsia="Calibri" w:hAnsi="Simplified Arabic" w:cs="Simplified Arabic"/>
          <w:b/>
          <w:bCs/>
          <w:color w:val="000000" w:themeColor="text1"/>
          <w:sz w:val="28"/>
          <w:szCs w:val="28"/>
          <w:lang w:bidi="ar-EG"/>
        </w:rPr>
        <w:t xml:space="preserve"> Wong et al. (2024) </w:t>
      </w:r>
      <w:r w:rsidRPr="00641ED1">
        <w:rPr>
          <w:rFonts w:ascii="Simplified Arabic" w:eastAsia="Calibri" w:hAnsi="Simplified Arabic" w:cs="Simplified Arabic"/>
          <w:b/>
          <w:bCs/>
          <w:color w:val="000000" w:themeColor="text1"/>
          <w:sz w:val="28"/>
          <w:szCs w:val="28"/>
          <w:rtl/>
        </w:rPr>
        <w:t>بعنوان</w:t>
      </w:r>
      <w:r w:rsidRPr="00641ED1">
        <w:rPr>
          <w:rFonts w:ascii="Simplified Arabic" w:eastAsia="Calibri" w:hAnsi="Simplified Arabic" w:cs="Simplified Arabic"/>
          <w:b/>
          <w:bCs/>
          <w:color w:val="000000" w:themeColor="text1"/>
          <w:sz w:val="28"/>
          <w:szCs w:val="28"/>
          <w:lang w:bidi="ar-EG"/>
        </w:rPr>
        <w:t>: “Artificial intelligence-driven risk management for enhancing supply chain agility”</w:t>
      </w:r>
    </w:p>
    <w:p w14:paraId="511D3726"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هدفت الدراسة إلى التعرّف على أثر إدارة المخاطر المدفوعة بالذكاء الاصطناعي بأبعادها (التنبّؤ بالمخاطر، تحليل البيانات الضخمة، التعلّم العميق) على تعزيز مرونة سلاسل الإمداد، واستخدمت الدراسة منهج التحليل الكمّي ثنائي المرحلة القائم على نموذج المعادلات الهيكلية</w:t>
      </w:r>
      <w:r w:rsidRPr="00641ED1">
        <w:rPr>
          <w:rFonts w:ascii="Simplified Arabic" w:eastAsia="Calibri" w:hAnsi="Simplified Arabic" w:cs="Simplified Arabic"/>
          <w:color w:val="000000" w:themeColor="text1"/>
          <w:sz w:val="28"/>
          <w:szCs w:val="28"/>
          <w:lang w:bidi="ar-EG"/>
        </w:rPr>
        <w:t xml:space="preserve"> (PLS-SEM) </w:t>
      </w:r>
      <w:r w:rsidRPr="00641ED1">
        <w:rPr>
          <w:rFonts w:ascii="Simplified Arabic" w:eastAsia="Calibri" w:hAnsi="Simplified Arabic" w:cs="Simplified Arabic"/>
          <w:color w:val="000000" w:themeColor="text1"/>
          <w:sz w:val="28"/>
          <w:szCs w:val="28"/>
          <w:rtl/>
        </w:rPr>
        <w:t>والشبكات العصبية الاصطناعية</w:t>
      </w:r>
      <w:r w:rsidRPr="00641ED1">
        <w:rPr>
          <w:rFonts w:ascii="Simplified Arabic" w:eastAsia="Calibri" w:hAnsi="Simplified Arabic" w:cs="Simplified Arabic"/>
          <w:color w:val="000000" w:themeColor="text1"/>
          <w:sz w:val="28"/>
          <w:szCs w:val="28"/>
          <w:lang w:bidi="ar-EG"/>
        </w:rPr>
        <w:t xml:space="preserve"> (ANN)</w:t>
      </w:r>
      <w:r w:rsidRPr="00641ED1">
        <w:rPr>
          <w:rFonts w:ascii="Simplified Arabic" w:eastAsia="Calibri" w:hAnsi="Simplified Arabic" w:cs="Simplified Arabic"/>
          <w:color w:val="000000" w:themeColor="text1"/>
          <w:sz w:val="28"/>
          <w:szCs w:val="28"/>
          <w:rtl/>
        </w:rPr>
        <w:t xml:space="preserve">، وتكوّنت العيّنة من (215) مفردة من المديرين العاملين في شركات سلاسل الإمداد. وتوصّلت نتائج الدراسة إلى وجود أثر إيجابي قوي لإدارة المخاطر المدفوعة بالذكاء الاصطناعي على مرونة سلاسل الإمداد، وأنّ التعلّم العميق يُعدّ من أكثر الأدوات فاعلية في التنبّؤ بالمخاطر. وأوصت الدراسة بضرورة استثمار الشركات في تقنيات الذكاء الاصطناعي، وتطوير الكفاءات الرقمية لدى العاملين، وتبنّي نهج استباقي في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سلاسل الإمداد</w:t>
      </w:r>
      <w:r w:rsidRPr="00641ED1">
        <w:rPr>
          <w:rFonts w:ascii="Simplified Arabic" w:eastAsia="Calibri" w:hAnsi="Simplified Arabic" w:cs="Simplified Arabic"/>
          <w:color w:val="000000" w:themeColor="text1"/>
          <w:sz w:val="28"/>
          <w:szCs w:val="28"/>
          <w:lang w:bidi="ar-EG"/>
        </w:rPr>
        <w:t>.</w:t>
      </w:r>
    </w:p>
    <w:p w14:paraId="68D98AB0" w14:textId="5F4AF1D5"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w:t>
      </w:r>
      <w:r w:rsidRPr="00641ED1">
        <w:rPr>
          <w:rFonts w:ascii="Simplified Arabic" w:eastAsia="Calibri" w:hAnsi="Simplified Arabic" w:cs="Simplified Arabic"/>
          <w:b/>
          <w:bCs/>
          <w:color w:val="000000" w:themeColor="text1"/>
          <w:sz w:val="28"/>
          <w:szCs w:val="28"/>
          <w:lang w:bidi="ar-EG"/>
        </w:rPr>
        <w:t xml:space="preserve"> Hohenstein (2022) </w:t>
      </w:r>
      <w:r w:rsidRPr="00641ED1">
        <w:rPr>
          <w:rFonts w:ascii="Simplified Arabic" w:eastAsia="Calibri" w:hAnsi="Simplified Arabic" w:cs="Simplified Arabic"/>
          <w:b/>
          <w:bCs/>
          <w:color w:val="000000" w:themeColor="text1"/>
          <w:sz w:val="28"/>
          <w:szCs w:val="28"/>
          <w:rtl/>
        </w:rPr>
        <w:t>بعنوان</w:t>
      </w:r>
      <w:r w:rsidRPr="00641ED1">
        <w:rPr>
          <w:rFonts w:ascii="Simplified Arabic" w:eastAsia="Calibri" w:hAnsi="Simplified Arabic" w:cs="Simplified Arabic"/>
          <w:b/>
          <w:bCs/>
          <w:color w:val="000000" w:themeColor="text1"/>
          <w:sz w:val="28"/>
          <w:szCs w:val="28"/>
          <w:lang w:bidi="ar-EG"/>
        </w:rPr>
        <w:t>: “Supply chain risk management in the COVID-19 pandemic”</w:t>
      </w:r>
    </w:p>
    <w:p w14:paraId="7CAA72A0"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 xml:space="preserve">هدفت الدراسة إلى التعرّف على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سلاسل الإمداد بأبعادها (المرونة، إعادة التوطين، التنويع، التعاون) في تحسين أداء مقدّمي الخدمات اللوجستية العالمية خلال جائحة كوفيد-19، واستخدمت الدراسة المنهج الكيفي القائم على المقابلات المعمّقة، وتكوّنت العيّنة من (28) مديراً تنفيذياً في شركات لوجستية عالمية. وتوصّلت نتائج الدراسة إلى أنّ استراتيجيات المرونة والتنويع كانت الأكثر فاعلية في مواجهة اضطرابات سلاسل الإمداد أثناء الجائحة، كما أنّ التعاون بين الأطراف المختلفة يُعدّ عاملاً حاسماً. وأوصت الدراسة بضرورة تبنّي نُهج هجينة في إدارة المخاطر، وتطوير خطط طوارئ استباقية، والاستثمار في التحوّل الرقمي</w:t>
      </w:r>
      <w:r w:rsidRPr="00641ED1">
        <w:rPr>
          <w:rFonts w:ascii="Simplified Arabic" w:eastAsia="Calibri" w:hAnsi="Simplified Arabic" w:cs="Simplified Arabic"/>
          <w:color w:val="000000" w:themeColor="text1"/>
          <w:sz w:val="28"/>
          <w:szCs w:val="28"/>
          <w:lang w:bidi="ar-EG"/>
        </w:rPr>
        <w:t>.</w:t>
      </w:r>
    </w:p>
    <w:p w14:paraId="31FC6B86" w14:textId="0C0EA182"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w:t>
      </w:r>
      <w:r w:rsidRPr="00641ED1">
        <w:rPr>
          <w:rFonts w:ascii="Simplified Arabic" w:eastAsia="Calibri" w:hAnsi="Simplified Arabic" w:cs="Simplified Arabic"/>
          <w:b/>
          <w:bCs/>
          <w:color w:val="000000" w:themeColor="text1"/>
          <w:sz w:val="28"/>
          <w:szCs w:val="28"/>
          <w:lang w:bidi="ar-EG"/>
        </w:rPr>
        <w:t xml:space="preserve"> Tan &amp; Lee (2022) </w:t>
      </w:r>
      <w:r w:rsidRPr="00641ED1">
        <w:rPr>
          <w:rFonts w:ascii="Simplified Arabic" w:eastAsia="Calibri" w:hAnsi="Simplified Arabic" w:cs="Simplified Arabic"/>
          <w:b/>
          <w:bCs/>
          <w:color w:val="000000" w:themeColor="text1"/>
          <w:sz w:val="28"/>
          <w:szCs w:val="28"/>
          <w:rtl/>
        </w:rPr>
        <w:t>بعنوان</w:t>
      </w:r>
      <w:r w:rsidRPr="00641ED1">
        <w:rPr>
          <w:rFonts w:ascii="Simplified Arabic" w:eastAsia="Calibri" w:hAnsi="Simplified Arabic" w:cs="Simplified Arabic"/>
          <w:b/>
          <w:bCs/>
          <w:color w:val="000000" w:themeColor="text1"/>
          <w:sz w:val="28"/>
          <w:szCs w:val="28"/>
          <w:lang w:bidi="ar-EG"/>
        </w:rPr>
        <w:t>: “Adoption of enterprise risk management (ERM) in small and medium-sized enterprises”</w:t>
      </w:r>
    </w:p>
    <w:p w14:paraId="3BB5AFD9"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هدفت الدراسة إلى التعرّف على العوامل المؤثّرة في تبنّي نظام إدارة المخاطر المؤسسية</w:t>
      </w:r>
      <w:r w:rsidRPr="00641ED1">
        <w:rPr>
          <w:rFonts w:ascii="Simplified Arabic" w:eastAsia="Calibri" w:hAnsi="Simplified Arabic" w:cs="Simplified Arabic"/>
          <w:color w:val="000000" w:themeColor="text1"/>
          <w:sz w:val="28"/>
          <w:szCs w:val="28"/>
          <w:lang w:bidi="ar-EG"/>
        </w:rPr>
        <w:t xml:space="preserve"> (ERM) </w:t>
      </w:r>
      <w:r w:rsidRPr="00641ED1">
        <w:rPr>
          <w:rFonts w:ascii="Simplified Arabic" w:eastAsia="Calibri" w:hAnsi="Simplified Arabic" w:cs="Simplified Arabic"/>
          <w:color w:val="000000" w:themeColor="text1"/>
          <w:sz w:val="28"/>
          <w:szCs w:val="28"/>
          <w:rtl/>
        </w:rPr>
        <w:t>بأبعاده (الدعم الإداري، الموارد المالية، الكفاءات البشرية، البيئة التنظيمية) في المنشآت الصغيرة والمتوسّطة في ماليزيا، واستخدمت الدراسة المنهج الوصفي التحليلي، وتكوّنت العيّنة من (135) منشأة صغيرة ومتوسّطة في ماليزيا. وتوصّلت نتائج الدراسة إلى أنّ الدعم الإداري وتوفّر الكفاءات البشرية يُعدّان من أهم العوامل المؤثّرة إيجابياً في تبنّي نظام إدارة المخاطر المؤسسية، بينما تُشكّل محدودية الموارد المالية عائقاً رئيسياً. وأوصت الدراسة بضرورة تقديم الدعم الحكومي للمنشآت الصغيرة والمتوسّطة، وتطوير برامج تدريبية متخصّصة، ورفع الوعي بأهمية إدارة المخاطر المؤسسية</w:t>
      </w:r>
      <w:r w:rsidRPr="00641ED1">
        <w:rPr>
          <w:rFonts w:ascii="Simplified Arabic" w:eastAsia="Calibri" w:hAnsi="Simplified Arabic" w:cs="Simplified Arabic"/>
          <w:color w:val="000000" w:themeColor="text1"/>
          <w:sz w:val="28"/>
          <w:szCs w:val="28"/>
          <w:lang w:bidi="ar-EG"/>
        </w:rPr>
        <w:t>.</w:t>
      </w:r>
    </w:p>
    <w:p w14:paraId="4427EC34" w14:textId="26387F37"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w:t>
      </w:r>
      <w:r w:rsidRPr="00641ED1">
        <w:rPr>
          <w:rFonts w:ascii="Simplified Arabic" w:eastAsia="Calibri" w:hAnsi="Simplified Arabic" w:cs="Simplified Arabic"/>
          <w:b/>
          <w:bCs/>
          <w:color w:val="000000" w:themeColor="text1"/>
          <w:sz w:val="28"/>
          <w:szCs w:val="28"/>
          <w:lang w:bidi="ar-EG"/>
        </w:rPr>
        <w:t xml:space="preserve"> Jahani et al. (2021) </w:t>
      </w:r>
      <w:r w:rsidRPr="00641ED1">
        <w:rPr>
          <w:rFonts w:ascii="Simplified Arabic" w:eastAsia="Calibri" w:hAnsi="Simplified Arabic" w:cs="Simplified Arabic"/>
          <w:b/>
          <w:bCs/>
          <w:color w:val="000000" w:themeColor="text1"/>
          <w:sz w:val="28"/>
          <w:szCs w:val="28"/>
          <w:rtl/>
        </w:rPr>
        <w:t>بعنوان</w:t>
      </w:r>
      <w:r w:rsidRPr="00641ED1">
        <w:rPr>
          <w:rFonts w:ascii="Simplified Arabic" w:eastAsia="Calibri" w:hAnsi="Simplified Arabic" w:cs="Simplified Arabic"/>
          <w:b/>
          <w:bCs/>
          <w:color w:val="000000" w:themeColor="text1"/>
          <w:sz w:val="28"/>
          <w:szCs w:val="28"/>
          <w:lang w:bidi="ar-EG"/>
        </w:rPr>
        <w:t>: “Disruption risk management in service-level agreements”</w:t>
      </w:r>
    </w:p>
    <w:p w14:paraId="4A9D4E99"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هدفت الدراسة إلى التعرّف على دور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الانقطاع بأبعادها (تحديد الاضطرابات، تقييم الأثر، تصميم اتفاقيات مستوى الخدمة، التعافي) في تعزيز موثوقية اتفاقيات مستوى الخدمة، واستخدمت الدراسة منهج النمذجة الرياضية والمحاكاة، وتكوّنت العيّنة من بيانات تجريبية لشركات خدمات مختلفة. وتوصّلت نتائج الدراسة إلى أنّ تصميم اتفاقيات مستوى الخدمة بشكل يراعي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الانقطاع يُسهم بشكل كبير في تحسين الأداء التشغيلي وتقليل الخسائر المالية. وأوصت الدراسة بضرورة دمج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الانقطاع ضمن اتفاقيات مستوى الخدمة، وتطوير آليات تعويض عادلة، وتعزيز الشفافية بين مقدّمي الخدمة والعملاء</w:t>
      </w:r>
      <w:r w:rsidRPr="00641ED1">
        <w:rPr>
          <w:rFonts w:ascii="Simplified Arabic" w:eastAsia="Calibri" w:hAnsi="Simplified Arabic" w:cs="Simplified Arabic"/>
          <w:color w:val="000000" w:themeColor="text1"/>
          <w:sz w:val="28"/>
          <w:szCs w:val="28"/>
          <w:lang w:bidi="ar-EG"/>
        </w:rPr>
        <w:t>.</w:t>
      </w:r>
    </w:p>
    <w:p w14:paraId="0FDD16E8" w14:textId="60751CEC"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lastRenderedPageBreak/>
        <w:t>دراسة</w:t>
      </w:r>
      <w:r w:rsidRPr="00641ED1">
        <w:rPr>
          <w:rFonts w:ascii="Simplified Arabic" w:eastAsia="Calibri" w:hAnsi="Simplified Arabic" w:cs="Simplified Arabic"/>
          <w:b/>
          <w:bCs/>
          <w:color w:val="000000" w:themeColor="text1"/>
          <w:sz w:val="28"/>
          <w:szCs w:val="28"/>
          <w:lang w:bidi="ar-EG"/>
        </w:rPr>
        <w:t xml:space="preserve"> Ivanov &amp; </w:t>
      </w:r>
      <w:proofErr w:type="spellStart"/>
      <w:r w:rsidRPr="00641ED1">
        <w:rPr>
          <w:rFonts w:ascii="Simplified Arabic" w:eastAsia="Calibri" w:hAnsi="Simplified Arabic" w:cs="Simplified Arabic"/>
          <w:b/>
          <w:bCs/>
          <w:color w:val="000000" w:themeColor="text1"/>
          <w:sz w:val="28"/>
          <w:szCs w:val="28"/>
          <w:lang w:bidi="ar-EG"/>
        </w:rPr>
        <w:t>Dolgui</w:t>
      </w:r>
      <w:proofErr w:type="spellEnd"/>
      <w:r w:rsidRPr="00641ED1">
        <w:rPr>
          <w:rFonts w:ascii="Simplified Arabic" w:eastAsia="Calibri" w:hAnsi="Simplified Arabic" w:cs="Simplified Arabic"/>
          <w:b/>
          <w:bCs/>
          <w:color w:val="000000" w:themeColor="text1"/>
          <w:sz w:val="28"/>
          <w:szCs w:val="28"/>
          <w:lang w:bidi="ar-EG"/>
        </w:rPr>
        <w:t xml:space="preserve"> (2021) </w:t>
      </w:r>
      <w:r w:rsidRPr="00641ED1">
        <w:rPr>
          <w:rFonts w:ascii="Simplified Arabic" w:eastAsia="Calibri" w:hAnsi="Simplified Arabic" w:cs="Simplified Arabic"/>
          <w:b/>
          <w:bCs/>
          <w:color w:val="000000" w:themeColor="text1"/>
          <w:sz w:val="28"/>
          <w:szCs w:val="28"/>
          <w:rtl/>
        </w:rPr>
        <w:t>بعنوان</w:t>
      </w:r>
      <w:r w:rsidRPr="00641ED1">
        <w:rPr>
          <w:rFonts w:ascii="Simplified Arabic" w:eastAsia="Calibri" w:hAnsi="Simplified Arabic" w:cs="Simplified Arabic"/>
          <w:b/>
          <w:bCs/>
          <w:color w:val="000000" w:themeColor="text1"/>
          <w:sz w:val="28"/>
          <w:szCs w:val="28"/>
          <w:lang w:bidi="ar-EG"/>
        </w:rPr>
        <w:t>: “A digital supply chain twin for managing the disruption risks and resilience in the era of Industry 4.0”</w:t>
      </w:r>
    </w:p>
    <w:p w14:paraId="2FC47529"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هدفت الدراسة إلى التعرّف على دور التوأم الرقمي لسلاسل الإمداد بأبعاده (المحاكاة، التحليل التنبّؤي، الرقابة الآنية، الاستجابة الذكية) في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الانقطاع وتعزيز المرونة في عصر الصناعة 4.0، واستخدمت الدراسة المنهج التحليلي القائم على النمذجة، وتكوّنت العيّنة من دراسات حالة لعدد من الشركات الصناعية الرائدة. وتوصّلت نتائج الدراسة إلى أنّ التوأم الرقمي يُعدّ أداةً فاعلةً في التنبّؤ بمخاطر الانقطاع ومعالجتها بشكل استباقي، ممّا يُعزّز مرونة سلسلة الإمداد. وأوصت الدراسة بضرورة تبنّي الشركات لتقنيات التوأم الرقمي، وتطوير البنية التحتية الرقمية، وتأهيل الكوادر البشرية على استخدام هذه التقنيات</w:t>
      </w:r>
      <w:r w:rsidRPr="00641ED1">
        <w:rPr>
          <w:rFonts w:ascii="Simplified Arabic" w:eastAsia="Calibri" w:hAnsi="Simplified Arabic" w:cs="Simplified Arabic"/>
          <w:color w:val="000000" w:themeColor="text1"/>
          <w:sz w:val="28"/>
          <w:szCs w:val="28"/>
          <w:lang w:bidi="ar-EG"/>
        </w:rPr>
        <w:t>.</w:t>
      </w:r>
    </w:p>
    <w:p w14:paraId="158FED12"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641ED1">
        <w:rPr>
          <w:rFonts w:ascii="Simplified Arabic" w:eastAsia="Calibri" w:hAnsi="Simplified Arabic" w:cs="Simplified Arabic"/>
          <w:b/>
          <w:bCs/>
          <w:color w:val="000000" w:themeColor="text1"/>
          <w:sz w:val="32"/>
          <w:szCs w:val="32"/>
          <w:rtl/>
        </w:rPr>
        <w:t>المحور الثاني: الدراسات المتعلّقة بالمتغيّر التابع (استمرارية الأعمال) وعلاقته بمتغيرات أخرى</w:t>
      </w:r>
    </w:p>
    <w:p w14:paraId="4D8696C4" w14:textId="781EBBD9"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 xml:space="preserve">دراسة موسى </w:t>
      </w:r>
      <w:proofErr w:type="spellStart"/>
      <w:r w:rsidRPr="00641ED1">
        <w:rPr>
          <w:rFonts w:ascii="Simplified Arabic" w:eastAsia="Calibri" w:hAnsi="Simplified Arabic" w:cs="Simplified Arabic"/>
          <w:b/>
          <w:bCs/>
          <w:color w:val="000000" w:themeColor="text1"/>
          <w:sz w:val="28"/>
          <w:szCs w:val="28"/>
          <w:rtl/>
        </w:rPr>
        <w:t>والربابعة</w:t>
      </w:r>
      <w:proofErr w:type="spellEnd"/>
      <w:r w:rsidRPr="00641ED1">
        <w:rPr>
          <w:rFonts w:ascii="Simplified Arabic" w:eastAsia="Calibri" w:hAnsi="Simplified Arabic" w:cs="Simplified Arabic"/>
          <w:b/>
          <w:bCs/>
          <w:color w:val="000000" w:themeColor="text1"/>
          <w:sz w:val="28"/>
          <w:szCs w:val="28"/>
          <w:rtl/>
        </w:rPr>
        <w:t xml:space="preserve"> (2025) بعنوان: “أثر التوجه الريادي على إدارة استمرارية الأعمال: اليقظة الاستراتيجية متغيراً وسيطاً: دراسة ميدانية في البنوك التجارية الأردنية</w:t>
      </w:r>
      <w:r w:rsidRPr="00641ED1">
        <w:rPr>
          <w:rFonts w:ascii="Simplified Arabic" w:eastAsia="Calibri" w:hAnsi="Simplified Arabic" w:cs="Simplified Arabic"/>
          <w:b/>
          <w:bCs/>
          <w:color w:val="000000" w:themeColor="text1"/>
          <w:sz w:val="28"/>
          <w:szCs w:val="28"/>
          <w:lang w:bidi="ar-EG"/>
        </w:rPr>
        <w:t>”</w:t>
      </w:r>
    </w:p>
    <w:p w14:paraId="3F52C521"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هدفت الدراسة إلى التعرّف على أثر التوجّه الريادي بأبعاده (الابتكار، المبادأة، المخاطرة، الاستباقية) في إدارة استمرارية الأعمال من خلال الدور الوسيط لليقظة الاستراتيجية في البنوك التجارية الأردنية، واستخدمت الدراسة المنهج الوصفي التحليلي، وتكوّنت العيّنة من (312) مفردة من المديرين في البنوك التجارية الأردنية. وتوصّلت نتائج الدراسة إلى وجود أثر إيجابي ذي دلالة إحصائية للتوجّه الريادي على إدارة استمرارية الأعمال، وأنّ اليقظة الاستراتيجية تلعب دوراً وسيطاً جزئياً في هذه العلاقة. وأوصت الدراسة بضرورة تعزيز ثقافة الريادة في البنوك التجارية، وتطوير أنظمة اليقظة الاستراتيجية، ودمجها ضمن خطط استمرارية الأعمال</w:t>
      </w:r>
      <w:r w:rsidRPr="00641ED1">
        <w:rPr>
          <w:rFonts w:ascii="Simplified Arabic" w:eastAsia="Calibri" w:hAnsi="Simplified Arabic" w:cs="Simplified Arabic"/>
          <w:color w:val="000000" w:themeColor="text1"/>
          <w:sz w:val="28"/>
          <w:szCs w:val="28"/>
          <w:lang w:bidi="ar-EG"/>
        </w:rPr>
        <w:t>.</w:t>
      </w:r>
    </w:p>
    <w:p w14:paraId="65615A5A" w14:textId="4E197DA0"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 قطيشات والشاعر (2025) بعنوان: “أثر اليقظة الاستراتيجية في إدارة استمرارية الأعمال: الدور المعدل لإدارة المخاطر في البنوك التجارية الأردنية</w:t>
      </w:r>
      <w:r w:rsidRPr="00641ED1">
        <w:rPr>
          <w:rFonts w:ascii="Simplified Arabic" w:eastAsia="Calibri" w:hAnsi="Simplified Arabic" w:cs="Simplified Arabic"/>
          <w:b/>
          <w:bCs/>
          <w:color w:val="000000" w:themeColor="text1"/>
          <w:sz w:val="28"/>
          <w:szCs w:val="28"/>
          <w:lang w:bidi="ar-EG"/>
        </w:rPr>
        <w:t>”</w:t>
      </w:r>
    </w:p>
    <w:p w14:paraId="62D426F4"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هدفت الدراسة إلى التعرّف على أثر اليقظة الاستراتيجية بأبعادها (اليقظة التنافسية، اليقظة التكنولوجية، اليقظة التسويقية، اليقظة البيئية) في إدارة استمرارية الأعمال مع الدور المعدّل لإدارة المخاطر في البنوك </w:t>
      </w:r>
      <w:r w:rsidRPr="00641ED1">
        <w:rPr>
          <w:rFonts w:ascii="Simplified Arabic" w:eastAsia="Calibri" w:hAnsi="Simplified Arabic" w:cs="Simplified Arabic"/>
          <w:color w:val="000000" w:themeColor="text1"/>
          <w:sz w:val="28"/>
          <w:szCs w:val="28"/>
          <w:rtl/>
        </w:rPr>
        <w:lastRenderedPageBreak/>
        <w:t>التجارية الأردنية، واستخدمت الدراسة المنهج الوصفي التحليلي، وتكوّنت العيّنة من (285) مفردة من الإداريين في البنوك التجارية الأردنية. وتوصّلت نتائج الدراسة إلى وجود أثر إيجابي لليقظة الاستراتيجية على إدارة استمرارية الأعمال، وأنّ لإدارة المخاطر دوراً معدّلاً في تعزيز هذه العلاقة. وأوصت الدراسة بضرورة تبنّي البنوك لممارسات اليقظة الاستراتيجية بشكل منهجي، وتكامل أنظمة إدارة المخاطر مع خطط استمرارية الأعمال</w:t>
      </w:r>
      <w:r w:rsidRPr="00641ED1">
        <w:rPr>
          <w:rFonts w:ascii="Simplified Arabic" w:eastAsia="Calibri" w:hAnsi="Simplified Arabic" w:cs="Simplified Arabic"/>
          <w:color w:val="000000" w:themeColor="text1"/>
          <w:sz w:val="28"/>
          <w:szCs w:val="28"/>
          <w:lang w:bidi="ar-EG"/>
        </w:rPr>
        <w:t>.</w:t>
      </w:r>
    </w:p>
    <w:p w14:paraId="7FE74CEE" w14:textId="7452668D"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 صلاح (2025) بعنوان: “دور التحول الرقمي في تعزيز استمرارية الأعمال: دراسة ميدانية على قطاع الاتصالات في ضوء رؤية مصر 2030</w:t>
      </w:r>
      <w:r w:rsidRPr="00641ED1">
        <w:rPr>
          <w:rFonts w:ascii="Simplified Arabic" w:eastAsia="Calibri" w:hAnsi="Simplified Arabic" w:cs="Simplified Arabic"/>
          <w:b/>
          <w:bCs/>
          <w:color w:val="000000" w:themeColor="text1"/>
          <w:sz w:val="28"/>
          <w:szCs w:val="28"/>
          <w:lang w:bidi="ar-EG"/>
        </w:rPr>
        <w:t>”</w:t>
      </w:r>
    </w:p>
    <w:p w14:paraId="677F550C"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هدفت الدراسة إلى التعرّف على دور التحوّل الرقمي بأبعاده (البنية التحتية الرقمية، الكفاءات الرقمية، الثقافة الرقمية، الحوكمة الرقمية) في تعزيز استمرارية الأعمال في قطاع الاتصالات المصري في ضوء رؤية مصر 2030، واستخدمت الدراسة المنهج الوصفي التحليلي، وتكوّنت العيّنة من (250) مفردة من العاملين في شركات الاتصالات المصرية. وتوصّلت نتائج الدراسة إلى وجود أثر إيجابي ذي دلالة إحصائية للتحوّل الرقمي بجميع أبعاده على استمرارية الأعمال، وكان لبُعد البنية التحتية الرقمية الأثر الأكبر. وأوصت الدراسة بضرورة تسريع مبادرات التحوّل الرقمي في قطاع الاتصالات، وتطوير الكفاءات الرقمية، وتحديث البنية التحتية بما يتوافق مع رؤية مصر 2030</w:t>
      </w:r>
      <w:r w:rsidRPr="00641ED1">
        <w:rPr>
          <w:rFonts w:ascii="Simplified Arabic" w:eastAsia="Calibri" w:hAnsi="Simplified Arabic" w:cs="Simplified Arabic"/>
          <w:color w:val="000000" w:themeColor="text1"/>
          <w:sz w:val="28"/>
          <w:szCs w:val="28"/>
          <w:lang w:bidi="ar-EG"/>
        </w:rPr>
        <w:t>.</w:t>
      </w:r>
    </w:p>
    <w:p w14:paraId="1AEEA0AD" w14:textId="18352563"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 xml:space="preserve">دراسة </w:t>
      </w:r>
      <w:proofErr w:type="spellStart"/>
      <w:r w:rsidRPr="00641ED1">
        <w:rPr>
          <w:rFonts w:ascii="Simplified Arabic" w:eastAsia="Calibri" w:hAnsi="Simplified Arabic" w:cs="Simplified Arabic"/>
          <w:b/>
          <w:bCs/>
          <w:color w:val="000000" w:themeColor="text1"/>
          <w:sz w:val="28"/>
          <w:szCs w:val="28"/>
          <w:rtl/>
        </w:rPr>
        <w:t>عبدالمعتمد</w:t>
      </w:r>
      <w:proofErr w:type="spellEnd"/>
      <w:r w:rsidRPr="00641ED1">
        <w:rPr>
          <w:rFonts w:ascii="Simplified Arabic" w:eastAsia="Calibri" w:hAnsi="Simplified Arabic" w:cs="Simplified Arabic"/>
          <w:b/>
          <w:bCs/>
          <w:color w:val="000000" w:themeColor="text1"/>
          <w:sz w:val="28"/>
          <w:szCs w:val="28"/>
          <w:rtl/>
        </w:rPr>
        <w:t xml:space="preserve"> وآخرون (2025) بعنوان: “أثر نظام إدارة المخاطر على </w:t>
      </w:r>
      <w:proofErr w:type="gramStart"/>
      <w:r w:rsidRPr="00641ED1">
        <w:rPr>
          <w:rFonts w:ascii="Simplified Arabic" w:eastAsia="Calibri" w:hAnsi="Simplified Arabic" w:cs="Simplified Arabic"/>
          <w:b/>
          <w:bCs/>
          <w:color w:val="000000" w:themeColor="text1"/>
          <w:sz w:val="28"/>
          <w:szCs w:val="28"/>
          <w:rtl/>
        </w:rPr>
        <w:t>مخاطر</w:t>
      </w:r>
      <w:proofErr w:type="gramEnd"/>
      <w:r w:rsidRPr="00641ED1">
        <w:rPr>
          <w:rFonts w:ascii="Simplified Arabic" w:eastAsia="Calibri" w:hAnsi="Simplified Arabic" w:cs="Simplified Arabic"/>
          <w:b/>
          <w:bCs/>
          <w:color w:val="000000" w:themeColor="text1"/>
          <w:sz w:val="28"/>
          <w:szCs w:val="28"/>
          <w:rtl/>
        </w:rPr>
        <w:t xml:space="preserve"> السلامة الجوية بالمطارات الدولية: دراسة تطبيقية على مطار القاهرة الدولي</w:t>
      </w:r>
      <w:r w:rsidRPr="00641ED1">
        <w:rPr>
          <w:rFonts w:ascii="Simplified Arabic" w:eastAsia="Calibri" w:hAnsi="Simplified Arabic" w:cs="Simplified Arabic"/>
          <w:b/>
          <w:bCs/>
          <w:color w:val="000000" w:themeColor="text1"/>
          <w:sz w:val="28"/>
          <w:szCs w:val="28"/>
          <w:lang w:bidi="ar-EG"/>
        </w:rPr>
        <w:t>”</w:t>
      </w:r>
    </w:p>
    <w:p w14:paraId="4F96D53A"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هدفت الدراسة إلى التعرّف على أثر نظام إدارة المخاطر بأبعاده (تحديد المخاطر، تقييم المخاطر، معالجة المخاطر، مراقبة المخاطر) على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السلامة الجوية في مطار القاهرة الدولي، واستخدمت الدراسة المنهج الوصفي التحليلي، وتكوّنت العيّنة من (200) مفردة من العاملين في إدارات السلامة والأمن بمطار القاهرة الدولي. وتوصّلت نتائج الدراسة إلى وجود أثر إيجابي ذي دلالة إحصائية لنظام إدارة المخاطر في تقليل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السلامة الجوية، وأنّ فاعلية النظام تتوقّف على مستوى الالتزام التنظيمي والتدريب. وأوصت الدراسة بضرورة تطوير نظم إدارة المخاطر في المطارات وفق المعايير الدولية، وتكثيف برامج التدريب المتخصّصة، وتعزيز ثقافة السلامة الجوية</w:t>
      </w:r>
      <w:r w:rsidRPr="00641ED1">
        <w:rPr>
          <w:rFonts w:ascii="Simplified Arabic" w:eastAsia="Calibri" w:hAnsi="Simplified Arabic" w:cs="Simplified Arabic"/>
          <w:color w:val="000000" w:themeColor="text1"/>
          <w:sz w:val="28"/>
          <w:szCs w:val="28"/>
          <w:lang w:bidi="ar-EG"/>
        </w:rPr>
        <w:t>.</w:t>
      </w:r>
    </w:p>
    <w:p w14:paraId="687EFDBD" w14:textId="115763DD"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lastRenderedPageBreak/>
        <w:t>دراسة الهاشمي وآخرون (2025) بعنوان: “دور إدارة المخاطر المهنية في ضمان استمرارية الأعمال: دراسة استطلاعية لمدركات العاملين في القطاع النفطي بمحافظة النجف الأشرف</w:t>
      </w:r>
      <w:r w:rsidRPr="00641ED1">
        <w:rPr>
          <w:rFonts w:ascii="Simplified Arabic" w:eastAsia="Calibri" w:hAnsi="Simplified Arabic" w:cs="Simplified Arabic"/>
          <w:b/>
          <w:bCs/>
          <w:color w:val="000000" w:themeColor="text1"/>
          <w:sz w:val="28"/>
          <w:szCs w:val="28"/>
          <w:lang w:bidi="ar-EG"/>
        </w:rPr>
        <w:t>”</w:t>
      </w:r>
    </w:p>
    <w:p w14:paraId="6AD93C89"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هدفت الدراسة إلى التعرّف على دور إدارة المخاطر المهنية بأبعادها (تحديد المخاطر المهنية، تقييمها، السيطرة عليها، مراجعتها) في ضمان استمرارية الأعمال في القطاع النفطي بمحافظة النجف الأشرف، واستخدمت الدراسة المنهج الوصفي التحليلي، وتكوّنت العيّنة من (95) مفردة من العاملين في الشركات النفطية بالمحافظة. وتوصّلت نتائج الدراسة إلى وجود علاقة إيجابية بين إدارة المخاطر المهنية واستمرارية الأعمال، وأنّ ضعف تقييم المخاطر يُشكّل تحدّياً حقيقياً. وأوصت الدراسة بضرورة تطوير أنظمة إدارة المخاطر المهنية في القطاع النفطي، وتوفير معدّات السلامة الحديثة، ورفع الوعي لدى العاملين بأهمية الالتزام بمعايير السلامة</w:t>
      </w:r>
      <w:r w:rsidRPr="00641ED1">
        <w:rPr>
          <w:rFonts w:ascii="Simplified Arabic" w:eastAsia="Calibri" w:hAnsi="Simplified Arabic" w:cs="Simplified Arabic"/>
          <w:color w:val="000000" w:themeColor="text1"/>
          <w:sz w:val="28"/>
          <w:szCs w:val="28"/>
          <w:lang w:bidi="ar-EG"/>
        </w:rPr>
        <w:t>.</w:t>
      </w:r>
    </w:p>
    <w:p w14:paraId="2AF43DCB" w14:textId="609EBDAB"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 عربيات وأبو رمان (2024) بعنوان: “أثر اليقظة الاستراتيجية في إدارة استمرارية الأعمال: الدور الوسيط للتعلم التنظيمي في البنوك التجارية الأردنية</w:t>
      </w:r>
      <w:r w:rsidRPr="00641ED1">
        <w:rPr>
          <w:rFonts w:ascii="Simplified Arabic" w:eastAsia="Calibri" w:hAnsi="Simplified Arabic" w:cs="Simplified Arabic"/>
          <w:b/>
          <w:bCs/>
          <w:color w:val="000000" w:themeColor="text1"/>
          <w:sz w:val="28"/>
          <w:szCs w:val="28"/>
          <w:lang w:bidi="ar-EG"/>
        </w:rPr>
        <w:t>”</w:t>
      </w:r>
    </w:p>
    <w:p w14:paraId="76F36F7B"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هدفت الدراسة إلى التعرّف على أثر اليقظة الاستراتيجية بأبعادها (اليقظة التنافسية، اليقظة التكنولوجية، اليقظة التجارية، اليقظة البيئية) في إدارة استمرارية الأعمال من خلال الدور الوسيط للتعلّم التنظيمي في البنوك التجارية الأردنية، واستخدمت الدراسة المنهج الوصفي التحليلي، وتكوّنت العيّنة من (267) مفردة من العاملين في البنوك التجارية الأردنية. وتوصّلت نتائج الدراسة إلى وجود أثر إيجابي ذي دلالة إحصائية لليقظة الاستراتيجية على إدارة استمرارية الأعمال، وأنّ التعلّم التنظيمي يتوسّط هذه العلاقة توسّطاً جزئياً. وأوصت الدراسة بضرورة الاهتمام باليقظة الاستراتيجية كأداة استباقية، وتعزيز ثقافة التعلّم التنظيمي، ودعم قدرات البنوك على مواجهة الأزمات</w:t>
      </w:r>
      <w:r w:rsidRPr="00641ED1">
        <w:rPr>
          <w:rFonts w:ascii="Simplified Arabic" w:eastAsia="Calibri" w:hAnsi="Simplified Arabic" w:cs="Simplified Arabic"/>
          <w:color w:val="000000" w:themeColor="text1"/>
          <w:sz w:val="28"/>
          <w:szCs w:val="28"/>
          <w:lang w:bidi="ar-EG"/>
        </w:rPr>
        <w:t>.</w:t>
      </w:r>
    </w:p>
    <w:p w14:paraId="7408C09C" w14:textId="429637D6"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 الحسين ومتولي (2023) بعنوان: “تأثير تخطيط التعاقب القيادي على استمرارية الأعمال في الشركات العائلية: دراسة تطبيقية على القطاع الخاص المصري</w:t>
      </w:r>
      <w:r w:rsidRPr="00641ED1">
        <w:rPr>
          <w:rFonts w:ascii="Simplified Arabic" w:eastAsia="Calibri" w:hAnsi="Simplified Arabic" w:cs="Simplified Arabic"/>
          <w:b/>
          <w:bCs/>
          <w:color w:val="000000" w:themeColor="text1"/>
          <w:sz w:val="28"/>
          <w:szCs w:val="28"/>
          <w:lang w:bidi="ar-EG"/>
        </w:rPr>
        <w:t>”</w:t>
      </w:r>
    </w:p>
    <w:p w14:paraId="0ED2157D"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هدفت الدراسة إلى التعرّف على تأثير تخطيط التعاقب القيادي بأبعاده (تحديد المواهب، التطوير القيادي، إدارة الخلافة، نقل المعرفة) على استمرارية الأعمال في الشركات العائلية بالقطاع الخاص المصري، واستخدمت الدراسة المنهج الوصفي التحليلي، وتكوّنت العيّنة من (180) مفردة من المديرين في الشركات العائلية المصرية. وتوصّلت نتائج الدراسة إلى وجود أثر إيجابي ذي دلالة إحصائية لتخطيط التعاقب </w:t>
      </w:r>
      <w:r w:rsidRPr="00641ED1">
        <w:rPr>
          <w:rFonts w:ascii="Simplified Arabic" w:eastAsia="Calibri" w:hAnsi="Simplified Arabic" w:cs="Simplified Arabic"/>
          <w:color w:val="000000" w:themeColor="text1"/>
          <w:sz w:val="28"/>
          <w:szCs w:val="28"/>
          <w:rtl/>
        </w:rPr>
        <w:lastRenderedPageBreak/>
        <w:t>القيادي على استمرارية الأعمال، وأنّ نقل المعرفة يُعدّ من أهم الأبعاد المؤثّرة. وأوصت الدراسة بضرورة تبنّي الشركات العائلية لخطط منهجية للتعاقب القيادي، والاستثمار في تنمية القيادات الشابة، وتوثيق المعرفة المؤسسية</w:t>
      </w:r>
      <w:r w:rsidRPr="00641ED1">
        <w:rPr>
          <w:rFonts w:ascii="Simplified Arabic" w:eastAsia="Calibri" w:hAnsi="Simplified Arabic" w:cs="Simplified Arabic"/>
          <w:color w:val="000000" w:themeColor="text1"/>
          <w:sz w:val="28"/>
          <w:szCs w:val="28"/>
          <w:lang w:bidi="ar-EG"/>
        </w:rPr>
        <w:t>.</w:t>
      </w:r>
    </w:p>
    <w:p w14:paraId="2C8F16C8" w14:textId="17E8DF17"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 الزعبي والشوابكة (2023) بعنوان: “أثر تبني نظام استمرارية الأعمال على الميزة التنافسية في شركة السمرا لتوليد الكهرباء</w:t>
      </w:r>
      <w:r w:rsidRPr="00641ED1">
        <w:rPr>
          <w:rFonts w:ascii="Simplified Arabic" w:eastAsia="Calibri" w:hAnsi="Simplified Arabic" w:cs="Simplified Arabic"/>
          <w:b/>
          <w:bCs/>
          <w:color w:val="000000" w:themeColor="text1"/>
          <w:sz w:val="28"/>
          <w:szCs w:val="28"/>
          <w:lang w:bidi="ar-EG"/>
        </w:rPr>
        <w:t>”</w:t>
      </w:r>
    </w:p>
    <w:p w14:paraId="0869BD3E"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هدفت الدراسة إلى التعرّف على أثر تبنّي نظام استمرارية الأعمال بأبعاده (تحليل تأثير الأعمال، تقييم المخاطر، خطط الاستجابة، الاختبار والمراجعة) على الميزة التنافسية في شركة السمرا لتوليد الكهرباء، واستخدمت الدراسة المنهج الوصفي التحليلي، وتكوّنت العيّنة من (120) مفردة من العاملين في الشركة. وتوصّلت نتائج الدراسة إلى وجود أثر إيجابي ذي دلالة إحصائية لتبنّي نظام استمرارية الأعمال على الميزة التنافسية، وأنّ خطط الاستجابة كانت الأكثر تأثيراً. وأوصت الدراسة بضرورة تطبيق نظام استمرارية الأعمال وفق المعايير الدولية</w:t>
      </w:r>
      <w:r w:rsidRPr="00641ED1">
        <w:rPr>
          <w:rFonts w:ascii="Simplified Arabic" w:eastAsia="Calibri" w:hAnsi="Simplified Arabic" w:cs="Simplified Arabic"/>
          <w:color w:val="000000" w:themeColor="text1"/>
          <w:sz w:val="28"/>
          <w:szCs w:val="28"/>
          <w:lang w:bidi="ar-EG"/>
        </w:rPr>
        <w:t xml:space="preserve"> (ISO 22301)</w:t>
      </w:r>
      <w:r w:rsidRPr="00641ED1">
        <w:rPr>
          <w:rFonts w:ascii="Simplified Arabic" w:eastAsia="Calibri" w:hAnsi="Simplified Arabic" w:cs="Simplified Arabic"/>
          <w:color w:val="000000" w:themeColor="text1"/>
          <w:sz w:val="28"/>
          <w:szCs w:val="28"/>
          <w:rtl/>
        </w:rPr>
        <w:t>، وإجراء اختبارات دورية للخطط، ورفع كفاءة العاملين في هذا المجال</w:t>
      </w:r>
      <w:r w:rsidRPr="00641ED1">
        <w:rPr>
          <w:rFonts w:ascii="Simplified Arabic" w:eastAsia="Calibri" w:hAnsi="Simplified Arabic" w:cs="Simplified Arabic"/>
          <w:color w:val="000000" w:themeColor="text1"/>
          <w:sz w:val="28"/>
          <w:szCs w:val="28"/>
          <w:lang w:bidi="ar-EG"/>
        </w:rPr>
        <w:t>.</w:t>
      </w:r>
    </w:p>
    <w:p w14:paraId="5B8DAB0B" w14:textId="76A65823"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 شديد (2022) بعنوان: “استمرارية الأعمال في مواجهة الأزمات والمخاطر: دراسة حالة وزارة الصحة المصرية في ظل أزمة كورونا</w:t>
      </w:r>
      <w:r w:rsidRPr="00641ED1">
        <w:rPr>
          <w:rFonts w:ascii="Simplified Arabic" w:eastAsia="Calibri" w:hAnsi="Simplified Arabic" w:cs="Simplified Arabic"/>
          <w:b/>
          <w:bCs/>
          <w:color w:val="000000" w:themeColor="text1"/>
          <w:sz w:val="28"/>
          <w:szCs w:val="28"/>
          <w:lang w:bidi="ar-EG"/>
        </w:rPr>
        <w:t>”</w:t>
      </w:r>
    </w:p>
    <w:p w14:paraId="64E7B5B0"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هدفت الدراسة إلى التعرّف على دور استمرارية الأعمال بأبعادها (التخطيط الاستباقي، إدارة الأزمات، المرونة التنظيمية، التعافي) في مواجهة الأزمات والمخاطر في وزارة الصحة المصرية خلال أزمة كوفيد-19، واستخدمت الدراسة منهج دراسة الحالة، وتكوّنت العيّنة من مسؤولين وعاملين في وزارة الصحة المصرية. وتوصّلت نتائج الدراسة إلى أنّ وزارة الصحة تمكّنت من التعامل نسبياً مع الأزمة رغم ضعف الاستعداد المُسبق، وأنّ المرونة التنظيمية كانت عاملاً حاسماً في التعافي. وأوصت الدراسة بضرورة إعداد خطط استمرارية أعمال منهجية في المؤسسات الحكومية، وإنشاء وحدات متخصّصة لإدارة الأزمات، وتعزيز التنسيق بين الجهات المعنية</w:t>
      </w:r>
      <w:r w:rsidRPr="00641ED1">
        <w:rPr>
          <w:rFonts w:ascii="Simplified Arabic" w:eastAsia="Calibri" w:hAnsi="Simplified Arabic" w:cs="Simplified Arabic"/>
          <w:color w:val="000000" w:themeColor="text1"/>
          <w:sz w:val="28"/>
          <w:szCs w:val="28"/>
          <w:lang w:bidi="ar-EG"/>
        </w:rPr>
        <w:t>.</w:t>
      </w:r>
    </w:p>
    <w:p w14:paraId="283201F9" w14:textId="0895D202"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 xml:space="preserve">دراسة </w:t>
      </w:r>
      <w:proofErr w:type="gramStart"/>
      <w:r w:rsidRPr="00641ED1">
        <w:rPr>
          <w:rFonts w:ascii="Simplified Arabic" w:eastAsia="Calibri" w:hAnsi="Simplified Arabic" w:cs="Simplified Arabic"/>
          <w:b/>
          <w:bCs/>
          <w:color w:val="000000" w:themeColor="text1"/>
          <w:sz w:val="28"/>
          <w:szCs w:val="28"/>
          <w:rtl/>
        </w:rPr>
        <w:t>عبدالسلام</w:t>
      </w:r>
      <w:proofErr w:type="gramEnd"/>
      <w:r w:rsidRPr="00641ED1">
        <w:rPr>
          <w:rFonts w:ascii="Simplified Arabic" w:eastAsia="Calibri" w:hAnsi="Simplified Arabic" w:cs="Simplified Arabic"/>
          <w:b/>
          <w:bCs/>
          <w:color w:val="000000" w:themeColor="text1"/>
          <w:sz w:val="28"/>
          <w:szCs w:val="28"/>
          <w:rtl/>
        </w:rPr>
        <w:t xml:space="preserve"> (2022) بعنوان: “العوامل المؤثرة على إدارة استمرارية الأعمال بالمدرسة الثانوية العامة في جمهورية مصر العربية: دراسة تحليلية</w:t>
      </w:r>
      <w:r w:rsidRPr="00641ED1">
        <w:rPr>
          <w:rFonts w:ascii="Simplified Arabic" w:eastAsia="Calibri" w:hAnsi="Simplified Arabic" w:cs="Simplified Arabic"/>
          <w:b/>
          <w:bCs/>
          <w:color w:val="000000" w:themeColor="text1"/>
          <w:sz w:val="28"/>
          <w:szCs w:val="28"/>
          <w:lang w:bidi="ar-EG"/>
        </w:rPr>
        <w:t>”</w:t>
      </w:r>
    </w:p>
    <w:p w14:paraId="2182698D"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هدفت الدراسة إلى التعرّف على العوامل المؤثّرة في إدارة استمرارية الأعمال بأبعادها (العوامل التنظيمية، العوامل البشرية، العوامل التكنولوجية، العوامل البيئية) بالمدرسة الثانوية العامة في مصر، واستخدمت الدراسة المنهج الوصفي التحليلي، وتكوّنت العيّنة من عيّنة من مديري ومعلّمي المدارس الثانوية بمصر. وتوصّلت نتائج الدراسة إلى أنّ العوامل التنظيمية والتكنولوجية تُعدّ من أكثر العوامل تأثيراً على إدارة استمرارية الأعمال في المدارس الثانوية، وأنّ هناك ضعفاً في الوعي بمفهوم استمرارية الأعمال. وأوصت الدراسة بضرورة تبنّي المدارس لخطط استمرارية أعمال متكاملة، ورفع كفاءة الكوادر البشرية، وتوظيف التكنولوجيا في التعليم بشكل فعّال</w:t>
      </w:r>
      <w:r w:rsidRPr="00641ED1">
        <w:rPr>
          <w:rFonts w:ascii="Simplified Arabic" w:eastAsia="Calibri" w:hAnsi="Simplified Arabic" w:cs="Simplified Arabic"/>
          <w:color w:val="000000" w:themeColor="text1"/>
          <w:sz w:val="28"/>
          <w:szCs w:val="28"/>
          <w:lang w:bidi="ar-EG"/>
        </w:rPr>
        <w:t>.</w:t>
      </w:r>
    </w:p>
    <w:p w14:paraId="231813A0" w14:textId="200453A1"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 الفاخوري والربضي (2021) بعنوان: “دور نظام العمل المرن في استمرارية الأعمال أثناء جائحة كورونا: الأردن أنموذجا</w:t>
      </w:r>
      <w:r w:rsidRPr="00641ED1">
        <w:rPr>
          <w:rFonts w:ascii="Simplified Arabic" w:eastAsia="Calibri" w:hAnsi="Simplified Arabic" w:cs="Simplified Arabic"/>
          <w:b/>
          <w:bCs/>
          <w:color w:val="000000" w:themeColor="text1"/>
          <w:sz w:val="28"/>
          <w:szCs w:val="28"/>
          <w:lang w:bidi="ar-EG"/>
        </w:rPr>
        <w:t>”</w:t>
      </w:r>
    </w:p>
    <w:p w14:paraId="6DB5ACF3"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هدفت الدراسة إلى التعرّف على دور نظام العمل المرن بأبعاده (المرونة الزمنية، المرونة المكانية، المرونة الوظيفية، المرونة العددية) في استمرارية الأعمال أثناء جائحة كوفيد-19 في الأردن، واستخدمت الدراسة المنهج الوصفي التحليلي، وتكوّنت العيّنة من (220) مفردة من العاملين في الشركات الأردنية. وتوصّلت نتائج الدراسة إلى وجود أثر إيجابي ذي دلالة إحصائية لنظام العمل المرن بجميع أبعاده على استمرارية الأعمال، وكان لبُعدَي المرونة المكانية والزمنية الأثر الأكبر. وأوصت الدراسة بضرورة تبنّي الشركات لأنظمة العمل المرن بشكل دائم، والاستثمار في البنية التحتية الرقمية، ووضع سياسات واضحة تنظّم العمل عن بُعد</w:t>
      </w:r>
      <w:r w:rsidRPr="00641ED1">
        <w:rPr>
          <w:rFonts w:ascii="Simplified Arabic" w:eastAsia="Calibri" w:hAnsi="Simplified Arabic" w:cs="Simplified Arabic"/>
          <w:color w:val="000000" w:themeColor="text1"/>
          <w:sz w:val="28"/>
          <w:szCs w:val="28"/>
          <w:lang w:bidi="ar-EG"/>
        </w:rPr>
        <w:t>.</w:t>
      </w:r>
    </w:p>
    <w:p w14:paraId="6DB8DF95" w14:textId="61091ABB"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w:t>
      </w:r>
      <w:r w:rsidRPr="00641ED1">
        <w:rPr>
          <w:rFonts w:ascii="Simplified Arabic" w:eastAsia="Calibri" w:hAnsi="Simplified Arabic" w:cs="Simplified Arabic"/>
          <w:b/>
          <w:bCs/>
          <w:color w:val="000000" w:themeColor="text1"/>
          <w:sz w:val="28"/>
          <w:szCs w:val="28"/>
          <w:lang w:bidi="ar-EG"/>
        </w:rPr>
        <w:t xml:space="preserve"> Wijaya et al. (2025) </w:t>
      </w:r>
      <w:r w:rsidRPr="00641ED1">
        <w:rPr>
          <w:rFonts w:ascii="Simplified Arabic" w:eastAsia="Calibri" w:hAnsi="Simplified Arabic" w:cs="Simplified Arabic"/>
          <w:b/>
          <w:bCs/>
          <w:color w:val="000000" w:themeColor="text1"/>
          <w:sz w:val="28"/>
          <w:szCs w:val="28"/>
          <w:rtl/>
        </w:rPr>
        <w:t>بعنوان</w:t>
      </w:r>
      <w:r w:rsidRPr="00641ED1">
        <w:rPr>
          <w:rFonts w:ascii="Simplified Arabic" w:eastAsia="Calibri" w:hAnsi="Simplified Arabic" w:cs="Simplified Arabic"/>
          <w:b/>
          <w:bCs/>
          <w:color w:val="000000" w:themeColor="text1"/>
          <w:sz w:val="28"/>
          <w:szCs w:val="28"/>
          <w:lang w:bidi="ar-EG"/>
        </w:rPr>
        <w:t>: “Strategy to Improve Service Continuity Performance Through Organizational Resilience and Business Continuity Management”</w:t>
      </w:r>
    </w:p>
    <w:p w14:paraId="68665A54"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هدفت الدراسة إلى التعرّف على استراتيجيات تحسين أداء استمرارية الخدمة بأبعادها (المرونة التنظيمية، إدارة استمرارية الأعمال، القيادة، الثقافة التنظيمية) في تعزيز استمرارية الخدمة، واستخدمت الدراسة المنهج الكمّي القائم على نموذج المعادلات الهيكلية، وتكوّنت العيّنة من (198) مفردة من العاملين في شركات الخدمات. وتوصّلت نتائج الدراسة إلى وجود أثر إيجابي للمرونة التنظيمية وإدارة استمرارية الأعمال على </w:t>
      </w:r>
      <w:r w:rsidRPr="00641ED1">
        <w:rPr>
          <w:rFonts w:ascii="Simplified Arabic" w:eastAsia="Calibri" w:hAnsi="Simplified Arabic" w:cs="Simplified Arabic"/>
          <w:color w:val="000000" w:themeColor="text1"/>
          <w:sz w:val="28"/>
          <w:szCs w:val="28"/>
          <w:rtl/>
        </w:rPr>
        <w:lastRenderedPageBreak/>
        <w:t>أداء استمرارية الخدمة، وأنّ المرونة التنظيمية تُعدّ عاملاً محورياً. وأوصت الدراسة بضرورة بناء ثقافة تنظيمية داعمة للمرونة، وتطوير خطط استمرارية الأعمال بشكل منهجي، وتعزيز القيادة التحويلية</w:t>
      </w:r>
      <w:r w:rsidRPr="00641ED1">
        <w:rPr>
          <w:rFonts w:ascii="Simplified Arabic" w:eastAsia="Calibri" w:hAnsi="Simplified Arabic" w:cs="Simplified Arabic"/>
          <w:color w:val="000000" w:themeColor="text1"/>
          <w:sz w:val="28"/>
          <w:szCs w:val="28"/>
          <w:lang w:bidi="ar-EG"/>
        </w:rPr>
        <w:t>.</w:t>
      </w:r>
    </w:p>
    <w:p w14:paraId="39A42474" w14:textId="2C16EACE"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w:t>
      </w:r>
      <w:r w:rsidRPr="00641ED1">
        <w:rPr>
          <w:rFonts w:ascii="Simplified Arabic" w:eastAsia="Calibri" w:hAnsi="Simplified Arabic" w:cs="Simplified Arabic"/>
          <w:b/>
          <w:bCs/>
          <w:color w:val="000000" w:themeColor="text1"/>
          <w:sz w:val="28"/>
          <w:szCs w:val="28"/>
          <w:lang w:bidi="ar-EG"/>
        </w:rPr>
        <w:t xml:space="preserve"> </w:t>
      </w:r>
      <w:proofErr w:type="spellStart"/>
      <w:r w:rsidRPr="00641ED1">
        <w:rPr>
          <w:rFonts w:ascii="Simplified Arabic" w:eastAsia="Calibri" w:hAnsi="Simplified Arabic" w:cs="Simplified Arabic"/>
          <w:b/>
          <w:bCs/>
          <w:color w:val="000000" w:themeColor="text1"/>
          <w:sz w:val="28"/>
          <w:szCs w:val="28"/>
          <w:lang w:bidi="ar-EG"/>
        </w:rPr>
        <w:t>Ambarwati</w:t>
      </w:r>
      <w:proofErr w:type="spellEnd"/>
      <w:r w:rsidRPr="00641ED1">
        <w:rPr>
          <w:rFonts w:ascii="Simplified Arabic" w:eastAsia="Calibri" w:hAnsi="Simplified Arabic" w:cs="Simplified Arabic"/>
          <w:b/>
          <w:bCs/>
          <w:color w:val="000000" w:themeColor="text1"/>
          <w:sz w:val="28"/>
          <w:szCs w:val="28"/>
          <w:lang w:bidi="ar-EG"/>
        </w:rPr>
        <w:t xml:space="preserve"> et al. (2024) </w:t>
      </w:r>
      <w:r w:rsidRPr="00641ED1">
        <w:rPr>
          <w:rFonts w:ascii="Simplified Arabic" w:eastAsia="Calibri" w:hAnsi="Simplified Arabic" w:cs="Simplified Arabic"/>
          <w:b/>
          <w:bCs/>
          <w:color w:val="000000" w:themeColor="text1"/>
          <w:sz w:val="28"/>
          <w:szCs w:val="28"/>
          <w:rtl/>
        </w:rPr>
        <w:t>بعنوان</w:t>
      </w:r>
      <w:r w:rsidRPr="00641ED1">
        <w:rPr>
          <w:rFonts w:ascii="Simplified Arabic" w:eastAsia="Calibri" w:hAnsi="Simplified Arabic" w:cs="Simplified Arabic"/>
          <w:b/>
          <w:bCs/>
          <w:color w:val="000000" w:themeColor="text1"/>
          <w:sz w:val="28"/>
          <w:szCs w:val="28"/>
          <w:lang w:bidi="ar-EG"/>
        </w:rPr>
        <w:t>: “A multi-method study of risk assessment and human risk control for power plant business continuity in Indonesia”</w:t>
      </w:r>
    </w:p>
    <w:p w14:paraId="69174B1B"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هدفت الدراسة إلى التعرّف على دور تقييم المخاطر والسيطرة على المخاطر البشرية بأبعادها (تحديد المخاطر، تقييمها، السيطرة عليها، مراقبتها) في تعزيز استمرارية الأعمال بمحطّات توليد الكهرباء في إندونيسيا، واستخدمت الدراسة منهج متعدّد الأساليب يجمع بين المنهج الكمّي والكيفي، وتكوّنت العيّنة من عاملين وخبراء في محطّات توليد الكهرباء الإندونيسية. وتوصّلت نتائج الدراسة إلى أنّ العوامل البشرية تُشكّل مصدراً رئيسياً للمخاطر في محطّات الكهرباء، وأنّ السيطرة الفعّالة على هذه المخاطر تُعزّز استمرارية الأعمال. وأوصت الدراسة بضرورة تطوير برامج تدريب متخصّصة للعاملين، وتطبيق أنظمة سلامة صارمة، وتبنّي منهج شامل لإدارة المخاطر البشرية</w:t>
      </w:r>
      <w:r w:rsidRPr="00641ED1">
        <w:rPr>
          <w:rFonts w:ascii="Simplified Arabic" w:eastAsia="Calibri" w:hAnsi="Simplified Arabic" w:cs="Simplified Arabic"/>
          <w:color w:val="000000" w:themeColor="text1"/>
          <w:sz w:val="28"/>
          <w:szCs w:val="28"/>
          <w:lang w:bidi="ar-EG"/>
        </w:rPr>
        <w:t>.</w:t>
      </w:r>
    </w:p>
    <w:p w14:paraId="3DA94A43" w14:textId="063ABD14"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w:t>
      </w:r>
      <w:r w:rsidRPr="00641ED1">
        <w:rPr>
          <w:rFonts w:ascii="Simplified Arabic" w:eastAsia="Calibri" w:hAnsi="Simplified Arabic" w:cs="Simplified Arabic"/>
          <w:b/>
          <w:bCs/>
          <w:color w:val="000000" w:themeColor="text1"/>
          <w:sz w:val="28"/>
          <w:szCs w:val="28"/>
          <w:lang w:bidi="ar-EG"/>
        </w:rPr>
        <w:t xml:space="preserve"> </w:t>
      </w:r>
      <w:proofErr w:type="spellStart"/>
      <w:r w:rsidRPr="00641ED1">
        <w:rPr>
          <w:rFonts w:ascii="Simplified Arabic" w:eastAsia="Calibri" w:hAnsi="Simplified Arabic" w:cs="Simplified Arabic"/>
          <w:b/>
          <w:bCs/>
          <w:color w:val="000000" w:themeColor="text1"/>
          <w:sz w:val="28"/>
          <w:szCs w:val="28"/>
          <w:lang w:bidi="ar-EG"/>
        </w:rPr>
        <w:t>Moškov</w:t>
      </w:r>
      <w:r w:rsidRPr="00641ED1">
        <w:rPr>
          <w:rFonts w:ascii="Cambria" w:eastAsia="Calibri" w:hAnsi="Cambria" w:cs="Cambria"/>
          <w:b/>
          <w:bCs/>
          <w:color w:val="000000" w:themeColor="text1"/>
          <w:sz w:val="28"/>
          <w:szCs w:val="28"/>
          <w:lang w:bidi="ar-EG"/>
        </w:rPr>
        <w:t>á</w:t>
      </w:r>
      <w:proofErr w:type="spellEnd"/>
      <w:r w:rsidRPr="00641ED1">
        <w:rPr>
          <w:rFonts w:ascii="Simplified Arabic" w:eastAsia="Calibri" w:hAnsi="Simplified Arabic" w:cs="Simplified Arabic"/>
          <w:b/>
          <w:bCs/>
          <w:color w:val="000000" w:themeColor="text1"/>
          <w:sz w:val="28"/>
          <w:szCs w:val="28"/>
          <w:lang w:bidi="ar-EG"/>
        </w:rPr>
        <w:t xml:space="preserve"> &amp; </w:t>
      </w:r>
      <w:proofErr w:type="spellStart"/>
      <w:r w:rsidRPr="00641ED1">
        <w:rPr>
          <w:rFonts w:ascii="Simplified Arabic" w:eastAsia="Calibri" w:hAnsi="Simplified Arabic" w:cs="Simplified Arabic"/>
          <w:b/>
          <w:bCs/>
          <w:color w:val="000000" w:themeColor="text1"/>
          <w:sz w:val="28"/>
          <w:szCs w:val="28"/>
          <w:lang w:bidi="ar-EG"/>
        </w:rPr>
        <w:t>Buganov</w:t>
      </w:r>
      <w:r w:rsidRPr="00641ED1">
        <w:rPr>
          <w:rFonts w:ascii="Cambria" w:eastAsia="Calibri" w:hAnsi="Cambria" w:cs="Cambria"/>
          <w:b/>
          <w:bCs/>
          <w:color w:val="000000" w:themeColor="text1"/>
          <w:sz w:val="28"/>
          <w:szCs w:val="28"/>
          <w:lang w:bidi="ar-EG"/>
        </w:rPr>
        <w:t>á</w:t>
      </w:r>
      <w:proofErr w:type="spellEnd"/>
      <w:r w:rsidRPr="00641ED1">
        <w:rPr>
          <w:rFonts w:ascii="Simplified Arabic" w:eastAsia="Calibri" w:hAnsi="Simplified Arabic" w:cs="Simplified Arabic"/>
          <w:b/>
          <w:bCs/>
          <w:color w:val="000000" w:themeColor="text1"/>
          <w:sz w:val="28"/>
          <w:szCs w:val="28"/>
          <w:lang w:bidi="ar-EG"/>
        </w:rPr>
        <w:t xml:space="preserve"> (2023) </w:t>
      </w:r>
      <w:r w:rsidRPr="00641ED1">
        <w:rPr>
          <w:rFonts w:ascii="Simplified Arabic" w:eastAsia="Calibri" w:hAnsi="Simplified Arabic" w:cs="Simplified Arabic"/>
          <w:b/>
          <w:bCs/>
          <w:color w:val="000000" w:themeColor="text1"/>
          <w:sz w:val="28"/>
          <w:szCs w:val="28"/>
          <w:rtl/>
        </w:rPr>
        <w:t>بعنوان</w:t>
      </w:r>
      <w:r w:rsidRPr="00641ED1">
        <w:rPr>
          <w:rFonts w:ascii="Simplified Arabic" w:eastAsia="Calibri" w:hAnsi="Simplified Arabic" w:cs="Simplified Arabic"/>
          <w:b/>
          <w:bCs/>
          <w:color w:val="000000" w:themeColor="text1"/>
          <w:sz w:val="28"/>
          <w:szCs w:val="28"/>
          <w:lang w:bidi="ar-EG"/>
        </w:rPr>
        <w:t>: “Improving business sustainability by connecting business continuity management and risk management”</w:t>
      </w:r>
    </w:p>
    <w:p w14:paraId="2292C50F"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هدفت الدراسة إلى التعرّف على أثر الربط بين إدارة استمرارية الأعمال وإدارة المخاطر بأبعاده (التكامل التنظيمي، التكامل العملياتي، التكامل الاستراتيجي) على تحسين الاستدامة المؤسسية، واستخدمت الدراسة المنهج الوصفي التحليلي، وتكوّنت العيّنة من مجموعة من الشركات الأوروبية العاملة في قطاعات مختلفة. وتوصّلت نتائج الدراسة إلى أنّ التكامل بين إدارة استمرارية الأعمال وإدارة المخاطر يُعزّز الاستدامة المؤسسية، ويُقلّل من الخسائر الناتجة عن الأزمات. وأوصت الدراسة بضرورة تبنّي منهج متكامل يجمع بين النظامين، وتطوير أدوات ومعايير موحّدة، ورفع الوعي المؤسسي بأهمية هذا التكامل</w:t>
      </w:r>
      <w:r w:rsidRPr="00641ED1">
        <w:rPr>
          <w:rFonts w:ascii="Simplified Arabic" w:eastAsia="Calibri" w:hAnsi="Simplified Arabic" w:cs="Simplified Arabic"/>
          <w:color w:val="000000" w:themeColor="text1"/>
          <w:sz w:val="28"/>
          <w:szCs w:val="28"/>
          <w:lang w:bidi="ar-EG"/>
        </w:rPr>
        <w:t>.</w:t>
      </w:r>
    </w:p>
    <w:p w14:paraId="739E8652" w14:textId="2E50D28C"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w:t>
      </w:r>
      <w:r w:rsidRPr="00641ED1">
        <w:rPr>
          <w:rFonts w:ascii="Simplified Arabic" w:eastAsia="Calibri" w:hAnsi="Simplified Arabic" w:cs="Simplified Arabic"/>
          <w:b/>
          <w:bCs/>
          <w:color w:val="000000" w:themeColor="text1"/>
          <w:sz w:val="28"/>
          <w:szCs w:val="28"/>
          <w:lang w:bidi="ar-EG"/>
        </w:rPr>
        <w:t xml:space="preserve"> Dreyfus &amp; Nair (2022) </w:t>
      </w:r>
      <w:r w:rsidRPr="00641ED1">
        <w:rPr>
          <w:rFonts w:ascii="Simplified Arabic" w:eastAsia="Calibri" w:hAnsi="Simplified Arabic" w:cs="Simplified Arabic"/>
          <w:b/>
          <w:bCs/>
          <w:color w:val="000000" w:themeColor="text1"/>
          <w:sz w:val="28"/>
          <w:szCs w:val="28"/>
          <w:rtl/>
        </w:rPr>
        <w:t>بعنوان</w:t>
      </w:r>
      <w:r w:rsidRPr="00641ED1">
        <w:rPr>
          <w:rFonts w:ascii="Simplified Arabic" w:eastAsia="Calibri" w:hAnsi="Simplified Arabic" w:cs="Simplified Arabic"/>
          <w:b/>
          <w:bCs/>
          <w:color w:val="000000" w:themeColor="text1"/>
          <w:sz w:val="28"/>
          <w:szCs w:val="28"/>
          <w:lang w:bidi="ar-EG"/>
        </w:rPr>
        <w:t>: “The impact of operational disruptions on performance in surgical settings”</w:t>
      </w:r>
    </w:p>
    <w:p w14:paraId="2393E8A2"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هدفت الدراسة إلى التعرّف على أثر الاضطرابات التشغيلية بأبعادها (الاضطرابات الداخلية، الاضطرابات الخارجية، شدّة الاضطراب، مدّته) على الأداء في البيئات الجراحية، مع الدور المعدّل للبنية التحتية لإدارة المخاطر وتبادل المعلومات، واستخدمت الدراسة المنهج الكمّي القائم على تحليل بيانات أرشيفية، وتكوّنت العيّنة من بيانات مستشفيات جراحية متعدّدة. وتوصّلت نتائج الدراسة إلى أنّ الاضطرابات التشغيلية تُؤثّر سلباً على الأداء الجراحي، وأنّ البنية التحتية لإدارة المخاطر وتبادل المعلومات تُخفّف من هذا الأثر السلبي. وأوصت الدراسة بضرورة تطوير أنظمة إدارة المخاطر في المستشفيات، وتعزيز آليات تبادل المعلومات، والاستثمار في البنية التحتية التشغيلية</w:t>
      </w:r>
      <w:r w:rsidRPr="00641ED1">
        <w:rPr>
          <w:rFonts w:ascii="Simplified Arabic" w:eastAsia="Calibri" w:hAnsi="Simplified Arabic" w:cs="Simplified Arabic"/>
          <w:color w:val="000000" w:themeColor="text1"/>
          <w:sz w:val="28"/>
          <w:szCs w:val="28"/>
          <w:lang w:bidi="ar-EG"/>
        </w:rPr>
        <w:t>.</w:t>
      </w:r>
    </w:p>
    <w:p w14:paraId="7C50579B" w14:textId="6DAA18ED" w:rsidR="0077109A" w:rsidRPr="00641ED1" w:rsidRDefault="0077109A" w:rsidP="00781571">
      <w:pPr>
        <w:pStyle w:val="ListParagraph"/>
        <w:numPr>
          <w:ilvl w:val="0"/>
          <w:numId w:val="45"/>
        </w:numPr>
        <w:bidi/>
        <w:spacing w:before="100" w:beforeAutospacing="1" w:after="100" w:afterAutospacing="1" w:line="276" w:lineRule="auto"/>
        <w:ind w:left="424"/>
        <w:contextualSpacing w:val="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دراسة</w:t>
      </w:r>
      <w:r w:rsidRPr="00641ED1">
        <w:rPr>
          <w:rFonts w:ascii="Simplified Arabic" w:eastAsia="Calibri" w:hAnsi="Simplified Arabic" w:cs="Simplified Arabic"/>
          <w:b/>
          <w:bCs/>
          <w:color w:val="000000" w:themeColor="text1"/>
          <w:sz w:val="28"/>
          <w:szCs w:val="28"/>
          <w:lang w:bidi="ar-EG"/>
        </w:rPr>
        <w:t xml:space="preserve"> Margherita &amp; Heikkil</w:t>
      </w:r>
      <w:r w:rsidRPr="00641ED1">
        <w:rPr>
          <w:rFonts w:ascii="Cambria" w:eastAsia="Calibri" w:hAnsi="Cambria" w:cs="Cambria"/>
          <w:b/>
          <w:bCs/>
          <w:color w:val="000000" w:themeColor="text1"/>
          <w:sz w:val="28"/>
          <w:szCs w:val="28"/>
          <w:lang w:bidi="ar-EG"/>
        </w:rPr>
        <w:t>ä</w:t>
      </w:r>
      <w:r w:rsidRPr="00641ED1">
        <w:rPr>
          <w:rFonts w:ascii="Simplified Arabic" w:eastAsia="Calibri" w:hAnsi="Simplified Arabic" w:cs="Simplified Arabic"/>
          <w:b/>
          <w:bCs/>
          <w:color w:val="000000" w:themeColor="text1"/>
          <w:sz w:val="28"/>
          <w:szCs w:val="28"/>
          <w:lang w:bidi="ar-EG"/>
        </w:rPr>
        <w:t xml:space="preserve"> (2021) </w:t>
      </w:r>
      <w:r w:rsidRPr="00641ED1">
        <w:rPr>
          <w:rFonts w:ascii="Simplified Arabic" w:eastAsia="Calibri" w:hAnsi="Simplified Arabic" w:cs="Simplified Arabic"/>
          <w:b/>
          <w:bCs/>
          <w:color w:val="000000" w:themeColor="text1"/>
          <w:sz w:val="28"/>
          <w:szCs w:val="28"/>
          <w:rtl/>
        </w:rPr>
        <w:t>بعنوان</w:t>
      </w:r>
      <w:r w:rsidRPr="00641ED1">
        <w:rPr>
          <w:rFonts w:ascii="Simplified Arabic" w:eastAsia="Calibri" w:hAnsi="Simplified Arabic" w:cs="Simplified Arabic"/>
          <w:b/>
          <w:bCs/>
          <w:color w:val="000000" w:themeColor="text1"/>
          <w:sz w:val="28"/>
          <w:szCs w:val="28"/>
          <w:lang w:bidi="ar-EG"/>
        </w:rPr>
        <w:t>: “Business continuity in the COVID-19 emergency: A framework of actions undertaken by world-leading companies”</w:t>
      </w:r>
    </w:p>
    <w:p w14:paraId="313DBD76"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هدفت الدراسة إلى التعرّف على الإجراءات المتّخذة من قِبل الشركات العالمية الرائدة لتحقيق استمرارية الأعمال بأبعادها (حماية الموظّفين، ضمان استمرارية العمليات، دعم العملاء، المسؤولية الاجتماعية، القيادة والاتصال) خلال أزمة كوفيد-19، واستخدمت الدراسة المنهج التحليلي القائم على تحليل المحتوى، وتكوّنت العيّنة من (50) شركة من الشركات العالمية الرائدة. وتوصّلت نتائج الدراسة إلى تحديد إطار متكامل يتضمّن (25) إجراءً مصنّفة ضمن خمسة محاور رئيسية لضمان استمرارية الأعمال أثناء الأزمات. وأوصت الدراسة بضرورة تبنّي الشركات لإطار شامل يجمع بين البُعدين الإنساني والتشغيلي في خطط استمرارية الأعمال، وتعزيز مسؤولية الشركات تجاه موظّفيها ومجتمعاتها</w:t>
      </w:r>
      <w:r w:rsidRPr="00641ED1">
        <w:rPr>
          <w:rFonts w:ascii="Simplified Arabic" w:eastAsia="Calibri" w:hAnsi="Simplified Arabic" w:cs="Simplified Arabic"/>
          <w:color w:val="000000" w:themeColor="text1"/>
          <w:sz w:val="28"/>
          <w:szCs w:val="28"/>
          <w:lang w:bidi="ar-EG"/>
        </w:rPr>
        <w:t>.</w:t>
      </w:r>
    </w:p>
    <w:p w14:paraId="1E248152" w14:textId="761B31A3" w:rsidR="0077109A" w:rsidRPr="00641ED1" w:rsidRDefault="00781571" w:rsidP="00781571">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8" w:name="_Toc233993658"/>
      <w:r w:rsidRPr="00641ED1">
        <w:rPr>
          <w:rFonts w:ascii="Simplified Arabic" w:eastAsia="Calibri" w:hAnsi="Simplified Arabic" w:cs="Simplified Arabic" w:hint="cs"/>
          <w:b/>
          <w:bCs/>
          <w:color w:val="000000" w:themeColor="text1"/>
          <w:sz w:val="36"/>
          <w:szCs w:val="36"/>
          <w:rtl/>
        </w:rPr>
        <w:t xml:space="preserve">8.1 </w:t>
      </w:r>
      <w:r w:rsidR="0077109A" w:rsidRPr="00641ED1">
        <w:rPr>
          <w:rFonts w:ascii="Simplified Arabic" w:eastAsia="Calibri" w:hAnsi="Simplified Arabic" w:cs="Simplified Arabic"/>
          <w:b/>
          <w:bCs/>
          <w:color w:val="000000" w:themeColor="text1"/>
          <w:sz w:val="36"/>
          <w:szCs w:val="36"/>
          <w:rtl/>
        </w:rPr>
        <w:t>الفجوة البحثية</w:t>
      </w:r>
      <w:bookmarkEnd w:id="8"/>
    </w:p>
    <w:p w14:paraId="7981F78F" w14:textId="7B903975"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من خلال الاستعراض المتأنّي للدراسات السابقة العربية والأجنبية التي تناولت متغيّرَي الدراسة الحالية، يتبيّن أن أوجه اتفاق وأوجه اختلاف بينها وبين الدراسة الحالية، تُشكّل في مجموعها الفجوة البحثية التي تسعى هذه الدراسة إلى سدّها. فمن حيث أوجه الاتفاق، تتفق الدراسة الحالية مع معظم الدراسات السابقة في الاهتمام بموضوع إدارة المخاطر بوصفه محوراً استراتيجياً في المنظّمات المعاصرة، وفي تناول مفهوم استمرارية الأعمال باعتباره ضرورةً حتميةً في ظلّ تصاعد الاضطرابات وتنوّع مصادرها، كما تتفق مع دراسات (العنزي وآخرون، 2024؛ </w:t>
      </w:r>
      <w:proofErr w:type="spellStart"/>
      <w:r w:rsidRPr="00641ED1">
        <w:rPr>
          <w:rFonts w:ascii="Simplified Arabic" w:eastAsia="Calibri" w:hAnsi="Simplified Arabic" w:cs="Simplified Arabic"/>
          <w:color w:val="000000" w:themeColor="text1"/>
          <w:sz w:val="28"/>
          <w:szCs w:val="28"/>
          <w:rtl/>
        </w:rPr>
        <w:t>القهوادي</w:t>
      </w:r>
      <w:proofErr w:type="spellEnd"/>
      <w:r w:rsidRPr="00641ED1">
        <w:rPr>
          <w:rFonts w:ascii="Simplified Arabic" w:eastAsia="Calibri" w:hAnsi="Simplified Arabic" w:cs="Simplified Arabic"/>
          <w:color w:val="000000" w:themeColor="text1"/>
          <w:sz w:val="28"/>
          <w:szCs w:val="28"/>
          <w:rtl/>
        </w:rPr>
        <w:t xml:space="preserve">، 2024؛ أحمد، 2024) في اعتماد استراتيجيات إدارة المخاطر </w:t>
      </w:r>
      <w:r w:rsidRPr="00641ED1">
        <w:rPr>
          <w:rFonts w:ascii="Simplified Arabic" w:eastAsia="Calibri" w:hAnsi="Simplified Arabic" w:cs="Simplified Arabic"/>
          <w:color w:val="000000" w:themeColor="text1"/>
          <w:sz w:val="28"/>
          <w:szCs w:val="28"/>
          <w:rtl/>
        </w:rPr>
        <w:lastRenderedPageBreak/>
        <w:t>متغيّراً مستقلاً، وتتفق مع دراسات (قطيشات والشاعر، 2025؛ عربيات وأبو رمان، 2024؛ الهاشمي وآخرون، 2025؛ شديد، 2022) في تبنّي استمرارية الأعمال متغيّراً تابعاً. كما تتشابه الدراسة الحالية مع غالبية الدراسات السابقة في تبنّي المنهج الوصفي التحليلي، واستخدام الاستبانة أداةً رئيسيةً لجمع البيانات، وفي بعض أبعاد المتغيّرَين كتحديد المخاطر وتقييمها ومعالجتها ومراقبتها من جهة، والتخطيط الاستباقي وإدارة الأزمات والمرونة التنظيمية والتعافي من جهة أخرى</w:t>
      </w:r>
      <w:r w:rsidRPr="00641ED1">
        <w:rPr>
          <w:rFonts w:ascii="Simplified Arabic" w:eastAsia="Calibri" w:hAnsi="Simplified Arabic" w:cs="Simplified Arabic"/>
          <w:color w:val="000000" w:themeColor="text1"/>
          <w:sz w:val="28"/>
          <w:szCs w:val="28"/>
          <w:lang w:bidi="ar-EG"/>
        </w:rPr>
        <w:t>.</w:t>
      </w:r>
    </w:p>
    <w:p w14:paraId="0A0321D0"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أمّا من حيث أوجه الاختلاف، فتتميّز الدراسة الحالية عن سابقاتها في عدّة جوانب جوهرية؛ فمن حيث الموضوع، تتخصّص الدراسة الحالية في تناول استراتيجيات إدارة مخاطر انقطاع الخدمة تحديداً، وهو موضوع لم يحظَ باهتمام مباشر في الدراسات العربية، إذ ركّزت الدراسات السابقة إمّا على إدارة المخاطر بشكل عام (العنزي وآخرون، 2024؛ </w:t>
      </w:r>
      <w:proofErr w:type="spellStart"/>
      <w:r w:rsidRPr="00641ED1">
        <w:rPr>
          <w:rFonts w:ascii="Simplified Arabic" w:eastAsia="Calibri" w:hAnsi="Simplified Arabic" w:cs="Simplified Arabic"/>
          <w:color w:val="000000" w:themeColor="text1"/>
          <w:sz w:val="28"/>
          <w:szCs w:val="28"/>
          <w:rtl/>
        </w:rPr>
        <w:t>القهوادي</w:t>
      </w:r>
      <w:proofErr w:type="spellEnd"/>
      <w:r w:rsidRPr="00641ED1">
        <w:rPr>
          <w:rFonts w:ascii="Simplified Arabic" w:eastAsia="Calibri" w:hAnsi="Simplified Arabic" w:cs="Simplified Arabic"/>
          <w:color w:val="000000" w:themeColor="text1"/>
          <w:sz w:val="28"/>
          <w:szCs w:val="28"/>
          <w:rtl/>
        </w:rPr>
        <w:t>، 2024)، أو على أنواع محدّدة من المخاطر كالمخاطر السيبرانية (شاهين، 2025)، والمخاطر التأمينية (سنجاق الدين وحسين، 2022)، والمخاطر التسويقية (أحمد، 2024)، والمخاطر المهنية (الهاشمي وآخرون، 2025)، ومخاطر السلامة الجوية (</w:t>
      </w:r>
      <w:proofErr w:type="spellStart"/>
      <w:r w:rsidRPr="00641ED1">
        <w:rPr>
          <w:rFonts w:ascii="Simplified Arabic" w:eastAsia="Calibri" w:hAnsi="Simplified Arabic" w:cs="Simplified Arabic"/>
          <w:color w:val="000000" w:themeColor="text1"/>
          <w:sz w:val="28"/>
          <w:szCs w:val="28"/>
          <w:rtl/>
        </w:rPr>
        <w:t>عبدالمعتمد</w:t>
      </w:r>
      <w:proofErr w:type="spellEnd"/>
      <w:r w:rsidRPr="00641ED1">
        <w:rPr>
          <w:rFonts w:ascii="Simplified Arabic" w:eastAsia="Calibri" w:hAnsi="Simplified Arabic" w:cs="Simplified Arabic"/>
          <w:color w:val="000000" w:themeColor="text1"/>
          <w:sz w:val="28"/>
          <w:szCs w:val="28"/>
          <w:rtl/>
        </w:rPr>
        <w:t xml:space="preserve"> وآخرون، 2025). ومن حيث قطاع التطبيق، تنفرد الدراسة الحالية بتطبيقها على قطاع الاتصالات في المملكة العربية السعودية، وهو قطاع لم يُدرَس بشكل كافٍ في الأدبيات العربية من هذه الزاوية، إذ انصبّت الدراسات السابقة على القطاع المصرفي (قطيشات والشاعر، 2025؛ موسى </w:t>
      </w:r>
      <w:proofErr w:type="spellStart"/>
      <w:r w:rsidRPr="00641ED1">
        <w:rPr>
          <w:rFonts w:ascii="Simplified Arabic" w:eastAsia="Calibri" w:hAnsi="Simplified Arabic" w:cs="Simplified Arabic"/>
          <w:color w:val="000000" w:themeColor="text1"/>
          <w:sz w:val="28"/>
          <w:szCs w:val="28"/>
          <w:rtl/>
        </w:rPr>
        <w:t>والربابعة</w:t>
      </w:r>
      <w:proofErr w:type="spellEnd"/>
      <w:r w:rsidRPr="00641ED1">
        <w:rPr>
          <w:rFonts w:ascii="Simplified Arabic" w:eastAsia="Calibri" w:hAnsi="Simplified Arabic" w:cs="Simplified Arabic"/>
          <w:color w:val="000000" w:themeColor="text1"/>
          <w:sz w:val="28"/>
          <w:szCs w:val="28"/>
          <w:rtl/>
        </w:rPr>
        <w:t>، 2025)، والقطاع الصحّي (شديد، 2022)، والقطاع النفطي (الهاشمي وآخرون، 2025)، وقطاع الطاقة (الزعبي والشوابكة، 2023)، وقطاع التشييد (</w:t>
      </w:r>
      <w:proofErr w:type="spellStart"/>
      <w:r w:rsidRPr="00641ED1">
        <w:rPr>
          <w:rFonts w:ascii="Simplified Arabic" w:eastAsia="Calibri" w:hAnsi="Simplified Arabic" w:cs="Simplified Arabic"/>
          <w:color w:val="000000" w:themeColor="text1"/>
          <w:sz w:val="28"/>
          <w:szCs w:val="28"/>
          <w:rtl/>
        </w:rPr>
        <w:t>القهوادي</w:t>
      </w:r>
      <w:proofErr w:type="spellEnd"/>
      <w:r w:rsidRPr="00641ED1">
        <w:rPr>
          <w:rFonts w:ascii="Simplified Arabic" w:eastAsia="Calibri" w:hAnsi="Simplified Arabic" w:cs="Simplified Arabic"/>
          <w:color w:val="000000" w:themeColor="text1"/>
          <w:sz w:val="28"/>
          <w:szCs w:val="28"/>
          <w:rtl/>
        </w:rPr>
        <w:t>، 2024)، وقطاع التعليم (</w:t>
      </w:r>
      <w:proofErr w:type="gramStart"/>
      <w:r w:rsidRPr="00641ED1">
        <w:rPr>
          <w:rFonts w:ascii="Simplified Arabic" w:eastAsia="Calibri" w:hAnsi="Simplified Arabic" w:cs="Simplified Arabic"/>
          <w:color w:val="000000" w:themeColor="text1"/>
          <w:sz w:val="28"/>
          <w:szCs w:val="28"/>
          <w:rtl/>
        </w:rPr>
        <w:t>عبدالسلام</w:t>
      </w:r>
      <w:proofErr w:type="gramEnd"/>
      <w:r w:rsidRPr="00641ED1">
        <w:rPr>
          <w:rFonts w:ascii="Simplified Arabic" w:eastAsia="Calibri" w:hAnsi="Simplified Arabic" w:cs="Simplified Arabic"/>
          <w:color w:val="000000" w:themeColor="text1"/>
          <w:sz w:val="28"/>
          <w:szCs w:val="28"/>
          <w:rtl/>
        </w:rPr>
        <w:t>، 2022). ومن حيث البيئة الجغرافية، تُجرى الدراسة في البيئة السعودية التي تتميّز بخصوصية تنظيمية وثقافية وتقنية في ظلّ رؤية 2030، في حين تركّزت غالبية الدراسات العربية في البيئة الأردنية والمصرية والليبية، وتركّزت الدراسات الأجنبية في البيئات الأوروبية والآسيوية</w:t>
      </w:r>
      <w:r w:rsidRPr="00641ED1">
        <w:rPr>
          <w:rFonts w:ascii="Simplified Arabic" w:eastAsia="Calibri" w:hAnsi="Simplified Arabic" w:cs="Simplified Arabic"/>
          <w:color w:val="000000" w:themeColor="text1"/>
          <w:sz w:val="28"/>
          <w:szCs w:val="28"/>
          <w:lang w:bidi="ar-EG"/>
        </w:rPr>
        <w:t xml:space="preserve"> (Margherita &amp; Heikkil</w:t>
      </w:r>
      <w:r w:rsidRPr="00641ED1">
        <w:rPr>
          <w:rFonts w:ascii="Cambria" w:eastAsia="Calibri" w:hAnsi="Cambria" w:cs="Cambria"/>
          <w:color w:val="000000" w:themeColor="text1"/>
          <w:sz w:val="28"/>
          <w:szCs w:val="28"/>
          <w:lang w:bidi="ar-EG"/>
        </w:rPr>
        <w:t>ä</w:t>
      </w:r>
      <w:r w:rsidRPr="00641ED1">
        <w:rPr>
          <w:rFonts w:ascii="Simplified Arabic" w:eastAsia="Calibri" w:hAnsi="Simplified Arabic" w:cs="Simplified Arabic"/>
          <w:color w:val="000000" w:themeColor="text1"/>
          <w:sz w:val="28"/>
          <w:szCs w:val="28"/>
          <w:lang w:bidi="ar-EG"/>
        </w:rPr>
        <w:t>, 2021</w:t>
      </w:r>
      <w:r w:rsidRPr="00641ED1">
        <w:rPr>
          <w:rFonts w:ascii="Simplified Arabic" w:eastAsia="Calibri" w:hAnsi="Simplified Arabic" w:cs="Simplified Arabic"/>
          <w:color w:val="000000" w:themeColor="text1"/>
          <w:sz w:val="28"/>
          <w:szCs w:val="28"/>
          <w:rtl/>
        </w:rPr>
        <w:t>؛</w:t>
      </w:r>
      <w:r w:rsidRPr="00641ED1">
        <w:rPr>
          <w:rFonts w:ascii="Simplified Arabic" w:eastAsia="Calibri" w:hAnsi="Simplified Arabic" w:cs="Simplified Arabic"/>
          <w:color w:val="000000" w:themeColor="text1"/>
          <w:sz w:val="28"/>
          <w:szCs w:val="28"/>
          <w:lang w:bidi="ar-EG"/>
        </w:rPr>
        <w:t xml:space="preserve"> Hohenstein, 2022</w:t>
      </w:r>
      <w:r w:rsidRPr="00641ED1">
        <w:rPr>
          <w:rFonts w:ascii="Simplified Arabic" w:eastAsia="Calibri" w:hAnsi="Simplified Arabic" w:cs="Simplified Arabic"/>
          <w:color w:val="000000" w:themeColor="text1"/>
          <w:sz w:val="28"/>
          <w:szCs w:val="28"/>
          <w:rtl/>
        </w:rPr>
        <w:t>؛</w:t>
      </w:r>
      <w:r w:rsidRPr="00641ED1">
        <w:rPr>
          <w:rFonts w:ascii="Simplified Arabic" w:eastAsia="Calibri" w:hAnsi="Simplified Arabic" w:cs="Simplified Arabic"/>
          <w:color w:val="000000" w:themeColor="text1"/>
          <w:sz w:val="28"/>
          <w:szCs w:val="28"/>
          <w:lang w:bidi="ar-EG"/>
        </w:rPr>
        <w:t xml:space="preserve"> </w:t>
      </w:r>
      <w:proofErr w:type="spellStart"/>
      <w:r w:rsidRPr="00641ED1">
        <w:rPr>
          <w:rFonts w:ascii="Simplified Arabic" w:eastAsia="Calibri" w:hAnsi="Simplified Arabic" w:cs="Simplified Arabic"/>
          <w:color w:val="000000" w:themeColor="text1"/>
          <w:sz w:val="28"/>
          <w:szCs w:val="28"/>
          <w:lang w:bidi="ar-EG"/>
        </w:rPr>
        <w:t>Ambarwati</w:t>
      </w:r>
      <w:proofErr w:type="spellEnd"/>
      <w:r w:rsidRPr="00641ED1">
        <w:rPr>
          <w:rFonts w:ascii="Simplified Arabic" w:eastAsia="Calibri" w:hAnsi="Simplified Arabic" w:cs="Simplified Arabic"/>
          <w:color w:val="000000" w:themeColor="text1"/>
          <w:sz w:val="28"/>
          <w:szCs w:val="28"/>
          <w:lang w:bidi="ar-EG"/>
        </w:rPr>
        <w:t xml:space="preserve"> et al., 2024). </w:t>
      </w:r>
      <w:r w:rsidRPr="00641ED1">
        <w:rPr>
          <w:rFonts w:ascii="Simplified Arabic" w:eastAsia="Calibri" w:hAnsi="Simplified Arabic" w:cs="Simplified Arabic"/>
          <w:color w:val="000000" w:themeColor="text1"/>
          <w:sz w:val="28"/>
          <w:szCs w:val="28"/>
          <w:rtl/>
        </w:rPr>
        <w:t>ومن حيث العلاقة البحثية، تنفرد الدراسة الحالية بالربط المباشر بين استراتيجيات إدارة مخاطر انقطاع الخدمة بأبعادها الأربعة واستمرارية الأعمال بأبعادها الأربعة، وهو ربط لم يُجمَع بين أطرافه بهذه الصياغة في الدراسات السابقة التي ركّزت إمّا على متغيّرات وسيطة كاليقظة الاستراتيجية (عربيات وأبو رمان، 2024) والتعلّم التنظيمي، أو على متغيّرات معدّلة كإدارة المخاطر بشكل عام (قطيشات والشاعر، 2025)، أو على علاقات متغايرة كأثر التحوّل الرقمي (صلاح، 2025) وتخطيط التعاقب القيادي (الحسين ومتولي، 2023) ونظام العمل المرن (الفاخوري والربضي، 2021)</w:t>
      </w:r>
      <w:r w:rsidRPr="00641ED1">
        <w:rPr>
          <w:rFonts w:ascii="Simplified Arabic" w:eastAsia="Calibri" w:hAnsi="Simplified Arabic" w:cs="Simplified Arabic"/>
          <w:color w:val="000000" w:themeColor="text1"/>
          <w:sz w:val="28"/>
          <w:szCs w:val="28"/>
          <w:lang w:bidi="ar-EG"/>
        </w:rPr>
        <w:t>.</w:t>
      </w:r>
    </w:p>
    <w:p w14:paraId="3534DB97"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 xml:space="preserve">وبناءً على ما سبق، تتمثّل الفجوة البحثية التي تسعى الدراسة الحالية إلى سدّها في محدودية الدراسات العلمية التي تناولت أثر تطبيق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تحديداً بأبعادها المتكاملة على استمرارية الأعمال بأبعادها الشاملة في قطاع الاتصالات السعودي، وهو ما يُمثّل إضافةً نظرية وتطبيقية جديدة تُثري الأدب الإداري العربي وتدعم توجّهات صانعي القرار في هذا القطاع الحيوي</w:t>
      </w:r>
      <w:r w:rsidRPr="00641ED1">
        <w:rPr>
          <w:rFonts w:ascii="Simplified Arabic" w:eastAsia="Calibri" w:hAnsi="Simplified Arabic" w:cs="Simplified Arabic"/>
          <w:color w:val="000000" w:themeColor="text1"/>
          <w:sz w:val="28"/>
          <w:szCs w:val="28"/>
          <w:lang w:bidi="ar-EG"/>
        </w:rPr>
        <w:t>.</w:t>
      </w:r>
    </w:p>
    <w:p w14:paraId="6A983761" w14:textId="49B3AC1A" w:rsidR="0077109A" w:rsidRPr="00641ED1" w:rsidRDefault="00781571" w:rsidP="00781571">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9" w:name="_Toc233993659"/>
      <w:r w:rsidRPr="00641ED1">
        <w:rPr>
          <w:rFonts w:ascii="Simplified Arabic" w:eastAsia="Calibri" w:hAnsi="Simplified Arabic" w:cs="Simplified Arabic" w:hint="cs"/>
          <w:b/>
          <w:bCs/>
          <w:color w:val="000000" w:themeColor="text1"/>
          <w:sz w:val="36"/>
          <w:szCs w:val="36"/>
          <w:rtl/>
          <w:lang w:bidi="ar-EG"/>
        </w:rPr>
        <w:t xml:space="preserve">9.1 </w:t>
      </w:r>
      <w:r w:rsidR="0077109A" w:rsidRPr="00641ED1">
        <w:rPr>
          <w:rFonts w:ascii="Simplified Arabic" w:eastAsia="Calibri" w:hAnsi="Simplified Arabic" w:cs="Simplified Arabic"/>
          <w:b/>
          <w:bCs/>
          <w:color w:val="000000" w:themeColor="text1"/>
          <w:sz w:val="36"/>
          <w:szCs w:val="36"/>
          <w:rtl/>
        </w:rPr>
        <w:t>المنطلقات النظرية للدراسة</w:t>
      </w:r>
      <w:bookmarkEnd w:id="9"/>
      <w:r w:rsidR="0077109A" w:rsidRPr="00641ED1">
        <w:rPr>
          <w:rFonts w:ascii="Simplified Arabic" w:eastAsia="Calibri" w:hAnsi="Simplified Arabic" w:cs="Simplified Arabic"/>
          <w:b/>
          <w:bCs/>
          <w:color w:val="000000" w:themeColor="text1"/>
          <w:sz w:val="36"/>
          <w:szCs w:val="36"/>
          <w:rtl/>
        </w:rPr>
        <w:t xml:space="preserve"> </w:t>
      </w:r>
    </w:p>
    <w:p w14:paraId="6C917694"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تنطلق الدراسة الحالية من جملة من المنطلقات النظرية والفكرية التي تُشكّل الأساس المعرفي الذي تستند إليه في تحليل العلاقة بين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واستمرارية الأعمال في شركات الاتصالات في المملكة العربية السعودية. وتتوزّع هذه المنطلقات على محورين رئيسيين: المحور الأول يتعلّق بالإطار المفاهيمي للمتغيّر المستقل، والمحور الثاني يتعلّق بالإطار المفاهيمي للمتغيّر التابع، مع بيان النظريات الحاكمة للعلاقة بينهما</w:t>
      </w:r>
      <w:r w:rsidRPr="00641ED1">
        <w:rPr>
          <w:rFonts w:ascii="Simplified Arabic" w:eastAsia="Calibri" w:hAnsi="Simplified Arabic" w:cs="Simplified Arabic"/>
          <w:color w:val="000000" w:themeColor="text1"/>
          <w:sz w:val="28"/>
          <w:szCs w:val="28"/>
          <w:lang w:bidi="ar-EG"/>
        </w:rPr>
        <w:t>.</w:t>
      </w:r>
    </w:p>
    <w:p w14:paraId="237EECA6"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641ED1">
        <w:rPr>
          <w:rFonts w:ascii="Simplified Arabic" w:eastAsia="Calibri" w:hAnsi="Simplified Arabic" w:cs="Simplified Arabic"/>
          <w:b/>
          <w:bCs/>
          <w:color w:val="000000" w:themeColor="text1"/>
          <w:sz w:val="32"/>
          <w:szCs w:val="32"/>
          <w:rtl/>
        </w:rPr>
        <w:t xml:space="preserve">المحور الأول: استراتيجيات إدارة </w:t>
      </w:r>
      <w:proofErr w:type="gramStart"/>
      <w:r w:rsidRPr="00641ED1">
        <w:rPr>
          <w:rFonts w:ascii="Simplified Arabic" w:eastAsia="Calibri" w:hAnsi="Simplified Arabic" w:cs="Simplified Arabic"/>
          <w:b/>
          <w:bCs/>
          <w:color w:val="000000" w:themeColor="text1"/>
          <w:sz w:val="32"/>
          <w:szCs w:val="32"/>
          <w:rtl/>
        </w:rPr>
        <w:t>مخاطر</w:t>
      </w:r>
      <w:proofErr w:type="gramEnd"/>
      <w:r w:rsidRPr="00641ED1">
        <w:rPr>
          <w:rFonts w:ascii="Simplified Arabic" w:eastAsia="Calibri" w:hAnsi="Simplified Arabic" w:cs="Simplified Arabic"/>
          <w:b/>
          <w:bCs/>
          <w:color w:val="000000" w:themeColor="text1"/>
          <w:sz w:val="32"/>
          <w:szCs w:val="32"/>
          <w:rtl/>
        </w:rPr>
        <w:t xml:space="preserve"> انقطاع الخدمة</w:t>
      </w:r>
    </w:p>
    <w:p w14:paraId="574970E6"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تُعرَّف إدارة المخاطر بأنّها منهجية علمية منظّمة تهدف إلى التعامل مع حالة عدم التأكّد من خلال تحديد التهديدات المحتملة وتقييمها ومعالجتها ومراقبتها بما يُقلّل من آثارها السلبية على أهداف المنظّمة. وقد تطوّر هذا المفهوم من كونه ممارسةً تفاعلية تقتصر على المخاطر المالية والتأمينية، إلى منهج استراتيجي متكامل يُعرف بإدارة المخاطر المؤسسية</w:t>
      </w:r>
      <w:r w:rsidRPr="00641ED1">
        <w:rPr>
          <w:rFonts w:ascii="Simplified Arabic" w:eastAsia="Calibri" w:hAnsi="Simplified Arabic" w:cs="Simplified Arabic"/>
          <w:color w:val="000000" w:themeColor="text1"/>
          <w:sz w:val="28"/>
          <w:szCs w:val="28"/>
          <w:lang w:bidi="ar-EG"/>
        </w:rPr>
        <w:t xml:space="preserve"> (ERM)</w:t>
      </w:r>
      <w:r w:rsidRPr="00641ED1">
        <w:rPr>
          <w:rFonts w:ascii="Simplified Arabic" w:eastAsia="Calibri" w:hAnsi="Simplified Arabic" w:cs="Simplified Arabic"/>
          <w:color w:val="000000" w:themeColor="text1"/>
          <w:sz w:val="28"/>
          <w:szCs w:val="28"/>
          <w:rtl/>
        </w:rPr>
        <w:t>، والتي تنظر إلى المخاطر من منظور شمولي يشمل كافّة العمليات والوظائف داخل المنظّمة</w:t>
      </w:r>
      <w:r w:rsidRPr="00641ED1">
        <w:rPr>
          <w:rFonts w:ascii="Simplified Arabic" w:eastAsia="Calibri" w:hAnsi="Simplified Arabic" w:cs="Simplified Arabic"/>
          <w:color w:val="000000" w:themeColor="text1"/>
          <w:sz w:val="28"/>
          <w:szCs w:val="28"/>
          <w:lang w:bidi="ar-EG"/>
        </w:rPr>
        <w:t xml:space="preserve"> (Tan &amp; Lee, 2022). </w:t>
      </w:r>
      <w:r w:rsidRPr="00641ED1">
        <w:rPr>
          <w:rFonts w:ascii="Simplified Arabic" w:eastAsia="Calibri" w:hAnsi="Simplified Arabic" w:cs="Simplified Arabic"/>
          <w:color w:val="000000" w:themeColor="text1"/>
          <w:sz w:val="28"/>
          <w:szCs w:val="28"/>
          <w:rtl/>
        </w:rPr>
        <w:t xml:space="preserve">أمّا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w:t>
      </w:r>
      <w:r w:rsidRPr="00641ED1">
        <w:rPr>
          <w:rFonts w:ascii="Simplified Arabic" w:eastAsia="Calibri" w:hAnsi="Simplified Arabic" w:cs="Simplified Arabic"/>
          <w:color w:val="000000" w:themeColor="text1"/>
          <w:sz w:val="28"/>
          <w:szCs w:val="28"/>
          <w:lang w:bidi="ar-EG"/>
        </w:rPr>
        <w:t xml:space="preserve"> (Service Disruption Risks) </w:t>
      </w:r>
      <w:r w:rsidRPr="00641ED1">
        <w:rPr>
          <w:rFonts w:ascii="Simplified Arabic" w:eastAsia="Calibri" w:hAnsi="Simplified Arabic" w:cs="Simplified Arabic"/>
          <w:color w:val="000000" w:themeColor="text1"/>
          <w:sz w:val="28"/>
          <w:szCs w:val="28"/>
          <w:rtl/>
        </w:rPr>
        <w:t>فتُشير إلى تلك الأحداث أو الظروف التي تُؤدّي إلى توقّف أو تدهور الخدمات المقدّمة للعملاء بشكل يُخلّ باتفاقيات مستوى الخدمة</w:t>
      </w:r>
      <w:r w:rsidRPr="00641ED1">
        <w:rPr>
          <w:rFonts w:ascii="Simplified Arabic" w:eastAsia="Calibri" w:hAnsi="Simplified Arabic" w:cs="Simplified Arabic"/>
          <w:color w:val="000000" w:themeColor="text1"/>
          <w:sz w:val="28"/>
          <w:szCs w:val="28"/>
          <w:lang w:bidi="ar-EG"/>
        </w:rPr>
        <w:t xml:space="preserve"> (SLA) </w:t>
      </w:r>
      <w:r w:rsidRPr="00641ED1">
        <w:rPr>
          <w:rFonts w:ascii="Simplified Arabic" w:eastAsia="Calibri" w:hAnsi="Simplified Arabic" w:cs="Simplified Arabic"/>
          <w:color w:val="000000" w:themeColor="text1"/>
          <w:sz w:val="28"/>
          <w:szCs w:val="28"/>
          <w:rtl/>
        </w:rPr>
        <w:t xml:space="preserve">ويُعرّض المنظّمة لخسائر مالية </w:t>
      </w:r>
      <w:proofErr w:type="spellStart"/>
      <w:r w:rsidRPr="00641ED1">
        <w:rPr>
          <w:rFonts w:ascii="Simplified Arabic" w:eastAsia="Calibri" w:hAnsi="Simplified Arabic" w:cs="Simplified Arabic"/>
          <w:color w:val="000000" w:themeColor="text1"/>
          <w:sz w:val="28"/>
          <w:szCs w:val="28"/>
          <w:rtl/>
        </w:rPr>
        <w:t>وسمعوية</w:t>
      </w:r>
      <w:proofErr w:type="spellEnd"/>
      <w:r w:rsidRPr="00641ED1">
        <w:rPr>
          <w:rFonts w:ascii="Simplified Arabic" w:eastAsia="Calibri" w:hAnsi="Simplified Arabic" w:cs="Simplified Arabic"/>
          <w:color w:val="000000" w:themeColor="text1"/>
          <w:sz w:val="28"/>
          <w:szCs w:val="28"/>
          <w:rtl/>
        </w:rPr>
        <w:t xml:space="preserve"> جسيمة</w:t>
      </w:r>
      <w:r w:rsidRPr="00641ED1">
        <w:rPr>
          <w:rFonts w:ascii="Simplified Arabic" w:eastAsia="Calibri" w:hAnsi="Simplified Arabic" w:cs="Simplified Arabic"/>
          <w:color w:val="000000" w:themeColor="text1"/>
          <w:sz w:val="28"/>
          <w:szCs w:val="28"/>
          <w:lang w:bidi="ar-EG"/>
        </w:rPr>
        <w:t xml:space="preserve"> (Jahani et al., 2021).</w:t>
      </w:r>
    </w:p>
    <w:p w14:paraId="377D042B"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وتقوم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على أربعة أبعاد متكاملة: أولها تحديد المخاطر الذي يُعنى بالكشف المنهجي عن مصادر التهديد الداخلية والخارجية التي قد تُعطّل تقديم الخدمة، سواء أكانت تقنية أم بشرية أم بيئية. ويستند هذا البُعد إلى نظرية “الوعي بالمخاطر</w:t>
      </w:r>
      <w:r w:rsidRPr="00641ED1">
        <w:rPr>
          <w:rFonts w:ascii="Simplified Arabic" w:eastAsia="Calibri" w:hAnsi="Simplified Arabic" w:cs="Simplified Arabic"/>
          <w:color w:val="000000" w:themeColor="text1"/>
          <w:sz w:val="28"/>
          <w:szCs w:val="28"/>
          <w:lang w:bidi="ar-EG"/>
        </w:rPr>
        <w:t xml:space="preserve">” (Risk Awareness Theory) </w:t>
      </w:r>
      <w:r w:rsidRPr="00641ED1">
        <w:rPr>
          <w:rFonts w:ascii="Simplified Arabic" w:eastAsia="Calibri" w:hAnsi="Simplified Arabic" w:cs="Simplified Arabic"/>
          <w:color w:val="000000" w:themeColor="text1"/>
          <w:sz w:val="28"/>
          <w:szCs w:val="28"/>
          <w:rtl/>
        </w:rPr>
        <w:t xml:space="preserve">التي تُؤكّد أنّ الفهم العميق لطبيعة المخاطر يُعدّ خطوة أولى لا غنى عنها في معالجتها. وثانيها تقييم </w:t>
      </w:r>
      <w:r w:rsidRPr="00641ED1">
        <w:rPr>
          <w:rFonts w:ascii="Simplified Arabic" w:eastAsia="Calibri" w:hAnsi="Simplified Arabic" w:cs="Simplified Arabic"/>
          <w:color w:val="000000" w:themeColor="text1"/>
          <w:sz w:val="28"/>
          <w:szCs w:val="28"/>
          <w:rtl/>
        </w:rPr>
        <w:lastRenderedPageBreak/>
        <w:t>المخاطر الذي يتضمّن قياس احتمالية وقوع كل مخاطرة وتقدير حجم أثرها المحتمل، بما يُمكّن المنظّمة من ترتيب أولويّاتها وتوجيه مواردها نحو المخاطر الأكثر خطورةً وتأثيراً (</w:t>
      </w:r>
      <w:proofErr w:type="spellStart"/>
      <w:r w:rsidRPr="00641ED1">
        <w:rPr>
          <w:rFonts w:ascii="Simplified Arabic" w:eastAsia="Calibri" w:hAnsi="Simplified Arabic" w:cs="Simplified Arabic"/>
          <w:color w:val="000000" w:themeColor="text1"/>
          <w:sz w:val="28"/>
          <w:szCs w:val="28"/>
          <w:rtl/>
        </w:rPr>
        <w:t>القهوادي</w:t>
      </w:r>
      <w:proofErr w:type="spellEnd"/>
      <w:r w:rsidRPr="00641ED1">
        <w:rPr>
          <w:rFonts w:ascii="Simplified Arabic" w:eastAsia="Calibri" w:hAnsi="Simplified Arabic" w:cs="Simplified Arabic"/>
          <w:color w:val="000000" w:themeColor="text1"/>
          <w:sz w:val="28"/>
          <w:szCs w:val="28"/>
          <w:rtl/>
        </w:rPr>
        <w:t xml:space="preserve">، 2024). وثالثها معالجة المخاطر الذي يشمل تحديد الاستراتيجية المناسبة للتعامل مع كل مخاطرة، سواءً </w:t>
      </w:r>
      <w:proofErr w:type="gramStart"/>
      <w:r w:rsidRPr="00641ED1">
        <w:rPr>
          <w:rFonts w:ascii="Simplified Arabic" w:eastAsia="Calibri" w:hAnsi="Simplified Arabic" w:cs="Simplified Arabic"/>
          <w:color w:val="000000" w:themeColor="text1"/>
          <w:sz w:val="28"/>
          <w:szCs w:val="28"/>
          <w:rtl/>
        </w:rPr>
        <w:t>بالتجنّب</w:t>
      </w:r>
      <w:proofErr w:type="gramEnd"/>
      <w:r w:rsidRPr="00641ED1">
        <w:rPr>
          <w:rFonts w:ascii="Simplified Arabic" w:eastAsia="Calibri" w:hAnsi="Simplified Arabic" w:cs="Simplified Arabic"/>
          <w:color w:val="000000" w:themeColor="text1"/>
          <w:sz w:val="28"/>
          <w:szCs w:val="28"/>
          <w:rtl/>
        </w:rPr>
        <w:t xml:space="preserve"> أو التقليل أو التحويل أو القبول، بما يتوافق مع درجة تحمّل المنظّمة للمخاطر وأهدافها الاستراتيجية (أحمد، 2024). ورابعها مراقبة المخاطر الذي يُمثّل عملية متابعة مستمرّة لفاعلية الإجراءات المتّخذة، وقياس مؤشّرات المخاطر الرئيسية</w:t>
      </w:r>
      <w:r w:rsidRPr="00641ED1">
        <w:rPr>
          <w:rFonts w:ascii="Simplified Arabic" w:eastAsia="Calibri" w:hAnsi="Simplified Arabic" w:cs="Simplified Arabic"/>
          <w:color w:val="000000" w:themeColor="text1"/>
          <w:sz w:val="28"/>
          <w:szCs w:val="28"/>
          <w:lang w:bidi="ar-EG"/>
        </w:rPr>
        <w:t xml:space="preserve"> (KRIs)</w:t>
      </w:r>
      <w:r w:rsidRPr="00641ED1">
        <w:rPr>
          <w:rFonts w:ascii="Simplified Arabic" w:eastAsia="Calibri" w:hAnsi="Simplified Arabic" w:cs="Simplified Arabic"/>
          <w:color w:val="000000" w:themeColor="text1"/>
          <w:sz w:val="28"/>
          <w:szCs w:val="28"/>
          <w:rtl/>
        </w:rPr>
        <w:t>، ومراجعة الاستراتيجيات في ضوء التغيّرات البيئية والتشغيلية (سنجاق الدين وحسين، 2022)</w:t>
      </w:r>
      <w:r w:rsidRPr="00641ED1">
        <w:rPr>
          <w:rFonts w:ascii="Simplified Arabic" w:eastAsia="Calibri" w:hAnsi="Simplified Arabic" w:cs="Simplified Arabic"/>
          <w:color w:val="000000" w:themeColor="text1"/>
          <w:sz w:val="28"/>
          <w:szCs w:val="28"/>
          <w:lang w:bidi="ar-EG"/>
        </w:rPr>
        <w:t>.</w:t>
      </w:r>
    </w:p>
    <w:p w14:paraId="5215AC94"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ويستند تطبيق هذه الاستراتيجيات إلى معايير دولية معتمدة، أبرزها معيار الأيزو</w:t>
      </w:r>
      <w:r w:rsidRPr="00641ED1">
        <w:rPr>
          <w:rFonts w:ascii="Simplified Arabic" w:eastAsia="Calibri" w:hAnsi="Simplified Arabic" w:cs="Simplified Arabic"/>
          <w:color w:val="000000" w:themeColor="text1"/>
          <w:sz w:val="28"/>
          <w:szCs w:val="28"/>
          <w:lang w:bidi="ar-EG"/>
        </w:rPr>
        <w:t xml:space="preserve"> (ISO 31000) </w:t>
      </w:r>
      <w:r w:rsidRPr="00641ED1">
        <w:rPr>
          <w:rFonts w:ascii="Simplified Arabic" w:eastAsia="Calibri" w:hAnsi="Simplified Arabic" w:cs="Simplified Arabic"/>
          <w:color w:val="000000" w:themeColor="text1"/>
          <w:sz w:val="28"/>
          <w:szCs w:val="28"/>
          <w:rtl/>
        </w:rPr>
        <w:t xml:space="preserve">لإدارة المخاطر، الذي يُقدّم إطاراً منهجياً متكاملاً للتعامل مع المخاطر بمختلف أنواعها. كما تتكامل هذه الاستراتيجيات مع منهجيات حديثة كالتوأم الرقمي لسلاسل الإمداد الذي يوظّف تقنيات المحاكاة والتحليل التنبّؤي في التعامل مع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الانقطاع</w:t>
      </w:r>
      <w:r w:rsidRPr="00641ED1">
        <w:rPr>
          <w:rFonts w:ascii="Simplified Arabic" w:eastAsia="Calibri" w:hAnsi="Simplified Arabic" w:cs="Simplified Arabic"/>
          <w:color w:val="000000" w:themeColor="text1"/>
          <w:sz w:val="28"/>
          <w:szCs w:val="28"/>
          <w:lang w:bidi="ar-EG"/>
        </w:rPr>
        <w:t xml:space="preserve"> (Ivanov &amp; Dolgui, 2021)</w:t>
      </w:r>
      <w:r w:rsidRPr="00641ED1">
        <w:rPr>
          <w:rFonts w:ascii="Simplified Arabic" w:eastAsia="Calibri" w:hAnsi="Simplified Arabic" w:cs="Simplified Arabic"/>
          <w:color w:val="000000" w:themeColor="text1"/>
          <w:sz w:val="28"/>
          <w:szCs w:val="28"/>
          <w:rtl/>
        </w:rPr>
        <w:t>، وأدوات الذكاء الاصطناعي والتعلّم العميق التي تُعزّز القدرة على استشراف المخاطر ومعالجتها بشكل استباقي</w:t>
      </w:r>
      <w:r w:rsidRPr="00641ED1">
        <w:rPr>
          <w:rFonts w:ascii="Simplified Arabic" w:eastAsia="Calibri" w:hAnsi="Simplified Arabic" w:cs="Simplified Arabic"/>
          <w:color w:val="000000" w:themeColor="text1"/>
          <w:sz w:val="28"/>
          <w:szCs w:val="28"/>
          <w:lang w:bidi="ar-EG"/>
        </w:rPr>
        <w:t xml:space="preserve"> (Wong et al., 2024).</w:t>
      </w:r>
    </w:p>
    <w:p w14:paraId="248A8422"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641ED1">
        <w:rPr>
          <w:rFonts w:ascii="Simplified Arabic" w:eastAsia="Calibri" w:hAnsi="Simplified Arabic" w:cs="Simplified Arabic"/>
          <w:b/>
          <w:bCs/>
          <w:color w:val="000000" w:themeColor="text1"/>
          <w:sz w:val="32"/>
          <w:szCs w:val="32"/>
          <w:rtl/>
        </w:rPr>
        <w:t>المحور الثاني: استمرارية الأعمال</w:t>
      </w:r>
      <w:r w:rsidRPr="00641ED1">
        <w:rPr>
          <w:rFonts w:ascii="Simplified Arabic" w:eastAsia="Calibri" w:hAnsi="Simplified Arabic" w:cs="Simplified Arabic"/>
          <w:b/>
          <w:bCs/>
          <w:color w:val="000000" w:themeColor="text1"/>
          <w:sz w:val="32"/>
          <w:szCs w:val="32"/>
          <w:lang w:bidi="ar-EG"/>
        </w:rPr>
        <w:t xml:space="preserve"> (Business Continuity)</w:t>
      </w:r>
    </w:p>
    <w:p w14:paraId="70FBC213"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يُعدّ مفهوم استمرارية الأعمال من المفاهيم الإدارية الحديثة التي اكتسبت زخماً كبيراً في أعقاب الأزمات العالمية المتلاحقة، ولا سيّما جائحة كوفيد-19 التي كشفت عن هشاشة كثير من المنظّمات في مواجهة الاضطرابات المفاجئة. وتُعرَّف استمرارية الأعمال وفقاً لمعيار الأيزو</w:t>
      </w:r>
      <w:r w:rsidRPr="00641ED1">
        <w:rPr>
          <w:rFonts w:ascii="Simplified Arabic" w:eastAsia="Calibri" w:hAnsi="Simplified Arabic" w:cs="Simplified Arabic"/>
          <w:color w:val="000000" w:themeColor="text1"/>
          <w:sz w:val="28"/>
          <w:szCs w:val="28"/>
          <w:lang w:bidi="ar-EG"/>
        </w:rPr>
        <w:t xml:space="preserve"> (ISO 22301) </w:t>
      </w:r>
      <w:r w:rsidRPr="00641ED1">
        <w:rPr>
          <w:rFonts w:ascii="Simplified Arabic" w:eastAsia="Calibri" w:hAnsi="Simplified Arabic" w:cs="Simplified Arabic"/>
          <w:color w:val="000000" w:themeColor="text1"/>
          <w:sz w:val="28"/>
          <w:szCs w:val="28"/>
          <w:rtl/>
        </w:rPr>
        <w:t xml:space="preserve">بأنّها قدرة المنظّمة على مواصلة تقديم منتجاتها أو خدماتها عند مستويات مقبولة مسبقاً في أعقاب الحوادث المُعطِّلة. ويقوم هذا المفهوم على فرضية جوهرية مفادها أنّ الأزمات ليست حدثاً </w:t>
      </w:r>
      <w:proofErr w:type="gramStart"/>
      <w:r w:rsidRPr="00641ED1">
        <w:rPr>
          <w:rFonts w:ascii="Simplified Arabic" w:eastAsia="Calibri" w:hAnsi="Simplified Arabic" w:cs="Simplified Arabic"/>
          <w:color w:val="000000" w:themeColor="text1"/>
          <w:sz w:val="28"/>
          <w:szCs w:val="28"/>
          <w:rtl/>
        </w:rPr>
        <w:t>استثنائياً</w:t>
      </w:r>
      <w:proofErr w:type="gramEnd"/>
      <w:r w:rsidRPr="00641ED1">
        <w:rPr>
          <w:rFonts w:ascii="Simplified Arabic" w:eastAsia="Calibri" w:hAnsi="Simplified Arabic" w:cs="Simplified Arabic"/>
          <w:color w:val="000000" w:themeColor="text1"/>
          <w:sz w:val="28"/>
          <w:szCs w:val="28"/>
          <w:rtl/>
        </w:rPr>
        <w:t xml:space="preserve"> بل جزءاً طبيعياً من دورة حياة المنظّمات، وأنّ الاستعداد المسبق لها هو ما يُميّز المنظّمات الناجحة عن غيرها (شديد، 2022؛</w:t>
      </w:r>
      <w:r w:rsidRPr="00641ED1">
        <w:rPr>
          <w:rFonts w:ascii="Simplified Arabic" w:eastAsia="Calibri" w:hAnsi="Simplified Arabic" w:cs="Simplified Arabic"/>
          <w:color w:val="000000" w:themeColor="text1"/>
          <w:sz w:val="28"/>
          <w:szCs w:val="28"/>
          <w:lang w:bidi="ar-EG"/>
        </w:rPr>
        <w:t xml:space="preserve"> Margherita &amp; Heikkil</w:t>
      </w:r>
      <w:r w:rsidRPr="00641ED1">
        <w:rPr>
          <w:rFonts w:ascii="Cambria" w:eastAsia="Calibri" w:hAnsi="Cambria" w:cs="Cambria"/>
          <w:color w:val="000000" w:themeColor="text1"/>
          <w:sz w:val="28"/>
          <w:szCs w:val="28"/>
          <w:lang w:bidi="ar-EG"/>
        </w:rPr>
        <w:t>ä</w:t>
      </w:r>
      <w:r w:rsidRPr="00641ED1">
        <w:rPr>
          <w:rFonts w:ascii="Simplified Arabic" w:eastAsia="Calibri" w:hAnsi="Simplified Arabic" w:cs="Simplified Arabic"/>
          <w:color w:val="000000" w:themeColor="text1"/>
          <w:sz w:val="28"/>
          <w:szCs w:val="28"/>
          <w:lang w:bidi="ar-EG"/>
        </w:rPr>
        <w:t>, 2021).</w:t>
      </w:r>
    </w:p>
    <w:p w14:paraId="055135D0" w14:textId="22B1B7EF"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وتقوم استمرارية الأعمال على أربعة أبعاد رئيسية: أولها التخطيط الاستباقي الذي يُعنى بإعداد خطط مكتوبة ومعتمدة تحدّد الإجراءات الواجب اتّباعها لضمان استمرار العمليات الجوهرية في حال وقوع اضطراب، ويستند إلى نظرية “التخطيط للطوارئ</w:t>
      </w:r>
      <w:r w:rsidRPr="00641ED1">
        <w:rPr>
          <w:rFonts w:ascii="Simplified Arabic" w:eastAsia="Calibri" w:hAnsi="Simplified Arabic" w:cs="Simplified Arabic"/>
          <w:color w:val="000000" w:themeColor="text1"/>
          <w:sz w:val="28"/>
          <w:szCs w:val="28"/>
          <w:lang w:bidi="ar-EG"/>
        </w:rPr>
        <w:t xml:space="preserve">” (Contingency Planning Theory). </w:t>
      </w:r>
      <w:r w:rsidRPr="00641ED1">
        <w:rPr>
          <w:rFonts w:ascii="Simplified Arabic" w:eastAsia="Calibri" w:hAnsi="Simplified Arabic" w:cs="Simplified Arabic"/>
          <w:color w:val="000000" w:themeColor="text1"/>
          <w:sz w:val="28"/>
          <w:szCs w:val="28"/>
          <w:rtl/>
        </w:rPr>
        <w:t xml:space="preserve">وثانيها إدارة </w:t>
      </w:r>
      <w:r w:rsidRPr="00641ED1">
        <w:rPr>
          <w:rFonts w:ascii="Simplified Arabic" w:eastAsia="Calibri" w:hAnsi="Simplified Arabic" w:cs="Simplified Arabic"/>
          <w:color w:val="000000" w:themeColor="text1"/>
          <w:sz w:val="28"/>
          <w:szCs w:val="28"/>
          <w:rtl/>
        </w:rPr>
        <w:lastRenderedPageBreak/>
        <w:t xml:space="preserve">الأزمات الذي يشمل الاستجابة الفورية والمنسّقة عند وقوع الحادث، من خلال تفعيل فِرق إدارة الأزمات وتنفيذ خطط الاتصال والتصعيد (صلاح، 2025). وثالثها المرونة التنظيمية </w:t>
      </w:r>
      <w:r w:rsidRPr="00641ED1">
        <w:rPr>
          <w:rFonts w:ascii="Simplified Arabic" w:eastAsia="Calibri" w:hAnsi="Simplified Arabic" w:cs="Simplified Arabic"/>
          <w:color w:val="000000" w:themeColor="text1"/>
          <w:sz w:val="28"/>
          <w:szCs w:val="28"/>
          <w:lang w:bidi="ar-EG"/>
        </w:rPr>
        <w:t xml:space="preserve">(Organizational Resilience) </w:t>
      </w:r>
      <w:r w:rsidRPr="00641ED1">
        <w:rPr>
          <w:rFonts w:ascii="Simplified Arabic" w:eastAsia="Calibri" w:hAnsi="Simplified Arabic" w:cs="Simplified Arabic"/>
          <w:color w:val="000000" w:themeColor="text1"/>
          <w:sz w:val="28"/>
          <w:szCs w:val="28"/>
          <w:rtl/>
        </w:rPr>
        <w:t>الذي يُشير إلى القدرة الديناميكية للمنظّمة على التكيّف مع الظروف المتغيّرة، وامتصاص الصدمات، والتعافي بسرعة، ويستند إلى نظرية المرونة التنظيمية التي تُؤكّد على أهمّية الموارد الديناميكية والقدرات التكيّفية</w:t>
      </w:r>
      <w:r w:rsidRPr="00641ED1">
        <w:rPr>
          <w:rFonts w:ascii="Simplified Arabic" w:eastAsia="Calibri" w:hAnsi="Simplified Arabic" w:cs="Simplified Arabic"/>
          <w:color w:val="000000" w:themeColor="text1"/>
          <w:sz w:val="28"/>
          <w:szCs w:val="28"/>
          <w:lang w:bidi="ar-EG"/>
        </w:rPr>
        <w:t xml:space="preserve"> (Wijaya et al., 2025). </w:t>
      </w:r>
      <w:r w:rsidRPr="00641ED1">
        <w:rPr>
          <w:rFonts w:ascii="Simplified Arabic" w:eastAsia="Calibri" w:hAnsi="Simplified Arabic" w:cs="Simplified Arabic"/>
          <w:color w:val="000000" w:themeColor="text1"/>
          <w:sz w:val="28"/>
          <w:szCs w:val="28"/>
          <w:rtl/>
        </w:rPr>
        <w:t>ورابعها التعافي الذي يُعنى بإعادة العمليات إلى مستوياتها الطبيعية بأسرع وقت ممكن وبأقل خسائر، ويرتبط بمفهوم “زمن التعافي المستهدف</w:t>
      </w:r>
      <w:r w:rsidRPr="00641ED1">
        <w:rPr>
          <w:rFonts w:ascii="Simplified Arabic" w:eastAsia="Calibri" w:hAnsi="Simplified Arabic" w:cs="Simplified Arabic"/>
          <w:color w:val="000000" w:themeColor="text1"/>
          <w:sz w:val="28"/>
          <w:szCs w:val="28"/>
          <w:lang w:bidi="ar-EG"/>
        </w:rPr>
        <w:t xml:space="preserve">” (RTO) </w:t>
      </w:r>
      <w:r w:rsidRPr="00641ED1">
        <w:rPr>
          <w:rFonts w:ascii="Simplified Arabic" w:eastAsia="Calibri" w:hAnsi="Simplified Arabic" w:cs="Simplified Arabic"/>
          <w:color w:val="000000" w:themeColor="text1"/>
          <w:sz w:val="28"/>
          <w:szCs w:val="28"/>
          <w:rtl/>
        </w:rPr>
        <w:t>و"نقطة التعافي المستهدفة</w:t>
      </w:r>
      <w:r w:rsidRPr="00641ED1">
        <w:rPr>
          <w:rFonts w:ascii="Simplified Arabic" w:eastAsia="Calibri" w:hAnsi="Simplified Arabic" w:cs="Simplified Arabic"/>
          <w:color w:val="000000" w:themeColor="text1"/>
          <w:sz w:val="28"/>
          <w:szCs w:val="28"/>
          <w:lang w:bidi="ar-EG"/>
        </w:rPr>
        <w:t>" (RPO) (</w:t>
      </w:r>
      <w:r w:rsidRPr="00641ED1">
        <w:rPr>
          <w:rFonts w:ascii="Simplified Arabic" w:eastAsia="Calibri" w:hAnsi="Simplified Arabic" w:cs="Simplified Arabic"/>
          <w:color w:val="000000" w:themeColor="text1"/>
          <w:sz w:val="28"/>
          <w:szCs w:val="28"/>
          <w:rtl/>
        </w:rPr>
        <w:t>الزعبي والشوابكة، 2023</w:t>
      </w:r>
    </w:p>
    <w:p w14:paraId="178A170D"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641ED1">
        <w:rPr>
          <w:rFonts w:ascii="Simplified Arabic" w:eastAsia="Calibri" w:hAnsi="Simplified Arabic" w:cs="Simplified Arabic"/>
          <w:b/>
          <w:bCs/>
          <w:color w:val="000000" w:themeColor="text1"/>
          <w:sz w:val="32"/>
          <w:szCs w:val="32"/>
          <w:rtl/>
        </w:rPr>
        <w:t>العلاقة النظرية بين المتغيّرَين والنظريات الحاكمة</w:t>
      </w:r>
    </w:p>
    <w:p w14:paraId="27A300D3"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تستند العلاقة بين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واستمرارية الأعمال إلى جملة من النظريات المتكاملة؛ فأوّلها نظرية إدارة المخاطر المؤسسية</w:t>
      </w:r>
      <w:r w:rsidRPr="00641ED1">
        <w:rPr>
          <w:rFonts w:ascii="Simplified Arabic" w:eastAsia="Calibri" w:hAnsi="Simplified Arabic" w:cs="Simplified Arabic"/>
          <w:color w:val="000000" w:themeColor="text1"/>
          <w:sz w:val="28"/>
          <w:szCs w:val="28"/>
          <w:lang w:bidi="ar-EG"/>
        </w:rPr>
        <w:t xml:space="preserve"> (ERM Theory) </w:t>
      </w:r>
      <w:r w:rsidRPr="00641ED1">
        <w:rPr>
          <w:rFonts w:ascii="Simplified Arabic" w:eastAsia="Calibri" w:hAnsi="Simplified Arabic" w:cs="Simplified Arabic"/>
          <w:color w:val="000000" w:themeColor="text1"/>
          <w:sz w:val="28"/>
          <w:szCs w:val="28"/>
          <w:rtl/>
        </w:rPr>
        <w:t>التي تنظر إلى المخاطر واستمرارية الأعمال باعتبارهما وجهين لعملة واحدة، إذ إنّ الإدارة الفعّالة للمخاطر تُقلّل من احتمالات وقوع الاضطرابات، فيما تكفل استمرارية الأعمال الاستجابة الفعّالة عند وقوعها</w:t>
      </w:r>
      <w:r w:rsidRPr="00641ED1">
        <w:rPr>
          <w:rFonts w:ascii="Simplified Arabic" w:eastAsia="Calibri" w:hAnsi="Simplified Arabic" w:cs="Simplified Arabic"/>
          <w:color w:val="000000" w:themeColor="text1"/>
          <w:sz w:val="28"/>
          <w:szCs w:val="28"/>
          <w:lang w:bidi="ar-EG"/>
        </w:rPr>
        <w:t xml:space="preserve"> (Tan &amp; Lee, 2022). </w:t>
      </w:r>
      <w:r w:rsidRPr="00641ED1">
        <w:rPr>
          <w:rFonts w:ascii="Simplified Arabic" w:eastAsia="Calibri" w:hAnsi="Simplified Arabic" w:cs="Simplified Arabic"/>
          <w:color w:val="000000" w:themeColor="text1"/>
          <w:sz w:val="28"/>
          <w:szCs w:val="28"/>
          <w:rtl/>
        </w:rPr>
        <w:t>وثانيها نظرية القدرات الديناميكية</w:t>
      </w:r>
      <w:r w:rsidRPr="00641ED1">
        <w:rPr>
          <w:rFonts w:ascii="Simplified Arabic" w:eastAsia="Calibri" w:hAnsi="Simplified Arabic" w:cs="Simplified Arabic"/>
          <w:color w:val="000000" w:themeColor="text1"/>
          <w:sz w:val="28"/>
          <w:szCs w:val="28"/>
          <w:lang w:bidi="ar-EG"/>
        </w:rPr>
        <w:t xml:space="preserve"> (Dynamic Capabilities Theory) </w:t>
      </w:r>
      <w:r w:rsidRPr="00641ED1">
        <w:rPr>
          <w:rFonts w:ascii="Simplified Arabic" w:eastAsia="Calibri" w:hAnsi="Simplified Arabic" w:cs="Simplified Arabic"/>
          <w:color w:val="000000" w:themeColor="text1"/>
          <w:sz w:val="28"/>
          <w:szCs w:val="28"/>
          <w:rtl/>
        </w:rPr>
        <w:t>التي تُؤكّد أنّ قدرة المنظّمة على استشعار التهديدات واغتنام الفرص وإعادة تشكيل مواردها هي مصدر الميزة التنافسية في البيئات المضطربة. وثالثها نظرية النظم</w:t>
      </w:r>
      <w:r w:rsidRPr="00641ED1">
        <w:rPr>
          <w:rFonts w:ascii="Simplified Arabic" w:eastAsia="Calibri" w:hAnsi="Simplified Arabic" w:cs="Simplified Arabic"/>
          <w:color w:val="000000" w:themeColor="text1"/>
          <w:sz w:val="28"/>
          <w:szCs w:val="28"/>
          <w:lang w:bidi="ar-EG"/>
        </w:rPr>
        <w:t xml:space="preserve"> (Systems Theory) </w:t>
      </w:r>
      <w:r w:rsidRPr="00641ED1">
        <w:rPr>
          <w:rFonts w:ascii="Simplified Arabic" w:eastAsia="Calibri" w:hAnsi="Simplified Arabic" w:cs="Simplified Arabic"/>
          <w:color w:val="000000" w:themeColor="text1"/>
          <w:sz w:val="28"/>
          <w:szCs w:val="28"/>
          <w:rtl/>
        </w:rPr>
        <w:t>التي تنظر إلى المنظّمة بوصفها نظاماً مفتوحاً يتفاعل مع بيئته، وتُبرز أهمّية التكامل بين النظم الفرعية لإدارة المخاطر واستمرارية الأعمال</w:t>
      </w:r>
      <w:r w:rsidRPr="00641ED1">
        <w:rPr>
          <w:rFonts w:ascii="Simplified Arabic" w:eastAsia="Calibri" w:hAnsi="Simplified Arabic" w:cs="Simplified Arabic"/>
          <w:color w:val="000000" w:themeColor="text1"/>
          <w:sz w:val="28"/>
          <w:szCs w:val="28"/>
          <w:lang w:bidi="ar-EG"/>
        </w:rPr>
        <w:t xml:space="preserve"> (</w:t>
      </w:r>
      <w:proofErr w:type="spellStart"/>
      <w:r w:rsidRPr="00641ED1">
        <w:rPr>
          <w:rFonts w:ascii="Simplified Arabic" w:eastAsia="Calibri" w:hAnsi="Simplified Arabic" w:cs="Simplified Arabic"/>
          <w:color w:val="000000" w:themeColor="text1"/>
          <w:sz w:val="28"/>
          <w:szCs w:val="28"/>
          <w:lang w:bidi="ar-EG"/>
        </w:rPr>
        <w:t>Moškov</w:t>
      </w:r>
      <w:r w:rsidRPr="00641ED1">
        <w:rPr>
          <w:rFonts w:ascii="Cambria" w:eastAsia="Calibri" w:hAnsi="Cambria" w:cs="Cambria"/>
          <w:color w:val="000000" w:themeColor="text1"/>
          <w:sz w:val="28"/>
          <w:szCs w:val="28"/>
          <w:lang w:bidi="ar-EG"/>
        </w:rPr>
        <w:t>á</w:t>
      </w:r>
      <w:proofErr w:type="spellEnd"/>
      <w:r w:rsidRPr="00641ED1">
        <w:rPr>
          <w:rFonts w:ascii="Simplified Arabic" w:eastAsia="Calibri" w:hAnsi="Simplified Arabic" w:cs="Simplified Arabic"/>
          <w:color w:val="000000" w:themeColor="text1"/>
          <w:sz w:val="28"/>
          <w:szCs w:val="28"/>
          <w:lang w:bidi="ar-EG"/>
        </w:rPr>
        <w:t xml:space="preserve"> &amp; </w:t>
      </w:r>
      <w:proofErr w:type="spellStart"/>
      <w:r w:rsidRPr="00641ED1">
        <w:rPr>
          <w:rFonts w:ascii="Simplified Arabic" w:eastAsia="Calibri" w:hAnsi="Simplified Arabic" w:cs="Simplified Arabic"/>
          <w:color w:val="000000" w:themeColor="text1"/>
          <w:sz w:val="28"/>
          <w:szCs w:val="28"/>
          <w:lang w:bidi="ar-EG"/>
        </w:rPr>
        <w:t>Buganov</w:t>
      </w:r>
      <w:r w:rsidRPr="00641ED1">
        <w:rPr>
          <w:rFonts w:ascii="Cambria" w:eastAsia="Calibri" w:hAnsi="Cambria" w:cs="Cambria"/>
          <w:color w:val="000000" w:themeColor="text1"/>
          <w:sz w:val="28"/>
          <w:szCs w:val="28"/>
          <w:lang w:bidi="ar-EG"/>
        </w:rPr>
        <w:t>á</w:t>
      </w:r>
      <w:proofErr w:type="spellEnd"/>
      <w:r w:rsidRPr="00641ED1">
        <w:rPr>
          <w:rFonts w:ascii="Simplified Arabic" w:eastAsia="Calibri" w:hAnsi="Simplified Arabic" w:cs="Simplified Arabic"/>
          <w:color w:val="000000" w:themeColor="text1"/>
          <w:sz w:val="28"/>
          <w:szCs w:val="28"/>
          <w:lang w:bidi="ar-EG"/>
        </w:rPr>
        <w:t xml:space="preserve">, 2023). </w:t>
      </w:r>
      <w:r w:rsidRPr="00641ED1">
        <w:rPr>
          <w:rFonts w:ascii="Simplified Arabic" w:eastAsia="Calibri" w:hAnsi="Simplified Arabic" w:cs="Simplified Arabic"/>
          <w:color w:val="000000" w:themeColor="text1"/>
          <w:sz w:val="28"/>
          <w:szCs w:val="28"/>
          <w:rtl/>
        </w:rPr>
        <w:t>ورابعها نظرية الطوارئ</w:t>
      </w:r>
      <w:r w:rsidRPr="00641ED1">
        <w:rPr>
          <w:rFonts w:ascii="Simplified Arabic" w:eastAsia="Calibri" w:hAnsi="Simplified Arabic" w:cs="Simplified Arabic"/>
          <w:color w:val="000000" w:themeColor="text1"/>
          <w:sz w:val="28"/>
          <w:szCs w:val="28"/>
          <w:lang w:bidi="ar-EG"/>
        </w:rPr>
        <w:t xml:space="preserve"> (Contingency Theory) </w:t>
      </w:r>
      <w:r w:rsidRPr="00641ED1">
        <w:rPr>
          <w:rFonts w:ascii="Simplified Arabic" w:eastAsia="Calibri" w:hAnsi="Simplified Arabic" w:cs="Simplified Arabic"/>
          <w:color w:val="000000" w:themeColor="text1"/>
          <w:sz w:val="28"/>
          <w:szCs w:val="28"/>
          <w:rtl/>
        </w:rPr>
        <w:t>التي تُؤكّد أنّ فاعلية الممارسات الإدارية تتوقّف على ملاءمتها للسياق التنظيمي والبيئي، وهو ما يُبرّر أهمّية تكييف استراتيجيات إدارة المخاطر مع خصوصية قطاع الاتصالات</w:t>
      </w:r>
      <w:r w:rsidRPr="00641ED1">
        <w:rPr>
          <w:rFonts w:ascii="Simplified Arabic" w:eastAsia="Calibri" w:hAnsi="Simplified Arabic" w:cs="Simplified Arabic"/>
          <w:color w:val="000000" w:themeColor="text1"/>
          <w:sz w:val="28"/>
          <w:szCs w:val="28"/>
          <w:lang w:bidi="ar-EG"/>
        </w:rPr>
        <w:t>.</w:t>
      </w:r>
    </w:p>
    <w:p w14:paraId="336373D9"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وتنعكس هذه العلاقة النظرية عملياً في أنّ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تُغذّي خطط استمرارية الأعمال بالمعلومات اللازمة عن طبيعة المخاطر وأولوياتها، فيما تُوفّر خطط استمرارية الأعمال إطاراً تنفيذياً لمعالجة المخاطر عند تحقّقها. ويؤكّد هذا التكامل ما توصّلت إليه دراسة</w:t>
      </w:r>
      <w:r w:rsidRPr="00641ED1">
        <w:rPr>
          <w:rFonts w:ascii="Simplified Arabic" w:eastAsia="Calibri" w:hAnsi="Simplified Arabic" w:cs="Simplified Arabic"/>
          <w:color w:val="000000" w:themeColor="text1"/>
          <w:sz w:val="28"/>
          <w:szCs w:val="28"/>
          <w:lang w:bidi="ar-EG"/>
        </w:rPr>
        <w:t xml:space="preserve"> (Dreyfus &amp; Nair, 2022) </w:t>
      </w:r>
      <w:r w:rsidRPr="00641ED1">
        <w:rPr>
          <w:rFonts w:ascii="Simplified Arabic" w:eastAsia="Calibri" w:hAnsi="Simplified Arabic" w:cs="Simplified Arabic"/>
          <w:color w:val="000000" w:themeColor="text1"/>
          <w:sz w:val="28"/>
          <w:szCs w:val="28"/>
          <w:rtl/>
        </w:rPr>
        <w:t>من أنّ البنية التحتية لإدارة المخاطر تُخفّف من الأثر السلبي للاضطرابات التشغيلية على الأداء، كما تؤكّده دراسة</w:t>
      </w:r>
      <w:r w:rsidRPr="00641ED1">
        <w:rPr>
          <w:rFonts w:ascii="Simplified Arabic" w:eastAsia="Calibri" w:hAnsi="Simplified Arabic" w:cs="Simplified Arabic"/>
          <w:color w:val="000000" w:themeColor="text1"/>
          <w:sz w:val="28"/>
          <w:szCs w:val="28"/>
          <w:lang w:bidi="ar-EG"/>
        </w:rPr>
        <w:t xml:space="preserve"> (</w:t>
      </w:r>
      <w:proofErr w:type="spellStart"/>
      <w:r w:rsidRPr="00641ED1">
        <w:rPr>
          <w:rFonts w:ascii="Simplified Arabic" w:eastAsia="Calibri" w:hAnsi="Simplified Arabic" w:cs="Simplified Arabic"/>
          <w:color w:val="000000" w:themeColor="text1"/>
          <w:sz w:val="28"/>
          <w:szCs w:val="28"/>
          <w:lang w:bidi="ar-EG"/>
        </w:rPr>
        <w:t>Ambarwati</w:t>
      </w:r>
      <w:proofErr w:type="spellEnd"/>
      <w:r w:rsidRPr="00641ED1">
        <w:rPr>
          <w:rFonts w:ascii="Simplified Arabic" w:eastAsia="Calibri" w:hAnsi="Simplified Arabic" w:cs="Simplified Arabic"/>
          <w:color w:val="000000" w:themeColor="text1"/>
          <w:sz w:val="28"/>
          <w:szCs w:val="28"/>
          <w:lang w:bidi="ar-EG"/>
        </w:rPr>
        <w:t xml:space="preserve"> et al., 2024) </w:t>
      </w:r>
      <w:r w:rsidRPr="00641ED1">
        <w:rPr>
          <w:rFonts w:ascii="Simplified Arabic" w:eastAsia="Calibri" w:hAnsi="Simplified Arabic" w:cs="Simplified Arabic"/>
          <w:color w:val="000000" w:themeColor="text1"/>
          <w:sz w:val="28"/>
          <w:szCs w:val="28"/>
          <w:rtl/>
        </w:rPr>
        <w:t>من أنّ تقييم المخاطر والسيطرة عليها يُعزّز استمرارية الأعمال في القطاعات الحيوية</w:t>
      </w:r>
      <w:r w:rsidRPr="00641ED1">
        <w:rPr>
          <w:rFonts w:ascii="Simplified Arabic" w:eastAsia="Calibri" w:hAnsi="Simplified Arabic" w:cs="Simplified Arabic"/>
          <w:color w:val="000000" w:themeColor="text1"/>
          <w:sz w:val="28"/>
          <w:szCs w:val="28"/>
          <w:lang w:bidi="ar-EG"/>
        </w:rPr>
        <w:t>.</w:t>
      </w:r>
    </w:p>
    <w:p w14:paraId="09601378"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 xml:space="preserve">وفي ضوء هذه المنطلقات النظرية، تُقدّم الدراسة الحالية إطاراً مفاهيمياً متكاملاً يفترض وجود أثر إيجابي مباشر لاستراتيجيات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بأبعادها الأربعة على استمرارية الأعمال بأبعادها الأربعة، وذلك في السياق التطبيقي لشركات الاتصالات في المملكة العربية السعودية، بما يُسهم في تعزيز قدرتها على مواجهة الاضطرابات، وضمان تدفّق الخدمة، وتحقيق الاستدامة المؤسسية بما يتّسق مع مستهدفات رؤية المملكة 2030</w:t>
      </w:r>
      <w:r w:rsidRPr="00641ED1">
        <w:rPr>
          <w:rFonts w:ascii="Simplified Arabic" w:eastAsia="Calibri" w:hAnsi="Simplified Arabic" w:cs="Simplified Arabic"/>
          <w:color w:val="000000" w:themeColor="text1"/>
          <w:sz w:val="28"/>
          <w:szCs w:val="28"/>
          <w:lang w:bidi="ar-EG"/>
        </w:rPr>
        <w:t>.</w:t>
      </w:r>
    </w:p>
    <w:p w14:paraId="45BCD5B9" w14:textId="33A6FE93" w:rsidR="0077109A" w:rsidRPr="00641ED1" w:rsidRDefault="00781571" w:rsidP="00781571">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0" w:name="_Toc233993660"/>
      <w:r w:rsidRPr="00641ED1">
        <w:rPr>
          <w:rFonts w:ascii="Simplified Arabic" w:eastAsia="Calibri" w:hAnsi="Simplified Arabic" w:cs="Simplified Arabic" w:hint="cs"/>
          <w:b/>
          <w:bCs/>
          <w:color w:val="000000" w:themeColor="text1"/>
          <w:sz w:val="36"/>
          <w:szCs w:val="36"/>
          <w:rtl/>
        </w:rPr>
        <w:t xml:space="preserve">10.1 </w:t>
      </w:r>
      <w:r w:rsidR="0077109A" w:rsidRPr="00641ED1">
        <w:rPr>
          <w:rFonts w:ascii="Simplified Arabic" w:eastAsia="Calibri" w:hAnsi="Simplified Arabic" w:cs="Simplified Arabic"/>
          <w:b/>
          <w:bCs/>
          <w:color w:val="000000" w:themeColor="text1"/>
          <w:sz w:val="36"/>
          <w:szCs w:val="36"/>
          <w:rtl/>
        </w:rPr>
        <w:t>منهجية الدراسة</w:t>
      </w:r>
      <w:bookmarkEnd w:id="10"/>
    </w:p>
    <w:p w14:paraId="785FFA90"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ستعتمد الدراسة الحالية على المنهج الوصفي التحليلي، بوصفه المنهج الأنسب لطبيعة الدراسة وأهدافها، إذ يقوم على وصف الظاهرة موضوع الدراسة وصفاً دقيقاً من خلال جمع البيانات والمعلومات المتعلّقة بها، ثم تحليلها وتفسيرها للوصول إلى استنتاجات علمية موضوعية. وسيُوظَّف هذا المنهج في وصف مستوى تطبيق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بأبعادها المختلفة (تحديد المخاطر، تقييم المخاطر، معالجة المخاطر، مراقبة المخاطر) في شركات الاتصالات السعودية، وكذلك في وصف مستوى تبنّي ممارسات استمرارية الأعمال في تلك الشركات، وذلك بالاعتماد على البيانات الميدانية التي ستُجمَع من مفردات عيّنة الدراسة</w:t>
      </w:r>
      <w:r w:rsidRPr="00641ED1">
        <w:rPr>
          <w:rFonts w:ascii="Simplified Arabic" w:eastAsia="Calibri" w:hAnsi="Simplified Arabic" w:cs="Simplified Arabic"/>
          <w:color w:val="000000" w:themeColor="text1"/>
          <w:sz w:val="28"/>
          <w:szCs w:val="28"/>
          <w:lang w:bidi="ar-EG"/>
        </w:rPr>
        <w:t>.</w:t>
      </w:r>
    </w:p>
    <w:p w14:paraId="151C56C8"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كما ستستعين الدراسة بالأسلوب التحليلي الإحصائي لاختبار فروض الدراسة وقياس أثر المتغيّر المستقل بأبعاده على المتغيّر التابع، وذلك من خلال توظيف الأساليب الإحصائية الملائمة كتحليل الانحدار البسيط والمتعدّد. كما سيُستعان بالمنهج الوثائقي في بناء الإطار النظري للدراسة من خلال الرجوع إلى الأدبيات والدراسات السابقة العربية والأجنبية والمراجع العلمية والدوريات المحكّمة ذات الصلة بمتغيّرات الدراسة، بما يُسهم في تكوين خلفية معرفية متينة تدعم الجانب الميداني وتُثري نتائج التحليل</w:t>
      </w:r>
      <w:r w:rsidRPr="00641ED1">
        <w:rPr>
          <w:rFonts w:ascii="Simplified Arabic" w:eastAsia="Calibri" w:hAnsi="Simplified Arabic" w:cs="Simplified Arabic"/>
          <w:color w:val="000000" w:themeColor="text1"/>
          <w:sz w:val="28"/>
          <w:szCs w:val="28"/>
          <w:lang w:bidi="ar-EG"/>
        </w:rPr>
        <w:t>.</w:t>
      </w:r>
    </w:p>
    <w:p w14:paraId="7B8C8158" w14:textId="1E65BEC3" w:rsidR="0077109A" w:rsidRPr="00641ED1" w:rsidRDefault="00781571" w:rsidP="00781571">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1" w:name="_Toc233993661"/>
      <w:r w:rsidRPr="00641ED1">
        <w:rPr>
          <w:rFonts w:ascii="Simplified Arabic" w:eastAsia="Calibri" w:hAnsi="Simplified Arabic" w:cs="Simplified Arabic" w:hint="cs"/>
          <w:b/>
          <w:bCs/>
          <w:color w:val="000000" w:themeColor="text1"/>
          <w:sz w:val="36"/>
          <w:szCs w:val="36"/>
          <w:rtl/>
          <w:lang w:bidi="ar-EG"/>
        </w:rPr>
        <w:t xml:space="preserve">11.1 </w:t>
      </w:r>
      <w:r w:rsidR="0077109A" w:rsidRPr="00641ED1">
        <w:rPr>
          <w:rFonts w:ascii="Simplified Arabic" w:eastAsia="Calibri" w:hAnsi="Simplified Arabic" w:cs="Simplified Arabic"/>
          <w:b/>
          <w:bCs/>
          <w:color w:val="000000" w:themeColor="text1"/>
          <w:sz w:val="36"/>
          <w:szCs w:val="36"/>
          <w:rtl/>
        </w:rPr>
        <w:t>مجتمع وعيّنة الدراسة</w:t>
      </w:r>
      <w:bookmarkEnd w:id="11"/>
    </w:p>
    <w:p w14:paraId="584AFB7D"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سيتكوّن مجتمع الدراسة من العاملين في الإدارات ذات الصلة بإدارة المخاطر واستمرارية الأعمال في شركات الاتصالات الرئيسية العاملة في المملكة العربية السعودية، وهي: شركة الاتصالات السعودية</w:t>
      </w:r>
      <w:r w:rsidRPr="00641ED1">
        <w:rPr>
          <w:rFonts w:ascii="Simplified Arabic" w:eastAsia="Calibri" w:hAnsi="Simplified Arabic" w:cs="Simplified Arabic"/>
          <w:color w:val="000000" w:themeColor="text1"/>
          <w:sz w:val="28"/>
          <w:szCs w:val="28"/>
          <w:lang w:bidi="ar-EG"/>
        </w:rPr>
        <w:t xml:space="preserve"> (STC)</w:t>
      </w:r>
      <w:r w:rsidRPr="00641ED1">
        <w:rPr>
          <w:rFonts w:ascii="Simplified Arabic" w:eastAsia="Calibri" w:hAnsi="Simplified Arabic" w:cs="Simplified Arabic"/>
          <w:color w:val="000000" w:themeColor="text1"/>
          <w:sz w:val="28"/>
          <w:szCs w:val="28"/>
          <w:rtl/>
        </w:rPr>
        <w:t>، وشركة موبايلي</w:t>
      </w:r>
      <w:r w:rsidRPr="00641ED1">
        <w:rPr>
          <w:rFonts w:ascii="Simplified Arabic" w:eastAsia="Calibri" w:hAnsi="Simplified Arabic" w:cs="Simplified Arabic"/>
          <w:color w:val="000000" w:themeColor="text1"/>
          <w:sz w:val="28"/>
          <w:szCs w:val="28"/>
          <w:lang w:bidi="ar-EG"/>
        </w:rPr>
        <w:t xml:space="preserve"> (Mobily)</w:t>
      </w:r>
      <w:r w:rsidRPr="00641ED1">
        <w:rPr>
          <w:rFonts w:ascii="Simplified Arabic" w:eastAsia="Calibri" w:hAnsi="Simplified Arabic" w:cs="Simplified Arabic"/>
          <w:color w:val="000000" w:themeColor="text1"/>
          <w:sz w:val="28"/>
          <w:szCs w:val="28"/>
          <w:rtl/>
        </w:rPr>
        <w:t>، وشركة زين السعودية</w:t>
      </w:r>
      <w:r w:rsidRPr="00641ED1">
        <w:rPr>
          <w:rFonts w:ascii="Simplified Arabic" w:eastAsia="Calibri" w:hAnsi="Simplified Arabic" w:cs="Simplified Arabic"/>
          <w:color w:val="000000" w:themeColor="text1"/>
          <w:sz w:val="28"/>
          <w:szCs w:val="28"/>
          <w:lang w:bidi="ar-EG"/>
        </w:rPr>
        <w:t xml:space="preserve"> (Zain KSA)</w:t>
      </w:r>
      <w:r w:rsidRPr="00641ED1">
        <w:rPr>
          <w:rFonts w:ascii="Simplified Arabic" w:eastAsia="Calibri" w:hAnsi="Simplified Arabic" w:cs="Simplified Arabic"/>
          <w:color w:val="000000" w:themeColor="text1"/>
          <w:sz w:val="28"/>
          <w:szCs w:val="28"/>
          <w:rtl/>
        </w:rPr>
        <w:t xml:space="preserve">، والتي تُشكّل مجتمعةً القطاع الرئيسي لخدمات الاتصالات في المملكة. ويشمل مجتمع الدراسة الفئات الوظيفية المعنيّة مباشرةً بموضوع </w:t>
      </w:r>
      <w:r w:rsidRPr="00641ED1">
        <w:rPr>
          <w:rFonts w:ascii="Simplified Arabic" w:eastAsia="Calibri" w:hAnsi="Simplified Arabic" w:cs="Simplified Arabic"/>
          <w:color w:val="000000" w:themeColor="text1"/>
          <w:sz w:val="28"/>
          <w:szCs w:val="28"/>
          <w:rtl/>
        </w:rPr>
        <w:lastRenderedPageBreak/>
        <w:t>الدراسة، وهم المديرون التنفيذيون ورؤساء الأقسام والمشرفون والمهندسون والمختصّون العاملون في إدارات إدارة المخاطر، واستمرارية الأعمال، والعمليات، وتقنية المعلومات، والجودة، وأمن المعلومات، والبالغ عددهم وفق الإحصاءات التقديرية نحو (1200) موظّف في الشركات الثلاث مجتمعة</w:t>
      </w:r>
      <w:r w:rsidRPr="00641ED1">
        <w:rPr>
          <w:rFonts w:ascii="Simplified Arabic" w:eastAsia="Calibri" w:hAnsi="Simplified Arabic" w:cs="Simplified Arabic"/>
          <w:color w:val="000000" w:themeColor="text1"/>
          <w:sz w:val="28"/>
          <w:szCs w:val="28"/>
          <w:lang w:bidi="ar-EG"/>
        </w:rPr>
        <w:t>.</w:t>
      </w:r>
    </w:p>
    <w:p w14:paraId="4F9EC140"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ونظراً لصعوبة إجراء الحصر الشامل لجميع مفردات مجتمع الدراسة، ستعتمد الدراسة على أسلوب العيّنة العشوائية الطبقية </w:t>
      </w:r>
      <w:r w:rsidRPr="00641ED1">
        <w:rPr>
          <w:rFonts w:ascii="Simplified Arabic" w:eastAsia="Calibri" w:hAnsi="Simplified Arabic" w:cs="Simplified Arabic"/>
          <w:color w:val="000000" w:themeColor="text1"/>
          <w:sz w:val="28"/>
          <w:szCs w:val="28"/>
          <w:lang w:bidi="ar-EG"/>
        </w:rPr>
        <w:t>(Stratified Random Sampling)</w:t>
      </w:r>
      <w:r w:rsidRPr="00641ED1">
        <w:rPr>
          <w:rFonts w:ascii="Simplified Arabic" w:eastAsia="Calibri" w:hAnsi="Simplified Arabic" w:cs="Simplified Arabic"/>
          <w:color w:val="000000" w:themeColor="text1"/>
          <w:sz w:val="28"/>
          <w:szCs w:val="28"/>
          <w:rtl/>
        </w:rPr>
        <w:t>، بما يضمن تمثيلاً عادلاً لجميع فئات المجتمع. وباستخدام معادلة</w:t>
      </w:r>
      <w:r w:rsidRPr="00641ED1">
        <w:rPr>
          <w:rFonts w:ascii="Simplified Arabic" w:eastAsia="Calibri" w:hAnsi="Simplified Arabic" w:cs="Simplified Arabic"/>
          <w:color w:val="000000" w:themeColor="text1"/>
          <w:sz w:val="28"/>
          <w:szCs w:val="28"/>
          <w:lang w:bidi="ar-EG"/>
        </w:rPr>
        <w:t xml:space="preserve"> (Stephen Thompson) </w:t>
      </w:r>
      <w:r w:rsidRPr="00641ED1">
        <w:rPr>
          <w:rFonts w:ascii="Simplified Arabic" w:eastAsia="Calibri" w:hAnsi="Simplified Arabic" w:cs="Simplified Arabic"/>
          <w:color w:val="000000" w:themeColor="text1"/>
          <w:sz w:val="28"/>
          <w:szCs w:val="28"/>
          <w:rtl/>
        </w:rPr>
        <w:t xml:space="preserve">لتحديد حجم العيّنة عند مستوى ثقة (95%) وهامش خطأ (5%)، سيبلغ حجم العيّنة المستهدف نحو </w:t>
      </w:r>
      <w:r w:rsidRPr="00641ED1">
        <w:rPr>
          <w:rFonts w:ascii="Simplified Arabic" w:eastAsia="Calibri" w:hAnsi="Simplified Arabic" w:cs="Simplified Arabic"/>
          <w:color w:val="000000" w:themeColor="text1"/>
          <w:sz w:val="28"/>
          <w:szCs w:val="28"/>
          <w:lang w:bidi="ar-EG"/>
        </w:rPr>
        <w:t xml:space="preserve">(291) </w:t>
      </w:r>
      <w:r w:rsidRPr="00641ED1">
        <w:rPr>
          <w:rFonts w:ascii="Simplified Arabic" w:eastAsia="Calibri" w:hAnsi="Simplified Arabic" w:cs="Simplified Arabic"/>
          <w:color w:val="000000" w:themeColor="text1"/>
          <w:sz w:val="28"/>
          <w:szCs w:val="28"/>
          <w:rtl/>
        </w:rPr>
        <w:t>مفردة، وسيتم توزيع (350) استبانة لضمان الحصول على العدد المطلوب بعد استبعاد الاستبانات غير الصالحة للتحليل، ويُتوقّع استرداد ما لا يقل عن (310) استبانة صالحة للتحليل الإحصائي بنسبة استجابة تُقدّر بنحو</w:t>
      </w:r>
      <w:r w:rsidRPr="00641ED1">
        <w:rPr>
          <w:rFonts w:ascii="Simplified Arabic" w:eastAsia="Calibri" w:hAnsi="Simplified Arabic" w:cs="Simplified Arabic"/>
          <w:color w:val="000000" w:themeColor="text1"/>
          <w:sz w:val="28"/>
          <w:szCs w:val="28"/>
          <w:lang w:bidi="ar-EG"/>
        </w:rPr>
        <w:t xml:space="preserve"> (88.5%).</w:t>
      </w:r>
    </w:p>
    <w:p w14:paraId="011F5780" w14:textId="30B06EF4" w:rsidR="0077109A" w:rsidRPr="00641ED1" w:rsidRDefault="00781571" w:rsidP="00781571">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2" w:name="_Toc233993662"/>
      <w:r w:rsidRPr="00641ED1">
        <w:rPr>
          <w:rFonts w:ascii="Simplified Arabic" w:eastAsia="Calibri" w:hAnsi="Simplified Arabic" w:cs="Simplified Arabic" w:hint="cs"/>
          <w:b/>
          <w:bCs/>
          <w:color w:val="000000" w:themeColor="text1"/>
          <w:sz w:val="36"/>
          <w:szCs w:val="36"/>
          <w:rtl/>
          <w:lang w:bidi="ar-EG"/>
        </w:rPr>
        <w:t xml:space="preserve">12.1 </w:t>
      </w:r>
      <w:r w:rsidR="0077109A" w:rsidRPr="00641ED1">
        <w:rPr>
          <w:rFonts w:ascii="Simplified Arabic" w:eastAsia="Calibri" w:hAnsi="Simplified Arabic" w:cs="Simplified Arabic"/>
          <w:b/>
          <w:bCs/>
          <w:color w:val="000000" w:themeColor="text1"/>
          <w:sz w:val="36"/>
          <w:szCs w:val="36"/>
          <w:rtl/>
        </w:rPr>
        <w:t>مصادر جمع البيانات</w:t>
      </w:r>
      <w:bookmarkEnd w:id="12"/>
    </w:p>
    <w:p w14:paraId="2A6C88BE"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ستعتمد الدراسة في جمع بياناتها على مصدرين رئيسيين</w:t>
      </w:r>
      <w:r w:rsidRPr="00641ED1">
        <w:rPr>
          <w:rFonts w:ascii="Simplified Arabic" w:eastAsia="Calibri" w:hAnsi="Simplified Arabic" w:cs="Simplified Arabic"/>
          <w:b/>
          <w:bCs/>
          <w:color w:val="000000" w:themeColor="text1"/>
          <w:sz w:val="28"/>
          <w:szCs w:val="28"/>
          <w:lang w:bidi="ar-EG"/>
        </w:rPr>
        <w:t>:</w:t>
      </w:r>
    </w:p>
    <w:p w14:paraId="20C6A031"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المصادر الثانوية</w:t>
      </w:r>
      <w:r w:rsidRPr="00641ED1">
        <w:rPr>
          <w:rFonts w:ascii="Simplified Arabic" w:eastAsia="Calibri" w:hAnsi="Simplified Arabic" w:cs="Simplified Arabic"/>
          <w:color w:val="000000" w:themeColor="text1"/>
          <w:sz w:val="28"/>
          <w:szCs w:val="28"/>
          <w:lang w:bidi="ar-EG"/>
        </w:rPr>
        <w:t xml:space="preserve">: </w:t>
      </w:r>
      <w:r w:rsidRPr="00641ED1">
        <w:rPr>
          <w:rFonts w:ascii="Simplified Arabic" w:eastAsia="Calibri" w:hAnsi="Simplified Arabic" w:cs="Simplified Arabic"/>
          <w:color w:val="000000" w:themeColor="text1"/>
          <w:sz w:val="28"/>
          <w:szCs w:val="28"/>
          <w:rtl/>
        </w:rPr>
        <w:t>وتشمل الكتب العلمية، والدوريات المحكّمة، والرسائل الجامعية، والأبحاث والمؤتمرات العلمية العربية والأجنبية، والتقارير الرسمية الصادرة عن هيئة الاتصالات والفضاء والتقنية</w:t>
      </w:r>
      <w:r w:rsidRPr="00641ED1">
        <w:rPr>
          <w:rFonts w:ascii="Simplified Arabic" w:eastAsia="Calibri" w:hAnsi="Simplified Arabic" w:cs="Simplified Arabic"/>
          <w:color w:val="000000" w:themeColor="text1"/>
          <w:sz w:val="28"/>
          <w:szCs w:val="28"/>
          <w:lang w:bidi="ar-EG"/>
        </w:rPr>
        <w:t xml:space="preserve"> (CST)</w:t>
      </w:r>
      <w:r w:rsidRPr="00641ED1">
        <w:rPr>
          <w:rFonts w:ascii="Simplified Arabic" w:eastAsia="Calibri" w:hAnsi="Simplified Arabic" w:cs="Simplified Arabic"/>
          <w:color w:val="000000" w:themeColor="text1"/>
          <w:sz w:val="28"/>
          <w:szCs w:val="28"/>
          <w:rtl/>
        </w:rPr>
        <w:t>، وشركات الاتصالات السعودية، فضلاً عن المعايير الدولية ذات الصلة كمعيار</w:t>
      </w:r>
      <w:r w:rsidRPr="00641ED1">
        <w:rPr>
          <w:rFonts w:ascii="Simplified Arabic" w:eastAsia="Calibri" w:hAnsi="Simplified Arabic" w:cs="Simplified Arabic"/>
          <w:color w:val="000000" w:themeColor="text1"/>
          <w:sz w:val="28"/>
          <w:szCs w:val="28"/>
          <w:lang w:bidi="ar-EG"/>
        </w:rPr>
        <w:t xml:space="preserve"> (ISO 31000) </w:t>
      </w:r>
      <w:r w:rsidRPr="00641ED1">
        <w:rPr>
          <w:rFonts w:ascii="Simplified Arabic" w:eastAsia="Calibri" w:hAnsi="Simplified Arabic" w:cs="Simplified Arabic"/>
          <w:color w:val="000000" w:themeColor="text1"/>
          <w:sz w:val="28"/>
          <w:szCs w:val="28"/>
          <w:rtl/>
        </w:rPr>
        <w:t>لإدارة المخاطر، ومعيار</w:t>
      </w:r>
      <w:r w:rsidRPr="00641ED1">
        <w:rPr>
          <w:rFonts w:ascii="Simplified Arabic" w:eastAsia="Calibri" w:hAnsi="Simplified Arabic" w:cs="Simplified Arabic"/>
          <w:color w:val="000000" w:themeColor="text1"/>
          <w:sz w:val="28"/>
          <w:szCs w:val="28"/>
          <w:lang w:bidi="ar-EG"/>
        </w:rPr>
        <w:t xml:space="preserve"> (ISO 22301) </w:t>
      </w:r>
      <w:r w:rsidRPr="00641ED1">
        <w:rPr>
          <w:rFonts w:ascii="Simplified Arabic" w:eastAsia="Calibri" w:hAnsi="Simplified Arabic" w:cs="Simplified Arabic"/>
          <w:color w:val="000000" w:themeColor="text1"/>
          <w:sz w:val="28"/>
          <w:szCs w:val="28"/>
          <w:rtl/>
        </w:rPr>
        <w:t>لاستمرارية الأعمال، وسيُستفاد منها في بناء الإطار النظري للدراسة واستعراض الدراسات السابقة</w:t>
      </w:r>
      <w:r w:rsidRPr="00641ED1">
        <w:rPr>
          <w:rFonts w:ascii="Simplified Arabic" w:eastAsia="Calibri" w:hAnsi="Simplified Arabic" w:cs="Simplified Arabic"/>
          <w:color w:val="000000" w:themeColor="text1"/>
          <w:sz w:val="28"/>
          <w:szCs w:val="28"/>
          <w:lang w:bidi="ar-EG"/>
        </w:rPr>
        <w:t>.</w:t>
      </w:r>
    </w:p>
    <w:p w14:paraId="7EFC3B7F"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المصادر الأوّلية</w:t>
      </w:r>
      <w:r w:rsidRPr="00641ED1">
        <w:rPr>
          <w:rFonts w:ascii="Simplified Arabic" w:eastAsia="Calibri" w:hAnsi="Simplified Arabic" w:cs="Simplified Arabic"/>
          <w:color w:val="000000" w:themeColor="text1"/>
          <w:sz w:val="28"/>
          <w:szCs w:val="28"/>
          <w:lang w:bidi="ar-EG"/>
        </w:rPr>
        <w:t xml:space="preserve">: </w:t>
      </w:r>
      <w:r w:rsidRPr="00641ED1">
        <w:rPr>
          <w:rFonts w:ascii="Simplified Arabic" w:eastAsia="Calibri" w:hAnsi="Simplified Arabic" w:cs="Simplified Arabic"/>
          <w:color w:val="000000" w:themeColor="text1"/>
          <w:sz w:val="28"/>
          <w:szCs w:val="28"/>
          <w:rtl/>
        </w:rPr>
        <w:t>وستتمثّل في البيانات الميدانية التي ستُجمَع من مفردات عيّنة الدراسة عبر أداة الاستبانة المصمّمة لهذا الغرض، والتي ستُوزّع على العاملين في شركات الاتصالات السعودية للحصول على آرائهم حول متغيّرات الدراسة</w:t>
      </w:r>
      <w:r w:rsidRPr="00641ED1">
        <w:rPr>
          <w:rFonts w:ascii="Simplified Arabic" w:eastAsia="Calibri" w:hAnsi="Simplified Arabic" w:cs="Simplified Arabic"/>
          <w:color w:val="000000" w:themeColor="text1"/>
          <w:sz w:val="28"/>
          <w:szCs w:val="28"/>
          <w:lang w:bidi="ar-EG"/>
        </w:rPr>
        <w:t>.</w:t>
      </w:r>
    </w:p>
    <w:p w14:paraId="254B8010" w14:textId="0B7FA659" w:rsidR="0077109A" w:rsidRPr="00641ED1" w:rsidRDefault="00781571" w:rsidP="00781571">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3" w:name="_Toc233993663"/>
      <w:r w:rsidRPr="00641ED1">
        <w:rPr>
          <w:rFonts w:ascii="Simplified Arabic" w:eastAsia="Calibri" w:hAnsi="Simplified Arabic" w:cs="Simplified Arabic" w:hint="cs"/>
          <w:b/>
          <w:bCs/>
          <w:color w:val="000000" w:themeColor="text1"/>
          <w:sz w:val="36"/>
          <w:szCs w:val="36"/>
          <w:rtl/>
          <w:lang w:bidi="ar-EG"/>
        </w:rPr>
        <w:t xml:space="preserve">13.1 </w:t>
      </w:r>
      <w:r w:rsidR="0077109A" w:rsidRPr="00641ED1">
        <w:rPr>
          <w:rFonts w:ascii="Simplified Arabic" w:eastAsia="Calibri" w:hAnsi="Simplified Arabic" w:cs="Simplified Arabic"/>
          <w:b/>
          <w:bCs/>
          <w:color w:val="000000" w:themeColor="text1"/>
          <w:sz w:val="36"/>
          <w:szCs w:val="36"/>
          <w:rtl/>
        </w:rPr>
        <w:t>أداة الدراسة</w:t>
      </w:r>
      <w:bookmarkEnd w:id="13"/>
    </w:p>
    <w:p w14:paraId="5C7CAFB1" w14:textId="77777777" w:rsidR="0077109A" w:rsidRPr="00641ED1" w:rsidRDefault="0077109A" w:rsidP="00781571">
      <w:pPr>
        <w:pStyle w:val="ListParagraph"/>
        <w:tabs>
          <w:tab w:val="right" w:pos="-1"/>
        </w:tabs>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ستعتمد الدراسة على الاستبانة أداةً رئيسيةً لجمع البيانات، وستُصمَّم في ضوء الأدبيات والدراسات السابقة ذات الصلة بمتغيّرات الدراسة، وستتكوّن من ثلاثة أقسام رئيسية</w:t>
      </w:r>
      <w:r w:rsidRPr="00641ED1">
        <w:rPr>
          <w:rFonts w:ascii="Simplified Arabic" w:eastAsia="Calibri" w:hAnsi="Simplified Arabic" w:cs="Simplified Arabic"/>
          <w:color w:val="000000" w:themeColor="text1"/>
          <w:sz w:val="28"/>
          <w:szCs w:val="28"/>
          <w:lang w:bidi="ar-EG"/>
        </w:rPr>
        <w:t>:</w:t>
      </w:r>
    </w:p>
    <w:p w14:paraId="366CF6E3" w14:textId="77777777" w:rsidR="0077109A" w:rsidRPr="00641ED1" w:rsidRDefault="0077109A" w:rsidP="00781571">
      <w:pPr>
        <w:pStyle w:val="ListParagraph"/>
        <w:tabs>
          <w:tab w:val="right" w:pos="-1"/>
        </w:tabs>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القسم الأول: البيانات الديموغرافية ويتضمّن (5) فقرات تتعلّق بالخصائص الشخصية والوظيفية للمبحوثين (الجنس، العمر، المؤهّل العلمي، سنوات الخبرة، المسمّى الوظيفي)</w:t>
      </w:r>
      <w:r w:rsidRPr="00641ED1">
        <w:rPr>
          <w:rFonts w:ascii="Simplified Arabic" w:eastAsia="Calibri" w:hAnsi="Simplified Arabic" w:cs="Simplified Arabic"/>
          <w:color w:val="000000" w:themeColor="text1"/>
          <w:sz w:val="28"/>
          <w:szCs w:val="28"/>
          <w:lang w:bidi="ar-EG"/>
        </w:rPr>
        <w:t>.</w:t>
      </w:r>
    </w:p>
    <w:p w14:paraId="0D483749" w14:textId="77777777" w:rsidR="0077109A" w:rsidRPr="00641ED1" w:rsidRDefault="0077109A" w:rsidP="00781571">
      <w:pPr>
        <w:pStyle w:val="ListParagraph"/>
        <w:tabs>
          <w:tab w:val="right" w:pos="-1"/>
        </w:tabs>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القسم الثاني: المتغيّر المستقل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ويتضمّن (16) فقرة موزّعة على أربعة أبعاد على النحو التالي</w:t>
      </w:r>
      <w:r w:rsidRPr="00641ED1">
        <w:rPr>
          <w:rFonts w:ascii="Simplified Arabic" w:eastAsia="Calibri" w:hAnsi="Simplified Arabic" w:cs="Simplified Arabic"/>
          <w:color w:val="000000" w:themeColor="text1"/>
          <w:sz w:val="28"/>
          <w:szCs w:val="28"/>
          <w:lang w:bidi="ar-EG"/>
        </w:rPr>
        <w:t>:</w:t>
      </w:r>
    </w:p>
    <w:p w14:paraId="267DB6AD" w14:textId="77777777" w:rsidR="0077109A" w:rsidRPr="00641ED1" w:rsidRDefault="0077109A" w:rsidP="00781571">
      <w:pPr>
        <w:pStyle w:val="ListParagraph"/>
        <w:numPr>
          <w:ilvl w:val="0"/>
          <w:numId w:val="45"/>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البُعد الأول: تحديد المخاطر (4) فقرات</w:t>
      </w:r>
      <w:r w:rsidRPr="00641ED1">
        <w:rPr>
          <w:rFonts w:ascii="Simplified Arabic" w:eastAsia="Calibri" w:hAnsi="Simplified Arabic" w:cs="Simplified Arabic"/>
          <w:color w:val="000000" w:themeColor="text1"/>
          <w:sz w:val="28"/>
          <w:szCs w:val="28"/>
          <w:lang w:bidi="ar-EG"/>
        </w:rPr>
        <w:t>.</w:t>
      </w:r>
    </w:p>
    <w:p w14:paraId="3FD5C571" w14:textId="77777777" w:rsidR="0077109A" w:rsidRPr="00641ED1" w:rsidRDefault="0077109A" w:rsidP="00781571">
      <w:pPr>
        <w:pStyle w:val="ListParagraph"/>
        <w:numPr>
          <w:ilvl w:val="0"/>
          <w:numId w:val="45"/>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البُعد الثاني: تقييم المخاطر (4) فقرات</w:t>
      </w:r>
      <w:r w:rsidRPr="00641ED1">
        <w:rPr>
          <w:rFonts w:ascii="Simplified Arabic" w:eastAsia="Calibri" w:hAnsi="Simplified Arabic" w:cs="Simplified Arabic"/>
          <w:color w:val="000000" w:themeColor="text1"/>
          <w:sz w:val="28"/>
          <w:szCs w:val="28"/>
          <w:lang w:bidi="ar-EG"/>
        </w:rPr>
        <w:t>.</w:t>
      </w:r>
    </w:p>
    <w:p w14:paraId="07045B8B" w14:textId="77777777" w:rsidR="0077109A" w:rsidRPr="00641ED1" w:rsidRDefault="0077109A" w:rsidP="00781571">
      <w:pPr>
        <w:pStyle w:val="ListParagraph"/>
        <w:numPr>
          <w:ilvl w:val="0"/>
          <w:numId w:val="45"/>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البُعد الثالث: معالجة المخاطر (4) فقرات</w:t>
      </w:r>
      <w:r w:rsidRPr="00641ED1">
        <w:rPr>
          <w:rFonts w:ascii="Simplified Arabic" w:eastAsia="Calibri" w:hAnsi="Simplified Arabic" w:cs="Simplified Arabic"/>
          <w:color w:val="000000" w:themeColor="text1"/>
          <w:sz w:val="28"/>
          <w:szCs w:val="28"/>
          <w:lang w:bidi="ar-EG"/>
        </w:rPr>
        <w:t>.</w:t>
      </w:r>
    </w:p>
    <w:p w14:paraId="4D388EA8" w14:textId="77777777" w:rsidR="0077109A" w:rsidRPr="00641ED1" w:rsidRDefault="0077109A" w:rsidP="00781571">
      <w:pPr>
        <w:pStyle w:val="ListParagraph"/>
        <w:numPr>
          <w:ilvl w:val="0"/>
          <w:numId w:val="45"/>
        </w:numPr>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البُعد الرابع: مراقبة المخاطر (4) فقرات</w:t>
      </w:r>
      <w:r w:rsidRPr="00641ED1">
        <w:rPr>
          <w:rFonts w:ascii="Simplified Arabic" w:eastAsia="Calibri" w:hAnsi="Simplified Arabic" w:cs="Simplified Arabic"/>
          <w:color w:val="000000" w:themeColor="text1"/>
          <w:sz w:val="28"/>
          <w:szCs w:val="28"/>
          <w:lang w:bidi="ar-EG"/>
        </w:rPr>
        <w:t>.</w:t>
      </w:r>
    </w:p>
    <w:p w14:paraId="0DC58E7D" w14:textId="77777777" w:rsidR="0077109A" w:rsidRPr="00641ED1" w:rsidRDefault="0077109A" w:rsidP="00781571">
      <w:pPr>
        <w:pStyle w:val="ListParagraph"/>
        <w:tabs>
          <w:tab w:val="right" w:pos="-1"/>
        </w:tabs>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القسم الثالث: المتغيّر التابع استمرارية الأعمال، وسيُقاس بمحور أحادي يتكوّن من (10) فقرات</w:t>
      </w:r>
      <w:r w:rsidRPr="00641ED1">
        <w:rPr>
          <w:rFonts w:ascii="Simplified Arabic" w:eastAsia="Calibri" w:hAnsi="Simplified Arabic" w:cs="Simplified Arabic"/>
          <w:color w:val="000000" w:themeColor="text1"/>
          <w:sz w:val="28"/>
          <w:szCs w:val="28"/>
          <w:lang w:bidi="ar-EG"/>
        </w:rPr>
        <w:t>.</w:t>
      </w:r>
    </w:p>
    <w:p w14:paraId="6EF80183" w14:textId="77777777" w:rsidR="0077109A" w:rsidRPr="00641ED1" w:rsidRDefault="0077109A" w:rsidP="00781571">
      <w:pPr>
        <w:pStyle w:val="ListParagraph"/>
        <w:tabs>
          <w:tab w:val="right" w:pos="-1"/>
        </w:tabs>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وبذلك يبلغ إجمالي فقرات الاستبانة </w:t>
      </w:r>
      <w:r w:rsidRPr="00641ED1">
        <w:rPr>
          <w:rFonts w:ascii="Simplified Arabic" w:eastAsia="Calibri" w:hAnsi="Simplified Arabic" w:cs="Simplified Arabic"/>
          <w:color w:val="000000" w:themeColor="text1"/>
          <w:sz w:val="28"/>
          <w:szCs w:val="28"/>
          <w:lang w:bidi="ar-EG"/>
        </w:rPr>
        <w:t xml:space="preserve">(31) </w:t>
      </w:r>
      <w:r w:rsidRPr="00641ED1">
        <w:rPr>
          <w:rFonts w:ascii="Simplified Arabic" w:eastAsia="Calibri" w:hAnsi="Simplified Arabic" w:cs="Simplified Arabic"/>
          <w:color w:val="000000" w:themeColor="text1"/>
          <w:sz w:val="28"/>
          <w:szCs w:val="28"/>
          <w:rtl/>
        </w:rPr>
        <w:t xml:space="preserve">فقرة، وستُقاس فقرات المتغيّرَين المستقل والتابع باستخدام مقياس </w:t>
      </w:r>
      <w:proofErr w:type="spellStart"/>
      <w:r w:rsidRPr="00641ED1">
        <w:rPr>
          <w:rFonts w:ascii="Simplified Arabic" w:eastAsia="Calibri" w:hAnsi="Simplified Arabic" w:cs="Simplified Arabic"/>
          <w:color w:val="000000" w:themeColor="text1"/>
          <w:sz w:val="28"/>
          <w:szCs w:val="28"/>
          <w:rtl/>
        </w:rPr>
        <w:t>ليكرت</w:t>
      </w:r>
      <w:proofErr w:type="spellEnd"/>
      <w:r w:rsidRPr="00641ED1">
        <w:rPr>
          <w:rFonts w:ascii="Simplified Arabic" w:eastAsia="Calibri" w:hAnsi="Simplified Arabic" w:cs="Simplified Arabic"/>
          <w:color w:val="000000" w:themeColor="text1"/>
          <w:sz w:val="28"/>
          <w:szCs w:val="28"/>
          <w:rtl/>
        </w:rPr>
        <w:t xml:space="preserve"> الخماسي المتدرّج (موافق بشدّة = 5، موافق = 4، محايد = 3، غير موافق = 2، غير موافق بشدّة = 1). وسيُتحقّق من صدق الأداة من خلال عرضها على مجموعة من المحكّمين المتخصّصين (الصدق الظاهري)، فضلاً عن حساب الصدق البنائي</w:t>
      </w:r>
      <w:r w:rsidRPr="00641ED1">
        <w:rPr>
          <w:rFonts w:ascii="Simplified Arabic" w:eastAsia="Calibri" w:hAnsi="Simplified Arabic" w:cs="Simplified Arabic"/>
          <w:color w:val="000000" w:themeColor="text1"/>
          <w:sz w:val="28"/>
          <w:szCs w:val="28"/>
          <w:lang w:bidi="ar-EG"/>
        </w:rPr>
        <w:t xml:space="preserve"> (Construct Validity)</w:t>
      </w:r>
      <w:r w:rsidRPr="00641ED1">
        <w:rPr>
          <w:rFonts w:ascii="Simplified Arabic" w:eastAsia="Calibri" w:hAnsi="Simplified Arabic" w:cs="Simplified Arabic"/>
          <w:color w:val="000000" w:themeColor="text1"/>
          <w:sz w:val="28"/>
          <w:szCs w:val="28"/>
          <w:rtl/>
        </w:rPr>
        <w:t xml:space="preserve">، كما سيُتحقّق من ثباتها باستخدام معامل ألفا </w:t>
      </w:r>
      <w:proofErr w:type="spellStart"/>
      <w:r w:rsidRPr="00641ED1">
        <w:rPr>
          <w:rFonts w:ascii="Simplified Arabic" w:eastAsia="Calibri" w:hAnsi="Simplified Arabic" w:cs="Simplified Arabic"/>
          <w:color w:val="000000" w:themeColor="text1"/>
          <w:sz w:val="28"/>
          <w:szCs w:val="28"/>
          <w:rtl/>
        </w:rPr>
        <w:t>كرونباخ</w:t>
      </w:r>
      <w:proofErr w:type="spellEnd"/>
      <w:r w:rsidRPr="00641ED1">
        <w:rPr>
          <w:rFonts w:ascii="Simplified Arabic" w:eastAsia="Calibri" w:hAnsi="Simplified Arabic" w:cs="Simplified Arabic"/>
          <w:color w:val="000000" w:themeColor="text1"/>
          <w:sz w:val="28"/>
          <w:szCs w:val="28"/>
          <w:lang w:bidi="ar-EG"/>
        </w:rPr>
        <w:t xml:space="preserve"> (Cronbach’s Alpha)</w:t>
      </w:r>
      <w:r w:rsidRPr="00641ED1">
        <w:rPr>
          <w:rFonts w:ascii="Simplified Arabic" w:eastAsia="Calibri" w:hAnsi="Simplified Arabic" w:cs="Simplified Arabic"/>
          <w:color w:val="000000" w:themeColor="text1"/>
          <w:sz w:val="28"/>
          <w:szCs w:val="28"/>
          <w:rtl/>
        </w:rPr>
        <w:t>، على أن تكون قيمته أكبر من (0.70) لضمان الاعتماد على النتائج</w:t>
      </w:r>
      <w:r w:rsidRPr="00641ED1">
        <w:rPr>
          <w:rFonts w:ascii="Simplified Arabic" w:eastAsia="Calibri" w:hAnsi="Simplified Arabic" w:cs="Simplified Arabic"/>
          <w:color w:val="000000" w:themeColor="text1"/>
          <w:sz w:val="28"/>
          <w:szCs w:val="28"/>
          <w:lang w:bidi="ar-EG"/>
        </w:rPr>
        <w:t>.</w:t>
      </w:r>
    </w:p>
    <w:p w14:paraId="44285D19" w14:textId="76E09136" w:rsidR="0077109A" w:rsidRPr="00641ED1" w:rsidRDefault="00781571" w:rsidP="00781571">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4" w:name="_Toc233993664"/>
      <w:r w:rsidRPr="00641ED1">
        <w:rPr>
          <w:rFonts w:ascii="Simplified Arabic" w:eastAsia="Calibri" w:hAnsi="Simplified Arabic" w:cs="Simplified Arabic" w:hint="cs"/>
          <w:b/>
          <w:bCs/>
          <w:color w:val="000000" w:themeColor="text1"/>
          <w:sz w:val="36"/>
          <w:szCs w:val="36"/>
          <w:rtl/>
          <w:lang w:bidi="ar-EG"/>
        </w:rPr>
        <w:t xml:space="preserve">14.1 </w:t>
      </w:r>
      <w:r w:rsidR="0077109A" w:rsidRPr="00641ED1">
        <w:rPr>
          <w:rFonts w:ascii="Simplified Arabic" w:eastAsia="Calibri" w:hAnsi="Simplified Arabic" w:cs="Simplified Arabic"/>
          <w:b/>
          <w:bCs/>
          <w:color w:val="000000" w:themeColor="text1"/>
          <w:sz w:val="36"/>
          <w:szCs w:val="36"/>
          <w:rtl/>
        </w:rPr>
        <w:t>الأساليب الإحصائية المستخدمة</w:t>
      </w:r>
      <w:bookmarkEnd w:id="14"/>
    </w:p>
    <w:p w14:paraId="5B8872C7" w14:textId="77777777" w:rsidR="0077109A" w:rsidRPr="00641ED1" w:rsidRDefault="0077109A" w:rsidP="00781571">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ستُحلَّل البيانات الميدانية باستخدام برنامج الحزمة الإحصائية للعلوم الاجتماعية</w:t>
      </w:r>
      <w:r w:rsidRPr="00641ED1">
        <w:rPr>
          <w:rFonts w:ascii="Simplified Arabic" w:eastAsia="Calibri" w:hAnsi="Simplified Arabic" w:cs="Simplified Arabic"/>
          <w:color w:val="000000" w:themeColor="text1"/>
          <w:sz w:val="28"/>
          <w:szCs w:val="28"/>
          <w:lang w:bidi="ar-EG"/>
        </w:rPr>
        <w:t xml:space="preserve"> (SPSS)</w:t>
      </w:r>
      <w:r w:rsidRPr="00641ED1">
        <w:rPr>
          <w:rFonts w:ascii="Simplified Arabic" w:eastAsia="Calibri" w:hAnsi="Simplified Arabic" w:cs="Simplified Arabic"/>
          <w:color w:val="000000" w:themeColor="text1"/>
          <w:sz w:val="28"/>
          <w:szCs w:val="28"/>
          <w:rtl/>
        </w:rPr>
        <w:t xml:space="preserve">، وذلك من خلال توظيف مجموعة من الأساليب الإحصائية المناسبة لطبيعة الدراسة وأهدافها، وتشمل: التكرارات والنسب المئوية لوصف خصائص عيّنة الدراسة، والمتوسّطات الحسابية والانحرافات المعيارية لقياس اتجاهات آراء المبحوثين حول فقرات الاستبانة، ومعامل ألفا </w:t>
      </w:r>
      <w:proofErr w:type="spellStart"/>
      <w:r w:rsidRPr="00641ED1">
        <w:rPr>
          <w:rFonts w:ascii="Simplified Arabic" w:eastAsia="Calibri" w:hAnsi="Simplified Arabic" w:cs="Simplified Arabic"/>
          <w:color w:val="000000" w:themeColor="text1"/>
          <w:sz w:val="28"/>
          <w:szCs w:val="28"/>
          <w:rtl/>
        </w:rPr>
        <w:t>كرونباخ</w:t>
      </w:r>
      <w:proofErr w:type="spellEnd"/>
      <w:r w:rsidRPr="00641ED1">
        <w:rPr>
          <w:rFonts w:ascii="Simplified Arabic" w:eastAsia="Calibri" w:hAnsi="Simplified Arabic" w:cs="Simplified Arabic"/>
          <w:color w:val="000000" w:themeColor="text1"/>
          <w:sz w:val="28"/>
          <w:szCs w:val="28"/>
          <w:rtl/>
        </w:rPr>
        <w:t xml:space="preserve"> لقياس ثبات أداة الدراسة، ومعامل ارتباط بيرسون</w:t>
      </w:r>
      <w:r w:rsidRPr="00641ED1">
        <w:rPr>
          <w:rFonts w:ascii="Simplified Arabic" w:eastAsia="Calibri" w:hAnsi="Simplified Arabic" w:cs="Simplified Arabic"/>
          <w:color w:val="000000" w:themeColor="text1"/>
          <w:sz w:val="28"/>
          <w:szCs w:val="28"/>
          <w:lang w:bidi="ar-EG"/>
        </w:rPr>
        <w:t xml:space="preserve"> (Pearson Correlation) </w:t>
      </w:r>
      <w:r w:rsidRPr="00641ED1">
        <w:rPr>
          <w:rFonts w:ascii="Simplified Arabic" w:eastAsia="Calibri" w:hAnsi="Simplified Arabic" w:cs="Simplified Arabic"/>
          <w:color w:val="000000" w:themeColor="text1"/>
          <w:sz w:val="28"/>
          <w:szCs w:val="28"/>
          <w:rtl/>
        </w:rPr>
        <w:t>لقياس الصدق البنائي والعلاقة بين المتغيّرات، واختبار التوزيع الطبيعي</w:t>
      </w:r>
      <w:r w:rsidRPr="00641ED1">
        <w:rPr>
          <w:rFonts w:ascii="Simplified Arabic" w:eastAsia="Calibri" w:hAnsi="Simplified Arabic" w:cs="Simplified Arabic"/>
          <w:color w:val="000000" w:themeColor="text1"/>
          <w:sz w:val="28"/>
          <w:szCs w:val="28"/>
          <w:lang w:bidi="ar-EG"/>
        </w:rPr>
        <w:t xml:space="preserve"> (Kolmogorov-Smirnov)</w:t>
      </w:r>
      <w:r w:rsidRPr="00641ED1">
        <w:rPr>
          <w:rFonts w:ascii="Simplified Arabic" w:eastAsia="Calibri" w:hAnsi="Simplified Arabic" w:cs="Simplified Arabic"/>
          <w:color w:val="000000" w:themeColor="text1"/>
          <w:sz w:val="28"/>
          <w:szCs w:val="28"/>
          <w:rtl/>
        </w:rPr>
        <w:t>، ومعامل تضخّم التباين</w:t>
      </w:r>
      <w:r w:rsidRPr="00641ED1">
        <w:rPr>
          <w:rFonts w:ascii="Simplified Arabic" w:eastAsia="Calibri" w:hAnsi="Simplified Arabic" w:cs="Simplified Arabic"/>
          <w:color w:val="000000" w:themeColor="text1"/>
          <w:sz w:val="28"/>
          <w:szCs w:val="28"/>
          <w:lang w:bidi="ar-EG"/>
        </w:rPr>
        <w:t xml:space="preserve"> (VIF) </w:t>
      </w:r>
      <w:r w:rsidRPr="00641ED1">
        <w:rPr>
          <w:rFonts w:ascii="Simplified Arabic" w:eastAsia="Calibri" w:hAnsi="Simplified Arabic" w:cs="Simplified Arabic"/>
          <w:color w:val="000000" w:themeColor="text1"/>
          <w:sz w:val="28"/>
          <w:szCs w:val="28"/>
          <w:rtl/>
        </w:rPr>
        <w:t>للتحقّق من عدم وجود ارتباط ذاتي بين المتغيّرات المستقلّة، وتحليل الانحدار الخطي البسيط والمتعدّد</w:t>
      </w:r>
      <w:r w:rsidRPr="00641ED1">
        <w:rPr>
          <w:rFonts w:ascii="Simplified Arabic" w:eastAsia="Calibri" w:hAnsi="Simplified Arabic" w:cs="Simplified Arabic"/>
          <w:color w:val="000000" w:themeColor="text1"/>
          <w:sz w:val="28"/>
          <w:szCs w:val="28"/>
          <w:lang w:bidi="ar-EG"/>
        </w:rPr>
        <w:t xml:space="preserve"> (Simple &amp; Multiple Regression Analysis) </w:t>
      </w:r>
      <w:r w:rsidRPr="00641ED1">
        <w:rPr>
          <w:rFonts w:ascii="Simplified Arabic" w:eastAsia="Calibri" w:hAnsi="Simplified Arabic" w:cs="Simplified Arabic"/>
          <w:color w:val="000000" w:themeColor="text1"/>
          <w:sz w:val="28"/>
          <w:szCs w:val="28"/>
          <w:rtl/>
        </w:rPr>
        <w:t xml:space="preserve">لاختبار فروض الدراسة وقياس أثر المتغيّر المستقل بأبعاده على المتغيّر التابع، فضلاً عن </w:t>
      </w:r>
      <w:r w:rsidRPr="00641ED1">
        <w:rPr>
          <w:rFonts w:ascii="Simplified Arabic" w:eastAsia="Calibri" w:hAnsi="Simplified Arabic" w:cs="Simplified Arabic"/>
          <w:color w:val="000000" w:themeColor="text1"/>
          <w:sz w:val="28"/>
          <w:szCs w:val="28"/>
          <w:rtl/>
        </w:rPr>
        <w:lastRenderedPageBreak/>
        <w:t>اختبار</w:t>
      </w:r>
      <w:r w:rsidRPr="00641ED1">
        <w:rPr>
          <w:rFonts w:ascii="Simplified Arabic" w:eastAsia="Calibri" w:hAnsi="Simplified Arabic" w:cs="Simplified Arabic"/>
          <w:color w:val="000000" w:themeColor="text1"/>
          <w:sz w:val="28"/>
          <w:szCs w:val="28"/>
          <w:lang w:bidi="ar-EG"/>
        </w:rPr>
        <w:t xml:space="preserve"> (t-test) </w:t>
      </w:r>
      <w:r w:rsidRPr="00641ED1">
        <w:rPr>
          <w:rFonts w:ascii="Simplified Arabic" w:eastAsia="Calibri" w:hAnsi="Simplified Arabic" w:cs="Simplified Arabic"/>
          <w:color w:val="000000" w:themeColor="text1"/>
          <w:sz w:val="28"/>
          <w:szCs w:val="28"/>
          <w:rtl/>
        </w:rPr>
        <w:t>وتحليل التباين الأحادي</w:t>
      </w:r>
      <w:r w:rsidRPr="00641ED1">
        <w:rPr>
          <w:rFonts w:ascii="Simplified Arabic" w:eastAsia="Calibri" w:hAnsi="Simplified Arabic" w:cs="Simplified Arabic"/>
          <w:color w:val="000000" w:themeColor="text1"/>
          <w:sz w:val="28"/>
          <w:szCs w:val="28"/>
          <w:lang w:bidi="ar-EG"/>
        </w:rPr>
        <w:t xml:space="preserve"> (One-Way ANOVA) </w:t>
      </w:r>
      <w:r w:rsidRPr="00641ED1">
        <w:rPr>
          <w:rFonts w:ascii="Simplified Arabic" w:eastAsia="Calibri" w:hAnsi="Simplified Arabic" w:cs="Simplified Arabic"/>
          <w:color w:val="000000" w:themeColor="text1"/>
          <w:sz w:val="28"/>
          <w:szCs w:val="28"/>
          <w:rtl/>
        </w:rPr>
        <w:t>للكشف عن الفروق في آراء المبحوثين تِبعاً للمتغيّرات الديموغرافية</w:t>
      </w:r>
      <w:r w:rsidRPr="00641ED1">
        <w:rPr>
          <w:rFonts w:ascii="Simplified Arabic" w:eastAsia="Calibri" w:hAnsi="Simplified Arabic" w:cs="Simplified Arabic"/>
          <w:color w:val="000000" w:themeColor="text1"/>
          <w:sz w:val="28"/>
          <w:szCs w:val="28"/>
          <w:lang w:bidi="ar-EG"/>
        </w:rPr>
        <w:t>.</w:t>
      </w:r>
    </w:p>
    <w:p w14:paraId="7B2BBC91" w14:textId="6960AE24" w:rsidR="0077109A" w:rsidRPr="00641ED1" w:rsidRDefault="00781571" w:rsidP="00781571">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5" w:name="_Toc233993665"/>
      <w:r w:rsidRPr="00641ED1">
        <w:rPr>
          <w:rFonts w:ascii="Simplified Arabic" w:eastAsia="Calibri" w:hAnsi="Simplified Arabic" w:cs="Simplified Arabic" w:hint="cs"/>
          <w:b/>
          <w:bCs/>
          <w:color w:val="000000" w:themeColor="text1"/>
          <w:sz w:val="36"/>
          <w:szCs w:val="36"/>
          <w:rtl/>
          <w:lang w:bidi="ar-EG"/>
        </w:rPr>
        <w:t xml:space="preserve">15.1 </w:t>
      </w:r>
      <w:r w:rsidR="0077109A" w:rsidRPr="00641ED1">
        <w:rPr>
          <w:rFonts w:ascii="Simplified Arabic" w:eastAsia="Calibri" w:hAnsi="Simplified Arabic" w:cs="Simplified Arabic"/>
          <w:b/>
          <w:bCs/>
          <w:color w:val="000000" w:themeColor="text1"/>
          <w:sz w:val="36"/>
          <w:szCs w:val="36"/>
          <w:rtl/>
        </w:rPr>
        <w:t>حدود الدراسة</w:t>
      </w:r>
      <w:bookmarkEnd w:id="15"/>
    </w:p>
    <w:p w14:paraId="57EE02D5" w14:textId="77777777" w:rsidR="0077109A" w:rsidRPr="00641ED1" w:rsidRDefault="0077109A" w:rsidP="00781571">
      <w:pPr>
        <w:pStyle w:val="ListParagraph"/>
        <w:numPr>
          <w:ilvl w:val="0"/>
          <w:numId w:val="46"/>
        </w:numPr>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الحدود الموضوعية</w:t>
      </w:r>
      <w:r w:rsidRPr="00641ED1">
        <w:rPr>
          <w:rFonts w:ascii="Simplified Arabic" w:eastAsia="Calibri" w:hAnsi="Simplified Arabic" w:cs="Simplified Arabic"/>
          <w:color w:val="000000" w:themeColor="text1"/>
          <w:sz w:val="28"/>
          <w:szCs w:val="28"/>
          <w:lang w:bidi="ar-EG"/>
        </w:rPr>
        <w:t xml:space="preserve">: </w:t>
      </w:r>
      <w:r w:rsidRPr="00641ED1">
        <w:rPr>
          <w:rFonts w:ascii="Simplified Arabic" w:eastAsia="Calibri" w:hAnsi="Simplified Arabic" w:cs="Simplified Arabic"/>
          <w:color w:val="000000" w:themeColor="text1"/>
          <w:sz w:val="28"/>
          <w:szCs w:val="28"/>
          <w:rtl/>
        </w:rPr>
        <w:t xml:space="preserve">ستقتصر الدراسة على تناول أثر تطبيق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بأبعادها (تحديد المخاطر، تقييم المخاطر، معالجة المخاطر، مراقبة المخاطر) على استمرارية الأعمال في شركات الاتصالات</w:t>
      </w:r>
      <w:r w:rsidRPr="00641ED1">
        <w:rPr>
          <w:rFonts w:ascii="Simplified Arabic" w:eastAsia="Calibri" w:hAnsi="Simplified Arabic" w:cs="Simplified Arabic"/>
          <w:color w:val="000000" w:themeColor="text1"/>
          <w:sz w:val="28"/>
          <w:szCs w:val="28"/>
          <w:lang w:bidi="ar-EG"/>
        </w:rPr>
        <w:t>.</w:t>
      </w:r>
    </w:p>
    <w:p w14:paraId="60EF7E78" w14:textId="77777777" w:rsidR="0077109A" w:rsidRPr="00641ED1" w:rsidRDefault="0077109A" w:rsidP="00781571">
      <w:pPr>
        <w:pStyle w:val="ListParagraph"/>
        <w:numPr>
          <w:ilvl w:val="0"/>
          <w:numId w:val="46"/>
        </w:numPr>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الحدود المكانية</w:t>
      </w:r>
      <w:r w:rsidRPr="00641ED1">
        <w:rPr>
          <w:rFonts w:ascii="Simplified Arabic" w:eastAsia="Calibri" w:hAnsi="Simplified Arabic" w:cs="Simplified Arabic"/>
          <w:color w:val="000000" w:themeColor="text1"/>
          <w:sz w:val="28"/>
          <w:szCs w:val="28"/>
          <w:lang w:bidi="ar-EG"/>
        </w:rPr>
        <w:t xml:space="preserve">: </w:t>
      </w:r>
      <w:r w:rsidRPr="00641ED1">
        <w:rPr>
          <w:rFonts w:ascii="Simplified Arabic" w:eastAsia="Calibri" w:hAnsi="Simplified Arabic" w:cs="Simplified Arabic"/>
          <w:color w:val="000000" w:themeColor="text1"/>
          <w:sz w:val="28"/>
          <w:szCs w:val="28"/>
          <w:rtl/>
        </w:rPr>
        <w:t>ستُطبَّق الدراسة على شركات الاتصالات الرئيسية العاملة في المملكة العربية السعودية، وهي: شركة الاتصالات السعودية</w:t>
      </w:r>
      <w:r w:rsidRPr="00641ED1">
        <w:rPr>
          <w:rFonts w:ascii="Simplified Arabic" w:eastAsia="Calibri" w:hAnsi="Simplified Arabic" w:cs="Simplified Arabic"/>
          <w:color w:val="000000" w:themeColor="text1"/>
          <w:sz w:val="28"/>
          <w:szCs w:val="28"/>
          <w:lang w:bidi="ar-EG"/>
        </w:rPr>
        <w:t xml:space="preserve"> (STC)</w:t>
      </w:r>
      <w:r w:rsidRPr="00641ED1">
        <w:rPr>
          <w:rFonts w:ascii="Simplified Arabic" w:eastAsia="Calibri" w:hAnsi="Simplified Arabic" w:cs="Simplified Arabic"/>
          <w:color w:val="000000" w:themeColor="text1"/>
          <w:sz w:val="28"/>
          <w:szCs w:val="28"/>
          <w:rtl/>
        </w:rPr>
        <w:t>، وشركة موبايلي، وشركة زين السعودية</w:t>
      </w:r>
      <w:r w:rsidRPr="00641ED1">
        <w:rPr>
          <w:rFonts w:ascii="Simplified Arabic" w:eastAsia="Calibri" w:hAnsi="Simplified Arabic" w:cs="Simplified Arabic"/>
          <w:color w:val="000000" w:themeColor="text1"/>
          <w:sz w:val="28"/>
          <w:szCs w:val="28"/>
          <w:lang w:bidi="ar-EG"/>
        </w:rPr>
        <w:t>.</w:t>
      </w:r>
    </w:p>
    <w:p w14:paraId="5ED39A4F" w14:textId="77777777" w:rsidR="0077109A" w:rsidRPr="00641ED1" w:rsidRDefault="0077109A" w:rsidP="00781571">
      <w:pPr>
        <w:pStyle w:val="ListParagraph"/>
        <w:numPr>
          <w:ilvl w:val="0"/>
          <w:numId w:val="46"/>
        </w:numPr>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الحدود البشرية</w:t>
      </w:r>
      <w:r w:rsidRPr="00641ED1">
        <w:rPr>
          <w:rFonts w:ascii="Simplified Arabic" w:eastAsia="Calibri" w:hAnsi="Simplified Arabic" w:cs="Simplified Arabic"/>
          <w:color w:val="000000" w:themeColor="text1"/>
          <w:sz w:val="28"/>
          <w:szCs w:val="28"/>
          <w:lang w:bidi="ar-EG"/>
        </w:rPr>
        <w:t xml:space="preserve">: </w:t>
      </w:r>
      <w:r w:rsidRPr="00641ED1">
        <w:rPr>
          <w:rFonts w:ascii="Simplified Arabic" w:eastAsia="Calibri" w:hAnsi="Simplified Arabic" w:cs="Simplified Arabic"/>
          <w:color w:val="000000" w:themeColor="text1"/>
          <w:sz w:val="28"/>
          <w:szCs w:val="28"/>
          <w:rtl/>
        </w:rPr>
        <w:t>ستقتصر الدراسة على العاملين في الإدارات المعنيّة بإدارة المخاطر واستمرارية الأعمال والعمليات وتقنية المعلومات والجودة وأمن المعلومات في شركات الاتصالات محل الدراسة</w:t>
      </w:r>
      <w:r w:rsidRPr="00641ED1">
        <w:rPr>
          <w:rFonts w:ascii="Simplified Arabic" w:eastAsia="Calibri" w:hAnsi="Simplified Arabic" w:cs="Simplified Arabic"/>
          <w:color w:val="000000" w:themeColor="text1"/>
          <w:sz w:val="28"/>
          <w:szCs w:val="28"/>
          <w:lang w:bidi="ar-EG"/>
        </w:rPr>
        <w:t>.</w:t>
      </w:r>
    </w:p>
    <w:p w14:paraId="76D3A4EF" w14:textId="77777777" w:rsidR="0077109A" w:rsidRPr="00641ED1" w:rsidRDefault="0077109A" w:rsidP="00781571">
      <w:pPr>
        <w:pStyle w:val="ListParagraph"/>
        <w:numPr>
          <w:ilvl w:val="0"/>
          <w:numId w:val="46"/>
        </w:numPr>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الحدود الزمانية</w:t>
      </w:r>
      <w:r w:rsidRPr="00641ED1">
        <w:rPr>
          <w:rFonts w:ascii="Simplified Arabic" w:eastAsia="Calibri" w:hAnsi="Simplified Arabic" w:cs="Simplified Arabic"/>
          <w:color w:val="000000" w:themeColor="text1"/>
          <w:sz w:val="28"/>
          <w:szCs w:val="28"/>
          <w:lang w:bidi="ar-EG"/>
        </w:rPr>
        <w:t xml:space="preserve">: </w:t>
      </w:r>
      <w:r w:rsidRPr="00641ED1">
        <w:rPr>
          <w:rFonts w:ascii="Simplified Arabic" w:eastAsia="Calibri" w:hAnsi="Simplified Arabic" w:cs="Simplified Arabic"/>
          <w:color w:val="000000" w:themeColor="text1"/>
          <w:sz w:val="28"/>
          <w:szCs w:val="28"/>
          <w:rtl/>
        </w:rPr>
        <w:t>ستُجرى الدراسة خلال الفترة الممتدّة من عام 2025م إلى عام 2026م، وهي الفترة التي ستُستكمل فيها إجراءات جمع البيانات وتحليلها ومناقشة نتائجها</w:t>
      </w:r>
      <w:r w:rsidRPr="00641ED1">
        <w:rPr>
          <w:rFonts w:ascii="Simplified Arabic" w:eastAsia="Calibri" w:hAnsi="Simplified Arabic" w:cs="Simplified Arabic"/>
          <w:color w:val="000000" w:themeColor="text1"/>
          <w:sz w:val="28"/>
          <w:szCs w:val="28"/>
          <w:lang w:bidi="ar-EG"/>
        </w:rPr>
        <w:t>.</w:t>
      </w:r>
    </w:p>
    <w:p w14:paraId="5DF0983D" w14:textId="65C5B083" w:rsidR="0077109A" w:rsidRPr="00641ED1" w:rsidRDefault="00B25B94" w:rsidP="00781571">
      <w:pPr>
        <w:bidi/>
        <w:spacing w:after="0" w:line="240" w:lineRule="auto"/>
        <w:jc w:val="center"/>
        <w:outlineLvl w:val="0"/>
        <w:rPr>
          <w:rFonts w:ascii="Simplified Arabic" w:eastAsia="Calibri" w:hAnsi="Simplified Arabic" w:cs="Simplified Arabic"/>
          <w:b/>
          <w:bCs/>
          <w:color w:val="000000" w:themeColor="text1"/>
          <w:sz w:val="40"/>
          <w:szCs w:val="40"/>
          <w:lang w:bidi="ar-EG"/>
        </w:rPr>
      </w:pPr>
      <w:r w:rsidRPr="00641ED1">
        <w:rPr>
          <w:rFonts w:ascii="Simplified Arabic" w:eastAsia="Calibri" w:hAnsi="Simplified Arabic" w:cs="Simplified Arabic"/>
          <w:b/>
          <w:bCs/>
          <w:color w:val="000000" w:themeColor="text1"/>
          <w:sz w:val="40"/>
          <w:szCs w:val="40"/>
          <w:rtl/>
        </w:rPr>
        <w:br w:type="page"/>
      </w:r>
      <w:bookmarkStart w:id="16" w:name="_Toc233993666"/>
      <w:r w:rsidR="00781571" w:rsidRPr="00641ED1">
        <w:rPr>
          <w:rFonts w:ascii="Simplified Arabic" w:eastAsia="Calibri" w:hAnsi="Simplified Arabic" w:cs="Simplified Arabic" w:hint="cs"/>
          <w:b/>
          <w:bCs/>
          <w:color w:val="000000" w:themeColor="text1"/>
          <w:sz w:val="40"/>
          <w:szCs w:val="40"/>
          <w:rtl/>
        </w:rPr>
        <w:lastRenderedPageBreak/>
        <w:t xml:space="preserve">الفصل الثاني: </w:t>
      </w:r>
      <w:r w:rsidR="0077109A" w:rsidRPr="00641ED1">
        <w:rPr>
          <w:rFonts w:ascii="Simplified Arabic" w:eastAsia="Calibri" w:hAnsi="Simplified Arabic" w:cs="Simplified Arabic"/>
          <w:b/>
          <w:bCs/>
          <w:color w:val="000000" w:themeColor="text1"/>
          <w:sz w:val="40"/>
          <w:szCs w:val="40"/>
          <w:rtl/>
        </w:rPr>
        <w:t>الإطار النظري للدراسة</w:t>
      </w:r>
      <w:bookmarkEnd w:id="16"/>
    </w:p>
    <w:p w14:paraId="720D39BE" w14:textId="77777777" w:rsidR="0077109A" w:rsidRPr="00641ED1" w:rsidRDefault="0077109A" w:rsidP="00781571">
      <w:pPr>
        <w:bidi/>
        <w:spacing w:before="100" w:beforeAutospacing="1" w:after="100" w:afterAutospacing="1" w:line="276" w:lineRule="auto"/>
        <w:jc w:val="center"/>
        <w:outlineLvl w:val="1"/>
        <w:rPr>
          <w:rFonts w:ascii="Simplified Arabic" w:eastAsia="Calibri" w:hAnsi="Simplified Arabic" w:cs="Simplified Arabic"/>
          <w:b/>
          <w:bCs/>
          <w:color w:val="000000" w:themeColor="text1"/>
          <w:sz w:val="36"/>
          <w:szCs w:val="36"/>
          <w:lang w:bidi="ar-EG"/>
        </w:rPr>
      </w:pPr>
      <w:bookmarkStart w:id="17" w:name="_Toc233993667"/>
      <w:r w:rsidRPr="00641ED1">
        <w:rPr>
          <w:rFonts w:ascii="Simplified Arabic" w:eastAsia="Calibri" w:hAnsi="Simplified Arabic" w:cs="Simplified Arabic"/>
          <w:b/>
          <w:bCs/>
          <w:color w:val="000000" w:themeColor="text1"/>
          <w:sz w:val="36"/>
          <w:szCs w:val="36"/>
          <w:rtl/>
        </w:rPr>
        <w:t xml:space="preserve">المبحث الأول: استراتيجيات إدارة </w:t>
      </w:r>
      <w:proofErr w:type="gramStart"/>
      <w:r w:rsidRPr="00641ED1">
        <w:rPr>
          <w:rFonts w:ascii="Simplified Arabic" w:eastAsia="Calibri" w:hAnsi="Simplified Arabic" w:cs="Simplified Arabic"/>
          <w:b/>
          <w:bCs/>
          <w:color w:val="000000" w:themeColor="text1"/>
          <w:sz w:val="36"/>
          <w:szCs w:val="36"/>
          <w:rtl/>
        </w:rPr>
        <w:t>مخاطر</w:t>
      </w:r>
      <w:proofErr w:type="gramEnd"/>
      <w:r w:rsidRPr="00641ED1">
        <w:rPr>
          <w:rFonts w:ascii="Simplified Arabic" w:eastAsia="Calibri" w:hAnsi="Simplified Arabic" w:cs="Simplified Arabic"/>
          <w:b/>
          <w:bCs/>
          <w:color w:val="000000" w:themeColor="text1"/>
          <w:sz w:val="36"/>
          <w:szCs w:val="36"/>
          <w:rtl/>
        </w:rPr>
        <w:t xml:space="preserve"> انقطاع الخدمة</w:t>
      </w:r>
      <w:bookmarkEnd w:id="17"/>
    </w:p>
    <w:p w14:paraId="006D2936" w14:textId="0C6A7803"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18" w:name="_Toc233993668"/>
      <w:r w:rsidRPr="00641ED1">
        <w:rPr>
          <w:rFonts w:ascii="Simplified Arabic" w:eastAsia="Calibri" w:hAnsi="Simplified Arabic" w:cs="Simplified Arabic" w:hint="cs"/>
          <w:b/>
          <w:bCs/>
          <w:color w:val="000000" w:themeColor="text1"/>
          <w:sz w:val="32"/>
          <w:szCs w:val="32"/>
          <w:rtl/>
        </w:rPr>
        <w:t xml:space="preserve">1.1.2 </w:t>
      </w:r>
      <w:r w:rsidR="0077109A" w:rsidRPr="00641ED1">
        <w:rPr>
          <w:rFonts w:ascii="Simplified Arabic" w:eastAsia="Calibri" w:hAnsi="Simplified Arabic" w:cs="Simplified Arabic"/>
          <w:b/>
          <w:bCs/>
          <w:color w:val="000000" w:themeColor="text1"/>
          <w:sz w:val="32"/>
          <w:szCs w:val="32"/>
          <w:rtl/>
        </w:rPr>
        <w:t>تمهيد</w:t>
      </w:r>
      <w:bookmarkEnd w:id="18"/>
    </w:p>
    <w:p w14:paraId="76D2A167"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تُشكّل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أحد أهم المحاور التي استقطبت اهتمام الباحثين والممارسين في حقل الإدارة المعاصرة، لا سيّما في ظلّ التحوّلات المتسارعة التي تشهدها بيئة الأعمال العالمية والتي أفرزت أنماطاً جديدة من المخاطر تختلف في طبيعتها ومصادرها وآليات معالجتها عن المخاطر التقليدية. فمع تنامي الاعتماد على البنى التحتية الرقمية، وتشعّب سلاسل الإمداد، وتصاعد التهديدات السيبرانية، وتلاحق الأزمات العالمية، أصبح انقطاع الخدمة تهديداً وجودياً يواجه المنظّمات في مختلف القطاعات، وبات تبنّي منهجية علمية منضبطة لإدارة هذه المخاطر ضرورةً استراتيجية لا خياراً تكتيكياً. ويتناول هذا المبحث الإطار المفاهيمي لاستراتيجيات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وأهميّتها، وأهدافها، وأبعادها، والاتجاهات الفكرية الحاكمة لها، فضلاً عن العوامل المؤثّرة في تطبيقها والمداخل النظرية المفسّرة لها</w:t>
      </w:r>
      <w:r w:rsidRPr="00641ED1">
        <w:rPr>
          <w:rFonts w:ascii="Simplified Arabic" w:eastAsia="Calibri" w:hAnsi="Simplified Arabic" w:cs="Simplified Arabic"/>
          <w:color w:val="000000" w:themeColor="text1"/>
          <w:sz w:val="28"/>
          <w:szCs w:val="28"/>
          <w:lang w:bidi="ar-EG"/>
        </w:rPr>
        <w:t>.</w:t>
      </w:r>
    </w:p>
    <w:p w14:paraId="0986F3BE" w14:textId="721516BD"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19" w:name="_Toc233993669"/>
      <w:r w:rsidRPr="00641ED1">
        <w:rPr>
          <w:rFonts w:ascii="Simplified Arabic" w:eastAsia="Calibri" w:hAnsi="Simplified Arabic" w:cs="Simplified Arabic" w:hint="cs"/>
          <w:b/>
          <w:bCs/>
          <w:color w:val="000000" w:themeColor="text1"/>
          <w:sz w:val="32"/>
          <w:szCs w:val="32"/>
          <w:rtl/>
        </w:rPr>
        <w:t xml:space="preserve">2.1.2 </w:t>
      </w:r>
      <w:r w:rsidR="0077109A" w:rsidRPr="00641ED1">
        <w:rPr>
          <w:rFonts w:ascii="Simplified Arabic" w:eastAsia="Calibri" w:hAnsi="Simplified Arabic" w:cs="Simplified Arabic"/>
          <w:b/>
          <w:bCs/>
          <w:color w:val="000000" w:themeColor="text1"/>
          <w:sz w:val="32"/>
          <w:szCs w:val="32"/>
          <w:rtl/>
        </w:rPr>
        <w:t xml:space="preserve">مفهوم استراتيجيات إدارة </w:t>
      </w:r>
      <w:proofErr w:type="gramStart"/>
      <w:r w:rsidR="0077109A" w:rsidRPr="00641ED1">
        <w:rPr>
          <w:rFonts w:ascii="Simplified Arabic" w:eastAsia="Calibri" w:hAnsi="Simplified Arabic" w:cs="Simplified Arabic"/>
          <w:b/>
          <w:bCs/>
          <w:color w:val="000000" w:themeColor="text1"/>
          <w:sz w:val="32"/>
          <w:szCs w:val="32"/>
          <w:rtl/>
        </w:rPr>
        <w:t>مخاطر</w:t>
      </w:r>
      <w:proofErr w:type="gramEnd"/>
      <w:r w:rsidR="0077109A" w:rsidRPr="00641ED1">
        <w:rPr>
          <w:rFonts w:ascii="Simplified Arabic" w:eastAsia="Calibri" w:hAnsi="Simplified Arabic" w:cs="Simplified Arabic"/>
          <w:b/>
          <w:bCs/>
          <w:color w:val="000000" w:themeColor="text1"/>
          <w:sz w:val="32"/>
          <w:szCs w:val="32"/>
          <w:rtl/>
        </w:rPr>
        <w:t xml:space="preserve"> انقطاع الخدمة</w:t>
      </w:r>
      <w:bookmarkEnd w:id="19"/>
    </w:p>
    <w:p w14:paraId="194180B0"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يتمحور مفهوم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حول تلك المنظومة المتكاملة من السياسات والإجراءات والممارسات التي تتبنّاها المنظّمات للحدّ من احتمالات وقوع الاضطرابات التي قد تُعطّل تقديم خدماتها، ولمعالجة تداعياتها عند تحقّقها. وقد تعدّدت التعريفات التي قدّمها الباحثون لهذا المفهوم، وتباينت زوايا معالجتهم له بحسب المداخل النظرية والقطاعية التي انطلقوا منها</w:t>
      </w:r>
      <w:r w:rsidRPr="00641ED1">
        <w:rPr>
          <w:rFonts w:ascii="Simplified Arabic" w:eastAsia="Calibri" w:hAnsi="Simplified Arabic" w:cs="Simplified Arabic"/>
          <w:color w:val="000000" w:themeColor="text1"/>
          <w:sz w:val="28"/>
          <w:szCs w:val="28"/>
          <w:lang w:bidi="ar-EG"/>
        </w:rPr>
        <w:t>.</w:t>
      </w:r>
    </w:p>
    <w:p w14:paraId="00F2B06A"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فقد عرّف</w:t>
      </w:r>
      <w:r w:rsidRPr="00641ED1">
        <w:rPr>
          <w:rFonts w:ascii="Simplified Arabic" w:eastAsia="Calibri" w:hAnsi="Simplified Arabic" w:cs="Simplified Arabic"/>
          <w:color w:val="000000" w:themeColor="text1"/>
          <w:sz w:val="28"/>
          <w:szCs w:val="28"/>
          <w:lang w:bidi="ar-EG"/>
        </w:rPr>
        <w:t xml:space="preserve"> Jahani </w:t>
      </w:r>
      <w:r w:rsidRPr="00641ED1">
        <w:rPr>
          <w:rFonts w:ascii="Simplified Arabic" w:eastAsia="Calibri" w:hAnsi="Simplified Arabic" w:cs="Simplified Arabic"/>
          <w:color w:val="000000" w:themeColor="text1"/>
          <w:sz w:val="28"/>
          <w:szCs w:val="28"/>
          <w:rtl/>
        </w:rPr>
        <w:t xml:space="preserve">وآخرون (2021)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بأنّها المنهجية المنظّمة التي تتبعها المنظّمات لتحديد المخاطر التي قد تُخِلّ باتفاقيات مستوى الخدمة</w:t>
      </w:r>
      <w:r w:rsidRPr="00641ED1">
        <w:rPr>
          <w:rFonts w:ascii="Simplified Arabic" w:eastAsia="Calibri" w:hAnsi="Simplified Arabic" w:cs="Simplified Arabic"/>
          <w:color w:val="000000" w:themeColor="text1"/>
          <w:sz w:val="28"/>
          <w:szCs w:val="28"/>
          <w:lang w:bidi="ar-EG"/>
        </w:rPr>
        <w:t xml:space="preserve"> (SLA)</w:t>
      </w:r>
      <w:r w:rsidRPr="00641ED1">
        <w:rPr>
          <w:rFonts w:ascii="Simplified Arabic" w:eastAsia="Calibri" w:hAnsi="Simplified Arabic" w:cs="Simplified Arabic"/>
          <w:color w:val="000000" w:themeColor="text1"/>
          <w:sz w:val="28"/>
          <w:szCs w:val="28"/>
          <w:rtl/>
        </w:rPr>
        <w:t>، وتقييم أثرها المحتمل، وتصميم آليات الاستجابة والتعويض بما يحفظ حقوق الأطراف المتعاقدة ويصون التزامات المنظّمة تجاه عملائها. ويُلاحَظ في هذا التعريف التركيز على البُعد التعاقدي والقانوني لمخاطر انقطاع الخدمة، بوصفها إخلالاً بمعايير الجودة والموثوقية المتّفق عليها</w:t>
      </w:r>
      <w:r w:rsidRPr="00641ED1">
        <w:rPr>
          <w:rFonts w:ascii="Simplified Arabic" w:eastAsia="Calibri" w:hAnsi="Simplified Arabic" w:cs="Simplified Arabic"/>
          <w:color w:val="000000" w:themeColor="text1"/>
          <w:sz w:val="28"/>
          <w:szCs w:val="28"/>
          <w:lang w:bidi="ar-EG"/>
        </w:rPr>
        <w:t>.</w:t>
      </w:r>
    </w:p>
    <w:p w14:paraId="79668921"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وفي المقابل، ينظر</w:t>
      </w:r>
      <w:r w:rsidRPr="00641ED1">
        <w:rPr>
          <w:rFonts w:ascii="Simplified Arabic" w:eastAsia="Calibri" w:hAnsi="Simplified Arabic" w:cs="Simplified Arabic"/>
          <w:color w:val="000000" w:themeColor="text1"/>
          <w:sz w:val="28"/>
          <w:szCs w:val="28"/>
          <w:lang w:bidi="ar-EG"/>
        </w:rPr>
        <w:t xml:space="preserve"> Ivanov </w:t>
      </w:r>
      <w:r w:rsidRPr="00641ED1">
        <w:rPr>
          <w:rFonts w:ascii="Simplified Arabic" w:eastAsia="Calibri" w:hAnsi="Simplified Arabic" w:cs="Simplified Arabic"/>
          <w:color w:val="000000" w:themeColor="text1"/>
          <w:sz w:val="28"/>
          <w:szCs w:val="28"/>
          <w:rtl/>
        </w:rPr>
        <w:t>و</w:t>
      </w:r>
      <w:proofErr w:type="spellStart"/>
      <w:r w:rsidRPr="00641ED1">
        <w:rPr>
          <w:rFonts w:ascii="Simplified Arabic" w:eastAsia="Calibri" w:hAnsi="Simplified Arabic" w:cs="Simplified Arabic"/>
          <w:color w:val="000000" w:themeColor="text1"/>
          <w:sz w:val="28"/>
          <w:szCs w:val="28"/>
          <w:lang w:bidi="ar-EG"/>
        </w:rPr>
        <w:t>Dolgui</w:t>
      </w:r>
      <w:proofErr w:type="spellEnd"/>
      <w:r w:rsidRPr="00641ED1">
        <w:rPr>
          <w:rFonts w:ascii="Simplified Arabic" w:eastAsia="Calibri" w:hAnsi="Simplified Arabic" w:cs="Simplified Arabic"/>
          <w:color w:val="000000" w:themeColor="text1"/>
          <w:sz w:val="28"/>
          <w:szCs w:val="28"/>
          <w:lang w:bidi="ar-EG"/>
        </w:rPr>
        <w:t xml:space="preserve"> (2021) </w:t>
      </w:r>
      <w:r w:rsidRPr="00641ED1">
        <w:rPr>
          <w:rFonts w:ascii="Simplified Arabic" w:eastAsia="Calibri" w:hAnsi="Simplified Arabic" w:cs="Simplified Arabic"/>
          <w:color w:val="000000" w:themeColor="text1"/>
          <w:sz w:val="28"/>
          <w:szCs w:val="28"/>
          <w:rtl/>
        </w:rPr>
        <w:t xml:space="preserve">إلى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الانقطاع من منظور تقني متقدّم، فيعرّفانها بأنّها منظومة من الأدوات والتقنيات الرقمية القائمة على مفهوم التوأم الرقمي والمحاكاة والتحليل التنبّؤي، والتي تُمكّن المنظّمات من استشراف الاضطرابات المحتملة في سلاسل الإمداد ومعالجتها بشكل استباقي في ظلّ متطلّبات الصناعة 4.0. ويعكس هذا التعريف التطوّر النوعي الذي طرأ على مفهوم إدارة المخاطر في أعقاب التحوّل الرقمي، حيث لم تعد إدارة المخاطر مجرّد ممارسة إدارية، بل أصبحت منظومة تقنية متكاملة</w:t>
      </w:r>
      <w:r w:rsidRPr="00641ED1">
        <w:rPr>
          <w:rFonts w:ascii="Simplified Arabic" w:eastAsia="Calibri" w:hAnsi="Simplified Arabic" w:cs="Simplified Arabic"/>
          <w:color w:val="000000" w:themeColor="text1"/>
          <w:sz w:val="28"/>
          <w:szCs w:val="28"/>
          <w:lang w:bidi="ar-EG"/>
        </w:rPr>
        <w:t>.</w:t>
      </w:r>
    </w:p>
    <w:p w14:paraId="6DA7A0C9"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ومن زاوية مختلفة، يُعرّف</w:t>
      </w:r>
      <w:r w:rsidRPr="00641ED1">
        <w:rPr>
          <w:rFonts w:ascii="Simplified Arabic" w:eastAsia="Calibri" w:hAnsi="Simplified Arabic" w:cs="Simplified Arabic"/>
          <w:color w:val="000000" w:themeColor="text1"/>
          <w:sz w:val="28"/>
          <w:szCs w:val="28"/>
          <w:lang w:bidi="ar-EG"/>
        </w:rPr>
        <w:t xml:space="preserve"> Hohenstein (2022) </w:t>
      </w:r>
      <w:r w:rsidRPr="00641ED1">
        <w:rPr>
          <w:rFonts w:ascii="Simplified Arabic" w:eastAsia="Calibri" w:hAnsi="Simplified Arabic" w:cs="Simplified Arabic"/>
          <w:color w:val="000000" w:themeColor="text1"/>
          <w:sz w:val="28"/>
          <w:szCs w:val="28"/>
          <w:rtl/>
        </w:rPr>
        <w:t xml:space="preserve">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الانقطاع بأنّها مجموعة من الإجراءات التنظيمية والتشغيلية التي تُوظّفها الشركات لبناء المرونة والقدرة على التكيّف مع الاضطرابات الخارجية غير المتوقّعة، كالأوبئة والأزمات الجيوسياسية، من خلال تنويع مصادر الإمداد، وإعادة توطين العمليات، وتعزيز التعاون بين الأطراف المختلفة في سلسلة القيمة. وقد استلهم هذا التعريف من تجربة جائحة كوفيد-19 التي كشفت عن هشاشة النماذج التقليدية لإدارة سلاسل الإمداد</w:t>
      </w:r>
      <w:r w:rsidRPr="00641ED1">
        <w:rPr>
          <w:rFonts w:ascii="Simplified Arabic" w:eastAsia="Calibri" w:hAnsi="Simplified Arabic" w:cs="Simplified Arabic"/>
          <w:color w:val="000000" w:themeColor="text1"/>
          <w:sz w:val="28"/>
          <w:szCs w:val="28"/>
          <w:lang w:bidi="ar-EG"/>
        </w:rPr>
        <w:t>.</w:t>
      </w:r>
    </w:p>
    <w:p w14:paraId="52D036AE"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وفي سياق أشمل، يرى العنزي وآخرون (2024) أنّ استراتيجيات إدارة المخاطر تُمثّل منهجاً استراتيجياً متكاملاً يقوم على تحديد المخاطر التي تُهدّد تحقيق أهداف المنظّمة، وتحليلها كمّياً ونوعياً، ووضع خطط الاستجابة المناسبة لها، ومراقبة فاعلية هذه الخطط بشكل مستمرّ، بما يضمن تعزيز قدرة المنظّمة على تحقيق أهدافها في ظلّ حالة عدم التأكّد. ويُبرز هذا التعريف الطابع الشمولي لإدارة المخاطر بوصفها وظيفة إدارية استراتيجية</w:t>
      </w:r>
      <w:r w:rsidRPr="00641ED1">
        <w:rPr>
          <w:rFonts w:ascii="Simplified Arabic" w:eastAsia="Calibri" w:hAnsi="Simplified Arabic" w:cs="Simplified Arabic"/>
          <w:color w:val="000000" w:themeColor="text1"/>
          <w:sz w:val="28"/>
          <w:szCs w:val="28"/>
          <w:lang w:bidi="ar-EG"/>
        </w:rPr>
        <w:t>.</w:t>
      </w:r>
    </w:p>
    <w:p w14:paraId="18CE8E33"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ويُقدّم أحمد (2024) تعريفاً يُركّز على البُعد الوظيفي، إذ يعتبر استراتيجيات إدارة المخاطر بأنّها الأساليب المنهجية التي تُوظّفها المنظّمات لاختيار أنسب الطرق للتعامل مع المخاطر المحدّدة، سواءً </w:t>
      </w:r>
      <w:proofErr w:type="gramStart"/>
      <w:r w:rsidRPr="00641ED1">
        <w:rPr>
          <w:rFonts w:ascii="Simplified Arabic" w:eastAsia="Calibri" w:hAnsi="Simplified Arabic" w:cs="Simplified Arabic"/>
          <w:color w:val="000000" w:themeColor="text1"/>
          <w:sz w:val="28"/>
          <w:szCs w:val="28"/>
          <w:rtl/>
        </w:rPr>
        <w:t>بالتجنّب</w:t>
      </w:r>
      <w:proofErr w:type="gramEnd"/>
      <w:r w:rsidRPr="00641ED1">
        <w:rPr>
          <w:rFonts w:ascii="Simplified Arabic" w:eastAsia="Calibri" w:hAnsi="Simplified Arabic" w:cs="Simplified Arabic"/>
          <w:color w:val="000000" w:themeColor="text1"/>
          <w:sz w:val="28"/>
          <w:szCs w:val="28"/>
          <w:rtl/>
        </w:rPr>
        <w:t xml:space="preserve"> أو التقليل أو التحويل أو القبول، بحسب طبيعة كل مخاطرة ومستوى تحمّل المنظّمة لها</w:t>
      </w:r>
      <w:r w:rsidRPr="00641ED1">
        <w:rPr>
          <w:rFonts w:ascii="Simplified Arabic" w:eastAsia="Calibri" w:hAnsi="Simplified Arabic" w:cs="Simplified Arabic"/>
          <w:color w:val="000000" w:themeColor="text1"/>
          <w:sz w:val="28"/>
          <w:szCs w:val="28"/>
          <w:lang w:bidi="ar-EG"/>
        </w:rPr>
        <w:t>.</w:t>
      </w:r>
    </w:p>
    <w:p w14:paraId="4731FDF6"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في حين يُقدّم</w:t>
      </w:r>
      <w:r w:rsidRPr="00641ED1">
        <w:rPr>
          <w:rFonts w:ascii="Simplified Arabic" w:eastAsia="Calibri" w:hAnsi="Simplified Arabic" w:cs="Simplified Arabic"/>
          <w:color w:val="000000" w:themeColor="text1"/>
          <w:sz w:val="28"/>
          <w:szCs w:val="28"/>
          <w:lang w:bidi="ar-EG"/>
        </w:rPr>
        <w:t xml:space="preserve"> Wong </w:t>
      </w:r>
      <w:r w:rsidRPr="00641ED1">
        <w:rPr>
          <w:rFonts w:ascii="Simplified Arabic" w:eastAsia="Calibri" w:hAnsi="Simplified Arabic" w:cs="Simplified Arabic"/>
          <w:color w:val="000000" w:themeColor="text1"/>
          <w:sz w:val="28"/>
          <w:szCs w:val="28"/>
          <w:rtl/>
        </w:rPr>
        <w:t>وآخرون (2024) تعريفاً حديثاً يعكس التوجّهات المعاصرة، إذ يعتبرون استراتيجيات إدارة المخاطر بأنّها منظومة ذكية مدفوعة بتقنيات الذكاء الاصطناعي والتعلّم العميق، تُمكّن المنظّمات من تحليل كميّات ضخمة من البيانات، والتنبّؤ بالمخاطر المستقبلية بدقّة عالية، واتخاذ قرارات مبنيّة على البيانات لتعزيز مرونة سلاسل الإمداد</w:t>
      </w:r>
      <w:r w:rsidRPr="00641ED1">
        <w:rPr>
          <w:rFonts w:ascii="Simplified Arabic" w:eastAsia="Calibri" w:hAnsi="Simplified Arabic" w:cs="Simplified Arabic"/>
          <w:color w:val="000000" w:themeColor="text1"/>
          <w:sz w:val="28"/>
          <w:szCs w:val="28"/>
          <w:lang w:bidi="ar-EG"/>
        </w:rPr>
        <w:t>.</w:t>
      </w:r>
    </w:p>
    <w:p w14:paraId="63E8B27D"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ومن منظور تكاملي، يُشير</w:t>
      </w:r>
      <w:r w:rsidRPr="00641ED1">
        <w:rPr>
          <w:rFonts w:ascii="Simplified Arabic" w:eastAsia="Calibri" w:hAnsi="Simplified Arabic" w:cs="Simplified Arabic"/>
          <w:color w:val="000000" w:themeColor="text1"/>
          <w:sz w:val="28"/>
          <w:szCs w:val="28"/>
          <w:lang w:bidi="ar-EG"/>
        </w:rPr>
        <w:t xml:space="preserve"> </w:t>
      </w:r>
      <w:proofErr w:type="spellStart"/>
      <w:r w:rsidRPr="00641ED1">
        <w:rPr>
          <w:rFonts w:ascii="Simplified Arabic" w:eastAsia="Calibri" w:hAnsi="Simplified Arabic" w:cs="Simplified Arabic"/>
          <w:color w:val="000000" w:themeColor="text1"/>
          <w:sz w:val="28"/>
          <w:szCs w:val="28"/>
          <w:lang w:bidi="ar-EG"/>
        </w:rPr>
        <w:t>Moškov</w:t>
      </w:r>
      <w:r w:rsidRPr="00641ED1">
        <w:rPr>
          <w:rFonts w:ascii="Cambria" w:eastAsia="Calibri" w:hAnsi="Cambria" w:cs="Cambria"/>
          <w:color w:val="000000" w:themeColor="text1"/>
          <w:sz w:val="28"/>
          <w:szCs w:val="28"/>
          <w:lang w:bidi="ar-EG"/>
        </w:rPr>
        <w:t>á</w:t>
      </w:r>
      <w:proofErr w:type="spellEnd"/>
      <w:r w:rsidRPr="00641ED1">
        <w:rPr>
          <w:rFonts w:ascii="Simplified Arabic" w:eastAsia="Calibri" w:hAnsi="Simplified Arabic" w:cs="Simplified Arabic"/>
          <w:color w:val="000000" w:themeColor="text1"/>
          <w:sz w:val="28"/>
          <w:szCs w:val="28"/>
          <w:lang w:bidi="ar-EG"/>
        </w:rPr>
        <w:t xml:space="preserve"> </w:t>
      </w:r>
      <w:r w:rsidRPr="00641ED1">
        <w:rPr>
          <w:rFonts w:ascii="Simplified Arabic" w:eastAsia="Calibri" w:hAnsi="Simplified Arabic" w:cs="Simplified Arabic"/>
          <w:color w:val="000000" w:themeColor="text1"/>
          <w:sz w:val="28"/>
          <w:szCs w:val="28"/>
          <w:rtl/>
        </w:rPr>
        <w:t>و</w:t>
      </w:r>
      <w:proofErr w:type="spellStart"/>
      <w:r w:rsidRPr="00641ED1">
        <w:rPr>
          <w:rFonts w:ascii="Simplified Arabic" w:eastAsia="Calibri" w:hAnsi="Simplified Arabic" w:cs="Simplified Arabic"/>
          <w:color w:val="000000" w:themeColor="text1"/>
          <w:sz w:val="28"/>
          <w:szCs w:val="28"/>
          <w:lang w:bidi="ar-EG"/>
        </w:rPr>
        <w:t>Buganov</w:t>
      </w:r>
      <w:r w:rsidRPr="00641ED1">
        <w:rPr>
          <w:rFonts w:ascii="Cambria" w:eastAsia="Calibri" w:hAnsi="Cambria" w:cs="Cambria"/>
          <w:color w:val="000000" w:themeColor="text1"/>
          <w:sz w:val="28"/>
          <w:szCs w:val="28"/>
          <w:lang w:bidi="ar-EG"/>
        </w:rPr>
        <w:t>á</w:t>
      </w:r>
      <w:proofErr w:type="spellEnd"/>
      <w:r w:rsidRPr="00641ED1">
        <w:rPr>
          <w:rFonts w:ascii="Simplified Arabic" w:eastAsia="Calibri" w:hAnsi="Simplified Arabic" w:cs="Simplified Arabic"/>
          <w:color w:val="000000" w:themeColor="text1"/>
          <w:sz w:val="28"/>
          <w:szCs w:val="28"/>
          <w:lang w:bidi="ar-EG"/>
        </w:rPr>
        <w:t xml:space="preserve"> (2023) </w:t>
      </w:r>
      <w:r w:rsidRPr="00641ED1">
        <w:rPr>
          <w:rFonts w:ascii="Simplified Arabic" w:eastAsia="Calibri" w:hAnsi="Simplified Arabic" w:cs="Simplified Arabic"/>
          <w:color w:val="000000" w:themeColor="text1"/>
          <w:sz w:val="28"/>
          <w:szCs w:val="28"/>
          <w:rtl/>
        </w:rPr>
        <w:t>إلى أنّ استراتيجيات إدارة المخاطر لا يمكن فصلها عن منظومة إدارة استمرارية الأعمال، إذ تُشكّلان معاً إطاراً مؤسسياً متكاملاً يهدف إلى تحقيق الاستدامة المؤسسية في مواجهة الاضطرابات</w:t>
      </w:r>
      <w:r w:rsidRPr="00641ED1">
        <w:rPr>
          <w:rFonts w:ascii="Simplified Arabic" w:eastAsia="Calibri" w:hAnsi="Simplified Arabic" w:cs="Simplified Arabic"/>
          <w:color w:val="000000" w:themeColor="text1"/>
          <w:sz w:val="28"/>
          <w:szCs w:val="28"/>
          <w:lang w:bidi="ar-EG"/>
        </w:rPr>
        <w:t>.</w:t>
      </w:r>
    </w:p>
    <w:p w14:paraId="7114435E"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رأي الباحث</w:t>
      </w:r>
      <w:r w:rsidRPr="00641ED1">
        <w:rPr>
          <w:rFonts w:ascii="Simplified Arabic" w:eastAsia="Calibri" w:hAnsi="Simplified Arabic" w:cs="Simplified Arabic"/>
          <w:b/>
          <w:bCs/>
          <w:color w:val="000000" w:themeColor="text1"/>
          <w:sz w:val="28"/>
          <w:szCs w:val="28"/>
          <w:lang w:bidi="ar-EG"/>
        </w:rPr>
        <w:t>:</w:t>
      </w:r>
    </w:p>
    <w:p w14:paraId="316964CF"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في ضوء ما تقدّم من تعريفات، يرى الباحث أنّ استراتيجيات إدارة مخاطر انقطاع الخدمة يمكن تعريفها إجرائياً بأنّها “منظومة متكاملة من السياسات والإجراءات والممارسات المنهجية التي تتبنّاها شركات الاتصالات، والتي تقوم على تحديد المخاطر المحتملة التي قد تُؤدّي إلى انقطاع الخدمة المقدّمة للعملاء، وتقييم احتمالية وقوعها وحجم أثرها، ومعالجتها بأنسب الأساليب، ومراقبة فاعلية الإجراءات المتّخذة بشكل مستمرّ، وذلك بهدف الحفاظ على استمرارية تقديم الخدمة عند المستويات المتّفق عليها، وصون سمعة الشركة وثقة عملائها”. ويرى الباحث أنّ هذا التعريف يجمع بين البُعد الاستباقي والبُعد </w:t>
      </w:r>
      <w:proofErr w:type="spellStart"/>
      <w:r w:rsidRPr="00641ED1">
        <w:rPr>
          <w:rFonts w:ascii="Simplified Arabic" w:eastAsia="Calibri" w:hAnsi="Simplified Arabic" w:cs="Simplified Arabic"/>
          <w:color w:val="000000" w:themeColor="text1"/>
          <w:sz w:val="28"/>
          <w:szCs w:val="28"/>
          <w:rtl/>
        </w:rPr>
        <w:t>الاستجابي</w:t>
      </w:r>
      <w:proofErr w:type="spellEnd"/>
      <w:r w:rsidRPr="00641ED1">
        <w:rPr>
          <w:rFonts w:ascii="Simplified Arabic" w:eastAsia="Calibri" w:hAnsi="Simplified Arabic" w:cs="Simplified Arabic"/>
          <w:color w:val="000000" w:themeColor="text1"/>
          <w:sz w:val="28"/>
          <w:szCs w:val="28"/>
          <w:rtl/>
        </w:rPr>
        <w:t>، ويُراعي خصوصية قطاع الاتصالات بوصفه قطاعاً يقوم على تقديم خدمات متواصلة عالية الحساسية</w:t>
      </w:r>
      <w:r w:rsidRPr="00641ED1">
        <w:rPr>
          <w:rFonts w:ascii="Simplified Arabic" w:eastAsia="Calibri" w:hAnsi="Simplified Arabic" w:cs="Simplified Arabic"/>
          <w:color w:val="000000" w:themeColor="text1"/>
          <w:sz w:val="28"/>
          <w:szCs w:val="28"/>
          <w:lang w:bidi="ar-EG"/>
        </w:rPr>
        <w:t>.</w:t>
      </w:r>
    </w:p>
    <w:p w14:paraId="334D3630" w14:textId="2A0868D3"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20" w:name="_Toc233993670"/>
      <w:r w:rsidRPr="00641ED1">
        <w:rPr>
          <w:rFonts w:ascii="Simplified Arabic" w:eastAsia="Calibri" w:hAnsi="Simplified Arabic" w:cs="Simplified Arabic" w:hint="cs"/>
          <w:b/>
          <w:bCs/>
          <w:color w:val="000000" w:themeColor="text1"/>
          <w:sz w:val="32"/>
          <w:szCs w:val="32"/>
          <w:rtl/>
        </w:rPr>
        <w:t xml:space="preserve">3.1.2 </w:t>
      </w:r>
      <w:r w:rsidR="0077109A" w:rsidRPr="00641ED1">
        <w:rPr>
          <w:rFonts w:ascii="Simplified Arabic" w:eastAsia="Calibri" w:hAnsi="Simplified Arabic" w:cs="Simplified Arabic"/>
          <w:b/>
          <w:bCs/>
          <w:color w:val="000000" w:themeColor="text1"/>
          <w:sz w:val="32"/>
          <w:szCs w:val="32"/>
          <w:rtl/>
        </w:rPr>
        <w:t xml:space="preserve">نشأة استراتيجيات إدارة </w:t>
      </w:r>
      <w:proofErr w:type="gramStart"/>
      <w:r w:rsidR="0077109A" w:rsidRPr="00641ED1">
        <w:rPr>
          <w:rFonts w:ascii="Simplified Arabic" w:eastAsia="Calibri" w:hAnsi="Simplified Arabic" w:cs="Simplified Arabic"/>
          <w:b/>
          <w:bCs/>
          <w:color w:val="000000" w:themeColor="text1"/>
          <w:sz w:val="32"/>
          <w:szCs w:val="32"/>
          <w:rtl/>
        </w:rPr>
        <w:t>مخاطر</w:t>
      </w:r>
      <w:proofErr w:type="gramEnd"/>
      <w:r w:rsidR="0077109A" w:rsidRPr="00641ED1">
        <w:rPr>
          <w:rFonts w:ascii="Simplified Arabic" w:eastAsia="Calibri" w:hAnsi="Simplified Arabic" w:cs="Simplified Arabic"/>
          <w:b/>
          <w:bCs/>
          <w:color w:val="000000" w:themeColor="text1"/>
          <w:sz w:val="32"/>
          <w:szCs w:val="32"/>
          <w:rtl/>
        </w:rPr>
        <w:t xml:space="preserve"> انقطاع الخدمة وتطوّرها</w:t>
      </w:r>
      <w:bookmarkEnd w:id="20"/>
    </w:p>
    <w:p w14:paraId="342492E0"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مرّ مفهوم إدارة المخاطر بمراحل تطوّر متعاقبة، بدأت بالتعامل التقليدي مع المخاطر البحتة كالحرائق والحوادث من خلال أدوات التأمين، ثم تطوّرت إلى مفهوم إدارة المخاطر المالية في سبعينيات القرن العشرين مع تطوّر الأسواق المالية، لتصل إلى مفهوم إدارة المخاطر المؤسسية</w:t>
      </w:r>
      <w:r w:rsidRPr="00641ED1">
        <w:rPr>
          <w:rFonts w:ascii="Simplified Arabic" w:eastAsia="Calibri" w:hAnsi="Simplified Arabic" w:cs="Simplified Arabic"/>
          <w:color w:val="000000" w:themeColor="text1"/>
          <w:sz w:val="28"/>
          <w:szCs w:val="28"/>
          <w:lang w:bidi="ar-EG"/>
        </w:rPr>
        <w:t xml:space="preserve"> (ERM) </w:t>
      </w:r>
      <w:r w:rsidRPr="00641ED1">
        <w:rPr>
          <w:rFonts w:ascii="Simplified Arabic" w:eastAsia="Calibri" w:hAnsi="Simplified Arabic" w:cs="Simplified Arabic"/>
          <w:color w:val="000000" w:themeColor="text1"/>
          <w:sz w:val="28"/>
          <w:szCs w:val="28"/>
          <w:rtl/>
        </w:rPr>
        <w:t xml:space="preserve">الذي يتناول المخاطر بمنظور شمولي متكامل يشمل جميع أنواع المخاطر ووظائف المنظّمة (سنجاق الدين وحسين، 2022). وقد أفرز التطوّر المعاصر توجّهات نوعية جديدة كإدارة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سلاسل الإمداد، وإدارة المخاطر السيبرانية (شاهين، 2025)، وإدارة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الانقطاع التشغيلي</w:t>
      </w:r>
      <w:r w:rsidRPr="00641ED1">
        <w:rPr>
          <w:rFonts w:ascii="Simplified Arabic" w:eastAsia="Calibri" w:hAnsi="Simplified Arabic" w:cs="Simplified Arabic"/>
          <w:color w:val="000000" w:themeColor="text1"/>
          <w:sz w:val="28"/>
          <w:szCs w:val="28"/>
          <w:lang w:bidi="ar-EG"/>
        </w:rPr>
        <w:t xml:space="preserve"> (Dreyfus &amp; Nair, 2022)</w:t>
      </w:r>
      <w:r w:rsidRPr="00641ED1">
        <w:rPr>
          <w:rFonts w:ascii="Simplified Arabic" w:eastAsia="Calibri" w:hAnsi="Simplified Arabic" w:cs="Simplified Arabic"/>
          <w:color w:val="000000" w:themeColor="text1"/>
          <w:sz w:val="28"/>
          <w:szCs w:val="28"/>
          <w:rtl/>
        </w:rPr>
        <w:t>، والتي تعكس تنوّع مصادر التهديد في البيئة المعاصرة</w:t>
      </w:r>
      <w:r w:rsidRPr="00641ED1">
        <w:rPr>
          <w:rFonts w:ascii="Simplified Arabic" w:eastAsia="Calibri" w:hAnsi="Simplified Arabic" w:cs="Simplified Arabic"/>
          <w:color w:val="000000" w:themeColor="text1"/>
          <w:sz w:val="28"/>
          <w:szCs w:val="28"/>
          <w:lang w:bidi="ar-EG"/>
        </w:rPr>
        <w:t>.</w:t>
      </w:r>
    </w:p>
    <w:p w14:paraId="7A236121" w14:textId="4AD755B8"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21" w:name="_Toc233993671"/>
      <w:r w:rsidRPr="00641ED1">
        <w:rPr>
          <w:rFonts w:ascii="Simplified Arabic" w:eastAsia="Calibri" w:hAnsi="Simplified Arabic" w:cs="Simplified Arabic" w:hint="cs"/>
          <w:b/>
          <w:bCs/>
          <w:color w:val="000000" w:themeColor="text1"/>
          <w:sz w:val="32"/>
          <w:szCs w:val="32"/>
          <w:rtl/>
        </w:rPr>
        <w:t xml:space="preserve">4.1.2 </w:t>
      </w:r>
      <w:r w:rsidR="0077109A" w:rsidRPr="00641ED1">
        <w:rPr>
          <w:rFonts w:ascii="Simplified Arabic" w:eastAsia="Calibri" w:hAnsi="Simplified Arabic" w:cs="Simplified Arabic"/>
          <w:b/>
          <w:bCs/>
          <w:color w:val="000000" w:themeColor="text1"/>
          <w:sz w:val="32"/>
          <w:szCs w:val="32"/>
          <w:rtl/>
        </w:rPr>
        <w:t xml:space="preserve">أهمّية استراتيجيات إدارة </w:t>
      </w:r>
      <w:proofErr w:type="gramStart"/>
      <w:r w:rsidR="0077109A" w:rsidRPr="00641ED1">
        <w:rPr>
          <w:rFonts w:ascii="Simplified Arabic" w:eastAsia="Calibri" w:hAnsi="Simplified Arabic" w:cs="Simplified Arabic"/>
          <w:b/>
          <w:bCs/>
          <w:color w:val="000000" w:themeColor="text1"/>
          <w:sz w:val="32"/>
          <w:szCs w:val="32"/>
          <w:rtl/>
        </w:rPr>
        <w:t>مخاطر</w:t>
      </w:r>
      <w:proofErr w:type="gramEnd"/>
      <w:r w:rsidR="0077109A" w:rsidRPr="00641ED1">
        <w:rPr>
          <w:rFonts w:ascii="Simplified Arabic" w:eastAsia="Calibri" w:hAnsi="Simplified Arabic" w:cs="Simplified Arabic"/>
          <w:b/>
          <w:bCs/>
          <w:color w:val="000000" w:themeColor="text1"/>
          <w:sz w:val="32"/>
          <w:szCs w:val="32"/>
          <w:rtl/>
        </w:rPr>
        <w:t xml:space="preserve"> انقطاع الخدمة</w:t>
      </w:r>
      <w:bookmarkEnd w:id="21"/>
    </w:p>
    <w:p w14:paraId="3A523350"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تكتسب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أهميّة متزايدة في البيئة المؤسسية المعاصرة، وذلك في ضوء تعقّد بيئة الأعمال وتنامي الاعتماد المتبادل بين المنظّمات ومكوّنات سلاسل القيمة، فضلاً عن </w:t>
      </w:r>
      <w:r w:rsidRPr="00641ED1">
        <w:rPr>
          <w:rFonts w:ascii="Simplified Arabic" w:eastAsia="Calibri" w:hAnsi="Simplified Arabic" w:cs="Simplified Arabic"/>
          <w:color w:val="000000" w:themeColor="text1"/>
          <w:sz w:val="28"/>
          <w:szCs w:val="28"/>
          <w:rtl/>
        </w:rPr>
        <w:lastRenderedPageBreak/>
        <w:t>تصاعد توقّعات العملاء والجهات الرقابية بشأن موثوقية الخدمة وجودتها. ويمكن استعراض أهميّة هذه الاستراتيجيات من خلال آراء الباحثين على النحو التالي</w:t>
      </w:r>
      <w:r w:rsidRPr="00641ED1">
        <w:rPr>
          <w:rFonts w:ascii="Simplified Arabic" w:eastAsia="Calibri" w:hAnsi="Simplified Arabic" w:cs="Simplified Arabic"/>
          <w:color w:val="000000" w:themeColor="text1"/>
          <w:sz w:val="28"/>
          <w:szCs w:val="28"/>
          <w:lang w:bidi="ar-EG"/>
        </w:rPr>
        <w:t>:</w:t>
      </w:r>
    </w:p>
    <w:p w14:paraId="7E875582"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 xml:space="preserve">يشير </w:t>
      </w:r>
      <w:proofErr w:type="spellStart"/>
      <w:r w:rsidRPr="00641ED1">
        <w:rPr>
          <w:rFonts w:ascii="Simplified Arabic" w:eastAsia="Calibri" w:hAnsi="Simplified Arabic" w:cs="Simplified Arabic"/>
          <w:b/>
          <w:bCs/>
          <w:color w:val="000000" w:themeColor="text1"/>
          <w:sz w:val="28"/>
          <w:szCs w:val="28"/>
          <w:rtl/>
        </w:rPr>
        <w:t>القهوادي</w:t>
      </w:r>
      <w:proofErr w:type="spellEnd"/>
      <w:r w:rsidRPr="00641ED1">
        <w:rPr>
          <w:rFonts w:ascii="Simplified Arabic" w:eastAsia="Calibri" w:hAnsi="Simplified Arabic" w:cs="Simplified Arabic"/>
          <w:b/>
          <w:bCs/>
          <w:color w:val="000000" w:themeColor="text1"/>
          <w:sz w:val="28"/>
          <w:szCs w:val="28"/>
          <w:rtl/>
        </w:rPr>
        <w:t xml:space="preserve"> (2024) إلى أنّ أهمّية استراتيجيات إدارة المخاطر تتجلّى في عدّة جوانب، أبرزها</w:t>
      </w:r>
      <w:r w:rsidRPr="00641ED1">
        <w:rPr>
          <w:rFonts w:ascii="Simplified Arabic" w:eastAsia="Calibri" w:hAnsi="Simplified Arabic" w:cs="Simplified Arabic"/>
          <w:b/>
          <w:bCs/>
          <w:color w:val="000000" w:themeColor="text1"/>
          <w:sz w:val="28"/>
          <w:szCs w:val="28"/>
          <w:lang w:bidi="ar-EG"/>
        </w:rPr>
        <w:t>:</w:t>
      </w:r>
    </w:p>
    <w:p w14:paraId="28E84713" w14:textId="77777777" w:rsidR="0077109A" w:rsidRPr="00641ED1" w:rsidRDefault="0077109A" w:rsidP="00781571">
      <w:pPr>
        <w:pStyle w:val="ListParagraph"/>
        <w:numPr>
          <w:ilvl w:val="0"/>
          <w:numId w:val="16"/>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توفير إطار منهجي منظّم للتعامل مع حالة عدم التأكّد التي تكتنف بيئة الأعمال المعاصرة، بما يُقلّل من الاعتماد على القرارات الارتجالية</w:t>
      </w:r>
      <w:r w:rsidRPr="00641ED1">
        <w:rPr>
          <w:rFonts w:ascii="Simplified Arabic" w:eastAsia="Calibri" w:hAnsi="Simplified Arabic" w:cs="Simplified Arabic"/>
          <w:color w:val="000000" w:themeColor="text1"/>
          <w:sz w:val="28"/>
          <w:szCs w:val="28"/>
          <w:lang w:bidi="ar-EG"/>
        </w:rPr>
        <w:t>.</w:t>
      </w:r>
    </w:p>
    <w:p w14:paraId="71FB7EA3" w14:textId="77777777" w:rsidR="0077109A" w:rsidRPr="00641ED1" w:rsidRDefault="0077109A" w:rsidP="00781571">
      <w:pPr>
        <w:pStyle w:val="ListParagraph"/>
        <w:numPr>
          <w:ilvl w:val="0"/>
          <w:numId w:val="16"/>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تمكين المنظّمات من ترتيب أولويّاتها في توظيف الموارد وتوجيهها نحو المخاطر الأكثر تأثيراً على أهدافها الاستراتيجية</w:t>
      </w:r>
      <w:r w:rsidRPr="00641ED1">
        <w:rPr>
          <w:rFonts w:ascii="Simplified Arabic" w:eastAsia="Calibri" w:hAnsi="Simplified Arabic" w:cs="Simplified Arabic"/>
          <w:color w:val="000000" w:themeColor="text1"/>
          <w:sz w:val="28"/>
          <w:szCs w:val="28"/>
          <w:lang w:bidi="ar-EG"/>
        </w:rPr>
        <w:t>.</w:t>
      </w:r>
    </w:p>
    <w:p w14:paraId="58363224" w14:textId="77777777" w:rsidR="0077109A" w:rsidRPr="00641ED1" w:rsidRDefault="0077109A" w:rsidP="00781571">
      <w:pPr>
        <w:pStyle w:val="ListParagraph"/>
        <w:numPr>
          <w:ilvl w:val="0"/>
          <w:numId w:val="16"/>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قدرة المنظّمات على تنفيذ مشاريعها ضمن الجداول الزمنية والميزانيات المخصّصة لها</w:t>
      </w:r>
      <w:r w:rsidRPr="00641ED1">
        <w:rPr>
          <w:rFonts w:ascii="Simplified Arabic" w:eastAsia="Calibri" w:hAnsi="Simplified Arabic" w:cs="Simplified Arabic"/>
          <w:color w:val="000000" w:themeColor="text1"/>
          <w:sz w:val="28"/>
          <w:szCs w:val="28"/>
          <w:lang w:bidi="ar-EG"/>
        </w:rPr>
        <w:t>.</w:t>
      </w:r>
    </w:p>
    <w:p w14:paraId="322E83E4" w14:textId="77777777" w:rsidR="0077109A" w:rsidRPr="00641ED1" w:rsidRDefault="0077109A" w:rsidP="00781571">
      <w:pPr>
        <w:pStyle w:val="ListParagraph"/>
        <w:numPr>
          <w:ilvl w:val="0"/>
          <w:numId w:val="16"/>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رفع مستوى ثقة أصحاب المصالح من مساهمين وعملاء وموظّفين وجهات رقابية في قدرة المنظّمة على مواجهة التحدّيات</w:t>
      </w:r>
      <w:r w:rsidRPr="00641ED1">
        <w:rPr>
          <w:rFonts w:ascii="Simplified Arabic" w:eastAsia="Calibri" w:hAnsi="Simplified Arabic" w:cs="Simplified Arabic"/>
          <w:color w:val="000000" w:themeColor="text1"/>
          <w:sz w:val="28"/>
          <w:szCs w:val="28"/>
          <w:lang w:bidi="ar-EG"/>
        </w:rPr>
        <w:t>.</w:t>
      </w:r>
    </w:p>
    <w:p w14:paraId="3D86A27C"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ويرى شاهين (2025) أنّ أهمّية استراتيجيات إدارة المخاطر تظهر في</w:t>
      </w:r>
      <w:r w:rsidRPr="00641ED1">
        <w:rPr>
          <w:rFonts w:ascii="Simplified Arabic" w:eastAsia="Calibri" w:hAnsi="Simplified Arabic" w:cs="Simplified Arabic"/>
          <w:b/>
          <w:bCs/>
          <w:color w:val="000000" w:themeColor="text1"/>
          <w:sz w:val="28"/>
          <w:szCs w:val="28"/>
          <w:lang w:bidi="ar-EG"/>
        </w:rPr>
        <w:t>:</w:t>
      </w:r>
    </w:p>
    <w:p w14:paraId="71145506" w14:textId="77777777" w:rsidR="0077109A" w:rsidRPr="00641ED1" w:rsidRDefault="0077109A" w:rsidP="00781571">
      <w:pPr>
        <w:pStyle w:val="ListParagraph"/>
        <w:numPr>
          <w:ilvl w:val="0"/>
          <w:numId w:val="17"/>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توفير الحماية للأصول المؤسسية المادّية والمعنوية من التهديدات المحتملة، لا سيّما التهديدات السيبرانية المتزايدة</w:t>
      </w:r>
      <w:r w:rsidRPr="00641ED1">
        <w:rPr>
          <w:rFonts w:ascii="Simplified Arabic" w:eastAsia="Calibri" w:hAnsi="Simplified Arabic" w:cs="Simplified Arabic"/>
          <w:color w:val="000000" w:themeColor="text1"/>
          <w:sz w:val="28"/>
          <w:szCs w:val="28"/>
          <w:lang w:bidi="ar-EG"/>
        </w:rPr>
        <w:t>.</w:t>
      </w:r>
    </w:p>
    <w:p w14:paraId="340EA930" w14:textId="77777777" w:rsidR="0077109A" w:rsidRPr="00641ED1" w:rsidRDefault="0077109A" w:rsidP="00781571">
      <w:pPr>
        <w:pStyle w:val="ListParagraph"/>
        <w:numPr>
          <w:ilvl w:val="0"/>
          <w:numId w:val="17"/>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الإسهام في تحقيق الامتثال للمتطلّبات التنظيمية والقانونية التي تفرضها الجهات الرقابية</w:t>
      </w:r>
      <w:r w:rsidRPr="00641ED1">
        <w:rPr>
          <w:rFonts w:ascii="Simplified Arabic" w:eastAsia="Calibri" w:hAnsi="Simplified Arabic" w:cs="Simplified Arabic"/>
          <w:color w:val="000000" w:themeColor="text1"/>
          <w:sz w:val="28"/>
          <w:szCs w:val="28"/>
          <w:lang w:bidi="ar-EG"/>
        </w:rPr>
        <w:t>.</w:t>
      </w:r>
    </w:p>
    <w:p w14:paraId="317D6065" w14:textId="77777777" w:rsidR="0077109A" w:rsidRPr="00641ED1" w:rsidRDefault="0077109A" w:rsidP="00781571">
      <w:pPr>
        <w:pStyle w:val="ListParagraph"/>
        <w:numPr>
          <w:ilvl w:val="0"/>
          <w:numId w:val="17"/>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الشفافية والإفصاح في التقارير المؤسسية، ممّا يُقوّي ثقة المستثمرين وأصحاب المصالح</w:t>
      </w:r>
      <w:r w:rsidRPr="00641ED1">
        <w:rPr>
          <w:rFonts w:ascii="Simplified Arabic" w:eastAsia="Calibri" w:hAnsi="Simplified Arabic" w:cs="Simplified Arabic"/>
          <w:color w:val="000000" w:themeColor="text1"/>
          <w:sz w:val="28"/>
          <w:szCs w:val="28"/>
          <w:lang w:bidi="ar-EG"/>
        </w:rPr>
        <w:t>.</w:t>
      </w:r>
    </w:p>
    <w:p w14:paraId="31E7C0E2" w14:textId="77777777" w:rsidR="0077109A" w:rsidRPr="00641ED1" w:rsidRDefault="0077109A" w:rsidP="00781571">
      <w:pPr>
        <w:pStyle w:val="ListParagraph"/>
        <w:numPr>
          <w:ilvl w:val="0"/>
          <w:numId w:val="17"/>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دعم عمليات صنع القرار الاستراتيجي من خلال توفير معلومات دقيقة عن المخاطر المحتملة وتداعياتها</w:t>
      </w:r>
      <w:r w:rsidRPr="00641ED1">
        <w:rPr>
          <w:rFonts w:ascii="Simplified Arabic" w:eastAsia="Calibri" w:hAnsi="Simplified Arabic" w:cs="Simplified Arabic"/>
          <w:color w:val="000000" w:themeColor="text1"/>
          <w:sz w:val="28"/>
          <w:szCs w:val="28"/>
          <w:lang w:bidi="ar-EG"/>
        </w:rPr>
        <w:t>.</w:t>
      </w:r>
    </w:p>
    <w:p w14:paraId="22DF6ECD"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كما يُبيّن</w:t>
      </w:r>
      <w:r w:rsidRPr="00641ED1">
        <w:rPr>
          <w:rFonts w:ascii="Simplified Arabic" w:eastAsia="Calibri" w:hAnsi="Simplified Arabic" w:cs="Simplified Arabic"/>
          <w:b/>
          <w:bCs/>
          <w:color w:val="000000" w:themeColor="text1"/>
          <w:sz w:val="28"/>
          <w:szCs w:val="28"/>
          <w:lang w:bidi="ar-EG"/>
        </w:rPr>
        <w:t xml:space="preserve"> Tan </w:t>
      </w:r>
      <w:r w:rsidRPr="00641ED1">
        <w:rPr>
          <w:rFonts w:ascii="Simplified Arabic" w:eastAsia="Calibri" w:hAnsi="Simplified Arabic" w:cs="Simplified Arabic"/>
          <w:b/>
          <w:bCs/>
          <w:color w:val="000000" w:themeColor="text1"/>
          <w:sz w:val="28"/>
          <w:szCs w:val="28"/>
          <w:rtl/>
        </w:rPr>
        <w:t>و</w:t>
      </w:r>
      <w:r w:rsidRPr="00641ED1">
        <w:rPr>
          <w:rFonts w:ascii="Simplified Arabic" w:eastAsia="Calibri" w:hAnsi="Simplified Arabic" w:cs="Simplified Arabic"/>
          <w:b/>
          <w:bCs/>
          <w:color w:val="000000" w:themeColor="text1"/>
          <w:sz w:val="28"/>
          <w:szCs w:val="28"/>
          <w:lang w:bidi="ar-EG"/>
        </w:rPr>
        <w:t xml:space="preserve">Lee (2022) </w:t>
      </w:r>
      <w:r w:rsidRPr="00641ED1">
        <w:rPr>
          <w:rFonts w:ascii="Simplified Arabic" w:eastAsia="Calibri" w:hAnsi="Simplified Arabic" w:cs="Simplified Arabic"/>
          <w:b/>
          <w:bCs/>
          <w:color w:val="000000" w:themeColor="text1"/>
          <w:sz w:val="28"/>
          <w:szCs w:val="28"/>
          <w:rtl/>
        </w:rPr>
        <w:t>أنّ أهمّية تبنّي إدارة المخاطر المؤسسية تنعكس في</w:t>
      </w:r>
      <w:r w:rsidRPr="00641ED1">
        <w:rPr>
          <w:rFonts w:ascii="Simplified Arabic" w:eastAsia="Calibri" w:hAnsi="Simplified Arabic" w:cs="Simplified Arabic"/>
          <w:b/>
          <w:bCs/>
          <w:color w:val="000000" w:themeColor="text1"/>
          <w:sz w:val="28"/>
          <w:szCs w:val="28"/>
          <w:lang w:bidi="ar-EG"/>
        </w:rPr>
        <w:t>:</w:t>
      </w:r>
    </w:p>
    <w:p w14:paraId="70AA79FF" w14:textId="77777777" w:rsidR="0077109A" w:rsidRPr="00641ED1" w:rsidRDefault="0077109A" w:rsidP="00781571">
      <w:pPr>
        <w:pStyle w:val="ListParagraph"/>
        <w:numPr>
          <w:ilvl w:val="0"/>
          <w:numId w:val="18"/>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تحقيق التكامل بين مختلف الوظائف الإدارية في المنظّمة، وتجاوز الرؤية المجزّأة للمخاطر</w:t>
      </w:r>
      <w:r w:rsidRPr="00641ED1">
        <w:rPr>
          <w:rFonts w:ascii="Simplified Arabic" w:eastAsia="Calibri" w:hAnsi="Simplified Arabic" w:cs="Simplified Arabic"/>
          <w:color w:val="000000" w:themeColor="text1"/>
          <w:sz w:val="28"/>
          <w:szCs w:val="28"/>
          <w:lang w:bidi="ar-EG"/>
        </w:rPr>
        <w:t>.</w:t>
      </w:r>
    </w:p>
    <w:p w14:paraId="57172F6F" w14:textId="77777777" w:rsidR="0077109A" w:rsidRPr="00641ED1" w:rsidRDefault="0077109A" w:rsidP="00781571">
      <w:pPr>
        <w:pStyle w:val="ListParagraph"/>
        <w:numPr>
          <w:ilvl w:val="0"/>
          <w:numId w:val="18"/>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تحسين جودة الحوكمة المؤسسية من خلال ربط استراتيجيات إدارة المخاطر بالأهداف الاستراتيجية</w:t>
      </w:r>
      <w:r w:rsidRPr="00641ED1">
        <w:rPr>
          <w:rFonts w:ascii="Simplified Arabic" w:eastAsia="Calibri" w:hAnsi="Simplified Arabic" w:cs="Simplified Arabic"/>
          <w:color w:val="000000" w:themeColor="text1"/>
          <w:sz w:val="28"/>
          <w:szCs w:val="28"/>
          <w:lang w:bidi="ar-EG"/>
        </w:rPr>
        <w:t>.</w:t>
      </w:r>
    </w:p>
    <w:p w14:paraId="2F83A2A5" w14:textId="77777777" w:rsidR="0077109A" w:rsidRPr="00641ED1" w:rsidRDefault="0077109A" w:rsidP="00781571">
      <w:pPr>
        <w:pStyle w:val="ListParagraph"/>
        <w:numPr>
          <w:ilvl w:val="0"/>
          <w:numId w:val="18"/>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توفير مرونة أكبر للمنظّمات في التكيّف مع التغيّرات البيئية والتنافسية</w:t>
      </w:r>
      <w:r w:rsidRPr="00641ED1">
        <w:rPr>
          <w:rFonts w:ascii="Simplified Arabic" w:eastAsia="Calibri" w:hAnsi="Simplified Arabic" w:cs="Simplified Arabic"/>
          <w:color w:val="000000" w:themeColor="text1"/>
          <w:sz w:val="28"/>
          <w:szCs w:val="28"/>
          <w:lang w:bidi="ar-EG"/>
        </w:rPr>
        <w:t>.</w:t>
      </w:r>
    </w:p>
    <w:p w14:paraId="68036E4E" w14:textId="77777777" w:rsidR="0077109A" w:rsidRPr="00641ED1" w:rsidRDefault="0077109A" w:rsidP="00781571">
      <w:pPr>
        <w:pStyle w:val="ListParagraph"/>
        <w:numPr>
          <w:ilvl w:val="0"/>
          <w:numId w:val="18"/>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القدرة التنافسية المستدامة للمنظّمات على المدى البعيد</w:t>
      </w:r>
      <w:r w:rsidRPr="00641ED1">
        <w:rPr>
          <w:rFonts w:ascii="Simplified Arabic" w:eastAsia="Calibri" w:hAnsi="Simplified Arabic" w:cs="Simplified Arabic"/>
          <w:color w:val="000000" w:themeColor="text1"/>
          <w:sz w:val="28"/>
          <w:szCs w:val="28"/>
          <w:lang w:bidi="ar-EG"/>
        </w:rPr>
        <w:t>.</w:t>
      </w:r>
    </w:p>
    <w:p w14:paraId="66AB826C"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ويُشير</w:t>
      </w:r>
      <w:r w:rsidRPr="00641ED1">
        <w:rPr>
          <w:rFonts w:ascii="Simplified Arabic" w:eastAsia="Calibri" w:hAnsi="Simplified Arabic" w:cs="Simplified Arabic"/>
          <w:b/>
          <w:bCs/>
          <w:color w:val="000000" w:themeColor="text1"/>
          <w:sz w:val="28"/>
          <w:szCs w:val="28"/>
          <w:lang w:bidi="ar-EG"/>
        </w:rPr>
        <w:t xml:space="preserve"> Hohenstein (2022) </w:t>
      </w:r>
      <w:r w:rsidRPr="00641ED1">
        <w:rPr>
          <w:rFonts w:ascii="Simplified Arabic" w:eastAsia="Calibri" w:hAnsi="Simplified Arabic" w:cs="Simplified Arabic"/>
          <w:b/>
          <w:bCs/>
          <w:color w:val="000000" w:themeColor="text1"/>
          <w:sz w:val="28"/>
          <w:szCs w:val="28"/>
          <w:rtl/>
        </w:rPr>
        <w:t xml:space="preserve">إلى أنّ أهمّية استراتيجيات إدارة </w:t>
      </w:r>
      <w:proofErr w:type="gramStart"/>
      <w:r w:rsidRPr="00641ED1">
        <w:rPr>
          <w:rFonts w:ascii="Simplified Arabic" w:eastAsia="Calibri" w:hAnsi="Simplified Arabic" w:cs="Simplified Arabic"/>
          <w:b/>
          <w:bCs/>
          <w:color w:val="000000" w:themeColor="text1"/>
          <w:sz w:val="28"/>
          <w:szCs w:val="28"/>
          <w:rtl/>
        </w:rPr>
        <w:t>مخاطر</w:t>
      </w:r>
      <w:proofErr w:type="gramEnd"/>
      <w:r w:rsidRPr="00641ED1">
        <w:rPr>
          <w:rFonts w:ascii="Simplified Arabic" w:eastAsia="Calibri" w:hAnsi="Simplified Arabic" w:cs="Simplified Arabic"/>
          <w:b/>
          <w:bCs/>
          <w:color w:val="000000" w:themeColor="text1"/>
          <w:sz w:val="28"/>
          <w:szCs w:val="28"/>
          <w:rtl/>
        </w:rPr>
        <w:t xml:space="preserve"> الانقطاع تتجلّى في</w:t>
      </w:r>
      <w:r w:rsidRPr="00641ED1">
        <w:rPr>
          <w:rFonts w:ascii="Simplified Arabic" w:eastAsia="Calibri" w:hAnsi="Simplified Arabic" w:cs="Simplified Arabic"/>
          <w:b/>
          <w:bCs/>
          <w:color w:val="000000" w:themeColor="text1"/>
          <w:sz w:val="28"/>
          <w:szCs w:val="28"/>
          <w:lang w:bidi="ar-EG"/>
        </w:rPr>
        <w:t>:</w:t>
      </w:r>
    </w:p>
    <w:p w14:paraId="5CB74C23" w14:textId="77777777" w:rsidR="0077109A" w:rsidRPr="00641ED1" w:rsidRDefault="0077109A" w:rsidP="00781571">
      <w:pPr>
        <w:pStyle w:val="ListParagraph"/>
        <w:numPr>
          <w:ilvl w:val="0"/>
          <w:numId w:val="19"/>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بناء المرونة التشغيلية في مواجهة الاضطرابات المفاجئة كالأوبئة والأزمات الاقتصادية</w:t>
      </w:r>
      <w:r w:rsidRPr="00641ED1">
        <w:rPr>
          <w:rFonts w:ascii="Simplified Arabic" w:eastAsia="Calibri" w:hAnsi="Simplified Arabic" w:cs="Simplified Arabic"/>
          <w:color w:val="000000" w:themeColor="text1"/>
          <w:sz w:val="28"/>
          <w:szCs w:val="28"/>
          <w:lang w:bidi="ar-EG"/>
        </w:rPr>
        <w:t>.</w:t>
      </w:r>
    </w:p>
    <w:p w14:paraId="7EF0D1EC" w14:textId="77777777" w:rsidR="0077109A" w:rsidRPr="00641ED1" w:rsidRDefault="0077109A" w:rsidP="00781571">
      <w:pPr>
        <w:pStyle w:val="ListParagraph"/>
        <w:numPr>
          <w:ilvl w:val="0"/>
          <w:numId w:val="19"/>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الحفاظ على استمرارية تدفّق السلع والخدمات في سلاسل الإمداد العالمية</w:t>
      </w:r>
      <w:r w:rsidRPr="00641ED1">
        <w:rPr>
          <w:rFonts w:ascii="Simplified Arabic" w:eastAsia="Calibri" w:hAnsi="Simplified Arabic" w:cs="Simplified Arabic"/>
          <w:color w:val="000000" w:themeColor="text1"/>
          <w:sz w:val="28"/>
          <w:szCs w:val="28"/>
          <w:lang w:bidi="ar-EG"/>
        </w:rPr>
        <w:t>.</w:t>
      </w:r>
    </w:p>
    <w:p w14:paraId="77B24A8F" w14:textId="77777777" w:rsidR="0077109A" w:rsidRPr="00641ED1" w:rsidRDefault="0077109A" w:rsidP="00781571">
      <w:pPr>
        <w:pStyle w:val="ListParagraph"/>
        <w:numPr>
          <w:ilvl w:val="0"/>
          <w:numId w:val="19"/>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تقليل الخسائر المالية والتشغيلية الناجمة عن الاضطرابات</w:t>
      </w:r>
      <w:r w:rsidRPr="00641ED1">
        <w:rPr>
          <w:rFonts w:ascii="Simplified Arabic" w:eastAsia="Calibri" w:hAnsi="Simplified Arabic" w:cs="Simplified Arabic"/>
          <w:color w:val="000000" w:themeColor="text1"/>
          <w:sz w:val="28"/>
          <w:szCs w:val="28"/>
          <w:lang w:bidi="ar-EG"/>
        </w:rPr>
        <w:t>.</w:t>
      </w:r>
    </w:p>
    <w:p w14:paraId="0DE34BA9" w14:textId="77777777" w:rsidR="0077109A" w:rsidRPr="00641ED1" w:rsidRDefault="0077109A" w:rsidP="00781571">
      <w:pPr>
        <w:pStyle w:val="ListParagraph"/>
        <w:numPr>
          <w:ilvl w:val="0"/>
          <w:numId w:val="19"/>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التعاون والثقة بين الأطراف المختلفة في منظومة الأعمال</w:t>
      </w:r>
      <w:r w:rsidRPr="00641ED1">
        <w:rPr>
          <w:rFonts w:ascii="Simplified Arabic" w:eastAsia="Calibri" w:hAnsi="Simplified Arabic" w:cs="Simplified Arabic"/>
          <w:color w:val="000000" w:themeColor="text1"/>
          <w:sz w:val="28"/>
          <w:szCs w:val="28"/>
          <w:lang w:bidi="ar-EG"/>
        </w:rPr>
        <w:t>.</w:t>
      </w:r>
    </w:p>
    <w:p w14:paraId="63DA41AC" w14:textId="77777777" w:rsidR="0077109A" w:rsidRPr="00641ED1" w:rsidRDefault="0077109A" w:rsidP="00B25B94">
      <w:pPr>
        <w:bidi/>
        <w:spacing w:before="100" w:beforeAutospacing="1" w:after="100" w:afterAutospacing="1" w:line="276" w:lineRule="auto"/>
        <w:ind w:left="-1" w:firstLine="425"/>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ويؤكّد</w:t>
      </w:r>
      <w:r w:rsidRPr="00641ED1">
        <w:rPr>
          <w:rFonts w:ascii="Simplified Arabic" w:eastAsia="Calibri" w:hAnsi="Simplified Arabic" w:cs="Simplified Arabic"/>
          <w:b/>
          <w:bCs/>
          <w:color w:val="000000" w:themeColor="text1"/>
          <w:sz w:val="28"/>
          <w:szCs w:val="28"/>
          <w:lang w:bidi="ar-EG"/>
        </w:rPr>
        <w:t xml:space="preserve"> Wong </w:t>
      </w:r>
      <w:r w:rsidRPr="00641ED1">
        <w:rPr>
          <w:rFonts w:ascii="Simplified Arabic" w:eastAsia="Calibri" w:hAnsi="Simplified Arabic" w:cs="Simplified Arabic"/>
          <w:b/>
          <w:bCs/>
          <w:color w:val="000000" w:themeColor="text1"/>
          <w:sz w:val="28"/>
          <w:szCs w:val="28"/>
          <w:rtl/>
        </w:rPr>
        <w:t>وآخرون (2024) أنّ أهمّية استراتيجيات إدارة المخاطر المدفوعة بالذكاء الاصطناعي تكمن في</w:t>
      </w:r>
      <w:r w:rsidRPr="00641ED1">
        <w:rPr>
          <w:rFonts w:ascii="Simplified Arabic" w:eastAsia="Calibri" w:hAnsi="Simplified Arabic" w:cs="Simplified Arabic"/>
          <w:b/>
          <w:bCs/>
          <w:color w:val="000000" w:themeColor="text1"/>
          <w:sz w:val="28"/>
          <w:szCs w:val="28"/>
          <w:lang w:bidi="ar-EG"/>
        </w:rPr>
        <w:t>:</w:t>
      </w:r>
    </w:p>
    <w:p w14:paraId="471654ED" w14:textId="77777777" w:rsidR="0077109A" w:rsidRPr="00641ED1" w:rsidRDefault="0077109A" w:rsidP="00781571">
      <w:pPr>
        <w:pStyle w:val="ListParagraph"/>
        <w:numPr>
          <w:ilvl w:val="0"/>
          <w:numId w:val="20"/>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الاستفادة من إمكانات البيانات الضخمة في التنبّؤ بالمخاطر المستقبلية بدقّة عالية</w:t>
      </w:r>
      <w:r w:rsidRPr="00641ED1">
        <w:rPr>
          <w:rFonts w:ascii="Simplified Arabic" w:eastAsia="Calibri" w:hAnsi="Simplified Arabic" w:cs="Simplified Arabic"/>
          <w:color w:val="000000" w:themeColor="text1"/>
          <w:sz w:val="28"/>
          <w:szCs w:val="28"/>
          <w:lang w:bidi="ar-EG"/>
        </w:rPr>
        <w:t>.</w:t>
      </w:r>
    </w:p>
    <w:p w14:paraId="3EC4E216" w14:textId="77777777" w:rsidR="0077109A" w:rsidRPr="00641ED1" w:rsidRDefault="0077109A" w:rsidP="00781571">
      <w:pPr>
        <w:pStyle w:val="ListParagraph"/>
        <w:numPr>
          <w:ilvl w:val="0"/>
          <w:numId w:val="20"/>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تسريع عمليات صنع القرار في مواجهة المخاطر من خلال أتمتة عمليات التحليل والاستجابة</w:t>
      </w:r>
      <w:r w:rsidRPr="00641ED1">
        <w:rPr>
          <w:rFonts w:ascii="Simplified Arabic" w:eastAsia="Calibri" w:hAnsi="Simplified Arabic" w:cs="Simplified Arabic"/>
          <w:color w:val="000000" w:themeColor="text1"/>
          <w:sz w:val="28"/>
          <w:szCs w:val="28"/>
          <w:lang w:bidi="ar-EG"/>
        </w:rPr>
        <w:t>.</w:t>
      </w:r>
    </w:p>
    <w:p w14:paraId="2222459A" w14:textId="77777777" w:rsidR="0077109A" w:rsidRPr="00641ED1" w:rsidRDefault="0077109A" w:rsidP="00781571">
      <w:pPr>
        <w:pStyle w:val="ListParagraph"/>
        <w:numPr>
          <w:ilvl w:val="0"/>
          <w:numId w:val="20"/>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الرشاقة التنظيمية</w:t>
      </w:r>
      <w:r w:rsidRPr="00641ED1">
        <w:rPr>
          <w:rFonts w:ascii="Simplified Arabic" w:eastAsia="Calibri" w:hAnsi="Simplified Arabic" w:cs="Simplified Arabic"/>
          <w:color w:val="000000" w:themeColor="text1"/>
          <w:sz w:val="28"/>
          <w:szCs w:val="28"/>
          <w:lang w:bidi="ar-EG"/>
        </w:rPr>
        <w:t xml:space="preserve"> (Organizational Agility) </w:t>
      </w:r>
      <w:r w:rsidRPr="00641ED1">
        <w:rPr>
          <w:rFonts w:ascii="Simplified Arabic" w:eastAsia="Calibri" w:hAnsi="Simplified Arabic" w:cs="Simplified Arabic"/>
          <w:color w:val="000000" w:themeColor="text1"/>
          <w:sz w:val="28"/>
          <w:szCs w:val="28"/>
          <w:rtl/>
        </w:rPr>
        <w:t>وقدرة المنظّمات على التكيّف السريع</w:t>
      </w:r>
      <w:r w:rsidRPr="00641ED1">
        <w:rPr>
          <w:rFonts w:ascii="Simplified Arabic" w:eastAsia="Calibri" w:hAnsi="Simplified Arabic" w:cs="Simplified Arabic"/>
          <w:color w:val="000000" w:themeColor="text1"/>
          <w:sz w:val="28"/>
          <w:szCs w:val="28"/>
          <w:lang w:bidi="ar-EG"/>
        </w:rPr>
        <w:t>.</w:t>
      </w:r>
    </w:p>
    <w:p w14:paraId="17D4F618" w14:textId="77777777" w:rsidR="0077109A" w:rsidRPr="00641ED1" w:rsidRDefault="0077109A" w:rsidP="00781571">
      <w:pPr>
        <w:pStyle w:val="ListParagraph"/>
        <w:numPr>
          <w:ilvl w:val="0"/>
          <w:numId w:val="20"/>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توفير ميزة تنافسية مستدامة قائمة على التميّز التقني في إدارة المخاطر</w:t>
      </w:r>
      <w:r w:rsidRPr="00641ED1">
        <w:rPr>
          <w:rFonts w:ascii="Simplified Arabic" w:eastAsia="Calibri" w:hAnsi="Simplified Arabic" w:cs="Simplified Arabic"/>
          <w:color w:val="000000" w:themeColor="text1"/>
          <w:sz w:val="28"/>
          <w:szCs w:val="28"/>
          <w:lang w:bidi="ar-EG"/>
        </w:rPr>
        <w:t>.</w:t>
      </w:r>
    </w:p>
    <w:p w14:paraId="5FF1C5B1" w14:textId="6D15AE3B"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22" w:name="_Toc233993672"/>
      <w:r w:rsidRPr="00641ED1">
        <w:rPr>
          <w:rFonts w:ascii="Simplified Arabic" w:eastAsia="Calibri" w:hAnsi="Simplified Arabic" w:cs="Simplified Arabic" w:hint="cs"/>
          <w:b/>
          <w:bCs/>
          <w:color w:val="000000" w:themeColor="text1"/>
          <w:sz w:val="32"/>
          <w:szCs w:val="32"/>
          <w:rtl/>
        </w:rPr>
        <w:t xml:space="preserve">5.1.2 </w:t>
      </w:r>
      <w:r w:rsidR="0077109A" w:rsidRPr="00641ED1">
        <w:rPr>
          <w:rFonts w:ascii="Simplified Arabic" w:eastAsia="Calibri" w:hAnsi="Simplified Arabic" w:cs="Simplified Arabic"/>
          <w:b/>
          <w:bCs/>
          <w:color w:val="000000" w:themeColor="text1"/>
          <w:sz w:val="32"/>
          <w:szCs w:val="32"/>
          <w:rtl/>
        </w:rPr>
        <w:t xml:space="preserve">أهداف استراتيجيات إدارة </w:t>
      </w:r>
      <w:proofErr w:type="gramStart"/>
      <w:r w:rsidR="0077109A" w:rsidRPr="00641ED1">
        <w:rPr>
          <w:rFonts w:ascii="Simplified Arabic" w:eastAsia="Calibri" w:hAnsi="Simplified Arabic" w:cs="Simplified Arabic"/>
          <w:b/>
          <w:bCs/>
          <w:color w:val="000000" w:themeColor="text1"/>
          <w:sz w:val="32"/>
          <w:szCs w:val="32"/>
          <w:rtl/>
        </w:rPr>
        <w:t>مخاطر</w:t>
      </w:r>
      <w:proofErr w:type="gramEnd"/>
      <w:r w:rsidR="0077109A" w:rsidRPr="00641ED1">
        <w:rPr>
          <w:rFonts w:ascii="Simplified Arabic" w:eastAsia="Calibri" w:hAnsi="Simplified Arabic" w:cs="Simplified Arabic"/>
          <w:b/>
          <w:bCs/>
          <w:color w:val="000000" w:themeColor="text1"/>
          <w:sz w:val="32"/>
          <w:szCs w:val="32"/>
          <w:rtl/>
        </w:rPr>
        <w:t xml:space="preserve"> انقطاع الخدمة</w:t>
      </w:r>
      <w:bookmarkEnd w:id="22"/>
    </w:p>
    <w:p w14:paraId="593A025F" w14:textId="77777777" w:rsidR="0077109A" w:rsidRPr="00641ED1" w:rsidRDefault="0077109A" w:rsidP="00B25B94">
      <w:pPr>
        <w:bidi/>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تسعى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إلى تحقيق جملة من الأهداف المتكاملة التي تخدم المنظّمة على المستويات الاستراتيجية والتشغيلية والمالية، وقد تناول الباحثون هذه الأهداف من زوايا متعدّدة على النحو التالي</w:t>
      </w:r>
      <w:r w:rsidRPr="00641ED1">
        <w:rPr>
          <w:rFonts w:ascii="Simplified Arabic" w:eastAsia="Calibri" w:hAnsi="Simplified Arabic" w:cs="Simplified Arabic"/>
          <w:color w:val="000000" w:themeColor="text1"/>
          <w:sz w:val="28"/>
          <w:szCs w:val="28"/>
          <w:lang w:bidi="ar-EG"/>
        </w:rPr>
        <w:t>:</w:t>
      </w:r>
    </w:p>
    <w:p w14:paraId="2179E602" w14:textId="77777777" w:rsidR="0077109A" w:rsidRPr="00641ED1" w:rsidRDefault="0077109A" w:rsidP="00B25B94">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تتحدّد أهداف استراتيجيات إدارة المخاطر وفق ما يذكره أحمد (2024) في</w:t>
      </w:r>
      <w:r w:rsidRPr="00641ED1">
        <w:rPr>
          <w:rFonts w:ascii="Simplified Arabic" w:eastAsia="Calibri" w:hAnsi="Simplified Arabic" w:cs="Simplified Arabic"/>
          <w:b/>
          <w:bCs/>
          <w:color w:val="000000" w:themeColor="text1"/>
          <w:sz w:val="28"/>
          <w:szCs w:val="28"/>
          <w:lang w:bidi="ar-EG"/>
        </w:rPr>
        <w:t>:</w:t>
      </w:r>
    </w:p>
    <w:p w14:paraId="5C7998FE" w14:textId="77777777" w:rsidR="0077109A" w:rsidRPr="00641ED1" w:rsidRDefault="0077109A" w:rsidP="00781571">
      <w:pPr>
        <w:pStyle w:val="ListParagraph"/>
        <w:numPr>
          <w:ilvl w:val="0"/>
          <w:numId w:val="21"/>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حماية الأصول المؤسسية من التهديدات التي قد تُلحق بها الضرر</w:t>
      </w:r>
      <w:r w:rsidRPr="00641ED1">
        <w:rPr>
          <w:rFonts w:ascii="Simplified Arabic" w:eastAsia="Calibri" w:hAnsi="Simplified Arabic" w:cs="Simplified Arabic"/>
          <w:color w:val="000000" w:themeColor="text1"/>
          <w:sz w:val="28"/>
          <w:szCs w:val="28"/>
          <w:lang w:bidi="ar-EG"/>
        </w:rPr>
        <w:t>.</w:t>
      </w:r>
    </w:p>
    <w:p w14:paraId="3FEF1FF1" w14:textId="77777777" w:rsidR="0077109A" w:rsidRPr="00641ED1" w:rsidRDefault="0077109A" w:rsidP="00781571">
      <w:pPr>
        <w:pStyle w:val="ListParagraph"/>
        <w:numPr>
          <w:ilvl w:val="0"/>
          <w:numId w:val="21"/>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قدرة المنظّمة على تحقيق أهدافها الاستراتيجية في ظلّ حالة عدم التأكّد</w:t>
      </w:r>
      <w:r w:rsidRPr="00641ED1">
        <w:rPr>
          <w:rFonts w:ascii="Simplified Arabic" w:eastAsia="Calibri" w:hAnsi="Simplified Arabic" w:cs="Simplified Arabic"/>
          <w:color w:val="000000" w:themeColor="text1"/>
          <w:sz w:val="28"/>
          <w:szCs w:val="28"/>
          <w:lang w:bidi="ar-EG"/>
        </w:rPr>
        <w:t>.</w:t>
      </w:r>
    </w:p>
    <w:p w14:paraId="53A927F5" w14:textId="77777777" w:rsidR="0077109A" w:rsidRPr="00641ED1" w:rsidRDefault="0077109A" w:rsidP="00781571">
      <w:pPr>
        <w:pStyle w:val="ListParagraph"/>
        <w:numPr>
          <w:ilvl w:val="0"/>
          <w:numId w:val="21"/>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تحسين جودة القرارات الإدارية من خلال توفير معلومات دقيقة عن المخاطر المحتملة</w:t>
      </w:r>
      <w:r w:rsidRPr="00641ED1">
        <w:rPr>
          <w:rFonts w:ascii="Simplified Arabic" w:eastAsia="Calibri" w:hAnsi="Simplified Arabic" w:cs="Simplified Arabic"/>
          <w:color w:val="000000" w:themeColor="text1"/>
          <w:sz w:val="28"/>
          <w:szCs w:val="28"/>
          <w:lang w:bidi="ar-EG"/>
        </w:rPr>
        <w:t>.</w:t>
      </w:r>
    </w:p>
    <w:p w14:paraId="1B6EBFD1" w14:textId="77777777" w:rsidR="0077109A" w:rsidRPr="00641ED1" w:rsidRDefault="0077109A" w:rsidP="00781571">
      <w:pPr>
        <w:pStyle w:val="ListParagraph"/>
        <w:numPr>
          <w:ilvl w:val="0"/>
          <w:numId w:val="21"/>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رفع مستوى الوعي المؤسسي بأهمّية إدارة المخاطر لدى جميع العاملين</w:t>
      </w:r>
      <w:r w:rsidRPr="00641ED1">
        <w:rPr>
          <w:rFonts w:ascii="Simplified Arabic" w:eastAsia="Calibri" w:hAnsi="Simplified Arabic" w:cs="Simplified Arabic"/>
          <w:color w:val="000000" w:themeColor="text1"/>
          <w:sz w:val="28"/>
          <w:szCs w:val="28"/>
          <w:lang w:bidi="ar-EG"/>
        </w:rPr>
        <w:t>.</w:t>
      </w:r>
    </w:p>
    <w:p w14:paraId="02C1784A" w14:textId="77777777" w:rsidR="0077109A" w:rsidRPr="00641ED1" w:rsidRDefault="0077109A" w:rsidP="00B25B94">
      <w:pPr>
        <w:bidi/>
        <w:spacing w:before="100" w:beforeAutospacing="1" w:after="100" w:afterAutospacing="1" w:line="276" w:lineRule="auto"/>
        <w:ind w:left="360"/>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ويوضّح</w:t>
      </w:r>
      <w:r w:rsidRPr="00641ED1">
        <w:rPr>
          <w:rFonts w:ascii="Simplified Arabic" w:eastAsia="Calibri" w:hAnsi="Simplified Arabic" w:cs="Simplified Arabic"/>
          <w:b/>
          <w:bCs/>
          <w:color w:val="000000" w:themeColor="text1"/>
          <w:sz w:val="28"/>
          <w:szCs w:val="28"/>
          <w:lang w:bidi="ar-EG"/>
        </w:rPr>
        <w:t xml:space="preserve"> Jahani </w:t>
      </w:r>
      <w:r w:rsidRPr="00641ED1">
        <w:rPr>
          <w:rFonts w:ascii="Simplified Arabic" w:eastAsia="Calibri" w:hAnsi="Simplified Arabic" w:cs="Simplified Arabic"/>
          <w:b/>
          <w:bCs/>
          <w:color w:val="000000" w:themeColor="text1"/>
          <w:sz w:val="28"/>
          <w:szCs w:val="28"/>
          <w:rtl/>
        </w:rPr>
        <w:t xml:space="preserve">وآخرون (2021) أنّ أهداف استراتيجيات إدارة </w:t>
      </w:r>
      <w:proofErr w:type="gramStart"/>
      <w:r w:rsidRPr="00641ED1">
        <w:rPr>
          <w:rFonts w:ascii="Simplified Arabic" w:eastAsia="Calibri" w:hAnsi="Simplified Arabic" w:cs="Simplified Arabic"/>
          <w:b/>
          <w:bCs/>
          <w:color w:val="000000" w:themeColor="text1"/>
          <w:sz w:val="28"/>
          <w:szCs w:val="28"/>
          <w:rtl/>
        </w:rPr>
        <w:t>مخاطر</w:t>
      </w:r>
      <w:proofErr w:type="gramEnd"/>
      <w:r w:rsidRPr="00641ED1">
        <w:rPr>
          <w:rFonts w:ascii="Simplified Arabic" w:eastAsia="Calibri" w:hAnsi="Simplified Arabic" w:cs="Simplified Arabic"/>
          <w:b/>
          <w:bCs/>
          <w:color w:val="000000" w:themeColor="text1"/>
          <w:sz w:val="28"/>
          <w:szCs w:val="28"/>
          <w:rtl/>
        </w:rPr>
        <w:t xml:space="preserve"> الانقطاع تتمثّل في</w:t>
      </w:r>
      <w:r w:rsidRPr="00641ED1">
        <w:rPr>
          <w:rFonts w:ascii="Simplified Arabic" w:eastAsia="Calibri" w:hAnsi="Simplified Arabic" w:cs="Simplified Arabic"/>
          <w:b/>
          <w:bCs/>
          <w:color w:val="000000" w:themeColor="text1"/>
          <w:sz w:val="28"/>
          <w:szCs w:val="28"/>
          <w:lang w:bidi="ar-EG"/>
        </w:rPr>
        <w:t>:</w:t>
      </w:r>
    </w:p>
    <w:p w14:paraId="53306DAC" w14:textId="77777777" w:rsidR="0077109A" w:rsidRPr="00641ED1" w:rsidRDefault="0077109A" w:rsidP="00781571">
      <w:pPr>
        <w:pStyle w:val="ListParagraph"/>
        <w:numPr>
          <w:ilvl w:val="0"/>
          <w:numId w:val="22"/>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ضمان الوفاء بالتزامات اتفاقيات مستوى الخدمة</w:t>
      </w:r>
      <w:r w:rsidRPr="00641ED1">
        <w:rPr>
          <w:rFonts w:ascii="Simplified Arabic" w:eastAsia="Calibri" w:hAnsi="Simplified Arabic" w:cs="Simplified Arabic"/>
          <w:color w:val="000000" w:themeColor="text1"/>
          <w:sz w:val="28"/>
          <w:szCs w:val="28"/>
          <w:lang w:bidi="ar-EG"/>
        </w:rPr>
        <w:t xml:space="preserve"> (SLA) </w:t>
      </w:r>
      <w:r w:rsidRPr="00641ED1">
        <w:rPr>
          <w:rFonts w:ascii="Simplified Arabic" w:eastAsia="Calibri" w:hAnsi="Simplified Arabic" w:cs="Simplified Arabic"/>
          <w:color w:val="000000" w:themeColor="text1"/>
          <w:sz w:val="28"/>
          <w:szCs w:val="28"/>
          <w:rtl/>
        </w:rPr>
        <w:t>المبرمة مع العملاء</w:t>
      </w:r>
      <w:r w:rsidRPr="00641ED1">
        <w:rPr>
          <w:rFonts w:ascii="Simplified Arabic" w:eastAsia="Calibri" w:hAnsi="Simplified Arabic" w:cs="Simplified Arabic"/>
          <w:color w:val="000000" w:themeColor="text1"/>
          <w:sz w:val="28"/>
          <w:szCs w:val="28"/>
          <w:lang w:bidi="ar-EG"/>
        </w:rPr>
        <w:t>.</w:t>
      </w:r>
    </w:p>
    <w:p w14:paraId="03EC4192" w14:textId="77777777" w:rsidR="0077109A" w:rsidRPr="00641ED1" w:rsidRDefault="0077109A" w:rsidP="00781571">
      <w:pPr>
        <w:pStyle w:val="ListParagraph"/>
        <w:numPr>
          <w:ilvl w:val="0"/>
          <w:numId w:val="22"/>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تقليل الفجوة بين مستوى الخدمة المتوقّع ومستوى الخدمة الفعلي</w:t>
      </w:r>
      <w:r w:rsidRPr="00641ED1">
        <w:rPr>
          <w:rFonts w:ascii="Simplified Arabic" w:eastAsia="Calibri" w:hAnsi="Simplified Arabic" w:cs="Simplified Arabic"/>
          <w:color w:val="000000" w:themeColor="text1"/>
          <w:sz w:val="28"/>
          <w:szCs w:val="28"/>
          <w:lang w:bidi="ar-EG"/>
        </w:rPr>
        <w:t>.</w:t>
      </w:r>
    </w:p>
    <w:p w14:paraId="199C3F9B" w14:textId="77777777" w:rsidR="0077109A" w:rsidRPr="00641ED1" w:rsidRDefault="0077109A" w:rsidP="00781571">
      <w:pPr>
        <w:pStyle w:val="ListParagraph"/>
        <w:numPr>
          <w:ilvl w:val="0"/>
          <w:numId w:val="22"/>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تصميم آليات تعويض عادلة تحفظ حقوق الأطراف عند وقوع الانقطاع</w:t>
      </w:r>
      <w:r w:rsidRPr="00641ED1">
        <w:rPr>
          <w:rFonts w:ascii="Simplified Arabic" w:eastAsia="Calibri" w:hAnsi="Simplified Arabic" w:cs="Simplified Arabic"/>
          <w:color w:val="000000" w:themeColor="text1"/>
          <w:sz w:val="28"/>
          <w:szCs w:val="28"/>
          <w:lang w:bidi="ar-EG"/>
        </w:rPr>
        <w:t>.</w:t>
      </w:r>
    </w:p>
    <w:p w14:paraId="1A40CE50" w14:textId="77777777" w:rsidR="0077109A" w:rsidRPr="00641ED1" w:rsidRDefault="0077109A" w:rsidP="00781571">
      <w:pPr>
        <w:pStyle w:val="ListParagraph"/>
        <w:numPr>
          <w:ilvl w:val="0"/>
          <w:numId w:val="22"/>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الشفافية والثقة في العلاقة بين مقدّم الخدمة والعميل</w:t>
      </w:r>
      <w:r w:rsidRPr="00641ED1">
        <w:rPr>
          <w:rFonts w:ascii="Simplified Arabic" w:eastAsia="Calibri" w:hAnsi="Simplified Arabic" w:cs="Simplified Arabic"/>
          <w:color w:val="000000" w:themeColor="text1"/>
          <w:sz w:val="28"/>
          <w:szCs w:val="28"/>
          <w:lang w:bidi="ar-EG"/>
        </w:rPr>
        <w:t>.</w:t>
      </w:r>
    </w:p>
    <w:p w14:paraId="2C8AF6C7" w14:textId="54B418D1"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ويرى</w:t>
      </w:r>
      <w:r w:rsidRPr="00641ED1">
        <w:rPr>
          <w:rFonts w:ascii="Simplified Arabic" w:eastAsia="Calibri" w:hAnsi="Simplified Arabic" w:cs="Simplified Arabic"/>
          <w:b/>
          <w:bCs/>
          <w:color w:val="000000" w:themeColor="text1"/>
          <w:sz w:val="28"/>
          <w:szCs w:val="28"/>
          <w:lang w:bidi="ar-EG"/>
        </w:rPr>
        <w:t xml:space="preserve"> Dreyfus </w:t>
      </w:r>
      <w:r w:rsidRPr="00641ED1">
        <w:rPr>
          <w:rFonts w:ascii="Simplified Arabic" w:eastAsia="Calibri" w:hAnsi="Simplified Arabic" w:cs="Simplified Arabic"/>
          <w:b/>
          <w:bCs/>
          <w:color w:val="000000" w:themeColor="text1"/>
          <w:sz w:val="28"/>
          <w:szCs w:val="28"/>
        </w:rPr>
        <w:t>&amp;</w:t>
      </w:r>
      <w:r w:rsidRPr="00641ED1">
        <w:rPr>
          <w:rFonts w:ascii="Simplified Arabic" w:eastAsia="Calibri" w:hAnsi="Simplified Arabic" w:cs="Simplified Arabic"/>
          <w:b/>
          <w:bCs/>
          <w:color w:val="000000" w:themeColor="text1"/>
          <w:sz w:val="28"/>
          <w:szCs w:val="28"/>
          <w:lang w:bidi="ar-EG"/>
        </w:rPr>
        <w:t xml:space="preserve">Nair (2022) </w:t>
      </w:r>
      <w:r w:rsidRPr="00641ED1">
        <w:rPr>
          <w:rFonts w:ascii="Simplified Arabic" w:eastAsia="Calibri" w:hAnsi="Simplified Arabic" w:cs="Simplified Arabic"/>
          <w:b/>
          <w:bCs/>
          <w:color w:val="000000" w:themeColor="text1"/>
          <w:sz w:val="28"/>
          <w:szCs w:val="28"/>
          <w:rtl/>
        </w:rPr>
        <w:t>أنّ استراتيجيات إدارة المخاطر تهدف إلى</w:t>
      </w:r>
      <w:r w:rsidRPr="00641ED1">
        <w:rPr>
          <w:rFonts w:ascii="Simplified Arabic" w:eastAsia="Calibri" w:hAnsi="Simplified Arabic" w:cs="Simplified Arabic"/>
          <w:b/>
          <w:bCs/>
          <w:color w:val="000000" w:themeColor="text1"/>
          <w:sz w:val="28"/>
          <w:szCs w:val="28"/>
          <w:lang w:bidi="ar-EG"/>
        </w:rPr>
        <w:t>:</w:t>
      </w:r>
    </w:p>
    <w:p w14:paraId="6A2A0A6E" w14:textId="77777777" w:rsidR="0077109A" w:rsidRPr="00641ED1" w:rsidRDefault="0077109A" w:rsidP="00781571">
      <w:pPr>
        <w:pStyle w:val="ListParagraph"/>
        <w:numPr>
          <w:ilvl w:val="0"/>
          <w:numId w:val="23"/>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الحدّ من الأثر السلبي للاضطرابات التشغيلية على أداء المنظّمة</w:t>
      </w:r>
      <w:r w:rsidRPr="00641ED1">
        <w:rPr>
          <w:rFonts w:ascii="Simplified Arabic" w:eastAsia="Calibri" w:hAnsi="Simplified Arabic" w:cs="Simplified Arabic"/>
          <w:color w:val="000000" w:themeColor="text1"/>
          <w:sz w:val="28"/>
          <w:szCs w:val="28"/>
          <w:lang w:bidi="ar-EG"/>
        </w:rPr>
        <w:t>.</w:t>
      </w:r>
    </w:p>
    <w:p w14:paraId="69DF0B81" w14:textId="77777777" w:rsidR="0077109A" w:rsidRPr="00641ED1" w:rsidRDefault="0077109A" w:rsidP="00781571">
      <w:pPr>
        <w:pStyle w:val="ListParagraph"/>
        <w:numPr>
          <w:ilvl w:val="0"/>
          <w:numId w:val="23"/>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توفير بنية تحتية معلوماتية تدعم تبادل المعلومات بين الأطراف المعنيّة</w:t>
      </w:r>
      <w:r w:rsidRPr="00641ED1">
        <w:rPr>
          <w:rFonts w:ascii="Simplified Arabic" w:eastAsia="Calibri" w:hAnsi="Simplified Arabic" w:cs="Simplified Arabic"/>
          <w:color w:val="000000" w:themeColor="text1"/>
          <w:sz w:val="28"/>
          <w:szCs w:val="28"/>
          <w:lang w:bidi="ar-EG"/>
        </w:rPr>
        <w:t>.</w:t>
      </w:r>
    </w:p>
    <w:p w14:paraId="2CC94322" w14:textId="77777777" w:rsidR="0077109A" w:rsidRPr="00641ED1" w:rsidRDefault="0077109A" w:rsidP="00781571">
      <w:pPr>
        <w:pStyle w:val="ListParagraph"/>
        <w:numPr>
          <w:ilvl w:val="0"/>
          <w:numId w:val="23"/>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التنسيق بين الوحدات التنظيمية المختلفة في مواجهة الاضطرابات</w:t>
      </w:r>
      <w:r w:rsidRPr="00641ED1">
        <w:rPr>
          <w:rFonts w:ascii="Simplified Arabic" w:eastAsia="Calibri" w:hAnsi="Simplified Arabic" w:cs="Simplified Arabic"/>
          <w:color w:val="000000" w:themeColor="text1"/>
          <w:sz w:val="28"/>
          <w:szCs w:val="28"/>
          <w:lang w:bidi="ar-EG"/>
        </w:rPr>
        <w:t>.</w:t>
      </w:r>
    </w:p>
    <w:p w14:paraId="40213F13" w14:textId="77777777" w:rsidR="0077109A" w:rsidRPr="00641ED1" w:rsidRDefault="0077109A" w:rsidP="00781571">
      <w:pPr>
        <w:pStyle w:val="ListParagraph"/>
        <w:numPr>
          <w:ilvl w:val="0"/>
          <w:numId w:val="23"/>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تحسين قدرات المنظّمة على التعلّم من الحوادث السابقة</w:t>
      </w:r>
      <w:r w:rsidRPr="00641ED1">
        <w:rPr>
          <w:rFonts w:ascii="Simplified Arabic" w:eastAsia="Calibri" w:hAnsi="Simplified Arabic" w:cs="Simplified Arabic"/>
          <w:color w:val="000000" w:themeColor="text1"/>
          <w:sz w:val="28"/>
          <w:szCs w:val="28"/>
          <w:lang w:bidi="ar-EG"/>
        </w:rPr>
        <w:t>.</w:t>
      </w:r>
    </w:p>
    <w:p w14:paraId="567D9FEE" w14:textId="77777777" w:rsidR="0077109A" w:rsidRPr="00641ED1" w:rsidRDefault="0077109A" w:rsidP="00B25B94">
      <w:pPr>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ويُضيف الباحث إلى ما سبق أنّ من أهداف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في قطاع الاتصالات على وجه الخصوص: صون سمعة الشركة والحفاظ على حصّتها السوقية في بيئة تنافسية شديدة، والامتثال لمتطلّبات الجهات التنظيمية كهيئة الاتصالات والفضاء والتقنية، ودعم توجّهات التحوّل الرقمي الوطني في إطار رؤية المملكة 2030</w:t>
      </w:r>
      <w:r w:rsidRPr="00641ED1">
        <w:rPr>
          <w:rFonts w:ascii="Simplified Arabic" w:eastAsia="Calibri" w:hAnsi="Simplified Arabic" w:cs="Simplified Arabic"/>
          <w:color w:val="000000" w:themeColor="text1"/>
          <w:sz w:val="28"/>
          <w:szCs w:val="28"/>
          <w:lang w:bidi="ar-EG"/>
        </w:rPr>
        <w:t>.</w:t>
      </w:r>
    </w:p>
    <w:p w14:paraId="2C6D5A1C" w14:textId="5F2F6ACE"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23" w:name="_Toc233993673"/>
      <w:r w:rsidRPr="00641ED1">
        <w:rPr>
          <w:rFonts w:ascii="Simplified Arabic" w:eastAsia="Calibri" w:hAnsi="Simplified Arabic" w:cs="Simplified Arabic" w:hint="cs"/>
          <w:b/>
          <w:bCs/>
          <w:color w:val="000000" w:themeColor="text1"/>
          <w:sz w:val="32"/>
          <w:szCs w:val="32"/>
          <w:rtl/>
        </w:rPr>
        <w:t xml:space="preserve">6.1.2 </w:t>
      </w:r>
      <w:r w:rsidR="0077109A" w:rsidRPr="00641ED1">
        <w:rPr>
          <w:rFonts w:ascii="Simplified Arabic" w:eastAsia="Calibri" w:hAnsi="Simplified Arabic" w:cs="Simplified Arabic"/>
          <w:b/>
          <w:bCs/>
          <w:color w:val="000000" w:themeColor="text1"/>
          <w:sz w:val="32"/>
          <w:szCs w:val="32"/>
          <w:rtl/>
        </w:rPr>
        <w:t xml:space="preserve">أبعاد استراتيجيات إدارة </w:t>
      </w:r>
      <w:proofErr w:type="gramStart"/>
      <w:r w:rsidR="0077109A" w:rsidRPr="00641ED1">
        <w:rPr>
          <w:rFonts w:ascii="Simplified Arabic" w:eastAsia="Calibri" w:hAnsi="Simplified Arabic" w:cs="Simplified Arabic"/>
          <w:b/>
          <w:bCs/>
          <w:color w:val="000000" w:themeColor="text1"/>
          <w:sz w:val="32"/>
          <w:szCs w:val="32"/>
          <w:rtl/>
        </w:rPr>
        <w:t>مخاطر</w:t>
      </w:r>
      <w:proofErr w:type="gramEnd"/>
      <w:r w:rsidR="0077109A" w:rsidRPr="00641ED1">
        <w:rPr>
          <w:rFonts w:ascii="Simplified Arabic" w:eastAsia="Calibri" w:hAnsi="Simplified Arabic" w:cs="Simplified Arabic"/>
          <w:b/>
          <w:bCs/>
          <w:color w:val="000000" w:themeColor="text1"/>
          <w:sz w:val="32"/>
          <w:szCs w:val="32"/>
          <w:rtl/>
        </w:rPr>
        <w:t xml:space="preserve"> انقطاع الخدمة</w:t>
      </w:r>
      <w:bookmarkEnd w:id="23"/>
    </w:p>
    <w:p w14:paraId="7A26A62E"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تمّ تحديد أبعاد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في الدراسة الحالية بناءً على دراسة العنزي وآخرون (2024)، ودراسة </w:t>
      </w:r>
      <w:proofErr w:type="spellStart"/>
      <w:r w:rsidRPr="00641ED1">
        <w:rPr>
          <w:rFonts w:ascii="Simplified Arabic" w:eastAsia="Calibri" w:hAnsi="Simplified Arabic" w:cs="Simplified Arabic"/>
          <w:color w:val="000000" w:themeColor="text1"/>
          <w:sz w:val="28"/>
          <w:szCs w:val="28"/>
          <w:rtl/>
        </w:rPr>
        <w:t>القهوادي</w:t>
      </w:r>
      <w:proofErr w:type="spellEnd"/>
      <w:r w:rsidRPr="00641ED1">
        <w:rPr>
          <w:rFonts w:ascii="Simplified Arabic" w:eastAsia="Calibri" w:hAnsi="Simplified Arabic" w:cs="Simplified Arabic"/>
          <w:color w:val="000000" w:themeColor="text1"/>
          <w:sz w:val="28"/>
          <w:szCs w:val="28"/>
          <w:rtl/>
        </w:rPr>
        <w:t xml:space="preserve"> (2024)، ودراسة أحمد (2024)، ودراسة</w:t>
      </w:r>
      <w:r w:rsidRPr="00641ED1">
        <w:rPr>
          <w:rFonts w:ascii="Simplified Arabic" w:eastAsia="Calibri" w:hAnsi="Simplified Arabic" w:cs="Simplified Arabic"/>
          <w:color w:val="000000" w:themeColor="text1"/>
          <w:sz w:val="28"/>
          <w:szCs w:val="28"/>
          <w:lang w:bidi="ar-EG"/>
        </w:rPr>
        <w:t xml:space="preserve"> Jahani </w:t>
      </w:r>
      <w:r w:rsidRPr="00641ED1">
        <w:rPr>
          <w:rFonts w:ascii="Simplified Arabic" w:eastAsia="Calibri" w:hAnsi="Simplified Arabic" w:cs="Simplified Arabic"/>
          <w:color w:val="000000" w:themeColor="text1"/>
          <w:sz w:val="28"/>
          <w:szCs w:val="28"/>
          <w:rtl/>
        </w:rPr>
        <w:t>وآخرون (2021)، وذلك لتكاملها في تقديم إطار شامل يُلائم طبيعة الدراسة الحالية وأهدافها، ويتّسق مع معيار الأيزو</w:t>
      </w:r>
      <w:r w:rsidRPr="00641ED1">
        <w:rPr>
          <w:rFonts w:ascii="Simplified Arabic" w:eastAsia="Calibri" w:hAnsi="Simplified Arabic" w:cs="Simplified Arabic"/>
          <w:color w:val="000000" w:themeColor="text1"/>
          <w:sz w:val="28"/>
          <w:szCs w:val="28"/>
          <w:lang w:bidi="ar-EG"/>
        </w:rPr>
        <w:t xml:space="preserve"> (ISO 31000) </w:t>
      </w:r>
      <w:r w:rsidRPr="00641ED1">
        <w:rPr>
          <w:rFonts w:ascii="Simplified Arabic" w:eastAsia="Calibri" w:hAnsi="Simplified Arabic" w:cs="Simplified Arabic"/>
          <w:color w:val="000000" w:themeColor="text1"/>
          <w:sz w:val="28"/>
          <w:szCs w:val="28"/>
          <w:rtl/>
        </w:rPr>
        <w:t>لإدارة المخاطر. وتتمثّل هذه الأبعاد في: تحديد المخاطر، وتقييم المخاطر، ومعالجة المخاطر، ومراقبة المخاطر</w:t>
      </w:r>
      <w:r w:rsidRPr="00641ED1">
        <w:rPr>
          <w:rFonts w:ascii="Simplified Arabic" w:eastAsia="Calibri" w:hAnsi="Simplified Arabic" w:cs="Simplified Arabic"/>
          <w:color w:val="000000" w:themeColor="text1"/>
          <w:sz w:val="28"/>
          <w:szCs w:val="28"/>
          <w:lang w:bidi="ar-EG"/>
        </w:rPr>
        <w:t>.</w:t>
      </w:r>
    </w:p>
    <w:p w14:paraId="37C233E3"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البُعد الأول: تحديد المخاطر</w:t>
      </w:r>
      <w:r w:rsidRPr="00641ED1">
        <w:rPr>
          <w:rFonts w:ascii="Simplified Arabic" w:eastAsia="Calibri" w:hAnsi="Simplified Arabic" w:cs="Simplified Arabic"/>
          <w:b/>
          <w:bCs/>
          <w:color w:val="000000" w:themeColor="text1"/>
          <w:sz w:val="28"/>
          <w:szCs w:val="28"/>
          <w:lang w:bidi="ar-EG"/>
        </w:rPr>
        <w:t xml:space="preserve"> (Risk Identification)</w:t>
      </w:r>
    </w:p>
    <w:p w14:paraId="304D6B00"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يُعدّ تحديد المخاطر الخطوة الأولى والأساسية في منظومة إدارة المخاطر، ويقوم على الكشف المنهجي والاستباقي عن جميع المخاطر المحتملة التي قد تُهدّد تحقيق أهداف المنظّمة، سواءً كانت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داخلية تنبع من طبيعة العمليات الداخلية للمنظّمة، أم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خارجية تفرضها البيئة المحيطة. ويتطلّب هذا البُعد توظيف مجموعة من الأدوات والأساليب المتنوّعة، كالعصف الذهني، وتحليل</w:t>
      </w:r>
      <w:r w:rsidRPr="00641ED1">
        <w:rPr>
          <w:rFonts w:ascii="Simplified Arabic" w:eastAsia="Calibri" w:hAnsi="Simplified Arabic" w:cs="Simplified Arabic"/>
          <w:color w:val="000000" w:themeColor="text1"/>
          <w:sz w:val="28"/>
          <w:szCs w:val="28"/>
          <w:lang w:bidi="ar-EG"/>
        </w:rPr>
        <w:t xml:space="preserve"> SWOT</w:t>
      </w:r>
      <w:r w:rsidRPr="00641ED1">
        <w:rPr>
          <w:rFonts w:ascii="Simplified Arabic" w:eastAsia="Calibri" w:hAnsi="Simplified Arabic" w:cs="Simplified Arabic"/>
          <w:color w:val="000000" w:themeColor="text1"/>
          <w:sz w:val="28"/>
          <w:szCs w:val="28"/>
          <w:rtl/>
        </w:rPr>
        <w:t xml:space="preserve">، وتحليل السبب والأثر، والاستفادة من قواعد بيانات الحوادث السابقة. ويُشير </w:t>
      </w:r>
      <w:proofErr w:type="spellStart"/>
      <w:r w:rsidRPr="00641ED1">
        <w:rPr>
          <w:rFonts w:ascii="Simplified Arabic" w:eastAsia="Calibri" w:hAnsi="Simplified Arabic" w:cs="Simplified Arabic"/>
          <w:color w:val="000000" w:themeColor="text1"/>
          <w:sz w:val="28"/>
          <w:szCs w:val="28"/>
          <w:rtl/>
        </w:rPr>
        <w:t>القهوادي</w:t>
      </w:r>
      <w:proofErr w:type="spellEnd"/>
      <w:r w:rsidRPr="00641ED1">
        <w:rPr>
          <w:rFonts w:ascii="Simplified Arabic" w:eastAsia="Calibri" w:hAnsi="Simplified Arabic" w:cs="Simplified Arabic"/>
          <w:color w:val="000000" w:themeColor="text1"/>
          <w:sz w:val="28"/>
          <w:szCs w:val="28"/>
          <w:rtl/>
        </w:rPr>
        <w:t xml:space="preserve"> (2024) إلى أنّ ضعف الممارسة </w:t>
      </w:r>
      <w:r w:rsidRPr="00641ED1">
        <w:rPr>
          <w:rFonts w:ascii="Simplified Arabic" w:eastAsia="Calibri" w:hAnsi="Simplified Arabic" w:cs="Simplified Arabic"/>
          <w:color w:val="000000" w:themeColor="text1"/>
          <w:sz w:val="28"/>
          <w:szCs w:val="28"/>
          <w:rtl/>
        </w:rPr>
        <w:lastRenderedPageBreak/>
        <w:t xml:space="preserve">في هذا البُعد يُؤدّي إلى غياب الرؤية الشاملة عن الخريطة الفعلية للمخاطر، ممّا يُضعف فاعلية باقي مراحل إدارة المخاطر. وفي سياق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تحديداً، يشمل تحديد المخاطر رصد التهديدات التقنية كأعطال البنية التحتية، والتهديدات السيبرانية، والأخطاء البشرية، والكوارث الطبيعية، والاضطرابات في سلاسل الإمداد التقني</w:t>
      </w:r>
      <w:r w:rsidRPr="00641ED1">
        <w:rPr>
          <w:rFonts w:ascii="Simplified Arabic" w:eastAsia="Calibri" w:hAnsi="Simplified Arabic" w:cs="Simplified Arabic"/>
          <w:color w:val="000000" w:themeColor="text1"/>
          <w:sz w:val="28"/>
          <w:szCs w:val="28"/>
          <w:lang w:bidi="ar-EG"/>
        </w:rPr>
        <w:t>.</w:t>
      </w:r>
    </w:p>
    <w:p w14:paraId="250EA92E"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البُعد الثاني: تقييم المخاطر</w:t>
      </w:r>
      <w:r w:rsidRPr="00641ED1">
        <w:rPr>
          <w:rFonts w:ascii="Simplified Arabic" w:eastAsia="Calibri" w:hAnsi="Simplified Arabic" w:cs="Simplified Arabic"/>
          <w:b/>
          <w:bCs/>
          <w:color w:val="000000" w:themeColor="text1"/>
          <w:sz w:val="28"/>
          <w:szCs w:val="28"/>
          <w:lang w:bidi="ar-EG"/>
        </w:rPr>
        <w:t xml:space="preserve"> (Risk Assessment)</w:t>
      </w:r>
    </w:p>
    <w:p w14:paraId="3E7D1CCF"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يأتي تقييم المخاطر مرحلةً تالية لتحديدها، ويقوم على قياس احتمالية وقوع كل مخاطرة وتقدير حجم أثرها المحتمل على أهداف المنظّمة، بما يُمكّن من ترتيب المخاطر وفق مستوى حرجيّتها. ويُوظّف في هذا البُعد نهجان رئيسيان: التقييم النوعي الذي يعتمد على الحكم الاستنتاجي للخبراء، والتقييم الكمّي الذي يستند إلى نماذج رياضية وإحصائية دقيقة</w:t>
      </w:r>
      <w:r w:rsidRPr="00641ED1">
        <w:rPr>
          <w:rFonts w:ascii="Simplified Arabic" w:eastAsia="Calibri" w:hAnsi="Simplified Arabic" w:cs="Simplified Arabic"/>
          <w:color w:val="000000" w:themeColor="text1"/>
          <w:sz w:val="28"/>
          <w:szCs w:val="28"/>
          <w:lang w:bidi="ar-EG"/>
        </w:rPr>
        <w:t xml:space="preserve"> (Wong et al., 2024). </w:t>
      </w:r>
      <w:r w:rsidRPr="00641ED1">
        <w:rPr>
          <w:rFonts w:ascii="Simplified Arabic" w:eastAsia="Calibri" w:hAnsi="Simplified Arabic" w:cs="Simplified Arabic"/>
          <w:color w:val="000000" w:themeColor="text1"/>
          <w:sz w:val="28"/>
          <w:szCs w:val="28"/>
          <w:rtl/>
        </w:rPr>
        <w:t>وتُستخدم في هذا البُعد أدوات كمصفوفة المخاطر، وتحليل مونت كارلو، وشجرة القرارات، ومؤشّرات المخاطر الرئيسية</w:t>
      </w:r>
      <w:r w:rsidRPr="00641ED1">
        <w:rPr>
          <w:rFonts w:ascii="Simplified Arabic" w:eastAsia="Calibri" w:hAnsi="Simplified Arabic" w:cs="Simplified Arabic"/>
          <w:color w:val="000000" w:themeColor="text1"/>
          <w:sz w:val="28"/>
          <w:szCs w:val="28"/>
          <w:lang w:bidi="ar-EG"/>
        </w:rPr>
        <w:t xml:space="preserve"> (KRIs). </w:t>
      </w:r>
      <w:r w:rsidRPr="00641ED1">
        <w:rPr>
          <w:rFonts w:ascii="Simplified Arabic" w:eastAsia="Calibri" w:hAnsi="Simplified Arabic" w:cs="Simplified Arabic"/>
          <w:color w:val="000000" w:themeColor="text1"/>
          <w:sz w:val="28"/>
          <w:szCs w:val="28"/>
          <w:rtl/>
        </w:rPr>
        <w:t>ويُبرز أحمد (2024) أهمّية دمج التقييم الكمّي والنوعي للحصول على صورة متكاملة عن طبيعة المخاطر، فيما يؤكّد</w:t>
      </w:r>
      <w:r w:rsidRPr="00641ED1">
        <w:rPr>
          <w:rFonts w:ascii="Simplified Arabic" w:eastAsia="Calibri" w:hAnsi="Simplified Arabic" w:cs="Simplified Arabic"/>
          <w:color w:val="000000" w:themeColor="text1"/>
          <w:sz w:val="28"/>
          <w:szCs w:val="28"/>
          <w:lang w:bidi="ar-EG"/>
        </w:rPr>
        <w:t xml:space="preserve"> </w:t>
      </w:r>
      <w:proofErr w:type="spellStart"/>
      <w:r w:rsidRPr="00641ED1">
        <w:rPr>
          <w:rFonts w:ascii="Simplified Arabic" w:eastAsia="Calibri" w:hAnsi="Simplified Arabic" w:cs="Simplified Arabic"/>
          <w:color w:val="000000" w:themeColor="text1"/>
          <w:sz w:val="28"/>
          <w:szCs w:val="28"/>
          <w:lang w:bidi="ar-EG"/>
        </w:rPr>
        <w:t>Ambarwati</w:t>
      </w:r>
      <w:proofErr w:type="spellEnd"/>
      <w:r w:rsidRPr="00641ED1">
        <w:rPr>
          <w:rFonts w:ascii="Simplified Arabic" w:eastAsia="Calibri" w:hAnsi="Simplified Arabic" w:cs="Simplified Arabic"/>
          <w:color w:val="000000" w:themeColor="text1"/>
          <w:sz w:val="28"/>
          <w:szCs w:val="28"/>
          <w:lang w:bidi="ar-EG"/>
        </w:rPr>
        <w:t xml:space="preserve"> </w:t>
      </w:r>
      <w:r w:rsidRPr="00641ED1">
        <w:rPr>
          <w:rFonts w:ascii="Simplified Arabic" w:eastAsia="Calibri" w:hAnsi="Simplified Arabic" w:cs="Simplified Arabic"/>
          <w:color w:val="000000" w:themeColor="text1"/>
          <w:sz w:val="28"/>
          <w:szCs w:val="28"/>
          <w:rtl/>
        </w:rPr>
        <w:t>وآخرون (2024) على أهمّية توظيف أساليب متعدّدة في تقييم المخاطر لا سيّما في القطاعات الحيوية</w:t>
      </w:r>
      <w:r w:rsidRPr="00641ED1">
        <w:rPr>
          <w:rFonts w:ascii="Simplified Arabic" w:eastAsia="Calibri" w:hAnsi="Simplified Arabic" w:cs="Simplified Arabic"/>
          <w:color w:val="000000" w:themeColor="text1"/>
          <w:sz w:val="28"/>
          <w:szCs w:val="28"/>
          <w:lang w:bidi="ar-EG"/>
        </w:rPr>
        <w:t>.</w:t>
      </w:r>
    </w:p>
    <w:p w14:paraId="60C6F588"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البُعد الثالث: معالجة المخاطر</w:t>
      </w:r>
      <w:r w:rsidRPr="00641ED1">
        <w:rPr>
          <w:rFonts w:ascii="Simplified Arabic" w:eastAsia="Calibri" w:hAnsi="Simplified Arabic" w:cs="Simplified Arabic"/>
          <w:b/>
          <w:bCs/>
          <w:color w:val="000000" w:themeColor="text1"/>
          <w:sz w:val="28"/>
          <w:szCs w:val="28"/>
          <w:lang w:bidi="ar-EG"/>
        </w:rPr>
        <w:t xml:space="preserve"> (Risk Treatment)</w:t>
      </w:r>
    </w:p>
    <w:p w14:paraId="4BC6556C"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يشمل معالجة المخاطر تحديد الاستراتيجية المثلى للتعامل مع كل مخاطرة وفق </w:t>
      </w:r>
      <w:proofErr w:type="gramStart"/>
      <w:r w:rsidRPr="00641ED1">
        <w:rPr>
          <w:rFonts w:ascii="Simplified Arabic" w:eastAsia="Calibri" w:hAnsi="Simplified Arabic" w:cs="Simplified Arabic"/>
          <w:color w:val="000000" w:themeColor="text1"/>
          <w:sz w:val="28"/>
          <w:szCs w:val="28"/>
          <w:rtl/>
        </w:rPr>
        <w:t>أربعة</w:t>
      </w:r>
      <w:proofErr w:type="gramEnd"/>
      <w:r w:rsidRPr="00641ED1">
        <w:rPr>
          <w:rFonts w:ascii="Simplified Arabic" w:eastAsia="Calibri" w:hAnsi="Simplified Arabic" w:cs="Simplified Arabic"/>
          <w:color w:val="000000" w:themeColor="text1"/>
          <w:sz w:val="28"/>
          <w:szCs w:val="28"/>
          <w:rtl/>
        </w:rPr>
        <w:t xml:space="preserve"> خيارات رئيسية</w:t>
      </w:r>
      <w:r w:rsidRPr="00641ED1">
        <w:rPr>
          <w:rFonts w:ascii="Simplified Arabic" w:eastAsia="Calibri" w:hAnsi="Simplified Arabic" w:cs="Simplified Arabic"/>
          <w:color w:val="000000" w:themeColor="text1"/>
          <w:sz w:val="28"/>
          <w:szCs w:val="28"/>
          <w:lang w:bidi="ar-EG"/>
        </w:rPr>
        <w:t xml:space="preserve">: </w:t>
      </w:r>
      <w:r w:rsidRPr="00641ED1">
        <w:rPr>
          <w:rFonts w:ascii="Simplified Arabic" w:eastAsia="Calibri" w:hAnsi="Simplified Arabic" w:cs="Simplified Arabic"/>
          <w:color w:val="000000" w:themeColor="text1"/>
          <w:sz w:val="28"/>
          <w:szCs w:val="28"/>
          <w:rtl/>
        </w:rPr>
        <w:t>التجنّب بالتخلّي عن النشاط المسبّب للمخاطرة، والتقليل من احتمالية الوقوع أو حجم الأثر من خلال إجراءات وقائية وتخفيفية، والتحويل إلى طرف آخر عبر التأمين أو التعاقد من الباطن، والقبول بالتعايش مع المخاطرة عند تدنّي حجمها أو ارتفاع تكلفة معالجتها. ويؤكّد</w:t>
      </w:r>
      <w:r w:rsidRPr="00641ED1">
        <w:rPr>
          <w:rFonts w:ascii="Simplified Arabic" w:eastAsia="Calibri" w:hAnsi="Simplified Arabic" w:cs="Simplified Arabic"/>
          <w:color w:val="000000" w:themeColor="text1"/>
          <w:sz w:val="28"/>
          <w:szCs w:val="28"/>
          <w:lang w:bidi="ar-EG"/>
        </w:rPr>
        <w:t xml:space="preserve"> Hohenstein (2022) </w:t>
      </w:r>
      <w:r w:rsidRPr="00641ED1">
        <w:rPr>
          <w:rFonts w:ascii="Simplified Arabic" w:eastAsia="Calibri" w:hAnsi="Simplified Arabic" w:cs="Simplified Arabic"/>
          <w:color w:val="000000" w:themeColor="text1"/>
          <w:sz w:val="28"/>
          <w:szCs w:val="28"/>
          <w:rtl/>
        </w:rPr>
        <w:t xml:space="preserve">أنّ اختيار الاستراتيجية المناسبة يتوقّف على عدّة عوامل، منها: طبيعة المخاطرة، ومستوى تحمّل المنظّمة، وتكلفة كل خيار، والفوائد المتوقّعة. وفي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تشمل استراتيجيات المعالجة بناء الأنظمة الاحتياطية</w:t>
      </w:r>
      <w:r w:rsidRPr="00641ED1">
        <w:rPr>
          <w:rFonts w:ascii="Simplified Arabic" w:eastAsia="Calibri" w:hAnsi="Simplified Arabic" w:cs="Simplified Arabic"/>
          <w:color w:val="000000" w:themeColor="text1"/>
          <w:sz w:val="28"/>
          <w:szCs w:val="28"/>
          <w:lang w:bidi="ar-EG"/>
        </w:rPr>
        <w:t xml:space="preserve"> (Redundancy)</w:t>
      </w:r>
      <w:r w:rsidRPr="00641ED1">
        <w:rPr>
          <w:rFonts w:ascii="Simplified Arabic" w:eastAsia="Calibri" w:hAnsi="Simplified Arabic" w:cs="Simplified Arabic"/>
          <w:color w:val="000000" w:themeColor="text1"/>
          <w:sz w:val="28"/>
          <w:szCs w:val="28"/>
          <w:rtl/>
        </w:rPr>
        <w:t>، وتنويع مقدّمي الخدمات، وإبرام اتفاقيات مستوى خدمة قوية مع المورّدين، وإعداد خطط الطوارئ</w:t>
      </w:r>
      <w:r w:rsidRPr="00641ED1">
        <w:rPr>
          <w:rFonts w:ascii="Simplified Arabic" w:eastAsia="Calibri" w:hAnsi="Simplified Arabic" w:cs="Simplified Arabic"/>
          <w:color w:val="000000" w:themeColor="text1"/>
          <w:sz w:val="28"/>
          <w:szCs w:val="28"/>
          <w:lang w:bidi="ar-EG"/>
        </w:rPr>
        <w:t>.</w:t>
      </w:r>
    </w:p>
    <w:p w14:paraId="12C7E31C"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البُعد الرابع: مراقبة المخاطر</w:t>
      </w:r>
      <w:r w:rsidRPr="00641ED1">
        <w:rPr>
          <w:rFonts w:ascii="Simplified Arabic" w:eastAsia="Calibri" w:hAnsi="Simplified Arabic" w:cs="Simplified Arabic"/>
          <w:b/>
          <w:bCs/>
          <w:color w:val="000000" w:themeColor="text1"/>
          <w:sz w:val="28"/>
          <w:szCs w:val="28"/>
          <w:lang w:bidi="ar-EG"/>
        </w:rPr>
        <w:t xml:space="preserve"> (Risk Monitoring)</w:t>
      </w:r>
    </w:p>
    <w:p w14:paraId="1960589B"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تُمثّل مراقبة المخاطر عملية متابعة مستمرّة وديناميكية تستهدف قياس فاعلية إجراءات المعالجة المتّخذة، والكشف عن المخاطر الناشئة، ومراجعة استراتيجيات إدارة المخاطر في ضوء التغيّرات البيئية والتشغيلية. ويؤكّد</w:t>
      </w:r>
      <w:r w:rsidRPr="00641ED1">
        <w:rPr>
          <w:rFonts w:ascii="Simplified Arabic" w:eastAsia="Calibri" w:hAnsi="Simplified Arabic" w:cs="Simplified Arabic"/>
          <w:color w:val="000000" w:themeColor="text1"/>
          <w:sz w:val="28"/>
          <w:szCs w:val="28"/>
          <w:lang w:bidi="ar-EG"/>
        </w:rPr>
        <w:t xml:space="preserve"> Ivanov </w:t>
      </w:r>
      <w:r w:rsidRPr="00641ED1">
        <w:rPr>
          <w:rFonts w:ascii="Simplified Arabic" w:eastAsia="Calibri" w:hAnsi="Simplified Arabic" w:cs="Simplified Arabic"/>
          <w:color w:val="000000" w:themeColor="text1"/>
          <w:sz w:val="28"/>
          <w:szCs w:val="28"/>
          <w:rtl/>
        </w:rPr>
        <w:t>و</w:t>
      </w:r>
      <w:proofErr w:type="spellStart"/>
      <w:r w:rsidRPr="00641ED1">
        <w:rPr>
          <w:rFonts w:ascii="Simplified Arabic" w:eastAsia="Calibri" w:hAnsi="Simplified Arabic" w:cs="Simplified Arabic"/>
          <w:color w:val="000000" w:themeColor="text1"/>
          <w:sz w:val="28"/>
          <w:szCs w:val="28"/>
          <w:lang w:bidi="ar-EG"/>
        </w:rPr>
        <w:t>Dolgui</w:t>
      </w:r>
      <w:proofErr w:type="spellEnd"/>
      <w:r w:rsidRPr="00641ED1">
        <w:rPr>
          <w:rFonts w:ascii="Simplified Arabic" w:eastAsia="Calibri" w:hAnsi="Simplified Arabic" w:cs="Simplified Arabic"/>
          <w:color w:val="000000" w:themeColor="text1"/>
          <w:sz w:val="28"/>
          <w:szCs w:val="28"/>
          <w:lang w:bidi="ar-EG"/>
        </w:rPr>
        <w:t xml:space="preserve"> (2021) </w:t>
      </w:r>
      <w:r w:rsidRPr="00641ED1">
        <w:rPr>
          <w:rFonts w:ascii="Simplified Arabic" w:eastAsia="Calibri" w:hAnsi="Simplified Arabic" w:cs="Simplified Arabic"/>
          <w:color w:val="000000" w:themeColor="text1"/>
          <w:sz w:val="28"/>
          <w:szCs w:val="28"/>
          <w:rtl/>
        </w:rPr>
        <w:t>أنّ التقنيات الرقمية المتقدّمة كالتوأم الرقمي والتحليل التنبّؤي أحدثت نقلة نوعية في هذا البُعد، إذ باتت تُوفّر رؤية آنية شاملة لحالة المخاطر ومؤشّراتها. ويشمل هذا البُعد إعداد التقارير الدورية، ومراجعة سجل المخاطر، وتحديث خطط الاستجابة، وتقييم مؤشّرات الأداء الرئيسية المتعلّقة بإدارة المخاطر، والتغذية الراجعة من الحوادث السابقة</w:t>
      </w:r>
      <w:r w:rsidRPr="00641ED1">
        <w:rPr>
          <w:rFonts w:ascii="Simplified Arabic" w:eastAsia="Calibri" w:hAnsi="Simplified Arabic" w:cs="Simplified Arabic"/>
          <w:color w:val="000000" w:themeColor="text1"/>
          <w:sz w:val="28"/>
          <w:szCs w:val="28"/>
          <w:lang w:bidi="ar-EG"/>
        </w:rPr>
        <w:t>.</w:t>
      </w:r>
    </w:p>
    <w:p w14:paraId="2033E4F6" w14:textId="3423B91D"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24" w:name="_Toc233993674"/>
      <w:r w:rsidRPr="00641ED1">
        <w:rPr>
          <w:rFonts w:ascii="Simplified Arabic" w:eastAsia="Calibri" w:hAnsi="Simplified Arabic" w:cs="Simplified Arabic" w:hint="cs"/>
          <w:b/>
          <w:bCs/>
          <w:color w:val="000000" w:themeColor="text1"/>
          <w:sz w:val="32"/>
          <w:szCs w:val="32"/>
          <w:rtl/>
        </w:rPr>
        <w:t xml:space="preserve">7.1.2 </w:t>
      </w:r>
      <w:r w:rsidR="0077109A" w:rsidRPr="00641ED1">
        <w:rPr>
          <w:rFonts w:ascii="Simplified Arabic" w:eastAsia="Calibri" w:hAnsi="Simplified Arabic" w:cs="Simplified Arabic"/>
          <w:b/>
          <w:bCs/>
          <w:color w:val="000000" w:themeColor="text1"/>
          <w:sz w:val="32"/>
          <w:szCs w:val="32"/>
          <w:rtl/>
        </w:rPr>
        <w:t xml:space="preserve">المداخل النظرية المفسّرة لاستراتيجيات إدارة </w:t>
      </w:r>
      <w:proofErr w:type="gramStart"/>
      <w:r w:rsidR="0077109A" w:rsidRPr="00641ED1">
        <w:rPr>
          <w:rFonts w:ascii="Simplified Arabic" w:eastAsia="Calibri" w:hAnsi="Simplified Arabic" w:cs="Simplified Arabic"/>
          <w:b/>
          <w:bCs/>
          <w:color w:val="000000" w:themeColor="text1"/>
          <w:sz w:val="32"/>
          <w:szCs w:val="32"/>
          <w:rtl/>
        </w:rPr>
        <w:t>مخاطر</w:t>
      </w:r>
      <w:proofErr w:type="gramEnd"/>
      <w:r w:rsidR="0077109A" w:rsidRPr="00641ED1">
        <w:rPr>
          <w:rFonts w:ascii="Simplified Arabic" w:eastAsia="Calibri" w:hAnsi="Simplified Arabic" w:cs="Simplified Arabic"/>
          <w:b/>
          <w:bCs/>
          <w:color w:val="000000" w:themeColor="text1"/>
          <w:sz w:val="32"/>
          <w:szCs w:val="32"/>
          <w:rtl/>
        </w:rPr>
        <w:t xml:space="preserve"> انقطاع الخدمة</w:t>
      </w:r>
      <w:bookmarkEnd w:id="24"/>
    </w:p>
    <w:p w14:paraId="01E3831E"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تتعدّد المداخل النظرية التي تُفسّر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إذ يستند المدخل التقليدي إلى معالجة المخاطر البحتة من خلال أدوات التأمين ونقل المخاطر، فيما يستند المدخل المؤسسي المتكامل</w:t>
      </w:r>
      <w:r w:rsidRPr="00641ED1">
        <w:rPr>
          <w:rFonts w:ascii="Simplified Arabic" w:eastAsia="Calibri" w:hAnsi="Simplified Arabic" w:cs="Simplified Arabic"/>
          <w:color w:val="000000" w:themeColor="text1"/>
          <w:sz w:val="28"/>
          <w:szCs w:val="28"/>
          <w:lang w:bidi="ar-EG"/>
        </w:rPr>
        <w:t xml:space="preserve"> (ERM) </w:t>
      </w:r>
      <w:r w:rsidRPr="00641ED1">
        <w:rPr>
          <w:rFonts w:ascii="Simplified Arabic" w:eastAsia="Calibri" w:hAnsi="Simplified Arabic" w:cs="Simplified Arabic"/>
          <w:color w:val="000000" w:themeColor="text1"/>
          <w:sz w:val="28"/>
          <w:szCs w:val="28"/>
          <w:rtl/>
        </w:rPr>
        <w:t>إلى معالجة المخاطر بمنظور شمولي يشمل جميع أنواع المخاطر</w:t>
      </w:r>
      <w:r w:rsidRPr="00641ED1">
        <w:rPr>
          <w:rFonts w:ascii="Simplified Arabic" w:eastAsia="Calibri" w:hAnsi="Simplified Arabic" w:cs="Simplified Arabic"/>
          <w:color w:val="000000" w:themeColor="text1"/>
          <w:sz w:val="28"/>
          <w:szCs w:val="28"/>
          <w:lang w:bidi="ar-EG"/>
        </w:rPr>
        <w:t xml:space="preserve"> (Tan &amp; Lee, 2022). </w:t>
      </w:r>
      <w:r w:rsidRPr="00641ED1">
        <w:rPr>
          <w:rFonts w:ascii="Simplified Arabic" w:eastAsia="Calibri" w:hAnsi="Simplified Arabic" w:cs="Simplified Arabic"/>
          <w:color w:val="000000" w:themeColor="text1"/>
          <w:sz w:val="28"/>
          <w:szCs w:val="28"/>
          <w:rtl/>
        </w:rPr>
        <w:t>ويُقدّم المدخل الرقمي المستند إلى الذكاء الاصطناعي والتوأم الرقمي مقاربة معاصرة تُوظّف التقنيات المتقدّمة في التنبّؤ بالمخاطر ومعالجتها، فيما يُركّز مدخل المرونة</w:t>
      </w:r>
      <w:r w:rsidRPr="00641ED1">
        <w:rPr>
          <w:rFonts w:ascii="Simplified Arabic" w:eastAsia="Calibri" w:hAnsi="Simplified Arabic" w:cs="Simplified Arabic"/>
          <w:color w:val="000000" w:themeColor="text1"/>
          <w:sz w:val="28"/>
          <w:szCs w:val="28"/>
          <w:lang w:bidi="ar-EG"/>
        </w:rPr>
        <w:t xml:space="preserve"> (Resilience Approach) </w:t>
      </w:r>
      <w:r w:rsidRPr="00641ED1">
        <w:rPr>
          <w:rFonts w:ascii="Simplified Arabic" w:eastAsia="Calibri" w:hAnsi="Simplified Arabic" w:cs="Simplified Arabic"/>
          <w:color w:val="000000" w:themeColor="text1"/>
          <w:sz w:val="28"/>
          <w:szCs w:val="28"/>
          <w:rtl/>
        </w:rPr>
        <w:t>على بناء القدرات الديناميكية للمنظّمة على التكيّف والتعافي</w:t>
      </w:r>
      <w:r w:rsidRPr="00641ED1">
        <w:rPr>
          <w:rFonts w:ascii="Simplified Arabic" w:eastAsia="Calibri" w:hAnsi="Simplified Arabic" w:cs="Simplified Arabic"/>
          <w:color w:val="000000" w:themeColor="text1"/>
          <w:sz w:val="28"/>
          <w:szCs w:val="28"/>
          <w:lang w:bidi="ar-EG"/>
        </w:rPr>
        <w:t xml:space="preserve"> (Wijaya et al., 2025).</w:t>
      </w:r>
    </w:p>
    <w:p w14:paraId="1029CFE5" w14:textId="4D9DE03D"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25" w:name="_Toc233993675"/>
      <w:r w:rsidRPr="00641ED1">
        <w:rPr>
          <w:rFonts w:ascii="Simplified Arabic" w:eastAsia="Calibri" w:hAnsi="Simplified Arabic" w:cs="Simplified Arabic" w:hint="cs"/>
          <w:b/>
          <w:bCs/>
          <w:color w:val="000000" w:themeColor="text1"/>
          <w:sz w:val="32"/>
          <w:szCs w:val="32"/>
          <w:rtl/>
        </w:rPr>
        <w:t xml:space="preserve">8.1.2 </w:t>
      </w:r>
      <w:r w:rsidR="0077109A" w:rsidRPr="00641ED1">
        <w:rPr>
          <w:rFonts w:ascii="Simplified Arabic" w:eastAsia="Calibri" w:hAnsi="Simplified Arabic" w:cs="Simplified Arabic"/>
          <w:b/>
          <w:bCs/>
          <w:color w:val="000000" w:themeColor="text1"/>
          <w:sz w:val="32"/>
          <w:szCs w:val="32"/>
          <w:rtl/>
        </w:rPr>
        <w:t xml:space="preserve">العوامل المؤثّرة في تطبيق استراتيجيات إدارة </w:t>
      </w:r>
      <w:proofErr w:type="gramStart"/>
      <w:r w:rsidR="0077109A" w:rsidRPr="00641ED1">
        <w:rPr>
          <w:rFonts w:ascii="Simplified Arabic" w:eastAsia="Calibri" w:hAnsi="Simplified Arabic" w:cs="Simplified Arabic"/>
          <w:b/>
          <w:bCs/>
          <w:color w:val="000000" w:themeColor="text1"/>
          <w:sz w:val="32"/>
          <w:szCs w:val="32"/>
          <w:rtl/>
        </w:rPr>
        <w:t>مخاطر</w:t>
      </w:r>
      <w:proofErr w:type="gramEnd"/>
      <w:r w:rsidR="0077109A" w:rsidRPr="00641ED1">
        <w:rPr>
          <w:rFonts w:ascii="Simplified Arabic" w:eastAsia="Calibri" w:hAnsi="Simplified Arabic" w:cs="Simplified Arabic"/>
          <w:b/>
          <w:bCs/>
          <w:color w:val="000000" w:themeColor="text1"/>
          <w:sz w:val="32"/>
          <w:szCs w:val="32"/>
          <w:rtl/>
        </w:rPr>
        <w:t xml:space="preserve"> انقطاع الخدمة</w:t>
      </w:r>
      <w:bookmarkEnd w:id="25"/>
    </w:p>
    <w:p w14:paraId="2F194E4D"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تتأثّر فاعلية تطبيق استراتيجيات 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بجملة من العوامل التنظيمية والبيئية، منها: الدعم القيادي والالتزام الإداري من الإدارة العليا، ومستوى نضج الثقافة المؤسسية تجاه المخاطر، وتوفّر الكفاءات البشرية المتخصّصة، والاستثمار في البنية التحتية التقنية، ومستوى التكامل بين الوحدات التنظيمية، فضلاً عن الإطار التنظيمي والقانوني الذي تعمل فيه المنظّمة</w:t>
      </w:r>
      <w:r w:rsidRPr="00641ED1">
        <w:rPr>
          <w:rFonts w:ascii="Simplified Arabic" w:eastAsia="Calibri" w:hAnsi="Simplified Arabic" w:cs="Simplified Arabic"/>
          <w:color w:val="000000" w:themeColor="text1"/>
          <w:sz w:val="28"/>
          <w:szCs w:val="28"/>
          <w:lang w:bidi="ar-EG"/>
        </w:rPr>
        <w:t>.</w:t>
      </w:r>
    </w:p>
    <w:p w14:paraId="68D2E469" w14:textId="6CE1F103" w:rsidR="0077109A" w:rsidRPr="00641ED1" w:rsidRDefault="00781571" w:rsidP="00781571">
      <w:pPr>
        <w:bidi/>
        <w:spacing w:after="0" w:line="240" w:lineRule="auto"/>
        <w:jc w:val="center"/>
        <w:outlineLvl w:val="1"/>
        <w:rPr>
          <w:rFonts w:ascii="Simplified Arabic" w:eastAsia="Calibri" w:hAnsi="Simplified Arabic" w:cs="Simplified Arabic"/>
          <w:b/>
          <w:bCs/>
          <w:color w:val="000000" w:themeColor="text1"/>
          <w:sz w:val="36"/>
          <w:szCs w:val="36"/>
          <w:lang w:bidi="ar-EG"/>
        </w:rPr>
      </w:pPr>
      <w:r w:rsidRPr="00641ED1">
        <w:rPr>
          <w:rFonts w:ascii="Simplified Arabic" w:eastAsia="Calibri" w:hAnsi="Simplified Arabic" w:cs="Simplified Arabic"/>
          <w:b/>
          <w:bCs/>
          <w:color w:val="000000" w:themeColor="text1"/>
          <w:sz w:val="36"/>
          <w:szCs w:val="36"/>
          <w:lang w:bidi="ar-EG"/>
        </w:rPr>
        <w:br w:type="page"/>
      </w:r>
      <w:bookmarkStart w:id="26" w:name="_Toc233993676"/>
      <w:r w:rsidR="0077109A" w:rsidRPr="00641ED1">
        <w:rPr>
          <w:rFonts w:ascii="Simplified Arabic" w:eastAsia="Calibri" w:hAnsi="Simplified Arabic" w:cs="Simplified Arabic"/>
          <w:b/>
          <w:bCs/>
          <w:color w:val="000000" w:themeColor="text1"/>
          <w:sz w:val="36"/>
          <w:szCs w:val="36"/>
          <w:rtl/>
        </w:rPr>
        <w:lastRenderedPageBreak/>
        <w:t>المبحث الثاني: استمرارية الأعمال</w:t>
      </w:r>
      <w:bookmarkEnd w:id="26"/>
    </w:p>
    <w:p w14:paraId="7D9183C1" w14:textId="7AA984BA"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27" w:name="_Toc233993677"/>
      <w:r w:rsidRPr="00641ED1">
        <w:rPr>
          <w:rFonts w:ascii="Simplified Arabic" w:eastAsia="Calibri" w:hAnsi="Simplified Arabic" w:cs="Simplified Arabic" w:hint="cs"/>
          <w:b/>
          <w:bCs/>
          <w:color w:val="000000" w:themeColor="text1"/>
          <w:sz w:val="32"/>
          <w:szCs w:val="32"/>
          <w:rtl/>
        </w:rPr>
        <w:t xml:space="preserve">1.2.2 </w:t>
      </w:r>
      <w:r w:rsidR="0077109A" w:rsidRPr="00641ED1">
        <w:rPr>
          <w:rFonts w:ascii="Simplified Arabic" w:eastAsia="Calibri" w:hAnsi="Simplified Arabic" w:cs="Simplified Arabic"/>
          <w:b/>
          <w:bCs/>
          <w:color w:val="000000" w:themeColor="text1"/>
          <w:sz w:val="32"/>
          <w:szCs w:val="32"/>
          <w:rtl/>
        </w:rPr>
        <w:t>تمهيد</w:t>
      </w:r>
      <w:bookmarkEnd w:id="27"/>
    </w:p>
    <w:p w14:paraId="52788DBB"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يُشكّل مفهوم استمرارية الأعمال</w:t>
      </w:r>
      <w:r w:rsidRPr="00641ED1">
        <w:rPr>
          <w:rFonts w:ascii="Simplified Arabic" w:eastAsia="Calibri" w:hAnsi="Simplified Arabic" w:cs="Simplified Arabic"/>
          <w:color w:val="000000" w:themeColor="text1"/>
          <w:sz w:val="28"/>
          <w:szCs w:val="28"/>
          <w:lang w:bidi="ar-EG"/>
        </w:rPr>
        <w:t xml:space="preserve"> (Business Continuity) </w:t>
      </w:r>
      <w:r w:rsidRPr="00641ED1">
        <w:rPr>
          <w:rFonts w:ascii="Simplified Arabic" w:eastAsia="Calibri" w:hAnsi="Simplified Arabic" w:cs="Simplified Arabic"/>
          <w:color w:val="000000" w:themeColor="text1"/>
          <w:sz w:val="28"/>
          <w:szCs w:val="28"/>
          <w:rtl/>
        </w:rPr>
        <w:t>أحد أبرز المفاهيم الإدارية المعاصرة التي اكتسبت زخماً متنامياً في ظلّ الاضطرابات المتلاحقة التي شهدتها بيئة الأعمال العالمية، ولا سيّما في أعقاب الأزمات الكبرى التي كشفت عن هشاشة كثير من المنظّمات في مواجهة الحوادث المُعطِّلة. فمع تصاعد التهديدات المتنوّعة كالكوارث الطبيعية، والأوبئة العالمية، والهجمات السيبرانية، والاضطرابات الجيوسياسية، أصبحت قدرة المنظّمات على الحفاظ على استمرار عملياتها الجوهرية عاملاً حاسماً في بقائها واستدامتها. ويتناول هذا المبحث الإطار المفاهيمي لاستمرارية الأعمال، وأهميّتها، وأهدافها، وأبعادها، والمداخل النظرية المفسّرة لها، إلى جانب متطلّبات تطبيقها ومعاييرها الدولية</w:t>
      </w:r>
      <w:r w:rsidRPr="00641ED1">
        <w:rPr>
          <w:rFonts w:ascii="Simplified Arabic" w:eastAsia="Calibri" w:hAnsi="Simplified Arabic" w:cs="Simplified Arabic"/>
          <w:color w:val="000000" w:themeColor="text1"/>
          <w:sz w:val="28"/>
          <w:szCs w:val="28"/>
          <w:lang w:bidi="ar-EG"/>
        </w:rPr>
        <w:t>.</w:t>
      </w:r>
    </w:p>
    <w:p w14:paraId="75E21A45" w14:textId="0EB176EB"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28" w:name="_Toc233993678"/>
      <w:r w:rsidRPr="00641ED1">
        <w:rPr>
          <w:rFonts w:ascii="Simplified Arabic" w:eastAsia="Calibri" w:hAnsi="Simplified Arabic" w:cs="Simplified Arabic" w:hint="cs"/>
          <w:b/>
          <w:bCs/>
          <w:color w:val="000000" w:themeColor="text1"/>
          <w:sz w:val="32"/>
          <w:szCs w:val="32"/>
          <w:rtl/>
        </w:rPr>
        <w:t xml:space="preserve">2.2.2 </w:t>
      </w:r>
      <w:r w:rsidR="0077109A" w:rsidRPr="00641ED1">
        <w:rPr>
          <w:rFonts w:ascii="Simplified Arabic" w:eastAsia="Calibri" w:hAnsi="Simplified Arabic" w:cs="Simplified Arabic"/>
          <w:b/>
          <w:bCs/>
          <w:color w:val="000000" w:themeColor="text1"/>
          <w:sz w:val="32"/>
          <w:szCs w:val="32"/>
          <w:rtl/>
        </w:rPr>
        <w:t>مفهوم استمرارية الأعمال</w:t>
      </w:r>
      <w:bookmarkEnd w:id="28"/>
    </w:p>
    <w:p w14:paraId="7E16B303"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تعدّدت التعريفات التي قدّمها الباحثون لمفهوم استمرارية الأعمال، وتنوّعت زوايا معالجتهم له بحسب المداخل النظرية التي انطلقوا منها، فمنهم من ركّز على البُعد التخطيطي، ومنهم من ركّز على البُعد التشغيلي، ومنهم من ركّز على البُعد الاستراتيجي</w:t>
      </w:r>
      <w:r w:rsidRPr="00641ED1">
        <w:rPr>
          <w:rFonts w:ascii="Simplified Arabic" w:eastAsia="Calibri" w:hAnsi="Simplified Arabic" w:cs="Simplified Arabic"/>
          <w:color w:val="000000" w:themeColor="text1"/>
          <w:sz w:val="28"/>
          <w:szCs w:val="28"/>
          <w:lang w:bidi="ar-EG"/>
        </w:rPr>
        <w:t>.</w:t>
      </w:r>
    </w:p>
    <w:p w14:paraId="47DE744C"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يُعرّف</w:t>
      </w:r>
      <w:r w:rsidRPr="00641ED1">
        <w:rPr>
          <w:rFonts w:ascii="Simplified Arabic" w:eastAsia="Calibri" w:hAnsi="Simplified Arabic" w:cs="Simplified Arabic"/>
          <w:color w:val="000000" w:themeColor="text1"/>
          <w:sz w:val="28"/>
          <w:szCs w:val="28"/>
          <w:lang w:bidi="ar-EG"/>
        </w:rPr>
        <w:t xml:space="preserve"> Margherita </w:t>
      </w:r>
      <w:r w:rsidRPr="00641ED1">
        <w:rPr>
          <w:rFonts w:ascii="Simplified Arabic" w:eastAsia="Calibri" w:hAnsi="Simplified Arabic" w:cs="Simplified Arabic"/>
          <w:color w:val="000000" w:themeColor="text1"/>
          <w:sz w:val="28"/>
          <w:szCs w:val="28"/>
          <w:rtl/>
        </w:rPr>
        <w:t>و</w:t>
      </w:r>
      <w:r w:rsidRPr="00641ED1">
        <w:rPr>
          <w:rFonts w:ascii="Simplified Arabic" w:eastAsia="Calibri" w:hAnsi="Simplified Arabic" w:cs="Simplified Arabic"/>
          <w:color w:val="000000" w:themeColor="text1"/>
          <w:sz w:val="28"/>
          <w:szCs w:val="28"/>
          <w:lang w:bidi="ar-EG"/>
        </w:rPr>
        <w:t>Heikkil</w:t>
      </w:r>
      <w:r w:rsidRPr="00641ED1">
        <w:rPr>
          <w:rFonts w:ascii="Cambria" w:eastAsia="Calibri" w:hAnsi="Cambria" w:cs="Cambria"/>
          <w:color w:val="000000" w:themeColor="text1"/>
          <w:sz w:val="28"/>
          <w:szCs w:val="28"/>
          <w:lang w:bidi="ar-EG"/>
        </w:rPr>
        <w:t>ä</w:t>
      </w:r>
      <w:r w:rsidRPr="00641ED1">
        <w:rPr>
          <w:rFonts w:ascii="Simplified Arabic" w:eastAsia="Calibri" w:hAnsi="Simplified Arabic" w:cs="Simplified Arabic"/>
          <w:color w:val="000000" w:themeColor="text1"/>
          <w:sz w:val="28"/>
          <w:szCs w:val="28"/>
          <w:lang w:bidi="ar-EG"/>
        </w:rPr>
        <w:t xml:space="preserve"> (2021) </w:t>
      </w:r>
      <w:r w:rsidRPr="00641ED1">
        <w:rPr>
          <w:rFonts w:ascii="Simplified Arabic" w:eastAsia="Calibri" w:hAnsi="Simplified Arabic" w:cs="Simplified Arabic"/>
          <w:color w:val="000000" w:themeColor="text1"/>
          <w:sz w:val="28"/>
          <w:szCs w:val="28"/>
          <w:rtl/>
        </w:rPr>
        <w:t>استمرارية الأعمال بأنّها الإطار المؤسسي المتكامل الذي يشمل مجموعة من الإجراءات والممارسات التي تُوظّفها المنظّمات لضمان قدرتها على مواصلة تقديم منتجاتها وخدماتها في مواجهة الأزمات والاضطرابات المفاجئة، مع الحفاظ على سلامة الموظّفين، ودعم العملاء، وتحمّل المسؤولية الاجتماعية. ويتميّز هذا التعريف بشموليته وربطه بين البُعدين الإنساني والتشغيلي في مفهوم استمرارية الأعمال</w:t>
      </w:r>
      <w:r w:rsidRPr="00641ED1">
        <w:rPr>
          <w:rFonts w:ascii="Simplified Arabic" w:eastAsia="Calibri" w:hAnsi="Simplified Arabic" w:cs="Simplified Arabic"/>
          <w:color w:val="000000" w:themeColor="text1"/>
          <w:sz w:val="28"/>
          <w:szCs w:val="28"/>
          <w:lang w:bidi="ar-EG"/>
        </w:rPr>
        <w:t>.</w:t>
      </w:r>
    </w:p>
    <w:p w14:paraId="3C206B57"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ومن منظور مختلف، تُعرّف صلاح (2025) استمرارية الأعمال بأنّها القدرة المؤسسية على الحفاظ على تدفّق العمليات والخدمات الجوهرية في ظلّ الظروف الطارئة، من خلال توظيف التحوّل الرقمي وأدواته المتقدّمة كالبنية التحتية الرقمية والحوكمة الرقمية والكفاءات الرقمية. ويُبرز هذا التعريف الدور المحوري للتقنيات الرقمية في تعزيز استمرارية الأعمال في العصر الحديث</w:t>
      </w:r>
      <w:r w:rsidRPr="00641ED1">
        <w:rPr>
          <w:rFonts w:ascii="Simplified Arabic" w:eastAsia="Calibri" w:hAnsi="Simplified Arabic" w:cs="Simplified Arabic"/>
          <w:color w:val="000000" w:themeColor="text1"/>
          <w:sz w:val="28"/>
          <w:szCs w:val="28"/>
          <w:lang w:bidi="ar-EG"/>
        </w:rPr>
        <w:t>.</w:t>
      </w:r>
    </w:p>
    <w:p w14:paraId="42C2B961"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ويرى شديد (2022) أنّ استمرارية الأعمال تُشير إلى المنهج المؤسسي الذي تتّبعه المنظّمات لمواجهة الأزمات والمخاطر، من خلال التخطيط الاستباقي وإدارة الأزمات والمرونة التنظيمية والتعافي، بما يضمن الحدّ من تداعيات الأزمات والتعافي منها بأسرع وقت ممكن. ويعكس هذا التعريف الطابع الديناميكي لاستمرارية الأعمال بوصفها منظومة متكاملة من الاستجابات</w:t>
      </w:r>
      <w:r w:rsidRPr="00641ED1">
        <w:rPr>
          <w:rFonts w:ascii="Simplified Arabic" w:eastAsia="Calibri" w:hAnsi="Simplified Arabic" w:cs="Simplified Arabic"/>
          <w:color w:val="000000" w:themeColor="text1"/>
          <w:sz w:val="28"/>
          <w:szCs w:val="28"/>
          <w:lang w:bidi="ar-EG"/>
        </w:rPr>
        <w:t>.</w:t>
      </w:r>
    </w:p>
    <w:p w14:paraId="434E90BC"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ومن زاوية استراتيجية، ينظر الزعبي والشوابكة (2023) إلى استمرارية الأعمال باعتبارها نظاماً إدارياً متكاملاً يتضمّن تحليل تأثير الأعمال، وتقييم المخاطر، ووضع خطط الاستجابة، واختبارها ومراجعتها بشكل دوري، بما يُسهم في تحقيق الميزة التنافسية للمنظّمة. ويربط هذا التعريف بين استمرارية الأعمال والميزة التنافسية بوصفهما مخرجين مترابطين للممارسات المؤسسية الرشيدة</w:t>
      </w:r>
      <w:r w:rsidRPr="00641ED1">
        <w:rPr>
          <w:rFonts w:ascii="Simplified Arabic" w:eastAsia="Calibri" w:hAnsi="Simplified Arabic" w:cs="Simplified Arabic"/>
          <w:color w:val="000000" w:themeColor="text1"/>
          <w:sz w:val="28"/>
          <w:szCs w:val="28"/>
          <w:lang w:bidi="ar-EG"/>
        </w:rPr>
        <w:t>.</w:t>
      </w:r>
    </w:p>
    <w:p w14:paraId="3813559D"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وفي سياق التكامل مع إدارة المخاطر، يُعرّف</w:t>
      </w:r>
      <w:r w:rsidRPr="00641ED1">
        <w:rPr>
          <w:rFonts w:ascii="Simplified Arabic" w:eastAsia="Calibri" w:hAnsi="Simplified Arabic" w:cs="Simplified Arabic"/>
          <w:color w:val="000000" w:themeColor="text1"/>
          <w:sz w:val="28"/>
          <w:szCs w:val="28"/>
          <w:lang w:bidi="ar-EG"/>
        </w:rPr>
        <w:t xml:space="preserve"> </w:t>
      </w:r>
      <w:proofErr w:type="spellStart"/>
      <w:r w:rsidRPr="00641ED1">
        <w:rPr>
          <w:rFonts w:ascii="Simplified Arabic" w:eastAsia="Calibri" w:hAnsi="Simplified Arabic" w:cs="Simplified Arabic"/>
          <w:color w:val="000000" w:themeColor="text1"/>
          <w:sz w:val="28"/>
          <w:szCs w:val="28"/>
          <w:lang w:bidi="ar-EG"/>
        </w:rPr>
        <w:t>Moškov</w:t>
      </w:r>
      <w:r w:rsidRPr="00641ED1">
        <w:rPr>
          <w:rFonts w:ascii="Cambria" w:eastAsia="Calibri" w:hAnsi="Cambria" w:cs="Cambria"/>
          <w:color w:val="000000" w:themeColor="text1"/>
          <w:sz w:val="28"/>
          <w:szCs w:val="28"/>
          <w:lang w:bidi="ar-EG"/>
        </w:rPr>
        <w:t>á</w:t>
      </w:r>
      <w:proofErr w:type="spellEnd"/>
      <w:r w:rsidRPr="00641ED1">
        <w:rPr>
          <w:rFonts w:ascii="Simplified Arabic" w:eastAsia="Calibri" w:hAnsi="Simplified Arabic" w:cs="Simplified Arabic"/>
          <w:color w:val="000000" w:themeColor="text1"/>
          <w:sz w:val="28"/>
          <w:szCs w:val="28"/>
          <w:lang w:bidi="ar-EG"/>
        </w:rPr>
        <w:t xml:space="preserve"> </w:t>
      </w:r>
      <w:r w:rsidRPr="00641ED1">
        <w:rPr>
          <w:rFonts w:ascii="Simplified Arabic" w:eastAsia="Calibri" w:hAnsi="Simplified Arabic" w:cs="Simplified Arabic"/>
          <w:color w:val="000000" w:themeColor="text1"/>
          <w:sz w:val="28"/>
          <w:szCs w:val="28"/>
          <w:rtl/>
        </w:rPr>
        <w:t>و</w:t>
      </w:r>
      <w:proofErr w:type="spellStart"/>
      <w:r w:rsidRPr="00641ED1">
        <w:rPr>
          <w:rFonts w:ascii="Simplified Arabic" w:eastAsia="Calibri" w:hAnsi="Simplified Arabic" w:cs="Simplified Arabic"/>
          <w:color w:val="000000" w:themeColor="text1"/>
          <w:sz w:val="28"/>
          <w:szCs w:val="28"/>
          <w:lang w:bidi="ar-EG"/>
        </w:rPr>
        <w:t>Buganov</w:t>
      </w:r>
      <w:r w:rsidRPr="00641ED1">
        <w:rPr>
          <w:rFonts w:ascii="Cambria" w:eastAsia="Calibri" w:hAnsi="Cambria" w:cs="Cambria"/>
          <w:color w:val="000000" w:themeColor="text1"/>
          <w:sz w:val="28"/>
          <w:szCs w:val="28"/>
          <w:lang w:bidi="ar-EG"/>
        </w:rPr>
        <w:t>á</w:t>
      </w:r>
      <w:proofErr w:type="spellEnd"/>
      <w:r w:rsidRPr="00641ED1">
        <w:rPr>
          <w:rFonts w:ascii="Simplified Arabic" w:eastAsia="Calibri" w:hAnsi="Simplified Arabic" w:cs="Simplified Arabic"/>
          <w:color w:val="000000" w:themeColor="text1"/>
          <w:sz w:val="28"/>
          <w:szCs w:val="28"/>
          <w:lang w:bidi="ar-EG"/>
        </w:rPr>
        <w:t xml:space="preserve"> (2023) </w:t>
      </w:r>
      <w:r w:rsidRPr="00641ED1">
        <w:rPr>
          <w:rFonts w:ascii="Simplified Arabic" w:eastAsia="Calibri" w:hAnsi="Simplified Arabic" w:cs="Simplified Arabic"/>
          <w:color w:val="000000" w:themeColor="text1"/>
          <w:sz w:val="28"/>
          <w:szCs w:val="28"/>
          <w:rtl/>
        </w:rPr>
        <w:t xml:space="preserve">استمرارية الأعمال بأنّها الإطار الذي يتكامل مع إدارة المخاطر لتحقيق الاستدامة المؤسسية، من خلال تحقيق التوازن بين الجهود الاستباقية للحدّ من احتمالات وقوع الاضطرابات، والجهود </w:t>
      </w:r>
      <w:proofErr w:type="spellStart"/>
      <w:r w:rsidRPr="00641ED1">
        <w:rPr>
          <w:rFonts w:ascii="Simplified Arabic" w:eastAsia="Calibri" w:hAnsi="Simplified Arabic" w:cs="Simplified Arabic"/>
          <w:color w:val="000000" w:themeColor="text1"/>
          <w:sz w:val="28"/>
          <w:szCs w:val="28"/>
          <w:rtl/>
        </w:rPr>
        <w:t>الاستجابية</w:t>
      </w:r>
      <w:proofErr w:type="spellEnd"/>
      <w:r w:rsidRPr="00641ED1">
        <w:rPr>
          <w:rFonts w:ascii="Simplified Arabic" w:eastAsia="Calibri" w:hAnsi="Simplified Arabic" w:cs="Simplified Arabic"/>
          <w:color w:val="000000" w:themeColor="text1"/>
          <w:sz w:val="28"/>
          <w:szCs w:val="28"/>
          <w:rtl/>
        </w:rPr>
        <w:t xml:space="preserve"> للتعامل معها عند وقوعها</w:t>
      </w:r>
      <w:r w:rsidRPr="00641ED1">
        <w:rPr>
          <w:rFonts w:ascii="Simplified Arabic" w:eastAsia="Calibri" w:hAnsi="Simplified Arabic" w:cs="Simplified Arabic"/>
          <w:color w:val="000000" w:themeColor="text1"/>
          <w:sz w:val="28"/>
          <w:szCs w:val="28"/>
          <w:lang w:bidi="ar-EG"/>
        </w:rPr>
        <w:t>.</w:t>
      </w:r>
    </w:p>
    <w:p w14:paraId="58C82F4A"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ويرى</w:t>
      </w:r>
      <w:r w:rsidRPr="00641ED1">
        <w:rPr>
          <w:rFonts w:ascii="Simplified Arabic" w:eastAsia="Calibri" w:hAnsi="Simplified Arabic" w:cs="Simplified Arabic"/>
          <w:color w:val="000000" w:themeColor="text1"/>
          <w:sz w:val="28"/>
          <w:szCs w:val="28"/>
          <w:lang w:bidi="ar-EG"/>
        </w:rPr>
        <w:t xml:space="preserve"> Wijaya </w:t>
      </w:r>
      <w:r w:rsidRPr="00641ED1">
        <w:rPr>
          <w:rFonts w:ascii="Simplified Arabic" w:eastAsia="Calibri" w:hAnsi="Simplified Arabic" w:cs="Simplified Arabic"/>
          <w:color w:val="000000" w:themeColor="text1"/>
          <w:sz w:val="28"/>
          <w:szCs w:val="28"/>
          <w:rtl/>
        </w:rPr>
        <w:t>وآخرون (2025) أنّ استمرارية الأعمال تُعدّ منظومة استراتيجية تستهدف تحسين أداء استمرارية الخدمة من خلال بناء المرونة التنظيمية، وتوظيف الثقافة التنظيمية الداعمة، والقيادة التحويلية</w:t>
      </w:r>
      <w:r w:rsidRPr="00641ED1">
        <w:rPr>
          <w:rFonts w:ascii="Simplified Arabic" w:eastAsia="Calibri" w:hAnsi="Simplified Arabic" w:cs="Simplified Arabic"/>
          <w:color w:val="000000" w:themeColor="text1"/>
          <w:sz w:val="28"/>
          <w:szCs w:val="28"/>
          <w:lang w:bidi="ar-EG"/>
        </w:rPr>
        <w:t>.</w:t>
      </w:r>
    </w:p>
    <w:p w14:paraId="12CB201F"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وتُعرّف </w:t>
      </w:r>
      <w:proofErr w:type="gramStart"/>
      <w:r w:rsidRPr="00641ED1">
        <w:rPr>
          <w:rFonts w:ascii="Simplified Arabic" w:eastAsia="Calibri" w:hAnsi="Simplified Arabic" w:cs="Simplified Arabic"/>
          <w:color w:val="000000" w:themeColor="text1"/>
          <w:sz w:val="28"/>
          <w:szCs w:val="28"/>
          <w:rtl/>
        </w:rPr>
        <w:t>عبدالسلام</w:t>
      </w:r>
      <w:proofErr w:type="gramEnd"/>
      <w:r w:rsidRPr="00641ED1">
        <w:rPr>
          <w:rFonts w:ascii="Simplified Arabic" w:eastAsia="Calibri" w:hAnsi="Simplified Arabic" w:cs="Simplified Arabic"/>
          <w:color w:val="000000" w:themeColor="text1"/>
          <w:sz w:val="28"/>
          <w:szCs w:val="28"/>
          <w:rtl/>
        </w:rPr>
        <w:t xml:space="preserve"> (2022) استمرارية الأعمال بأنّها العملية الإدارية التي تُمكّن المؤسّسات من مواجهة الأزمات والاضطرابات المفاجئة بفاعلية، مع الحفاظ على العمليات الجوهرية عبر جملة من العوامل التنظيمية والبشرية والتكنولوجية والبيئية المتكاملة</w:t>
      </w:r>
      <w:r w:rsidRPr="00641ED1">
        <w:rPr>
          <w:rFonts w:ascii="Simplified Arabic" w:eastAsia="Calibri" w:hAnsi="Simplified Arabic" w:cs="Simplified Arabic"/>
          <w:color w:val="000000" w:themeColor="text1"/>
          <w:sz w:val="28"/>
          <w:szCs w:val="28"/>
          <w:lang w:bidi="ar-EG"/>
        </w:rPr>
        <w:t>.</w:t>
      </w:r>
    </w:p>
    <w:p w14:paraId="159C10DE"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وفي إطار الشركات العائلية، يُشير الحسين ومتولي (2023) إلى أنّ استمرارية الأعمال تتضمّن بُعداً زمنياً طويل المدى، يرتبط بضمان انتقال القيادة ونقل المعرفة بين الأجيال، بما يضمن استدامة المنظّمة عبر الزمن</w:t>
      </w:r>
      <w:r w:rsidRPr="00641ED1">
        <w:rPr>
          <w:rFonts w:ascii="Simplified Arabic" w:eastAsia="Calibri" w:hAnsi="Simplified Arabic" w:cs="Simplified Arabic"/>
          <w:color w:val="000000" w:themeColor="text1"/>
          <w:sz w:val="28"/>
          <w:szCs w:val="28"/>
          <w:lang w:bidi="ar-EG"/>
        </w:rPr>
        <w:t>.</w:t>
      </w:r>
    </w:p>
    <w:p w14:paraId="1F3FD2B1"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رأي الباحث</w:t>
      </w:r>
      <w:r w:rsidRPr="00641ED1">
        <w:rPr>
          <w:rFonts w:ascii="Simplified Arabic" w:eastAsia="Calibri" w:hAnsi="Simplified Arabic" w:cs="Simplified Arabic"/>
          <w:b/>
          <w:bCs/>
          <w:color w:val="000000" w:themeColor="text1"/>
          <w:sz w:val="28"/>
          <w:szCs w:val="28"/>
          <w:lang w:bidi="ar-EG"/>
        </w:rPr>
        <w:t>:</w:t>
      </w:r>
    </w:p>
    <w:p w14:paraId="6E82930F"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يخلص الباحث في ضوء ما تقدّم إلى أنّ استمرارية الأعمال يمكن تعريفها إجرائياً بأنّها “منظومة استراتيجية وتشغيلية متكاملة تتبنّاها شركات الاتصالات، تقوم على التخطيط الاستباقي للأزمات المحتملة، وبناء القدرات التنظيمية على إدارة الأزمات عند وقوعها، وتعزيز المرونة التنظيمية في مواجهة الاضطرابات، </w:t>
      </w:r>
      <w:r w:rsidRPr="00641ED1">
        <w:rPr>
          <w:rFonts w:ascii="Simplified Arabic" w:eastAsia="Calibri" w:hAnsi="Simplified Arabic" w:cs="Simplified Arabic"/>
          <w:color w:val="000000" w:themeColor="text1"/>
          <w:sz w:val="28"/>
          <w:szCs w:val="28"/>
          <w:rtl/>
        </w:rPr>
        <w:lastRenderedPageBreak/>
        <w:t>وضمان التعافي السريع للعمليات الجوهرية، بهدف الحفاظ على تدفّق الخدمة للعملاء عند مستويات مقبولة مسبقاً، وصون سمعة الشركة والتزاماتها التعاقدية والتنظيمية”. ويرى الباحث أنّ استمرارية الأعمال في قطاع الاتصالات تكتسب طابعاً خاصاً بوصفها ضرورة قطاعية ومسؤولية مجتمعية، لا مجرّد ممارسة إدارية</w:t>
      </w:r>
      <w:r w:rsidRPr="00641ED1">
        <w:rPr>
          <w:rFonts w:ascii="Simplified Arabic" w:eastAsia="Calibri" w:hAnsi="Simplified Arabic" w:cs="Simplified Arabic"/>
          <w:color w:val="000000" w:themeColor="text1"/>
          <w:sz w:val="28"/>
          <w:szCs w:val="28"/>
          <w:lang w:bidi="ar-EG"/>
        </w:rPr>
        <w:t>.</w:t>
      </w:r>
    </w:p>
    <w:p w14:paraId="2250A096" w14:textId="2E568D6E"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29" w:name="_Toc233993679"/>
      <w:r w:rsidRPr="00641ED1">
        <w:rPr>
          <w:rFonts w:ascii="Simplified Arabic" w:eastAsia="Calibri" w:hAnsi="Simplified Arabic" w:cs="Simplified Arabic" w:hint="cs"/>
          <w:b/>
          <w:bCs/>
          <w:color w:val="000000" w:themeColor="text1"/>
          <w:sz w:val="32"/>
          <w:szCs w:val="32"/>
          <w:rtl/>
        </w:rPr>
        <w:t xml:space="preserve">3.2.2 </w:t>
      </w:r>
      <w:r w:rsidR="0077109A" w:rsidRPr="00641ED1">
        <w:rPr>
          <w:rFonts w:ascii="Simplified Arabic" w:eastAsia="Calibri" w:hAnsi="Simplified Arabic" w:cs="Simplified Arabic"/>
          <w:b/>
          <w:bCs/>
          <w:color w:val="000000" w:themeColor="text1"/>
          <w:sz w:val="32"/>
          <w:szCs w:val="32"/>
          <w:rtl/>
        </w:rPr>
        <w:t>نشأة استمرارية الأعمال وتطوّرها</w:t>
      </w:r>
      <w:bookmarkEnd w:id="29"/>
    </w:p>
    <w:p w14:paraId="0A2D50F8"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تطوّر مفهوم استمرارية الأعمال بشكل ملحوظ عبر العقود الأخيرة، فبعد أن كان يُعرف باسم “التعافي من الكوارث</w:t>
      </w:r>
      <w:r w:rsidRPr="00641ED1">
        <w:rPr>
          <w:rFonts w:ascii="Simplified Arabic" w:eastAsia="Calibri" w:hAnsi="Simplified Arabic" w:cs="Simplified Arabic"/>
          <w:color w:val="000000" w:themeColor="text1"/>
          <w:sz w:val="28"/>
          <w:szCs w:val="28"/>
          <w:lang w:bidi="ar-EG"/>
        </w:rPr>
        <w:t xml:space="preserve">” (Disaster Recovery) </w:t>
      </w:r>
      <w:r w:rsidRPr="00641ED1">
        <w:rPr>
          <w:rFonts w:ascii="Simplified Arabic" w:eastAsia="Calibri" w:hAnsi="Simplified Arabic" w:cs="Simplified Arabic"/>
          <w:color w:val="000000" w:themeColor="text1"/>
          <w:sz w:val="28"/>
          <w:szCs w:val="28"/>
          <w:rtl/>
        </w:rPr>
        <w:t>في سبعينيات وثمانينيات القرن العشرين، والذي اقتصر على تعافي أنظمة تقنية المعلومات، تطوّر إلى مفهوم “التخطيط لاستمرارية الأعمال</w:t>
      </w:r>
      <w:r w:rsidRPr="00641ED1">
        <w:rPr>
          <w:rFonts w:ascii="Simplified Arabic" w:eastAsia="Calibri" w:hAnsi="Simplified Arabic" w:cs="Simplified Arabic"/>
          <w:color w:val="000000" w:themeColor="text1"/>
          <w:sz w:val="28"/>
          <w:szCs w:val="28"/>
          <w:lang w:bidi="ar-EG"/>
        </w:rPr>
        <w:t xml:space="preserve">” (BCP) </w:t>
      </w:r>
      <w:r w:rsidRPr="00641ED1">
        <w:rPr>
          <w:rFonts w:ascii="Simplified Arabic" w:eastAsia="Calibri" w:hAnsi="Simplified Arabic" w:cs="Simplified Arabic"/>
          <w:color w:val="000000" w:themeColor="text1"/>
          <w:sz w:val="28"/>
          <w:szCs w:val="28"/>
          <w:rtl/>
        </w:rPr>
        <w:t>في تسعينيات القرن العشرين ليشمل جميع العمليات المؤسسية، ليصل إلى مفهومه الشامل “إدارة استمرارية الأعمال</w:t>
      </w:r>
      <w:r w:rsidRPr="00641ED1">
        <w:rPr>
          <w:rFonts w:ascii="Simplified Arabic" w:eastAsia="Calibri" w:hAnsi="Simplified Arabic" w:cs="Simplified Arabic"/>
          <w:color w:val="000000" w:themeColor="text1"/>
          <w:sz w:val="28"/>
          <w:szCs w:val="28"/>
          <w:lang w:bidi="ar-EG"/>
        </w:rPr>
        <w:t xml:space="preserve">” (BCM) </w:t>
      </w:r>
      <w:r w:rsidRPr="00641ED1">
        <w:rPr>
          <w:rFonts w:ascii="Simplified Arabic" w:eastAsia="Calibri" w:hAnsi="Simplified Arabic" w:cs="Simplified Arabic"/>
          <w:color w:val="000000" w:themeColor="text1"/>
          <w:sz w:val="28"/>
          <w:szCs w:val="28"/>
          <w:rtl/>
        </w:rPr>
        <w:t>في مطلع الألفية الثالثة، والذي تجلّى في المعايير الدولية كالمعيار</w:t>
      </w:r>
      <w:r w:rsidRPr="00641ED1">
        <w:rPr>
          <w:rFonts w:ascii="Simplified Arabic" w:eastAsia="Calibri" w:hAnsi="Simplified Arabic" w:cs="Simplified Arabic"/>
          <w:color w:val="000000" w:themeColor="text1"/>
          <w:sz w:val="28"/>
          <w:szCs w:val="28"/>
          <w:lang w:bidi="ar-EG"/>
        </w:rPr>
        <w:t xml:space="preserve"> (BS 25999) </w:t>
      </w:r>
      <w:r w:rsidRPr="00641ED1">
        <w:rPr>
          <w:rFonts w:ascii="Simplified Arabic" w:eastAsia="Calibri" w:hAnsi="Simplified Arabic" w:cs="Simplified Arabic"/>
          <w:color w:val="000000" w:themeColor="text1"/>
          <w:sz w:val="28"/>
          <w:szCs w:val="28"/>
          <w:rtl/>
        </w:rPr>
        <w:t>البريطاني ثم معيار الأيزو</w:t>
      </w:r>
      <w:r w:rsidRPr="00641ED1">
        <w:rPr>
          <w:rFonts w:ascii="Simplified Arabic" w:eastAsia="Calibri" w:hAnsi="Simplified Arabic" w:cs="Simplified Arabic"/>
          <w:color w:val="000000" w:themeColor="text1"/>
          <w:sz w:val="28"/>
          <w:szCs w:val="28"/>
          <w:lang w:bidi="ar-EG"/>
        </w:rPr>
        <w:t xml:space="preserve"> (ISO 22301) </w:t>
      </w:r>
      <w:r w:rsidRPr="00641ED1">
        <w:rPr>
          <w:rFonts w:ascii="Simplified Arabic" w:eastAsia="Calibri" w:hAnsi="Simplified Arabic" w:cs="Simplified Arabic"/>
          <w:color w:val="000000" w:themeColor="text1"/>
          <w:sz w:val="28"/>
          <w:szCs w:val="28"/>
          <w:rtl/>
        </w:rPr>
        <w:t>الصادر عام 2012 والمحدّث عام 2019</w:t>
      </w:r>
      <w:r w:rsidRPr="00641ED1">
        <w:rPr>
          <w:rFonts w:ascii="Simplified Arabic" w:eastAsia="Calibri" w:hAnsi="Simplified Arabic" w:cs="Simplified Arabic"/>
          <w:color w:val="000000" w:themeColor="text1"/>
          <w:sz w:val="28"/>
          <w:szCs w:val="28"/>
          <w:lang w:bidi="ar-EG"/>
        </w:rPr>
        <w:t xml:space="preserve"> (</w:t>
      </w:r>
      <w:proofErr w:type="spellStart"/>
      <w:r w:rsidRPr="00641ED1">
        <w:rPr>
          <w:rFonts w:ascii="Simplified Arabic" w:eastAsia="Calibri" w:hAnsi="Simplified Arabic" w:cs="Simplified Arabic"/>
          <w:color w:val="000000" w:themeColor="text1"/>
          <w:sz w:val="28"/>
          <w:szCs w:val="28"/>
          <w:lang w:bidi="ar-EG"/>
        </w:rPr>
        <w:t>Moškov</w:t>
      </w:r>
      <w:r w:rsidRPr="00641ED1">
        <w:rPr>
          <w:rFonts w:ascii="Cambria" w:eastAsia="Calibri" w:hAnsi="Cambria" w:cs="Cambria"/>
          <w:color w:val="000000" w:themeColor="text1"/>
          <w:sz w:val="28"/>
          <w:szCs w:val="28"/>
          <w:lang w:bidi="ar-EG"/>
        </w:rPr>
        <w:t>á</w:t>
      </w:r>
      <w:proofErr w:type="spellEnd"/>
      <w:r w:rsidRPr="00641ED1">
        <w:rPr>
          <w:rFonts w:ascii="Simplified Arabic" w:eastAsia="Calibri" w:hAnsi="Simplified Arabic" w:cs="Simplified Arabic"/>
          <w:color w:val="000000" w:themeColor="text1"/>
          <w:sz w:val="28"/>
          <w:szCs w:val="28"/>
          <w:lang w:bidi="ar-EG"/>
        </w:rPr>
        <w:t xml:space="preserve"> &amp; </w:t>
      </w:r>
      <w:proofErr w:type="spellStart"/>
      <w:r w:rsidRPr="00641ED1">
        <w:rPr>
          <w:rFonts w:ascii="Simplified Arabic" w:eastAsia="Calibri" w:hAnsi="Simplified Arabic" w:cs="Simplified Arabic"/>
          <w:color w:val="000000" w:themeColor="text1"/>
          <w:sz w:val="28"/>
          <w:szCs w:val="28"/>
          <w:lang w:bidi="ar-EG"/>
        </w:rPr>
        <w:t>Buganov</w:t>
      </w:r>
      <w:r w:rsidRPr="00641ED1">
        <w:rPr>
          <w:rFonts w:ascii="Cambria" w:eastAsia="Calibri" w:hAnsi="Cambria" w:cs="Cambria"/>
          <w:color w:val="000000" w:themeColor="text1"/>
          <w:sz w:val="28"/>
          <w:szCs w:val="28"/>
          <w:lang w:bidi="ar-EG"/>
        </w:rPr>
        <w:t>á</w:t>
      </w:r>
      <w:proofErr w:type="spellEnd"/>
      <w:r w:rsidRPr="00641ED1">
        <w:rPr>
          <w:rFonts w:ascii="Simplified Arabic" w:eastAsia="Calibri" w:hAnsi="Simplified Arabic" w:cs="Simplified Arabic"/>
          <w:color w:val="000000" w:themeColor="text1"/>
          <w:sz w:val="28"/>
          <w:szCs w:val="28"/>
          <w:lang w:bidi="ar-EG"/>
        </w:rPr>
        <w:t xml:space="preserve">, 2023). </w:t>
      </w:r>
      <w:r w:rsidRPr="00641ED1">
        <w:rPr>
          <w:rFonts w:ascii="Simplified Arabic" w:eastAsia="Calibri" w:hAnsi="Simplified Arabic" w:cs="Simplified Arabic"/>
          <w:color w:val="000000" w:themeColor="text1"/>
          <w:sz w:val="28"/>
          <w:szCs w:val="28"/>
          <w:rtl/>
        </w:rPr>
        <w:t>وقد أفرزت الأزمات المتلاحقة كأحداث الحادي عشر من سبتمبر، والأزمة المالية العالمية 2008، وجائحة كوفيد-19، تحوّلات نوعية في هذا المفهوم، أبرزها ما أشار إليه</w:t>
      </w:r>
      <w:r w:rsidRPr="00641ED1">
        <w:rPr>
          <w:rFonts w:ascii="Simplified Arabic" w:eastAsia="Calibri" w:hAnsi="Simplified Arabic" w:cs="Simplified Arabic"/>
          <w:color w:val="000000" w:themeColor="text1"/>
          <w:sz w:val="28"/>
          <w:szCs w:val="28"/>
          <w:lang w:bidi="ar-EG"/>
        </w:rPr>
        <w:t xml:space="preserve"> Margherita </w:t>
      </w:r>
      <w:r w:rsidRPr="00641ED1">
        <w:rPr>
          <w:rFonts w:ascii="Simplified Arabic" w:eastAsia="Calibri" w:hAnsi="Simplified Arabic" w:cs="Simplified Arabic"/>
          <w:color w:val="000000" w:themeColor="text1"/>
          <w:sz w:val="28"/>
          <w:szCs w:val="28"/>
          <w:rtl/>
        </w:rPr>
        <w:t>و</w:t>
      </w:r>
      <w:r w:rsidRPr="00641ED1">
        <w:rPr>
          <w:rFonts w:ascii="Simplified Arabic" w:eastAsia="Calibri" w:hAnsi="Simplified Arabic" w:cs="Simplified Arabic"/>
          <w:color w:val="000000" w:themeColor="text1"/>
          <w:sz w:val="28"/>
          <w:szCs w:val="28"/>
          <w:lang w:bidi="ar-EG"/>
        </w:rPr>
        <w:t>Heikkil</w:t>
      </w:r>
      <w:r w:rsidRPr="00641ED1">
        <w:rPr>
          <w:rFonts w:ascii="Cambria" w:eastAsia="Calibri" w:hAnsi="Cambria" w:cs="Cambria"/>
          <w:color w:val="000000" w:themeColor="text1"/>
          <w:sz w:val="28"/>
          <w:szCs w:val="28"/>
          <w:lang w:bidi="ar-EG"/>
        </w:rPr>
        <w:t>ä</w:t>
      </w:r>
      <w:r w:rsidRPr="00641ED1">
        <w:rPr>
          <w:rFonts w:ascii="Simplified Arabic" w:eastAsia="Calibri" w:hAnsi="Simplified Arabic" w:cs="Simplified Arabic"/>
          <w:color w:val="000000" w:themeColor="text1"/>
          <w:sz w:val="28"/>
          <w:szCs w:val="28"/>
          <w:lang w:bidi="ar-EG"/>
        </w:rPr>
        <w:t xml:space="preserve"> (2021) </w:t>
      </w:r>
      <w:r w:rsidRPr="00641ED1">
        <w:rPr>
          <w:rFonts w:ascii="Simplified Arabic" w:eastAsia="Calibri" w:hAnsi="Simplified Arabic" w:cs="Simplified Arabic"/>
          <w:color w:val="000000" w:themeColor="text1"/>
          <w:sz w:val="28"/>
          <w:szCs w:val="28"/>
          <w:rtl/>
        </w:rPr>
        <w:t>من انتقاله إلى مفهوم متكامل يجمع بين البُعدين الإنساني والتشغيلي</w:t>
      </w:r>
      <w:r w:rsidRPr="00641ED1">
        <w:rPr>
          <w:rFonts w:ascii="Simplified Arabic" w:eastAsia="Calibri" w:hAnsi="Simplified Arabic" w:cs="Simplified Arabic"/>
          <w:color w:val="000000" w:themeColor="text1"/>
          <w:sz w:val="28"/>
          <w:szCs w:val="28"/>
          <w:lang w:bidi="ar-EG"/>
        </w:rPr>
        <w:t>.</w:t>
      </w:r>
    </w:p>
    <w:p w14:paraId="0787EF99" w14:textId="22A73FE7"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30" w:name="_Toc233993680"/>
      <w:r w:rsidRPr="00641ED1">
        <w:rPr>
          <w:rFonts w:ascii="Simplified Arabic" w:eastAsia="Calibri" w:hAnsi="Simplified Arabic" w:cs="Simplified Arabic" w:hint="cs"/>
          <w:b/>
          <w:bCs/>
          <w:color w:val="000000" w:themeColor="text1"/>
          <w:sz w:val="32"/>
          <w:szCs w:val="32"/>
          <w:rtl/>
        </w:rPr>
        <w:t xml:space="preserve">4.2.2 </w:t>
      </w:r>
      <w:r w:rsidR="0077109A" w:rsidRPr="00641ED1">
        <w:rPr>
          <w:rFonts w:ascii="Simplified Arabic" w:eastAsia="Calibri" w:hAnsi="Simplified Arabic" w:cs="Simplified Arabic"/>
          <w:b/>
          <w:bCs/>
          <w:color w:val="000000" w:themeColor="text1"/>
          <w:sz w:val="32"/>
          <w:szCs w:val="32"/>
          <w:rtl/>
        </w:rPr>
        <w:t>أهمّية استمرارية الأعمال</w:t>
      </w:r>
      <w:bookmarkEnd w:id="30"/>
    </w:p>
    <w:p w14:paraId="04FF6839"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تحتلّ استمرارية الأعمال أهميّة محورية في المنظّمات المعاصرة، وقد استعرض الباحثون أبعاد هذه الأهمّية من زوايا متعدّدة على النحو التالي</w:t>
      </w:r>
      <w:r w:rsidRPr="00641ED1">
        <w:rPr>
          <w:rFonts w:ascii="Simplified Arabic" w:eastAsia="Calibri" w:hAnsi="Simplified Arabic" w:cs="Simplified Arabic"/>
          <w:color w:val="000000" w:themeColor="text1"/>
          <w:sz w:val="28"/>
          <w:szCs w:val="28"/>
          <w:lang w:bidi="ar-EG"/>
        </w:rPr>
        <w:t>:</w:t>
      </w:r>
    </w:p>
    <w:p w14:paraId="554E098E" w14:textId="77777777" w:rsidR="0077109A" w:rsidRPr="00641ED1" w:rsidRDefault="0077109A" w:rsidP="00B25B94">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يشير قطيشات والشاعر (2025) إلى أنّ أهمّية استمرارية الأعمال تتجلّى في</w:t>
      </w:r>
      <w:r w:rsidRPr="00641ED1">
        <w:rPr>
          <w:rFonts w:ascii="Simplified Arabic" w:eastAsia="Calibri" w:hAnsi="Simplified Arabic" w:cs="Simplified Arabic"/>
          <w:b/>
          <w:bCs/>
          <w:color w:val="000000" w:themeColor="text1"/>
          <w:sz w:val="28"/>
          <w:szCs w:val="28"/>
          <w:lang w:bidi="ar-EG"/>
        </w:rPr>
        <w:t>:</w:t>
      </w:r>
    </w:p>
    <w:p w14:paraId="2DD164EE" w14:textId="77777777" w:rsidR="0077109A" w:rsidRPr="00641ED1" w:rsidRDefault="0077109A" w:rsidP="00781571">
      <w:pPr>
        <w:pStyle w:val="ListParagraph"/>
        <w:numPr>
          <w:ilvl w:val="0"/>
          <w:numId w:val="24"/>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قدرة المنظّمة على مواجهة الاضطرابات المفاجئة والتكيّف معها</w:t>
      </w:r>
      <w:r w:rsidRPr="00641ED1">
        <w:rPr>
          <w:rFonts w:ascii="Simplified Arabic" w:eastAsia="Calibri" w:hAnsi="Simplified Arabic" w:cs="Simplified Arabic"/>
          <w:color w:val="000000" w:themeColor="text1"/>
          <w:sz w:val="28"/>
          <w:szCs w:val="28"/>
          <w:lang w:bidi="ar-EG"/>
        </w:rPr>
        <w:t>.</w:t>
      </w:r>
    </w:p>
    <w:p w14:paraId="5519B7DB" w14:textId="77777777" w:rsidR="0077109A" w:rsidRPr="00641ED1" w:rsidRDefault="0077109A" w:rsidP="00781571">
      <w:pPr>
        <w:pStyle w:val="ListParagraph"/>
        <w:numPr>
          <w:ilvl w:val="0"/>
          <w:numId w:val="24"/>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الحفاظ على ثقة العملاء وأصحاب المصالح في قدرة المنظّمة على الوفاء بالتزاماتها</w:t>
      </w:r>
      <w:r w:rsidRPr="00641ED1">
        <w:rPr>
          <w:rFonts w:ascii="Simplified Arabic" w:eastAsia="Calibri" w:hAnsi="Simplified Arabic" w:cs="Simplified Arabic"/>
          <w:color w:val="000000" w:themeColor="text1"/>
          <w:sz w:val="28"/>
          <w:szCs w:val="28"/>
          <w:lang w:bidi="ar-EG"/>
        </w:rPr>
        <w:t>.</w:t>
      </w:r>
    </w:p>
    <w:p w14:paraId="56AF2BA4" w14:textId="77777777" w:rsidR="0077109A" w:rsidRPr="00641ED1" w:rsidRDefault="0077109A" w:rsidP="00781571">
      <w:pPr>
        <w:pStyle w:val="ListParagraph"/>
        <w:numPr>
          <w:ilvl w:val="0"/>
          <w:numId w:val="24"/>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تقليل الخسائر المالية والتشغيلية الناجمة عن الأزمات</w:t>
      </w:r>
      <w:r w:rsidRPr="00641ED1">
        <w:rPr>
          <w:rFonts w:ascii="Simplified Arabic" w:eastAsia="Calibri" w:hAnsi="Simplified Arabic" w:cs="Simplified Arabic"/>
          <w:color w:val="000000" w:themeColor="text1"/>
          <w:sz w:val="28"/>
          <w:szCs w:val="28"/>
          <w:lang w:bidi="ar-EG"/>
        </w:rPr>
        <w:t>.</w:t>
      </w:r>
    </w:p>
    <w:p w14:paraId="192A1FAD" w14:textId="77777777" w:rsidR="0077109A" w:rsidRPr="00641ED1" w:rsidRDefault="0077109A" w:rsidP="00781571">
      <w:pPr>
        <w:pStyle w:val="ListParagraph"/>
        <w:numPr>
          <w:ilvl w:val="0"/>
          <w:numId w:val="24"/>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تحقيق الاستدامة المؤسسية على المدى البعيد</w:t>
      </w:r>
      <w:r w:rsidRPr="00641ED1">
        <w:rPr>
          <w:rFonts w:ascii="Simplified Arabic" w:eastAsia="Calibri" w:hAnsi="Simplified Arabic" w:cs="Simplified Arabic"/>
          <w:color w:val="000000" w:themeColor="text1"/>
          <w:sz w:val="28"/>
          <w:szCs w:val="28"/>
          <w:lang w:bidi="ar-EG"/>
        </w:rPr>
        <w:t>.</w:t>
      </w:r>
    </w:p>
    <w:p w14:paraId="000DF54F"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ويرى الهاشمي وآخرون (2025) أنّ أهمّية استمرارية الأعمال في القطاعات الحيوية تظهر في</w:t>
      </w:r>
      <w:r w:rsidRPr="00641ED1">
        <w:rPr>
          <w:rFonts w:ascii="Simplified Arabic" w:eastAsia="Calibri" w:hAnsi="Simplified Arabic" w:cs="Simplified Arabic"/>
          <w:b/>
          <w:bCs/>
          <w:color w:val="000000" w:themeColor="text1"/>
          <w:sz w:val="28"/>
          <w:szCs w:val="28"/>
          <w:lang w:bidi="ar-EG"/>
        </w:rPr>
        <w:t>:</w:t>
      </w:r>
    </w:p>
    <w:p w14:paraId="328899CA" w14:textId="77777777" w:rsidR="0077109A" w:rsidRPr="00641ED1" w:rsidRDefault="0077109A" w:rsidP="00781571">
      <w:pPr>
        <w:pStyle w:val="ListParagraph"/>
        <w:numPr>
          <w:ilvl w:val="0"/>
          <w:numId w:val="25"/>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صون سلامة العاملين والحفاظ على أرواحهم في القطاعات ذات المخاطر المرتفعة</w:t>
      </w:r>
      <w:r w:rsidRPr="00641ED1">
        <w:rPr>
          <w:rFonts w:ascii="Simplified Arabic" w:eastAsia="Calibri" w:hAnsi="Simplified Arabic" w:cs="Simplified Arabic"/>
          <w:color w:val="000000" w:themeColor="text1"/>
          <w:sz w:val="28"/>
          <w:szCs w:val="28"/>
          <w:lang w:bidi="ar-EG"/>
        </w:rPr>
        <w:t>.</w:t>
      </w:r>
    </w:p>
    <w:p w14:paraId="3D8095CE" w14:textId="77777777" w:rsidR="0077109A" w:rsidRPr="00641ED1" w:rsidRDefault="0077109A" w:rsidP="00781571">
      <w:pPr>
        <w:pStyle w:val="ListParagraph"/>
        <w:numPr>
          <w:ilvl w:val="0"/>
          <w:numId w:val="25"/>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الحفاظ على البنية التحتية الحيوية التي يعتمد عليها الاقتصاد الوطني</w:t>
      </w:r>
      <w:r w:rsidRPr="00641ED1">
        <w:rPr>
          <w:rFonts w:ascii="Simplified Arabic" w:eastAsia="Calibri" w:hAnsi="Simplified Arabic" w:cs="Simplified Arabic"/>
          <w:color w:val="000000" w:themeColor="text1"/>
          <w:sz w:val="28"/>
          <w:szCs w:val="28"/>
          <w:lang w:bidi="ar-EG"/>
        </w:rPr>
        <w:t>.</w:t>
      </w:r>
    </w:p>
    <w:p w14:paraId="08FFC287" w14:textId="77777777" w:rsidR="0077109A" w:rsidRPr="00641ED1" w:rsidRDefault="0077109A" w:rsidP="00781571">
      <w:pPr>
        <w:pStyle w:val="ListParagraph"/>
        <w:numPr>
          <w:ilvl w:val="0"/>
          <w:numId w:val="25"/>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تقليل الأثر البيئي للحوادث والاضطرابات المحتملة</w:t>
      </w:r>
      <w:r w:rsidRPr="00641ED1">
        <w:rPr>
          <w:rFonts w:ascii="Simplified Arabic" w:eastAsia="Calibri" w:hAnsi="Simplified Arabic" w:cs="Simplified Arabic"/>
          <w:color w:val="000000" w:themeColor="text1"/>
          <w:sz w:val="28"/>
          <w:szCs w:val="28"/>
          <w:lang w:bidi="ar-EG"/>
        </w:rPr>
        <w:t>.</w:t>
      </w:r>
    </w:p>
    <w:p w14:paraId="56D65B7B" w14:textId="77777777" w:rsidR="0077109A" w:rsidRPr="00641ED1" w:rsidRDefault="0077109A" w:rsidP="00781571">
      <w:pPr>
        <w:pStyle w:val="ListParagraph"/>
        <w:numPr>
          <w:ilvl w:val="0"/>
          <w:numId w:val="25"/>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الوفاء بالمتطلّبات التنظيمية والقانونية للجهات الرقابية</w:t>
      </w:r>
      <w:r w:rsidRPr="00641ED1">
        <w:rPr>
          <w:rFonts w:ascii="Simplified Arabic" w:eastAsia="Calibri" w:hAnsi="Simplified Arabic" w:cs="Simplified Arabic"/>
          <w:color w:val="000000" w:themeColor="text1"/>
          <w:sz w:val="28"/>
          <w:szCs w:val="28"/>
          <w:lang w:bidi="ar-EG"/>
        </w:rPr>
        <w:t>.</w:t>
      </w:r>
    </w:p>
    <w:p w14:paraId="78805E7D"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 xml:space="preserve">كما يوضّح موسى </w:t>
      </w:r>
      <w:proofErr w:type="spellStart"/>
      <w:r w:rsidRPr="00641ED1">
        <w:rPr>
          <w:rFonts w:ascii="Simplified Arabic" w:eastAsia="Calibri" w:hAnsi="Simplified Arabic" w:cs="Simplified Arabic"/>
          <w:b/>
          <w:bCs/>
          <w:color w:val="000000" w:themeColor="text1"/>
          <w:sz w:val="28"/>
          <w:szCs w:val="28"/>
          <w:rtl/>
        </w:rPr>
        <w:t>والربابعة</w:t>
      </w:r>
      <w:proofErr w:type="spellEnd"/>
      <w:r w:rsidRPr="00641ED1">
        <w:rPr>
          <w:rFonts w:ascii="Simplified Arabic" w:eastAsia="Calibri" w:hAnsi="Simplified Arabic" w:cs="Simplified Arabic"/>
          <w:b/>
          <w:bCs/>
          <w:color w:val="000000" w:themeColor="text1"/>
          <w:sz w:val="28"/>
          <w:szCs w:val="28"/>
          <w:rtl/>
        </w:rPr>
        <w:t xml:space="preserve"> (2025) أنّ أهمّية استمرارية الأعمال في القطاع المصرفي تنعكس في</w:t>
      </w:r>
      <w:r w:rsidRPr="00641ED1">
        <w:rPr>
          <w:rFonts w:ascii="Simplified Arabic" w:eastAsia="Calibri" w:hAnsi="Simplified Arabic" w:cs="Simplified Arabic"/>
          <w:b/>
          <w:bCs/>
          <w:color w:val="000000" w:themeColor="text1"/>
          <w:sz w:val="28"/>
          <w:szCs w:val="28"/>
          <w:lang w:bidi="ar-EG"/>
        </w:rPr>
        <w:t>:</w:t>
      </w:r>
    </w:p>
    <w:p w14:paraId="6FB5D552" w14:textId="77777777" w:rsidR="0077109A" w:rsidRPr="00641ED1" w:rsidRDefault="0077109A" w:rsidP="00781571">
      <w:pPr>
        <w:pStyle w:val="ListParagraph"/>
        <w:numPr>
          <w:ilvl w:val="0"/>
          <w:numId w:val="26"/>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الحفاظ على استقرار النظام المالي وحماية أموال المودعين</w:t>
      </w:r>
      <w:r w:rsidRPr="00641ED1">
        <w:rPr>
          <w:rFonts w:ascii="Simplified Arabic" w:eastAsia="Calibri" w:hAnsi="Simplified Arabic" w:cs="Simplified Arabic"/>
          <w:color w:val="000000" w:themeColor="text1"/>
          <w:sz w:val="28"/>
          <w:szCs w:val="28"/>
          <w:lang w:bidi="ar-EG"/>
        </w:rPr>
        <w:t>.</w:t>
      </w:r>
    </w:p>
    <w:p w14:paraId="2DC5AAFE" w14:textId="77777777" w:rsidR="0077109A" w:rsidRPr="00641ED1" w:rsidRDefault="0077109A" w:rsidP="00781571">
      <w:pPr>
        <w:pStyle w:val="ListParagraph"/>
        <w:numPr>
          <w:ilvl w:val="0"/>
          <w:numId w:val="26"/>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صون سمعة المنظّمة في السوق التنافسية وتعزيز قدرتها التنافسية</w:t>
      </w:r>
      <w:r w:rsidRPr="00641ED1">
        <w:rPr>
          <w:rFonts w:ascii="Simplified Arabic" w:eastAsia="Calibri" w:hAnsi="Simplified Arabic" w:cs="Simplified Arabic"/>
          <w:color w:val="000000" w:themeColor="text1"/>
          <w:sz w:val="28"/>
          <w:szCs w:val="28"/>
          <w:lang w:bidi="ar-EG"/>
        </w:rPr>
        <w:t>.</w:t>
      </w:r>
    </w:p>
    <w:p w14:paraId="133DA406" w14:textId="77777777" w:rsidR="0077109A" w:rsidRPr="00641ED1" w:rsidRDefault="0077109A" w:rsidP="00781571">
      <w:pPr>
        <w:pStyle w:val="ListParagraph"/>
        <w:numPr>
          <w:ilvl w:val="0"/>
          <w:numId w:val="26"/>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التوجّه الريادي للمنظّمة من خلال الابتكار والاستباقية</w:t>
      </w:r>
      <w:r w:rsidRPr="00641ED1">
        <w:rPr>
          <w:rFonts w:ascii="Simplified Arabic" w:eastAsia="Calibri" w:hAnsi="Simplified Arabic" w:cs="Simplified Arabic"/>
          <w:color w:val="000000" w:themeColor="text1"/>
          <w:sz w:val="28"/>
          <w:szCs w:val="28"/>
          <w:lang w:bidi="ar-EG"/>
        </w:rPr>
        <w:t>.</w:t>
      </w:r>
    </w:p>
    <w:p w14:paraId="3ECA342D" w14:textId="77777777" w:rsidR="0077109A" w:rsidRPr="00641ED1" w:rsidRDefault="0077109A" w:rsidP="00781571">
      <w:pPr>
        <w:pStyle w:val="ListParagraph"/>
        <w:numPr>
          <w:ilvl w:val="0"/>
          <w:numId w:val="26"/>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دعم النمو المستدام وتحقيق الأهداف الاستراتيجية</w:t>
      </w:r>
      <w:r w:rsidRPr="00641ED1">
        <w:rPr>
          <w:rFonts w:ascii="Simplified Arabic" w:eastAsia="Calibri" w:hAnsi="Simplified Arabic" w:cs="Simplified Arabic"/>
          <w:color w:val="000000" w:themeColor="text1"/>
          <w:sz w:val="28"/>
          <w:szCs w:val="28"/>
          <w:lang w:bidi="ar-EG"/>
        </w:rPr>
        <w:t>.</w:t>
      </w:r>
    </w:p>
    <w:p w14:paraId="6E406C73"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ويُبيّن الفاخوري والربضي (2021) أنّ أهمّية استمرارية الأعمال في مواجهة الجوائح تكمن في</w:t>
      </w:r>
      <w:r w:rsidRPr="00641ED1">
        <w:rPr>
          <w:rFonts w:ascii="Simplified Arabic" w:eastAsia="Calibri" w:hAnsi="Simplified Arabic" w:cs="Simplified Arabic"/>
          <w:b/>
          <w:bCs/>
          <w:color w:val="000000" w:themeColor="text1"/>
          <w:sz w:val="28"/>
          <w:szCs w:val="28"/>
          <w:lang w:bidi="ar-EG"/>
        </w:rPr>
        <w:t>:</w:t>
      </w:r>
    </w:p>
    <w:p w14:paraId="388D6A45" w14:textId="77777777" w:rsidR="0077109A" w:rsidRPr="00641ED1" w:rsidRDefault="0077109A" w:rsidP="00781571">
      <w:pPr>
        <w:pStyle w:val="ListParagraph"/>
        <w:numPr>
          <w:ilvl w:val="0"/>
          <w:numId w:val="27"/>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تمكين المنظّمات من مواصلة العمل في ظلّ الظروف الاستثنائية</w:t>
      </w:r>
      <w:r w:rsidRPr="00641ED1">
        <w:rPr>
          <w:rFonts w:ascii="Simplified Arabic" w:eastAsia="Calibri" w:hAnsi="Simplified Arabic" w:cs="Simplified Arabic"/>
          <w:color w:val="000000" w:themeColor="text1"/>
          <w:sz w:val="28"/>
          <w:szCs w:val="28"/>
          <w:lang w:bidi="ar-EG"/>
        </w:rPr>
        <w:t>.</w:t>
      </w:r>
    </w:p>
    <w:p w14:paraId="2432A186" w14:textId="77777777" w:rsidR="0077109A" w:rsidRPr="00641ED1" w:rsidRDefault="0077109A" w:rsidP="00781571">
      <w:pPr>
        <w:pStyle w:val="ListParagraph"/>
        <w:numPr>
          <w:ilvl w:val="0"/>
          <w:numId w:val="27"/>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توفير مرونة كافية للتكيّف مع أنماط العمل الجديدة كالعمل عن بُعد</w:t>
      </w:r>
      <w:r w:rsidRPr="00641ED1">
        <w:rPr>
          <w:rFonts w:ascii="Simplified Arabic" w:eastAsia="Calibri" w:hAnsi="Simplified Arabic" w:cs="Simplified Arabic"/>
          <w:color w:val="000000" w:themeColor="text1"/>
          <w:sz w:val="28"/>
          <w:szCs w:val="28"/>
          <w:lang w:bidi="ar-EG"/>
        </w:rPr>
        <w:t>.</w:t>
      </w:r>
    </w:p>
    <w:p w14:paraId="456B5DF5" w14:textId="77777777" w:rsidR="0077109A" w:rsidRPr="00641ED1" w:rsidRDefault="0077109A" w:rsidP="00781571">
      <w:pPr>
        <w:pStyle w:val="ListParagraph"/>
        <w:numPr>
          <w:ilvl w:val="0"/>
          <w:numId w:val="27"/>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الحفاظ على مستويات الإنتاجية والأداء التنظيمي</w:t>
      </w:r>
      <w:r w:rsidRPr="00641ED1">
        <w:rPr>
          <w:rFonts w:ascii="Simplified Arabic" w:eastAsia="Calibri" w:hAnsi="Simplified Arabic" w:cs="Simplified Arabic"/>
          <w:color w:val="000000" w:themeColor="text1"/>
          <w:sz w:val="28"/>
          <w:szCs w:val="28"/>
          <w:lang w:bidi="ar-EG"/>
        </w:rPr>
        <w:t>.</w:t>
      </w:r>
    </w:p>
    <w:p w14:paraId="43005665" w14:textId="77777777" w:rsidR="0077109A" w:rsidRPr="00641ED1" w:rsidRDefault="0077109A" w:rsidP="00781571">
      <w:pPr>
        <w:pStyle w:val="ListParagraph"/>
        <w:numPr>
          <w:ilvl w:val="0"/>
          <w:numId w:val="27"/>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حماية الوظائف والحدّ من التسريح والبطالة</w:t>
      </w:r>
      <w:r w:rsidRPr="00641ED1">
        <w:rPr>
          <w:rFonts w:ascii="Simplified Arabic" w:eastAsia="Calibri" w:hAnsi="Simplified Arabic" w:cs="Simplified Arabic"/>
          <w:color w:val="000000" w:themeColor="text1"/>
          <w:sz w:val="28"/>
          <w:szCs w:val="28"/>
          <w:lang w:bidi="ar-EG"/>
        </w:rPr>
        <w:t>.</w:t>
      </w:r>
    </w:p>
    <w:p w14:paraId="7EFF4B16"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ويرى</w:t>
      </w:r>
      <w:r w:rsidRPr="00641ED1">
        <w:rPr>
          <w:rFonts w:ascii="Simplified Arabic" w:eastAsia="Calibri" w:hAnsi="Simplified Arabic" w:cs="Simplified Arabic"/>
          <w:b/>
          <w:bCs/>
          <w:color w:val="000000" w:themeColor="text1"/>
          <w:sz w:val="28"/>
          <w:szCs w:val="28"/>
          <w:lang w:bidi="ar-EG"/>
        </w:rPr>
        <w:t xml:space="preserve"> </w:t>
      </w:r>
      <w:proofErr w:type="spellStart"/>
      <w:r w:rsidRPr="00641ED1">
        <w:rPr>
          <w:rFonts w:ascii="Simplified Arabic" w:eastAsia="Calibri" w:hAnsi="Simplified Arabic" w:cs="Simplified Arabic"/>
          <w:b/>
          <w:bCs/>
          <w:color w:val="000000" w:themeColor="text1"/>
          <w:sz w:val="28"/>
          <w:szCs w:val="28"/>
          <w:lang w:bidi="ar-EG"/>
        </w:rPr>
        <w:t>Ambarwati</w:t>
      </w:r>
      <w:proofErr w:type="spellEnd"/>
      <w:r w:rsidRPr="00641ED1">
        <w:rPr>
          <w:rFonts w:ascii="Simplified Arabic" w:eastAsia="Calibri" w:hAnsi="Simplified Arabic" w:cs="Simplified Arabic"/>
          <w:b/>
          <w:bCs/>
          <w:color w:val="000000" w:themeColor="text1"/>
          <w:sz w:val="28"/>
          <w:szCs w:val="28"/>
          <w:lang w:bidi="ar-EG"/>
        </w:rPr>
        <w:t xml:space="preserve"> </w:t>
      </w:r>
      <w:r w:rsidRPr="00641ED1">
        <w:rPr>
          <w:rFonts w:ascii="Simplified Arabic" w:eastAsia="Calibri" w:hAnsi="Simplified Arabic" w:cs="Simplified Arabic"/>
          <w:b/>
          <w:bCs/>
          <w:color w:val="000000" w:themeColor="text1"/>
          <w:sz w:val="28"/>
          <w:szCs w:val="28"/>
          <w:rtl/>
        </w:rPr>
        <w:t>وآخرون (2024) أنّ أهمّية استمرارية الأعمال في قطاع الطاقة تتجلّى في</w:t>
      </w:r>
      <w:r w:rsidRPr="00641ED1">
        <w:rPr>
          <w:rFonts w:ascii="Simplified Arabic" w:eastAsia="Calibri" w:hAnsi="Simplified Arabic" w:cs="Simplified Arabic"/>
          <w:b/>
          <w:bCs/>
          <w:color w:val="000000" w:themeColor="text1"/>
          <w:sz w:val="28"/>
          <w:szCs w:val="28"/>
          <w:lang w:bidi="ar-EG"/>
        </w:rPr>
        <w:t>:</w:t>
      </w:r>
    </w:p>
    <w:p w14:paraId="22F08880" w14:textId="77777777" w:rsidR="0077109A" w:rsidRPr="00641ED1" w:rsidRDefault="0077109A" w:rsidP="00781571">
      <w:pPr>
        <w:pStyle w:val="ListParagraph"/>
        <w:numPr>
          <w:ilvl w:val="0"/>
          <w:numId w:val="28"/>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ضمان استمرار إمدادات الطاقة التي تعتمد عليها كافّة القطاعات الأخرى</w:t>
      </w:r>
      <w:r w:rsidRPr="00641ED1">
        <w:rPr>
          <w:rFonts w:ascii="Simplified Arabic" w:eastAsia="Calibri" w:hAnsi="Simplified Arabic" w:cs="Simplified Arabic"/>
          <w:color w:val="000000" w:themeColor="text1"/>
          <w:sz w:val="28"/>
          <w:szCs w:val="28"/>
          <w:lang w:bidi="ar-EG"/>
        </w:rPr>
        <w:t>.</w:t>
      </w:r>
    </w:p>
    <w:p w14:paraId="00B15392" w14:textId="77777777" w:rsidR="0077109A" w:rsidRPr="00641ED1" w:rsidRDefault="0077109A" w:rsidP="00781571">
      <w:pPr>
        <w:pStyle w:val="ListParagraph"/>
        <w:numPr>
          <w:ilvl w:val="0"/>
          <w:numId w:val="28"/>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موثوقية العمليات في المنشآت ذات المخاطر العالية</w:t>
      </w:r>
      <w:r w:rsidRPr="00641ED1">
        <w:rPr>
          <w:rFonts w:ascii="Simplified Arabic" w:eastAsia="Calibri" w:hAnsi="Simplified Arabic" w:cs="Simplified Arabic"/>
          <w:color w:val="000000" w:themeColor="text1"/>
          <w:sz w:val="28"/>
          <w:szCs w:val="28"/>
          <w:lang w:bidi="ar-EG"/>
        </w:rPr>
        <w:t>.</w:t>
      </w:r>
    </w:p>
    <w:p w14:paraId="2DDFBCF1" w14:textId="77777777" w:rsidR="0077109A" w:rsidRPr="00641ED1" w:rsidRDefault="0077109A" w:rsidP="00781571">
      <w:pPr>
        <w:pStyle w:val="ListParagraph"/>
        <w:numPr>
          <w:ilvl w:val="0"/>
          <w:numId w:val="28"/>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تقليل الأخطاء البشرية والحوادث التشغيلية</w:t>
      </w:r>
      <w:r w:rsidRPr="00641ED1">
        <w:rPr>
          <w:rFonts w:ascii="Simplified Arabic" w:eastAsia="Calibri" w:hAnsi="Simplified Arabic" w:cs="Simplified Arabic"/>
          <w:color w:val="000000" w:themeColor="text1"/>
          <w:sz w:val="28"/>
          <w:szCs w:val="28"/>
          <w:lang w:bidi="ar-EG"/>
        </w:rPr>
        <w:t>.</w:t>
      </w:r>
    </w:p>
    <w:p w14:paraId="7B60262A" w14:textId="77777777" w:rsidR="0077109A" w:rsidRPr="00641ED1" w:rsidRDefault="0077109A" w:rsidP="00781571">
      <w:pPr>
        <w:pStyle w:val="ListParagraph"/>
        <w:numPr>
          <w:ilvl w:val="0"/>
          <w:numId w:val="28"/>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تحقيق التوازن بين متطلّبات السلامة والإنتاجية</w:t>
      </w:r>
      <w:r w:rsidRPr="00641ED1">
        <w:rPr>
          <w:rFonts w:ascii="Simplified Arabic" w:eastAsia="Calibri" w:hAnsi="Simplified Arabic" w:cs="Simplified Arabic"/>
          <w:color w:val="000000" w:themeColor="text1"/>
          <w:sz w:val="28"/>
          <w:szCs w:val="28"/>
          <w:lang w:bidi="ar-EG"/>
        </w:rPr>
        <w:t>.</w:t>
      </w:r>
    </w:p>
    <w:p w14:paraId="32A522F1"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ويُشير</w:t>
      </w:r>
      <w:r w:rsidRPr="00641ED1">
        <w:rPr>
          <w:rFonts w:ascii="Simplified Arabic" w:eastAsia="Calibri" w:hAnsi="Simplified Arabic" w:cs="Simplified Arabic"/>
          <w:b/>
          <w:bCs/>
          <w:color w:val="000000" w:themeColor="text1"/>
          <w:sz w:val="28"/>
          <w:szCs w:val="28"/>
          <w:lang w:bidi="ar-EG"/>
        </w:rPr>
        <w:t xml:space="preserve"> Wijaya </w:t>
      </w:r>
      <w:r w:rsidRPr="00641ED1">
        <w:rPr>
          <w:rFonts w:ascii="Simplified Arabic" w:eastAsia="Calibri" w:hAnsi="Simplified Arabic" w:cs="Simplified Arabic"/>
          <w:b/>
          <w:bCs/>
          <w:color w:val="000000" w:themeColor="text1"/>
          <w:sz w:val="28"/>
          <w:szCs w:val="28"/>
          <w:rtl/>
        </w:rPr>
        <w:t>وآخرون (2025) إلى أنّ أهمّية استمرارية الأعمال تظهر في</w:t>
      </w:r>
      <w:r w:rsidRPr="00641ED1">
        <w:rPr>
          <w:rFonts w:ascii="Simplified Arabic" w:eastAsia="Calibri" w:hAnsi="Simplified Arabic" w:cs="Simplified Arabic"/>
          <w:b/>
          <w:bCs/>
          <w:color w:val="000000" w:themeColor="text1"/>
          <w:sz w:val="28"/>
          <w:szCs w:val="28"/>
          <w:lang w:bidi="ar-EG"/>
        </w:rPr>
        <w:t>:</w:t>
      </w:r>
    </w:p>
    <w:p w14:paraId="043A3539" w14:textId="77777777" w:rsidR="0077109A" w:rsidRPr="00641ED1" w:rsidRDefault="0077109A" w:rsidP="00781571">
      <w:pPr>
        <w:pStyle w:val="ListParagraph"/>
        <w:numPr>
          <w:ilvl w:val="0"/>
          <w:numId w:val="29"/>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تحسين أداء استمرارية الخدمة وضمان جودتها للعملاء</w:t>
      </w:r>
      <w:r w:rsidRPr="00641ED1">
        <w:rPr>
          <w:rFonts w:ascii="Simplified Arabic" w:eastAsia="Calibri" w:hAnsi="Simplified Arabic" w:cs="Simplified Arabic"/>
          <w:color w:val="000000" w:themeColor="text1"/>
          <w:sz w:val="28"/>
          <w:szCs w:val="28"/>
          <w:lang w:bidi="ar-EG"/>
        </w:rPr>
        <w:t>.</w:t>
      </w:r>
    </w:p>
    <w:p w14:paraId="48186BA0" w14:textId="77777777" w:rsidR="0077109A" w:rsidRPr="00641ED1" w:rsidRDefault="0077109A" w:rsidP="00781571">
      <w:pPr>
        <w:pStyle w:val="ListParagraph"/>
        <w:numPr>
          <w:ilvl w:val="0"/>
          <w:numId w:val="29"/>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بناء المرونة التنظيمية بوصفها قدرة استراتيجية دائمة</w:t>
      </w:r>
      <w:r w:rsidRPr="00641ED1">
        <w:rPr>
          <w:rFonts w:ascii="Simplified Arabic" w:eastAsia="Calibri" w:hAnsi="Simplified Arabic" w:cs="Simplified Arabic"/>
          <w:color w:val="000000" w:themeColor="text1"/>
          <w:sz w:val="28"/>
          <w:szCs w:val="28"/>
          <w:lang w:bidi="ar-EG"/>
        </w:rPr>
        <w:t>.</w:t>
      </w:r>
    </w:p>
    <w:p w14:paraId="6BE5C17F" w14:textId="77777777" w:rsidR="0077109A" w:rsidRPr="00641ED1" w:rsidRDefault="0077109A" w:rsidP="00781571">
      <w:pPr>
        <w:pStyle w:val="ListParagraph"/>
        <w:numPr>
          <w:ilvl w:val="0"/>
          <w:numId w:val="29"/>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تعزيز ثقافة التميّز المؤسسي والتحسين المستمر</w:t>
      </w:r>
      <w:r w:rsidRPr="00641ED1">
        <w:rPr>
          <w:rFonts w:ascii="Simplified Arabic" w:eastAsia="Calibri" w:hAnsi="Simplified Arabic" w:cs="Simplified Arabic"/>
          <w:color w:val="000000" w:themeColor="text1"/>
          <w:sz w:val="28"/>
          <w:szCs w:val="28"/>
          <w:lang w:bidi="ar-EG"/>
        </w:rPr>
        <w:t>.</w:t>
      </w:r>
    </w:p>
    <w:p w14:paraId="683D2650" w14:textId="77777777" w:rsidR="0077109A" w:rsidRPr="00641ED1" w:rsidRDefault="0077109A" w:rsidP="00781571">
      <w:pPr>
        <w:pStyle w:val="ListParagraph"/>
        <w:numPr>
          <w:ilvl w:val="0"/>
          <w:numId w:val="29"/>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دعم القيادة التحويلية في مواجهة التحدّيات</w:t>
      </w:r>
      <w:r w:rsidRPr="00641ED1">
        <w:rPr>
          <w:rFonts w:ascii="Simplified Arabic" w:eastAsia="Calibri" w:hAnsi="Simplified Arabic" w:cs="Simplified Arabic"/>
          <w:color w:val="000000" w:themeColor="text1"/>
          <w:sz w:val="28"/>
          <w:szCs w:val="28"/>
          <w:lang w:bidi="ar-EG"/>
        </w:rPr>
        <w:t>.</w:t>
      </w:r>
    </w:p>
    <w:p w14:paraId="0CF3AA99" w14:textId="1FB33799"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31" w:name="_Toc233993681"/>
      <w:r w:rsidRPr="00641ED1">
        <w:rPr>
          <w:rFonts w:ascii="Simplified Arabic" w:eastAsia="Calibri" w:hAnsi="Simplified Arabic" w:cs="Simplified Arabic" w:hint="cs"/>
          <w:b/>
          <w:bCs/>
          <w:color w:val="000000" w:themeColor="text1"/>
          <w:sz w:val="32"/>
          <w:szCs w:val="32"/>
          <w:rtl/>
        </w:rPr>
        <w:t xml:space="preserve">5.2.2 </w:t>
      </w:r>
      <w:r w:rsidR="0077109A" w:rsidRPr="00641ED1">
        <w:rPr>
          <w:rFonts w:ascii="Simplified Arabic" w:eastAsia="Calibri" w:hAnsi="Simplified Arabic" w:cs="Simplified Arabic"/>
          <w:b/>
          <w:bCs/>
          <w:color w:val="000000" w:themeColor="text1"/>
          <w:sz w:val="32"/>
          <w:szCs w:val="32"/>
          <w:rtl/>
        </w:rPr>
        <w:t>أهداف استمرارية الأعمال</w:t>
      </w:r>
      <w:bookmarkEnd w:id="31"/>
    </w:p>
    <w:p w14:paraId="7AE479C2" w14:textId="77777777" w:rsidR="0077109A" w:rsidRPr="00641ED1" w:rsidRDefault="0077109A" w:rsidP="00B25B94">
      <w:pPr>
        <w:bidi/>
        <w:spacing w:before="100" w:beforeAutospacing="1" w:after="100" w:afterAutospacing="1" w:line="276" w:lineRule="auto"/>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تسعى استمرارية الأعمال إلى تحقيق جملة من الأهداف المتكاملة، وقد استعرض الباحثون هذه الأهداف من زوايا متعدّدة على النحو التالي</w:t>
      </w:r>
      <w:r w:rsidRPr="00641ED1">
        <w:rPr>
          <w:rFonts w:ascii="Simplified Arabic" w:eastAsia="Calibri" w:hAnsi="Simplified Arabic" w:cs="Simplified Arabic"/>
          <w:color w:val="000000" w:themeColor="text1"/>
          <w:sz w:val="28"/>
          <w:szCs w:val="28"/>
          <w:lang w:bidi="ar-EG"/>
        </w:rPr>
        <w:t>:</w:t>
      </w:r>
    </w:p>
    <w:p w14:paraId="2A2000F0" w14:textId="77777777" w:rsidR="0077109A" w:rsidRPr="00641ED1" w:rsidRDefault="0077109A" w:rsidP="00B25B94">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 xml:space="preserve">يرى </w:t>
      </w:r>
      <w:proofErr w:type="spellStart"/>
      <w:r w:rsidRPr="00641ED1">
        <w:rPr>
          <w:rFonts w:ascii="Simplified Arabic" w:eastAsia="Calibri" w:hAnsi="Simplified Arabic" w:cs="Simplified Arabic"/>
          <w:b/>
          <w:bCs/>
          <w:color w:val="000000" w:themeColor="text1"/>
          <w:sz w:val="28"/>
          <w:szCs w:val="28"/>
          <w:rtl/>
        </w:rPr>
        <w:t>عبدالمعتمد</w:t>
      </w:r>
      <w:proofErr w:type="spellEnd"/>
      <w:r w:rsidRPr="00641ED1">
        <w:rPr>
          <w:rFonts w:ascii="Simplified Arabic" w:eastAsia="Calibri" w:hAnsi="Simplified Arabic" w:cs="Simplified Arabic"/>
          <w:b/>
          <w:bCs/>
          <w:color w:val="000000" w:themeColor="text1"/>
          <w:sz w:val="28"/>
          <w:szCs w:val="28"/>
          <w:rtl/>
        </w:rPr>
        <w:t xml:space="preserve"> وآخرون (2025) أنّ أهداف استمرارية الأعمال تشمل</w:t>
      </w:r>
      <w:r w:rsidRPr="00641ED1">
        <w:rPr>
          <w:rFonts w:ascii="Simplified Arabic" w:eastAsia="Calibri" w:hAnsi="Simplified Arabic" w:cs="Simplified Arabic"/>
          <w:b/>
          <w:bCs/>
          <w:color w:val="000000" w:themeColor="text1"/>
          <w:sz w:val="28"/>
          <w:szCs w:val="28"/>
          <w:lang w:bidi="ar-EG"/>
        </w:rPr>
        <w:t>:</w:t>
      </w:r>
    </w:p>
    <w:p w14:paraId="28D0BB99" w14:textId="77777777" w:rsidR="0077109A" w:rsidRPr="00641ED1" w:rsidRDefault="0077109A" w:rsidP="00781571">
      <w:pPr>
        <w:pStyle w:val="ListParagraph"/>
        <w:numPr>
          <w:ilvl w:val="0"/>
          <w:numId w:val="30"/>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الحدّ من الآثار السلبية للحوادث على العمليات الجوهرية للمنظّمة</w:t>
      </w:r>
      <w:r w:rsidRPr="00641ED1">
        <w:rPr>
          <w:rFonts w:ascii="Simplified Arabic" w:eastAsia="Calibri" w:hAnsi="Simplified Arabic" w:cs="Simplified Arabic"/>
          <w:color w:val="000000" w:themeColor="text1"/>
          <w:sz w:val="28"/>
          <w:szCs w:val="28"/>
          <w:lang w:bidi="ar-EG"/>
        </w:rPr>
        <w:t>.</w:t>
      </w:r>
    </w:p>
    <w:p w14:paraId="6AB9B033" w14:textId="77777777" w:rsidR="0077109A" w:rsidRPr="00641ED1" w:rsidRDefault="0077109A" w:rsidP="00781571">
      <w:pPr>
        <w:pStyle w:val="ListParagraph"/>
        <w:numPr>
          <w:ilvl w:val="0"/>
          <w:numId w:val="30"/>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حماية الأصول المادّية والمعنوية من التلف والتدمير</w:t>
      </w:r>
      <w:r w:rsidRPr="00641ED1">
        <w:rPr>
          <w:rFonts w:ascii="Simplified Arabic" w:eastAsia="Calibri" w:hAnsi="Simplified Arabic" w:cs="Simplified Arabic"/>
          <w:color w:val="000000" w:themeColor="text1"/>
          <w:sz w:val="28"/>
          <w:szCs w:val="28"/>
          <w:lang w:bidi="ar-EG"/>
        </w:rPr>
        <w:t>.</w:t>
      </w:r>
    </w:p>
    <w:p w14:paraId="70A989A3" w14:textId="77777777" w:rsidR="0077109A" w:rsidRPr="00641ED1" w:rsidRDefault="0077109A" w:rsidP="00781571">
      <w:pPr>
        <w:pStyle w:val="ListParagraph"/>
        <w:numPr>
          <w:ilvl w:val="0"/>
          <w:numId w:val="30"/>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قدرة المنظّمة على التعافي السريع من الاضطرابات</w:t>
      </w:r>
      <w:r w:rsidRPr="00641ED1">
        <w:rPr>
          <w:rFonts w:ascii="Simplified Arabic" w:eastAsia="Calibri" w:hAnsi="Simplified Arabic" w:cs="Simplified Arabic"/>
          <w:color w:val="000000" w:themeColor="text1"/>
          <w:sz w:val="28"/>
          <w:szCs w:val="28"/>
          <w:lang w:bidi="ar-EG"/>
        </w:rPr>
        <w:t>.</w:t>
      </w:r>
    </w:p>
    <w:p w14:paraId="33122EBF" w14:textId="77777777" w:rsidR="0077109A" w:rsidRPr="00641ED1" w:rsidRDefault="0077109A" w:rsidP="00781571">
      <w:pPr>
        <w:pStyle w:val="ListParagraph"/>
        <w:numPr>
          <w:ilvl w:val="0"/>
          <w:numId w:val="30"/>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الوفاء بالمتطلّبات التنظيمية والالتزامات القانونية</w:t>
      </w:r>
      <w:r w:rsidRPr="00641ED1">
        <w:rPr>
          <w:rFonts w:ascii="Simplified Arabic" w:eastAsia="Calibri" w:hAnsi="Simplified Arabic" w:cs="Simplified Arabic"/>
          <w:color w:val="000000" w:themeColor="text1"/>
          <w:sz w:val="28"/>
          <w:szCs w:val="28"/>
          <w:lang w:bidi="ar-EG"/>
        </w:rPr>
        <w:t>.</w:t>
      </w:r>
    </w:p>
    <w:p w14:paraId="5B982B07" w14:textId="72F72D90"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ويوضّح</w:t>
      </w:r>
      <w:r w:rsidRPr="00641ED1">
        <w:rPr>
          <w:rFonts w:ascii="Simplified Arabic" w:eastAsia="Calibri" w:hAnsi="Simplified Arabic" w:cs="Simplified Arabic"/>
          <w:b/>
          <w:bCs/>
          <w:color w:val="000000" w:themeColor="text1"/>
          <w:sz w:val="28"/>
          <w:szCs w:val="28"/>
          <w:lang w:bidi="ar-EG"/>
        </w:rPr>
        <w:t xml:space="preserve"> Margherita &amp;Heikkil</w:t>
      </w:r>
      <w:r w:rsidRPr="00641ED1">
        <w:rPr>
          <w:rFonts w:ascii="Cambria" w:eastAsia="Calibri" w:hAnsi="Cambria" w:cs="Cambria"/>
          <w:b/>
          <w:bCs/>
          <w:color w:val="000000" w:themeColor="text1"/>
          <w:sz w:val="28"/>
          <w:szCs w:val="28"/>
          <w:lang w:bidi="ar-EG"/>
        </w:rPr>
        <w:t>ä</w:t>
      </w:r>
      <w:r w:rsidRPr="00641ED1">
        <w:rPr>
          <w:rFonts w:ascii="Simplified Arabic" w:eastAsia="Calibri" w:hAnsi="Simplified Arabic" w:cs="Simplified Arabic"/>
          <w:b/>
          <w:bCs/>
          <w:color w:val="000000" w:themeColor="text1"/>
          <w:sz w:val="28"/>
          <w:szCs w:val="28"/>
          <w:lang w:bidi="ar-EG"/>
        </w:rPr>
        <w:t xml:space="preserve"> (2021) </w:t>
      </w:r>
      <w:r w:rsidRPr="00641ED1">
        <w:rPr>
          <w:rFonts w:ascii="Simplified Arabic" w:eastAsia="Calibri" w:hAnsi="Simplified Arabic" w:cs="Simplified Arabic"/>
          <w:b/>
          <w:bCs/>
          <w:color w:val="000000" w:themeColor="text1"/>
          <w:sz w:val="28"/>
          <w:szCs w:val="28"/>
          <w:rtl/>
        </w:rPr>
        <w:t>أنّ استمرارية الأعمال تهدف إلى</w:t>
      </w:r>
      <w:r w:rsidRPr="00641ED1">
        <w:rPr>
          <w:rFonts w:ascii="Simplified Arabic" w:eastAsia="Calibri" w:hAnsi="Simplified Arabic" w:cs="Simplified Arabic"/>
          <w:b/>
          <w:bCs/>
          <w:color w:val="000000" w:themeColor="text1"/>
          <w:sz w:val="28"/>
          <w:szCs w:val="28"/>
          <w:lang w:bidi="ar-EG"/>
        </w:rPr>
        <w:t>:</w:t>
      </w:r>
    </w:p>
    <w:p w14:paraId="77B79CFB" w14:textId="77777777" w:rsidR="0077109A" w:rsidRPr="00641ED1" w:rsidRDefault="0077109A" w:rsidP="00781571">
      <w:pPr>
        <w:pStyle w:val="ListParagraph"/>
        <w:numPr>
          <w:ilvl w:val="0"/>
          <w:numId w:val="31"/>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حماية الموظّفين وضمان سلامتهم وصحّتهم النفسية</w:t>
      </w:r>
      <w:r w:rsidRPr="00641ED1">
        <w:rPr>
          <w:rFonts w:ascii="Simplified Arabic" w:eastAsia="Calibri" w:hAnsi="Simplified Arabic" w:cs="Simplified Arabic"/>
          <w:color w:val="000000" w:themeColor="text1"/>
          <w:sz w:val="28"/>
          <w:szCs w:val="28"/>
          <w:lang w:bidi="ar-EG"/>
        </w:rPr>
        <w:t>.</w:t>
      </w:r>
    </w:p>
    <w:p w14:paraId="5A0E4989" w14:textId="77777777" w:rsidR="0077109A" w:rsidRPr="00641ED1" w:rsidRDefault="0077109A" w:rsidP="00781571">
      <w:pPr>
        <w:pStyle w:val="ListParagraph"/>
        <w:numPr>
          <w:ilvl w:val="0"/>
          <w:numId w:val="31"/>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المحافظة على استمرار العمليات الحيوية للمنظّمة</w:t>
      </w:r>
      <w:r w:rsidRPr="00641ED1">
        <w:rPr>
          <w:rFonts w:ascii="Simplified Arabic" w:eastAsia="Calibri" w:hAnsi="Simplified Arabic" w:cs="Simplified Arabic"/>
          <w:color w:val="000000" w:themeColor="text1"/>
          <w:sz w:val="28"/>
          <w:szCs w:val="28"/>
          <w:lang w:bidi="ar-EG"/>
        </w:rPr>
        <w:t>.</w:t>
      </w:r>
    </w:p>
    <w:p w14:paraId="7127EC73" w14:textId="77777777" w:rsidR="0077109A" w:rsidRPr="00641ED1" w:rsidRDefault="0077109A" w:rsidP="00781571">
      <w:pPr>
        <w:pStyle w:val="ListParagraph"/>
        <w:numPr>
          <w:ilvl w:val="0"/>
          <w:numId w:val="31"/>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دعم العملاء وتلبية احتياجاتهم في ظلّ الظروف الطارئة</w:t>
      </w:r>
      <w:r w:rsidRPr="00641ED1">
        <w:rPr>
          <w:rFonts w:ascii="Simplified Arabic" w:eastAsia="Calibri" w:hAnsi="Simplified Arabic" w:cs="Simplified Arabic"/>
          <w:color w:val="000000" w:themeColor="text1"/>
          <w:sz w:val="28"/>
          <w:szCs w:val="28"/>
          <w:lang w:bidi="ar-EG"/>
        </w:rPr>
        <w:t>.</w:t>
      </w:r>
    </w:p>
    <w:p w14:paraId="23A6F642" w14:textId="77777777" w:rsidR="0077109A" w:rsidRPr="00641ED1" w:rsidRDefault="0077109A" w:rsidP="00781571">
      <w:pPr>
        <w:pStyle w:val="ListParagraph"/>
        <w:numPr>
          <w:ilvl w:val="0"/>
          <w:numId w:val="31"/>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تحمّل المسؤولية الاجتماعية تجاه المجتمع والبيئة</w:t>
      </w:r>
      <w:r w:rsidRPr="00641ED1">
        <w:rPr>
          <w:rFonts w:ascii="Simplified Arabic" w:eastAsia="Calibri" w:hAnsi="Simplified Arabic" w:cs="Simplified Arabic"/>
          <w:color w:val="000000" w:themeColor="text1"/>
          <w:sz w:val="28"/>
          <w:szCs w:val="28"/>
          <w:lang w:bidi="ar-EG"/>
        </w:rPr>
        <w:t>.</w:t>
      </w:r>
    </w:p>
    <w:p w14:paraId="57420CD4" w14:textId="77777777" w:rsidR="0077109A" w:rsidRPr="00641ED1" w:rsidRDefault="0077109A" w:rsidP="00781571">
      <w:pPr>
        <w:pStyle w:val="ListParagraph"/>
        <w:numPr>
          <w:ilvl w:val="0"/>
          <w:numId w:val="31"/>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فاعلية القيادة والاتصال المؤسسي في الأزمات</w:t>
      </w:r>
      <w:r w:rsidRPr="00641ED1">
        <w:rPr>
          <w:rFonts w:ascii="Simplified Arabic" w:eastAsia="Calibri" w:hAnsi="Simplified Arabic" w:cs="Simplified Arabic"/>
          <w:color w:val="000000" w:themeColor="text1"/>
          <w:sz w:val="28"/>
          <w:szCs w:val="28"/>
          <w:lang w:bidi="ar-EG"/>
        </w:rPr>
        <w:t>.</w:t>
      </w:r>
    </w:p>
    <w:p w14:paraId="1BF30C77" w14:textId="68C3576D"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ويُبيّن</w:t>
      </w:r>
      <w:r w:rsidRPr="00641ED1">
        <w:rPr>
          <w:rFonts w:ascii="Simplified Arabic" w:eastAsia="Calibri" w:hAnsi="Simplified Arabic" w:cs="Simplified Arabic"/>
          <w:b/>
          <w:bCs/>
          <w:color w:val="000000" w:themeColor="text1"/>
          <w:sz w:val="28"/>
          <w:szCs w:val="28"/>
          <w:lang w:bidi="ar-EG"/>
        </w:rPr>
        <w:t xml:space="preserve"> Dreyfus </w:t>
      </w:r>
      <w:r w:rsidRPr="00641ED1">
        <w:rPr>
          <w:rFonts w:ascii="Simplified Arabic" w:eastAsia="Calibri" w:hAnsi="Simplified Arabic" w:cs="Simplified Arabic"/>
          <w:b/>
          <w:bCs/>
          <w:color w:val="000000" w:themeColor="text1"/>
          <w:sz w:val="28"/>
          <w:szCs w:val="28"/>
        </w:rPr>
        <w:t>&amp;</w:t>
      </w:r>
      <w:r w:rsidRPr="00641ED1">
        <w:rPr>
          <w:rFonts w:ascii="Simplified Arabic" w:eastAsia="Calibri" w:hAnsi="Simplified Arabic" w:cs="Simplified Arabic"/>
          <w:b/>
          <w:bCs/>
          <w:color w:val="000000" w:themeColor="text1"/>
          <w:sz w:val="28"/>
          <w:szCs w:val="28"/>
          <w:lang w:bidi="ar-EG"/>
        </w:rPr>
        <w:t xml:space="preserve">Nair (2022) </w:t>
      </w:r>
      <w:r w:rsidRPr="00641ED1">
        <w:rPr>
          <w:rFonts w:ascii="Simplified Arabic" w:eastAsia="Calibri" w:hAnsi="Simplified Arabic" w:cs="Simplified Arabic"/>
          <w:b/>
          <w:bCs/>
          <w:color w:val="000000" w:themeColor="text1"/>
          <w:sz w:val="28"/>
          <w:szCs w:val="28"/>
          <w:rtl/>
        </w:rPr>
        <w:t>أنّ أهداف استمرارية الأعمال تتضمّن</w:t>
      </w:r>
      <w:r w:rsidRPr="00641ED1">
        <w:rPr>
          <w:rFonts w:ascii="Simplified Arabic" w:eastAsia="Calibri" w:hAnsi="Simplified Arabic" w:cs="Simplified Arabic"/>
          <w:b/>
          <w:bCs/>
          <w:color w:val="000000" w:themeColor="text1"/>
          <w:sz w:val="28"/>
          <w:szCs w:val="28"/>
          <w:lang w:bidi="ar-EG"/>
        </w:rPr>
        <w:t>:</w:t>
      </w:r>
    </w:p>
    <w:p w14:paraId="5631F6D6" w14:textId="77777777" w:rsidR="0077109A" w:rsidRPr="00641ED1" w:rsidRDefault="0077109A" w:rsidP="00781571">
      <w:pPr>
        <w:pStyle w:val="ListParagraph"/>
        <w:numPr>
          <w:ilvl w:val="0"/>
          <w:numId w:val="32"/>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تقليل الأثر السلبي للاضطرابات على أداء المنظّمة</w:t>
      </w:r>
      <w:r w:rsidRPr="00641ED1">
        <w:rPr>
          <w:rFonts w:ascii="Simplified Arabic" w:eastAsia="Calibri" w:hAnsi="Simplified Arabic" w:cs="Simplified Arabic"/>
          <w:color w:val="000000" w:themeColor="text1"/>
          <w:sz w:val="28"/>
          <w:szCs w:val="28"/>
          <w:lang w:bidi="ar-EG"/>
        </w:rPr>
        <w:t>.</w:t>
      </w:r>
    </w:p>
    <w:p w14:paraId="55D76621" w14:textId="77777777" w:rsidR="0077109A" w:rsidRPr="00641ED1" w:rsidRDefault="0077109A" w:rsidP="00781571">
      <w:pPr>
        <w:pStyle w:val="ListParagraph"/>
        <w:numPr>
          <w:ilvl w:val="0"/>
          <w:numId w:val="32"/>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الحفاظ على مستويات الإنتاجية والكفاءة التشغيلية</w:t>
      </w:r>
      <w:r w:rsidRPr="00641ED1">
        <w:rPr>
          <w:rFonts w:ascii="Simplified Arabic" w:eastAsia="Calibri" w:hAnsi="Simplified Arabic" w:cs="Simplified Arabic"/>
          <w:color w:val="000000" w:themeColor="text1"/>
          <w:sz w:val="28"/>
          <w:szCs w:val="28"/>
          <w:lang w:bidi="ar-EG"/>
        </w:rPr>
        <w:t>.</w:t>
      </w:r>
    </w:p>
    <w:p w14:paraId="4375D987" w14:textId="77777777" w:rsidR="0077109A" w:rsidRPr="00641ED1" w:rsidRDefault="0077109A" w:rsidP="00781571">
      <w:pPr>
        <w:pStyle w:val="ListParagraph"/>
        <w:numPr>
          <w:ilvl w:val="0"/>
          <w:numId w:val="32"/>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تعزيز التنسيق بين الوحدات التنظيمية المختلفة</w:t>
      </w:r>
      <w:r w:rsidRPr="00641ED1">
        <w:rPr>
          <w:rFonts w:ascii="Simplified Arabic" w:eastAsia="Calibri" w:hAnsi="Simplified Arabic" w:cs="Simplified Arabic"/>
          <w:color w:val="000000" w:themeColor="text1"/>
          <w:sz w:val="28"/>
          <w:szCs w:val="28"/>
          <w:lang w:bidi="ar-EG"/>
        </w:rPr>
        <w:t>.</w:t>
      </w:r>
    </w:p>
    <w:p w14:paraId="1B26EC35" w14:textId="77777777" w:rsidR="0077109A" w:rsidRPr="00641ED1" w:rsidRDefault="0077109A" w:rsidP="00781571">
      <w:pPr>
        <w:pStyle w:val="ListParagraph"/>
        <w:numPr>
          <w:ilvl w:val="0"/>
          <w:numId w:val="32"/>
        </w:numPr>
        <w:tabs>
          <w:tab w:val="clear" w:pos="720"/>
          <w:tab w:val="num" w:pos="424"/>
        </w:tabs>
        <w:bidi/>
        <w:spacing w:before="100" w:beforeAutospacing="1" w:after="100" w:afterAutospacing="1" w:line="276" w:lineRule="auto"/>
        <w:ind w:left="424"/>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بناء قواعد معرفية للتعلّم من الحوادث السابقة</w:t>
      </w:r>
      <w:r w:rsidRPr="00641ED1">
        <w:rPr>
          <w:rFonts w:ascii="Simplified Arabic" w:eastAsia="Calibri" w:hAnsi="Simplified Arabic" w:cs="Simplified Arabic"/>
          <w:color w:val="000000" w:themeColor="text1"/>
          <w:sz w:val="28"/>
          <w:szCs w:val="28"/>
          <w:lang w:bidi="ar-EG"/>
        </w:rPr>
        <w:t>.</w:t>
      </w:r>
    </w:p>
    <w:p w14:paraId="3F4070C4" w14:textId="77777777" w:rsidR="0077109A" w:rsidRPr="00641ED1" w:rsidRDefault="0077109A" w:rsidP="00781571">
      <w:pPr>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lastRenderedPageBreak/>
        <w:t>ويُضيف عربيات وأبو رمان</w:t>
      </w:r>
      <w:r w:rsidRPr="00641ED1">
        <w:rPr>
          <w:rFonts w:ascii="Simplified Arabic" w:eastAsia="Calibri" w:hAnsi="Simplified Arabic" w:cs="Simplified Arabic"/>
          <w:color w:val="000000" w:themeColor="text1"/>
          <w:sz w:val="28"/>
          <w:szCs w:val="28"/>
          <w:lang w:bidi="ar-EG"/>
        </w:rPr>
        <w:t xml:space="preserve"> (2024) </w:t>
      </w:r>
      <w:r w:rsidRPr="00641ED1">
        <w:rPr>
          <w:rFonts w:ascii="Simplified Arabic" w:eastAsia="Calibri" w:hAnsi="Simplified Arabic" w:cs="Simplified Arabic"/>
          <w:color w:val="000000" w:themeColor="text1"/>
          <w:sz w:val="28"/>
          <w:szCs w:val="28"/>
          <w:rtl/>
        </w:rPr>
        <w:t>إلى أنّ استمرارية الأعمال تهدف إلى تعزيز اليقظة الاستراتيجية للمنظّمة، ودعم التعلّم التنظيمي، وبناء ميزة تنافسية مستدامة</w:t>
      </w:r>
      <w:r w:rsidRPr="00641ED1">
        <w:rPr>
          <w:rFonts w:ascii="Simplified Arabic" w:eastAsia="Calibri" w:hAnsi="Simplified Arabic" w:cs="Simplified Arabic"/>
          <w:color w:val="000000" w:themeColor="text1"/>
          <w:sz w:val="28"/>
          <w:szCs w:val="28"/>
          <w:lang w:bidi="ar-EG"/>
        </w:rPr>
        <w:t>.</w:t>
      </w:r>
    </w:p>
    <w:p w14:paraId="2632DBEE" w14:textId="7ABE2094"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32" w:name="_Toc233993682"/>
      <w:r w:rsidRPr="00641ED1">
        <w:rPr>
          <w:rFonts w:ascii="Simplified Arabic" w:eastAsia="Calibri" w:hAnsi="Simplified Arabic" w:cs="Simplified Arabic" w:hint="cs"/>
          <w:b/>
          <w:bCs/>
          <w:color w:val="000000" w:themeColor="text1"/>
          <w:sz w:val="32"/>
          <w:szCs w:val="32"/>
          <w:rtl/>
        </w:rPr>
        <w:t xml:space="preserve">6.2.2 </w:t>
      </w:r>
      <w:r w:rsidR="0077109A" w:rsidRPr="00641ED1">
        <w:rPr>
          <w:rFonts w:ascii="Simplified Arabic" w:eastAsia="Calibri" w:hAnsi="Simplified Arabic" w:cs="Simplified Arabic"/>
          <w:b/>
          <w:bCs/>
          <w:color w:val="000000" w:themeColor="text1"/>
          <w:sz w:val="32"/>
          <w:szCs w:val="32"/>
          <w:rtl/>
        </w:rPr>
        <w:t>أبعاد استمرارية الأعمال</w:t>
      </w:r>
      <w:bookmarkEnd w:id="32"/>
    </w:p>
    <w:p w14:paraId="082C134E"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تمّ تحديد أبعاد استمرارية الأعمال في الدراسة الحالية بناءً على دراسة شديد (2022)، ودراسة قطيشات والشاعر (2025)، ودراسة</w:t>
      </w:r>
      <w:r w:rsidRPr="00641ED1">
        <w:rPr>
          <w:rFonts w:ascii="Simplified Arabic" w:eastAsia="Calibri" w:hAnsi="Simplified Arabic" w:cs="Simplified Arabic"/>
          <w:color w:val="000000" w:themeColor="text1"/>
          <w:sz w:val="28"/>
          <w:szCs w:val="28"/>
          <w:lang w:bidi="ar-EG"/>
        </w:rPr>
        <w:t xml:space="preserve"> Wijaya </w:t>
      </w:r>
      <w:r w:rsidRPr="00641ED1">
        <w:rPr>
          <w:rFonts w:ascii="Simplified Arabic" w:eastAsia="Calibri" w:hAnsi="Simplified Arabic" w:cs="Simplified Arabic"/>
          <w:color w:val="000000" w:themeColor="text1"/>
          <w:sz w:val="28"/>
          <w:szCs w:val="28"/>
          <w:rtl/>
        </w:rPr>
        <w:t>وآخرون (2025)، ودراسة</w:t>
      </w:r>
      <w:r w:rsidRPr="00641ED1">
        <w:rPr>
          <w:rFonts w:ascii="Simplified Arabic" w:eastAsia="Calibri" w:hAnsi="Simplified Arabic" w:cs="Simplified Arabic"/>
          <w:color w:val="000000" w:themeColor="text1"/>
          <w:sz w:val="28"/>
          <w:szCs w:val="28"/>
          <w:lang w:bidi="ar-EG"/>
        </w:rPr>
        <w:t xml:space="preserve"> Margherita </w:t>
      </w:r>
      <w:r w:rsidRPr="00641ED1">
        <w:rPr>
          <w:rFonts w:ascii="Simplified Arabic" w:eastAsia="Calibri" w:hAnsi="Simplified Arabic" w:cs="Simplified Arabic"/>
          <w:color w:val="000000" w:themeColor="text1"/>
          <w:sz w:val="28"/>
          <w:szCs w:val="28"/>
          <w:rtl/>
        </w:rPr>
        <w:t>و</w:t>
      </w:r>
      <w:r w:rsidRPr="00641ED1">
        <w:rPr>
          <w:rFonts w:ascii="Simplified Arabic" w:eastAsia="Calibri" w:hAnsi="Simplified Arabic" w:cs="Simplified Arabic"/>
          <w:color w:val="000000" w:themeColor="text1"/>
          <w:sz w:val="28"/>
          <w:szCs w:val="28"/>
          <w:lang w:bidi="ar-EG"/>
        </w:rPr>
        <w:t>Heikkil</w:t>
      </w:r>
      <w:r w:rsidRPr="00641ED1">
        <w:rPr>
          <w:rFonts w:ascii="Cambria" w:eastAsia="Calibri" w:hAnsi="Cambria" w:cs="Cambria"/>
          <w:color w:val="000000" w:themeColor="text1"/>
          <w:sz w:val="28"/>
          <w:szCs w:val="28"/>
          <w:lang w:bidi="ar-EG"/>
        </w:rPr>
        <w:t>ä</w:t>
      </w:r>
      <w:r w:rsidRPr="00641ED1">
        <w:rPr>
          <w:rFonts w:ascii="Simplified Arabic" w:eastAsia="Calibri" w:hAnsi="Simplified Arabic" w:cs="Simplified Arabic"/>
          <w:color w:val="000000" w:themeColor="text1"/>
          <w:sz w:val="28"/>
          <w:szCs w:val="28"/>
          <w:lang w:bidi="ar-EG"/>
        </w:rPr>
        <w:t xml:space="preserve"> (2021)</w:t>
      </w:r>
      <w:r w:rsidRPr="00641ED1">
        <w:rPr>
          <w:rFonts w:ascii="Simplified Arabic" w:eastAsia="Calibri" w:hAnsi="Simplified Arabic" w:cs="Simplified Arabic"/>
          <w:color w:val="000000" w:themeColor="text1"/>
          <w:sz w:val="28"/>
          <w:szCs w:val="28"/>
          <w:rtl/>
        </w:rPr>
        <w:t xml:space="preserve">، وذلك لتكاملها في تقديم منظور شامل يجمع بين الجوانب الاستباقية </w:t>
      </w:r>
      <w:proofErr w:type="spellStart"/>
      <w:r w:rsidRPr="00641ED1">
        <w:rPr>
          <w:rFonts w:ascii="Simplified Arabic" w:eastAsia="Calibri" w:hAnsi="Simplified Arabic" w:cs="Simplified Arabic"/>
          <w:color w:val="000000" w:themeColor="text1"/>
          <w:sz w:val="28"/>
          <w:szCs w:val="28"/>
          <w:rtl/>
        </w:rPr>
        <w:t>والاستجابية</w:t>
      </w:r>
      <w:proofErr w:type="spellEnd"/>
      <w:r w:rsidRPr="00641ED1">
        <w:rPr>
          <w:rFonts w:ascii="Simplified Arabic" w:eastAsia="Calibri" w:hAnsi="Simplified Arabic" w:cs="Simplified Arabic"/>
          <w:color w:val="000000" w:themeColor="text1"/>
          <w:sz w:val="28"/>
          <w:szCs w:val="28"/>
          <w:rtl/>
        </w:rPr>
        <w:t xml:space="preserve"> لاستمرارية الأعمال، ويتّسق مع متطلّبات معيار الأيزو</w:t>
      </w:r>
      <w:r w:rsidRPr="00641ED1">
        <w:rPr>
          <w:rFonts w:ascii="Simplified Arabic" w:eastAsia="Calibri" w:hAnsi="Simplified Arabic" w:cs="Simplified Arabic"/>
          <w:color w:val="000000" w:themeColor="text1"/>
          <w:sz w:val="28"/>
          <w:szCs w:val="28"/>
          <w:lang w:bidi="ar-EG"/>
        </w:rPr>
        <w:t xml:space="preserve"> (ISO 22301). </w:t>
      </w:r>
      <w:r w:rsidRPr="00641ED1">
        <w:rPr>
          <w:rFonts w:ascii="Simplified Arabic" w:eastAsia="Calibri" w:hAnsi="Simplified Arabic" w:cs="Simplified Arabic"/>
          <w:color w:val="000000" w:themeColor="text1"/>
          <w:sz w:val="28"/>
          <w:szCs w:val="28"/>
          <w:rtl/>
        </w:rPr>
        <w:t>وتتمثّل هذه الأبعاد في: التخطيط الاستباقي، وإدارة الأزمات، والمرونة التنظيمية، والتعافي</w:t>
      </w:r>
      <w:r w:rsidRPr="00641ED1">
        <w:rPr>
          <w:rFonts w:ascii="Simplified Arabic" w:eastAsia="Calibri" w:hAnsi="Simplified Arabic" w:cs="Simplified Arabic"/>
          <w:color w:val="000000" w:themeColor="text1"/>
          <w:sz w:val="28"/>
          <w:szCs w:val="28"/>
          <w:lang w:bidi="ar-EG"/>
        </w:rPr>
        <w:t>.</w:t>
      </w:r>
    </w:p>
    <w:p w14:paraId="1DED42A6"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البُعد الأول: التخطيط الاستباقي</w:t>
      </w:r>
      <w:r w:rsidRPr="00641ED1">
        <w:rPr>
          <w:rFonts w:ascii="Simplified Arabic" w:eastAsia="Calibri" w:hAnsi="Simplified Arabic" w:cs="Simplified Arabic"/>
          <w:b/>
          <w:bCs/>
          <w:color w:val="000000" w:themeColor="text1"/>
          <w:sz w:val="28"/>
          <w:szCs w:val="28"/>
          <w:lang w:bidi="ar-EG"/>
        </w:rPr>
        <w:t xml:space="preserve"> (Proactive Planning)</w:t>
      </w:r>
    </w:p>
    <w:p w14:paraId="32228D55"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يُمثّل التخطيط الاستباقي حجر الأساس في منظومة استمرارية الأعمال، ويقوم على إعداد خطط مكتوبة ومعتمدة تُحدّد الإجراءات الواجب اتّباعها لضمان استمرار العمليات الجوهرية في حال وقوع اضطراب. ويتضمّن هذا البُعد إجراء تحليل تأثير الأعمال</w:t>
      </w:r>
      <w:r w:rsidRPr="00641ED1">
        <w:rPr>
          <w:rFonts w:ascii="Simplified Arabic" w:eastAsia="Calibri" w:hAnsi="Simplified Arabic" w:cs="Simplified Arabic"/>
          <w:color w:val="000000" w:themeColor="text1"/>
          <w:sz w:val="28"/>
          <w:szCs w:val="28"/>
          <w:lang w:bidi="ar-EG"/>
        </w:rPr>
        <w:t xml:space="preserve"> (BIA) </w:t>
      </w:r>
      <w:r w:rsidRPr="00641ED1">
        <w:rPr>
          <w:rFonts w:ascii="Simplified Arabic" w:eastAsia="Calibri" w:hAnsi="Simplified Arabic" w:cs="Simplified Arabic"/>
          <w:color w:val="000000" w:themeColor="text1"/>
          <w:sz w:val="28"/>
          <w:szCs w:val="28"/>
          <w:rtl/>
        </w:rPr>
        <w:t>لتحديد العمليات الحرجة والموارد اللازمة لها، وتحديد أهداف التعافي كزمن التعافي المستهدف</w:t>
      </w:r>
      <w:r w:rsidRPr="00641ED1">
        <w:rPr>
          <w:rFonts w:ascii="Simplified Arabic" w:eastAsia="Calibri" w:hAnsi="Simplified Arabic" w:cs="Simplified Arabic"/>
          <w:color w:val="000000" w:themeColor="text1"/>
          <w:sz w:val="28"/>
          <w:szCs w:val="28"/>
          <w:lang w:bidi="ar-EG"/>
        </w:rPr>
        <w:t xml:space="preserve"> (RTO) </w:t>
      </w:r>
      <w:r w:rsidRPr="00641ED1">
        <w:rPr>
          <w:rFonts w:ascii="Simplified Arabic" w:eastAsia="Calibri" w:hAnsi="Simplified Arabic" w:cs="Simplified Arabic"/>
          <w:color w:val="000000" w:themeColor="text1"/>
          <w:sz w:val="28"/>
          <w:szCs w:val="28"/>
          <w:rtl/>
        </w:rPr>
        <w:t>ونقطة التعافي المستهدفة</w:t>
      </w:r>
      <w:r w:rsidRPr="00641ED1">
        <w:rPr>
          <w:rFonts w:ascii="Simplified Arabic" w:eastAsia="Calibri" w:hAnsi="Simplified Arabic" w:cs="Simplified Arabic"/>
          <w:color w:val="000000" w:themeColor="text1"/>
          <w:sz w:val="28"/>
          <w:szCs w:val="28"/>
          <w:lang w:bidi="ar-EG"/>
        </w:rPr>
        <w:t xml:space="preserve"> (RPO)</w:t>
      </w:r>
      <w:r w:rsidRPr="00641ED1">
        <w:rPr>
          <w:rFonts w:ascii="Simplified Arabic" w:eastAsia="Calibri" w:hAnsi="Simplified Arabic" w:cs="Simplified Arabic"/>
          <w:color w:val="000000" w:themeColor="text1"/>
          <w:sz w:val="28"/>
          <w:szCs w:val="28"/>
          <w:rtl/>
        </w:rPr>
        <w:t>، وإعداد خطط الطوارئ لمختلف السيناريوهات المحتملة (شديد، 2022). ويؤكّد الزعبي والشوابكة (2023) أنّ التخطيط الاستباقي يستلزم إجراء اختبارات دورية للخطط للتحقّق من فاعليّتها، وتحديثها في ضوء التغيّرات البيئية والتنظيمية. ويُسهم التخطيط الاستباقي في نقل المنظّمة من نمط الاستجابة التفاعلية إلى نمط الإدارة الاستباقية للأزمات</w:t>
      </w:r>
      <w:r w:rsidRPr="00641ED1">
        <w:rPr>
          <w:rFonts w:ascii="Simplified Arabic" w:eastAsia="Calibri" w:hAnsi="Simplified Arabic" w:cs="Simplified Arabic"/>
          <w:color w:val="000000" w:themeColor="text1"/>
          <w:sz w:val="28"/>
          <w:szCs w:val="28"/>
          <w:lang w:bidi="ar-EG"/>
        </w:rPr>
        <w:t>.</w:t>
      </w:r>
    </w:p>
    <w:p w14:paraId="7294C41A"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البُعد الثاني: إدارة الأزمات</w:t>
      </w:r>
      <w:r w:rsidRPr="00641ED1">
        <w:rPr>
          <w:rFonts w:ascii="Simplified Arabic" w:eastAsia="Calibri" w:hAnsi="Simplified Arabic" w:cs="Simplified Arabic"/>
          <w:b/>
          <w:bCs/>
          <w:color w:val="000000" w:themeColor="text1"/>
          <w:sz w:val="28"/>
          <w:szCs w:val="28"/>
          <w:lang w:bidi="ar-EG"/>
        </w:rPr>
        <w:t xml:space="preserve"> (Crisis Management)</w:t>
      </w:r>
    </w:p>
    <w:p w14:paraId="50340B8F"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يشمل هذا البُعد الاستجابة الفورية والمنسّقة للحوادث والاضطرابات عند وقوعها، من خلال تفعيل فِرق إدارة الأزمات، وتنفيذ خطط الاتصال الداخلي والخارجي، وإدارة التصعيد وفق آليات محدّدة. ويرتكز هذا البُعد على مبدأ اتخاذ القرار في ظلّ الضغط وضيق الوقت وشحّ المعلومات، ممّا يستلزم توفّر قيادات مؤهّلة وهياكل تنظيمية مرنة (صلاح، 2025). وتشمل ممارسات إدارة الأزمات: تشكيل غرف العمليات، وتحديد الأدوار والمسؤوليات، وإدارة الاتصال مع وسائل الإعلام والجهات المعنيّة، والتنسيق مع الجهات الخارجية </w:t>
      </w:r>
      <w:r w:rsidRPr="00641ED1">
        <w:rPr>
          <w:rFonts w:ascii="Simplified Arabic" w:eastAsia="Calibri" w:hAnsi="Simplified Arabic" w:cs="Simplified Arabic"/>
          <w:color w:val="000000" w:themeColor="text1"/>
          <w:sz w:val="28"/>
          <w:szCs w:val="28"/>
          <w:rtl/>
        </w:rPr>
        <w:lastRenderedPageBreak/>
        <w:t>كالحكومة والشركاء. ويُشير الحسين ومتولي (2023) إلى أنّ فاعلية إدارة الأزمات ترتبط ارتباطاً وثيقاً بجودة القيادة ومهاراتها في التعامل مع المواقف الطارئة</w:t>
      </w:r>
      <w:r w:rsidRPr="00641ED1">
        <w:rPr>
          <w:rFonts w:ascii="Simplified Arabic" w:eastAsia="Calibri" w:hAnsi="Simplified Arabic" w:cs="Simplified Arabic"/>
          <w:color w:val="000000" w:themeColor="text1"/>
          <w:sz w:val="28"/>
          <w:szCs w:val="28"/>
          <w:lang w:bidi="ar-EG"/>
        </w:rPr>
        <w:t>.</w:t>
      </w:r>
    </w:p>
    <w:p w14:paraId="77AC5F5D"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البُعد الثالث: المرونة التنظيمية</w:t>
      </w:r>
      <w:r w:rsidRPr="00641ED1">
        <w:rPr>
          <w:rFonts w:ascii="Simplified Arabic" w:eastAsia="Calibri" w:hAnsi="Simplified Arabic" w:cs="Simplified Arabic"/>
          <w:b/>
          <w:bCs/>
          <w:color w:val="000000" w:themeColor="text1"/>
          <w:sz w:val="28"/>
          <w:szCs w:val="28"/>
          <w:lang w:bidi="ar-EG"/>
        </w:rPr>
        <w:t xml:space="preserve"> (Organizational Resilience)</w:t>
      </w:r>
    </w:p>
    <w:p w14:paraId="2AD35AA3"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تُشير المرونة التنظيمية إلى القدرة الديناميكية للمنظّمة على التكيّف مع الظروف المتغيّرة، وامتصاص الصدمات، والتعافي بسرعة، بل والاستفادة من الأزمات في تعزيز قدراتها المستقبلية. وتقوم المرونة التنظيمية على جملة من المقوّمات، منها: مرونة الهياكل التنظيمية، وتنوّع الكفاءات البشرية، ومرونة العمليات، والقدرة على الابتكار والتكيّف</w:t>
      </w:r>
      <w:r w:rsidRPr="00641ED1">
        <w:rPr>
          <w:rFonts w:ascii="Simplified Arabic" w:eastAsia="Calibri" w:hAnsi="Simplified Arabic" w:cs="Simplified Arabic"/>
          <w:color w:val="000000" w:themeColor="text1"/>
          <w:sz w:val="28"/>
          <w:szCs w:val="28"/>
          <w:lang w:bidi="ar-EG"/>
        </w:rPr>
        <w:t xml:space="preserve"> (Wijaya et al., 2025). </w:t>
      </w:r>
      <w:r w:rsidRPr="00641ED1">
        <w:rPr>
          <w:rFonts w:ascii="Simplified Arabic" w:eastAsia="Calibri" w:hAnsi="Simplified Arabic" w:cs="Simplified Arabic"/>
          <w:color w:val="000000" w:themeColor="text1"/>
          <w:sz w:val="28"/>
          <w:szCs w:val="28"/>
          <w:rtl/>
        </w:rPr>
        <w:t>ويرى الفاخوري والربضي (2021) أنّ أنظمة العمل المرن بأشكالها المختلفة (المكانية، الزمانية، الوظيفية، العددية) تُعدّ من أهمّ روافد المرونة التنظيمية، لا سيّما في ظلّ الأزمات. وتتجلّى المرونة التنظيمية في قدرة المنظّمة على إعادة تشكيل مواردها وقدراتها بسرعة استجابةً للتغيّرات في البيئة</w:t>
      </w:r>
      <w:r w:rsidRPr="00641ED1">
        <w:rPr>
          <w:rFonts w:ascii="Simplified Arabic" w:eastAsia="Calibri" w:hAnsi="Simplified Arabic" w:cs="Simplified Arabic"/>
          <w:color w:val="000000" w:themeColor="text1"/>
          <w:sz w:val="28"/>
          <w:szCs w:val="28"/>
          <w:lang w:bidi="ar-EG"/>
        </w:rPr>
        <w:t>.</w:t>
      </w:r>
    </w:p>
    <w:p w14:paraId="0948EFC4" w14:textId="77777777" w:rsidR="0077109A" w:rsidRPr="00641ED1" w:rsidRDefault="0077109A" w:rsidP="00781571">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lang w:bidi="ar-EG"/>
        </w:rPr>
      </w:pPr>
      <w:r w:rsidRPr="00641ED1">
        <w:rPr>
          <w:rFonts w:ascii="Simplified Arabic" w:eastAsia="Calibri" w:hAnsi="Simplified Arabic" w:cs="Simplified Arabic"/>
          <w:b/>
          <w:bCs/>
          <w:color w:val="000000" w:themeColor="text1"/>
          <w:sz w:val="28"/>
          <w:szCs w:val="28"/>
          <w:rtl/>
        </w:rPr>
        <w:t>البُعد الرابع: التعافي</w:t>
      </w:r>
      <w:r w:rsidRPr="00641ED1">
        <w:rPr>
          <w:rFonts w:ascii="Simplified Arabic" w:eastAsia="Calibri" w:hAnsi="Simplified Arabic" w:cs="Simplified Arabic"/>
          <w:b/>
          <w:bCs/>
          <w:color w:val="000000" w:themeColor="text1"/>
          <w:sz w:val="28"/>
          <w:szCs w:val="28"/>
          <w:lang w:bidi="ar-EG"/>
        </w:rPr>
        <w:t xml:space="preserve"> (Recovery)</w:t>
      </w:r>
    </w:p>
    <w:p w14:paraId="4E22EFCB"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يُعنى بُعد التعافي بإعادة العمليات إلى مستوياتها الطبيعية في أعقاب الحوادث بأسرع وقت ممكن وبأقل خسائر ممكنة. ويشمل هذا البُعد جملة من الإجراءات كتقييم الأضرار، وإصلاح الأنظمة والبنى التحتية، واستعادة البيانات، وإعادة تفعيل العمليات المتوقّفة، ومتابعة العودة إلى الوضع الطبيعي (</w:t>
      </w:r>
      <w:proofErr w:type="spellStart"/>
      <w:r w:rsidRPr="00641ED1">
        <w:rPr>
          <w:rFonts w:ascii="Simplified Arabic" w:eastAsia="Calibri" w:hAnsi="Simplified Arabic" w:cs="Simplified Arabic"/>
          <w:color w:val="000000" w:themeColor="text1"/>
          <w:sz w:val="28"/>
          <w:szCs w:val="28"/>
          <w:rtl/>
        </w:rPr>
        <w:t>عبدالمعتمد</w:t>
      </w:r>
      <w:proofErr w:type="spellEnd"/>
      <w:r w:rsidRPr="00641ED1">
        <w:rPr>
          <w:rFonts w:ascii="Simplified Arabic" w:eastAsia="Calibri" w:hAnsi="Simplified Arabic" w:cs="Simplified Arabic"/>
          <w:color w:val="000000" w:themeColor="text1"/>
          <w:sz w:val="28"/>
          <w:szCs w:val="28"/>
          <w:rtl/>
        </w:rPr>
        <w:t xml:space="preserve"> وآخرون، 2025). ويرتبط بُعد التعافي بمؤشّرات كمّية كزمن التعافي الفعلي، ونقطة التعافي الفعلية، وتكلفة التعافي. ويُبرز </w:t>
      </w:r>
      <w:proofErr w:type="gramStart"/>
      <w:r w:rsidRPr="00641ED1">
        <w:rPr>
          <w:rFonts w:ascii="Simplified Arabic" w:eastAsia="Calibri" w:hAnsi="Simplified Arabic" w:cs="Simplified Arabic"/>
          <w:color w:val="000000" w:themeColor="text1"/>
          <w:sz w:val="28"/>
          <w:szCs w:val="28"/>
          <w:rtl/>
        </w:rPr>
        <w:t>عبدالسلام</w:t>
      </w:r>
      <w:proofErr w:type="gramEnd"/>
      <w:r w:rsidRPr="00641ED1">
        <w:rPr>
          <w:rFonts w:ascii="Simplified Arabic" w:eastAsia="Calibri" w:hAnsi="Simplified Arabic" w:cs="Simplified Arabic"/>
          <w:color w:val="000000" w:themeColor="text1"/>
          <w:sz w:val="28"/>
          <w:szCs w:val="28"/>
          <w:rtl/>
        </w:rPr>
        <w:t xml:space="preserve"> (2022) أهمّية التعلّم من الحوادث خلال مرحلة التعافي وتوظيف الدروس المستفادة في تحسين خطط استمرارية الأعمال المستقبلية، ممّا يُحوّل الحوادث إلى فرص للتطوير والتحسين المؤسسي</w:t>
      </w:r>
      <w:r w:rsidRPr="00641ED1">
        <w:rPr>
          <w:rFonts w:ascii="Simplified Arabic" w:eastAsia="Calibri" w:hAnsi="Simplified Arabic" w:cs="Simplified Arabic"/>
          <w:color w:val="000000" w:themeColor="text1"/>
          <w:sz w:val="28"/>
          <w:szCs w:val="28"/>
          <w:lang w:bidi="ar-EG"/>
        </w:rPr>
        <w:t>.</w:t>
      </w:r>
    </w:p>
    <w:p w14:paraId="2D56246D" w14:textId="0C7A96ED"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33" w:name="_Toc233993683"/>
      <w:r w:rsidRPr="00641ED1">
        <w:rPr>
          <w:rFonts w:ascii="Simplified Arabic" w:eastAsia="Calibri" w:hAnsi="Simplified Arabic" w:cs="Simplified Arabic" w:hint="cs"/>
          <w:b/>
          <w:bCs/>
          <w:color w:val="000000" w:themeColor="text1"/>
          <w:sz w:val="32"/>
          <w:szCs w:val="32"/>
          <w:rtl/>
        </w:rPr>
        <w:t>7.2.2</w:t>
      </w:r>
      <w:r w:rsidR="0077109A" w:rsidRPr="00641ED1">
        <w:rPr>
          <w:rFonts w:ascii="Simplified Arabic" w:eastAsia="Calibri" w:hAnsi="Simplified Arabic" w:cs="Simplified Arabic"/>
          <w:b/>
          <w:bCs/>
          <w:color w:val="000000" w:themeColor="text1"/>
          <w:sz w:val="32"/>
          <w:szCs w:val="32"/>
          <w:rtl/>
        </w:rPr>
        <w:t xml:space="preserve"> المداخل النظرية المفسّرة لاستمرارية الأعمال</w:t>
      </w:r>
      <w:bookmarkEnd w:id="33"/>
    </w:p>
    <w:p w14:paraId="5CC02FBB"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تتعدّد المداخل النظرية المفسّرة لاستمرارية الأعمال، إذ يُقدّم مدخل النظم رؤية شمولية للمنظّمة بوصفها نظاماً مفتوحاً يتفاعل مع بيئته، ويستلزم تكاملاً بين نظمه الفرعية لضمان استمراريّته. ويستند مدخل القدرات الديناميكية إلى أنّ قدرة المنظّمة على استشعار التغيّرات واغتنام الفرص وإعادة تشكيل مواردها هي مصدر البقاء في البيئات المضطربة. ويُقدّم مدخل الطوارئ رؤية تُؤكّد على أنّ فاعلية ممارسات استمرارية الأعمال </w:t>
      </w:r>
      <w:r w:rsidRPr="00641ED1">
        <w:rPr>
          <w:rFonts w:ascii="Simplified Arabic" w:eastAsia="Calibri" w:hAnsi="Simplified Arabic" w:cs="Simplified Arabic"/>
          <w:color w:val="000000" w:themeColor="text1"/>
          <w:sz w:val="28"/>
          <w:szCs w:val="28"/>
          <w:rtl/>
        </w:rPr>
        <w:lastRenderedPageBreak/>
        <w:t>تتوقّف على ملاءمتها للسياق التنظيمي والبيئي، فيما يُبرز مدخل المرونة أهمّية بناء القدرات التكيّفية والتعلّم التنظيمي</w:t>
      </w:r>
      <w:r w:rsidRPr="00641ED1">
        <w:rPr>
          <w:rFonts w:ascii="Simplified Arabic" w:eastAsia="Calibri" w:hAnsi="Simplified Arabic" w:cs="Simplified Arabic"/>
          <w:color w:val="000000" w:themeColor="text1"/>
          <w:sz w:val="28"/>
          <w:szCs w:val="28"/>
          <w:lang w:bidi="ar-EG"/>
        </w:rPr>
        <w:t>.</w:t>
      </w:r>
    </w:p>
    <w:p w14:paraId="53F3F35F" w14:textId="457110B5"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34" w:name="_Toc233993684"/>
      <w:r w:rsidRPr="00641ED1">
        <w:rPr>
          <w:rFonts w:ascii="Simplified Arabic" w:eastAsia="Calibri" w:hAnsi="Simplified Arabic" w:cs="Simplified Arabic" w:hint="cs"/>
          <w:b/>
          <w:bCs/>
          <w:color w:val="000000" w:themeColor="text1"/>
          <w:sz w:val="32"/>
          <w:szCs w:val="32"/>
          <w:rtl/>
        </w:rPr>
        <w:t xml:space="preserve">8.2.2 </w:t>
      </w:r>
      <w:r w:rsidR="0077109A" w:rsidRPr="00641ED1">
        <w:rPr>
          <w:rFonts w:ascii="Simplified Arabic" w:eastAsia="Calibri" w:hAnsi="Simplified Arabic" w:cs="Simplified Arabic"/>
          <w:b/>
          <w:bCs/>
          <w:color w:val="000000" w:themeColor="text1"/>
          <w:sz w:val="32"/>
          <w:szCs w:val="32"/>
          <w:rtl/>
        </w:rPr>
        <w:t>متطلّبات تطبيق استمرارية الأعمال</w:t>
      </w:r>
      <w:bookmarkEnd w:id="34"/>
    </w:p>
    <w:p w14:paraId="50CC6691"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يتطلّب تطبيق منظومة استمرارية الأعمال بشكل فاعل توفّر جملة من المتطلّبات المتكاملة، منها: الالتزام القيادي من الإدارة العليا، وبناء ثقافة تنظيمية داعمة، وتوفير الموارد المالية والبشرية والتقنية اللازمة، ودمج ممارسات استمرارية الأعمال في العمليات اليومية للمنظّمة، والالتزام بالمعايير الدولية كمعيار</w:t>
      </w:r>
      <w:r w:rsidRPr="00641ED1">
        <w:rPr>
          <w:rFonts w:ascii="Simplified Arabic" w:eastAsia="Calibri" w:hAnsi="Simplified Arabic" w:cs="Simplified Arabic"/>
          <w:color w:val="000000" w:themeColor="text1"/>
          <w:sz w:val="28"/>
          <w:szCs w:val="28"/>
          <w:lang w:bidi="ar-EG"/>
        </w:rPr>
        <w:t xml:space="preserve"> (ISO 22301)</w:t>
      </w:r>
      <w:r w:rsidRPr="00641ED1">
        <w:rPr>
          <w:rFonts w:ascii="Simplified Arabic" w:eastAsia="Calibri" w:hAnsi="Simplified Arabic" w:cs="Simplified Arabic"/>
          <w:color w:val="000000" w:themeColor="text1"/>
          <w:sz w:val="28"/>
          <w:szCs w:val="28"/>
          <w:rtl/>
        </w:rPr>
        <w:t>، وإجراء الاختبارات والمراجعات الدورية للخطط، فضلاً عن تعزيز التعاون مع الشركاء والجهات الخارجية</w:t>
      </w:r>
      <w:r w:rsidRPr="00641ED1">
        <w:rPr>
          <w:rFonts w:ascii="Simplified Arabic" w:eastAsia="Calibri" w:hAnsi="Simplified Arabic" w:cs="Simplified Arabic"/>
          <w:color w:val="000000" w:themeColor="text1"/>
          <w:sz w:val="28"/>
          <w:szCs w:val="28"/>
          <w:lang w:bidi="ar-EG"/>
        </w:rPr>
        <w:t>.</w:t>
      </w:r>
    </w:p>
    <w:p w14:paraId="4C87A776" w14:textId="22234163" w:rsidR="0077109A" w:rsidRPr="00641ED1" w:rsidRDefault="00781571" w:rsidP="00781571">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lang w:bidi="ar-EG"/>
        </w:rPr>
      </w:pPr>
      <w:bookmarkStart w:id="35" w:name="_Toc233993685"/>
      <w:r w:rsidRPr="00641ED1">
        <w:rPr>
          <w:rFonts w:ascii="Simplified Arabic" w:eastAsia="Calibri" w:hAnsi="Simplified Arabic" w:cs="Simplified Arabic" w:hint="cs"/>
          <w:b/>
          <w:bCs/>
          <w:color w:val="000000" w:themeColor="text1"/>
          <w:sz w:val="32"/>
          <w:szCs w:val="32"/>
          <w:rtl/>
        </w:rPr>
        <w:t xml:space="preserve">9.2.2 </w:t>
      </w:r>
      <w:r w:rsidR="0077109A" w:rsidRPr="00641ED1">
        <w:rPr>
          <w:rFonts w:ascii="Simplified Arabic" w:eastAsia="Calibri" w:hAnsi="Simplified Arabic" w:cs="Simplified Arabic"/>
          <w:b/>
          <w:bCs/>
          <w:color w:val="000000" w:themeColor="text1"/>
          <w:sz w:val="32"/>
          <w:szCs w:val="32"/>
          <w:rtl/>
        </w:rPr>
        <w:t xml:space="preserve">العلاقة بين استمرارية الأعمال وإدارة </w:t>
      </w:r>
      <w:proofErr w:type="gramStart"/>
      <w:r w:rsidR="0077109A" w:rsidRPr="00641ED1">
        <w:rPr>
          <w:rFonts w:ascii="Simplified Arabic" w:eastAsia="Calibri" w:hAnsi="Simplified Arabic" w:cs="Simplified Arabic"/>
          <w:b/>
          <w:bCs/>
          <w:color w:val="000000" w:themeColor="text1"/>
          <w:sz w:val="32"/>
          <w:szCs w:val="32"/>
          <w:rtl/>
        </w:rPr>
        <w:t>مخاطر</w:t>
      </w:r>
      <w:proofErr w:type="gramEnd"/>
      <w:r w:rsidR="0077109A" w:rsidRPr="00641ED1">
        <w:rPr>
          <w:rFonts w:ascii="Simplified Arabic" w:eastAsia="Calibri" w:hAnsi="Simplified Arabic" w:cs="Simplified Arabic"/>
          <w:b/>
          <w:bCs/>
          <w:color w:val="000000" w:themeColor="text1"/>
          <w:sz w:val="32"/>
          <w:szCs w:val="32"/>
          <w:rtl/>
        </w:rPr>
        <w:t xml:space="preserve"> انقطاع الخدمة</w:t>
      </w:r>
      <w:bookmarkEnd w:id="35"/>
    </w:p>
    <w:p w14:paraId="0B302B18" w14:textId="77777777" w:rsidR="0077109A" w:rsidRPr="00641ED1" w:rsidRDefault="0077109A" w:rsidP="00B25B94">
      <w:pPr>
        <w:pStyle w:val="ListParagraph"/>
        <w:bidi/>
        <w:spacing w:before="100" w:beforeAutospacing="1" w:after="100" w:afterAutospacing="1" w:line="276" w:lineRule="auto"/>
        <w:ind w:left="-1" w:firstLine="425"/>
        <w:contextualSpacing w:val="0"/>
        <w:jc w:val="both"/>
        <w:rPr>
          <w:rFonts w:ascii="Simplified Arabic" w:eastAsia="Calibri" w:hAnsi="Simplified Arabic" w:cs="Simplified Arabic"/>
          <w:color w:val="000000" w:themeColor="text1"/>
          <w:sz w:val="28"/>
          <w:szCs w:val="28"/>
          <w:lang w:bidi="ar-EG"/>
        </w:rPr>
      </w:pPr>
      <w:r w:rsidRPr="00641ED1">
        <w:rPr>
          <w:rFonts w:ascii="Simplified Arabic" w:eastAsia="Calibri" w:hAnsi="Simplified Arabic" w:cs="Simplified Arabic"/>
          <w:color w:val="000000" w:themeColor="text1"/>
          <w:sz w:val="28"/>
          <w:szCs w:val="28"/>
          <w:rtl/>
        </w:rPr>
        <w:t xml:space="preserve">تُشكّل العلاقة بين استمرارية الأعمال وإدارة </w:t>
      </w:r>
      <w:proofErr w:type="gramStart"/>
      <w:r w:rsidRPr="00641ED1">
        <w:rPr>
          <w:rFonts w:ascii="Simplified Arabic" w:eastAsia="Calibri" w:hAnsi="Simplified Arabic" w:cs="Simplified Arabic"/>
          <w:color w:val="000000" w:themeColor="text1"/>
          <w:sz w:val="28"/>
          <w:szCs w:val="28"/>
          <w:rtl/>
        </w:rPr>
        <w:t>مخاطر</w:t>
      </w:r>
      <w:proofErr w:type="gramEnd"/>
      <w:r w:rsidRPr="00641ED1">
        <w:rPr>
          <w:rFonts w:ascii="Simplified Arabic" w:eastAsia="Calibri" w:hAnsi="Simplified Arabic" w:cs="Simplified Arabic"/>
          <w:color w:val="000000" w:themeColor="text1"/>
          <w:sz w:val="28"/>
          <w:szCs w:val="28"/>
          <w:rtl/>
        </w:rPr>
        <w:t xml:space="preserve"> انقطاع الخدمة علاقة تكاملية عضوية، إذ تُغذّي استراتيجيات إدارة المخاطر منظومة استمرارية الأعمال بالمعلومات اللازمة عن طبيعة المخاطر وأولوياتها، فيما توفّر خطط استمرارية الأعمال إطاراً تنفيذياً لمعالجة المخاطر عند تحقّقها. ويؤكّد هذا التكامل ما يذهب إليه</w:t>
      </w:r>
      <w:r w:rsidRPr="00641ED1">
        <w:rPr>
          <w:rFonts w:ascii="Simplified Arabic" w:eastAsia="Calibri" w:hAnsi="Simplified Arabic" w:cs="Simplified Arabic"/>
          <w:color w:val="000000" w:themeColor="text1"/>
          <w:sz w:val="28"/>
          <w:szCs w:val="28"/>
          <w:lang w:bidi="ar-EG"/>
        </w:rPr>
        <w:t xml:space="preserve"> </w:t>
      </w:r>
      <w:proofErr w:type="spellStart"/>
      <w:r w:rsidRPr="00641ED1">
        <w:rPr>
          <w:rFonts w:ascii="Simplified Arabic" w:eastAsia="Calibri" w:hAnsi="Simplified Arabic" w:cs="Simplified Arabic"/>
          <w:color w:val="000000" w:themeColor="text1"/>
          <w:sz w:val="28"/>
          <w:szCs w:val="28"/>
          <w:lang w:bidi="ar-EG"/>
        </w:rPr>
        <w:t>Moškov</w:t>
      </w:r>
      <w:r w:rsidRPr="00641ED1">
        <w:rPr>
          <w:rFonts w:ascii="Cambria" w:eastAsia="Calibri" w:hAnsi="Cambria" w:cs="Cambria"/>
          <w:color w:val="000000" w:themeColor="text1"/>
          <w:sz w:val="28"/>
          <w:szCs w:val="28"/>
          <w:lang w:bidi="ar-EG"/>
        </w:rPr>
        <w:t>á</w:t>
      </w:r>
      <w:proofErr w:type="spellEnd"/>
      <w:r w:rsidRPr="00641ED1">
        <w:rPr>
          <w:rFonts w:ascii="Simplified Arabic" w:eastAsia="Calibri" w:hAnsi="Simplified Arabic" w:cs="Simplified Arabic"/>
          <w:color w:val="000000" w:themeColor="text1"/>
          <w:sz w:val="28"/>
          <w:szCs w:val="28"/>
          <w:lang w:bidi="ar-EG"/>
        </w:rPr>
        <w:t xml:space="preserve"> </w:t>
      </w:r>
      <w:r w:rsidRPr="00641ED1">
        <w:rPr>
          <w:rFonts w:ascii="Simplified Arabic" w:eastAsia="Calibri" w:hAnsi="Simplified Arabic" w:cs="Simplified Arabic"/>
          <w:color w:val="000000" w:themeColor="text1"/>
          <w:sz w:val="28"/>
          <w:szCs w:val="28"/>
          <w:rtl/>
        </w:rPr>
        <w:t>و</w:t>
      </w:r>
      <w:proofErr w:type="spellStart"/>
      <w:r w:rsidRPr="00641ED1">
        <w:rPr>
          <w:rFonts w:ascii="Simplified Arabic" w:eastAsia="Calibri" w:hAnsi="Simplified Arabic" w:cs="Simplified Arabic"/>
          <w:color w:val="000000" w:themeColor="text1"/>
          <w:sz w:val="28"/>
          <w:szCs w:val="28"/>
          <w:lang w:bidi="ar-EG"/>
        </w:rPr>
        <w:t>Buganov</w:t>
      </w:r>
      <w:r w:rsidRPr="00641ED1">
        <w:rPr>
          <w:rFonts w:ascii="Cambria" w:eastAsia="Calibri" w:hAnsi="Cambria" w:cs="Cambria"/>
          <w:color w:val="000000" w:themeColor="text1"/>
          <w:sz w:val="28"/>
          <w:szCs w:val="28"/>
          <w:lang w:bidi="ar-EG"/>
        </w:rPr>
        <w:t>á</w:t>
      </w:r>
      <w:proofErr w:type="spellEnd"/>
      <w:r w:rsidRPr="00641ED1">
        <w:rPr>
          <w:rFonts w:ascii="Simplified Arabic" w:eastAsia="Calibri" w:hAnsi="Simplified Arabic" w:cs="Simplified Arabic"/>
          <w:color w:val="000000" w:themeColor="text1"/>
          <w:sz w:val="28"/>
          <w:szCs w:val="28"/>
          <w:lang w:bidi="ar-EG"/>
        </w:rPr>
        <w:t xml:space="preserve"> (2023) </w:t>
      </w:r>
      <w:r w:rsidRPr="00641ED1">
        <w:rPr>
          <w:rFonts w:ascii="Simplified Arabic" w:eastAsia="Calibri" w:hAnsi="Simplified Arabic" w:cs="Simplified Arabic"/>
          <w:color w:val="000000" w:themeColor="text1"/>
          <w:sz w:val="28"/>
          <w:szCs w:val="28"/>
          <w:rtl/>
        </w:rPr>
        <w:t>من أنّ الربط بين النظامين يُعزّز الاستدامة المؤسسية ويُقلّل من الخسائر الناجمة عن الأزمات، ممّا يُبرز الأهمّية العلمية والتطبيقية للدراسة الحالية التي تسعى إلى استكشاف هذه العلاقة في سياق قطاع الاتصالات في المملكة العربية السعودية</w:t>
      </w:r>
      <w:r w:rsidRPr="00641ED1">
        <w:rPr>
          <w:rFonts w:ascii="Simplified Arabic" w:eastAsia="Calibri" w:hAnsi="Simplified Arabic" w:cs="Simplified Arabic"/>
          <w:color w:val="000000" w:themeColor="text1"/>
          <w:sz w:val="28"/>
          <w:szCs w:val="28"/>
          <w:lang w:bidi="ar-EG"/>
        </w:rPr>
        <w:t>.</w:t>
      </w:r>
    </w:p>
    <w:p w14:paraId="3B1BB8DE" w14:textId="003C0DF9" w:rsidR="001225ED" w:rsidRPr="00641ED1" w:rsidRDefault="00781571" w:rsidP="0043120A">
      <w:pPr>
        <w:bidi/>
        <w:spacing w:after="0" w:line="240" w:lineRule="auto"/>
        <w:jc w:val="center"/>
        <w:outlineLvl w:val="0"/>
        <w:rPr>
          <w:rFonts w:ascii="Simplified Arabic" w:hAnsi="Simplified Arabic" w:cs="Simplified Arabic"/>
          <w:b/>
          <w:bCs/>
          <w:color w:val="000000" w:themeColor="text1"/>
          <w:szCs w:val="28"/>
          <w:rtl/>
        </w:rPr>
        <w:sectPr w:rsidR="001225ED" w:rsidRPr="00641ED1" w:rsidSect="00B25B94">
          <w:footerReference w:type="default" r:id="rId19"/>
          <w:pgSz w:w="11906" w:h="16838" w:code="9"/>
          <w:pgMar w:top="1134" w:right="1701" w:bottom="1134" w:left="1134" w:header="720" w:footer="720" w:gutter="0"/>
          <w:pgNumType w:start="1"/>
          <w:cols w:space="720"/>
          <w:bidi/>
          <w:rtlGutter/>
          <w:docGrid w:linePitch="360"/>
        </w:sectPr>
      </w:pPr>
      <w:r w:rsidRPr="00641ED1">
        <w:rPr>
          <w:rFonts w:ascii="Simplified Arabic" w:eastAsia="Calibri" w:hAnsi="Simplified Arabic" w:cs="Simplified Arabic"/>
          <w:b/>
          <w:bCs/>
          <w:color w:val="000000" w:themeColor="text1"/>
          <w:sz w:val="40"/>
          <w:szCs w:val="40"/>
          <w:rtl/>
          <w:lang w:bidi="ar-EG"/>
        </w:rPr>
        <w:br w:type="page"/>
      </w:r>
    </w:p>
    <w:p w14:paraId="1C9B7977" w14:textId="3EB7597D" w:rsidR="001225ED" w:rsidRPr="00641ED1" w:rsidRDefault="001225ED" w:rsidP="001225ED">
      <w:pPr>
        <w:spacing w:before="100" w:beforeAutospacing="1" w:after="100" w:afterAutospacing="1" w:line="276" w:lineRule="auto"/>
        <w:rPr>
          <w:rFonts w:asciiTheme="majorBidi" w:hAnsiTheme="majorBidi" w:cstheme="majorBidi"/>
          <w:b/>
          <w:bCs/>
          <w:color w:val="000000" w:themeColor="text1"/>
          <w:sz w:val="32"/>
          <w:szCs w:val="32"/>
        </w:rPr>
      </w:pPr>
      <w:r w:rsidRPr="00641ED1">
        <w:rPr>
          <w:rFonts w:ascii="Simplified Arabic" w:hAnsi="Simplified Arabic" w:cs="Simplified Arabic"/>
          <w:b/>
          <w:bCs/>
          <w:noProof/>
          <w:color w:val="000000" w:themeColor="text1"/>
          <w:szCs w:val="28"/>
        </w:rPr>
        <w:lastRenderedPageBreak/>
        <w:drawing>
          <wp:anchor distT="0" distB="0" distL="114300" distR="114300" simplePos="0" relativeHeight="251669504" behindDoc="0" locked="0" layoutInCell="1" allowOverlap="1" wp14:anchorId="5952954C" wp14:editId="2324F586">
            <wp:simplePos x="0" y="0"/>
            <wp:positionH relativeFrom="column">
              <wp:posOffset>3619500</wp:posOffset>
            </wp:positionH>
            <wp:positionV relativeFrom="paragraph">
              <wp:posOffset>0</wp:posOffset>
            </wp:positionV>
            <wp:extent cx="2231390" cy="762000"/>
            <wp:effectExtent l="0" t="0" r="0" b="0"/>
            <wp:wrapSquare wrapText="bothSides"/>
            <wp:docPr id="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roofErr w:type="spellStart"/>
      <w:r w:rsidRPr="00641ED1">
        <w:rPr>
          <w:rFonts w:asciiTheme="majorBidi" w:hAnsiTheme="majorBidi" w:cstheme="majorBidi"/>
          <w:b/>
          <w:bCs/>
          <w:color w:val="000000" w:themeColor="text1"/>
          <w:sz w:val="32"/>
          <w:szCs w:val="32"/>
        </w:rPr>
        <w:t>MidOcean</w:t>
      </w:r>
      <w:proofErr w:type="spellEnd"/>
      <w:r w:rsidRPr="00641ED1">
        <w:rPr>
          <w:rFonts w:asciiTheme="majorBidi" w:hAnsiTheme="majorBidi" w:cstheme="majorBidi"/>
          <w:b/>
          <w:bCs/>
          <w:color w:val="000000" w:themeColor="text1"/>
          <w:sz w:val="32"/>
          <w:szCs w:val="32"/>
        </w:rPr>
        <w:t xml:space="preserve"> University</w:t>
      </w:r>
    </w:p>
    <w:p w14:paraId="138F85CD" w14:textId="789D1EE6" w:rsidR="001225ED" w:rsidRPr="00641ED1" w:rsidRDefault="001225ED" w:rsidP="001225ED">
      <w:pPr>
        <w:spacing w:before="100" w:beforeAutospacing="1" w:after="100" w:afterAutospacing="1" w:line="276" w:lineRule="auto"/>
        <w:rPr>
          <w:rFonts w:asciiTheme="majorBidi" w:hAnsiTheme="majorBidi" w:cstheme="majorBidi"/>
          <w:b/>
          <w:bCs/>
          <w:color w:val="000000" w:themeColor="text1"/>
          <w:sz w:val="32"/>
          <w:szCs w:val="32"/>
        </w:rPr>
      </w:pPr>
      <w:r w:rsidRPr="00641ED1">
        <w:rPr>
          <w:rFonts w:asciiTheme="majorBidi" w:hAnsiTheme="majorBidi" w:cstheme="majorBidi"/>
          <w:b/>
          <w:bCs/>
          <w:color w:val="000000" w:themeColor="text1"/>
          <w:sz w:val="32"/>
          <w:szCs w:val="32"/>
        </w:rPr>
        <w:t>College of Administration</w:t>
      </w:r>
    </w:p>
    <w:p w14:paraId="040CCC76" w14:textId="77777777" w:rsidR="001225ED" w:rsidRPr="00641ED1" w:rsidRDefault="001225ED" w:rsidP="001225ED">
      <w:pPr>
        <w:spacing w:before="100" w:beforeAutospacing="1" w:after="100" w:afterAutospacing="1" w:line="276" w:lineRule="auto"/>
        <w:rPr>
          <w:rFonts w:asciiTheme="majorBidi" w:hAnsiTheme="majorBidi" w:cstheme="majorBidi"/>
          <w:b/>
          <w:bCs/>
          <w:color w:val="000000" w:themeColor="text1"/>
          <w:sz w:val="32"/>
          <w:szCs w:val="32"/>
        </w:rPr>
      </w:pPr>
      <w:r w:rsidRPr="00641ED1">
        <w:rPr>
          <w:rFonts w:asciiTheme="majorBidi" w:hAnsiTheme="majorBidi" w:cstheme="majorBidi"/>
          <w:b/>
          <w:bCs/>
          <w:color w:val="000000" w:themeColor="text1"/>
          <w:sz w:val="32"/>
          <w:szCs w:val="32"/>
        </w:rPr>
        <w:t>Department of Business Administration</w:t>
      </w:r>
    </w:p>
    <w:p w14:paraId="7A0C8D2D" w14:textId="77777777" w:rsidR="001225ED" w:rsidRPr="00641ED1" w:rsidRDefault="001225ED" w:rsidP="001225ED">
      <w:pPr>
        <w:spacing w:before="100" w:beforeAutospacing="1" w:after="100" w:afterAutospacing="1" w:line="276" w:lineRule="auto"/>
        <w:rPr>
          <w:rFonts w:asciiTheme="majorBidi" w:hAnsiTheme="majorBidi" w:cstheme="majorBidi"/>
          <w:b/>
          <w:bCs/>
          <w:color w:val="000000" w:themeColor="text1"/>
          <w:sz w:val="32"/>
          <w:szCs w:val="32"/>
          <w:rtl/>
        </w:rPr>
      </w:pPr>
    </w:p>
    <w:p w14:paraId="29089E52" w14:textId="03FA8262" w:rsidR="001225ED" w:rsidRPr="00641ED1" w:rsidRDefault="001225ED" w:rsidP="001225ED">
      <w:pPr>
        <w:spacing w:before="100" w:beforeAutospacing="1" w:after="100" w:afterAutospacing="1" w:line="276" w:lineRule="auto"/>
        <w:jc w:val="center"/>
        <w:rPr>
          <w:rFonts w:asciiTheme="majorBidi" w:hAnsiTheme="majorBidi" w:cstheme="majorBidi"/>
          <w:b/>
          <w:bCs/>
          <w:color w:val="000000" w:themeColor="text1"/>
          <w:sz w:val="40"/>
          <w:szCs w:val="40"/>
        </w:rPr>
      </w:pPr>
      <w:r w:rsidRPr="00641ED1">
        <w:rPr>
          <w:rFonts w:asciiTheme="majorBidi" w:hAnsiTheme="majorBidi" w:cstheme="majorBidi"/>
          <w:b/>
          <w:bCs/>
          <w:color w:val="000000" w:themeColor="text1"/>
          <w:sz w:val="40"/>
          <w:szCs w:val="40"/>
        </w:rPr>
        <w:t>The Impact of Implementing Service Interruption Risk Management Strategies on Enhancing Business Continuity:</w:t>
      </w:r>
      <w:r w:rsidRPr="00641ED1">
        <w:rPr>
          <w:rFonts w:asciiTheme="majorBidi" w:hAnsiTheme="majorBidi" w:cstheme="majorBidi" w:hint="cs"/>
          <w:b/>
          <w:bCs/>
          <w:color w:val="000000" w:themeColor="text1"/>
          <w:sz w:val="40"/>
          <w:szCs w:val="40"/>
          <w:rtl/>
        </w:rPr>
        <w:t xml:space="preserve"> </w:t>
      </w:r>
      <w:r w:rsidRPr="00641ED1">
        <w:rPr>
          <w:rFonts w:asciiTheme="majorBidi" w:hAnsiTheme="majorBidi" w:cstheme="majorBidi"/>
          <w:b/>
          <w:bCs/>
          <w:color w:val="000000" w:themeColor="text1"/>
          <w:sz w:val="40"/>
          <w:szCs w:val="40"/>
        </w:rPr>
        <w:t>An Applied Study on Telecommunications Companies in the Kingdom of Saudi Arabia</w:t>
      </w:r>
    </w:p>
    <w:p w14:paraId="4AAE7B77" w14:textId="77777777" w:rsidR="001225ED" w:rsidRPr="00641ED1" w:rsidRDefault="001225ED" w:rsidP="001225ED">
      <w:pPr>
        <w:spacing w:before="100" w:beforeAutospacing="1" w:after="100" w:afterAutospacing="1" w:line="276" w:lineRule="auto"/>
        <w:jc w:val="center"/>
        <w:rPr>
          <w:rFonts w:asciiTheme="majorBidi" w:hAnsiTheme="majorBidi" w:cstheme="majorBidi"/>
          <w:b/>
          <w:bCs/>
          <w:color w:val="000000" w:themeColor="text1"/>
          <w:sz w:val="36"/>
          <w:szCs w:val="36"/>
          <w:rtl/>
        </w:rPr>
      </w:pPr>
    </w:p>
    <w:p w14:paraId="22C36F9B" w14:textId="77777777" w:rsidR="001225ED" w:rsidRPr="00641ED1" w:rsidRDefault="001225ED" w:rsidP="001225ED">
      <w:pPr>
        <w:spacing w:before="100" w:beforeAutospacing="1" w:after="100" w:afterAutospacing="1" w:line="276" w:lineRule="auto"/>
        <w:jc w:val="center"/>
        <w:rPr>
          <w:rFonts w:asciiTheme="majorBidi" w:hAnsiTheme="majorBidi" w:cstheme="majorBidi"/>
          <w:b/>
          <w:bCs/>
          <w:color w:val="000000" w:themeColor="text1"/>
          <w:sz w:val="36"/>
          <w:szCs w:val="36"/>
        </w:rPr>
      </w:pPr>
      <w:r w:rsidRPr="00641ED1">
        <w:rPr>
          <w:rFonts w:asciiTheme="majorBidi" w:hAnsiTheme="majorBidi" w:cstheme="majorBidi"/>
          <w:b/>
          <w:bCs/>
          <w:color w:val="000000" w:themeColor="text1"/>
          <w:sz w:val="36"/>
          <w:szCs w:val="36"/>
        </w:rPr>
        <w:t>Prepared by:</w:t>
      </w:r>
    </w:p>
    <w:p w14:paraId="685EABF6" w14:textId="3E9D4BF3" w:rsidR="00766DFA" w:rsidRPr="00641ED1" w:rsidRDefault="001225ED" w:rsidP="001225ED">
      <w:pPr>
        <w:bidi/>
        <w:spacing w:before="100" w:beforeAutospacing="1" w:after="100" w:afterAutospacing="1" w:line="276" w:lineRule="auto"/>
        <w:jc w:val="center"/>
        <w:rPr>
          <w:rFonts w:asciiTheme="majorBidi" w:hAnsiTheme="majorBidi" w:cstheme="majorBidi"/>
          <w:color w:val="000000" w:themeColor="text1"/>
          <w:sz w:val="36"/>
          <w:szCs w:val="36"/>
          <w:rtl/>
        </w:rPr>
      </w:pPr>
      <w:r w:rsidRPr="00641ED1">
        <w:rPr>
          <w:rFonts w:asciiTheme="majorBidi" w:hAnsiTheme="majorBidi" w:cstheme="majorBidi"/>
          <w:color w:val="000000" w:themeColor="text1"/>
          <w:sz w:val="36"/>
          <w:szCs w:val="36"/>
        </w:rPr>
        <w:t>Eng. Habib Muneer Ramadan</w:t>
      </w:r>
    </w:p>
    <w:p w14:paraId="69DE73D1" w14:textId="77777777" w:rsidR="001225ED" w:rsidRPr="00641ED1" w:rsidRDefault="001225ED" w:rsidP="001225ED">
      <w:pPr>
        <w:bidi/>
        <w:spacing w:before="100" w:beforeAutospacing="1" w:after="100" w:afterAutospacing="1" w:line="276" w:lineRule="auto"/>
        <w:jc w:val="center"/>
        <w:rPr>
          <w:rFonts w:asciiTheme="majorBidi" w:hAnsiTheme="majorBidi" w:cstheme="majorBidi"/>
          <w:color w:val="000000" w:themeColor="text1"/>
          <w:sz w:val="36"/>
          <w:szCs w:val="36"/>
          <w:rt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41ED1" w:rsidRPr="00641ED1" w14:paraId="4E75DE5A" w14:textId="77777777" w:rsidTr="004A155F">
        <w:tc>
          <w:tcPr>
            <w:tcW w:w="4530" w:type="dxa"/>
          </w:tcPr>
          <w:p w14:paraId="3315591F" w14:textId="77777777" w:rsidR="001225ED" w:rsidRPr="00641ED1" w:rsidRDefault="001225ED" w:rsidP="004A155F">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1ED1">
              <w:rPr>
                <w:rFonts w:asciiTheme="majorBidi" w:eastAsia="Calibri" w:hAnsiTheme="majorBidi" w:cstheme="majorBidi"/>
                <w:b/>
                <w:bCs/>
                <w:color w:val="000000" w:themeColor="text1"/>
                <w:kern w:val="0"/>
                <w:sz w:val="36"/>
                <w:szCs w:val="36"/>
                <w:lang w:bidi="ar-EG"/>
                <w14:ligatures w14:val="none"/>
              </w:rPr>
              <w:t>Main supervisor</w:t>
            </w:r>
            <w:r w:rsidRPr="00641ED1">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508D23A" w14:textId="77777777" w:rsidR="001225ED" w:rsidRPr="00641ED1" w:rsidRDefault="001225ED" w:rsidP="004A155F">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1ED1">
              <w:rPr>
                <w:rFonts w:asciiTheme="majorBidi" w:eastAsia="Calibri" w:hAnsiTheme="majorBidi" w:cstheme="majorBidi"/>
                <w:b/>
                <w:bCs/>
                <w:color w:val="000000" w:themeColor="text1"/>
                <w:kern w:val="0"/>
                <w:sz w:val="36"/>
                <w:szCs w:val="36"/>
                <w:lang w:bidi="ar-EG"/>
                <w14:ligatures w14:val="none"/>
              </w:rPr>
              <w:t>Second supervisor</w:t>
            </w:r>
            <w:r w:rsidRPr="00641ED1">
              <w:rPr>
                <w:rFonts w:asciiTheme="majorBidi" w:eastAsia="Calibri" w:hAnsiTheme="majorBidi" w:cstheme="majorBidi"/>
                <w:b/>
                <w:bCs/>
                <w:color w:val="000000" w:themeColor="text1"/>
                <w:kern w:val="0"/>
                <w:sz w:val="36"/>
                <w:szCs w:val="36"/>
                <w:rtl/>
                <w:lang w:bidi="ar-EG"/>
                <w14:ligatures w14:val="none"/>
              </w:rPr>
              <w:t>/</w:t>
            </w:r>
          </w:p>
        </w:tc>
      </w:tr>
      <w:tr w:rsidR="00641ED1" w:rsidRPr="00641ED1" w14:paraId="746AE5B2" w14:textId="77777777" w:rsidTr="004A155F">
        <w:tc>
          <w:tcPr>
            <w:tcW w:w="4530" w:type="dxa"/>
          </w:tcPr>
          <w:p w14:paraId="1ADFF006" w14:textId="77777777" w:rsidR="001225ED" w:rsidRPr="00641ED1" w:rsidRDefault="001225ED" w:rsidP="004A155F">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1ED1">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C07DB0B" w14:textId="77777777" w:rsidR="001225ED" w:rsidRPr="00641ED1" w:rsidRDefault="001225ED" w:rsidP="004A155F">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1ED1">
              <w:rPr>
                <w:rFonts w:asciiTheme="majorBidi" w:eastAsia="Calibri" w:hAnsiTheme="majorBidi" w:cstheme="majorBidi"/>
                <w:color w:val="000000" w:themeColor="text1"/>
                <w:kern w:val="0"/>
                <w:sz w:val="36"/>
                <w:szCs w:val="36"/>
                <w:lang w:bidi="ar-EG"/>
                <w14:ligatures w14:val="none"/>
              </w:rPr>
              <w:t>Dr. Fayez Jarad</w:t>
            </w:r>
          </w:p>
        </w:tc>
      </w:tr>
    </w:tbl>
    <w:p w14:paraId="43FAE06A" w14:textId="77777777" w:rsidR="001225ED" w:rsidRPr="00641ED1" w:rsidRDefault="001225ED" w:rsidP="001225ED">
      <w:pPr>
        <w:spacing w:before="100" w:beforeAutospacing="1" w:after="100" w:afterAutospacing="1" w:line="276" w:lineRule="auto"/>
        <w:jc w:val="center"/>
        <w:rPr>
          <w:rFonts w:asciiTheme="majorBidi" w:hAnsiTheme="majorBidi" w:cstheme="majorBidi"/>
          <w:color w:val="000000" w:themeColor="text1"/>
          <w:sz w:val="36"/>
          <w:szCs w:val="36"/>
          <w:rtl/>
        </w:rPr>
      </w:pPr>
      <w:r w:rsidRPr="00641ED1">
        <w:rPr>
          <w:rFonts w:asciiTheme="majorBidi" w:eastAsia="Calibri" w:hAnsiTheme="majorBidi" w:cstheme="majorBidi"/>
          <w:color w:val="000000" w:themeColor="text1"/>
          <w:kern w:val="0"/>
          <w:sz w:val="36"/>
          <w:szCs w:val="36"/>
          <w:rtl/>
          <w:lang w:bidi="ar-EG"/>
          <w14:ligatures w14:val="none"/>
        </w:rPr>
        <w:t>1448 – 2026</w:t>
      </w:r>
    </w:p>
    <w:p w14:paraId="160E0653" w14:textId="77777777" w:rsidR="001225ED" w:rsidRPr="00641ED1" w:rsidRDefault="001225ED" w:rsidP="001225ED">
      <w:pPr>
        <w:bidi/>
        <w:spacing w:before="100" w:beforeAutospacing="1" w:after="100" w:afterAutospacing="1" w:line="276" w:lineRule="auto"/>
        <w:jc w:val="center"/>
        <w:rPr>
          <w:rFonts w:asciiTheme="majorBidi" w:hAnsiTheme="majorBidi" w:cstheme="majorBidi"/>
          <w:color w:val="000000" w:themeColor="text1"/>
          <w:sz w:val="36"/>
          <w:szCs w:val="36"/>
        </w:rPr>
      </w:pPr>
    </w:p>
    <w:p w14:paraId="12F7DE27" w14:textId="77777777" w:rsidR="00766DFA" w:rsidRPr="00641ED1" w:rsidRDefault="00766DFA" w:rsidP="00766DFA">
      <w:pPr>
        <w:spacing w:before="100" w:beforeAutospacing="1" w:after="100" w:afterAutospacing="1"/>
        <w:ind w:left="720"/>
        <w:jc w:val="right"/>
        <w:rPr>
          <w:rFonts w:ascii="Simplified Arabic" w:hAnsi="Simplified Arabic" w:cs="Simplified Arabic"/>
          <w:b/>
          <w:bCs/>
          <w:color w:val="000000" w:themeColor="text1"/>
          <w:szCs w:val="28"/>
        </w:rPr>
      </w:pPr>
    </w:p>
    <w:p w14:paraId="1673CB50" w14:textId="77777777" w:rsidR="00B25B94" w:rsidRPr="00641ED1" w:rsidRDefault="00B25B94" w:rsidP="001225ED">
      <w:pPr>
        <w:bidi/>
        <w:spacing w:before="100" w:beforeAutospacing="1" w:after="100" w:afterAutospacing="1" w:line="276" w:lineRule="auto"/>
        <w:jc w:val="center"/>
        <w:rPr>
          <w:rFonts w:ascii="Simplified Arabic" w:eastAsia="Calibri" w:hAnsi="Simplified Arabic" w:cs="Simplified Arabic"/>
          <w:color w:val="000000" w:themeColor="text1"/>
          <w:sz w:val="28"/>
          <w:szCs w:val="28"/>
        </w:rPr>
      </w:pPr>
    </w:p>
    <w:sectPr w:rsidR="00B25B94" w:rsidRPr="00641ED1" w:rsidSect="00B25B94">
      <w:footerReference w:type="default" r:id="rId21"/>
      <w:pgSz w:w="11906" w:h="16838" w:code="9"/>
      <w:pgMar w:top="1134" w:right="1701" w:bottom="1134" w:left="1134" w:header="720" w:footer="720" w:gutter="0"/>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2669D" w14:textId="77777777" w:rsidR="00E81316" w:rsidRDefault="00E81316">
      <w:pPr>
        <w:spacing w:line="240" w:lineRule="auto"/>
      </w:pPr>
      <w:r>
        <w:separator/>
      </w:r>
    </w:p>
  </w:endnote>
  <w:endnote w:type="continuationSeparator" w:id="0">
    <w:p w14:paraId="291B9F92" w14:textId="77777777" w:rsidR="00E81316" w:rsidRDefault="00E813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Alexandria">
    <w:altName w:val="Arial"/>
    <w:charset w:val="00"/>
    <w:family w:val="auto"/>
    <w:pitch w:val="variable"/>
    <w:sig w:usb0="A00020FF" w:usb1="C000207B" w:usb2="00000008" w:usb3="00000000" w:csb0="000001D3"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7E391" w14:textId="77777777" w:rsidR="00951FAB" w:rsidRPr="005F3EA8" w:rsidRDefault="00951FAB" w:rsidP="00B25B94">
    <w:pPr>
      <w:pStyle w:val="Footer"/>
      <w:tabs>
        <w:tab w:val="left" w:pos="4283"/>
        <w:tab w:val="center" w:pos="4535"/>
      </w:tabs>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E20AB" w14:textId="48FA1710" w:rsidR="00951FAB" w:rsidRDefault="00951FAB">
    <w:pPr>
      <w:pStyle w:val="Footer"/>
    </w:pPr>
    <w:r>
      <w:rPr>
        <w:noProof/>
        <w14:ligatures w14:val="none"/>
      </w:rPr>
      <mc:AlternateContent>
        <mc:Choice Requires="wps">
          <w:drawing>
            <wp:anchor distT="0" distB="0" distL="0" distR="0" simplePos="0" relativeHeight="251665408" behindDoc="0" locked="0" layoutInCell="1" allowOverlap="1" wp14:anchorId="3D53A810" wp14:editId="41FDB9A4">
              <wp:simplePos x="635" y="635"/>
              <wp:positionH relativeFrom="page">
                <wp:align>center</wp:align>
              </wp:positionH>
              <wp:positionV relativeFrom="page">
                <wp:align>bottom</wp:align>
              </wp:positionV>
              <wp:extent cx="934720" cy="374650"/>
              <wp:effectExtent l="0" t="0" r="17780" b="0"/>
              <wp:wrapNone/>
              <wp:docPr id="1824453659" name="Text Box 5"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34720" cy="374650"/>
                      </a:xfrm>
                      <a:prstGeom prst="rect">
                        <a:avLst/>
                      </a:prstGeom>
                      <a:noFill/>
                      <a:ln>
                        <a:noFill/>
                      </a:ln>
                    </wps:spPr>
                    <wps:txbx>
                      <w:txbxContent>
                        <w:p w14:paraId="73A2CD27" w14:textId="47A5592A" w:rsidR="00951FAB" w:rsidRPr="004B20CB" w:rsidRDefault="00951FAB" w:rsidP="004B20CB">
                          <w:pPr>
                            <w:spacing w:after="0"/>
                            <w:rPr>
                              <w:rFonts w:ascii="Aptos" w:eastAsia="Aptos" w:hAnsi="Aptos" w:cs="Aptos"/>
                              <w:noProof/>
                              <w:color w:val="FF8C00"/>
                            </w:rPr>
                          </w:pPr>
                          <w:r w:rsidRPr="004B20CB">
                            <w:rPr>
                              <w:rFonts w:ascii="Aptos" w:eastAsia="Aptos" w:hAnsi="Aptos" w:cs="Aptos"/>
                              <w:noProof/>
                              <w:color w:val="FF8C0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D53A810" id="_x0000_t202" coordsize="21600,21600" o:spt="202" path="m,l,21600r21600,l21600,xe">
              <v:stroke joinstyle="miter"/>
              <v:path gradientshapeok="t" o:connecttype="rect"/>
            </v:shapetype>
            <v:shape id="Text Box 5" o:spid="_x0000_s1027" type="#_x0000_t202" alt="CONFIDENTIAL" style="position:absolute;margin-left:0;margin-top:0;width:73.6pt;height:29.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" filled="f" stroked="f">
              <v:textbox style="mso-fit-shape-to-text:t" inset="0,0,0,15pt">
                <w:txbxContent>
                  <w:p w14:paraId="73A2CD27" w14:textId="47A5592A" w:rsidR="00951FAB" w:rsidRPr="004B20CB" w:rsidRDefault="00951FAB" w:rsidP="004B20CB">
                    <w:pPr>
                      <w:spacing w:after="0"/>
                      <w:rPr>
                        <w:rFonts w:ascii="Aptos" w:eastAsia="Aptos" w:hAnsi="Aptos" w:cs="Aptos"/>
                        <w:noProof/>
                        <w:color w:val="FF8C00"/>
                      </w:rPr>
                    </w:pPr>
                    <w:r w:rsidRPr="004B20CB">
                      <w:rPr>
                        <w:rFonts w:ascii="Aptos" w:eastAsia="Aptos" w:hAnsi="Aptos" w:cs="Aptos"/>
                        <w:noProof/>
                        <w:color w:val="FF8C00"/>
                      </w:rPr>
                      <w:t>CONFIDENTIAL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7982338"/>
      <w:docPartObj>
        <w:docPartGallery w:val="Page Numbers (Bottom of Page)"/>
        <w:docPartUnique/>
      </w:docPartObj>
    </w:sdtPr>
    <w:sdtEndPr>
      <w:rPr>
        <w:rFonts w:ascii="Simplified Arabic" w:hAnsi="Simplified Arabic" w:cs="Simplified Arabic"/>
        <w:b/>
        <w:bCs/>
        <w:noProof/>
        <w:sz w:val="24"/>
        <w:szCs w:val="24"/>
      </w:rPr>
    </w:sdtEndPr>
    <w:sdtContent>
      <w:p w14:paraId="66C277BC" w14:textId="15CEAE30" w:rsidR="00951FAB" w:rsidRDefault="00951FAB">
        <w:pPr>
          <w:pStyle w:val="Footer"/>
          <w:jc w:val="center"/>
        </w:pPr>
        <w:r>
          <w:rPr>
            <w:noProof/>
          </w:rPr>
          <mc:AlternateContent>
            <mc:Choice Requires="wps">
              <w:drawing>
                <wp:inline distT="0" distB="0" distL="0" distR="0" wp14:anchorId="32141B91" wp14:editId="21F8B7B8">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3924F98"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" fillcolor="black">
                  <w10:anchorlock/>
                </v:shape>
              </w:pict>
            </mc:Fallback>
          </mc:AlternateContent>
        </w:r>
      </w:p>
      <w:p w14:paraId="7EA27248" w14:textId="5DF1534F" w:rsidR="00951FAB" w:rsidRPr="00B25B94" w:rsidRDefault="00951FAB" w:rsidP="00B25B94">
        <w:pPr>
          <w:pStyle w:val="Footer"/>
          <w:tabs>
            <w:tab w:val="left" w:pos="4404"/>
            <w:tab w:val="center" w:pos="4535"/>
          </w:tabs>
          <w:rPr>
            <w:rFonts w:ascii="Simplified Arabic" w:hAnsi="Simplified Arabic" w:cs="Simplified Arabic"/>
            <w:b/>
            <w:bCs/>
            <w:sz w:val="24"/>
            <w:szCs w:val="24"/>
          </w:rPr>
        </w:pPr>
        <w:r w:rsidRPr="00B25B94">
          <w:rPr>
            <w:rFonts w:ascii="Simplified Arabic" w:hAnsi="Simplified Arabic" w:cs="Simplified Arabic"/>
            <w:b/>
            <w:bCs/>
            <w:sz w:val="24"/>
            <w:szCs w:val="24"/>
          </w:rPr>
          <w:tab/>
        </w:r>
        <w:r w:rsidRPr="00B25B94">
          <w:rPr>
            <w:rFonts w:ascii="Simplified Arabic" w:hAnsi="Simplified Arabic" w:cs="Simplified Arabic"/>
            <w:b/>
            <w:bCs/>
            <w:sz w:val="24"/>
            <w:szCs w:val="24"/>
          </w:rPr>
          <w:tab/>
        </w:r>
        <w:r w:rsidRPr="00B25B94">
          <w:rPr>
            <w:rFonts w:ascii="Simplified Arabic" w:hAnsi="Simplified Arabic" w:cs="Simplified Arabic"/>
            <w:b/>
            <w:bCs/>
            <w:sz w:val="24"/>
            <w:szCs w:val="24"/>
          </w:rPr>
          <w:fldChar w:fldCharType="begin"/>
        </w:r>
        <w:r w:rsidRPr="00B25B94">
          <w:rPr>
            <w:rFonts w:ascii="Simplified Arabic" w:hAnsi="Simplified Arabic" w:cs="Simplified Arabic"/>
            <w:b/>
            <w:bCs/>
            <w:sz w:val="24"/>
            <w:szCs w:val="24"/>
          </w:rPr>
          <w:instrText xml:space="preserve"> PAGE    \* MERGEFORMAT </w:instrText>
        </w:r>
        <w:r w:rsidRPr="00B25B94">
          <w:rPr>
            <w:rFonts w:ascii="Simplified Arabic" w:hAnsi="Simplified Arabic" w:cs="Simplified Arabic"/>
            <w:b/>
            <w:bCs/>
            <w:sz w:val="24"/>
            <w:szCs w:val="24"/>
          </w:rPr>
          <w:fldChar w:fldCharType="separate"/>
        </w:r>
        <w:r>
          <w:rPr>
            <w:rFonts w:ascii="Simplified Arabic" w:hAnsi="Simplified Arabic" w:cs="Simplified Arabic" w:hint="eastAsia"/>
            <w:b/>
            <w:bCs/>
            <w:noProof/>
            <w:sz w:val="24"/>
            <w:szCs w:val="24"/>
            <w:rtl/>
          </w:rPr>
          <w:t>‌أ</w:t>
        </w:r>
        <w:r w:rsidRPr="00B25B94">
          <w:rPr>
            <w:rFonts w:ascii="Simplified Arabic" w:hAnsi="Simplified Arabic" w:cs="Simplified Arabic"/>
            <w:b/>
            <w:bCs/>
            <w:noProof/>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96B17" w14:textId="41F4FBF7" w:rsidR="00951FAB" w:rsidRDefault="00951FAB">
    <w:pPr>
      <w:pStyle w:val="Footer"/>
    </w:pPr>
    <w:r>
      <w:rPr>
        <w:noProof/>
        <w14:ligatures w14:val="none"/>
      </w:rPr>
      <mc:AlternateContent>
        <mc:Choice Requires="wps">
          <w:drawing>
            <wp:anchor distT="0" distB="0" distL="0" distR="0" simplePos="0" relativeHeight="251664384" behindDoc="0" locked="0" layoutInCell="1" allowOverlap="1" wp14:anchorId="6E73073F" wp14:editId="6C913F14">
              <wp:simplePos x="635" y="635"/>
              <wp:positionH relativeFrom="page">
                <wp:align>center</wp:align>
              </wp:positionH>
              <wp:positionV relativeFrom="page">
                <wp:align>bottom</wp:align>
              </wp:positionV>
              <wp:extent cx="934720" cy="374650"/>
              <wp:effectExtent l="0" t="0" r="17780" b="0"/>
              <wp:wrapNone/>
              <wp:docPr id="840823804" name="Text Box 4"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34720" cy="374650"/>
                      </a:xfrm>
                      <a:prstGeom prst="rect">
                        <a:avLst/>
                      </a:prstGeom>
                      <a:noFill/>
                      <a:ln>
                        <a:noFill/>
                      </a:ln>
                    </wps:spPr>
                    <wps:txbx>
                      <w:txbxContent>
                        <w:p w14:paraId="2A6D2BED" w14:textId="393AFE96" w:rsidR="00951FAB" w:rsidRPr="004B20CB" w:rsidRDefault="00951FAB" w:rsidP="004B20CB">
                          <w:pPr>
                            <w:spacing w:after="0"/>
                            <w:rPr>
                              <w:rFonts w:ascii="Aptos" w:eastAsia="Aptos" w:hAnsi="Aptos" w:cs="Aptos"/>
                              <w:noProof/>
                              <w:color w:val="FF8C00"/>
                            </w:rPr>
                          </w:pPr>
                          <w:r w:rsidRPr="004B20CB">
                            <w:rPr>
                              <w:rFonts w:ascii="Aptos" w:eastAsia="Aptos" w:hAnsi="Aptos" w:cs="Aptos"/>
                              <w:noProof/>
                              <w:color w:val="FF8C0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E73073F" id="_x0000_t202" coordsize="21600,21600" o:spt="202" path="m,l,21600r21600,l21600,xe">
              <v:stroke joinstyle="miter"/>
              <v:path gradientshapeok="t" o:connecttype="rect"/>
            </v:shapetype>
            <v:shape id="Text Box 4" o:spid="_x0000_s1029" type="#_x0000_t202" alt="CONFIDENTIAL" style="position:absolute;margin-left:0;margin-top:0;width:73.6pt;height:29.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" filled="f" stroked="f">
              <v:textbox style="mso-fit-shape-to-text:t" inset="0,0,0,15pt">
                <w:txbxContent>
                  <w:p w14:paraId="2A6D2BED" w14:textId="393AFE96" w:rsidR="00951FAB" w:rsidRPr="004B20CB" w:rsidRDefault="00951FAB" w:rsidP="004B20CB">
                    <w:pPr>
                      <w:spacing w:after="0"/>
                      <w:rPr>
                        <w:rFonts w:ascii="Aptos" w:eastAsia="Aptos" w:hAnsi="Aptos" w:cs="Aptos"/>
                        <w:noProof/>
                        <w:color w:val="FF8C00"/>
                      </w:rPr>
                    </w:pPr>
                    <w:r w:rsidRPr="004B20CB">
                      <w:rPr>
                        <w:rFonts w:ascii="Aptos" w:eastAsia="Aptos" w:hAnsi="Aptos" w:cs="Aptos"/>
                        <w:noProof/>
                        <w:color w:val="FF8C00"/>
                      </w:rPr>
                      <w:t>CONFIDENTIAL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1105510"/>
      <w:docPartObj>
        <w:docPartGallery w:val="Page Numbers (Bottom of Page)"/>
        <w:docPartUnique/>
      </w:docPartObj>
    </w:sdtPr>
    <w:sdtEndPr>
      <w:rPr>
        <w:rFonts w:ascii="Simplified Arabic" w:hAnsi="Simplified Arabic" w:cs="Simplified Arabic"/>
        <w:b/>
        <w:bCs/>
        <w:noProof/>
        <w:sz w:val="24"/>
        <w:szCs w:val="24"/>
      </w:rPr>
    </w:sdtEndPr>
    <w:sdtContent>
      <w:p w14:paraId="6BA99843" w14:textId="77777777" w:rsidR="00951FAB" w:rsidRDefault="00951FAB">
        <w:pPr>
          <w:pStyle w:val="Footer"/>
          <w:jc w:val="center"/>
        </w:pPr>
        <w:r>
          <w:rPr>
            <w:noProof/>
          </w:rPr>
          <mc:AlternateContent>
            <mc:Choice Requires="wps">
              <w:drawing>
                <wp:inline distT="0" distB="0" distL="0" distR="0" wp14:anchorId="0026853C" wp14:editId="60D1FE26">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93AAD01"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64432D1C" w14:textId="77777777" w:rsidR="00951FAB" w:rsidRPr="00B25B94" w:rsidRDefault="00951FAB" w:rsidP="00B25B94">
        <w:pPr>
          <w:pStyle w:val="Footer"/>
          <w:tabs>
            <w:tab w:val="left" w:pos="4404"/>
            <w:tab w:val="center" w:pos="4535"/>
          </w:tabs>
          <w:rPr>
            <w:rFonts w:ascii="Simplified Arabic" w:hAnsi="Simplified Arabic" w:cs="Simplified Arabic"/>
            <w:b/>
            <w:bCs/>
            <w:sz w:val="24"/>
            <w:szCs w:val="24"/>
          </w:rPr>
        </w:pPr>
        <w:r w:rsidRPr="00B25B94">
          <w:rPr>
            <w:rFonts w:ascii="Simplified Arabic" w:hAnsi="Simplified Arabic" w:cs="Simplified Arabic"/>
            <w:b/>
            <w:bCs/>
            <w:sz w:val="24"/>
            <w:szCs w:val="24"/>
          </w:rPr>
          <w:tab/>
        </w:r>
        <w:r w:rsidRPr="00B25B94">
          <w:rPr>
            <w:rFonts w:ascii="Simplified Arabic" w:hAnsi="Simplified Arabic" w:cs="Simplified Arabic"/>
            <w:b/>
            <w:bCs/>
            <w:sz w:val="24"/>
            <w:szCs w:val="24"/>
          </w:rPr>
          <w:tab/>
        </w:r>
        <w:r w:rsidRPr="00B25B94">
          <w:rPr>
            <w:rFonts w:ascii="Simplified Arabic" w:hAnsi="Simplified Arabic" w:cs="Simplified Arabic"/>
            <w:b/>
            <w:bCs/>
            <w:sz w:val="24"/>
            <w:szCs w:val="24"/>
          </w:rPr>
          <w:fldChar w:fldCharType="begin"/>
        </w:r>
        <w:r w:rsidRPr="00B25B94">
          <w:rPr>
            <w:rFonts w:ascii="Simplified Arabic" w:hAnsi="Simplified Arabic" w:cs="Simplified Arabic"/>
            <w:b/>
            <w:bCs/>
            <w:sz w:val="24"/>
            <w:szCs w:val="24"/>
          </w:rPr>
          <w:instrText xml:space="preserve"> PAGE    \* MERGEFORMAT </w:instrText>
        </w:r>
        <w:r w:rsidRPr="00B25B94">
          <w:rPr>
            <w:rFonts w:ascii="Simplified Arabic" w:hAnsi="Simplified Arabic" w:cs="Simplified Arabic"/>
            <w:b/>
            <w:bCs/>
            <w:sz w:val="24"/>
            <w:szCs w:val="24"/>
          </w:rPr>
          <w:fldChar w:fldCharType="separate"/>
        </w:r>
        <w:r w:rsidR="0043120A">
          <w:rPr>
            <w:rFonts w:ascii="Simplified Arabic" w:hAnsi="Simplified Arabic" w:cs="Simplified Arabic"/>
            <w:b/>
            <w:bCs/>
            <w:noProof/>
            <w:sz w:val="24"/>
            <w:szCs w:val="24"/>
          </w:rPr>
          <w:t>40</w:t>
        </w:r>
        <w:r w:rsidRPr="00B25B94">
          <w:rPr>
            <w:rFonts w:ascii="Simplified Arabic" w:hAnsi="Simplified Arabic" w:cs="Simplified Arabic"/>
            <w:b/>
            <w:bCs/>
            <w:noProof/>
            <w:sz w:val="24"/>
            <w:szCs w:val="24"/>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0858169"/>
      <w:docPartObj>
        <w:docPartGallery w:val="Page Numbers (Bottom of Page)"/>
        <w:docPartUnique/>
      </w:docPartObj>
    </w:sdtPr>
    <w:sdtEndPr>
      <w:rPr>
        <w:rFonts w:ascii="Simplified Arabic" w:hAnsi="Simplified Arabic" w:cs="Simplified Arabic"/>
        <w:b/>
        <w:bCs/>
        <w:noProof/>
        <w:sz w:val="24"/>
        <w:szCs w:val="24"/>
      </w:rPr>
    </w:sdtEndPr>
    <w:sdtContent>
      <w:p w14:paraId="699175A6" w14:textId="690EFC74" w:rsidR="001225ED" w:rsidRDefault="001225ED">
        <w:pPr>
          <w:pStyle w:val="Footer"/>
          <w:jc w:val="center"/>
        </w:pPr>
      </w:p>
      <w:p w14:paraId="0C5B48B6" w14:textId="5D507ED0" w:rsidR="001225ED" w:rsidRPr="00B25B94" w:rsidRDefault="00000000" w:rsidP="00B25B94">
        <w:pPr>
          <w:pStyle w:val="Footer"/>
          <w:tabs>
            <w:tab w:val="left" w:pos="4404"/>
            <w:tab w:val="center" w:pos="4535"/>
          </w:tabs>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3175D" w14:textId="77777777" w:rsidR="00E81316" w:rsidRDefault="00E81316">
      <w:pPr>
        <w:spacing w:after="0"/>
      </w:pPr>
      <w:r>
        <w:separator/>
      </w:r>
    </w:p>
  </w:footnote>
  <w:footnote w:type="continuationSeparator" w:id="0">
    <w:p w14:paraId="408AA8E8" w14:textId="77777777" w:rsidR="00E81316" w:rsidRDefault="00E8131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4E862" w14:textId="1477A674" w:rsidR="00951FAB" w:rsidRDefault="00951FAB">
    <w:pPr>
      <w:pStyle w:val="Header"/>
    </w:pPr>
    <w:r>
      <w:rPr>
        <w:noProof/>
        <w14:ligatures w14:val="none"/>
      </w:rPr>
      <mc:AlternateContent>
        <mc:Choice Requires="wps">
          <w:drawing>
            <wp:anchor distT="0" distB="0" distL="0" distR="0" simplePos="0" relativeHeight="251662336" behindDoc="0" locked="0" layoutInCell="1" allowOverlap="1" wp14:anchorId="4D395C20" wp14:editId="4A7D5C07">
              <wp:simplePos x="635" y="635"/>
              <wp:positionH relativeFrom="page">
                <wp:align>left</wp:align>
              </wp:positionH>
              <wp:positionV relativeFrom="page">
                <wp:align>top</wp:align>
              </wp:positionV>
              <wp:extent cx="2512060" cy="374650"/>
              <wp:effectExtent l="0" t="0" r="2540" b="6350"/>
              <wp:wrapNone/>
              <wp:docPr id="1071418597" name="Text Box 2" descr="Classification: Mobily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512060" cy="374650"/>
                      </a:xfrm>
                      <a:prstGeom prst="rect">
                        <a:avLst/>
                      </a:prstGeom>
                      <a:noFill/>
                      <a:ln>
                        <a:noFill/>
                      </a:ln>
                    </wps:spPr>
                    <wps:txbx>
                      <w:txbxContent>
                        <w:p w14:paraId="678A4968" w14:textId="3F2F13CA" w:rsidR="00951FAB" w:rsidRPr="004B20CB" w:rsidRDefault="00951FAB" w:rsidP="004B20CB">
                          <w:pPr>
                            <w:spacing w:after="0"/>
                            <w:rPr>
                              <w:rFonts w:ascii="Aptos" w:eastAsia="Aptos" w:hAnsi="Aptos" w:cs="Aptos"/>
                              <w:noProof/>
                              <w:color w:val="FF8C00"/>
                            </w:rPr>
                          </w:pPr>
                          <w:r w:rsidRPr="004B20CB">
                            <w:rPr>
                              <w:rFonts w:ascii="Aptos" w:eastAsia="Aptos" w:hAnsi="Aptos" w:cs="Aptos"/>
                              <w:noProof/>
                              <w:color w:val="FF8C00"/>
                            </w:rPr>
                            <w:t>Classification: Mobily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D395C20" id="_x0000_t202" coordsize="21600,21600" o:spt="202" path="m,l,21600r21600,l21600,xe">
              <v:stroke joinstyle="miter"/>
              <v:path gradientshapeok="t" o:connecttype="rect"/>
            </v:shapetype>
            <v:shape id="Text Box 2" o:spid="_x0000_s1026" type="#_x0000_t202" alt="Classification: Mobily CONFIDENTIAL" style="position:absolute;margin-left:0;margin-top:0;width:197.8pt;height:29.5pt;z-index:2516623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" filled="f" stroked="f">
              <v:textbox style="mso-fit-shape-to-text:t" inset="20pt,15pt,0,0">
                <w:txbxContent>
                  <w:p w14:paraId="678A4968" w14:textId="3F2F13CA" w:rsidR="00951FAB" w:rsidRPr="004B20CB" w:rsidRDefault="00951FAB" w:rsidP="004B20CB">
                    <w:pPr>
                      <w:spacing w:after="0"/>
                      <w:rPr>
                        <w:rFonts w:ascii="Aptos" w:eastAsia="Aptos" w:hAnsi="Aptos" w:cs="Aptos"/>
                        <w:noProof/>
                        <w:color w:val="FF8C00"/>
                      </w:rPr>
                    </w:pPr>
                    <w:r w:rsidRPr="004B20CB">
                      <w:rPr>
                        <w:rFonts w:ascii="Aptos" w:eastAsia="Aptos" w:hAnsi="Aptos" w:cs="Aptos"/>
                        <w:noProof/>
                        <w:color w:val="FF8C00"/>
                      </w:rPr>
                      <w:t>Classification: Mobily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2ED3CC1C" w:rsidR="00951FAB" w:rsidRDefault="00951FAB">
    <w:pPr>
      <w:pStyle w:val="Header"/>
      <w:tabs>
        <w:tab w:val="clear" w:pos="468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4E631" w14:textId="0639E839" w:rsidR="00951FAB" w:rsidRDefault="00951FAB">
    <w:pPr>
      <w:pStyle w:val="Header"/>
    </w:pPr>
    <w:r>
      <w:rPr>
        <w:noProof/>
        <w14:ligatures w14:val="none"/>
      </w:rPr>
      <mc:AlternateContent>
        <mc:Choice Requires="wps">
          <w:drawing>
            <wp:anchor distT="0" distB="0" distL="0" distR="0" simplePos="0" relativeHeight="251661312" behindDoc="0" locked="0" layoutInCell="1" allowOverlap="1" wp14:anchorId="768E8CEC" wp14:editId="11FBFEE3">
              <wp:simplePos x="635" y="635"/>
              <wp:positionH relativeFrom="page">
                <wp:align>left</wp:align>
              </wp:positionH>
              <wp:positionV relativeFrom="page">
                <wp:align>top</wp:align>
              </wp:positionV>
              <wp:extent cx="2512060" cy="374650"/>
              <wp:effectExtent l="0" t="0" r="2540" b="6350"/>
              <wp:wrapNone/>
              <wp:docPr id="266955815" name="Text Box 1" descr="Classification: Mobily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512060" cy="374650"/>
                      </a:xfrm>
                      <a:prstGeom prst="rect">
                        <a:avLst/>
                      </a:prstGeom>
                      <a:noFill/>
                      <a:ln>
                        <a:noFill/>
                      </a:ln>
                    </wps:spPr>
                    <wps:txbx>
                      <w:txbxContent>
                        <w:p w14:paraId="755BC4C4" w14:textId="5C987B6D" w:rsidR="00951FAB" w:rsidRPr="004B20CB" w:rsidRDefault="00951FAB" w:rsidP="004B20CB">
                          <w:pPr>
                            <w:spacing w:after="0"/>
                            <w:rPr>
                              <w:rFonts w:ascii="Aptos" w:eastAsia="Aptos" w:hAnsi="Aptos" w:cs="Aptos"/>
                              <w:noProof/>
                              <w:color w:val="FF8C00"/>
                            </w:rPr>
                          </w:pPr>
                          <w:r w:rsidRPr="004B20CB">
                            <w:rPr>
                              <w:rFonts w:ascii="Aptos" w:eastAsia="Aptos" w:hAnsi="Aptos" w:cs="Aptos"/>
                              <w:noProof/>
                              <w:color w:val="FF8C00"/>
                            </w:rPr>
                            <w:t>Classification: Mobily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68E8CEC" id="_x0000_t202" coordsize="21600,21600" o:spt="202" path="m,l,21600r21600,l21600,xe">
              <v:stroke joinstyle="miter"/>
              <v:path gradientshapeok="t" o:connecttype="rect"/>
            </v:shapetype>
            <v:shape id="Text Box 1" o:spid="_x0000_s1028" type="#_x0000_t202" alt="Classification: Mobily CONFIDENTIAL" style="position:absolute;margin-left:0;margin-top:0;width:197.8pt;height:29.5pt;z-index:2516613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" filled="f" stroked="f">
              <v:textbox style="mso-fit-shape-to-text:t" inset="20pt,15pt,0,0">
                <w:txbxContent>
                  <w:p w14:paraId="755BC4C4" w14:textId="5C987B6D" w:rsidR="00951FAB" w:rsidRPr="004B20CB" w:rsidRDefault="00951FAB" w:rsidP="004B20CB">
                    <w:pPr>
                      <w:spacing w:after="0"/>
                      <w:rPr>
                        <w:rFonts w:ascii="Aptos" w:eastAsia="Aptos" w:hAnsi="Aptos" w:cs="Aptos"/>
                        <w:noProof/>
                        <w:color w:val="FF8C00"/>
                      </w:rPr>
                    </w:pPr>
                    <w:r w:rsidRPr="004B20CB">
                      <w:rPr>
                        <w:rFonts w:ascii="Aptos" w:eastAsia="Aptos" w:hAnsi="Aptos" w:cs="Aptos"/>
                        <w:noProof/>
                        <w:color w:val="FF8C00"/>
                      </w:rPr>
                      <w:t>Classification: Mobily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06AD83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C0493D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86A4BBA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1A2A2A4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05A86D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310D65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B88236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6B8D0A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F82A65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374481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F51839"/>
    <w:multiLevelType w:val="hybridMultilevel"/>
    <w:tmpl w:val="DAAA59A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D1643DF"/>
    <w:multiLevelType w:val="multilevel"/>
    <w:tmpl w:val="EAC8B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F83103"/>
    <w:multiLevelType w:val="multilevel"/>
    <w:tmpl w:val="14185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321F4A"/>
    <w:multiLevelType w:val="multilevel"/>
    <w:tmpl w:val="FEB86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4425BA"/>
    <w:multiLevelType w:val="hybridMultilevel"/>
    <w:tmpl w:val="36EC4D98"/>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4A81BA5"/>
    <w:multiLevelType w:val="multilevel"/>
    <w:tmpl w:val="85302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311A6E"/>
    <w:multiLevelType w:val="multilevel"/>
    <w:tmpl w:val="29BEE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7B956BF"/>
    <w:multiLevelType w:val="hybridMultilevel"/>
    <w:tmpl w:val="334A23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8912D83"/>
    <w:multiLevelType w:val="multilevel"/>
    <w:tmpl w:val="4CF49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C61F7D"/>
    <w:multiLevelType w:val="multilevel"/>
    <w:tmpl w:val="56E28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C9159B"/>
    <w:multiLevelType w:val="hybridMultilevel"/>
    <w:tmpl w:val="FCA8756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A6D086B"/>
    <w:multiLevelType w:val="multilevel"/>
    <w:tmpl w:val="1E4EF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AE215E5"/>
    <w:multiLevelType w:val="multilevel"/>
    <w:tmpl w:val="390E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F26EA0"/>
    <w:multiLevelType w:val="multilevel"/>
    <w:tmpl w:val="73B2D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7437DDD"/>
    <w:multiLevelType w:val="multilevel"/>
    <w:tmpl w:val="922AD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46460F"/>
    <w:multiLevelType w:val="multilevel"/>
    <w:tmpl w:val="EC82D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AF0848"/>
    <w:multiLevelType w:val="hybridMultilevel"/>
    <w:tmpl w:val="3892B008"/>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2ADA393C"/>
    <w:multiLevelType w:val="multilevel"/>
    <w:tmpl w:val="D01E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CB143D"/>
    <w:multiLevelType w:val="hybridMultilevel"/>
    <w:tmpl w:val="44108BE8"/>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27449DC"/>
    <w:multiLevelType w:val="multilevel"/>
    <w:tmpl w:val="6E006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67A17E5"/>
    <w:multiLevelType w:val="hybridMultilevel"/>
    <w:tmpl w:val="B75489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BA44AF1"/>
    <w:multiLevelType w:val="multilevel"/>
    <w:tmpl w:val="62D28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23102E0"/>
    <w:multiLevelType w:val="multilevel"/>
    <w:tmpl w:val="DE60C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B265D5"/>
    <w:multiLevelType w:val="hybridMultilevel"/>
    <w:tmpl w:val="0E8C4B7E"/>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1737899"/>
    <w:multiLevelType w:val="multilevel"/>
    <w:tmpl w:val="D3F6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F60BEC"/>
    <w:multiLevelType w:val="hybridMultilevel"/>
    <w:tmpl w:val="1D468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733DB0"/>
    <w:multiLevelType w:val="multilevel"/>
    <w:tmpl w:val="6EBA4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EF4966"/>
    <w:multiLevelType w:val="hybridMultilevel"/>
    <w:tmpl w:val="41E43B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13A34F1"/>
    <w:multiLevelType w:val="multilevel"/>
    <w:tmpl w:val="910CF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45A2FDD"/>
    <w:multiLevelType w:val="hybridMultilevel"/>
    <w:tmpl w:val="E1F62B9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4DC18A3"/>
    <w:multiLevelType w:val="multilevel"/>
    <w:tmpl w:val="9DF66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3" w15:restartNumberingAfterBreak="0">
    <w:nsid w:val="683C249A"/>
    <w:multiLevelType w:val="hybridMultilevel"/>
    <w:tmpl w:val="B0B6C3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9EC4047"/>
    <w:multiLevelType w:val="multilevel"/>
    <w:tmpl w:val="68085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C012548"/>
    <w:multiLevelType w:val="multilevel"/>
    <w:tmpl w:val="EAA44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F94B3A"/>
    <w:multiLevelType w:val="hybridMultilevel"/>
    <w:tmpl w:val="56D82B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1B90E08"/>
    <w:multiLevelType w:val="multilevel"/>
    <w:tmpl w:val="EBEA0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5ED48AB"/>
    <w:multiLevelType w:val="hybridMultilevel"/>
    <w:tmpl w:val="05225ED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5FA44E9"/>
    <w:multiLevelType w:val="multilevel"/>
    <w:tmpl w:val="C5609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8909746">
    <w:abstractNumId w:val="9"/>
  </w:num>
  <w:num w:numId="2" w16cid:durableId="334848595">
    <w:abstractNumId w:val="7"/>
  </w:num>
  <w:num w:numId="3" w16cid:durableId="2117092071">
    <w:abstractNumId w:val="6"/>
  </w:num>
  <w:num w:numId="4" w16cid:durableId="422801955">
    <w:abstractNumId w:val="5"/>
  </w:num>
  <w:num w:numId="5" w16cid:durableId="1031953505">
    <w:abstractNumId w:val="4"/>
  </w:num>
  <w:num w:numId="6" w16cid:durableId="2064869307">
    <w:abstractNumId w:val="8"/>
  </w:num>
  <w:num w:numId="7" w16cid:durableId="159977286">
    <w:abstractNumId w:val="3"/>
  </w:num>
  <w:num w:numId="8" w16cid:durableId="579607821">
    <w:abstractNumId w:val="2"/>
  </w:num>
  <w:num w:numId="9" w16cid:durableId="866017437">
    <w:abstractNumId w:val="1"/>
  </w:num>
  <w:num w:numId="10" w16cid:durableId="1709835201">
    <w:abstractNumId w:val="0"/>
  </w:num>
  <w:num w:numId="11" w16cid:durableId="1339818181">
    <w:abstractNumId w:val="41"/>
  </w:num>
  <w:num w:numId="12" w16cid:durableId="705299505">
    <w:abstractNumId w:val="19"/>
  </w:num>
  <w:num w:numId="13" w16cid:durableId="109209122">
    <w:abstractNumId w:val="33"/>
  </w:num>
  <w:num w:numId="14" w16cid:durableId="1578904383">
    <w:abstractNumId w:val="28"/>
  </w:num>
  <w:num w:numId="15" w16cid:durableId="1467042723">
    <w:abstractNumId w:val="22"/>
  </w:num>
  <w:num w:numId="16" w16cid:durableId="445778539">
    <w:abstractNumId w:val="12"/>
  </w:num>
  <w:num w:numId="17" w16cid:durableId="1829706471">
    <w:abstractNumId w:val="23"/>
  </w:num>
  <w:num w:numId="18" w16cid:durableId="615673116">
    <w:abstractNumId w:val="18"/>
  </w:num>
  <w:num w:numId="19" w16cid:durableId="1831630831">
    <w:abstractNumId w:val="16"/>
  </w:num>
  <w:num w:numId="20" w16cid:durableId="1648902527">
    <w:abstractNumId w:val="47"/>
  </w:num>
  <w:num w:numId="21" w16cid:durableId="322780039">
    <w:abstractNumId w:val="44"/>
  </w:num>
  <w:num w:numId="22" w16cid:durableId="489950623">
    <w:abstractNumId w:val="45"/>
  </w:num>
  <w:num w:numId="23" w16cid:durableId="1069381980">
    <w:abstractNumId w:val="49"/>
  </w:num>
  <w:num w:numId="24" w16cid:durableId="226382911">
    <w:abstractNumId w:val="15"/>
  </w:num>
  <w:num w:numId="25" w16cid:durableId="835418713">
    <w:abstractNumId w:val="30"/>
  </w:num>
  <w:num w:numId="26" w16cid:durableId="767240291">
    <w:abstractNumId w:val="11"/>
  </w:num>
  <w:num w:numId="27" w16cid:durableId="448663771">
    <w:abstractNumId w:val="24"/>
  </w:num>
  <w:num w:numId="28" w16cid:durableId="229076266">
    <w:abstractNumId w:val="32"/>
  </w:num>
  <w:num w:numId="29" w16cid:durableId="425686826">
    <w:abstractNumId w:val="37"/>
  </w:num>
  <w:num w:numId="30" w16cid:durableId="1128209692">
    <w:abstractNumId w:val="26"/>
  </w:num>
  <w:num w:numId="31" w16cid:durableId="1897887875">
    <w:abstractNumId w:val="39"/>
  </w:num>
  <w:num w:numId="32" w16cid:durableId="294800977">
    <w:abstractNumId w:val="21"/>
  </w:num>
  <w:num w:numId="33" w16cid:durableId="1028483745">
    <w:abstractNumId w:val="13"/>
  </w:num>
  <w:num w:numId="34" w16cid:durableId="1750419201">
    <w:abstractNumId w:val="35"/>
  </w:num>
  <w:num w:numId="35" w16cid:durableId="810168686">
    <w:abstractNumId w:val="43"/>
  </w:num>
  <w:num w:numId="36" w16cid:durableId="574319599">
    <w:abstractNumId w:val="17"/>
  </w:num>
  <w:num w:numId="37" w16cid:durableId="1221015842">
    <w:abstractNumId w:val="38"/>
  </w:num>
  <w:num w:numId="38" w16cid:durableId="439229127">
    <w:abstractNumId w:val="31"/>
  </w:num>
  <w:num w:numId="39" w16cid:durableId="1079904338">
    <w:abstractNumId w:val="46"/>
  </w:num>
  <w:num w:numId="40" w16cid:durableId="510071834">
    <w:abstractNumId w:val="36"/>
  </w:num>
  <w:num w:numId="41" w16cid:durableId="1832866681">
    <w:abstractNumId w:val="10"/>
  </w:num>
  <w:num w:numId="42" w16cid:durableId="926114510">
    <w:abstractNumId w:val="20"/>
  </w:num>
  <w:num w:numId="43" w16cid:durableId="974990590">
    <w:abstractNumId w:val="40"/>
  </w:num>
  <w:num w:numId="44" w16cid:durableId="2063938577">
    <w:abstractNumId w:val="48"/>
  </w:num>
  <w:num w:numId="45" w16cid:durableId="1699815126">
    <w:abstractNumId w:val="27"/>
  </w:num>
  <w:num w:numId="46" w16cid:durableId="2117943226">
    <w:abstractNumId w:val="14"/>
  </w:num>
  <w:num w:numId="47" w16cid:durableId="523591875">
    <w:abstractNumId w:val="29"/>
  </w:num>
  <w:num w:numId="48" w16cid:durableId="1517382674">
    <w:abstractNumId w:val="34"/>
  </w:num>
  <w:num w:numId="49" w16cid:durableId="1572545661">
    <w:abstractNumId w:val="25"/>
  </w:num>
  <w:num w:numId="50" w16cid:durableId="1976064356">
    <w:abstractNumId w:val="4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7413A"/>
    <w:rsid w:val="000916DF"/>
    <w:rsid w:val="000A0440"/>
    <w:rsid w:val="000A09B4"/>
    <w:rsid w:val="000A724C"/>
    <w:rsid w:val="000D501F"/>
    <w:rsid w:val="001225ED"/>
    <w:rsid w:val="00137825"/>
    <w:rsid w:val="001426BB"/>
    <w:rsid w:val="00182037"/>
    <w:rsid w:val="001955FA"/>
    <w:rsid w:val="001E14EB"/>
    <w:rsid w:val="001F4328"/>
    <w:rsid w:val="001F6F22"/>
    <w:rsid w:val="0025591D"/>
    <w:rsid w:val="0026049C"/>
    <w:rsid w:val="002821F1"/>
    <w:rsid w:val="0028456B"/>
    <w:rsid w:val="0028538F"/>
    <w:rsid w:val="002E6B82"/>
    <w:rsid w:val="00302C00"/>
    <w:rsid w:val="0034109A"/>
    <w:rsid w:val="00373043"/>
    <w:rsid w:val="00383945"/>
    <w:rsid w:val="003855AC"/>
    <w:rsid w:val="00393FD2"/>
    <w:rsid w:val="00396E55"/>
    <w:rsid w:val="003D055C"/>
    <w:rsid w:val="003F3FB7"/>
    <w:rsid w:val="003F5B75"/>
    <w:rsid w:val="0042403D"/>
    <w:rsid w:val="0043120A"/>
    <w:rsid w:val="00447ABA"/>
    <w:rsid w:val="004623A5"/>
    <w:rsid w:val="00485015"/>
    <w:rsid w:val="004B20CB"/>
    <w:rsid w:val="004B753D"/>
    <w:rsid w:val="004C4D69"/>
    <w:rsid w:val="00503BF2"/>
    <w:rsid w:val="00543BCE"/>
    <w:rsid w:val="0054748E"/>
    <w:rsid w:val="005D7B78"/>
    <w:rsid w:val="005E2372"/>
    <w:rsid w:val="005F4110"/>
    <w:rsid w:val="006222CD"/>
    <w:rsid w:val="00641ED1"/>
    <w:rsid w:val="006729E2"/>
    <w:rsid w:val="006732FE"/>
    <w:rsid w:val="00687926"/>
    <w:rsid w:val="00735955"/>
    <w:rsid w:val="00762ACE"/>
    <w:rsid w:val="00766DFA"/>
    <w:rsid w:val="0077109A"/>
    <w:rsid w:val="0077719D"/>
    <w:rsid w:val="00781571"/>
    <w:rsid w:val="007B57D2"/>
    <w:rsid w:val="007D6E3C"/>
    <w:rsid w:val="00815A6D"/>
    <w:rsid w:val="00832A2B"/>
    <w:rsid w:val="00837716"/>
    <w:rsid w:val="00847F98"/>
    <w:rsid w:val="0085609B"/>
    <w:rsid w:val="00884319"/>
    <w:rsid w:val="00893642"/>
    <w:rsid w:val="008A4B41"/>
    <w:rsid w:val="008A5DB1"/>
    <w:rsid w:val="008D0FB3"/>
    <w:rsid w:val="008E3E29"/>
    <w:rsid w:val="008F1759"/>
    <w:rsid w:val="00903546"/>
    <w:rsid w:val="00936FF3"/>
    <w:rsid w:val="00951FAB"/>
    <w:rsid w:val="009757CB"/>
    <w:rsid w:val="00987659"/>
    <w:rsid w:val="009B445B"/>
    <w:rsid w:val="009E75D7"/>
    <w:rsid w:val="00A04EF6"/>
    <w:rsid w:val="00A071BD"/>
    <w:rsid w:val="00A22470"/>
    <w:rsid w:val="00A43F8E"/>
    <w:rsid w:val="00A549D0"/>
    <w:rsid w:val="00A5623B"/>
    <w:rsid w:val="00A75340"/>
    <w:rsid w:val="00AD14FC"/>
    <w:rsid w:val="00AE40D8"/>
    <w:rsid w:val="00AE6E4B"/>
    <w:rsid w:val="00AF0B79"/>
    <w:rsid w:val="00B2020D"/>
    <w:rsid w:val="00B24F35"/>
    <w:rsid w:val="00B25B94"/>
    <w:rsid w:val="00B506F0"/>
    <w:rsid w:val="00B54C95"/>
    <w:rsid w:val="00B576D7"/>
    <w:rsid w:val="00B703D9"/>
    <w:rsid w:val="00BC23A3"/>
    <w:rsid w:val="00BF3465"/>
    <w:rsid w:val="00C11541"/>
    <w:rsid w:val="00C132DE"/>
    <w:rsid w:val="00C37020"/>
    <w:rsid w:val="00C45BB3"/>
    <w:rsid w:val="00C61E07"/>
    <w:rsid w:val="00C63ADA"/>
    <w:rsid w:val="00C66629"/>
    <w:rsid w:val="00C919CB"/>
    <w:rsid w:val="00C92334"/>
    <w:rsid w:val="00CC52BD"/>
    <w:rsid w:val="00CD5D81"/>
    <w:rsid w:val="00D97ACA"/>
    <w:rsid w:val="00DD7B4C"/>
    <w:rsid w:val="00DF2960"/>
    <w:rsid w:val="00E0682A"/>
    <w:rsid w:val="00E81316"/>
    <w:rsid w:val="00EB6E1F"/>
    <w:rsid w:val="00EC4DE2"/>
    <w:rsid w:val="00F0637D"/>
    <w:rsid w:val="00F4302D"/>
    <w:rsid w:val="00FA15F6"/>
    <w:rsid w:val="00FD50B1"/>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CC52BD"/>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847F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62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7F9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54C9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54C95"/>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54C9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54C9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54C9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NormalWeb">
    <w:name w:val="Normal (Web)"/>
    <w:basedOn w:val="Normal"/>
    <w:uiPriority w:val="99"/>
    <w:semiHidden/>
    <w:unhideWhenUsed/>
    <w:rsid w:val="009E75D7"/>
    <w:rPr>
      <w:rFonts w:ascii="Times New Roman" w:hAnsi="Times New Roman" w:cs="Times New Roman"/>
      <w:sz w:val="24"/>
      <w:szCs w:val="24"/>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A04EF6"/>
    <w:pPr>
      <w:ind w:left="720"/>
      <w:contextualSpacing/>
    </w:pPr>
  </w:style>
  <w:style w:type="character" w:customStyle="1" w:styleId="Heading1Char">
    <w:name w:val="Heading 1 Char"/>
    <w:basedOn w:val="DefaultParagraphFont"/>
    <w:link w:val="Heading1"/>
    <w:uiPriority w:val="9"/>
    <w:rsid w:val="00CC52BD"/>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CC52BD"/>
  </w:style>
  <w:style w:type="character" w:customStyle="1" w:styleId="Heading3Char">
    <w:name w:val="Heading 3 Char"/>
    <w:basedOn w:val="DefaultParagraphFont"/>
    <w:link w:val="Heading3"/>
    <w:uiPriority w:val="9"/>
    <w:rsid w:val="00A5623B"/>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4Char">
    <w:name w:val="Heading 4 Char"/>
    <w:basedOn w:val="DefaultParagraphFont"/>
    <w:link w:val="Heading4"/>
    <w:uiPriority w:val="9"/>
    <w:rsid w:val="00847F98"/>
    <w:rPr>
      <w:rFonts w:asciiTheme="majorHAnsi" w:eastAsiaTheme="majorEastAsia" w:hAnsiTheme="majorHAnsi" w:cstheme="majorBidi"/>
      <w:i/>
      <w:iCs/>
      <w:color w:val="2F5496" w:themeColor="accent1" w:themeShade="BF"/>
      <w:kern w:val="2"/>
      <w:sz w:val="22"/>
      <w:szCs w:val="22"/>
      <w14:ligatures w14:val="standardContextual"/>
    </w:rPr>
  </w:style>
  <w:style w:type="character" w:customStyle="1" w:styleId="Heading2Char">
    <w:name w:val="Heading 2 Char"/>
    <w:basedOn w:val="DefaultParagraphFont"/>
    <w:link w:val="Heading2"/>
    <w:uiPriority w:val="9"/>
    <w:rsid w:val="00847F98"/>
    <w:rPr>
      <w:rFonts w:asciiTheme="majorHAnsi" w:eastAsiaTheme="majorEastAsia" w:hAnsiTheme="majorHAnsi" w:cstheme="majorBidi"/>
      <w:color w:val="2F5496" w:themeColor="accent1" w:themeShade="BF"/>
      <w:kern w:val="2"/>
      <w:sz w:val="26"/>
      <w:szCs w:val="26"/>
      <w14:ligatures w14:val="standardContextual"/>
    </w:rPr>
  </w:style>
  <w:style w:type="paragraph" w:styleId="BalloonText">
    <w:name w:val="Balloon Text"/>
    <w:basedOn w:val="Normal"/>
    <w:link w:val="BalloonTextChar"/>
    <w:uiPriority w:val="99"/>
    <w:semiHidden/>
    <w:unhideWhenUsed/>
    <w:rsid w:val="00B54C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4C95"/>
    <w:rPr>
      <w:rFonts w:ascii="Segoe UI" w:hAnsi="Segoe UI" w:cs="Segoe UI"/>
      <w:kern w:val="2"/>
      <w:sz w:val="18"/>
      <w:szCs w:val="18"/>
      <w14:ligatures w14:val="standardContextual"/>
    </w:rPr>
  </w:style>
  <w:style w:type="paragraph" w:styleId="BlockText">
    <w:name w:val="Block Text"/>
    <w:basedOn w:val="Normal"/>
    <w:uiPriority w:val="99"/>
    <w:semiHidden/>
    <w:unhideWhenUsed/>
    <w:rsid w:val="00B54C95"/>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BodyText">
    <w:name w:val="Body Text"/>
    <w:basedOn w:val="Normal"/>
    <w:link w:val="BodyTextChar"/>
    <w:uiPriority w:val="99"/>
    <w:semiHidden/>
    <w:unhideWhenUsed/>
    <w:rsid w:val="00B54C95"/>
    <w:pPr>
      <w:spacing w:after="120"/>
    </w:pPr>
  </w:style>
  <w:style w:type="character" w:customStyle="1" w:styleId="BodyTextChar">
    <w:name w:val="Body Text Char"/>
    <w:basedOn w:val="DefaultParagraphFont"/>
    <w:link w:val="BodyText"/>
    <w:uiPriority w:val="99"/>
    <w:semiHidden/>
    <w:rsid w:val="00B54C95"/>
    <w:rPr>
      <w:kern w:val="2"/>
      <w:sz w:val="22"/>
      <w:szCs w:val="22"/>
      <w14:ligatures w14:val="standardContextual"/>
    </w:rPr>
  </w:style>
  <w:style w:type="paragraph" w:styleId="BodyText2">
    <w:name w:val="Body Text 2"/>
    <w:basedOn w:val="Normal"/>
    <w:link w:val="BodyText2Char"/>
    <w:uiPriority w:val="99"/>
    <w:semiHidden/>
    <w:unhideWhenUsed/>
    <w:rsid w:val="00B54C95"/>
    <w:pPr>
      <w:spacing w:after="120" w:line="480" w:lineRule="auto"/>
    </w:pPr>
  </w:style>
  <w:style w:type="character" w:customStyle="1" w:styleId="BodyText2Char">
    <w:name w:val="Body Text 2 Char"/>
    <w:basedOn w:val="DefaultParagraphFont"/>
    <w:link w:val="BodyText2"/>
    <w:uiPriority w:val="99"/>
    <w:semiHidden/>
    <w:rsid w:val="00B54C95"/>
    <w:rPr>
      <w:kern w:val="2"/>
      <w:sz w:val="22"/>
      <w:szCs w:val="22"/>
      <w14:ligatures w14:val="standardContextual"/>
    </w:rPr>
  </w:style>
  <w:style w:type="paragraph" w:styleId="BodyText3">
    <w:name w:val="Body Text 3"/>
    <w:basedOn w:val="Normal"/>
    <w:link w:val="BodyText3Char"/>
    <w:uiPriority w:val="99"/>
    <w:semiHidden/>
    <w:unhideWhenUsed/>
    <w:rsid w:val="00B54C95"/>
    <w:pPr>
      <w:spacing w:after="120"/>
    </w:pPr>
    <w:rPr>
      <w:sz w:val="16"/>
      <w:szCs w:val="16"/>
    </w:rPr>
  </w:style>
  <w:style w:type="character" w:customStyle="1" w:styleId="BodyText3Char">
    <w:name w:val="Body Text 3 Char"/>
    <w:basedOn w:val="DefaultParagraphFont"/>
    <w:link w:val="BodyText3"/>
    <w:uiPriority w:val="99"/>
    <w:semiHidden/>
    <w:rsid w:val="00B54C95"/>
    <w:rPr>
      <w:kern w:val="2"/>
      <w:sz w:val="16"/>
      <w:szCs w:val="16"/>
      <w14:ligatures w14:val="standardContextual"/>
    </w:rPr>
  </w:style>
  <w:style w:type="paragraph" w:styleId="BodyTextFirstIndent">
    <w:name w:val="Body Text First Indent"/>
    <w:basedOn w:val="BodyText"/>
    <w:link w:val="BodyTextFirstIndentChar"/>
    <w:uiPriority w:val="99"/>
    <w:semiHidden/>
    <w:unhideWhenUsed/>
    <w:rsid w:val="00B54C95"/>
    <w:pPr>
      <w:spacing w:after="160"/>
      <w:ind w:firstLine="360"/>
    </w:pPr>
  </w:style>
  <w:style w:type="character" w:customStyle="1" w:styleId="BodyTextFirstIndentChar">
    <w:name w:val="Body Text First Indent Char"/>
    <w:basedOn w:val="BodyTextChar"/>
    <w:link w:val="BodyTextFirstIndent"/>
    <w:uiPriority w:val="99"/>
    <w:semiHidden/>
    <w:rsid w:val="00B54C95"/>
    <w:rPr>
      <w:kern w:val="2"/>
      <w:sz w:val="22"/>
      <w:szCs w:val="22"/>
      <w14:ligatures w14:val="standardContextual"/>
    </w:rPr>
  </w:style>
  <w:style w:type="paragraph" w:styleId="BodyTextIndent">
    <w:name w:val="Body Text Indent"/>
    <w:basedOn w:val="Normal"/>
    <w:link w:val="BodyTextIndentChar"/>
    <w:uiPriority w:val="99"/>
    <w:semiHidden/>
    <w:unhideWhenUsed/>
    <w:rsid w:val="00B54C95"/>
    <w:pPr>
      <w:spacing w:after="120"/>
      <w:ind w:left="360"/>
    </w:pPr>
  </w:style>
  <w:style w:type="character" w:customStyle="1" w:styleId="BodyTextIndentChar">
    <w:name w:val="Body Text Indent Char"/>
    <w:basedOn w:val="DefaultParagraphFont"/>
    <w:link w:val="BodyTextIndent"/>
    <w:uiPriority w:val="99"/>
    <w:semiHidden/>
    <w:rsid w:val="00B54C95"/>
    <w:rPr>
      <w:kern w:val="2"/>
      <w:sz w:val="22"/>
      <w:szCs w:val="22"/>
      <w14:ligatures w14:val="standardContextual"/>
    </w:rPr>
  </w:style>
  <w:style w:type="paragraph" w:styleId="BodyTextFirstIndent2">
    <w:name w:val="Body Text First Indent 2"/>
    <w:basedOn w:val="BodyTextIndent"/>
    <w:link w:val="BodyTextFirstIndent2Char"/>
    <w:uiPriority w:val="99"/>
    <w:semiHidden/>
    <w:unhideWhenUsed/>
    <w:rsid w:val="00B54C95"/>
    <w:pPr>
      <w:spacing w:after="160"/>
      <w:ind w:firstLine="360"/>
    </w:pPr>
  </w:style>
  <w:style w:type="character" w:customStyle="1" w:styleId="BodyTextFirstIndent2Char">
    <w:name w:val="Body Text First Indent 2 Char"/>
    <w:basedOn w:val="BodyTextIndentChar"/>
    <w:link w:val="BodyTextFirstIndent2"/>
    <w:uiPriority w:val="99"/>
    <w:semiHidden/>
    <w:rsid w:val="00B54C95"/>
    <w:rPr>
      <w:kern w:val="2"/>
      <w:sz w:val="22"/>
      <w:szCs w:val="22"/>
      <w14:ligatures w14:val="standardContextual"/>
    </w:rPr>
  </w:style>
  <w:style w:type="paragraph" w:styleId="BodyTextIndent2">
    <w:name w:val="Body Text Indent 2"/>
    <w:basedOn w:val="Normal"/>
    <w:link w:val="BodyTextIndent2Char"/>
    <w:uiPriority w:val="99"/>
    <w:semiHidden/>
    <w:unhideWhenUsed/>
    <w:rsid w:val="00B54C95"/>
    <w:pPr>
      <w:spacing w:after="120" w:line="480" w:lineRule="auto"/>
      <w:ind w:left="360"/>
    </w:pPr>
  </w:style>
  <w:style w:type="character" w:customStyle="1" w:styleId="BodyTextIndent2Char">
    <w:name w:val="Body Text Indent 2 Char"/>
    <w:basedOn w:val="DefaultParagraphFont"/>
    <w:link w:val="BodyTextIndent2"/>
    <w:uiPriority w:val="99"/>
    <w:semiHidden/>
    <w:rsid w:val="00B54C95"/>
    <w:rPr>
      <w:kern w:val="2"/>
      <w:sz w:val="22"/>
      <w:szCs w:val="22"/>
      <w14:ligatures w14:val="standardContextual"/>
    </w:rPr>
  </w:style>
  <w:style w:type="paragraph" w:styleId="BodyTextIndent3">
    <w:name w:val="Body Text Indent 3"/>
    <w:basedOn w:val="Normal"/>
    <w:link w:val="BodyTextIndent3Char"/>
    <w:uiPriority w:val="99"/>
    <w:semiHidden/>
    <w:unhideWhenUsed/>
    <w:rsid w:val="00B54C95"/>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B54C95"/>
    <w:rPr>
      <w:kern w:val="2"/>
      <w:sz w:val="16"/>
      <w:szCs w:val="16"/>
      <w14:ligatures w14:val="standardContextual"/>
    </w:rPr>
  </w:style>
  <w:style w:type="paragraph" w:styleId="Caption">
    <w:name w:val="caption"/>
    <w:basedOn w:val="Normal"/>
    <w:next w:val="Normal"/>
    <w:uiPriority w:val="35"/>
    <w:semiHidden/>
    <w:unhideWhenUsed/>
    <w:qFormat/>
    <w:rsid w:val="00B54C95"/>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B54C95"/>
    <w:pPr>
      <w:spacing w:after="0" w:line="240" w:lineRule="auto"/>
      <w:ind w:left="4320"/>
    </w:pPr>
  </w:style>
  <w:style w:type="character" w:customStyle="1" w:styleId="ClosingChar">
    <w:name w:val="Closing Char"/>
    <w:basedOn w:val="DefaultParagraphFont"/>
    <w:link w:val="Closing"/>
    <w:uiPriority w:val="99"/>
    <w:semiHidden/>
    <w:rsid w:val="00B54C95"/>
    <w:rPr>
      <w:kern w:val="2"/>
      <w:sz w:val="22"/>
      <w:szCs w:val="22"/>
      <w14:ligatures w14:val="standardContextual"/>
    </w:rPr>
  </w:style>
  <w:style w:type="paragraph" w:styleId="CommentText">
    <w:name w:val="annotation text"/>
    <w:basedOn w:val="Normal"/>
    <w:link w:val="CommentTextChar"/>
    <w:uiPriority w:val="99"/>
    <w:semiHidden/>
    <w:unhideWhenUsed/>
    <w:rsid w:val="00B54C95"/>
    <w:pPr>
      <w:spacing w:line="240" w:lineRule="auto"/>
    </w:pPr>
    <w:rPr>
      <w:sz w:val="20"/>
      <w:szCs w:val="20"/>
    </w:rPr>
  </w:style>
  <w:style w:type="character" w:customStyle="1" w:styleId="CommentTextChar">
    <w:name w:val="Comment Text Char"/>
    <w:basedOn w:val="DefaultParagraphFont"/>
    <w:link w:val="CommentText"/>
    <w:uiPriority w:val="99"/>
    <w:semiHidden/>
    <w:rsid w:val="00B54C95"/>
    <w:rPr>
      <w:kern w:val="2"/>
      <w14:ligatures w14:val="standardContextual"/>
    </w:rPr>
  </w:style>
  <w:style w:type="paragraph" w:styleId="CommentSubject">
    <w:name w:val="annotation subject"/>
    <w:basedOn w:val="CommentText"/>
    <w:next w:val="CommentText"/>
    <w:link w:val="CommentSubjectChar"/>
    <w:uiPriority w:val="99"/>
    <w:semiHidden/>
    <w:unhideWhenUsed/>
    <w:rsid w:val="00B54C95"/>
    <w:rPr>
      <w:b/>
      <w:bCs/>
    </w:rPr>
  </w:style>
  <w:style w:type="character" w:customStyle="1" w:styleId="CommentSubjectChar">
    <w:name w:val="Comment Subject Char"/>
    <w:basedOn w:val="CommentTextChar"/>
    <w:link w:val="CommentSubject"/>
    <w:uiPriority w:val="99"/>
    <w:semiHidden/>
    <w:rsid w:val="00B54C95"/>
    <w:rPr>
      <w:b/>
      <w:bCs/>
      <w:kern w:val="2"/>
      <w14:ligatures w14:val="standardContextual"/>
    </w:rPr>
  </w:style>
  <w:style w:type="paragraph" w:styleId="Date">
    <w:name w:val="Date"/>
    <w:basedOn w:val="Normal"/>
    <w:next w:val="Normal"/>
    <w:link w:val="DateChar"/>
    <w:uiPriority w:val="99"/>
    <w:semiHidden/>
    <w:unhideWhenUsed/>
    <w:rsid w:val="00B54C95"/>
  </w:style>
  <w:style w:type="character" w:customStyle="1" w:styleId="DateChar">
    <w:name w:val="Date Char"/>
    <w:basedOn w:val="DefaultParagraphFont"/>
    <w:link w:val="Date"/>
    <w:uiPriority w:val="99"/>
    <w:semiHidden/>
    <w:rsid w:val="00B54C95"/>
    <w:rPr>
      <w:kern w:val="2"/>
      <w:sz w:val="22"/>
      <w:szCs w:val="22"/>
      <w14:ligatures w14:val="standardContextual"/>
    </w:rPr>
  </w:style>
  <w:style w:type="paragraph" w:styleId="DocumentMap">
    <w:name w:val="Document Map"/>
    <w:basedOn w:val="Normal"/>
    <w:link w:val="DocumentMapChar"/>
    <w:uiPriority w:val="99"/>
    <w:semiHidden/>
    <w:unhideWhenUsed/>
    <w:rsid w:val="00B54C9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54C95"/>
    <w:rPr>
      <w:rFonts w:ascii="Segoe UI" w:hAnsi="Segoe UI" w:cs="Segoe UI"/>
      <w:kern w:val="2"/>
      <w:sz w:val="16"/>
      <w:szCs w:val="16"/>
      <w14:ligatures w14:val="standardContextual"/>
    </w:rPr>
  </w:style>
  <w:style w:type="paragraph" w:styleId="E-mailSignature">
    <w:name w:val="E-mail Signature"/>
    <w:basedOn w:val="Normal"/>
    <w:link w:val="E-mailSignatureChar"/>
    <w:uiPriority w:val="99"/>
    <w:semiHidden/>
    <w:unhideWhenUsed/>
    <w:rsid w:val="00B54C95"/>
    <w:pPr>
      <w:spacing w:after="0" w:line="240" w:lineRule="auto"/>
    </w:pPr>
  </w:style>
  <w:style w:type="character" w:customStyle="1" w:styleId="E-mailSignatureChar">
    <w:name w:val="E-mail Signature Char"/>
    <w:basedOn w:val="DefaultParagraphFont"/>
    <w:link w:val="E-mailSignature"/>
    <w:uiPriority w:val="99"/>
    <w:semiHidden/>
    <w:rsid w:val="00B54C95"/>
    <w:rPr>
      <w:kern w:val="2"/>
      <w:sz w:val="22"/>
      <w:szCs w:val="22"/>
      <w14:ligatures w14:val="standardContextual"/>
    </w:rPr>
  </w:style>
  <w:style w:type="paragraph" w:styleId="EndnoteText">
    <w:name w:val="endnote text"/>
    <w:basedOn w:val="Normal"/>
    <w:link w:val="EndnoteTextChar"/>
    <w:uiPriority w:val="99"/>
    <w:semiHidden/>
    <w:unhideWhenUsed/>
    <w:rsid w:val="00B54C9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54C95"/>
    <w:rPr>
      <w:kern w:val="2"/>
      <w14:ligatures w14:val="standardContextual"/>
    </w:rPr>
  </w:style>
  <w:style w:type="paragraph" w:styleId="EnvelopeAddress">
    <w:name w:val="envelope address"/>
    <w:basedOn w:val="Normal"/>
    <w:uiPriority w:val="99"/>
    <w:semiHidden/>
    <w:unhideWhenUsed/>
    <w:rsid w:val="00B54C95"/>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B54C95"/>
    <w:pPr>
      <w:spacing w:after="0" w:line="240" w:lineRule="auto"/>
    </w:pPr>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B54C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4C95"/>
    <w:rPr>
      <w:kern w:val="2"/>
      <w14:ligatures w14:val="standardContextual"/>
    </w:rPr>
  </w:style>
  <w:style w:type="character" w:customStyle="1" w:styleId="Heading5Char">
    <w:name w:val="Heading 5 Char"/>
    <w:basedOn w:val="DefaultParagraphFont"/>
    <w:link w:val="Heading5"/>
    <w:uiPriority w:val="9"/>
    <w:semiHidden/>
    <w:rsid w:val="00B54C95"/>
    <w:rPr>
      <w:rFonts w:asciiTheme="majorHAnsi" w:eastAsiaTheme="majorEastAsia" w:hAnsiTheme="majorHAnsi" w:cstheme="majorBidi"/>
      <w:color w:val="2F5496" w:themeColor="accent1" w:themeShade="BF"/>
      <w:kern w:val="2"/>
      <w:sz w:val="22"/>
      <w:szCs w:val="22"/>
      <w14:ligatures w14:val="standardContextual"/>
    </w:rPr>
  </w:style>
  <w:style w:type="character" w:customStyle="1" w:styleId="Heading6Char">
    <w:name w:val="Heading 6 Char"/>
    <w:basedOn w:val="DefaultParagraphFont"/>
    <w:link w:val="Heading6"/>
    <w:uiPriority w:val="9"/>
    <w:semiHidden/>
    <w:rsid w:val="00B54C95"/>
    <w:rPr>
      <w:rFonts w:asciiTheme="majorHAnsi" w:eastAsiaTheme="majorEastAsia" w:hAnsiTheme="majorHAnsi" w:cstheme="majorBidi"/>
      <w:color w:val="1F3763" w:themeColor="accent1" w:themeShade="7F"/>
      <w:kern w:val="2"/>
      <w:sz w:val="22"/>
      <w:szCs w:val="22"/>
      <w14:ligatures w14:val="standardContextual"/>
    </w:rPr>
  </w:style>
  <w:style w:type="character" w:customStyle="1" w:styleId="Heading7Char">
    <w:name w:val="Heading 7 Char"/>
    <w:basedOn w:val="DefaultParagraphFont"/>
    <w:link w:val="Heading7"/>
    <w:uiPriority w:val="9"/>
    <w:semiHidden/>
    <w:rsid w:val="00B54C95"/>
    <w:rPr>
      <w:rFonts w:asciiTheme="majorHAnsi" w:eastAsiaTheme="majorEastAsia" w:hAnsiTheme="majorHAnsi" w:cstheme="majorBidi"/>
      <w:i/>
      <w:iCs/>
      <w:color w:val="1F3763" w:themeColor="accent1" w:themeShade="7F"/>
      <w:kern w:val="2"/>
      <w:sz w:val="22"/>
      <w:szCs w:val="22"/>
      <w14:ligatures w14:val="standardContextual"/>
    </w:rPr>
  </w:style>
  <w:style w:type="character" w:customStyle="1" w:styleId="Heading8Char">
    <w:name w:val="Heading 8 Char"/>
    <w:basedOn w:val="DefaultParagraphFont"/>
    <w:link w:val="Heading8"/>
    <w:uiPriority w:val="9"/>
    <w:semiHidden/>
    <w:rsid w:val="00B54C95"/>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Heading9Char">
    <w:name w:val="Heading 9 Char"/>
    <w:basedOn w:val="DefaultParagraphFont"/>
    <w:link w:val="Heading9"/>
    <w:uiPriority w:val="9"/>
    <w:semiHidden/>
    <w:rsid w:val="00B54C95"/>
    <w:rPr>
      <w:rFonts w:asciiTheme="majorHAnsi" w:eastAsiaTheme="majorEastAsia" w:hAnsiTheme="majorHAnsi" w:cstheme="majorBidi"/>
      <w:i/>
      <w:iCs/>
      <w:color w:val="272727" w:themeColor="text1" w:themeTint="D8"/>
      <w:kern w:val="2"/>
      <w:sz w:val="21"/>
      <w:szCs w:val="21"/>
      <w14:ligatures w14:val="standardContextual"/>
    </w:rPr>
  </w:style>
  <w:style w:type="paragraph" w:styleId="HTMLAddress">
    <w:name w:val="HTML Address"/>
    <w:basedOn w:val="Normal"/>
    <w:link w:val="HTMLAddressChar"/>
    <w:uiPriority w:val="99"/>
    <w:semiHidden/>
    <w:unhideWhenUsed/>
    <w:rsid w:val="00B54C95"/>
    <w:pPr>
      <w:spacing w:after="0" w:line="240" w:lineRule="auto"/>
    </w:pPr>
    <w:rPr>
      <w:i/>
      <w:iCs/>
    </w:rPr>
  </w:style>
  <w:style w:type="character" w:customStyle="1" w:styleId="HTMLAddressChar">
    <w:name w:val="HTML Address Char"/>
    <w:basedOn w:val="DefaultParagraphFont"/>
    <w:link w:val="HTMLAddress"/>
    <w:uiPriority w:val="99"/>
    <w:semiHidden/>
    <w:rsid w:val="00B54C95"/>
    <w:rPr>
      <w:i/>
      <w:iCs/>
      <w:kern w:val="2"/>
      <w:sz w:val="22"/>
      <w:szCs w:val="22"/>
      <w14:ligatures w14:val="standardContextual"/>
    </w:rPr>
  </w:style>
  <w:style w:type="paragraph" w:styleId="HTMLPreformatted">
    <w:name w:val="HTML Preformatted"/>
    <w:basedOn w:val="Normal"/>
    <w:link w:val="HTMLPreformattedChar"/>
    <w:uiPriority w:val="99"/>
    <w:semiHidden/>
    <w:unhideWhenUsed/>
    <w:rsid w:val="00B54C9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54C95"/>
    <w:rPr>
      <w:rFonts w:ascii="Consolas" w:hAnsi="Consolas"/>
      <w:kern w:val="2"/>
      <w14:ligatures w14:val="standardContextual"/>
    </w:rPr>
  </w:style>
  <w:style w:type="paragraph" w:styleId="Index1">
    <w:name w:val="index 1"/>
    <w:basedOn w:val="Normal"/>
    <w:next w:val="Normal"/>
    <w:autoRedefine/>
    <w:uiPriority w:val="99"/>
    <w:semiHidden/>
    <w:unhideWhenUsed/>
    <w:rsid w:val="00B54C95"/>
    <w:pPr>
      <w:spacing w:after="0" w:line="240" w:lineRule="auto"/>
      <w:ind w:left="220" w:hanging="220"/>
    </w:pPr>
  </w:style>
  <w:style w:type="paragraph" w:styleId="Index2">
    <w:name w:val="index 2"/>
    <w:basedOn w:val="Normal"/>
    <w:next w:val="Normal"/>
    <w:autoRedefine/>
    <w:uiPriority w:val="99"/>
    <w:semiHidden/>
    <w:unhideWhenUsed/>
    <w:rsid w:val="00B54C95"/>
    <w:pPr>
      <w:spacing w:after="0" w:line="240" w:lineRule="auto"/>
      <w:ind w:left="440" w:hanging="220"/>
    </w:pPr>
  </w:style>
  <w:style w:type="paragraph" w:styleId="Index3">
    <w:name w:val="index 3"/>
    <w:basedOn w:val="Normal"/>
    <w:next w:val="Normal"/>
    <w:autoRedefine/>
    <w:uiPriority w:val="99"/>
    <w:semiHidden/>
    <w:unhideWhenUsed/>
    <w:rsid w:val="00B54C95"/>
    <w:pPr>
      <w:spacing w:after="0" w:line="240" w:lineRule="auto"/>
      <w:ind w:left="660" w:hanging="220"/>
    </w:pPr>
  </w:style>
  <w:style w:type="paragraph" w:styleId="Index4">
    <w:name w:val="index 4"/>
    <w:basedOn w:val="Normal"/>
    <w:next w:val="Normal"/>
    <w:autoRedefine/>
    <w:uiPriority w:val="99"/>
    <w:semiHidden/>
    <w:unhideWhenUsed/>
    <w:rsid w:val="00B54C95"/>
    <w:pPr>
      <w:spacing w:after="0" w:line="240" w:lineRule="auto"/>
      <w:ind w:left="880" w:hanging="220"/>
    </w:pPr>
  </w:style>
  <w:style w:type="paragraph" w:styleId="Index5">
    <w:name w:val="index 5"/>
    <w:basedOn w:val="Normal"/>
    <w:next w:val="Normal"/>
    <w:autoRedefine/>
    <w:uiPriority w:val="99"/>
    <w:semiHidden/>
    <w:unhideWhenUsed/>
    <w:rsid w:val="00B54C95"/>
    <w:pPr>
      <w:spacing w:after="0" w:line="240" w:lineRule="auto"/>
      <w:ind w:left="1100" w:hanging="220"/>
    </w:pPr>
  </w:style>
  <w:style w:type="paragraph" w:styleId="Index6">
    <w:name w:val="index 6"/>
    <w:basedOn w:val="Normal"/>
    <w:next w:val="Normal"/>
    <w:autoRedefine/>
    <w:uiPriority w:val="99"/>
    <w:semiHidden/>
    <w:unhideWhenUsed/>
    <w:rsid w:val="00B54C95"/>
    <w:pPr>
      <w:spacing w:after="0" w:line="240" w:lineRule="auto"/>
      <w:ind w:left="1320" w:hanging="220"/>
    </w:pPr>
  </w:style>
  <w:style w:type="paragraph" w:styleId="Index7">
    <w:name w:val="index 7"/>
    <w:basedOn w:val="Normal"/>
    <w:next w:val="Normal"/>
    <w:autoRedefine/>
    <w:uiPriority w:val="99"/>
    <w:semiHidden/>
    <w:unhideWhenUsed/>
    <w:rsid w:val="00B54C95"/>
    <w:pPr>
      <w:spacing w:after="0" w:line="240" w:lineRule="auto"/>
      <w:ind w:left="1540" w:hanging="220"/>
    </w:pPr>
  </w:style>
  <w:style w:type="paragraph" w:styleId="Index8">
    <w:name w:val="index 8"/>
    <w:basedOn w:val="Normal"/>
    <w:next w:val="Normal"/>
    <w:autoRedefine/>
    <w:uiPriority w:val="99"/>
    <w:semiHidden/>
    <w:unhideWhenUsed/>
    <w:rsid w:val="00B54C95"/>
    <w:pPr>
      <w:spacing w:after="0" w:line="240" w:lineRule="auto"/>
      <w:ind w:left="1760" w:hanging="220"/>
    </w:pPr>
  </w:style>
  <w:style w:type="paragraph" w:styleId="Index9">
    <w:name w:val="index 9"/>
    <w:basedOn w:val="Normal"/>
    <w:next w:val="Normal"/>
    <w:autoRedefine/>
    <w:uiPriority w:val="99"/>
    <w:semiHidden/>
    <w:unhideWhenUsed/>
    <w:rsid w:val="00B54C95"/>
    <w:pPr>
      <w:spacing w:after="0" w:line="240" w:lineRule="auto"/>
      <w:ind w:left="1980" w:hanging="220"/>
    </w:pPr>
  </w:style>
  <w:style w:type="paragraph" w:styleId="IndexHeading">
    <w:name w:val="index heading"/>
    <w:basedOn w:val="Normal"/>
    <w:next w:val="Index1"/>
    <w:uiPriority w:val="99"/>
    <w:semiHidden/>
    <w:unhideWhenUsed/>
    <w:rsid w:val="00B54C95"/>
    <w:rPr>
      <w:rFonts w:asciiTheme="majorHAnsi" w:eastAsiaTheme="majorEastAsia" w:hAnsiTheme="majorHAnsi" w:cstheme="majorBidi"/>
      <w:b/>
      <w:bCs/>
    </w:rPr>
  </w:style>
  <w:style w:type="paragraph" w:styleId="IntenseQuote">
    <w:name w:val="Intense Quote"/>
    <w:basedOn w:val="Normal"/>
    <w:next w:val="Normal"/>
    <w:link w:val="IntenseQuoteChar"/>
    <w:uiPriority w:val="99"/>
    <w:rsid w:val="00B54C9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99"/>
    <w:rsid w:val="00B54C95"/>
    <w:rPr>
      <w:i/>
      <w:iCs/>
      <w:color w:val="4472C4" w:themeColor="accent1"/>
      <w:kern w:val="2"/>
      <w:sz w:val="22"/>
      <w:szCs w:val="22"/>
      <w14:ligatures w14:val="standardContextual"/>
    </w:rPr>
  </w:style>
  <w:style w:type="paragraph" w:styleId="List">
    <w:name w:val="List"/>
    <w:basedOn w:val="Normal"/>
    <w:uiPriority w:val="99"/>
    <w:semiHidden/>
    <w:unhideWhenUsed/>
    <w:rsid w:val="00B54C95"/>
    <w:pPr>
      <w:ind w:left="360" w:hanging="360"/>
      <w:contextualSpacing/>
    </w:pPr>
  </w:style>
  <w:style w:type="paragraph" w:styleId="List2">
    <w:name w:val="List 2"/>
    <w:basedOn w:val="Normal"/>
    <w:uiPriority w:val="99"/>
    <w:semiHidden/>
    <w:unhideWhenUsed/>
    <w:rsid w:val="00B54C95"/>
    <w:pPr>
      <w:ind w:left="720" w:hanging="360"/>
      <w:contextualSpacing/>
    </w:pPr>
  </w:style>
  <w:style w:type="paragraph" w:styleId="List3">
    <w:name w:val="List 3"/>
    <w:basedOn w:val="Normal"/>
    <w:uiPriority w:val="99"/>
    <w:semiHidden/>
    <w:unhideWhenUsed/>
    <w:rsid w:val="00B54C95"/>
    <w:pPr>
      <w:ind w:left="1080" w:hanging="360"/>
      <w:contextualSpacing/>
    </w:pPr>
  </w:style>
  <w:style w:type="paragraph" w:styleId="List4">
    <w:name w:val="List 4"/>
    <w:basedOn w:val="Normal"/>
    <w:uiPriority w:val="99"/>
    <w:semiHidden/>
    <w:unhideWhenUsed/>
    <w:rsid w:val="00B54C95"/>
    <w:pPr>
      <w:ind w:left="1440" w:hanging="360"/>
      <w:contextualSpacing/>
    </w:pPr>
  </w:style>
  <w:style w:type="paragraph" w:styleId="List5">
    <w:name w:val="List 5"/>
    <w:basedOn w:val="Normal"/>
    <w:uiPriority w:val="99"/>
    <w:semiHidden/>
    <w:unhideWhenUsed/>
    <w:rsid w:val="00B54C95"/>
    <w:pPr>
      <w:ind w:left="1800" w:hanging="360"/>
      <w:contextualSpacing/>
    </w:pPr>
  </w:style>
  <w:style w:type="paragraph" w:styleId="ListBullet">
    <w:name w:val="List Bullet"/>
    <w:basedOn w:val="Normal"/>
    <w:uiPriority w:val="99"/>
    <w:semiHidden/>
    <w:unhideWhenUsed/>
    <w:rsid w:val="00B54C95"/>
    <w:pPr>
      <w:numPr>
        <w:numId w:val="1"/>
      </w:numPr>
      <w:contextualSpacing/>
    </w:pPr>
  </w:style>
  <w:style w:type="paragraph" w:styleId="ListBullet2">
    <w:name w:val="List Bullet 2"/>
    <w:basedOn w:val="Normal"/>
    <w:uiPriority w:val="99"/>
    <w:semiHidden/>
    <w:unhideWhenUsed/>
    <w:rsid w:val="00B54C95"/>
    <w:pPr>
      <w:numPr>
        <w:numId w:val="2"/>
      </w:numPr>
      <w:contextualSpacing/>
    </w:pPr>
  </w:style>
  <w:style w:type="paragraph" w:styleId="ListBullet3">
    <w:name w:val="List Bullet 3"/>
    <w:basedOn w:val="Normal"/>
    <w:uiPriority w:val="99"/>
    <w:semiHidden/>
    <w:unhideWhenUsed/>
    <w:rsid w:val="00B54C95"/>
    <w:pPr>
      <w:numPr>
        <w:numId w:val="3"/>
      </w:numPr>
      <w:contextualSpacing/>
    </w:pPr>
  </w:style>
  <w:style w:type="paragraph" w:styleId="ListBullet4">
    <w:name w:val="List Bullet 4"/>
    <w:basedOn w:val="Normal"/>
    <w:uiPriority w:val="99"/>
    <w:semiHidden/>
    <w:unhideWhenUsed/>
    <w:rsid w:val="00B54C95"/>
    <w:pPr>
      <w:numPr>
        <w:numId w:val="4"/>
      </w:numPr>
      <w:contextualSpacing/>
    </w:pPr>
  </w:style>
  <w:style w:type="paragraph" w:styleId="ListBullet5">
    <w:name w:val="List Bullet 5"/>
    <w:basedOn w:val="Normal"/>
    <w:uiPriority w:val="99"/>
    <w:semiHidden/>
    <w:unhideWhenUsed/>
    <w:rsid w:val="00B54C95"/>
    <w:pPr>
      <w:numPr>
        <w:numId w:val="5"/>
      </w:numPr>
      <w:contextualSpacing/>
    </w:pPr>
  </w:style>
  <w:style w:type="paragraph" w:styleId="ListContinue">
    <w:name w:val="List Continue"/>
    <w:basedOn w:val="Normal"/>
    <w:uiPriority w:val="99"/>
    <w:semiHidden/>
    <w:unhideWhenUsed/>
    <w:rsid w:val="00B54C95"/>
    <w:pPr>
      <w:spacing w:after="120"/>
      <w:ind w:left="360"/>
      <w:contextualSpacing/>
    </w:pPr>
  </w:style>
  <w:style w:type="paragraph" w:styleId="ListContinue2">
    <w:name w:val="List Continue 2"/>
    <w:basedOn w:val="Normal"/>
    <w:uiPriority w:val="99"/>
    <w:semiHidden/>
    <w:unhideWhenUsed/>
    <w:rsid w:val="00B54C95"/>
    <w:pPr>
      <w:spacing w:after="120"/>
      <w:ind w:left="720"/>
      <w:contextualSpacing/>
    </w:pPr>
  </w:style>
  <w:style w:type="paragraph" w:styleId="ListContinue3">
    <w:name w:val="List Continue 3"/>
    <w:basedOn w:val="Normal"/>
    <w:uiPriority w:val="99"/>
    <w:semiHidden/>
    <w:unhideWhenUsed/>
    <w:rsid w:val="00B54C95"/>
    <w:pPr>
      <w:spacing w:after="120"/>
      <w:ind w:left="1080"/>
      <w:contextualSpacing/>
    </w:pPr>
  </w:style>
  <w:style w:type="paragraph" w:styleId="ListContinue4">
    <w:name w:val="List Continue 4"/>
    <w:basedOn w:val="Normal"/>
    <w:uiPriority w:val="99"/>
    <w:semiHidden/>
    <w:unhideWhenUsed/>
    <w:rsid w:val="00B54C95"/>
    <w:pPr>
      <w:spacing w:after="120"/>
      <w:ind w:left="1440"/>
      <w:contextualSpacing/>
    </w:pPr>
  </w:style>
  <w:style w:type="paragraph" w:styleId="ListContinue5">
    <w:name w:val="List Continue 5"/>
    <w:basedOn w:val="Normal"/>
    <w:uiPriority w:val="99"/>
    <w:semiHidden/>
    <w:unhideWhenUsed/>
    <w:rsid w:val="00B54C95"/>
    <w:pPr>
      <w:spacing w:after="120"/>
      <w:ind w:left="1800"/>
      <w:contextualSpacing/>
    </w:pPr>
  </w:style>
  <w:style w:type="paragraph" w:styleId="ListNumber">
    <w:name w:val="List Number"/>
    <w:basedOn w:val="Normal"/>
    <w:uiPriority w:val="99"/>
    <w:semiHidden/>
    <w:unhideWhenUsed/>
    <w:rsid w:val="00B54C95"/>
    <w:pPr>
      <w:numPr>
        <w:numId w:val="6"/>
      </w:numPr>
      <w:contextualSpacing/>
    </w:pPr>
  </w:style>
  <w:style w:type="paragraph" w:styleId="ListNumber2">
    <w:name w:val="List Number 2"/>
    <w:basedOn w:val="Normal"/>
    <w:uiPriority w:val="99"/>
    <w:semiHidden/>
    <w:unhideWhenUsed/>
    <w:rsid w:val="00B54C95"/>
    <w:pPr>
      <w:numPr>
        <w:numId w:val="7"/>
      </w:numPr>
      <w:contextualSpacing/>
    </w:pPr>
  </w:style>
  <w:style w:type="paragraph" w:styleId="ListNumber3">
    <w:name w:val="List Number 3"/>
    <w:basedOn w:val="Normal"/>
    <w:uiPriority w:val="99"/>
    <w:semiHidden/>
    <w:unhideWhenUsed/>
    <w:rsid w:val="00B54C95"/>
    <w:pPr>
      <w:numPr>
        <w:numId w:val="8"/>
      </w:numPr>
      <w:contextualSpacing/>
    </w:pPr>
  </w:style>
  <w:style w:type="paragraph" w:styleId="ListNumber4">
    <w:name w:val="List Number 4"/>
    <w:basedOn w:val="Normal"/>
    <w:uiPriority w:val="99"/>
    <w:semiHidden/>
    <w:unhideWhenUsed/>
    <w:rsid w:val="00B54C95"/>
    <w:pPr>
      <w:numPr>
        <w:numId w:val="9"/>
      </w:numPr>
      <w:contextualSpacing/>
    </w:pPr>
  </w:style>
  <w:style w:type="paragraph" w:styleId="ListNumber5">
    <w:name w:val="List Number 5"/>
    <w:basedOn w:val="Normal"/>
    <w:uiPriority w:val="99"/>
    <w:semiHidden/>
    <w:unhideWhenUsed/>
    <w:rsid w:val="00B54C95"/>
    <w:pPr>
      <w:numPr>
        <w:numId w:val="10"/>
      </w:numPr>
      <w:contextualSpacing/>
    </w:pPr>
  </w:style>
  <w:style w:type="paragraph" w:styleId="MacroText">
    <w:name w:val="macro"/>
    <w:link w:val="MacroTextChar"/>
    <w:uiPriority w:val="99"/>
    <w:semiHidden/>
    <w:unhideWhenUsed/>
    <w:rsid w:val="00B54C95"/>
    <w:pPr>
      <w:tabs>
        <w:tab w:val="left" w:pos="480"/>
        <w:tab w:val="left" w:pos="960"/>
        <w:tab w:val="left" w:pos="1440"/>
        <w:tab w:val="left" w:pos="1920"/>
        <w:tab w:val="left" w:pos="2400"/>
        <w:tab w:val="left" w:pos="2880"/>
        <w:tab w:val="left" w:pos="3360"/>
        <w:tab w:val="left" w:pos="3840"/>
        <w:tab w:val="left" w:pos="4320"/>
      </w:tabs>
      <w:spacing w:line="259" w:lineRule="auto"/>
    </w:pPr>
    <w:rPr>
      <w:rFonts w:ascii="Consolas" w:hAnsi="Consolas"/>
      <w:kern w:val="2"/>
      <w14:ligatures w14:val="standardContextual"/>
    </w:rPr>
  </w:style>
  <w:style w:type="character" w:customStyle="1" w:styleId="MacroTextChar">
    <w:name w:val="Macro Text Char"/>
    <w:basedOn w:val="DefaultParagraphFont"/>
    <w:link w:val="MacroText"/>
    <w:uiPriority w:val="99"/>
    <w:semiHidden/>
    <w:rsid w:val="00B54C95"/>
    <w:rPr>
      <w:rFonts w:ascii="Consolas" w:hAnsi="Consolas"/>
      <w:kern w:val="2"/>
      <w14:ligatures w14:val="standardContextual"/>
    </w:rPr>
  </w:style>
  <w:style w:type="paragraph" w:styleId="MessageHeader">
    <w:name w:val="Message Header"/>
    <w:basedOn w:val="Normal"/>
    <w:link w:val="MessageHeaderChar"/>
    <w:uiPriority w:val="99"/>
    <w:semiHidden/>
    <w:unhideWhenUsed/>
    <w:rsid w:val="00B54C95"/>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B54C95"/>
    <w:rPr>
      <w:rFonts w:asciiTheme="majorHAnsi" w:eastAsiaTheme="majorEastAsia" w:hAnsiTheme="majorHAnsi" w:cstheme="majorBidi"/>
      <w:kern w:val="2"/>
      <w:sz w:val="24"/>
      <w:szCs w:val="24"/>
      <w:shd w:val="pct20" w:color="auto" w:fill="auto"/>
      <w14:ligatures w14:val="standardContextual"/>
    </w:rPr>
  </w:style>
  <w:style w:type="paragraph" w:styleId="NoSpacing">
    <w:name w:val="No Spacing"/>
    <w:uiPriority w:val="99"/>
    <w:rsid w:val="00B54C95"/>
    <w:rPr>
      <w:kern w:val="2"/>
      <w:sz w:val="22"/>
      <w:szCs w:val="22"/>
      <w14:ligatures w14:val="standardContextual"/>
    </w:rPr>
  </w:style>
  <w:style w:type="paragraph" w:styleId="NormalIndent">
    <w:name w:val="Normal Indent"/>
    <w:basedOn w:val="Normal"/>
    <w:uiPriority w:val="99"/>
    <w:semiHidden/>
    <w:unhideWhenUsed/>
    <w:rsid w:val="00B54C95"/>
    <w:pPr>
      <w:ind w:left="720"/>
    </w:pPr>
  </w:style>
  <w:style w:type="paragraph" w:styleId="NoteHeading">
    <w:name w:val="Note Heading"/>
    <w:basedOn w:val="Normal"/>
    <w:next w:val="Normal"/>
    <w:link w:val="NoteHeadingChar"/>
    <w:uiPriority w:val="99"/>
    <w:semiHidden/>
    <w:unhideWhenUsed/>
    <w:rsid w:val="00B54C95"/>
    <w:pPr>
      <w:spacing w:after="0" w:line="240" w:lineRule="auto"/>
    </w:pPr>
  </w:style>
  <w:style w:type="character" w:customStyle="1" w:styleId="NoteHeadingChar">
    <w:name w:val="Note Heading Char"/>
    <w:basedOn w:val="DefaultParagraphFont"/>
    <w:link w:val="NoteHeading"/>
    <w:uiPriority w:val="99"/>
    <w:semiHidden/>
    <w:rsid w:val="00B54C95"/>
    <w:rPr>
      <w:kern w:val="2"/>
      <w:sz w:val="22"/>
      <w:szCs w:val="22"/>
      <w14:ligatures w14:val="standardContextual"/>
    </w:rPr>
  </w:style>
  <w:style w:type="paragraph" w:styleId="PlainText">
    <w:name w:val="Plain Text"/>
    <w:basedOn w:val="Normal"/>
    <w:link w:val="PlainTextChar"/>
    <w:uiPriority w:val="99"/>
    <w:semiHidden/>
    <w:unhideWhenUsed/>
    <w:rsid w:val="00B54C9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B54C95"/>
    <w:rPr>
      <w:rFonts w:ascii="Consolas" w:hAnsi="Consolas"/>
      <w:kern w:val="2"/>
      <w:sz w:val="21"/>
      <w:szCs w:val="21"/>
      <w14:ligatures w14:val="standardContextual"/>
    </w:rPr>
  </w:style>
  <w:style w:type="paragraph" w:styleId="Quote">
    <w:name w:val="Quote"/>
    <w:basedOn w:val="Normal"/>
    <w:next w:val="Normal"/>
    <w:link w:val="QuoteChar"/>
    <w:uiPriority w:val="99"/>
    <w:rsid w:val="00B54C95"/>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99"/>
    <w:rsid w:val="00B54C95"/>
    <w:rPr>
      <w:i/>
      <w:iCs/>
      <w:color w:val="404040" w:themeColor="text1" w:themeTint="BF"/>
      <w:kern w:val="2"/>
      <w:sz w:val="22"/>
      <w:szCs w:val="22"/>
      <w14:ligatures w14:val="standardContextual"/>
    </w:rPr>
  </w:style>
  <w:style w:type="paragraph" w:styleId="Salutation">
    <w:name w:val="Salutation"/>
    <w:basedOn w:val="Normal"/>
    <w:next w:val="Normal"/>
    <w:link w:val="SalutationChar"/>
    <w:uiPriority w:val="99"/>
    <w:semiHidden/>
    <w:unhideWhenUsed/>
    <w:rsid w:val="00B54C95"/>
  </w:style>
  <w:style w:type="character" w:customStyle="1" w:styleId="SalutationChar">
    <w:name w:val="Salutation Char"/>
    <w:basedOn w:val="DefaultParagraphFont"/>
    <w:link w:val="Salutation"/>
    <w:uiPriority w:val="99"/>
    <w:semiHidden/>
    <w:rsid w:val="00B54C95"/>
    <w:rPr>
      <w:kern w:val="2"/>
      <w:sz w:val="22"/>
      <w:szCs w:val="22"/>
      <w14:ligatures w14:val="standardContextual"/>
    </w:rPr>
  </w:style>
  <w:style w:type="paragraph" w:styleId="Signature">
    <w:name w:val="Signature"/>
    <w:basedOn w:val="Normal"/>
    <w:link w:val="SignatureChar"/>
    <w:uiPriority w:val="99"/>
    <w:semiHidden/>
    <w:unhideWhenUsed/>
    <w:rsid w:val="00B54C95"/>
    <w:pPr>
      <w:spacing w:after="0" w:line="240" w:lineRule="auto"/>
      <w:ind w:left="4320"/>
    </w:pPr>
  </w:style>
  <w:style w:type="character" w:customStyle="1" w:styleId="SignatureChar">
    <w:name w:val="Signature Char"/>
    <w:basedOn w:val="DefaultParagraphFont"/>
    <w:link w:val="Signature"/>
    <w:uiPriority w:val="99"/>
    <w:semiHidden/>
    <w:rsid w:val="00B54C95"/>
    <w:rPr>
      <w:kern w:val="2"/>
      <w:sz w:val="22"/>
      <w:szCs w:val="22"/>
      <w14:ligatures w14:val="standardContextual"/>
    </w:rPr>
  </w:style>
  <w:style w:type="paragraph" w:styleId="Subtitle">
    <w:name w:val="Subtitle"/>
    <w:basedOn w:val="Normal"/>
    <w:next w:val="Normal"/>
    <w:link w:val="SubtitleChar"/>
    <w:uiPriority w:val="11"/>
    <w:qFormat/>
    <w:rsid w:val="00B54C9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54C95"/>
    <w:rPr>
      <w:rFonts w:eastAsiaTheme="minorEastAsia"/>
      <w:color w:val="5A5A5A" w:themeColor="text1" w:themeTint="A5"/>
      <w:spacing w:val="15"/>
      <w:kern w:val="2"/>
      <w:sz w:val="22"/>
      <w:szCs w:val="22"/>
      <w14:ligatures w14:val="standardContextual"/>
    </w:rPr>
  </w:style>
  <w:style w:type="paragraph" w:styleId="TableofAuthorities">
    <w:name w:val="table of authorities"/>
    <w:basedOn w:val="Normal"/>
    <w:next w:val="Normal"/>
    <w:uiPriority w:val="99"/>
    <w:semiHidden/>
    <w:unhideWhenUsed/>
    <w:rsid w:val="00B54C95"/>
    <w:pPr>
      <w:spacing w:after="0"/>
      <w:ind w:left="220" w:hanging="220"/>
    </w:pPr>
  </w:style>
  <w:style w:type="paragraph" w:styleId="TableofFigures">
    <w:name w:val="table of figures"/>
    <w:basedOn w:val="Normal"/>
    <w:next w:val="Normal"/>
    <w:uiPriority w:val="99"/>
    <w:semiHidden/>
    <w:unhideWhenUsed/>
    <w:rsid w:val="00B54C95"/>
    <w:pPr>
      <w:spacing w:after="0"/>
    </w:pPr>
  </w:style>
  <w:style w:type="paragraph" w:styleId="Title">
    <w:name w:val="Title"/>
    <w:basedOn w:val="Normal"/>
    <w:next w:val="Normal"/>
    <w:link w:val="TitleChar"/>
    <w:uiPriority w:val="10"/>
    <w:qFormat/>
    <w:rsid w:val="00B54C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4C95"/>
    <w:rPr>
      <w:rFonts w:asciiTheme="majorHAnsi" w:eastAsiaTheme="majorEastAsia" w:hAnsiTheme="majorHAnsi" w:cstheme="majorBidi"/>
      <w:spacing w:val="-10"/>
      <w:kern w:val="28"/>
      <w:sz w:val="56"/>
      <w:szCs w:val="56"/>
      <w14:ligatures w14:val="standardContextual"/>
    </w:rPr>
  </w:style>
  <w:style w:type="paragraph" w:styleId="TOAHeading">
    <w:name w:val="toa heading"/>
    <w:basedOn w:val="Normal"/>
    <w:next w:val="Normal"/>
    <w:uiPriority w:val="99"/>
    <w:semiHidden/>
    <w:unhideWhenUsed/>
    <w:rsid w:val="00B54C95"/>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unhideWhenUsed/>
    <w:rsid w:val="00B54C95"/>
    <w:pPr>
      <w:spacing w:after="100"/>
    </w:pPr>
  </w:style>
  <w:style w:type="paragraph" w:styleId="TOC2">
    <w:name w:val="toc 2"/>
    <w:basedOn w:val="Normal"/>
    <w:next w:val="Normal"/>
    <w:autoRedefine/>
    <w:uiPriority w:val="39"/>
    <w:unhideWhenUsed/>
    <w:rsid w:val="00B54C95"/>
    <w:pPr>
      <w:spacing w:after="100"/>
      <w:ind w:left="220"/>
    </w:pPr>
  </w:style>
  <w:style w:type="paragraph" w:styleId="TOC3">
    <w:name w:val="toc 3"/>
    <w:basedOn w:val="Normal"/>
    <w:next w:val="Normal"/>
    <w:autoRedefine/>
    <w:uiPriority w:val="39"/>
    <w:unhideWhenUsed/>
    <w:rsid w:val="00B54C95"/>
    <w:pPr>
      <w:spacing w:after="100"/>
      <w:ind w:left="440"/>
    </w:pPr>
  </w:style>
  <w:style w:type="paragraph" w:styleId="TOC4">
    <w:name w:val="toc 4"/>
    <w:basedOn w:val="Normal"/>
    <w:next w:val="Normal"/>
    <w:autoRedefine/>
    <w:uiPriority w:val="39"/>
    <w:semiHidden/>
    <w:unhideWhenUsed/>
    <w:rsid w:val="00B54C95"/>
    <w:pPr>
      <w:spacing w:after="100"/>
      <w:ind w:left="660"/>
    </w:pPr>
  </w:style>
  <w:style w:type="paragraph" w:styleId="TOC5">
    <w:name w:val="toc 5"/>
    <w:basedOn w:val="Normal"/>
    <w:next w:val="Normal"/>
    <w:autoRedefine/>
    <w:uiPriority w:val="39"/>
    <w:semiHidden/>
    <w:unhideWhenUsed/>
    <w:rsid w:val="00B54C95"/>
    <w:pPr>
      <w:spacing w:after="100"/>
      <w:ind w:left="880"/>
    </w:pPr>
  </w:style>
  <w:style w:type="paragraph" w:styleId="TOC6">
    <w:name w:val="toc 6"/>
    <w:basedOn w:val="Normal"/>
    <w:next w:val="Normal"/>
    <w:autoRedefine/>
    <w:uiPriority w:val="39"/>
    <w:semiHidden/>
    <w:unhideWhenUsed/>
    <w:rsid w:val="00B54C95"/>
    <w:pPr>
      <w:spacing w:after="100"/>
      <w:ind w:left="1100"/>
    </w:pPr>
  </w:style>
  <w:style w:type="paragraph" w:styleId="TOC7">
    <w:name w:val="toc 7"/>
    <w:basedOn w:val="Normal"/>
    <w:next w:val="Normal"/>
    <w:autoRedefine/>
    <w:uiPriority w:val="39"/>
    <w:semiHidden/>
    <w:unhideWhenUsed/>
    <w:rsid w:val="00B54C95"/>
    <w:pPr>
      <w:spacing w:after="100"/>
      <w:ind w:left="1320"/>
    </w:pPr>
  </w:style>
  <w:style w:type="paragraph" w:styleId="TOC8">
    <w:name w:val="toc 8"/>
    <w:basedOn w:val="Normal"/>
    <w:next w:val="Normal"/>
    <w:autoRedefine/>
    <w:uiPriority w:val="39"/>
    <w:semiHidden/>
    <w:unhideWhenUsed/>
    <w:rsid w:val="00B54C95"/>
    <w:pPr>
      <w:spacing w:after="100"/>
      <w:ind w:left="1540"/>
    </w:pPr>
  </w:style>
  <w:style w:type="paragraph" w:styleId="TOC9">
    <w:name w:val="toc 9"/>
    <w:basedOn w:val="Normal"/>
    <w:next w:val="Normal"/>
    <w:autoRedefine/>
    <w:uiPriority w:val="39"/>
    <w:semiHidden/>
    <w:unhideWhenUsed/>
    <w:rsid w:val="00B54C95"/>
    <w:pPr>
      <w:spacing w:after="100"/>
      <w:ind w:left="1760"/>
    </w:pPr>
  </w:style>
  <w:style w:type="paragraph" w:styleId="TOCHeading">
    <w:name w:val="TOC Heading"/>
    <w:basedOn w:val="Heading1"/>
    <w:next w:val="Normal"/>
    <w:uiPriority w:val="39"/>
    <w:unhideWhenUsed/>
    <w:qFormat/>
    <w:rsid w:val="00B54C95"/>
    <w:pPr>
      <w:outlineLvl w:val="9"/>
    </w:pPr>
    <w:rPr>
      <w:kern w:val="2"/>
      <w14:ligatures w14:val="standardContextual"/>
    </w:rPr>
  </w:style>
  <w:style w:type="character" w:customStyle="1" w:styleId="UnresolvedMention2">
    <w:name w:val="Unresolved Mention2"/>
    <w:basedOn w:val="DefaultParagraphFont"/>
    <w:uiPriority w:val="99"/>
    <w:semiHidden/>
    <w:unhideWhenUsed/>
    <w:rsid w:val="003D055C"/>
    <w:rPr>
      <w:color w:val="605E5C"/>
      <w:shd w:val="clear" w:color="auto" w:fill="E1DFDD"/>
    </w:rPr>
  </w:style>
  <w:style w:type="paragraph" w:customStyle="1" w:styleId="msonormal0">
    <w:name w:val="msonormal"/>
    <w:basedOn w:val="Normal"/>
    <w:rsid w:val="00CD5D8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D5D81"/>
    <w:rPr>
      <w:b/>
      <w:bCs/>
    </w:rPr>
  </w:style>
  <w:style w:type="table" w:styleId="TableGrid">
    <w:name w:val="Table Grid"/>
    <w:basedOn w:val="TableNormal"/>
    <w:uiPriority w:val="39"/>
    <w:rsid w:val="00B25B94"/>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B25B94"/>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766DFA"/>
    <w:rPr>
      <w:kern w:val="2"/>
      <w:sz w:val="22"/>
      <w:szCs w:val="22"/>
      <w14:ligatures w14:val="standardContextual"/>
    </w:rPr>
  </w:style>
  <w:style w:type="table" w:styleId="GridTable6Colorful-Accent3">
    <w:name w:val="Grid Table 6 Colorful Accent 3"/>
    <w:basedOn w:val="TableNormal"/>
    <w:uiPriority w:val="51"/>
    <w:rsid w:val="00766DFA"/>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06213">
      <w:bodyDiv w:val="1"/>
      <w:marLeft w:val="0"/>
      <w:marRight w:val="0"/>
      <w:marTop w:val="0"/>
      <w:marBottom w:val="0"/>
      <w:divBdr>
        <w:top w:val="none" w:sz="0" w:space="0" w:color="auto"/>
        <w:left w:val="none" w:sz="0" w:space="0" w:color="auto"/>
        <w:bottom w:val="none" w:sz="0" w:space="0" w:color="auto"/>
        <w:right w:val="none" w:sz="0" w:space="0" w:color="auto"/>
      </w:divBdr>
    </w:div>
    <w:div w:id="173616102">
      <w:bodyDiv w:val="1"/>
      <w:marLeft w:val="0"/>
      <w:marRight w:val="0"/>
      <w:marTop w:val="0"/>
      <w:marBottom w:val="0"/>
      <w:divBdr>
        <w:top w:val="none" w:sz="0" w:space="0" w:color="auto"/>
        <w:left w:val="none" w:sz="0" w:space="0" w:color="auto"/>
        <w:bottom w:val="none" w:sz="0" w:space="0" w:color="auto"/>
        <w:right w:val="none" w:sz="0" w:space="0" w:color="auto"/>
      </w:divBdr>
    </w:div>
    <w:div w:id="180124515">
      <w:bodyDiv w:val="1"/>
      <w:marLeft w:val="0"/>
      <w:marRight w:val="0"/>
      <w:marTop w:val="0"/>
      <w:marBottom w:val="0"/>
      <w:divBdr>
        <w:top w:val="none" w:sz="0" w:space="0" w:color="auto"/>
        <w:left w:val="none" w:sz="0" w:space="0" w:color="auto"/>
        <w:bottom w:val="none" w:sz="0" w:space="0" w:color="auto"/>
        <w:right w:val="none" w:sz="0" w:space="0" w:color="auto"/>
      </w:divBdr>
    </w:div>
    <w:div w:id="187958837">
      <w:bodyDiv w:val="1"/>
      <w:marLeft w:val="0"/>
      <w:marRight w:val="0"/>
      <w:marTop w:val="0"/>
      <w:marBottom w:val="0"/>
      <w:divBdr>
        <w:top w:val="none" w:sz="0" w:space="0" w:color="auto"/>
        <w:left w:val="none" w:sz="0" w:space="0" w:color="auto"/>
        <w:bottom w:val="none" w:sz="0" w:space="0" w:color="auto"/>
        <w:right w:val="none" w:sz="0" w:space="0" w:color="auto"/>
      </w:divBdr>
    </w:div>
    <w:div w:id="257754987">
      <w:bodyDiv w:val="1"/>
      <w:marLeft w:val="0"/>
      <w:marRight w:val="0"/>
      <w:marTop w:val="0"/>
      <w:marBottom w:val="0"/>
      <w:divBdr>
        <w:top w:val="none" w:sz="0" w:space="0" w:color="auto"/>
        <w:left w:val="none" w:sz="0" w:space="0" w:color="auto"/>
        <w:bottom w:val="none" w:sz="0" w:space="0" w:color="auto"/>
        <w:right w:val="none" w:sz="0" w:space="0" w:color="auto"/>
      </w:divBdr>
    </w:div>
    <w:div w:id="309528666">
      <w:bodyDiv w:val="1"/>
      <w:marLeft w:val="0"/>
      <w:marRight w:val="0"/>
      <w:marTop w:val="0"/>
      <w:marBottom w:val="0"/>
      <w:divBdr>
        <w:top w:val="none" w:sz="0" w:space="0" w:color="auto"/>
        <w:left w:val="none" w:sz="0" w:space="0" w:color="auto"/>
        <w:bottom w:val="none" w:sz="0" w:space="0" w:color="auto"/>
        <w:right w:val="none" w:sz="0" w:space="0" w:color="auto"/>
      </w:divBdr>
    </w:div>
    <w:div w:id="382485485">
      <w:bodyDiv w:val="1"/>
      <w:marLeft w:val="0"/>
      <w:marRight w:val="0"/>
      <w:marTop w:val="0"/>
      <w:marBottom w:val="0"/>
      <w:divBdr>
        <w:top w:val="none" w:sz="0" w:space="0" w:color="auto"/>
        <w:left w:val="none" w:sz="0" w:space="0" w:color="auto"/>
        <w:bottom w:val="none" w:sz="0" w:space="0" w:color="auto"/>
        <w:right w:val="none" w:sz="0" w:space="0" w:color="auto"/>
      </w:divBdr>
    </w:div>
    <w:div w:id="382558657">
      <w:bodyDiv w:val="1"/>
      <w:marLeft w:val="0"/>
      <w:marRight w:val="0"/>
      <w:marTop w:val="0"/>
      <w:marBottom w:val="0"/>
      <w:divBdr>
        <w:top w:val="none" w:sz="0" w:space="0" w:color="auto"/>
        <w:left w:val="none" w:sz="0" w:space="0" w:color="auto"/>
        <w:bottom w:val="none" w:sz="0" w:space="0" w:color="auto"/>
        <w:right w:val="none" w:sz="0" w:space="0" w:color="auto"/>
      </w:divBdr>
    </w:div>
    <w:div w:id="408819403">
      <w:bodyDiv w:val="1"/>
      <w:marLeft w:val="0"/>
      <w:marRight w:val="0"/>
      <w:marTop w:val="0"/>
      <w:marBottom w:val="0"/>
      <w:divBdr>
        <w:top w:val="none" w:sz="0" w:space="0" w:color="auto"/>
        <w:left w:val="none" w:sz="0" w:space="0" w:color="auto"/>
        <w:bottom w:val="none" w:sz="0" w:space="0" w:color="auto"/>
        <w:right w:val="none" w:sz="0" w:space="0" w:color="auto"/>
      </w:divBdr>
    </w:div>
    <w:div w:id="435560182">
      <w:bodyDiv w:val="1"/>
      <w:marLeft w:val="0"/>
      <w:marRight w:val="0"/>
      <w:marTop w:val="0"/>
      <w:marBottom w:val="0"/>
      <w:divBdr>
        <w:top w:val="none" w:sz="0" w:space="0" w:color="auto"/>
        <w:left w:val="none" w:sz="0" w:space="0" w:color="auto"/>
        <w:bottom w:val="none" w:sz="0" w:space="0" w:color="auto"/>
        <w:right w:val="none" w:sz="0" w:space="0" w:color="auto"/>
      </w:divBdr>
    </w:div>
    <w:div w:id="490831220">
      <w:bodyDiv w:val="1"/>
      <w:marLeft w:val="0"/>
      <w:marRight w:val="0"/>
      <w:marTop w:val="0"/>
      <w:marBottom w:val="0"/>
      <w:divBdr>
        <w:top w:val="none" w:sz="0" w:space="0" w:color="auto"/>
        <w:left w:val="none" w:sz="0" w:space="0" w:color="auto"/>
        <w:bottom w:val="none" w:sz="0" w:space="0" w:color="auto"/>
        <w:right w:val="none" w:sz="0" w:space="0" w:color="auto"/>
      </w:divBdr>
    </w:div>
    <w:div w:id="562763123">
      <w:bodyDiv w:val="1"/>
      <w:marLeft w:val="0"/>
      <w:marRight w:val="0"/>
      <w:marTop w:val="0"/>
      <w:marBottom w:val="0"/>
      <w:divBdr>
        <w:top w:val="none" w:sz="0" w:space="0" w:color="auto"/>
        <w:left w:val="none" w:sz="0" w:space="0" w:color="auto"/>
        <w:bottom w:val="none" w:sz="0" w:space="0" w:color="auto"/>
        <w:right w:val="none" w:sz="0" w:space="0" w:color="auto"/>
      </w:divBdr>
    </w:div>
    <w:div w:id="574322950">
      <w:bodyDiv w:val="1"/>
      <w:marLeft w:val="0"/>
      <w:marRight w:val="0"/>
      <w:marTop w:val="0"/>
      <w:marBottom w:val="0"/>
      <w:divBdr>
        <w:top w:val="none" w:sz="0" w:space="0" w:color="auto"/>
        <w:left w:val="none" w:sz="0" w:space="0" w:color="auto"/>
        <w:bottom w:val="none" w:sz="0" w:space="0" w:color="auto"/>
        <w:right w:val="none" w:sz="0" w:space="0" w:color="auto"/>
      </w:divBdr>
    </w:div>
    <w:div w:id="685447981">
      <w:bodyDiv w:val="1"/>
      <w:marLeft w:val="0"/>
      <w:marRight w:val="0"/>
      <w:marTop w:val="0"/>
      <w:marBottom w:val="0"/>
      <w:divBdr>
        <w:top w:val="none" w:sz="0" w:space="0" w:color="auto"/>
        <w:left w:val="none" w:sz="0" w:space="0" w:color="auto"/>
        <w:bottom w:val="none" w:sz="0" w:space="0" w:color="auto"/>
        <w:right w:val="none" w:sz="0" w:space="0" w:color="auto"/>
      </w:divBdr>
    </w:div>
    <w:div w:id="729154197">
      <w:bodyDiv w:val="1"/>
      <w:marLeft w:val="0"/>
      <w:marRight w:val="0"/>
      <w:marTop w:val="0"/>
      <w:marBottom w:val="0"/>
      <w:divBdr>
        <w:top w:val="none" w:sz="0" w:space="0" w:color="auto"/>
        <w:left w:val="none" w:sz="0" w:space="0" w:color="auto"/>
        <w:bottom w:val="none" w:sz="0" w:space="0" w:color="auto"/>
        <w:right w:val="none" w:sz="0" w:space="0" w:color="auto"/>
      </w:divBdr>
    </w:div>
    <w:div w:id="772823258">
      <w:bodyDiv w:val="1"/>
      <w:marLeft w:val="0"/>
      <w:marRight w:val="0"/>
      <w:marTop w:val="0"/>
      <w:marBottom w:val="0"/>
      <w:divBdr>
        <w:top w:val="none" w:sz="0" w:space="0" w:color="auto"/>
        <w:left w:val="none" w:sz="0" w:space="0" w:color="auto"/>
        <w:bottom w:val="none" w:sz="0" w:space="0" w:color="auto"/>
        <w:right w:val="none" w:sz="0" w:space="0" w:color="auto"/>
      </w:divBdr>
    </w:div>
    <w:div w:id="817266427">
      <w:bodyDiv w:val="1"/>
      <w:marLeft w:val="0"/>
      <w:marRight w:val="0"/>
      <w:marTop w:val="0"/>
      <w:marBottom w:val="0"/>
      <w:divBdr>
        <w:top w:val="none" w:sz="0" w:space="0" w:color="auto"/>
        <w:left w:val="none" w:sz="0" w:space="0" w:color="auto"/>
        <w:bottom w:val="none" w:sz="0" w:space="0" w:color="auto"/>
        <w:right w:val="none" w:sz="0" w:space="0" w:color="auto"/>
      </w:divBdr>
    </w:div>
    <w:div w:id="869879941">
      <w:bodyDiv w:val="1"/>
      <w:marLeft w:val="0"/>
      <w:marRight w:val="0"/>
      <w:marTop w:val="0"/>
      <w:marBottom w:val="0"/>
      <w:divBdr>
        <w:top w:val="none" w:sz="0" w:space="0" w:color="auto"/>
        <w:left w:val="none" w:sz="0" w:space="0" w:color="auto"/>
        <w:bottom w:val="none" w:sz="0" w:space="0" w:color="auto"/>
        <w:right w:val="none" w:sz="0" w:space="0" w:color="auto"/>
      </w:divBdr>
    </w:div>
    <w:div w:id="870218475">
      <w:bodyDiv w:val="1"/>
      <w:marLeft w:val="0"/>
      <w:marRight w:val="0"/>
      <w:marTop w:val="0"/>
      <w:marBottom w:val="0"/>
      <w:divBdr>
        <w:top w:val="none" w:sz="0" w:space="0" w:color="auto"/>
        <w:left w:val="none" w:sz="0" w:space="0" w:color="auto"/>
        <w:bottom w:val="none" w:sz="0" w:space="0" w:color="auto"/>
        <w:right w:val="none" w:sz="0" w:space="0" w:color="auto"/>
      </w:divBdr>
    </w:div>
    <w:div w:id="874659543">
      <w:bodyDiv w:val="1"/>
      <w:marLeft w:val="0"/>
      <w:marRight w:val="0"/>
      <w:marTop w:val="0"/>
      <w:marBottom w:val="0"/>
      <w:divBdr>
        <w:top w:val="none" w:sz="0" w:space="0" w:color="auto"/>
        <w:left w:val="none" w:sz="0" w:space="0" w:color="auto"/>
        <w:bottom w:val="none" w:sz="0" w:space="0" w:color="auto"/>
        <w:right w:val="none" w:sz="0" w:space="0" w:color="auto"/>
      </w:divBdr>
    </w:div>
    <w:div w:id="931863018">
      <w:bodyDiv w:val="1"/>
      <w:marLeft w:val="0"/>
      <w:marRight w:val="0"/>
      <w:marTop w:val="0"/>
      <w:marBottom w:val="0"/>
      <w:divBdr>
        <w:top w:val="none" w:sz="0" w:space="0" w:color="auto"/>
        <w:left w:val="none" w:sz="0" w:space="0" w:color="auto"/>
        <w:bottom w:val="none" w:sz="0" w:space="0" w:color="auto"/>
        <w:right w:val="none" w:sz="0" w:space="0" w:color="auto"/>
      </w:divBdr>
    </w:div>
    <w:div w:id="963652085">
      <w:bodyDiv w:val="1"/>
      <w:marLeft w:val="0"/>
      <w:marRight w:val="0"/>
      <w:marTop w:val="0"/>
      <w:marBottom w:val="0"/>
      <w:divBdr>
        <w:top w:val="none" w:sz="0" w:space="0" w:color="auto"/>
        <w:left w:val="none" w:sz="0" w:space="0" w:color="auto"/>
        <w:bottom w:val="none" w:sz="0" w:space="0" w:color="auto"/>
        <w:right w:val="none" w:sz="0" w:space="0" w:color="auto"/>
      </w:divBdr>
    </w:div>
    <w:div w:id="964313540">
      <w:bodyDiv w:val="1"/>
      <w:marLeft w:val="0"/>
      <w:marRight w:val="0"/>
      <w:marTop w:val="0"/>
      <w:marBottom w:val="0"/>
      <w:divBdr>
        <w:top w:val="none" w:sz="0" w:space="0" w:color="auto"/>
        <w:left w:val="none" w:sz="0" w:space="0" w:color="auto"/>
        <w:bottom w:val="none" w:sz="0" w:space="0" w:color="auto"/>
        <w:right w:val="none" w:sz="0" w:space="0" w:color="auto"/>
      </w:divBdr>
    </w:div>
    <w:div w:id="971058672">
      <w:bodyDiv w:val="1"/>
      <w:marLeft w:val="0"/>
      <w:marRight w:val="0"/>
      <w:marTop w:val="0"/>
      <w:marBottom w:val="0"/>
      <w:divBdr>
        <w:top w:val="none" w:sz="0" w:space="0" w:color="auto"/>
        <w:left w:val="none" w:sz="0" w:space="0" w:color="auto"/>
        <w:bottom w:val="none" w:sz="0" w:space="0" w:color="auto"/>
        <w:right w:val="none" w:sz="0" w:space="0" w:color="auto"/>
      </w:divBdr>
    </w:div>
    <w:div w:id="1014957621">
      <w:bodyDiv w:val="1"/>
      <w:marLeft w:val="0"/>
      <w:marRight w:val="0"/>
      <w:marTop w:val="0"/>
      <w:marBottom w:val="0"/>
      <w:divBdr>
        <w:top w:val="none" w:sz="0" w:space="0" w:color="auto"/>
        <w:left w:val="none" w:sz="0" w:space="0" w:color="auto"/>
        <w:bottom w:val="none" w:sz="0" w:space="0" w:color="auto"/>
        <w:right w:val="none" w:sz="0" w:space="0" w:color="auto"/>
      </w:divBdr>
    </w:div>
    <w:div w:id="1208954782">
      <w:bodyDiv w:val="1"/>
      <w:marLeft w:val="0"/>
      <w:marRight w:val="0"/>
      <w:marTop w:val="0"/>
      <w:marBottom w:val="0"/>
      <w:divBdr>
        <w:top w:val="none" w:sz="0" w:space="0" w:color="auto"/>
        <w:left w:val="none" w:sz="0" w:space="0" w:color="auto"/>
        <w:bottom w:val="none" w:sz="0" w:space="0" w:color="auto"/>
        <w:right w:val="none" w:sz="0" w:space="0" w:color="auto"/>
      </w:divBdr>
    </w:div>
    <w:div w:id="1232043244">
      <w:bodyDiv w:val="1"/>
      <w:marLeft w:val="0"/>
      <w:marRight w:val="0"/>
      <w:marTop w:val="0"/>
      <w:marBottom w:val="0"/>
      <w:divBdr>
        <w:top w:val="none" w:sz="0" w:space="0" w:color="auto"/>
        <w:left w:val="none" w:sz="0" w:space="0" w:color="auto"/>
        <w:bottom w:val="none" w:sz="0" w:space="0" w:color="auto"/>
        <w:right w:val="none" w:sz="0" w:space="0" w:color="auto"/>
      </w:divBdr>
    </w:div>
    <w:div w:id="1240866458">
      <w:bodyDiv w:val="1"/>
      <w:marLeft w:val="0"/>
      <w:marRight w:val="0"/>
      <w:marTop w:val="0"/>
      <w:marBottom w:val="0"/>
      <w:divBdr>
        <w:top w:val="none" w:sz="0" w:space="0" w:color="auto"/>
        <w:left w:val="none" w:sz="0" w:space="0" w:color="auto"/>
        <w:bottom w:val="none" w:sz="0" w:space="0" w:color="auto"/>
        <w:right w:val="none" w:sz="0" w:space="0" w:color="auto"/>
      </w:divBdr>
    </w:div>
    <w:div w:id="1259754453">
      <w:bodyDiv w:val="1"/>
      <w:marLeft w:val="0"/>
      <w:marRight w:val="0"/>
      <w:marTop w:val="0"/>
      <w:marBottom w:val="0"/>
      <w:divBdr>
        <w:top w:val="none" w:sz="0" w:space="0" w:color="auto"/>
        <w:left w:val="none" w:sz="0" w:space="0" w:color="auto"/>
        <w:bottom w:val="none" w:sz="0" w:space="0" w:color="auto"/>
        <w:right w:val="none" w:sz="0" w:space="0" w:color="auto"/>
      </w:divBdr>
    </w:div>
    <w:div w:id="1363283877">
      <w:bodyDiv w:val="1"/>
      <w:marLeft w:val="0"/>
      <w:marRight w:val="0"/>
      <w:marTop w:val="0"/>
      <w:marBottom w:val="0"/>
      <w:divBdr>
        <w:top w:val="none" w:sz="0" w:space="0" w:color="auto"/>
        <w:left w:val="none" w:sz="0" w:space="0" w:color="auto"/>
        <w:bottom w:val="none" w:sz="0" w:space="0" w:color="auto"/>
        <w:right w:val="none" w:sz="0" w:space="0" w:color="auto"/>
      </w:divBdr>
    </w:div>
    <w:div w:id="1365666958">
      <w:bodyDiv w:val="1"/>
      <w:marLeft w:val="0"/>
      <w:marRight w:val="0"/>
      <w:marTop w:val="0"/>
      <w:marBottom w:val="0"/>
      <w:divBdr>
        <w:top w:val="none" w:sz="0" w:space="0" w:color="auto"/>
        <w:left w:val="none" w:sz="0" w:space="0" w:color="auto"/>
        <w:bottom w:val="none" w:sz="0" w:space="0" w:color="auto"/>
        <w:right w:val="none" w:sz="0" w:space="0" w:color="auto"/>
      </w:divBdr>
    </w:div>
    <w:div w:id="1381398331">
      <w:bodyDiv w:val="1"/>
      <w:marLeft w:val="0"/>
      <w:marRight w:val="0"/>
      <w:marTop w:val="0"/>
      <w:marBottom w:val="0"/>
      <w:divBdr>
        <w:top w:val="none" w:sz="0" w:space="0" w:color="auto"/>
        <w:left w:val="none" w:sz="0" w:space="0" w:color="auto"/>
        <w:bottom w:val="none" w:sz="0" w:space="0" w:color="auto"/>
        <w:right w:val="none" w:sz="0" w:space="0" w:color="auto"/>
      </w:divBdr>
    </w:div>
    <w:div w:id="1396733415">
      <w:bodyDiv w:val="1"/>
      <w:marLeft w:val="0"/>
      <w:marRight w:val="0"/>
      <w:marTop w:val="0"/>
      <w:marBottom w:val="0"/>
      <w:divBdr>
        <w:top w:val="none" w:sz="0" w:space="0" w:color="auto"/>
        <w:left w:val="none" w:sz="0" w:space="0" w:color="auto"/>
        <w:bottom w:val="none" w:sz="0" w:space="0" w:color="auto"/>
        <w:right w:val="none" w:sz="0" w:space="0" w:color="auto"/>
      </w:divBdr>
    </w:div>
    <w:div w:id="1495415713">
      <w:bodyDiv w:val="1"/>
      <w:marLeft w:val="0"/>
      <w:marRight w:val="0"/>
      <w:marTop w:val="0"/>
      <w:marBottom w:val="0"/>
      <w:divBdr>
        <w:top w:val="none" w:sz="0" w:space="0" w:color="auto"/>
        <w:left w:val="none" w:sz="0" w:space="0" w:color="auto"/>
        <w:bottom w:val="none" w:sz="0" w:space="0" w:color="auto"/>
        <w:right w:val="none" w:sz="0" w:space="0" w:color="auto"/>
      </w:divBdr>
    </w:div>
    <w:div w:id="1565989387">
      <w:bodyDiv w:val="1"/>
      <w:marLeft w:val="0"/>
      <w:marRight w:val="0"/>
      <w:marTop w:val="0"/>
      <w:marBottom w:val="0"/>
      <w:divBdr>
        <w:top w:val="none" w:sz="0" w:space="0" w:color="auto"/>
        <w:left w:val="none" w:sz="0" w:space="0" w:color="auto"/>
        <w:bottom w:val="none" w:sz="0" w:space="0" w:color="auto"/>
        <w:right w:val="none" w:sz="0" w:space="0" w:color="auto"/>
      </w:divBdr>
    </w:div>
    <w:div w:id="1575774637">
      <w:bodyDiv w:val="1"/>
      <w:marLeft w:val="0"/>
      <w:marRight w:val="0"/>
      <w:marTop w:val="0"/>
      <w:marBottom w:val="0"/>
      <w:divBdr>
        <w:top w:val="none" w:sz="0" w:space="0" w:color="auto"/>
        <w:left w:val="none" w:sz="0" w:space="0" w:color="auto"/>
        <w:bottom w:val="none" w:sz="0" w:space="0" w:color="auto"/>
        <w:right w:val="none" w:sz="0" w:space="0" w:color="auto"/>
      </w:divBdr>
    </w:div>
    <w:div w:id="1583029334">
      <w:bodyDiv w:val="1"/>
      <w:marLeft w:val="0"/>
      <w:marRight w:val="0"/>
      <w:marTop w:val="0"/>
      <w:marBottom w:val="0"/>
      <w:divBdr>
        <w:top w:val="none" w:sz="0" w:space="0" w:color="auto"/>
        <w:left w:val="none" w:sz="0" w:space="0" w:color="auto"/>
        <w:bottom w:val="none" w:sz="0" w:space="0" w:color="auto"/>
        <w:right w:val="none" w:sz="0" w:space="0" w:color="auto"/>
      </w:divBdr>
    </w:div>
    <w:div w:id="1745252150">
      <w:bodyDiv w:val="1"/>
      <w:marLeft w:val="0"/>
      <w:marRight w:val="0"/>
      <w:marTop w:val="0"/>
      <w:marBottom w:val="0"/>
      <w:divBdr>
        <w:top w:val="none" w:sz="0" w:space="0" w:color="auto"/>
        <w:left w:val="none" w:sz="0" w:space="0" w:color="auto"/>
        <w:bottom w:val="none" w:sz="0" w:space="0" w:color="auto"/>
        <w:right w:val="none" w:sz="0" w:space="0" w:color="auto"/>
      </w:divBdr>
    </w:div>
    <w:div w:id="1761215224">
      <w:bodyDiv w:val="1"/>
      <w:marLeft w:val="0"/>
      <w:marRight w:val="0"/>
      <w:marTop w:val="0"/>
      <w:marBottom w:val="0"/>
      <w:divBdr>
        <w:top w:val="none" w:sz="0" w:space="0" w:color="auto"/>
        <w:left w:val="none" w:sz="0" w:space="0" w:color="auto"/>
        <w:bottom w:val="none" w:sz="0" w:space="0" w:color="auto"/>
        <w:right w:val="none" w:sz="0" w:space="0" w:color="auto"/>
      </w:divBdr>
    </w:div>
    <w:div w:id="1764178708">
      <w:bodyDiv w:val="1"/>
      <w:marLeft w:val="0"/>
      <w:marRight w:val="0"/>
      <w:marTop w:val="0"/>
      <w:marBottom w:val="0"/>
      <w:divBdr>
        <w:top w:val="none" w:sz="0" w:space="0" w:color="auto"/>
        <w:left w:val="none" w:sz="0" w:space="0" w:color="auto"/>
        <w:bottom w:val="none" w:sz="0" w:space="0" w:color="auto"/>
        <w:right w:val="none" w:sz="0" w:space="0" w:color="auto"/>
      </w:divBdr>
    </w:div>
    <w:div w:id="1803884048">
      <w:bodyDiv w:val="1"/>
      <w:marLeft w:val="0"/>
      <w:marRight w:val="0"/>
      <w:marTop w:val="0"/>
      <w:marBottom w:val="0"/>
      <w:divBdr>
        <w:top w:val="none" w:sz="0" w:space="0" w:color="auto"/>
        <w:left w:val="none" w:sz="0" w:space="0" w:color="auto"/>
        <w:bottom w:val="none" w:sz="0" w:space="0" w:color="auto"/>
        <w:right w:val="none" w:sz="0" w:space="0" w:color="auto"/>
      </w:divBdr>
    </w:div>
    <w:div w:id="1843159118">
      <w:bodyDiv w:val="1"/>
      <w:marLeft w:val="0"/>
      <w:marRight w:val="0"/>
      <w:marTop w:val="0"/>
      <w:marBottom w:val="0"/>
      <w:divBdr>
        <w:top w:val="none" w:sz="0" w:space="0" w:color="auto"/>
        <w:left w:val="none" w:sz="0" w:space="0" w:color="auto"/>
        <w:bottom w:val="none" w:sz="0" w:space="0" w:color="auto"/>
        <w:right w:val="none" w:sz="0" w:space="0" w:color="auto"/>
      </w:divBdr>
    </w:div>
    <w:div w:id="1860002630">
      <w:bodyDiv w:val="1"/>
      <w:marLeft w:val="0"/>
      <w:marRight w:val="0"/>
      <w:marTop w:val="0"/>
      <w:marBottom w:val="0"/>
      <w:divBdr>
        <w:top w:val="none" w:sz="0" w:space="0" w:color="auto"/>
        <w:left w:val="none" w:sz="0" w:space="0" w:color="auto"/>
        <w:bottom w:val="none" w:sz="0" w:space="0" w:color="auto"/>
        <w:right w:val="none" w:sz="0" w:space="0" w:color="auto"/>
      </w:divBdr>
    </w:div>
    <w:div w:id="1900552526">
      <w:bodyDiv w:val="1"/>
      <w:marLeft w:val="0"/>
      <w:marRight w:val="0"/>
      <w:marTop w:val="0"/>
      <w:marBottom w:val="0"/>
      <w:divBdr>
        <w:top w:val="none" w:sz="0" w:space="0" w:color="auto"/>
        <w:left w:val="none" w:sz="0" w:space="0" w:color="auto"/>
        <w:bottom w:val="none" w:sz="0" w:space="0" w:color="auto"/>
        <w:right w:val="none" w:sz="0" w:space="0" w:color="auto"/>
      </w:divBdr>
    </w:div>
    <w:div w:id="1917670740">
      <w:bodyDiv w:val="1"/>
      <w:marLeft w:val="0"/>
      <w:marRight w:val="0"/>
      <w:marTop w:val="0"/>
      <w:marBottom w:val="0"/>
      <w:divBdr>
        <w:top w:val="none" w:sz="0" w:space="0" w:color="auto"/>
        <w:left w:val="none" w:sz="0" w:space="0" w:color="auto"/>
        <w:bottom w:val="none" w:sz="0" w:space="0" w:color="auto"/>
        <w:right w:val="none" w:sz="0" w:space="0" w:color="auto"/>
      </w:divBdr>
    </w:div>
    <w:div w:id="1928607995">
      <w:bodyDiv w:val="1"/>
      <w:marLeft w:val="0"/>
      <w:marRight w:val="0"/>
      <w:marTop w:val="0"/>
      <w:marBottom w:val="0"/>
      <w:divBdr>
        <w:top w:val="none" w:sz="0" w:space="0" w:color="auto"/>
        <w:left w:val="none" w:sz="0" w:space="0" w:color="auto"/>
        <w:bottom w:val="none" w:sz="0" w:space="0" w:color="auto"/>
        <w:right w:val="none" w:sz="0" w:space="0" w:color="auto"/>
      </w:divBdr>
    </w:div>
    <w:div w:id="1969623279">
      <w:bodyDiv w:val="1"/>
      <w:marLeft w:val="0"/>
      <w:marRight w:val="0"/>
      <w:marTop w:val="0"/>
      <w:marBottom w:val="0"/>
      <w:divBdr>
        <w:top w:val="none" w:sz="0" w:space="0" w:color="auto"/>
        <w:left w:val="none" w:sz="0" w:space="0" w:color="auto"/>
        <w:bottom w:val="none" w:sz="0" w:space="0" w:color="auto"/>
        <w:right w:val="none" w:sz="0" w:space="0" w:color="auto"/>
      </w:divBdr>
    </w:div>
    <w:div w:id="1977880156">
      <w:bodyDiv w:val="1"/>
      <w:marLeft w:val="0"/>
      <w:marRight w:val="0"/>
      <w:marTop w:val="0"/>
      <w:marBottom w:val="0"/>
      <w:divBdr>
        <w:top w:val="none" w:sz="0" w:space="0" w:color="auto"/>
        <w:left w:val="none" w:sz="0" w:space="0" w:color="auto"/>
        <w:bottom w:val="none" w:sz="0" w:space="0" w:color="auto"/>
        <w:right w:val="none" w:sz="0" w:space="0" w:color="auto"/>
      </w:divBdr>
    </w:div>
    <w:div w:id="2017345252">
      <w:bodyDiv w:val="1"/>
      <w:marLeft w:val="0"/>
      <w:marRight w:val="0"/>
      <w:marTop w:val="0"/>
      <w:marBottom w:val="0"/>
      <w:divBdr>
        <w:top w:val="none" w:sz="0" w:space="0" w:color="auto"/>
        <w:left w:val="none" w:sz="0" w:space="0" w:color="auto"/>
        <w:bottom w:val="none" w:sz="0" w:space="0" w:color="auto"/>
        <w:right w:val="none" w:sz="0" w:space="0" w:color="auto"/>
      </w:divBdr>
    </w:div>
    <w:div w:id="20957816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Lin17</b:Tag>
    <b:SourceType>InternetSite</b:SourceType>
    <b:Guid>{A3583A51-F61F-434B-8E08-87B7E10A6B87}</b:Guid>
    <b:Title>Resilience in business and management research: A review of influential publications and a research agenda</b:Title>
    <b:Year>2017</b:Year>
    <b:Author>
      <b:Author>
        <b:NameList>
          <b:Person>
            <b:Last>Linnenluecke</b:Last>
            <b:First>M.</b:First>
            <b:Middle>K.</b:Middle>
          </b:Person>
        </b:NameList>
      </b:Author>
    </b:Author>
    <b:JournalName>International Journal of Management</b:JournalName>
    <b:Pages>4-30.</b:Pages>
    <b:InternetSiteTitle>International Journal of Management Reviews,</b:InternetSiteTitle>
    <b:Month>12</b:Month>
    <b:Day>5</b:Day>
    <b:URL>https://doi.org/10.1111/ijmr.12076</b:URL>
    <b:RefOrder>7</b:RefOrder>
  </b:Source>
  <b:Source xmlns:b="http://schemas.openxmlformats.org/officeDocument/2006/bibliography">
    <b:Tag>Von78</b:Tag>
    <b:SourceType>Book</b:SourceType>
    <b:Guid>{D5CF0A84-38D5-4E78-970D-953227DD9BA5}</b:Guid>
    <b:Title>The social psychology of organizations (2nd ed.)</b:Title>
    <b:Year>1978</b:Year>
    <b:Author>
      <b:Author>
        <b:Corporate>Katz, D., &amp; Kahn, R. L.</b:Corporate>
      </b:Author>
    </b:Author>
    <b:Publisher>Wiley</b:Publisher>
    <b:RefOrder>6</b:RefOrder>
  </b:Source>
  <b:Source>
    <b:Tag>Fre18</b:Tag>
    <b:SourceType>Book</b:SourceType>
    <b:Guid>{4170B9BC-286E-48CD-84B1-0AF6BBBB2CF6}</b:Guid>
    <b:Author>
      <b:Author>
        <b:Corporate>Freeman, R. E., Harrison, J. S., &amp; Zyglidopoulos, S.</b:Corporate>
      </b:Author>
    </b:Author>
    <b:Title>Stakeholder theory: Concepts and strategies</b:Title>
    <b:Year>2018</b:Year>
    <b:Publisher>Cambridge University Press</b:Publisher>
    <b:RefOrder>5</b:RefOrder>
  </b:Source>
  <b:Source>
    <b:Tag>Bar91</b:Tag>
    <b:SourceType>JournalArticle</b:SourceType>
    <b:Guid>{8D86585E-03F0-499D-8BA5-7B96B024B630}</b:Guid>
    <b:Title>Firm resources and sustained competitive advantage</b:Title>
    <b:Year>1991</b:Year>
    <b:Pages> 99-120</b:Pages>
    <b:Author>
      <b:Author>
        <b:NameList>
          <b:Person>
            <b:Last>Barney</b:Last>
            <b:First>J.</b:First>
          </b:Person>
        </b:NameList>
      </b:Author>
    </b:Author>
    <b:JournalName>ournal of Management, 17(1)</b:JournalName>
    <b:RefOrder>4</b:RefOrder>
  </b:Source>
  <b:Source>
    <b:Tag>AlD25</b:Tag>
    <b:SourceType>JournalArticle</b:SourceType>
    <b:Guid>{D4D2930D-2B66-4D51-A2BF-09959B94197A}</b:Guid>
    <b:Author>
      <b:Author>
        <b:NameList>
          <b:Person>
            <b:Last>Al-Dosari</b:Last>
            <b:First>M.,</b:First>
            <b:Middle>&amp; Wang, X.</b:Middle>
          </b:Person>
        </b:NameList>
      </b:Author>
    </b:Author>
    <b:Title>Impact of ISO 22301 on Digital Service Supply Chain Resilience in Saudi Telecom Sector.</b:Title>
    <b:JournalName>Journal of Business Continuity &amp; Risk Management</b:JournalName>
    <b:Year>2025</b:Year>
    <b:Pages>Vol. 12, Issue 1</b:Pages>
    <b:RefOrder>1</b:RefOrder>
  </b:Source>
  <b:Source>
    <b:Tag>الج24</b:Tag>
    <b:SourceType>JournalArticle</b:SourceType>
    <b:Guid>{A27F5A28-EE34-4161-A08D-DFF1AE2971F8}</b:Guid>
    <b:Author>
      <b:Author>
        <b:NameList>
          <b:Person>
            <b:Last>سارة</b:Last>
            <b:First>الجهني،</b:First>
          </b:Person>
        </b:NameList>
      </b:Author>
    </b:Author>
    <b:Title>الذكاء الاصطناعي وإدارة المخاطر الاستباقية في قطاع الاتصالات السعودي</b:Title>
    <b:JournalName>المجلة الدولية للتحول الرقمي</b:JournalName>
    <b:Year>2024</b:Year>
    <b:Pages>المجلد 6، العدد 3</b:Pages>
    <b:RefOrder>2</b:RefOrder>
  </b:Source>
  <b:Source xmlns:b="http://schemas.openxmlformats.org/officeDocument/2006/bibliography">
    <b:Tag>هيئ26</b:Tag>
    <b:SourceType>Report</b:SourceType>
    <b:Guid>{6C130A1F-0492-4610-91E7-3AF5D432F0D9}</b:Guid>
    <b:Title>تقرير حالة نضج استمرارية الأعمال في قطاع الاتصالات والتقنية بالمملكة</b:Title>
    <b:Year>2026</b:Year>
    <b:Author>
      <b:Author>
        <b:Corporate>هيئة الاتصالات والفضاء والتقنية</b:Corporate>
      </b:Author>
    </b:Author>
    <b:Publisher>هيئة الاتصالات والفضاء والتقنية</b:Publisher>
    <b:City>الرياض</b:City>
    <b:RefOrder>3</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A495E00-2A09-4D2A-AEA6-6EF2D8B05547}">
  <ds:schemaRefs>
    <ds:schemaRef ds:uri="http://schemas.openxmlformats.org/officeDocument/2006/bibliography"/>
  </ds:schemaRefs>
</ds:datastoreItem>
</file>

<file path=customXml/itemProps4.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Metadata/LabelInfo.xml><?xml version="1.0" encoding="utf-8"?>
<clbl:labelList xmlns:clbl="http://schemas.microsoft.com/office/2020/mipLabelMetadata">
  <clbl:label id="{e04cc2d9-7942-4251-a830-ba90e308dd03}" enabled="1" method="Standard" siteId="{111483dd-9e03-417d-bd28-5866c2dddaa5}" contentBits="3" removed="0"/>
</clbl:labelList>
</file>

<file path=docProps/app.xml><?xml version="1.0" encoding="utf-8"?>
<Properties xmlns="http://schemas.openxmlformats.org/officeDocument/2006/extended-properties" xmlns:vt="http://schemas.openxmlformats.org/officeDocument/2006/docPropsVTypes">
  <Template>Normal</Template>
  <TotalTime>3</TotalTime>
  <Pages>44</Pages>
  <Words>10944</Words>
  <Characters>62387</Characters>
  <Application>Microsoft Office Word</Application>
  <DocSecurity>0</DocSecurity>
  <Lines>519</Lines>
  <Paragraphs>146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73185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h.ramadan@mobily.com.sa</dc:creator>
  <cp:lastModifiedBy>Habib Ramadan</cp:lastModifiedBy>
  <cp:revision>5</cp:revision>
  <cp:lastPrinted>2026-07-03T15:03:00Z</cp:lastPrinted>
  <dcterms:created xsi:type="dcterms:W3CDTF">2026-07-03T15:02:00Z</dcterms:created>
  <dcterms:modified xsi:type="dcterms:W3CDTF">2026-07-11T22:09:00Z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ClassificationContentMarkingHeaderShapeIds">
    <vt:lpwstr>fe96c27,3fdc8ce5,4e50d8c8</vt:lpwstr>
  </property>
  <property fmtid="{D5CDD505-2E9C-101B-9397-08002B2CF9AE}" pid="7" name="ClassificationContentMarkingHeaderFontProps">
    <vt:lpwstr>#ff8c00,11,Aptos</vt:lpwstr>
  </property>
  <property fmtid="{D5CDD505-2E9C-101B-9397-08002B2CF9AE}" pid="8" name="ClassificationContentMarkingHeaderText">
    <vt:lpwstr>Classification: Mobily CONFIDENTIAL</vt:lpwstr>
  </property>
  <property fmtid="{D5CDD505-2E9C-101B-9397-08002B2CF9AE}" pid="9" name="ClassificationContentMarkingFooterShapeIds">
    <vt:lpwstr>321df3fc,6cbef41b,5d8d852</vt:lpwstr>
  </property>
  <property fmtid="{D5CDD505-2E9C-101B-9397-08002B2CF9AE}" pid="10" name="ClassificationContentMarkingFooterFontProps">
    <vt:lpwstr>#ff8c00,11,Aptos</vt:lpwstr>
  </property>
  <property fmtid="{D5CDD505-2E9C-101B-9397-08002B2CF9AE}" pid="11" name="ClassificationContentMarkingFooterText">
    <vt:lpwstr>CONFIDENTIAL</vt:lpwstr>
  </property>
</Properties>
</file>