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775AE" w:rsidRDefault="009125CE">
      <w:pPr>
        <w:rPr>
          <w:rFonts w:asciiTheme="majorBidi" w:hAnsiTheme="majorBidi"/>
          <w:b/>
          <w:bCs/>
          <w:sz w:val="28"/>
          <w:szCs w:val="28"/>
          <w:rtl/>
          <w:lang w:val="en-AE"/>
        </w:rPr>
      </w:pPr>
      <w:r w:rsidRPr="002D35A2">
        <w:rPr>
          <w:rFonts w:asciiTheme="majorBidi" w:hAnsiTheme="majorBidi"/>
          <w:b/>
          <w:bCs/>
          <w:sz w:val="28"/>
          <w:szCs w:val="28"/>
          <w:rtl/>
          <w:lang w:bidi="ar-EG"/>
        </w:rPr>
        <w:t xml:space="preserve">جامعة </w:t>
      </w:r>
      <w:proofErr w:type="spellStart"/>
      <w:r w:rsidRPr="002D35A2">
        <w:rPr>
          <w:rFonts w:asciiTheme="majorBidi" w:hAnsiTheme="majorBidi"/>
          <w:b/>
          <w:bCs/>
          <w:sz w:val="28"/>
          <w:szCs w:val="28"/>
          <w:rtl/>
          <w:lang w:bidi="ar-EG"/>
        </w:rPr>
        <w:t>ميدأوشن</w:t>
      </w:r>
      <w:proofErr w:type="spellEnd"/>
      <w:r w:rsidRPr="002D35A2">
        <w:rPr>
          <w:rFonts w:asciiTheme="majorBidi" w:hAnsiTheme="majorBidi"/>
          <w:b/>
          <w:bCs/>
          <w:sz w:val="28"/>
          <w:szCs w:val="28"/>
          <w:rtl/>
          <w:lang w:bidi="ar-EG"/>
        </w:rPr>
        <w:t xml:space="preserve"> </w:t>
      </w:r>
    </w:p>
    <w:p w14:paraId="1E957002" w14:textId="04B27A9D" w:rsidR="00F546CE" w:rsidRPr="002D35A2" w:rsidRDefault="009125CE">
      <w:pPr>
        <w:rPr>
          <w:rFonts w:asciiTheme="majorBidi" w:hAnsiTheme="majorBidi"/>
          <w:b/>
          <w:bCs/>
          <w:sz w:val="28"/>
          <w:szCs w:val="28"/>
          <w:rtl/>
          <w:lang w:bidi="ar-EG"/>
        </w:rPr>
      </w:pPr>
      <w:r w:rsidRPr="002D35A2">
        <w:rPr>
          <w:rFonts w:asciiTheme="majorBidi" w:hAnsi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D35A2">
        <w:rPr>
          <w:rFonts w:asciiTheme="majorBidi" w:hAnsiTheme="majorBidi"/>
          <w:b/>
          <w:bCs/>
          <w:sz w:val="28"/>
          <w:szCs w:val="28"/>
          <w:lang w:bidi="ar-EG"/>
        </w:rPr>
        <w:t xml:space="preserve">    </w:t>
      </w:r>
      <w:r w:rsidRPr="002D35A2">
        <w:rPr>
          <w:rFonts w:asciiTheme="majorBidi" w:hAnsiTheme="majorBidi"/>
          <w:b/>
          <w:bCs/>
          <w:sz w:val="28"/>
          <w:szCs w:val="28"/>
          <w:rtl/>
          <w:lang w:bidi="ar-EG"/>
        </w:rPr>
        <w:t xml:space="preserve">كلية الإدارة </w:t>
      </w:r>
    </w:p>
    <w:p w14:paraId="0217C513" w14:textId="272052F1" w:rsidR="009125CE" w:rsidRPr="002D35A2" w:rsidRDefault="009125CE">
      <w:pPr>
        <w:rPr>
          <w:rFonts w:asciiTheme="majorBidi" w:hAnsiTheme="majorBidi"/>
          <w:sz w:val="28"/>
          <w:szCs w:val="28"/>
          <w:rtl/>
          <w:lang w:bidi="ar-EG"/>
        </w:rPr>
      </w:pPr>
      <w:r w:rsidRPr="002D35A2">
        <w:rPr>
          <w:rFonts w:asciiTheme="majorBidi" w:hAnsiTheme="majorBidi"/>
          <w:b/>
          <w:bCs/>
          <w:sz w:val="28"/>
          <w:szCs w:val="28"/>
          <w:rtl/>
          <w:lang w:bidi="ar-EG"/>
        </w:rPr>
        <w:t>قسم / تخصص</w:t>
      </w:r>
      <w:r w:rsidR="00D81A3A">
        <w:rPr>
          <w:rFonts w:asciiTheme="majorBidi" w:hAnsiTheme="majorBidi" w:hint="cs"/>
          <w:b/>
          <w:bCs/>
          <w:sz w:val="28"/>
          <w:szCs w:val="28"/>
          <w:rtl/>
          <w:lang w:bidi="ar-EG"/>
        </w:rPr>
        <w:t xml:space="preserve"> ماجستير إدارة الأعمال</w:t>
      </w:r>
    </w:p>
    <w:p w14:paraId="5F6542BF" w14:textId="77777777" w:rsidR="009125CE" w:rsidRDefault="009125CE" w:rsidP="009125CE">
      <w:pPr>
        <w:rPr>
          <w:rFonts w:asciiTheme="majorBidi" w:hAnsiTheme="majorBidi"/>
          <w:sz w:val="28"/>
          <w:szCs w:val="28"/>
          <w:lang w:bidi="ar-EG"/>
        </w:rPr>
      </w:pPr>
    </w:p>
    <w:p w14:paraId="77EE963D" w14:textId="77777777" w:rsidR="00D60028" w:rsidRPr="002D35A2" w:rsidRDefault="00D60028" w:rsidP="009125CE">
      <w:pPr>
        <w:rPr>
          <w:rFonts w:asciiTheme="majorBidi" w:hAnsiTheme="majorBidi"/>
          <w:sz w:val="28"/>
          <w:szCs w:val="28"/>
          <w:rtl/>
          <w:lang w:bidi="ar-EG"/>
        </w:rPr>
      </w:pPr>
    </w:p>
    <w:p w14:paraId="7CE5B460" w14:textId="77777777" w:rsidR="002527C8" w:rsidRPr="002527C8" w:rsidRDefault="002527C8" w:rsidP="002527C8">
      <w:pPr>
        <w:jc w:val="center"/>
        <w:rPr>
          <w:rFonts w:asciiTheme="majorBidi" w:hAnsiTheme="majorBidi"/>
          <w:b/>
          <w:bCs/>
          <w:sz w:val="28"/>
          <w:szCs w:val="28"/>
          <w:rtl/>
          <w:lang w:bidi="ar-EG"/>
        </w:rPr>
      </w:pPr>
      <w:r w:rsidRPr="002527C8">
        <w:rPr>
          <w:rFonts w:asciiTheme="majorBidi" w:hAnsiTheme="majorBidi" w:cs="Times New Roman"/>
          <w:b/>
          <w:bCs/>
          <w:sz w:val="28"/>
          <w:szCs w:val="28"/>
          <w:rtl/>
          <w:lang w:bidi="ar-EG"/>
        </w:rPr>
        <w:t>بعنوان البحث:</w:t>
      </w:r>
    </w:p>
    <w:p w14:paraId="08401F45" w14:textId="1345C9C7" w:rsidR="009125CE" w:rsidRPr="002D35A2" w:rsidRDefault="002527C8" w:rsidP="002527C8">
      <w:pPr>
        <w:jc w:val="center"/>
        <w:rPr>
          <w:rFonts w:asciiTheme="majorBidi" w:hAnsiTheme="majorBidi"/>
          <w:b/>
          <w:bCs/>
          <w:sz w:val="28"/>
          <w:szCs w:val="28"/>
          <w:rtl/>
          <w:lang w:bidi="ar-EG"/>
        </w:rPr>
      </w:pPr>
      <w:r w:rsidRPr="002527C8">
        <w:rPr>
          <w:rFonts w:asciiTheme="majorBidi" w:hAnsiTheme="majorBidi" w:cs="Times New Roman"/>
          <w:b/>
          <w:bCs/>
          <w:sz w:val="28"/>
          <w:szCs w:val="28"/>
          <w:rtl/>
          <w:lang w:bidi="ar-EG"/>
        </w:rPr>
        <w:t>أثر جودة الحياة الجامعية في تعزيز التحصيل العلمي: دراسة تطبيقية على طالب جامعة الملك عبد العزيز</w:t>
      </w:r>
    </w:p>
    <w:p w14:paraId="232F19A4" w14:textId="77777777" w:rsidR="009125CE" w:rsidRPr="002D35A2" w:rsidRDefault="009125CE" w:rsidP="009125CE">
      <w:pPr>
        <w:jc w:val="center"/>
        <w:rPr>
          <w:rFonts w:asciiTheme="majorBidi" w:hAnsiTheme="majorBidi"/>
          <w:sz w:val="28"/>
          <w:szCs w:val="28"/>
          <w:rtl/>
          <w:lang w:bidi="ar-EG"/>
        </w:rPr>
      </w:pPr>
    </w:p>
    <w:p w14:paraId="0EB57E30" w14:textId="77777777" w:rsidR="009125CE" w:rsidRPr="002D35A2" w:rsidRDefault="009125CE" w:rsidP="009125CE">
      <w:pPr>
        <w:jc w:val="center"/>
        <w:rPr>
          <w:rFonts w:asciiTheme="majorBidi" w:hAnsiTheme="majorBidi"/>
          <w:b/>
          <w:bCs/>
          <w:sz w:val="28"/>
          <w:szCs w:val="28"/>
          <w:rtl/>
          <w:lang w:bidi="ar-EG"/>
        </w:rPr>
      </w:pPr>
    </w:p>
    <w:p w14:paraId="751A7E65" w14:textId="3ACB50AB" w:rsidR="009125CE" w:rsidRPr="002D35A2" w:rsidRDefault="009125CE" w:rsidP="009125CE">
      <w:pPr>
        <w:jc w:val="center"/>
        <w:rPr>
          <w:rFonts w:asciiTheme="majorBidi" w:hAnsiTheme="majorBidi"/>
          <w:b/>
          <w:bCs/>
          <w:sz w:val="28"/>
          <w:szCs w:val="28"/>
          <w:rtl/>
          <w:lang w:bidi="ar-EG"/>
        </w:rPr>
      </w:pPr>
      <w:r w:rsidRPr="002D35A2">
        <w:rPr>
          <w:rFonts w:asciiTheme="majorBidi" w:hAnsiTheme="majorBidi"/>
          <w:b/>
          <w:bCs/>
          <w:sz w:val="28"/>
          <w:szCs w:val="28"/>
          <w:rtl/>
          <w:lang w:bidi="ar-EG"/>
        </w:rPr>
        <w:t>إعداد الطالب/</w:t>
      </w:r>
      <w:r w:rsidR="00D81A3A">
        <w:rPr>
          <w:rFonts w:asciiTheme="majorBidi" w:hAnsiTheme="majorBidi" w:hint="cs"/>
          <w:b/>
          <w:bCs/>
          <w:sz w:val="28"/>
          <w:szCs w:val="28"/>
          <w:rtl/>
          <w:lang w:bidi="ar-EG"/>
        </w:rPr>
        <w:t xml:space="preserve"> فيصل راشد حمود الخالدي</w:t>
      </w:r>
    </w:p>
    <w:p w14:paraId="3D3CBDF8" w14:textId="77777777" w:rsidR="009125CE" w:rsidRPr="002D35A2" w:rsidRDefault="009125CE" w:rsidP="00D60028">
      <w:pPr>
        <w:rPr>
          <w:rFonts w:asciiTheme="majorBidi" w:hAnsiTheme="majorBidi"/>
          <w:b/>
          <w:bCs/>
          <w:sz w:val="28"/>
          <w:szCs w:val="28"/>
          <w:rtl/>
          <w:lang w:bidi="ar-EG"/>
        </w:rPr>
      </w:pPr>
    </w:p>
    <w:p w14:paraId="58D6152F" w14:textId="77777777" w:rsidR="009125CE" w:rsidRPr="002D35A2" w:rsidRDefault="009125CE" w:rsidP="009125CE">
      <w:pPr>
        <w:jc w:val="center"/>
        <w:rPr>
          <w:rFonts w:asciiTheme="majorBidi" w:hAnsiTheme="majorBidi"/>
          <w:b/>
          <w:bCs/>
          <w:sz w:val="28"/>
          <w:szCs w:val="28"/>
          <w:rtl/>
          <w:lang w:bidi="ar-EG"/>
        </w:rPr>
      </w:pPr>
    </w:p>
    <w:p w14:paraId="5F4EE2DE" w14:textId="1A92484F" w:rsidR="009125CE" w:rsidRPr="002D35A2" w:rsidRDefault="009125CE" w:rsidP="009125CE">
      <w:pPr>
        <w:jc w:val="center"/>
        <w:rPr>
          <w:rFonts w:asciiTheme="majorBidi" w:hAnsiTheme="majorBidi"/>
          <w:b/>
          <w:bCs/>
          <w:sz w:val="28"/>
          <w:szCs w:val="28"/>
          <w:rtl/>
          <w:lang w:bidi="ar-EG"/>
        </w:rPr>
      </w:pPr>
      <w:r w:rsidRPr="002D35A2">
        <w:rPr>
          <w:rFonts w:asciiTheme="majorBidi" w:hAnsiTheme="majorBidi"/>
          <w:b/>
          <w:bCs/>
          <w:sz w:val="28"/>
          <w:szCs w:val="28"/>
          <w:rtl/>
          <w:lang w:bidi="ar-EG"/>
        </w:rPr>
        <w:t>إشراف/</w:t>
      </w:r>
    </w:p>
    <w:p w14:paraId="2EFA31CD" w14:textId="508C4AD2" w:rsidR="009125CE" w:rsidRPr="002D35A2" w:rsidRDefault="00D81A3A" w:rsidP="009125CE">
      <w:pPr>
        <w:jc w:val="center"/>
        <w:rPr>
          <w:rFonts w:asciiTheme="majorBidi" w:hAnsiTheme="majorBidi"/>
          <w:b/>
          <w:bCs/>
          <w:sz w:val="28"/>
          <w:szCs w:val="28"/>
          <w:rtl/>
          <w:lang w:bidi="ar-EG"/>
        </w:rPr>
      </w:pPr>
      <w:r w:rsidRPr="002D35A2">
        <w:rPr>
          <w:rFonts w:asciiTheme="majorBidi" w:hAnsiTheme="majorBidi" w:hint="cs"/>
          <w:b/>
          <w:bCs/>
          <w:sz w:val="28"/>
          <w:szCs w:val="28"/>
          <w:rtl/>
          <w:lang w:bidi="ar-EG"/>
        </w:rPr>
        <w:t>د. الفيص</w:t>
      </w:r>
      <w:r w:rsidRPr="002D35A2">
        <w:rPr>
          <w:rFonts w:asciiTheme="majorBidi" w:hAnsiTheme="majorBidi" w:hint="eastAsia"/>
          <w:b/>
          <w:bCs/>
          <w:sz w:val="28"/>
          <w:szCs w:val="28"/>
          <w:rtl/>
          <w:lang w:bidi="ar-EG"/>
        </w:rPr>
        <w:t>ل</w:t>
      </w:r>
      <w:r w:rsidR="00D04F62" w:rsidRPr="002D35A2">
        <w:rPr>
          <w:rFonts w:asciiTheme="majorBidi" w:hAnsiTheme="majorBidi"/>
          <w:b/>
          <w:bCs/>
          <w:sz w:val="28"/>
          <w:szCs w:val="28"/>
          <w:rtl/>
          <w:lang w:bidi="ar-EG"/>
        </w:rPr>
        <w:t xml:space="preserve"> عبد الحميد</w:t>
      </w:r>
      <w:r w:rsidR="00D04F62" w:rsidRPr="002D35A2">
        <w:rPr>
          <w:rFonts w:asciiTheme="majorBidi" w:hAnsiTheme="majorBidi"/>
          <w:b/>
          <w:bCs/>
          <w:sz w:val="28"/>
          <w:szCs w:val="28"/>
          <w:rtl/>
          <w:lang w:bidi="ar-EG"/>
        </w:rPr>
        <w:br/>
      </w:r>
      <w:r w:rsidRPr="002D35A2">
        <w:rPr>
          <w:rFonts w:asciiTheme="majorBidi" w:hAnsiTheme="majorBidi" w:hint="cs"/>
          <w:b/>
          <w:bCs/>
          <w:sz w:val="28"/>
          <w:szCs w:val="28"/>
          <w:rtl/>
          <w:lang w:bidi="ar-EG"/>
        </w:rPr>
        <w:t>د. فاي</w:t>
      </w:r>
      <w:r w:rsidRPr="002D35A2">
        <w:rPr>
          <w:rFonts w:asciiTheme="majorBidi" w:hAnsiTheme="majorBidi" w:hint="eastAsia"/>
          <w:b/>
          <w:bCs/>
          <w:sz w:val="28"/>
          <w:szCs w:val="28"/>
          <w:rtl/>
          <w:lang w:bidi="ar-EG"/>
        </w:rPr>
        <w:t>ز</w:t>
      </w:r>
      <w:r w:rsidR="00D04F62" w:rsidRPr="002D35A2">
        <w:rPr>
          <w:rFonts w:asciiTheme="majorBidi" w:hAnsiTheme="majorBidi"/>
          <w:b/>
          <w:bCs/>
          <w:sz w:val="28"/>
          <w:szCs w:val="28"/>
          <w:rtl/>
          <w:lang w:bidi="ar-EG"/>
        </w:rPr>
        <w:t xml:space="preserve"> جراد</w:t>
      </w:r>
    </w:p>
    <w:p w14:paraId="16CF2D6A" w14:textId="77777777" w:rsidR="009125CE" w:rsidRPr="002D35A2" w:rsidRDefault="009125CE" w:rsidP="009125CE">
      <w:pPr>
        <w:jc w:val="center"/>
        <w:rPr>
          <w:rFonts w:asciiTheme="majorBidi" w:hAnsiTheme="majorBidi"/>
          <w:b/>
          <w:bCs/>
          <w:sz w:val="28"/>
          <w:szCs w:val="28"/>
          <w:rtl/>
          <w:lang w:bidi="ar-EG"/>
        </w:rPr>
      </w:pPr>
    </w:p>
    <w:p w14:paraId="22738CC6" w14:textId="77777777" w:rsidR="009125CE" w:rsidRPr="002D35A2" w:rsidRDefault="009125CE" w:rsidP="009125CE">
      <w:pPr>
        <w:jc w:val="center"/>
        <w:rPr>
          <w:rFonts w:asciiTheme="majorBidi" w:hAnsiTheme="majorBidi"/>
          <w:b/>
          <w:bCs/>
          <w:sz w:val="28"/>
          <w:szCs w:val="28"/>
          <w:rtl/>
          <w:lang w:bidi="ar-EG"/>
        </w:rPr>
      </w:pPr>
    </w:p>
    <w:p w14:paraId="14480418" w14:textId="78A6C3AC" w:rsidR="009125CE" w:rsidRPr="002D35A2" w:rsidRDefault="009125CE" w:rsidP="009125CE">
      <w:pPr>
        <w:jc w:val="center"/>
        <w:rPr>
          <w:rFonts w:asciiTheme="majorBidi" w:hAnsiTheme="majorBidi"/>
          <w:b/>
          <w:bCs/>
          <w:sz w:val="28"/>
          <w:szCs w:val="28"/>
          <w:rtl/>
          <w:lang w:bidi="ar-EG"/>
        </w:rPr>
      </w:pPr>
      <w:r w:rsidRPr="002D35A2">
        <w:rPr>
          <w:rFonts w:asciiTheme="majorBidi" w:hAnsiTheme="majorBidi"/>
          <w:b/>
          <w:bCs/>
          <w:sz w:val="28"/>
          <w:szCs w:val="28"/>
          <w:rtl/>
          <w:lang w:bidi="ar-EG"/>
        </w:rPr>
        <w:t>العام الدراسي:</w:t>
      </w:r>
    </w:p>
    <w:p w14:paraId="5DBA947E" w14:textId="775A975B" w:rsidR="009125CE" w:rsidRPr="002D35A2" w:rsidRDefault="002D35A2" w:rsidP="002527C8">
      <w:pPr>
        <w:jc w:val="center"/>
        <w:rPr>
          <w:rFonts w:asciiTheme="majorBidi" w:hAnsiTheme="majorBidi"/>
          <w:b/>
          <w:bCs/>
          <w:sz w:val="28"/>
          <w:szCs w:val="28"/>
          <w:rtl/>
          <w:lang w:bidi="ar-EG"/>
        </w:rPr>
      </w:pPr>
      <w:r w:rsidRPr="002D35A2">
        <w:rPr>
          <w:rFonts w:asciiTheme="majorBidi" w:hAnsiTheme="majorBidi"/>
          <w:b/>
          <w:bCs/>
          <w:sz w:val="28"/>
          <w:szCs w:val="28"/>
          <w:rtl/>
          <w:lang w:bidi="ar-EG"/>
        </w:rPr>
        <w:t>2026</w:t>
      </w:r>
    </w:p>
    <w:p w14:paraId="3A654821" w14:textId="77777777" w:rsidR="002527C8" w:rsidRDefault="002527C8" w:rsidP="00A831FA">
      <w:pPr>
        <w:pStyle w:val="Heading1"/>
        <w:rPr>
          <w:rtl/>
        </w:rPr>
      </w:pPr>
      <w:r>
        <w:rPr>
          <w:rtl/>
        </w:rPr>
        <w:lastRenderedPageBreak/>
        <w:t>أولاً: المقدمة</w:t>
      </w:r>
    </w:p>
    <w:p w14:paraId="5A8CE61D" w14:textId="77777777" w:rsidR="002527C8" w:rsidRDefault="002527C8" w:rsidP="002527C8">
      <w:pPr>
        <w:rPr>
          <w:rtl/>
        </w:rPr>
      </w:pPr>
      <w:r>
        <w:rPr>
          <w:rFonts w:cs="Times New Roman"/>
          <w:rtl/>
        </w:rPr>
        <w:t>تشكل أخلاقيات البحث العلمي الإطار المرجعي الذي ينظم سلوك الباحثين ويضمن سلامة الإجراءات البحثية من بدايتها حتى نشر نتائجها. ويُعرّف الباحثون أخلاقيات البحث بأنها مجموعة المعايير والقواعد السلوكية التي تحدد ما هو مقبول وما هو غير مقبول من تصرفات أثناء القيام بالأنشطة البحثية (</w:t>
      </w:r>
      <w:r>
        <w:t>Resnik, 2020</w:t>
      </w:r>
      <w:r>
        <w:rPr>
          <w:rFonts w:cs="Times New Roman"/>
          <w:rtl/>
        </w:rPr>
        <w:t>). كما يشير شموع ورزنيك (</w:t>
      </w:r>
      <w:proofErr w:type="spellStart"/>
      <w:r>
        <w:t>Shamoo</w:t>
      </w:r>
      <w:proofErr w:type="spellEnd"/>
      <w:r>
        <w:t xml:space="preserve"> &amp; Resnik, 2009</w:t>
      </w:r>
      <w:r>
        <w:rPr>
          <w:rFonts w:cs="Times New Roman"/>
          <w:rtl/>
        </w:rPr>
        <w:t>) إلى أن أخلاقيات البحث تشمل قواعد السلوك المهني المرتبطة بجمع البيانات، والتعامل مع المشاركين، والإبلاغ عن النتائج بصدق وأمانة.</w:t>
      </w:r>
    </w:p>
    <w:p w14:paraId="6A64D55A" w14:textId="77777777" w:rsidR="002527C8" w:rsidRDefault="002527C8" w:rsidP="002527C8">
      <w:pPr>
        <w:rPr>
          <w:rtl/>
        </w:rPr>
      </w:pPr>
      <w:r>
        <w:rPr>
          <w:rFonts w:cs="Times New Roman"/>
          <w:rtl/>
        </w:rPr>
        <w:t xml:space="preserve">ولم يظهر الاهتمام بأخلاقيات البحث العلمي بصورة منظمة إلا بعد عدد من الانتهاكات التاريخية الصارخة لحقوق المشاركين في الدراسات، الأمر الذي دفع المجتمع العلمي الدولي إلى وضع مواثيق وأطر مرجعية مثل ميثاق </w:t>
      </w:r>
      <w:proofErr w:type="spellStart"/>
      <w:r>
        <w:rPr>
          <w:rFonts w:cs="Times New Roman"/>
          <w:rtl/>
        </w:rPr>
        <w:t>نورمبرغ</w:t>
      </w:r>
      <w:proofErr w:type="spellEnd"/>
      <w:r>
        <w:rPr>
          <w:rFonts w:cs="Times New Roman"/>
          <w:rtl/>
        </w:rPr>
        <w:t xml:space="preserve"> (</w:t>
      </w:r>
      <w:r>
        <w:t>Nuremberg Code</w:t>
      </w:r>
      <w:r>
        <w:rPr>
          <w:rFonts w:cs="Times New Roman"/>
          <w:rtl/>
        </w:rPr>
        <w:t xml:space="preserve">) وتقرير </w:t>
      </w:r>
      <w:proofErr w:type="spellStart"/>
      <w:r>
        <w:rPr>
          <w:rFonts w:cs="Times New Roman"/>
          <w:rtl/>
        </w:rPr>
        <w:t>بلمونت</w:t>
      </w:r>
      <w:proofErr w:type="spellEnd"/>
      <w:r>
        <w:rPr>
          <w:rFonts w:cs="Times New Roman"/>
          <w:rtl/>
        </w:rPr>
        <w:t xml:space="preserve"> (</w:t>
      </w:r>
      <w:r>
        <w:t>Belmont Report</w:t>
      </w:r>
      <w:r>
        <w:rPr>
          <w:rFonts w:cs="Times New Roman"/>
          <w:rtl/>
        </w:rPr>
        <w:t>)، واللذين أرسيا مبادئ احترام الأشخاص، وتعظيم المنفعة وتقليل الضرر، والعدالة في توزيع أعباء ومنافع البحث (</w:t>
      </w:r>
      <w:r>
        <w:t>Israel &amp; Hay, 2006</w:t>
      </w:r>
      <w:r>
        <w:rPr>
          <w:rFonts w:cs="Times New Roman"/>
          <w:rtl/>
        </w:rPr>
        <w:t>). وقد أصبحت هذه المبادئ، فيما بعد، حجر الأساس لكل أنظمة أخلاقيات البحث المعتمدة في الجامعات والمؤسسات البحثية حول العالم، بما في ذلك المؤسسات التعليمية في المملكة العربية السعودية.</w:t>
      </w:r>
    </w:p>
    <w:p w14:paraId="3959D056" w14:textId="77777777" w:rsidR="002527C8" w:rsidRDefault="002527C8" w:rsidP="002527C8">
      <w:pPr>
        <w:rPr>
          <w:rtl/>
        </w:rPr>
      </w:pPr>
      <w:r>
        <w:rPr>
          <w:rFonts w:cs="Times New Roman"/>
          <w:rtl/>
        </w:rPr>
        <w:t>وتنبع أهمية هذا التقرير من الحاجة إلى ربط الجانب النظري لأخلاقيات البحث العلمي بالجانب التطبيقي المتمثل في موضوع الدراسة الحالية، وهو "أثر جودة الحياة الجامعية في تعزيز التحصيل العلمي: دراسة تطبيقية على طالب جامعة الملك عبد العزيز". ويهدف هذا التقرير إلى تعريف الطالب الباحث بالمبادئ الأساسية لأخلاقيات البحث العلمي، ومناقشة أبرز القضايا الأخلاقية التي قد تواجه الباحثين، إلى جانب التعرف على القواعد واللوائح المنظمة لهذه الأخلاقيات، وصولًا إلى التطبيق العملي لهذه المبادئ على إجراءات الدراسة الميدانية المزمع تنفيذها على عينة من طلاب جامعة الملك عبد العزيز.</w:t>
      </w:r>
    </w:p>
    <w:p w14:paraId="459A49A2" w14:textId="77777777" w:rsidR="002527C8" w:rsidRDefault="002527C8" w:rsidP="002527C8">
      <w:pPr>
        <w:rPr>
          <w:rtl/>
        </w:rPr>
      </w:pPr>
      <w:r>
        <w:rPr>
          <w:rFonts w:cs="Times New Roman"/>
          <w:rtl/>
        </w:rPr>
        <w:t>ويتبع التقرير في عرضه منهجًا متدرجًا يبدأ بالتأصيل النظري للمفاهيم والمبادئ، ثم ينتقل إلى عرض القضايا الإشكالية التي تواجه الباحثين في الميدان، ثم يستعرض الأطر التنظيمية الدولية والمحلية، لينتهي بالجزء التطبيقي الذي يمثل محور التقرير، وهو إسقاط هذه المبادئ والقواعد على الإجراءات الفعلية لدراسة جودة الحياة الجامعية وعلاقتها بالتحصيل العلمي.</w:t>
      </w:r>
    </w:p>
    <w:p w14:paraId="4B07B640" w14:textId="77777777" w:rsidR="002527C8" w:rsidRDefault="002527C8" w:rsidP="00A831FA">
      <w:pPr>
        <w:pStyle w:val="Heading1"/>
        <w:rPr>
          <w:rtl/>
        </w:rPr>
      </w:pPr>
      <w:r>
        <w:rPr>
          <w:rtl/>
        </w:rPr>
        <w:t>ثانياً: أهمية أخلاقيات البحث العلمي</w:t>
      </w:r>
    </w:p>
    <w:p w14:paraId="01E78C65" w14:textId="77777777" w:rsidR="002527C8" w:rsidRDefault="002527C8" w:rsidP="002527C8">
      <w:pPr>
        <w:rPr>
          <w:rtl/>
        </w:rPr>
      </w:pPr>
      <w:r>
        <w:rPr>
          <w:rFonts w:cs="Times New Roman"/>
          <w:rtl/>
        </w:rPr>
        <w:t>تكتسب أخلاقيات البحث العلمي أهمية محورية كونها الضامن الأساسي لمصداقية النتائج العلمية وموثوقيتها؛ فالبحث الذي لا يلتزم بالمعايير الأخلاقية، حتى لو كان قويًا من الناحية المنهجية، يفقد قيمته العلمية لأن النتائج المترتبة عليه قد تكون غير قابلة للتعميم أو الثقة (</w:t>
      </w:r>
      <w:r>
        <w:t>Israel &amp; Hay, 2006</w:t>
      </w:r>
      <w:r>
        <w:rPr>
          <w:rFonts w:cs="Times New Roman"/>
          <w:rtl/>
        </w:rPr>
        <w:t>).</w:t>
      </w:r>
    </w:p>
    <w:p w14:paraId="2B01BBAF" w14:textId="77777777" w:rsidR="002527C8" w:rsidRDefault="002527C8" w:rsidP="002527C8">
      <w:pPr>
        <w:rPr>
          <w:rtl/>
        </w:rPr>
      </w:pPr>
      <w:r>
        <w:rPr>
          <w:rFonts w:cs="Times New Roman"/>
          <w:rtl/>
        </w:rPr>
        <w:t xml:space="preserve">ومن جهة أخرى، تسهم الأخلاقيات في حماية المجتمع البحثي والمشاركين في الدراسات من أي ضرر محتمل، سواء كان نفسيًا أو اجتماعيًا أو معنويًا. ففي دراسة ميدانية كالدراسة الحالية التي تتناول موضوعات حساسة مثل الرضا النفسي، </w:t>
      </w:r>
      <w:r>
        <w:rPr>
          <w:rFonts w:cs="Times New Roman"/>
          <w:rtl/>
        </w:rPr>
        <w:lastRenderedPageBreak/>
        <w:t>والعلاقات الأسرية، والتحصيل الدراسي، فإن غياب الضوابط الأخلاقية قد يعرض الطلاب المشاركين للإحراج أو القلق، خاصة إذا تم الكشف عن هويتهم أو ربط إجاباتهم بمعدلاتهم الأكاديمية.</w:t>
      </w:r>
    </w:p>
    <w:p w14:paraId="7C89FCDE" w14:textId="77777777" w:rsidR="002527C8" w:rsidRDefault="002527C8" w:rsidP="002527C8">
      <w:pPr>
        <w:rPr>
          <w:rtl/>
        </w:rPr>
      </w:pPr>
      <w:r>
        <w:rPr>
          <w:rFonts w:cs="Times New Roman"/>
          <w:rtl/>
        </w:rPr>
        <w:t>كما ترتبط أخلاقيات البحث ارتباطًا وثيقًا بمصداقية البحث العلمي ككل؛ فالبيانات التي تُجمع بطرق نزيهة وشفافة، والنتائج التي تُعرض دون تحيز أو تحريف، تعزز من ثقة المجتمع العلمي والممارسين في النتائج، وتفتح المجال أمام تطبيق التوصيات على أرض الواقع. وعليه، فإن الالتزام بأخلاقيات البحث ليس مجرد إجراء شكلي، بل هو شرط جوهري لضمان جودة البحث العلمي وقيمته التطبيقية (</w:t>
      </w:r>
      <w:r>
        <w:t>American Psychological Association [APA], 2020</w:t>
      </w:r>
      <w:r>
        <w:rPr>
          <w:rFonts w:cs="Times New Roman"/>
          <w:rtl/>
        </w:rPr>
        <w:t>).</w:t>
      </w:r>
    </w:p>
    <w:p w14:paraId="54B6CEC0" w14:textId="77777777" w:rsidR="002527C8" w:rsidRDefault="002527C8" w:rsidP="00A831FA">
      <w:pPr>
        <w:pStyle w:val="Heading1"/>
        <w:rPr>
          <w:rtl/>
        </w:rPr>
      </w:pPr>
      <w:r>
        <w:rPr>
          <w:rtl/>
        </w:rPr>
        <w:t>ثالثاً: المبادئ الأساسية لأخلاقيات البحث العلمي</w:t>
      </w:r>
    </w:p>
    <w:p w14:paraId="04269091" w14:textId="77777777" w:rsidR="002527C8" w:rsidRPr="00A831FA" w:rsidRDefault="002527C8" w:rsidP="002527C8">
      <w:pPr>
        <w:rPr>
          <w:b/>
          <w:bCs/>
          <w:rtl/>
        </w:rPr>
      </w:pPr>
      <w:r w:rsidRPr="00A831FA">
        <w:rPr>
          <w:rFonts w:cs="Times New Roman"/>
          <w:b/>
          <w:bCs/>
          <w:rtl/>
        </w:rPr>
        <w:t>‏1. الأمانة العلمية (</w:t>
      </w:r>
      <w:r w:rsidRPr="00A831FA">
        <w:rPr>
          <w:b/>
          <w:bCs/>
        </w:rPr>
        <w:t>Scientific Honesty</w:t>
      </w:r>
      <w:r w:rsidRPr="00A831FA">
        <w:rPr>
          <w:rFonts w:cs="Times New Roman"/>
          <w:b/>
          <w:bCs/>
          <w:rtl/>
        </w:rPr>
        <w:t>)</w:t>
      </w:r>
    </w:p>
    <w:p w14:paraId="5684C4F8" w14:textId="77777777" w:rsidR="002527C8" w:rsidRDefault="002527C8" w:rsidP="002527C8">
      <w:pPr>
        <w:rPr>
          <w:rtl/>
        </w:rPr>
      </w:pPr>
      <w:r>
        <w:rPr>
          <w:rFonts w:cs="Times New Roman"/>
          <w:rtl/>
        </w:rPr>
        <w:t>التعريف: تعني الأمانة العلمية الالتزام بالصدق في جميع مراحل البحث، من عرض الأفكار وتوثيق المصادر إلى عرض النتائج كما هي دون تحريف أو مبالغة (</w:t>
      </w:r>
      <w:proofErr w:type="spellStart"/>
      <w:r>
        <w:t>Shamoo</w:t>
      </w:r>
      <w:proofErr w:type="spellEnd"/>
      <w:r>
        <w:t xml:space="preserve"> &amp; Resnik, 2009</w:t>
      </w:r>
      <w:r>
        <w:rPr>
          <w:rFonts w:cs="Times New Roman"/>
          <w:rtl/>
        </w:rPr>
        <w:t>).</w:t>
      </w:r>
    </w:p>
    <w:p w14:paraId="3E854412" w14:textId="77777777" w:rsidR="002527C8" w:rsidRDefault="002527C8" w:rsidP="002527C8">
      <w:pPr>
        <w:rPr>
          <w:rtl/>
        </w:rPr>
      </w:pPr>
      <w:r>
        <w:rPr>
          <w:rFonts w:cs="Times New Roman"/>
          <w:rtl/>
        </w:rPr>
        <w:t>مثال توضيحي: في الدراسة الحالية، تتمثل الأمانة العلمية في توثيق جميع الدراسات السابقة المستخدمة في الإطار النظري بدقة، ونسبة الأفكار إلى أصحابها كما وردت في قائمة المراجع، دون اقتطاع النتائج أو تفسيرها بما يخالف ما توصل إليه الباحثون الأصليون.</w:t>
      </w:r>
    </w:p>
    <w:p w14:paraId="1991488C" w14:textId="77777777" w:rsidR="002527C8" w:rsidRPr="00A831FA" w:rsidRDefault="002527C8" w:rsidP="002527C8">
      <w:pPr>
        <w:rPr>
          <w:b/>
          <w:bCs/>
          <w:rtl/>
        </w:rPr>
      </w:pPr>
      <w:r w:rsidRPr="00A831FA">
        <w:rPr>
          <w:rFonts w:cs="Times New Roman"/>
          <w:b/>
          <w:bCs/>
          <w:rtl/>
        </w:rPr>
        <w:t>‏2. النزاهة (</w:t>
      </w:r>
      <w:r w:rsidRPr="00A831FA">
        <w:rPr>
          <w:b/>
          <w:bCs/>
        </w:rPr>
        <w:t>Integrity</w:t>
      </w:r>
      <w:r w:rsidRPr="00A831FA">
        <w:rPr>
          <w:rFonts w:cs="Times New Roman"/>
          <w:b/>
          <w:bCs/>
          <w:rtl/>
        </w:rPr>
        <w:t>)</w:t>
      </w:r>
    </w:p>
    <w:p w14:paraId="7598ECD0" w14:textId="77777777" w:rsidR="002527C8" w:rsidRDefault="002527C8" w:rsidP="002527C8">
      <w:pPr>
        <w:rPr>
          <w:rtl/>
        </w:rPr>
      </w:pPr>
      <w:r>
        <w:rPr>
          <w:rFonts w:cs="Times New Roman"/>
          <w:rtl/>
        </w:rPr>
        <w:t>التعريف: تشير النزاهة إلى الالتزام بمبادئ الصدق والاتساق في الفكر والعمل، وتجنب أي ممارسات تضر بمصداقية البحث، مثل التلاعب بالبيانات أو إخفاء النتائج غير المرغوبة (</w:t>
      </w:r>
      <w:r>
        <w:t>Resnik, 2020</w:t>
      </w:r>
      <w:r>
        <w:rPr>
          <w:rFonts w:cs="Times New Roman"/>
          <w:rtl/>
        </w:rPr>
        <w:t>).</w:t>
      </w:r>
    </w:p>
    <w:p w14:paraId="06C1CC1F" w14:textId="77777777" w:rsidR="002527C8" w:rsidRDefault="002527C8" w:rsidP="002527C8">
      <w:pPr>
        <w:rPr>
          <w:rtl/>
        </w:rPr>
      </w:pPr>
      <w:r>
        <w:rPr>
          <w:rFonts w:cs="Times New Roman"/>
          <w:rtl/>
        </w:rPr>
        <w:t xml:space="preserve">مثال توضيحي: عند تحليل بيانات </w:t>
      </w:r>
      <w:proofErr w:type="gramStart"/>
      <w:r>
        <w:rPr>
          <w:rFonts w:cs="Times New Roman"/>
          <w:rtl/>
        </w:rPr>
        <w:t>الاستبيان</w:t>
      </w:r>
      <w:proofErr w:type="gramEnd"/>
      <w:r>
        <w:rPr>
          <w:rFonts w:cs="Times New Roman"/>
          <w:rtl/>
        </w:rPr>
        <w:t xml:space="preserve"> الخاص بجودة الحياة الجامعية والتحصيل العلمي، تقتضي النزاهة عرض جميع النتائج كما أسفر عنها التحليل الإحصائي، حتى لو جاءت بعض الفروض غير مدعومة إحصائيًا، دون استبعاد البيانات التي لا تتفق مع توقعات الباحث.</w:t>
      </w:r>
    </w:p>
    <w:p w14:paraId="53C06BBF" w14:textId="77777777" w:rsidR="002527C8" w:rsidRPr="00A831FA" w:rsidRDefault="002527C8" w:rsidP="002527C8">
      <w:pPr>
        <w:rPr>
          <w:b/>
          <w:bCs/>
          <w:rtl/>
        </w:rPr>
      </w:pPr>
      <w:r w:rsidRPr="00A831FA">
        <w:rPr>
          <w:rFonts w:cs="Times New Roman"/>
          <w:b/>
          <w:bCs/>
          <w:rtl/>
        </w:rPr>
        <w:t>‏3. الموضوعية (</w:t>
      </w:r>
      <w:r w:rsidRPr="00A831FA">
        <w:rPr>
          <w:b/>
          <w:bCs/>
        </w:rPr>
        <w:t>Objectivity</w:t>
      </w:r>
      <w:r w:rsidRPr="00A831FA">
        <w:rPr>
          <w:rFonts w:cs="Times New Roman"/>
          <w:b/>
          <w:bCs/>
          <w:rtl/>
        </w:rPr>
        <w:t>)</w:t>
      </w:r>
    </w:p>
    <w:p w14:paraId="17F257DB" w14:textId="77777777" w:rsidR="002527C8" w:rsidRDefault="002527C8" w:rsidP="002527C8">
      <w:pPr>
        <w:rPr>
          <w:rtl/>
        </w:rPr>
      </w:pPr>
      <w:r>
        <w:rPr>
          <w:rFonts w:cs="Times New Roman"/>
          <w:rtl/>
        </w:rPr>
        <w:t>التعريف: تعني الموضوعية الحياد التام في تفسير النتائج، وتجنب تأثير الآراء أو المعتقدات الشخصية للباحث على عملية جمع البيانات أو تحليلها أو تفسيرها (</w:t>
      </w:r>
      <w:r>
        <w:t>Israel &amp; Hay, 2006</w:t>
      </w:r>
      <w:r>
        <w:rPr>
          <w:rFonts w:cs="Times New Roman"/>
          <w:rtl/>
        </w:rPr>
        <w:t>).</w:t>
      </w:r>
    </w:p>
    <w:p w14:paraId="47211B63" w14:textId="00BCB256" w:rsidR="00A831FA" w:rsidRDefault="002527C8" w:rsidP="002527C8">
      <w:pPr>
        <w:rPr>
          <w:rFonts w:cs="Times New Roman"/>
          <w:rtl/>
        </w:rPr>
      </w:pPr>
      <w:r>
        <w:rPr>
          <w:rFonts w:cs="Times New Roman"/>
          <w:rtl/>
        </w:rPr>
        <w:t xml:space="preserve">مثال توضيحي: عند صياغة فقرات </w:t>
      </w:r>
      <w:proofErr w:type="gramStart"/>
      <w:r>
        <w:rPr>
          <w:rFonts w:cs="Times New Roman"/>
          <w:rtl/>
        </w:rPr>
        <w:t>الاستبيان</w:t>
      </w:r>
      <w:proofErr w:type="gramEnd"/>
      <w:r>
        <w:rPr>
          <w:rFonts w:cs="Times New Roman"/>
          <w:rtl/>
        </w:rPr>
        <w:t xml:space="preserve"> المتعلقة بجودة الحياة الجامعية، يجب تجنب الأسئلة الموجهة التي قد تدفع الطالب المشارك نحو إجابة معينة، كأن تتم صياغة السؤال بطريقة محايدة بدلًا من صياغته بشكل يوحي بأن الجامعة مقصرة أو أنها متميزة بشكل مطلق.</w:t>
      </w:r>
    </w:p>
    <w:p w14:paraId="62123C98" w14:textId="77777777" w:rsidR="00A831FA" w:rsidRDefault="00A831FA">
      <w:pPr>
        <w:bidi w:val="0"/>
        <w:spacing w:before="0" w:after="160" w:line="259" w:lineRule="auto"/>
        <w:jc w:val="left"/>
        <w:rPr>
          <w:rFonts w:cs="Times New Roman"/>
          <w:rtl/>
        </w:rPr>
      </w:pPr>
      <w:r>
        <w:rPr>
          <w:rFonts w:cs="Times New Roman"/>
          <w:rtl/>
        </w:rPr>
        <w:br w:type="page"/>
      </w:r>
    </w:p>
    <w:p w14:paraId="5C2492F5" w14:textId="77777777" w:rsidR="002527C8" w:rsidRPr="00A831FA" w:rsidRDefault="002527C8" w:rsidP="002527C8">
      <w:pPr>
        <w:rPr>
          <w:b/>
          <w:bCs/>
          <w:rtl/>
        </w:rPr>
      </w:pPr>
      <w:r w:rsidRPr="00A831FA">
        <w:rPr>
          <w:rFonts w:cs="Times New Roman"/>
          <w:b/>
          <w:bCs/>
          <w:rtl/>
        </w:rPr>
        <w:lastRenderedPageBreak/>
        <w:t>‏4. السرية (</w:t>
      </w:r>
      <w:r w:rsidRPr="00A831FA">
        <w:rPr>
          <w:b/>
          <w:bCs/>
        </w:rPr>
        <w:t>Confidentiality</w:t>
      </w:r>
      <w:r w:rsidRPr="00A831FA">
        <w:rPr>
          <w:rFonts w:cs="Times New Roman"/>
          <w:b/>
          <w:bCs/>
          <w:rtl/>
        </w:rPr>
        <w:t>)</w:t>
      </w:r>
    </w:p>
    <w:p w14:paraId="0226B3B9" w14:textId="77777777" w:rsidR="002527C8" w:rsidRDefault="002527C8" w:rsidP="002527C8">
      <w:pPr>
        <w:rPr>
          <w:rtl/>
        </w:rPr>
      </w:pPr>
      <w:r>
        <w:rPr>
          <w:rFonts w:cs="Times New Roman"/>
          <w:rtl/>
        </w:rPr>
        <w:t>التعريف: تعني السرية حماية بيانات المشاركين وعدم الكشف عن هويتهم أو ربط استجاباتهم بأسمائهم دون موافقتهم (</w:t>
      </w:r>
      <w:r>
        <w:t>APA, 2020</w:t>
      </w:r>
      <w:r>
        <w:rPr>
          <w:rFonts w:cs="Times New Roman"/>
          <w:rtl/>
        </w:rPr>
        <w:t>).</w:t>
      </w:r>
    </w:p>
    <w:p w14:paraId="21C97735" w14:textId="77777777" w:rsidR="002527C8" w:rsidRDefault="002527C8" w:rsidP="002527C8">
      <w:pPr>
        <w:rPr>
          <w:rtl/>
        </w:rPr>
      </w:pPr>
      <w:r>
        <w:rPr>
          <w:rFonts w:cs="Times New Roman"/>
          <w:rtl/>
        </w:rPr>
        <w:t>مثال توضيحي: في الدراسة الحالية، يتم جمع البيانات دون طلب اسم الطالب أو رقمه الجامعي، ويتم التعامل مع الاستبيانات بشكل مجهول الهوية تمامًا، بحيث لا يمكن لأي شخص، بما في ذلك الباحث نفسه، ربط أي استجابة بطالب معين.</w:t>
      </w:r>
    </w:p>
    <w:p w14:paraId="48EEEC2B" w14:textId="77777777" w:rsidR="002527C8" w:rsidRPr="00A831FA" w:rsidRDefault="002527C8" w:rsidP="002527C8">
      <w:pPr>
        <w:rPr>
          <w:b/>
          <w:bCs/>
          <w:rtl/>
        </w:rPr>
      </w:pPr>
      <w:r w:rsidRPr="00A831FA">
        <w:rPr>
          <w:rFonts w:cs="Times New Roman"/>
          <w:b/>
          <w:bCs/>
          <w:rtl/>
        </w:rPr>
        <w:t>‏5. الموافقة المستنيرة (</w:t>
      </w:r>
      <w:r w:rsidRPr="00A831FA">
        <w:rPr>
          <w:b/>
          <w:bCs/>
        </w:rPr>
        <w:t>Informed Consent</w:t>
      </w:r>
      <w:r w:rsidRPr="00A831FA">
        <w:rPr>
          <w:rFonts w:cs="Times New Roman"/>
          <w:b/>
          <w:bCs/>
          <w:rtl/>
        </w:rPr>
        <w:t>)</w:t>
      </w:r>
    </w:p>
    <w:p w14:paraId="10E71C25" w14:textId="77777777" w:rsidR="002527C8" w:rsidRDefault="002527C8" w:rsidP="002527C8">
      <w:pPr>
        <w:rPr>
          <w:rtl/>
        </w:rPr>
      </w:pPr>
      <w:r>
        <w:rPr>
          <w:rFonts w:cs="Times New Roman"/>
          <w:rtl/>
        </w:rPr>
        <w:t xml:space="preserve">التعريف: تعني الموافقة المستنيرة حصول الباحث على موافقة صريحة من المشاركين بعد </w:t>
      </w:r>
      <w:proofErr w:type="spellStart"/>
      <w:r>
        <w:rPr>
          <w:rFonts w:cs="Times New Roman"/>
          <w:rtl/>
        </w:rPr>
        <w:t>إطلاعهم</w:t>
      </w:r>
      <w:proofErr w:type="spellEnd"/>
      <w:r>
        <w:rPr>
          <w:rFonts w:cs="Times New Roman"/>
          <w:rtl/>
        </w:rPr>
        <w:t xml:space="preserve"> على أهداف الدراسة، وطبيعة مشاركتهم، وحقهم في الانسحاب في أي وقت دون أي عواقب (</w:t>
      </w:r>
      <w:r>
        <w:t>Israel &amp; Hay, 2006</w:t>
      </w:r>
      <w:r>
        <w:rPr>
          <w:rFonts w:cs="Times New Roman"/>
          <w:rtl/>
        </w:rPr>
        <w:t>).</w:t>
      </w:r>
    </w:p>
    <w:p w14:paraId="0D2F67D9" w14:textId="77777777" w:rsidR="002527C8" w:rsidRDefault="002527C8" w:rsidP="002527C8">
      <w:pPr>
        <w:rPr>
          <w:rtl/>
        </w:rPr>
      </w:pPr>
      <w:r>
        <w:rPr>
          <w:rFonts w:cs="Times New Roman"/>
          <w:rtl/>
        </w:rPr>
        <w:t xml:space="preserve">مثال توضيحي: قبل توزيع </w:t>
      </w:r>
      <w:proofErr w:type="gramStart"/>
      <w:r>
        <w:rPr>
          <w:rFonts w:cs="Times New Roman"/>
          <w:rtl/>
        </w:rPr>
        <w:t>الاستبيان</w:t>
      </w:r>
      <w:proofErr w:type="gramEnd"/>
      <w:r>
        <w:rPr>
          <w:rFonts w:cs="Times New Roman"/>
          <w:rtl/>
        </w:rPr>
        <w:t xml:space="preserve"> على عينة طلاب جامعة الملك عبد العزيز، يُعرض على الطالب نص تمهيدي يوضح هدف الدراسة، ويؤكد على طوعية المشاركة وسرية البيانات، ولا يُعتبر </w:t>
      </w:r>
      <w:proofErr w:type="gramStart"/>
      <w:r>
        <w:rPr>
          <w:rFonts w:cs="Times New Roman"/>
          <w:rtl/>
        </w:rPr>
        <w:t>الاستبيان</w:t>
      </w:r>
      <w:proofErr w:type="gramEnd"/>
      <w:r>
        <w:rPr>
          <w:rFonts w:cs="Times New Roman"/>
          <w:rtl/>
        </w:rPr>
        <w:t xml:space="preserve"> مكتملًا إلا بعد إقرار الطالب صراحةً بموافقته على المشاركة.</w:t>
      </w:r>
    </w:p>
    <w:p w14:paraId="6E52896B" w14:textId="6EAFB058" w:rsidR="009125CE" w:rsidRPr="00A831FA" w:rsidRDefault="002527C8" w:rsidP="00A831FA">
      <w:pPr>
        <w:jc w:val="center"/>
        <w:rPr>
          <w:rFonts w:cs="Times New Roman"/>
          <w:b/>
          <w:bCs/>
          <w:rtl/>
        </w:rPr>
      </w:pPr>
      <w:r w:rsidRPr="00A831FA">
        <w:rPr>
          <w:rFonts w:cs="Times New Roman"/>
          <w:b/>
          <w:bCs/>
          <w:rtl/>
        </w:rPr>
        <w:t>جدول (1): ملخص المبادئ الأساسية لأخلاقيات البحث العلمي وتطبيقها في الدراسة الحالية</w:t>
      </w:r>
    </w:p>
    <w:tbl>
      <w:tblPr>
        <w:tblStyle w:val="TableGrid"/>
        <w:bidiVisual/>
        <w:tblW w:w="9000" w:type="dxa"/>
        <w:tblLook w:val="0000" w:firstRow="0" w:lastRow="0" w:firstColumn="0" w:lastColumn="0" w:noHBand="0" w:noVBand="0"/>
      </w:tblPr>
      <w:tblGrid>
        <w:gridCol w:w="2200"/>
        <w:gridCol w:w="3400"/>
        <w:gridCol w:w="3400"/>
      </w:tblGrid>
      <w:tr w:rsidR="002527C8" w14:paraId="50E1AB6C" w14:textId="77777777" w:rsidTr="00A831FA">
        <w:tc>
          <w:tcPr>
            <w:tcW w:w="2200" w:type="dxa"/>
          </w:tcPr>
          <w:p w14:paraId="08660CD0" w14:textId="77777777" w:rsidR="002527C8" w:rsidRDefault="002527C8" w:rsidP="00A831FA">
            <w:pPr>
              <w:jc w:val="center"/>
            </w:pPr>
            <w:r>
              <w:rPr>
                <w:rFonts w:ascii="Times New Roman" w:eastAsia="Times New Roman" w:hAnsi="Times New Roman" w:cs="Times New Roman"/>
                <w:b/>
                <w:bCs/>
                <w:szCs w:val="22"/>
                <w:rtl/>
              </w:rPr>
              <w:t>المبدأ</w:t>
            </w:r>
          </w:p>
        </w:tc>
        <w:tc>
          <w:tcPr>
            <w:tcW w:w="3400" w:type="dxa"/>
          </w:tcPr>
          <w:p w14:paraId="4E064A53" w14:textId="77777777" w:rsidR="002527C8" w:rsidRDefault="002527C8" w:rsidP="00A831FA">
            <w:pPr>
              <w:jc w:val="center"/>
            </w:pPr>
            <w:r>
              <w:rPr>
                <w:rFonts w:ascii="Times New Roman" w:eastAsia="Times New Roman" w:hAnsi="Times New Roman" w:cs="Times New Roman"/>
                <w:b/>
                <w:bCs/>
                <w:szCs w:val="22"/>
                <w:rtl/>
              </w:rPr>
              <w:t>تعريف موجز</w:t>
            </w:r>
          </w:p>
        </w:tc>
        <w:tc>
          <w:tcPr>
            <w:tcW w:w="3400" w:type="dxa"/>
          </w:tcPr>
          <w:p w14:paraId="625E25EC" w14:textId="77777777" w:rsidR="002527C8" w:rsidRDefault="002527C8" w:rsidP="00A831FA">
            <w:pPr>
              <w:jc w:val="center"/>
            </w:pPr>
            <w:r>
              <w:rPr>
                <w:rFonts w:ascii="Times New Roman" w:eastAsia="Times New Roman" w:hAnsi="Times New Roman" w:cs="Times New Roman"/>
                <w:b/>
                <w:bCs/>
                <w:szCs w:val="22"/>
                <w:rtl/>
              </w:rPr>
              <w:t>تطبيقه في الدراسة الحالية</w:t>
            </w:r>
          </w:p>
        </w:tc>
      </w:tr>
      <w:tr w:rsidR="002527C8" w14:paraId="1324EBAE" w14:textId="77777777" w:rsidTr="00A831FA">
        <w:tc>
          <w:tcPr>
            <w:tcW w:w="2200" w:type="dxa"/>
          </w:tcPr>
          <w:p w14:paraId="7C7A1C28" w14:textId="77777777" w:rsidR="002527C8" w:rsidRDefault="002527C8" w:rsidP="00A831FA">
            <w:pPr>
              <w:jc w:val="center"/>
            </w:pPr>
            <w:r>
              <w:rPr>
                <w:rFonts w:ascii="Times New Roman" w:eastAsia="Times New Roman" w:hAnsi="Times New Roman" w:cs="Times New Roman"/>
                <w:szCs w:val="22"/>
                <w:rtl/>
              </w:rPr>
              <w:t>الأمانة العلمية</w:t>
            </w:r>
          </w:p>
        </w:tc>
        <w:tc>
          <w:tcPr>
            <w:tcW w:w="3400" w:type="dxa"/>
          </w:tcPr>
          <w:p w14:paraId="73972722" w14:textId="77777777" w:rsidR="002527C8" w:rsidRDefault="002527C8" w:rsidP="00A831FA">
            <w:pPr>
              <w:jc w:val="center"/>
            </w:pPr>
            <w:r>
              <w:rPr>
                <w:rFonts w:ascii="Times New Roman" w:eastAsia="Times New Roman" w:hAnsi="Times New Roman" w:cs="Times New Roman"/>
                <w:szCs w:val="22"/>
                <w:rtl/>
              </w:rPr>
              <w:t>الصدق في عرض الأفكار وتوثيق المصادر والنتائج</w:t>
            </w:r>
          </w:p>
        </w:tc>
        <w:tc>
          <w:tcPr>
            <w:tcW w:w="3400" w:type="dxa"/>
          </w:tcPr>
          <w:p w14:paraId="08C54641" w14:textId="77777777" w:rsidR="002527C8" w:rsidRDefault="002527C8" w:rsidP="00A831FA">
            <w:pPr>
              <w:jc w:val="center"/>
            </w:pPr>
            <w:r>
              <w:rPr>
                <w:rFonts w:ascii="Times New Roman" w:eastAsia="Times New Roman" w:hAnsi="Times New Roman" w:cs="Times New Roman"/>
                <w:szCs w:val="22"/>
                <w:rtl/>
              </w:rPr>
              <w:t>توثيق جميع المراجع وفق APA دون تحريف</w:t>
            </w:r>
          </w:p>
        </w:tc>
      </w:tr>
      <w:tr w:rsidR="002527C8" w14:paraId="071E0778" w14:textId="77777777" w:rsidTr="00A831FA">
        <w:tc>
          <w:tcPr>
            <w:tcW w:w="2200" w:type="dxa"/>
          </w:tcPr>
          <w:p w14:paraId="0A72314E" w14:textId="77777777" w:rsidR="002527C8" w:rsidRDefault="002527C8" w:rsidP="00A831FA">
            <w:pPr>
              <w:jc w:val="center"/>
            </w:pPr>
            <w:r>
              <w:rPr>
                <w:rFonts w:ascii="Times New Roman" w:eastAsia="Times New Roman" w:hAnsi="Times New Roman" w:cs="Times New Roman"/>
                <w:szCs w:val="22"/>
                <w:rtl/>
              </w:rPr>
              <w:t>النزاهة</w:t>
            </w:r>
          </w:p>
        </w:tc>
        <w:tc>
          <w:tcPr>
            <w:tcW w:w="3400" w:type="dxa"/>
          </w:tcPr>
          <w:p w14:paraId="59DA2E90" w14:textId="77777777" w:rsidR="002527C8" w:rsidRDefault="002527C8" w:rsidP="00A831FA">
            <w:pPr>
              <w:jc w:val="center"/>
            </w:pPr>
            <w:r>
              <w:rPr>
                <w:rFonts w:ascii="Times New Roman" w:eastAsia="Times New Roman" w:hAnsi="Times New Roman" w:cs="Times New Roman"/>
                <w:szCs w:val="22"/>
                <w:rtl/>
              </w:rPr>
              <w:t>تجنب التلاعب بالبيانات أو إخفاء النتائج</w:t>
            </w:r>
          </w:p>
        </w:tc>
        <w:tc>
          <w:tcPr>
            <w:tcW w:w="3400" w:type="dxa"/>
          </w:tcPr>
          <w:p w14:paraId="2239311E" w14:textId="77777777" w:rsidR="002527C8" w:rsidRDefault="002527C8" w:rsidP="00A831FA">
            <w:pPr>
              <w:jc w:val="center"/>
            </w:pPr>
            <w:r>
              <w:rPr>
                <w:rFonts w:ascii="Times New Roman" w:eastAsia="Times New Roman" w:hAnsi="Times New Roman" w:cs="Times New Roman"/>
                <w:szCs w:val="22"/>
                <w:rtl/>
              </w:rPr>
              <w:t>عرض جميع نتائج التحليل الإحصائي كما هي</w:t>
            </w:r>
          </w:p>
        </w:tc>
      </w:tr>
      <w:tr w:rsidR="002527C8" w14:paraId="696C47EC" w14:textId="77777777" w:rsidTr="00A831FA">
        <w:tc>
          <w:tcPr>
            <w:tcW w:w="2200" w:type="dxa"/>
          </w:tcPr>
          <w:p w14:paraId="26114995" w14:textId="77777777" w:rsidR="002527C8" w:rsidRDefault="002527C8" w:rsidP="00A831FA">
            <w:pPr>
              <w:jc w:val="center"/>
            </w:pPr>
            <w:r>
              <w:rPr>
                <w:rFonts w:ascii="Times New Roman" w:eastAsia="Times New Roman" w:hAnsi="Times New Roman" w:cs="Times New Roman"/>
                <w:szCs w:val="22"/>
                <w:rtl/>
              </w:rPr>
              <w:t>الموضوعية</w:t>
            </w:r>
          </w:p>
        </w:tc>
        <w:tc>
          <w:tcPr>
            <w:tcW w:w="3400" w:type="dxa"/>
          </w:tcPr>
          <w:p w14:paraId="00409B72" w14:textId="77777777" w:rsidR="002527C8" w:rsidRDefault="002527C8" w:rsidP="00A831FA">
            <w:pPr>
              <w:jc w:val="center"/>
            </w:pPr>
            <w:r>
              <w:rPr>
                <w:rFonts w:ascii="Times New Roman" w:eastAsia="Times New Roman" w:hAnsi="Times New Roman" w:cs="Times New Roman"/>
                <w:szCs w:val="22"/>
                <w:rtl/>
              </w:rPr>
              <w:t>الحياد في جمع البيانات وتفسيرها</w:t>
            </w:r>
          </w:p>
        </w:tc>
        <w:tc>
          <w:tcPr>
            <w:tcW w:w="3400" w:type="dxa"/>
          </w:tcPr>
          <w:p w14:paraId="49980E60" w14:textId="77777777" w:rsidR="002527C8" w:rsidRDefault="002527C8" w:rsidP="00A831FA">
            <w:pPr>
              <w:jc w:val="center"/>
            </w:pPr>
            <w:r>
              <w:rPr>
                <w:rFonts w:ascii="Times New Roman" w:eastAsia="Times New Roman" w:hAnsi="Times New Roman" w:cs="Times New Roman"/>
                <w:szCs w:val="22"/>
                <w:rtl/>
              </w:rPr>
              <w:t xml:space="preserve">صياغة فقرات </w:t>
            </w:r>
            <w:proofErr w:type="gramStart"/>
            <w:r>
              <w:rPr>
                <w:rFonts w:ascii="Times New Roman" w:eastAsia="Times New Roman" w:hAnsi="Times New Roman" w:cs="Times New Roman"/>
                <w:szCs w:val="22"/>
                <w:rtl/>
              </w:rPr>
              <w:t>الاستبيان</w:t>
            </w:r>
            <w:proofErr w:type="gramEnd"/>
            <w:r>
              <w:rPr>
                <w:rFonts w:ascii="Times New Roman" w:eastAsia="Times New Roman" w:hAnsi="Times New Roman" w:cs="Times New Roman"/>
                <w:szCs w:val="22"/>
                <w:rtl/>
              </w:rPr>
              <w:t xml:space="preserve"> بلغة محايدة</w:t>
            </w:r>
          </w:p>
        </w:tc>
      </w:tr>
      <w:tr w:rsidR="002527C8" w14:paraId="603158C4" w14:textId="77777777" w:rsidTr="00A831FA">
        <w:tc>
          <w:tcPr>
            <w:tcW w:w="2200" w:type="dxa"/>
          </w:tcPr>
          <w:p w14:paraId="7A102929" w14:textId="77777777" w:rsidR="002527C8" w:rsidRDefault="002527C8" w:rsidP="00A831FA">
            <w:pPr>
              <w:jc w:val="center"/>
            </w:pPr>
            <w:r>
              <w:rPr>
                <w:rFonts w:ascii="Times New Roman" w:eastAsia="Times New Roman" w:hAnsi="Times New Roman" w:cs="Times New Roman"/>
                <w:szCs w:val="22"/>
                <w:rtl/>
              </w:rPr>
              <w:t>السرية</w:t>
            </w:r>
          </w:p>
        </w:tc>
        <w:tc>
          <w:tcPr>
            <w:tcW w:w="3400" w:type="dxa"/>
          </w:tcPr>
          <w:p w14:paraId="5907F078" w14:textId="77777777" w:rsidR="002527C8" w:rsidRDefault="002527C8" w:rsidP="00A831FA">
            <w:pPr>
              <w:jc w:val="center"/>
            </w:pPr>
            <w:r>
              <w:rPr>
                <w:rFonts w:ascii="Times New Roman" w:eastAsia="Times New Roman" w:hAnsi="Times New Roman" w:cs="Times New Roman"/>
                <w:szCs w:val="22"/>
                <w:rtl/>
              </w:rPr>
              <w:t>حماية بيانات المشاركين وعدم الكشف عن هويتهم</w:t>
            </w:r>
          </w:p>
        </w:tc>
        <w:tc>
          <w:tcPr>
            <w:tcW w:w="3400" w:type="dxa"/>
          </w:tcPr>
          <w:p w14:paraId="20A11F0F" w14:textId="77777777" w:rsidR="002527C8" w:rsidRDefault="002527C8" w:rsidP="00A831FA">
            <w:pPr>
              <w:jc w:val="center"/>
            </w:pPr>
            <w:r>
              <w:rPr>
                <w:rFonts w:ascii="Times New Roman" w:eastAsia="Times New Roman" w:hAnsi="Times New Roman" w:cs="Times New Roman"/>
                <w:szCs w:val="22"/>
                <w:rtl/>
              </w:rPr>
              <w:t>جمع بيانات مجهولة الهوية بالكامل</w:t>
            </w:r>
          </w:p>
        </w:tc>
      </w:tr>
      <w:tr w:rsidR="002527C8" w14:paraId="6B7AE2C4" w14:textId="77777777" w:rsidTr="00A831FA">
        <w:tc>
          <w:tcPr>
            <w:tcW w:w="2200" w:type="dxa"/>
          </w:tcPr>
          <w:p w14:paraId="60273AA2" w14:textId="77777777" w:rsidR="002527C8" w:rsidRDefault="002527C8" w:rsidP="00A831FA">
            <w:pPr>
              <w:jc w:val="center"/>
            </w:pPr>
            <w:r>
              <w:rPr>
                <w:rFonts w:ascii="Times New Roman" w:eastAsia="Times New Roman" w:hAnsi="Times New Roman" w:cs="Times New Roman"/>
                <w:szCs w:val="22"/>
                <w:rtl/>
              </w:rPr>
              <w:t>الموافقة المستنيرة</w:t>
            </w:r>
          </w:p>
        </w:tc>
        <w:tc>
          <w:tcPr>
            <w:tcW w:w="3400" w:type="dxa"/>
          </w:tcPr>
          <w:p w14:paraId="5C01341D" w14:textId="77777777" w:rsidR="002527C8" w:rsidRDefault="002527C8" w:rsidP="00A831FA">
            <w:pPr>
              <w:jc w:val="center"/>
            </w:pPr>
            <w:r>
              <w:rPr>
                <w:rFonts w:ascii="Times New Roman" w:eastAsia="Times New Roman" w:hAnsi="Times New Roman" w:cs="Times New Roman"/>
                <w:szCs w:val="22"/>
                <w:rtl/>
              </w:rPr>
              <w:t>إعلام المشاركين والحصول على موافقتهم الصريحة</w:t>
            </w:r>
          </w:p>
        </w:tc>
        <w:tc>
          <w:tcPr>
            <w:tcW w:w="3400" w:type="dxa"/>
          </w:tcPr>
          <w:p w14:paraId="35391F84" w14:textId="77777777" w:rsidR="002527C8" w:rsidRDefault="002527C8" w:rsidP="00A831FA">
            <w:pPr>
              <w:jc w:val="center"/>
            </w:pPr>
            <w:r>
              <w:rPr>
                <w:rFonts w:ascii="Times New Roman" w:eastAsia="Times New Roman" w:hAnsi="Times New Roman" w:cs="Times New Roman"/>
                <w:szCs w:val="22"/>
                <w:rtl/>
              </w:rPr>
              <w:t xml:space="preserve">نص تمهيدي وإقرار موافقة قبل بدء </w:t>
            </w:r>
            <w:proofErr w:type="gramStart"/>
            <w:r>
              <w:rPr>
                <w:rFonts w:ascii="Times New Roman" w:eastAsia="Times New Roman" w:hAnsi="Times New Roman" w:cs="Times New Roman"/>
                <w:szCs w:val="22"/>
                <w:rtl/>
              </w:rPr>
              <w:t>الاستبيان</w:t>
            </w:r>
            <w:proofErr w:type="gramEnd"/>
          </w:p>
        </w:tc>
      </w:tr>
    </w:tbl>
    <w:p w14:paraId="650D08DE" w14:textId="77777777" w:rsidR="002527C8" w:rsidRDefault="002527C8" w:rsidP="002527C8">
      <w:pPr>
        <w:rPr>
          <w:rtl/>
        </w:rPr>
      </w:pPr>
    </w:p>
    <w:p w14:paraId="0CA2C6B6" w14:textId="77777777" w:rsidR="002527C8" w:rsidRDefault="002527C8" w:rsidP="00A831FA">
      <w:pPr>
        <w:pStyle w:val="Heading1"/>
        <w:rPr>
          <w:rtl/>
        </w:rPr>
      </w:pPr>
      <w:r>
        <w:rPr>
          <w:rtl/>
        </w:rPr>
        <w:lastRenderedPageBreak/>
        <w:t>رابعاً: القضايا الأخلاقية في البحث العلمي</w:t>
      </w:r>
    </w:p>
    <w:p w14:paraId="5BADFDEC" w14:textId="77777777" w:rsidR="002527C8" w:rsidRPr="00A831FA" w:rsidRDefault="002527C8" w:rsidP="002527C8">
      <w:pPr>
        <w:rPr>
          <w:b/>
          <w:bCs/>
          <w:rtl/>
        </w:rPr>
      </w:pPr>
      <w:r w:rsidRPr="00A831FA">
        <w:rPr>
          <w:rFonts w:cs="Times New Roman"/>
          <w:b/>
          <w:bCs/>
          <w:rtl/>
        </w:rPr>
        <w:t>‏1. الانتحال العلمي (</w:t>
      </w:r>
      <w:r w:rsidRPr="00A831FA">
        <w:rPr>
          <w:b/>
          <w:bCs/>
        </w:rPr>
        <w:t>Plagiarism</w:t>
      </w:r>
      <w:r w:rsidRPr="00A831FA">
        <w:rPr>
          <w:rFonts w:cs="Times New Roman"/>
          <w:b/>
          <w:bCs/>
          <w:rtl/>
        </w:rPr>
        <w:t>)</w:t>
      </w:r>
    </w:p>
    <w:p w14:paraId="3CF31D5A" w14:textId="77777777" w:rsidR="002527C8" w:rsidRDefault="002527C8" w:rsidP="002527C8">
      <w:pPr>
        <w:rPr>
          <w:rtl/>
        </w:rPr>
      </w:pPr>
      <w:r>
        <w:rPr>
          <w:rFonts w:cs="Times New Roman"/>
          <w:rtl/>
        </w:rPr>
        <w:t>يُقصد به استخدام أفكار أو نصوص أو نتائج باحثين آخرين دون نسبتها إليهم أو دون توثيقها بشكل صحيح، بحيث تُعرض على أنها جهد أصلي للباحث (</w:t>
      </w:r>
      <w:r>
        <w:t>APA, 2020</w:t>
      </w:r>
      <w:r>
        <w:rPr>
          <w:rFonts w:cs="Times New Roman"/>
          <w:rtl/>
        </w:rPr>
        <w:t>).</w:t>
      </w:r>
    </w:p>
    <w:p w14:paraId="55B9DEA2" w14:textId="77777777" w:rsidR="002527C8" w:rsidRDefault="002527C8" w:rsidP="002527C8">
      <w:pPr>
        <w:rPr>
          <w:rtl/>
        </w:rPr>
      </w:pPr>
      <w:r>
        <w:rPr>
          <w:rFonts w:cs="Times New Roman"/>
          <w:rtl/>
        </w:rPr>
        <w:t>مثال: لو قام طالب بنسخ فقرات كاملة من دراسة فتحي وآخرون (2023) دون وضعها بين علامتي اقتباس أو الإشارة إلى مصدرها، فإن ذلك يُعد انتحالًا علميًا يعرضه للمساءلة الأكاديمية.</w:t>
      </w:r>
    </w:p>
    <w:p w14:paraId="569EDDFE" w14:textId="77777777" w:rsidR="002527C8" w:rsidRPr="00A831FA" w:rsidRDefault="002527C8" w:rsidP="002527C8">
      <w:pPr>
        <w:rPr>
          <w:b/>
          <w:bCs/>
          <w:rtl/>
        </w:rPr>
      </w:pPr>
      <w:r w:rsidRPr="00A831FA">
        <w:rPr>
          <w:rFonts w:cs="Times New Roman"/>
          <w:b/>
          <w:bCs/>
          <w:rtl/>
        </w:rPr>
        <w:t>‏2. تزوير البيانات (</w:t>
      </w:r>
      <w:r w:rsidRPr="00A831FA">
        <w:rPr>
          <w:b/>
          <w:bCs/>
        </w:rPr>
        <w:t>Data Fabrication / Falsification</w:t>
      </w:r>
      <w:r w:rsidRPr="00A831FA">
        <w:rPr>
          <w:rFonts w:cs="Times New Roman"/>
          <w:b/>
          <w:bCs/>
          <w:rtl/>
        </w:rPr>
        <w:t>)</w:t>
      </w:r>
    </w:p>
    <w:p w14:paraId="27B73DC1" w14:textId="77777777" w:rsidR="002527C8" w:rsidRDefault="002527C8" w:rsidP="002527C8">
      <w:pPr>
        <w:rPr>
          <w:rtl/>
        </w:rPr>
      </w:pPr>
      <w:r>
        <w:rPr>
          <w:rFonts w:cs="Times New Roman"/>
          <w:rtl/>
        </w:rPr>
        <w:t>يشمل اختلاق بيانات لم تُجمع فعليًا، أو تعديل البيانات الحقيقية بما يجعلها متوافقة مع فرضيات الباحث (</w:t>
      </w:r>
      <w:proofErr w:type="spellStart"/>
      <w:r>
        <w:t>Shamoo</w:t>
      </w:r>
      <w:proofErr w:type="spellEnd"/>
      <w:r>
        <w:t xml:space="preserve"> &amp; Resnik, 2009</w:t>
      </w:r>
      <w:r>
        <w:rPr>
          <w:rFonts w:cs="Times New Roman"/>
          <w:rtl/>
        </w:rPr>
        <w:t>).</w:t>
      </w:r>
    </w:p>
    <w:p w14:paraId="3BC8DED8" w14:textId="77777777" w:rsidR="002527C8" w:rsidRDefault="002527C8" w:rsidP="002527C8">
      <w:pPr>
        <w:rPr>
          <w:rtl/>
        </w:rPr>
      </w:pPr>
      <w:r>
        <w:rPr>
          <w:rFonts w:cs="Times New Roman"/>
          <w:rtl/>
        </w:rPr>
        <w:t>مثال افتراضي: لو افترضنا أن نتائج التحليل الإحصائي للدراسة الحالية لم تُظهر علاقة دالة إحصائيًا بين جودة الحياة الجامعية والتحصيل العلمي، فإن قيام الباحث بتعديل بعض القيم الإحصائية لإظهار دلالة غير موجودة يُعد تزويرًا للبيانات.</w:t>
      </w:r>
    </w:p>
    <w:p w14:paraId="2419D41F" w14:textId="77777777" w:rsidR="002527C8" w:rsidRPr="00A831FA" w:rsidRDefault="002527C8" w:rsidP="002527C8">
      <w:pPr>
        <w:rPr>
          <w:b/>
          <w:bCs/>
          <w:rtl/>
        </w:rPr>
      </w:pPr>
      <w:r w:rsidRPr="00A831FA">
        <w:rPr>
          <w:rFonts w:cs="Times New Roman"/>
          <w:b/>
          <w:bCs/>
          <w:rtl/>
        </w:rPr>
        <w:t>‏3. التحيز (</w:t>
      </w:r>
      <w:r w:rsidRPr="00A831FA">
        <w:rPr>
          <w:b/>
          <w:bCs/>
        </w:rPr>
        <w:t>Bias</w:t>
      </w:r>
      <w:r w:rsidRPr="00A831FA">
        <w:rPr>
          <w:rFonts w:cs="Times New Roman"/>
          <w:b/>
          <w:bCs/>
          <w:rtl/>
        </w:rPr>
        <w:t>)</w:t>
      </w:r>
    </w:p>
    <w:p w14:paraId="0DEB5FF6" w14:textId="77777777" w:rsidR="002527C8" w:rsidRDefault="002527C8" w:rsidP="002527C8">
      <w:pPr>
        <w:rPr>
          <w:rtl/>
        </w:rPr>
      </w:pPr>
      <w:r>
        <w:rPr>
          <w:rFonts w:cs="Times New Roman"/>
          <w:rtl/>
        </w:rPr>
        <w:t>يعني ميل الباحث، عن قصد أو غير قصد، نحو نتيجة معينة، سواء في اختيار العينة، أو صياغة الأدوات، أو تفسير النتائج (</w:t>
      </w:r>
      <w:r>
        <w:t>Israel &amp; Hay, 2006</w:t>
      </w:r>
      <w:r>
        <w:rPr>
          <w:rFonts w:cs="Times New Roman"/>
          <w:rtl/>
        </w:rPr>
        <w:t>).</w:t>
      </w:r>
    </w:p>
    <w:p w14:paraId="19CD2AC6" w14:textId="77777777" w:rsidR="002527C8" w:rsidRDefault="002527C8" w:rsidP="002527C8">
      <w:pPr>
        <w:rPr>
          <w:rtl/>
        </w:rPr>
      </w:pPr>
      <w:r>
        <w:rPr>
          <w:rFonts w:cs="Times New Roman"/>
          <w:rtl/>
        </w:rPr>
        <w:t>مثال: لو اقتصرت عينة الدراسة على طلاب كلية واحدة معروفة بتميزها الأكاديمي، فإن ذلك قد يؤدي إلى نتائج متحيزة لا تعكس واقع جميع طلاب الجامعة من مختلف الكليات والمستويات.</w:t>
      </w:r>
    </w:p>
    <w:p w14:paraId="6EEEAF90" w14:textId="77777777" w:rsidR="002527C8" w:rsidRPr="00A831FA" w:rsidRDefault="002527C8" w:rsidP="002527C8">
      <w:pPr>
        <w:rPr>
          <w:b/>
          <w:bCs/>
          <w:rtl/>
        </w:rPr>
      </w:pPr>
      <w:r w:rsidRPr="00A831FA">
        <w:rPr>
          <w:rFonts w:cs="Times New Roman"/>
          <w:b/>
          <w:bCs/>
          <w:rtl/>
        </w:rPr>
        <w:t>‏4. انتهاك الخصوصية (</w:t>
      </w:r>
      <w:r w:rsidRPr="00A831FA">
        <w:rPr>
          <w:b/>
          <w:bCs/>
        </w:rPr>
        <w:t>Privacy Violation</w:t>
      </w:r>
      <w:r w:rsidRPr="00A831FA">
        <w:rPr>
          <w:rFonts w:cs="Times New Roman"/>
          <w:b/>
          <w:bCs/>
          <w:rtl/>
        </w:rPr>
        <w:t>)</w:t>
      </w:r>
    </w:p>
    <w:p w14:paraId="55D22C02" w14:textId="77777777" w:rsidR="002527C8" w:rsidRDefault="002527C8" w:rsidP="002527C8">
      <w:pPr>
        <w:rPr>
          <w:rtl/>
        </w:rPr>
      </w:pPr>
      <w:r>
        <w:rPr>
          <w:rFonts w:cs="Times New Roman"/>
          <w:rtl/>
        </w:rPr>
        <w:t>يحدث عند الكشف عن معلومات شخصية للمشاركين دون إذنهم، أو استخدام بياناتهم لأغراض غير معلنة لهم (</w:t>
      </w:r>
      <w:r>
        <w:t>APA, 2020</w:t>
      </w:r>
      <w:r>
        <w:rPr>
          <w:rFonts w:cs="Times New Roman"/>
          <w:rtl/>
        </w:rPr>
        <w:t>).</w:t>
      </w:r>
    </w:p>
    <w:p w14:paraId="7AEF3CF0" w14:textId="77777777" w:rsidR="002527C8" w:rsidRDefault="002527C8" w:rsidP="002527C8">
      <w:pPr>
        <w:rPr>
          <w:rtl/>
        </w:rPr>
      </w:pPr>
      <w:r>
        <w:rPr>
          <w:rFonts w:cs="Times New Roman"/>
          <w:rtl/>
        </w:rPr>
        <w:t>مثال: لو تم نشر بيانات فردية تتعلق بمعدلات طلاب بعينهم أو ظروفهم الأسرية بشكل يمكن من خلاله التعرف على هويتهم، فإن ذلك يُعد انتهاكًا صريحًا لخصوصيتهم.</w:t>
      </w:r>
    </w:p>
    <w:p w14:paraId="4701B8D3" w14:textId="77777777" w:rsidR="002527C8" w:rsidRPr="00A831FA" w:rsidRDefault="002527C8" w:rsidP="002527C8">
      <w:pPr>
        <w:rPr>
          <w:b/>
          <w:bCs/>
          <w:rtl/>
        </w:rPr>
      </w:pPr>
      <w:r w:rsidRPr="00A831FA">
        <w:rPr>
          <w:rFonts w:cs="Times New Roman"/>
          <w:b/>
          <w:bCs/>
          <w:rtl/>
        </w:rPr>
        <w:t>‏5. تضارب المصالح (</w:t>
      </w:r>
      <w:r w:rsidRPr="00A831FA">
        <w:rPr>
          <w:b/>
          <w:bCs/>
        </w:rPr>
        <w:t>Conflict of Interest</w:t>
      </w:r>
      <w:r w:rsidRPr="00A831FA">
        <w:rPr>
          <w:rFonts w:cs="Times New Roman"/>
          <w:b/>
          <w:bCs/>
          <w:rtl/>
        </w:rPr>
        <w:t>)</w:t>
      </w:r>
    </w:p>
    <w:p w14:paraId="281C5763" w14:textId="77777777" w:rsidR="002527C8" w:rsidRDefault="002527C8" w:rsidP="002527C8">
      <w:pPr>
        <w:rPr>
          <w:rtl/>
        </w:rPr>
      </w:pPr>
      <w:r>
        <w:rPr>
          <w:rFonts w:cs="Times New Roman"/>
          <w:rtl/>
        </w:rPr>
        <w:t>يشير إلى وجود مصلحة شخصية أو مادية للباحث قد تؤثر على موضوعية البحث أو نتائجه (</w:t>
      </w:r>
      <w:r>
        <w:t>Resnik, 2020</w:t>
      </w:r>
      <w:r>
        <w:rPr>
          <w:rFonts w:cs="Times New Roman"/>
          <w:rtl/>
        </w:rPr>
        <w:t>).</w:t>
      </w:r>
    </w:p>
    <w:p w14:paraId="6251378C" w14:textId="77777777" w:rsidR="002527C8" w:rsidRDefault="002527C8" w:rsidP="002527C8">
      <w:pPr>
        <w:rPr>
          <w:rtl/>
        </w:rPr>
      </w:pPr>
      <w:r>
        <w:rPr>
          <w:rFonts w:cs="Times New Roman"/>
          <w:rtl/>
        </w:rPr>
        <w:lastRenderedPageBreak/>
        <w:t>مثال افتراضي: لو كان الباحث يعمل في الإدارة المسؤولة عن الخدمات الطلابية في الجامعة محل الدراسة، وكانت نتائج البحث ستُستخدم لتقييم أداء هذه الإدارة، فإن ذلك يمثل تضاربًا محتملًا في المصالح يستوجب الإفصاح عنه.</w:t>
      </w:r>
    </w:p>
    <w:p w14:paraId="24653846" w14:textId="60CCD3BE" w:rsidR="002527C8" w:rsidRPr="00A831FA" w:rsidRDefault="002527C8" w:rsidP="00A831FA">
      <w:pPr>
        <w:jc w:val="center"/>
        <w:rPr>
          <w:rFonts w:cs="Times New Roman"/>
          <w:b/>
          <w:bCs/>
          <w:rtl/>
        </w:rPr>
      </w:pPr>
      <w:r w:rsidRPr="00A831FA">
        <w:rPr>
          <w:rFonts w:cs="Times New Roman"/>
          <w:b/>
          <w:bCs/>
          <w:rtl/>
        </w:rPr>
        <w:t>جدول (2): القضايا الأخلاقية الشائعة وإجراءات تجنبها في الدراسة الحالية</w:t>
      </w:r>
    </w:p>
    <w:tbl>
      <w:tblPr>
        <w:tblStyle w:val="TableGrid"/>
        <w:bidiVisual/>
        <w:tblW w:w="9000" w:type="dxa"/>
        <w:tblLook w:val="0000" w:firstRow="0" w:lastRow="0" w:firstColumn="0" w:lastColumn="0" w:noHBand="0" w:noVBand="0"/>
      </w:tblPr>
      <w:tblGrid>
        <w:gridCol w:w="2200"/>
        <w:gridCol w:w="3400"/>
        <w:gridCol w:w="3400"/>
      </w:tblGrid>
      <w:tr w:rsidR="002527C8" w14:paraId="29B9C055" w14:textId="77777777" w:rsidTr="00A831FA">
        <w:tc>
          <w:tcPr>
            <w:tcW w:w="2200" w:type="dxa"/>
          </w:tcPr>
          <w:p w14:paraId="098E1CA9" w14:textId="77777777" w:rsidR="002527C8" w:rsidRDefault="002527C8" w:rsidP="00A831FA">
            <w:pPr>
              <w:jc w:val="center"/>
            </w:pPr>
            <w:r>
              <w:rPr>
                <w:rFonts w:ascii="Times New Roman" w:eastAsia="Times New Roman" w:hAnsi="Times New Roman" w:cs="Times New Roman"/>
                <w:b/>
                <w:bCs/>
                <w:szCs w:val="22"/>
                <w:rtl/>
              </w:rPr>
              <w:t>القضية الأخلاقية</w:t>
            </w:r>
          </w:p>
        </w:tc>
        <w:tc>
          <w:tcPr>
            <w:tcW w:w="3400" w:type="dxa"/>
          </w:tcPr>
          <w:p w14:paraId="2BEE4262" w14:textId="77777777" w:rsidR="002527C8" w:rsidRDefault="002527C8" w:rsidP="00A831FA">
            <w:pPr>
              <w:jc w:val="center"/>
            </w:pPr>
            <w:r>
              <w:rPr>
                <w:rFonts w:ascii="Times New Roman" w:eastAsia="Times New Roman" w:hAnsi="Times New Roman" w:cs="Times New Roman"/>
                <w:b/>
                <w:bCs/>
                <w:szCs w:val="22"/>
                <w:rtl/>
              </w:rPr>
              <w:t>وصف مختصر</w:t>
            </w:r>
          </w:p>
        </w:tc>
        <w:tc>
          <w:tcPr>
            <w:tcW w:w="3400" w:type="dxa"/>
          </w:tcPr>
          <w:p w14:paraId="6E756BE9" w14:textId="77777777" w:rsidR="002527C8" w:rsidRDefault="002527C8" w:rsidP="00A831FA">
            <w:pPr>
              <w:jc w:val="center"/>
            </w:pPr>
            <w:r>
              <w:rPr>
                <w:rFonts w:ascii="Times New Roman" w:eastAsia="Times New Roman" w:hAnsi="Times New Roman" w:cs="Times New Roman"/>
                <w:b/>
                <w:bCs/>
                <w:szCs w:val="22"/>
                <w:rtl/>
              </w:rPr>
              <w:t>إجراء الوقاية في الدراسة الحالية</w:t>
            </w:r>
          </w:p>
        </w:tc>
      </w:tr>
      <w:tr w:rsidR="002527C8" w14:paraId="270D8FFF" w14:textId="77777777" w:rsidTr="00A831FA">
        <w:tc>
          <w:tcPr>
            <w:tcW w:w="2200" w:type="dxa"/>
          </w:tcPr>
          <w:p w14:paraId="56144BED" w14:textId="77777777" w:rsidR="002527C8" w:rsidRDefault="002527C8" w:rsidP="00A831FA">
            <w:pPr>
              <w:jc w:val="center"/>
            </w:pPr>
            <w:r>
              <w:rPr>
                <w:rFonts w:ascii="Times New Roman" w:eastAsia="Times New Roman" w:hAnsi="Times New Roman" w:cs="Times New Roman"/>
                <w:szCs w:val="22"/>
                <w:rtl/>
              </w:rPr>
              <w:t>الانتحال العلمي</w:t>
            </w:r>
          </w:p>
        </w:tc>
        <w:tc>
          <w:tcPr>
            <w:tcW w:w="3400" w:type="dxa"/>
          </w:tcPr>
          <w:p w14:paraId="63B1B523" w14:textId="77777777" w:rsidR="002527C8" w:rsidRDefault="002527C8" w:rsidP="00A831FA">
            <w:pPr>
              <w:jc w:val="center"/>
            </w:pPr>
            <w:r>
              <w:rPr>
                <w:rFonts w:ascii="Times New Roman" w:eastAsia="Times New Roman" w:hAnsi="Times New Roman" w:cs="Times New Roman"/>
                <w:szCs w:val="22"/>
                <w:rtl/>
              </w:rPr>
              <w:t>نسبة أفكار الآخرين لنفسه دون توثيق</w:t>
            </w:r>
          </w:p>
        </w:tc>
        <w:tc>
          <w:tcPr>
            <w:tcW w:w="3400" w:type="dxa"/>
          </w:tcPr>
          <w:p w14:paraId="337EEB17" w14:textId="77777777" w:rsidR="002527C8" w:rsidRDefault="002527C8" w:rsidP="00A831FA">
            <w:pPr>
              <w:jc w:val="center"/>
            </w:pPr>
            <w:r>
              <w:rPr>
                <w:rFonts w:ascii="Times New Roman" w:eastAsia="Times New Roman" w:hAnsi="Times New Roman" w:cs="Times New Roman"/>
                <w:szCs w:val="22"/>
                <w:rtl/>
              </w:rPr>
              <w:t>توثيق جميع المصادر وفق نظام APA</w:t>
            </w:r>
          </w:p>
        </w:tc>
      </w:tr>
      <w:tr w:rsidR="002527C8" w14:paraId="4B8CCDA6" w14:textId="77777777" w:rsidTr="00A831FA">
        <w:tc>
          <w:tcPr>
            <w:tcW w:w="2200" w:type="dxa"/>
          </w:tcPr>
          <w:p w14:paraId="4E59FDC8" w14:textId="77777777" w:rsidR="002527C8" w:rsidRDefault="002527C8" w:rsidP="00A831FA">
            <w:pPr>
              <w:jc w:val="center"/>
            </w:pPr>
            <w:r>
              <w:rPr>
                <w:rFonts w:ascii="Times New Roman" w:eastAsia="Times New Roman" w:hAnsi="Times New Roman" w:cs="Times New Roman"/>
                <w:szCs w:val="22"/>
                <w:rtl/>
              </w:rPr>
              <w:t>تزوير البيانات</w:t>
            </w:r>
          </w:p>
        </w:tc>
        <w:tc>
          <w:tcPr>
            <w:tcW w:w="3400" w:type="dxa"/>
          </w:tcPr>
          <w:p w14:paraId="6D69BAD2" w14:textId="77777777" w:rsidR="002527C8" w:rsidRDefault="002527C8" w:rsidP="00A831FA">
            <w:pPr>
              <w:jc w:val="center"/>
            </w:pPr>
            <w:r>
              <w:rPr>
                <w:rFonts w:ascii="Times New Roman" w:eastAsia="Times New Roman" w:hAnsi="Times New Roman" w:cs="Times New Roman"/>
                <w:szCs w:val="22"/>
                <w:rtl/>
              </w:rPr>
              <w:t>اختلاق أو تعديل البيانات لتناسب الفروض</w:t>
            </w:r>
          </w:p>
        </w:tc>
        <w:tc>
          <w:tcPr>
            <w:tcW w:w="3400" w:type="dxa"/>
          </w:tcPr>
          <w:p w14:paraId="0C30E9FA" w14:textId="77777777" w:rsidR="002527C8" w:rsidRDefault="002527C8" w:rsidP="00A831FA">
            <w:pPr>
              <w:jc w:val="center"/>
            </w:pPr>
            <w:r>
              <w:rPr>
                <w:rFonts w:ascii="Times New Roman" w:eastAsia="Times New Roman" w:hAnsi="Times New Roman" w:cs="Times New Roman"/>
                <w:szCs w:val="22"/>
                <w:rtl/>
              </w:rPr>
              <w:t>عرض نتائج التحليل الإحصائي كما هي دون تعديل</w:t>
            </w:r>
          </w:p>
        </w:tc>
      </w:tr>
      <w:tr w:rsidR="002527C8" w14:paraId="13617D80" w14:textId="77777777" w:rsidTr="00A831FA">
        <w:tc>
          <w:tcPr>
            <w:tcW w:w="2200" w:type="dxa"/>
          </w:tcPr>
          <w:p w14:paraId="73BA2B20" w14:textId="77777777" w:rsidR="002527C8" w:rsidRDefault="002527C8" w:rsidP="00A831FA">
            <w:pPr>
              <w:jc w:val="center"/>
            </w:pPr>
            <w:r>
              <w:rPr>
                <w:rFonts w:ascii="Times New Roman" w:eastAsia="Times New Roman" w:hAnsi="Times New Roman" w:cs="Times New Roman"/>
                <w:szCs w:val="22"/>
                <w:rtl/>
              </w:rPr>
              <w:t>التحيز</w:t>
            </w:r>
          </w:p>
        </w:tc>
        <w:tc>
          <w:tcPr>
            <w:tcW w:w="3400" w:type="dxa"/>
          </w:tcPr>
          <w:p w14:paraId="481551F3" w14:textId="77777777" w:rsidR="002527C8" w:rsidRDefault="002527C8" w:rsidP="00A831FA">
            <w:pPr>
              <w:jc w:val="center"/>
            </w:pPr>
            <w:r>
              <w:rPr>
                <w:rFonts w:ascii="Times New Roman" w:eastAsia="Times New Roman" w:hAnsi="Times New Roman" w:cs="Times New Roman"/>
                <w:szCs w:val="22"/>
                <w:rtl/>
              </w:rPr>
              <w:t>اختيار العينة أو صياغة الأدوات بشكل غير محايد</w:t>
            </w:r>
          </w:p>
        </w:tc>
        <w:tc>
          <w:tcPr>
            <w:tcW w:w="3400" w:type="dxa"/>
          </w:tcPr>
          <w:p w14:paraId="74F5C3B2" w14:textId="77777777" w:rsidR="002527C8" w:rsidRDefault="002527C8" w:rsidP="00A831FA">
            <w:pPr>
              <w:jc w:val="center"/>
            </w:pPr>
            <w:r>
              <w:rPr>
                <w:rFonts w:ascii="Times New Roman" w:eastAsia="Times New Roman" w:hAnsi="Times New Roman" w:cs="Times New Roman"/>
                <w:szCs w:val="22"/>
                <w:rtl/>
              </w:rPr>
              <w:t>عينة عشوائية طبقية تمثل جميع الكليات والمستويات</w:t>
            </w:r>
          </w:p>
        </w:tc>
      </w:tr>
      <w:tr w:rsidR="002527C8" w14:paraId="3CF066FB" w14:textId="77777777" w:rsidTr="00A831FA">
        <w:tc>
          <w:tcPr>
            <w:tcW w:w="2200" w:type="dxa"/>
          </w:tcPr>
          <w:p w14:paraId="1E185877" w14:textId="77777777" w:rsidR="002527C8" w:rsidRDefault="002527C8" w:rsidP="00A831FA">
            <w:pPr>
              <w:jc w:val="center"/>
            </w:pPr>
            <w:r>
              <w:rPr>
                <w:rFonts w:ascii="Times New Roman" w:eastAsia="Times New Roman" w:hAnsi="Times New Roman" w:cs="Times New Roman"/>
                <w:szCs w:val="22"/>
                <w:rtl/>
              </w:rPr>
              <w:t>انتهاك الخصوصية</w:t>
            </w:r>
          </w:p>
        </w:tc>
        <w:tc>
          <w:tcPr>
            <w:tcW w:w="3400" w:type="dxa"/>
          </w:tcPr>
          <w:p w14:paraId="27069337" w14:textId="77777777" w:rsidR="002527C8" w:rsidRDefault="002527C8" w:rsidP="00A831FA">
            <w:pPr>
              <w:jc w:val="center"/>
            </w:pPr>
            <w:r>
              <w:rPr>
                <w:rFonts w:ascii="Times New Roman" w:eastAsia="Times New Roman" w:hAnsi="Times New Roman" w:cs="Times New Roman"/>
                <w:szCs w:val="22"/>
                <w:rtl/>
              </w:rPr>
              <w:t>كشف معلومات شخصية للمشاركين دون إذن</w:t>
            </w:r>
          </w:p>
        </w:tc>
        <w:tc>
          <w:tcPr>
            <w:tcW w:w="3400" w:type="dxa"/>
          </w:tcPr>
          <w:p w14:paraId="424A717C" w14:textId="77777777" w:rsidR="002527C8" w:rsidRDefault="002527C8" w:rsidP="00A831FA">
            <w:pPr>
              <w:jc w:val="center"/>
            </w:pPr>
            <w:r>
              <w:rPr>
                <w:rFonts w:ascii="Times New Roman" w:eastAsia="Times New Roman" w:hAnsi="Times New Roman" w:cs="Times New Roman"/>
                <w:szCs w:val="22"/>
                <w:rtl/>
              </w:rPr>
              <w:t>بيانات مجهولة الهوية وعرض النتائج بشكل إجمالي</w:t>
            </w:r>
          </w:p>
        </w:tc>
      </w:tr>
      <w:tr w:rsidR="002527C8" w14:paraId="1F1CCFD1" w14:textId="77777777" w:rsidTr="00A831FA">
        <w:tc>
          <w:tcPr>
            <w:tcW w:w="2200" w:type="dxa"/>
          </w:tcPr>
          <w:p w14:paraId="6DAB8937" w14:textId="77777777" w:rsidR="002527C8" w:rsidRDefault="002527C8" w:rsidP="00A831FA">
            <w:pPr>
              <w:jc w:val="center"/>
            </w:pPr>
            <w:r>
              <w:rPr>
                <w:rFonts w:ascii="Times New Roman" w:eastAsia="Times New Roman" w:hAnsi="Times New Roman" w:cs="Times New Roman"/>
                <w:szCs w:val="22"/>
                <w:rtl/>
              </w:rPr>
              <w:t>تضارب المصالح</w:t>
            </w:r>
          </w:p>
        </w:tc>
        <w:tc>
          <w:tcPr>
            <w:tcW w:w="3400" w:type="dxa"/>
          </w:tcPr>
          <w:p w14:paraId="68BC019B" w14:textId="77777777" w:rsidR="002527C8" w:rsidRDefault="002527C8" w:rsidP="00A831FA">
            <w:pPr>
              <w:jc w:val="center"/>
            </w:pPr>
            <w:r>
              <w:rPr>
                <w:rFonts w:ascii="Times New Roman" w:eastAsia="Times New Roman" w:hAnsi="Times New Roman" w:cs="Times New Roman"/>
                <w:szCs w:val="22"/>
                <w:rtl/>
              </w:rPr>
              <w:t>وجود مصلحة شخصية تؤثر على موضوعية البحث</w:t>
            </w:r>
          </w:p>
        </w:tc>
        <w:tc>
          <w:tcPr>
            <w:tcW w:w="3400" w:type="dxa"/>
          </w:tcPr>
          <w:p w14:paraId="0F96969D" w14:textId="77777777" w:rsidR="002527C8" w:rsidRDefault="002527C8" w:rsidP="00A831FA">
            <w:pPr>
              <w:jc w:val="center"/>
            </w:pPr>
            <w:r>
              <w:rPr>
                <w:rFonts w:ascii="Times New Roman" w:eastAsia="Times New Roman" w:hAnsi="Times New Roman" w:cs="Times New Roman"/>
                <w:szCs w:val="22"/>
                <w:rtl/>
              </w:rPr>
              <w:t>إفصاح الباحث عن عدم وجود أي علاقة وظيفية مؤثرة</w:t>
            </w:r>
          </w:p>
        </w:tc>
      </w:tr>
    </w:tbl>
    <w:p w14:paraId="35C634A8" w14:textId="77777777" w:rsidR="002527C8" w:rsidRDefault="002527C8" w:rsidP="00A831FA">
      <w:pPr>
        <w:pStyle w:val="Heading1"/>
        <w:rPr>
          <w:rtl/>
        </w:rPr>
      </w:pPr>
      <w:r>
        <w:rPr>
          <w:rtl/>
        </w:rPr>
        <w:t>خامساً: القواعد واللوائح المنظمة لأخلاقيات البحث</w:t>
      </w:r>
    </w:p>
    <w:p w14:paraId="0FDED452" w14:textId="77777777" w:rsidR="002527C8" w:rsidRDefault="002527C8" w:rsidP="002527C8">
      <w:pPr>
        <w:rPr>
          <w:rtl/>
        </w:rPr>
      </w:pPr>
      <w:r>
        <w:rPr>
          <w:rFonts w:cs="Times New Roman"/>
          <w:rtl/>
        </w:rPr>
        <w:t>تلعب لجان أخلاقيات البحث (</w:t>
      </w:r>
      <w:r>
        <w:t>Institutional Review Board - IRB</w:t>
      </w:r>
      <w:r>
        <w:rPr>
          <w:rFonts w:cs="Times New Roman"/>
          <w:rtl/>
        </w:rPr>
        <w:t xml:space="preserve">) دورًا محوريًا في ضمان التزام الباحثين بالمعايير الأخلاقية قبل البدء في تنفيذ أي دراسة تتضمن مشاركين من البشر. وتتولى هذه اللجان مراجعة بروتوكول الدراسة، والتأكد من وجود نموذج موافقة مستنيرة واضح، وتقييم أي </w:t>
      </w:r>
      <w:proofErr w:type="gramStart"/>
      <w:r>
        <w:rPr>
          <w:rFonts w:cs="Times New Roman"/>
          <w:rtl/>
        </w:rPr>
        <w:t>مخاطر</w:t>
      </w:r>
      <w:proofErr w:type="gramEnd"/>
      <w:r>
        <w:rPr>
          <w:rFonts w:cs="Times New Roman"/>
          <w:rtl/>
        </w:rPr>
        <w:t xml:space="preserve"> محتملة على المشاركين، ومدى كفاية إجراءات حماية السرية (</w:t>
      </w:r>
      <w:r>
        <w:t>Israel &amp; Hay, 2006</w:t>
      </w:r>
      <w:r>
        <w:rPr>
          <w:rFonts w:cs="Times New Roman"/>
          <w:rtl/>
        </w:rPr>
        <w:t>).</w:t>
      </w:r>
    </w:p>
    <w:p w14:paraId="7284059C" w14:textId="77777777" w:rsidR="002527C8" w:rsidRDefault="002527C8" w:rsidP="002527C8">
      <w:pPr>
        <w:rPr>
          <w:rtl/>
        </w:rPr>
      </w:pPr>
      <w:r>
        <w:rPr>
          <w:rFonts w:cs="Times New Roman"/>
          <w:rtl/>
        </w:rPr>
        <w:t>أما على مستوى التوثيق والكتابة العلمية، فيُعد دليل جمعية علم النفس الأمريكية (</w:t>
      </w:r>
      <w:r>
        <w:t>APA</w:t>
      </w:r>
      <w:r>
        <w:rPr>
          <w:rFonts w:cs="Times New Roman"/>
          <w:rtl/>
        </w:rPr>
        <w:t>) من أكثر المعايير الدولية اعتمادًا في العلوم الاجتماعية والإنسانية، حيث يحدد قواعد توثيق المصادر داخل النص وفي قائمة المراجع، بما يضمن نسبة الأفكار إلى أصحابها وتجنب الانتحال العلمي (</w:t>
      </w:r>
      <w:r>
        <w:t>APA, 2020</w:t>
      </w:r>
      <w:r>
        <w:rPr>
          <w:rFonts w:cs="Times New Roman"/>
          <w:rtl/>
        </w:rPr>
        <w:t>).</w:t>
      </w:r>
    </w:p>
    <w:p w14:paraId="4DD817E0" w14:textId="77777777" w:rsidR="002527C8" w:rsidRDefault="002527C8" w:rsidP="002527C8">
      <w:pPr>
        <w:rPr>
          <w:rtl/>
        </w:rPr>
      </w:pPr>
      <w:r>
        <w:rPr>
          <w:rFonts w:cs="Times New Roman"/>
          <w:rtl/>
        </w:rPr>
        <w:t xml:space="preserve">وتكمن أهمية هذه القواعد واللوائح في كونها توفر إطارًا موحدًا يمكن الرجوع إليه عند الحكم على مدى التزام أي بحث بالمعايير الأخلاقية، كما أنها تحمي الباحث نفسه من أي مساءلة قانونية أو أكاديمية قد تنتج عن تجاوزات غير مقصودة، </w:t>
      </w:r>
      <w:r>
        <w:rPr>
          <w:rFonts w:cs="Times New Roman"/>
          <w:rtl/>
        </w:rPr>
        <w:lastRenderedPageBreak/>
        <w:t>إضافة إلى أنها تعزز من قابلية البحث للنشر في المجلات العلمية المحكمة التي تشترط الالتزام بهذه المعايير كشرط أساسي للقبول.</w:t>
      </w:r>
    </w:p>
    <w:p w14:paraId="7618BCEC" w14:textId="77777777" w:rsidR="002527C8" w:rsidRDefault="002527C8" w:rsidP="002527C8">
      <w:pPr>
        <w:rPr>
          <w:rtl/>
        </w:rPr>
      </w:pPr>
      <w:r>
        <w:rPr>
          <w:rFonts w:cs="Times New Roman"/>
          <w:rtl/>
        </w:rPr>
        <w:t>وعلى المستوى المحلي، تتبنى الجامعات السعودية - ومن بينها جامعة الملك عبد العزيز - لوائح داخلية لأخلاقيات البحث العلمي مستمدة من الأطر الدولية سالفة الذكر، وتشترط على طلاب الدراسات العليا الحصول على موافقة لجنة أخلاقيات البحث الخاصة بالكلية أو الجامعة قبل الشروع في جمع البيانات الميدانية، خاصة في الدراسات التي تتعامل مع عينات من الطلاب أو الفئات التي قد تُصنف ضمن الفئات الأكثر حساسية. ويُعد الحصول على هذه الموافقة خطوة إجرائية جوهرية تسبق التطبيق الميداني للدراسة الحالية، وتمثل الضمانة الرسمية لالتزام الباحث بالمعايير الأخلاقية المتعارف عليها.</w:t>
      </w:r>
    </w:p>
    <w:p w14:paraId="2E148DB1" w14:textId="77777777" w:rsidR="002527C8" w:rsidRDefault="002527C8" w:rsidP="00A831FA">
      <w:pPr>
        <w:pStyle w:val="Heading1"/>
        <w:rPr>
          <w:rtl/>
        </w:rPr>
      </w:pPr>
      <w:r>
        <w:rPr>
          <w:rtl/>
        </w:rPr>
        <w:t>سادساً: التطبيق العملي على موضوع البحث</w:t>
      </w:r>
    </w:p>
    <w:p w14:paraId="658C7EC3" w14:textId="77777777" w:rsidR="002527C8" w:rsidRDefault="002527C8" w:rsidP="002527C8">
      <w:pPr>
        <w:rPr>
          <w:rtl/>
        </w:rPr>
      </w:pPr>
      <w:r>
        <w:rPr>
          <w:rFonts w:cs="Times New Roman"/>
          <w:rtl/>
        </w:rPr>
        <w:t>تتناول الدراسة الحالية موضوع "أثر جودة الحياة الجامعية في تعزيز التحصيل العلمي: دراسة تطبيقية على طالب جامعة الملك عبد العزيز"، وهو موضوع يتضمن جمع بيانات من عينة من الطلاب حول جوانب أكاديمية ونفسية واجتماعية، مما يستوجب تطبيقًا دقيقًا لمبادئ أخلاقيات البحث الموضحة سابقًا. وفيما يلي توضيح لكيفية تطبيق هذه المبادئ على مختلف مراحل الدراسة:</w:t>
      </w:r>
    </w:p>
    <w:p w14:paraId="59E7F945" w14:textId="77777777" w:rsidR="002527C8" w:rsidRPr="00A831FA" w:rsidRDefault="002527C8" w:rsidP="002527C8">
      <w:pPr>
        <w:rPr>
          <w:b/>
          <w:bCs/>
          <w:rtl/>
        </w:rPr>
      </w:pPr>
      <w:r w:rsidRPr="00A831FA">
        <w:rPr>
          <w:rFonts w:cs="Times New Roman"/>
          <w:b/>
          <w:bCs/>
          <w:rtl/>
        </w:rPr>
        <w:t>‏1. طريقة جمع البيانات</w:t>
      </w:r>
    </w:p>
    <w:p w14:paraId="3352C4A1" w14:textId="77777777" w:rsidR="002527C8" w:rsidRDefault="002527C8" w:rsidP="002527C8">
      <w:pPr>
        <w:rPr>
          <w:rtl/>
        </w:rPr>
      </w:pPr>
      <w:r>
        <w:rPr>
          <w:rFonts w:cs="Times New Roman"/>
          <w:rtl/>
        </w:rPr>
        <w:t xml:space="preserve">سيتم جمع البيانات من خلال </w:t>
      </w:r>
      <w:proofErr w:type="gramStart"/>
      <w:r>
        <w:rPr>
          <w:rFonts w:cs="Times New Roman"/>
          <w:rtl/>
        </w:rPr>
        <w:t>استبيان</w:t>
      </w:r>
      <w:proofErr w:type="gramEnd"/>
      <w:r>
        <w:rPr>
          <w:rFonts w:cs="Times New Roman"/>
          <w:rtl/>
        </w:rPr>
        <w:t xml:space="preserve"> إلكتروني أو ورقي يُوزع على عينة عشوائية طبقية من طلاب جامعة الملك عبد العزيز، يبلغ حجمها نحو 300 طالب وطالبة من مختلف الكليات والمستويات الدراسية. ويتضمن </w:t>
      </w:r>
      <w:proofErr w:type="gramStart"/>
      <w:r>
        <w:rPr>
          <w:rFonts w:cs="Times New Roman"/>
          <w:rtl/>
        </w:rPr>
        <w:t>الاستبيان</w:t>
      </w:r>
      <w:proofErr w:type="gramEnd"/>
      <w:r>
        <w:rPr>
          <w:rFonts w:cs="Times New Roman"/>
          <w:rtl/>
        </w:rPr>
        <w:t xml:space="preserve"> محاور تتعلق بجودة الحياة الأكاديمية والنفسية والاجتماعية، إضافة إلى سؤال عام عن المعدل التراكمي التقريبي (</w:t>
      </w:r>
      <w:r>
        <w:t>GPA</w:t>
      </w:r>
      <w:r>
        <w:rPr>
          <w:rFonts w:cs="Times New Roman"/>
          <w:rtl/>
        </w:rPr>
        <w:t xml:space="preserve">) كمؤشر للتحصيل العلمي. ولضمان الموضوعية، ستتم صياغة جميع الفقرات بلغة محايدة خالية من أي توجيه نحو إجابة معينة، وسيخضع </w:t>
      </w:r>
      <w:proofErr w:type="gramStart"/>
      <w:r>
        <w:rPr>
          <w:rFonts w:cs="Times New Roman"/>
          <w:rtl/>
        </w:rPr>
        <w:t>الاستبيان</w:t>
      </w:r>
      <w:proofErr w:type="gramEnd"/>
      <w:r>
        <w:rPr>
          <w:rFonts w:cs="Times New Roman"/>
          <w:rtl/>
        </w:rPr>
        <w:t xml:space="preserve"> للتحكيم من قبل عدد من المحكمين المتخصصين قبل التطبيق النهائي للتأكد من صدق الأداة وثباتها.</w:t>
      </w:r>
    </w:p>
    <w:p w14:paraId="094E11EF" w14:textId="77777777" w:rsidR="002527C8" w:rsidRPr="00A831FA" w:rsidRDefault="002527C8" w:rsidP="002527C8">
      <w:pPr>
        <w:rPr>
          <w:b/>
          <w:bCs/>
          <w:rtl/>
        </w:rPr>
      </w:pPr>
      <w:r w:rsidRPr="00A831FA">
        <w:rPr>
          <w:rFonts w:cs="Times New Roman"/>
          <w:b/>
          <w:bCs/>
          <w:rtl/>
        </w:rPr>
        <w:t>‏2. الموافقة المستنيرة من المشاركين</w:t>
      </w:r>
    </w:p>
    <w:p w14:paraId="1312AF34" w14:textId="77777777" w:rsidR="002527C8" w:rsidRDefault="002527C8" w:rsidP="002527C8">
      <w:pPr>
        <w:rPr>
          <w:rtl/>
        </w:rPr>
      </w:pPr>
      <w:r>
        <w:rPr>
          <w:rFonts w:cs="Times New Roman"/>
          <w:rtl/>
        </w:rPr>
        <w:t xml:space="preserve">ستتضمن الصفحة الأولى من </w:t>
      </w:r>
      <w:proofErr w:type="gramStart"/>
      <w:r>
        <w:rPr>
          <w:rFonts w:cs="Times New Roman"/>
          <w:rtl/>
        </w:rPr>
        <w:t>الاستبيان</w:t>
      </w:r>
      <w:proofErr w:type="gramEnd"/>
      <w:r>
        <w:rPr>
          <w:rFonts w:cs="Times New Roman"/>
          <w:rtl/>
        </w:rPr>
        <w:t xml:space="preserve"> نصًا تمهيديًا يوضح للطالب المشارك الهدف من الدراسة، والجهة القائمة عليها، والوقت التقريبي اللازم للإجابة، مع التأكيد الصريح على أن المشاركة طوعية بالكامل، وأن للطالب الحق الكامل في الانسحاب من الدراسة في أي وقت دون أي تأثير على وضعه الأكاديمي. ولن يُعتبر </w:t>
      </w:r>
      <w:proofErr w:type="gramStart"/>
      <w:r>
        <w:rPr>
          <w:rFonts w:cs="Times New Roman"/>
          <w:rtl/>
        </w:rPr>
        <w:t>الاستبيان</w:t>
      </w:r>
      <w:proofErr w:type="gramEnd"/>
      <w:r>
        <w:rPr>
          <w:rFonts w:cs="Times New Roman"/>
          <w:rtl/>
        </w:rPr>
        <w:t xml:space="preserve"> مكتملًا أو صالحًا للتحليل إلا بعد أن يُقر الطالب صراحة بموافقته على المشاركة من خلال خانة إقرار مخصصة لذلك.</w:t>
      </w:r>
    </w:p>
    <w:p w14:paraId="4ED82C44" w14:textId="77777777" w:rsidR="002527C8" w:rsidRPr="00A831FA" w:rsidRDefault="002527C8" w:rsidP="002527C8">
      <w:pPr>
        <w:rPr>
          <w:b/>
          <w:bCs/>
          <w:rtl/>
        </w:rPr>
      </w:pPr>
      <w:r w:rsidRPr="00A831FA">
        <w:rPr>
          <w:rFonts w:cs="Times New Roman"/>
          <w:b/>
          <w:bCs/>
          <w:rtl/>
        </w:rPr>
        <w:t>‏3. طرق الحفاظ على السرية</w:t>
      </w:r>
    </w:p>
    <w:p w14:paraId="56270664" w14:textId="77777777" w:rsidR="002527C8" w:rsidRDefault="002527C8" w:rsidP="002527C8">
      <w:pPr>
        <w:rPr>
          <w:rtl/>
        </w:rPr>
      </w:pPr>
      <w:r>
        <w:rPr>
          <w:rFonts w:cs="Times New Roman"/>
          <w:rtl/>
        </w:rPr>
        <w:t>لن يُطلب من المشاركين كتابة أسمائهم أو أرقامهم الجامعية أو أي بيانات تعريفية مباشرة، وسيتم التعامل مع جميع الاستجابات بشكل مجهول الهوية تمامًا (</w:t>
      </w:r>
      <w:r>
        <w:t>Anonymous Data</w:t>
      </w:r>
      <w:r>
        <w:rPr>
          <w:rFonts w:cs="Times New Roman"/>
          <w:rtl/>
        </w:rPr>
        <w:t xml:space="preserve">). كما ستُحفظ البيانات الإلكترونية على أجهزة محمية بكلمات مرور، ولن يُسمح بالاطلاع عليها سوى للباحث والمشرفين الأكاديميين، وستُستخدم البيانات في حدود أغراض الدراسة </w:t>
      </w:r>
      <w:r>
        <w:rPr>
          <w:rFonts w:cs="Times New Roman"/>
          <w:rtl/>
        </w:rPr>
        <w:lastRenderedPageBreak/>
        <w:t>الحالية فقط، دون مشاركتها مع أي جهة خارجية. وعند عرض النتائج، ستُقدَّم البيانات بشكل إجمالي (متوسطات، نسب مئوية، معاملات ارتباط) دون أي إمكانية لتتبع إجابة فردية إلى مشارك بعينه.</w:t>
      </w:r>
    </w:p>
    <w:p w14:paraId="322D146E" w14:textId="77777777" w:rsidR="002527C8" w:rsidRPr="00A831FA" w:rsidRDefault="002527C8" w:rsidP="002527C8">
      <w:pPr>
        <w:rPr>
          <w:b/>
          <w:bCs/>
          <w:rtl/>
        </w:rPr>
      </w:pPr>
      <w:r w:rsidRPr="00A831FA">
        <w:rPr>
          <w:rFonts w:cs="Times New Roman"/>
          <w:b/>
          <w:bCs/>
          <w:rtl/>
        </w:rPr>
        <w:t>‏4. المخاطر المحتملة وإجراءات التعامل معها</w:t>
      </w:r>
    </w:p>
    <w:p w14:paraId="06757B3C" w14:textId="77777777" w:rsidR="002527C8" w:rsidRDefault="002527C8" w:rsidP="002527C8">
      <w:pPr>
        <w:rPr>
          <w:rtl/>
        </w:rPr>
      </w:pPr>
      <w:r>
        <w:rPr>
          <w:rFonts w:cs="Times New Roman"/>
          <w:rtl/>
        </w:rPr>
        <w:t>نظرًا لأن الدراسة تتطرق إلى جوانب نفسية حساسة كالرضا عن الحياة الأسرية والضغوط الجامعية، فقد يشعر بعض الطلاب بشيء من عدم الارتياح عند الإجابة عن بعض الأسئلة المتعلقة بهذه الجوانب. ولتقليل هذا الخطر، ستتم صياغة الفقرات بأسلوب عام لا يتطرق إلى تفاصيل شخصية حساسة، وسيُتاح للطالب تخطي أي سؤال يفضل عدم الإجابة عنه، كما سيُذكَّر في المقدمة بإمكانية التوقف عن المشاركة في أي لحظة. وفي حال طُلب من الطلاب الإفصاح عن معدلاتهم الدراسية، فسيتم تقديمها في صورة فئات تقريبية (مثل: ممتاز، جيد جدًا، جيد) بدلًا من الأرقام الدقيقة، تقليلًا لأي حساسية مرتبطة بالكشف عن مستوى التحصيل الفعلي.</w:t>
      </w:r>
    </w:p>
    <w:p w14:paraId="640553E8" w14:textId="77777777" w:rsidR="002527C8" w:rsidRPr="00A831FA" w:rsidRDefault="002527C8" w:rsidP="002527C8">
      <w:pPr>
        <w:rPr>
          <w:b/>
          <w:bCs/>
          <w:rtl/>
        </w:rPr>
      </w:pPr>
      <w:r w:rsidRPr="00A831FA">
        <w:rPr>
          <w:rFonts w:cs="Times New Roman"/>
          <w:b/>
          <w:bCs/>
          <w:rtl/>
        </w:rPr>
        <w:t>‏5. تجنب القضايا الأخلاقية المحتملة</w:t>
      </w:r>
    </w:p>
    <w:p w14:paraId="3B70E471" w14:textId="77777777" w:rsidR="002527C8" w:rsidRDefault="002527C8" w:rsidP="002527C8">
      <w:pPr>
        <w:rPr>
          <w:rtl/>
        </w:rPr>
      </w:pPr>
      <w:r>
        <w:rPr>
          <w:rFonts w:cs="Times New Roman"/>
          <w:rtl/>
        </w:rPr>
        <w:t xml:space="preserve">سيحرص الباحث على توثيق جميع الدراسات السابقة والمراجع المستخدمة في الإطار النظري وفق نظام </w:t>
      </w:r>
      <w:r>
        <w:t>APA</w:t>
      </w:r>
      <w:r>
        <w:rPr>
          <w:rFonts w:cs="Times New Roman"/>
          <w:rtl/>
        </w:rPr>
        <w:t xml:space="preserve"> لتجنب الانتحال العلمي، وعلى عرض نتائج التحليل الإحصائي كما هي دون أي تعديل أو انتقائية في النتائج تجنبًا لتزوير البيانات، وعلى اختيار العينة بطريقة عشوائية طبقية تمثل مختلف الكليات والمستويات الدراسية والجنسين تقليلًا للتحيز. كما لا يوجد لدى الباحث أي تضارب في المصالح يتعلق بموضوع الدراسة، حيث لا تربطه أي علاقة وظيفية بإدارة الخدمات الطلابية أو بأي جهة قد تتأثر بنتائج الدراسة.</w:t>
      </w:r>
    </w:p>
    <w:p w14:paraId="74F891DF" w14:textId="77777777" w:rsidR="002527C8" w:rsidRPr="00A831FA" w:rsidRDefault="002527C8" w:rsidP="002527C8">
      <w:pPr>
        <w:rPr>
          <w:b/>
          <w:bCs/>
          <w:rtl/>
        </w:rPr>
      </w:pPr>
      <w:r w:rsidRPr="00A831FA">
        <w:rPr>
          <w:rFonts w:cs="Times New Roman"/>
          <w:b/>
          <w:bCs/>
          <w:rtl/>
        </w:rPr>
        <w:t>‏6. الحصول على الموافقات الرسمية وآلية الانسحاب</w:t>
      </w:r>
    </w:p>
    <w:p w14:paraId="7F011B82" w14:textId="77777777" w:rsidR="002527C8" w:rsidRDefault="002527C8" w:rsidP="002527C8">
      <w:pPr>
        <w:rPr>
          <w:rtl/>
        </w:rPr>
      </w:pPr>
      <w:r>
        <w:rPr>
          <w:rFonts w:cs="Times New Roman"/>
          <w:rtl/>
        </w:rPr>
        <w:t xml:space="preserve">قبل البدء في تطبيق أداة الدراسة، سيتقدم الباحث بطلب رسمي إلى الجهة المختصة بأخلاقيات البحث في الجامعة، مرفقًا به نسخة من </w:t>
      </w:r>
      <w:proofErr w:type="gramStart"/>
      <w:r>
        <w:rPr>
          <w:rFonts w:cs="Times New Roman"/>
          <w:rtl/>
        </w:rPr>
        <w:t>الاستبيان</w:t>
      </w:r>
      <w:proofErr w:type="gramEnd"/>
      <w:r>
        <w:rPr>
          <w:rFonts w:cs="Times New Roman"/>
          <w:rtl/>
        </w:rPr>
        <w:t xml:space="preserve"> ونص الموافقة المستنيرة، للحصول على الموافقة المبدئية على إجراء الدراسة. وفي حال موافقة عينة من الطلاب على المشاركة، سيُمنح كل مشارك رقمًا </w:t>
      </w:r>
      <w:proofErr w:type="spellStart"/>
      <w:r>
        <w:rPr>
          <w:rFonts w:cs="Times New Roman"/>
          <w:rtl/>
        </w:rPr>
        <w:t>كوديًا</w:t>
      </w:r>
      <w:proofErr w:type="spellEnd"/>
      <w:r>
        <w:rPr>
          <w:rFonts w:cs="Times New Roman"/>
          <w:rtl/>
        </w:rPr>
        <w:t xml:space="preserve"> عشوائيًا بدلًا من أي بيانات تعريفية، ويُتاح له، في حال رغبته في الانسحاب بعد تقديم استجابته، أن يطلب من الباحث استبعاد استجابته من ملف البيانات خلال فترة زمنية محددة قبل بدء التحليل الإحصائي، وذلك من خلال ذكر الرقم الكودي الخاص به دون الحاجة إلى الكشف عن هويته.</w:t>
      </w:r>
    </w:p>
    <w:p w14:paraId="68894209" w14:textId="77777777" w:rsidR="002527C8" w:rsidRPr="00A831FA" w:rsidRDefault="002527C8" w:rsidP="002527C8">
      <w:pPr>
        <w:rPr>
          <w:b/>
          <w:bCs/>
          <w:rtl/>
        </w:rPr>
      </w:pPr>
      <w:r w:rsidRPr="00A831FA">
        <w:rPr>
          <w:rFonts w:cs="Times New Roman"/>
          <w:b/>
          <w:bCs/>
          <w:rtl/>
        </w:rPr>
        <w:t>‏7. الإفصاح عن النتائج وتقديم التغذية الراجعة للمشاركين</w:t>
      </w:r>
    </w:p>
    <w:p w14:paraId="74B73E30" w14:textId="77777777" w:rsidR="002527C8" w:rsidRDefault="002527C8" w:rsidP="002527C8">
      <w:pPr>
        <w:rPr>
          <w:rtl/>
        </w:rPr>
      </w:pPr>
      <w:r>
        <w:rPr>
          <w:rFonts w:cs="Times New Roman"/>
          <w:rtl/>
        </w:rPr>
        <w:t>التزامًا بمبدأي النزاهة والشفافية، سيُعرض ملخص عام لنتائج الدراسة على إدارة الجامعة والجهات المعنية بعد الانتهاء من التحليل، كما سيُتاح لأي طالب مشارك أن يطلع على ملخص عام للنتائج إذا رغب في ذلك، دون الكشف عن أي بيانات فردية. وسيُشار في تقرير الدراسة النهائي إلى حدود الدراسة وما قد يكون لها من قيود منهجية، تجنبًا للمبالغة في تعميم النتائج أو تقديمها على أنها حقائق مطلقة، بما يحافظ على الموضوعية والأمانة العلمية في عرض النتائج وتفسيرها.</w:t>
      </w:r>
    </w:p>
    <w:p w14:paraId="34D9BF5C" w14:textId="77777777" w:rsidR="002527C8" w:rsidRDefault="002527C8" w:rsidP="00A831FA">
      <w:pPr>
        <w:pStyle w:val="Heading1"/>
        <w:rPr>
          <w:rtl/>
        </w:rPr>
      </w:pPr>
      <w:r>
        <w:rPr>
          <w:rtl/>
        </w:rPr>
        <w:lastRenderedPageBreak/>
        <w:t>سابعاً: الخاتمة</w:t>
      </w:r>
    </w:p>
    <w:p w14:paraId="208EF315" w14:textId="77777777" w:rsidR="002527C8" w:rsidRDefault="002527C8" w:rsidP="002527C8">
      <w:pPr>
        <w:rPr>
          <w:rtl/>
        </w:rPr>
      </w:pPr>
      <w:r>
        <w:rPr>
          <w:rFonts w:cs="Times New Roman"/>
          <w:rtl/>
        </w:rPr>
        <w:t xml:space="preserve">يتضح من خلال هذا التقرير أن أخلاقيات البحث العلمي ليست مجرد إجراءات شكلية تُضاف إلى البحث، بل هي جوهر العملية البحثية </w:t>
      </w:r>
      <w:proofErr w:type="gramStart"/>
      <w:r>
        <w:rPr>
          <w:rFonts w:cs="Times New Roman"/>
          <w:rtl/>
        </w:rPr>
        <w:t>ذاتها</w:t>
      </w:r>
      <w:proofErr w:type="gramEnd"/>
      <w:r>
        <w:rPr>
          <w:rFonts w:cs="Times New Roman"/>
          <w:rtl/>
        </w:rPr>
        <w:t xml:space="preserve"> وضمان لمصداقيتها وقيمتها العلمية والاجتماعية. فقد تناول التقرير المبادئ الأساسية المتمثلة في الأمانة العلمية والنزاهة والموضوعية والسرية والموافقة المستنيرة، إلى جانب أبرز القضايا الأخلاقية كالانتحال العلمي وتزوير البيانات والتحيز وانتهاك الخصوصية وتضارب المصالح، ودور لجان أخلاقيات البحث ومعايير التوثيق الدولية كدليل </w:t>
      </w:r>
      <w:r>
        <w:t>APA</w:t>
      </w:r>
      <w:r>
        <w:rPr>
          <w:rFonts w:cs="Times New Roman"/>
          <w:rtl/>
        </w:rPr>
        <w:t xml:space="preserve"> في ضبط هذه العملية.</w:t>
      </w:r>
    </w:p>
    <w:p w14:paraId="27102B1F" w14:textId="77777777" w:rsidR="002527C8" w:rsidRDefault="002527C8" w:rsidP="002527C8">
      <w:pPr>
        <w:rPr>
          <w:rtl/>
        </w:rPr>
      </w:pPr>
      <w:r>
        <w:rPr>
          <w:rFonts w:cs="Times New Roman"/>
          <w:rtl/>
        </w:rPr>
        <w:t>كما أوضح التقرير، من خلال التطبيق العملي على موضوع "أثر جودة الحياة الجامعية في تعزيز التحصيل العلمي"، كيف يمكن ترجمة هذه المبادئ إلى إجراءات فعلية تتعلق بطريقة جمع البيانات، والحصول على الموافقة المستنيرة، والحفاظ على سرية المشاركين، والتعامل مع المخاطر المحتملة. وعليه، فإن الالتزام بهذه المبادئ في الدراسات المستقبلية لا يعزز فقط من جودة البحث العلمي، بل يسهم أيضًا في بناء بيئة بحثية أكاديمية قائمة على الثقة والمصداقية والاحترام المتبادل بين الباحثين والمشاركين.</w:t>
      </w:r>
    </w:p>
    <w:p w14:paraId="32530A78" w14:textId="77777777" w:rsidR="002527C8" w:rsidRDefault="002527C8" w:rsidP="00A831FA">
      <w:pPr>
        <w:pStyle w:val="Heading1"/>
        <w:rPr>
          <w:rtl/>
        </w:rPr>
      </w:pPr>
      <w:r>
        <w:rPr>
          <w:rtl/>
        </w:rPr>
        <w:t>المراجع</w:t>
      </w:r>
    </w:p>
    <w:p w14:paraId="47159A9D" w14:textId="77777777" w:rsidR="002527C8" w:rsidRPr="002527C8" w:rsidRDefault="002527C8" w:rsidP="002527C8">
      <w:pPr>
        <w:bidi w:val="0"/>
        <w:ind w:left="720" w:hanging="720"/>
        <w:rPr>
          <w:rFonts w:asciiTheme="majorBidi" w:hAnsiTheme="majorBidi"/>
          <w:sz w:val="24"/>
        </w:rPr>
      </w:pPr>
      <w:r w:rsidRPr="002527C8">
        <w:rPr>
          <w:rFonts w:asciiTheme="majorBidi" w:hAnsiTheme="majorBidi"/>
          <w:sz w:val="24"/>
        </w:rPr>
        <w:t>American Psychological Association. (2020). Publication manual of the American Psychological Association (7th ed.). American Psychological Association</w:t>
      </w:r>
      <w:r w:rsidRPr="002527C8">
        <w:rPr>
          <w:rFonts w:asciiTheme="majorBidi" w:hAnsiTheme="majorBidi"/>
          <w:sz w:val="24"/>
          <w:rtl/>
        </w:rPr>
        <w:t>.</w:t>
      </w:r>
    </w:p>
    <w:p w14:paraId="22D94C5C" w14:textId="77777777" w:rsidR="002527C8" w:rsidRPr="002527C8" w:rsidRDefault="002527C8" w:rsidP="002527C8">
      <w:pPr>
        <w:bidi w:val="0"/>
        <w:ind w:left="720" w:hanging="720"/>
        <w:rPr>
          <w:rFonts w:asciiTheme="majorBidi" w:hAnsiTheme="majorBidi"/>
          <w:sz w:val="24"/>
        </w:rPr>
      </w:pPr>
      <w:r w:rsidRPr="002527C8">
        <w:rPr>
          <w:rFonts w:asciiTheme="majorBidi" w:hAnsiTheme="majorBidi"/>
          <w:sz w:val="24"/>
        </w:rPr>
        <w:t>Israel, M., &amp; Hay, I. (2006). Research ethics for social scientists. SAGE Publications</w:t>
      </w:r>
      <w:r w:rsidRPr="002527C8">
        <w:rPr>
          <w:rFonts w:asciiTheme="majorBidi" w:hAnsiTheme="majorBidi"/>
          <w:sz w:val="24"/>
          <w:rtl/>
        </w:rPr>
        <w:t>.</w:t>
      </w:r>
    </w:p>
    <w:p w14:paraId="0553184D" w14:textId="77777777" w:rsidR="002527C8" w:rsidRPr="002527C8" w:rsidRDefault="002527C8" w:rsidP="002527C8">
      <w:pPr>
        <w:bidi w:val="0"/>
        <w:ind w:left="720" w:hanging="720"/>
        <w:rPr>
          <w:rFonts w:asciiTheme="majorBidi" w:hAnsiTheme="majorBidi"/>
          <w:sz w:val="24"/>
        </w:rPr>
      </w:pPr>
      <w:r w:rsidRPr="002527C8">
        <w:rPr>
          <w:rFonts w:asciiTheme="majorBidi" w:hAnsiTheme="majorBidi"/>
          <w:sz w:val="24"/>
        </w:rPr>
        <w:t>Resnik, D. B. (2020). What is ethics in research and why is it important. National Institute of Environmental Health Sciences (NIEHS)</w:t>
      </w:r>
      <w:r w:rsidRPr="002527C8">
        <w:rPr>
          <w:rFonts w:asciiTheme="majorBidi" w:hAnsiTheme="majorBidi"/>
          <w:sz w:val="24"/>
          <w:rtl/>
        </w:rPr>
        <w:t>.</w:t>
      </w:r>
    </w:p>
    <w:p w14:paraId="5FD80242" w14:textId="77777777" w:rsidR="002527C8" w:rsidRPr="002527C8" w:rsidRDefault="002527C8" w:rsidP="002527C8">
      <w:pPr>
        <w:bidi w:val="0"/>
        <w:ind w:left="720" w:hanging="720"/>
        <w:rPr>
          <w:rFonts w:asciiTheme="majorBidi" w:hAnsiTheme="majorBidi"/>
          <w:sz w:val="24"/>
        </w:rPr>
      </w:pPr>
      <w:proofErr w:type="spellStart"/>
      <w:r w:rsidRPr="002527C8">
        <w:rPr>
          <w:rFonts w:asciiTheme="majorBidi" w:hAnsiTheme="majorBidi"/>
          <w:sz w:val="24"/>
        </w:rPr>
        <w:t>Shamoo</w:t>
      </w:r>
      <w:proofErr w:type="spellEnd"/>
      <w:r w:rsidRPr="002527C8">
        <w:rPr>
          <w:rFonts w:asciiTheme="majorBidi" w:hAnsiTheme="majorBidi"/>
          <w:sz w:val="24"/>
        </w:rPr>
        <w:t>, A. E., &amp; Resnik, D. B. (2009). Responsible conduct of research (2nd ed.). Oxford University Press</w:t>
      </w:r>
      <w:r w:rsidRPr="002527C8">
        <w:rPr>
          <w:rFonts w:asciiTheme="majorBidi" w:hAnsiTheme="majorBidi"/>
          <w:sz w:val="24"/>
          <w:rtl/>
        </w:rPr>
        <w:t>.</w:t>
      </w:r>
    </w:p>
    <w:sectPr w:rsidR="002527C8" w:rsidRPr="002527C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2D008" w14:textId="77777777" w:rsidR="00734214" w:rsidRDefault="00734214" w:rsidP="009125CE">
      <w:pPr>
        <w:spacing w:after="0" w:line="240" w:lineRule="auto"/>
      </w:pPr>
      <w:r>
        <w:separator/>
      </w:r>
    </w:p>
  </w:endnote>
  <w:endnote w:type="continuationSeparator" w:id="0">
    <w:p w14:paraId="6DF7997E" w14:textId="77777777" w:rsidR="00734214" w:rsidRDefault="0073421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AA137" w14:textId="77777777" w:rsidR="00734214" w:rsidRDefault="00734214" w:rsidP="009125CE">
      <w:pPr>
        <w:spacing w:after="0" w:line="240" w:lineRule="auto"/>
      </w:pPr>
      <w:r>
        <w:separator/>
      </w:r>
    </w:p>
  </w:footnote>
  <w:footnote w:type="continuationSeparator" w:id="0">
    <w:p w14:paraId="2A1E3A82" w14:textId="77777777" w:rsidR="00734214" w:rsidRDefault="0073421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D29FB"/>
    <w:multiLevelType w:val="multilevel"/>
    <w:tmpl w:val="8B4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F57D6"/>
    <w:multiLevelType w:val="multilevel"/>
    <w:tmpl w:val="D79A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A02CC0"/>
    <w:multiLevelType w:val="multilevel"/>
    <w:tmpl w:val="EDA0D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6D08B2"/>
    <w:multiLevelType w:val="multilevel"/>
    <w:tmpl w:val="6512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E000D7"/>
    <w:multiLevelType w:val="multilevel"/>
    <w:tmpl w:val="CB60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0D22A9"/>
    <w:multiLevelType w:val="multilevel"/>
    <w:tmpl w:val="BEB25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E153A5"/>
    <w:multiLevelType w:val="multilevel"/>
    <w:tmpl w:val="524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4437BF"/>
    <w:multiLevelType w:val="multilevel"/>
    <w:tmpl w:val="CD74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126D90"/>
    <w:multiLevelType w:val="multilevel"/>
    <w:tmpl w:val="D9E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D81E1A"/>
    <w:multiLevelType w:val="multilevel"/>
    <w:tmpl w:val="00FC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C077C8"/>
    <w:multiLevelType w:val="multilevel"/>
    <w:tmpl w:val="0DF0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0669CD"/>
    <w:multiLevelType w:val="multilevel"/>
    <w:tmpl w:val="323E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9005382">
    <w:abstractNumId w:val="7"/>
  </w:num>
  <w:num w:numId="2" w16cid:durableId="1134103136">
    <w:abstractNumId w:val="10"/>
  </w:num>
  <w:num w:numId="3" w16cid:durableId="224604998">
    <w:abstractNumId w:val="8"/>
  </w:num>
  <w:num w:numId="4" w16cid:durableId="2103914196">
    <w:abstractNumId w:val="6"/>
  </w:num>
  <w:num w:numId="5" w16cid:durableId="1677727772">
    <w:abstractNumId w:val="1"/>
  </w:num>
  <w:num w:numId="6" w16cid:durableId="1193962125">
    <w:abstractNumId w:val="3"/>
  </w:num>
  <w:num w:numId="7" w16cid:durableId="894924845">
    <w:abstractNumId w:val="0"/>
  </w:num>
  <w:num w:numId="8" w16cid:durableId="341398692">
    <w:abstractNumId w:val="2"/>
  </w:num>
  <w:num w:numId="9" w16cid:durableId="624964444">
    <w:abstractNumId w:val="9"/>
  </w:num>
  <w:num w:numId="10" w16cid:durableId="531528920">
    <w:abstractNumId w:val="11"/>
  </w:num>
  <w:num w:numId="11" w16cid:durableId="1386442662">
    <w:abstractNumId w:val="4"/>
  </w:num>
  <w:num w:numId="12" w16cid:durableId="606414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0F21"/>
    <w:rsid w:val="000F44B4"/>
    <w:rsid w:val="001902DB"/>
    <w:rsid w:val="001C2162"/>
    <w:rsid w:val="002527C8"/>
    <w:rsid w:val="00270C69"/>
    <w:rsid w:val="00274C6D"/>
    <w:rsid w:val="002D35A2"/>
    <w:rsid w:val="002F5B49"/>
    <w:rsid w:val="004163C7"/>
    <w:rsid w:val="00457C9C"/>
    <w:rsid w:val="00576FF7"/>
    <w:rsid w:val="006878B6"/>
    <w:rsid w:val="006948DE"/>
    <w:rsid w:val="006F70D2"/>
    <w:rsid w:val="00734214"/>
    <w:rsid w:val="007B0E54"/>
    <w:rsid w:val="007E3A20"/>
    <w:rsid w:val="00877AAC"/>
    <w:rsid w:val="00896FE4"/>
    <w:rsid w:val="008F1EAE"/>
    <w:rsid w:val="009125CE"/>
    <w:rsid w:val="00946F5F"/>
    <w:rsid w:val="009B6888"/>
    <w:rsid w:val="009C0161"/>
    <w:rsid w:val="009D108D"/>
    <w:rsid w:val="009E1436"/>
    <w:rsid w:val="009E5668"/>
    <w:rsid w:val="00A831FA"/>
    <w:rsid w:val="00AA79E9"/>
    <w:rsid w:val="00AB0A70"/>
    <w:rsid w:val="00AD260D"/>
    <w:rsid w:val="00B63B0F"/>
    <w:rsid w:val="00B7678A"/>
    <w:rsid w:val="00BC094B"/>
    <w:rsid w:val="00C25DCB"/>
    <w:rsid w:val="00C72744"/>
    <w:rsid w:val="00CB2A44"/>
    <w:rsid w:val="00D04F62"/>
    <w:rsid w:val="00D22171"/>
    <w:rsid w:val="00D52480"/>
    <w:rsid w:val="00D60028"/>
    <w:rsid w:val="00D81A3A"/>
    <w:rsid w:val="00E775AE"/>
    <w:rsid w:val="00E80FD9"/>
    <w:rsid w:val="00F546CE"/>
    <w:rsid w:val="00F925D0"/>
    <w:rsid w:val="00FC61B0"/>
    <w:rsid w:val="00FF5B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028"/>
    <w:pPr>
      <w:bidi/>
      <w:spacing w:before="240" w:after="240" w:line="360" w:lineRule="auto"/>
      <w:jc w:val="both"/>
    </w:pPr>
    <w:rPr>
      <w:rFonts w:cstheme="majorBidi"/>
      <w:szCs w:val="24"/>
    </w:rPr>
  </w:style>
  <w:style w:type="paragraph" w:styleId="Heading1">
    <w:name w:val="heading 1"/>
    <w:basedOn w:val="Normal"/>
    <w:next w:val="Normal"/>
    <w:link w:val="Heading1Char"/>
    <w:uiPriority w:val="9"/>
    <w:qFormat/>
    <w:rsid w:val="00D60028"/>
    <w:pPr>
      <w:keepNext/>
      <w:keepLines/>
      <w:spacing w:after="0"/>
      <w:outlineLvl w:val="0"/>
    </w:pPr>
    <w:rPr>
      <w:rFonts w:asciiTheme="majorHAnsi" w:eastAsiaTheme="majorEastAsia" w:hAnsiTheme="majorHAnsi"/>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D60028"/>
    <w:rPr>
      <w:rFonts w:asciiTheme="majorHAnsi" w:eastAsiaTheme="majorEastAsia" w:hAnsiTheme="majorHAnsi" w:cstheme="majorBidi"/>
      <w:bCs/>
      <w:sz w:val="32"/>
      <w:szCs w:val="28"/>
    </w:rPr>
  </w:style>
  <w:style w:type="table" w:styleId="TableGrid">
    <w:name w:val="Table Grid"/>
    <w:basedOn w:val="TableNormal"/>
    <w:uiPriority w:val="39"/>
    <w:rsid w:val="00A83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F051E501289B46B5C34189FE029E29" ma:contentTypeVersion="14" ma:contentTypeDescription="Create a new document." ma:contentTypeScope="" ma:versionID="685606cea1d0641432de71d82c609de9">
  <xsd:schema xmlns:xsd="http://www.w3.org/2001/XMLSchema" xmlns:xs="http://www.w3.org/2001/XMLSchema" xmlns:p="http://schemas.microsoft.com/office/2006/metadata/properties" xmlns:ns3="06952564-c3c3-4225-aa34-c2bd6b281286" xmlns:ns4="1b005dc6-df35-4bca-b645-89a6a565e031" targetNamespace="http://schemas.microsoft.com/office/2006/metadata/properties" ma:root="true" ma:fieldsID="fb028c6f9decb3509a4c450696122368" ns3:_="" ns4:_="">
    <xsd:import namespace="06952564-c3c3-4225-aa34-c2bd6b281286"/>
    <xsd:import namespace="1b005dc6-df35-4bca-b645-89a6a565e03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ObjectDetectorVersions" minOccurs="0"/>
                <xsd:element ref="ns4:_activity"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52564-c3c3-4225-aa34-c2bd6b2812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05dc6-df35-4bca-b645-89a6a565e03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b005dc6-df35-4bca-b645-89a6a565e03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48D0EE-E605-4910-82F6-3229C3ED2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52564-c3c3-4225-aa34-c2bd6b281286"/>
    <ds:schemaRef ds:uri="1b005dc6-df35-4bca-b645-89a6a565e0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F517DF-E4E4-4A99-B2CD-B057A98A7F21}">
  <ds:schemaRefs>
    <ds:schemaRef ds:uri="http://schemas.microsoft.com/office/2006/metadata/properties"/>
    <ds:schemaRef ds:uri="http://schemas.microsoft.com/office/infopath/2007/PartnerControls"/>
    <ds:schemaRef ds:uri="1b005dc6-df35-4bca-b645-89a6a565e031"/>
  </ds:schemaRefs>
</ds:datastoreItem>
</file>

<file path=customXml/itemProps3.xml><?xml version="1.0" encoding="utf-8"?>
<ds:datastoreItem xmlns:ds="http://schemas.openxmlformats.org/officeDocument/2006/customXml" ds:itemID="{BEC80848-B572-4643-8812-F79ADAB8CA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Meme Aljuwaied</dc:creator>
  <cp:keywords/>
  <dc:description/>
  <cp:lastModifiedBy>Meme Aljuwaied</cp:lastModifiedBy>
  <cp:revision>3</cp:revision>
  <dcterms:created xsi:type="dcterms:W3CDTF">2026-06-12T16:23:00Z</dcterms:created>
  <dcterms:modified xsi:type="dcterms:W3CDTF">2026-06-14T17:02:00Z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0x010100EFF051E501289B46B5C34189FE029E29</vt:lpwstr>
  </property>
</Properties>
</file>