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709B100" w:rsidR="009125CE" w:rsidRPr="00525FBB" w:rsidRDefault="00506A5D" w:rsidP="00F540ED">
      <w:pPr>
        <w:jc w:val="right"/>
        <w:rPr>
          <w:rFonts w:asciiTheme="majorBidi" w:hAnsiTheme="majorBidi" w:cstheme="majorBidi"/>
          <w:b/>
          <w:bCs/>
          <w:sz w:val="24"/>
          <w:szCs w:val="24"/>
          <w:lang w:bidi="ar-EG"/>
        </w:rPr>
      </w:pPr>
      <w:r w:rsidRPr="00525FBB">
        <w:rPr>
          <w:rFonts w:asciiTheme="majorBidi" w:hAnsiTheme="majorBidi" w:cstheme="majorBidi"/>
          <w:b/>
          <w:bCs/>
          <w:sz w:val="24"/>
          <w:szCs w:val="24"/>
          <w:lang w:bidi="ar-EG"/>
        </w:rPr>
        <w:t>Midocean University</w:t>
      </w:r>
    </w:p>
    <w:p w14:paraId="1E957002" w14:textId="28536B24" w:rsidR="00F546CE" w:rsidRPr="00525FBB" w:rsidRDefault="00506A5D" w:rsidP="00F540ED">
      <w:pPr>
        <w:jc w:val="right"/>
        <w:rPr>
          <w:rFonts w:asciiTheme="majorBidi" w:hAnsiTheme="majorBidi" w:cstheme="majorBidi"/>
          <w:b/>
          <w:bCs/>
          <w:sz w:val="24"/>
          <w:szCs w:val="24"/>
          <w:rtl/>
          <w:lang w:bidi="ar-EG"/>
        </w:rPr>
      </w:pPr>
      <w:r w:rsidRPr="00525FBB">
        <w:rPr>
          <w:rFonts w:asciiTheme="majorBidi" w:hAnsiTheme="majorBidi" w:cstheme="majorBidi"/>
          <w:b/>
          <w:bCs/>
          <w:sz w:val="24"/>
          <w:szCs w:val="24"/>
          <w:lang w:bidi="ar-EG"/>
        </w:rPr>
        <w:t>College Of Management</w:t>
      </w:r>
    </w:p>
    <w:p w14:paraId="0217C513" w14:textId="52D92E7C" w:rsidR="009125CE" w:rsidRPr="00525FBB" w:rsidRDefault="00F540ED" w:rsidP="00F540ED">
      <w:pPr>
        <w:jc w:val="right"/>
        <w:rPr>
          <w:rFonts w:asciiTheme="majorBidi" w:hAnsiTheme="majorBidi" w:cstheme="majorBidi"/>
          <w:sz w:val="24"/>
          <w:szCs w:val="24"/>
          <w:lang w:bidi="ar-EG"/>
        </w:rPr>
      </w:pPr>
      <w:r w:rsidRPr="00525FBB">
        <w:rPr>
          <w:rFonts w:asciiTheme="majorBidi" w:hAnsiTheme="majorBidi" w:cstheme="majorBidi"/>
          <w:b/>
          <w:bCs/>
          <w:sz w:val="24"/>
          <w:szCs w:val="24"/>
          <w:lang w:bidi="ar-EG"/>
        </w:rPr>
        <w:t>Department of Risk Management</w:t>
      </w:r>
    </w:p>
    <w:p w14:paraId="3A7BF367" w14:textId="0016176E" w:rsidR="009125CE" w:rsidRPr="00525FBB" w:rsidRDefault="00F540ED" w:rsidP="00F540ED">
      <w:pPr>
        <w:bidi w:val="0"/>
        <w:rPr>
          <w:rFonts w:asciiTheme="majorBidi" w:hAnsiTheme="majorBidi" w:cstheme="majorBidi"/>
          <w:b/>
          <w:bCs/>
          <w:sz w:val="24"/>
          <w:szCs w:val="24"/>
          <w:u w:val="single"/>
          <w:rtl/>
        </w:rPr>
      </w:pPr>
      <w:r w:rsidRPr="00525FBB">
        <w:rPr>
          <w:rFonts w:asciiTheme="majorBidi" w:hAnsiTheme="majorBidi" w:cstheme="majorBidi"/>
          <w:b/>
          <w:bCs/>
          <w:noProof/>
          <w:sz w:val="24"/>
          <w:szCs w:val="24"/>
        </w:rPr>
        <w:drawing>
          <wp:anchor distT="0" distB="0" distL="114300" distR="114300" simplePos="0" relativeHeight="251660288" behindDoc="0" locked="0" layoutInCell="1" allowOverlap="1" wp14:anchorId="676C7C7B" wp14:editId="47F055F2">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5F6542BF" w14:textId="77777777" w:rsidR="009125CE" w:rsidRPr="00525FBB" w:rsidRDefault="009125CE" w:rsidP="009125CE">
      <w:pPr>
        <w:rPr>
          <w:rFonts w:asciiTheme="majorBidi" w:hAnsiTheme="majorBidi" w:cstheme="majorBidi"/>
          <w:sz w:val="24"/>
          <w:szCs w:val="24"/>
          <w:rtl/>
        </w:rPr>
      </w:pPr>
    </w:p>
    <w:p w14:paraId="08401F45" w14:textId="4BFF7F98" w:rsidR="009125CE" w:rsidRPr="00525FBB" w:rsidRDefault="00506A5D" w:rsidP="00506A5D">
      <w:pPr>
        <w:spacing w:after="0" w:line="480" w:lineRule="auto"/>
        <w:jc w:val="center"/>
        <w:rPr>
          <w:rFonts w:asciiTheme="majorBidi" w:hAnsiTheme="majorBidi" w:cstheme="majorBidi"/>
          <w:b/>
          <w:bCs/>
          <w:sz w:val="24"/>
          <w:szCs w:val="24"/>
          <w:rtl/>
        </w:rPr>
      </w:pPr>
      <w:r w:rsidRPr="00525FBB">
        <w:rPr>
          <w:rFonts w:asciiTheme="majorBidi" w:hAnsiTheme="majorBidi" w:cstheme="majorBidi"/>
          <w:b/>
          <w:bCs/>
          <w:sz w:val="24"/>
          <w:szCs w:val="24"/>
        </w:rPr>
        <w:t>RISK ASSESSMENT TRANSFORMATION OF HEALTH PROGRAMS IN SAUDI ARABIA: CHALLENGES, OPPORTUNITIES AND MITIGATIVE STRATEGIES – A SYSTEMATIC REVIEW</w:t>
      </w:r>
      <w:r w:rsidR="009125CE" w:rsidRPr="00525FBB">
        <w:rPr>
          <w:rFonts w:asciiTheme="majorBidi" w:hAnsiTheme="majorBidi" w:cstheme="majorBidi"/>
          <w:b/>
          <w:bCs/>
          <w:sz w:val="24"/>
          <w:szCs w:val="24"/>
          <w:rtl/>
          <w:lang w:bidi="ar-EG"/>
        </w:rPr>
        <w:t xml:space="preserve"> </w:t>
      </w:r>
    </w:p>
    <w:p w14:paraId="15C28831" w14:textId="77777777" w:rsidR="009125CE" w:rsidRPr="00525FBB" w:rsidRDefault="009125CE" w:rsidP="009125CE">
      <w:pPr>
        <w:jc w:val="center"/>
        <w:rPr>
          <w:rFonts w:asciiTheme="majorBidi" w:hAnsiTheme="majorBidi" w:cstheme="majorBidi"/>
          <w:sz w:val="24"/>
          <w:szCs w:val="24"/>
          <w:rtl/>
          <w:lang w:bidi="ar-EG"/>
        </w:rPr>
      </w:pPr>
    </w:p>
    <w:p w14:paraId="3024630C" w14:textId="23CEB73F" w:rsidR="009125CE" w:rsidRPr="00525FBB" w:rsidRDefault="009125CE" w:rsidP="00506A5D">
      <w:pPr>
        <w:rPr>
          <w:rFonts w:asciiTheme="majorBidi" w:hAnsiTheme="majorBidi" w:cstheme="majorBidi"/>
          <w:sz w:val="24"/>
          <w:szCs w:val="24"/>
          <w:rtl/>
          <w:lang w:bidi="ar-EG"/>
        </w:rPr>
      </w:pPr>
    </w:p>
    <w:p w14:paraId="232F19A4" w14:textId="77777777" w:rsidR="009125CE" w:rsidRPr="00525FBB" w:rsidRDefault="009125CE" w:rsidP="009125CE">
      <w:pPr>
        <w:jc w:val="center"/>
        <w:rPr>
          <w:rFonts w:asciiTheme="majorBidi" w:hAnsiTheme="majorBidi" w:cstheme="majorBidi"/>
          <w:sz w:val="24"/>
          <w:szCs w:val="24"/>
          <w:rtl/>
          <w:lang w:bidi="ar-EG"/>
        </w:rPr>
      </w:pPr>
    </w:p>
    <w:p w14:paraId="0EB57E30" w14:textId="03BBFA3C" w:rsidR="009125CE" w:rsidRPr="00525FBB" w:rsidRDefault="00F540ED" w:rsidP="009125CE">
      <w:pPr>
        <w:jc w:val="center"/>
        <w:rPr>
          <w:rFonts w:asciiTheme="majorBidi" w:hAnsiTheme="majorBidi" w:cstheme="majorBidi"/>
          <w:b/>
          <w:bCs/>
          <w:sz w:val="24"/>
          <w:szCs w:val="24"/>
          <w:rtl/>
          <w:lang w:bidi="ar-EG"/>
        </w:rPr>
      </w:pPr>
      <w:r w:rsidRPr="00525FBB">
        <w:rPr>
          <w:rFonts w:asciiTheme="majorBidi" w:hAnsiTheme="majorBidi" w:cstheme="majorBidi"/>
          <w:b/>
          <w:bCs/>
          <w:sz w:val="24"/>
          <w:szCs w:val="24"/>
          <w:lang w:bidi="ar-EG"/>
        </w:rPr>
        <w:t>Prepared by</w:t>
      </w:r>
    </w:p>
    <w:p w14:paraId="751A7E65" w14:textId="5A3F27AF" w:rsidR="009125CE" w:rsidRPr="00525FBB" w:rsidRDefault="00506A5D" w:rsidP="009125CE">
      <w:pPr>
        <w:jc w:val="center"/>
        <w:rPr>
          <w:rFonts w:asciiTheme="majorBidi" w:hAnsiTheme="majorBidi" w:cstheme="majorBidi"/>
          <w:b/>
          <w:bCs/>
          <w:sz w:val="24"/>
          <w:szCs w:val="24"/>
          <w:lang w:bidi="ar-EG"/>
        </w:rPr>
      </w:pPr>
      <w:r w:rsidRPr="00525FBB">
        <w:rPr>
          <w:rFonts w:asciiTheme="majorBidi" w:hAnsiTheme="majorBidi" w:cstheme="majorBidi"/>
          <w:b/>
          <w:bCs/>
          <w:sz w:val="24"/>
          <w:szCs w:val="24"/>
          <w:lang w:bidi="ar-EG"/>
        </w:rPr>
        <w:t xml:space="preserve">Yousef Hejji Alhassan </w:t>
      </w:r>
    </w:p>
    <w:p w14:paraId="43E24AA0" w14:textId="3F39D58A" w:rsidR="00506A5D" w:rsidRPr="00525FBB" w:rsidRDefault="00506A5D" w:rsidP="009125CE">
      <w:pPr>
        <w:jc w:val="center"/>
        <w:rPr>
          <w:rFonts w:asciiTheme="majorBidi" w:hAnsiTheme="majorBidi" w:cstheme="majorBidi"/>
          <w:b/>
          <w:bCs/>
          <w:sz w:val="24"/>
          <w:szCs w:val="24"/>
          <w:rtl/>
          <w:lang w:bidi="ar-EG"/>
        </w:rPr>
      </w:pPr>
      <w:r w:rsidRPr="00525FBB">
        <w:rPr>
          <w:rFonts w:asciiTheme="majorBidi" w:hAnsiTheme="majorBidi" w:cstheme="majorBidi"/>
          <w:b/>
          <w:bCs/>
          <w:sz w:val="24"/>
          <w:szCs w:val="24"/>
          <w:lang w:bidi="ar-EG"/>
        </w:rPr>
        <w:t>Student ID 242001646</w:t>
      </w:r>
    </w:p>
    <w:p w14:paraId="76AA45C9" w14:textId="77777777" w:rsidR="009125CE" w:rsidRPr="00525FBB" w:rsidRDefault="009125CE" w:rsidP="009125CE">
      <w:pPr>
        <w:jc w:val="center"/>
        <w:rPr>
          <w:rFonts w:asciiTheme="majorBidi" w:hAnsiTheme="majorBidi" w:cstheme="majorBidi"/>
          <w:b/>
          <w:bCs/>
          <w:sz w:val="24"/>
          <w:szCs w:val="24"/>
          <w:rtl/>
          <w:lang w:bidi="ar-EG"/>
        </w:rPr>
      </w:pPr>
    </w:p>
    <w:p w14:paraId="3D3CBDF8" w14:textId="77777777" w:rsidR="009125CE" w:rsidRPr="00525FBB" w:rsidRDefault="009125CE" w:rsidP="009125CE">
      <w:pPr>
        <w:jc w:val="center"/>
        <w:rPr>
          <w:rFonts w:asciiTheme="majorBidi" w:hAnsiTheme="majorBidi" w:cstheme="majorBidi"/>
          <w:b/>
          <w:bCs/>
          <w:sz w:val="24"/>
          <w:szCs w:val="24"/>
          <w:rtl/>
          <w:lang w:bidi="ar-EG"/>
        </w:rPr>
      </w:pPr>
    </w:p>
    <w:p w14:paraId="58D6152F" w14:textId="77777777" w:rsidR="009125CE" w:rsidRPr="00525FBB" w:rsidRDefault="009125CE" w:rsidP="009125CE">
      <w:pPr>
        <w:jc w:val="center"/>
        <w:rPr>
          <w:rFonts w:asciiTheme="majorBidi" w:hAnsiTheme="majorBidi" w:cstheme="majorBidi"/>
          <w:b/>
          <w:bCs/>
          <w:sz w:val="24"/>
          <w:szCs w:val="24"/>
          <w:rtl/>
          <w:lang w:bidi="ar-EG"/>
        </w:rPr>
      </w:pPr>
    </w:p>
    <w:p w14:paraId="5F4EE2DE" w14:textId="473499F0" w:rsidR="009125CE" w:rsidRPr="00525FBB" w:rsidRDefault="00F540ED" w:rsidP="009125CE">
      <w:pPr>
        <w:jc w:val="center"/>
        <w:rPr>
          <w:rFonts w:asciiTheme="majorBidi" w:hAnsiTheme="majorBidi" w:cstheme="majorBidi"/>
          <w:b/>
          <w:bCs/>
          <w:sz w:val="24"/>
          <w:szCs w:val="24"/>
          <w:lang w:bidi="ar-EG"/>
        </w:rPr>
      </w:pPr>
      <w:r w:rsidRPr="00525FBB">
        <w:rPr>
          <w:rFonts w:asciiTheme="majorBidi" w:hAnsiTheme="majorBidi" w:cstheme="majorBidi"/>
          <w:b/>
          <w:bCs/>
          <w:sz w:val="24"/>
          <w:szCs w:val="24"/>
          <w:lang w:bidi="ar-EG"/>
        </w:rPr>
        <w:t>Supervised by</w:t>
      </w:r>
    </w:p>
    <w:p w14:paraId="4797944E" w14:textId="17143DE6" w:rsidR="00506A5D" w:rsidRPr="00525FBB" w:rsidRDefault="00506A5D" w:rsidP="009125CE">
      <w:pPr>
        <w:jc w:val="center"/>
        <w:rPr>
          <w:rFonts w:asciiTheme="majorBidi" w:hAnsiTheme="majorBidi" w:cstheme="majorBidi"/>
          <w:b/>
          <w:bCs/>
          <w:sz w:val="24"/>
          <w:szCs w:val="24"/>
          <w:lang w:bidi="ar-EG"/>
        </w:rPr>
      </w:pPr>
      <w:r w:rsidRPr="00525FBB">
        <w:rPr>
          <w:rFonts w:asciiTheme="majorBidi" w:hAnsiTheme="majorBidi" w:cstheme="majorBidi"/>
          <w:b/>
          <w:bCs/>
          <w:sz w:val="24"/>
          <w:szCs w:val="24"/>
          <w:lang w:bidi="ar-EG"/>
        </w:rPr>
        <w:t>Dr. Alfaisal Abdulhameed</w:t>
      </w:r>
    </w:p>
    <w:p w14:paraId="16CF2D6A" w14:textId="4C64A65B" w:rsidR="009125CE" w:rsidRPr="00525FBB" w:rsidRDefault="00506A5D" w:rsidP="00506A5D">
      <w:pPr>
        <w:jc w:val="center"/>
        <w:rPr>
          <w:rFonts w:asciiTheme="majorBidi" w:hAnsiTheme="majorBidi" w:cstheme="majorBidi"/>
          <w:b/>
          <w:bCs/>
          <w:sz w:val="24"/>
          <w:szCs w:val="24"/>
          <w:rtl/>
        </w:rPr>
      </w:pPr>
      <w:r w:rsidRPr="00525FBB">
        <w:rPr>
          <w:rFonts w:asciiTheme="majorBidi" w:hAnsiTheme="majorBidi" w:cstheme="majorBidi"/>
          <w:b/>
          <w:bCs/>
          <w:sz w:val="24"/>
          <w:szCs w:val="24"/>
          <w:lang w:bidi="ar-EG"/>
        </w:rPr>
        <w:t>Dr. Fayez Jarad</w:t>
      </w:r>
    </w:p>
    <w:p w14:paraId="22738CC6" w14:textId="77777777" w:rsidR="009125CE" w:rsidRPr="00525FBB" w:rsidRDefault="009125CE" w:rsidP="009125CE">
      <w:pPr>
        <w:jc w:val="center"/>
        <w:rPr>
          <w:rFonts w:asciiTheme="majorBidi" w:hAnsiTheme="majorBidi" w:cstheme="majorBidi"/>
          <w:b/>
          <w:bCs/>
          <w:sz w:val="24"/>
          <w:szCs w:val="24"/>
          <w:rtl/>
          <w:lang w:bidi="ar-EG"/>
        </w:rPr>
      </w:pPr>
    </w:p>
    <w:p w14:paraId="0ECF42F7" w14:textId="06F02FC8" w:rsidR="009125CE" w:rsidRPr="00525FBB" w:rsidRDefault="009125CE" w:rsidP="009125CE">
      <w:pPr>
        <w:jc w:val="center"/>
        <w:rPr>
          <w:rFonts w:asciiTheme="majorBidi" w:hAnsiTheme="majorBidi" w:cstheme="majorBidi"/>
          <w:b/>
          <w:bCs/>
          <w:sz w:val="24"/>
          <w:szCs w:val="24"/>
          <w:rtl/>
          <w:lang w:bidi="ar-EG"/>
        </w:rPr>
      </w:pPr>
      <w:r w:rsidRPr="00525FBB">
        <w:rPr>
          <w:rFonts w:asciiTheme="majorBidi" w:hAnsiTheme="majorBidi" w:cstheme="majorBidi"/>
          <w:b/>
          <w:bCs/>
          <w:sz w:val="24"/>
          <w:szCs w:val="24"/>
          <w:rtl/>
          <w:lang w:bidi="ar-EG"/>
        </w:rPr>
        <w:t>202</w:t>
      </w:r>
      <w:r w:rsidR="00D52480" w:rsidRPr="00525FBB">
        <w:rPr>
          <w:rFonts w:asciiTheme="majorBidi" w:hAnsiTheme="majorBidi" w:cstheme="majorBidi"/>
          <w:b/>
          <w:bCs/>
          <w:sz w:val="24"/>
          <w:szCs w:val="24"/>
          <w:rtl/>
          <w:lang w:bidi="ar-EG"/>
        </w:rPr>
        <w:t>4</w:t>
      </w:r>
      <w:r w:rsidR="00F540ED" w:rsidRPr="00525FBB">
        <w:rPr>
          <w:rFonts w:asciiTheme="majorBidi" w:hAnsiTheme="majorBidi" w:cstheme="majorBidi"/>
          <w:b/>
          <w:bCs/>
          <w:sz w:val="24"/>
          <w:szCs w:val="24"/>
          <w:lang w:bidi="ar-EG"/>
        </w:rPr>
        <w:t xml:space="preserve">Year: </w:t>
      </w:r>
    </w:p>
    <w:p w14:paraId="5DBA947E" w14:textId="77777777" w:rsidR="009125CE" w:rsidRPr="00525FBB" w:rsidRDefault="009125CE" w:rsidP="009125CE">
      <w:pPr>
        <w:jc w:val="center"/>
        <w:rPr>
          <w:rFonts w:asciiTheme="majorBidi" w:hAnsiTheme="majorBidi" w:cstheme="majorBidi"/>
          <w:b/>
          <w:bCs/>
          <w:sz w:val="24"/>
          <w:szCs w:val="24"/>
          <w:rtl/>
          <w:lang w:bidi="ar-EG"/>
        </w:rPr>
      </w:pPr>
    </w:p>
    <w:p w14:paraId="71099ADB" w14:textId="77777777" w:rsidR="009125CE" w:rsidRPr="00525FBB" w:rsidRDefault="009125CE" w:rsidP="009125CE">
      <w:pPr>
        <w:jc w:val="center"/>
        <w:rPr>
          <w:rFonts w:asciiTheme="majorBidi" w:hAnsiTheme="majorBidi" w:cstheme="majorBidi"/>
          <w:b/>
          <w:bCs/>
          <w:sz w:val="24"/>
          <w:szCs w:val="24"/>
          <w:rtl/>
          <w:lang w:bidi="ar-EG"/>
        </w:rPr>
      </w:pPr>
    </w:p>
    <w:p w14:paraId="7D0AC58A" w14:textId="1A1000F3" w:rsidR="00D34361" w:rsidRDefault="00D34361" w:rsidP="00D34361">
      <w:pPr>
        <w:spacing w:after="0" w:line="480" w:lineRule="auto"/>
        <w:jc w:val="right"/>
        <w:rPr>
          <w:rFonts w:asciiTheme="majorBidi" w:hAnsiTheme="majorBidi" w:cstheme="majorBidi"/>
          <w:b/>
          <w:bCs/>
          <w:sz w:val="24"/>
          <w:szCs w:val="24"/>
        </w:rPr>
      </w:pPr>
    </w:p>
    <w:p w14:paraId="730128D7" w14:textId="0E88B3A6" w:rsidR="00525FBB" w:rsidRDefault="00525FBB" w:rsidP="00D34361">
      <w:pPr>
        <w:spacing w:after="0" w:line="480" w:lineRule="auto"/>
        <w:jc w:val="right"/>
        <w:rPr>
          <w:rFonts w:asciiTheme="majorBidi" w:hAnsiTheme="majorBidi" w:cstheme="majorBidi"/>
          <w:b/>
          <w:bCs/>
          <w:sz w:val="24"/>
          <w:szCs w:val="24"/>
        </w:rPr>
      </w:pPr>
    </w:p>
    <w:p w14:paraId="2D609E61" w14:textId="6EA8B61E" w:rsidR="00525FBB" w:rsidRDefault="00525FBB" w:rsidP="00D34361">
      <w:pPr>
        <w:spacing w:after="0" w:line="480" w:lineRule="auto"/>
        <w:jc w:val="right"/>
        <w:rPr>
          <w:rFonts w:asciiTheme="majorBidi" w:hAnsiTheme="majorBidi" w:cstheme="majorBidi"/>
          <w:b/>
          <w:bCs/>
          <w:sz w:val="24"/>
          <w:szCs w:val="24"/>
        </w:rPr>
      </w:pPr>
    </w:p>
    <w:p w14:paraId="595F96A8" w14:textId="43238B50" w:rsidR="00525FBB" w:rsidRDefault="00525FBB" w:rsidP="00D34361">
      <w:pPr>
        <w:spacing w:after="0" w:line="480" w:lineRule="auto"/>
        <w:jc w:val="right"/>
        <w:rPr>
          <w:rFonts w:asciiTheme="majorBidi" w:hAnsiTheme="majorBidi" w:cstheme="majorBidi"/>
          <w:b/>
          <w:bCs/>
          <w:sz w:val="24"/>
          <w:szCs w:val="24"/>
        </w:rPr>
      </w:pPr>
    </w:p>
    <w:p w14:paraId="791CFD64" w14:textId="6831DB7D" w:rsidR="00525FBB" w:rsidRPr="00525FBB" w:rsidRDefault="00525FBB" w:rsidP="00D34361">
      <w:pPr>
        <w:spacing w:after="0" w:line="480" w:lineRule="auto"/>
        <w:jc w:val="right"/>
        <w:rPr>
          <w:rFonts w:asciiTheme="majorBidi" w:hAnsiTheme="majorBidi" w:cstheme="majorBidi"/>
          <w:sz w:val="24"/>
          <w:szCs w:val="24"/>
        </w:rPr>
      </w:pPr>
    </w:p>
    <w:p w14:paraId="21493D50" w14:textId="77777777" w:rsidR="00D34361" w:rsidRPr="00525FBB" w:rsidRDefault="00D34361" w:rsidP="00D34361">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lastRenderedPageBreak/>
        <w:t>Abstract</w:t>
      </w:r>
    </w:p>
    <w:p w14:paraId="11C1FB69" w14:textId="5232C946" w:rsidR="00D34361" w:rsidRPr="00525FBB" w:rsidRDefault="00D34361" w:rsidP="00D34361">
      <w:pPr>
        <w:spacing w:after="0" w:line="480" w:lineRule="auto"/>
        <w:jc w:val="right"/>
        <w:rPr>
          <w:rFonts w:asciiTheme="majorBidi" w:hAnsiTheme="majorBidi" w:cstheme="majorBidi"/>
          <w:sz w:val="24"/>
          <w:szCs w:val="24"/>
        </w:rPr>
      </w:pPr>
      <w:r w:rsidRPr="00525FBB">
        <w:rPr>
          <w:rFonts w:asciiTheme="majorBidi" w:hAnsiTheme="majorBidi" w:cstheme="majorBidi"/>
          <w:b/>
          <w:bCs/>
          <w:sz w:val="24"/>
          <w:szCs w:val="24"/>
        </w:rPr>
        <w:t xml:space="preserve">Background: </w:t>
      </w:r>
      <w:r w:rsidR="000D3CC2" w:rsidRPr="000D3CC2">
        <w:rPr>
          <w:rFonts w:asciiTheme="majorBidi" w:hAnsiTheme="majorBidi" w:cstheme="majorBidi"/>
          <w:sz w:val="24"/>
          <w:szCs w:val="24"/>
        </w:rPr>
        <w:t>The</w:t>
      </w:r>
      <w:r w:rsidR="007F5BAF">
        <w:rPr>
          <w:rFonts w:asciiTheme="majorBidi" w:hAnsiTheme="majorBidi" w:cstheme="majorBidi"/>
          <w:sz w:val="24"/>
          <w:szCs w:val="24"/>
        </w:rPr>
        <w:t xml:space="preserve"> transformation of the</w:t>
      </w:r>
      <w:r w:rsidR="000D3CC2" w:rsidRPr="000D3CC2">
        <w:rPr>
          <w:rFonts w:asciiTheme="majorBidi" w:hAnsiTheme="majorBidi" w:cstheme="majorBidi"/>
          <w:sz w:val="24"/>
          <w:szCs w:val="24"/>
        </w:rPr>
        <w:t xml:space="preserve"> Saudi healthcare system under Vision 2030 to enhance accessibility, quality, and sustainability</w:t>
      </w:r>
      <w:r w:rsidR="007F5BAF">
        <w:rPr>
          <w:rFonts w:asciiTheme="majorBidi" w:hAnsiTheme="majorBidi" w:cstheme="majorBidi"/>
          <w:sz w:val="24"/>
          <w:szCs w:val="24"/>
        </w:rPr>
        <w:t xml:space="preserve"> is facing</w:t>
      </w:r>
      <w:r w:rsidR="000D3CC2" w:rsidRPr="000D3CC2">
        <w:rPr>
          <w:rFonts w:asciiTheme="majorBidi" w:hAnsiTheme="majorBidi" w:cstheme="majorBidi"/>
          <w:sz w:val="24"/>
          <w:szCs w:val="24"/>
        </w:rPr>
        <w:t xml:space="preserve"> challenges related to workforce shortages, infrastructure, and financial sustainability </w:t>
      </w:r>
      <w:r w:rsidR="007F5BAF">
        <w:rPr>
          <w:rFonts w:asciiTheme="majorBidi" w:hAnsiTheme="majorBidi" w:cstheme="majorBidi"/>
          <w:sz w:val="24"/>
          <w:szCs w:val="24"/>
        </w:rPr>
        <w:t>d</w:t>
      </w:r>
      <w:r w:rsidR="007F5BAF" w:rsidRPr="000D3CC2">
        <w:rPr>
          <w:rFonts w:asciiTheme="majorBidi" w:hAnsiTheme="majorBidi" w:cstheme="majorBidi"/>
          <w:sz w:val="24"/>
          <w:szCs w:val="24"/>
        </w:rPr>
        <w:t>espite</w:t>
      </w:r>
      <w:r w:rsidR="007F5BAF">
        <w:rPr>
          <w:rFonts w:asciiTheme="majorBidi" w:hAnsiTheme="majorBidi" w:cstheme="majorBidi"/>
          <w:sz w:val="24"/>
          <w:szCs w:val="24"/>
        </w:rPr>
        <w:t xml:space="preserve"> several substantial</w:t>
      </w:r>
      <w:r w:rsidR="007F5BAF" w:rsidRPr="000D3CC2">
        <w:rPr>
          <w:rFonts w:asciiTheme="majorBidi" w:hAnsiTheme="majorBidi" w:cstheme="majorBidi"/>
          <w:sz w:val="24"/>
          <w:szCs w:val="24"/>
        </w:rPr>
        <w:t xml:space="preserve"> investments and policy changes</w:t>
      </w:r>
      <w:r w:rsidR="000D3CC2" w:rsidRPr="000D3CC2">
        <w:rPr>
          <w:rFonts w:asciiTheme="majorBidi" w:hAnsiTheme="majorBidi" w:cstheme="majorBidi"/>
          <w:sz w:val="24"/>
          <w:szCs w:val="24"/>
        </w:rPr>
        <w:t xml:space="preserve">. </w:t>
      </w:r>
    </w:p>
    <w:p w14:paraId="5300E353" w14:textId="77777777" w:rsidR="000D3CC2" w:rsidRPr="000D3CC2" w:rsidRDefault="00D34361" w:rsidP="000D3CC2">
      <w:pPr>
        <w:spacing w:after="0" w:line="480" w:lineRule="auto"/>
        <w:jc w:val="right"/>
        <w:rPr>
          <w:rFonts w:asciiTheme="majorBidi" w:hAnsiTheme="majorBidi" w:cstheme="majorBidi"/>
          <w:sz w:val="24"/>
          <w:szCs w:val="24"/>
        </w:rPr>
      </w:pPr>
      <w:r w:rsidRPr="00525FBB">
        <w:rPr>
          <w:rFonts w:asciiTheme="majorBidi" w:hAnsiTheme="majorBidi" w:cstheme="majorBidi"/>
          <w:b/>
          <w:bCs/>
          <w:sz w:val="24"/>
          <w:szCs w:val="24"/>
        </w:rPr>
        <w:t xml:space="preserve">Objectives: </w:t>
      </w:r>
      <w:r w:rsidR="000D3CC2" w:rsidRPr="000D3CC2">
        <w:rPr>
          <w:rFonts w:asciiTheme="majorBidi" w:hAnsiTheme="majorBidi" w:cstheme="majorBidi"/>
          <w:sz w:val="24"/>
          <w:szCs w:val="24"/>
        </w:rPr>
        <w:t>The primary purpose of this systematic review is the assessment of current healthcare reform in Saudi Arabia based specifically on Vision 2030 reforms' impacts. Specific aims are to acknowledge major challenges that the healthcare industry faces, which areas need to improve, and strategies suggested in alleviating issues in the current context. The review also attempts to contrast Saudi healthcare conditions against global trends regarding healthcare reform</w:t>
      </w:r>
    </w:p>
    <w:p w14:paraId="641DBA19" w14:textId="77777777" w:rsidR="000D3CC2" w:rsidRPr="000D3CC2" w:rsidRDefault="000D3CC2" w:rsidP="000D3CC2">
      <w:pPr>
        <w:spacing w:after="0" w:line="480" w:lineRule="auto"/>
        <w:jc w:val="right"/>
        <w:rPr>
          <w:rFonts w:asciiTheme="majorBidi" w:hAnsiTheme="majorBidi" w:cstheme="majorBidi"/>
          <w:sz w:val="24"/>
          <w:szCs w:val="24"/>
        </w:rPr>
      </w:pPr>
      <w:r w:rsidRPr="000D3CC2">
        <w:rPr>
          <w:rFonts w:asciiTheme="majorBidi" w:hAnsiTheme="majorBidi" w:cstheme="majorBidi"/>
          <w:b/>
          <w:bCs/>
          <w:sz w:val="24"/>
          <w:szCs w:val="24"/>
        </w:rPr>
        <w:t xml:space="preserve">Methods: </w:t>
      </w:r>
      <w:r w:rsidRPr="000D3CC2">
        <w:rPr>
          <w:rFonts w:asciiTheme="majorBidi" w:hAnsiTheme="majorBidi" w:cstheme="majorBidi"/>
          <w:sz w:val="24"/>
          <w:szCs w:val="24"/>
        </w:rPr>
        <w:t>Comprehensive literature search was conducted in various databases, including PubMed, ScienceDirect, and Google Scholar, for articles published between 2020 and 2025. The articles included those that wrote about the health transformation programs under Vision 2030 with focus on workforce development, digital health integration, and public-private partnership. Thematic analysis was performed to extract recurring patterns and salient findings from the studies.</w:t>
      </w:r>
    </w:p>
    <w:p w14:paraId="63792DD7" w14:textId="241F7828" w:rsidR="000D3CC2" w:rsidRPr="000D3CC2" w:rsidRDefault="000D3CC2" w:rsidP="000D3CC2">
      <w:pPr>
        <w:spacing w:after="0" w:line="480" w:lineRule="auto"/>
        <w:jc w:val="right"/>
        <w:rPr>
          <w:rFonts w:asciiTheme="majorBidi" w:hAnsiTheme="majorBidi" w:cstheme="majorBidi"/>
          <w:sz w:val="24"/>
          <w:szCs w:val="24"/>
        </w:rPr>
      </w:pPr>
      <w:r w:rsidRPr="000D3CC2">
        <w:rPr>
          <w:rFonts w:asciiTheme="majorBidi" w:hAnsiTheme="majorBidi" w:cstheme="majorBidi"/>
          <w:b/>
          <w:bCs/>
          <w:sz w:val="24"/>
          <w:szCs w:val="24"/>
        </w:rPr>
        <w:t>Results:</w:t>
      </w:r>
      <w:r w:rsidRPr="000D3CC2">
        <w:rPr>
          <w:rFonts w:asciiTheme="majorBidi" w:hAnsiTheme="majorBidi" w:cstheme="majorBidi"/>
          <w:sz w:val="24"/>
          <w:szCs w:val="24"/>
        </w:rPr>
        <w:t xml:space="preserve"> Saudi Arabia's Vision 2030 healthcare reform is making gradual progress </w:t>
      </w:r>
      <w:r w:rsidR="004B7140">
        <w:rPr>
          <w:rFonts w:asciiTheme="majorBidi" w:hAnsiTheme="majorBidi" w:cstheme="majorBidi"/>
          <w:sz w:val="24"/>
          <w:szCs w:val="24"/>
        </w:rPr>
        <w:t>although</w:t>
      </w:r>
      <w:r w:rsidRPr="000D3CC2">
        <w:rPr>
          <w:rFonts w:asciiTheme="majorBidi" w:hAnsiTheme="majorBidi" w:cstheme="majorBidi"/>
          <w:sz w:val="24"/>
          <w:szCs w:val="24"/>
        </w:rPr>
        <w:t xml:space="preserve"> limited by human resource shortages, geographical health disparities, and infrastructure limitations. </w:t>
      </w:r>
      <w:r w:rsidR="004B7140">
        <w:rPr>
          <w:rFonts w:asciiTheme="majorBidi" w:hAnsiTheme="majorBidi" w:cstheme="majorBidi"/>
          <w:sz w:val="24"/>
          <w:szCs w:val="24"/>
        </w:rPr>
        <w:t>The</w:t>
      </w:r>
      <w:r w:rsidRPr="000D3CC2">
        <w:rPr>
          <w:rFonts w:asciiTheme="majorBidi" w:hAnsiTheme="majorBidi" w:cstheme="majorBidi"/>
          <w:sz w:val="24"/>
          <w:szCs w:val="24"/>
        </w:rPr>
        <w:t xml:space="preserve"> integration of digital health technology, expansion of public-private partnerships (PPPs), and workforce training</w:t>
      </w:r>
      <w:r w:rsidR="004B7140">
        <w:rPr>
          <w:rFonts w:asciiTheme="majorBidi" w:hAnsiTheme="majorBidi" w:cstheme="majorBidi"/>
          <w:sz w:val="24"/>
          <w:szCs w:val="24"/>
        </w:rPr>
        <w:t xml:space="preserve"> can provide opportunities that help alleviate the challenges</w:t>
      </w:r>
      <w:r w:rsidRPr="000D3CC2">
        <w:rPr>
          <w:rFonts w:asciiTheme="majorBidi" w:hAnsiTheme="majorBidi" w:cstheme="majorBidi"/>
          <w:sz w:val="24"/>
          <w:szCs w:val="24"/>
        </w:rPr>
        <w:t xml:space="preserve">. Mitigation measures </w:t>
      </w:r>
      <w:r w:rsidR="004B7140">
        <w:rPr>
          <w:rFonts w:asciiTheme="majorBidi" w:hAnsiTheme="majorBidi" w:cstheme="majorBidi"/>
          <w:sz w:val="24"/>
          <w:szCs w:val="24"/>
        </w:rPr>
        <w:t>must revolve around</w:t>
      </w:r>
      <w:r w:rsidRPr="000D3CC2">
        <w:rPr>
          <w:rFonts w:asciiTheme="majorBidi" w:hAnsiTheme="majorBidi" w:cstheme="majorBidi"/>
          <w:sz w:val="24"/>
          <w:szCs w:val="24"/>
        </w:rPr>
        <w:t xml:space="preserve"> the need for robust training programs, private sector engagement, and policy reforms to facilitate healthcare service sustainability and access.</w:t>
      </w:r>
    </w:p>
    <w:p w14:paraId="6237AA1E" w14:textId="60823A85" w:rsidR="000D3CC2" w:rsidRDefault="000D3CC2" w:rsidP="000D3CC2">
      <w:pPr>
        <w:spacing w:after="0" w:line="480" w:lineRule="auto"/>
        <w:jc w:val="right"/>
        <w:rPr>
          <w:rFonts w:asciiTheme="majorBidi" w:hAnsiTheme="majorBidi" w:cstheme="majorBidi"/>
          <w:sz w:val="24"/>
          <w:szCs w:val="24"/>
        </w:rPr>
      </w:pPr>
      <w:r w:rsidRPr="000D3CC2">
        <w:rPr>
          <w:rFonts w:asciiTheme="majorBidi" w:hAnsiTheme="majorBidi" w:cstheme="majorBidi"/>
          <w:b/>
          <w:bCs/>
          <w:sz w:val="24"/>
          <w:szCs w:val="24"/>
        </w:rPr>
        <w:lastRenderedPageBreak/>
        <w:t xml:space="preserve">Conclusion: </w:t>
      </w:r>
      <w:r w:rsidRPr="000D3CC2">
        <w:rPr>
          <w:rFonts w:asciiTheme="majorBidi" w:hAnsiTheme="majorBidi" w:cstheme="majorBidi"/>
          <w:sz w:val="24"/>
          <w:szCs w:val="24"/>
        </w:rPr>
        <w:t xml:space="preserve">The healthcare sector in Saudi Arabia is </w:t>
      </w:r>
      <w:r w:rsidR="004B7140">
        <w:rPr>
          <w:rFonts w:asciiTheme="majorBidi" w:hAnsiTheme="majorBidi" w:cstheme="majorBidi"/>
          <w:sz w:val="24"/>
          <w:szCs w:val="24"/>
        </w:rPr>
        <w:t>on the right path w</w:t>
      </w:r>
      <w:r w:rsidRPr="000D3CC2">
        <w:rPr>
          <w:rFonts w:asciiTheme="majorBidi" w:hAnsiTheme="majorBidi" w:cstheme="majorBidi"/>
          <w:sz w:val="24"/>
          <w:szCs w:val="24"/>
        </w:rPr>
        <w:t>ith Vision 2030, but there are</w:t>
      </w:r>
      <w:r w:rsidR="004B7140">
        <w:rPr>
          <w:rFonts w:asciiTheme="majorBidi" w:hAnsiTheme="majorBidi" w:cstheme="majorBidi"/>
          <w:sz w:val="24"/>
          <w:szCs w:val="24"/>
        </w:rPr>
        <w:t xml:space="preserve"> several</w:t>
      </w:r>
      <w:r w:rsidRPr="000D3CC2">
        <w:rPr>
          <w:rFonts w:asciiTheme="majorBidi" w:hAnsiTheme="majorBidi" w:cstheme="majorBidi"/>
          <w:sz w:val="24"/>
          <w:szCs w:val="24"/>
        </w:rPr>
        <w:t xml:space="preserve"> key issues </w:t>
      </w:r>
      <w:r w:rsidR="004B7140">
        <w:rPr>
          <w:rFonts w:asciiTheme="majorBidi" w:hAnsiTheme="majorBidi" w:cstheme="majorBidi"/>
          <w:sz w:val="24"/>
          <w:szCs w:val="24"/>
        </w:rPr>
        <w:t>that require resolution</w:t>
      </w:r>
      <w:r w:rsidRPr="000D3CC2">
        <w:rPr>
          <w:rFonts w:asciiTheme="majorBidi" w:hAnsiTheme="majorBidi" w:cstheme="majorBidi"/>
          <w:sz w:val="24"/>
          <w:szCs w:val="24"/>
        </w:rPr>
        <w:t>. Enhancing workforce development, driving digital health, and ensuring fair allocation of resources across regions are most vital to the achievement of the Vision's healthcare aspirations. The review provides actionable recommendations to inform policymakers to improve the delivery and sustainability of healthcare in Saudi Arabia.</w:t>
      </w:r>
    </w:p>
    <w:p w14:paraId="63EDD379" w14:textId="53759DE8" w:rsidR="00D34361" w:rsidRPr="00525FBB" w:rsidRDefault="00D34361" w:rsidP="000D3CC2">
      <w:pPr>
        <w:spacing w:after="0" w:line="480" w:lineRule="auto"/>
        <w:jc w:val="right"/>
        <w:rPr>
          <w:rFonts w:asciiTheme="majorBidi" w:hAnsiTheme="majorBidi" w:cstheme="majorBidi"/>
          <w:sz w:val="24"/>
          <w:szCs w:val="24"/>
        </w:rPr>
      </w:pPr>
      <w:r w:rsidRPr="00525FBB">
        <w:rPr>
          <w:rFonts w:asciiTheme="majorBidi" w:hAnsiTheme="majorBidi" w:cstheme="majorBidi"/>
          <w:b/>
          <w:bCs/>
          <w:sz w:val="24"/>
          <w:szCs w:val="24"/>
        </w:rPr>
        <w:t xml:space="preserve">Keywords: </w:t>
      </w:r>
      <w:r w:rsidRPr="00525FBB">
        <w:rPr>
          <w:rFonts w:asciiTheme="majorBidi" w:hAnsiTheme="majorBidi" w:cstheme="majorBidi"/>
          <w:sz w:val="24"/>
          <w:szCs w:val="24"/>
        </w:rPr>
        <w:t>Saudi Arabia, healthcare transformation, Vision 2030, workforce development, digital health, public-private partnerships, healthcare challenges, health system reform</w:t>
      </w:r>
    </w:p>
    <w:p w14:paraId="35D6AC8A" w14:textId="77777777" w:rsidR="00D34361" w:rsidRPr="00525FBB" w:rsidRDefault="00D34361" w:rsidP="00D34361">
      <w:pPr>
        <w:spacing w:after="0" w:line="480" w:lineRule="auto"/>
        <w:rPr>
          <w:rFonts w:asciiTheme="majorBidi" w:hAnsiTheme="majorBidi" w:cstheme="majorBidi"/>
          <w:sz w:val="24"/>
          <w:szCs w:val="24"/>
        </w:rPr>
      </w:pPr>
    </w:p>
    <w:p w14:paraId="07A5ECF9" w14:textId="77777777" w:rsidR="00D34361" w:rsidRPr="00525FBB" w:rsidRDefault="00D34361" w:rsidP="00D34361">
      <w:pPr>
        <w:spacing w:after="0" w:line="480" w:lineRule="auto"/>
        <w:rPr>
          <w:rFonts w:asciiTheme="majorBidi" w:hAnsiTheme="majorBidi" w:cstheme="majorBidi"/>
          <w:sz w:val="24"/>
          <w:szCs w:val="24"/>
        </w:rPr>
      </w:pPr>
    </w:p>
    <w:p w14:paraId="7E2E940E" w14:textId="5BF2EA79" w:rsidR="00D34361" w:rsidRPr="00525FBB" w:rsidRDefault="00D34361" w:rsidP="00D34361">
      <w:pPr>
        <w:tabs>
          <w:tab w:val="left" w:pos="5292"/>
        </w:tabs>
        <w:jc w:val="right"/>
        <w:rPr>
          <w:rFonts w:asciiTheme="majorBidi" w:hAnsiTheme="majorBidi" w:cstheme="majorBidi"/>
          <w:sz w:val="24"/>
          <w:szCs w:val="24"/>
        </w:rPr>
      </w:pPr>
    </w:p>
    <w:p w14:paraId="111A1ADF" w14:textId="31859A9B" w:rsidR="00D34361" w:rsidRPr="00525FBB" w:rsidRDefault="00D34361" w:rsidP="00F540ED">
      <w:pPr>
        <w:tabs>
          <w:tab w:val="left" w:pos="5292"/>
        </w:tabs>
        <w:rPr>
          <w:rFonts w:asciiTheme="majorBidi" w:hAnsiTheme="majorBidi" w:cstheme="majorBidi"/>
          <w:b/>
          <w:bCs/>
          <w:sz w:val="24"/>
          <w:szCs w:val="24"/>
        </w:rPr>
      </w:pPr>
    </w:p>
    <w:p w14:paraId="6D88EB9F" w14:textId="38C41F42" w:rsidR="00D34361" w:rsidRPr="00525FBB" w:rsidRDefault="00D34361" w:rsidP="00F540ED">
      <w:pPr>
        <w:tabs>
          <w:tab w:val="left" w:pos="5292"/>
        </w:tabs>
        <w:rPr>
          <w:rFonts w:asciiTheme="majorBidi" w:hAnsiTheme="majorBidi" w:cstheme="majorBidi"/>
          <w:b/>
          <w:bCs/>
          <w:sz w:val="24"/>
          <w:szCs w:val="24"/>
        </w:rPr>
      </w:pPr>
    </w:p>
    <w:p w14:paraId="56F0016A" w14:textId="50732290" w:rsidR="00D34361" w:rsidRPr="00525FBB" w:rsidRDefault="00D34361" w:rsidP="00F540ED">
      <w:pPr>
        <w:tabs>
          <w:tab w:val="left" w:pos="5292"/>
        </w:tabs>
        <w:rPr>
          <w:rFonts w:asciiTheme="majorBidi" w:hAnsiTheme="majorBidi" w:cstheme="majorBidi"/>
          <w:b/>
          <w:bCs/>
          <w:sz w:val="24"/>
          <w:szCs w:val="24"/>
        </w:rPr>
      </w:pPr>
    </w:p>
    <w:p w14:paraId="6C01CD18" w14:textId="1C26094F" w:rsidR="00D34361" w:rsidRPr="00525FBB" w:rsidRDefault="00D34361" w:rsidP="00F540ED">
      <w:pPr>
        <w:tabs>
          <w:tab w:val="left" w:pos="5292"/>
        </w:tabs>
        <w:rPr>
          <w:rFonts w:asciiTheme="majorBidi" w:hAnsiTheme="majorBidi" w:cstheme="majorBidi"/>
          <w:b/>
          <w:bCs/>
          <w:sz w:val="24"/>
          <w:szCs w:val="24"/>
        </w:rPr>
      </w:pPr>
    </w:p>
    <w:p w14:paraId="7A3FCB47" w14:textId="7C6649BE" w:rsidR="00D34361" w:rsidRPr="00525FBB" w:rsidRDefault="00D34361" w:rsidP="00F540ED">
      <w:pPr>
        <w:tabs>
          <w:tab w:val="left" w:pos="5292"/>
        </w:tabs>
        <w:rPr>
          <w:rFonts w:asciiTheme="majorBidi" w:hAnsiTheme="majorBidi" w:cstheme="majorBidi"/>
          <w:b/>
          <w:bCs/>
          <w:sz w:val="24"/>
          <w:szCs w:val="24"/>
        </w:rPr>
      </w:pPr>
    </w:p>
    <w:p w14:paraId="7B27EE0A" w14:textId="45E3E4C0" w:rsidR="00D34361" w:rsidRPr="00525FBB" w:rsidRDefault="00D34361" w:rsidP="00F540ED">
      <w:pPr>
        <w:tabs>
          <w:tab w:val="left" w:pos="5292"/>
        </w:tabs>
        <w:rPr>
          <w:rFonts w:asciiTheme="majorBidi" w:hAnsiTheme="majorBidi" w:cstheme="majorBidi"/>
          <w:b/>
          <w:bCs/>
          <w:sz w:val="24"/>
          <w:szCs w:val="24"/>
        </w:rPr>
      </w:pPr>
    </w:p>
    <w:p w14:paraId="52CB81F9" w14:textId="644620B2" w:rsidR="00D34361" w:rsidRPr="00525FBB" w:rsidRDefault="00D34361" w:rsidP="00F540ED">
      <w:pPr>
        <w:tabs>
          <w:tab w:val="left" w:pos="5292"/>
        </w:tabs>
        <w:rPr>
          <w:rFonts w:asciiTheme="majorBidi" w:hAnsiTheme="majorBidi" w:cstheme="majorBidi"/>
          <w:b/>
          <w:bCs/>
          <w:sz w:val="24"/>
          <w:szCs w:val="24"/>
        </w:rPr>
      </w:pPr>
    </w:p>
    <w:p w14:paraId="71613470" w14:textId="39259C7B" w:rsidR="00D34361" w:rsidRPr="00525FBB" w:rsidRDefault="00D34361" w:rsidP="00F540ED">
      <w:pPr>
        <w:tabs>
          <w:tab w:val="left" w:pos="5292"/>
        </w:tabs>
        <w:rPr>
          <w:rFonts w:asciiTheme="majorBidi" w:hAnsiTheme="majorBidi" w:cstheme="majorBidi"/>
          <w:b/>
          <w:bCs/>
          <w:sz w:val="24"/>
          <w:szCs w:val="24"/>
        </w:rPr>
      </w:pPr>
    </w:p>
    <w:p w14:paraId="72F0F4D2" w14:textId="20ED09D6" w:rsidR="00D34361" w:rsidRPr="00525FBB" w:rsidRDefault="00D34361" w:rsidP="00F540ED">
      <w:pPr>
        <w:tabs>
          <w:tab w:val="left" w:pos="5292"/>
        </w:tabs>
        <w:rPr>
          <w:rFonts w:asciiTheme="majorBidi" w:hAnsiTheme="majorBidi" w:cstheme="majorBidi"/>
          <w:b/>
          <w:bCs/>
          <w:sz w:val="24"/>
          <w:szCs w:val="24"/>
        </w:rPr>
      </w:pPr>
    </w:p>
    <w:p w14:paraId="409F1FCC" w14:textId="3393B2C5" w:rsidR="00D34361" w:rsidRPr="00525FBB" w:rsidRDefault="00D34361" w:rsidP="00F540ED">
      <w:pPr>
        <w:tabs>
          <w:tab w:val="left" w:pos="5292"/>
        </w:tabs>
        <w:rPr>
          <w:rFonts w:asciiTheme="majorBidi" w:hAnsiTheme="majorBidi" w:cstheme="majorBidi"/>
          <w:b/>
          <w:bCs/>
          <w:sz w:val="24"/>
          <w:szCs w:val="24"/>
        </w:rPr>
      </w:pPr>
    </w:p>
    <w:p w14:paraId="443E0B5B" w14:textId="5BBE357B" w:rsidR="00D34361" w:rsidRDefault="00D34361" w:rsidP="00F540ED">
      <w:pPr>
        <w:tabs>
          <w:tab w:val="left" w:pos="5292"/>
        </w:tabs>
        <w:rPr>
          <w:rFonts w:asciiTheme="majorBidi" w:hAnsiTheme="majorBidi" w:cstheme="majorBidi"/>
          <w:b/>
          <w:bCs/>
          <w:sz w:val="24"/>
          <w:szCs w:val="24"/>
        </w:rPr>
      </w:pPr>
    </w:p>
    <w:p w14:paraId="42ABD802" w14:textId="77777777" w:rsidR="003A5D5C" w:rsidRDefault="003A5D5C" w:rsidP="00F540ED">
      <w:pPr>
        <w:tabs>
          <w:tab w:val="left" w:pos="5292"/>
        </w:tabs>
        <w:rPr>
          <w:rFonts w:asciiTheme="majorBidi" w:hAnsiTheme="majorBidi" w:cstheme="majorBidi"/>
          <w:b/>
          <w:bCs/>
          <w:sz w:val="24"/>
          <w:szCs w:val="24"/>
        </w:rPr>
      </w:pPr>
    </w:p>
    <w:p w14:paraId="4222D026" w14:textId="77777777" w:rsidR="003A5D5C" w:rsidRDefault="003A5D5C" w:rsidP="00F540ED">
      <w:pPr>
        <w:tabs>
          <w:tab w:val="left" w:pos="5292"/>
        </w:tabs>
        <w:rPr>
          <w:rFonts w:asciiTheme="majorBidi" w:hAnsiTheme="majorBidi" w:cstheme="majorBidi"/>
          <w:b/>
          <w:bCs/>
          <w:sz w:val="24"/>
          <w:szCs w:val="24"/>
        </w:rPr>
      </w:pPr>
    </w:p>
    <w:p w14:paraId="2B169F2E" w14:textId="1DE565FB" w:rsidR="00525FBB" w:rsidRDefault="00525FBB" w:rsidP="00F540ED">
      <w:pPr>
        <w:tabs>
          <w:tab w:val="left" w:pos="5292"/>
        </w:tabs>
        <w:rPr>
          <w:rFonts w:asciiTheme="majorBidi" w:hAnsiTheme="majorBidi" w:cstheme="majorBidi"/>
          <w:b/>
          <w:bCs/>
          <w:sz w:val="24"/>
          <w:szCs w:val="24"/>
        </w:rPr>
      </w:pPr>
    </w:p>
    <w:p w14:paraId="0485FF7E" w14:textId="77777777" w:rsidR="00525FBB" w:rsidRPr="00525FBB" w:rsidRDefault="00525FBB" w:rsidP="00F540ED">
      <w:pPr>
        <w:tabs>
          <w:tab w:val="left" w:pos="5292"/>
        </w:tabs>
        <w:rPr>
          <w:rFonts w:asciiTheme="majorBidi" w:hAnsiTheme="majorBidi" w:cstheme="majorBidi"/>
          <w:b/>
          <w:bCs/>
          <w:sz w:val="24"/>
          <w:szCs w:val="24"/>
        </w:rPr>
      </w:pPr>
    </w:p>
    <w:p w14:paraId="773A78AF" w14:textId="1934CFE8" w:rsidR="00D34361" w:rsidRPr="00525FBB" w:rsidRDefault="00D34361" w:rsidP="00F540ED">
      <w:pPr>
        <w:tabs>
          <w:tab w:val="left" w:pos="5292"/>
        </w:tabs>
        <w:rPr>
          <w:rFonts w:asciiTheme="majorBidi" w:hAnsiTheme="majorBidi" w:cstheme="majorBidi"/>
          <w:b/>
          <w:bCs/>
          <w:sz w:val="24"/>
          <w:szCs w:val="24"/>
        </w:rPr>
      </w:pPr>
    </w:p>
    <w:p w14:paraId="1A18B45A" w14:textId="40CB9598" w:rsidR="00D34361" w:rsidRPr="00525FBB" w:rsidRDefault="00D34361" w:rsidP="00F540ED">
      <w:pPr>
        <w:tabs>
          <w:tab w:val="left" w:pos="5292"/>
        </w:tabs>
        <w:rPr>
          <w:rFonts w:asciiTheme="majorBidi" w:hAnsiTheme="majorBidi" w:cstheme="majorBidi"/>
          <w:b/>
          <w:bCs/>
          <w:sz w:val="24"/>
          <w:szCs w:val="24"/>
        </w:rPr>
      </w:pPr>
    </w:p>
    <w:p w14:paraId="6A3E5826" w14:textId="77777777" w:rsidR="00525FBB" w:rsidRPr="00525FBB" w:rsidRDefault="00525FBB" w:rsidP="00525FBB">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lastRenderedPageBreak/>
        <w:t>Introduction</w:t>
      </w:r>
    </w:p>
    <w:p w14:paraId="5D1FABC1" w14:textId="77777777" w:rsidR="008D28C1" w:rsidRDefault="008D28C1" w:rsidP="00DD0C02">
      <w:pPr>
        <w:spacing w:after="0" w:line="480" w:lineRule="auto"/>
        <w:ind w:firstLine="720"/>
        <w:jc w:val="right"/>
        <w:rPr>
          <w:rFonts w:asciiTheme="majorBidi" w:hAnsiTheme="majorBidi" w:cstheme="majorBidi"/>
          <w:sz w:val="24"/>
          <w:szCs w:val="24"/>
        </w:rPr>
      </w:pPr>
      <w:r w:rsidRPr="008D28C1">
        <w:rPr>
          <w:rFonts w:asciiTheme="majorBidi" w:hAnsiTheme="majorBidi" w:cstheme="majorBidi"/>
          <w:sz w:val="24"/>
          <w:szCs w:val="24"/>
        </w:rPr>
        <w:t xml:space="preserve">The Saudi healthcare system has always been treatment and crisis-focused. </w:t>
      </w:r>
      <w:r w:rsidRPr="008D28C1">
        <w:rPr>
          <w:rFonts w:asciiTheme="majorBidi" w:hAnsiTheme="majorBidi" w:cstheme="majorBidi"/>
          <w:sz w:val="24"/>
          <w:szCs w:val="24"/>
        </w:rPr>
        <w:t>W</w:t>
      </w:r>
      <w:r w:rsidRPr="008D28C1">
        <w:rPr>
          <w:rFonts w:asciiTheme="majorBidi" w:hAnsiTheme="majorBidi" w:cstheme="majorBidi"/>
          <w:sz w:val="24"/>
          <w:szCs w:val="24"/>
        </w:rPr>
        <w:t>ith the Vision 2030 strategy, there has been an overall transformation, which is ambitious</w:t>
      </w:r>
      <w:r w:rsidR="00DD0C02" w:rsidRPr="00DD0C02">
        <w:rPr>
          <w:rFonts w:asciiTheme="majorBidi" w:hAnsiTheme="majorBidi" w:cstheme="majorBidi"/>
          <w:sz w:val="24"/>
          <w:szCs w:val="24"/>
        </w:rPr>
        <w:t>.</w:t>
      </w:r>
      <w:r w:rsidR="00525FBB" w:rsidRPr="00525FBB">
        <w:rPr>
          <w:rFonts w:asciiTheme="majorBidi" w:hAnsiTheme="majorBidi" w:cstheme="majorBidi"/>
          <w:sz w:val="24"/>
          <w:szCs w:val="24"/>
        </w:rPr>
        <w:fldChar w:fldCharType="begin" w:fldLock="1"/>
      </w:r>
      <w:r w:rsidR="00525FBB" w:rsidRPr="00525FBB">
        <w:rPr>
          <w:rFonts w:asciiTheme="majorBidi" w:hAnsiTheme="majorBidi" w:cstheme="majorBidi"/>
          <w:sz w:val="24"/>
          <w:szCs w:val="24"/>
        </w:rPr>
        <w:instrText>ADDIN CSL_CITATION {"citationItems":[{"id":"ITEM-1","itemData":{"DOI":"10.1080/20479700.2020.1788334","ISSN":"20479719","abstract":"Purpose: This article explores the role of Vision 2030 in strengthening the healthcare system in Saudi Arabia. Methods: Systematic review and document analysis. Thematic data analysis technique was used to analyse the data. Findings: Primarily, Vision 2030 may contribute to diversify the economy. It would bring in many changes in society and economy. Overall, Vision 2030 may have a limited impact on changing the graph of the health of the citizens of Saudi Arabia. Conclusion: The government highlighted Vision 2030 to gain popular support but actual action to improve population health remains limited. The government needs to develop a sustainable healthcare by strengthening human resources in healthcare, decentralization and efficient use of resources through stewardship, good governance, accountability and transparency.","author":[{"dropping-particle":"","family":"Rahman","given":"Redwanur","non-dropping-particle":"","parse-names":false,"suffix":""},{"dropping-particle":"","family":"Al-Borie","given":"Hussein M.","non-dropping-particle":"","parse-names":false,"suffix":""}],"container-title":"International Journal of Healthcare Management","id":"ITEM-1","issued":{"date-parts":[["2020"]]},"page":"1-9","publisher":"Taylor and Francis Ltd.","title":"Strengthening the Saudi Arabian healthcare system: Role of Vision 2030","type":"article"},"uris":["http://www.mendeley.com/documents/?uuid=804e1302-f748-3f30-bb0d-8140363449f9"]}],"mendeley":{"formattedCitation":"(Rahman &amp; Al-Borie, 2020)","plainTextFormattedCitation":"(Rahman &amp; Al-Borie, 2020)","previouslyFormattedCitation":"(Rahman &amp; Al-Borie, 2020)"},"properties":{"noteIndex":0},"schema":"https://github.com/citation-style-language/schema/raw/master/csl-citation.json"}</w:instrText>
      </w:r>
      <w:r w:rsidR="00525FBB" w:rsidRPr="00525FBB">
        <w:rPr>
          <w:rFonts w:asciiTheme="majorBidi" w:hAnsiTheme="majorBidi" w:cstheme="majorBidi"/>
          <w:sz w:val="24"/>
          <w:szCs w:val="24"/>
        </w:rPr>
        <w:fldChar w:fldCharType="separate"/>
      </w:r>
      <w:r w:rsidR="00525FBB" w:rsidRPr="00525FBB">
        <w:rPr>
          <w:rFonts w:asciiTheme="majorBidi" w:hAnsiTheme="majorBidi" w:cstheme="majorBidi"/>
          <w:noProof/>
          <w:sz w:val="24"/>
          <w:szCs w:val="24"/>
        </w:rPr>
        <w:t>(Rahman &amp; Al-Borie, 2020)</w:t>
      </w:r>
      <w:r w:rsidR="00525FBB" w:rsidRPr="00525FBB">
        <w:rPr>
          <w:rFonts w:asciiTheme="majorBidi" w:hAnsiTheme="majorBidi" w:cstheme="majorBidi"/>
          <w:sz w:val="24"/>
          <w:szCs w:val="24"/>
        </w:rPr>
        <w:fldChar w:fldCharType="end"/>
      </w:r>
      <w:r w:rsidR="00DD0C02" w:rsidRPr="00DD0C02">
        <w:t xml:space="preserve"> </w:t>
      </w:r>
      <w:r w:rsidR="00DD0C02" w:rsidRPr="00DD0C02">
        <w:rPr>
          <w:rFonts w:asciiTheme="majorBidi" w:hAnsiTheme="majorBidi" w:cstheme="majorBidi"/>
          <w:sz w:val="24"/>
          <w:szCs w:val="24"/>
        </w:rPr>
        <w:t>This</w:t>
      </w:r>
      <w:r>
        <w:rPr>
          <w:rFonts w:asciiTheme="majorBidi" w:hAnsiTheme="majorBidi" w:cstheme="majorBidi"/>
          <w:sz w:val="24"/>
          <w:szCs w:val="24"/>
        </w:rPr>
        <w:t xml:space="preserve"> strategy</w:t>
      </w:r>
      <w:r w:rsidR="00DD0C02" w:rsidRPr="00DD0C02">
        <w:rPr>
          <w:rFonts w:asciiTheme="majorBidi" w:hAnsiTheme="majorBidi" w:cstheme="majorBidi"/>
          <w:sz w:val="24"/>
          <w:szCs w:val="24"/>
        </w:rPr>
        <w:t xml:space="preserve"> </w:t>
      </w:r>
      <w:r>
        <w:rPr>
          <w:rFonts w:asciiTheme="majorBidi" w:hAnsiTheme="majorBidi" w:cstheme="majorBidi"/>
          <w:sz w:val="24"/>
          <w:szCs w:val="24"/>
        </w:rPr>
        <w:t>addresses</w:t>
      </w:r>
      <w:r w:rsidR="00DD0C02" w:rsidRPr="00DD0C02">
        <w:rPr>
          <w:rFonts w:asciiTheme="majorBidi" w:hAnsiTheme="majorBidi" w:cstheme="majorBidi"/>
          <w:sz w:val="24"/>
          <w:szCs w:val="24"/>
        </w:rPr>
        <w:t xml:space="preserve"> some major challenges that it has, such as an aging population, the rise in NCDs, and dependence on foreign health workers. Every attempt has been made to improve accessibility, quality, and sustainability at the cost of lower costs and less dependence on petroleum revenues, which are perpetually volatile.</w:t>
      </w:r>
      <w:r w:rsidR="00DD0C02">
        <w:rPr>
          <w:rFonts w:asciiTheme="majorBidi" w:hAnsiTheme="majorBidi" w:cstheme="majorBidi"/>
          <w:sz w:val="24"/>
          <w:szCs w:val="24"/>
        </w:rPr>
        <w:t xml:space="preserve"> </w:t>
      </w:r>
      <w:r w:rsidR="00525FBB" w:rsidRPr="00525FBB">
        <w:rPr>
          <w:rFonts w:asciiTheme="majorBidi" w:hAnsiTheme="majorBidi" w:cstheme="majorBidi"/>
          <w:sz w:val="24"/>
          <w:szCs w:val="24"/>
        </w:rPr>
        <w:fldChar w:fldCharType="begin" w:fldLock="1"/>
      </w:r>
      <w:r w:rsidR="00525FBB" w:rsidRPr="00525FBB">
        <w:rPr>
          <w:rFonts w:asciiTheme="majorBidi" w:hAnsiTheme="majorBidi" w:cstheme="majorBidi"/>
          <w:sz w:val="24"/>
          <w:szCs w:val="24"/>
        </w:rPr>
        <w:instrText>ADDIN CSL_CITATION {"citationItems":[{"id":"ITEM-1","itemData":{"DOI":"10.25122/JML-2021-0070","ISSN":"18443117","PMID":"34377200","abstract":"The Kingdom of Saudi Arabia espoused “Vision 2030” as a strategy for economic development and national growth. The vision demonstrated the Kingdom’s objectives to become a pioneer nation globally by achieving three main goals: a vibrant society, a thriving economy, and an ambitious nation. To fulfill this, the Kingdom launched a national transformation program (NTP) as outlined in “vision 2030” in June 2016. The health care transformation is one of the eight themes of the NTP’s. The history of health care facilities in the Kingdom is almost a century. Although the Kingdom has made notable progress in improving its population’s health over recent decades, it needs to modernize the health care system to reach the “vision 2030” goal. This article aims to describe the new Model of Care (MOC) according to the recent Saudi health care transformation under the Kingdom’s vision 2030. The MOC concept started with understanding the current state and collecting learnings. It is based on the six systems of care (SOC)-keeping well, planned pro-cedure, women &amp; children, urgent problems, chronic conditions, and the last phase of life. The SOC is cut across different “service layers” to support people’s stay well and efficiently get them healthy again when they need care. The new MOC describes a total of forty-two interventions, of which twenty-seven split across the six SOC and the rest fifteen cut-across the multiple SOC. Implementation of all MOC interventions will streamline the Saudi health care system to embrace the Kingdom’s “vision 2030”.","author":[{"dropping-particle":"","family":"Chowdhury","given":"Sharfuddin","non-dropping-particle":"","parse-names":false,"suffix":""},{"dropping-particle":"","family":"Mok","given":"Dennis","non-dropping-particle":"","parse-names":false,"suffix":""},{"dropping-particle":"","family":"Leenen","given":"Luke","non-dropping-particle":"","parse-names":false,"suffix":""}],"container-title":"Journal of Medicine and Life","id":"ITEM-1","issue":"3","issued":{"date-parts":[["2021"]]},"page":"347-354","publisher":"Carol Davila University Press","title":"Transformation of health care and the new model of care in Saudi Arabia: Kingdom’s Vision 2030","type":"article-journal","volume":"2021"},"uris":["http://www.mendeley.com/documents/?uuid=ca904cc5-f7b1-3496-81f2-dbfe2a304562"]}],"mendeley":{"formattedCitation":"(Chowdhury et al., 2021)","plainTextFormattedCitation":"(Chowdhury et al., 2021)","previouslyFormattedCitation":"(Chowdhury et al., 2021)"},"properties":{"noteIndex":0},"schema":"https://github.com/citation-style-language/schema/raw/master/csl-citation.json"}</w:instrText>
      </w:r>
      <w:r w:rsidR="00525FBB" w:rsidRPr="00525FBB">
        <w:rPr>
          <w:rFonts w:asciiTheme="majorBidi" w:hAnsiTheme="majorBidi" w:cstheme="majorBidi"/>
          <w:sz w:val="24"/>
          <w:szCs w:val="24"/>
        </w:rPr>
        <w:fldChar w:fldCharType="separate"/>
      </w:r>
      <w:r w:rsidR="00525FBB" w:rsidRPr="00525FBB">
        <w:rPr>
          <w:rFonts w:asciiTheme="majorBidi" w:hAnsiTheme="majorBidi" w:cstheme="majorBidi"/>
          <w:noProof/>
          <w:sz w:val="24"/>
          <w:szCs w:val="24"/>
        </w:rPr>
        <w:t>(Chowdhury et al., 2021)</w:t>
      </w:r>
      <w:r w:rsidR="00525FBB" w:rsidRPr="00525FBB">
        <w:rPr>
          <w:rFonts w:asciiTheme="majorBidi" w:hAnsiTheme="majorBidi" w:cstheme="majorBidi"/>
          <w:sz w:val="24"/>
          <w:szCs w:val="24"/>
        </w:rPr>
        <w:fldChar w:fldCharType="end"/>
      </w:r>
    </w:p>
    <w:p w14:paraId="511CA754" w14:textId="77470380" w:rsidR="00DD0C02" w:rsidRDefault="00DD0C02" w:rsidP="00DD0C02">
      <w:pPr>
        <w:spacing w:after="0" w:line="480" w:lineRule="auto"/>
        <w:ind w:firstLine="720"/>
        <w:jc w:val="right"/>
        <w:rPr>
          <w:rFonts w:asciiTheme="majorBidi" w:hAnsiTheme="majorBidi" w:cstheme="majorBidi"/>
          <w:sz w:val="24"/>
          <w:szCs w:val="24"/>
        </w:rPr>
      </w:pPr>
      <w:r w:rsidRPr="00DD0C02">
        <w:rPr>
          <w:rFonts w:asciiTheme="majorBidi" w:hAnsiTheme="majorBidi" w:cstheme="majorBidi"/>
          <w:sz w:val="24"/>
          <w:szCs w:val="24"/>
        </w:rPr>
        <w:t xml:space="preserve">Risk analysis </w:t>
      </w:r>
      <w:r w:rsidR="008D28C1">
        <w:rPr>
          <w:rFonts w:asciiTheme="majorBidi" w:hAnsiTheme="majorBidi" w:cstheme="majorBidi"/>
          <w:sz w:val="24"/>
          <w:szCs w:val="24"/>
        </w:rPr>
        <w:t>plays a vital role in the</w:t>
      </w:r>
      <w:r w:rsidRPr="00DD0C02">
        <w:rPr>
          <w:rFonts w:asciiTheme="majorBidi" w:hAnsiTheme="majorBidi" w:cstheme="majorBidi"/>
          <w:sz w:val="24"/>
          <w:szCs w:val="24"/>
        </w:rPr>
        <w:t xml:space="preserve"> understanding and countering</w:t>
      </w:r>
      <w:r w:rsidR="008D28C1">
        <w:rPr>
          <w:rFonts w:asciiTheme="majorBidi" w:hAnsiTheme="majorBidi" w:cstheme="majorBidi"/>
          <w:sz w:val="24"/>
          <w:szCs w:val="24"/>
        </w:rPr>
        <w:t xml:space="preserve"> of</w:t>
      </w:r>
      <w:r w:rsidRPr="00DD0C02">
        <w:rPr>
          <w:rFonts w:asciiTheme="majorBidi" w:hAnsiTheme="majorBidi" w:cstheme="majorBidi"/>
          <w:sz w:val="24"/>
          <w:szCs w:val="24"/>
        </w:rPr>
        <w:t xml:space="preserve"> issues</w:t>
      </w:r>
      <w:r w:rsidR="008D28C1">
        <w:rPr>
          <w:rFonts w:asciiTheme="majorBidi" w:hAnsiTheme="majorBidi" w:cstheme="majorBidi"/>
          <w:sz w:val="24"/>
          <w:szCs w:val="24"/>
        </w:rPr>
        <w:t xml:space="preserve"> that could potentially hinder</w:t>
      </w:r>
      <w:r w:rsidRPr="00DD0C02">
        <w:rPr>
          <w:rFonts w:asciiTheme="majorBidi" w:hAnsiTheme="majorBidi" w:cstheme="majorBidi"/>
          <w:sz w:val="24"/>
          <w:szCs w:val="24"/>
        </w:rPr>
        <w:t xml:space="preserve"> the redesign and implementation </w:t>
      </w:r>
      <w:r w:rsidR="008D28C1">
        <w:rPr>
          <w:rFonts w:asciiTheme="majorBidi" w:hAnsiTheme="majorBidi" w:cstheme="majorBidi"/>
          <w:sz w:val="24"/>
          <w:szCs w:val="24"/>
        </w:rPr>
        <w:t>the</w:t>
      </w:r>
      <w:r w:rsidRPr="00DD0C02">
        <w:rPr>
          <w:rFonts w:asciiTheme="majorBidi" w:hAnsiTheme="majorBidi" w:cstheme="majorBidi"/>
          <w:sz w:val="24"/>
          <w:szCs w:val="24"/>
        </w:rPr>
        <w:t xml:space="preserve"> healthcare </w:t>
      </w:r>
      <w:r w:rsidR="008D28C1">
        <w:rPr>
          <w:rFonts w:asciiTheme="majorBidi" w:hAnsiTheme="majorBidi" w:cstheme="majorBidi"/>
          <w:sz w:val="24"/>
          <w:szCs w:val="24"/>
        </w:rPr>
        <w:t>reforms</w:t>
      </w:r>
      <w:r w:rsidRPr="00DD0C02">
        <w:rPr>
          <w:rFonts w:asciiTheme="majorBidi" w:hAnsiTheme="majorBidi" w:cstheme="majorBidi"/>
          <w:sz w:val="24"/>
          <w:szCs w:val="24"/>
        </w:rPr>
        <w:t xml:space="preserve">. </w:t>
      </w:r>
      <w:r w:rsidR="008D28C1">
        <w:rPr>
          <w:rFonts w:asciiTheme="majorBidi" w:hAnsiTheme="majorBidi" w:cstheme="majorBidi"/>
          <w:sz w:val="24"/>
          <w:szCs w:val="24"/>
        </w:rPr>
        <w:t>I</w:t>
      </w:r>
      <w:r w:rsidRPr="00DD0C02">
        <w:rPr>
          <w:rFonts w:asciiTheme="majorBidi" w:hAnsiTheme="majorBidi" w:cstheme="majorBidi"/>
          <w:sz w:val="24"/>
          <w:szCs w:val="24"/>
        </w:rPr>
        <w:t>n terms of improving life expectancy and reducing child and maternal mortality</w:t>
      </w:r>
      <w:r w:rsidR="008D28C1">
        <w:rPr>
          <w:rFonts w:asciiTheme="majorBidi" w:hAnsiTheme="majorBidi" w:cstheme="majorBidi"/>
          <w:sz w:val="24"/>
          <w:szCs w:val="24"/>
        </w:rPr>
        <w:t xml:space="preserve">, </w:t>
      </w:r>
      <w:r w:rsidR="008D28C1" w:rsidRPr="00DD0C02">
        <w:rPr>
          <w:rFonts w:asciiTheme="majorBidi" w:hAnsiTheme="majorBidi" w:cstheme="majorBidi"/>
          <w:sz w:val="24"/>
          <w:szCs w:val="24"/>
        </w:rPr>
        <w:t>Saudi Arabia's healthcare system has come a long way in the recent decades</w:t>
      </w:r>
      <w:r w:rsidRPr="00DD0C02">
        <w:rPr>
          <w:rFonts w:asciiTheme="majorBidi" w:hAnsiTheme="majorBidi" w:cstheme="majorBidi"/>
          <w:sz w:val="24"/>
          <w:szCs w:val="24"/>
        </w:rPr>
        <w:t>.</w:t>
      </w:r>
      <w:r>
        <w:rPr>
          <w:rFonts w:asciiTheme="majorBidi" w:hAnsiTheme="majorBidi" w:cstheme="majorBidi"/>
          <w:sz w:val="24"/>
          <w:szCs w:val="24"/>
        </w:rPr>
        <w:t xml:space="preserve"> </w:t>
      </w:r>
      <w:r w:rsidRPr="00DD0C02">
        <w:rPr>
          <w:rFonts w:asciiTheme="majorBidi" w:hAnsiTheme="majorBidi" w:cstheme="majorBidi"/>
          <w:sz w:val="24"/>
          <w:szCs w:val="24"/>
        </w:rPr>
        <w:t>But with an increasing number of urbanized individuals and more and more chronic diseases such as diabetes, heart disease, and obesity, the health infrastructure is under strain.</w:t>
      </w:r>
      <w:r>
        <w:rPr>
          <w:rFonts w:asciiTheme="majorBidi" w:hAnsiTheme="majorBidi" w:cstheme="majorBidi"/>
          <w:sz w:val="24"/>
          <w:szCs w:val="24"/>
        </w:rPr>
        <w:t xml:space="preserve"> </w:t>
      </w:r>
      <w:r w:rsidR="00525FBB" w:rsidRPr="00525FBB">
        <w:rPr>
          <w:rFonts w:asciiTheme="majorBidi" w:hAnsiTheme="majorBidi" w:cstheme="majorBidi"/>
          <w:sz w:val="24"/>
          <w:szCs w:val="24"/>
        </w:rPr>
        <w:fldChar w:fldCharType="begin" w:fldLock="1"/>
      </w:r>
      <w:r w:rsidR="00525FBB" w:rsidRPr="00525FBB">
        <w:rPr>
          <w:rFonts w:asciiTheme="majorBidi" w:hAnsiTheme="majorBidi" w:cstheme="majorBidi"/>
          <w:sz w:val="24"/>
          <w:szCs w:val="24"/>
        </w:rPr>
        <w:instrText>ADDIN CSL_CITATION {"citationItems":[{"id":"ITEM-1","itemData":{"DOI":"10.7759/cureus.38806","abstract":"Saudi Arabia has made significant progress in its healthcare system through increased healthcare spending, improved healthcare infrastructure, and better quality of care. The government has introduced initiatives such as universal health coverage, accreditation programs, and healthcare technology adoption. As a result, there has been an increase in access to healthcare services and improvements in healthcare indicators. However, the system still faces challenges such as a shortage of healthcare workers, a lack of preventive care, and health disparities between urban and rural areas. Addressing these challenges is crucial for achieving a more equitable and sustainable healthcare system in Saudi Arabia.","author":[{"dropping-particle":"","family":"Gurajala","given":"Swathi","non-dropping-particle":"","parse-names":false,"suffix":""}],"container-title":"Cureus","id":"ITEM-1","issued":{"date-parts":[["2023"]]},"title":"Healthcare System in the Kingdom of Saudi Arabia: An Expat Doctor's Perspective","type":"article-journal"},"uris":["http://www.mendeley.com/documents/?uuid=8bb10d75-85b1-405c-9884-69ed088a0c00"]}],"mendeley":{"formattedCitation":"(Gurajala, 2023)","plainTextFormattedCitation":"(Gurajala, 2023)","previouslyFormattedCitation":"(Gurajala, 2023)"},"properties":{"noteIndex":0},"schema":"https://github.com/citation-style-language/schema/raw/master/csl-citation.json"}</w:instrText>
      </w:r>
      <w:r w:rsidR="00525FBB" w:rsidRPr="00525FBB">
        <w:rPr>
          <w:rFonts w:asciiTheme="majorBidi" w:hAnsiTheme="majorBidi" w:cstheme="majorBidi"/>
          <w:sz w:val="24"/>
          <w:szCs w:val="24"/>
        </w:rPr>
        <w:fldChar w:fldCharType="separate"/>
      </w:r>
      <w:r w:rsidR="00525FBB" w:rsidRPr="00525FBB">
        <w:rPr>
          <w:rFonts w:asciiTheme="majorBidi" w:hAnsiTheme="majorBidi" w:cstheme="majorBidi"/>
          <w:noProof/>
          <w:sz w:val="24"/>
          <w:szCs w:val="24"/>
        </w:rPr>
        <w:t>(Gurajala, 2023)</w:t>
      </w:r>
      <w:r w:rsidR="00525FBB" w:rsidRPr="00525FBB">
        <w:rPr>
          <w:rFonts w:asciiTheme="majorBidi" w:hAnsiTheme="majorBidi" w:cstheme="majorBidi"/>
          <w:sz w:val="24"/>
          <w:szCs w:val="24"/>
        </w:rPr>
        <w:fldChar w:fldCharType="end"/>
      </w:r>
      <w:r w:rsidR="00525FBB" w:rsidRPr="00525FBB">
        <w:rPr>
          <w:rFonts w:asciiTheme="majorBidi" w:hAnsiTheme="majorBidi" w:cstheme="majorBidi"/>
          <w:sz w:val="24"/>
          <w:szCs w:val="24"/>
        </w:rPr>
        <w:t xml:space="preserve"> </w:t>
      </w:r>
      <w:r w:rsidRPr="00DD0C02">
        <w:rPr>
          <w:rFonts w:asciiTheme="majorBidi" w:hAnsiTheme="majorBidi" w:cstheme="majorBidi"/>
          <w:sz w:val="24"/>
          <w:szCs w:val="24"/>
        </w:rPr>
        <w:t xml:space="preserve">The population of </w:t>
      </w:r>
      <w:r w:rsidR="008D28C1">
        <w:rPr>
          <w:rFonts w:asciiTheme="majorBidi" w:hAnsiTheme="majorBidi" w:cstheme="majorBidi"/>
          <w:sz w:val="24"/>
          <w:szCs w:val="24"/>
        </w:rPr>
        <w:t>the country</w:t>
      </w:r>
      <w:r w:rsidRPr="00DD0C02">
        <w:rPr>
          <w:rFonts w:asciiTheme="majorBidi" w:hAnsiTheme="majorBidi" w:cstheme="majorBidi"/>
          <w:sz w:val="24"/>
          <w:szCs w:val="24"/>
        </w:rPr>
        <w:t xml:space="preserve"> is projected to increase from 33.5 million in 2018 to 39.5 million in 2030, the geriatric population likely to increase </w:t>
      </w:r>
      <w:r w:rsidR="008D28C1">
        <w:rPr>
          <w:rFonts w:asciiTheme="majorBidi" w:hAnsiTheme="majorBidi" w:cstheme="majorBidi"/>
          <w:sz w:val="24"/>
          <w:szCs w:val="24"/>
        </w:rPr>
        <w:t>ubiquitously</w:t>
      </w:r>
      <w:r w:rsidRPr="00DD0C02">
        <w:rPr>
          <w:rFonts w:asciiTheme="majorBidi" w:hAnsiTheme="majorBidi" w:cstheme="majorBidi"/>
          <w:sz w:val="24"/>
          <w:szCs w:val="24"/>
        </w:rPr>
        <w:t>, exerting pressure on over-stretched health services, especially rural areas, which have poor access to primary and specialist care, resulting in inequalities in health outcomes.</w:t>
      </w:r>
      <w:r>
        <w:rPr>
          <w:rFonts w:asciiTheme="majorBidi" w:hAnsiTheme="majorBidi" w:cstheme="majorBidi"/>
          <w:sz w:val="24"/>
          <w:szCs w:val="24"/>
        </w:rPr>
        <w:t xml:space="preserve"> </w:t>
      </w:r>
      <w:r w:rsidR="00525FBB" w:rsidRPr="00525FBB">
        <w:rPr>
          <w:rFonts w:asciiTheme="majorBidi" w:hAnsiTheme="majorBidi" w:cstheme="majorBidi"/>
          <w:sz w:val="24"/>
          <w:szCs w:val="24"/>
        </w:rPr>
        <w:fldChar w:fldCharType="begin" w:fldLock="1"/>
      </w:r>
      <w:r w:rsidR="00525FBB" w:rsidRPr="00525FBB">
        <w:rPr>
          <w:rFonts w:asciiTheme="majorBidi" w:hAnsiTheme="majorBidi" w:cstheme="majorBidi"/>
          <w:sz w:val="24"/>
          <w:szCs w:val="24"/>
        </w:rPr>
        <w:instrText>ADDIN CSL_CITATION {"citationItems":[{"id":"ITEM-1","itemData":{"DOI":"10.1186/S40985-019-0112-4","ISSN":"21076952","abstract":"Background: Saudi Arabia is currently passing through a transformational phase. There is a huge demand on the Saudi healthcare system to provide better healthcare facilities to the rapidly increasing Saudi population, as well as the growing elderly population. Lack of trained healthcare professionals and heavy reliance on foreign workers are significant aspects for policymakers to consider and deal with. It is also important to re-examine the healthcare Human Resource Development (HRD) initiatives so as to provide a huge reserve of healthcare professionals with appropriate learning and competence. Method: This paper is a critical review based on secondary data collected from various sources including databases, reports, articles, books, government documents and earlier research undertaken in this regard. The paper is an attempt to document and evaluate the various steps suggested and undertaken by the new strategic plan, Vision 2030, and consequently documented in the National Transformation Program (NTP) adopted in April 2016 in the healthcare HRD sphere in Saudi Arabia. Results: It has been shown that appropriate HRD capacity building needs to be adopted along with the aggressive policy regulation. It is also important to ensure that future health sector investment meets the needs of local healthcare HRD. Saudization and the adoption of the 'Nitaqat' program have played an effective role in pushing the Saudization targets in the private sector, and there is a huge scope for the absorption of young trained Saudi boys and girls in the healthcare sector. Conclusion: Vision 2030 adopted in 2016 is a testimony to a revolutionary step undertaken by the government and that the healthcare sector is also passing through a major shift in its approach and execution. Vision 2030 has come out with a very clear sense of direction to the healthcare sector, and the projected shift from the existing one-third to two-third Saudi-to-foreigner workforce ratio by the year 2030 needs to be adopted carefully to turn the healthcare HRD challenges into opportunities.","author":[{"dropping-particle":"","family":"Al-Hanawi","given":"Mohammed Khaled","non-dropping-particle":"","parse-names":false,"suffix":""},{"dropping-particle":"","family":"Khan","given":"Sami A.","non-dropping-particle":"","parse-names":false,"suffix":""},{"dropping-particle":"","family":"Al-Borie","given":"Hussein Mohammed","non-dropping-particle":"","parse-names":false,"suffix":""}],"container-title":"Public Health Reviews","id":"ITEM-1","issue":"1","issued":{"date-parts":[["2019","2","27"]]},"publisher":"BioMed Central Ltd.","title":"Healthcare human resource development in Saudi Arabia: Emerging challenges and opportunities - A critical review","type":"article-journal","volume":"40"},"uris":["http://www.mendeley.com/documents/?uuid=58a40dcc-9c11-39c2-b97e-85eb289e3612"]},{"id":"ITEM-2","itemData":{"DOI":"10.1177/11786329221121214/SUPPL_FILE/SJ-DOCX-1-HIS-10.1177_11786329221121214.DOCX","ISSN":"11786329","abstract":"Saudi Arabia’s Vision 2030 has taken a centre stage in the development of its healthcare sector through privatization adopting Public Private Partnerships (PPPs). The objective of this study is to provide an overview of healthcare transformation in Saudi Arabia since the launch of the ambitious Vision 2030, identifying issues those need to be addressed and steps taken towards provision of health systems transformation. Literature review was based on extensive review of published and unpublished articles, where different search engines and databases searched using the key words: ‘Saudi Healthcare’, ‘Healthcare transformation’, ‘Saudi vision: 2030’, ‘Public-Private Partnerships’ and ‘Privatization’, in addition to secondary data as published in government reports, policy, government strategy documents and pertinent press releases. The future of the healthcare like many other developing economies continues to weigh policies for universal coverage while containing costs and the national transformation programme driven by social and economic factors has implemented strategic steps to develop its private healthcare system that includes: establishing health clusters, National Centre for Privatization &amp; PPP – an official enabler for privatization of all government sectors and recently approved Private Sector Participation (PSP) Law involves several legislative enablers designed to enhance investor confidence in the privatization process. Although this study demonstrates systemic legislative progress to facilitate transformation process of healthcare sector, also endorses caution and research in identifying barriers to the implementation of PPPs, Saudi workforce development, implementing effective revenue cycle management function for healthcare reimbursement and ensuring vulnerable population access to good quality and tertiary healthcare. As healthcare of Saudi Arabia embarks on the transformation journey facing daunting challenges, but it appears that the government has laid out a roadmap with the legislative framework; however it is important that there is ongoing monitoring with adjustments as this complex and multifaceted process proceeds.","author":[{"dropping-particle":"","family":"Alasiri","given":"Ahmed Ali","non-dropping-particle":"","parse-names":false,"suffix":""},{"dropping-particle":"","family":"Mohammed","given":"Viqaruddin","non-dropping-particle":"","parse-names":false,"suffix":""}],"container-title":"Health Services Insights","id":"ITEM-2","issued":{"date-parts":[["2022"]]},"publisher":"SAGE Publications Ltd","title":"Healthcare Transformation in Saudi Arabia: An Overview Since the Launch of Vision 2030","type":"article-journal","volume":"15"},"uris":["http://www.mendeley.com/documents/?uuid=bfdff6b0-4172-35ba-9f3e-711d6b6e9aaa"]}],"mendeley":{"formattedCitation":"(Al-Hanawi et al., 2019; Alasiri &amp; Mohammed, 2022)","plainTextFormattedCitation":"(Al-Hanawi et al., 2019; Alasiri &amp; Mohammed, 2022)","previouslyFormattedCitation":"(Al-Hanawi et al., 2019; Alasiri &amp; Mohammed, 2022)"},"properties":{"noteIndex":0},"schema":"https://github.com/citation-style-language/schema/raw/master/csl-citation.json"}</w:instrText>
      </w:r>
      <w:r w:rsidR="00525FBB" w:rsidRPr="00525FBB">
        <w:rPr>
          <w:rFonts w:asciiTheme="majorBidi" w:hAnsiTheme="majorBidi" w:cstheme="majorBidi"/>
          <w:sz w:val="24"/>
          <w:szCs w:val="24"/>
        </w:rPr>
        <w:fldChar w:fldCharType="separate"/>
      </w:r>
      <w:r w:rsidR="00525FBB" w:rsidRPr="00525FBB">
        <w:rPr>
          <w:rFonts w:asciiTheme="majorBidi" w:hAnsiTheme="majorBidi" w:cstheme="majorBidi"/>
          <w:noProof/>
          <w:sz w:val="24"/>
          <w:szCs w:val="24"/>
        </w:rPr>
        <w:t>(Al-Hanawi et al., 2019; Alasiri &amp; Mohammed, 2022)</w:t>
      </w:r>
      <w:r w:rsidR="00525FBB" w:rsidRPr="00525FBB">
        <w:rPr>
          <w:rFonts w:asciiTheme="majorBidi" w:hAnsiTheme="majorBidi" w:cstheme="majorBidi"/>
          <w:sz w:val="24"/>
          <w:szCs w:val="24"/>
        </w:rPr>
        <w:fldChar w:fldCharType="end"/>
      </w:r>
      <w:r w:rsidR="00525FBB" w:rsidRPr="00525FBB">
        <w:rPr>
          <w:rFonts w:asciiTheme="majorBidi" w:hAnsiTheme="majorBidi" w:cstheme="majorBidi"/>
          <w:sz w:val="24"/>
          <w:szCs w:val="24"/>
        </w:rPr>
        <w:t xml:space="preserve"> </w:t>
      </w:r>
      <w:r w:rsidRPr="00DD0C02">
        <w:rPr>
          <w:rFonts w:asciiTheme="majorBidi" w:hAnsiTheme="majorBidi" w:cstheme="majorBidi"/>
          <w:sz w:val="24"/>
          <w:szCs w:val="24"/>
        </w:rPr>
        <w:t>The</w:t>
      </w:r>
      <w:r w:rsidR="003B275F">
        <w:rPr>
          <w:rFonts w:asciiTheme="majorBidi" w:hAnsiTheme="majorBidi" w:cstheme="majorBidi"/>
          <w:sz w:val="24"/>
          <w:szCs w:val="24"/>
        </w:rPr>
        <w:t>se</w:t>
      </w:r>
      <w:r w:rsidRPr="00DD0C02">
        <w:rPr>
          <w:rFonts w:asciiTheme="majorBidi" w:hAnsiTheme="majorBidi" w:cstheme="majorBidi"/>
          <w:sz w:val="24"/>
          <w:szCs w:val="24"/>
        </w:rPr>
        <w:t xml:space="preserve"> are compounded by the inefficiencies within the system, such as poorly standardized clinical pathways, lack of coordinated care, and workforce productivity inefficiencies. </w:t>
      </w:r>
    </w:p>
    <w:p w14:paraId="7DFBBF1C" w14:textId="728C9AEB" w:rsidR="00DD0C02" w:rsidRPr="00DD0C02" w:rsidRDefault="00DD0C02" w:rsidP="00DD0C02">
      <w:pPr>
        <w:spacing w:after="0" w:line="480" w:lineRule="auto"/>
        <w:ind w:firstLine="720"/>
        <w:jc w:val="right"/>
        <w:rPr>
          <w:rFonts w:asciiTheme="majorBidi" w:hAnsiTheme="majorBidi" w:cstheme="majorBidi"/>
          <w:sz w:val="24"/>
          <w:szCs w:val="24"/>
        </w:rPr>
      </w:pPr>
      <w:r w:rsidRPr="00DD0C02">
        <w:rPr>
          <w:rFonts w:asciiTheme="majorBidi" w:hAnsiTheme="majorBidi" w:cstheme="majorBidi"/>
          <w:sz w:val="24"/>
          <w:szCs w:val="24"/>
        </w:rPr>
        <w:t>To overcome challenges brought about by healthcare policies and practices, the country requires system-wide reforms like the decentralization of healthcare services, development of the infrastructure of primary care, and the integration of technological advancements like eHealth.</w:t>
      </w:r>
      <w:r w:rsidR="00525FBB" w:rsidRPr="00525FBB">
        <w:rPr>
          <w:rFonts w:asciiTheme="majorBidi" w:hAnsiTheme="majorBidi" w:cstheme="majorBidi"/>
          <w:sz w:val="24"/>
          <w:szCs w:val="24"/>
        </w:rPr>
        <w:t xml:space="preserve"> </w:t>
      </w:r>
      <w:r w:rsidR="00525FBB" w:rsidRPr="00525FBB">
        <w:rPr>
          <w:rFonts w:asciiTheme="majorBidi" w:hAnsiTheme="majorBidi" w:cstheme="majorBidi"/>
          <w:sz w:val="24"/>
          <w:szCs w:val="24"/>
        </w:rPr>
        <w:fldChar w:fldCharType="begin" w:fldLock="1"/>
      </w:r>
      <w:r w:rsidR="00525FBB" w:rsidRPr="00525FBB">
        <w:rPr>
          <w:rFonts w:asciiTheme="majorBidi" w:hAnsiTheme="majorBidi" w:cstheme="majorBidi"/>
          <w:sz w:val="24"/>
          <w:szCs w:val="24"/>
        </w:rPr>
        <w:instrText>ADDIN CSL_CITATION {"citationItems":[{"id":"ITEM-1","itemData":{"DOI":"10.1080/20523211.2024.2449051","ISSN":"20523211","PMID":"39845746","abstract":"Vision 2030 represents Saudi Arabia’s strategic socio-economic plan aimed at promoting economic diversification and enhancing living standards. Launched in April 2016, this vision describes an innovative healthcare plan to improve services and outcomes. The merits and drawbacks of public hospitals’ ‘Model of Care’ are examined in this study. This assessment summarises Vision 2030s healthcare revolution. This study explores the innovative ‘Model of Care’ and its potential to change Saudi healthcare. Prior to Vision 2030, Saudi Arabia's healthcare system grappled with escalating costs and a heavy reliance on foreign labour, signalling a need for transformative change. Vision 2030s patient-centric framework emphasises individualised treatment, and the National Guidelines Center's role in standardising healthcare processes is examined in this review. In addition, we also explored the new initiative of Electronic Health Records and telemedicine services. Additionally, we addressed the challenges associated with it, such as the imperative to address the digital divide and ensure data security. Vision 2030 in Saudi Arabia brought about a significant transformation in the provision of healthcare. Despite the presence of challenges, such as inadequate infrastructure, insufficient personnel, and resistance to change, this vision offers a robust foundation for effectively tackling these concerns. The implementation of these improvements is expected to enhance the calibre and accessibility of healthcare services. This transitional change ensures healthcare is both innovative and inclusive, particularly in socioeconomically disadvantaged regions. This measure is expected to enhance the general welfare and economic success of the population in Saudi Arabia. The future of healthcare in the Kingdom hinges on the effective implementation of evidence-based therapy, collaborative cooperation, and equitable practices. The healthcare sector possesses significant potential for substantial positive transformation, notwithstanding its continuous nature.","author":[{"dropping-particle":"","family":"Suleiman","given":"Amal K.","non-dropping-particle":"","parse-names":false,"suffix":""},{"dropping-particle":"","family":"Ming","given":"Long Chiau","non-dropping-particle":"","parse-names":false,"suffix":""}],"container-title":"Journal of Pharmaceutical Policy and Practice","id":"ITEM-1","issue":"1","issued":{"date-parts":[["2025"]]},"page":"2449051","publisher":"Taylor and Francis Ltd.","title":"Transforming healthcare: Saudi Arabia's vision 2030 healthcare model","type":"article","volume":"18"},"uris":["http://www.mendeley.com/documents/?uuid=6ed7b2a1-b9ee-34fb-841e-79b7e17687c0"]}],"mendeley":{"formattedCitation":"(Suleiman &amp; Ming, 2025)","plainTextFormattedCitation":"(Suleiman &amp; Ming, 2025)","previouslyFormattedCitation":"(Suleiman &amp; Ming, 2025)"},"properties":{"noteIndex":0},"schema":"https://github.com/citation-style-language/schema/raw/master/csl-citation.json"}</w:instrText>
      </w:r>
      <w:r w:rsidR="00525FBB" w:rsidRPr="00525FBB">
        <w:rPr>
          <w:rFonts w:asciiTheme="majorBidi" w:hAnsiTheme="majorBidi" w:cstheme="majorBidi"/>
          <w:sz w:val="24"/>
          <w:szCs w:val="24"/>
        </w:rPr>
        <w:fldChar w:fldCharType="separate"/>
      </w:r>
      <w:r w:rsidR="00525FBB" w:rsidRPr="00525FBB">
        <w:rPr>
          <w:rFonts w:asciiTheme="majorBidi" w:hAnsiTheme="majorBidi" w:cstheme="majorBidi"/>
          <w:noProof/>
          <w:sz w:val="24"/>
          <w:szCs w:val="24"/>
        </w:rPr>
        <w:t>(Suleiman &amp; Ming, 2025)</w:t>
      </w:r>
      <w:r w:rsidR="00525FBB" w:rsidRPr="00525FBB">
        <w:rPr>
          <w:rFonts w:asciiTheme="majorBidi" w:hAnsiTheme="majorBidi" w:cstheme="majorBidi"/>
          <w:sz w:val="24"/>
          <w:szCs w:val="24"/>
        </w:rPr>
        <w:fldChar w:fldCharType="end"/>
      </w:r>
      <w:r w:rsidR="00525FBB" w:rsidRPr="00525FBB">
        <w:rPr>
          <w:rFonts w:asciiTheme="majorBidi" w:hAnsiTheme="majorBidi" w:cstheme="majorBidi"/>
          <w:sz w:val="24"/>
          <w:szCs w:val="24"/>
        </w:rPr>
        <w:t xml:space="preserve"> </w:t>
      </w:r>
      <w:r w:rsidRPr="00DD0C02">
        <w:rPr>
          <w:rFonts w:asciiTheme="majorBidi" w:hAnsiTheme="majorBidi" w:cstheme="majorBidi"/>
          <w:sz w:val="24"/>
          <w:szCs w:val="24"/>
        </w:rPr>
        <w:t xml:space="preserve">The growing demand for healthcare </w:t>
      </w:r>
      <w:r w:rsidRPr="00DD0C02">
        <w:rPr>
          <w:rFonts w:asciiTheme="majorBidi" w:hAnsiTheme="majorBidi" w:cstheme="majorBidi"/>
          <w:sz w:val="24"/>
          <w:szCs w:val="24"/>
        </w:rPr>
        <w:lastRenderedPageBreak/>
        <w:t>services translates to a shift from a hospital-based model of healthcare to one centered on primary and prevention care.</w:t>
      </w:r>
    </w:p>
    <w:p w14:paraId="76D62309" w14:textId="7154A666" w:rsidR="00525FBB" w:rsidRPr="00525FBB" w:rsidRDefault="00DD0C02" w:rsidP="00DD0C02">
      <w:pPr>
        <w:spacing w:after="0" w:line="480" w:lineRule="auto"/>
        <w:ind w:firstLine="720"/>
        <w:jc w:val="right"/>
        <w:rPr>
          <w:rFonts w:asciiTheme="majorBidi" w:hAnsiTheme="majorBidi" w:cstheme="majorBidi"/>
          <w:sz w:val="24"/>
          <w:szCs w:val="24"/>
        </w:rPr>
      </w:pPr>
      <w:r w:rsidRPr="00DD0C02">
        <w:rPr>
          <w:rFonts w:asciiTheme="majorBidi" w:hAnsiTheme="majorBidi" w:cstheme="majorBidi"/>
          <w:sz w:val="24"/>
          <w:szCs w:val="24"/>
        </w:rPr>
        <w:t>Patient-centered healthcare system creation is the driving force of this transformation</w:t>
      </w:r>
      <w:r w:rsidR="008D36B1">
        <w:rPr>
          <w:rFonts w:asciiTheme="majorBidi" w:hAnsiTheme="majorBidi" w:cstheme="majorBidi"/>
          <w:sz w:val="24"/>
          <w:szCs w:val="24"/>
        </w:rPr>
        <w:t xml:space="preserve">. </w:t>
      </w:r>
      <w:r w:rsidRPr="00DD0C02">
        <w:rPr>
          <w:rFonts w:asciiTheme="majorBidi" w:hAnsiTheme="majorBidi" w:cstheme="majorBidi"/>
          <w:sz w:val="24"/>
          <w:szCs w:val="24"/>
        </w:rPr>
        <w:t>with an aim of curing disease and not just disease but also preventing disease by promoting healthy lifestyles, better chronic disease care, and the early diagnosis of health states.</w:t>
      </w:r>
      <w:r w:rsidR="00525FBB" w:rsidRPr="00525FBB">
        <w:rPr>
          <w:rFonts w:asciiTheme="majorBidi" w:hAnsiTheme="majorBidi" w:cstheme="majorBidi"/>
          <w:sz w:val="24"/>
          <w:szCs w:val="24"/>
        </w:rPr>
        <w:fldChar w:fldCharType="begin" w:fldLock="1"/>
      </w:r>
      <w:r w:rsidR="00525FBB" w:rsidRPr="00525FBB">
        <w:rPr>
          <w:rFonts w:asciiTheme="majorBidi" w:hAnsiTheme="majorBidi" w:cstheme="majorBidi"/>
          <w:sz w:val="24"/>
          <w:szCs w:val="24"/>
        </w:rPr>
        <w:instrText>ADDIN CSL_CITATION {"citationItems":[{"id":"ITEM-1","itemData":{"DOI":"10.1111/scs.12376","ISSN":"14716712","PMID":"27859459","abstract":"Background: To empower patients and improve the quality of care, policy-makers increasingly adopt systems to enhance person-centred care. Although models of person-centredness and patient-centredness vary, respecting the needs and preferences of individuals receiving care is paramount. In Sweden, as in other countries, healthcare providers seek to improve person-centred principles and address gaps in practice. Consequently, researchers at the University of Gothenburg Centre for Person-Centred Care are currently delivering person-centred interventions employing a framework that incorporates three routines. These include eliciting the patient's narrative, agreeing a partnership with shared goals between patient and professional, and safeguarding this through documentation. Aim: To explore the barriers and facilitators to the delivery of person-centred care interventions, in different contexts. Method: Qualitative interviews were conducted with a purposeful sample of 18 researchers from seven research studies across contrasting healthcare settings. Interviews were transcribed, translated and thematically analysed, adopting some basic features of grounded theory. Ethical issues: The ethical code of conduct was followed and conformed to the ethical guidelines adopted by the Swedish Research Council. Results: Barriers to the implementation of person-centred care covered three themes: traditional practices and structures; sceptical, stereotypical attitudes from professionals; and factors related to the development of person-centred interventions. Facilitators included organisational factors, leadership and training and an enabling attitude and approach by professionals. Trained project managers, patients taking an active role in research and adaptive strategies by researchers all helped person-centred care delivery. Conclusion: At the University of Gothenburg, a model of person-centred care is being initiated and integrated into practice through research. Knowledgeable, well-trained professionals facilitate the routines of narrative elicitation and partnership. Strong leadership and adaptive strategies are important for overcoming existing practices, routines and methods of documentation. This study provides guidance for practitioners when delivering and adapting person-centred care in different contexts.","author":[{"dropping-particle":"","family":"Moore","given":"Lucy","non-dropping-particle":"","parse-names":false,"suffix":""},{"dropping-particle":"","family":"Britten","given":"Nicky","non-dropping-particle":"","parse-names":false,"suffix":""},{"dropping-particle":"","family":"Lydahl","given":"Doris","non-dropping-particle":"","parse-names":false,"suffix":""},{"dropping-particle":"","family":"Naldemirci","given":"Öncel","non-dropping-particle":"","parse-names":false,"suffix":""},{"dropping-particle":"","family":"Elam","given":"Mark","non-dropping-particle":"","parse-names":false,"suffix":""},{"dropping-particle":"","family":"Wolf","given":"Axel","non-dropping-particle":"","parse-names":false,"suffix":""}],"container-title":"Scandinavian Journal of Caring Sciences","id":"ITEM-1","issued":{"date-parts":[["2017"]]},"title":"Barriers and facilitators to the implementation of person-centred care in different healthcare contexts","type":"article-journal"},"uris":["http://www.mendeley.com/documents/?uuid=9f920442-4451-4fe4-b251-f567c216961c"]},{"id":"ITEM-2","itemData":{"DOI":"10.5539/gjhs.v12n6p73","ISSN":"1916-9736","abstract":"BACKGROUND: A key dimension of a quality healthcare to patients is patient-centered care approach which is increasingly gaining recognition worldwide. However, this concept is not fully implemented in practice.\r \r AIM: The aim of this study is to provide outcomes from assessment of nurses&amp;rsquo; perceptions about patient-centered care and the current trends in Primary Health Care system in South West Nigeria.\r \r METHODS: This study employed a qualitative participatory action research study approach and conducted a semi-structured individual interview with thirty-five nurses and four focus group discussions in Osun State South West Nigeria Primary Health Care centres.\r \r RESULTS: Primary Health Care (PHC) nurses perceived and described patient-centered care (PCC) as a global approach to improve and enhance nursing care to foster patient participation. The narratives were categorised into two: positive and negative perception. Ten main themes emerged: (I) Attitude of the nurses (ii) Lack of enforcement and implementation, (iii) Experience of the nurses, (iv) Quality-Caring, (v) Effective communication with patient, (vi) Motivated and Proactive healthcare, (vii) Sharpen the form of care, (viii) Outcome and after-effect driven healthcare, (ix) Approved support, and (x) Guarantor of service and motivation.\r \r CONCLUSION: Our participatory action research study on the assessment of nurses&amp;rsquo; perception on the utilization of PCC at the PHC for effective and quality healthcare service revealed the importance of nurses&amp;rsquo; role, acceptability of PCC and current nursing care practice at the Primary Health Care (PHC) rural community setting. Nurses as healthcare providers expressed PCC as a common and global approach that would enhance patient experiences and improves the quality of nursing healthcare delivery through integration of PCC and healthcare service at the PHC healthcare system.","author":[{"dropping-particle":"","family":"Lateef","given":"Adepeju M.","non-dropping-particle":"","parse-names":false,"suffix":""},{"dropping-particle":"","family":"Mhlongo","given":"Euphemia M.","non-dropping-particle":"","parse-names":false,"suffix":""}],"container-title":"Global Journal of Health Science","id":"ITEM-2","issued":{"date-parts":[["2020"]]},"title":"Trends in Patient-Centered Care in South West Nigeria: A Holistic Assessment of the Nurses Perception of Primary Healthcare Practice","type":"article-journal"},"uris":["http://www.mendeley.com/documents/?uuid=b17f4b68-5b34-4a56-a338-d037ef95176b"]},{"id":"ITEM-3","itemData":{"DOI":"10.1186/s12909-021-02775-9","ISSN":"14726920","PMID":"34078360","abstract":"Background: Large scale implementation of new strategies and healthcare delivery standards in academic medical centers (AMCs) requires training of healthcare workforce at different stages of their medical career. The patient-centered medical home (PCMH) model for healthcare delivery involves adoption by all members of the healthcare workforce, including seasoned professionals and trainees. Though widely known, the PCMH model has been implemented sporadically at large AMCs and methods to implement the model across healthcare workforce have not been well-documented. Methods: To meet all PCMH standards and achieve sustainable level 3 recognition, the authors implemented in 2014–2015 a multi-pronged approach that capitalized on existing educational infrastructure among faculty, residents, and medical students. Within 18 months, the authors applied new interdisciplinary practices and policies, redesigned residency training in continuity practices and extensively modified medical school curricula. Results: These innovative transformational education efforts addressed the six PCMH standards for faculty, residents, and undergraduate medical students. Faculty played a major role as system change agents and facilitators of learning. Residents learned to better understand patients’ cultural needs, identify ‘at-risk’ patients, ensure continuity of care, and assess and improve quality of care. Medical students were exposed to PCMH core standards throughout their training via simulations, training in the community and with patients, and evaluation tasks. By implementing these changes across the healthcare workforce, the AMC achieved PCMH status in a short time, changed practice culture and improved care for patients and the community. Since then, the AMC has been able to maintain PCMH recognition annually with minimal effort. Conclusions: Successful strategies that capitalize on existing strengths in infrastructure complemented by innovative educational offerings and inter-professional partnerships can be adapted by other organizations pursuing similar transformation efforts. This widespread transformation across the healthcare workforce facilitate a deep-rooted change that enabled our academic medical center to sustain PCMH recognition.","author":[{"dropping-particle":"","family":"Gendelman","given":"Rebecca","non-dropping-particle":"","parse-names":false,"suffix":""},{"dropping-particle":"","family":"Preis","given":"Heidi","non-dropping-particle":"","parse-names":false,"suffix":""},{"dropping-particle":"","family":"Chandran","given":"Latha","non-dropping-particle":"","parse-names":false,"suffix":""},{"dropping-particle":"","family":"Blair","given":"Robyn J.","non-dropping-particle":"","parse-names":false,"suffix":""},{"dropping-particle":"","family":"Chitkara","given":"Maribeth","non-dropping-particle":"","parse-names":false,"suffix":""},{"dropping-particle":"","family":"Pati","given":"Susmita","non-dropping-particle":"","parse-names":false,"suffix":""}],"container-title":"BMC Medical Education","id":"ITEM-3","issued":{"date-parts":[["2021"]]},"title":"Healthcare workforce transformation: implementing patient-centered medical home standards in an academic medical center","type":"article-journal"},"uris":["http://www.mendeley.com/documents/?uuid=494c89ea-12b6-4039-abf5-6aef8426f6d0"]}],"mendeley":{"formattedCitation":"(Gendelman et al., 2021; Lateef &amp; Mhlongo, 2020; Moore et al., 2017)","plainTextFormattedCitation":"(Gendelman et al., 2021; Lateef &amp; Mhlongo, 2020; Moore et al., 2017)","previouslyFormattedCitation":"(Gendelman et al., 2021; Lateef &amp; Mhlongo, 2020; Moore et al., 2017)"},"properties":{"noteIndex":0},"schema":"https://github.com/citation-style-language/schema/raw/master/csl-citation.json"}</w:instrText>
      </w:r>
      <w:r w:rsidR="00525FBB" w:rsidRPr="00525FBB">
        <w:rPr>
          <w:rFonts w:asciiTheme="majorBidi" w:hAnsiTheme="majorBidi" w:cstheme="majorBidi"/>
          <w:sz w:val="24"/>
          <w:szCs w:val="24"/>
        </w:rPr>
        <w:fldChar w:fldCharType="separate"/>
      </w:r>
      <w:r w:rsidR="00525FBB" w:rsidRPr="00525FBB">
        <w:rPr>
          <w:rFonts w:asciiTheme="majorBidi" w:hAnsiTheme="majorBidi" w:cstheme="majorBidi"/>
          <w:noProof/>
          <w:sz w:val="24"/>
          <w:szCs w:val="24"/>
        </w:rPr>
        <w:t>(Gendelman et al., 2021; Lateef &amp; Mhlongo, 2020; Moore et al., 2017)</w:t>
      </w:r>
      <w:r w:rsidR="00525FBB" w:rsidRPr="00525FBB">
        <w:rPr>
          <w:rFonts w:asciiTheme="majorBidi" w:hAnsiTheme="majorBidi" w:cstheme="majorBidi"/>
          <w:sz w:val="24"/>
          <w:szCs w:val="24"/>
        </w:rPr>
        <w:fldChar w:fldCharType="end"/>
      </w:r>
      <w:r w:rsidR="00525FBB" w:rsidRPr="00525FBB">
        <w:rPr>
          <w:rFonts w:asciiTheme="majorBidi" w:hAnsiTheme="majorBidi" w:cstheme="majorBidi"/>
          <w:sz w:val="24"/>
          <w:szCs w:val="24"/>
        </w:rPr>
        <w:t xml:space="preserve"> </w:t>
      </w:r>
      <w:r w:rsidRPr="00DD0C02">
        <w:rPr>
          <w:rFonts w:asciiTheme="majorBidi" w:hAnsiTheme="majorBidi" w:cstheme="majorBidi"/>
          <w:sz w:val="24"/>
          <w:szCs w:val="24"/>
        </w:rPr>
        <w:t>This transformation represents global health care trends that have placed greatest priority on the functions of promotion of health, prevention, and on comprehensive systems of care extending the entire range of the continuum of care, ranging from primary prevention to the most advanced-level treatments</w:t>
      </w:r>
      <w:r w:rsidR="00525FBB" w:rsidRPr="00525FBB">
        <w:rPr>
          <w:rFonts w:asciiTheme="majorBidi" w:hAnsiTheme="majorBidi" w:cstheme="majorBidi"/>
          <w:sz w:val="24"/>
          <w:szCs w:val="24"/>
        </w:rPr>
        <w:t>.</w:t>
      </w:r>
      <w:r w:rsidR="00525FBB" w:rsidRPr="00525FBB">
        <w:rPr>
          <w:rFonts w:asciiTheme="majorBidi" w:hAnsiTheme="majorBidi" w:cstheme="majorBidi"/>
          <w:sz w:val="24"/>
          <w:szCs w:val="24"/>
        </w:rPr>
        <w:fldChar w:fldCharType="begin" w:fldLock="1"/>
      </w:r>
      <w:r w:rsidR="00525FBB" w:rsidRPr="00525FBB">
        <w:rPr>
          <w:rFonts w:asciiTheme="majorBidi" w:hAnsiTheme="majorBidi" w:cstheme="majorBidi"/>
          <w:sz w:val="24"/>
          <w:szCs w:val="24"/>
        </w:rPr>
        <w:instrText>ADDIN CSL_CITATION {"citationItems":[{"id":"ITEM-1","itemData":{"DOI":"10.2147/CIA.S177286","ISSN":"11781998","PMID":"30425463","abstract":"Current trends in health care delivery and management such as predictive and personalized health care incorporating information and communication technologies, home-based care, health prevention and promotion through patients’ empowerment, care coordination, community health networks and governance represent exciting possibilities to dramatically improve health care. However, as a whole, current health care trends involve a fragmented and scattered array of practices and uncoordinated pilot projects. The present paper describes an innovative and integrated model incorporating and “assembling” best practices and projects of new innovations into an overarching health care system that can effectively address the multidimensional health care challenges related to aging patient especially with chronic health issues. The main goal of the proposed model is to address the emerging health care challenges of an aging population and stimulate improved cost-efficiency, effectiveness, and patients’ well-being. The proposed home-based and community-centered Integrated Healthcare Management System may facilitate reaching the persons in their natural context, improving early detection, and preventing illnesses. The system allows simplifying the health care institutional structures through interorganizational coordination, increasing inclusiveness and extensiveness of health care delivery. As a consequence of such coordination and integration, future merging efforts of current health care approaches may provide feasible solutions that result in improved cost-efficiency of health care services and simultaneously increase the quality of life, in particular, by switching the center of gravity of health delivery to a close relationship of individuals in their communities, making best use of their personal and social resources, especially effective in health delivery for aging persons with complex chronic illnesses.","author":[{"dropping-particle":"","family":"Gandarillas","given":"Miguel Ángel","non-dropping-particle":"","parse-names":false,"suffix":""},{"dropping-particle":"","family":"Goswami","given":"Nandu","non-dropping-particle":"","parse-names":false,"suffix":""}],"container-title":"Clinical Interventions in Aging","id":"ITEM-1","issued":{"date-parts":[["2018"]]},"title":"Merging current health care trends: Innovative perspective in aging care","type":"article"},"uris":["http://www.mendeley.com/documents/?uuid=549cdd80-c225-44c8-a0a5-b94a5deb926c"]},{"id":"ITEM-2","itemData":{"DOI":"10.1111/1440-1630.12174","ISSN":"14401630","PMID":"25649035","abstract":"Background/aim: Increasingly, health-care systems should promote seniors' health and prevent disability. As they enable engagement in meaningful activities within the individuals' living environment, community occupational therapists have great potential to contribute to health promotion and prevention. Despite this potential, little is known about current health promotion and prevention activities in occupational therapy community practice. This study thus aimed to: (1) identify health promotion and prevention interventions used with seniors having disabilities, and (2) explore barriers to integrating such interventions into practice. Methods: Secondary data analysis of a qualitative study was carried out using thematic saliency analysis. Eleven community occupational therapists working with seniors having disabilities were recruited in six community health settings in Québec, Canada. Observations of 12 home visits, followed by 12 semi-structured interviews, were conducted with occupational therapists. Results: Most interventions involved optimising independence in personal care and mobility. Explicit health promotion interventions were limited and included enabling healthy lifestyles by increasing health literacy and empowerment. Meaningful activities (leisure, community participation) were not targeted. Barriers to integrating health promotion into practice were clients' complex health conditions and limited openness to change combined with organisational and professional obstacles, such as a misunderstanding of occupational therapists' role in health promotion. Conclusions: Health promotion and prevention interventions are not intentionally integrated into community occupational therapy practice with seniors having disabilities. As a result, seniors' needs to engage in meaningful activities might remain unmet. Overcoming barriers to integrating health promotion and prevention in practice could help improve population health and wellbeing.","author":[{"dropping-particle":"","family":"Turcotte","given":"Pier Luc","non-dropping-particle":"","parse-names":false,"suffix":""},{"dropping-particle":"","family":"Carrier","given":"Annie","non-dropping-particle":"","parse-names":false,"suffix":""},{"dropping-particle":"","family":"Desrosiers","given":"Johanne","non-dropping-particle":"","parse-names":false,"suffix":""},{"dropping-particle":"","family":"Levasseur","given":"Mélanie","non-dropping-particle":"","parse-names":false,"suffix":""}],"container-title":"Australian Occupational Therapy Journal","id":"ITEM-2","issued":{"date-parts":[["2015"]]},"title":"Are health promotion and prevention interventions integrated into occupational therapy practice with older adults having disabilities? Insights from six community health settings in Québec, Canada","type":"article-journal"},"uris":["http://www.mendeley.com/documents/?uuid=2eeef248-dca7-43a2-b557-351afe1e2bd4"]},{"id":"ITEM-3","itemData":{"DOI":"10.2196/mhealth.3216","ISSN":"22915222","abstract":"Background: A growing body of research has employed mobile technologies and geographic information systems (GIS) for enhancing health care and health information systems, but there is yet a lack of studies of how these two types of systems are integrated together into the information infrastructure of an organization so as to provide a basis for data analysis and decision support. Integration of data and technical systems across the organization is necessary for efficient large-scale implementation. Objective: The aim of this paper is to identify how mobile technologies and GIS applications have been used, independently as well as in combination, for improving health care. Methods: The electronic databases PubMed, BioMed Central, Wiley Online Library, Scopus, Science Direct, and Web of Science were searched to retrieve English language articles published in international academic journals after 2005. Only articles addressing the use of mobile or GIS technologies and that met a prespecified keyword strategy were selected for review. Results: A total of 271 articles were selected, among which 220 concerned mobile technologies and 51 GIS. Most articles concern developed countries (198/271, 73.1%), and in particular the United States (81/271, 29.9%), United Kingdom (31/271, 11.4%), and Canada (14/271, 5.2%). Applications of mobile technologies can be categorized by six themes: treatment and disease management, data collection and disease surveillance, health support systems, health promotion and disease prevention, communication between patients and health care providers or among providers, and medical education. GIS applications can be categorized by four themes: disease surveillance, health support systems, health promotion and disease prevention, and communication to or between health care providers. Mobile applications typically focus on using text messaging (short message service, SMS) for communication between patients and health care providers, most prominently reminders and advice to patients. These applications generally have modest benefits and may be appropriate for implementation. Integration of health data using GIS technology also exhibit modest benefits such as improved understanding of the interplay of psychological, social, environmental, area-level, and sociodemographic influences on physical activity. The studies evaluated showed promising results in helping patients treating different illnesses and managing their condition effectively. H…","author":[{"dropping-particle":"","family":"Nhavoto","given":"José António","non-dropping-particle":"","parse-names":false,"suffix":""},{"dropping-particle":"","family":"Grönlund","given":"Ake","non-dropping-particle":"","parse-names":false,"suffix":""}],"container-title":"JMIR mHealth and uHealth","id":"ITEM-3","issued":{"date-parts":[["2014"]]},"title":"Mobile technologies and geographic information systems to improve health care systems: A literature review","type":"article"},"uris":["http://www.mendeley.com/documents/?uuid=07f9661b-785f-4c1c-8b0b-38349a1fe86a"]}],"mendeley":{"formattedCitation":"(Gandarillas &amp; Goswami, 2018; Nhavoto &amp; Grönlund, 2014; Turcotte et al., 2015)","plainTextFormattedCitation":"(Gandarillas &amp; Goswami, 2018; Nhavoto &amp; Grönlund, 2014; Turcotte et al., 2015)","previouslyFormattedCitation":"(Gandarillas &amp; Goswami, 2018; Nhavoto &amp; Grönlund, 2014; Turcotte et al., 2015)"},"properties":{"noteIndex":0},"schema":"https://github.com/citation-style-language/schema/raw/master/csl-citation.json"}</w:instrText>
      </w:r>
      <w:r w:rsidR="00525FBB" w:rsidRPr="00525FBB">
        <w:rPr>
          <w:rFonts w:asciiTheme="majorBidi" w:hAnsiTheme="majorBidi" w:cstheme="majorBidi"/>
          <w:sz w:val="24"/>
          <w:szCs w:val="24"/>
        </w:rPr>
        <w:fldChar w:fldCharType="separate"/>
      </w:r>
      <w:r w:rsidR="00525FBB" w:rsidRPr="00525FBB">
        <w:rPr>
          <w:rFonts w:asciiTheme="majorBidi" w:hAnsiTheme="majorBidi" w:cstheme="majorBidi"/>
          <w:noProof/>
          <w:sz w:val="24"/>
          <w:szCs w:val="24"/>
        </w:rPr>
        <w:t>(Gandarillas &amp; Goswami, 2018; Nhavoto &amp; Grönlund, 2014; Turcotte et al., 2015)</w:t>
      </w:r>
      <w:r w:rsidR="00525FBB" w:rsidRPr="00525FBB">
        <w:rPr>
          <w:rFonts w:asciiTheme="majorBidi" w:hAnsiTheme="majorBidi" w:cstheme="majorBidi"/>
          <w:sz w:val="24"/>
          <w:szCs w:val="24"/>
        </w:rPr>
        <w:fldChar w:fldCharType="end"/>
      </w:r>
    </w:p>
    <w:p w14:paraId="100AF520" w14:textId="15D4C199"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This systematic study aims to explore the</w:t>
      </w:r>
      <w:r w:rsidR="00DD0C02">
        <w:rPr>
          <w:rFonts w:asciiTheme="majorBidi" w:hAnsiTheme="majorBidi" w:cstheme="majorBidi"/>
          <w:sz w:val="24"/>
          <w:szCs w:val="24"/>
        </w:rPr>
        <w:t xml:space="preserve"> vision of the</w:t>
      </w:r>
      <w:r w:rsidRPr="00525FBB">
        <w:rPr>
          <w:rFonts w:asciiTheme="majorBidi" w:hAnsiTheme="majorBidi" w:cstheme="majorBidi"/>
          <w:sz w:val="24"/>
          <w:szCs w:val="24"/>
        </w:rPr>
        <w:t xml:space="preserve"> evolving healthcare system in </w:t>
      </w:r>
      <w:r w:rsidR="00DD0C02">
        <w:rPr>
          <w:rFonts w:asciiTheme="majorBidi" w:hAnsiTheme="majorBidi" w:cstheme="majorBidi"/>
          <w:sz w:val="24"/>
          <w:szCs w:val="24"/>
        </w:rPr>
        <w:t>KSA</w:t>
      </w:r>
      <w:r w:rsidRPr="00525FBB">
        <w:rPr>
          <w:rFonts w:asciiTheme="majorBidi" w:hAnsiTheme="majorBidi" w:cstheme="majorBidi"/>
          <w:sz w:val="24"/>
          <w:szCs w:val="24"/>
        </w:rPr>
        <w:t xml:space="preserve"> under Vision 2030, focusing on risk assessment, challenges, opportunities, and mitigative strategies to ensure successful transformation.</w:t>
      </w:r>
    </w:p>
    <w:p w14:paraId="2C9FF8E6" w14:textId="313DAF4B" w:rsidR="00525FBB" w:rsidRPr="00525FBB" w:rsidRDefault="00525FBB" w:rsidP="00525FBB">
      <w:pPr>
        <w:tabs>
          <w:tab w:val="left" w:pos="5292"/>
        </w:tabs>
        <w:jc w:val="right"/>
        <w:rPr>
          <w:rFonts w:asciiTheme="majorBidi" w:hAnsiTheme="majorBidi" w:cstheme="majorBidi"/>
          <w:b/>
          <w:bCs/>
          <w:sz w:val="24"/>
          <w:szCs w:val="24"/>
        </w:rPr>
      </w:pPr>
    </w:p>
    <w:p w14:paraId="1FF63A07" w14:textId="77777777" w:rsidR="00525FBB" w:rsidRPr="00525FBB" w:rsidRDefault="00525FBB" w:rsidP="00525FBB">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t>Literature Review</w:t>
      </w:r>
    </w:p>
    <w:p w14:paraId="441CE580" w14:textId="45F30546"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Saudi Arabia’s healthcare system, which has traditionally been government-driven, </w:t>
      </w:r>
      <w:r w:rsidR="0037265D" w:rsidRPr="0037265D">
        <w:rPr>
          <w:rFonts w:asciiTheme="majorBidi" w:hAnsiTheme="majorBidi" w:cstheme="majorBidi"/>
          <w:sz w:val="24"/>
          <w:szCs w:val="24"/>
        </w:rPr>
        <w:t>stands at a juncture because of demographic transition, rising healthcare costs, and the increasing prevalence of chronic diseases such as diabetes, heart disease, and obesity. Gains that are worth mentioning, such as rising life expectancy and reducing maternal and child mortality rates, are greatly undone by the population's quick expansion, aging populations, health workforce increased turnovers and many others. Extreme strain on the health infrastructure, particularly in rural and poor areas is evident, demanding a pressing need for a reformed, more efficient, and sustainable health system that is better able to respond to the evolving needs of the population</w:t>
      </w:r>
      <w:r w:rsidRPr="00525FBB">
        <w:rPr>
          <w:rFonts w:asciiTheme="majorBidi" w:hAnsiTheme="majorBidi" w:cstheme="majorBidi"/>
          <w:sz w:val="24"/>
          <w:szCs w:val="24"/>
        </w:rPr>
        <w:t>.</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{"citationItems":[{"id":"ITEM-1","itemData":{"DOI":"10.1136/leader-2023-000851","ISSN":"2398631X","PMID":"37798102","abstract":"The Kingdom of Saudi Arabia's (KSA) Ministry of Health's (MOH) healthcare transformation strategy aims to improve the quality of life of Saudi citizens in line with the 'Vision 2030' strategic objectives. The MOH is reforming the way healthcare will be managed in the future and is in the process of transferring healthcare service delivery responsibilities to clusters with ratified boards, while also moving the MOH from a provision of service model to a regulatory one. Several early pathfinding clusters were initiated in the eastern central and western regions. To ensure northern and southern regions were not left behind, the early innovation, while awaiting cluster nomination status, the northern and southern business units of Health Holding Company implemented the accelerated transformation programme (ATP). The ATP's remit was to develop capabilities and stimulate local engagement and ownership in the healthcare transformation process. This paper summarises the process of healthcare transformation undertaken in the northern and southern regions of KSA to date. It reviews the success in engaging with local healthcare professional communities in a standardised way and the learning from previous clusters, and elaborates on emerging implementation issues and how we may overcome them and introduce the lessons learnt from this journey.","author":[{"dropping-particle":"","family":"Riley","given":"Anthony J.","non-dropping-particle":"","parse-names":false,"suffix":""},{"dropping-particle":"","family":"Alshammary","given":"Sami A.","non-dropping-particle":"","parse-names":false,"suffix":""},{"dropping-particle":"","family":"Abuzied","given":"Yacoub","non-dropping-particle":"","parse-names":false,"suffix":""},{"dropping-particle":"","family":"Al-Amer","given":"Rasmieh","non-dropping-particle":"","parse-names":false,"suffix":""},{"dropping-particle":"","family":"Bin-Hussain","given":"Ibrahim","non-dropping-particle":"","parse-names":false,"suffix":""},{"dropping-particle":"","family":"Alwaalah","given":"Mesfer","non-dropping-particle":"","parse-names":false,"suffix":""},{"dropping-particle":"","family":"Alshammari","given":"Khalil","non-dropping-particle":"","parse-names":false,"suffix":""},{"dropping-particle":"","family":"Alqumaizi","given":"Khalid I.","non-dropping-particle":"","parse-names":false,"suffix":""}],"container-title":"BMJ Leader","id":"ITEM-1","issued":{"date-parts":[["2024"]]},"title":"Accelerated transformation programme for healthcare services: Structure, function and the lessons learnt","type":"article-journal"},"uris":["http://www.mendeley.com/documents/?uuid=2c7d0024-7080-43c5-8ecd-10ad878a3f57"]}],"mendeley":{"formattedCitation":"(Riley et al., 2024)","plainTextFormattedCitation":"(Riley et al., 2024)","previouslyFormattedCitation":"(Riley et al., 2024)"},"properties":{"noteIndex":0},"schema":"https://github.com/citation-style-language/schema/raw/master/csl-citation.json"}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(Riley et al., 2024)</w:t>
      </w:r>
      <w:r w:rsidRPr="00525FBB">
        <w:rPr>
          <w:rFonts w:asciiTheme="majorBidi" w:hAnsiTheme="majorBidi" w:cstheme="majorBidi"/>
          <w:sz w:val="24"/>
          <w:szCs w:val="24"/>
        </w:rPr>
        <w:fldChar w:fldCharType="end"/>
      </w:r>
    </w:p>
    <w:p w14:paraId="239D39DE"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lastRenderedPageBreak/>
        <w:t>Vision 2030 is a comprehensive blueprint for Saudi Arabia’s economic and social transformation, with significant implications for the healthcare sector. At its core, Vision 2030 seeks to reduce Saudi Arabia’s dependence on oil, diversify the economy, and improve the quality of life for all its citizens. Healthcare reform is a critical component of this vision, aiming to modernize the healthcare infrastructure, improve the quality of care, and enhance accessibility for all citizens, especially those in remote areas. As part of this transformation, Saudi Arabia has prioritized the adoption of digital health technologies, the integration of preventative care strategies, and the expansion of healthcare services through public-private partnerships.</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{"citationItems":[{"id":"ITEM-1","itemData":{"DOI":"10.1080/20479700.2020.1788334","ISSN":"20479719","abstract":"Purpose: This article explores the role of Vision 2030 in strengthening the healthcare system in Saudi Arabia. Methods: Systematic review and document analysis. Thematic data analysis technique was used to analyse the data. Findings: Primarily, Vision 2030 may contribute to diversify the economy. It would bring in many changes in society and economy. Overall, Vision 2030 may have a limited impact on changing the graph of the health of the citizens of Saudi Arabia. Conclusion: The government highlighted Vision 2030 to gain popular support but actual action to improve population health remains limited. The government needs to develop a sustainable healthcare by strengthening human resources in healthcare, decentralization and efficient use of resources through stewardship, good governance, accountability and transparency.","author":[{"dropping-particle":"","family":"Rahman","given":"Redwanur","non-dropping-particle":"","parse-names":false,"suffix":""},{"dropping-particle":"","family":"Al-Borie","given":"Hussein M.","non-dropping-particle":"","parse-names":false,"suffix":""}],"container-title":"International Journal of Healthcare Management","id":"ITEM-1","issued":{"date-parts":[["2020"]]},"page":"1-9","publisher":"Taylor and Francis Ltd.","title":"Strengthening the Saudi Arabian healthcare system: Role of Vision 2030","type":"article"},"uris":["http://www.mendeley.com/documents/?uuid=804e1302-f748-3f30-bb0d-8140363449f9"]},{"id":"ITEM-2","itemData":{"DOI":"10.1177/0046958020984682","ISSN":"19457243","PMID":"33567959","abstract":"Vision 2030 is a social and economic strategic program by the Kingdom of Saudi Arabia (KSA) aimed at diversifying the nation’s economy and stimulating numerous changes in its social and economic sectors, including in healthcare. Sustainable Development (SD) 2030 is a global consensual agreement among nation-states to build a sustainable, desirable and progressively interrelated world. The Saudi government highlighted Vision 2030 to improve population health and the world body reiterated that SD 2030 will contribute to “healthy lives and promote well-being for all at all ages.” This article analyzes the state capacity in revitalizing the healthcare system in Saudi Arabia with the context of Vision 2030 and SD 2030. Scoping reviews and thematic data analysis techniques were used as a method of this study. The realization of Vision 2030 is essential for the fulfilment of the SD Goals 2030. The government has realigned its national programs, plans and strategies with global development targets, indicators, and goals to achieve the SD Goals. Achieving SD 2030 is seen as the main component of development for health. Prudent reforms should be taken to accommodate the goals and objectives of Vision 2030 and SD 2030. These measures will help strengthen governance and state capacity so as to ultimately revitalize the Saudi healthcare system and improve population health. Saudi Arabia’s Vision 2030 encourages the state to play a renewed role in development in light of the UN’s declaration of the “right to development.” While pursuing SD Goals, the state must create the necessary environment for sustaining capacity, need to improve service delivery by building cooperation and coordination among providers and interactions among groups to realize constructive roles and functions in maintaining state affairs, which ultimately enhances state capacity to revitalize healthcare system of Saudi Arabia.","author":[{"dropping-particle":"","family":"Rahman","given":"Redwanur","non-dropping-particle":"","parse-names":false,"suffix":""},{"dropping-particle":"","family":"Qattan","given":"Ameerah","non-dropping-particle":"","parse-names":false,"suffix":""}],"container-title":"Inquiry (United States)","id":"ITEM-2","issued":{"date-parts":[["2021"]]},"publisher":"SAGE Publications Inc.","title":"Vision 2030 and Sustainable Development: State Capacity to Revitalize the Healthcare System in Saudi Arabia","type":"article-journal","volume":"58"},"uris":["http://www.mendeley.com/documents/?uuid=e234991c-03ea-3167-9326-0436e85475f8"]}],"mendeley":{"formattedCitation":"(Rahman &amp; Al-Borie, 2020; Rahman &amp; Qattan, 2021)","plainTextFormattedCitation":"(Rahman &amp; Al-Borie, 2020; Rahman &amp; Qattan, 2021)","previouslyFormattedCitation":"(Rahman &amp; Al-Borie, 2020; Rahman &amp; Qattan, 2021)"},"properties":{"noteIndex":0},"schema":"https://github.com/citation-style-language/schema/raw/master/csl-citation.json"}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(Rahman &amp; Al-Borie, 2020; Rahman &amp; Qattan, 2021)</w:t>
      </w:r>
      <w:r w:rsidRPr="00525FBB">
        <w:rPr>
          <w:rFonts w:asciiTheme="majorBidi" w:hAnsiTheme="majorBidi" w:cstheme="majorBidi"/>
          <w:sz w:val="24"/>
          <w:szCs w:val="24"/>
        </w:rPr>
        <w:fldChar w:fldCharType="end"/>
      </w:r>
    </w:p>
    <w:p w14:paraId="5E75618D" w14:textId="77777777" w:rsidR="0037265D" w:rsidRPr="0037265D" w:rsidRDefault="0037265D" w:rsidP="0037265D">
      <w:pPr>
        <w:spacing w:after="0" w:line="480" w:lineRule="auto"/>
        <w:ind w:firstLine="720"/>
        <w:jc w:val="right"/>
        <w:rPr>
          <w:rFonts w:asciiTheme="majorBidi" w:hAnsiTheme="majorBidi" w:cstheme="majorBidi"/>
          <w:sz w:val="24"/>
          <w:szCs w:val="24"/>
        </w:rPr>
      </w:pPr>
      <w:r w:rsidRPr="0037265D">
        <w:rPr>
          <w:rFonts w:asciiTheme="majorBidi" w:hAnsiTheme="majorBidi" w:cstheme="majorBidi"/>
          <w:sz w:val="24"/>
          <w:szCs w:val="24"/>
        </w:rPr>
        <w:t>A key component of Vision 2030's health vision is the shift from a reactive to proactive and preventative model of healthcare that has proved more effective and efficient.</w:t>
      </w:r>
      <w:r w:rsidR="00525FBB" w:rsidRPr="00525FBB">
        <w:rPr>
          <w:rFonts w:asciiTheme="majorBidi" w:hAnsiTheme="majorBidi" w:cstheme="majorBidi"/>
          <w:sz w:val="24"/>
          <w:szCs w:val="24"/>
        </w:rPr>
        <w:t>.</w:t>
      </w:r>
      <w:r w:rsidR="00525FBB" w:rsidRPr="00525FBB">
        <w:rPr>
          <w:rFonts w:asciiTheme="majorBidi" w:hAnsiTheme="majorBidi" w:cstheme="majorBidi"/>
          <w:sz w:val="24"/>
          <w:szCs w:val="24"/>
        </w:rPr>
        <w:fldChar w:fldCharType="begin" w:fldLock="1"/>
      </w:r>
      <w:r w:rsidR="00525FBB" w:rsidRPr="00525FBB">
        <w:rPr>
          <w:rFonts w:asciiTheme="majorBidi" w:hAnsiTheme="majorBidi" w:cstheme="majorBidi"/>
          <w:sz w:val="24"/>
          <w:szCs w:val="24"/>
        </w:rPr>
        <w:instrText>ADDIN CSL_CITATION {"citationItems":[{"id":"ITEM-1","itemData":{"DOI":"10.3892/br.2017.922","ISSN":"20499442","abstract":"Personalized medicine (PM) is about tailoring a treatment as individualized as the disease. The approach relies on identifying genetic, epigenomic, and clinical information that allows the breakthroughs in our understanding of how a person’s unique genomic portfolio makes them vulnerable to certain diseases. PM approach is a complete extension of traditional approach (One-Size-Fits-All) to increasing our ability to predict which medical treatments will be safe and effective for individual patient, and which ones will not be, based on the patient’s unique genetic profile. Implementation of PM has the potential to reduce financial and time expenditure, and increase quality of life and life extension of patients. Knowledge of PM facilitates earlier disease detection via enhanced use of existing biomarkers and detection of early genomic and epigenomic events in disease development, particularly carcinogenesis. The PM approach predominantly focuses on preventative medicine and favours taking proactive actions rather than just reactive. This approach delays or prevents the need to apply more severe treatments which are usually less tolerated and with increased quality of life and financial considerations. Increasing healthcare costs have placed additional pressure on government funded healthcare systems globally, especially regarding end of life care. PM may increase the effectiveness of existing treatments and negate the inherent problems associated with non-PM approaches. PM is a young but rapidly expanding field of healthcare where a physician can select a treatment based on a patient’s genetic profile that may not only minimize harmful side effects and guarantee a more successful result, but can be less cost effective compared with a ‘trial-and-error’ approach to disease treatment. The less efficient non-PM (‘trial-and-error’) approach, which can lead to drug toxicity, severe side effects, reactive treatment and misdiagnosis continue to contribute to increasing healthcare costs. Increased patient stratification will allow for the enhanced application of PM and pro-active treatment regimens, resulting in reduced costs and quality of life enhancement.","author":[{"dropping-particle":"","family":"Mathur","given":"Sunil","non-dropping-particle":"","parse-names":false,"suffix":""},{"dropping-particle":"","family":"Sutton","given":"Joseph","non-dropping-particle":"","parse-names":false,"suffix":""}],"container-title":"Biomedical Reports","id":"ITEM-1","issued":{"date-parts":[["2017"]]},"title":"Personalized medicine could transform healthcare (Review)","type":"article"},"uris":["http://www.mendeley.com/documents/?uuid=0db116d1-14f3-4e49-9022-be158991ddec"]},{"id":"ITEM-2","itemData":{"abstract":"Mobile devices and sensors are profoundly changing the way we create, consume, and share information. Health aficionados and patients with chronic conditions are increasingly using sensors and mobile devices to track sleep, food, activity, and other physiological observations (e.g., weight, heart rate, blood pressure). This trend is leading to a paradigm shift from reactive medicine to predictive, preventative, personalized, and participatory medicine. This is also empowering an individual to more fully participate in health related decision making. To facilitate this transformation, there is a dearth of research in understanding the richness and nuances of health care data. There are many healthcare applications that utilize mobile devices and sensors to monitor the health of an individual. With increased instrumentation such as use of smart phones and social media provides a fine-grained access to the activities of a person and population in general. Majority of analytics is focused on finding discrepancies in a single stream of observations without much insight into the problem and actionable information. kHealth analyzes observations from passive (no human involvement in data collection) and active (human input involved in data collection) sensors to provide explanations that are intelligible to individuals and when needed their clinicians for well-informed decision making.","author":[{"dropping-particle":"","family":"Sheth","given":"Amit","non-dropping-particle":"","parse-names":false,"suffix":""}],"container-title":"Workshop on Personal Data Analytics in the Internet of Things (PDA@IOT 2014)","id":"ITEM-2","issued":{"date-parts":[["2014"]]},"title":"kHealth : Proactive Personalized Actionable Information for Better Healthcare","type":"paper-conference"},"uris":["http://www.mendeley.com/documents/?uuid=45fd9af7-2cf9-4688-a242-a9879af42079"]}],"mendeley":{"formattedCitation":"(Mathur &amp; Sutton, 2017; Sheth, 2014)","plainTextFormattedCitation":"(Mathur &amp; Sutton, 2017; Sheth, 2014)","previouslyFormattedCitation":"(Mathur &amp; Sutton, 2017; Sheth, 2014)"},"properties":{"noteIndex":0},"schema":"https://github.com/citation-style-language/schema/raw/master/csl-citation.json"}</w:instrText>
      </w:r>
      <w:r w:rsidR="00525FBB" w:rsidRPr="00525FBB">
        <w:rPr>
          <w:rFonts w:asciiTheme="majorBidi" w:hAnsiTheme="majorBidi" w:cstheme="majorBidi"/>
          <w:sz w:val="24"/>
          <w:szCs w:val="24"/>
        </w:rPr>
        <w:fldChar w:fldCharType="separate"/>
      </w:r>
      <w:r w:rsidR="00525FBB" w:rsidRPr="00525FBB">
        <w:rPr>
          <w:rFonts w:asciiTheme="majorBidi" w:hAnsiTheme="majorBidi" w:cstheme="majorBidi"/>
          <w:noProof/>
          <w:sz w:val="24"/>
          <w:szCs w:val="24"/>
        </w:rPr>
        <w:t>(Mathur &amp; Sutton, 2017; Sheth, 2014)</w:t>
      </w:r>
      <w:r w:rsidR="00525FBB" w:rsidRPr="00525FBB">
        <w:rPr>
          <w:rFonts w:asciiTheme="majorBidi" w:hAnsiTheme="majorBidi" w:cstheme="majorBidi"/>
          <w:sz w:val="24"/>
          <w:szCs w:val="24"/>
        </w:rPr>
        <w:fldChar w:fldCharType="end"/>
      </w:r>
      <w:r w:rsidR="00525FBB" w:rsidRPr="00525FBB">
        <w:rPr>
          <w:rFonts w:asciiTheme="majorBidi" w:hAnsiTheme="majorBidi" w:cstheme="majorBidi"/>
          <w:sz w:val="24"/>
          <w:szCs w:val="24"/>
        </w:rPr>
        <w:t xml:space="preserve"> </w:t>
      </w:r>
      <w:r w:rsidRPr="0037265D">
        <w:rPr>
          <w:rFonts w:asciiTheme="majorBidi" w:hAnsiTheme="majorBidi" w:cstheme="majorBidi"/>
          <w:sz w:val="24"/>
          <w:szCs w:val="24"/>
        </w:rPr>
        <w:t>This includes the development of new care models that emphasize early intervention, health promotion, and better management of long-term conditions. By integrating digital health technologies such as electronic health records (EHRs) and telemedicine, Saudi Arabia aims to enhance healthcare service efficiency and accessibility. The digitalization of healthcare is expected to enable better data management, informed decision-making, and more personalized patient care. Moreover, private sector involvement in healthcare delivery is expected to increase competition, boost the quality of services, and reduce the financial burden on the public sector.</w:t>
      </w:r>
    </w:p>
    <w:p w14:paraId="5E71B26A" w14:textId="582C3942" w:rsidR="00525FBB" w:rsidRPr="00525FBB" w:rsidRDefault="0037265D" w:rsidP="0037265D">
      <w:pPr>
        <w:spacing w:after="0" w:line="480" w:lineRule="auto"/>
        <w:ind w:firstLine="720"/>
        <w:jc w:val="right"/>
        <w:rPr>
          <w:rFonts w:asciiTheme="majorBidi" w:hAnsiTheme="majorBidi" w:cstheme="majorBidi"/>
          <w:sz w:val="24"/>
          <w:szCs w:val="24"/>
        </w:rPr>
      </w:pPr>
      <w:r w:rsidRPr="0037265D">
        <w:rPr>
          <w:rFonts w:asciiTheme="majorBidi" w:hAnsiTheme="majorBidi" w:cstheme="majorBidi"/>
          <w:sz w:val="24"/>
          <w:szCs w:val="24"/>
        </w:rPr>
        <w:t xml:space="preserve">Despite the significant progress achieved under Vision 2030, there are challenges that continue to confront the transformation of Saudi Arabia's healthcare system. Among the biggest challenges is resistance to change by healthcare institutions and providers. The majority of healthcare practitioners are accustomed to traditional practices and may resist emerging technologies, care models, or organizational structures. To break this resistance, </w:t>
      </w:r>
      <w:r w:rsidRPr="0037265D">
        <w:rPr>
          <w:rFonts w:asciiTheme="majorBidi" w:hAnsiTheme="majorBidi" w:cstheme="majorBidi"/>
          <w:sz w:val="24"/>
          <w:szCs w:val="24"/>
        </w:rPr>
        <w:lastRenderedPageBreak/>
        <w:t>comprehensive training programs, awareness creation, and effective communication strategies are necessary to demonstrate the benefits of the change for both healthcare practitioners and patients.</w:t>
      </w:r>
      <w:r w:rsidR="00525FBB" w:rsidRPr="00525FBB">
        <w:rPr>
          <w:rFonts w:asciiTheme="majorBidi" w:hAnsiTheme="majorBidi" w:cstheme="majorBidi"/>
          <w:sz w:val="24"/>
          <w:szCs w:val="24"/>
        </w:rPr>
        <w:t xml:space="preserve">. </w:t>
      </w:r>
      <w:r w:rsidR="00525FBB" w:rsidRPr="00525FBB">
        <w:rPr>
          <w:rFonts w:asciiTheme="majorBidi" w:hAnsiTheme="majorBidi" w:cstheme="majorBidi"/>
          <w:sz w:val="24"/>
          <w:szCs w:val="24"/>
        </w:rPr>
        <w:fldChar w:fldCharType="begin" w:fldLock="1"/>
      </w:r>
      <w:r w:rsidR="00525FBB" w:rsidRPr="00525FBB">
        <w:rPr>
          <w:rFonts w:asciiTheme="majorBidi" w:hAnsiTheme="majorBidi" w:cstheme="majorBidi"/>
          <w:sz w:val="24"/>
          <w:szCs w:val="24"/>
        </w:rPr>
        <w:instrText>ADDIN CSL_CITATION {"citationItems":[{"id":"ITEM-1","itemData":{"DOI":"10.7759/cureus.65047","abstract":"Saudi Arabia guarantees citizens the right to receive medical care and treatment during emergencies or sickness and aging. However, with the consistent increase in expenditure and inability to provide access, the transformation was an unavoidable action. Therefore, this paper aims to address the potential and risks behind the National Transformation Program (NTP) in Saudi Arabia through the lens of the Value Transformation Framework. Multiple research databases (PubMed, Web of Science, UpToDate, Google Scholar, and Summon) were searched between 2016 and 2024. Relevant articles were selected by scanning the title and abstract, yielding 34 references after the screening, exclusion, and inclusion criteria were met. Citation software was used to identify additional sources as analysis proceeded, in accordance with the hermeneutic approach in mapping and classification. The most cited concerns were the sustainability and workforce of the healthcare system. In terms of care delivery, the literature was extensive. In contrast, insufficient studies have been conducted on infrastructure and people. Furthermore, limited information is available on how to assess the transformation, which remains an unaddressed research question. NTP could meet several hurdles. However, through the measurement, assessment phases, and development tracking, success could be achieved.","author":[{"dropping-particle":"","family":"Alkhurayji","given":"Khalid","non-dropping-particle":"","parse-names":false,"suffix":""},{"dropping-particle":"","family":"Alzahrani","given":"Hazzam A","non-dropping-particle":"","parse-names":false,"suffix":""},{"dropping-particle":"","family":"Alotaibi","given":"Amal S","non-dropping-particle":"","parse-names":false,"suffix":""},{"dropping-particle":"","family":"Alharbi","given":"Abdulaziz G","non-dropping-particle":"","parse-names":false,"suffix":""},{"dropping-particle":"","family":"Zandan","given":"Abdullah A","non-dropping-particle":"","parse-names":false,"suffix":""},{"dropping-particle":"","family":"Alsheikhi","given":"Hussein","non-dropping-particle":"","parse-names":false,"suffix":""}],"id":"ITEM-1","issued":{"date-parts":[["2024"]]},"title":"Categories: Epidemiology/Public Health, Health Policy","type":"article-journal"},"uris":["http://www.mendeley.com/documents/?uuid=2ecba4e7-eede-36a7-9506-2aaf3882c8f1"]},{"id":"ITEM-2","itemData":{"DOI":"10.1136/leader-2023-000851","ISSN":"2398631X","PMID":"37798102","abstract":"The Kingdom of Saudi Arabia's (KSA) Ministry of Health's (MOH) healthcare transformation strategy aims to improve the quality of life of Saudi citizens in line with the 'Vision 2030' strategic objectives. The MOH is reforming the way healthcare will be managed in the future and is in the process of transferring healthcare service delivery responsibilities to clusters with ratified boards, while also moving the MOH from a provision of service model to a regulatory one. Several early pathfinding clusters were initiated in the eastern central and western regions. To ensure northern and southern regions were not left behind, the early innovation, while awaiting cluster nomination status, the northern and southern business units of Health Holding Company implemented the accelerated transformation programme (ATP). The ATP's remit was to develop capabilities and stimulate local engagement and ownership in the healthcare transformation process. This paper summarises the process of healthcare transformation undertaken in the northern and southern regions of KSA to date. It reviews the success in engaging with local healthcare professional communities in a standardised way and the learning from previous clusters, and elaborates on emerging implementation issues and how we may overcome them and introduce the lessons learnt from this journey.","author":[{"dropping-particle":"","family":"Riley","given":"Anthony J.","non-dropping-particle":"","parse-names":false,"suffix":""},{"dropping-particle":"","family":"Alshammary","given":"Sami A.","non-dropping-particle":"","parse-names":false,"suffix":""},{"dropping-particle":"","family":"Abuzied","given":"Yacoub","non-dropping-particle":"","parse-names":false,"suffix":""},{"dropping-particle":"","family":"Al-Amer","given":"Rasmieh","non-dropping-particle":"","parse-names":false,"suffix":""},{"dropping-particle":"","family":"Bin-Hussain","given":"Ibrahim","non-dropping-particle":"","parse-names":false,"suffix":""},{"dropping-particle":"","family":"Alwaalah","given":"Mesfer","non-dropping-particle":"","parse-names":false,"suffix":""},{"dropping-particle":"","family":"Alshammari","given":"Khalil","non-dropping-particle":"","parse-names":false,"suffix":""},{"dropping-particle":"","family":"Alqumaizi","given":"Khalid I.","non-dropping-particle":"","parse-names":false,"suffix":""}],"container-title":"BMJ Leader","id":"ITEM-2","issued":{"date-parts":[["2024"]]},"title":"Accelerated transformation programme for healthcare services: Structure, function and the lessons learnt","type":"article-journal"},"uris":["http://www.mendeley.com/documents/?uuid=2c7d0024-7080-43c5-8ecd-10ad878a3f57"]}],"mendeley":{"formattedCitation":"(Alkhurayji et al., 2024; Riley et al., 2024)","plainTextFormattedCitation":"(Alkhurayji et al., 2024; Riley et al., 2024)","previouslyFormattedCitation":"(Alkhurayji et al., 2024; Riley et al., 2024)"},"properties":{"noteIndex":0},"schema":"https://github.com/citation-style-language/schema/raw/master/csl-citation.json"}</w:instrText>
      </w:r>
      <w:r w:rsidR="00525FBB" w:rsidRPr="00525FBB">
        <w:rPr>
          <w:rFonts w:asciiTheme="majorBidi" w:hAnsiTheme="majorBidi" w:cstheme="majorBidi"/>
          <w:sz w:val="24"/>
          <w:szCs w:val="24"/>
        </w:rPr>
        <w:fldChar w:fldCharType="separate"/>
      </w:r>
      <w:r w:rsidR="00525FBB" w:rsidRPr="00525FBB">
        <w:rPr>
          <w:rFonts w:asciiTheme="majorBidi" w:hAnsiTheme="majorBidi" w:cstheme="majorBidi"/>
          <w:noProof/>
          <w:sz w:val="24"/>
          <w:szCs w:val="24"/>
        </w:rPr>
        <w:t>(Alkhurayji et al., 2024; Riley et al., 2024)</w:t>
      </w:r>
      <w:r w:rsidR="00525FBB" w:rsidRPr="00525FBB">
        <w:rPr>
          <w:rFonts w:asciiTheme="majorBidi" w:hAnsiTheme="majorBidi" w:cstheme="majorBidi"/>
          <w:sz w:val="24"/>
          <w:szCs w:val="24"/>
        </w:rPr>
        <w:fldChar w:fldCharType="end"/>
      </w:r>
    </w:p>
    <w:p w14:paraId="4AD683B8" w14:textId="7E4601B3"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Another key challenge is the digital divide between urban and rural areas. </w:t>
      </w:r>
      <w:r w:rsidR="0037265D" w:rsidRPr="0037265D">
        <w:rPr>
          <w:rFonts w:asciiTheme="majorBidi" w:hAnsiTheme="majorBidi" w:cstheme="majorBidi"/>
          <w:sz w:val="24"/>
          <w:szCs w:val="24"/>
        </w:rPr>
        <w:t>While Saudi Arabian cities have made significant strides in adopting digital health technologies, rural and underprivileged areas still lack the necessary infrastructure and connectivity to benefit from these innovations. Deployment of digital systems such as electronic health records (EHRs) and telemedicine involves a tremendous investment in infrastructure, cybersecurity, and training to protect sensitive health data.</w:t>
      </w:r>
      <w:r w:rsidRPr="00525FBB">
        <w:rPr>
          <w:rFonts w:asciiTheme="majorBidi" w:hAnsiTheme="majorBidi" w:cstheme="majorBidi"/>
          <w:sz w:val="24"/>
          <w:szCs w:val="24"/>
        </w:rPr>
        <w:t xml:space="preserve">.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{"citationItems":[{"id":"ITEM-1","itemData":{"ISSN":"1658-3639","PMID":"29896076","abstract":"Change management studies have emphasized the significance of an organization's readiness for change and transformation and have recommended strategies to affect change. Organizational readiness for change is a multi-faceted, multi-level, and multi-dimensional activity; its most important aspect is organizational members' willingness to accept and implement change because ignoring the human factors may result in resistance and failure. Through its National Transformation Program 2020, the Saudi Arabian government is attempting to effect radical changes in the structure and function of its health-care system to achieve quality care and effective service delivery. The aim of the present review is to discuss the Saudi health-care system's readiness to change that Saudi Arabia intends to implement by 2020, based on extensive review of different reports, documents, and empirical studies in the field of organizational readiness for change. The study concludes that if organizational readiness for change is high, resources are available, and situational factors are aligned, members of organizations will take the initiative to change, exert optimal effort, demonstrate greater determination, and engage in more cooperative behavior that may lead to efficient and effective implementation of the Saudi health-care transformational plan with fewer complications and less resistance.","author":[{"dropping-particle":"","family":"Alharbi","given":"Mohammad F","non-dropping-particle":"","parse-names":false,"suffix":""}],"container-title":"International Journal of Health Sciences","id":"ITEM-1","issue":"3","issued":{"date-parts":[["2018"]]},"page":"83","title":"An analysis of the Saudi health-care system’s readiness to change in the context of the Saudi National Health-care Plan in Vision 2030","type":"article-journal","volume":"12"},"uris":["http://www.mendeley.com/documents/?uuid=66244b2c-664e-3785-9597-a8bcdc6d525d"]}],"mendeley":{"formattedCitation":"(Alharbi, 2018)","plainTextFormattedCitation":"(Alharbi, 2018)","previouslyFormattedCitation":"(Alharbi, 2018)"},"properties":{"noteIndex":0},"schema":"https://github.com/citation-style-language/schema/raw/master/csl-citation.json"}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(Alharbi, 2018)</w:t>
      </w:r>
      <w:r w:rsidRPr="00525FBB">
        <w:rPr>
          <w:rFonts w:asciiTheme="majorBidi" w:hAnsiTheme="majorBidi" w:cstheme="majorBidi"/>
          <w:sz w:val="24"/>
          <w:szCs w:val="24"/>
        </w:rPr>
        <w:fldChar w:fldCharType="end"/>
      </w:r>
      <w:r w:rsidRPr="00525FBB">
        <w:rPr>
          <w:rFonts w:asciiTheme="majorBidi" w:hAnsiTheme="majorBidi" w:cstheme="majorBidi"/>
          <w:sz w:val="24"/>
          <w:szCs w:val="24"/>
        </w:rPr>
        <w:t xml:space="preserve"> Studies show that addressing this divide is crucial to ensuring that all citizens benefit from the advancements in healthcare technology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{"citationItems":[{"id":"ITEM-1","itemData":{"DOI":"10.25122/jml-2023-0010","ISSN":"18443117","PMID":"37305832","abstract":"The Kingdom of Saudi Arabia has embarked on a transformation journey referred to as \"Vision 2030\", which com-menced in June 2016. The healthcare sector is currently going through a radical transformation under this Vision. The new Model of Care shifts the focus of the healthcare sector towards proactive care and wellness, aiming to achieve better health, better care, and better value. This paper aims to provide an overview of the Model of Care and review its achievements and progress in the Eastern Region. The paper will further discuss the challenges faced and lessons learned through the implementation process. Internal documents were reviewed, and a comprehensive liter-ature search was undertaken in relevant search engines and databases. Some of the successes of the Model of Care implementation include improved data management, collection and visualization, and better patient and community engagement. Nevertheless, there is a sense of urgency to face the many challenges identified in the Saudi Arabian health system over the coming decade. Although the Model of Care focuses on addressing these identified challenges and gaps, there are many difficulties facing its implementation in the country and several lessons learned during the first few years since its launch, which this paper mentions. Hence, there is a need to measure the successes of pathways and the overall impact of the Model of Care on both the healthcare provision as well as improved population health.","author":[{"dropping-particle":"","family":"Yousef","given":"Lamees","non-dropping-particle":"","parse-names":false,"suffix":""},{"dropping-particle":"","family":"Alangari","given":"Dannah","non-dropping-particle":"","parse-names":false,"suffix":""},{"dropping-particle":"","family":"Alshehri","given":"Rahaf","non-dropping-particle":"","parse-names":false,"suffix":""},{"dropping-particle":"","family":"Alsharif","given":"Bader","non-dropping-particle":"","parse-names":false,"suffix":""},{"dropping-particle":"","family":"Bayameen","given":"Omar","non-dropping-particle":"","parse-names":false,"suffix":""},{"dropping-particle":"","family":"Alnemer","given":"Zeinab","non-dropping-particle":"","parse-names":false,"suffix":""}],"container-title":"Journal of Medicine and Life","id":"ITEM-1","issued":{"date-parts":[["2023"]]},"title":"Healthcare transformation journey in the Eastern Region of Saudi Arabia: an overview, challenges and lessons learned","type":"article-journal"},"uris":["http://www.mendeley.com/documents/?uuid=be341b91-5b41-4155-a4f3-324c3335e535"]}],"mendeley":{"formattedCitation":"(Yousef et al., 2023)","plainTextFormattedCitation":"(Yousef et al., 2023)","previouslyFormattedCitation":"(Yousef et al., 2023)"},"properties":{"noteIndex":0},"schema":"https://github.com/citation-style-language/schema/raw/master/csl-citation.json"}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(Yousef et al., 2023)</w:t>
      </w:r>
      <w:r w:rsidRPr="00525FBB">
        <w:rPr>
          <w:rFonts w:asciiTheme="majorBidi" w:hAnsiTheme="majorBidi" w:cstheme="majorBidi"/>
          <w:sz w:val="24"/>
          <w:szCs w:val="24"/>
        </w:rPr>
        <w:fldChar w:fldCharType="end"/>
      </w:r>
    </w:p>
    <w:p w14:paraId="2288034F" w14:textId="7DF31D70" w:rsidR="00525FBB" w:rsidRPr="00525FBB" w:rsidRDefault="0037265D" w:rsidP="00525FBB">
      <w:pPr>
        <w:spacing w:after="0" w:line="480" w:lineRule="auto"/>
        <w:ind w:firstLine="720"/>
        <w:jc w:val="right"/>
        <w:rPr>
          <w:rFonts w:asciiTheme="majorBidi" w:hAnsiTheme="majorBidi" w:cstheme="majorBidi"/>
          <w:sz w:val="24"/>
          <w:szCs w:val="24"/>
        </w:rPr>
      </w:pPr>
      <w:r w:rsidRPr="0037265D">
        <w:rPr>
          <w:rFonts w:asciiTheme="majorBidi" w:hAnsiTheme="majorBidi" w:cstheme="majorBidi"/>
          <w:sz w:val="24"/>
          <w:szCs w:val="24"/>
        </w:rPr>
        <w:t>Shortages in the healthcare workforce, particularly in specialist fields of healthcare, also remain an urgent issue. The Saudi healthcare sector is extremely reliant on foreign workers, though efforts are underway to increase the proportion of employment of Saudi citizens in the sector. To meet this challenge effectively, there must be more focus on workforce development, including preparing healthcare professionals with training in new models of care and emerging technologies</w:t>
      </w:r>
      <w:r w:rsidR="00525FBB" w:rsidRPr="00525FBB">
        <w:rPr>
          <w:rFonts w:asciiTheme="majorBidi" w:hAnsiTheme="majorBidi" w:cstheme="majorBidi"/>
          <w:sz w:val="24"/>
          <w:szCs w:val="24"/>
        </w:rPr>
        <w:t xml:space="preserve"> .</w:t>
      </w:r>
      <w:r w:rsidR="00525FBB" w:rsidRPr="00525FBB">
        <w:rPr>
          <w:rFonts w:asciiTheme="majorBidi" w:hAnsiTheme="majorBidi" w:cstheme="majorBidi"/>
          <w:sz w:val="24"/>
          <w:szCs w:val="24"/>
        </w:rPr>
        <w:fldChar w:fldCharType="begin" w:fldLock="1"/>
      </w:r>
      <w:r w:rsidR="00525FBB" w:rsidRPr="00525FBB">
        <w:rPr>
          <w:rFonts w:asciiTheme="majorBidi" w:hAnsiTheme="majorBidi" w:cstheme="majorBidi"/>
          <w:sz w:val="24"/>
          <w:szCs w:val="24"/>
        </w:rPr>
        <w:instrText>ADDIN CSL_CITATION {"citationItems":[{"id":"ITEM-1","itemData":{"DOI":"10.3390/SU16083277","ISSN":"2071-1050","abstract":"This comprehensive rapid review meticulously evaluates the transformative influence of Vision 2030 on the healthcare sector in Saudi Arabia. Vision 2030, with its broad scope, targets an extensive overhaul of healthcare through infrastructure enhancement, digital health adoption, workforce empowerment, innovative public health initiatives, and advancements in quality of care and patient safety. By employing a rigorous analytical approach, this review synthesizes a broad spectrum of data highlighting Saudi Arabia’s significant progress toward establishing an accessible, efficient, and superior healthcare system. It delves into the kingdom’s alignment with global healthcare trends and its distinctive contributions, notably in digital health and public health, illustrating a proactive stance on future healthcare challenges. The analysis rigorously explores Vision 2030’s ambitious objectives and the concrete outcomes achieved, providing deep insights into the evolving healthcare landscape in Saudi Arabia. Furthermore, it assesses the global ramifications of these reformative efforts, emphasizing the pivotal themes of innovation, equity, and excellence as the foundation for future healthcare advancements. This review not only sheds light on Vision 2030’s extensive impact on Saudi healthcare but also positions the kingdom as an exemplar of healthcare innovation and reform on the global stage, offering valuable lessons for healthcare policy and practice around the world.","author":[{"dropping-particle":"","family":"Mani","given":"Zakaria A.","non-dropping-particle":"","parse-names":false,"suffix":""},{"dropping-particle":"","family":"Goniewicz","given":"Krzysztof","non-dropping-particle":"","parse-names":false,"suffix":""}],"container-title":"Sustainability 2024, Vol. 16, Page 3277","id":"ITEM-1","issue":"8","issued":{"date-parts":[["2024","4","15"]]},"page":"3277","publisher":"Multidisciplinary Digital Publishing Institute","title":"Transforming Healthcare in Saudi Arabia: A Comprehensive Evaluation of Vision 2030’s Impact","type":"article-journal","volume":"16"},"uris":["http://www.mendeley.com/documents/?uuid=784dd0a1-0922-3669-9901-724720b7d80a"]},{"id":"ITEM-2","itemData":{"DOI":"10.7759/cureus.65047","abstract":"Saudi Arabia guarantees citizens the right to receive medical care and treatment during emergencies or sickness and aging. However, with the consistent increase in expenditure and inability to provide access, the transformation was an unavoidable action. Therefore, this paper aims to address the potential and risks behind the National Transformation Program (NTP) in Saudi Arabia through the lens of the Value Transformation Framework. Multiple research databases (PubMed, Web of Science, UpToDate, Google Scholar, and Summon) were searched between 2016 and 2024. Relevant articles were selected by scanning the title and abstract, yielding 34 references after the screening, exclusion, and inclusion criteria were met. Citation software was used to identify additional sources as analysis proceeded, in accordance with the hermeneutic approach in mapping and classification. The most cited concerns were the sustainability and workforce of the healthcare system. In terms of care delivery, the literature was extensive. In contrast, insufficient studies have been conducted on infrastructure and people. Furthermore, limited information is available on how to assess the transformation, which remains an unaddressed research question. NTP could meet several hurdles. However, through the measurement, assessment phases, and development tracking, success could be achieved.","author":[{"dropping-particle":"","family":"Alkhurayji","given":"Khalid","non-dropping-particle":"","parse-names":false,"suffix":""},{"dropping-particle":"","family":"Alzahrani","given":"Hazzam A","non-dropping-particle":"","parse-names":false,"suffix":""},{"dropping-particle":"","family":"Alotaibi","given":"Amal S","non-dropping-particle":"","parse-names":false,"suffix":""},{"dropping-particle":"","family":"Alharbi","given":"Abdulaziz G","non-dropping-particle":"","parse-names":false,"suffix":""},{"dropping-particle":"","family":"Zandan","given":"Abdullah A","non-dropping-particle":"","parse-names":false,"suffix":""},{"dropping-particle":"","family":"Alsheikhi","given":"Hussein","non-dropping-particle":"","parse-names":false,"suffix":""}],"id":"ITEM-2","issued":{"date-parts":[["2024"]]},"title":"Categories: Epidemiology/Public Health, Health Policy","type":"article-journal"},"uris":["http://www.mendeley.com/documents/?uuid=2ecba4e7-eede-36a7-9506-2aaf3882c8f1"]}],"mendeley":{"formattedCitation":"(Alkhurayji et al., 2024; Mani &amp; Goniewicz, 2024)","plainTextFormattedCitation":"(Alkhurayji et al., 2024; Mani &amp; Goniewicz, 2024)","previouslyFormattedCitation":"(Alkhurayji et al., 2024; Mani &amp; Goniewicz, 2024)"},"properties":{"noteIndex":0},"schema":"https://github.com/citation-style-language/schema/raw/master/csl-citation.json"}</w:instrText>
      </w:r>
      <w:r w:rsidR="00525FBB" w:rsidRPr="00525FBB">
        <w:rPr>
          <w:rFonts w:asciiTheme="majorBidi" w:hAnsiTheme="majorBidi" w:cstheme="majorBidi"/>
          <w:sz w:val="24"/>
          <w:szCs w:val="24"/>
        </w:rPr>
        <w:fldChar w:fldCharType="separate"/>
      </w:r>
      <w:r w:rsidR="00525FBB" w:rsidRPr="00525FBB">
        <w:rPr>
          <w:rFonts w:asciiTheme="majorBidi" w:hAnsiTheme="majorBidi" w:cstheme="majorBidi"/>
          <w:noProof/>
          <w:sz w:val="24"/>
          <w:szCs w:val="24"/>
        </w:rPr>
        <w:t>(Alkhurayji et al., 2024; Mani &amp; Goniewicz, 2024)</w:t>
      </w:r>
      <w:r w:rsidR="00525FBB" w:rsidRPr="00525FBB">
        <w:rPr>
          <w:rFonts w:asciiTheme="majorBidi" w:hAnsiTheme="majorBidi" w:cstheme="majorBidi"/>
          <w:sz w:val="24"/>
          <w:szCs w:val="24"/>
        </w:rPr>
        <w:fldChar w:fldCharType="end"/>
      </w:r>
      <w:r w:rsidR="00525FBB" w:rsidRPr="00525FBB">
        <w:rPr>
          <w:rFonts w:asciiTheme="majorBidi" w:hAnsiTheme="majorBidi" w:cstheme="majorBidi"/>
          <w:sz w:val="24"/>
          <w:szCs w:val="24"/>
        </w:rPr>
        <w:t xml:space="preserve"> </w:t>
      </w:r>
      <w:r w:rsidRPr="0037265D">
        <w:rPr>
          <w:rFonts w:asciiTheme="majorBidi" w:hAnsiTheme="majorBidi" w:cstheme="majorBidi"/>
          <w:sz w:val="24"/>
          <w:szCs w:val="24"/>
        </w:rPr>
        <w:t>This heightened demand for healthcare services, coupled with this shortage of skilled professionals, puts healthcare providers under more pressure to deliver high-quality care efficiently</w:t>
      </w:r>
      <w:r w:rsidRPr="0037265D">
        <w:rPr>
          <w:rFonts w:asciiTheme="majorBidi" w:hAnsiTheme="majorBidi" w:cstheme="majorBidi"/>
          <w:sz w:val="24"/>
          <w:szCs w:val="24"/>
        </w:rPr>
        <w:t xml:space="preserve"> </w:t>
      </w:r>
      <w:r w:rsidR="00525FBB" w:rsidRPr="00525FBB">
        <w:rPr>
          <w:rFonts w:asciiTheme="majorBidi" w:hAnsiTheme="majorBidi" w:cstheme="majorBidi"/>
          <w:sz w:val="24"/>
          <w:szCs w:val="24"/>
        </w:rPr>
        <w:t xml:space="preserve">(Chowdhury et al., 2021). </w:t>
      </w:r>
    </w:p>
    <w:p w14:paraId="00CAEA30" w14:textId="77777777" w:rsidR="0037265D" w:rsidRPr="0037265D" w:rsidRDefault="0037265D" w:rsidP="0037265D">
      <w:pPr>
        <w:spacing w:after="0" w:line="480" w:lineRule="auto"/>
        <w:ind w:firstLine="720"/>
        <w:jc w:val="right"/>
        <w:rPr>
          <w:rFonts w:asciiTheme="majorBidi" w:hAnsiTheme="majorBidi" w:cstheme="majorBidi"/>
          <w:sz w:val="24"/>
          <w:szCs w:val="24"/>
        </w:rPr>
      </w:pPr>
      <w:r w:rsidRPr="0037265D">
        <w:rPr>
          <w:rFonts w:asciiTheme="majorBidi" w:hAnsiTheme="majorBidi" w:cstheme="majorBidi"/>
          <w:sz w:val="24"/>
          <w:szCs w:val="24"/>
        </w:rPr>
        <w:t>Despite these challenges, numerous opportunities are present that can drive the transformation of the healthcare system in Saudi Arabia.</w:t>
      </w:r>
    </w:p>
    <w:p w14:paraId="56F3C2E4" w14:textId="0386F587" w:rsidR="00525FBB" w:rsidRPr="00525FBB" w:rsidRDefault="0037265D" w:rsidP="0037265D">
      <w:pPr>
        <w:spacing w:after="0" w:line="480" w:lineRule="auto"/>
        <w:ind w:firstLine="720"/>
        <w:jc w:val="right"/>
        <w:rPr>
          <w:rFonts w:asciiTheme="majorBidi" w:hAnsiTheme="majorBidi" w:cstheme="majorBidi"/>
          <w:sz w:val="24"/>
          <w:szCs w:val="24"/>
        </w:rPr>
      </w:pPr>
      <w:r w:rsidRPr="0037265D">
        <w:rPr>
          <w:rFonts w:asciiTheme="majorBidi" w:hAnsiTheme="majorBidi" w:cstheme="majorBidi"/>
          <w:sz w:val="24"/>
          <w:szCs w:val="24"/>
        </w:rPr>
        <w:t xml:space="preserve">One potential area is in the adoption of digital health technologies like EHRs, telemedicine, and artificial intelligence (AI). Such technologies can make administrative processes simpler, improve diagnostic accuracy, reduce healthcare costs, and enable more </w:t>
      </w:r>
      <w:r w:rsidRPr="0037265D">
        <w:rPr>
          <w:rFonts w:asciiTheme="majorBidi" w:hAnsiTheme="majorBidi" w:cstheme="majorBidi"/>
          <w:sz w:val="24"/>
          <w:szCs w:val="24"/>
        </w:rPr>
        <w:lastRenderedPageBreak/>
        <w:t>personalized care through the provision of real-time access to patient information. Telemedicine use, in particular, can significantly improve healthcare delivery in rural and underserved communities.</w:t>
      </w:r>
      <w:r w:rsidR="00525FBB" w:rsidRPr="00525FBB">
        <w:rPr>
          <w:rFonts w:asciiTheme="majorBidi" w:hAnsiTheme="majorBidi" w:cstheme="majorBidi"/>
          <w:sz w:val="24"/>
          <w:szCs w:val="24"/>
        </w:rPr>
        <w:t xml:space="preserve">. </w:t>
      </w:r>
      <w:r w:rsidR="00525FBB" w:rsidRPr="00525FBB">
        <w:rPr>
          <w:rFonts w:asciiTheme="majorBidi" w:hAnsiTheme="majorBidi" w:cstheme="majorBidi"/>
          <w:sz w:val="24"/>
          <w:szCs w:val="24"/>
        </w:rPr>
        <w:fldChar w:fldCharType="begin" w:fldLock="1"/>
      </w:r>
      <w:r w:rsidR="00525FBB" w:rsidRPr="00525FBB">
        <w:rPr>
          <w:rFonts w:asciiTheme="majorBidi" w:hAnsiTheme="majorBidi" w:cstheme="majorBidi"/>
          <w:sz w:val="24"/>
          <w:szCs w:val="24"/>
        </w:rPr>
        <w:instrText>ADDIN CSL_CITATION {"citationItems":[{"id":"ITEM-1","itemData":{"DOI":"10.1080/20523211.2024.2449051","ISSN":"20523211","PMID":"39845746","abstract":"Vision 2030 represents Saudi Arabia’s strategic socio-economic plan aimed at promoting economic diversification and enhancing living standards. Launched in April 2016, this vision describes an innovative healthcare plan to improve services and outcomes. The merits and drawbacks of public hospitals’ ‘Model of Care’ are examined in this study. This assessment summarises Vision 2030s healthcare revolution. This study explores the innovative ‘Model of Care’ and its potential to change Saudi healthcare. Prior to Vision 2030, Saudi Arabia's healthcare system grappled with escalating costs and a heavy reliance on foreign labour, signalling a need for transformative change. Vision 2030s patient-centric framework emphasises individualised treatment, and the National Guidelines Center's role in standardising healthcare processes is examined in this review. In addition, we also explored the new initiative of Electronic Health Records and telemedicine services. Additionally, we addressed the challenges associated with it, such as the imperative to address the digital divide and ensure data security. Vision 2030 in Saudi Arabia brought about a significant transformation in the provision of healthcare. Despite the presence of challenges, such as inadequate infrastructure, insufficient personnel, and resistance to change, this vision offers a robust foundation for effectively tackling these concerns. The implementation of these improvements is expected to enhance the calibre and accessibility of healthcare services. This transitional change ensures healthcare is both innovative and inclusive, particularly in socioeconomically disadvantaged regions. This measure is expected to enhance the general welfare and economic success of the population in Saudi Arabia. The future of healthcare in the Kingdom hinges on the effective implementation of evidence-based therapy, collaborative cooperation, and equitable practices. The healthcare sector possesses significant potential for substantial positive transformation, notwithstanding its continuous nature.","author":[{"dropping-particle":"","family":"Suleiman","given":"Amal K.","non-dropping-particle":"","parse-names":false,"suffix":""},{"dropping-particle":"","family":"Ming","given":"Long Chiau","non-dropping-particle":"","parse-names":false,"suffix":""}],"container-title":"Journal of Pharmaceutical Policy and Practice","id":"ITEM-1","issue":"1","issued":{"date-parts":[["2025"]]},"page":"2449051","publisher":"Taylor and Francis Ltd.","title":"Transforming healthcare: Saudi Arabia's vision 2030 healthcare model","type":"article","volume":"18"},"uris":["http://www.mendeley.com/documents/?uuid=6ed7b2a1-b9ee-34fb-841e-79b7e17687c0"]},{"id":"ITEM-2","itemData":{"DOI":"10.63278/JICRCR.VI.1197","ISSN":"2576-0025","abstract":"Saudi Arabia's healthcare system faces several challenges that impact the effectiveness and accessibility of care. One major issue is the growing demand for healthcare services due to an aging population and rising prevalence of chronic diseases such as diabetes and cardiovascular issues. Limited resources, uneven distribution of healthcare professionals across urban and rural areas, and infrastructure weaknesses can further strain the system. Additionally, there are concerns regarding patient safety, quality of care, and the need for more robust regulatory frameworks to ensure healthcare standards are maintained. However, Saudi Arabia also has significant opportunities for improving healthcare delivery. The government's Vision 2030 initiative aims to transform the healthcare sector by increasing private sector participation, enhancing service quality, and integrating advanced technologies like telemedicine and electronic health records. Investments in health technology and a focus on preventive care can lead to more efficient service delivery. Furthermore, increasing public awareness and education about health issues can empower citizens to take charge of their health, ultimately leading to better health outcomes.","author":[{"dropping-particle":"","family":"Mohammed","given":"Saleh","non-dropping-particle":"","parse-names":false,"suffix":""},{"dropping-particle":"","family":"Yami","given":"Ali","non-dropping-particle":"Al","parse-names":false,"suffix":""},{"dropping-particle":"","family":"Hamad","given":"Ali","non-dropping-particle":"","parse-names":false,"suffix":""},{"dropping-particle":"","family":"Alyami","given":"Khujaymi","non-dropping-particle":"","parse-names":false,"suffix":""},{"dropping-particle":"","family":"Algobry","given":"Basma Yahya","non-dropping-particle":"","parse-names":false,"suffix":""},{"dropping-particle":"","family":"Shabeh","given":"Hashemah Ahmed","non-dropping-particle":"","parse-names":false,"suffix":""},{"dropping-particle":"","family":"Shaibah","given":"Reem Abdullah","non-dropping-particle":"","parse-names":false,"suffix":""},{"dropping-particle":"","family":"Ali","given":"Mohammed","non-dropping-particle":"","parse-names":false,"suffix":""},{"dropping-particle":"","family":"Hamaim","given":"Bani","non-dropping-particle":"","parse-names":false,"suffix":""},{"dropping-particle":"","family":"Saif","given":"Mohammad","non-dropping-particle":"","parse-names":false,"suffix":""},{"dropping-particle":"","family":"Alyami","given":"Hussain","non-dropping-particle":"","parse-names":false,"suffix":""},{"dropping-particle":"","family":"Ghaseb","given":"Hassan","non-dropping-particle":"","parse-names":false,"suffix":""},{"dropping-particle":"","family":"Mreah","given":"Manea","non-dropping-particle":"Al","parse-names":false,"suffix":""},{"dropping-particle":"","family":"Muhammad","given":"Hadi","non-dropping-particle":"","parse-names":false,"suffix":""},{"dropping-particle":"","family":"Hattab","given":"Hamad","non-dropping-particle":"Al","parse-names":false,"suffix":""},{"dropping-particle":"","family":"Mahdi","given":"Saleh","non-dropping-particle":"","parse-names":false,"suffix":""},{"dropping-particle":"","family":"Saleh","given":"Mohammad Ahmed","non-dropping-particle":"","parse-names":false,"suffix":""},{"dropping-particle":"","family":"Sinan","given":"Al","non-dropping-particle":"","parse-names":false,"suffix":""}],"container-title":"Journal of International Crisis and Risk Communication Research","id":"ITEM-2","issued":{"date-parts":[["2024","10","18"]]},"page":"1907-1925","title":"Challenges and Opportunities in Healthcare Delivery in Saudi Arabia","type":"article-journal"},"uris":["http://www.mendeley.com/documents/?uuid=7903057b-f85c-3c8a-8f6d-44c19d94a7ae"]}],"mendeley":{"formattedCitation":"(Mohammed et al., 2024; Suleiman &amp; Ming, 2025)","plainTextFormattedCitation":"(Mohammed et al., 2024; Suleiman &amp; Ming, 2025)","previouslyFormattedCitation":"(Mohammed et al., 2024; Suleiman &amp; Ming, 2025)"},"properties":{"noteIndex":0},"schema":"https://github.com/citation-style-language/schema/raw/master/csl-citation.json"}</w:instrText>
      </w:r>
      <w:r w:rsidR="00525FBB" w:rsidRPr="00525FBB">
        <w:rPr>
          <w:rFonts w:asciiTheme="majorBidi" w:hAnsiTheme="majorBidi" w:cstheme="majorBidi"/>
          <w:sz w:val="24"/>
          <w:szCs w:val="24"/>
        </w:rPr>
        <w:fldChar w:fldCharType="separate"/>
      </w:r>
      <w:r w:rsidR="00525FBB" w:rsidRPr="00525FBB">
        <w:rPr>
          <w:rFonts w:asciiTheme="majorBidi" w:hAnsiTheme="majorBidi" w:cstheme="majorBidi"/>
          <w:noProof/>
          <w:sz w:val="24"/>
          <w:szCs w:val="24"/>
        </w:rPr>
        <w:t>(Mohammed et al., 2024; Suleiman &amp; Ming, 2025)</w:t>
      </w:r>
      <w:r w:rsidR="00525FBB" w:rsidRPr="00525FBB">
        <w:rPr>
          <w:rFonts w:asciiTheme="majorBidi" w:hAnsiTheme="majorBidi" w:cstheme="majorBidi"/>
          <w:sz w:val="24"/>
          <w:szCs w:val="24"/>
        </w:rPr>
        <w:fldChar w:fldCharType="end"/>
      </w:r>
      <w:r w:rsidR="00525FBB" w:rsidRPr="00525FBB">
        <w:rPr>
          <w:rFonts w:asciiTheme="majorBidi" w:hAnsiTheme="majorBidi" w:cstheme="majorBidi"/>
          <w:sz w:val="24"/>
          <w:szCs w:val="24"/>
        </w:rPr>
        <w:t xml:space="preserve"> </w:t>
      </w:r>
    </w:p>
    <w:p w14:paraId="1F2958C6" w14:textId="77777777" w:rsidR="0037265D" w:rsidRPr="0037265D" w:rsidRDefault="0037265D" w:rsidP="0037265D">
      <w:pPr>
        <w:spacing w:after="0" w:line="480" w:lineRule="auto"/>
        <w:ind w:firstLine="720"/>
        <w:jc w:val="right"/>
        <w:rPr>
          <w:rFonts w:asciiTheme="majorBidi" w:hAnsiTheme="majorBidi" w:cstheme="majorBidi"/>
          <w:sz w:val="24"/>
          <w:szCs w:val="24"/>
        </w:rPr>
      </w:pPr>
      <w:r w:rsidRPr="0037265D">
        <w:rPr>
          <w:rFonts w:asciiTheme="majorBidi" w:hAnsiTheme="majorBidi" w:cstheme="majorBidi"/>
          <w:sz w:val="24"/>
          <w:szCs w:val="24"/>
        </w:rPr>
        <w:t>The emphasis on health promotion and preventative care is the second key opportunity in the healthcare reform.</w:t>
      </w:r>
    </w:p>
    <w:p w14:paraId="48F61585" w14:textId="2C0DE03A" w:rsidR="00525FBB" w:rsidRPr="00525FBB" w:rsidRDefault="0037265D" w:rsidP="0037265D">
      <w:pPr>
        <w:spacing w:after="0" w:line="480" w:lineRule="auto"/>
        <w:ind w:firstLine="720"/>
        <w:jc w:val="right"/>
        <w:rPr>
          <w:rFonts w:asciiTheme="majorBidi" w:hAnsiTheme="majorBidi" w:cstheme="majorBidi"/>
          <w:sz w:val="24"/>
          <w:szCs w:val="24"/>
        </w:rPr>
      </w:pPr>
      <w:r w:rsidRPr="0037265D">
        <w:rPr>
          <w:rFonts w:asciiTheme="majorBidi" w:hAnsiTheme="majorBidi" w:cstheme="majorBidi"/>
          <w:sz w:val="24"/>
          <w:szCs w:val="24"/>
        </w:rPr>
        <w:t>By investing in health education, early intervention, and community-based health programs, Saudi Arabia can reduce the future burden of chronic disease. Preventive care not only enhances health outcomes but lowers the overall cost of healthcare by diminishing the need for expensive treatment and hospitalization.</w:t>
      </w:r>
      <w:r w:rsidR="00525FBB" w:rsidRPr="00525FBB">
        <w:rPr>
          <w:rFonts w:asciiTheme="majorBidi" w:hAnsiTheme="majorBidi" w:cstheme="majorBidi"/>
          <w:sz w:val="24"/>
          <w:szCs w:val="24"/>
        </w:rPr>
        <w:t xml:space="preserve"> </w:t>
      </w:r>
      <w:r w:rsidR="00525FBB" w:rsidRPr="00525FBB">
        <w:rPr>
          <w:rFonts w:asciiTheme="majorBidi" w:hAnsiTheme="majorBidi" w:cstheme="majorBidi"/>
          <w:sz w:val="24"/>
          <w:szCs w:val="24"/>
        </w:rPr>
        <w:fldChar w:fldCharType="begin" w:fldLock="1"/>
      </w:r>
      <w:r w:rsidR="00525FBB" w:rsidRPr="00525FBB">
        <w:rPr>
          <w:rFonts w:asciiTheme="majorBidi" w:hAnsiTheme="majorBidi" w:cstheme="majorBidi"/>
          <w:sz w:val="24"/>
          <w:szCs w:val="24"/>
        </w:rPr>
        <w:instrText>ADDIN CSL_CITATION {"citationItems":[{"id":"ITEM-1","itemData":{"DOI":"10.26719/emhj.21.042","abstract":"Background: Saudi Arabia embarked on transforming its primary health care system in 2016 to meet international standards , gain the people's trust and respond to the growing burden of noncommunicable diseases, as proposed in the Saudi Vision 2030. Aims: This review aims to highlight the progress, identify challenges and prospects for Saudi Arabia's PHC reform process in order to make recommendations to facilitate strengthening of the PHC system. Methods: A review of previous studies and governmental reports was undertaken to extract, analyse, synthesize and report the findings. Results: The review has indicated that by mid-2019, the reform has contributed to an increase of 37.5% in the rate of PHC visits and 4.7% increase in patient satisfaction, enhanced coverage of rural communities (from 78% to 83%), and contributed to increasing the screening rate for prevalent chronic diseases. However, the country still faces gaps and challenges pertaining to human resources issues, cultural and lifestyle behaviour, geography, intersectoral collaboration and PHC infrastructure. Conclusion: PHC reform process in Saudi Arabia has demonstrated that positive change is achievable. This has been aided by building on previous accomplishments and the wealth of experience gained throughout the PHC journey in Saudi Arabia. However, despite improvement in the quality of services, continuous improvement is required to meet the rising expectations of the population.","author":[{"dropping-particle":"","family":"Khashan","given":"Hesham","non-dropping-particle":"Al","parse-names":false,"suffix":""},{"dropping-particle":"","family":"Abogazalah","given":"Fouad","non-dropping-particle":"","parse-names":false,"suffix":""},{"dropping-particle":"","family":"Alomary","given":"Shaker","non-dropping-particle":"","parse-names":false,"suffix":""},{"dropping-particle":"","family":"Nahhas","given":"Mahmoud","non-dropping-particle":"","parse-names":false,"suffix":""},{"dropping-particle":"","family":"Alwadey","given":"Ali","non-dropping-particle":"","parse-names":false,"suffix":""},{"dropping-particle":"","family":"Al-Khudhair","given":"Basema","non-dropping-particle":"","parse-names":false,"suffix":""},{"dropping-particle":"","family":"Alamri","given":"Fahad","non-dropping-particle":"","parse-names":false,"suffix":""},{"dropping-particle":"","family":"Aleisa","given":"Nouf","non-dropping-particle":"","parse-names":false,"suffix":""},{"dropping-particle":"","family":"Mahmoud","given":"Nagla","non-dropping-particle":"","parse-names":false,"suffix":""},{"dropping-particle":"","family":"Hassanein","given":"Mustafa","non-dropping-particle":"","parse-names":false,"suffix":""}],"container-title":"Review EMHJ","id":"ITEM-1","issued":{"date-parts":[["0"]]},"page":"10-2021","title":"Primary health care reform in Saudi Arabia: progress, challenges and prospects","type":"article-journal","volume":"27"},"uris":["http://www.mendeley.com/documents/?uuid=ef2f377b-539f-37cd-a36a-aa27bcc9fe02"]}],"mendeley":{"formattedCitation":"(Al Khashan et al., n.d.)","plainTextFormattedCitation":"(Al Khashan et al., n.d.)","previouslyFormattedCitation":"(Al Khashan et al., n.d.)"},"properties":{"noteIndex":0},"schema":"https://github.com/citation-style-language/schema/raw/master/csl-citation.json"}</w:instrText>
      </w:r>
      <w:r w:rsidR="00525FBB" w:rsidRPr="00525FBB">
        <w:rPr>
          <w:rFonts w:asciiTheme="majorBidi" w:hAnsiTheme="majorBidi" w:cstheme="majorBidi"/>
          <w:sz w:val="24"/>
          <w:szCs w:val="24"/>
        </w:rPr>
        <w:fldChar w:fldCharType="separate"/>
      </w:r>
      <w:r w:rsidR="00525FBB" w:rsidRPr="00525FBB">
        <w:rPr>
          <w:rFonts w:asciiTheme="majorBidi" w:hAnsiTheme="majorBidi" w:cstheme="majorBidi"/>
          <w:noProof/>
          <w:sz w:val="24"/>
          <w:szCs w:val="24"/>
        </w:rPr>
        <w:t>(Al Khashan et al., n.d.)</w:t>
      </w:r>
      <w:r w:rsidR="00525FBB" w:rsidRPr="00525FBB">
        <w:rPr>
          <w:rFonts w:asciiTheme="majorBidi" w:hAnsiTheme="majorBidi" w:cstheme="majorBidi"/>
          <w:sz w:val="24"/>
          <w:szCs w:val="24"/>
        </w:rPr>
        <w:fldChar w:fldCharType="end"/>
      </w:r>
      <w:r w:rsidR="00525FBB" w:rsidRPr="00525FBB">
        <w:rPr>
          <w:rFonts w:asciiTheme="majorBidi" w:hAnsiTheme="majorBidi" w:cstheme="majorBidi"/>
          <w:sz w:val="24"/>
          <w:szCs w:val="24"/>
        </w:rPr>
        <w:t xml:space="preserve"> To ensure the success of the transformation, Saudi Arabia must implement effective mitigative strategies to address the challenges outlined. </w:t>
      </w:r>
      <w:r w:rsidR="008D761C" w:rsidRPr="008D761C">
        <w:rPr>
          <w:rFonts w:asciiTheme="majorBidi" w:hAnsiTheme="majorBidi" w:cstheme="majorBidi"/>
          <w:sz w:val="24"/>
          <w:szCs w:val="24"/>
        </w:rPr>
        <w:t>An orderly and phased strategy in executing the new models of healthcare is required. This would include developing pilot projects that can be tested, assessed, and refined before scaling up at the national level. Regular risk analysis will show areas of failure danger and allow for the formulation of measures to mitigate these risks</w:t>
      </w:r>
      <w:r w:rsidR="00525FBB" w:rsidRPr="00525FBB">
        <w:rPr>
          <w:rFonts w:asciiTheme="majorBidi" w:hAnsiTheme="majorBidi" w:cstheme="majorBidi"/>
          <w:sz w:val="24"/>
          <w:szCs w:val="24"/>
        </w:rPr>
        <w:t xml:space="preserve"> </w:t>
      </w:r>
      <w:r w:rsidR="00525FBB" w:rsidRPr="00525FBB">
        <w:rPr>
          <w:rFonts w:asciiTheme="majorBidi" w:hAnsiTheme="majorBidi" w:cstheme="majorBidi"/>
          <w:sz w:val="24"/>
          <w:szCs w:val="24"/>
        </w:rPr>
        <w:fldChar w:fldCharType="begin" w:fldLock="1"/>
      </w:r>
      <w:r w:rsidR="00525FBB" w:rsidRPr="00525FBB">
        <w:rPr>
          <w:rFonts w:asciiTheme="majorBidi" w:hAnsiTheme="majorBidi" w:cstheme="majorBidi"/>
          <w:sz w:val="24"/>
          <w:szCs w:val="24"/>
        </w:rPr>
        <w:instrText>ADDIN CSL_CITATION {"citationItems":[{"id":"ITEM-1","itemData":{"ISSN":"1658-3639","PMID":"29896076","abstract":"Change management studies have emphasized the significance of an organization's readiness for change and transformation and have recommended strategies to affect change. Organizational readiness for change is a multi-faceted, multi-level, and multi-dimensional activity; its most important aspect is organizational members' willingness to accept and implement change because ignoring the human factors may result in resistance and failure. Through its National Transformation Program 2020, the Saudi Arabian government is attempting to effect radical changes in the structure and function of its health-care system to achieve quality care and effective service delivery. The aim of the present review is to discuss the Saudi health-care system's readiness to change that Saudi Arabia intends to implement by 2020, based on extensive review of different reports, documents, and empirical studies in the field of organizational readiness for change. The study concludes that if organizational readiness for change is high, resources are available, and situational factors are aligned, members of organizations will take the initiative to change, exert optimal effort, demonstrate greater determination, and engage in more cooperative behavior that may lead to efficient and effective implementation of the Saudi health-care transformational plan with fewer complications and less resistance.","author":[{"dropping-particle":"","family":"Alharbi","given":"Mohammad F","non-dropping-particle":"","parse-names":false,"suffix":""}],"container-title":"International Journal of Health Sciences","id":"ITEM-1","issue":"3","issued":{"date-parts":[["2018"]]},"page":"83","title":"An analysis of the Saudi health-care system’s readiness to change in the context of the Saudi National Health-care Plan in Vision 2030","type":"article-journal","volume":"12"},"uris":["http://www.mendeley.com/documents/?uuid=66244b2c-664e-3785-9597-a8bcdc6d525d"]},{"id":"ITEM-2","itemData":{"DOI":"10.1080/20523211.2024.2449051","ISSN":"20523211","PMID":"39845746","abstract":"Vision 2030 represents Saudi Arabia’s strategic socio-economic plan aimed at promoting economic diversification and enhancing living standards. Launched in April 2016, this vision describes an innovative healthcare plan to improve services and outcomes. The merits and drawbacks of public hospitals’ ‘Model of Care’ are examined in this study. This assessment summarises Vision 2030s healthcare revolution. This study explores the innovative ‘Model of Care’ and its potential to change Saudi healthcare. Prior to Vision 2030, Saudi Arabia's healthcare system grappled with escalating costs and a heavy reliance on foreign labour, signalling a need for transformative change. Vision 2030s patient-centric framework emphasises individualised treatment, and the National Guidelines Center's role in standardising healthcare processes is examined in this review. In addition, we also explored the new initiative of Electronic Health Records and telemedicine services. Additionally, we addressed the challenges associated with it, such as the imperative to address the digital divide and ensure data security. Vision 2030 in Saudi Arabia brought about a significant transformation in the provision of healthcare. Despite the presence of challenges, such as inadequate infrastructure, insufficient personnel, and resistance to change, this vision offers a robust foundation for effectively tackling these concerns. The implementation of these improvements is expected to enhance the calibre and accessibility of healthcare services. This transitional change ensures healthcare is both innovative and inclusive, particularly in socioeconomically disadvantaged regions. This measure is expected to enhance the general welfare and economic success of the population in Saudi Arabia. The future of healthcare in the Kingdom hinges on the effective implementation of evidence-based therapy, collaborative cooperation, and equitable practices. The healthcare sector possesses significant potential for substantial positive transformation, notwithstanding its continuous nature.","author":[{"dropping-particle":"","family":"Suleiman","given":"Amal K.","non-dropping-particle":"","parse-names":false,"suffix":""},{"dropping-particle":"","family":"Ming","given":"Long Chiau","non-dropping-particle":"","parse-names":false,"suffix":""}],"container-title":"Journal of Pharmaceutical Policy and Practice","id":"ITEM-2","issue":"1","issued":{"date-parts":[["2025"]]},"page":"2449051","publisher":"Taylor and Francis Ltd.","title":"Transforming healthcare: Saudi Arabia's vision 2030 healthcare model","type":"article","volume":"18"},"uris":["http://www.mendeley.com/documents/?uuid=6ed7b2a1-b9ee-34fb-841e-79b7e17687c0"]}],"mendeley":{"formattedCitation":"(Alharbi, 2018; Suleiman &amp; Ming, 2025)","plainTextFormattedCitation":"(Alharbi, 2018; Suleiman &amp; Ming, 2025)","previouslyFormattedCitation":"(Alharbi, 2018; Suleiman &amp; Ming, 2025)"},"properties":{"noteIndex":0},"schema":"https://github.com/citation-style-language/schema/raw/master/csl-citation.json"}</w:instrText>
      </w:r>
      <w:r w:rsidR="00525FBB" w:rsidRPr="00525FBB">
        <w:rPr>
          <w:rFonts w:asciiTheme="majorBidi" w:hAnsiTheme="majorBidi" w:cstheme="majorBidi"/>
          <w:sz w:val="24"/>
          <w:szCs w:val="24"/>
        </w:rPr>
        <w:fldChar w:fldCharType="separate"/>
      </w:r>
      <w:r w:rsidR="00525FBB" w:rsidRPr="00525FBB">
        <w:rPr>
          <w:rFonts w:asciiTheme="majorBidi" w:hAnsiTheme="majorBidi" w:cstheme="majorBidi"/>
          <w:noProof/>
          <w:sz w:val="24"/>
          <w:szCs w:val="24"/>
        </w:rPr>
        <w:t>(Alharbi, 2018; Suleiman &amp; Ming, 2025)</w:t>
      </w:r>
      <w:r w:rsidR="00525FBB" w:rsidRPr="00525FBB">
        <w:rPr>
          <w:rFonts w:asciiTheme="majorBidi" w:hAnsiTheme="majorBidi" w:cstheme="majorBidi"/>
          <w:sz w:val="24"/>
          <w:szCs w:val="24"/>
        </w:rPr>
        <w:fldChar w:fldCharType="end"/>
      </w:r>
    </w:p>
    <w:p w14:paraId="6A39A489" w14:textId="737001E6" w:rsidR="00525FBB" w:rsidRPr="00525FBB" w:rsidRDefault="00525FBB" w:rsidP="00525FBB">
      <w:pPr>
        <w:spacing w:after="0" w:line="480" w:lineRule="auto"/>
        <w:rPr>
          <w:rFonts w:asciiTheme="majorBidi" w:hAnsiTheme="majorBidi" w:cstheme="majorBidi"/>
          <w:sz w:val="24"/>
          <w:szCs w:val="24"/>
        </w:rPr>
      </w:pPr>
    </w:p>
    <w:p w14:paraId="406A14B4" w14:textId="77777777" w:rsidR="00525FBB" w:rsidRPr="00525FBB" w:rsidRDefault="00525FBB" w:rsidP="00525FBB">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t>Methodology</w:t>
      </w:r>
    </w:p>
    <w:p w14:paraId="40A91DAC"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A systematic search strategy to identify and retrieve the relevant literature was developed, with a specific focus on the transformation of healthcare programs in Saudi Arabia, including risk assessment, challenges, opportunities, and mitigative strategies. A comprehensive search strategy was employed across multiple databases to identify relevant studies examining the impact of healthcare reforms, particularly in the context of Vision 2030, on the healthcare system, workforce, and patient outcomes. The databases searched included PubMed, Science Direct, Google Scholar, Semantic Scholar, and the Directory of Open Access Journals (DOAJ).</w:t>
      </w:r>
    </w:p>
    <w:p w14:paraId="32E438FC"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lastRenderedPageBreak/>
        <w:t>Using a series of progressively refined search terms and filters, based on relevant medical subject heading terms (MeSH), the search was conducted using terms such as “Risk Assessment,” “Healthcare Transformation,” “Vision 2030,” and “Saudi Arabia Healthcare System.” These terms yielded a large volume of results, which were progressively narrowed down. An initial search using the term “Saudi Arabia Healthcare System” resulted in 707,860 articles. Terms like “Vision 2030 Healthcare Reform Saudi Arabia” and “Healthcare Transformation Saudi Arabia” yielded 177,674 articles. Further specifying with “</w:t>
      </w:r>
      <w:r w:rsidRPr="00525FBB">
        <w:rPr>
          <w:rFonts w:asciiTheme="majorBidi" w:hAnsiTheme="majorBidi" w:cstheme="majorBidi"/>
          <w:color w:val="000000"/>
          <w:sz w:val="24"/>
          <w:szCs w:val="24"/>
        </w:rPr>
        <w:t>Saudi Arabia Healthcare Transformation Risk Assessment</w:t>
      </w:r>
      <w:r w:rsidRPr="00525FBB">
        <w:rPr>
          <w:rFonts w:asciiTheme="majorBidi" w:hAnsiTheme="majorBidi" w:cstheme="majorBidi"/>
          <w:sz w:val="24"/>
          <w:szCs w:val="24"/>
        </w:rPr>
        <w:t xml:space="preserve">” brought the number down to 71,348 articles. Narrowing to the past decade reduced the results to 8773. </w:t>
      </w:r>
    </w:p>
    <w:p w14:paraId="39A15CC0" w14:textId="240729C3" w:rsidR="00525FBB" w:rsidRPr="00992C84" w:rsidRDefault="00525FBB" w:rsidP="00992C84">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Additional filters for peer-reviewed, human studies, and journal articles in English were applied to refine the total to 649 articles. Of these, 12 articles were deemed relevant to the study's focus on the challenges, opportunities, and risk in the transformation of healthcare programs in Saudi Arabia under Vision 2030. The selected studies were thoroughly analyzed using thematic analysis to identify key themes related to the study. Findings were synthesized to highlight recurring challenges, emerging opportunities, and recommended strategies for effective healthcare transformation. Quantitative data, where applicable, were assessed for trends, while qualitative data were used to identify key insights into healthcare</w:t>
      </w:r>
      <w:r w:rsidR="00992C84">
        <w:rPr>
          <w:rFonts w:asciiTheme="majorBidi" w:hAnsiTheme="majorBidi" w:cstheme="majorBidi"/>
          <w:sz w:val="24"/>
          <w:szCs w:val="24"/>
        </w:rPr>
        <w:t>.</w:t>
      </w:r>
    </w:p>
    <w:p w14:paraId="7E700451" w14:textId="77777777" w:rsidR="00525FBB" w:rsidRPr="00525FBB" w:rsidRDefault="00525FBB" w:rsidP="00525FBB">
      <w:pPr>
        <w:spacing w:line="276" w:lineRule="auto"/>
        <w:jc w:val="right"/>
        <w:rPr>
          <w:rFonts w:asciiTheme="majorBidi" w:hAnsiTheme="majorBidi" w:cstheme="majorBidi"/>
          <w:b/>
          <w:bCs/>
          <w:sz w:val="24"/>
          <w:szCs w:val="24"/>
          <w:u w:val="single"/>
        </w:rPr>
      </w:pPr>
    </w:p>
    <w:p w14:paraId="2A629E13" w14:textId="77777777" w:rsidR="00525FBB" w:rsidRPr="00525FBB" w:rsidRDefault="00525FBB" w:rsidP="00525FBB">
      <w:pPr>
        <w:spacing w:line="276" w:lineRule="auto"/>
        <w:jc w:val="right"/>
        <w:rPr>
          <w:rFonts w:asciiTheme="majorBidi" w:hAnsiTheme="majorBidi" w:cstheme="majorBidi"/>
          <w:b/>
          <w:bCs/>
          <w:sz w:val="24"/>
          <w:szCs w:val="24"/>
          <w:u w:val="single"/>
        </w:rPr>
      </w:pPr>
      <w:r w:rsidRPr="00525FBB">
        <w:rPr>
          <w:rFonts w:asciiTheme="majorBidi" w:hAnsiTheme="majorBidi" w:cstheme="majorBidi"/>
          <w:b/>
          <w:bCs/>
          <w:sz w:val="24"/>
          <w:szCs w:val="24"/>
          <w:u w:val="single"/>
        </w:rPr>
        <w:t>TABLE 1: RELEVANT SEARCH RESULTS</w:t>
      </w:r>
    </w:p>
    <w:tbl>
      <w:tblPr>
        <w:tblStyle w:val="TableGrid"/>
        <w:tblW w:w="5000" w:type="pct"/>
        <w:tblLayout w:type="fixed"/>
        <w:tblLook w:val="04A0" w:firstRow="1" w:lastRow="0" w:firstColumn="1" w:lastColumn="0" w:noHBand="0" w:noVBand="1"/>
      </w:tblPr>
      <w:tblGrid>
        <w:gridCol w:w="844"/>
        <w:gridCol w:w="2977"/>
        <w:gridCol w:w="833"/>
        <w:gridCol w:w="833"/>
        <w:gridCol w:w="870"/>
        <w:gridCol w:w="896"/>
        <w:gridCol w:w="734"/>
        <w:gridCol w:w="835"/>
      </w:tblGrid>
      <w:tr w:rsidR="00525FBB" w:rsidRPr="00525FBB" w14:paraId="4955D93E" w14:textId="77777777" w:rsidTr="006C25DC">
        <w:trPr>
          <w:trHeight w:val="576"/>
        </w:trPr>
        <w:tc>
          <w:tcPr>
            <w:tcW w:w="479" w:type="pct"/>
            <w:vAlign w:val="center"/>
          </w:tcPr>
          <w:p w14:paraId="2457021D" w14:textId="77777777" w:rsidR="00525FBB" w:rsidRPr="00525FBB" w:rsidRDefault="00525FBB" w:rsidP="00525FBB">
            <w:pPr>
              <w:spacing w:line="276" w:lineRule="auto"/>
              <w:jc w:val="right"/>
              <w:rPr>
                <w:rFonts w:asciiTheme="majorBidi" w:hAnsiTheme="majorBidi" w:cstheme="majorBidi"/>
                <w:b/>
                <w:bCs/>
                <w:sz w:val="24"/>
                <w:szCs w:val="24"/>
              </w:rPr>
            </w:pPr>
            <w:r w:rsidRPr="00525FBB">
              <w:rPr>
                <w:rFonts w:asciiTheme="majorBidi" w:hAnsiTheme="majorBidi" w:cstheme="majorBidi"/>
                <w:b/>
                <w:bCs/>
                <w:sz w:val="24"/>
                <w:szCs w:val="24"/>
              </w:rPr>
              <w:t xml:space="preserve">Search </w:t>
            </w:r>
          </w:p>
          <w:p w14:paraId="38F8E9C1" w14:textId="77777777" w:rsidR="00525FBB" w:rsidRPr="00525FBB" w:rsidRDefault="00525FBB" w:rsidP="00525FBB">
            <w:pPr>
              <w:spacing w:line="276" w:lineRule="auto"/>
              <w:jc w:val="right"/>
              <w:rPr>
                <w:rFonts w:asciiTheme="majorBidi" w:hAnsiTheme="majorBidi" w:cstheme="majorBidi"/>
                <w:b/>
                <w:bCs/>
                <w:sz w:val="24"/>
                <w:szCs w:val="24"/>
              </w:rPr>
            </w:pPr>
            <w:r w:rsidRPr="00525FBB">
              <w:rPr>
                <w:rFonts w:asciiTheme="majorBidi" w:hAnsiTheme="majorBidi" w:cstheme="majorBidi"/>
                <w:b/>
                <w:bCs/>
                <w:sz w:val="24"/>
                <w:szCs w:val="24"/>
              </w:rPr>
              <w:t>No.</w:t>
            </w:r>
          </w:p>
        </w:tc>
        <w:tc>
          <w:tcPr>
            <w:tcW w:w="1687" w:type="pct"/>
            <w:vAlign w:val="center"/>
          </w:tcPr>
          <w:p w14:paraId="402C5513" w14:textId="77777777" w:rsidR="00525FBB" w:rsidRPr="00525FBB" w:rsidRDefault="00525FBB" w:rsidP="00525FBB">
            <w:pPr>
              <w:spacing w:line="276" w:lineRule="auto"/>
              <w:jc w:val="right"/>
              <w:rPr>
                <w:rFonts w:asciiTheme="majorBidi" w:hAnsiTheme="majorBidi" w:cstheme="majorBidi"/>
                <w:b/>
                <w:bCs/>
                <w:sz w:val="24"/>
                <w:szCs w:val="24"/>
              </w:rPr>
            </w:pPr>
            <w:r w:rsidRPr="00525FBB">
              <w:rPr>
                <w:rFonts w:asciiTheme="majorBidi" w:hAnsiTheme="majorBidi" w:cstheme="majorBidi"/>
                <w:b/>
                <w:bCs/>
                <w:sz w:val="24"/>
                <w:szCs w:val="24"/>
              </w:rPr>
              <w:t>Search Term</w:t>
            </w:r>
          </w:p>
        </w:tc>
        <w:tc>
          <w:tcPr>
            <w:tcW w:w="472" w:type="pct"/>
            <w:vAlign w:val="center"/>
          </w:tcPr>
          <w:p w14:paraId="7FC88A12" w14:textId="77777777" w:rsidR="00525FBB" w:rsidRPr="00525FBB" w:rsidRDefault="00525FBB" w:rsidP="00525FBB">
            <w:pPr>
              <w:spacing w:line="276" w:lineRule="auto"/>
              <w:ind w:left="-44" w:right="-90"/>
              <w:jc w:val="right"/>
              <w:rPr>
                <w:rFonts w:asciiTheme="majorBidi" w:hAnsiTheme="majorBidi" w:cstheme="majorBidi"/>
                <w:b/>
                <w:bCs/>
                <w:sz w:val="24"/>
                <w:szCs w:val="24"/>
              </w:rPr>
            </w:pPr>
            <w:r w:rsidRPr="00525FBB">
              <w:rPr>
                <w:rFonts w:asciiTheme="majorBidi" w:hAnsiTheme="majorBidi" w:cstheme="majorBidi"/>
                <w:b/>
                <w:bCs/>
                <w:sz w:val="24"/>
                <w:szCs w:val="24"/>
              </w:rPr>
              <w:t>PubMed</w:t>
            </w:r>
          </w:p>
        </w:tc>
        <w:tc>
          <w:tcPr>
            <w:tcW w:w="472" w:type="pct"/>
            <w:vAlign w:val="center"/>
          </w:tcPr>
          <w:p w14:paraId="4B65E261" w14:textId="77777777" w:rsidR="00525FBB" w:rsidRPr="00525FBB" w:rsidRDefault="00525FBB" w:rsidP="00525FBB">
            <w:pPr>
              <w:spacing w:line="276" w:lineRule="auto"/>
              <w:ind w:left="-44" w:right="-90"/>
              <w:jc w:val="right"/>
              <w:rPr>
                <w:rFonts w:asciiTheme="majorBidi" w:hAnsiTheme="majorBidi" w:cstheme="majorBidi"/>
                <w:b/>
                <w:bCs/>
                <w:sz w:val="24"/>
                <w:szCs w:val="24"/>
              </w:rPr>
            </w:pPr>
            <w:r w:rsidRPr="00525FBB">
              <w:rPr>
                <w:rFonts w:asciiTheme="majorBidi" w:hAnsiTheme="majorBidi" w:cstheme="majorBidi"/>
                <w:b/>
                <w:bCs/>
                <w:sz w:val="24"/>
                <w:szCs w:val="24"/>
              </w:rPr>
              <w:t>Science Direct</w:t>
            </w:r>
          </w:p>
        </w:tc>
        <w:tc>
          <w:tcPr>
            <w:tcW w:w="493" w:type="pct"/>
            <w:vAlign w:val="center"/>
          </w:tcPr>
          <w:p w14:paraId="1EAA773C" w14:textId="77777777" w:rsidR="00525FBB" w:rsidRPr="00525FBB" w:rsidRDefault="00525FBB" w:rsidP="00525FBB">
            <w:pPr>
              <w:spacing w:line="276" w:lineRule="auto"/>
              <w:ind w:left="-44" w:right="-90"/>
              <w:jc w:val="right"/>
              <w:rPr>
                <w:rFonts w:asciiTheme="majorBidi" w:hAnsiTheme="majorBidi" w:cstheme="majorBidi"/>
                <w:b/>
                <w:bCs/>
                <w:sz w:val="24"/>
                <w:szCs w:val="24"/>
              </w:rPr>
            </w:pPr>
            <w:r w:rsidRPr="00525FBB">
              <w:rPr>
                <w:rFonts w:asciiTheme="majorBidi" w:hAnsiTheme="majorBidi" w:cstheme="majorBidi"/>
                <w:b/>
                <w:bCs/>
                <w:sz w:val="24"/>
                <w:szCs w:val="24"/>
              </w:rPr>
              <w:t>Google Scholar</w:t>
            </w:r>
          </w:p>
        </w:tc>
        <w:tc>
          <w:tcPr>
            <w:tcW w:w="508" w:type="pct"/>
            <w:vAlign w:val="center"/>
          </w:tcPr>
          <w:p w14:paraId="0CAD0407" w14:textId="77777777" w:rsidR="00525FBB" w:rsidRPr="00525FBB" w:rsidRDefault="00525FBB" w:rsidP="00525FBB">
            <w:pPr>
              <w:spacing w:line="276" w:lineRule="auto"/>
              <w:ind w:left="-44" w:right="-90"/>
              <w:jc w:val="right"/>
              <w:rPr>
                <w:rFonts w:asciiTheme="majorBidi" w:hAnsiTheme="majorBidi" w:cstheme="majorBidi"/>
                <w:b/>
                <w:bCs/>
                <w:sz w:val="24"/>
                <w:szCs w:val="24"/>
              </w:rPr>
            </w:pPr>
            <w:r w:rsidRPr="00525FBB">
              <w:rPr>
                <w:rFonts w:asciiTheme="majorBidi" w:hAnsiTheme="majorBidi" w:cstheme="majorBidi"/>
                <w:b/>
                <w:bCs/>
                <w:sz w:val="24"/>
                <w:szCs w:val="24"/>
              </w:rPr>
              <w:t>Semantic</w:t>
            </w:r>
            <w:r w:rsidRPr="00525FBB">
              <w:rPr>
                <w:rFonts w:asciiTheme="majorBidi" w:hAnsiTheme="majorBidi" w:cstheme="majorBidi"/>
                <w:b/>
                <w:bCs/>
                <w:sz w:val="24"/>
                <w:szCs w:val="24"/>
              </w:rPr>
              <w:br/>
              <w:t>Scholar</w:t>
            </w:r>
          </w:p>
        </w:tc>
        <w:tc>
          <w:tcPr>
            <w:tcW w:w="416" w:type="pct"/>
            <w:vAlign w:val="center"/>
          </w:tcPr>
          <w:p w14:paraId="6480421A" w14:textId="77777777" w:rsidR="00525FBB" w:rsidRPr="00525FBB" w:rsidRDefault="00525FBB" w:rsidP="00525FBB">
            <w:pPr>
              <w:spacing w:line="276" w:lineRule="auto"/>
              <w:ind w:left="-44" w:right="-90"/>
              <w:jc w:val="right"/>
              <w:rPr>
                <w:rFonts w:asciiTheme="majorBidi" w:hAnsiTheme="majorBidi" w:cstheme="majorBidi"/>
                <w:b/>
                <w:bCs/>
                <w:sz w:val="24"/>
                <w:szCs w:val="24"/>
              </w:rPr>
            </w:pPr>
            <w:r w:rsidRPr="00525FBB">
              <w:rPr>
                <w:rFonts w:asciiTheme="majorBidi" w:hAnsiTheme="majorBidi" w:cstheme="majorBidi"/>
                <w:b/>
                <w:bCs/>
                <w:sz w:val="24"/>
                <w:szCs w:val="24"/>
              </w:rPr>
              <w:t>DOAJ</w:t>
            </w:r>
          </w:p>
        </w:tc>
        <w:tc>
          <w:tcPr>
            <w:tcW w:w="473" w:type="pct"/>
            <w:vAlign w:val="center"/>
          </w:tcPr>
          <w:p w14:paraId="2774DD2D" w14:textId="77777777" w:rsidR="00525FBB" w:rsidRPr="00525FBB" w:rsidRDefault="00525FBB" w:rsidP="00525FBB">
            <w:pPr>
              <w:spacing w:line="276" w:lineRule="auto"/>
              <w:ind w:left="-44" w:right="-90"/>
              <w:jc w:val="right"/>
              <w:rPr>
                <w:rFonts w:asciiTheme="majorBidi" w:hAnsiTheme="majorBidi" w:cstheme="majorBidi"/>
                <w:b/>
                <w:bCs/>
                <w:sz w:val="24"/>
                <w:szCs w:val="24"/>
              </w:rPr>
            </w:pPr>
            <w:r w:rsidRPr="00525FBB">
              <w:rPr>
                <w:rFonts w:asciiTheme="majorBidi" w:hAnsiTheme="majorBidi" w:cstheme="majorBidi"/>
                <w:b/>
                <w:bCs/>
                <w:sz w:val="24"/>
                <w:szCs w:val="24"/>
              </w:rPr>
              <w:t xml:space="preserve">Total </w:t>
            </w:r>
          </w:p>
        </w:tc>
      </w:tr>
      <w:tr w:rsidR="00525FBB" w:rsidRPr="00525FBB" w14:paraId="5DE3DEDF" w14:textId="77777777" w:rsidTr="006C25DC">
        <w:trPr>
          <w:trHeight w:val="576"/>
        </w:trPr>
        <w:tc>
          <w:tcPr>
            <w:tcW w:w="479" w:type="pct"/>
            <w:vAlign w:val="center"/>
          </w:tcPr>
          <w:p w14:paraId="7D7C0DD1"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sz w:val="24"/>
                <w:szCs w:val="24"/>
              </w:rPr>
              <w:t>S1</w:t>
            </w:r>
          </w:p>
        </w:tc>
        <w:tc>
          <w:tcPr>
            <w:tcW w:w="1687" w:type="pct"/>
            <w:vAlign w:val="center"/>
          </w:tcPr>
          <w:p w14:paraId="1B2AF327"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Saudi Arabia Healthcare System</w:t>
            </w:r>
          </w:p>
        </w:tc>
        <w:tc>
          <w:tcPr>
            <w:tcW w:w="472" w:type="pct"/>
            <w:vAlign w:val="center"/>
          </w:tcPr>
          <w:p w14:paraId="59BEEC1E"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8,111</w:t>
            </w:r>
          </w:p>
        </w:tc>
        <w:tc>
          <w:tcPr>
            <w:tcW w:w="472" w:type="pct"/>
            <w:vAlign w:val="center"/>
          </w:tcPr>
          <w:p w14:paraId="0C7529A5"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17,349</w:t>
            </w:r>
          </w:p>
        </w:tc>
        <w:tc>
          <w:tcPr>
            <w:tcW w:w="493" w:type="pct"/>
            <w:vAlign w:val="center"/>
          </w:tcPr>
          <w:p w14:paraId="05CB6441"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661000</w:t>
            </w:r>
          </w:p>
        </w:tc>
        <w:tc>
          <w:tcPr>
            <w:tcW w:w="508" w:type="pct"/>
            <w:vAlign w:val="center"/>
          </w:tcPr>
          <w:p w14:paraId="66D1C5C3"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21,400</w:t>
            </w:r>
          </w:p>
        </w:tc>
        <w:tc>
          <w:tcPr>
            <w:tcW w:w="416" w:type="pct"/>
            <w:vAlign w:val="center"/>
          </w:tcPr>
          <w:p w14:paraId="189CB3DE"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0</w:t>
            </w:r>
          </w:p>
        </w:tc>
        <w:tc>
          <w:tcPr>
            <w:tcW w:w="473" w:type="pct"/>
            <w:vAlign w:val="center"/>
          </w:tcPr>
          <w:p w14:paraId="4EACFFF3"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707,860</w:t>
            </w:r>
          </w:p>
        </w:tc>
      </w:tr>
      <w:tr w:rsidR="00525FBB" w:rsidRPr="00525FBB" w14:paraId="72C4A7D7" w14:textId="77777777" w:rsidTr="006C25DC">
        <w:trPr>
          <w:trHeight w:val="576"/>
        </w:trPr>
        <w:tc>
          <w:tcPr>
            <w:tcW w:w="479" w:type="pct"/>
            <w:vAlign w:val="center"/>
          </w:tcPr>
          <w:p w14:paraId="09EA09CD"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sz w:val="24"/>
                <w:szCs w:val="24"/>
              </w:rPr>
              <w:t>S2</w:t>
            </w:r>
          </w:p>
        </w:tc>
        <w:tc>
          <w:tcPr>
            <w:tcW w:w="1687" w:type="pct"/>
            <w:vAlign w:val="center"/>
          </w:tcPr>
          <w:p w14:paraId="7286A974"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Vision 2030 Healthcare Reform Saudi Arabia</w:t>
            </w:r>
          </w:p>
        </w:tc>
        <w:tc>
          <w:tcPr>
            <w:tcW w:w="472" w:type="pct"/>
            <w:vAlign w:val="center"/>
          </w:tcPr>
          <w:p w14:paraId="331FB8E2"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14</w:t>
            </w:r>
          </w:p>
        </w:tc>
        <w:tc>
          <w:tcPr>
            <w:tcW w:w="472" w:type="pct"/>
            <w:vAlign w:val="center"/>
          </w:tcPr>
          <w:p w14:paraId="630485C0"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167</w:t>
            </w:r>
          </w:p>
        </w:tc>
        <w:tc>
          <w:tcPr>
            <w:tcW w:w="493" w:type="pct"/>
            <w:vAlign w:val="center"/>
          </w:tcPr>
          <w:p w14:paraId="3F8BF3D0"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23,200</w:t>
            </w:r>
          </w:p>
        </w:tc>
        <w:tc>
          <w:tcPr>
            <w:tcW w:w="508" w:type="pct"/>
            <w:vAlign w:val="center"/>
          </w:tcPr>
          <w:p w14:paraId="77153CF7"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24,800</w:t>
            </w:r>
          </w:p>
        </w:tc>
        <w:tc>
          <w:tcPr>
            <w:tcW w:w="416" w:type="pct"/>
            <w:vAlign w:val="center"/>
          </w:tcPr>
          <w:p w14:paraId="04D0B7BC"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0</w:t>
            </w:r>
          </w:p>
        </w:tc>
        <w:tc>
          <w:tcPr>
            <w:tcW w:w="473" w:type="pct"/>
            <w:vAlign w:val="center"/>
          </w:tcPr>
          <w:p w14:paraId="56255F44"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48,181</w:t>
            </w:r>
          </w:p>
        </w:tc>
      </w:tr>
      <w:tr w:rsidR="00525FBB" w:rsidRPr="00525FBB" w14:paraId="102911B3" w14:textId="77777777" w:rsidTr="006C25DC">
        <w:trPr>
          <w:trHeight w:val="576"/>
        </w:trPr>
        <w:tc>
          <w:tcPr>
            <w:tcW w:w="479" w:type="pct"/>
            <w:vAlign w:val="center"/>
          </w:tcPr>
          <w:p w14:paraId="7D67D1C5"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sz w:val="24"/>
                <w:szCs w:val="24"/>
              </w:rPr>
              <w:t>S3</w:t>
            </w:r>
          </w:p>
        </w:tc>
        <w:tc>
          <w:tcPr>
            <w:tcW w:w="1687" w:type="pct"/>
            <w:vAlign w:val="center"/>
          </w:tcPr>
          <w:p w14:paraId="12E77DB6"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Saudi Arabia Healthcare Transformation</w:t>
            </w:r>
          </w:p>
        </w:tc>
        <w:tc>
          <w:tcPr>
            <w:tcW w:w="472" w:type="pct"/>
            <w:vAlign w:val="center"/>
          </w:tcPr>
          <w:p w14:paraId="55CE6E6E"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188</w:t>
            </w:r>
          </w:p>
        </w:tc>
        <w:tc>
          <w:tcPr>
            <w:tcW w:w="472" w:type="pct"/>
            <w:vAlign w:val="center"/>
          </w:tcPr>
          <w:p w14:paraId="6B6F5E74"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3,865</w:t>
            </w:r>
          </w:p>
        </w:tc>
        <w:tc>
          <w:tcPr>
            <w:tcW w:w="493" w:type="pct"/>
            <w:vAlign w:val="center"/>
          </w:tcPr>
          <w:p w14:paraId="2A8788F2"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117000</w:t>
            </w:r>
          </w:p>
        </w:tc>
        <w:tc>
          <w:tcPr>
            <w:tcW w:w="508" w:type="pct"/>
            <w:vAlign w:val="center"/>
          </w:tcPr>
          <w:p w14:paraId="2C9D68AF"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8440</w:t>
            </w:r>
          </w:p>
        </w:tc>
        <w:tc>
          <w:tcPr>
            <w:tcW w:w="416" w:type="pct"/>
            <w:vAlign w:val="center"/>
          </w:tcPr>
          <w:p w14:paraId="2DC5C0F7"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0</w:t>
            </w:r>
          </w:p>
        </w:tc>
        <w:tc>
          <w:tcPr>
            <w:tcW w:w="473" w:type="pct"/>
            <w:vAlign w:val="center"/>
          </w:tcPr>
          <w:p w14:paraId="168890D6"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129,493</w:t>
            </w:r>
          </w:p>
        </w:tc>
      </w:tr>
      <w:tr w:rsidR="00525FBB" w:rsidRPr="00525FBB" w14:paraId="2CD466AD" w14:textId="77777777" w:rsidTr="006C25DC">
        <w:trPr>
          <w:trHeight w:val="576"/>
        </w:trPr>
        <w:tc>
          <w:tcPr>
            <w:tcW w:w="479" w:type="pct"/>
            <w:vAlign w:val="center"/>
          </w:tcPr>
          <w:p w14:paraId="1298BD19"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sz w:val="24"/>
                <w:szCs w:val="24"/>
              </w:rPr>
              <w:lastRenderedPageBreak/>
              <w:t>S4</w:t>
            </w:r>
          </w:p>
        </w:tc>
        <w:tc>
          <w:tcPr>
            <w:tcW w:w="1687" w:type="pct"/>
            <w:vAlign w:val="center"/>
          </w:tcPr>
          <w:p w14:paraId="089B1CFC" w14:textId="77777777" w:rsidR="00525FBB" w:rsidRPr="00525FBB" w:rsidRDefault="00525FBB" w:rsidP="00525FBB">
            <w:pPr>
              <w:spacing w:line="276" w:lineRule="auto"/>
              <w:jc w:val="right"/>
              <w:rPr>
                <w:rFonts w:asciiTheme="majorBidi" w:hAnsiTheme="majorBidi" w:cstheme="majorBidi"/>
                <w:color w:val="231F20"/>
                <w:w w:val="110"/>
                <w:sz w:val="24"/>
                <w:szCs w:val="24"/>
              </w:rPr>
            </w:pPr>
            <w:r w:rsidRPr="00525FBB">
              <w:rPr>
                <w:rFonts w:asciiTheme="majorBidi" w:hAnsiTheme="majorBidi" w:cstheme="majorBidi"/>
                <w:color w:val="000000"/>
                <w:sz w:val="24"/>
                <w:szCs w:val="24"/>
              </w:rPr>
              <w:t>Saudi Arabia Healthcare Transformation Risk Assessment</w:t>
            </w:r>
          </w:p>
        </w:tc>
        <w:tc>
          <w:tcPr>
            <w:tcW w:w="472" w:type="pct"/>
            <w:vAlign w:val="center"/>
          </w:tcPr>
          <w:p w14:paraId="41B3AC2A"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5</w:t>
            </w:r>
          </w:p>
        </w:tc>
        <w:tc>
          <w:tcPr>
            <w:tcW w:w="472" w:type="pct"/>
            <w:vAlign w:val="center"/>
          </w:tcPr>
          <w:p w14:paraId="24E09F13"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1,923</w:t>
            </w:r>
          </w:p>
        </w:tc>
        <w:tc>
          <w:tcPr>
            <w:tcW w:w="493" w:type="pct"/>
            <w:vAlign w:val="center"/>
          </w:tcPr>
          <w:p w14:paraId="5843713F"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65200</w:t>
            </w:r>
          </w:p>
        </w:tc>
        <w:tc>
          <w:tcPr>
            <w:tcW w:w="508" w:type="pct"/>
            <w:vAlign w:val="center"/>
          </w:tcPr>
          <w:p w14:paraId="2E5C5375"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4220</w:t>
            </w:r>
          </w:p>
        </w:tc>
        <w:tc>
          <w:tcPr>
            <w:tcW w:w="416" w:type="pct"/>
            <w:vAlign w:val="center"/>
          </w:tcPr>
          <w:p w14:paraId="26FA739E"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0</w:t>
            </w:r>
          </w:p>
        </w:tc>
        <w:tc>
          <w:tcPr>
            <w:tcW w:w="473" w:type="pct"/>
            <w:vAlign w:val="center"/>
          </w:tcPr>
          <w:p w14:paraId="71322C24"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71,348</w:t>
            </w:r>
          </w:p>
        </w:tc>
      </w:tr>
      <w:tr w:rsidR="00525FBB" w:rsidRPr="00525FBB" w14:paraId="7C075D09" w14:textId="77777777" w:rsidTr="006C25DC">
        <w:trPr>
          <w:trHeight w:val="576"/>
        </w:trPr>
        <w:tc>
          <w:tcPr>
            <w:tcW w:w="479" w:type="pct"/>
            <w:vAlign w:val="center"/>
          </w:tcPr>
          <w:p w14:paraId="6B73CF97"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sz w:val="24"/>
                <w:szCs w:val="24"/>
              </w:rPr>
              <w:t>S5</w:t>
            </w:r>
          </w:p>
        </w:tc>
        <w:tc>
          <w:tcPr>
            <w:tcW w:w="1687" w:type="pct"/>
            <w:vAlign w:val="center"/>
          </w:tcPr>
          <w:p w14:paraId="54EFBE67"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231F20"/>
                <w:sz w:val="24"/>
                <w:szCs w:val="24"/>
              </w:rPr>
              <w:t>S4 with limits: date (2015–2024)</w:t>
            </w:r>
          </w:p>
        </w:tc>
        <w:tc>
          <w:tcPr>
            <w:tcW w:w="472" w:type="pct"/>
            <w:vAlign w:val="center"/>
          </w:tcPr>
          <w:p w14:paraId="0C685AA6"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4</w:t>
            </w:r>
          </w:p>
        </w:tc>
        <w:tc>
          <w:tcPr>
            <w:tcW w:w="472" w:type="pct"/>
            <w:vAlign w:val="center"/>
          </w:tcPr>
          <w:p w14:paraId="1A6A54FE"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825</w:t>
            </w:r>
          </w:p>
        </w:tc>
        <w:tc>
          <w:tcPr>
            <w:tcW w:w="493" w:type="pct"/>
            <w:vAlign w:val="center"/>
          </w:tcPr>
          <w:p w14:paraId="7C4B6112"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7,346</w:t>
            </w:r>
          </w:p>
        </w:tc>
        <w:tc>
          <w:tcPr>
            <w:tcW w:w="508" w:type="pct"/>
            <w:vAlign w:val="center"/>
          </w:tcPr>
          <w:p w14:paraId="72D7F6B5"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598</w:t>
            </w:r>
          </w:p>
        </w:tc>
        <w:tc>
          <w:tcPr>
            <w:tcW w:w="416" w:type="pct"/>
            <w:vAlign w:val="center"/>
          </w:tcPr>
          <w:p w14:paraId="622071AB"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0</w:t>
            </w:r>
          </w:p>
        </w:tc>
        <w:tc>
          <w:tcPr>
            <w:tcW w:w="473" w:type="pct"/>
            <w:vAlign w:val="center"/>
          </w:tcPr>
          <w:p w14:paraId="11B586F7"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8,773</w:t>
            </w:r>
          </w:p>
        </w:tc>
      </w:tr>
      <w:tr w:rsidR="00525FBB" w:rsidRPr="00525FBB" w14:paraId="3652D4A9" w14:textId="77777777" w:rsidTr="006C25DC">
        <w:trPr>
          <w:trHeight w:val="576"/>
        </w:trPr>
        <w:tc>
          <w:tcPr>
            <w:tcW w:w="479" w:type="pct"/>
            <w:vAlign w:val="center"/>
          </w:tcPr>
          <w:p w14:paraId="41892206"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sz w:val="24"/>
                <w:szCs w:val="24"/>
              </w:rPr>
              <w:t>S6</w:t>
            </w:r>
          </w:p>
        </w:tc>
        <w:tc>
          <w:tcPr>
            <w:tcW w:w="1687" w:type="pct"/>
            <w:vAlign w:val="center"/>
          </w:tcPr>
          <w:p w14:paraId="44EB0E7B" w14:textId="77777777" w:rsidR="00525FBB" w:rsidRPr="00525FBB" w:rsidRDefault="00525FBB" w:rsidP="00525FBB">
            <w:pPr>
              <w:spacing w:line="276" w:lineRule="auto"/>
              <w:jc w:val="right"/>
              <w:rPr>
                <w:rFonts w:asciiTheme="majorBidi" w:hAnsiTheme="majorBidi" w:cstheme="majorBidi"/>
                <w:color w:val="231F20"/>
                <w:w w:val="110"/>
                <w:sz w:val="24"/>
                <w:szCs w:val="24"/>
              </w:rPr>
            </w:pPr>
            <w:r w:rsidRPr="00525FBB">
              <w:rPr>
                <w:rFonts w:asciiTheme="majorBidi" w:hAnsiTheme="majorBidi" w:cstheme="majorBidi"/>
                <w:color w:val="231F20"/>
                <w:sz w:val="24"/>
                <w:szCs w:val="24"/>
              </w:rPr>
              <w:t>S5 with peer reviewed, human, journal article and English language</w:t>
            </w:r>
          </w:p>
        </w:tc>
        <w:tc>
          <w:tcPr>
            <w:tcW w:w="472" w:type="pct"/>
            <w:vAlign w:val="center"/>
          </w:tcPr>
          <w:p w14:paraId="08975768"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4</w:t>
            </w:r>
          </w:p>
        </w:tc>
        <w:tc>
          <w:tcPr>
            <w:tcW w:w="472" w:type="pct"/>
            <w:vAlign w:val="center"/>
          </w:tcPr>
          <w:p w14:paraId="3100F8A4"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358</w:t>
            </w:r>
          </w:p>
        </w:tc>
        <w:tc>
          <w:tcPr>
            <w:tcW w:w="493" w:type="pct"/>
            <w:vAlign w:val="center"/>
          </w:tcPr>
          <w:p w14:paraId="0D4F667A"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234</w:t>
            </w:r>
          </w:p>
        </w:tc>
        <w:tc>
          <w:tcPr>
            <w:tcW w:w="508" w:type="pct"/>
            <w:vAlign w:val="center"/>
          </w:tcPr>
          <w:p w14:paraId="3A1B00F5"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53</w:t>
            </w:r>
          </w:p>
        </w:tc>
        <w:tc>
          <w:tcPr>
            <w:tcW w:w="416" w:type="pct"/>
            <w:vAlign w:val="center"/>
          </w:tcPr>
          <w:p w14:paraId="3900780B"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0</w:t>
            </w:r>
          </w:p>
        </w:tc>
        <w:tc>
          <w:tcPr>
            <w:tcW w:w="473" w:type="pct"/>
            <w:vAlign w:val="center"/>
          </w:tcPr>
          <w:p w14:paraId="620A0AF2"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649</w:t>
            </w:r>
          </w:p>
        </w:tc>
      </w:tr>
    </w:tbl>
    <w:p w14:paraId="22B51CB5" w14:textId="4A9FB4F7" w:rsidR="00525FBB" w:rsidRDefault="00525FBB" w:rsidP="00525FBB">
      <w:pPr>
        <w:spacing w:line="276" w:lineRule="auto"/>
        <w:jc w:val="right"/>
        <w:rPr>
          <w:rFonts w:asciiTheme="majorBidi" w:hAnsiTheme="majorBidi" w:cstheme="majorBidi"/>
          <w:sz w:val="24"/>
          <w:szCs w:val="24"/>
        </w:rPr>
      </w:pPr>
    </w:p>
    <w:p w14:paraId="6BEE4AA2" w14:textId="2FB22010" w:rsidR="00A55D84" w:rsidRDefault="00A55D84" w:rsidP="00525FBB">
      <w:pPr>
        <w:spacing w:line="276" w:lineRule="auto"/>
        <w:jc w:val="right"/>
        <w:rPr>
          <w:rFonts w:asciiTheme="majorBidi" w:hAnsiTheme="majorBidi" w:cstheme="majorBidi"/>
          <w:sz w:val="24"/>
          <w:szCs w:val="24"/>
        </w:rPr>
      </w:pPr>
    </w:p>
    <w:p w14:paraId="5F84DF5A" w14:textId="77777777" w:rsidR="00A55D84" w:rsidRPr="00525FBB" w:rsidRDefault="00A55D84" w:rsidP="00525FBB">
      <w:pPr>
        <w:spacing w:line="276" w:lineRule="auto"/>
        <w:jc w:val="right"/>
        <w:rPr>
          <w:rFonts w:asciiTheme="majorBidi" w:hAnsiTheme="majorBidi" w:cstheme="majorBidi"/>
          <w:sz w:val="24"/>
          <w:szCs w:val="24"/>
        </w:rPr>
      </w:pPr>
    </w:p>
    <w:p w14:paraId="191AFFE8" w14:textId="7BAA36E1" w:rsidR="00525FBB" w:rsidRDefault="00525FBB" w:rsidP="00525FBB">
      <w:pPr>
        <w:spacing w:line="276" w:lineRule="auto"/>
        <w:jc w:val="right"/>
        <w:rPr>
          <w:rFonts w:asciiTheme="majorBidi" w:hAnsiTheme="majorBidi" w:cstheme="majorBidi"/>
          <w:b/>
          <w:bCs/>
          <w:sz w:val="24"/>
          <w:szCs w:val="24"/>
          <w:u w:val="single"/>
        </w:rPr>
      </w:pPr>
      <w:r w:rsidRPr="00525FBB">
        <w:rPr>
          <w:rFonts w:asciiTheme="majorBidi" w:hAnsiTheme="majorBidi" w:cstheme="majorBidi"/>
          <w:b/>
          <w:bCs/>
          <w:sz w:val="24"/>
          <w:szCs w:val="24"/>
          <w:u w:val="single"/>
        </w:rPr>
        <w:t>FIGURE 1: PRISMA REVIEW FLOW CHART</w:t>
      </w:r>
    </w:p>
    <w:p w14:paraId="4C08538B" w14:textId="77777777" w:rsidR="00992C84" w:rsidRPr="00525FBB" w:rsidRDefault="00992C84" w:rsidP="00525FBB">
      <w:pPr>
        <w:spacing w:line="276" w:lineRule="auto"/>
        <w:jc w:val="right"/>
        <w:rPr>
          <w:rFonts w:asciiTheme="majorBidi" w:hAnsiTheme="majorBidi" w:cstheme="majorBidi"/>
          <w:b/>
          <w:bCs/>
          <w:sz w:val="24"/>
          <w:szCs w:val="24"/>
          <w:u w:val="single"/>
        </w:rPr>
      </w:pPr>
    </w:p>
    <w:p w14:paraId="3BD82AF1"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noProof/>
          <w:sz w:val="24"/>
          <w:szCs w:val="24"/>
        </w:rPr>
        <mc:AlternateContent>
          <mc:Choice Requires="wps">
            <w:drawing>
              <wp:anchor distT="45720" distB="45720" distL="114300" distR="114300" simplePos="0" relativeHeight="251663360" behindDoc="0" locked="0" layoutInCell="1" allowOverlap="1" wp14:anchorId="2CA1EACC" wp14:editId="5AB9616F">
                <wp:simplePos x="0" y="0"/>
                <wp:positionH relativeFrom="column">
                  <wp:posOffset>1009650</wp:posOffset>
                </wp:positionH>
                <wp:positionV relativeFrom="paragraph">
                  <wp:posOffset>270348</wp:posOffset>
                </wp:positionV>
                <wp:extent cx="2360930" cy="89979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99795"/>
                        </a:xfrm>
                        <a:prstGeom prst="rect">
                          <a:avLst/>
                        </a:prstGeom>
                        <a:noFill/>
                        <a:ln w="9525">
                          <a:noFill/>
                          <a:miter lim="800000"/>
                          <a:headEnd/>
                          <a:tailEnd/>
                        </a:ln>
                      </wps:spPr>
                      <wps:txbx>
                        <w:txbxContent>
                          <w:p w14:paraId="4835BAC1" w14:textId="77777777" w:rsidR="00525FBB" w:rsidRPr="009E4D82" w:rsidRDefault="00525FBB" w:rsidP="00525FBB">
                            <w:pPr>
                              <w:rPr>
                                <w:b/>
                                <w:bCs/>
                                <w:sz w:val="16"/>
                                <w:szCs w:val="16"/>
                              </w:rPr>
                            </w:pPr>
                            <w:r w:rsidRPr="009E4D82">
                              <w:rPr>
                                <w:b/>
                                <w:bCs/>
                                <w:sz w:val="16"/>
                                <w:szCs w:val="16"/>
                              </w:rPr>
                              <w:t>IDENTIFICATION</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type w14:anchorId="2CA1EACC" id="_x0000_t202" coordsize="21600,21600" o:spt="202" path="m,l,21600r21600,l21600,xe">
                <v:stroke joinstyle="miter"/>
                <v:path gradientshapeok="t" o:connecttype="rect"/>
              </v:shapetype>
              <v:shape id="Text Box 2" o:spid="_x0000_s1026" type="#_x0000_t202" style="position:absolute;margin-left:79.5pt;margin-top:21.3pt;width:185.9pt;height:70.85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" filled="f" stroked="f">
                <v:textbox style="layout-flow:vertical;mso-layout-flow-alt:bottom-to-top;mso-fit-shape-to-text:t">
                  <w:txbxContent>
                    <w:p w14:paraId="4835BAC1" w14:textId="77777777" w:rsidR="00525FBB" w:rsidRPr="009E4D82" w:rsidRDefault="00525FBB" w:rsidP="00525FBB">
                      <w:pPr>
                        <w:rPr>
                          <w:b/>
                          <w:bCs/>
                          <w:sz w:val="16"/>
                          <w:szCs w:val="16"/>
                        </w:rPr>
                      </w:pPr>
                      <w:r w:rsidRPr="009E4D82">
                        <w:rPr>
                          <w:b/>
                          <w:bCs/>
                          <w:sz w:val="16"/>
                          <w:szCs w:val="16"/>
                        </w:rPr>
                        <w:t>IDENTIFICATION</w:t>
                      </w:r>
                    </w:p>
                  </w:txbxContent>
                </v:textbox>
                <w10:wrap type="square"/>
              </v:shape>
            </w:pict>
          </mc:Fallback>
        </mc:AlternateContent>
      </w:r>
      <w:r w:rsidRPr="00525FBB">
        <w:rPr>
          <w:rFonts w:asciiTheme="majorBidi" w:hAnsiTheme="majorBidi" w:cstheme="majorBidi"/>
          <w:noProof/>
          <w:sz w:val="24"/>
          <w:szCs w:val="24"/>
        </w:rPr>
        <mc:AlternateContent>
          <mc:Choice Requires="wpg">
            <w:drawing>
              <wp:anchor distT="0" distB="0" distL="114300" distR="114300" simplePos="0" relativeHeight="251662336" behindDoc="0" locked="0" layoutInCell="1" allowOverlap="1" wp14:anchorId="14DBCA8D" wp14:editId="4EF633ED">
                <wp:simplePos x="0" y="0"/>
                <wp:positionH relativeFrom="page">
                  <wp:posOffset>1903228</wp:posOffset>
                </wp:positionH>
                <wp:positionV relativeFrom="paragraph">
                  <wp:posOffset>144307</wp:posOffset>
                </wp:positionV>
                <wp:extent cx="4316730" cy="4406900"/>
                <wp:effectExtent l="0" t="0" r="2667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6730" cy="4406900"/>
                          <a:chOff x="2454" y="-7083"/>
                          <a:chExt cx="6798" cy="6940"/>
                        </a:xfrm>
                      </wpg:grpSpPr>
                      <pic:pic xmlns:pic="http://schemas.openxmlformats.org/drawingml/2006/picture">
                        <pic:nvPicPr>
                          <pic:cNvPr id="18" name="Picture 1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454" y="-6678"/>
                            <a:ext cx="4286" cy="6535"/>
                          </a:xfrm>
                          <a:prstGeom prst="rect">
                            <a:avLst/>
                          </a:prstGeom>
                          <a:noFill/>
                          <a:extLst>
                            <a:ext uri="{909E8E84-426E-40DD-AFC4-6F175D3DCCD1}">
                              <a14:hiddenFill xmlns:a14="http://schemas.microsoft.com/office/drawing/2010/main">
                                <a:solidFill>
                                  <a:srgbClr val="FFFFFF"/>
                                </a:solidFill>
                              </a14:hiddenFill>
                            </a:ext>
                          </a:extLst>
                        </pic:spPr>
                      </pic:pic>
                      <wps:wsp>
                        <wps:cNvPr id="19" name="AutoShape 20"/>
                        <wps:cNvSpPr>
                          <a:spLocks/>
                        </wps:cNvSpPr>
                        <wps:spPr bwMode="auto">
                          <a:xfrm>
                            <a:off x="3674" y="-6118"/>
                            <a:ext cx="3046" cy="5970"/>
                          </a:xfrm>
                          <a:custGeom>
                            <a:avLst/>
                            <a:gdLst>
                              <a:gd name="T0" fmla="*/ 1916 w 3046"/>
                              <a:gd name="T1" fmla="*/ -1093 h 5970"/>
                              <a:gd name="T2" fmla="*/ 1916 w 3046"/>
                              <a:gd name="T3" fmla="*/ -209 h 5970"/>
                              <a:gd name="T4" fmla="*/ 60 w 3046"/>
                              <a:gd name="T5" fmla="*/ -1081 h 5970"/>
                              <a:gd name="T6" fmla="*/ 1916 w 3046"/>
                              <a:gd name="T7" fmla="*/ -1093 h 5970"/>
                              <a:gd name="T8" fmla="*/ 48 w 3046"/>
                              <a:gd name="T9" fmla="*/ -197 h 5970"/>
                              <a:gd name="T10" fmla="*/ 1928 w 3046"/>
                              <a:gd name="T11" fmla="*/ -209 h 5970"/>
                              <a:gd name="T12" fmla="*/ 1928 w 3046"/>
                              <a:gd name="T13" fmla="*/ -1093 h 5970"/>
                              <a:gd name="T14" fmla="*/ 1974 w 3046"/>
                              <a:gd name="T15" fmla="*/ -1122 h 5970"/>
                              <a:gd name="T16" fmla="*/ 1958 w 3046"/>
                              <a:gd name="T17" fmla="*/ -1138 h 5970"/>
                              <a:gd name="T18" fmla="*/ 1940 w 3046"/>
                              <a:gd name="T19" fmla="*/ -1141 h 5970"/>
                              <a:gd name="T20" fmla="*/ 1940 w 3046"/>
                              <a:gd name="T21" fmla="*/ -185 h 5970"/>
                              <a:gd name="T22" fmla="*/ 36 w 3046"/>
                              <a:gd name="T23" fmla="*/ -1105 h 5970"/>
                              <a:gd name="T24" fmla="*/ 1940 w 3046"/>
                              <a:gd name="T25" fmla="*/ -1141 h 5970"/>
                              <a:gd name="T26" fmla="*/ 18 w 3046"/>
                              <a:gd name="T27" fmla="*/ -1138 h 5970"/>
                              <a:gd name="T28" fmla="*/ 2 w 3046"/>
                              <a:gd name="T29" fmla="*/ -1122 h 5970"/>
                              <a:gd name="T30" fmla="*/ 0 w 3046"/>
                              <a:gd name="T31" fmla="*/ -179 h 5970"/>
                              <a:gd name="T32" fmla="*/ 9 w 3046"/>
                              <a:gd name="T33" fmla="*/ -157 h 5970"/>
                              <a:gd name="T34" fmla="*/ 30 w 3046"/>
                              <a:gd name="T35" fmla="*/ -148 h 5970"/>
                              <a:gd name="T36" fmla="*/ 1958 w 3046"/>
                              <a:gd name="T37" fmla="*/ -151 h 5970"/>
                              <a:gd name="T38" fmla="*/ 1974 w 3046"/>
                              <a:gd name="T39" fmla="*/ -167 h 5970"/>
                              <a:gd name="T40" fmla="*/ 1976 w 3046"/>
                              <a:gd name="T41" fmla="*/ -185 h 5970"/>
                              <a:gd name="T42" fmla="*/ 1976 w 3046"/>
                              <a:gd name="T43" fmla="*/ -1111 h 5970"/>
                              <a:gd name="T44" fmla="*/ 3028 w 3046"/>
                              <a:gd name="T45" fmla="*/ -2146 h 5970"/>
                              <a:gd name="T46" fmla="*/ 2945 w 3046"/>
                              <a:gd name="T47" fmla="*/ -2194 h 5970"/>
                              <a:gd name="T48" fmla="*/ 2936 w 3046"/>
                              <a:gd name="T49" fmla="*/ -2188 h 5970"/>
                              <a:gd name="T50" fmla="*/ 2935 w 3046"/>
                              <a:gd name="T51" fmla="*/ -2177 h 5970"/>
                              <a:gd name="T52" fmla="*/ 1960 w 3046"/>
                              <a:gd name="T53" fmla="*/ -2146 h 5970"/>
                              <a:gd name="T54" fmla="*/ 2988 w 3046"/>
                              <a:gd name="T55" fmla="*/ -2126 h 5970"/>
                              <a:gd name="T56" fmla="*/ 2933 w 3046"/>
                              <a:gd name="T57" fmla="*/ -2089 h 5970"/>
                              <a:gd name="T58" fmla="*/ 2945 w 3046"/>
                              <a:gd name="T59" fmla="*/ -2077 h 5970"/>
                              <a:gd name="T60" fmla="*/ 3045 w 3046"/>
                              <a:gd name="T61" fmla="*/ -2136 h 5970"/>
                              <a:gd name="T62" fmla="*/ 3028 w 3046"/>
                              <a:gd name="T63" fmla="*/ -5525 h 5970"/>
                              <a:gd name="T64" fmla="*/ 2945 w 3046"/>
                              <a:gd name="T65" fmla="*/ -5573 h 5970"/>
                              <a:gd name="T66" fmla="*/ 2933 w 3046"/>
                              <a:gd name="T67" fmla="*/ -5562 h 5970"/>
                              <a:gd name="T68" fmla="*/ 2988 w 3046"/>
                              <a:gd name="T69" fmla="*/ -5525 h 5970"/>
                              <a:gd name="T70" fmla="*/ 884 w 3046"/>
                              <a:gd name="T71" fmla="*/ -6118 h 5970"/>
                              <a:gd name="T72" fmla="*/ 864 w 3046"/>
                              <a:gd name="T73" fmla="*/ -4848 h 5970"/>
                              <a:gd name="T74" fmla="*/ 864 w 3046"/>
                              <a:gd name="T75" fmla="*/ -4848 h 5970"/>
                              <a:gd name="T76" fmla="*/ 827 w 3046"/>
                              <a:gd name="T77" fmla="*/ -4903 h 5970"/>
                              <a:gd name="T78" fmla="*/ 816 w 3046"/>
                              <a:gd name="T79" fmla="*/ -4891 h 5970"/>
                              <a:gd name="T80" fmla="*/ 874 w 3046"/>
                              <a:gd name="T81" fmla="*/ -4791 h 5970"/>
                              <a:gd name="T82" fmla="*/ 930 w 3046"/>
                              <a:gd name="T83" fmla="*/ -4887 h 5970"/>
                              <a:gd name="T84" fmla="*/ 931 w 3046"/>
                              <a:gd name="T85" fmla="*/ -4897 h 5970"/>
                              <a:gd name="T86" fmla="*/ 915 w 3046"/>
                              <a:gd name="T87" fmla="*/ -4901 h 5970"/>
                              <a:gd name="T88" fmla="*/ 884 w 3046"/>
                              <a:gd name="T89" fmla="*/ -4848 h 5970"/>
                              <a:gd name="T90" fmla="*/ 2988 w 3046"/>
                              <a:gd name="T91" fmla="*/ -5505 h 5970"/>
                              <a:gd name="T92" fmla="*/ 2935 w 3046"/>
                              <a:gd name="T93" fmla="*/ -5474 h 5970"/>
                              <a:gd name="T94" fmla="*/ 2939 w 3046"/>
                              <a:gd name="T95" fmla="*/ -5458 h 5970"/>
                              <a:gd name="T96" fmla="*/ 3045 w 3046"/>
                              <a:gd name="T97" fmla="*/ -5515 h 5970"/>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3046" h="5970">
                                <a:moveTo>
                                  <a:pt x="1928" y="5025"/>
                                </a:moveTo>
                                <a:lnTo>
                                  <a:pt x="1916" y="5025"/>
                                </a:lnTo>
                                <a:lnTo>
                                  <a:pt x="1916" y="5037"/>
                                </a:lnTo>
                                <a:lnTo>
                                  <a:pt x="1916" y="5909"/>
                                </a:lnTo>
                                <a:lnTo>
                                  <a:pt x="60" y="5909"/>
                                </a:lnTo>
                                <a:lnTo>
                                  <a:pt x="60" y="5037"/>
                                </a:lnTo>
                                <a:lnTo>
                                  <a:pt x="1916" y="5037"/>
                                </a:lnTo>
                                <a:lnTo>
                                  <a:pt x="1916" y="5025"/>
                                </a:lnTo>
                                <a:lnTo>
                                  <a:pt x="48" y="5025"/>
                                </a:lnTo>
                                <a:lnTo>
                                  <a:pt x="48" y="5921"/>
                                </a:lnTo>
                                <a:lnTo>
                                  <a:pt x="1928" y="5921"/>
                                </a:lnTo>
                                <a:lnTo>
                                  <a:pt x="1928" y="5909"/>
                                </a:lnTo>
                                <a:lnTo>
                                  <a:pt x="1928" y="5037"/>
                                </a:lnTo>
                                <a:lnTo>
                                  <a:pt x="1928" y="5025"/>
                                </a:lnTo>
                                <a:close/>
                                <a:moveTo>
                                  <a:pt x="1976" y="5007"/>
                                </a:moveTo>
                                <a:lnTo>
                                  <a:pt x="1974" y="4996"/>
                                </a:lnTo>
                                <a:lnTo>
                                  <a:pt x="1967" y="4986"/>
                                </a:lnTo>
                                <a:lnTo>
                                  <a:pt x="1958" y="4980"/>
                                </a:lnTo>
                                <a:lnTo>
                                  <a:pt x="1946" y="4977"/>
                                </a:lnTo>
                                <a:lnTo>
                                  <a:pt x="1940" y="4977"/>
                                </a:lnTo>
                                <a:lnTo>
                                  <a:pt x="1940" y="5013"/>
                                </a:lnTo>
                                <a:lnTo>
                                  <a:pt x="1940" y="5933"/>
                                </a:lnTo>
                                <a:lnTo>
                                  <a:pt x="36" y="5933"/>
                                </a:lnTo>
                                <a:lnTo>
                                  <a:pt x="36" y="5013"/>
                                </a:lnTo>
                                <a:lnTo>
                                  <a:pt x="1940" y="5013"/>
                                </a:lnTo>
                                <a:lnTo>
                                  <a:pt x="1940" y="4977"/>
                                </a:lnTo>
                                <a:lnTo>
                                  <a:pt x="30" y="4977"/>
                                </a:lnTo>
                                <a:lnTo>
                                  <a:pt x="18" y="4980"/>
                                </a:lnTo>
                                <a:lnTo>
                                  <a:pt x="9" y="4986"/>
                                </a:lnTo>
                                <a:lnTo>
                                  <a:pt x="2" y="4996"/>
                                </a:lnTo>
                                <a:lnTo>
                                  <a:pt x="0" y="5007"/>
                                </a:lnTo>
                                <a:lnTo>
                                  <a:pt x="0" y="5939"/>
                                </a:lnTo>
                                <a:lnTo>
                                  <a:pt x="2" y="5951"/>
                                </a:lnTo>
                                <a:lnTo>
                                  <a:pt x="9" y="5961"/>
                                </a:lnTo>
                                <a:lnTo>
                                  <a:pt x="18" y="5967"/>
                                </a:lnTo>
                                <a:lnTo>
                                  <a:pt x="30" y="5970"/>
                                </a:lnTo>
                                <a:lnTo>
                                  <a:pt x="1946" y="5970"/>
                                </a:lnTo>
                                <a:lnTo>
                                  <a:pt x="1958" y="5967"/>
                                </a:lnTo>
                                <a:lnTo>
                                  <a:pt x="1967" y="5961"/>
                                </a:lnTo>
                                <a:lnTo>
                                  <a:pt x="1974" y="5951"/>
                                </a:lnTo>
                                <a:lnTo>
                                  <a:pt x="1976" y="5939"/>
                                </a:lnTo>
                                <a:lnTo>
                                  <a:pt x="1976" y="5933"/>
                                </a:lnTo>
                                <a:lnTo>
                                  <a:pt x="1976" y="5013"/>
                                </a:lnTo>
                                <a:lnTo>
                                  <a:pt x="1976" y="5007"/>
                                </a:lnTo>
                                <a:close/>
                                <a:moveTo>
                                  <a:pt x="3045" y="3982"/>
                                </a:moveTo>
                                <a:lnTo>
                                  <a:pt x="3028" y="3972"/>
                                </a:lnTo>
                                <a:lnTo>
                                  <a:pt x="2949" y="3927"/>
                                </a:lnTo>
                                <a:lnTo>
                                  <a:pt x="2945" y="3924"/>
                                </a:lnTo>
                                <a:lnTo>
                                  <a:pt x="2939" y="3926"/>
                                </a:lnTo>
                                <a:lnTo>
                                  <a:pt x="2936" y="3930"/>
                                </a:lnTo>
                                <a:lnTo>
                                  <a:pt x="2933" y="3935"/>
                                </a:lnTo>
                                <a:lnTo>
                                  <a:pt x="2935" y="3941"/>
                                </a:lnTo>
                                <a:lnTo>
                                  <a:pt x="2988" y="3972"/>
                                </a:lnTo>
                                <a:lnTo>
                                  <a:pt x="1960" y="3972"/>
                                </a:lnTo>
                                <a:lnTo>
                                  <a:pt x="1960" y="3992"/>
                                </a:lnTo>
                                <a:lnTo>
                                  <a:pt x="2988" y="3992"/>
                                </a:lnTo>
                                <a:lnTo>
                                  <a:pt x="2935" y="4023"/>
                                </a:lnTo>
                                <a:lnTo>
                                  <a:pt x="2933" y="4029"/>
                                </a:lnTo>
                                <a:lnTo>
                                  <a:pt x="2939" y="4039"/>
                                </a:lnTo>
                                <a:lnTo>
                                  <a:pt x="2945" y="4041"/>
                                </a:lnTo>
                                <a:lnTo>
                                  <a:pt x="3028" y="3992"/>
                                </a:lnTo>
                                <a:lnTo>
                                  <a:pt x="3045" y="3982"/>
                                </a:lnTo>
                                <a:close/>
                                <a:moveTo>
                                  <a:pt x="3045" y="603"/>
                                </a:moveTo>
                                <a:lnTo>
                                  <a:pt x="3028" y="593"/>
                                </a:lnTo>
                                <a:lnTo>
                                  <a:pt x="2950" y="547"/>
                                </a:lnTo>
                                <a:lnTo>
                                  <a:pt x="2945" y="545"/>
                                </a:lnTo>
                                <a:lnTo>
                                  <a:pt x="2939" y="546"/>
                                </a:lnTo>
                                <a:lnTo>
                                  <a:pt x="2933" y="556"/>
                                </a:lnTo>
                                <a:lnTo>
                                  <a:pt x="2935" y="562"/>
                                </a:lnTo>
                                <a:lnTo>
                                  <a:pt x="2988" y="593"/>
                                </a:lnTo>
                                <a:lnTo>
                                  <a:pt x="884" y="594"/>
                                </a:lnTo>
                                <a:lnTo>
                                  <a:pt x="884" y="0"/>
                                </a:lnTo>
                                <a:lnTo>
                                  <a:pt x="864" y="0"/>
                                </a:lnTo>
                                <a:lnTo>
                                  <a:pt x="864" y="1270"/>
                                </a:lnTo>
                                <a:lnTo>
                                  <a:pt x="864" y="1307"/>
                                </a:lnTo>
                                <a:lnTo>
                                  <a:pt x="864" y="1270"/>
                                </a:lnTo>
                                <a:lnTo>
                                  <a:pt x="833" y="1217"/>
                                </a:lnTo>
                                <a:lnTo>
                                  <a:pt x="827" y="1215"/>
                                </a:lnTo>
                                <a:lnTo>
                                  <a:pt x="817" y="1221"/>
                                </a:lnTo>
                                <a:lnTo>
                                  <a:pt x="816" y="1227"/>
                                </a:lnTo>
                                <a:lnTo>
                                  <a:pt x="819" y="1231"/>
                                </a:lnTo>
                                <a:lnTo>
                                  <a:pt x="874" y="1327"/>
                                </a:lnTo>
                                <a:lnTo>
                                  <a:pt x="886" y="1307"/>
                                </a:lnTo>
                                <a:lnTo>
                                  <a:pt x="930" y="1231"/>
                                </a:lnTo>
                                <a:lnTo>
                                  <a:pt x="933" y="1227"/>
                                </a:lnTo>
                                <a:lnTo>
                                  <a:pt x="931" y="1221"/>
                                </a:lnTo>
                                <a:lnTo>
                                  <a:pt x="921" y="1215"/>
                                </a:lnTo>
                                <a:lnTo>
                                  <a:pt x="915" y="1217"/>
                                </a:lnTo>
                                <a:lnTo>
                                  <a:pt x="884" y="1270"/>
                                </a:lnTo>
                                <a:lnTo>
                                  <a:pt x="884" y="614"/>
                                </a:lnTo>
                                <a:lnTo>
                                  <a:pt x="2988" y="613"/>
                                </a:lnTo>
                                <a:lnTo>
                                  <a:pt x="2939" y="641"/>
                                </a:lnTo>
                                <a:lnTo>
                                  <a:pt x="2935" y="644"/>
                                </a:lnTo>
                                <a:lnTo>
                                  <a:pt x="2933" y="650"/>
                                </a:lnTo>
                                <a:lnTo>
                                  <a:pt x="2939" y="660"/>
                                </a:lnTo>
                                <a:lnTo>
                                  <a:pt x="2945" y="662"/>
                                </a:lnTo>
                                <a:lnTo>
                                  <a:pt x="3045" y="603"/>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 name="Picture 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4490" y="-1473"/>
                            <a:ext cx="117" cy="362"/>
                          </a:xfrm>
                          <a:prstGeom prst="rect">
                            <a:avLst/>
                          </a:prstGeom>
                          <a:noFill/>
                          <a:extLst>
                            <a:ext uri="{909E8E84-426E-40DD-AFC4-6F175D3DCCD1}">
                              <a14:hiddenFill xmlns:a14="http://schemas.microsoft.com/office/drawing/2010/main">
                                <a:solidFill>
                                  <a:srgbClr val="FFFFFF"/>
                                </a:solidFill>
                              </a14:hiddenFill>
                            </a:ext>
                          </a:extLst>
                        </pic:spPr>
                      </pic:pic>
                      <wps:wsp>
                        <wps:cNvPr id="21" name="Freeform 22"/>
                        <wps:cNvSpPr>
                          <a:spLocks/>
                        </wps:cNvSpPr>
                        <wps:spPr bwMode="auto">
                          <a:xfrm>
                            <a:off x="2499" y="-6656"/>
                            <a:ext cx="483" cy="1086"/>
                          </a:xfrm>
                          <a:custGeom>
                            <a:avLst/>
                            <a:gdLst>
                              <a:gd name="T0" fmla="*/ 81 w 483"/>
                              <a:gd name="T1" fmla="*/ -5571 h 1086"/>
                              <a:gd name="T2" fmla="*/ 49 w 483"/>
                              <a:gd name="T3" fmla="*/ -5577 h 1086"/>
                              <a:gd name="T4" fmla="*/ 24 w 483"/>
                              <a:gd name="T5" fmla="*/ -5594 h 1086"/>
                              <a:gd name="T6" fmla="*/ 6 w 483"/>
                              <a:gd name="T7" fmla="*/ -5620 h 1086"/>
                              <a:gd name="T8" fmla="*/ 0 w 483"/>
                              <a:gd name="T9" fmla="*/ -5651 h 1086"/>
                              <a:gd name="T10" fmla="*/ 0 w 483"/>
                              <a:gd name="T11" fmla="*/ -6575 h 1086"/>
                              <a:gd name="T12" fmla="*/ 6 w 483"/>
                              <a:gd name="T13" fmla="*/ -6607 h 1086"/>
                              <a:gd name="T14" fmla="*/ 24 w 483"/>
                              <a:gd name="T15" fmla="*/ -6632 h 1086"/>
                              <a:gd name="T16" fmla="*/ 49 w 483"/>
                              <a:gd name="T17" fmla="*/ -6650 h 1086"/>
                              <a:gd name="T18" fmla="*/ 81 w 483"/>
                              <a:gd name="T19" fmla="*/ -6656 h 1086"/>
                              <a:gd name="T20" fmla="*/ 402 w 483"/>
                              <a:gd name="T21" fmla="*/ -6656 h 1086"/>
                              <a:gd name="T22" fmla="*/ 433 w 483"/>
                              <a:gd name="T23" fmla="*/ -6650 h 1086"/>
                              <a:gd name="T24" fmla="*/ 459 w 483"/>
                              <a:gd name="T25" fmla="*/ -6632 h 1086"/>
                              <a:gd name="T26" fmla="*/ 476 w 483"/>
                              <a:gd name="T27" fmla="*/ -6607 h 1086"/>
                              <a:gd name="T28" fmla="*/ 482 w 483"/>
                              <a:gd name="T29" fmla="*/ -6575 h 1086"/>
                              <a:gd name="T30" fmla="*/ 482 w 483"/>
                              <a:gd name="T31" fmla="*/ -5651 h 1086"/>
                              <a:gd name="T32" fmla="*/ 476 w 483"/>
                              <a:gd name="T33" fmla="*/ -5620 h 1086"/>
                              <a:gd name="T34" fmla="*/ 459 w 483"/>
                              <a:gd name="T35" fmla="*/ -5594 h 1086"/>
                              <a:gd name="T36" fmla="*/ 433 w 483"/>
                              <a:gd name="T37" fmla="*/ -5577 h 1086"/>
                              <a:gd name="T38" fmla="*/ 402 w 483"/>
                              <a:gd name="T39" fmla="*/ -5571 h 1086"/>
                              <a:gd name="T40" fmla="*/ 81 w 483"/>
                              <a:gd name="T41" fmla="*/ -5571 h 108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483" h="1086">
                                <a:moveTo>
                                  <a:pt x="81" y="1085"/>
                                </a:moveTo>
                                <a:lnTo>
                                  <a:pt x="49" y="1079"/>
                                </a:lnTo>
                                <a:lnTo>
                                  <a:pt x="24" y="1062"/>
                                </a:lnTo>
                                <a:lnTo>
                                  <a:pt x="6" y="1036"/>
                                </a:lnTo>
                                <a:lnTo>
                                  <a:pt x="0" y="1005"/>
                                </a:lnTo>
                                <a:lnTo>
                                  <a:pt x="0" y="81"/>
                                </a:lnTo>
                                <a:lnTo>
                                  <a:pt x="6" y="49"/>
                                </a:lnTo>
                                <a:lnTo>
                                  <a:pt x="24" y="24"/>
                                </a:lnTo>
                                <a:lnTo>
                                  <a:pt x="49" y="6"/>
                                </a:lnTo>
                                <a:lnTo>
                                  <a:pt x="81" y="0"/>
                                </a:lnTo>
                                <a:lnTo>
                                  <a:pt x="402" y="0"/>
                                </a:lnTo>
                                <a:lnTo>
                                  <a:pt x="433" y="6"/>
                                </a:lnTo>
                                <a:lnTo>
                                  <a:pt x="459" y="24"/>
                                </a:lnTo>
                                <a:lnTo>
                                  <a:pt x="476" y="49"/>
                                </a:lnTo>
                                <a:lnTo>
                                  <a:pt x="482" y="81"/>
                                </a:lnTo>
                                <a:lnTo>
                                  <a:pt x="482" y="1005"/>
                                </a:lnTo>
                                <a:lnTo>
                                  <a:pt x="476" y="1036"/>
                                </a:lnTo>
                                <a:lnTo>
                                  <a:pt x="459" y="1062"/>
                                </a:lnTo>
                                <a:lnTo>
                                  <a:pt x="433" y="1079"/>
                                </a:lnTo>
                                <a:lnTo>
                                  <a:pt x="402" y="1085"/>
                                </a:lnTo>
                                <a:lnTo>
                                  <a:pt x="81" y="1085"/>
                                </a:lnTo>
                                <a:close/>
                              </a:path>
                            </a:pathLst>
                          </a:custGeom>
                          <a:noFill/>
                          <a:ln w="63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23"/>
                        <wps:cNvSpPr>
                          <a:spLocks/>
                        </wps:cNvSpPr>
                        <wps:spPr bwMode="auto">
                          <a:xfrm>
                            <a:off x="2499" y="-5024"/>
                            <a:ext cx="483" cy="1568"/>
                          </a:xfrm>
                          <a:custGeom>
                            <a:avLst/>
                            <a:gdLst>
                              <a:gd name="T0" fmla="*/ 81 w 483"/>
                              <a:gd name="T1" fmla="*/ -3456 h 1568"/>
                              <a:gd name="T2" fmla="*/ 49 w 483"/>
                              <a:gd name="T3" fmla="*/ -3462 h 1568"/>
                              <a:gd name="T4" fmla="*/ 24 w 483"/>
                              <a:gd name="T5" fmla="*/ -3480 h 1568"/>
                              <a:gd name="T6" fmla="*/ 6 w 483"/>
                              <a:gd name="T7" fmla="*/ -3505 h 1568"/>
                              <a:gd name="T8" fmla="*/ 0 w 483"/>
                              <a:gd name="T9" fmla="*/ -3537 h 1568"/>
                              <a:gd name="T10" fmla="*/ 0 w 483"/>
                              <a:gd name="T11" fmla="*/ -4943 h 1568"/>
                              <a:gd name="T12" fmla="*/ 6 w 483"/>
                              <a:gd name="T13" fmla="*/ -4975 h 1568"/>
                              <a:gd name="T14" fmla="*/ 24 w 483"/>
                              <a:gd name="T15" fmla="*/ -5000 h 1568"/>
                              <a:gd name="T16" fmla="*/ 49 w 483"/>
                              <a:gd name="T17" fmla="*/ -5018 h 1568"/>
                              <a:gd name="T18" fmla="*/ 81 w 483"/>
                              <a:gd name="T19" fmla="*/ -5024 h 1568"/>
                              <a:gd name="T20" fmla="*/ 402 w 483"/>
                              <a:gd name="T21" fmla="*/ -5024 h 1568"/>
                              <a:gd name="T22" fmla="*/ 433 w 483"/>
                              <a:gd name="T23" fmla="*/ -5018 h 1568"/>
                              <a:gd name="T24" fmla="*/ 459 w 483"/>
                              <a:gd name="T25" fmla="*/ -5000 h 1568"/>
                              <a:gd name="T26" fmla="*/ 476 w 483"/>
                              <a:gd name="T27" fmla="*/ -4975 h 1568"/>
                              <a:gd name="T28" fmla="*/ 482 w 483"/>
                              <a:gd name="T29" fmla="*/ -4943 h 1568"/>
                              <a:gd name="T30" fmla="*/ 482 w 483"/>
                              <a:gd name="T31" fmla="*/ -3537 h 1568"/>
                              <a:gd name="T32" fmla="*/ 476 w 483"/>
                              <a:gd name="T33" fmla="*/ -3505 h 1568"/>
                              <a:gd name="T34" fmla="*/ 459 w 483"/>
                              <a:gd name="T35" fmla="*/ -3480 h 1568"/>
                              <a:gd name="T36" fmla="*/ 433 w 483"/>
                              <a:gd name="T37" fmla="*/ -3462 h 1568"/>
                              <a:gd name="T38" fmla="*/ 402 w 483"/>
                              <a:gd name="T39" fmla="*/ -3456 h 1568"/>
                              <a:gd name="T40" fmla="*/ 81 w 483"/>
                              <a:gd name="T41" fmla="*/ -3456 h 1568"/>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483" h="1568">
                                <a:moveTo>
                                  <a:pt x="81" y="1568"/>
                                </a:moveTo>
                                <a:lnTo>
                                  <a:pt x="49" y="1562"/>
                                </a:lnTo>
                                <a:lnTo>
                                  <a:pt x="24" y="1544"/>
                                </a:lnTo>
                                <a:lnTo>
                                  <a:pt x="6" y="1519"/>
                                </a:lnTo>
                                <a:lnTo>
                                  <a:pt x="0" y="1487"/>
                                </a:lnTo>
                                <a:lnTo>
                                  <a:pt x="0" y="81"/>
                                </a:lnTo>
                                <a:lnTo>
                                  <a:pt x="6" y="49"/>
                                </a:lnTo>
                                <a:lnTo>
                                  <a:pt x="24" y="24"/>
                                </a:lnTo>
                                <a:lnTo>
                                  <a:pt x="49" y="6"/>
                                </a:lnTo>
                                <a:lnTo>
                                  <a:pt x="81" y="0"/>
                                </a:lnTo>
                                <a:lnTo>
                                  <a:pt x="402" y="0"/>
                                </a:lnTo>
                                <a:lnTo>
                                  <a:pt x="433" y="6"/>
                                </a:lnTo>
                                <a:lnTo>
                                  <a:pt x="459" y="24"/>
                                </a:lnTo>
                                <a:lnTo>
                                  <a:pt x="476" y="49"/>
                                </a:lnTo>
                                <a:lnTo>
                                  <a:pt x="482" y="81"/>
                                </a:lnTo>
                                <a:lnTo>
                                  <a:pt x="482" y="1487"/>
                                </a:lnTo>
                                <a:lnTo>
                                  <a:pt x="476" y="1519"/>
                                </a:lnTo>
                                <a:lnTo>
                                  <a:pt x="459" y="1544"/>
                                </a:lnTo>
                                <a:lnTo>
                                  <a:pt x="433" y="1562"/>
                                </a:lnTo>
                                <a:lnTo>
                                  <a:pt x="402" y="1568"/>
                                </a:lnTo>
                                <a:lnTo>
                                  <a:pt x="81" y="1568"/>
                                </a:lnTo>
                                <a:close/>
                              </a:path>
                            </a:pathLst>
                          </a:custGeom>
                          <a:noFill/>
                          <a:ln w="63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Freeform 24"/>
                        <wps:cNvSpPr>
                          <a:spLocks/>
                        </wps:cNvSpPr>
                        <wps:spPr bwMode="auto">
                          <a:xfrm>
                            <a:off x="2499" y="-2976"/>
                            <a:ext cx="483" cy="1086"/>
                          </a:xfrm>
                          <a:custGeom>
                            <a:avLst/>
                            <a:gdLst>
                              <a:gd name="T0" fmla="*/ 81 w 483"/>
                              <a:gd name="T1" fmla="*/ -1890 h 1086"/>
                              <a:gd name="T2" fmla="*/ 49 w 483"/>
                              <a:gd name="T3" fmla="*/ -1896 h 1086"/>
                              <a:gd name="T4" fmla="*/ 24 w 483"/>
                              <a:gd name="T5" fmla="*/ -1914 h 1086"/>
                              <a:gd name="T6" fmla="*/ 6 w 483"/>
                              <a:gd name="T7" fmla="*/ -1939 h 1086"/>
                              <a:gd name="T8" fmla="*/ 0 w 483"/>
                              <a:gd name="T9" fmla="*/ -1970 h 1086"/>
                              <a:gd name="T10" fmla="*/ 0 w 483"/>
                              <a:gd name="T11" fmla="*/ -2895 h 1086"/>
                              <a:gd name="T12" fmla="*/ 6 w 483"/>
                              <a:gd name="T13" fmla="*/ -2926 h 1086"/>
                              <a:gd name="T14" fmla="*/ 24 w 483"/>
                              <a:gd name="T15" fmla="*/ -2952 h 1086"/>
                              <a:gd name="T16" fmla="*/ 49 w 483"/>
                              <a:gd name="T17" fmla="*/ -2969 h 1086"/>
                              <a:gd name="T18" fmla="*/ 81 w 483"/>
                              <a:gd name="T19" fmla="*/ -2975 h 1086"/>
                              <a:gd name="T20" fmla="*/ 402 w 483"/>
                              <a:gd name="T21" fmla="*/ -2975 h 1086"/>
                              <a:gd name="T22" fmla="*/ 433 w 483"/>
                              <a:gd name="T23" fmla="*/ -2969 h 1086"/>
                              <a:gd name="T24" fmla="*/ 459 w 483"/>
                              <a:gd name="T25" fmla="*/ -2952 h 1086"/>
                              <a:gd name="T26" fmla="*/ 476 w 483"/>
                              <a:gd name="T27" fmla="*/ -2926 h 1086"/>
                              <a:gd name="T28" fmla="*/ 482 w 483"/>
                              <a:gd name="T29" fmla="*/ -2895 h 1086"/>
                              <a:gd name="T30" fmla="*/ 482 w 483"/>
                              <a:gd name="T31" fmla="*/ -1970 h 1086"/>
                              <a:gd name="T32" fmla="*/ 476 w 483"/>
                              <a:gd name="T33" fmla="*/ -1939 h 1086"/>
                              <a:gd name="T34" fmla="*/ 459 w 483"/>
                              <a:gd name="T35" fmla="*/ -1914 h 1086"/>
                              <a:gd name="T36" fmla="*/ 433 w 483"/>
                              <a:gd name="T37" fmla="*/ -1896 h 1086"/>
                              <a:gd name="T38" fmla="*/ 402 w 483"/>
                              <a:gd name="T39" fmla="*/ -1890 h 1086"/>
                              <a:gd name="T40" fmla="*/ 81 w 483"/>
                              <a:gd name="T41" fmla="*/ -1890 h 108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483" h="1086">
                                <a:moveTo>
                                  <a:pt x="81" y="1085"/>
                                </a:moveTo>
                                <a:lnTo>
                                  <a:pt x="49" y="1079"/>
                                </a:lnTo>
                                <a:lnTo>
                                  <a:pt x="24" y="1061"/>
                                </a:lnTo>
                                <a:lnTo>
                                  <a:pt x="6" y="1036"/>
                                </a:lnTo>
                                <a:lnTo>
                                  <a:pt x="0" y="1005"/>
                                </a:lnTo>
                                <a:lnTo>
                                  <a:pt x="0" y="80"/>
                                </a:lnTo>
                                <a:lnTo>
                                  <a:pt x="6" y="49"/>
                                </a:lnTo>
                                <a:lnTo>
                                  <a:pt x="24" y="23"/>
                                </a:lnTo>
                                <a:lnTo>
                                  <a:pt x="49" y="6"/>
                                </a:lnTo>
                                <a:lnTo>
                                  <a:pt x="81" y="0"/>
                                </a:lnTo>
                                <a:lnTo>
                                  <a:pt x="402" y="0"/>
                                </a:lnTo>
                                <a:lnTo>
                                  <a:pt x="433" y="6"/>
                                </a:lnTo>
                                <a:lnTo>
                                  <a:pt x="459" y="23"/>
                                </a:lnTo>
                                <a:lnTo>
                                  <a:pt x="476" y="49"/>
                                </a:lnTo>
                                <a:lnTo>
                                  <a:pt x="482" y="80"/>
                                </a:lnTo>
                                <a:lnTo>
                                  <a:pt x="482" y="1005"/>
                                </a:lnTo>
                                <a:lnTo>
                                  <a:pt x="476" y="1036"/>
                                </a:lnTo>
                                <a:lnTo>
                                  <a:pt x="459" y="1061"/>
                                </a:lnTo>
                                <a:lnTo>
                                  <a:pt x="433" y="1079"/>
                                </a:lnTo>
                                <a:lnTo>
                                  <a:pt x="402" y="1085"/>
                                </a:lnTo>
                                <a:lnTo>
                                  <a:pt x="81" y="1085"/>
                                </a:lnTo>
                                <a:close/>
                              </a:path>
                            </a:pathLst>
                          </a:custGeom>
                          <a:noFill/>
                          <a:ln w="63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Freeform 25"/>
                        <wps:cNvSpPr>
                          <a:spLocks/>
                        </wps:cNvSpPr>
                        <wps:spPr bwMode="auto">
                          <a:xfrm>
                            <a:off x="2499" y="-1165"/>
                            <a:ext cx="483" cy="965"/>
                          </a:xfrm>
                          <a:custGeom>
                            <a:avLst/>
                            <a:gdLst>
                              <a:gd name="T0" fmla="*/ 81 w 483"/>
                              <a:gd name="T1" fmla="*/ -200 h 965"/>
                              <a:gd name="T2" fmla="*/ 49 w 483"/>
                              <a:gd name="T3" fmla="*/ -206 h 965"/>
                              <a:gd name="T4" fmla="*/ 24 w 483"/>
                              <a:gd name="T5" fmla="*/ -224 h 965"/>
                              <a:gd name="T6" fmla="*/ 6 w 483"/>
                              <a:gd name="T7" fmla="*/ -249 h 965"/>
                              <a:gd name="T8" fmla="*/ 0 w 483"/>
                              <a:gd name="T9" fmla="*/ -280 h 965"/>
                              <a:gd name="T10" fmla="*/ 0 w 483"/>
                              <a:gd name="T11" fmla="*/ -1084 h 965"/>
                              <a:gd name="T12" fmla="*/ 6 w 483"/>
                              <a:gd name="T13" fmla="*/ -1116 h 965"/>
                              <a:gd name="T14" fmla="*/ 24 w 483"/>
                              <a:gd name="T15" fmla="*/ -1141 h 965"/>
                              <a:gd name="T16" fmla="*/ 49 w 483"/>
                              <a:gd name="T17" fmla="*/ -1159 h 965"/>
                              <a:gd name="T18" fmla="*/ 81 w 483"/>
                              <a:gd name="T19" fmla="*/ -1165 h 965"/>
                              <a:gd name="T20" fmla="*/ 402 w 483"/>
                              <a:gd name="T21" fmla="*/ -1165 h 965"/>
                              <a:gd name="T22" fmla="*/ 433 w 483"/>
                              <a:gd name="T23" fmla="*/ -1159 h 965"/>
                              <a:gd name="T24" fmla="*/ 459 w 483"/>
                              <a:gd name="T25" fmla="*/ -1141 h 965"/>
                              <a:gd name="T26" fmla="*/ 476 w 483"/>
                              <a:gd name="T27" fmla="*/ -1116 h 965"/>
                              <a:gd name="T28" fmla="*/ 482 w 483"/>
                              <a:gd name="T29" fmla="*/ -1084 h 965"/>
                              <a:gd name="T30" fmla="*/ 482 w 483"/>
                              <a:gd name="T31" fmla="*/ -280 h 965"/>
                              <a:gd name="T32" fmla="*/ 476 w 483"/>
                              <a:gd name="T33" fmla="*/ -249 h 965"/>
                              <a:gd name="T34" fmla="*/ 459 w 483"/>
                              <a:gd name="T35" fmla="*/ -224 h 965"/>
                              <a:gd name="T36" fmla="*/ 433 w 483"/>
                              <a:gd name="T37" fmla="*/ -206 h 965"/>
                              <a:gd name="T38" fmla="*/ 402 w 483"/>
                              <a:gd name="T39" fmla="*/ -200 h 965"/>
                              <a:gd name="T40" fmla="*/ 81 w 483"/>
                              <a:gd name="T41" fmla="*/ -200 h 965"/>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483" h="965">
                                <a:moveTo>
                                  <a:pt x="81" y="965"/>
                                </a:moveTo>
                                <a:lnTo>
                                  <a:pt x="49" y="959"/>
                                </a:lnTo>
                                <a:lnTo>
                                  <a:pt x="24" y="941"/>
                                </a:lnTo>
                                <a:lnTo>
                                  <a:pt x="6" y="916"/>
                                </a:lnTo>
                                <a:lnTo>
                                  <a:pt x="0" y="885"/>
                                </a:lnTo>
                                <a:lnTo>
                                  <a:pt x="0" y="81"/>
                                </a:lnTo>
                                <a:lnTo>
                                  <a:pt x="6" y="49"/>
                                </a:lnTo>
                                <a:lnTo>
                                  <a:pt x="24" y="24"/>
                                </a:lnTo>
                                <a:lnTo>
                                  <a:pt x="49" y="6"/>
                                </a:lnTo>
                                <a:lnTo>
                                  <a:pt x="81" y="0"/>
                                </a:lnTo>
                                <a:lnTo>
                                  <a:pt x="402" y="0"/>
                                </a:lnTo>
                                <a:lnTo>
                                  <a:pt x="433" y="6"/>
                                </a:lnTo>
                                <a:lnTo>
                                  <a:pt x="459" y="24"/>
                                </a:lnTo>
                                <a:lnTo>
                                  <a:pt x="476" y="49"/>
                                </a:lnTo>
                                <a:lnTo>
                                  <a:pt x="482" y="81"/>
                                </a:lnTo>
                                <a:lnTo>
                                  <a:pt x="482" y="885"/>
                                </a:lnTo>
                                <a:lnTo>
                                  <a:pt x="476" y="916"/>
                                </a:lnTo>
                                <a:lnTo>
                                  <a:pt x="459" y="941"/>
                                </a:lnTo>
                                <a:lnTo>
                                  <a:pt x="433" y="959"/>
                                </a:lnTo>
                                <a:lnTo>
                                  <a:pt x="402" y="965"/>
                                </a:lnTo>
                                <a:lnTo>
                                  <a:pt x="81" y="965"/>
                                </a:lnTo>
                                <a:close/>
                              </a:path>
                            </a:pathLst>
                          </a:custGeom>
                          <a:noFill/>
                          <a:ln w="63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26"/>
                        <wps:cNvSpPr>
                          <a:spLocks/>
                        </wps:cNvSpPr>
                        <wps:spPr bwMode="auto">
                          <a:xfrm>
                            <a:off x="4370" y="-3827"/>
                            <a:ext cx="2350" cy="668"/>
                          </a:xfrm>
                          <a:custGeom>
                            <a:avLst/>
                            <a:gdLst>
                              <a:gd name="T0" fmla="*/ 2350 w 2350"/>
                              <a:gd name="T1" fmla="*/ -3586 h 668"/>
                              <a:gd name="T2" fmla="*/ 2333 w 2350"/>
                              <a:gd name="T3" fmla="*/ -3596 h 668"/>
                              <a:gd name="T4" fmla="*/ 2250 w 2350"/>
                              <a:gd name="T5" fmla="*/ -3644 h 668"/>
                              <a:gd name="T6" fmla="*/ 2244 w 2350"/>
                              <a:gd name="T7" fmla="*/ -3642 h 668"/>
                              <a:gd name="T8" fmla="*/ 2241 w 2350"/>
                              <a:gd name="T9" fmla="*/ -3638 h 668"/>
                              <a:gd name="T10" fmla="*/ 2238 w 2350"/>
                              <a:gd name="T11" fmla="*/ -3633 h 668"/>
                              <a:gd name="T12" fmla="*/ 2240 w 2350"/>
                              <a:gd name="T13" fmla="*/ -3627 h 668"/>
                              <a:gd name="T14" fmla="*/ 2293 w 2350"/>
                              <a:gd name="T15" fmla="*/ -3596 h 668"/>
                              <a:gd name="T16" fmla="*/ 69 w 2350"/>
                              <a:gd name="T17" fmla="*/ -3596 h 668"/>
                              <a:gd name="T18" fmla="*/ 69 w 2350"/>
                              <a:gd name="T19" fmla="*/ -3827 h 668"/>
                              <a:gd name="T20" fmla="*/ 49 w 2350"/>
                              <a:gd name="T21" fmla="*/ -3827 h 668"/>
                              <a:gd name="T22" fmla="*/ 49 w 2350"/>
                              <a:gd name="T23" fmla="*/ -3217 h 668"/>
                              <a:gd name="T24" fmla="*/ 20 w 2350"/>
                              <a:gd name="T25" fmla="*/ -3265 h 668"/>
                              <a:gd name="T26" fmla="*/ 18 w 2350"/>
                              <a:gd name="T27" fmla="*/ -3270 h 668"/>
                              <a:gd name="T28" fmla="*/ 11 w 2350"/>
                              <a:gd name="T29" fmla="*/ -3271 h 668"/>
                              <a:gd name="T30" fmla="*/ 2 w 2350"/>
                              <a:gd name="T31" fmla="*/ -3266 h 668"/>
                              <a:gd name="T32" fmla="*/ 0 w 2350"/>
                              <a:gd name="T33" fmla="*/ -3260 h 668"/>
                              <a:gd name="T34" fmla="*/ 3 w 2350"/>
                              <a:gd name="T35" fmla="*/ -3255 h 668"/>
                              <a:gd name="T36" fmla="*/ 59 w 2350"/>
                              <a:gd name="T37" fmla="*/ -3159 h 668"/>
                              <a:gd name="T38" fmla="*/ 70 w 2350"/>
                              <a:gd name="T39" fmla="*/ -3179 h 668"/>
                              <a:gd name="T40" fmla="*/ 117 w 2350"/>
                              <a:gd name="T41" fmla="*/ -3260 h 668"/>
                              <a:gd name="T42" fmla="*/ 115 w 2350"/>
                              <a:gd name="T43" fmla="*/ -3266 h 668"/>
                              <a:gd name="T44" fmla="*/ 106 w 2350"/>
                              <a:gd name="T45" fmla="*/ -3271 h 668"/>
                              <a:gd name="T46" fmla="*/ 100 w 2350"/>
                              <a:gd name="T47" fmla="*/ -3270 h 668"/>
                              <a:gd name="T48" fmla="*/ 97 w 2350"/>
                              <a:gd name="T49" fmla="*/ -3265 h 668"/>
                              <a:gd name="T50" fmla="*/ 69 w 2350"/>
                              <a:gd name="T51" fmla="*/ -3217 h 668"/>
                              <a:gd name="T52" fmla="*/ 69 w 2350"/>
                              <a:gd name="T53" fmla="*/ -3576 h 668"/>
                              <a:gd name="T54" fmla="*/ 2293 w 2350"/>
                              <a:gd name="T55" fmla="*/ -3576 h 668"/>
                              <a:gd name="T56" fmla="*/ 2310 w 2350"/>
                              <a:gd name="T57" fmla="*/ -3586 h 668"/>
                              <a:gd name="T58" fmla="*/ 2245 w 2350"/>
                              <a:gd name="T59" fmla="*/ -3547 h 668"/>
                              <a:gd name="T60" fmla="*/ 2240 w 2350"/>
                              <a:gd name="T61" fmla="*/ -3545 h 668"/>
                              <a:gd name="T62" fmla="*/ 2238 w 2350"/>
                              <a:gd name="T63" fmla="*/ -3539 h 668"/>
                              <a:gd name="T64" fmla="*/ 2244 w 2350"/>
                              <a:gd name="T65" fmla="*/ -3529 h 668"/>
                              <a:gd name="T66" fmla="*/ 2250 w 2350"/>
                              <a:gd name="T67" fmla="*/ -3527 h 668"/>
                              <a:gd name="T68" fmla="*/ 2333 w 2350"/>
                              <a:gd name="T69" fmla="*/ -3576 h 668"/>
                              <a:gd name="T70" fmla="*/ 2350 w 2350"/>
                              <a:gd name="T71" fmla="*/ -3586 h 668"/>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2350" h="668">
                                <a:moveTo>
                                  <a:pt x="2350" y="241"/>
                                </a:moveTo>
                                <a:lnTo>
                                  <a:pt x="2333" y="231"/>
                                </a:lnTo>
                                <a:lnTo>
                                  <a:pt x="2250" y="183"/>
                                </a:lnTo>
                                <a:lnTo>
                                  <a:pt x="2244" y="185"/>
                                </a:lnTo>
                                <a:lnTo>
                                  <a:pt x="2241" y="189"/>
                                </a:lnTo>
                                <a:lnTo>
                                  <a:pt x="2238" y="194"/>
                                </a:lnTo>
                                <a:lnTo>
                                  <a:pt x="2240" y="200"/>
                                </a:lnTo>
                                <a:lnTo>
                                  <a:pt x="2293" y="231"/>
                                </a:lnTo>
                                <a:lnTo>
                                  <a:pt x="69" y="231"/>
                                </a:lnTo>
                                <a:lnTo>
                                  <a:pt x="69" y="0"/>
                                </a:lnTo>
                                <a:lnTo>
                                  <a:pt x="49" y="0"/>
                                </a:lnTo>
                                <a:lnTo>
                                  <a:pt x="49" y="610"/>
                                </a:lnTo>
                                <a:lnTo>
                                  <a:pt x="20" y="562"/>
                                </a:lnTo>
                                <a:lnTo>
                                  <a:pt x="18" y="557"/>
                                </a:lnTo>
                                <a:lnTo>
                                  <a:pt x="11" y="556"/>
                                </a:lnTo>
                                <a:lnTo>
                                  <a:pt x="2" y="561"/>
                                </a:lnTo>
                                <a:lnTo>
                                  <a:pt x="0" y="567"/>
                                </a:lnTo>
                                <a:lnTo>
                                  <a:pt x="3" y="572"/>
                                </a:lnTo>
                                <a:lnTo>
                                  <a:pt x="59" y="668"/>
                                </a:lnTo>
                                <a:lnTo>
                                  <a:pt x="70" y="648"/>
                                </a:lnTo>
                                <a:lnTo>
                                  <a:pt x="117" y="567"/>
                                </a:lnTo>
                                <a:lnTo>
                                  <a:pt x="115" y="561"/>
                                </a:lnTo>
                                <a:lnTo>
                                  <a:pt x="106" y="556"/>
                                </a:lnTo>
                                <a:lnTo>
                                  <a:pt x="100" y="557"/>
                                </a:lnTo>
                                <a:lnTo>
                                  <a:pt x="97" y="562"/>
                                </a:lnTo>
                                <a:lnTo>
                                  <a:pt x="69" y="610"/>
                                </a:lnTo>
                                <a:lnTo>
                                  <a:pt x="69" y="251"/>
                                </a:lnTo>
                                <a:lnTo>
                                  <a:pt x="2293" y="251"/>
                                </a:lnTo>
                                <a:lnTo>
                                  <a:pt x="2310" y="241"/>
                                </a:lnTo>
                                <a:lnTo>
                                  <a:pt x="2245" y="280"/>
                                </a:lnTo>
                                <a:lnTo>
                                  <a:pt x="2240" y="282"/>
                                </a:lnTo>
                                <a:lnTo>
                                  <a:pt x="2238" y="288"/>
                                </a:lnTo>
                                <a:lnTo>
                                  <a:pt x="2244" y="298"/>
                                </a:lnTo>
                                <a:lnTo>
                                  <a:pt x="2250" y="300"/>
                                </a:lnTo>
                                <a:lnTo>
                                  <a:pt x="2333" y="251"/>
                                </a:lnTo>
                                <a:lnTo>
                                  <a:pt x="2350" y="241"/>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Text Box 27"/>
                        <wps:cNvSpPr txBox="1">
                          <a:spLocks noChangeArrowheads="1"/>
                        </wps:cNvSpPr>
                        <wps:spPr bwMode="auto">
                          <a:xfrm>
                            <a:off x="4046" y="-1032"/>
                            <a:ext cx="1253"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4A5B53" w14:textId="77777777" w:rsidR="00525FBB" w:rsidRPr="00C51F7F" w:rsidRDefault="00525FBB" w:rsidP="00525FBB">
                              <w:pPr>
                                <w:spacing w:after="0"/>
                                <w:ind w:right="14"/>
                                <w:jc w:val="center"/>
                                <w:rPr>
                                  <w:rFonts w:cstheme="minorHAnsi"/>
                                  <w:sz w:val="16"/>
                                </w:rPr>
                              </w:pPr>
                              <w:r w:rsidRPr="00C51F7F">
                                <w:rPr>
                                  <w:rFonts w:cstheme="minorHAnsi"/>
                                  <w:color w:val="231F20"/>
                                  <w:sz w:val="16"/>
                                </w:rPr>
                                <w:t>Studies included</w:t>
                              </w:r>
                              <w:r>
                                <w:rPr>
                                  <w:rFonts w:cstheme="minorHAnsi"/>
                                  <w:color w:val="231F20"/>
                                  <w:sz w:val="16"/>
                                </w:rPr>
                                <w:t xml:space="preserve"> in </w:t>
                              </w:r>
                              <w:r w:rsidRPr="00C51F7F">
                                <w:rPr>
                                  <w:rFonts w:cstheme="minorHAnsi"/>
                                  <w:color w:val="231F20"/>
                                  <w:sz w:val="16"/>
                                </w:rPr>
                                <w:t xml:space="preserve"> review.</w:t>
                              </w:r>
                            </w:p>
                            <w:p w14:paraId="4F9E577E" w14:textId="77777777" w:rsidR="00525FBB" w:rsidRPr="00C51F7F" w:rsidRDefault="00525FBB" w:rsidP="00525FBB">
                              <w:pPr>
                                <w:spacing w:after="0"/>
                                <w:ind w:right="14"/>
                                <w:jc w:val="center"/>
                                <w:rPr>
                                  <w:rFonts w:cstheme="minorHAnsi"/>
                                  <w:sz w:val="16"/>
                                </w:rPr>
                              </w:pPr>
                              <w:r w:rsidRPr="00C51F7F">
                                <w:rPr>
                                  <w:rFonts w:cstheme="minorHAnsi"/>
                                  <w:color w:val="231F20"/>
                                  <w:sz w:val="16"/>
                                </w:rPr>
                                <w:t>(</w:t>
                              </w:r>
                              <w:r w:rsidRPr="00C51F7F">
                                <w:rPr>
                                  <w:rFonts w:cstheme="minorHAnsi"/>
                                  <w:i/>
                                  <w:color w:val="231F20"/>
                                  <w:sz w:val="16"/>
                                </w:rPr>
                                <w:t xml:space="preserve">n </w:t>
                              </w:r>
                              <w:r w:rsidRPr="00C51F7F">
                                <w:rPr>
                                  <w:rFonts w:cstheme="minorHAnsi"/>
                                  <w:color w:val="231F20"/>
                                  <w:sz w:val="16"/>
                                </w:rPr>
                                <w:t>=</w:t>
                              </w:r>
                              <w:r>
                                <w:rPr>
                                  <w:rFonts w:cstheme="minorHAnsi"/>
                                  <w:color w:val="231F20"/>
                                  <w:sz w:val="16"/>
                                </w:rPr>
                                <w:t>12</w:t>
                              </w:r>
                              <w:r w:rsidRPr="00C51F7F">
                                <w:rPr>
                                  <w:rFonts w:cstheme="minorHAnsi"/>
                                  <w:color w:val="231F20"/>
                                  <w:sz w:val="16"/>
                                </w:rPr>
                                <w:t>)</w:t>
                              </w:r>
                            </w:p>
                          </w:txbxContent>
                        </wps:txbx>
                        <wps:bodyPr rot="0" vert="horz" wrap="square" lIns="0" tIns="0" rIns="0" bIns="0" anchor="t" anchorCtr="0" upright="1">
                          <a:noAutofit/>
                        </wps:bodyPr>
                      </wps:wsp>
                      <wps:wsp>
                        <wps:cNvPr id="27" name="Text Box 28"/>
                        <wps:cNvSpPr txBox="1">
                          <a:spLocks noChangeArrowheads="1"/>
                        </wps:cNvSpPr>
                        <wps:spPr bwMode="auto">
                          <a:xfrm>
                            <a:off x="6719" y="-2438"/>
                            <a:ext cx="2493" cy="603"/>
                          </a:xfrm>
                          <a:prstGeom prst="rect">
                            <a:avLst/>
                          </a:prstGeom>
                          <a:noFill/>
                          <a:ln w="6375">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088F5C89" w14:textId="77777777" w:rsidR="00525FBB" w:rsidRPr="00C51F7F" w:rsidRDefault="00525FBB" w:rsidP="00525FBB">
                              <w:pPr>
                                <w:spacing w:before="40"/>
                                <w:ind w:left="422" w:right="231" w:hanging="222"/>
                                <w:rPr>
                                  <w:rFonts w:cstheme="minorHAnsi"/>
                                  <w:sz w:val="16"/>
                                </w:rPr>
                              </w:pPr>
                              <w:r w:rsidRPr="00C51F7F">
                                <w:rPr>
                                  <w:rFonts w:cstheme="minorHAnsi"/>
                                  <w:i/>
                                  <w:color w:val="231F20"/>
                                  <w:sz w:val="16"/>
                                </w:rPr>
                                <w:t xml:space="preserve">n </w:t>
                              </w:r>
                              <w:r w:rsidRPr="00C51F7F">
                                <w:rPr>
                                  <w:rFonts w:cstheme="minorHAnsi"/>
                                  <w:color w:val="231F20"/>
                                  <w:sz w:val="16"/>
                                </w:rPr>
                                <w:t>=</w:t>
                              </w:r>
                              <w:r>
                                <w:rPr>
                                  <w:rFonts w:cstheme="minorHAnsi"/>
                                  <w:color w:val="231F20"/>
                                  <w:sz w:val="16"/>
                                </w:rPr>
                                <w:t>25</w:t>
                              </w:r>
                              <w:r w:rsidRPr="00C51F7F">
                                <w:rPr>
                                  <w:rFonts w:cstheme="minorHAnsi"/>
                                  <w:color w:val="231F20"/>
                                  <w:sz w:val="16"/>
                                </w:rPr>
                                <w:t xml:space="preserve"> full text articles excluded after the quality appraisal</w:t>
                              </w:r>
                            </w:p>
                          </w:txbxContent>
                        </wps:txbx>
                        <wps:bodyPr rot="0" vert="horz" wrap="square" lIns="0" tIns="0" rIns="0" bIns="0" anchor="t" anchorCtr="0" upright="1">
                          <a:noAutofit/>
                        </wps:bodyPr>
                      </wps:wsp>
                      <wps:wsp>
                        <wps:cNvPr id="28" name="Text Box 29"/>
                        <wps:cNvSpPr txBox="1">
                          <a:spLocks noChangeArrowheads="1"/>
                        </wps:cNvSpPr>
                        <wps:spPr bwMode="auto">
                          <a:xfrm>
                            <a:off x="3705" y="-3161"/>
                            <a:ext cx="1917" cy="1692"/>
                          </a:xfrm>
                          <a:prstGeom prst="rect">
                            <a:avLst/>
                          </a:prstGeom>
                          <a:noFill/>
                          <a:ln w="6375">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7EDDAC7D" w14:textId="77777777" w:rsidR="00525FBB" w:rsidRPr="00C51F7F" w:rsidRDefault="00525FBB" w:rsidP="00525FBB">
                              <w:pPr>
                                <w:spacing w:before="39" w:after="0" w:line="240" w:lineRule="auto"/>
                                <w:ind w:left="138" w:right="136"/>
                                <w:jc w:val="center"/>
                                <w:rPr>
                                  <w:rFonts w:cstheme="minorHAnsi"/>
                                  <w:sz w:val="16"/>
                                </w:rPr>
                              </w:pPr>
                              <w:r w:rsidRPr="00C51F7F">
                                <w:rPr>
                                  <w:rFonts w:cstheme="minorHAnsi"/>
                                  <w:color w:val="231F20"/>
                                  <w:sz w:val="16"/>
                                </w:rPr>
                                <w:t>Full text articles assessed for eligibility.</w:t>
                              </w:r>
                            </w:p>
                            <w:p w14:paraId="192F2482" w14:textId="77777777" w:rsidR="00525FBB" w:rsidRPr="00C51F7F" w:rsidRDefault="00525FBB" w:rsidP="00525FBB">
                              <w:pPr>
                                <w:spacing w:before="2" w:after="0" w:line="240" w:lineRule="auto"/>
                                <w:ind w:left="135" w:right="136"/>
                                <w:jc w:val="center"/>
                                <w:rPr>
                                  <w:rFonts w:cstheme="minorHAnsi"/>
                                  <w:sz w:val="16"/>
                                </w:rPr>
                              </w:pPr>
                              <w:r w:rsidRPr="00C51F7F">
                                <w:rPr>
                                  <w:rFonts w:cstheme="minorHAnsi"/>
                                  <w:color w:val="231F20"/>
                                  <w:sz w:val="16"/>
                                </w:rPr>
                                <w:t>(</w:t>
                              </w:r>
                              <w:r w:rsidRPr="00C51F7F">
                                <w:rPr>
                                  <w:rFonts w:cstheme="minorHAnsi"/>
                                  <w:i/>
                                  <w:color w:val="231F20"/>
                                  <w:sz w:val="16"/>
                                </w:rPr>
                                <w:t xml:space="preserve">n </w:t>
                              </w:r>
                              <w:r w:rsidRPr="00C51F7F">
                                <w:rPr>
                                  <w:rFonts w:cstheme="minorHAnsi"/>
                                  <w:color w:val="231F20"/>
                                  <w:sz w:val="16"/>
                                </w:rPr>
                                <w:t>=</w:t>
                              </w:r>
                              <w:r>
                                <w:rPr>
                                  <w:rFonts w:cstheme="minorHAnsi"/>
                                  <w:color w:val="231F20"/>
                                  <w:sz w:val="16"/>
                                </w:rPr>
                                <w:t>34</w:t>
                              </w:r>
                              <w:r w:rsidRPr="00C51F7F">
                                <w:rPr>
                                  <w:rFonts w:cstheme="minorHAnsi"/>
                                  <w:color w:val="231F20"/>
                                  <w:sz w:val="16"/>
                                </w:rPr>
                                <w:t>)</w:t>
                              </w:r>
                            </w:p>
                            <w:p w14:paraId="409854AF" w14:textId="77777777" w:rsidR="00525FBB" w:rsidRPr="00C51F7F" w:rsidRDefault="00525FBB" w:rsidP="00525FBB">
                              <w:pPr>
                                <w:spacing w:before="1" w:after="0" w:line="240" w:lineRule="auto"/>
                                <w:ind w:left="2"/>
                                <w:jc w:val="center"/>
                                <w:rPr>
                                  <w:rFonts w:cstheme="minorHAnsi"/>
                                  <w:sz w:val="16"/>
                                </w:rPr>
                              </w:pPr>
                              <w:r w:rsidRPr="00C51F7F">
                                <w:rPr>
                                  <w:rFonts w:cstheme="minorHAnsi"/>
                                  <w:color w:val="231F20"/>
                                  <w:sz w:val="16"/>
                                </w:rPr>
                                <w:t>+</w:t>
                              </w:r>
                            </w:p>
                            <w:p w14:paraId="2EF5A607" w14:textId="77777777" w:rsidR="00525FBB" w:rsidRPr="00C51F7F" w:rsidRDefault="00525FBB" w:rsidP="00525FBB">
                              <w:pPr>
                                <w:spacing w:before="1" w:after="0" w:line="240" w:lineRule="auto"/>
                                <w:ind w:left="230" w:right="226"/>
                                <w:jc w:val="center"/>
                                <w:rPr>
                                  <w:rFonts w:cstheme="minorHAnsi"/>
                                  <w:sz w:val="16"/>
                                </w:rPr>
                              </w:pPr>
                              <w:r w:rsidRPr="00C51F7F">
                                <w:rPr>
                                  <w:rFonts w:cstheme="minorHAnsi"/>
                                  <w:i/>
                                  <w:color w:val="231F20"/>
                                  <w:sz w:val="16"/>
                                </w:rPr>
                                <w:t xml:space="preserve">n </w:t>
                              </w:r>
                              <w:r w:rsidRPr="00C51F7F">
                                <w:rPr>
                                  <w:rFonts w:cstheme="minorHAnsi"/>
                                  <w:color w:val="231F20"/>
                                  <w:sz w:val="16"/>
                                </w:rPr>
                                <w:t xml:space="preserve">= 3 articles retrieved from references lists </w:t>
                              </w:r>
                              <w:r>
                                <w:rPr>
                                  <w:rFonts w:cstheme="minorHAnsi"/>
                                  <w:color w:val="231F20"/>
                                  <w:sz w:val="16"/>
                                </w:rPr>
                                <w:t>3</w:t>
                              </w:r>
                              <w:r w:rsidRPr="00C51F7F">
                                <w:rPr>
                                  <w:rFonts w:cstheme="minorHAnsi"/>
                                  <w:color w:val="231F20"/>
                                  <w:sz w:val="16"/>
                                </w:rPr>
                                <w:t>7 articles for full text review</w:t>
                              </w:r>
                            </w:p>
                          </w:txbxContent>
                        </wps:txbx>
                        <wps:bodyPr rot="0" vert="horz" wrap="square" lIns="0" tIns="0" rIns="0" bIns="0" anchor="ctr" anchorCtr="0" upright="1">
                          <a:noAutofit/>
                        </wps:bodyPr>
                      </wps:wsp>
                      <wps:wsp>
                        <wps:cNvPr id="29" name="Text Box 30"/>
                        <wps:cNvSpPr txBox="1">
                          <a:spLocks noChangeArrowheads="1"/>
                        </wps:cNvSpPr>
                        <wps:spPr bwMode="auto">
                          <a:xfrm>
                            <a:off x="6719" y="-3948"/>
                            <a:ext cx="2533" cy="788"/>
                          </a:xfrm>
                          <a:prstGeom prst="rect">
                            <a:avLst/>
                          </a:prstGeom>
                          <a:noFill/>
                          <a:ln w="6375">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20EF15F7" w14:textId="77777777" w:rsidR="00525FBB" w:rsidRPr="00C51F7F" w:rsidRDefault="00525FBB" w:rsidP="00525FBB">
                              <w:pPr>
                                <w:spacing w:before="40" w:line="249" w:lineRule="auto"/>
                                <w:ind w:left="954" w:right="158" w:hanging="748"/>
                                <w:rPr>
                                  <w:rFonts w:cstheme="minorHAnsi"/>
                                  <w:sz w:val="16"/>
                                </w:rPr>
                              </w:pPr>
                              <w:r w:rsidRPr="00C51F7F">
                                <w:rPr>
                                  <w:rFonts w:cstheme="minorHAnsi"/>
                                  <w:i/>
                                  <w:color w:val="231F20"/>
                                  <w:sz w:val="16"/>
                                </w:rPr>
                                <w:t xml:space="preserve">n </w:t>
                              </w:r>
                              <w:r w:rsidRPr="00C51F7F">
                                <w:rPr>
                                  <w:rFonts w:cstheme="minorHAnsi"/>
                                  <w:color w:val="231F20"/>
                                  <w:sz w:val="16"/>
                                </w:rPr>
                                <w:t xml:space="preserve">= </w:t>
                              </w:r>
                              <w:r>
                                <w:rPr>
                                  <w:rFonts w:cstheme="minorHAnsi"/>
                                  <w:color w:val="231F20"/>
                                  <w:sz w:val="16"/>
                                </w:rPr>
                                <w:t>2</w:t>
                              </w:r>
                              <w:r w:rsidRPr="00C51F7F">
                                <w:rPr>
                                  <w:rFonts w:cstheme="minorHAnsi"/>
                                  <w:color w:val="231F20"/>
                                  <w:sz w:val="16"/>
                                </w:rPr>
                                <w:t>7 excluded after the full text screening</w:t>
                              </w:r>
                            </w:p>
                          </w:txbxContent>
                        </wps:txbx>
                        <wps:bodyPr rot="0" vert="horz" wrap="square" lIns="0" tIns="0" rIns="0" bIns="0" anchor="t" anchorCtr="0" upright="1">
                          <a:noAutofit/>
                        </wps:bodyPr>
                      </wps:wsp>
                      <wps:wsp>
                        <wps:cNvPr id="30" name="Text Box 31"/>
                        <wps:cNvSpPr txBox="1">
                          <a:spLocks noChangeArrowheads="1"/>
                        </wps:cNvSpPr>
                        <wps:spPr bwMode="auto">
                          <a:xfrm>
                            <a:off x="3705" y="-4792"/>
                            <a:ext cx="1897" cy="965"/>
                          </a:xfrm>
                          <a:prstGeom prst="rect">
                            <a:avLst/>
                          </a:prstGeom>
                          <a:noFill/>
                          <a:ln w="6375">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0F2A59C8" w14:textId="77777777" w:rsidR="00525FBB" w:rsidRPr="00C51F7F" w:rsidRDefault="00525FBB" w:rsidP="00525FBB">
                              <w:pPr>
                                <w:spacing w:before="40"/>
                                <w:ind w:left="321" w:right="302" w:firstLine="24"/>
                                <w:jc w:val="center"/>
                                <w:rPr>
                                  <w:rFonts w:cstheme="minorHAnsi"/>
                                  <w:sz w:val="16"/>
                                </w:rPr>
                              </w:pPr>
                              <w:r w:rsidRPr="00C51F7F">
                                <w:rPr>
                                  <w:rFonts w:cstheme="minorHAnsi"/>
                                  <w:i/>
                                  <w:color w:val="231F20"/>
                                  <w:sz w:val="16"/>
                                </w:rPr>
                                <w:t xml:space="preserve">n </w:t>
                              </w:r>
                              <w:r w:rsidRPr="00C51F7F">
                                <w:rPr>
                                  <w:rFonts w:cstheme="minorHAnsi"/>
                                  <w:color w:val="231F20"/>
                                  <w:sz w:val="16"/>
                                </w:rPr>
                                <w:t xml:space="preserve">= </w:t>
                              </w:r>
                              <w:r>
                                <w:rPr>
                                  <w:rFonts w:cstheme="minorHAnsi"/>
                                  <w:color w:val="231F20"/>
                                  <w:sz w:val="16"/>
                                </w:rPr>
                                <w:t>64</w:t>
                              </w:r>
                              <w:r w:rsidRPr="00C51F7F">
                                <w:rPr>
                                  <w:rFonts w:cstheme="minorHAnsi"/>
                                  <w:color w:val="231F20"/>
                                  <w:sz w:val="16"/>
                                </w:rPr>
                                <w:t xml:space="preserve"> articles considered for inclusion</w:t>
                              </w:r>
                            </w:p>
                          </w:txbxContent>
                        </wps:txbx>
                        <wps:bodyPr rot="0" vert="horz" wrap="square" lIns="0" tIns="0" rIns="0" bIns="0" anchor="ctr" anchorCtr="0" upright="1">
                          <a:noAutofit/>
                        </wps:bodyPr>
                      </wps:wsp>
                      <wps:wsp>
                        <wps:cNvPr id="31" name="Text Box 32"/>
                        <wps:cNvSpPr txBox="1">
                          <a:spLocks noChangeArrowheads="1"/>
                        </wps:cNvSpPr>
                        <wps:spPr bwMode="auto">
                          <a:xfrm>
                            <a:off x="6719" y="-5877"/>
                            <a:ext cx="2493" cy="1604"/>
                          </a:xfrm>
                          <a:prstGeom prst="rect">
                            <a:avLst/>
                          </a:prstGeom>
                          <a:noFill/>
                          <a:ln w="6375">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66C31835" w14:textId="77777777" w:rsidR="00525FBB" w:rsidRPr="00C51F7F" w:rsidRDefault="00525FBB" w:rsidP="00525FBB">
                              <w:pPr>
                                <w:spacing w:before="39" w:after="100" w:afterAutospacing="1" w:line="240" w:lineRule="auto"/>
                                <w:ind w:left="621" w:right="620"/>
                                <w:jc w:val="center"/>
                                <w:rPr>
                                  <w:rFonts w:cstheme="minorHAnsi"/>
                                  <w:sz w:val="16"/>
                                </w:rPr>
                              </w:pPr>
                              <w:r w:rsidRPr="00C51F7F">
                                <w:rPr>
                                  <w:rFonts w:cstheme="minorHAnsi"/>
                                  <w:i/>
                                  <w:color w:val="231F20"/>
                                  <w:sz w:val="16"/>
                                </w:rPr>
                                <w:t xml:space="preserve">n </w:t>
                              </w:r>
                              <w:r w:rsidRPr="00C51F7F">
                                <w:rPr>
                                  <w:rFonts w:cstheme="minorHAnsi"/>
                                  <w:color w:val="231F20"/>
                                  <w:sz w:val="16"/>
                                </w:rPr>
                                <w:t xml:space="preserve">= </w:t>
                              </w:r>
                              <w:r>
                                <w:rPr>
                                  <w:rFonts w:cstheme="minorHAnsi"/>
                                  <w:color w:val="231F20"/>
                                  <w:sz w:val="16"/>
                                </w:rPr>
                                <w:t>96</w:t>
                              </w:r>
                              <w:r w:rsidRPr="00C51F7F">
                                <w:rPr>
                                  <w:rFonts w:cstheme="minorHAnsi"/>
                                  <w:color w:val="231F20"/>
                                  <w:sz w:val="16"/>
                                </w:rPr>
                                <w:br/>
                                <w:t>due to duplication.</w:t>
                              </w:r>
                            </w:p>
                            <w:p w14:paraId="65849F30" w14:textId="77777777" w:rsidR="00525FBB" w:rsidRPr="00C51F7F" w:rsidRDefault="00525FBB" w:rsidP="00525FBB">
                              <w:pPr>
                                <w:spacing w:before="1" w:after="100" w:afterAutospacing="1" w:line="240" w:lineRule="auto"/>
                                <w:ind w:left="195" w:right="191" w:hanging="3"/>
                                <w:jc w:val="center"/>
                                <w:rPr>
                                  <w:rFonts w:cstheme="minorHAnsi"/>
                                  <w:sz w:val="16"/>
                                </w:rPr>
                              </w:pPr>
                              <w:r w:rsidRPr="00C51F7F">
                                <w:rPr>
                                  <w:rFonts w:cstheme="minorHAnsi"/>
                                  <w:i/>
                                  <w:color w:val="231F20"/>
                                  <w:sz w:val="16"/>
                                </w:rPr>
                                <w:t xml:space="preserve">n </w:t>
                              </w:r>
                              <w:r w:rsidRPr="00C51F7F">
                                <w:rPr>
                                  <w:rFonts w:cstheme="minorHAnsi"/>
                                  <w:color w:val="231F20"/>
                                  <w:sz w:val="16"/>
                                </w:rPr>
                                <w:t xml:space="preserve">= </w:t>
                              </w:r>
                              <w:r>
                                <w:rPr>
                                  <w:rFonts w:cstheme="minorHAnsi"/>
                                  <w:color w:val="231F20"/>
                                  <w:sz w:val="16"/>
                                </w:rPr>
                                <w:t>489</w:t>
                              </w:r>
                              <w:r w:rsidRPr="00C51F7F">
                                <w:rPr>
                                  <w:rFonts w:cstheme="minorHAnsi"/>
                                  <w:color w:val="231F20"/>
                                  <w:sz w:val="16"/>
                                </w:rPr>
                                <w:t xml:space="preserve"> excluded: did not meet inclusion criteria screening titles</w:t>
                              </w:r>
                              <w:r>
                                <w:rPr>
                                  <w:rFonts w:cstheme="minorHAnsi"/>
                                  <w:color w:val="231F20"/>
                                  <w:sz w:val="16"/>
                                </w:rPr>
                                <w:t xml:space="preserve"> </w:t>
                              </w:r>
                              <w:r w:rsidRPr="00C51F7F">
                                <w:rPr>
                                  <w:rFonts w:cstheme="minorHAnsi"/>
                                  <w:color w:val="231F20"/>
                                  <w:sz w:val="16"/>
                                </w:rPr>
                                <w:t>and abstracts</w:t>
                              </w:r>
                            </w:p>
                          </w:txbxContent>
                        </wps:txbx>
                        <wps:bodyPr rot="0" vert="horz" wrap="square" lIns="0" tIns="0" rIns="0" bIns="0" anchor="t" anchorCtr="0" upright="1">
                          <a:noAutofit/>
                        </wps:bodyPr>
                      </wps:wsp>
                      <wps:wsp>
                        <wps:cNvPr id="32" name="Text Box 33"/>
                        <wps:cNvSpPr txBox="1">
                          <a:spLocks noChangeArrowheads="1"/>
                        </wps:cNvSpPr>
                        <wps:spPr bwMode="auto">
                          <a:xfrm>
                            <a:off x="3705" y="-7083"/>
                            <a:ext cx="5426" cy="965"/>
                          </a:xfrm>
                          <a:prstGeom prst="rect">
                            <a:avLst/>
                          </a:prstGeom>
                          <a:noFill/>
                          <a:ln w="6375">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2BDBF0E5" w14:textId="77777777" w:rsidR="00525FBB" w:rsidRPr="00C51F7F" w:rsidRDefault="00525FBB" w:rsidP="00525FBB">
                              <w:pPr>
                                <w:spacing w:before="39" w:after="0" w:line="240" w:lineRule="auto"/>
                                <w:ind w:left="363" w:right="360"/>
                                <w:jc w:val="center"/>
                                <w:rPr>
                                  <w:rFonts w:cstheme="minorHAnsi"/>
                                  <w:sz w:val="18"/>
                                </w:rPr>
                              </w:pPr>
                              <w:r w:rsidRPr="00C51F7F">
                                <w:rPr>
                                  <w:rFonts w:cstheme="minorHAnsi"/>
                                  <w:color w:val="231F20"/>
                                  <w:sz w:val="18"/>
                                </w:rPr>
                                <w:t>Records identified through Academic Search:</w:t>
                              </w:r>
                            </w:p>
                            <w:p w14:paraId="2FB54FB8" w14:textId="77777777" w:rsidR="00525FBB" w:rsidRPr="00C51F7F" w:rsidRDefault="00525FBB" w:rsidP="00525FBB">
                              <w:pPr>
                                <w:spacing w:before="1" w:after="0" w:line="240" w:lineRule="auto"/>
                                <w:ind w:left="366" w:right="360"/>
                                <w:jc w:val="center"/>
                                <w:rPr>
                                  <w:rFonts w:cstheme="minorHAnsi"/>
                                  <w:sz w:val="18"/>
                                </w:rPr>
                              </w:pPr>
                              <w:r w:rsidRPr="00C51F7F">
                                <w:rPr>
                                  <w:rFonts w:cstheme="minorHAnsi"/>
                                  <w:color w:val="231F20"/>
                                  <w:sz w:val="18"/>
                                </w:rPr>
                                <w:t>PubMed, Science Direct, Google Scholar</w:t>
                              </w:r>
                              <w:r>
                                <w:rPr>
                                  <w:rFonts w:cstheme="minorHAnsi"/>
                                  <w:color w:val="231F20"/>
                                  <w:sz w:val="18"/>
                                </w:rPr>
                                <w:t xml:space="preserve"> etc</w:t>
                              </w:r>
                            </w:p>
                            <w:p w14:paraId="59C0071B" w14:textId="77777777" w:rsidR="00525FBB" w:rsidRPr="00C51F7F" w:rsidRDefault="00525FBB" w:rsidP="00525FBB">
                              <w:pPr>
                                <w:spacing w:before="2" w:after="0" w:line="240" w:lineRule="auto"/>
                                <w:ind w:left="324" w:right="360"/>
                                <w:jc w:val="center"/>
                                <w:rPr>
                                  <w:rFonts w:cstheme="minorHAnsi"/>
                                  <w:sz w:val="18"/>
                                </w:rPr>
                              </w:pPr>
                              <w:r w:rsidRPr="00C51F7F">
                                <w:rPr>
                                  <w:rFonts w:cstheme="minorHAnsi"/>
                                  <w:color w:val="231F20"/>
                                  <w:sz w:val="18"/>
                                </w:rPr>
                                <w:t>(</w:t>
                              </w:r>
                              <w:r w:rsidRPr="00C51F7F">
                                <w:rPr>
                                  <w:rFonts w:cstheme="minorHAnsi"/>
                                  <w:i/>
                                  <w:color w:val="231F20"/>
                                  <w:sz w:val="18"/>
                                </w:rPr>
                                <w:t xml:space="preserve">n </w:t>
                              </w:r>
                              <w:r w:rsidRPr="00C51F7F">
                                <w:rPr>
                                  <w:rFonts w:cstheme="minorHAnsi"/>
                                  <w:color w:val="231F20"/>
                                  <w:sz w:val="18"/>
                                </w:rPr>
                                <w:t>=</w:t>
                              </w:r>
                              <w:r>
                                <w:rPr>
                                  <w:rFonts w:cstheme="minorHAnsi"/>
                                  <w:color w:val="231F20"/>
                                  <w:sz w:val="18"/>
                                </w:rPr>
                                <w:t>649</w:t>
                              </w:r>
                              <w:r w:rsidRPr="00C51F7F">
                                <w:rPr>
                                  <w:rFonts w:cstheme="minorHAnsi"/>
                                  <w:color w:val="231F20"/>
                                  <w:sz w:val="18"/>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DBCA8D" id="Group 17" o:spid="_x0000_s1027" style="position:absolute;margin-left:149.85pt;margin-top:11.35pt;width:339.9pt;height:347pt;z-index:251662336;mso-position-horizontal-relative:page" coordorigin="2454,-7083" coordsize="6798,69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8" type="#_x0000_t75" style="position:absolute;left:2454;top:-6678;width:4286;height:65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">
                  <v:imagedata r:id="rId9" o:title=""/>
                </v:shape>
                <v:shape id="AutoShape 20" o:spid="_x0000_s1029" style="position:absolute;left:3674;top:-6118;width:3046;height:5970;visibility:visible;mso-wrap-style:square;v-text-anchor:top" coordsize="3046,5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" path="m1928,5025r-12,l1916,5037r,872l60,5909r,-872l1916,5037r,-12l48,5025r,896l1928,5921r,-12l1928,5037r,-12xm1976,5007r-2,-11l1967,4986r-9,-6l1946,4977r-6,l1940,5013r,920l36,5933r,-920l1940,5013r,-36l30,4977r-12,3l9,4986r-7,10l,5007r,932l2,5951r7,10l18,5967r12,3l1946,5970r12,-3l1967,5961r7,-10l1976,5939r,-6l1976,5013r,-6xm3045,3982r-17,-10l2949,3927r-4,-3l2939,3926r-3,4l2933,3935r2,6l2988,3972r-1028,l1960,3992r1028,l2935,4023r-2,6l2939,4039r6,2l3028,3992r17,-10xm3045,603r-17,-10l2950,547r-5,-2l2939,546r-6,10l2935,562r53,31l884,594,884,,864,r,1270l864,1307r,-37l833,1217r-6,-2l817,1221r-1,6l819,1231r55,96l886,1307r44,-76l933,1227r-2,-6l921,1215r-6,2l884,1270r,-656l2988,613r-49,28l2935,644r-2,6l2939,660r6,2l3045,603xe" fillcolor="#231f20" stroked="f">
                  <v:path arrowok="t" o:connecttype="custom" o:connectlocs="1916,-1093;1916,-209;60,-1081;1916,-1093;48,-197;1928,-209;1928,-1093;1974,-1122;1958,-1138;1940,-1141;1940,-185;36,-1105;1940,-1141;18,-1138;2,-1122;0,-179;9,-157;30,-148;1958,-151;1974,-167;1976,-185;1976,-1111;3028,-2146;2945,-2194;2936,-2188;2935,-2177;1960,-2146;2988,-2126;2933,-2089;2945,-2077;3045,-2136;3028,-5525;2945,-5573;2933,-5562;2988,-5525;884,-6118;864,-4848;864,-4848;827,-4903;816,-4891;874,-4791;930,-4887;931,-4897;915,-4901;884,-4848;2988,-5505;2935,-5474;2939,-5458;3045,-5515" o:connectangles="0,0,0,0,0,0,0,0,0,0,0,0,0,0,0,0,0,0,0,0,0,0,0,0,0,0,0,0,0,0,0,0,0,0,0,0,0,0,0,0,0,0,0,0,0,0,0,0,0"/>
                </v:shape>
                <v:shape id="Picture 21" o:spid="_x0000_s1030" type="#_x0000_t75" style="position:absolute;left:4490;top:-1473;width:117;height: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">
                  <v:imagedata r:id="rId10" o:title=""/>
                </v:shape>
                <v:shape id="Freeform 22" o:spid="_x0000_s1031" style="position:absolute;left:2499;top:-6656;width:483;height:1086;visibility:visible;mso-wrap-style:square;v-text-anchor:top" coordsize="483,1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" path="m81,1085r-32,-6l24,1062,6,1036,,1005,,81,6,49,24,24,49,6,81,,402,r31,6l459,24r17,25l482,81r,924l476,1036r-17,26l433,1079r-31,6l81,1085xe" filled="f" strokecolor="#231f20" strokeweight=".17708mm">
                  <v:path arrowok="t" o:connecttype="custom" o:connectlocs="81,-5571;49,-5577;24,-5594;6,-5620;0,-5651;0,-6575;6,-6607;24,-6632;49,-6650;81,-6656;402,-6656;433,-6650;459,-6632;476,-6607;482,-6575;482,-5651;476,-5620;459,-5594;433,-5577;402,-5571;81,-5571" o:connectangles="0,0,0,0,0,0,0,0,0,0,0,0,0,0,0,0,0,0,0,0,0"/>
                </v:shape>
                <v:shape id="Freeform 23" o:spid="_x0000_s1032" style="position:absolute;left:2499;top:-5024;width:483;height:1568;visibility:visible;mso-wrap-style:square;v-text-anchor:top" coordsize="483,1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" path="m81,1568r-32,-6l24,1544,6,1519,,1487,,81,6,49,24,24,49,6,81,,402,r31,6l459,24r17,25l482,81r,1406l476,1519r-17,25l433,1562r-31,6l81,1568xe" filled="f" strokecolor="#231f20" strokeweight=".17708mm">
                  <v:path arrowok="t" o:connecttype="custom" o:connectlocs="81,-3456;49,-3462;24,-3480;6,-3505;0,-3537;0,-4943;6,-4975;24,-5000;49,-5018;81,-5024;402,-5024;433,-5018;459,-5000;476,-4975;482,-4943;482,-3537;476,-3505;459,-3480;433,-3462;402,-3456;81,-3456" o:connectangles="0,0,0,0,0,0,0,0,0,0,0,0,0,0,0,0,0,0,0,0,0"/>
                </v:shape>
                <v:shape id="Freeform 24" o:spid="_x0000_s1033" style="position:absolute;left:2499;top:-2976;width:483;height:1086;visibility:visible;mso-wrap-style:square;v-text-anchor:top" coordsize="483,1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" path="m81,1085r-32,-6l24,1061,6,1036,,1005,,80,6,49,24,23,49,6,81,,402,r31,6l459,23r17,26l482,80r,925l476,1036r-17,25l433,1079r-31,6l81,1085xe" filled="f" strokecolor="#231f20" strokeweight=".17708mm">
                  <v:path arrowok="t" o:connecttype="custom" o:connectlocs="81,-1890;49,-1896;24,-1914;6,-1939;0,-1970;0,-2895;6,-2926;24,-2952;49,-2969;81,-2975;402,-2975;433,-2969;459,-2952;476,-2926;482,-2895;482,-1970;476,-1939;459,-1914;433,-1896;402,-1890;81,-1890" o:connectangles="0,0,0,0,0,0,0,0,0,0,0,0,0,0,0,0,0,0,0,0,0"/>
                </v:shape>
                <v:shape id="Freeform 25" o:spid="_x0000_s1034" style="position:absolute;left:2499;top:-1165;width:483;height:965;visibility:visible;mso-wrap-style:square;v-text-anchor:top" coordsize="483,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" path="m81,965l49,959,24,941,6,916,,885,,81,6,49,24,24,49,6,81,,402,r31,6l459,24r17,25l482,81r,804l476,916r-17,25l433,959r-31,6l81,965xe" filled="f" strokecolor="#231f20" strokeweight=".17708mm">
                  <v:path arrowok="t" o:connecttype="custom" o:connectlocs="81,-200;49,-206;24,-224;6,-249;0,-280;0,-1084;6,-1116;24,-1141;49,-1159;81,-1165;402,-1165;433,-1159;459,-1141;476,-1116;482,-1084;482,-280;476,-249;459,-224;433,-206;402,-200;81,-200" o:connectangles="0,0,0,0,0,0,0,0,0,0,0,0,0,0,0,0,0,0,0,0,0"/>
                </v:shape>
                <v:shape id="Freeform 26" o:spid="_x0000_s1035" style="position:absolute;left:4370;top:-3827;width:2350;height:668;visibility:visible;mso-wrap-style:square;v-text-anchor:top" coordsize="235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" path="m2350,241r-17,-10l2250,183r-6,2l2241,189r-3,5l2240,200r53,31l69,231,69,,49,r,610l20,562r-2,-5l11,556r-9,5l,567r3,5l59,668,70,648r47,-81l115,561r-9,-5l100,557r-3,5l69,610r,-359l2293,251r17,-10l2245,280r-5,2l2238,288r6,10l2250,300r83,-49l2350,241xe" fillcolor="#231f20" stroked="f">
                  <v:path arrowok="t" o:connecttype="custom" o:connectlocs="2350,-3586;2333,-3596;2250,-3644;2244,-3642;2241,-3638;2238,-3633;2240,-3627;2293,-3596;69,-3596;69,-3827;49,-3827;49,-3217;20,-3265;18,-3270;11,-3271;2,-3266;0,-3260;3,-3255;59,-3159;70,-3179;117,-3260;115,-3266;106,-3271;100,-3270;97,-3265;69,-3217;69,-3576;2293,-3576;2310,-3586;2245,-3547;2240,-3545;2238,-3539;2244,-3529;2250,-3527;2333,-3576;2350,-3586" o:connectangles="0,0,0,0,0,0,0,0,0,0,0,0,0,0,0,0,0,0,0,0,0,0,0,0,0,0,0,0,0,0,0,0,0,0,0,0"/>
                </v:shape>
                <v:shape id="Text Box 27" o:spid="_x0000_s1036" type="#_x0000_t202" style="position:absolute;left:4046;top:-1032;width:1253;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504A5B53" w14:textId="77777777" w:rsidR="00525FBB" w:rsidRPr="00C51F7F" w:rsidRDefault="00525FBB" w:rsidP="00525FBB">
                        <w:pPr>
                          <w:spacing w:after="0"/>
                          <w:ind w:right="14"/>
                          <w:jc w:val="center"/>
                          <w:rPr>
                            <w:rFonts w:cstheme="minorHAnsi"/>
                            <w:sz w:val="16"/>
                          </w:rPr>
                        </w:pPr>
                        <w:r w:rsidRPr="00C51F7F">
                          <w:rPr>
                            <w:rFonts w:cstheme="minorHAnsi"/>
                            <w:color w:val="231F20"/>
                            <w:sz w:val="16"/>
                          </w:rPr>
                          <w:t>Studies included</w:t>
                        </w:r>
                        <w:r>
                          <w:rPr>
                            <w:rFonts w:cstheme="minorHAnsi"/>
                            <w:color w:val="231F20"/>
                            <w:sz w:val="16"/>
                          </w:rPr>
                          <w:t xml:space="preserve"> in </w:t>
                        </w:r>
                        <w:r w:rsidRPr="00C51F7F">
                          <w:rPr>
                            <w:rFonts w:cstheme="minorHAnsi"/>
                            <w:color w:val="231F20"/>
                            <w:sz w:val="16"/>
                          </w:rPr>
                          <w:t xml:space="preserve"> review.</w:t>
                        </w:r>
                      </w:p>
                      <w:p w14:paraId="4F9E577E" w14:textId="77777777" w:rsidR="00525FBB" w:rsidRPr="00C51F7F" w:rsidRDefault="00525FBB" w:rsidP="00525FBB">
                        <w:pPr>
                          <w:spacing w:after="0"/>
                          <w:ind w:right="14"/>
                          <w:jc w:val="center"/>
                          <w:rPr>
                            <w:rFonts w:cstheme="minorHAnsi"/>
                            <w:sz w:val="16"/>
                          </w:rPr>
                        </w:pPr>
                        <w:r w:rsidRPr="00C51F7F">
                          <w:rPr>
                            <w:rFonts w:cstheme="minorHAnsi"/>
                            <w:color w:val="231F20"/>
                            <w:sz w:val="16"/>
                          </w:rPr>
                          <w:t>(</w:t>
                        </w:r>
                        <w:r w:rsidRPr="00C51F7F">
                          <w:rPr>
                            <w:rFonts w:cstheme="minorHAnsi"/>
                            <w:i/>
                            <w:color w:val="231F20"/>
                            <w:sz w:val="16"/>
                          </w:rPr>
                          <w:t xml:space="preserve">n </w:t>
                        </w:r>
                        <w:r w:rsidRPr="00C51F7F">
                          <w:rPr>
                            <w:rFonts w:cstheme="minorHAnsi"/>
                            <w:color w:val="231F20"/>
                            <w:sz w:val="16"/>
                          </w:rPr>
                          <w:t>=</w:t>
                        </w:r>
                        <w:r>
                          <w:rPr>
                            <w:rFonts w:cstheme="minorHAnsi"/>
                            <w:color w:val="231F20"/>
                            <w:sz w:val="16"/>
                          </w:rPr>
                          <w:t>12</w:t>
                        </w:r>
                        <w:r w:rsidRPr="00C51F7F">
                          <w:rPr>
                            <w:rFonts w:cstheme="minorHAnsi"/>
                            <w:color w:val="231F20"/>
                            <w:sz w:val="16"/>
                          </w:rPr>
                          <w:t>)</w:t>
                        </w:r>
                      </w:p>
                    </w:txbxContent>
                  </v:textbox>
                </v:shape>
                <v:shape id="Text Box 28" o:spid="_x0000_s1037" type="#_x0000_t202" style="position:absolute;left:6719;top:-2438;width:2493;height: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" filled="f" strokecolor="#231f20" strokeweight=".17708mm">
                  <v:textbox inset="0,0,0,0">
                    <w:txbxContent>
                      <w:p w14:paraId="088F5C89" w14:textId="77777777" w:rsidR="00525FBB" w:rsidRPr="00C51F7F" w:rsidRDefault="00525FBB" w:rsidP="00525FBB">
                        <w:pPr>
                          <w:spacing w:before="40"/>
                          <w:ind w:left="422" w:right="231" w:hanging="222"/>
                          <w:rPr>
                            <w:rFonts w:cstheme="minorHAnsi"/>
                            <w:sz w:val="16"/>
                          </w:rPr>
                        </w:pPr>
                        <w:r w:rsidRPr="00C51F7F">
                          <w:rPr>
                            <w:rFonts w:cstheme="minorHAnsi"/>
                            <w:i/>
                            <w:color w:val="231F20"/>
                            <w:sz w:val="16"/>
                          </w:rPr>
                          <w:t xml:space="preserve">n </w:t>
                        </w:r>
                        <w:r w:rsidRPr="00C51F7F">
                          <w:rPr>
                            <w:rFonts w:cstheme="minorHAnsi"/>
                            <w:color w:val="231F20"/>
                            <w:sz w:val="16"/>
                          </w:rPr>
                          <w:t>=</w:t>
                        </w:r>
                        <w:r>
                          <w:rPr>
                            <w:rFonts w:cstheme="minorHAnsi"/>
                            <w:color w:val="231F20"/>
                            <w:sz w:val="16"/>
                          </w:rPr>
                          <w:t>25</w:t>
                        </w:r>
                        <w:r w:rsidRPr="00C51F7F">
                          <w:rPr>
                            <w:rFonts w:cstheme="minorHAnsi"/>
                            <w:color w:val="231F20"/>
                            <w:sz w:val="16"/>
                          </w:rPr>
                          <w:t xml:space="preserve"> full text articles excluded after the quality appraisal</w:t>
                        </w:r>
                      </w:p>
                    </w:txbxContent>
                  </v:textbox>
                </v:shape>
                <v:shape id="Text Box 29" o:spid="_x0000_s1038" type="#_x0000_t202" style="position:absolute;left:3705;top:-3161;width:1917;height:1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" filled="f" strokecolor="#231f20" strokeweight=".17708mm">
                  <v:textbox inset="0,0,0,0">
                    <w:txbxContent>
                      <w:p w14:paraId="7EDDAC7D" w14:textId="77777777" w:rsidR="00525FBB" w:rsidRPr="00C51F7F" w:rsidRDefault="00525FBB" w:rsidP="00525FBB">
                        <w:pPr>
                          <w:spacing w:before="39" w:after="0" w:line="240" w:lineRule="auto"/>
                          <w:ind w:left="138" w:right="136"/>
                          <w:jc w:val="center"/>
                          <w:rPr>
                            <w:rFonts w:cstheme="minorHAnsi"/>
                            <w:sz w:val="16"/>
                          </w:rPr>
                        </w:pPr>
                        <w:r w:rsidRPr="00C51F7F">
                          <w:rPr>
                            <w:rFonts w:cstheme="minorHAnsi"/>
                            <w:color w:val="231F20"/>
                            <w:sz w:val="16"/>
                          </w:rPr>
                          <w:t>Full text articles assessed for eligibility.</w:t>
                        </w:r>
                      </w:p>
                      <w:p w14:paraId="192F2482" w14:textId="77777777" w:rsidR="00525FBB" w:rsidRPr="00C51F7F" w:rsidRDefault="00525FBB" w:rsidP="00525FBB">
                        <w:pPr>
                          <w:spacing w:before="2" w:after="0" w:line="240" w:lineRule="auto"/>
                          <w:ind w:left="135" w:right="136"/>
                          <w:jc w:val="center"/>
                          <w:rPr>
                            <w:rFonts w:cstheme="minorHAnsi"/>
                            <w:sz w:val="16"/>
                          </w:rPr>
                        </w:pPr>
                        <w:r w:rsidRPr="00C51F7F">
                          <w:rPr>
                            <w:rFonts w:cstheme="minorHAnsi"/>
                            <w:color w:val="231F20"/>
                            <w:sz w:val="16"/>
                          </w:rPr>
                          <w:t>(</w:t>
                        </w:r>
                        <w:r w:rsidRPr="00C51F7F">
                          <w:rPr>
                            <w:rFonts w:cstheme="minorHAnsi"/>
                            <w:i/>
                            <w:color w:val="231F20"/>
                            <w:sz w:val="16"/>
                          </w:rPr>
                          <w:t xml:space="preserve">n </w:t>
                        </w:r>
                        <w:r w:rsidRPr="00C51F7F">
                          <w:rPr>
                            <w:rFonts w:cstheme="minorHAnsi"/>
                            <w:color w:val="231F20"/>
                            <w:sz w:val="16"/>
                          </w:rPr>
                          <w:t>=</w:t>
                        </w:r>
                        <w:r>
                          <w:rPr>
                            <w:rFonts w:cstheme="minorHAnsi"/>
                            <w:color w:val="231F20"/>
                            <w:sz w:val="16"/>
                          </w:rPr>
                          <w:t>34</w:t>
                        </w:r>
                        <w:r w:rsidRPr="00C51F7F">
                          <w:rPr>
                            <w:rFonts w:cstheme="minorHAnsi"/>
                            <w:color w:val="231F20"/>
                            <w:sz w:val="16"/>
                          </w:rPr>
                          <w:t>)</w:t>
                        </w:r>
                      </w:p>
                      <w:p w14:paraId="409854AF" w14:textId="77777777" w:rsidR="00525FBB" w:rsidRPr="00C51F7F" w:rsidRDefault="00525FBB" w:rsidP="00525FBB">
                        <w:pPr>
                          <w:spacing w:before="1" w:after="0" w:line="240" w:lineRule="auto"/>
                          <w:ind w:left="2"/>
                          <w:jc w:val="center"/>
                          <w:rPr>
                            <w:rFonts w:cstheme="minorHAnsi"/>
                            <w:sz w:val="16"/>
                          </w:rPr>
                        </w:pPr>
                        <w:r w:rsidRPr="00C51F7F">
                          <w:rPr>
                            <w:rFonts w:cstheme="minorHAnsi"/>
                            <w:color w:val="231F20"/>
                            <w:sz w:val="16"/>
                          </w:rPr>
                          <w:t>+</w:t>
                        </w:r>
                      </w:p>
                      <w:p w14:paraId="2EF5A607" w14:textId="77777777" w:rsidR="00525FBB" w:rsidRPr="00C51F7F" w:rsidRDefault="00525FBB" w:rsidP="00525FBB">
                        <w:pPr>
                          <w:spacing w:before="1" w:after="0" w:line="240" w:lineRule="auto"/>
                          <w:ind w:left="230" w:right="226"/>
                          <w:jc w:val="center"/>
                          <w:rPr>
                            <w:rFonts w:cstheme="minorHAnsi"/>
                            <w:sz w:val="16"/>
                          </w:rPr>
                        </w:pPr>
                        <w:r w:rsidRPr="00C51F7F">
                          <w:rPr>
                            <w:rFonts w:cstheme="minorHAnsi"/>
                            <w:i/>
                            <w:color w:val="231F20"/>
                            <w:sz w:val="16"/>
                          </w:rPr>
                          <w:t xml:space="preserve">n </w:t>
                        </w:r>
                        <w:r w:rsidRPr="00C51F7F">
                          <w:rPr>
                            <w:rFonts w:cstheme="minorHAnsi"/>
                            <w:color w:val="231F20"/>
                            <w:sz w:val="16"/>
                          </w:rPr>
                          <w:t xml:space="preserve">= 3 articles retrieved from references lists </w:t>
                        </w:r>
                        <w:r>
                          <w:rPr>
                            <w:rFonts w:cstheme="minorHAnsi"/>
                            <w:color w:val="231F20"/>
                            <w:sz w:val="16"/>
                          </w:rPr>
                          <w:t>3</w:t>
                        </w:r>
                        <w:r w:rsidRPr="00C51F7F">
                          <w:rPr>
                            <w:rFonts w:cstheme="minorHAnsi"/>
                            <w:color w:val="231F20"/>
                            <w:sz w:val="16"/>
                          </w:rPr>
                          <w:t>7 articles for full text review</w:t>
                        </w:r>
                      </w:p>
                    </w:txbxContent>
                  </v:textbox>
                </v:shape>
                <v:shape id="Text Box 30" o:spid="_x0000_s1039" type="#_x0000_t202" style="position:absolute;left:6719;top:-3948;width:2533;height: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" filled="f" strokecolor="#231f20" strokeweight=".17708mm">
                  <v:textbox inset="0,0,0,0">
                    <w:txbxContent>
                      <w:p w14:paraId="20EF15F7" w14:textId="77777777" w:rsidR="00525FBB" w:rsidRPr="00C51F7F" w:rsidRDefault="00525FBB" w:rsidP="00525FBB">
                        <w:pPr>
                          <w:spacing w:before="40" w:line="249" w:lineRule="auto"/>
                          <w:ind w:left="954" w:right="158" w:hanging="748"/>
                          <w:rPr>
                            <w:rFonts w:cstheme="minorHAnsi"/>
                            <w:sz w:val="16"/>
                          </w:rPr>
                        </w:pPr>
                        <w:r w:rsidRPr="00C51F7F">
                          <w:rPr>
                            <w:rFonts w:cstheme="minorHAnsi"/>
                            <w:i/>
                            <w:color w:val="231F20"/>
                            <w:sz w:val="16"/>
                          </w:rPr>
                          <w:t xml:space="preserve">n </w:t>
                        </w:r>
                        <w:r w:rsidRPr="00C51F7F">
                          <w:rPr>
                            <w:rFonts w:cstheme="minorHAnsi"/>
                            <w:color w:val="231F20"/>
                            <w:sz w:val="16"/>
                          </w:rPr>
                          <w:t xml:space="preserve">= </w:t>
                        </w:r>
                        <w:r>
                          <w:rPr>
                            <w:rFonts w:cstheme="minorHAnsi"/>
                            <w:color w:val="231F20"/>
                            <w:sz w:val="16"/>
                          </w:rPr>
                          <w:t>2</w:t>
                        </w:r>
                        <w:r w:rsidRPr="00C51F7F">
                          <w:rPr>
                            <w:rFonts w:cstheme="minorHAnsi"/>
                            <w:color w:val="231F20"/>
                            <w:sz w:val="16"/>
                          </w:rPr>
                          <w:t>7 excluded after the full text screening</w:t>
                        </w:r>
                      </w:p>
                    </w:txbxContent>
                  </v:textbox>
                </v:shape>
                <v:shape id="Text Box 31" o:spid="_x0000_s1040" type="#_x0000_t202" style="position:absolute;left:3705;top:-4792;width:1897;height:9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" filled="f" strokecolor="#231f20" strokeweight=".17708mm">
                  <v:textbox inset="0,0,0,0">
                    <w:txbxContent>
                      <w:p w14:paraId="0F2A59C8" w14:textId="77777777" w:rsidR="00525FBB" w:rsidRPr="00C51F7F" w:rsidRDefault="00525FBB" w:rsidP="00525FBB">
                        <w:pPr>
                          <w:spacing w:before="40"/>
                          <w:ind w:left="321" w:right="302" w:firstLine="24"/>
                          <w:jc w:val="center"/>
                          <w:rPr>
                            <w:rFonts w:cstheme="minorHAnsi"/>
                            <w:sz w:val="16"/>
                          </w:rPr>
                        </w:pPr>
                        <w:r w:rsidRPr="00C51F7F">
                          <w:rPr>
                            <w:rFonts w:cstheme="minorHAnsi"/>
                            <w:i/>
                            <w:color w:val="231F20"/>
                            <w:sz w:val="16"/>
                          </w:rPr>
                          <w:t xml:space="preserve">n </w:t>
                        </w:r>
                        <w:r w:rsidRPr="00C51F7F">
                          <w:rPr>
                            <w:rFonts w:cstheme="minorHAnsi"/>
                            <w:color w:val="231F20"/>
                            <w:sz w:val="16"/>
                          </w:rPr>
                          <w:t xml:space="preserve">= </w:t>
                        </w:r>
                        <w:r>
                          <w:rPr>
                            <w:rFonts w:cstheme="minorHAnsi"/>
                            <w:color w:val="231F20"/>
                            <w:sz w:val="16"/>
                          </w:rPr>
                          <w:t>64</w:t>
                        </w:r>
                        <w:r w:rsidRPr="00C51F7F">
                          <w:rPr>
                            <w:rFonts w:cstheme="minorHAnsi"/>
                            <w:color w:val="231F20"/>
                            <w:sz w:val="16"/>
                          </w:rPr>
                          <w:t xml:space="preserve"> articles considered for inclusion</w:t>
                        </w:r>
                      </w:p>
                    </w:txbxContent>
                  </v:textbox>
                </v:shape>
                <v:shape id="Text Box 32" o:spid="_x0000_s1041" type="#_x0000_t202" style="position:absolute;left:6719;top:-5877;width:2493;height:1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" filled="f" strokecolor="#231f20" strokeweight=".17708mm">
                  <v:textbox inset="0,0,0,0">
                    <w:txbxContent>
                      <w:p w14:paraId="66C31835" w14:textId="77777777" w:rsidR="00525FBB" w:rsidRPr="00C51F7F" w:rsidRDefault="00525FBB" w:rsidP="00525FBB">
                        <w:pPr>
                          <w:spacing w:before="39" w:after="100" w:afterAutospacing="1" w:line="240" w:lineRule="auto"/>
                          <w:ind w:left="621" w:right="620"/>
                          <w:jc w:val="center"/>
                          <w:rPr>
                            <w:rFonts w:cstheme="minorHAnsi"/>
                            <w:sz w:val="16"/>
                          </w:rPr>
                        </w:pPr>
                        <w:r w:rsidRPr="00C51F7F">
                          <w:rPr>
                            <w:rFonts w:cstheme="minorHAnsi"/>
                            <w:i/>
                            <w:color w:val="231F20"/>
                            <w:sz w:val="16"/>
                          </w:rPr>
                          <w:t xml:space="preserve">n </w:t>
                        </w:r>
                        <w:r w:rsidRPr="00C51F7F">
                          <w:rPr>
                            <w:rFonts w:cstheme="minorHAnsi"/>
                            <w:color w:val="231F20"/>
                            <w:sz w:val="16"/>
                          </w:rPr>
                          <w:t xml:space="preserve">= </w:t>
                        </w:r>
                        <w:r>
                          <w:rPr>
                            <w:rFonts w:cstheme="minorHAnsi"/>
                            <w:color w:val="231F20"/>
                            <w:sz w:val="16"/>
                          </w:rPr>
                          <w:t>96</w:t>
                        </w:r>
                        <w:r w:rsidRPr="00C51F7F">
                          <w:rPr>
                            <w:rFonts w:cstheme="minorHAnsi"/>
                            <w:color w:val="231F20"/>
                            <w:sz w:val="16"/>
                          </w:rPr>
                          <w:br/>
                          <w:t>due to duplication.</w:t>
                        </w:r>
                      </w:p>
                      <w:p w14:paraId="65849F30" w14:textId="77777777" w:rsidR="00525FBB" w:rsidRPr="00C51F7F" w:rsidRDefault="00525FBB" w:rsidP="00525FBB">
                        <w:pPr>
                          <w:spacing w:before="1" w:after="100" w:afterAutospacing="1" w:line="240" w:lineRule="auto"/>
                          <w:ind w:left="195" w:right="191" w:hanging="3"/>
                          <w:jc w:val="center"/>
                          <w:rPr>
                            <w:rFonts w:cstheme="minorHAnsi"/>
                            <w:sz w:val="16"/>
                          </w:rPr>
                        </w:pPr>
                        <w:r w:rsidRPr="00C51F7F">
                          <w:rPr>
                            <w:rFonts w:cstheme="minorHAnsi"/>
                            <w:i/>
                            <w:color w:val="231F20"/>
                            <w:sz w:val="16"/>
                          </w:rPr>
                          <w:t xml:space="preserve">n </w:t>
                        </w:r>
                        <w:r w:rsidRPr="00C51F7F">
                          <w:rPr>
                            <w:rFonts w:cstheme="minorHAnsi"/>
                            <w:color w:val="231F20"/>
                            <w:sz w:val="16"/>
                          </w:rPr>
                          <w:t xml:space="preserve">= </w:t>
                        </w:r>
                        <w:r>
                          <w:rPr>
                            <w:rFonts w:cstheme="minorHAnsi"/>
                            <w:color w:val="231F20"/>
                            <w:sz w:val="16"/>
                          </w:rPr>
                          <w:t>489</w:t>
                        </w:r>
                        <w:r w:rsidRPr="00C51F7F">
                          <w:rPr>
                            <w:rFonts w:cstheme="minorHAnsi"/>
                            <w:color w:val="231F20"/>
                            <w:sz w:val="16"/>
                          </w:rPr>
                          <w:t xml:space="preserve"> excluded: did not meet inclusion criteria screening titles</w:t>
                        </w:r>
                        <w:r>
                          <w:rPr>
                            <w:rFonts w:cstheme="minorHAnsi"/>
                            <w:color w:val="231F20"/>
                            <w:sz w:val="16"/>
                          </w:rPr>
                          <w:t xml:space="preserve"> </w:t>
                        </w:r>
                        <w:r w:rsidRPr="00C51F7F">
                          <w:rPr>
                            <w:rFonts w:cstheme="minorHAnsi"/>
                            <w:color w:val="231F20"/>
                            <w:sz w:val="16"/>
                          </w:rPr>
                          <w:t>and abstracts</w:t>
                        </w:r>
                      </w:p>
                    </w:txbxContent>
                  </v:textbox>
                </v:shape>
                <v:shape id="Text Box 33" o:spid="_x0000_s1042" type="#_x0000_t202" style="position:absolute;left:3705;top:-7083;width:5426;height: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" filled="f" strokecolor="#231f20" strokeweight=".17708mm">
                  <v:textbox inset="0,0,0,0">
                    <w:txbxContent>
                      <w:p w14:paraId="2BDBF0E5" w14:textId="77777777" w:rsidR="00525FBB" w:rsidRPr="00C51F7F" w:rsidRDefault="00525FBB" w:rsidP="00525FBB">
                        <w:pPr>
                          <w:spacing w:before="39" w:after="0" w:line="240" w:lineRule="auto"/>
                          <w:ind w:left="363" w:right="360"/>
                          <w:jc w:val="center"/>
                          <w:rPr>
                            <w:rFonts w:cstheme="minorHAnsi"/>
                            <w:sz w:val="18"/>
                          </w:rPr>
                        </w:pPr>
                        <w:r w:rsidRPr="00C51F7F">
                          <w:rPr>
                            <w:rFonts w:cstheme="minorHAnsi"/>
                            <w:color w:val="231F20"/>
                            <w:sz w:val="18"/>
                          </w:rPr>
                          <w:t>Records identified through Academic Search:</w:t>
                        </w:r>
                      </w:p>
                      <w:p w14:paraId="2FB54FB8" w14:textId="77777777" w:rsidR="00525FBB" w:rsidRPr="00C51F7F" w:rsidRDefault="00525FBB" w:rsidP="00525FBB">
                        <w:pPr>
                          <w:spacing w:before="1" w:after="0" w:line="240" w:lineRule="auto"/>
                          <w:ind w:left="366" w:right="360"/>
                          <w:jc w:val="center"/>
                          <w:rPr>
                            <w:rFonts w:cstheme="minorHAnsi"/>
                            <w:sz w:val="18"/>
                          </w:rPr>
                        </w:pPr>
                        <w:r w:rsidRPr="00C51F7F">
                          <w:rPr>
                            <w:rFonts w:cstheme="minorHAnsi"/>
                            <w:color w:val="231F20"/>
                            <w:sz w:val="18"/>
                          </w:rPr>
                          <w:t>PubMed, Science Direct, Google Scholar</w:t>
                        </w:r>
                        <w:r>
                          <w:rPr>
                            <w:rFonts w:cstheme="minorHAnsi"/>
                            <w:color w:val="231F20"/>
                            <w:sz w:val="18"/>
                          </w:rPr>
                          <w:t xml:space="preserve"> etc</w:t>
                        </w:r>
                      </w:p>
                      <w:p w14:paraId="59C0071B" w14:textId="77777777" w:rsidR="00525FBB" w:rsidRPr="00C51F7F" w:rsidRDefault="00525FBB" w:rsidP="00525FBB">
                        <w:pPr>
                          <w:spacing w:before="2" w:after="0" w:line="240" w:lineRule="auto"/>
                          <w:ind w:left="324" w:right="360"/>
                          <w:jc w:val="center"/>
                          <w:rPr>
                            <w:rFonts w:cstheme="minorHAnsi"/>
                            <w:sz w:val="18"/>
                          </w:rPr>
                        </w:pPr>
                        <w:r w:rsidRPr="00C51F7F">
                          <w:rPr>
                            <w:rFonts w:cstheme="minorHAnsi"/>
                            <w:color w:val="231F20"/>
                            <w:sz w:val="18"/>
                          </w:rPr>
                          <w:t>(</w:t>
                        </w:r>
                        <w:r w:rsidRPr="00C51F7F">
                          <w:rPr>
                            <w:rFonts w:cstheme="minorHAnsi"/>
                            <w:i/>
                            <w:color w:val="231F20"/>
                            <w:sz w:val="18"/>
                          </w:rPr>
                          <w:t xml:space="preserve">n </w:t>
                        </w:r>
                        <w:r w:rsidRPr="00C51F7F">
                          <w:rPr>
                            <w:rFonts w:cstheme="minorHAnsi"/>
                            <w:color w:val="231F20"/>
                            <w:sz w:val="18"/>
                          </w:rPr>
                          <w:t>=</w:t>
                        </w:r>
                        <w:r>
                          <w:rPr>
                            <w:rFonts w:cstheme="minorHAnsi"/>
                            <w:color w:val="231F20"/>
                            <w:sz w:val="18"/>
                          </w:rPr>
                          <w:t>649</w:t>
                        </w:r>
                        <w:r w:rsidRPr="00C51F7F">
                          <w:rPr>
                            <w:rFonts w:cstheme="minorHAnsi"/>
                            <w:color w:val="231F20"/>
                            <w:sz w:val="18"/>
                          </w:rPr>
                          <w:t>)</w:t>
                        </w:r>
                      </w:p>
                    </w:txbxContent>
                  </v:textbox>
                </v:shape>
                <w10:wrap anchorx="page"/>
              </v:group>
            </w:pict>
          </mc:Fallback>
        </mc:AlternateContent>
      </w:r>
    </w:p>
    <w:p w14:paraId="6EF43A36" w14:textId="77777777" w:rsidR="00525FBB" w:rsidRPr="00525FBB" w:rsidRDefault="00525FBB" w:rsidP="00525FBB">
      <w:pPr>
        <w:spacing w:line="276" w:lineRule="auto"/>
        <w:jc w:val="right"/>
        <w:rPr>
          <w:rFonts w:asciiTheme="majorBidi" w:hAnsiTheme="majorBidi" w:cstheme="majorBidi"/>
          <w:sz w:val="24"/>
          <w:szCs w:val="24"/>
        </w:rPr>
      </w:pPr>
    </w:p>
    <w:p w14:paraId="2A6A2194" w14:textId="77777777" w:rsidR="00525FBB" w:rsidRPr="00525FBB" w:rsidRDefault="00525FBB" w:rsidP="00525FBB">
      <w:pPr>
        <w:spacing w:line="276" w:lineRule="auto"/>
        <w:jc w:val="right"/>
        <w:rPr>
          <w:rFonts w:asciiTheme="majorBidi" w:hAnsiTheme="majorBidi" w:cstheme="majorBidi"/>
          <w:sz w:val="24"/>
          <w:szCs w:val="24"/>
        </w:rPr>
      </w:pPr>
    </w:p>
    <w:p w14:paraId="4496FD43" w14:textId="77777777" w:rsidR="00525FBB" w:rsidRPr="00525FBB" w:rsidRDefault="00525FBB" w:rsidP="00525FBB">
      <w:pPr>
        <w:spacing w:line="276" w:lineRule="auto"/>
        <w:jc w:val="right"/>
        <w:rPr>
          <w:rFonts w:asciiTheme="majorBidi" w:hAnsiTheme="majorBidi" w:cstheme="majorBidi"/>
          <w:sz w:val="24"/>
          <w:szCs w:val="24"/>
        </w:rPr>
      </w:pPr>
    </w:p>
    <w:p w14:paraId="6F7ECCA7"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noProof/>
          <w:sz w:val="24"/>
          <w:szCs w:val="24"/>
        </w:rPr>
        <mc:AlternateContent>
          <mc:Choice Requires="wps">
            <w:drawing>
              <wp:anchor distT="45720" distB="45720" distL="114300" distR="114300" simplePos="0" relativeHeight="251664384" behindDoc="0" locked="0" layoutInCell="1" allowOverlap="1" wp14:anchorId="5632E77C" wp14:editId="79E75876">
                <wp:simplePos x="0" y="0"/>
                <wp:positionH relativeFrom="column">
                  <wp:posOffset>1012987</wp:posOffset>
                </wp:positionH>
                <wp:positionV relativeFrom="paragraph">
                  <wp:posOffset>191770</wp:posOffset>
                </wp:positionV>
                <wp:extent cx="2360930" cy="1020445"/>
                <wp:effectExtent l="0" t="0" r="0" b="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20445"/>
                        </a:xfrm>
                        <a:prstGeom prst="rect">
                          <a:avLst/>
                        </a:prstGeom>
                        <a:noFill/>
                        <a:ln w="9525">
                          <a:noFill/>
                          <a:miter lim="800000"/>
                          <a:headEnd/>
                          <a:tailEnd/>
                        </a:ln>
                      </wps:spPr>
                      <wps:txbx>
                        <w:txbxContent>
                          <w:p w14:paraId="36DD78AA" w14:textId="77777777" w:rsidR="00525FBB" w:rsidRPr="009E4D82" w:rsidRDefault="00525FBB" w:rsidP="00525FBB">
                            <w:pPr>
                              <w:jc w:val="center"/>
                              <w:rPr>
                                <w:b/>
                                <w:bCs/>
                                <w:sz w:val="16"/>
                                <w:szCs w:val="16"/>
                              </w:rPr>
                            </w:pPr>
                            <w:r>
                              <w:rPr>
                                <w:b/>
                                <w:bCs/>
                                <w:sz w:val="16"/>
                                <w:szCs w:val="16"/>
                              </w:rPr>
                              <w:t>SCREENING</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w14:anchorId="5632E77C" id="_x0000_s1043" type="#_x0000_t202" style="position:absolute;margin-left:79.75pt;margin-top:15.1pt;width:185.9pt;height:80.35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" filled="f" stroked="f">
                <v:textbox style="layout-flow:vertical;mso-layout-flow-alt:bottom-to-top;mso-fit-shape-to-text:t">
                  <w:txbxContent>
                    <w:p w14:paraId="36DD78AA" w14:textId="77777777" w:rsidR="00525FBB" w:rsidRPr="009E4D82" w:rsidRDefault="00525FBB" w:rsidP="00525FBB">
                      <w:pPr>
                        <w:jc w:val="center"/>
                        <w:rPr>
                          <w:b/>
                          <w:bCs/>
                          <w:sz w:val="16"/>
                          <w:szCs w:val="16"/>
                        </w:rPr>
                      </w:pPr>
                      <w:r>
                        <w:rPr>
                          <w:b/>
                          <w:bCs/>
                          <w:sz w:val="16"/>
                          <w:szCs w:val="16"/>
                        </w:rPr>
                        <w:t>SCREENING</w:t>
                      </w:r>
                    </w:p>
                  </w:txbxContent>
                </v:textbox>
                <w10:wrap type="square"/>
              </v:shape>
            </w:pict>
          </mc:Fallback>
        </mc:AlternateContent>
      </w:r>
    </w:p>
    <w:p w14:paraId="6E7E1049" w14:textId="77777777" w:rsidR="00525FBB" w:rsidRPr="00525FBB" w:rsidRDefault="00525FBB" w:rsidP="00525FBB">
      <w:pPr>
        <w:spacing w:line="276" w:lineRule="auto"/>
        <w:jc w:val="right"/>
        <w:rPr>
          <w:rFonts w:asciiTheme="majorBidi" w:hAnsiTheme="majorBidi" w:cstheme="majorBidi"/>
          <w:sz w:val="24"/>
          <w:szCs w:val="24"/>
        </w:rPr>
      </w:pPr>
    </w:p>
    <w:p w14:paraId="7543B6D4" w14:textId="77777777" w:rsidR="00525FBB" w:rsidRPr="00525FBB" w:rsidRDefault="00525FBB" w:rsidP="00525FBB">
      <w:pPr>
        <w:spacing w:line="276" w:lineRule="auto"/>
        <w:jc w:val="right"/>
        <w:rPr>
          <w:rFonts w:asciiTheme="majorBidi" w:hAnsiTheme="majorBidi" w:cstheme="majorBidi"/>
          <w:sz w:val="24"/>
          <w:szCs w:val="24"/>
        </w:rPr>
      </w:pPr>
    </w:p>
    <w:p w14:paraId="41C9DC06" w14:textId="77777777" w:rsidR="00525FBB" w:rsidRPr="00525FBB" w:rsidRDefault="00525FBB" w:rsidP="00525FBB">
      <w:pPr>
        <w:spacing w:line="276" w:lineRule="auto"/>
        <w:jc w:val="right"/>
        <w:rPr>
          <w:rFonts w:asciiTheme="majorBidi" w:hAnsiTheme="majorBidi" w:cstheme="majorBidi"/>
          <w:sz w:val="24"/>
          <w:szCs w:val="24"/>
        </w:rPr>
      </w:pPr>
    </w:p>
    <w:p w14:paraId="780AB981"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noProof/>
          <w:sz w:val="24"/>
          <w:szCs w:val="24"/>
        </w:rPr>
        <mc:AlternateContent>
          <mc:Choice Requires="wps">
            <w:drawing>
              <wp:anchor distT="45720" distB="45720" distL="114300" distR="114300" simplePos="0" relativeHeight="251665408" behindDoc="0" locked="0" layoutInCell="1" allowOverlap="1" wp14:anchorId="3B398D98" wp14:editId="29F9DB42">
                <wp:simplePos x="0" y="0"/>
                <wp:positionH relativeFrom="column">
                  <wp:posOffset>1012352</wp:posOffset>
                </wp:positionH>
                <wp:positionV relativeFrom="paragraph">
                  <wp:posOffset>252095</wp:posOffset>
                </wp:positionV>
                <wp:extent cx="2360930" cy="673100"/>
                <wp:effectExtent l="0" t="0" r="0" b="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73100"/>
                        </a:xfrm>
                        <a:prstGeom prst="rect">
                          <a:avLst/>
                        </a:prstGeom>
                        <a:noFill/>
                        <a:ln w="9525">
                          <a:noFill/>
                          <a:miter lim="800000"/>
                          <a:headEnd/>
                          <a:tailEnd/>
                        </a:ln>
                      </wps:spPr>
                      <wps:txbx>
                        <w:txbxContent>
                          <w:p w14:paraId="696AF423" w14:textId="77777777" w:rsidR="00525FBB" w:rsidRPr="009E4D82" w:rsidRDefault="00525FBB" w:rsidP="00525FBB">
                            <w:pPr>
                              <w:jc w:val="center"/>
                              <w:rPr>
                                <w:b/>
                                <w:bCs/>
                                <w:sz w:val="16"/>
                                <w:szCs w:val="16"/>
                              </w:rPr>
                            </w:pPr>
                            <w:r>
                              <w:rPr>
                                <w:b/>
                                <w:bCs/>
                                <w:sz w:val="16"/>
                                <w:szCs w:val="16"/>
                              </w:rPr>
                              <w:t>ELIGIBILITY</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w14:anchorId="3B398D98" id="_x0000_s1044" type="#_x0000_t202" style="position:absolute;margin-left:79.7pt;margin-top:19.85pt;width:185.9pt;height:53pt;z-index:2516654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" filled="f" stroked="f">
                <v:textbox style="layout-flow:vertical;mso-layout-flow-alt:bottom-to-top;mso-fit-shape-to-text:t">
                  <w:txbxContent>
                    <w:p w14:paraId="696AF423" w14:textId="77777777" w:rsidR="00525FBB" w:rsidRPr="009E4D82" w:rsidRDefault="00525FBB" w:rsidP="00525FBB">
                      <w:pPr>
                        <w:jc w:val="center"/>
                        <w:rPr>
                          <w:b/>
                          <w:bCs/>
                          <w:sz w:val="16"/>
                          <w:szCs w:val="16"/>
                        </w:rPr>
                      </w:pPr>
                      <w:r>
                        <w:rPr>
                          <w:b/>
                          <w:bCs/>
                          <w:sz w:val="16"/>
                          <w:szCs w:val="16"/>
                        </w:rPr>
                        <w:t>ELIGIBILITY</w:t>
                      </w:r>
                    </w:p>
                  </w:txbxContent>
                </v:textbox>
                <w10:wrap type="square"/>
              </v:shape>
            </w:pict>
          </mc:Fallback>
        </mc:AlternateContent>
      </w:r>
    </w:p>
    <w:p w14:paraId="4E7B7636" w14:textId="77777777" w:rsidR="00525FBB" w:rsidRPr="00525FBB" w:rsidRDefault="00525FBB" w:rsidP="00525FBB">
      <w:pPr>
        <w:spacing w:line="276" w:lineRule="auto"/>
        <w:jc w:val="right"/>
        <w:rPr>
          <w:rFonts w:asciiTheme="majorBidi" w:hAnsiTheme="majorBidi" w:cstheme="majorBidi"/>
          <w:sz w:val="24"/>
          <w:szCs w:val="24"/>
        </w:rPr>
      </w:pPr>
    </w:p>
    <w:p w14:paraId="7172C244" w14:textId="77777777" w:rsidR="00525FBB" w:rsidRPr="00525FBB" w:rsidRDefault="00525FBB" w:rsidP="00525FBB">
      <w:pPr>
        <w:spacing w:line="276" w:lineRule="auto"/>
        <w:jc w:val="right"/>
        <w:rPr>
          <w:rFonts w:asciiTheme="majorBidi" w:hAnsiTheme="majorBidi" w:cstheme="majorBidi"/>
          <w:sz w:val="24"/>
          <w:szCs w:val="24"/>
        </w:rPr>
      </w:pPr>
    </w:p>
    <w:p w14:paraId="5A93A3F0" w14:textId="77777777" w:rsidR="00525FBB" w:rsidRPr="00525FBB" w:rsidRDefault="00525FBB" w:rsidP="00525FBB">
      <w:pPr>
        <w:spacing w:line="276" w:lineRule="auto"/>
        <w:jc w:val="right"/>
        <w:rPr>
          <w:rFonts w:asciiTheme="majorBidi" w:hAnsiTheme="majorBidi" w:cstheme="majorBidi"/>
          <w:sz w:val="24"/>
          <w:szCs w:val="24"/>
        </w:rPr>
      </w:pPr>
    </w:p>
    <w:p w14:paraId="6D050421" w14:textId="77777777" w:rsidR="00525FBB" w:rsidRPr="00525FBB" w:rsidRDefault="00525FBB" w:rsidP="00525FBB">
      <w:pPr>
        <w:spacing w:line="276" w:lineRule="auto"/>
        <w:jc w:val="right"/>
        <w:rPr>
          <w:rFonts w:asciiTheme="majorBidi" w:hAnsiTheme="majorBidi" w:cstheme="majorBidi"/>
          <w:sz w:val="24"/>
          <w:szCs w:val="24"/>
        </w:rPr>
      </w:pPr>
    </w:p>
    <w:p w14:paraId="747C4CF0"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noProof/>
          <w:sz w:val="24"/>
          <w:szCs w:val="24"/>
        </w:rPr>
        <mc:AlternateContent>
          <mc:Choice Requires="wps">
            <w:drawing>
              <wp:anchor distT="45720" distB="45720" distL="114300" distR="114300" simplePos="0" relativeHeight="251666432" behindDoc="0" locked="0" layoutInCell="1" allowOverlap="1" wp14:anchorId="715D410D" wp14:editId="219573E7">
                <wp:simplePos x="0" y="0"/>
                <wp:positionH relativeFrom="column">
                  <wp:posOffset>1021080</wp:posOffset>
                </wp:positionH>
                <wp:positionV relativeFrom="paragraph">
                  <wp:posOffset>8890</wp:posOffset>
                </wp:positionV>
                <wp:extent cx="2360930" cy="562610"/>
                <wp:effectExtent l="0" t="0" r="0" b="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62610"/>
                        </a:xfrm>
                        <a:prstGeom prst="rect">
                          <a:avLst/>
                        </a:prstGeom>
                        <a:noFill/>
                        <a:ln w="9525">
                          <a:noFill/>
                          <a:miter lim="800000"/>
                          <a:headEnd/>
                          <a:tailEnd/>
                        </a:ln>
                      </wps:spPr>
                      <wps:txbx>
                        <w:txbxContent>
                          <w:p w14:paraId="4724CF83" w14:textId="77777777" w:rsidR="00525FBB" w:rsidRPr="009E4D82" w:rsidRDefault="00525FBB" w:rsidP="00525FBB">
                            <w:pPr>
                              <w:jc w:val="center"/>
                              <w:rPr>
                                <w:b/>
                                <w:bCs/>
                                <w:sz w:val="16"/>
                                <w:szCs w:val="16"/>
                              </w:rPr>
                            </w:pPr>
                            <w:r>
                              <w:rPr>
                                <w:b/>
                                <w:bCs/>
                                <w:sz w:val="16"/>
                                <w:szCs w:val="16"/>
                              </w:rPr>
                              <w:t>INCLUDED</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w14:anchorId="715D410D" id="_x0000_s1045" type="#_x0000_t202" style="position:absolute;margin-left:80.4pt;margin-top:.7pt;width:185.9pt;height:44.3pt;z-index:25166643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" filled="f" stroked="f">
                <v:textbox style="layout-flow:vertical;mso-layout-flow-alt:bottom-to-top;mso-fit-shape-to-text:t">
                  <w:txbxContent>
                    <w:p w14:paraId="4724CF83" w14:textId="77777777" w:rsidR="00525FBB" w:rsidRPr="009E4D82" w:rsidRDefault="00525FBB" w:rsidP="00525FBB">
                      <w:pPr>
                        <w:jc w:val="center"/>
                        <w:rPr>
                          <w:b/>
                          <w:bCs/>
                          <w:sz w:val="16"/>
                          <w:szCs w:val="16"/>
                        </w:rPr>
                      </w:pPr>
                      <w:r>
                        <w:rPr>
                          <w:b/>
                          <w:bCs/>
                          <w:sz w:val="16"/>
                          <w:szCs w:val="16"/>
                        </w:rPr>
                        <w:t>INCLUDED</w:t>
                      </w:r>
                    </w:p>
                  </w:txbxContent>
                </v:textbox>
                <w10:wrap type="square"/>
              </v:shape>
            </w:pict>
          </mc:Fallback>
        </mc:AlternateContent>
      </w:r>
    </w:p>
    <w:p w14:paraId="5FA08334" w14:textId="77777777" w:rsidR="00525FBB" w:rsidRPr="00525FBB" w:rsidRDefault="00525FBB" w:rsidP="00525FBB">
      <w:pPr>
        <w:spacing w:line="276" w:lineRule="auto"/>
        <w:jc w:val="right"/>
        <w:rPr>
          <w:rFonts w:asciiTheme="majorBidi" w:hAnsiTheme="majorBidi" w:cstheme="majorBidi"/>
          <w:sz w:val="24"/>
          <w:szCs w:val="24"/>
        </w:rPr>
      </w:pPr>
    </w:p>
    <w:p w14:paraId="55C5CA6E" w14:textId="30314AB9" w:rsidR="00A55D84" w:rsidRDefault="00A55D84" w:rsidP="00A55D84">
      <w:pPr>
        <w:spacing w:after="0" w:line="480" w:lineRule="auto"/>
        <w:jc w:val="right"/>
        <w:rPr>
          <w:rFonts w:asciiTheme="majorBidi" w:hAnsiTheme="majorBidi" w:cstheme="majorBidi"/>
          <w:b/>
          <w:bCs/>
          <w:sz w:val="24"/>
          <w:szCs w:val="24"/>
        </w:rPr>
      </w:pPr>
    </w:p>
    <w:p w14:paraId="6E0C6E3A" w14:textId="4B891DAA" w:rsidR="00A55D84" w:rsidRPr="00525FBB" w:rsidRDefault="00A55D84" w:rsidP="00A55D84">
      <w:pPr>
        <w:spacing w:after="0" w:line="480" w:lineRule="auto"/>
        <w:jc w:val="right"/>
        <w:rPr>
          <w:rFonts w:asciiTheme="majorBidi" w:hAnsiTheme="majorBidi" w:cstheme="majorBidi"/>
          <w:b/>
          <w:bCs/>
          <w:sz w:val="24"/>
          <w:szCs w:val="24"/>
        </w:rPr>
      </w:pPr>
      <w:r>
        <w:rPr>
          <w:rFonts w:asciiTheme="majorBidi" w:hAnsiTheme="majorBidi" w:cstheme="majorBidi"/>
          <w:b/>
          <w:bCs/>
          <w:sz w:val="24"/>
          <w:szCs w:val="24"/>
        </w:rPr>
        <w:t>Result:</w:t>
      </w:r>
    </w:p>
    <w:p w14:paraId="21018C05" w14:textId="75E9A501" w:rsidR="00A55D84" w:rsidRPr="00525FBB" w:rsidRDefault="00525FBB" w:rsidP="00A55D84">
      <w:pPr>
        <w:spacing w:after="0" w:line="480" w:lineRule="auto"/>
        <w:jc w:val="right"/>
        <w:rPr>
          <w:rFonts w:asciiTheme="majorBidi" w:hAnsiTheme="majorBidi" w:cstheme="majorBidi"/>
          <w:sz w:val="24"/>
          <w:szCs w:val="24"/>
        </w:rPr>
      </w:pPr>
      <w:r w:rsidRPr="00525FBB">
        <w:rPr>
          <w:rFonts w:asciiTheme="majorBidi" w:hAnsiTheme="majorBidi" w:cstheme="majorBidi"/>
          <w:sz w:val="24"/>
          <w:szCs w:val="24"/>
        </w:rPr>
        <w:lastRenderedPageBreak/>
        <w:tab/>
        <w:t>The studies were analyzed and the information extracted was placed in a data table for analytic purposes. (Table 2). All the studies were from Saudi Arabia, with 3 of them highlighting the Eastern regions. Most of the studies considered the healthcare reforms from the Health transformation programs part of Vision 2030. The transformation of healthcare in Saudi Arabia, driven primarily by Vision 2030, is central to the country’s aim to diversify its economy and ensure the sustainability of its healthcare systems. Over the past few years, various studies have explored the multifaceted aspects of this transformation, focusing on key themes, challenges, opportunities, and mitigative strategies. This section summarizes the findings across 12 studies, highlighting recurring trends and providing insights into the current state and future direction of Saudi healthcare reform.</w:t>
      </w:r>
    </w:p>
    <w:p w14:paraId="6370AEB7" w14:textId="5A259FEB" w:rsidR="00525FBB" w:rsidRPr="00525FBB" w:rsidRDefault="00525FBB" w:rsidP="00525FBB">
      <w:pPr>
        <w:spacing w:after="0" w:line="480" w:lineRule="auto"/>
        <w:jc w:val="right"/>
        <w:rPr>
          <w:rFonts w:asciiTheme="majorBidi" w:hAnsiTheme="majorBidi" w:cstheme="majorBidi"/>
          <w:b/>
          <w:bCs/>
          <w:sz w:val="24"/>
          <w:szCs w:val="24"/>
          <w:u w:val="single"/>
        </w:rPr>
      </w:pPr>
      <w:r w:rsidRPr="00525FBB">
        <w:rPr>
          <w:rFonts w:asciiTheme="majorBidi" w:hAnsiTheme="majorBidi" w:cstheme="majorBidi"/>
          <w:b/>
          <w:bCs/>
          <w:sz w:val="24"/>
          <w:szCs w:val="24"/>
          <w:u w:val="single"/>
        </w:rPr>
        <w:t>Table 2</w:t>
      </w:r>
      <w:r w:rsidR="00A55D84">
        <w:rPr>
          <w:rFonts w:asciiTheme="majorBidi" w:hAnsiTheme="majorBidi" w:cstheme="majorBidi"/>
          <w:b/>
          <w:bCs/>
          <w:sz w:val="24"/>
          <w:szCs w:val="24"/>
          <w:u w:val="single"/>
        </w:rPr>
        <w:t>: Review of Studies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0"/>
        <w:gridCol w:w="1020"/>
        <w:gridCol w:w="764"/>
        <w:gridCol w:w="764"/>
        <w:gridCol w:w="764"/>
        <w:gridCol w:w="764"/>
        <w:gridCol w:w="764"/>
        <w:gridCol w:w="764"/>
        <w:gridCol w:w="764"/>
        <w:gridCol w:w="764"/>
        <w:gridCol w:w="760"/>
      </w:tblGrid>
      <w:tr w:rsidR="00525FBB" w:rsidRPr="00525FBB" w14:paraId="507EB12B" w14:textId="77777777" w:rsidTr="006C25DC">
        <w:trPr>
          <w:trHeight w:val="20"/>
        </w:trPr>
        <w:tc>
          <w:tcPr>
            <w:tcW w:w="527" w:type="pct"/>
            <w:shd w:val="clear" w:color="auto" w:fill="auto"/>
            <w:vAlign w:val="center"/>
            <w:hideMark/>
          </w:tcPr>
          <w:p w14:paraId="74EBA142"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Author(s)</w:t>
            </w:r>
          </w:p>
          <w:p w14:paraId="0E9647B5"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 xml:space="preserve">Year </w:t>
            </w:r>
          </w:p>
          <w:p w14:paraId="36499F6E"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Country</w:t>
            </w:r>
          </w:p>
          <w:p w14:paraId="41760D09"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Region</w:t>
            </w:r>
          </w:p>
        </w:tc>
        <w:tc>
          <w:tcPr>
            <w:tcW w:w="578" w:type="pct"/>
            <w:shd w:val="clear" w:color="auto" w:fill="auto"/>
            <w:vAlign w:val="center"/>
            <w:hideMark/>
          </w:tcPr>
          <w:p w14:paraId="68DEF672"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Health Program</w:t>
            </w:r>
          </w:p>
        </w:tc>
        <w:tc>
          <w:tcPr>
            <w:tcW w:w="433" w:type="pct"/>
            <w:shd w:val="clear" w:color="auto" w:fill="auto"/>
            <w:vAlign w:val="center"/>
            <w:hideMark/>
          </w:tcPr>
          <w:p w14:paraId="4CA16DFF"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Risk Assessment Approach</w:t>
            </w:r>
          </w:p>
        </w:tc>
        <w:tc>
          <w:tcPr>
            <w:tcW w:w="433" w:type="pct"/>
            <w:shd w:val="clear" w:color="auto" w:fill="auto"/>
            <w:vAlign w:val="center"/>
            <w:hideMark/>
          </w:tcPr>
          <w:p w14:paraId="6805AFC5"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Key Challenges</w:t>
            </w:r>
          </w:p>
        </w:tc>
        <w:tc>
          <w:tcPr>
            <w:tcW w:w="433" w:type="pct"/>
            <w:shd w:val="clear" w:color="auto" w:fill="auto"/>
            <w:vAlign w:val="center"/>
            <w:hideMark/>
          </w:tcPr>
          <w:p w14:paraId="3D34F421"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Opportunities</w:t>
            </w:r>
          </w:p>
        </w:tc>
        <w:tc>
          <w:tcPr>
            <w:tcW w:w="433" w:type="pct"/>
            <w:shd w:val="clear" w:color="auto" w:fill="auto"/>
            <w:vAlign w:val="center"/>
            <w:hideMark/>
          </w:tcPr>
          <w:p w14:paraId="33866E7B"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Mitigative Strategies</w:t>
            </w:r>
          </w:p>
        </w:tc>
        <w:tc>
          <w:tcPr>
            <w:tcW w:w="433" w:type="pct"/>
            <w:shd w:val="clear" w:color="auto" w:fill="auto"/>
            <w:vAlign w:val="center"/>
            <w:hideMark/>
          </w:tcPr>
          <w:p w14:paraId="47492C04"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Data Sources</w:t>
            </w:r>
          </w:p>
        </w:tc>
        <w:tc>
          <w:tcPr>
            <w:tcW w:w="433" w:type="pct"/>
            <w:shd w:val="clear" w:color="auto" w:fill="auto"/>
            <w:vAlign w:val="center"/>
            <w:hideMark/>
          </w:tcPr>
          <w:p w14:paraId="5D2A6C4B"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Key Findings</w:t>
            </w:r>
          </w:p>
        </w:tc>
        <w:tc>
          <w:tcPr>
            <w:tcW w:w="433" w:type="pct"/>
            <w:shd w:val="clear" w:color="auto" w:fill="auto"/>
            <w:vAlign w:val="center"/>
            <w:hideMark/>
          </w:tcPr>
          <w:p w14:paraId="3F896717"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Recommendations</w:t>
            </w:r>
          </w:p>
        </w:tc>
        <w:tc>
          <w:tcPr>
            <w:tcW w:w="433" w:type="pct"/>
            <w:shd w:val="clear" w:color="auto" w:fill="auto"/>
            <w:vAlign w:val="center"/>
            <w:hideMark/>
          </w:tcPr>
          <w:p w14:paraId="1544C223"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Limitations</w:t>
            </w:r>
          </w:p>
        </w:tc>
        <w:tc>
          <w:tcPr>
            <w:tcW w:w="433" w:type="pct"/>
            <w:shd w:val="clear" w:color="auto" w:fill="auto"/>
            <w:vAlign w:val="center"/>
            <w:hideMark/>
          </w:tcPr>
          <w:p w14:paraId="09D877F5"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Implications for Saudi Healthcare</w:t>
            </w:r>
          </w:p>
        </w:tc>
      </w:tr>
      <w:tr w:rsidR="00525FBB" w:rsidRPr="00525FBB" w14:paraId="486400B2" w14:textId="77777777" w:rsidTr="006C25DC">
        <w:trPr>
          <w:trHeight w:val="20"/>
        </w:trPr>
        <w:tc>
          <w:tcPr>
            <w:tcW w:w="527" w:type="pct"/>
            <w:shd w:val="clear" w:color="auto" w:fill="auto"/>
            <w:vAlign w:val="center"/>
            <w:hideMark/>
          </w:tcPr>
          <w:p w14:paraId="275F9D2F"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Ahmed et al</w:t>
            </w:r>
          </w:p>
          <w:p w14:paraId="1A1DD065"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2024</w:t>
            </w:r>
          </w:p>
          <w:p w14:paraId="04D06EA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Arabia</w:t>
            </w:r>
          </w:p>
          <w:p w14:paraId="4B3122AE"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p>
        </w:tc>
        <w:tc>
          <w:tcPr>
            <w:tcW w:w="578" w:type="pct"/>
            <w:shd w:val="clear" w:color="auto" w:fill="auto"/>
            <w:vAlign w:val="center"/>
            <w:hideMark/>
          </w:tcPr>
          <w:p w14:paraId="370C4148"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Healthcare Transformation under Vision 2030</w:t>
            </w:r>
          </w:p>
        </w:tc>
        <w:tc>
          <w:tcPr>
            <w:tcW w:w="433" w:type="pct"/>
            <w:shd w:val="clear" w:color="auto" w:fill="auto"/>
            <w:vAlign w:val="center"/>
            <w:hideMark/>
          </w:tcPr>
          <w:p w14:paraId="6C31395A"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Not explicitly mentioned, but implied through assessment of challenges and opportunities in healthc</w:t>
            </w:r>
            <w:r w:rsidRPr="00525FBB">
              <w:rPr>
                <w:rFonts w:asciiTheme="majorBidi" w:eastAsia="Times New Roman" w:hAnsiTheme="majorBidi" w:cstheme="majorBidi"/>
                <w:color w:val="000000"/>
                <w:kern w:val="0"/>
                <w:sz w:val="24"/>
                <w:szCs w:val="24"/>
                <w14:ligatures w14:val="none"/>
              </w:rPr>
              <w:lastRenderedPageBreak/>
              <w:t>are transformation</w:t>
            </w:r>
          </w:p>
        </w:tc>
        <w:tc>
          <w:tcPr>
            <w:tcW w:w="433" w:type="pct"/>
            <w:shd w:val="clear" w:color="auto" w:fill="auto"/>
            <w:vAlign w:val="center"/>
            <w:hideMark/>
          </w:tcPr>
          <w:p w14:paraId="37721580"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 xml:space="preserve">High healthcare costs, low health literacy, limited healthcare infrastructure in rural areas, and workforce </w:t>
            </w:r>
            <w:r w:rsidRPr="00525FBB">
              <w:rPr>
                <w:rFonts w:asciiTheme="majorBidi" w:eastAsia="Times New Roman" w:hAnsiTheme="majorBidi" w:cstheme="majorBidi"/>
                <w:color w:val="000000"/>
                <w:kern w:val="0"/>
                <w:sz w:val="24"/>
                <w:szCs w:val="24"/>
                <w14:ligatures w14:val="none"/>
              </w:rPr>
              <w:lastRenderedPageBreak/>
              <w:t>shortages</w:t>
            </w:r>
          </w:p>
        </w:tc>
        <w:tc>
          <w:tcPr>
            <w:tcW w:w="433" w:type="pct"/>
            <w:shd w:val="clear" w:color="auto" w:fill="auto"/>
            <w:vAlign w:val="center"/>
            <w:hideMark/>
          </w:tcPr>
          <w:p w14:paraId="2EAFA73E"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Leveraging technology (e-health, telemedicine), public medical education, and professional citizen owners</w:t>
            </w:r>
            <w:r w:rsidRPr="00525FBB">
              <w:rPr>
                <w:rFonts w:asciiTheme="majorBidi" w:eastAsia="Times New Roman" w:hAnsiTheme="majorBidi" w:cstheme="majorBidi"/>
                <w:color w:val="000000"/>
                <w:kern w:val="0"/>
                <w:sz w:val="24"/>
                <w:szCs w:val="24"/>
                <w14:ligatures w14:val="none"/>
              </w:rPr>
              <w:lastRenderedPageBreak/>
              <w:t>hip of health</w:t>
            </w:r>
          </w:p>
        </w:tc>
        <w:tc>
          <w:tcPr>
            <w:tcW w:w="433" w:type="pct"/>
            <w:shd w:val="clear" w:color="auto" w:fill="auto"/>
            <w:vAlign w:val="center"/>
            <w:hideMark/>
          </w:tcPr>
          <w:p w14:paraId="23AFC3E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Adoption of value-based care, public-private partnerships, healthcare reforms, ecosystem collaboration</w:t>
            </w:r>
          </w:p>
        </w:tc>
        <w:tc>
          <w:tcPr>
            <w:tcW w:w="433" w:type="pct"/>
            <w:shd w:val="clear" w:color="auto" w:fill="auto"/>
            <w:vAlign w:val="center"/>
            <w:hideMark/>
          </w:tcPr>
          <w:p w14:paraId="28FB283F"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Government reports, literature reviews, and relevant healthcare transformation case studies</w:t>
            </w:r>
          </w:p>
        </w:tc>
        <w:tc>
          <w:tcPr>
            <w:tcW w:w="433" w:type="pct"/>
            <w:shd w:val="clear" w:color="auto" w:fill="auto"/>
            <w:vAlign w:val="center"/>
            <w:hideMark/>
          </w:tcPr>
          <w:p w14:paraId="4643BC9F"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Opportunities lie in technology integration, public health education, and ecosystem-based healthcare transformation</w:t>
            </w:r>
          </w:p>
        </w:tc>
        <w:tc>
          <w:tcPr>
            <w:tcW w:w="433" w:type="pct"/>
            <w:shd w:val="clear" w:color="auto" w:fill="auto"/>
            <w:vAlign w:val="center"/>
            <w:hideMark/>
          </w:tcPr>
          <w:p w14:paraId="2FA80165"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Focus on technology-driven reforms, ecosystem collaboration, and a health realization economy</w:t>
            </w:r>
          </w:p>
        </w:tc>
        <w:tc>
          <w:tcPr>
            <w:tcW w:w="433" w:type="pct"/>
            <w:shd w:val="clear" w:color="auto" w:fill="auto"/>
            <w:vAlign w:val="center"/>
            <w:hideMark/>
          </w:tcPr>
          <w:p w14:paraId="5B4A4D2A"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Limited research on infrastructure and workforce, need for further studies on assessment of transformatio</w:t>
            </w:r>
            <w:r w:rsidRPr="00525FBB">
              <w:rPr>
                <w:rFonts w:asciiTheme="majorBidi" w:eastAsia="Times New Roman" w:hAnsiTheme="majorBidi" w:cstheme="majorBidi"/>
                <w:color w:val="000000"/>
                <w:kern w:val="0"/>
                <w:sz w:val="24"/>
                <w:szCs w:val="24"/>
                <w14:ligatures w14:val="none"/>
              </w:rPr>
              <w:lastRenderedPageBreak/>
              <w:t>n efforts</w:t>
            </w:r>
          </w:p>
        </w:tc>
        <w:tc>
          <w:tcPr>
            <w:tcW w:w="433" w:type="pct"/>
            <w:shd w:val="clear" w:color="auto" w:fill="auto"/>
            <w:vAlign w:val="center"/>
            <w:hideMark/>
          </w:tcPr>
          <w:p w14:paraId="4C7F3D6B"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Emphasizes the need for sustainable healthcare transformation using technology and value-based models</w:t>
            </w:r>
          </w:p>
        </w:tc>
      </w:tr>
      <w:tr w:rsidR="00525FBB" w:rsidRPr="00525FBB" w14:paraId="42360957" w14:textId="77777777" w:rsidTr="006C25DC">
        <w:trPr>
          <w:trHeight w:val="20"/>
        </w:trPr>
        <w:tc>
          <w:tcPr>
            <w:tcW w:w="527" w:type="pct"/>
            <w:shd w:val="clear" w:color="auto" w:fill="auto"/>
            <w:vAlign w:val="center"/>
            <w:hideMark/>
          </w:tcPr>
          <w:p w14:paraId="3F7B89C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Alkhurayji et al</w:t>
            </w:r>
          </w:p>
          <w:p w14:paraId="01624ED9"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2024</w:t>
            </w:r>
          </w:p>
          <w:p w14:paraId="33779859"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Arabia</w:t>
            </w:r>
          </w:p>
          <w:p w14:paraId="0E1C6D0C"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Eastern Region, Riyadh, Qassim, Makkah</w:t>
            </w:r>
          </w:p>
        </w:tc>
        <w:tc>
          <w:tcPr>
            <w:tcW w:w="578" w:type="pct"/>
            <w:shd w:val="clear" w:color="auto" w:fill="auto"/>
            <w:vAlign w:val="center"/>
            <w:hideMark/>
          </w:tcPr>
          <w:p w14:paraId="739014C0"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National Transformation Program (NTP) in Saudi Arabia</w:t>
            </w:r>
          </w:p>
        </w:tc>
        <w:tc>
          <w:tcPr>
            <w:tcW w:w="433" w:type="pct"/>
            <w:shd w:val="clear" w:color="auto" w:fill="auto"/>
            <w:vAlign w:val="center"/>
            <w:hideMark/>
          </w:tcPr>
          <w:p w14:paraId="7978F276"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Value Transformation Framework, systematic literature review, PRISMA criteria</w:t>
            </w:r>
          </w:p>
        </w:tc>
        <w:tc>
          <w:tcPr>
            <w:tcW w:w="433" w:type="pct"/>
            <w:shd w:val="clear" w:color="auto" w:fill="auto"/>
            <w:vAlign w:val="center"/>
            <w:hideMark/>
          </w:tcPr>
          <w:p w14:paraId="2FFA7FE5"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Sustainability of healthcare services, workforce issues, geographic distribution of resources, integration of reforms</w:t>
            </w:r>
          </w:p>
        </w:tc>
        <w:tc>
          <w:tcPr>
            <w:tcW w:w="433" w:type="pct"/>
            <w:shd w:val="clear" w:color="auto" w:fill="auto"/>
            <w:vAlign w:val="center"/>
            <w:hideMark/>
          </w:tcPr>
          <w:p w14:paraId="380944B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Digital transformation, public-private partnerships, adoption of value-based healthcare models</w:t>
            </w:r>
          </w:p>
        </w:tc>
        <w:tc>
          <w:tcPr>
            <w:tcW w:w="433" w:type="pct"/>
            <w:shd w:val="clear" w:color="auto" w:fill="auto"/>
            <w:vAlign w:val="center"/>
            <w:hideMark/>
          </w:tcPr>
          <w:p w14:paraId="569EEA9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Improved workforce training, digital healthcare solutions, ongoing assessment of healthcare reforms</w:t>
            </w:r>
          </w:p>
        </w:tc>
        <w:tc>
          <w:tcPr>
            <w:tcW w:w="433" w:type="pct"/>
            <w:shd w:val="clear" w:color="auto" w:fill="auto"/>
            <w:vAlign w:val="center"/>
            <w:hideMark/>
          </w:tcPr>
          <w:p w14:paraId="299B6EB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PubMed, Web of Science, UpToDate, Google Scholar, Summon, using Boolean search strategy and PRISMA methodology</w:t>
            </w:r>
          </w:p>
        </w:tc>
        <w:tc>
          <w:tcPr>
            <w:tcW w:w="433" w:type="pct"/>
            <w:shd w:val="clear" w:color="auto" w:fill="auto"/>
            <w:vAlign w:val="center"/>
            <w:hideMark/>
          </w:tcPr>
          <w:p w14:paraId="4AF3289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The NTP faces significant risks, but with correct tracking and measurement, it has the potential to meet Saudi healthcare goals</w:t>
            </w:r>
          </w:p>
        </w:tc>
        <w:tc>
          <w:tcPr>
            <w:tcW w:w="433" w:type="pct"/>
            <w:shd w:val="clear" w:color="auto" w:fill="auto"/>
            <w:vAlign w:val="center"/>
            <w:hideMark/>
          </w:tcPr>
          <w:p w14:paraId="6D69E979"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Need for focused research on workforce sustainability, infrastructure improvement, and health system integration</w:t>
            </w:r>
          </w:p>
        </w:tc>
        <w:tc>
          <w:tcPr>
            <w:tcW w:w="433" w:type="pct"/>
            <w:shd w:val="clear" w:color="auto" w:fill="auto"/>
            <w:vAlign w:val="center"/>
            <w:hideMark/>
          </w:tcPr>
          <w:p w14:paraId="132EAA04"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Lack of studies on assessing the NTP's impact, insufficient focus on people and infrastructure dimensions</w:t>
            </w:r>
          </w:p>
        </w:tc>
        <w:tc>
          <w:tcPr>
            <w:tcW w:w="433" w:type="pct"/>
            <w:shd w:val="clear" w:color="auto" w:fill="auto"/>
            <w:vAlign w:val="center"/>
            <w:hideMark/>
          </w:tcPr>
          <w:p w14:paraId="003D140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Emphasizes the importance of monitoring, measuring, and adjusting the NTP's healthcare reforms for long-term success</w:t>
            </w:r>
          </w:p>
        </w:tc>
      </w:tr>
      <w:tr w:rsidR="00525FBB" w:rsidRPr="00525FBB" w14:paraId="4DDB06EA" w14:textId="77777777" w:rsidTr="006C25DC">
        <w:trPr>
          <w:trHeight w:val="20"/>
        </w:trPr>
        <w:tc>
          <w:tcPr>
            <w:tcW w:w="527" w:type="pct"/>
            <w:shd w:val="clear" w:color="auto" w:fill="auto"/>
            <w:vAlign w:val="center"/>
            <w:hideMark/>
          </w:tcPr>
          <w:p w14:paraId="2E111C4F"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Khashan,  et al</w:t>
            </w:r>
          </w:p>
          <w:p w14:paraId="6177D26C"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2021</w:t>
            </w:r>
          </w:p>
          <w:p w14:paraId="4CD05D4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Arabia</w:t>
            </w:r>
          </w:p>
        </w:tc>
        <w:tc>
          <w:tcPr>
            <w:tcW w:w="578" w:type="pct"/>
            <w:shd w:val="clear" w:color="auto" w:fill="auto"/>
            <w:vAlign w:val="center"/>
            <w:hideMark/>
          </w:tcPr>
          <w:p w14:paraId="7096BFFC"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Primary Health Care (PHC) Reform under Vision 2030</w:t>
            </w:r>
          </w:p>
        </w:tc>
        <w:tc>
          <w:tcPr>
            <w:tcW w:w="433" w:type="pct"/>
            <w:shd w:val="clear" w:color="auto" w:fill="auto"/>
            <w:vAlign w:val="center"/>
            <w:hideMark/>
          </w:tcPr>
          <w:p w14:paraId="62500EEC"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Review of previous studies and governmental reports, addressing progress, challenges, and prospects</w:t>
            </w:r>
          </w:p>
        </w:tc>
        <w:tc>
          <w:tcPr>
            <w:tcW w:w="433" w:type="pct"/>
            <w:shd w:val="clear" w:color="auto" w:fill="auto"/>
            <w:vAlign w:val="center"/>
            <w:hideMark/>
          </w:tcPr>
          <w:p w14:paraId="34594EA0"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 xml:space="preserve">Increasing burden of noncommunicable diseases (NCDs), demographic changes, workforce shortages, inadequate public </w:t>
            </w:r>
            <w:r w:rsidRPr="00525FBB">
              <w:rPr>
                <w:rFonts w:asciiTheme="majorBidi" w:eastAsia="Times New Roman" w:hAnsiTheme="majorBidi" w:cstheme="majorBidi"/>
                <w:color w:val="000000"/>
                <w:kern w:val="0"/>
                <w:sz w:val="24"/>
                <w:szCs w:val="24"/>
                <w14:ligatures w14:val="none"/>
              </w:rPr>
              <w:lastRenderedPageBreak/>
              <w:t>trust in PHC</w:t>
            </w:r>
          </w:p>
        </w:tc>
        <w:tc>
          <w:tcPr>
            <w:tcW w:w="433" w:type="pct"/>
            <w:shd w:val="clear" w:color="auto" w:fill="auto"/>
            <w:vAlign w:val="center"/>
            <w:hideMark/>
          </w:tcPr>
          <w:p w14:paraId="612A104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Family-centered care, integration of mental health into primary care, use of technology, and improving public health education</w:t>
            </w:r>
          </w:p>
        </w:tc>
        <w:tc>
          <w:tcPr>
            <w:tcW w:w="433" w:type="pct"/>
            <w:shd w:val="clear" w:color="auto" w:fill="auto"/>
            <w:vAlign w:val="center"/>
            <w:hideMark/>
          </w:tcPr>
          <w:p w14:paraId="25BEC6C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Strengthening the family medicine approach, increasing primary care accessibility, improving workforce training and quality standards</w:t>
            </w:r>
          </w:p>
        </w:tc>
        <w:tc>
          <w:tcPr>
            <w:tcW w:w="433" w:type="pct"/>
            <w:shd w:val="clear" w:color="auto" w:fill="auto"/>
            <w:vAlign w:val="center"/>
            <w:hideMark/>
          </w:tcPr>
          <w:p w14:paraId="22DBFA50"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Government reports, previous studies, PHC reform documentation, World Health Organization (WHO) reviews</w:t>
            </w:r>
          </w:p>
        </w:tc>
        <w:tc>
          <w:tcPr>
            <w:tcW w:w="433" w:type="pct"/>
            <w:shd w:val="clear" w:color="auto" w:fill="auto"/>
            <w:vAlign w:val="center"/>
            <w:hideMark/>
          </w:tcPr>
          <w:p w14:paraId="6C1E8FE0"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PHC reform increased healthcare visits, improved satisfaction, and enhanced coverage, but challenges in workforce and infrastr</w:t>
            </w:r>
            <w:r w:rsidRPr="00525FBB">
              <w:rPr>
                <w:rFonts w:asciiTheme="majorBidi" w:eastAsia="Times New Roman" w:hAnsiTheme="majorBidi" w:cstheme="majorBidi"/>
                <w:color w:val="000000"/>
                <w:kern w:val="0"/>
                <w:sz w:val="24"/>
                <w:szCs w:val="24"/>
                <w14:ligatures w14:val="none"/>
              </w:rPr>
              <w:lastRenderedPageBreak/>
              <w:t>ucture persist</w:t>
            </w:r>
          </w:p>
        </w:tc>
        <w:tc>
          <w:tcPr>
            <w:tcW w:w="433" w:type="pct"/>
            <w:shd w:val="clear" w:color="auto" w:fill="auto"/>
            <w:vAlign w:val="center"/>
            <w:hideMark/>
          </w:tcPr>
          <w:p w14:paraId="6B8262C8"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 xml:space="preserve">Increase investment in healthcare infrastructure, strengthen the integration of NCDs into PHC, and enhance workforce </w:t>
            </w:r>
            <w:r w:rsidRPr="00525FBB">
              <w:rPr>
                <w:rFonts w:asciiTheme="majorBidi" w:eastAsia="Times New Roman" w:hAnsiTheme="majorBidi" w:cstheme="majorBidi"/>
                <w:color w:val="000000"/>
                <w:kern w:val="0"/>
                <w:sz w:val="24"/>
                <w:szCs w:val="24"/>
                <w14:ligatures w14:val="none"/>
              </w:rPr>
              <w:lastRenderedPageBreak/>
              <w:t>training</w:t>
            </w:r>
          </w:p>
        </w:tc>
        <w:tc>
          <w:tcPr>
            <w:tcW w:w="433" w:type="pct"/>
            <w:shd w:val="clear" w:color="auto" w:fill="auto"/>
            <w:vAlign w:val="center"/>
            <w:hideMark/>
          </w:tcPr>
          <w:p w14:paraId="04148DC4"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Challenges in workforce development, cultural barriers to care access, and underutilization of PHC services</w:t>
            </w:r>
          </w:p>
        </w:tc>
        <w:tc>
          <w:tcPr>
            <w:tcW w:w="433" w:type="pct"/>
            <w:shd w:val="clear" w:color="auto" w:fill="auto"/>
            <w:vAlign w:val="center"/>
            <w:hideMark/>
          </w:tcPr>
          <w:p w14:paraId="238F5C7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 xml:space="preserve">Key to addressing the rising burden of NCDs and improving the quality and accessibility of primary care services through </w:t>
            </w:r>
            <w:r w:rsidRPr="00525FBB">
              <w:rPr>
                <w:rFonts w:asciiTheme="majorBidi" w:eastAsia="Times New Roman" w:hAnsiTheme="majorBidi" w:cstheme="majorBidi"/>
                <w:color w:val="000000"/>
                <w:kern w:val="0"/>
                <w:sz w:val="24"/>
                <w:szCs w:val="24"/>
                <w14:ligatures w14:val="none"/>
              </w:rPr>
              <w:lastRenderedPageBreak/>
              <w:t>Vision 2030</w:t>
            </w:r>
          </w:p>
        </w:tc>
      </w:tr>
      <w:tr w:rsidR="00525FBB" w:rsidRPr="00525FBB" w14:paraId="737D31DF" w14:textId="77777777" w:rsidTr="006C25DC">
        <w:trPr>
          <w:trHeight w:val="20"/>
        </w:trPr>
        <w:tc>
          <w:tcPr>
            <w:tcW w:w="527" w:type="pct"/>
            <w:shd w:val="clear" w:color="auto" w:fill="auto"/>
            <w:vAlign w:val="center"/>
            <w:hideMark/>
          </w:tcPr>
          <w:p w14:paraId="66A515FF"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Alharbi</w:t>
            </w:r>
          </w:p>
          <w:p w14:paraId="6649D36B"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2020</w:t>
            </w:r>
          </w:p>
          <w:p w14:paraId="39408C69"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Arabia</w:t>
            </w:r>
          </w:p>
        </w:tc>
        <w:tc>
          <w:tcPr>
            <w:tcW w:w="578" w:type="pct"/>
            <w:shd w:val="clear" w:color="auto" w:fill="auto"/>
            <w:vAlign w:val="center"/>
            <w:hideMark/>
          </w:tcPr>
          <w:p w14:paraId="7C575821"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National Healthcare Plan under Vision 2030</w:t>
            </w:r>
          </w:p>
        </w:tc>
        <w:tc>
          <w:tcPr>
            <w:tcW w:w="433" w:type="pct"/>
            <w:shd w:val="clear" w:color="auto" w:fill="auto"/>
            <w:vAlign w:val="center"/>
            <w:hideMark/>
          </w:tcPr>
          <w:p w14:paraId="3DDCEED6"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Organizational readiness for change, review of empirical studies and documents</w:t>
            </w:r>
          </w:p>
        </w:tc>
        <w:tc>
          <w:tcPr>
            <w:tcW w:w="433" w:type="pct"/>
            <w:shd w:val="clear" w:color="auto" w:fill="auto"/>
            <w:vAlign w:val="center"/>
            <w:hideMark/>
          </w:tcPr>
          <w:p w14:paraId="5FC3638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Human resource issues, cultural barriers, infrastructure limitations, and resistance to change</w:t>
            </w:r>
          </w:p>
        </w:tc>
        <w:tc>
          <w:tcPr>
            <w:tcW w:w="433" w:type="pct"/>
            <w:shd w:val="clear" w:color="auto" w:fill="auto"/>
            <w:vAlign w:val="center"/>
            <w:hideMark/>
          </w:tcPr>
          <w:p w14:paraId="65CE1F70"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Technology adoption, improved governance, better resource allocation, public-private partnerships</w:t>
            </w:r>
          </w:p>
        </w:tc>
        <w:tc>
          <w:tcPr>
            <w:tcW w:w="433" w:type="pct"/>
            <w:shd w:val="clear" w:color="auto" w:fill="auto"/>
            <w:vAlign w:val="center"/>
            <w:hideMark/>
          </w:tcPr>
          <w:p w14:paraId="2F98ED05"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Training, education, stakeholder engagement, financial incentives, and leadership commitment</w:t>
            </w:r>
          </w:p>
        </w:tc>
        <w:tc>
          <w:tcPr>
            <w:tcW w:w="433" w:type="pct"/>
            <w:shd w:val="clear" w:color="auto" w:fill="auto"/>
            <w:vAlign w:val="center"/>
            <w:hideMark/>
          </w:tcPr>
          <w:p w14:paraId="18C9B0C9"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Government reports, empirical studies, organizational documents, and strategic plans</w:t>
            </w:r>
          </w:p>
        </w:tc>
        <w:tc>
          <w:tcPr>
            <w:tcW w:w="433" w:type="pct"/>
            <w:shd w:val="clear" w:color="auto" w:fill="auto"/>
            <w:vAlign w:val="center"/>
            <w:hideMark/>
          </w:tcPr>
          <w:p w14:paraId="0C8FCBF1"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High readiness for change will lead to successful transformation with fewer complications</w:t>
            </w:r>
          </w:p>
        </w:tc>
        <w:tc>
          <w:tcPr>
            <w:tcW w:w="433" w:type="pct"/>
            <w:shd w:val="clear" w:color="auto" w:fill="auto"/>
            <w:vAlign w:val="center"/>
            <w:hideMark/>
          </w:tcPr>
          <w:p w14:paraId="038F8384"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Focus on human factors, workforce readiness, and financial support for change processes</w:t>
            </w:r>
          </w:p>
        </w:tc>
        <w:tc>
          <w:tcPr>
            <w:tcW w:w="433" w:type="pct"/>
            <w:shd w:val="clear" w:color="auto" w:fill="auto"/>
            <w:vAlign w:val="center"/>
            <w:hideMark/>
          </w:tcPr>
          <w:p w14:paraId="33B523D0"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Limited specific frameworks on organizational readiness for healthcare transformation</w:t>
            </w:r>
          </w:p>
        </w:tc>
        <w:tc>
          <w:tcPr>
            <w:tcW w:w="433" w:type="pct"/>
            <w:shd w:val="clear" w:color="auto" w:fill="auto"/>
            <w:vAlign w:val="center"/>
            <w:hideMark/>
          </w:tcPr>
          <w:p w14:paraId="472BB9A1"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Emphasizes improving healthcare governance and reducing resistance to change for successful Vision 2030 implementation</w:t>
            </w:r>
          </w:p>
        </w:tc>
      </w:tr>
      <w:tr w:rsidR="00525FBB" w:rsidRPr="00525FBB" w14:paraId="4899468B" w14:textId="77777777" w:rsidTr="006C25DC">
        <w:trPr>
          <w:trHeight w:val="20"/>
        </w:trPr>
        <w:tc>
          <w:tcPr>
            <w:tcW w:w="527" w:type="pct"/>
            <w:shd w:val="clear" w:color="auto" w:fill="auto"/>
            <w:vAlign w:val="center"/>
            <w:hideMark/>
          </w:tcPr>
          <w:p w14:paraId="24EF36CB"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Alanazi</w:t>
            </w:r>
          </w:p>
          <w:p w14:paraId="0815CA1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2023</w:t>
            </w:r>
          </w:p>
          <w:p w14:paraId="46F76F22"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Arabia</w:t>
            </w:r>
          </w:p>
        </w:tc>
        <w:tc>
          <w:tcPr>
            <w:tcW w:w="578" w:type="pct"/>
            <w:shd w:val="clear" w:color="auto" w:fill="auto"/>
            <w:vAlign w:val="center"/>
            <w:hideMark/>
          </w:tcPr>
          <w:p w14:paraId="1D6F58D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Healthcare Transformation in Saudi Arabia, part of Vision 2030</w:t>
            </w:r>
          </w:p>
        </w:tc>
        <w:tc>
          <w:tcPr>
            <w:tcW w:w="433" w:type="pct"/>
            <w:shd w:val="clear" w:color="auto" w:fill="auto"/>
            <w:vAlign w:val="center"/>
            <w:hideMark/>
          </w:tcPr>
          <w:p w14:paraId="53AF589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Review of healthcare system transformation and critical success factors for Vision 2030</w:t>
            </w:r>
          </w:p>
        </w:tc>
        <w:tc>
          <w:tcPr>
            <w:tcW w:w="433" w:type="pct"/>
            <w:shd w:val="clear" w:color="auto" w:fill="auto"/>
            <w:vAlign w:val="center"/>
            <w:hideMark/>
          </w:tcPr>
          <w:p w14:paraId="08E66CB4"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Population growth, healthcare disparities, insufficient primary care, workforce capacity, rising non-communicable diseases</w:t>
            </w:r>
          </w:p>
        </w:tc>
        <w:tc>
          <w:tcPr>
            <w:tcW w:w="433" w:type="pct"/>
            <w:shd w:val="clear" w:color="auto" w:fill="auto"/>
            <w:vAlign w:val="center"/>
            <w:hideMark/>
          </w:tcPr>
          <w:p w14:paraId="0AE4F2AF"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Private sector involvement, e-health integration, workforce development, healthcare financing improvements</w:t>
            </w:r>
          </w:p>
        </w:tc>
        <w:tc>
          <w:tcPr>
            <w:tcW w:w="433" w:type="pct"/>
            <w:shd w:val="clear" w:color="auto" w:fill="auto"/>
            <w:vAlign w:val="center"/>
            <w:hideMark/>
          </w:tcPr>
          <w:p w14:paraId="0C3EED62"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Public-private partnerships (PPPs), e-health solutions, workforce localization, healthcare system optimization</w:t>
            </w:r>
          </w:p>
        </w:tc>
        <w:tc>
          <w:tcPr>
            <w:tcW w:w="433" w:type="pct"/>
            <w:shd w:val="clear" w:color="auto" w:fill="auto"/>
            <w:vAlign w:val="center"/>
            <w:hideMark/>
          </w:tcPr>
          <w:p w14:paraId="652578DA"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Government reports, Vision 2030 documentation, literature reviews, articles, and secondary data</w:t>
            </w:r>
          </w:p>
        </w:tc>
        <w:tc>
          <w:tcPr>
            <w:tcW w:w="433" w:type="pct"/>
            <w:shd w:val="clear" w:color="auto" w:fill="auto"/>
            <w:vAlign w:val="center"/>
            <w:hideMark/>
          </w:tcPr>
          <w:p w14:paraId="699A427F"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Substantial progress in healthcare transformation under Vision 2030, but challenges remain in workforce and infrastructure</w:t>
            </w:r>
          </w:p>
        </w:tc>
        <w:tc>
          <w:tcPr>
            <w:tcW w:w="433" w:type="pct"/>
            <w:shd w:val="clear" w:color="auto" w:fill="auto"/>
            <w:vAlign w:val="center"/>
            <w:hideMark/>
          </w:tcPr>
          <w:p w14:paraId="5DF5F34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Increase private sector participation, develop e-health systems, improve workforce training, expand healthcare access</w:t>
            </w:r>
          </w:p>
        </w:tc>
        <w:tc>
          <w:tcPr>
            <w:tcW w:w="433" w:type="pct"/>
            <w:shd w:val="clear" w:color="auto" w:fill="auto"/>
            <w:vAlign w:val="center"/>
            <w:hideMark/>
          </w:tcPr>
          <w:p w14:paraId="3F82CF46"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Limited qualitative data on privatization, implementation barriers, and workforce challenges</w:t>
            </w:r>
          </w:p>
        </w:tc>
        <w:tc>
          <w:tcPr>
            <w:tcW w:w="433" w:type="pct"/>
            <w:shd w:val="clear" w:color="auto" w:fill="auto"/>
            <w:vAlign w:val="center"/>
            <w:hideMark/>
          </w:tcPr>
          <w:p w14:paraId="18567A29"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Supports a multifaceted approach to healthcare transformation, with emphasis on legislative frameworks and effective implementation</w:t>
            </w:r>
          </w:p>
        </w:tc>
      </w:tr>
      <w:tr w:rsidR="00525FBB" w:rsidRPr="00525FBB" w14:paraId="7BF6D451" w14:textId="77777777" w:rsidTr="006C25DC">
        <w:trPr>
          <w:trHeight w:val="20"/>
        </w:trPr>
        <w:tc>
          <w:tcPr>
            <w:tcW w:w="527" w:type="pct"/>
            <w:shd w:val="clear" w:color="auto" w:fill="auto"/>
            <w:vAlign w:val="center"/>
            <w:hideMark/>
          </w:tcPr>
          <w:p w14:paraId="3B341F8F"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Alasiri et al</w:t>
            </w:r>
          </w:p>
          <w:p w14:paraId="59AB7B5A"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2022</w:t>
            </w:r>
          </w:p>
          <w:p w14:paraId="22A813B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Saudi Arabia</w:t>
            </w:r>
          </w:p>
        </w:tc>
        <w:tc>
          <w:tcPr>
            <w:tcW w:w="578" w:type="pct"/>
            <w:shd w:val="clear" w:color="auto" w:fill="auto"/>
            <w:vAlign w:val="center"/>
            <w:hideMark/>
          </w:tcPr>
          <w:p w14:paraId="25087200"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Healthcare Transfor</w:t>
            </w:r>
            <w:r w:rsidRPr="00525FBB">
              <w:rPr>
                <w:rFonts w:asciiTheme="majorBidi" w:eastAsia="Times New Roman" w:hAnsiTheme="majorBidi" w:cstheme="majorBidi"/>
                <w:color w:val="000000"/>
                <w:kern w:val="0"/>
                <w:sz w:val="24"/>
                <w:szCs w:val="24"/>
                <w14:ligatures w14:val="none"/>
              </w:rPr>
              <w:lastRenderedPageBreak/>
              <w:t>mation under Vision 2030</w:t>
            </w:r>
          </w:p>
        </w:tc>
        <w:tc>
          <w:tcPr>
            <w:tcW w:w="433" w:type="pct"/>
            <w:shd w:val="clear" w:color="auto" w:fill="auto"/>
            <w:vAlign w:val="center"/>
            <w:hideMark/>
          </w:tcPr>
          <w:p w14:paraId="500A37C6"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Scoping literatu</w:t>
            </w:r>
            <w:r w:rsidRPr="00525FBB">
              <w:rPr>
                <w:rFonts w:asciiTheme="majorBidi" w:eastAsia="Times New Roman" w:hAnsiTheme="majorBidi" w:cstheme="majorBidi"/>
                <w:color w:val="000000"/>
                <w:kern w:val="0"/>
                <w:sz w:val="24"/>
                <w:szCs w:val="24"/>
                <w14:ligatures w14:val="none"/>
              </w:rPr>
              <w:lastRenderedPageBreak/>
              <w:t>re review, analysis of healthcare sector transformation and barriers</w:t>
            </w:r>
          </w:p>
        </w:tc>
        <w:tc>
          <w:tcPr>
            <w:tcW w:w="433" w:type="pct"/>
            <w:shd w:val="clear" w:color="auto" w:fill="auto"/>
            <w:vAlign w:val="center"/>
            <w:hideMark/>
          </w:tcPr>
          <w:p w14:paraId="330A959A"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 xml:space="preserve">Rising healthcare </w:t>
            </w:r>
            <w:r w:rsidRPr="00525FBB">
              <w:rPr>
                <w:rFonts w:asciiTheme="majorBidi" w:eastAsia="Times New Roman" w:hAnsiTheme="majorBidi" w:cstheme="majorBidi"/>
                <w:color w:val="000000"/>
                <w:kern w:val="0"/>
                <w:sz w:val="24"/>
                <w:szCs w:val="24"/>
                <w14:ligatures w14:val="none"/>
              </w:rPr>
              <w:lastRenderedPageBreak/>
              <w:t>costs, privatization implementation challenges, healthcare financing, population growth, workforce shortages</w:t>
            </w:r>
          </w:p>
        </w:tc>
        <w:tc>
          <w:tcPr>
            <w:tcW w:w="433" w:type="pct"/>
            <w:shd w:val="clear" w:color="auto" w:fill="auto"/>
            <w:vAlign w:val="center"/>
            <w:hideMark/>
          </w:tcPr>
          <w:p w14:paraId="3819F349"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Public-private partner</w:t>
            </w:r>
            <w:r w:rsidRPr="00525FBB">
              <w:rPr>
                <w:rFonts w:asciiTheme="majorBidi" w:eastAsia="Times New Roman" w:hAnsiTheme="majorBidi" w:cstheme="majorBidi"/>
                <w:color w:val="000000"/>
                <w:kern w:val="0"/>
                <w:sz w:val="24"/>
                <w:szCs w:val="24"/>
                <w14:ligatures w14:val="none"/>
              </w:rPr>
              <w:lastRenderedPageBreak/>
              <w:t>ships, expansion of primary care, increase in private sector contribution, healthcare financing</w:t>
            </w:r>
          </w:p>
        </w:tc>
        <w:tc>
          <w:tcPr>
            <w:tcW w:w="433" w:type="pct"/>
            <w:shd w:val="clear" w:color="auto" w:fill="auto"/>
            <w:vAlign w:val="center"/>
            <w:hideMark/>
          </w:tcPr>
          <w:p w14:paraId="5697162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 xml:space="preserve">Legislation for </w:t>
            </w:r>
            <w:r w:rsidRPr="00525FBB">
              <w:rPr>
                <w:rFonts w:asciiTheme="majorBidi" w:eastAsia="Times New Roman" w:hAnsiTheme="majorBidi" w:cstheme="majorBidi"/>
                <w:color w:val="000000"/>
                <w:kern w:val="0"/>
                <w:sz w:val="24"/>
                <w:szCs w:val="24"/>
                <w14:ligatures w14:val="none"/>
              </w:rPr>
              <w:lastRenderedPageBreak/>
              <w:t>privatization, workforce training, improved healthcare policies, PPP models</w:t>
            </w:r>
          </w:p>
        </w:tc>
        <w:tc>
          <w:tcPr>
            <w:tcW w:w="433" w:type="pct"/>
            <w:shd w:val="clear" w:color="auto" w:fill="auto"/>
            <w:vAlign w:val="center"/>
            <w:hideMark/>
          </w:tcPr>
          <w:p w14:paraId="7D39BFD0"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Literature review</w:t>
            </w:r>
            <w:r w:rsidRPr="00525FBB">
              <w:rPr>
                <w:rFonts w:asciiTheme="majorBidi" w:eastAsia="Times New Roman" w:hAnsiTheme="majorBidi" w:cstheme="majorBidi"/>
                <w:color w:val="000000"/>
                <w:kern w:val="0"/>
                <w:sz w:val="24"/>
                <w:szCs w:val="24"/>
                <w14:ligatures w14:val="none"/>
              </w:rPr>
              <w:lastRenderedPageBreak/>
              <w:t>s, government reports, secondary data, Vision 2030 official documents</w:t>
            </w:r>
          </w:p>
        </w:tc>
        <w:tc>
          <w:tcPr>
            <w:tcW w:w="433" w:type="pct"/>
            <w:shd w:val="clear" w:color="auto" w:fill="auto"/>
            <w:vAlign w:val="center"/>
            <w:hideMark/>
          </w:tcPr>
          <w:p w14:paraId="2B80931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 xml:space="preserve">The government </w:t>
            </w:r>
            <w:r w:rsidRPr="00525FBB">
              <w:rPr>
                <w:rFonts w:asciiTheme="majorBidi" w:eastAsia="Times New Roman" w:hAnsiTheme="majorBidi" w:cstheme="majorBidi"/>
                <w:color w:val="000000"/>
                <w:kern w:val="0"/>
                <w:sz w:val="24"/>
                <w:szCs w:val="24"/>
                <w14:ligatures w14:val="none"/>
              </w:rPr>
              <w:lastRenderedPageBreak/>
              <w:t>has made legislative progress in healthcare transformation but faces challenges in privatization and workforce development</w:t>
            </w:r>
          </w:p>
        </w:tc>
        <w:tc>
          <w:tcPr>
            <w:tcW w:w="433" w:type="pct"/>
            <w:shd w:val="clear" w:color="auto" w:fill="auto"/>
            <w:vAlign w:val="center"/>
            <w:hideMark/>
          </w:tcPr>
          <w:p w14:paraId="7E987F72"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Focus on legislat</w:t>
            </w:r>
            <w:r w:rsidRPr="00525FBB">
              <w:rPr>
                <w:rFonts w:asciiTheme="majorBidi" w:eastAsia="Times New Roman" w:hAnsiTheme="majorBidi" w:cstheme="majorBidi"/>
                <w:color w:val="000000"/>
                <w:kern w:val="0"/>
                <w:sz w:val="24"/>
                <w:szCs w:val="24"/>
                <w14:ligatures w14:val="none"/>
              </w:rPr>
              <w:lastRenderedPageBreak/>
              <w:t>ive frameworks, ensure equitable healthcare access, and improve workforce readiness for transformation</w:t>
            </w:r>
          </w:p>
        </w:tc>
        <w:tc>
          <w:tcPr>
            <w:tcW w:w="433" w:type="pct"/>
            <w:shd w:val="clear" w:color="auto" w:fill="auto"/>
            <w:vAlign w:val="center"/>
            <w:hideMark/>
          </w:tcPr>
          <w:p w14:paraId="3B5E364B"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Limited qualita</w:t>
            </w:r>
            <w:r w:rsidRPr="00525FBB">
              <w:rPr>
                <w:rFonts w:asciiTheme="majorBidi" w:eastAsia="Times New Roman" w:hAnsiTheme="majorBidi" w:cstheme="majorBidi"/>
                <w:color w:val="000000"/>
                <w:kern w:val="0"/>
                <w:sz w:val="24"/>
                <w:szCs w:val="24"/>
                <w14:ligatures w14:val="none"/>
              </w:rPr>
              <w:lastRenderedPageBreak/>
              <w:t>tive research on privatization, potential barriers to PPP implementation</w:t>
            </w:r>
          </w:p>
        </w:tc>
        <w:tc>
          <w:tcPr>
            <w:tcW w:w="433" w:type="pct"/>
            <w:shd w:val="clear" w:color="auto" w:fill="auto"/>
            <w:vAlign w:val="center"/>
            <w:hideMark/>
          </w:tcPr>
          <w:p w14:paraId="2855BB15"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The transformatio</w:t>
            </w:r>
            <w:r w:rsidRPr="00525FBB">
              <w:rPr>
                <w:rFonts w:asciiTheme="majorBidi" w:eastAsia="Times New Roman" w:hAnsiTheme="majorBidi" w:cstheme="majorBidi"/>
                <w:color w:val="000000"/>
                <w:kern w:val="0"/>
                <w:sz w:val="24"/>
                <w:szCs w:val="24"/>
                <w14:ligatures w14:val="none"/>
              </w:rPr>
              <w:lastRenderedPageBreak/>
              <w:t>n must address workforce needs, infrastructure challenges, and ensure equitable healthcare access for all citizens</w:t>
            </w:r>
          </w:p>
        </w:tc>
      </w:tr>
      <w:tr w:rsidR="00525FBB" w:rsidRPr="00525FBB" w14:paraId="08111023" w14:textId="77777777" w:rsidTr="006C25DC">
        <w:trPr>
          <w:trHeight w:val="20"/>
        </w:trPr>
        <w:tc>
          <w:tcPr>
            <w:tcW w:w="527" w:type="pct"/>
            <w:shd w:val="clear" w:color="auto" w:fill="auto"/>
            <w:vAlign w:val="center"/>
            <w:hideMark/>
          </w:tcPr>
          <w:p w14:paraId="473C1066"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Yami, A. et al.</w:t>
            </w:r>
          </w:p>
          <w:p w14:paraId="664E055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2024</w:t>
            </w:r>
          </w:p>
          <w:p w14:paraId="5A2F2D0C"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Arabia</w:t>
            </w:r>
          </w:p>
        </w:tc>
        <w:tc>
          <w:tcPr>
            <w:tcW w:w="578" w:type="pct"/>
            <w:shd w:val="clear" w:color="auto" w:fill="auto"/>
            <w:vAlign w:val="center"/>
            <w:hideMark/>
          </w:tcPr>
          <w:p w14:paraId="5EE014C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Healthcare Delivery and Reform</w:t>
            </w:r>
          </w:p>
        </w:tc>
        <w:tc>
          <w:tcPr>
            <w:tcW w:w="433" w:type="pct"/>
            <w:shd w:val="clear" w:color="auto" w:fill="auto"/>
            <w:vAlign w:val="center"/>
            <w:hideMark/>
          </w:tcPr>
          <w:p w14:paraId="5589F3F4"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Data analysis and risk framework based on healthcare system transformation</w:t>
            </w:r>
          </w:p>
        </w:tc>
        <w:tc>
          <w:tcPr>
            <w:tcW w:w="433" w:type="pct"/>
            <w:shd w:val="clear" w:color="auto" w:fill="auto"/>
            <w:vAlign w:val="center"/>
            <w:hideMark/>
          </w:tcPr>
          <w:p w14:paraId="2860B36E"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Aging population, rising non-communicable diseases (NCDs), uneven access to healthcare</w:t>
            </w:r>
          </w:p>
        </w:tc>
        <w:tc>
          <w:tcPr>
            <w:tcW w:w="433" w:type="pct"/>
            <w:shd w:val="clear" w:color="auto" w:fill="auto"/>
            <w:vAlign w:val="center"/>
            <w:hideMark/>
          </w:tcPr>
          <w:p w14:paraId="20D049FF"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Digital health innovation, enhancing healthcare workforce capacity, improved governance models</w:t>
            </w:r>
          </w:p>
        </w:tc>
        <w:tc>
          <w:tcPr>
            <w:tcW w:w="433" w:type="pct"/>
            <w:shd w:val="clear" w:color="auto" w:fill="auto"/>
            <w:vAlign w:val="center"/>
            <w:hideMark/>
          </w:tcPr>
          <w:p w14:paraId="71B3769A"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Integration of telemedicine, improved healthcare financing, public-private sector collaboration</w:t>
            </w:r>
          </w:p>
        </w:tc>
        <w:tc>
          <w:tcPr>
            <w:tcW w:w="433" w:type="pct"/>
            <w:shd w:val="clear" w:color="auto" w:fill="auto"/>
            <w:vAlign w:val="center"/>
            <w:hideMark/>
          </w:tcPr>
          <w:p w14:paraId="0CD9F04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Government health statistics, surveys, healthcare provider assessments</w:t>
            </w:r>
          </w:p>
        </w:tc>
        <w:tc>
          <w:tcPr>
            <w:tcW w:w="433" w:type="pct"/>
            <w:shd w:val="clear" w:color="auto" w:fill="auto"/>
            <w:vAlign w:val="center"/>
            <w:hideMark/>
          </w:tcPr>
          <w:p w14:paraId="1FE390D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The healthcare system faces significant challenges but has potential for improvement through strategic reforms</w:t>
            </w:r>
          </w:p>
        </w:tc>
        <w:tc>
          <w:tcPr>
            <w:tcW w:w="433" w:type="pct"/>
            <w:shd w:val="clear" w:color="auto" w:fill="auto"/>
            <w:vAlign w:val="center"/>
            <w:hideMark/>
          </w:tcPr>
          <w:p w14:paraId="7839232E"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Expand digital infrastructure, train healthcare professionals, foster collaboration with private sector</w:t>
            </w:r>
          </w:p>
        </w:tc>
        <w:tc>
          <w:tcPr>
            <w:tcW w:w="433" w:type="pct"/>
            <w:shd w:val="clear" w:color="auto" w:fill="auto"/>
            <w:vAlign w:val="center"/>
            <w:hideMark/>
          </w:tcPr>
          <w:p w14:paraId="4307A50E"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Data gaps in workforce training and healthcare access, limited longitudinal studies</w:t>
            </w:r>
          </w:p>
        </w:tc>
        <w:tc>
          <w:tcPr>
            <w:tcW w:w="433" w:type="pct"/>
            <w:shd w:val="clear" w:color="auto" w:fill="auto"/>
            <w:vAlign w:val="center"/>
            <w:hideMark/>
          </w:tcPr>
          <w:p w14:paraId="1753E1FB"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Strong focus on building a resilient, innovative healthcare infrastructure, expanding digital health solutions</w:t>
            </w:r>
          </w:p>
        </w:tc>
      </w:tr>
      <w:tr w:rsidR="00525FBB" w:rsidRPr="00525FBB" w14:paraId="528BFDF7" w14:textId="77777777" w:rsidTr="006C25DC">
        <w:trPr>
          <w:trHeight w:val="20"/>
        </w:trPr>
        <w:tc>
          <w:tcPr>
            <w:tcW w:w="527" w:type="pct"/>
            <w:shd w:val="clear" w:color="auto" w:fill="auto"/>
            <w:vAlign w:val="center"/>
            <w:hideMark/>
          </w:tcPr>
          <w:p w14:paraId="11A4B9C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Suleiman, A. et al.</w:t>
            </w:r>
          </w:p>
          <w:p w14:paraId="7778B1F4"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2025</w:t>
            </w:r>
          </w:p>
          <w:p w14:paraId="6C4FDE9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Arabia</w:t>
            </w:r>
          </w:p>
        </w:tc>
        <w:tc>
          <w:tcPr>
            <w:tcW w:w="578" w:type="pct"/>
            <w:shd w:val="clear" w:color="auto" w:fill="auto"/>
            <w:vAlign w:val="center"/>
            <w:hideMark/>
          </w:tcPr>
          <w:p w14:paraId="4F1B37EC"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Vision 2030 Healthcare Transformation Program</w:t>
            </w:r>
          </w:p>
        </w:tc>
        <w:tc>
          <w:tcPr>
            <w:tcW w:w="433" w:type="pct"/>
            <w:shd w:val="clear" w:color="auto" w:fill="auto"/>
            <w:vAlign w:val="center"/>
            <w:hideMark/>
          </w:tcPr>
          <w:p w14:paraId="623D3651"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 xml:space="preserve">Systematic literature review and assessment of </w:t>
            </w:r>
            <w:r w:rsidRPr="00525FBB">
              <w:rPr>
                <w:rFonts w:asciiTheme="majorBidi" w:eastAsia="Times New Roman" w:hAnsiTheme="majorBidi" w:cstheme="majorBidi"/>
                <w:color w:val="000000"/>
                <w:kern w:val="0"/>
                <w:sz w:val="24"/>
                <w:szCs w:val="24"/>
                <w14:ligatures w14:val="none"/>
              </w:rPr>
              <w:lastRenderedPageBreak/>
              <w:t>healthcare system readiness for transformation</w:t>
            </w:r>
          </w:p>
        </w:tc>
        <w:tc>
          <w:tcPr>
            <w:tcW w:w="433" w:type="pct"/>
            <w:shd w:val="clear" w:color="auto" w:fill="auto"/>
            <w:vAlign w:val="center"/>
            <w:hideMark/>
          </w:tcPr>
          <w:p w14:paraId="6159BC9B"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Resistance to change, infrastructure limitations, financi</w:t>
            </w:r>
            <w:r w:rsidRPr="00525FBB">
              <w:rPr>
                <w:rFonts w:asciiTheme="majorBidi" w:eastAsia="Times New Roman" w:hAnsiTheme="majorBidi" w:cstheme="majorBidi"/>
                <w:color w:val="000000"/>
                <w:kern w:val="0"/>
                <w:sz w:val="24"/>
                <w:szCs w:val="24"/>
                <w14:ligatures w14:val="none"/>
              </w:rPr>
              <w:lastRenderedPageBreak/>
              <w:t>al sustainability of reforms</w:t>
            </w:r>
          </w:p>
        </w:tc>
        <w:tc>
          <w:tcPr>
            <w:tcW w:w="433" w:type="pct"/>
            <w:shd w:val="clear" w:color="auto" w:fill="auto"/>
            <w:vAlign w:val="center"/>
            <w:hideMark/>
          </w:tcPr>
          <w:p w14:paraId="4AA577D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Incorporation of advanced health technologies, improv</w:t>
            </w:r>
            <w:r w:rsidRPr="00525FBB">
              <w:rPr>
                <w:rFonts w:asciiTheme="majorBidi" w:eastAsia="Times New Roman" w:hAnsiTheme="majorBidi" w:cstheme="majorBidi"/>
                <w:color w:val="000000"/>
                <w:kern w:val="0"/>
                <w:sz w:val="24"/>
                <w:szCs w:val="24"/>
                <w14:ligatures w14:val="none"/>
              </w:rPr>
              <w:lastRenderedPageBreak/>
              <w:t>ing governance, and engaging in international collaborations</w:t>
            </w:r>
          </w:p>
        </w:tc>
        <w:tc>
          <w:tcPr>
            <w:tcW w:w="433" w:type="pct"/>
            <w:shd w:val="clear" w:color="auto" w:fill="auto"/>
            <w:vAlign w:val="center"/>
            <w:hideMark/>
          </w:tcPr>
          <w:p w14:paraId="48F2BA9C"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 xml:space="preserve">Strengthen the digital health infrastructure, continuous </w:t>
            </w:r>
            <w:r w:rsidRPr="00525FBB">
              <w:rPr>
                <w:rFonts w:asciiTheme="majorBidi" w:eastAsia="Times New Roman" w:hAnsiTheme="majorBidi" w:cstheme="majorBidi"/>
                <w:color w:val="000000"/>
                <w:kern w:val="0"/>
                <w:sz w:val="24"/>
                <w:szCs w:val="24"/>
                <w14:ligatures w14:val="none"/>
              </w:rPr>
              <w:lastRenderedPageBreak/>
              <w:t>policy evaluation, public-private sector partnerships</w:t>
            </w:r>
          </w:p>
        </w:tc>
        <w:tc>
          <w:tcPr>
            <w:tcW w:w="433" w:type="pct"/>
            <w:shd w:val="clear" w:color="auto" w:fill="auto"/>
            <w:vAlign w:val="center"/>
            <w:hideMark/>
          </w:tcPr>
          <w:p w14:paraId="22EDCE29"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 xml:space="preserve">Systematic literature, government publications, expert </w:t>
            </w:r>
            <w:r w:rsidRPr="00525FBB">
              <w:rPr>
                <w:rFonts w:asciiTheme="majorBidi" w:eastAsia="Times New Roman" w:hAnsiTheme="majorBidi" w:cstheme="majorBidi"/>
                <w:color w:val="000000"/>
                <w:kern w:val="0"/>
                <w:sz w:val="24"/>
                <w:szCs w:val="24"/>
                <w14:ligatures w14:val="none"/>
              </w:rPr>
              <w:lastRenderedPageBreak/>
              <w:t>interviews</w:t>
            </w:r>
          </w:p>
        </w:tc>
        <w:tc>
          <w:tcPr>
            <w:tcW w:w="433" w:type="pct"/>
            <w:shd w:val="clear" w:color="auto" w:fill="auto"/>
            <w:vAlign w:val="center"/>
            <w:hideMark/>
          </w:tcPr>
          <w:p w14:paraId="180ACC6B"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 xml:space="preserve">Significant progress in Vision 2030 healthcare goals, </w:t>
            </w:r>
            <w:r w:rsidRPr="00525FBB">
              <w:rPr>
                <w:rFonts w:asciiTheme="majorBidi" w:eastAsia="Times New Roman" w:hAnsiTheme="majorBidi" w:cstheme="majorBidi"/>
                <w:color w:val="000000"/>
                <w:kern w:val="0"/>
                <w:sz w:val="24"/>
                <w:szCs w:val="24"/>
                <w14:ligatures w14:val="none"/>
              </w:rPr>
              <w:lastRenderedPageBreak/>
              <w:t>though financial and logistical challenges remain</w:t>
            </w:r>
          </w:p>
        </w:tc>
        <w:tc>
          <w:tcPr>
            <w:tcW w:w="433" w:type="pct"/>
            <w:shd w:val="clear" w:color="auto" w:fill="auto"/>
            <w:vAlign w:val="center"/>
            <w:hideMark/>
          </w:tcPr>
          <w:p w14:paraId="7150F052"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 xml:space="preserve">Strengthen human resources in healthcare, improve </w:t>
            </w:r>
            <w:r w:rsidRPr="00525FBB">
              <w:rPr>
                <w:rFonts w:asciiTheme="majorBidi" w:eastAsia="Times New Roman" w:hAnsiTheme="majorBidi" w:cstheme="majorBidi"/>
                <w:color w:val="000000"/>
                <w:kern w:val="0"/>
                <w:sz w:val="24"/>
                <w:szCs w:val="24"/>
                <w14:ligatures w14:val="none"/>
              </w:rPr>
              <w:lastRenderedPageBreak/>
              <w:t>financial sustainability, expand digital health initiatives</w:t>
            </w:r>
          </w:p>
        </w:tc>
        <w:tc>
          <w:tcPr>
            <w:tcW w:w="433" w:type="pct"/>
            <w:shd w:val="clear" w:color="auto" w:fill="auto"/>
            <w:vAlign w:val="center"/>
            <w:hideMark/>
          </w:tcPr>
          <w:p w14:paraId="4920769F"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 xml:space="preserve">Limited data on the long-term impacts of reforms, </w:t>
            </w:r>
            <w:r w:rsidRPr="00525FBB">
              <w:rPr>
                <w:rFonts w:asciiTheme="majorBidi" w:eastAsia="Times New Roman" w:hAnsiTheme="majorBidi" w:cstheme="majorBidi"/>
                <w:color w:val="000000"/>
                <w:kern w:val="0"/>
                <w:sz w:val="24"/>
                <w:szCs w:val="24"/>
                <w14:ligatures w14:val="none"/>
              </w:rPr>
              <w:lastRenderedPageBreak/>
              <w:t>challenges in workforce development</w:t>
            </w:r>
          </w:p>
        </w:tc>
        <w:tc>
          <w:tcPr>
            <w:tcW w:w="433" w:type="pct"/>
            <w:shd w:val="clear" w:color="auto" w:fill="auto"/>
            <w:vAlign w:val="center"/>
            <w:hideMark/>
          </w:tcPr>
          <w:p w14:paraId="7D737CE9"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Focus on sustainable healthcare models that integra</w:t>
            </w:r>
            <w:r w:rsidRPr="00525FBB">
              <w:rPr>
                <w:rFonts w:asciiTheme="majorBidi" w:eastAsia="Times New Roman" w:hAnsiTheme="majorBidi" w:cstheme="majorBidi"/>
                <w:color w:val="000000"/>
                <w:kern w:val="0"/>
                <w:sz w:val="24"/>
                <w:szCs w:val="24"/>
                <w14:ligatures w14:val="none"/>
              </w:rPr>
              <w:lastRenderedPageBreak/>
              <w:t>te both technological innovation and skilled workforce expansion</w:t>
            </w:r>
          </w:p>
        </w:tc>
      </w:tr>
      <w:tr w:rsidR="00525FBB" w:rsidRPr="00525FBB" w14:paraId="37E80008" w14:textId="77777777" w:rsidTr="006C25DC">
        <w:trPr>
          <w:trHeight w:val="20"/>
        </w:trPr>
        <w:tc>
          <w:tcPr>
            <w:tcW w:w="527" w:type="pct"/>
            <w:shd w:val="clear" w:color="auto" w:fill="auto"/>
            <w:vAlign w:val="center"/>
            <w:hideMark/>
          </w:tcPr>
          <w:p w14:paraId="5F9AC85E"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Yousef, M. et al.</w:t>
            </w:r>
          </w:p>
          <w:p w14:paraId="50059D9B"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2023</w:t>
            </w:r>
          </w:p>
          <w:p w14:paraId="027C2CE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Arabia</w:t>
            </w:r>
          </w:p>
          <w:p w14:paraId="70D2B151"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Eastern Region, Riyadh, Southern Regions</w:t>
            </w:r>
          </w:p>
        </w:tc>
        <w:tc>
          <w:tcPr>
            <w:tcW w:w="578" w:type="pct"/>
            <w:shd w:val="clear" w:color="auto" w:fill="auto"/>
            <w:vAlign w:val="center"/>
            <w:hideMark/>
          </w:tcPr>
          <w:p w14:paraId="5DE95AC0"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Model of Care (MoC) in healthcare reform</w:t>
            </w:r>
          </w:p>
        </w:tc>
        <w:tc>
          <w:tcPr>
            <w:tcW w:w="433" w:type="pct"/>
            <w:shd w:val="clear" w:color="auto" w:fill="auto"/>
            <w:vAlign w:val="center"/>
            <w:hideMark/>
          </w:tcPr>
          <w:p w14:paraId="5C4B5EE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Assessment based on healthcare cluster pilots and risk of integration issues across regions</w:t>
            </w:r>
          </w:p>
        </w:tc>
        <w:tc>
          <w:tcPr>
            <w:tcW w:w="433" w:type="pct"/>
            <w:shd w:val="clear" w:color="auto" w:fill="auto"/>
            <w:vAlign w:val="center"/>
            <w:hideMark/>
          </w:tcPr>
          <w:p w14:paraId="52858882"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Lack of integration, workforce burnout, low buy-in from healthcare professionals, insufficient change management</w:t>
            </w:r>
          </w:p>
        </w:tc>
        <w:tc>
          <w:tcPr>
            <w:tcW w:w="433" w:type="pct"/>
            <w:shd w:val="clear" w:color="auto" w:fill="auto"/>
            <w:vAlign w:val="center"/>
            <w:hideMark/>
          </w:tcPr>
          <w:p w14:paraId="67D2B7F8"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Patient-centered care, health coaching programs, digital health data management</w:t>
            </w:r>
          </w:p>
        </w:tc>
        <w:tc>
          <w:tcPr>
            <w:tcW w:w="433" w:type="pct"/>
            <w:shd w:val="clear" w:color="auto" w:fill="auto"/>
            <w:vAlign w:val="center"/>
            <w:hideMark/>
          </w:tcPr>
          <w:p w14:paraId="19E88FA5"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Developing change management strategies, improving workforce engagement, training for new care models</w:t>
            </w:r>
          </w:p>
        </w:tc>
        <w:tc>
          <w:tcPr>
            <w:tcW w:w="433" w:type="pct"/>
            <w:shd w:val="clear" w:color="auto" w:fill="auto"/>
            <w:vAlign w:val="center"/>
            <w:hideMark/>
          </w:tcPr>
          <w:p w14:paraId="09DB6BA9"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Cluster data, patient feedback, healthcare provider surveys</w:t>
            </w:r>
          </w:p>
        </w:tc>
        <w:tc>
          <w:tcPr>
            <w:tcW w:w="433" w:type="pct"/>
            <w:shd w:val="clear" w:color="auto" w:fill="auto"/>
            <w:vAlign w:val="center"/>
            <w:hideMark/>
          </w:tcPr>
          <w:p w14:paraId="41BDE725"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Initial success in the MoC pilot programs, but challenges in full-scale implementation remain</w:t>
            </w:r>
          </w:p>
        </w:tc>
        <w:tc>
          <w:tcPr>
            <w:tcW w:w="433" w:type="pct"/>
            <w:shd w:val="clear" w:color="auto" w:fill="auto"/>
            <w:vAlign w:val="center"/>
            <w:hideMark/>
          </w:tcPr>
          <w:p w14:paraId="2D594B7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Focus on leadership commitment, enhance workforce readiness, strengthen change management systems</w:t>
            </w:r>
          </w:p>
        </w:tc>
        <w:tc>
          <w:tcPr>
            <w:tcW w:w="433" w:type="pct"/>
            <w:shd w:val="clear" w:color="auto" w:fill="auto"/>
            <w:vAlign w:val="center"/>
            <w:hideMark/>
          </w:tcPr>
          <w:p w14:paraId="55B1B41B"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Lack of awareness campaigns, inconsistent stakeholder engagement, limited strategic planning</w:t>
            </w:r>
          </w:p>
        </w:tc>
        <w:tc>
          <w:tcPr>
            <w:tcW w:w="433" w:type="pct"/>
            <w:shd w:val="clear" w:color="auto" w:fill="auto"/>
            <w:vAlign w:val="center"/>
            <w:hideMark/>
          </w:tcPr>
          <w:p w14:paraId="1D574468"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MoC can help transform Saudi healthcare by addressing chronic diseases and improving overall care outcomes</w:t>
            </w:r>
          </w:p>
        </w:tc>
      </w:tr>
      <w:tr w:rsidR="00525FBB" w:rsidRPr="00525FBB" w14:paraId="377FEE9F" w14:textId="77777777" w:rsidTr="006C25DC">
        <w:trPr>
          <w:trHeight w:val="20"/>
        </w:trPr>
        <w:tc>
          <w:tcPr>
            <w:tcW w:w="527" w:type="pct"/>
            <w:shd w:val="clear" w:color="auto" w:fill="auto"/>
            <w:vAlign w:val="center"/>
            <w:hideMark/>
          </w:tcPr>
          <w:p w14:paraId="5A55F9D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Zakaria A. Mani, Krzysztof Goniewicz</w:t>
            </w:r>
          </w:p>
          <w:p w14:paraId="2F5F6DA6"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2024</w:t>
            </w:r>
          </w:p>
          <w:p w14:paraId="7AFE556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Arabia</w:t>
            </w:r>
          </w:p>
        </w:tc>
        <w:tc>
          <w:tcPr>
            <w:tcW w:w="578" w:type="pct"/>
            <w:shd w:val="clear" w:color="auto" w:fill="auto"/>
            <w:vAlign w:val="center"/>
            <w:hideMark/>
          </w:tcPr>
          <w:p w14:paraId="0A1EC03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Healthcare transformation under Vision 2030</w:t>
            </w:r>
          </w:p>
        </w:tc>
        <w:tc>
          <w:tcPr>
            <w:tcW w:w="433" w:type="pct"/>
            <w:shd w:val="clear" w:color="auto" w:fill="auto"/>
            <w:vAlign w:val="center"/>
            <w:hideMark/>
          </w:tcPr>
          <w:p w14:paraId="58C18EA5"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Structured framework for evaluating Vision 2030’s impact on healthcare transformation</w:t>
            </w:r>
          </w:p>
        </w:tc>
        <w:tc>
          <w:tcPr>
            <w:tcW w:w="433" w:type="pct"/>
            <w:shd w:val="clear" w:color="auto" w:fill="auto"/>
            <w:vAlign w:val="center"/>
            <w:hideMark/>
          </w:tcPr>
          <w:p w14:paraId="148A2969"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Healthcare infrastructure, workforce capacity, geographical disparities, quality of care, and financing</w:t>
            </w:r>
          </w:p>
        </w:tc>
        <w:tc>
          <w:tcPr>
            <w:tcW w:w="433" w:type="pct"/>
            <w:shd w:val="clear" w:color="auto" w:fill="auto"/>
            <w:vAlign w:val="center"/>
            <w:hideMark/>
          </w:tcPr>
          <w:p w14:paraId="13634FFA"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Digital health, public-private partnerships, workforce development, improved quality of care</w:t>
            </w:r>
          </w:p>
        </w:tc>
        <w:tc>
          <w:tcPr>
            <w:tcW w:w="433" w:type="pct"/>
            <w:shd w:val="clear" w:color="auto" w:fill="auto"/>
            <w:vAlign w:val="center"/>
            <w:hideMark/>
          </w:tcPr>
          <w:p w14:paraId="63FFF17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Integration of technology, improving governance, public health initiatives, workforce education</w:t>
            </w:r>
          </w:p>
        </w:tc>
        <w:tc>
          <w:tcPr>
            <w:tcW w:w="433" w:type="pct"/>
            <w:shd w:val="clear" w:color="auto" w:fill="auto"/>
            <w:vAlign w:val="center"/>
            <w:hideMark/>
          </w:tcPr>
          <w:p w14:paraId="6CDEBB7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Government reports, literature reviews, healthcare provider assessments</w:t>
            </w:r>
          </w:p>
        </w:tc>
        <w:tc>
          <w:tcPr>
            <w:tcW w:w="433" w:type="pct"/>
            <w:shd w:val="clear" w:color="auto" w:fill="auto"/>
            <w:vAlign w:val="center"/>
            <w:hideMark/>
          </w:tcPr>
          <w:p w14:paraId="37CBAE2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 xml:space="preserve">Significant progress toward healthcare transformation, but challenges remain in workforce and </w:t>
            </w:r>
            <w:r w:rsidRPr="00525FBB">
              <w:rPr>
                <w:rFonts w:asciiTheme="majorBidi" w:eastAsia="Times New Roman" w:hAnsiTheme="majorBidi" w:cstheme="majorBidi"/>
                <w:color w:val="000000"/>
                <w:kern w:val="0"/>
                <w:sz w:val="24"/>
                <w:szCs w:val="24"/>
                <w14:ligatures w14:val="none"/>
              </w:rPr>
              <w:lastRenderedPageBreak/>
              <w:t>infrastructure</w:t>
            </w:r>
          </w:p>
        </w:tc>
        <w:tc>
          <w:tcPr>
            <w:tcW w:w="433" w:type="pct"/>
            <w:shd w:val="clear" w:color="auto" w:fill="auto"/>
            <w:vAlign w:val="center"/>
            <w:hideMark/>
          </w:tcPr>
          <w:p w14:paraId="1BE434C8"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Strengthen public-private partnerships, enhance workforce training, expand digital health infrastructure</w:t>
            </w:r>
          </w:p>
        </w:tc>
        <w:tc>
          <w:tcPr>
            <w:tcW w:w="433" w:type="pct"/>
            <w:shd w:val="clear" w:color="auto" w:fill="auto"/>
            <w:vAlign w:val="center"/>
            <w:hideMark/>
          </w:tcPr>
          <w:p w14:paraId="1CC99BC0"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Insufficient longitudinal studies on long-term impacts of reforms, data gaps in some areas</w:t>
            </w:r>
          </w:p>
        </w:tc>
        <w:tc>
          <w:tcPr>
            <w:tcW w:w="433" w:type="pct"/>
            <w:shd w:val="clear" w:color="auto" w:fill="auto"/>
            <w:vAlign w:val="center"/>
            <w:hideMark/>
          </w:tcPr>
          <w:p w14:paraId="7D68C5F9"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Focus on building digital health infrastructure and expanding workforce training for sustainable health</w:t>
            </w:r>
            <w:r w:rsidRPr="00525FBB">
              <w:rPr>
                <w:rFonts w:asciiTheme="majorBidi" w:eastAsia="Times New Roman" w:hAnsiTheme="majorBidi" w:cstheme="majorBidi"/>
                <w:color w:val="000000"/>
                <w:kern w:val="0"/>
                <w:sz w:val="24"/>
                <w:szCs w:val="24"/>
                <w14:ligatures w14:val="none"/>
              </w:rPr>
              <w:lastRenderedPageBreak/>
              <w:t>care reform</w:t>
            </w:r>
          </w:p>
        </w:tc>
      </w:tr>
      <w:tr w:rsidR="00525FBB" w:rsidRPr="00525FBB" w14:paraId="795AA46C" w14:textId="77777777" w:rsidTr="006C25DC">
        <w:trPr>
          <w:trHeight w:val="20"/>
        </w:trPr>
        <w:tc>
          <w:tcPr>
            <w:tcW w:w="527" w:type="pct"/>
            <w:shd w:val="clear" w:color="auto" w:fill="auto"/>
            <w:vAlign w:val="center"/>
            <w:hideMark/>
          </w:tcPr>
          <w:p w14:paraId="41F22BB1"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Riley et al</w:t>
            </w:r>
          </w:p>
          <w:p w14:paraId="02830EA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2023</w:t>
            </w:r>
          </w:p>
          <w:p w14:paraId="78D5DEFA"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Arabia</w:t>
            </w:r>
          </w:p>
          <w:p w14:paraId="3FD81382"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Eastern Region, Riyadh, Qassim</w:t>
            </w:r>
          </w:p>
        </w:tc>
        <w:tc>
          <w:tcPr>
            <w:tcW w:w="578" w:type="pct"/>
            <w:shd w:val="clear" w:color="auto" w:fill="auto"/>
            <w:vAlign w:val="center"/>
            <w:hideMark/>
          </w:tcPr>
          <w:p w14:paraId="5F71485A"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Accelerated Transformation Programme (ATP) for healthcare transformation in non-clustered regions of KSA</w:t>
            </w:r>
          </w:p>
        </w:tc>
        <w:tc>
          <w:tcPr>
            <w:tcW w:w="433" w:type="pct"/>
            <w:shd w:val="clear" w:color="auto" w:fill="auto"/>
            <w:vAlign w:val="center"/>
            <w:hideMark/>
          </w:tcPr>
          <w:p w14:paraId="17F194A4"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Governance and risk management in transforming healthcare service delivery</w:t>
            </w:r>
          </w:p>
        </w:tc>
        <w:tc>
          <w:tcPr>
            <w:tcW w:w="433" w:type="pct"/>
            <w:shd w:val="clear" w:color="auto" w:fill="auto"/>
            <w:vAlign w:val="center"/>
            <w:hideMark/>
          </w:tcPr>
          <w:p w14:paraId="29E0194B"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Resistance to change, workforce capacity, engagement with local communities, coordination across regions</w:t>
            </w:r>
          </w:p>
        </w:tc>
        <w:tc>
          <w:tcPr>
            <w:tcW w:w="433" w:type="pct"/>
            <w:shd w:val="clear" w:color="auto" w:fill="auto"/>
            <w:vAlign w:val="center"/>
            <w:hideMark/>
          </w:tcPr>
          <w:p w14:paraId="15371130"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Engaging local healthcare communities, promoting ownership in the transformation process, building capacity</w:t>
            </w:r>
          </w:p>
        </w:tc>
        <w:tc>
          <w:tcPr>
            <w:tcW w:w="433" w:type="pct"/>
            <w:shd w:val="clear" w:color="auto" w:fill="auto"/>
            <w:vAlign w:val="center"/>
            <w:hideMark/>
          </w:tcPr>
          <w:p w14:paraId="7C9B281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Training, development of local leadership, establishing steering committees for regional governance</w:t>
            </w:r>
          </w:p>
        </w:tc>
        <w:tc>
          <w:tcPr>
            <w:tcW w:w="433" w:type="pct"/>
            <w:shd w:val="clear" w:color="auto" w:fill="auto"/>
            <w:vAlign w:val="center"/>
            <w:hideMark/>
          </w:tcPr>
          <w:p w14:paraId="675DE966"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Regional health directorates data, reports from healthcare service clusters, participation surveys</w:t>
            </w:r>
          </w:p>
        </w:tc>
        <w:tc>
          <w:tcPr>
            <w:tcW w:w="433" w:type="pct"/>
            <w:shd w:val="clear" w:color="auto" w:fill="auto"/>
            <w:vAlign w:val="center"/>
            <w:hideMark/>
          </w:tcPr>
          <w:p w14:paraId="18CFCF64"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Successful engagement in initial clusters, lessons learned in workforce readiness and governance across regions</w:t>
            </w:r>
          </w:p>
        </w:tc>
        <w:tc>
          <w:tcPr>
            <w:tcW w:w="433" w:type="pct"/>
            <w:shd w:val="clear" w:color="auto" w:fill="auto"/>
            <w:vAlign w:val="center"/>
            <w:hideMark/>
          </w:tcPr>
          <w:p w14:paraId="7753E0E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Enhance local ownership of transformation, improve knowledge transfer, accelerate cluster readiness</w:t>
            </w:r>
          </w:p>
        </w:tc>
        <w:tc>
          <w:tcPr>
            <w:tcW w:w="433" w:type="pct"/>
            <w:shd w:val="clear" w:color="auto" w:fill="auto"/>
            <w:vAlign w:val="center"/>
            <w:hideMark/>
          </w:tcPr>
          <w:p w14:paraId="67E8EDB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Lack of long-term evaluation of ATP effectiveness, inconsistent stakeholder engagement across regions</w:t>
            </w:r>
          </w:p>
        </w:tc>
        <w:tc>
          <w:tcPr>
            <w:tcW w:w="433" w:type="pct"/>
            <w:shd w:val="clear" w:color="auto" w:fill="auto"/>
            <w:vAlign w:val="center"/>
            <w:hideMark/>
          </w:tcPr>
          <w:p w14:paraId="6DF55F6C"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Need for more localized transformation strategies, lessons to scale healthcare improvements nationally</w:t>
            </w:r>
          </w:p>
        </w:tc>
      </w:tr>
      <w:tr w:rsidR="00525FBB" w:rsidRPr="00525FBB" w14:paraId="65E2FAE0" w14:textId="77777777" w:rsidTr="006C25DC">
        <w:trPr>
          <w:trHeight w:val="20"/>
        </w:trPr>
        <w:tc>
          <w:tcPr>
            <w:tcW w:w="527" w:type="pct"/>
            <w:shd w:val="clear" w:color="auto" w:fill="auto"/>
            <w:vAlign w:val="center"/>
            <w:hideMark/>
          </w:tcPr>
          <w:p w14:paraId="2562BC8C"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Chowdhury et al</w:t>
            </w:r>
          </w:p>
          <w:p w14:paraId="57E7FD55"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2021</w:t>
            </w:r>
          </w:p>
          <w:p w14:paraId="79EE81B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Arabia</w:t>
            </w:r>
          </w:p>
        </w:tc>
        <w:tc>
          <w:tcPr>
            <w:tcW w:w="578" w:type="pct"/>
            <w:shd w:val="clear" w:color="auto" w:fill="auto"/>
            <w:vAlign w:val="center"/>
            <w:hideMark/>
          </w:tcPr>
          <w:p w14:paraId="4DF42406"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National Transformation Program (NTP) and the Model of Care (MoC) under Vision 2030</w:t>
            </w:r>
          </w:p>
        </w:tc>
        <w:tc>
          <w:tcPr>
            <w:tcW w:w="433" w:type="pct"/>
            <w:shd w:val="clear" w:color="auto" w:fill="auto"/>
            <w:vAlign w:val="center"/>
            <w:hideMark/>
          </w:tcPr>
          <w:p w14:paraId="2A16D778"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Systematic review of healthcare system transformation with a focus on MoC implementation</w:t>
            </w:r>
          </w:p>
        </w:tc>
        <w:tc>
          <w:tcPr>
            <w:tcW w:w="433" w:type="pct"/>
            <w:shd w:val="clear" w:color="auto" w:fill="auto"/>
            <w:vAlign w:val="center"/>
            <w:hideMark/>
          </w:tcPr>
          <w:p w14:paraId="4954CF8A"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Limited access to healthcare, quality and efficiency gaps, inadequate preventive healthcare infrastructure</w:t>
            </w:r>
          </w:p>
        </w:tc>
        <w:tc>
          <w:tcPr>
            <w:tcW w:w="433" w:type="pct"/>
            <w:shd w:val="clear" w:color="auto" w:fill="auto"/>
            <w:vAlign w:val="center"/>
            <w:hideMark/>
          </w:tcPr>
          <w:p w14:paraId="55AABCC5"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Digital health adoption, expansion of e-health services, comprehensive healthcare reform across sectors</w:t>
            </w:r>
          </w:p>
        </w:tc>
        <w:tc>
          <w:tcPr>
            <w:tcW w:w="433" w:type="pct"/>
            <w:shd w:val="clear" w:color="auto" w:fill="auto"/>
            <w:vAlign w:val="center"/>
            <w:hideMark/>
          </w:tcPr>
          <w:p w14:paraId="1218B10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Expansion of healthcare facilities, improved workforce planning, focus on public health and prevention programs</w:t>
            </w:r>
          </w:p>
        </w:tc>
        <w:tc>
          <w:tcPr>
            <w:tcW w:w="433" w:type="pct"/>
            <w:shd w:val="clear" w:color="auto" w:fill="auto"/>
            <w:vAlign w:val="center"/>
            <w:hideMark/>
          </w:tcPr>
          <w:p w14:paraId="584C1CC1"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Literature review, government reports, healthcare professional surveys, stakeholder workshops</w:t>
            </w:r>
          </w:p>
        </w:tc>
        <w:tc>
          <w:tcPr>
            <w:tcW w:w="433" w:type="pct"/>
            <w:shd w:val="clear" w:color="auto" w:fill="auto"/>
            <w:vAlign w:val="center"/>
            <w:hideMark/>
          </w:tcPr>
          <w:p w14:paraId="7AF7EF54"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Major healthcare transformation required, particularly in workforce training and service accessibility</w:t>
            </w:r>
          </w:p>
        </w:tc>
        <w:tc>
          <w:tcPr>
            <w:tcW w:w="433" w:type="pct"/>
            <w:shd w:val="clear" w:color="auto" w:fill="auto"/>
            <w:vAlign w:val="center"/>
            <w:hideMark/>
          </w:tcPr>
          <w:p w14:paraId="14A553D8"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Improve healthcare quality, enhance digital solutions, expand preventive health services, increase workforce investment</w:t>
            </w:r>
          </w:p>
        </w:tc>
        <w:tc>
          <w:tcPr>
            <w:tcW w:w="433" w:type="pct"/>
            <w:shd w:val="clear" w:color="auto" w:fill="auto"/>
            <w:vAlign w:val="center"/>
            <w:hideMark/>
          </w:tcPr>
          <w:p w14:paraId="258E2F5B"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Insufficient data on workforce challenges, variability in healthcare service quality across regions</w:t>
            </w:r>
          </w:p>
        </w:tc>
        <w:tc>
          <w:tcPr>
            <w:tcW w:w="433" w:type="pct"/>
            <w:shd w:val="clear" w:color="auto" w:fill="auto"/>
            <w:vAlign w:val="center"/>
            <w:hideMark/>
          </w:tcPr>
          <w:p w14:paraId="5ABB7E2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A holistic approach to healthcare reform is necessary, focusing on prevention, accessibility, and digital health integration</w:t>
            </w:r>
          </w:p>
        </w:tc>
      </w:tr>
    </w:tbl>
    <w:p w14:paraId="4FBF4E5F" w14:textId="77777777" w:rsidR="00525FBB" w:rsidRPr="00525FBB" w:rsidRDefault="00525FBB" w:rsidP="00525FBB">
      <w:pPr>
        <w:spacing w:after="0" w:line="480" w:lineRule="auto"/>
        <w:jc w:val="right"/>
        <w:rPr>
          <w:rFonts w:asciiTheme="majorBidi" w:hAnsiTheme="majorBidi" w:cstheme="majorBidi"/>
          <w:b/>
          <w:bCs/>
          <w:sz w:val="24"/>
          <w:szCs w:val="24"/>
          <w:u w:val="single"/>
        </w:rPr>
      </w:pPr>
    </w:p>
    <w:p w14:paraId="792E7B09"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lastRenderedPageBreak/>
        <w:t>Across the 12 studies, healthcare transformation under Vision 2030 emerged as the dominant key theme. Vision 2030 aims to modernize the healthcare sector, making it more efficient, accessible, and sustainable. A significant portion of the studies specifically discusses Vision 2030 and its ambitious healthcare goals. The transition towards a patient-centered care model, the adoption of digital health solutions, and the expansion of public-private partnerships (PPPs) are core elements of the transformation strategy.</w:t>
      </w:r>
    </w:p>
    <w:p w14:paraId="0732F106"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Another recurrent theme is workforce development. Several studies highlight that an insufficiently trained and culturally unprepared healthcare workforce poses a substantial barrier to achieving the goals outlined in Vision 2030. The need to enhance healthcare worker capacity, improve specialized training, and adapt the workforce to new technologies and healthcare models was emphasized in the majority of the studies. These workforce issues are seen as critical for ensuring the smooth implementation of reforms.</w:t>
      </w:r>
    </w:p>
    <w:p w14:paraId="48552442"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Digital health and the integration of telemedicine, electronic health records (EHRs), and other digital platforms were identified as significant opportunities within the healthcare transformation framework. This shift towards digital solutions aims to improve patient outcomes, enhance data management, and make healthcare more accessible, especially in rural areas.</w:t>
      </w:r>
    </w:p>
    <w:p w14:paraId="055CD0D8" w14:textId="1F6C0044" w:rsidR="00525FBB" w:rsidRDefault="00525FBB" w:rsidP="00525FBB">
      <w:pPr>
        <w:spacing w:after="0" w:line="480" w:lineRule="auto"/>
        <w:ind w:firstLine="720"/>
        <w:jc w:val="right"/>
        <w:rPr>
          <w:rFonts w:asciiTheme="majorBidi" w:hAnsiTheme="majorBidi" w:cstheme="majorBidi"/>
          <w:sz w:val="24"/>
          <w:szCs w:val="24"/>
        </w:rPr>
      </w:pPr>
    </w:p>
    <w:p w14:paraId="0D52EF92" w14:textId="41BD76BA" w:rsidR="00A55D84" w:rsidRDefault="00A55D84" w:rsidP="00525FBB">
      <w:pPr>
        <w:spacing w:after="0" w:line="480" w:lineRule="auto"/>
        <w:ind w:firstLine="720"/>
        <w:jc w:val="right"/>
        <w:rPr>
          <w:rFonts w:asciiTheme="majorBidi" w:hAnsiTheme="majorBidi" w:cstheme="majorBidi"/>
          <w:sz w:val="24"/>
          <w:szCs w:val="24"/>
        </w:rPr>
      </w:pPr>
    </w:p>
    <w:p w14:paraId="1C808A60" w14:textId="0A493F53" w:rsidR="00A55D84" w:rsidRDefault="00A55D84" w:rsidP="00525FBB">
      <w:pPr>
        <w:spacing w:after="0" w:line="480" w:lineRule="auto"/>
        <w:ind w:firstLine="720"/>
        <w:jc w:val="right"/>
        <w:rPr>
          <w:rFonts w:asciiTheme="majorBidi" w:hAnsiTheme="majorBidi" w:cstheme="majorBidi"/>
          <w:sz w:val="24"/>
          <w:szCs w:val="24"/>
        </w:rPr>
      </w:pPr>
    </w:p>
    <w:p w14:paraId="370EFA57" w14:textId="54A6B55E" w:rsidR="00A55D84" w:rsidRDefault="00A55D84" w:rsidP="00525FBB">
      <w:pPr>
        <w:spacing w:after="0" w:line="480" w:lineRule="auto"/>
        <w:ind w:firstLine="720"/>
        <w:jc w:val="right"/>
        <w:rPr>
          <w:rFonts w:asciiTheme="majorBidi" w:hAnsiTheme="majorBidi" w:cstheme="majorBidi"/>
          <w:sz w:val="24"/>
          <w:szCs w:val="24"/>
        </w:rPr>
      </w:pPr>
    </w:p>
    <w:p w14:paraId="1A88C838" w14:textId="0C75C37F" w:rsidR="00A55D84" w:rsidRDefault="00A55D84" w:rsidP="00525FBB">
      <w:pPr>
        <w:spacing w:after="0" w:line="480" w:lineRule="auto"/>
        <w:ind w:firstLine="720"/>
        <w:jc w:val="right"/>
        <w:rPr>
          <w:rFonts w:asciiTheme="majorBidi" w:hAnsiTheme="majorBidi" w:cstheme="majorBidi"/>
          <w:sz w:val="24"/>
          <w:szCs w:val="24"/>
        </w:rPr>
      </w:pPr>
    </w:p>
    <w:p w14:paraId="1CD986A0" w14:textId="600E7766" w:rsidR="00A55D84" w:rsidRDefault="00A55D84" w:rsidP="00525FBB">
      <w:pPr>
        <w:spacing w:after="0" w:line="480" w:lineRule="auto"/>
        <w:ind w:firstLine="720"/>
        <w:jc w:val="right"/>
        <w:rPr>
          <w:rFonts w:asciiTheme="majorBidi" w:hAnsiTheme="majorBidi" w:cstheme="majorBidi"/>
          <w:sz w:val="24"/>
          <w:szCs w:val="24"/>
        </w:rPr>
      </w:pPr>
    </w:p>
    <w:p w14:paraId="260764A4" w14:textId="77777777" w:rsidR="00A55D84" w:rsidRPr="00525FBB" w:rsidRDefault="00A55D84" w:rsidP="00525FBB">
      <w:pPr>
        <w:spacing w:after="0" w:line="480" w:lineRule="auto"/>
        <w:ind w:firstLine="720"/>
        <w:jc w:val="right"/>
        <w:rPr>
          <w:rFonts w:asciiTheme="majorBidi" w:hAnsiTheme="majorBidi" w:cstheme="majorBidi"/>
          <w:sz w:val="24"/>
          <w:szCs w:val="24"/>
        </w:rPr>
      </w:pPr>
    </w:p>
    <w:p w14:paraId="54C4B247" w14:textId="77777777" w:rsidR="00525FBB" w:rsidRPr="00525FBB" w:rsidRDefault="00525FBB" w:rsidP="00525FBB">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t>Figure 2: Key Themes</w:t>
      </w:r>
    </w:p>
    <w:p w14:paraId="18F83665" w14:textId="77777777" w:rsidR="00525FBB" w:rsidRPr="00525FBB" w:rsidRDefault="00525FBB" w:rsidP="00525FBB">
      <w:pPr>
        <w:spacing w:after="0" w:line="480" w:lineRule="auto"/>
        <w:jc w:val="right"/>
        <w:rPr>
          <w:rFonts w:asciiTheme="majorBidi" w:hAnsiTheme="majorBidi" w:cstheme="majorBidi"/>
          <w:b/>
          <w:bCs/>
          <w:sz w:val="24"/>
          <w:szCs w:val="24"/>
        </w:rPr>
      </w:pPr>
      <w:r w:rsidRPr="00525FBB">
        <w:rPr>
          <w:rFonts w:asciiTheme="majorBidi" w:hAnsiTheme="majorBidi" w:cstheme="majorBidi"/>
          <w:noProof/>
          <w:sz w:val="24"/>
          <w:szCs w:val="24"/>
        </w:rPr>
        <w:lastRenderedPageBreak/>
        <w:drawing>
          <wp:inline distT="0" distB="0" distL="0" distR="0" wp14:anchorId="7D8C3935" wp14:editId="077BB3B9">
            <wp:extent cx="4572000" cy="2743200"/>
            <wp:effectExtent l="0" t="0" r="0" b="0"/>
            <wp:docPr id="1706129376" name="Chart 1">
              <a:extLst xmlns:a="http://schemas.openxmlformats.org/drawingml/2006/main">
                <a:ext uri="{FF2B5EF4-FFF2-40B4-BE49-F238E27FC236}">
                  <a16:creationId xmlns:a16="http://schemas.microsoft.com/office/drawing/2014/main" id="{9939655D-0C94-300B-F02F-05E85679A4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54B8A0D"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The studies identified several challenges hindering the progress of healthcare reforms in Saudi Arabia. A common challenge discussed across the studies was workforce issues. The healthcare system faces significant staff shortages, capacity limitations, and insufficient training programs to handle the increasing demand for healthcare services, particularly with the growing burden of non-communicable diseases (NCDs). Studies like those of Alkhurayji et al. (2024) and Suleiman et al. (2025) noted that despite efforts to increase the number of healthcare professionals, the existing workforce struggles to meet the challenges posed by an aging population and rising healthcare demands.</w:t>
      </w:r>
    </w:p>
    <w:p w14:paraId="3DFBC188"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Infrastructure limitations are another recurring challenge. The studies highlighted the uneven distribution of healthcare resources, particularly between urban and rural areas, as a barrier to achieving equitable healthcare. Khashan et al. (2021) and Riley et al. (2023) pointed out that many regions, especially in the Eastern and Southern regions, still lack the necessary infrastructure and resources to implement the proposed healthcare reforms effectively.</w:t>
      </w:r>
    </w:p>
    <w:p w14:paraId="7E3C49B5"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sz w:val="24"/>
          <w:szCs w:val="24"/>
        </w:rPr>
        <w:t xml:space="preserve">In addition to workforce and infrastructure challenges, financial sustainability also emerged as a major concern. The healthcare system, despite large investments, continues to face issues in maintaining a stable and sustainable financial model. Several studies, including </w:t>
      </w:r>
      <w:r w:rsidRPr="00525FBB">
        <w:rPr>
          <w:rFonts w:asciiTheme="majorBidi" w:hAnsiTheme="majorBidi" w:cstheme="majorBidi"/>
          <w:sz w:val="24"/>
          <w:szCs w:val="24"/>
        </w:rPr>
        <w:lastRenderedPageBreak/>
        <w:t>those of Alkhurayji et al. (2024), pointed out that healthcare financing needs to be restructured, especially with the increasing pressure to shift towards preventive care and primary healthcare models.</w:t>
      </w:r>
    </w:p>
    <w:p w14:paraId="01011A8E" w14:textId="6D8B90D5" w:rsidR="00525FBB" w:rsidRPr="00525FBB" w:rsidRDefault="00525FBB" w:rsidP="00A55D84">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Resistance to change within the healthcare sector was cited as a significant barrier. As noted by Alharbi (2020), healthcare professionals and administrative bodies often resist new policies or care models, which can delay or hinder the reform process.</w:t>
      </w:r>
    </w:p>
    <w:p w14:paraId="2264657F" w14:textId="77777777" w:rsidR="00525FBB" w:rsidRPr="00525FBB" w:rsidRDefault="00525FBB" w:rsidP="00525FBB">
      <w:pPr>
        <w:spacing w:after="0" w:line="480" w:lineRule="auto"/>
        <w:ind w:firstLine="720"/>
        <w:jc w:val="right"/>
        <w:rPr>
          <w:rFonts w:asciiTheme="majorBidi" w:hAnsiTheme="majorBidi" w:cstheme="majorBidi"/>
          <w:sz w:val="24"/>
          <w:szCs w:val="24"/>
        </w:rPr>
      </w:pPr>
    </w:p>
    <w:p w14:paraId="00967D8D" w14:textId="77777777" w:rsidR="00525FBB" w:rsidRPr="00525FBB" w:rsidRDefault="00525FBB" w:rsidP="00525FBB">
      <w:pPr>
        <w:spacing w:after="0" w:line="480" w:lineRule="auto"/>
        <w:ind w:firstLine="720"/>
        <w:jc w:val="right"/>
        <w:rPr>
          <w:rFonts w:asciiTheme="majorBidi" w:hAnsiTheme="majorBidi" w:cstheme="majorBidi"/>
          <w:b/>
          <w:bCs/>
          <w:sz w:val="24"/>
          <w:szCs w:val="24"/>
        </w:rPr>
      </w:pPr>
      <w:r w:rsidRPr="00525FBB">
        <w:rPr>
          <w:rFonts w:asciiTheme="majorBidi" w:hAnsiTheme="majorBidi" w:cstheme="majorBidi"/>
          <w:b/>
          <w:bCs/>
          <w:sz w:val="24"/>
          <w:szCs w:val="24"/>
        </w:rPr>
        <w:t>Figure 3: Challenges</w:t>
      </w:r>
    </w:p>
    <w:p w14:paraId="285B42FC"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noProof/>
          <w:sz w:val="24"/>
          <w:szCs w:val="24"/>
        </w:rPr>
        <w:drawing>
          <wp:inline distT="0" distB="0" distL="0" distR="0" wp14:anchorId="2FAA7149" wp14:editId="38C8D663">
            <wp:extent cx="5448297" cy="3243263"/>
            <wp:effectExtent l="0" t="0" r="635" b="14605"/>
            <wp:docPr id="2062428542" name="Chart 1">
              <a:extLst xmlns:a="http://schemas.openxmlformats.org/drawingml/2006/main">
                <a:ext uri="{FF2B5EF4-FFF2-40B4-BE49-F238E27FC236}">
                  <a16:creationId xmlns:a16="http://schemas.microsoft.com/office/drawing/2014/main" id="{57B605C6-8370-C345-1312-18C797D21B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0257495" w14:textId="77777777" w:rsidR="00525FBB" w:rsidRPr="00525FBB" w:rsidRDefault="00525FBB" w:rsidP="00525FBB">
      <w:pPr>
        <w:spacing w:after="0" w:line="480" w:lineRule="auto"/>
        <w:jc w:val="right"/>
        <w:rPr>
          <w:rFonts w:asciiTheme="majorBidi" w:hAnsiTheme="majorBidi" w:cstheme="majorBidi"/>
          <w:sz w:val="24"/>
          <w:szCs w:val="24"/>
        </w:rPr>
      </w:pPr>
    </w:p>
    <w:p w14:paraId="47F65A36"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sz w:val="24"/>
          <w:szCs w:val="24"/>
        </w:rPr>
        <w:tab/>
        <w:t>Where opportunities are concerned, the integration of digital health solutions is noteworthy. With the rise of telemedicine, EHRs, and health information technology, Saudi Arabia can greatly improve the efficiency and accessibility of healthcare services, especially in underserved areas. As highlighted in Yami et al. (2024), telemedicine can provide timely healthcare to patients in rural areas, where physical infrastructure is lacking, and allow healthcare providers to reach a larger patient base.</w:t>
      </w:r>
    </w:p>
    <w:p w14:paraId="50EF9A8A"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lastRenderedPageBreak/>
        <w:t>Another important opportunity is the expansion of public-private partnerships (PPPs). Studies such as Yousef et al. (2023) and Alanazi et al. (2023) emphasize that collaborations between the government and private healthcare providers can significantly improve the quality of services and increase healthcare accessibility. These partnerships are particularly important for improving the quality of care and resource distribution, while also reducing the financial burden on the government.</w:t>
      </w:r>
    </w:p>
    <w:p w14:paraId="13088092"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Workforce development is also seen as a key opportunity. Several studies emphasized the importance of training programs that equip healthcare workers with the necessary skills to adopt new technologies and manage the increasing prevalence of chronic diseases. The adoption of new care models, such as the Model of Care (MoC) discussed in Chowdhury et al. (2021), presents an opportunity to train the workforce to adapt to more patient-centric approaches.</w:t>
      </w:r>
    </w:p>
    <w:p w14:paraId="48390BBF" w14:textId="1E402B53" w:rsid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sz w:val="24"/>
          <w:szCs w:val="24"/>
        </w:rPr>
        <w:t>Furthermore, the privatization of healthcare services is frequently mentioned as an opportunity. As discussed in Alasiri et al. (2022), privatization can not only improve efficiency but also introduce competition that can help to reduce costs and improve care quality.</w:t>
      </w:r>
    </w:p>
    <w:p w14:paraId="1ECAD104" w14:textId="65C15354" w:rsidR="00A55D84" w:rsidRDefault="00A55D84" w:rsidP="00525FBB">
      <w:pPr>
        <w:spacing w:after="0" w:line="480" w:lineRule="auto"/>
        <w:jc w:val="right"/>
        <w:rPr>
          <w:rFonts w:asciiTheme="majorBidi" w:hAnsiTheme="majorBidi" w:cstheme="majorBidi"/>
          <w:sz w:val="24"/>
          <w:szCs w:val="24"/>
        </w:rPr>
      </w:pPr>
    </w:p>
    <w:p w14:paraId="44A6A54B" w14:textId="481FF7AD" w:rsidR="00A55D84" w:rsidRDefault="00A55D84" w:rsidP="00525FBB">
      <w:pPr>
        <w:spacing w:after="0" w:line="480" w:lineRule="auto"/>
        <w:jc w:val="right"/>
        <w:rPr>
          <w:rFonts w:asciiTheme="majorBidi" w:hAnsiTheme="majorBidi" w:cstheme="majorBidi"/>
          <w:sz w:val="24"/>
          <w:szCs w:val="24"/>
        </w:rPr>
      </w:pPr>
    </w:p>
    <w:p w14:paraId="0D6D81FD" w14:textId="3D208E18" w:rsidR="00A55D84" w:rsidRDefault="00A55D84" w:rsidP="00525FBB">
      <w:pPr>
        <w:spacing w:after="0" w:line="480" w:lineRule="auto"/>
        <w:jc w:val="right"/>
        <w:rPr>
          <w:rFonts w:asciiTheme="majorBidi" w:hAnsiTheme="majorBidi" w:cstheme="majorBidi"/>
          <w:sz w:val="24"/>
          <w:szCs w:val="24"/>
        </w:rPr>
      </w:pPr>
    </w:p>
    <w:p w14:paraId="24F7F7A0" w14:textId="57E384D9" w:rsidR="00A55D84" w:rsidRDefault="00A55D84" w:rsidP="00525FBB">
      <w:pPr>
        <w:spacing w:after="0" w:line="480" w:lineRule="auto"/>
        <w:jc w:val="right"/>
        <w:rPr>
          <w:rFonts w:asciiTheme="majorBidi" w:hAnsiTheme="majorBidi" w:cstheme="majorBidi"/>
          <w:sz w:val="24"/>
          <w:szCs w:val="24"/>
        </w:rPr>
      </w:pPr>
    </w:p>
    <w:p w14:paraId="4E6C5CDC" w14:textId="2E335092" w:rsidR="00A55D84" w:rsidRDefault="00A55D84" w:rsidP="00525FBB">
      <w:pPr>
        <w:spacing w:after="0" w:line="480" w:lineRule="auto"/>
        <w:jc w:val="right"/>
        <w:rPr>
          <w:rFonts w:asciiTheme="majorBidi" w:hAnsiTheme="majorBidi" w:cstheme="majorBidi"/>
          <w:sz w:val="24"/>
          <w:szCs w:val="24"/>
        </w:rPr>
      </w:pPr>
    </w:p>
    <w:p w14:paraId="01A6B30E" w14:textId="732FD488" w:rsidR="00A55D84" w:rsidRDefault="00A55D84" w:rsidP="00525FBB">
      <w:pPr>
        <w:spacing w:after="0" w:line="480" w:lineRule="auto"/>
        <w:jc w:val="right"/>
        <w:rPr>
          <w:rFonts w:asciiTheme="majorBidi" w:hAnsiTheme="majorBidi" w:cstheme="majorBidi"/>
          <w:sz w:val="24"/>
          <w:szCs w:val="24"/>
        </w:rPr>
      </w:pPr>
    </w:p>
    <w:p w14:paraId="0CF96B4F" w14:textId="77777777" w:rsidR="00A55D84" w:rsidRPr="00525FBB" w:rsidRDefault="00A55D84" w:rsidP="00525FBB">
      <w:pPr>
        <w:spacing w:after="0" w:line="480" w:lineRule="auto"/>
        <w:jc w:val="right"/>
        <w:rPr>
          <w:rFonts w:asciiTheme="majorBidi" w:hAnsiTheme="majorBidi" w:cstheme="majorBidi"/>
          <w:sz w:val="24"/>
          <w:szCs w:val="24"/>
        </w:rPr>
      </w:pPr>
    </w:p>
    <w:p w14:paraId="4F848CC1" w14:textId="77777777" w:rsidR="00525FBB" w:rsidRPr="00525FBB" w:rsidRDefault="00525FBB" w:rsidP="00525FBB">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t>Figure 4: Opportunities</w:t>
      </w:r>
    </w:p>
    <w:p w14:paraId="2B18B74F"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noProof/>
          <w:sz w:val="24"/>
          <w:szCs w:val="24"/>
        </w:rPr>
        <w:lastRenderedPageBreak/>
        <w:drawing>
          <wp:inline distT="0" distB="0" distL="0" distR="0" wp14:anchorId="0BD557C7" wp14:editId="12952F88">
            <wp:extent cx="6127668" cy="3443845"/>
            <wp:effectExtent l="0" t="0" r="6985" b="4445"/>
            <wp:docPr id="290900753" name="Chart 1">
              <a:extLst xmlns:a="http://schemas.openxmlformats.org/drawingml/2006/main">
                <a:ext uri="{FF2B5EF4-FFF2-40B4-BE49-F238E27FC236}">
                  <a16:creationId xmlns:a16="http://schemas.microsoft.com/office/drawing/2014/main" id="{D372A5E1-8FD3-ED75-98E0-6DA243A352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E3D1A74"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To address the challenges and capitalize on the opportunities, the studies provided several mitigative strategies. One of the most frequently mentioned strategies is workforce training. The studies emphasize the need for specialized training programs to address the gaps in healthcare skills. Public-private partnerships (PPPs) were also recommended as a way to increase the efficiency of healthcare delivery and improve access to resources.</w:t>
      </w:r>
    </w:p>
    <w:p w14:paraId="6D48B9E2" w14:textId="3FB27C01" w:rsidR="00525FBB" w:rsidRPr="00525FBB" w:rsidRDefault="00525FBB" w:rsidP="00A55D84">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The integration of digital solutions, including e-health platforms, telemedicine, and EHRs, was another critical mitigative strategy identified. Yami et al. (2024) and Riley et al. (2023) discussed how these technologies can facilitate better data management, increase the reach of healthcare services, and improve patient outcomes. Furthermore, improved governance and policy reforms were suggested as key strategies to ensure the sustainability of healthcare reforms. Many studies recommend community engagement and change management as essential strategies. Workforce engagement, as pointed out in studies like Yousef et al. (2023), can help reduce resistance to new models of care and improve collaboration between healthcare providers and administrators.</w:t>
      </w:r>
    </w:p>
    <w:p w14:paraId="00A4C503" w14:textId="03B64EDB" w:rsidR="00525FBB" w:rsidRPr="00525FBB" w:rsidRDefault="00525FBB" w:rsidP="00525FBB">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t>Figure 5: Mitigative strategies</w:t>
      </w:r>
    </w:p>
    <w:p w14:paraId="322F36CF"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noProof/>
          <w:sz w:val="24"/>
          <w:szCs w:val="24"/>
        </w:rPr>
        <w:lastRenderedPageBreak/>
        <w:drawing>
          <wp:inline distT="0" distB="0" distL="0" distR="0" wp14:anchorId="004D3DC4" wp14:editId="2E473503">
            <wp:extent cx="5664530" cy="3253839"/>
            <wp:effectExtent l="0" t="0" r="12700" b="3810"/>
            <wp:docPr id="820884262" name="Chart 1">
              <a:extLst xmlns:a="http://schemas.openxmlformats.org/drawingml/2006/main">
                <a:ext uri="{FF2B5EF4-FFF2-40B4-BE49-F238E27FC236}">
                  <a16:creationId xmlns:a16="http://schemas.microsoft.com/office/drawing/2014/main" id="{91F49F04-AB70-1820-B9DF-E34A7FC348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8566403" w14:textId="77777777" w:rsidR="00525FBB" w:rsidRPr="00525FBB" w:rsidRDefault="00525FBB" w:rsidP="00525FBB">
      <w:pPr>
        <w:spacing w:after="0" w:line="480" w:lineRule="auto"/>
        <w:jc w:val="right"/>
        <w:rPr>
          <w:rFonts w:asciiTheme="majorBidi" w:hAnsiTheme="majorBidi" w:cstheme="majorBidi"/>
          <w:sz w:val="24"/>
          <w:szCs w:val="24"/>
        </w:rPr>
      </w:pPr>
    </w:p>
    <w:p w14:paraId="0547A581" w14:textId="77777777" w:rsidR="00525FBB" w:rsidRPr="00525FBB" w:rsidRDefault="00525FBB" w:rsidP="00525FBB">
      <w:pPr>
        <w:spacing w:after="0" w:line="480" w:lineRule="auto"/>
        <w:jc w:val="right"/>
        <w:rPr>
          <w:rFonts w:asciiTheme="majorBidi" w:hAnsiTheme="majorBidi" w:cstheme="majorBidi"/>
          <w:sz w:val="24"/>
          <w:szCs w:val="24"/>
        </w:rPr>
      </w:pPr>
    </w:p>
    <w:p w14:paraId="28A4F43F" w14:textId="77777777" w:rsidR="00525FBB" w:rsidRPr="00525FBB" w:rsidRDefault="00525FBB" w:rsidP="00525FBB">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t>Discussion</w:t>
      </w:r>
    </w:p>
    <w:p w14:paraId="2E6F1D6A" w14:textId="77777777" w:rsidR="003E7E9C" w:rsidRDefault="003E7E9C" w:rsidP="003E7E9C">
      <w:pPr>
        <w:spacing w:after="0" w:line="480" w:lineRule="auto"/>
        <w:ind w:firstLine="720"/>
        <w:jc w:val="right"/>
        <w:rPr>
          <w:rFonts w:asciiTheme="majorBidi" w:hAnsiTheme="majorBidi" w:cstheme="majorBidi"/>
          <w:sz w:val="24"/>
          <w:szCs w:val="24"/>
        </w:rPr>
      </w:pPr>
      <w:r w:rsidRPr="003E7E9C">
        <w:rPr>
          <w:rFonts w:asciiTheme="majorBidi" w:hAnsiTheme="majorBidi" w:cstheme="majorBidi"/>
          <w:sz w:val="24"/>
          <w:szCs w:val="24"/>
        </w:rPr>
        <w:t xml:space="preserve">Global healthcare systems are changing as a result of a number of issues, such as the aging of the population, the increase in non-communicable diseases (NCDs), budgetary limitations, and a lack of workers. Value-based care, digital health integration, and patient-centered care are common trends in the healthcare industry across many nations. Saudi Arabia’s healthcare transformation, driven by Vision 2030, aligns with these global trends but faces unique challenges and opportunities due to its specific socio-economic and cultural context. </w:t>
      </w:r>
      <w:r w:rsidR="00525FBB" w:rsidRPr="002B0E31">
        <w:rPr>
          <w:rFonts w:asciiTheme="majorBidi" w:hAnsiTheme="majorBidi" w:cstheme="majorBidi"/>
          <w:sz w:val="24"/>
          <w:szCs w:val="24"/>
        </w:rPr>
        <w:fldChar w:fldCharType="begin" w:fldLock="1"/>
      </w:r>
      <w:r w:rsidR="00525FBB" w:rsidRPr="002B0E31">
        <w:rPr>
          <w:rFonts w:asciiTheme="majorBidi" w:hAnsiTheme="majorBidi" w:cstheme="majorBidi"/>
          <w:sz w:val="24"/>
          <w:szCs w:val="24"/>
        </w:rPr>
        <w:instrText>ADDIN CSL_CITATION {"citationItems":[{"id":"ITEM-1","itemData":{"DOI":"10.25122/JML-2021-0070","ISSN":"18443117","PMID":"34377200","abstract":"The Kingdom of Saudi Arabia espoused “Vision 2030” as a strategy for economic development and national growth. The vision demonstrated the Kingdom’s objectives to become a pioneer nation globally by achieving three main goals: a vibrant society, a thriving economy, and an ambitious nation. To fulfill this, the Kingdom launched a national transformation program (NTP) as outlined in “vision 2030” in June 2016. The health care transformation is one of the eight themes of the NTP’s. The history of health care facilities in the Kingdom is almost a century. Although the Kingdom has made notable progress in improving its population’s health over recent decades, it needs to modernize the health care system to reach the “vision 2030” goal. This article aims to describe the new Model of Care (MOC) according to the recent Saudi health care transformation under the Kingdom’s vision 2030. The MOC concept started with understanding the current state and collecting learnings. It is based on the six systems of care (SOC)-keeping well, planned pro-cedure, women &amp; children, urgent problems, chronic conditions, and the last phase of life. The SOC is cut across different “service layers” to support people’s stay well and efficiently get them healthy again when they need care. The new MOC describes a total of forty-two interventions, of which twenty-seven split across the six SOC and the rest fifteen cut-across the multiple SOC. Implementation of all MOC interventions will streamline the Saudi health care system to embrace the Kingdom’s “vision 2030”.","author":[{"dropping-particle":"","family":"Chowdhury","given":"Sharfuddin","non-dropping-particle":"","parse-names":false,"suffix":""},{"dropping-particle":"","family":"Mok","given":"Dennis","non-dropping-particle":"","parse-names":false,"suffix":""},{"dropping-particle":"","family":"Leenen","given":"Luke","non-dropping-particle":"","parse-names":false,"suffix":""}],"container-title":"Journal of Medicine and Life","id":"ITEM-1","issue":"3","issued":{"date-parts":[["2021"]]},"page":"347-354","publisher":"Carol Davila University Press","title":"Transformation of health care and the new model of care in Saudi Arabia: Kingdom’s Vision 2030","type":"article-journal","volume":"2021"},"uris":["http://www.mendeley.com/documents/?uuid=ca904cc5-f7b1-3496-81f2-dbfe2a304562"]}],"mendeley":{"formattedCitation":"(Chowdhury et al., 2021)","plainTextFormattedCitation":"(Chowdhury et al., 2021)","previouslyFormattedCitation":"(Chowdhury et al., 2021)"},"properties":{"noteIndex":0},"schema":"https://github.com/citation-style-language/schema/raw/master/csl-citation.json"}</w:instrText>
      </w:r>
      <w:r w:rsidR="00525FBB" w:rsidRPr="002B0E31">
        <w:rPr>
          <w:rFonts w:asciiTheme="majorBidi" w:hAnsiTheme="majorBidi" w:cstheme="majorBidi"/>
          <w:sz w:val="24"/>
          <w:szCs w:val="24"/>
        </w:rPr>
        <w:fldChar w:fldCharType="separate"/>
      </w:r>
      <w:r w:rsidR="00525FBB" w:rsidRPr="002B0E31">
        <w:rPr>
          <w:rFonts w:asciiTheme="majorBidi" w:hAnsiTheme="majorBidi" w:cstheme="majorBidi"/>
          <w:noProof/>
          <w:sz w:val="24"/>
          <w:szCs w:val="24"/>
        </w:rPr>
        <w:t>(Chowdhury et al., 2021)</w:t>
      </w:r>
      <w:r w:rsidR="00525FBB" w:rsidRPr="002B0E31">
        <w:rPr>
          <w:rFonts w:asciiTheme="majorBidi" w:hAnsiTheme="majorBidi" w:cstheme="majorBidi"/>
          <w:sz w:val="24"/>
          <w:szCs w:val="24"/>
        </w:rPr>
        <w:fldChar w:fldCharType="end"/>
      </w:r>
      <w:r w:rsidR="00525FBB" w:rsidRPr="002B0E31">
        <w:rPr>
          <w:rFonts w:asciiTheme="majorBidi" w:hAnsiTheme="majorBidi" w:cstheme="majorBidi"/>
          <w:sz w:val="24"/>
          <w:szCs w:val="24"/>
        </w:rPr>
        <w:t xml:space="preserve"> </w:t>
      </w:r>
    </w:p>
    <w:p w14:paraId="5B3AD912" w14:textId="661428D3" w:rsidR="00525FBB" w:rsidRPr="002B0E31" w:rsidRDefault="003E7E9C" w:rsidP="003E7E9C">
      <w:pPr>
        <w:spacing w:after="0" w:line="480" w:lineRule="auto"/>
        <w:ind w:firstLine="720"/>
        <w:jc w:val="right"/>
        <w:rPr>
          <w:rFonts w:asciiTheme="majorBidi" w:hAnsiTheme="majorBidi" w:cstheme="majorBidi"/>
          <w:sz w:val="24"/>
          <w:szCs w:val="24"/>
        </w:rPr>
      </w:pPr>
      <w:r w:rsidRPr="003E7E9C">
        <w:rPr>
          <w:rFonts w:asciiTheme="majorBidi" w:hAnsiTheme="majorBidi" w:cstheme="majorBidi"/>
          <w:sz w:val="24"/>
          <w:szCs w:val="24"/>
        </w:rPr>
        <w:t>This discussion compares Saudi Arabia's healthcare transformation against the global scenario, focusing on the common themes, challenges, opportunities, and mitigative strategies identified in the previous results.</w:t>
      </w:r>
    </w:p>
    <w:p w14:paraId="7BA66C9D" w14:textId="3AC30143" w:rsidR="00525FBB" w:rsidRPr="002B0E31" w:rsidRDefault="003E7E9C" w:rsidP="00525FBB">
      <w:pPr>
        <w:spacing w:after="0" w:line="480" w:lineRule="auto"/>
        <w:ind w:firstLine="720"/>
        <w:jc w:val="right"/>
        <w:rPr>
          <w:rFonts w:asciiTheme="majorBidi" w:hAnsiTheme="majorBidi" w:cstheme="majorBidi"/>
          <w:sz w:val="24"/>
          <w:szCs w:val="24"/>
        </w:rPr>
      </w:pPr>
      <w:r w:rsidRPr="003E7E9C">
        <w:rPr>
          <w:rFonts w:asciiTheme="majorBidi" w:hAnsiTheme="majorBidi" w:cstheme="majorBidi"/>
          <w:sz w:val="24"/>
          <w:szCs w:val="24"/>
        </w:rPr>
        <w:t xml:space="preserve">The need to address the growing burden of chronic diseases, aging populations, and the increasing demand for more effective and accessible services is driving healthcare </w:t>
      </w:r>
      <w:r w:rsidRPr="003E7E9C">
        <w:rPr>
          <w:rFonts w:asciiTheme="majorBidi" w:hAnsiTheme="majorBidi" w:cstheme="majorBidi"/>
          <w:sz w:val="24"/>
          <w:szCs w:val="24"/>
        </w:rPr>
        <w:lastRenderedPageBreak/>
        <w:t>systems to shift more and more toward patient-centered care models. The World Health Organization (WHO) states that the goal of the global movement toward digital health and universal health coverage (UHC) is to increase access, lower costs, and improve the quality of care, especially in underserved areas.</w:t>
      </w:r>
      <w:r w:rsidR="00525FBB" w:rsidRPr="002B0E31">
        <w:rPr>
          <w:rFonts w:asciiTheme="majorBidi" w:hAnsiTheme="majorBidi" w:cstheme="majorBidi"/>
          <w:sz w:val="24"/>
          <w:szCs w:val="24"/>
        </w:rPr>
        <w:t xml:space="preserve">. </w:t>
      </w:r>
      <w:r w:rsidR="00525FBB" w:rsidRPr="002B0E31">
        <w:rPr>
          <w:rFonts w:asciiTheme="majorBidi" w:hAnsiTheme="majorBidi" w:cstheme="majorBidi"/>
          <w:sz w:val="24"/>
          <w:szCs w:val="24"/>
        </w:rPr>
        <w:fldChar w:fldCharType="begin" w:fldLock="1"/>
      </w:r>
      <w:r w:rsidR="00525FBB" w:rsidRPr="002B0E31">
        <w:rPr>
          <w:rFonts w:asciiTheme="majorBidi" w:hAnsiTheme="majorBidi" w:cstheme="majorBidi"/>
          <w:sz w:val="24"/>
          <w:szCs w:val="24"/>
        </w:rPr>
        <w:instrText>ADDIN CSL_CITATION {"citationItems":[{"id":"ITEM-1","itemData":{"DOI":"10.1016/S0140-6736(21)02792-6","ISSN":"1474547X","PMID":"34922661","author":[{"dropping-particle":"","family":"Zarocostas","given":"John","non-dropping-particle":"","parse-names":false,"suffix":""}],"container-title":"Lancet (London, England)","id":"ITEM-1","issued":{"date-parts":[["2021"]]},"title":"WHO and World Bank urge spending for UHC","type":"article"},"uris":["http://www.mendeley.com/documents/?uuid=b9cca674-1b6f-4f6c-9a37-24dbe38d5774","http://www.mendeley.com/documents/?uuid=7982f59d-9ae0-4532-935e-3749c46e01de"]},{"id":"ITEM-2","itemData":{"abstract":"2. WHO. Medication Safety in High-risk Situations. 2019. Available from: file:///C:/Users/Murooj%20Shukry/Downloads/WHO-UHC-SDS-2019.10-eng%20(1).pdf.","author":[{"dropping-particle":"","family":"World Health Organization(WHO)","given":"","non-dropping-particle":"","parse-names":false,"suffix":""}],"container-title":"The Third Global Patient Safety Challenge: Medication Without Harm, Webinar on Medication Safety","id":"ITEM-2","issued":{"date-parts":[["2019"]]},"title":"Medication Safety in high-risk situations","type":"article-journal"},"uris":["http://www.mendeley.com/documents/?uuid=3b7765f1-ac31-4de1-9335-ec517d89b96e","http://www.mendeley.com/documents/?uuid=e771904b-7bff-4cab-baf9-0f852982463b"]}],"mendeley":{"formattedCitation":"(World Health Organization(WHO), 2019; Zarocostas, 2021)","plainTextFormattedCitation":"(World Health Organization(WHO), 2019; Zarocostas, 2021)","previouslyFormattedCitation":"(World Health Organization(WHO), 2019; Zarocostas, 2021)"},"properties":{"noteIndex":0},"schema":"https://github.com/citation-style-language/schema/raw/master/csl-citation.json"}</w:instrText>
      </w:r>
      <w:r w:rsidR="00525FBB" w:rsidRPr="002B0E31">
        <w:rPr>
          <w:rFonts w:asciiTheme="majorBidi" w:hAnsiTheme="majorBidi" w:cstheme="majorBidi"/>
          <w:sz w:val="24"/>
          <w:szCs w:val="24"/>
        </w:rPr>
        <w:fldChar w:fldCharType="separate"/>
      </w:r>
      <w:r w:rsidR="00525FBB" w:rsidRPr="002B0E31">
        <w:rPr>
          <w:rFonts w:asciiTheme="majorBidi" w:hAnsiTheme="majorBidi" w:cstheme="majorBidi"/>
          <w:noProof/>
          <w:sz w:val="24"/>
          <w:szCs w:val="24"/>
        </w:rPr>
        <w:t>(World Health Organization(WHO), 2019; Zarocostas, 2021)</w:t>
      </w:r>
      <w:r w:rsidR="00525FBB" w:rsidRPr="002B0E31">
        <w:rPr>
          <w:rFonts w:asciiTheme="majorBidi" w:hAnsiTheme="majorBidi" w:cstheme="majorBidi"/>
          <w:sz w:val="24"/>
          <w:szCs w:val="24"/>
        </w:rPr>
        <w:fldChar w:fldCharType="end"/>
      </w:r>
    </w:p>
    <w:p w14:paraId="3AA1C483" w14:textId="097E3939" w:rsidR="00525FBB" w:rsidRPr="002B0E31" w:rsidRDefault="003E7E9C" w:rsidP="00525FBB">
      <w:pPr>
        <w:spacing w:after="0" w:line="480" w:lineRule="auto"/>
        <w:ind w:firstLine="720"/>
        <w:jc w:val="right"/>
        <w:rPr>
          <w:rFonts w:asciiTheme="majorBidi" w:hAnsiTheme="majorBidi" w:cstheme="majorBidi"/>
          <w:sz w:val="24"/>
          <w:szCs w:val="24"/>
        </w:rPr>
      </w:pPr>
      <w:r w:rsidRPr="003E7E9C">
        <w:rPr>
          <w:rFonts w:asciiTheme="majorBidi" w:hAnsiTheme="majorBidi" w:cstheme="majorBidi"/>
          <w:sz w:val="24"/>
          <w:szCs w:val="24"/>
        </w:rPr>
        <w:t xml:space="preserve">To improve the effectiveness of their healthcare delivery systems, many nations—including the United States, the United Kingdom, and several European countries—are making significant investments in telemedicine, including data analytics, and e-health technologies. </w:t>
      </w:r>
      <w:r w:rsidRPr="002B0E31">
        <w:rPr>
          <w:rFonts w:asciiTheme="majorBidi" w:hAnsiTheme="majorBidi" w:cstheme="majorBidi"/>
          <w:sz w:val="24"/>
          <w:szCs w:val="24"/>
        </w:rPr>
        <w:fldChar w:fldCharType="begin" w:fldLock="1"/>
      </w:r>
      <w:r w:rsidRPr="002B0E31">
        <w:rPr>
          <w:rFonts w:asciiTheme="majorBidi" w:hAnsiTheme="majorBidi" w:cstheme="majorBidi"/>
          <w:sz w:val="24"/>
          <w:szCs w:val="24"/>
        </w:rPr>
        <w:instrText>ADDIN CSL_CITATION {"citationItems":[{"id":"ITEM-1","itemData":{"ISBN":"9789264961012","abstract":"Education at a Glance 2009 Summary of key findings Governments are paying increasing attention to international educational comparisons as they search for effective policies that enhance individuals social and economic prospects, provide incentives for greater efficiency in the provision of education, and help to mobilise resources to meet rising demands. In response to this need, the OECD devotes a major effort to the development and analysis of quantitative, internationally comparable indicators, which are published annually in Education at a Glance. These indicators enable educational policy makers and practitioners alike to see their education systems in the light of other countries performances. New features in the 2009 edition include an extension of the analysis of the economic returns to education to social outcomes; new data on long-term unemployment and involuntary part-time work among young adults; an analysis of the spending choices that countries make between factors such as teacher compensation, instruction time and class sizes; an analysis on teaching practices as well as teacher appraisal and feedback based on TALIS; and a review of excellence in education for 15-year-olds based on PISA.","author":[{"dropping-particle":"","family":"OECD","given":"","non-dropping-particle":"","parse-names":false,"suffix":""}],"container-title":"OECD Indicators, OECD iLibrary","id":"ITEM-1","issued":{"date-parts":[["2021"]]},"title":"Long-term care settings | Health at a Glance 2021 :","type":"book"},"uris":["http://www.mendeley.com/documents/?uuid=b3d6492e-b674-40ad-9d51-6551d441fee4"]}],"mendeley":{"formattedCitation":"(OECD, 2021)","plainTextFormattedCitation":"(OECD, 2021)","previouslyFormattedCitation":"(OECD, 2021)"},"properties":{"noteIndex":0},"schema":"https://github.com/citation-style-language/schema/raw/master/csl-citation.json"}</w:instrText>
      </w:r>
      <w:r w:rsidRPr="002B0E31">
        <w:rPr>
          <w:rFonts w:asciiTheme="majorBidi" w:hAnsiTheme="majorBidi" w:cstheme="majorBidi"/>
          <w:sz w:val="24"/>
          <w:szCs w:val="24"/>
        </w:rPr>
        <w:fldChar w:fldCharType="separate"/>
      </w:r>
      <w:r w:rsidRPr="002B0E31">
        <w:rPr>
          <w:rFonts w:asciiTheme="majorBidi" w:hAnsiTheme="majorBidi" w:cstheme="majorBidi"/>
          <w:noProof/>
          <w:sz w:val="24"/>
          <w:szCs w:val="24"/>
        </w:rPr>
        <w:t>(OECD, 2021)</w:t>
      </w:r>
      <w:r w:rsidRPr="002B0E31">
        <w:rPr>
          <w:rFonts w:asciiTheme="majorBidi" w:hAnsiTheme="majorBidi" w:cstheme="majorBidi"/>
          <w:sz w:val="24"/>
          <w:szCs w:val="24"/>
        </w:rPr>
        <w:fldChar w:fldCharType="end"/>
      </w:r>
      <w:r w:rsidRPr="003E7E9C">
        <w:rPr>
          <w:rFonts w:asciiTheme="majorBidi" w:hAnsiTheme="majorBidi" w:cstheme="majorBidi"/>
          <w:sz w:val="24"/>
          <w:szCs w:val="24"/>
        </w:rPr>
        <w:t xml:space="preserve"> Furthermore, in many nations, public-private partnerships, or PPPs, have become a crucial model for enhancing healthcare delivery. Particularly in developing nations, cooperation between the public and private sectors enhances service delivery, maximizes resource use, and ensures financial sustainability.</w:t>
      </w:r>
      <w:r w:rsidR="00525FBB" w:rsidRPr="002B0E31">
        <w:rPr>
          <w:rFonts w:asciiTheme="majorBidi" w:hAnsiTheme="majorBidi" w:cstheme="majorBidi"/>
          <w:sz w:val="24"/>
          <w:szCs w:val="24"/>
        </w:rPr>
        <w:t xml:space="preserve"> </w:t>
      </w:r>
      <w:r w:rsidR="00525FBB" w:rsidRPr="002B0E31">
        <w:rPr>
          <w:rFonts w:asciiTheme="majorBidi" w:hAnsiTheme="majorBidi" w:cstheme="majorBidi"/>
          <w:sz w:val="24"/>
          <w:szCs w:val="24"/>
        </w:rPr>
        <w:fldChar w:fldCharType="begin" w:fldLock="1"/>
      </w:r>
      <w:r w:rsidR="00525FBB" w:rsidRPr="002B0E31">
        <w:rPr>
          <w:rFonts w:asciiTheme="majorBidi" w:hAnsiTheme="majorBidi" w:cstheme="majorBidi"/>
          <w:sz w:val="24"/>
          <w:szCs w:val="24"/>
        </w:rPr>
        <w:instrText>ADDIN CSL_CITATION {"citationItems":[{"id":"ITEM-1","itemData":{"ISBN":"9780335246342","abstract":"This chapter looks at how and in what circumstances the findings from research and evaluation are used in the policy process.","author":[{"dropping-particle":"al","family":"Buse","given":"et","non-dropping-particle":"","parse-names":false,"suffix":""}],"container-title":"Making Health Policy","id":"ITEM-1","issued":{"date-parts":[["2012"]]},"title":"Making Health Policy","type":"book"},"uris":["http://www.mendeley.com/documents/?uuid=05fea4ff-eca7-4daf-bed1-1a3ed8276070"]},{"id":"ITEM-2","itemData":{"DOI":"10.1161/CIRCOUTCOMES.118.005372","ISSN":"19417705","PMID":"30562073","author":[{"dropping-particle":"","family":"Borden","given":"William B.","non-dropping-particle":"","parse-names":false,"suffix":""},{"dropping-particle":"","family":"Nallamothu","given":"Brahmajee K.","non-dropping-particle":"","parse-names":false,"suffix":""}],"container-title":"Circulation. Cardiovascular quality and outcomes","id":"ITEM-2","issued":{"date-parts":[["2018"]]},"title":"Making Health Policy More Accessible","type":"article"},"uris":["http://www.mendeley.com/documents/?uuid=073e3199-a9eb-442b-80b7-28c9f0d5dd71","http://www.mendeley.com/documents/?uuid=0734189d-18b8-4320-a560-b215cb15cec6"]}],"mendeley":{"formattedCitation":"(Borden &amp; Nallamothu, 2018; Buse, 2012)","plainTextFormattedCitation":"(Borden &amp; Nallamothu, 2018; Buse, 2012)","previouslyFormattedCitation":"(Borden &amp; Nallamothu, 2018; Buse, 2012)"},"properties":{"noteIndex":0},"schema":"https://github.com/citation-style-language/schema/raw/master/csl-citation.json"}</w:instrText>
      </w:r>
      <w:r w:rsidR="00525FBB" w:rsidRPr="002B0E31">
        <w:rPr>
          <w:rFonts w:asciiTheme="majorBidi" w:hAnsiTheme="majorBidi" w:cstheme="majorBidi"/>
          <w:sz w:val="24"/>
          <w:szCs w:val="24"/>
        </w:rPr>
        <w:fldChar w:fldCharType="separate"/>
      </w:r>
      <w:r w:rsidR="00525FBB" w:rsidRPr="002B0E31">
        <w:rPr>
          <w:rFonts w:asciiTheme="majorBidi" w:hAnsiTheme="majorBidi" w:cstheme="majorBidi"/>
          <w:noProof/>
          <w:sz w:val="24"/>
          <w:szCs w:val="24"/>
        </w:rPr>
        <w:t>(Borden &amp; Nallamothu, 2018; Buse, 2012)</w:t>
      </w:r>
      <w:r w:rsidR="00525FBB" w:rsidRPr="002B0E31">
        <w:rPr>
          <w:rFonts w:asciiTheme="majorBidi" w:hAnsiTheme="majorBidi" w:cstheme="majorBidi"/>
          <w:sz w:val="24"/>
          <w:szCs w:val="24"/>
        </w:rPr>
        <w:fldChar w:fldCharType="end"/>
      </w:r>
    </w:p>
    <w:p w14:paraId="6AFCAAA2" w14:textId="6BA3D503" w:rsidR="00525FBB" w:rsidRPr="002B0E31" w:rsidRDefault="003E7E9C" w:rsidP="003E7E9C">
      <w:pPr>
        <w:spacing w:after="0" w:line="480" w:lineRule="auto"/>
        <w:ind w:firstLine="720"/>
        <w:jc w:val="right"/>
        <w:rPr>
          <w:rFonts w:asciiTheme="majorBidi" w:hAnsiTheme="majorBidi" w:cstheme="majorBidi"/>
          <w:sz w:val="24"/>
          <w:szCs w:val="24"/>
        </w:rPr>
      </w:pPr>
      <w:r w:rsidRPr="003E7E9C">
        <w:rPr>
          <w:rFonts w:asciiTheme="majorBidi" w:hAnsiTheme="majorBidi" w:cstheme="majorBidi"/>
          <w:sz w:val="24"/>
          <w:szCs w:val="24"/>
        </w:rPr>
        <w:t xml:space="preserve">The lack of workers, especially in developing nations, is one of the world's most urgent problems. The WHO estimates that by 2030, there will be a shortage of 18 million health workers worldwide, which will be made worse by the global migration of medical professionals (World Health Organization, 2023). In order to give healthcare workers the skills they need to manage an aging population and the rising prevalence of chronic diseases, several nations, including the United States and the United Kingdom, are tackling this issue through workforce development programs and training initiatives. </w:t>
      </w:r>
      <w:r w:rsidR="00525FBB" w:rsidRPr="002B0E31">
        <w:rPr>
          <w:rFonts w:asciiTheme="majorBidi" w:hAnsiTheme="majorBidi" w:cstheme="majorBidi"/>
          <w:sz w:val="24"/>
          <w:szCs w:val="24"/>
        </w:rPr>
        <w:t xml:space="preserve"> </w:t>
      </w:r>
      <w:r w:rsidR="00525FBB" w:rsidRPr="002B0E31">
        <w:rPr>
          <w:rFonts w:asciiTheme="majorBidi" w:hAnsiTheme="majorBidi" w:cstheme="majorBidi"/>
          <w:sz w:val="24"/>
          <w:szCs w:val="24"/>
        </w:rPr>
        <w:fldChar w:fldCharType="begin" w:fldLock="1"/>
      </w:r>
      <w:r w:rsidR="00525FBB" w:rsidRPr="002B0E31">
        <w:rPr>
          <w:rFonts w:asciiTheme="majorBidi" w:hAnsiTheme="majorBidi" w:cstheme="majorBidi"/>
          <w:sz w:val="24"/>
          <w:szCs w:val="24"/>
        </w:rPr>
        <w:instrText>ADDIN CSL_CITATION {"citationItems":[{"id":"ITEM-1","itemData":{"URL":"https://www.who.int/data/gho/data/themes/topics/health-workforce","accessed":{"date-parts":[["2025","3","13"]]},"author":[{"dropping-particle":"","family":"World Health Organization","given":"","non-dropping-particle":"","parse-names":false,"suffix":""}],"container-title":"Geneva","id":"ITEM-1","issued":{"date-parts":[["2023"]]},"title":"WHO Global Health Workforce Statistics Database","type":"webpage"},"uris":["http://www.mendeley.com/documents/?uuid=db9108e2-9383-3198-afc6-d939651a47c7"]}],"mendeley":{"formattedCitation":"(World Health Organization, 2023)","plainTextFormattedCitation":"(World Health Organization, 2023)","previouslyFormattedCitation":"(World Health Organization, 2023)"},"properties":{"noteIndex":0},"schema":"https://github.com/citation-style-language/schema/raw/master/csl-citation.json"}</w:instrText>
      </w:r>
      <w:r w:rsidR="00525FBB" w:rsidRPr="002B0E31">
        <w:rPr>
          <w:rFonts w:asciiTheme="majorBidi" w:hAnsiTheme="majorBidi" w:cstheme="majorBidi"/>
          <w:sz w:val="24"/>
          <w:szCs w:val="24"/>
        </w:rPr>
        <w:fldChar w:fldCharType="separate"/>
      </w:r>
      <w:r w:rsidR="00525FBB" w:rsidRPr="002B0E31">
        <w:rPr>
          <w:rFonts w:asciiTheme="majorBidi" w:hAnsiTheme="majorBidi" w:cstheme="majorBidi"/>
          <w:noProof/>
          <w:sz w:val="24"/>
          <w:szCs w:val="24"/>
        </w:rPr>
        <w:t>(World Health Organization, 2023)</w:t>
      </w:r>
      <w:r w:rsidR="00525FBB" w:rsidRPr="002B0E31">
        <w:rPr>
          <w:rFonts w:asciiTheme="majorBidi" w:hAnsiTheme="majorBidi" w:cstheme="majorBidi"/>
          <w:sz w:val="24"/>
          <w:szCs w:val="24"/>
        </w:rPr>
        <w:fldChar w:fldCharType="end"/>
      </w:r>
      <w:r w:rsidR="00525FBB" w:rsidRPr="002B0E31">
        <w:rPr>
          <w:rFonts w:asciiTheme="majorBidi" w:hAnsiTheme="majorBidi" w:cstheme="majorBidi"/>
          <w:sz w:val="24"/>
          <w:szCs w:val="24"/>
        </w:rPr>
        <w:t xml:space="preserve">. </w:t>
      </w:r>
    </w:p>
    <w:p w14:paraId="54437C5E" w14:textId="77777777" w:rsidR="003E7E9C" w:rsidRPr="003E7E9C" w:rsidRDefault="003E7E9C" w:rsidP="003E7E9C">
      <w:pPr>
        <w:spacing w:after="0" w:line="480" w:lineRule="auto"/>
        <w:ind w:firstLine="720"/>
        <w:jc w:val="right"/>
        <w:rPr>
          <w:rFonts w:asciiTheme="majorBidi" w:hAnsiTheme="majorBidi" w:cstheme="majorBidi"/>
          <w:sz w:val="24"/>
          <w:szCs w:val="24"/>
        </w:rPr>
      </w:pPr>
      <w:r w:rsidRPr="003E7E9C">
        <w:rPr>
          <w:rFonts w:asciiTheme="majorBidi" w:hAnsiTheme="majorBidi" w:cstheme="majorBidi"/>
          <w:sz w:val="24"/>
          <w:szCs w:val="24"/>
        </w:rPr>
        <w:t xml:space="preserve">A thorough plan for modernizing the healthcare industry in Saudi Arabia is laid out in Vision 2030. By moving toward a knowledge-based economy, the Vision aims to diversify the economy and lessen its dependency on oil earnings. A key element of this change is the transformation of healthcare, which is supported by e-health technologies, </w:t>
      </w:r>
      <w:r w:rsidRPr="003E7E9C">
        <w:rPr>
          <w:rFonts w:asciiTheme="majorBidi" w:hAnsiTheme="majorBidi" w:cstheme="majorBidi"/>
          <w:sz w:val="24"/>
          <w:szCs w:val="24"/>
        </w:rPr>
        <w:lastRenderedPageBreak/>
        <w:t xml:space="preserve">digital solutions, and a patient-centered approach. According to the findings, telemedicine and e-health platforms are essential components of Saudi Arabia's plan to enhance healthcare quality and accessibility, especially in rural areas that are underserved. </w:t>
      </w:r>
    </w:p>
    <w:p w14:paraId="7A2AE8E8" w14:textId="6160A915" w:rsidR="00525FBB" w:rsidRPr="002B0E31" w:rsidRDefault="00525FBB" w:rsidP="00525FBB">
      <w:pPr>
        <w:spacing w:after="0" w:line="480" w:lineRule="auto"/>
        <w:ind w:firstLine="720"/>
        <w:jc w:val="right"/>
        <w:rPr>
          <w:rFonts w:asciiTheme="majorBidi" w:hAnsiTheme="majorBidi" w:cstheme="majorBidi"/>
          <w:sz w:val="24"/>
          <w:szCs w:val="24"/>
        </w:rPr>
      </w:pPr>
      <w:r w:rsidRPr="002B0E31">
        <w:rPr>
          <w:rFonts w:asciiTheme="majorBidi" w:hAnsiTheme="majorBidi" w:cstheme="majorBidi"/>
          <w:sz w:val="24"/>
          <w:szCs w:val="24"/>
        </w:rPr>
        <w:fldChar w:fldCharType="begin" w:fldLock="1"/>
      </w:r>
      <w:r w:rsidRPr="002B0E31">
        <w:rPr>
          <w:rFonts w:asciiTheme="majorBidi" w:hAnsiTheme="majorBidi" w:cstheme="majorBidi"/>
          <w:sz w:val="24"/>
          <w:szCs w:val="24"/>
        </w:rPr>
        <w:instrText>ADDIN CSL_CITATION {"citationItems":[{"id":"ITEM-1","itemData":{"DOI":"10.7759/cureus.65047","abstract":"Saudi Arabia guarantees citizens the right to receive medical care and treatment during emergencies or sickness and aging. However, with the consistent increase in expenditure and inability to provide access, the transformation was an unavoidable action. Therefore, this paper aims to address the potential and risks behind the National Transformation Program (NTP) in Saudi Arabia through the lens of the Value Transformation Framework. Multiple research databases (PubMed, Web of Science, UpToDate, Google Scholar, and Summon) were searched between 2016 and 2024. Relevant articles were selected by scanning the title and abstract, yielding 34 references after the screening, exclusion, and inclusion criteria were met. Citation software was used to identify additional sources as analysis proceeded, in accordance with the hermeneutic approach in mapping and classification. The most cited concerns were the sustainability and workforce of the healthcare system. In terms of care delivery, the literature was extensive. In contrast, insufficient studies have been conducted on infrastructure and people. Furthermore, limited information is available on how to assess the transformation, which remains an unaddressed research question. NTP could meet several hurdles. However, through the measurement, assessment phases, and development tracking, success could be achieved.","author":[{"dropping-particle":"","family":"Alkhurayji","given":"Khalid","non-dropping-particle":"","parse-names":false,"suffix":""},{"dropping-particle":"","family":"Alzahrani","given":"Hazzam A","non-dropping-particle":"","parse-names":false,"suffix":""},{"dropping-particle":"","family":"Alotaibi","given":"Amal S","non-dropping-particle":"","parse-names":false,"suffix":""},{"dropping-particle":"","family":"Alharbi","given":"Abdulaziz G","non-dropping-particle":"","parse-names":false,"suffix":""},{"dropping-particle":"","family":"Zandan","given":"Abdullah A","non-dropping-particle":"","parse-names":false,"suffix":""},{"dropping-particle":"","family":"Alsheikhi","given":"Hussein","non-dropping-particle":"","parse-names":false,"suffix":""}],"id":"ITEM-1","issued":{"date-parts":[["2024"]]},"title":"Categories: Epidemiology/Public Health, Health Policy","type":"article-journal"},"uris":["http://www.mendeley.com/documents/?uuid=2ecba4e7-eede-36a7-9506-2aaf3882c8f1"]}],"mendeley":{"formattedCitation":"(Alkhurayji et al., 2024)","plainTextFormattedCitation":"(Alkhurayji et al., 2024)","previouslyFormattedCitation":"(Alkhurayji et al., 2024)"},"properties":{"noteIndex":0},"schema":"https://github.com/citation-style-language/schema/raw/master/csl-citation.json"}</w:instrText>
      </w:r>
      <w:r w:rsidRPr="002B0E31">
        <w:rPr>
          <w:rFonts w:asciiTheme="majorBidi" w:hAnsiTheme="majorBidi" w:cstheme="majorBidi"/>
          <w:sz w:val="24"/>
          <w:szCs w:val="24"/>
        </w:rPr>
        <w:fldChar w:fldCharType="separate"/>
      </w:r>
      <w:r w:rsidRPr="002B0E31">
        <w:rPr>
          <w:rFonts w:asciiTheme="majorBidi" w:hAnsiTheme="majorBidi" w:cstheme="majorBidi"/>
          <w:noProof/>
          <w:sz w:val="24"/>
          <w:szCs w:val="24"/>
        </w:rPr>
        <w:t>(Alkhurayji et al., 2024)</w:t>
      </w:r>
      <w:r w:rsidRPr="002B0E31">
        <w:rPr>
          <w:rFonts w:asciiTheme="majorBidi" w:hAnsiTheme="majorBidi" w:cstheme="majorBidi"/>
          <w:sz w:val="24"/>
          <w:szCs w:val="24"/>
        </w:rPr>
        <w:fldChar w:fldCharType="end"/>
      </w:r>
      <w:r w:rsidRPr="002B0E31">
        <w:rPr>
          <w:rFonts w:asciiTheme="majorBidi" w:hAnsiTheme="majorBidi" w:cstheme="majorBidi"/>
          <w:sz w:val="24"/>
          <w:szCs w:val="24"/>
        </w:rPr>
        <w:t>.</w:t>
      </w:r>
    </w:p>
    <w:p w14:paraId="5B360763" w14:textId="07C1EF41" w:rsidR="00525FBB" w:rsidRPr="002B0E31" w:rsidRDefault="003E7E9C" w:rsidP="00525FBB">
      <w:pPr>
        <w:spacing w:after="0" w:line="480" w:lineRule="auto"/>
        <w:ind w:firstLine="720"/>
        <w:jc w:val="right"/>
        <w:rPr>
          <w:rFonts w:asciiTheme="majorBidi" w:hAnsiTheme="majorBidi" w:cstheme="majorBidi"/>
          <w:sz w:val="24"/>
          <w:szCs w:val="24"/>
        </w:rPr>
      </w:pPr>
      <w:r w:rsidRPr="003E7E9C">
        <w:rPr>
          <w:rFonts w:asciiTheme="majorBidi" w:hAnsiTheme="majorBidi" w:cstheme="majorBidi"/>
          <w:sz w:val="24"/>
          <w:szCs w:val="24"/>
        </w:rPr>
        <w:t xml:space="preserve">The emphasis on workforce development is one of the main parallels between Saudi Arabia's healthcare reforms and worldwide trends. There is a severe lack of medical professionals in the Kingdom, particularly in specialized fields, like in many other nations. Given the nation's growing need for healthcare services as a result of an aging population and an increase in the prevalence of non-communicable diseases (NCDs), this is especially problematic </w:t>
      </w:r>
      <w:r w:rsidR="00525FBB" w:rsidRPr="002B0E31">
        <w:rPr>
          <w:rFonts w:asciiTheme="majorBidi" w:hAnsiTheme="majorBidi" w:cstheme="majorBidi"/>
          <w:sz w:val="24"/>
          <w:szCs w:val="24"/>
        </w:rPr>
        <w:fldChar w:fldCharType="begin" w:fldLock="1"/>
      </w:r>
      <w:r w:rsidR="00525FBB" w:rsidRPr="002B0E31">
        <w:rPr>
          <w:rFonts w:asciiTheme="majorBidi" w:hAnsiTheme="majorBidi" w:cstheme="majorBidi"/>
          <w:sz w:val="24"/>
          <w:szCs w:val="24"/>
        </w:rPr>
        <w:instrText>ADDIN CSL_CITATION {"citationItems":[{"id":"ITEM-1","itemData":{"DOI":"10.1177/11786329221121214/SUPPL_FILE/SJ-DOCX-1-HIS-10.1177_11786329221121214.DOCX","ISSN":"11786329","abstract":"Saudi Arabia’s Vision 2030 has taken a centre stage in the development of its healthcare sector through privatization adopting Public Private Partnerships (PPPs). The objective of this study is to provide an overview of healthcare transformation in Saudi Arabia since the launch of the ambitious Vision 2030, identifying issues those need to be addressed and steps taken towards provision of health systems transformation. Literature review was based on extensive review of published and unpublished articles, where different search engines and databases searched using the key words: ‘Saudi Healthcare’, ‘Healthcare transformation’, ‘Saudi vision: 2030’, ‘Public-Private Partnerships’ and ‘Privatization’, in addition to secondary data as published in government reports, policy, government strategy documents and pertinent press releases. The future of the healthcare like many other developing economies continues to weigh policies for universal coverage while containing costs and the national transformation programme driven by social and economic factors has implemented strategic steps to develop its private healthcare system that includes: establishing health clusters, National Centre for Privatization &amp; PPP – an official enabler for privatization of all government sectors and recently approved Private Sector Participation (PSP) Law involves several legislative enablers designed to enhance investor confidence in the privatization process. Although this study demonstrates systemic legislative progress to facilitate transformation process of healthcare sector, also endorses caution and research in identifying barriers to the implementation of PPPs, Saudi workforce development, implementing effective revenue cycle management function for healthcare reimbursement and ensuring vulnerable population access to good quality and tertiary healthcare. As healthcare of Saudi Arabia embarks on the transformation journey facing daunting challenges, but it appears that the government has laid out a roadmap with the legislative framework; however it is important that there is ongoing monitoring with adjustments as this complex and multifaceted process proceeds.","author":[{"dropping-particle":"","family":"Alasiri","given":"Ahmed Ali","non-dropping-particle":"","parse-names":false,"suffix":""},{"dropping-particle":"","family":"Mohammed","given":"Viqaruddin","non-dropping-particle":"","parse-names":false,"suffix":""}],"container-title":"Health Services Insights","id":"ITEM-1","issued":{"date-parts":[["2022"]]},"publisher":"SAGE Publications Ltd","title":"Healthcare Transformation in Saudi Arabia: An Overview Since the Launch of Vision 2030","type":"article-journal","volume":"15"},"uris":["http://www.mendeley.com/documents/?uuid=bfdff6b0-4172-35ba-9f3e-711d6b6e9aaa"]}],"mendeley":{"formattedCitation":"(Alasiri &amp; Mohammed, 2022)","plainTextFormattedCitation":"(Alasiri &amp; Mohammed, 2022)","previouslyFormattedCitation":"(Alasiri &amp; Mohammed, 2022)"},"properties":{"noteIndex":0},"schema":"https://github.com/citation-style-language/schema/raw/master/csl-citation.json"}</w:instrText>
      </w:r>
      <w:r w:rsidR="00525FBB" w:rsidRPr="002B0E31">
        <w:rPr>
          <w:rFonts w:asciiTheme="majorBidi" w:hAnsiTheme="majorBidi" w:cstheme="majorBidi"/>
          <w:sz w:val="24"/>
          <w:szCs w:val="24"/>
        </w:rPr>
        <w:fldChar w:fldCharType="separate"/>
      </w:r>
      <w:r w:rsidR="00525FBB" w:rsidRPr="002B0E31">
        <w:rPr>
          <w:rFonts w:asciiTheme="majorBidi" w:hAnsiTheme="majorBidi" w:cstheme="majorBidi"/>
          <w:noProof/>
          <w:sz w:val="24"/>
          <w:szCs w:val="24"/>
        </w:rPr>
        <w:t>(Alasiri &amp; Mohammed, 2022)</w:t>
      </w:r>
      <w:r w:rsidR="00525FBB" w:rsidRPr="002B0E31">
        <w:rPr>
          <w:rFonts w:asciiTheme="majorBidi" w:hAnsiTheme="majorBidi" w:cstheme="majorBidi"/>
          <w:sz w:val="24"/>
          <w:szCs w:val="24"/>
        </w:rPr>
        <w:fldChar w:fldCharType="end"/>
      </w:r>
      <w:r w:rsidR="00525FBB" w:rsidRPr="002B0E31">
        <w:rPr>
          <w:rFonts w:asciiTheme="majorBidi" w:hAnsiTheme="majorBidi" w:cstheme="majorBidi"/>
          <w:sz w:val="24"/>
          <w:szCs w:val="24"/>
        </w:rPr>
        <w:t xml:space="preserve"> </w:t>
      </w:r>
      <w:r w:rsidRPr="003E7E9C">
        <w:rPr>
          <w:rFonts w:asciiTheme="majorBidi" w:hAnsiTheme="majorBidi" w:cstheme="majorBidi"/>
          <w:sz w:val="24"/>
          <w:szCs w:val="24"/>
        </w:rPr>
        <w:t xml:space="preserve">Saudi Arabia is making significant investments in professional development and training programs to address this issue and make sure that the healthcare workforce is prepared to meet the industry's future demands. This strategy is similar to international ones used in countries like the United States and India, where training and retention initiatives are being used to address labor shortages. </w:t>
      </w:r>
      <w:r w:rsidR="00525FBB" w:rsidRPr="002B0E31">
        <w:rPr>
          <w:rFonts w:asciiTheme="majorBidi" w:hAnsiTheme="majorBidi" w:cstheme="majorBidi"/>
          <w:sz w:val="24"/>
          <w:szCs w:val="24"/>
        </w:rPr>
        <w:fldChar w:fldCharType="begin" w:fldLock="1"/>
      </w:r>
      <w:r w:rsidR="00525FBB" w:rsidRPr="002B0E31">
        <w:rPr>
          <w:rFonts w:asciiTheme="majorBidi" w:hAnsiTheme="majorBidi" w:cstheme="majorBidi"/>
          <w:sz w:val="24"/>
          <w:szCs w:val="24"/>
        </w:rPr>
        <w:instrText>ADDIN CSL_CITATION {"citationItems":[{"id":"ITEM-1","itemData":{"DOI":"10.28945/4571","abstract":"A systematic review was conducted for a state-sponsored workforce board, a non-profit quasi-governmental workforce development organization located in the northeastern U.S., to determine what are the most effective career training programs in healthcare, advanced manufacturing, hospitality, and marine economy industries for job seekers in U.S. based organizations. The absorptive capacity theory was utilized in examining the research problem through a theoretical lens. The results indicated that on-the-job training (OJT) was found to be the most effective training technique across all the industries. Career advising was also considered a crucial element of career training within the healthcare, hospitality, and marine economy industries. Recommendations for the workforce board included revamping their current OJT program and connecting with career advisors at the local high schools. Industry-specific recommendations for the workforce board included providing academic support in healthcare, workforce flexibility in advanced manufacturing, multilingual training in hospitality, and exposure to oceanic concepts in academics for the marine economy.","author":[{"dropping-particle":"","family":"A Breckon","given":"Denise","non-dropping-particle":"","parse-names":false,"suffix":""},{"dropping-particle":"","family":"L Goldberg","given":"Kate","non-dropping-particle":"","parse-names":false,"suffix":""},{"dropping-particle":"","family":"C Pruett","given":"Candace","non-dropping-particle":"","parse-names":false,"suffix":""},{"dropping-particle":"","family":"A Harsanyi","given":"Maria","non-dropping-particle":"","parse-names":false,"suffix":""},{"dropping-particle":"","family":"C Rodriguez","given":"Robert","non-dropping-particle":"","parse-names":false,"suffix":""}],"container-title":"Muma Business Review","id":"ITEM-1","issued":{"date-parts":[["2020"]]},"title":"Case Study: A Systematic Review of the Most Effective Career Training Programs for a Workforce Board","type":"article-journal"},"uris":["http://www.mendeley.com/documents/?uuid=11340009-bf34-4177-8edb-6b0e70fa7ba3"]},{"id":"ITEM-2","itemData":{"abstract":"The United Arab Emirates (U.A.E.) is actively expanding its national healthcare system to meet the growing needs of its people and support economic diversification, with lead-ing U.S. medical centers, corporations, and academic insti-tutions playing vital roles in the process. All seven emirates provide healthcare services to their citizenry and are rapidly building their healthcare infrastructure inclusive of hospi-tals and clinics, while simultaneously developing their local workforce. In the U.A.E., there are five government health-care regulators: the Ministry of Health, Ministry of Finance, Federal Health Insurance Authority, Dubai Health Authority, and the Health Authority Abu Dhabi. These entities regu-late healthcare service providers on the ground such as the Abu Dhabi Health Services Company (SEHA). Against this backdrop, there are many opportunities for U.S. partnership with U.A.E. healthcare entities. Examples of these partner-ships include Children's National Medical Center, Cleveland Clinic Abu Dhabi, GE Healthcare, and Johns Hopkins, to name a few. These partnerships often address the pressing concerns within the U.A.E. healthcare sector such as I. T. in-frastructure integration, diabetes and non-communicable disease prevention, workforce development, pharmaceuti-cal pricing and licensing, and insurance issues. The positive aspects of the U.S. and the U.A.E.'s mutual healthcare sector investment cannot be overstated as these new partnerships have created many new jobs, thus stimulating the econo-mies of both nations. Opportunities for partnership in the U.A.E. healthcare sector for U.S. companies are available, but it is important to first have a basic working knowledge of the sector and an understanding of where your organization can provide the most value. In fact, the U.S. healthcare relationship with the region goes back to 1960 when American missionaries Drs. Pat and Marian Kennedy set up a makeshift hospital in a mud-block guesthouse donated by Sheikh Zayed in Al Ain, an oasis in the Emirate of Abu Dhabi. By 1964, the hospital had expanded into a concrete building equipped with a la-bor and delivery suite, drawing patients from all over the Arabian Gulf for treatment. X-ray facilities and in-patient hospital beds followed in the 1970s along with another influx of U.S. healthcare workers. The hospital, now called Oasis Hospital, is still in existence today. Since then, the U.A.E.'s healthcare sector has expanded rapidly by partnering…","author":[{"dropping-particle":"","family":"US-UAE Business Council","given":"","non-dropping-particle":"","parse-names":false,"suffix":""}],"container-title":"UAE Business Council","id":"ITEM-2","issued":{"date-parts":[["2014"]]},"title":"The U.A.E. Healthcare Sector","type":"article-journal"},"uris":["http://www.mendeley.com/documents/?uuid=030dfa24-2b4a-49e2-8275-e432fc5f8da2"]}],"mendeley":{"formattedCitation":"(A Breckon et al., 2020; US-UAE Business Council, 2014)","plainTextFormattedCitation":"(A Breckon et al., 2020; US-UAE Business Council, 2014)","previouslyFormattedCitation":"(A Breckon et al., 2020; US-UAE Business Council, 2014)"},"properties":{"noteIndex":0},"schema":"https://github.com/citation-style-language/schema/raw/master/csl-citation.json"}</w:instrText>
      </w:r>
      <w:r w:rsidR="00525FBB" w:rsidRPr="002B0E31">
        <w:rPr>
          <w:rFonts w:asciiTheme="majorBidi" w:hAnsiTheme="majorBidi" w:cstheme="majorBidi"/>
          <w:sz w:val="24"/>
          <w:szCs w:val="24"/>
        </w:rPr>
        <w:fldChar w:fldCharType="separate"/>
      </w:r>
      <w:r w:rsidR="00525FBB" w:rsidRPr="002B0E31">
        <w:rPr>
          <w:rFonts w:asciiTheme="majorBidi" w:hAnsiTheme="majorBidi" w:cstheme="majorBidi"/>
          <w:noProof/>
          <w:sz w:val="24"/>
          <w:szCs w:val="24"/>
        </w:rPr>
        <w:t>(A Breckon et al., 2020; US-UAE Business Council, 2014)</w:t>
      </w:r>
      <w:r w:rsidR="00525FBB" w:rsidRPr="002B0E31">
        <w:rPr>
          <w:rFonts w:asciiTheme="majorBidi" w:hAnsiTheme="majorBidi" w:cstheme="majorBidi"/>
          <w:sz w:val="24"/>
          <w:szCs w:val="24"/>
        </w:rPr>
        <w:fldChar w:fldCharType="end"/>
      </w:r>
    </w:p>
    <w:p w14:paraId="42C64B97" w14:textId="56CB8A35" w:rsidR="00525FBB" w:rsidRPr="002B0E31" w:rsidRDefault="000E03D7" w:rsidP="00525FBB">
      <w:pPr>
        <w:spacing w:after="0" w:line="480" w:lineRule="auto"/>
        <w:ind w:firstLine="720"/>
        <w:jc w:val="right"/>
        <w:rPr>
          <w:rFonts w:asciiTheme="majorBidi" w:hAnsiTheme="majorBidi" w:cstheme="majorBidi"/>
          <w:sz w:val="24"/>
          <w:szCs w:val="24"/>
        </w:rPr>
      </w:pPr>
      <w:r w:rsidRPr="002B0E31">
        <w:rPr>
          <w:rFonts w:asciiTheme="majorBidi" w:hAnsiTheme="majorBidi" w:cstheme="majorBidi"/>
          <w:sz w:val="24"/>
          <w:szCs w:val="24"/>
        </w:rPr>
        <w:t>Moreover, Saudi Arabia’s public-private partnership model is in alignment with global trends. The involvement of the private sector in the delivery of healthcare services is essential for improving service quality and ensuring financial sustainability. The Saudi government’s Health Holding Company (HHC) is a key component in this model, aiming to create a more efficient and sustainable healthcare system.</w:t>
      </w:r>
      <w:r w:rsidR="00525FBB" w:rsidRPr="002B0E31">
        <w:rPr>
          <w:rFonts w:asciiTheme="majorBidi" w:hAnsiTheme="majorBidi" w:cstheme="majorBidi"/>
          <w:sz w:val="24"/>
          <w:szCs w:val="24"/>
        </w:rPr>
        <w:t xml:space="preserve">. </w:t>
      </w:r>
      <w:r w:rsidR="00525FBB" w:rsidRPr="002B0E31">
        <w:rPr>
          <w:rFonts w:asciiTheme="majorBidi" w:hAnsiTheme="majorBidi" w:cstheme="majorBidi"/>
          <w:sz w:val="24"/>
          <w:szCs w:val="24"/>
        </w:rPr>
        <w:fldChar w:fldCharType="begin" w:fldLock="1"/>
      </w:r>
      <w:r w:rsidR="00525FBB" w:rsidRPr="002B0E31">
        <w:rPr>
          <w:rFonts w:asciiTheme="majorBidi" w:hAnsiTheme="majorBidi" w:cstheme="majorBidi"/>
          <w:sz w:val="24"/>
          <w:szCs w:val="24"/>
        </w:rPr>
        <w:instrText>ADDIN CSL_CITATION {"citationItems":[{"id":"ITEM-1","itemData":{"DOI":"10.25122/jml-2023-0010","ISSN":"18443117","PMID":"37305832","abstract":"The Kingdom of Saudi Arabia has embarked on a transformation journey referred to as \"Vision 2030\", which com-menced in June 2016. The healthcare sector is currently going through a radical transformation under this Vision. The new Model of Care shifts the focus of the healthcare sector towards proactive care and wellness, aiming to achieve better health, better care, and better value. This paper aims to provide an overview of the Model of Care and review its achievements and progress in the Eastern Region. The paper will further discuss the challenges faced and lessons learned through the implementation process. Internal documents were reviewed, and a comprehensive liter-ature search was undertaken in relevant search engines and databases. Some of the successes of the Model of Care implementation include improved data management, collection and visualization, and better patient and community engagement. Nevertheless, there is a sense of urgency to face the many challenges identified in the Saudi Arabian health system over the coming decade. Although the Model of Care focuses on addressing these identified challenges and gaps, there are many difficulties facing its implementation in the country and several lessons learned during the first few years since its launch, which this paper mentions. Hence, there is a need to measure the successes of pathways and the overall impact of the Model of Care on both the healthcare provision as well as improved population health.","author":[{"dropping-particle":"","family":"Yousef","given":"Lamees","non-dropping-particle":"","parse-names":false,"suffix":""},{"dropping-particle":"","family":"Alangari","given":"Dannah","non-dropping-particle":"","parse-names":false,"suffix":""},{"dropping-particle":"","family":"Alshehri","given":"Rahaf","non-dropping-particle":"","parse-names":false,"suffix":""},{"dropping-particle":"","family":"Alsharif","given":"Bader","non-dropping-particle":"","parse-names":false,"suffix":""},{"dropping-particle":"","family":"Bayameen","given":"Omar","non-dropping-particle":"","parse-names":false,"suffix":""},{"dropping-particle":"","family":"Alnemer","given":"Zeinab","non-dropping-particle":"","parse-names":false,"suffix":""}],"container-title":"Journal of Medicine and Life","id":"ITEM-1","issued":{"date-parts":[["2023"]]},"title":"Healthcare transformation journey in the Eastern Region of Saudi Arabia: an overview, challenges and lessons learned","type":"article-journal"},"uris":["http://www.mendeley.com/documents/?uuid=be341b91-5b41-4155-a4f3-324c3335e535"]}],"mendeley":{"formattedCitation":"(Yousef et al., 2023)","plainTextFormattedCitation":"(Yousef et al., 2023)","previouslyFormattedCitation":"(Yousef et al., 2023)"},"properties":{"noteIndex":0},"schema":"https://github.com/citation-style-language/schema/raw/master/csl-citation.json"}</w:instrText>
      </w:r>
      <w:r w:rsidR="00525FBB" w:rsidRPr="002B0E31">
        <w:rPr>
          <w:rFonts w:asciiTheme="majorBidi" w:hAnsiTheme="majorBidi" w:cstheme="majorBidi"/>
          <w:sz w:val="24"/>
          <w:szCs w:val="24"/>
        </w:rPr>
        <w:fldChar w:fldCharType="separate"/>
      </w:r>
      <w:r w:rsidR="00525FBB" w:rsidRPr="002B0E31">
        <w:rPr>
          <w:rFonts w:asciiTheme="majorBidi" w:hAnsiTheme="majorBidi" w:cstheme="majorBidi"/>
          <w:noProof/>
          <w:sz w:val="24"/>
          <w:szCs w:val="24"/>
        </w:rPr>
        <w:t>(Yousef et al., 2023)</w:t>
      </w:r>
      <w:r w:rsidR="00525FBB" w:rsidRPr="002B0E31">
        <w:rPr>
          <w:rFonts w:asciiTheme="majorBidi" w:hAnsiTheme="majorBidi" w:cstheme="majorBidi"/>
          <w:sz w:val="24"/>
          <w:szCs w:val="24"/>
        </w:rPr>
        <w:fldChar w:fldCharType="end"/>
      </w:r>
      <w:r w:rsidR="00525FBB" w:rsidRPr="002B0E31">
        <w:rPr>
          <w:rFonts w:asciiTheme="majorBidi" w:hAnsiTheme="majorBidi" w:cstheme="majorBidi"/>
          <w:sz w:val="24"/>
          <w:szCs w:val="24"/>
        </w:rPr>
        <w:t xml:space="preserve">. </w:t>
      </w:r>
      <w:r w:rsidRPr="002B0E31">
        <w:rPr>
          <w:rFonts w:asciiTheme="majorBidi" w:hAnsiTheme="majorBidi" w:cstheme="majorBidi"/>
          <w:sz w:val="24"/>
          <w:szCs w:val="24"/>
        </w:rPr>
        <w:t>UK and Canada have also leveraged PPPs to manage healthcare delivery and expand access to services</w:t>
      </w:r>
      <w:r w:rsidRPr="002B0E31">
        <w:rPr>
          <w:rFonts w:asciiTheme="majorBidi" w:hAnsiTheme="majorBidi" w:cstheme="majorBidi"/>
          <w:sz w:val="24"/>
          <w:szCs w:val="24"/>
        </w:rPr>
        <w:t xml:space="preserve"> </w:t>
      </w:r>
      <w:r w:rsidR="00525FBB" w:rsidRPr="002B0E31">
        <w:rPr>
          <w:rFonts w:asciiTheme="majorBidi" w:hAnsiTheme="majorBidi" w:cstheme="majorBidi"/>
          <w:sz w:val="24"/>
          <w:szCs w:val="24"/>
        </w:rPr>
        <w:fldChar w:fldCharType="begin" w:fldLock="1"/>
      </w:r>
      <w:r w:rsidR="00525FBB" w:rsidRPr="002B0E31">
        <w:rPr>
          <w:rFonts w:asciiTheme="majorBidi" w:hAnsiTheme="majorBidi" w:cstheme="majorBidi"/>
          <w:sz w:val="24"/>
          <w:szCs w:val="24"/>
        </w:rPr>
        <w:instrText>ADDIN CSL_CITATION {"citationItems":[{"id":"ITEM-1","itemData":{"ISBN":"9780335246342","abstract":"This chapter looks at how and in what circumstances the findings from research and evaluation are used in the policy process.","author":[{"dropping-particle":"al","family":"Buse","given":"et","non-dropping-particle":"","parse-names":false,"suffix":""}],"container-title":"Making Health Policy","id":"ITEM-1","issued":{"date-parts":[["2012"]]},"title":"Making Health Policy","type":"book"},"uris":["http://www.mendeley.com/documents/?uuid=05fea4ff-eca7-4daf-bed1-1a3ed8276070"]}],"mendeley":{"formattedCitation":"(Buse, 2012)","plainTextFormattedCitation":"(Buse, 2012)","previouslyFormattedCitation":"(Buse, 2012)"},"properties":{"noteIndex":0},"schema":"https://github.com/citation-style-language/schema/raw/master/csl-citation.json"}</w:instrText>
      </w:r>
      <w:r w:rsidR="00525FBB" w:rsidRPr="002B0E31">
        <w:rPr>
          <w:rFonts w:asciiTheme="majorBidi" w:hAnsiTheme="majorBidi" w:cstheme="majorBidi"/>
          <w:sz w:val="24"/>
          <w:szCs w:val="24"/>
        </w:rPr>
        <w:fldChar w:fldCharType="separate"/>
      </w:r>
      <w:r w:rsidR="00525FBB" w:rsidRPr="002B0E31">
        <w:rPr>
          <w:rFonts w:asciiTheme="majorBidi" w:hAnsiTheme="majorBidi" w:cstheme="majorBidi"/>
          <w:noProof/>
          <w:sz w:val="24"/>
          <w:szCs w:val="24"/>
        </w:rPr>
        <w:t>(Buse, 2012)</w:t>
      </w:r>
      <w:r w:rsidR="00525FBB" w:rsidRPr="002B0E31">
        <w:rPr>
          <w:rFonts w:asciiTheme="majorBidi" w:hAnsiTheme="majorBidi" w:cstheme="majorBidi"/>
          <w:sz w:val="24"/>
          <w:szCs w:val="24"/>
        </w:rPr>
        <w:fldChar w:fldCharType="end"/>
      </w:r>
    </w:p>
    <w:p w14:paraId="4C4EA58A" w14:textId="7DCD9D3B" w:rsidR="00525FBB" w:rsidRPr="002B0E31" w:rsidRDefault="000362FA" w:rsidP="00525FBB">
      <w:pPr>
        <w:spacing w:after="0" w:line="480" w:lineRule="auto"/>
        <w:ind w:firstLine="720"/>
        <w:jc w:val="right"/>
        <w:rPr>
          <w:rFonts w:asciiTheme="majorBidi" w:hAnsiTheme="majorBidi" w:cstheme="majorBidi"/>
          <w:sz w:val="24"/>
          <w:szCs w:val="24"/>
        </w:rPr>
      </w:pPr>
      <w:r w:rsidRPr="002B0E31">
        <w:rPr>
          <w:rFonts w:asciiTheme="majorBidi" w:hAnsiTheme="majorBidi" w:cstheme="majorBidi"/>
          <w:sz w:val="24"/>
          <w:szCs w:val="24"/>
        </w:rPr>
        <w:t xml:space="preserve">The financial sustainability of Saudi Arabia’s healthcare system remains a challenge. Similar to many countries around the world, including the U.S. and Brazil, the Saudi healthcare system faces increasing costs as the demand for services grows. The shift </w:t>
      </w:r>
      <w:r w:rsidRPr="002B0E31">
        <w:rPr>
          <w:rFonts w:asciiTheme="majorBidi" w:hAnsiTheme="majorBidi" w:cstheme="majorBidi"/>
          <w:sz w:val="24"/>
          <w:szCs w:val="24"/>
        </w:rPr>
        <w:lastRenderedPageBreak/>
        <w:t xml:space="preserve">towards primary healthcare (PHC) and prevention-focused models, as recommended in the studies </w:t>
      </w:r>
      <w:r w:rsidRPr="002B0E31">
        <w:rPr>
          <w:rFonts w:asciiTheme="majorBidi" w:hAnsiTheme="majorBidi" w:cstheme="majorBidi"/>
          <w:sz w:val="24"/>
          <w:szCs w:val="24"/>
        </w:rPr>
        <w:fldChar w:fldCharType="begin" w:fldLock="1"/>
      </w:r>
      <w:r w:rsidRPr="002B0E31">
        <w:rPr>
          <w:rFonts w:asciiTheme="majorBidi" w:hAnsiTheme="majorBidi" w:cstheme="majorBidi"/>
          <w:sz w:val="24"/>
          <w:szCs w:val="24"/>
        </w:rPr>
        <w:instrText>ADDIN CSL_CITATION {"citationItems":[{"id":"ITEM-1","itemData":{"DOI":"10.7759/cureus.65047","abstract":"Saudi Arabia guarantees citizens the right to receive medical care and treatment during emergencies or sickness and aging. However, with the consistent increase in expenditure and inability to provide access, the transformation was an unavoidable action. Therefore, this paper aims to address the potential and risks behind the National Transformation Program (NTP) in Saudi Arabia through the lens of the Value Transformation Framework. Multiple research databases (PubMed, Web of Science, UpToDate, Google Scholar, and Summon) were searched between 2016 and 2024. Relevant articles were selected by scanning the title and abstract, yielding 34 references after the screening, exclusion, and inclusion criteria were met. Citation software was used to identify additional sources as analysis proceeded, in accordance with the hermeneutic approach in mapping and classification. The most cited concerns were the sustainability and workforce of the healthcare system. In terms of care delivery, the literature was extensive. In contrast, insufficient studies have been conducted on infrastructure and people. Furthermore, limited information is available on how to assess the transformation, which remains an unaddressed research question. NTP could meet several hurdles. However, through the measurement, assessment phases, and development tracking, success could be achieved.","author":[{"dropping-particle":"","family":"Alkhurayji","given":"Khalid","non-dropping-particle":"","parse-names":false,"suffix":""},{"dropping-particle":"","family":"Alzahrani","given":"Hazzam A","non-dropping-particle":"","parse-names":false,"suffix":""},{"dropping-particle":"","family":"Alotaibi","given":"Amal S","non-dropping-particle":"","parse-names":false,"suffix":""},{"dropping-particle":"","family":"Alharbi","given":"Abdulaziz G","non-dropping-particle":"","parse-names":false,"suffix":""},{"dropping-particle":"","family":"Zandan","given":"Abdullah A","non-dropping-particle":"","parse-names":false,"suffix":""},{"dropping-particle":"","family":"Alsheikhi","given":"Hussein","non-dropping-particle":"","parse-names":false,"suffix":""}],"id":"ITEM-1","issued":{"date-parts":[["2024"]]},"title":"Categories: Epidemiology/Public Health, Health Policy","type":"article-journal"},"uris":["http://www.mendeley.com/documents/?uuid=2ecba4e7-eede-36a7-9506-2aaf3882c8f1"]}],"mendeley":{"formattedCitation":"(Alkhurayji et al., 2024)","plainTextFormattedCitation":"(Alkhurayji et al., 2024)","previouslyFormattedCitation":"(Alkhurayji et al., 2024)"},"properties":{"noteIndex":0},"schema":"https://github.com/citation-style-language/schema/raw/master/csl-citation.json"}</w:instrText>
      </w:r>
      <w:r w:rsidRPr="002B0E31">
        <w:rPr>
          <w:rFonts w:asciiTheme="majorBidi" w:hAnsiTheme="majorBidi" w:cstheme="majorBidi"/>
          <w:sz w:val="24"/>
          <w:szCs w:val="24"/>
        </w:rPr>
        <w:fldChar w:fldCharType="separate"/>
      </w:r>
      <w:r w:rsidRPr="002B0E31">
        <w:rPr>
          <w:rFonts w:asciiTheme="majorBidi" w:hAnsiTheme="majorBidi" w:cstheme="majorBidi"/>
          <w:noProof/>
          <w:sz w:val="24"/>
          <w:szCs w:val="24"/>
        </w:rPr>
        <w:t>(Alkhurayji et al., 2024)</w:t>
      </w:r>
      <w:r w:rsidRPr="002B0E31">
        <w:rPr>
          <w:rFonts w:asciiTheme="majorBidi" w:hAnsiTheme="majorBidi" w:cstheme="majorBidi"/>
          <w:sz w:val="24"/>
          <w:szCs w:val="24"/>
        </w:rPr>
        <w:fldChar w:fldCharType="end"/>
      </w:r>
      <w:r w:rsidRPr="002B0E31">
        <w:rPr>
          <w:rFonts w:asciiTheme="majorBidi" w:hAnsiTheme="majorBidi" w:cstheme="majorBidi"/>
          <w:sz w:val="24"/>
          <w:szCs w:val="24"/>
        </w:rPr>
        <w:t xml:space="preserve">, is crucial to controlling costs and ensuring long-term sustainability. Countries such as Canada have successfully implemented primary healthcare reforms to reduce the burden on specialized services and improve health outcomes </w:t>
      </w:r>
      <w:r w:rsidR="00525FBB" w:rsidRPr="002B0E31">
        <w:rPr>
          <w:rFonts w:asciiTheme="majorBidi" w:hAnsiTheme="majorBidi" w:cstheme="majorBidi"/>
          <w:sz w:val="24"/>
          <w:szCs w:val="24"/>
        </w:rPr>
        <w:fldChar w:fldCharType="begin" w:fldLock="1"/>
      </w:r>
      <w:r w:rsidR="00525FBB" w:rsidRPr="002B0E31">
        <w:rPr>
          <w:rFonts w:asciiTheme="majorBidi" w:hAnsiTheme="majorBidi" w:cstheme="majorBidi"/>
          <w:sz w:val="24"/>
          <w:szCs w:val="24"/>
        </w:rPr>
        <w:instrText>ADDIN CSL_CITATION {"citationItems":[{"id":"ITEM-1","itemData":{"abstract":"The Canada Health Act (CHA) was adopted in 1984, to shore up a health-care system conceptualized in the 1960s. Under the CHA, universal coverage is limited to \"medically necessary\" hospital and physician services, to the exclusion of vital goods and services such as outpatient pharmaceuticals, dental care, long-term care, and many mental health services. Inequities resulting from these gaps in public coverage are partly to blame for pushing Canada's health system to the bottom of recent international rankings. But there is more to modernizing Canada's health care system, we argue, than filling these gaps in universal coverage. Every major health system review undertaken in Canada over the past decade has ended with a call for greater accountability, and rightly so: accountability is arguably the sine qua non of high-performing health systems. Whereas many countries have established open and rigorous processes for evaluating health goods and services, targeting public spending on those that deliver the biggest bang for buck, Canada's governance mechanism for defining the medicare basket is passive, opaque and only tenuously evidence-driven. A move to expand medicare's scope of coverage must be accompanied by improvements in this type of accountability. La Loi canadienne sur la santé (LCS) a été adoptée en 1984 pour consolider un système de soins de santé mis en place dans les années 1960. Sous le régime de la LCS, la couverture universelle est limitée aux soins hospitaliers et médicaux « médicalement nécessaires ,» à l'exclusion des produits et des services tels que les produits pharmaceutiques ambulatoires, les soins dentaires, les soins de longue durée et de nombreux services en santé mentale. Les inégalités résultant de ces lacunes dans la couverture publique sont en partie à blâmer pour le classement en queue de peloton du système de santé canadien par rapport à d'autres pays. Les auteurs soutiennent que la modernisation du système de soins de santé du Canada exige beaucoup plus que de combler ces lacunes dans la couverture universelle. C'est à juste titre que chaque examen approfondi du système de santé entrepris au Canada au cours de la dernière décennie s'est conclu par un appel à une plus grande obligation de reddition de comptes : cette obligation est sans doute l'élément essentiel des systèmes de santé les plus efficaces. Alors que de nombreux pays ont mis en place un processus ouvert et rigoureux pour évaluer les produits et les services de sa…","author":[{"dropping-particle":"","family":"Flood","given":"Colleen M","non-dropping-particle":"","parse-names":false,"suffix":""},{"dropping-particle":"","family":"Thomas","given":"Bryan","non-dropping-particle":"","parse-names":false,"suffix":""}],"container-title":"Dalhousie Law Journal","id":"ITEM-1","issued":{"date-parts":[["2016"]]},"title":"Modernizing the Canada Health Act","type":"article-journal"},"uris":["http://www.mendeley.com/documents/?uuid=5b9bbc16-aac5-42bc-a1e8-617badb2d96c","http://www.mendeley.com/documents/?uuid=9ebfbb0c-2164-420a-8435-d507a53d3bbb"]}],"mendeley":{"formattedCitation":"(Flood &amp; Thomas, 2016)","plainTextFormattedCitation":"(Flood &amp; Thomas, 2016)","previouslyFormattedCitation":"(Flood &amp; Thomas, 2016)"},"properties":{"noteIndex":0},"schema":"https://github.com/citation-style-language/schema/raw/master/csl-citation.json"}</w:instrText>
      </w:r>
      <w:r w:rsidR="00525FBB" w:rsidRPr="002B0E31">
        <w:rPr>
          <w:rFonts w:asciiTheme="majorBidi" w:hAnsiTheme="majorBidi" w:cstheme="majorBidi"/>
          <w:sz w:val="24"/>
          <w:szCs w:val="24"/>
        </w:rPr>
        <w:fldChar w:fldCharType="separate"/>
      </w:r>
      <w:r w:rsidR="00525FBB" w:rsidRPr="002B0E31">
        <w:rPr>
          <w:rFonts w:asciiTheme="majorBidi" w:hAnsiTheme="majorBidi" w:cstheme="majorBidi"/>
          <w:noProof/>
          <w:sz w:val="24"/>
          <w:szCs w:val="24"/>
        </w:rPr>
        <w:t>(Flood &amp; Thomas, 2016)</w:t>
      </w:r>
      <w:r w:rsidR="00525FBB" w:rsidRPr="002B0E31">
        <w:rPr>
          <w:rFonts w:asciiTheme="majorBidi" w:hAnsiTheme="majorBidi" w:cstheme="majorBidi"/>
          <w:sz w:val="24"/>
          <w:szCs w:val="24"/>
        </w:rPr>
        <w:fldChar w:fldCharType="end"/>
      </w:r>
      <w:r w:rsidR="00525FBB" w:rsidRPr="002B0E31">
        <w:rPr>
          <w:rFonts w:asciiTheme="majorBidi" w:hAnsiTheme="majorBidi" w:cstheme="majorBidi"/>
          <w:sz w:val="24"/>
          <w:szCs w:val="24"/>
        </w:rPr>
        <w:t>.</w:t>
      </w:r>
    </w:p>
    <w:p w14:paraId="294E97C3" w14:textId="77777777" w:rsidR="000362FA" w:rsidRPr="000362FA" w:rsidRDefault="000362FA" w:rsidP="000362FA">
      <w:pPr>
        <w:spacing w:after="0" w:line="480" w:lineRule="auto"/>
        <w:ind w:firstLine="720"/>
        <w:jc w:val="right"/>
        <w:rPr>
          <w:rFonts w:asciiTheme="majorBidi" w:hAnsiTheme="majorBidi" w:cstheme="majorBidi"/>
          <w:sz w:val="24"/>
          <w:szCs w:val="24"/>
        </w:rPr>
      </w:pPr>
      <w:r w:rsidRPr="000362FA">
        <w:rPr>
          <w:rFonts w:asciiTheme="majorBidi" w:hAnsiTheme="majorBidi" w:cstheme="majorBidi"/>
          <w:sz w:val="24"/>
          <w:szCs w:val="24"/>
        </w:rPr>
        <w:t xml:space="preserve">The worldwide healthcare workforce shortage is one of Saudi Arabia's biggest problems. The WHO stated in 2021 that there would be a severe shortage of 18 million health workers worldwide by 2030, with the United States, the United Kingdom, and India experiencing the most severe shortages (Aluttis et al., 2014; Boniol et al., 2022). In a similar vein, Saudi Arabia struggles with a lack of workers, particularly in rural areas. The quality and sustainability of healthcare services are affected by the nation's heavy reliance on foreign medical professionals. (Yousef and others, 2023) </w:t>
      </w:r>
    </w:p>
    <w:p w14:paraId="4F8F4456" w14:textId="0DF7C918" w:rsidR="000362FA" w:rsidRDefault="000362FA" w:rsidP="00C04FC0">
      <w:pPr>
        <w:spacing w:after="0" w:line="480" w:lineRule="auto"/>
        <w:ind w:firstLine="720"/>
        <w:jc w:val="right"/>
        <w:rPr>
          <w:rFonts w:asciiTheme="majorBidi" w:hAnsiTheme="majorBidi" w:cstheme="majorBidi"/>
          <w:sz w:val="24"/>
          <w:szCs w:val="24"/>
        </w:rPr>
      </w:pPr>
      <w:r w:rsidRPr="000362FA">
        <w:rPr>
          <w:rFonts w:asciiTheme="majorBidi" w:hAnsiTheme="majorBidi" w:cstheme="majorBidi"/>
          <w:sz w:val="24"/>
          <w:szCs w:val="24"/>
        </w:rPr>
        <w:t>Numerous nations have put policies in place to deal with this, such as workforce localization, training initiatives, and financial incentives for medical professionals to work in underprivileged areas. (Dzakula et al., 2022; Angel &amp; Fire, 2023; Agyeman-Manu et al., 2023) In order to train and certify local healthcare professionals, Saudi Arabia has acknowledged this need and is funding programs such as the Saudi Commission for Health Specialties (Alkhurayji et al., 2024). To overcome this obstacle, however, a large investment in healthcare education and retention initiatives will be required. Numerous nations have put policies in place to deal with this, such as workforce localization, training initiatives, and financial incentives for medical professionals to work in underprivileged areas</w:t>
      </w:r>
      <w:r w:rsidR="00525FBB" w:rsidRPr="002B0E31">
        <w:rPr>
          <w:rFonts w:asciiTheme="majorBidi" w:hAnsiTheme="majorBidi" w:cstheme="majorBidi"/>
          <w:sz w:val="24"/>
          <w:szCs w:val="24"/>
        </w:rPr>
        <w:t xml:space="preserve">. </w:t>
      </w:r>
      <w:r w:rsidR="00525FBB" w:rsidRPr="002B0E31">
        <w:rPr>
          <w:rFonts w:asciiTheme="majorBidi" w:hAnsiTheme="majorBidi" w:cstheme="majorBidi"/>
          <w:sz w:val="24"/>
          <w:szCs w:val="24"/>
        </w:rPr>
        <w:fldChar w:fldCharType="begin" w:fldLock="1"/>
      </w:r>
      <w:r w:rsidR="00525FBB" w:rsidRPr="002B0E31">
        <w:rPr>
          <w:rFonts w:asciiTheme="majorBidi" w:hAnsiTheme="majorBidi" w:cstheme="majorBidi"/>
          <w:sz w:val="24"/>
          <w:szCs w:val="24"/>
        </w:rPr>
        <w:instrText>ADDIN CSL_CITATION {"citationItems":[{"id":"ITEM-1","itemData":{"DOI":"10.3325/cmj.2022.63.107","ISSN":"13328166","PMID":"35505643","author":[{"dropping-particle":"","family":"Dzakula","given":"Aleksandar","non-dropping-particle":"","parse-names":false,"suffix":""},{"dropping-particle":"","family":"Relic","given":"Danko","non-dropping-particle":"","parse-names":false,"suffix":""},{"dropping-particle":"","family":"Michelutti","given":"Paolo","non-dropping-particle":"","parse-names":false,"suffix":""}],"container-title":"Croatian Medical Journal","id":"ITEM-1","issued":{"date-parts":[["2022"]]},"title":"Health workforce shortage - Doing the right things or doing things right?","type":"article"},"uris":["http://www.mendeley.com/documents/?uuid=b565be41-7461-458e-a04a-fea43db1d1fd"]},{"id":"ITEM-2","itemData":{"DOI":"10.1186/s13584-023-00576-7","ISSN":"20454015","PMID":"37563656","abstract":"In their recent IJHPR article, Wimpfheimer and colleagues outline the implications for the field of anesthesia of two major healthcare policy changes in Israel: The Yatziv Reform in licensing foreign medical graduates and the efforts to reduce residents' on-call shift duration. We argue that these reforms are necessary to strengthen the healthcare workforce and improve the quality of care in the long term, even though they may limit the availability of healthcare personnel for several years, particularly in the field of anesthesia. In this commentary, we examine the background to these policy changes, their likely impact on the medical workforce in Israel in general, and propose steps to reconcile these reforms with the global and national shortage of physicians. We urge policymakers to allocate the required resources and begin preparing for an era of continuous mismatch between physician supply and demand, which will necessitate creative solutions, increased reliance on technology, and the introduction of paramedical professionals to help offload tasks and better utilize the scarce physician workforce.","author":[{"dropping-particle":"","family":"Angel","given":"Yoel","non-dropping-particle":"","parse-names":false,"suffix":""},{"dropping-particle":"","family":"Fire","given":"Gil","non-dropping-particle":"","parse-names":false,"suffix":""}],"container-title":"Israel Journal of Health Policy Research","id":"ITEM-2","issued":{"date-parts":[["2023"]]},"title":"Healthcare policy changes in an era of health workforce shortage","type":"article-journal"},"uris":["http://www.mendeley.com/documents/?uuid=6359ebb9-4fcf-477d-a85b-fa50595311e6"]},{"id":"ITEM-3","itemData":{"DOI":"10.1016/S2214-109X(23)00224-3","ISSN":"2214109X","PMID":"37209702","author":[{"dropping-particle":"","family":"Agyeman-Manu","given":"Kwaku","non-dropping-particle":"","parse-names":false,"suffix":""},{"dropping-particle":"","family":"Ghebreyesus","given":"Tedros Adhanom","non-dropping-particle":"","parse-names":false,"suffix":""},{"dropping-particle":"","family":"Maait","given":"Mohamed","non-dropping-particle":"","parse-names":false,"suffix":""},{"dropping-particle":"","family":"Rafila","given":"Alexandru","non-dropping-particle":"","parse-names":false,"suffix":""},{"dropping-particle":"","family":"Tom","given":"Lino","non-dropping-particle":"","parse-names":false,"suffix":""},{"dropping-particle":"","family":"Lima","given":"Nísia Trindade","non-dropping-particle":"","parse-names":false,"suffix":""},{"dropping-particle":"","family":"Wangmo","given":"Dechen","non-dropping-particle":"","parse-names":false,"suffix":""}],"container-title":"The Lancet Global Health","id":"ITEM-3","issued":{"date-parts":[["2023"]]},"title":"Prioritising the health and care workforce shortage: protect, invest, together","type":"article"},"uris":["http://www.mendeley.com/documents/?uuid=4abceb6e-b119-492d-a8bb-e552bac841c5"]}],"mendeley":{"formattedCitation":"(Agyeman-Manu et al., 2023; Angel &amp; Fire, 2023; Dzakula et al., 2022)","plainTextFormattedCitation":"(Agyeman-Manu et al., 2023; Angel &amp; Fire, 2023; Dzakula et al., 2022)","previouslyFormattedCitation":"(Agyeman-Manu et al., 2023; Angel &amp; Fire, 2023; Dzakula et al., 2022)"},"properties":{"noteIndex":0},"schema":"https://github.com/citation-style-language/schema/raw/master/csl-citation.json"}</w:instrText>
      </w:r>
      <w:r w:rsidR="00525FBB" w:rsidRPr="002B0E31">
        <w:rPr>
          <w:rFonts w:asciiTheme="majorBidi" w:hAnsiTheme="majorBidi" w:cstheme="majorBidi"/>
          <w:sz w:val="24"/>
          <w:szCs w:val="24"/>
        </w:rPr>
        <w:fldChar w:fldCharType="separate"/>
      </w:r>
      <w:r w:rsidR="00525FBB" w:rsidRPr="002B0E31">
        <w:rPr>
          <w:rFonts w:asciiTheme="majorBidi" w:hAnsiTheme="majorBidi" w:cstheme="majorBidi"/>
          <w:noProof/>
          <w:sz w:val="24"/>
          <w:szCs w:val="24"/>
        </w:rPr>
        <w:t>(Agyeman-Manu et al., 2023; Angel &amp; Fire, 2023; Dzakula et al., 2022)</w:t>
      </w:r>
      <w:r w:rsidR="00525FBB" w:rsidRPr="002B0E31">
        <w:rPr>
          <w:rFonts w:asciiTheme="majorBidi" w:hAnsiTheme="majorBidi" w:cstheme="majorBidi"/>
          <w:sz w:val="24"/>
          <w:szCs w:val="24"/>
        </w:rPr>
        <w:fldChar w:fldCharType="end"/>
      </w:r>
      <w:r w:rsidR="00525FBB" w:rsidRPr="002B0E31">
        <w:rPr>
          <w:rFonts w:asciiTheme="majorBidi" w:hAnsiTheme="majorBidi" w:cstheme="majorBidi"/>
          <w:sz w:val="24"/>
          <w:szCs w:val="24"/>
        </w:rPr>
        <w:t xml:space="preserve"> </w:t>
      </w:r>
    </w:p>
    <w:p w14:paraId="00317621" w14:textId="0E320729" w:rsidR="00525FBB" w:rsidRPr="002B0E31" w:rsidRDefault="00C04FC0" w:rsidP="00525FBB">
      <w:pPr>
        <w:spacing w:after="0" w:line="480" w:lineRule="auto"/>
        <w:ind w:firstLine="720"/>
        <w:jc w:val="right"/>
        <w:rPr>
          <w:rFonts w:asciiTheme="majorBidi" w:hAnsiTheme="majorBidi" w:cstheme="majorBidi"/>
          <w:sz w:val="24"/>
          <w:szCs w:val="24"/>
        </w:rPr>
      </w:pPr>
      <w:r w:rsidRPr="00C04FC0">
        <w:rPr>
          <w:rFonts w:asciiTheme="majorBidi" w:hAnsiTheme="majorBidi" w:cstheme="majorBidi"/>
          <w:sz w:val="24"/>
          <w:szCs w:val="24"/>
        </w:rPr>
        <w:t xml:space="preserve">Saudi Arabia is funding programs like the Saudi Commission for Health Specialties to educate and accredit regional medical professionals because it recognizes this need. To </w:t>
      </w:r>
      <w:r w:rsidRPr="00C04FC0">
        <w:rPr>
          <w:rFonts w:asciiTheme="majorBidi" w:hAnsiTheme="majorBidi" w:cstheme="majorBidi"/>
          <w:sz w:val="24"/>
          <w:szCs w:val="24"/>
        </w:rPr>
        <w:lastRenderedPageBreak/>
        <w:t xml:space="preserve">overcome this obstacle, however, a large investment in healthcare education and retention initiatives will be required. </w:t>
      </w:r>
      <w:r w:rsidR="00525FBB" w:rsidRPr="002B0E31">
        <w:rPr>
          <w:rFonts w:asciiTheme="majorBidi" w:hAnsiTheme="majorBidi" w:cstheme="majorBidi"/>
          <w:sz w:val="24"/>
          <w:szCs w:val="24"/>
        </w:rPr>
        <w:t xml:space="preserve"> (Alkhurayji et al., 2024). </w:t>
      </w:r>
    </w:p>
    <w:p w14:paraId="0139E70D" w14:textId="77777777" w:rsidR="00C04FC0" w:rsidRDefault="00C04FC0" w:rsidP="00525FBB">
      <w:pPr>
        <w:spacing w:after="0" w:line="480" w:lineRule="auto"/>
        <w:ind w:firstLine="720"/>
        <w:jc w:val="right"/>
        <w:rPr>
          <w:rFonts w:asciiTheme="majorBidi" w:hAnsiTheme="majorBidi" w:cstheme="majorBidi"/>
          <w:sz w:val="24"/>
          <w:szCs w:val="24"/>
        </w:rPr>
      </w:pPr>
      <w:r w:rsidRPr="00C04FC0">
        <w:rPr>
          <w:rFonts w:asciiTheme="majorBidi" w:hAnsiTheme="majorBidi" w:cstheme="majorBidi"/>
          <w:sz w:val="24"/>
          <w:szCs w:val="24"/>
        </w:rPr>
        <w:t>Integrating digital health solutions, which reflects the global trend towards e-health adoption, is one of Saudi Arabia's main opportunities. According to the studies, digital health platforms, telemedicine, and electronic health records (EHRs) are viewed as chances to improve healthcare delivery and increase accessibility, especially in underserved and rural areas. In nations like the US and the UK, where regulations were loosened to permit a broader use of digital health technologies, the COVID-19 pandemic hastened the adoption of telemedicine</w:t>
      </w:r>
      <w:r w:rsidR="00525FBB" w:rsidRPr="002B0E31">
        <w:rPr>
          <w:rFonts w:asciiTheme="majorBidi" w:hAnsiTheme="majorBidi" w:cstheme="majorBidi"/>
          <w:sz w:val="24"/>
          <w:szCs w:val="24"/>
        </w:rPr>
        <w:t xml:space="preserve">. </w:t>
      </w:r>
      <w:r w:rsidR="00525FBB" w:rsidRPr="002B0E31">
        <w:rPr>
          <w:rFonts w:asciiTheme="majorBidi" w:hAnsiTheme="majorBidi" w:cstheme="majorBidi"/>
          <w:sz w:val="24"/>
          <w:szCs w:val="24"/>
        </w:rPr>
        <w:fldChar w:fldCharType="begin" w:fldLock="1"/>
      </w:r>
      <w:r w:rsidR="00525FBB" w:rsidRPr="002B0E31">
        <w:rPr>
          <w:rFonts w:asciiTheme="majorBidi" w:hAnsiTheme="majorBidi" w:cstheme="majorBidi"/>
          <w:sz w:val="24"/>
          <w:szCs w:val="24"/>
        </w:rPr>
        <w:instrText>ADDIN CSL_CITATION {"citationItems":[{"id":"ITEM-1","itemData":{"DOI":"10.36076/ppj.2020/23/s367","ISSN":"21501149","PMID":"32942794","abstract":"Background: The unexpected COVID-19 crisis has disrupted medical education and patient care in unprecedented ways. Despite the challenges, the health-care system and patients have been both creative and resilient in finding robust “temporary” solutions to these challenges. It is not clear if some of these COVID-era transitional steps will be preserved in the future of medical education and telemedicine. Objectives: The goal of this commentary is to address the sometimes substantial changes in medical education, continuing medical education (CME) activities, residency and fellowship programs, specialty society meetings, and telemedicine, and to consider the value of some of these profound shifts to “business as usual” in the health-care sector. Methods: This is a commentary is based on the limited available literature, online information, and the front-line experiences of the authors. Results: COVID-19 has clearly changed residency and fellowship programs by limiting the amount of hands-on time physicians could spend with patients. Accreditation Council for Graduate Medicine Education has endorsed certain policy changes to promote greater flexibility in programs but still rigorously upholds specific standards. Technological interventions such as telemedicine visits with patients, virtual meetings with colleagues, and online interviews have been introduced, and many trainees are “technoomnivores” who are comfortable using a variety of technology platforms and techniques. Webinars and e-learning are gaining traction now, and their use, practicality, and cost-effectiveness may make them important in the post-COVID era. CME activities have migrated increasingly to virtual events and online programs, a trend that may also continue due to its practicality and cost-effectiveness. While many medical meetings of specialty societies have been postponed or cancelled altogether, technology allows for virtual meetings that may offer versatility and time-saving opportunities for busy clinicians. It may be that future medical meetings embrace a hybrid approach of blending digital with face-toface experience. Telemedicine was already in place prior to the COVID-19 crisis but barriers are rapidly coming down to its widespread use and patients seem to embrace this, even as health-care systems navigate the complicated issues of cybersecurity and patient privacy. Regulatory guidance may be needed to develop safe, secure, and patient-friendly telehealth applications. Telemed…","author":[{"dropping-particle":"","family":"Shah","given":"Shalini","non-dropping-particle":"","parse-names":false,"suffix":""},{"dropping-particle":"","family":"Diwan","given":"Sudhir","non-dropping-particle":"","parse-names":false,"suffix":""},{"dropping-particle":"","family":"Kohan","given":"Lynn","non-dropping-particle":"","parse-names":false,"suffix":""},{"dropping-particle":"","family":"Rosenblum","given":"David","non-dropping-particle":"","parse-names":false,"suffix":""},{"dropping-particle":"","family":"Gharibo","given":"Christopher","non-dropping-particle":"","parse-names":false,"suffix":""},{"dropping-particle":"","family":"Soin","given":"Amol","non-dropping-particle":"","parse-names":false,"suffix":""},{"dropping-particle":"","family":"Sulindro","given":"Adrian","non-dropping-particle":"","parse-names":false,"suffix":""},{"dropping-particle":"","family":"Nguyen","given":"Quinn","non-dropping-particle":"","parse-names":false,"suffix":""},{"dropping-particle":"","family":"Provenzano","given":"David","non-dropping-particle":"","parse-names":false,"suffix":""}],"container-title":"Pain Physician","id":"ITEM-1","issued":{"date-parts":[["2020"]]},"title":"The technological impact of COVID-19 on the future of education and health care delivery","type":"article-journal"},"uris":["http://www.mendeley.com/documents/?uuid=c73b3f05-5ade-4f0a-8a59-bbe2418084d3"]},{"id":"ITEM-2","itemData":{"DOI":"10.4103/JFCM.JFCM_295_20","ISSN":"2229340X","abstract":"Since the beginning of the coronavirus disease (COVID-19) pandemic, the responses of countries to emerging infectious diseases have altered dramatically, increasing the demand for health-care practitioners. Telehealth (TH) applications could have an important role in supporting public health precautions and the control of the spread of the COVID-19 pandemic. This review summarizes the existing literature on the current status of TH applications used during COVID-19 in Saudi Arabia and discusses the extent to which TH can support public health measures. TH mobile applications (e.g., Seha, Mawid, Tawakklna, Tabaud, and Tetamman) have found effective tools to facilitate delivering healthcare to persons with COVID-19, and tracking of COVID-19 patients. TH has been essential in the control of the spread of COVID-19 and has helped to flatten the growth curve in Saudi Arabia. Further research is needed to explore the impact of TH applications on the progression of COVID-19 in Saudi Arabia.","author":[{"dropping-particle":"","family":"Alghamdi","given":"Saeed","non-dropping-particle":"","parse-names":false,"suffix":""},{"dropping-particle":"","family":"Alqahtani","given":"Jaber","non-dropping-particle":"","parse-names":false,"suffix":""},{"dropping-particle":"","family":"Aldhahir","given":"Abdulelah","non-dropping-particle":"","parse-names":false,"suffix":""}],"container-title":"Journal of Family and Community Medicine","id":"ITEM-2","issue":"3","issued":{"date-parts":[["2020","9","1"]]},"page":"208-211","publisher":"Wolters Kluwer Medknow Publications","title":"Current status of telehealth in Saudi Arabia during COVID-19","type":"article-journal","volume":"27"},"uris":["http://www.mendeley.com/documents/?uuid=17338179-b3c0-3ddb-86ea-1b1dc308bf90"]},{"id":"ITEM-3","itemData":{"DOI":"10.2196/mhealth.3216","ISSN":"22915222","abstract":"Background: A growing body of research has employed mobile technologies and geographic information systems (GIS) for enhancing health care and health information systems, but there is yet a lack of studies of how these two types of systems are integrated together into the information infrastructure of an organization so as to provide a basis for data analysis and decision support. Integration of data and technical systems across the organization is necessary for efficient large-scale implementation. Objective: The aim of this paper is to identify how mobile technologies and GIS applications have been used, independently as well as in combination, for improving health care. Methods: The electronic databases PubMed, BioMed Central, Wiley Online Library, Scopus, Science Direct, and Web of Science were searched to retrieve English language articles published in international academic journals after 2005. Only articles addressing the use of mobile or GIS technologies and that met a prespecified keyword strategy were selected for review. Results: A total of 271 articles were selected, among which 220 concerned mobile technologies and 51 GIS. Most articles concern developed countries (198/271, 73.1%), and in particular the United States (81/271, 29.9%), United Kingdom (31/271, 11.4%), and Canada (14/271, 5.2%). Applications of mobile technologies can be categorized by six themes: treatment and disease management, data collection and disease surveillance, health support systems, health promotion and disease prevention, communication between patients and health care providers or among providers, and medical education. GIS applications can be categorized by four themes: disease surveillance, health support systems, health promotion and disease prevention, and communication to or between health care providers. Mobile applications typically focus on using text messaging (short message service, SMS) for communication between patients and health care providers, most prominently reminders and advice to patients. These applications generally have modest benefits and may be appropriate for implementation. Integration of health data using GIS technology also exhibit modest benefits such as improved understanding of the interplay of psychological, social, environmental, area-level, and sociodemographic influences on physical activity. The studies evaluated showed promising results in helping patients treating different illnesses and managing their condition effectively. H…","author":[{"dropping-particle":"","family":"Nhavoto","given":"José António","non-dropping-particle":"","parse-names":false,"suffix":""},{"dropping-particle":"","family":"Grönlund","given":"Ake","non-dropping-particle":"","parse-names":false,"suffix":""}],"container-title":"JMIR mHealth and uHealth","id":"ITEM-3","issued":{"date-parts":[["2014"]]},"title":"Mobile technologies and geographic information systems to improve health care systems: A literature review","type":"article"},"uris":["http://www.mendeley.com/documents/?uuid=07f9661b-785f-4c1c-8b0b-38349a1fe86a"]}],"mendeley":{"formattedCitation":"(Alghamdi et al., 2020; Nhavoto &amp; Grönlund, 2014; Shah et al., 2020)","plainTextFormattedCitation":"(Alghamdi et al., 2020; Nhavoto &amp; Grönlund, 2014; Shah et al., 2020)"},"properties":{"noteIndex":0},"schema":"https://github.com/citation-style-language/schema/raw/master/csl-citation.json"}</w:instrText>
      </w:r>
      <w:r w:rsidR="00525FBB" w:rsidRPr="002B0E31">
        <w:rPr>
          <w:rFonts w:asciiTheme="majorBidi" w:hAnsiTheme="majorBidi" w:cstheme="majorBidi"/>
          <w:sz w:val="24"/>
          <w:szCs w:val="24"/>
        </w:rPr>
        <w:fldChar w:fldCharType="separate"/>
      </w:r>
      <w:r w:rsidR="00525FBB" w:rsidRPr="002B0E31">
        <w:rPr>
          <w:rFonts w:asciiTheme="majorBidi" w:hAnsiTheme="majorBidi" w:cstheme="majorBidi"/>
          <w:noProof/>
          <w:sz w:val="24"/>
          <w:szCs w:val="24"/>
        </w:rPr>
        <w:t>(Alghamdi et al., 2020; Nhavoto &amp; Grönlund, 2014; Shah et al., 2020)</w:t>
      </w:r>
      <w:r w:rsidR="00525FBB" w:rsidRPr="002B0E31">
        <w:rPr>
          <w:rFonts w:asciiTheme="majorBidi" w:hAnsiTheme="majorBidi" w:cstheme="majorBidi"/>
          <w:sz w:val="24"/>
          <w:szCs w:val="24"/>
        </w:rPr>
        <w:fldChar w:fldCharType="end"/>
      </w:r>
      <w:r w:rsidR="00525FBB" w:rsidRPr="002B0E31">
        <w:rPr>
          <w:rFonts w:asciiTheme="majorBidi" w:hAnsiTheme="majorBidi" w:cstheme="majorBidi"/>
          <w:sz w:val="24"/>
          <w:szCs w:val="24"/>
        </w:rPr>
        <w:t xml:space="preserve">  </w:t>
      </w:r>
    </w:p>
    <w:p w14:paraId="434FA589" w14:textId="06ABB46B" w:rsidR="00525FBB" w:rsidRPr="002B0E31" w:rsidRDefault="00C04FC0" w:rsidP="00525FBB">
      <w:pPr>
        <w:spacing w:after="0" w:line="480" w:lineRule="auto"/>
        <w:ind w:firstLine="720"/>
        <w:jc w:val="right"/>
        <w:rPr>
          <w:rFonts w:asciiTheme="majorBidi" w:hAnsiTheme="majorBidi" w:cstheme="majorBidi"/>
          <w:sz w:val="24"/>
          <w:szCs w:val="24"/>
        </w:rPr>
      </w:pPr>
      <w:r w:rsidRPr="00C04FC0">
        <w:rPr>
          <w:rFonts w:asciiTheme="majorBidi" w:hAnsiTheme="majorBidi" w:cstheme="majorBidi"/>
          <w:sz w:val="24"/>
          <w:szCs w:val="24"/>
        </w:rPr>
        <w:t xml:space="preserve">By introducing programs like the Sehhaty and Mawid apps, which offer telemedicine services to the general public, Saudi Arabia has also made progress in this area (Alasiri et al., 2022). The goal of the Saudi Ministry of Health's ongoing development of digital health infrastructure is to establish a healthcare system that is more accessible and interconnected. </w:t>
      </w:r>
      <w:r w:rsidR="00525FBB" w:rsidRPr="002B0E31">
        <w:rPr>
          <w:rFonts w:asciiTheme="majorBidi" w:hAnsiTheme="majorBidi" w:cstheme="majorBidi"/>
          <w:sz w:val="24"/>
          <w:szCs w:val="24"/>
        </w:rPr>
        <w:t xml:space="preserve"> (Riley et al., 2023).</w:t>
      </w:r>
      <w:r>
        <w:rPr>
          <w:rFonts w:asciiTheme="majorBidi" w:hAnsiTheme="majorBidi" w:cstheme="majorBidi"/>
          <w:sz w:val="24"/>
          <w:szCs w:val="24"/>
        </w:rPr>
        <w:t xml:space="preserve"> </w:t>
      </w:r>
      <w:r w:rsidRPr="00C04FC0">
        <w:rPr>
          <w:rFonts w:asciiTheme="majorBidi" w:hAnsiTheme="majorBidi" w:cstheme="majorBidi"/>
          <w:sz w:val="24"/>
          <w:szCs w:val="24"/>
        </w:rPr>
        <w:t>Saudi Arabia is aggressively embracing public-private partnerships (PPPs), which have emerged as a key global model for healthcare reform. By encouraging cooperation between the public sector, private businesses, and non-governmental organizations (NGOs), PPPs can enhance healthcare delivery, according to a global trend (Buse et al., 2012). In order to lessen the strain on the public sector and maintain financial sustainability, the Kingdom is utilizing PPP models to enhance service delivery, particularly in light of Vision 2030.</w:t>
      </w:r>
      <w:r w:rsidR="00525FBB" w:rsidRPr="002B0E31">
        <w:rPr>
          <w:rFonts w:asciiTheme="majorBidi" w:hAnsiTheme="majorBidi" w:cstheme="majorBidi"/>
          <w:sz w:val="24"/>
          <w:szCs w:val="24"/>
        </w:rPr>
        <w:t>.</w:t>
      </w:r>
    </w:p>
    <w:p w14:paraId="1CA5BDE1" w14:textId="77777777" w:rsidR="00C04FC0" w:rsidRPr="00C04FC0" w:rsidRDefault="00C04FC0" w:rsidP="00C04FC0">
      <w:pPr>
        <w:spacing w:after="0" w:line="480" w:lineRule="auto"/>
        <w:jc w:val="right"/>
        <w:rPr>
          <w:rFonts w:asciiTheme="majorBidi" w:hAnsiTheme="majorBidi" w:cstheme="majorBidi"/>
          <w:sz w:val="24"/>
          <w:szCs w:val="24"/>
        </w:rPr>
      </w:pPr>
      <w:r w:rsidRPr="00C04FC0">
        <w:rPr>
          <w:rFonts w:asciiTheme="majorBidi" w:hAnsiTheme="majorBidi" w:cstheme="majorBidi"/>
          <w:sz w:val="24"/>
          <w:szCs w:val="24"/>
        </w:rPr>
        <w:t xml:space="preserve">PPPs have been successfully applied in the healthcare industry in nations like the UK, Australia, and India, leading to better infrastructure, easier access to services, and higher-quality care (Buse et al., 2012). These worldwide trends align with Saudi Arabia's focus on increasing private sector involvement in healthcare through initiatives like the Health Holding Company. </w:t>
      </w:r>
    </w:p>
    <w:p w14:paraId="33335A2D"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b/>
          <w:bCs/>
          <w:sz w:val="24"/>
          <w:szCs w:val="24"/>
        </w:rPr>
        <w:lastRenderedPageBreak/>
        <w:t>Conclusion</w:t>
      </w:r>
    </w:p>
    <w:p w14:paraId="541748E9" w14:textId="279A9228" w:rsidR="00525FBB" w:rsidRPr="00525FBB" w:rsidRDefault="00C04FC0" w:rsidP="00C04FC0">
      <w:pPr>
        <w:spacing w:after="0" w:line="480" w:lineRule="auto"/>
        <w:ind w:firstLine="720"/>
        <w:jc w:val="right"/>
        <w:rPr>
          <w:rFonts w:asciiTheme="majorBidi" w:hAnsiTheme="majorBidi" w:cstheme="majorBidi"/>
          <w:sz w:val="24"/>
          <w:szCs w:val="24"/>
        </w:rPr>
      </w:pPr>
      <w:r w:rsidRPr="00C04FC0">
        <w:rPr>
          <w:rFonts w:asciiTheme="majorBidi" w:hAnsiTheme="majorBidi" w:cstheme="majorBidi"/>
          <w:sz w:val="24"/>
          <w:szCs w:val="24"/>
        </w:rPr>
        <w:t>The ambitious and multifaceted healthcare transformation in Saudi Arabia, supported by Vision 2030, aims to reshape the healthcare system to meet the challenges of an aging and growing population, rising non-communicable diseases (NCDs), and the growing demand for high-quality and efficient services. Based on the results of the studies analyzed, it is clear that Saudi Arabia is following global trends by concentrating on key pillars like workforce development, digital health, and public-private partnerships (PPPs). The integration of e-health solutions, such as telemedicine and electronic health records (EHRs), is at the forefront of the country's strategy to improve healthcare delivery and enhance accessibility, especially in rural and underserved regions.</w:t>
      </w:r>
      <w:r w:rsidR="00525FBB" w:rsidRPr="00525FBB">
        <w:rPr>
          <w:rFonts w:asciiTheme="majorBidi" w:hAnsiTheme="majorBidi" w:cstheme="majorBidi"/>
          <w:sz w:val="24"/>
          <w:szCs w:val="24"/>
        </w:rPr>
        <w:t>.</w:t>
      </w:r>
    </w:p>
    <w:p w14:paraId="1C55074F"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Despite the strides made towards healthcare reform, the Kingdom faces several challenges that could impede the successful implementation of Vision 2030’s healthcare objectives. These challenges primarily revolve around workforce shortages, infrastructure limitations, and financial sustainability. The healthcare workforce, which is largely dependent on expatriates, lacks sufficient local training and is not always adequately equipped to manage the growing demands of the system. Additionally, healthcare infrastructure is unevenly distributed, with rural areas particularly underserved, which exacerbates inequalities in access to care.</w:t>
      </w:r>
    </w:p>
    <w:p w14:paraId="5A0CFCD5" w14:textId="7C006C0A" w:rsidR="00C04162" w:rsidRPr="00C04162" w:rsidRDefault="00C04162" w:rsidP="00C04162">
      <w:pPr>
        <w:spacing w:after="0" w:line="480" w:lineRule="auto"/>
        <w:ind w:firstLine="720"/>
        <w:jc w:val="right"/>
        <w:rPr>
          <w:rFonts w:asciiTheme="majorBidi" w:hAnsiTheme="majorBidi" w:cstheme="majorBidi"/>
          <w:sz w:val="24"/>
          <w:szCs w:val="24"/>
        </w:rPr>
      </w:pPr>
      <w:r w:rsidRPr="00C04162">
        <w:rPr>
          <w:rFonts w:asciiTheme="majorBidi" w:hAnsiTheme="majorBidi" w:cstheme="majorBidi"/>
          <w:sz w:val="24"/>
          <w:szCs w:val="24"/>
        </w:rPr>
        <w:t xml:space="preserve">The </w:t>
      </w:r>
      <w:r>
        <w:rPr>
          <w:rFonts w:asciiTheme="majorBidi" w:hAnsiTheme="majorBidi" w:cstheme="majorBidi"/>
          <w:sz w:val="24"/>
          <w:szCs w:val="24"/>
        </w:rPr>
        <w:t>review</w:t>
      </w:r>
      <w:r w:rsidRPr="00C04162">
        <w:rPr>
          <w:rFonts w:asciiTheme="majorBidi" w:hAnsiTheme="majorBidi" w:cstheme="majorBidi"/>
          <w:sz w:val="24"/>
          <w:szCs w:val="24"/>
        </w:rPr>
        <w:t xml:space="preserve"> indicate</w:t>
      </w:r>
      <w:r>
        <w:rPr>
          <w:rFonts w:asciiTheme="majorBidi" w:hAnsiTheme="majorBidi" w:cstheme="majorBidi"/>
          <w:sz w:val="24"/>
          <w:szCs w:val="24"/>
        </w:rPr>
        <w:t>s</w:t>
      </w:r>
      <w:r w:rsidRPr="00C04162">
        <w:rPr>
          <w:rFonts w:asciiTheme="majorBidi" w:hAnsiTheme="majorBidi" w:cstheme="majorBidi"/>
          <w:sz w:val="24"/>
          <w:szCs w:val="24"/>
        </w:rPr>
        <w:t xml:space="preserve"> that significant workforce training and capacity building are required to meet the healthcare system's present and future demands. Furthermore, there are numerous chances to improve care quality, optimize resource use, and lessen the financial strain on the public healthcare system by integrating private sector participation through PPPs. According to numerous studies, digital health has the potential to completely transform the way healthcare is delivered, making it possible for more people to receive services faster and for less money. Saudi Arabia can establish a sustainable and effective </w:t>
      </w:r>
      <w:r w:rsidRPr="00C04162">
        <w:rPr>
          <w:rFonts w:asciiTheme="majorBidi" w:hAnsiTheme="majorBidi" w:cstheme="majorBidi"/>
          <w:sz w:val="24"/>
          <w:szCs w:val="24"/>
        </w:rPr>
        <w:lastRenderedPageBreak/>
        <w:t>healthcare system that satisfies the demands of its expanding population by concentrating on these areas and coordinating its strategies with international best practices.</w:t>
      </w:r>
    </w:p>
    <w:p w14:paraId="0506346D" w14:textId="71C62882" w:rsid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w:t>
      </w:r>
    </w:p>
    <w:p w14:paraId="28468688" w14:textId="34A3D983" w:rsidR="00A55D84" w:rsidRDefault="00A55D84" w:rsidP="00525FBB">
      <w:pPr>
        <w:spacing w:after="0" w:line="480" w:lineRule="auto"/>
        <w:ind w:firstLine="720"/>
        <w:jc w:val="right"/>
        <w:rPr>
          <w:rFonts w:asciiTheme="majorBidi" w:hAnsiTheme="majorBidi" w:cstheme="majorBidi"/>
          <w:sz w:val="24"/>
          <w:szCs w:val="24"/>
        </w:rPr>
      </w:pPr>
    </w:p>
    <w:p w14:paraId="1382E29E"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b/>
          <w:bCs/>
          <w:sz w:val="24"/>
          <w:szCs w:val="24"/>
        </w:rPr>
        <w:t>Limitations</w:t>
      </w:r>
    </w:p>
    <w:p w14:paraId="3C3CFE5B" w14:textId="77777777" w:rsidR="00C04162" w:rsidRPr="00C04162" w:rsidRDefault="00C04162" w:rsidP="00C04162">
      <w:pPr>
        <w:spacing w:after="0" w:line="480" w:lineRule="auto"/>
        <w:ind w:firstLine="720"/>
        <w:jc w:val="right"/>
        <w:rPr>
          <w:rFonts w:asciiTheme="majorBidi" w:hAnsiTheme="majorBidi" w:cstheme="majorBidi"/>
          <w:sz w:val="24"/>
          <w:szCs w:val="24"/>
        </w:rPr>
      </w:pPr>
      <w:r w:rsidRPr="00C04162">
        <w:rPr>
          <w:rFonts w:asciiTheme="majorBidi" w:hAnsiTheme="majorBidi" w:cstheme="majorBidi"/>
          <w:sz w:val="24"/>
          <w:szCs w:val="24"/>
        </w:rPr>
        <w:t xml:space="preserve">Although Saudi Arabia's Vision 2030 for healthcare reform shows promise, the reviewed studies have a number of limitations. One major drawback is the dearth of longitudinal data; most research focuses on pilot programs or short-term results, making it difficult to determine the long-term effects. The studies have a narrow geographic focus, with rural areas—which face distinct challenges—being underrepresented and urban areas—like Riyadh and the Eastern Region—getting more attention. Additionally, a lot of research uses self-reported data, which can introduce bias because the viewpoints of healthcare professionals might not match those of patients. </w:t>
      </w:r>
      <w:r w:rsidRPr="00C04162">
        <w:rPr>
          <w:rFonts w:asciiTheme="majorBidi" w:hAnsiTheme="majorBidi" w:cstheme="majorBidi"/>
          <w:sz w:val="24"/>
          <w:szCs w:val="24"/>
        </w:rPr>
        <w:br/>
        <w:t>The lack of research on private sector integration, particularly public-private partnerships (PPPs), which are viewed as a way to improve healthcare but have little evidence of being implemented on a large scale, is another significant drawback. Social and cultural aspects, such as gender inequality, cultural norms, and attitudes toward healthcare, are frequently disregarded. Understanding these elements could help remove obstacles to healthcare access and increase the efficacy of patient-centered care models, which could have a big impact on reforms' success. To properly evaluate and improve the efficacy of Vision 2030's healthcare transformation, these constraints must be addressed.</w:t>
      </w:r>
    </w:p>
    <w:p w14:paraId="6CEF844E" w14:textId="0AF6ADB2" w:rsidR="00525FBB" w:rsidRDefault="00525FBB" w:rsidP="00C04162">
      <w:pPr>
        <w:spacing w:after="0" w:line="480" w:lineRule="auto"/>
        <w:ind w:firstLine="720"/>
        <w:jc w:val="right"/>
        <w:rPr>
          <w:rFonts w:asciiTheme="majorBidi" w:hAnsiTheme="majorBidi" w:cstheme="majorBidi"/>
          <w:sz w:val="24"/>
          <w:szCs w:val="24"/>
        </w:rPr>
      </w:pPr>
    </w:p>
    <w:p w14:paraId="1ADCD6EA" w14:textId="77777777" w:rsidR="008E4A69" w:rsidRDefault="008E4A69" w:rsidP="00C04162">
      <w:pPr>
        <w:spacing w:after="0" w:line="480" w:lineRule="auto"/>
        <w:ind w:firstLine="720"/>
        <w:jc w:val="right"/>
        <w:rPr>
          <w:rFonts w:asciiTheme="majorBidi" w:hAnsiTheme="majorBidi" w:cstheme="majorBidi"/>
          <w:sz w:val="24"/>
          <w:szCs w:val="24"/>
        </w:rPr>
      </w:pPr>
    </w:p>
    <w:p w14:paraId="5E18FF09" w14:textId="77777777" w:rsidR="008E4A69" w:rsidRPr="00525FBB" w:rsidRDefault="008E4A69" w:rsidP="00C04162">
      <w:pPr>
        <w:spacing w:after="0" w:line="480" w:lineRule="auto"/>
        <w:ind w:firstLine="720"/>
        <w:jc w:val="right"/>
        <w:rPr>
          <w:rFonts w:asciiTheme="majorBidi" w:hAnsiTheme="majorBidi" w:cstheme="majorBidi"/>
          <w:sz w:val="24"/>
          <w:szCs w:val="24"/>
        </w:rPr>
      </w:pPr>
    </w:p>
    <w:p w14:paraId="3BB397A7" w14:textId="77777777" w:rsidR="00525FBB" w:rsidRPr="00525FBB" w:rsidRDefault="00525FBB" w:rsidP="00525FBB">
      <w:pPr>
        <w:spacing w:after="0" w:line="480" w:lineRule="auto"/>
        <w:jc w:val="right"/>
        <w:rPr>
          <w:rFonts w:asciiTheme="majorBidi" w:hAnsiTheme="majorBidi" w:cstheme="majorBidi"/>
          <w:sz w:val="24"/>
          <w:szCs w:val="24"/>
        </w:rPr>
      </w:pPr>
    </w:p>
    <w:p w14:paraId="73CDAA1F"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b/>
          <w:bCs/>
          <w:sz w:val="24"/>
          <w:szCs w:val="24"/>
        </w:rPr>
        <w:lastRenderedPageBreak/>
        <w:t>Recommendations</w:t>
      </w:r>
    </w:p>
    <w:p w14:paraId="168C0283" w14:textId="77777777" w:rsidR="00C04162" w:rsidRPr="00C04162" w:rsidRDefault="00525FBB" w:rsidP="00C04162">
      <w:pPr>
        <w:spacing w:after="0" w:line="480" w:lineRule="auto"/>
        <w:jc w:val="right"/>
        <w:rPr>
          <w:rFonts w:asciiTheme="majorBidi" w:hAnsiTheme="majorBidi" w:cstheme="majorBidi"/>
          <w:sz w:val="24"/>
          <w:szCs w:val="24"/>
        </w:rPr>
      </w:pPr>
      <w:r w:rsidRPr="00525FBB">
        <w:rPr>
          <w:rFonts w:asciiTheme="majorBidi" w:hAnsiTheme="majorBidi" w:cstheme="majorBidi"/>
          <w:sz w:val="24"/>
          <w:szCs w:val="24"/>
        </w:rPr>
        <w:tab/>
      </w:r>
      <w:r w:rsidR="00C04162" w:rsidRPr="00C04162">
        <w:rPr>
          <w:rFonts w:asciiTheme="majorBidi" w:hAnsiTheme="majorBidi" w:cstheme="majorBidi"/>
          <w:sz w:val="24"/>
          <w:szCs w:val="24"/>
        </w:rPr>
        <w:t>A number of suggestions are offered to guarantee the ongoing success of Saudi Arabia's healthcare reform initiative under Vision 2030. With extensive databases and frequent follow-up studies to direct resource allocation, longitudinal research can be thoroughly examined to evaluate the long-term effects of reforms. The government should place a high priority on developing its workforce, addressing present shortages through professional development, training programs, and incentives. It should also integrate foreign talent with effective localization tactics. Better incentives and international recruitment combined with integration strategies are two ways to retain talent.</w:t>
      </w:r>
    </w:p>
    <w:p w14:paraId="18A9BCB9" w14:textId="77777777" w:rsidR="00C04162" w:rsidRPr="00C04162" w:rsidRDefault="00C04162" w:rsidP="00C04162">
      <w:pPr>
        <w:spacing w:after="0" w:line="480" w:lineRule="auto"/>
        <w:ind w:firstLine="720"/>
        <w:jc w:val="right"/>
        <w:rPr>
          <w:rFonts w:asciiTheme="majorBidi" w:hAnsiTheme="majorBidi" w:cstheme="majorBidi"/>
          <w:sz w:val="24"/>
          <w:szCs w:val="24"/>
        </w:rPr>
      </w:pPr>
      <w:r w:rsidRPr="00C04162">
        <w:rPr>
          <w:rFonts w:asciiTheme="majorBidi" w:hAnsiTheme="majorBidi" w:cstheme="majorBidi"/>
          <w:sz w:val="24"/>
          <w:szCs w:val="24"/>
        </w:rPr>
        <w:t>To guarantee greater access to healthcare throughout the Kingdom, a major priority should be the expansion of digital health technologies like telemedicine, electronic health records (EHRs), and e-health platforms. Given the persistence of healthcare access disparities, a greater emphasis on underserved and rural areas is required.</w:t>
      </w:r>
    </w:p>
    <w:p w14:paraId="4C6D68CB" w14:textId="1C5A05B8" w:rsidR="00A55D84" w:rsidRDefault="00A55D84" w:rsidP="00525FBB">
      <w:pPr>
        <w:spacing w:after="0" w:line="480" w:lineRule="auto"/>
        <w:ind w:firstLine="720"/>
        <w:jc w:val="right"/>
        <w:rPr>
          <w:rFonts w:asciiTheme="majorBidi" w:hAnsiTheme="majorBidi" w:cstheme="majorBidi"/>
          <w:sz w:val="24"/>
          <w:szCs w:val="24"/>
        </w:rPr>
      </w:pPr>
    </w:p>
    <w:p w14:paraId="449A32BE" w14:textId="6A998720" w:rsidR="00A55D84" w:rsidRDefault="00A55D84" w:rsidP="00525FBB">
      <w:pPr>
        <w:spacing w:after="0" w:line="480" w:lineRule="auto"/>
        <w:ind w:firstLine="720"/>
        <w:jc w:val="right"/>
        <w:rPr>
          <w:rFonts w:asciiTheme="majorBidi" w:hAnsiTheme="majorBidi" w:cstheme="majorBidi"/>
          <w:sz w:val="24"/>
          <w:szCs w:val="24"/>
        </w:rPr>
      </w:pPr>
    </w:p>
    <w:p w14:paraId="1EE1CA3E" w14:textId="57186A6A" w:rsidR="00A55D84" w:rsidRDefault="00A55D84" w:rsidP="00525FBB">
      <w:pPr>
        <w:spacing w:after="0" w:line="480" w:lineRule="auto"/>
        <w:ind w:firstLine="720"/>
        <w:jc w:val="right"/>
        <w:rPr>
          <w:rFonts w:asciiTheme="majorBidi" w:hAnsiTheme="majorBidi" w:cstheme="majorBidi"/>
          <w:sz w:val="24"/>
          <w:szCs w:val="24"/>
        </w:rPr>
      </w:pPr>
    </w:p>
    <w:p w14:paraId="5EB73FB2" w14:textId="37136BAD" w:rsidR="00A55D84" w:rsidRDefault="00A55D84" w:rsidP="00525FBB">
      <w:pPr>
        <w:spacing w:after="0" w:line="480" w:lineRule="auto"/>
        <w:ind w:firstLine="720"/>
        <w:jc w:val="right"/>
        <w:rPr>
          <w:rFonts w:asciiTheme="majorBidi" w:hAnsiTheme="majorBidi" w:cstheme="majorBidi"/>
          <w:sz w:val="24"/>
          <w:szCs w:val="24"/>
        </w:rPr>
      </w:pPr>
    </w:p>
    <w:p w14:paraId="7F16A7C8" w14:textId="232F9EFE" w:rsidR="00A55D84" w:rsidRDefault="00A55D84" w:rsidP="00525FBB">
      <w:pPr>
        <w:spacing w:after="0" w:line="480" w:lineRule="auto"/>
        <w:ind w:firstLine="720"/>
        <w:jc w:val="right"/>
        <w:rPr>
          <w:rFonts w:asciiTheme="majorBidi" w:hAnsiTheme="majorBidi" w:cstheme="majorBidi"/>
          <w:sz w:val="24"/>
          <w:szCs w:val="24"/>
        </w:rPr>
      </w:pPr>
    </w:p>
    <w:p w14:paraId="74F32926" w14:textId="2F7E7D75" w:rsidR="00A55D84" w:rsidRDefault="00A55D84" w:rsidP="00525FBB">
      <w:pPr>
        <w:spacing w:after="0" w:line="480" w:lineRule="auto"/>
        <w:ind w:firstLine="720"/>
        <w:jc w:val="right"/>
        <w:rPr>
          <w:rFonts w:asciiTheme="majorBidi" w:hAnsiTheme="majorBidi" w:cstheme="majorBidi"/>
          <w:sz w:val="24"/>
          <w:szCs w:val="24"/>
        </w:rPr>
      </w:pPr>
    </w:p>
    <w:p w14:paraId="229FC5A7" w14:textId="666E4A78" w:rsidR="00A55D84" w:rsidRDefault="00A55D84" w:rsidP="00525FBB">
      <w:pPr>
        <w:spacing w:after="0" w:line="480" w:lineRule="auto"/>
        <w:ind w:firstLine="720"/>
        <w:jc w:val="right"/>
        <w:rPr>
          <w:rFonts w:asciiTheme="majorBidi" w:hAnsiTheme="majorBidi" w:cstheme="majorBidi"/>
          <w:sz w:val="24"/>
          <w:szCs w:val="24"/>
        </w:rPr>
      </w:pPr>
    </w:p>
    <w:p w14:paraId="302BBD47" w14:textId="190924E9" w:rsidR="00A55D84" w:rsidRDefault="00A55D84" w:rsidP="00525FBB">
      <w:pPr>
        <w:spacing w:after="0" w:line="480" w:lineRule="auto"/>
        <w:ind w:firstLine="720"/>
        <w:jc w:val="right"/>
        <w:rPr>
          <w:rFonts w:asciiTheme="majorBidi" w:hAnsiTheme="majorBidi" w:cstheme="majorBidi"/>
          <w:sz w:val="24"/>
          <w:szCs w:val="24"/>
        </w:rPr>
      </w:pPr>
    </w:p>
    <w:p w14:paraId="0ED9C980" w14:textId="5413F895" w:rsidR="00A55D84" w:rsidRDefault="00A55D84" w:rsidP="00525FBB">
      <w:pPr>
        <w:spacing w:after="0" w:line="480" w:lineRule="auto"/>
        <w:ind w:firstLine="720"/>
        <w:jc w:val="right"/>
        <w:rPr>
          <w:rFonts w:asciiTheme="majorBidi" w:hAnsiTheme="majorBidi" w:cstheme="majorBidi"/>
          <w:sz w:val="24"/>
          <w:szCs w:val="24"/>
        </w:rPr>
      </w:pPr>
    </w:p>
    <w:p w14:paraId="1D34581A" w14:textId="7C24AD77" w:rsidR="00A55D84" w:rsidRDefault="00A55D84" w:rsidP="00525FBB">
      <w:pPr>
        <w:spacing w:after="0" w:line="480" w:lineRule="auto"/>
        <w:ind w:firstLine="720"/>
        <w:jc w:val="right"/>
        <w:rPr>
          <w:rFonts w:asciiTheme="majorBidi" w:hAnsiTheme="majorBidi" w:cstheme="majorBidi"/>
          <w:sz w:val="24"/>
          <w:szCs w:val="24"/>
        </w:rPr>
      </w:pPr>
    </w:p>
    <w:p w14:paraId="261FAE23" w14:textId="28682A97" w:rsidR="00A55D84" w:rsidRDefault="00A55D84" w:rsidP="00525FBB">
      <w:pPr>
        <w:spacing w:after="0" w:line="480" w:lineRule="auto"/>
        <w:ind w:firstLine="720"/>
        <w:jc w:val="right"/>
        <w:rPr>
          <w:rFonts w:asciiTheme="majorBidi" w:hAnsiTheme="majorBidi" w:cstheme="majorBidi"/>
          <w:sz w:val="24"/>
          <w:szCs w:val="24"/>
        </w:rPr>
      </w:pPr>
    </w:p>
    <w:p w14:paraId="3F36AD56" w14:textId="2FA484D9" w:rsidR="00A55D84" w:rsidRDefault="00A55D84" w:rsidP="00525FBB">
      <w:pPr>
        <w:spacing w:after="0" w:line="480" w:lineRule="auto"/>
        <w:ind w:firstLine="720"/>
        <w:jc w:val="right"/>
        <w:rPr>
          <w:rFonts w:asciiTheme="majorBidi" w:hAnsiTheme="majorBidi" w:cstheme="majorBidi"/>
          <w:sz w:val="24"/>
          <w:szCs w:val="24"/>
        </w:rPr>
      </w:pPr>
    </w:p>
    <w:p w14:paraId="5589530B" w14:textId="1043C183" w:rsidR="00A55D84" w:rsidRDefault="00A55D84" w:rsidP="00525FBB">
      <w:pPr>
        <w:spacing w:after="0" w:line="480" w:lineRule="auto"/>
        <w:ind w:firstLine="720"/>
        <w:jc w:val="right"/>
        <w:rPr>
          <w:rFonts w:asciiTheme="majorBidi" w:hAnsiTheme="majorBidi" w:cstheme="majorBidi"/>
          <w:sz w:val="24"/>
          <w:szCs w:val="24"/>
        </w:rPr>
      </w:pPr>
    </w:p>
    <w:p w14:paraId="12638361" w14:textId="0EB3C9FA" w:rsidR="00A55D84" w:rsidRDefault="00A55D84" w:rsidP="00525FBB">
      <w:pPr>
        <w:spacing w:after="0" w:line="480" w:lineRule="auto"/>
        <w:ind w:firstLine="720"/>
        <w:jc w:val="right"/>
        <w:rPr>
          <w:rFonts w:asciiTheme="majorBidi" w:hAnsiTheme="majorBidi" w:cstheme="majorBidi"/>
          <w:sz w:val="24"/>
          <w:szCs w:val="24"/>
        </w:rPr>
      </w:pPr>
    </w:p>
    <w:p w14:paraId="225835F8" w14:textId="2D1B1CC6" w:rsidR="00A55D84" w:rsidRDefault="00A55D84" w:rsidP="00525FBB">
      <w:pPr>
        <w:spacing w:after="0" w:line="480" w:lineRule="auto"/>
        <w:ind w:firstLine="720"/>
        <w:jc w:val="right"/>
        <w:rPr>
          <w:rFonts w:asciiTheme="majorBidi" w:hAnsiTheme="majorBidi" w:cstheme="majorBidi"/>
          <w:sz w:val="24"/>
          <w:szCs w:val="24"/>
        </w:rPr>
      </w:pPr>
    </w:p>
    <w:p w14:paraId="042B9BD2" w14:textId="18056A22" w:rsidR="00A55D84" w:rsidRDefault="00A55D84" w:rsidP="00525FBB">
      <w:pPr>
        <w:spacing w:after="0" w:line="480" w:lineRule="auto"/>
        <w:ind w:firstLine="720"/>
        <w:jc w:val="right"/>
        <w:rPr>
          <w:rFonts w:asciiTheme="majorBidi" w:hAnsiTheme="majorBidi" w:cstheme="majorBidi"/>
          <w:sz w:val="24"/>
          <w:szCs w:val="24"/>
        </w:rPr>
      </w:pPr>
    </w:p>
    <w:p w14:paraId="22C55F96" w14:textId="08F0D10A" w:rsidR="00A55D84" w:rsidRDefault="00A55D84" w:rsidP="00525FBB">
      <w:pPr>
        <w:spacing w:after="0" w:line="480" w:lineRule="auto"/>
        <w:ind w:firstLine="720"/>
        <w:jc w:val="right"/>
        <w:rPr>
          <w:rFonts w:asciiTheme="majorBidi" w:hAnsiTheme="majorBidi" w:cstheme="majorBidi"/>
          <w:sz w:val="24"/>
          <w:szCs w:val="24"/>
        </w:rPr>
      </w:pPr>
    </w:p>
    <w:p w14:paraId="0D20873B" w14:textId="33F0A319" w:rsidR="00A55D84" w:rsidRPr="00525FBB" w:rsidRDefault="00A55D84" w:rsidP="00525FBB">
      <w:pPr>
        <w:spacing w:after="0" w:line="480" w:lineRule="auto"/>
        <w:ind w:firstLine="720"/>
        <w:jc w:val="right"/>
        <w:rPr>
          <w:rFonts w:asciiTheme="majorBidi" w:hAnsiTheme="majorBidi" w:cstheme="majorBidi"/>
          <w:sz w:val="24"/>
          <w:szCs w:val="24"/>
        </w:rPr>
      </w:pPr>
    </w:p>
    <w:p w14:paraId="208CF613" w14:textId="63EEB771"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b/>
          <w:bCs/>
          <w:sz w:val="24"/>
          <w:szCs w:val="24"/>
        </w:rPr>
        <w:t>References</w:t>
      </w:r>
    </w:p>
    <w:p w14:paraId="5AC8FE3C"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 xml:space="preserve">ADDIN Mendeley Bibliography CSL_BIBLIOGRAPHY </w:instrText>
      </w:r>
      <w:r w:rsidRPr="00525FBB">
        <w:rPr>
          <w:rFonts w:asciiTheme="majorBidi" w:hAnsiTheme="majorBidi" w:cstheme="majorBidi"/>
          <w:sz w:val="24"/>
          <w:szCs w:val="24"/>
        </w:rPr>
        <w:fldChar w:fldCharType="separate"/>
      </w:r>
      <w:r w:rsidRPr="00525FBB">
        <w:rPr>
          <w:rFonts w:asciiTheme="majorBidi" w:hAnsiTheme="majorBidi" w:cstheme="majorBidi"/>
          <w:noProof/>
          <w:kern w:val="0"/>
          <w:sz w:val="24"/>
          <w:szCs w:val="24"/>
        </w:rPr>
        <w:t xml:space="preserve">A Breckon, D., L Goldberg, K., C Pruett, C., A Harsanyi, M., &amp; C Rodriguez, R. (2020). Case Study: A Systematic Review of the Most Effective Career Training Programs for a Workforce Board. </w:t>
      </w:r>
      <w:r w:rsidRPr="00525FBB">
        <w:rPr>
          <w:rFonts w:asciiTheme="majorBidi" w:hAnsiTheme="majorBidi" w:cstheme="majorBidi"/>
          <w:i/>
          <w:iCs/>
          <w:noProof/>
          <w:kern w:val="0"/>
          <w:sz w:val="24"/>
          <w:szCs w:val="24"/>
        </w:rPr>
        <w:t>Muma Business Review</w:t>
      </w:r>
      <w:r w:rsidRPr="00525FBB">
        <w:rPr>
          <w:rFonts w:asciiTheme="majorBidi" w:hAnsiTheme="majorBidi" w:cstheme="majorBidi"/>
          <w:noProof/>
          <w:kern w:val="0"/>
          <w:sz w:val="24"/>
          <w:szCs w:val="24"/>
        </w:rPr>
        <w:t>. https://doi.org/10.28945/4571</w:t>
      </w:r>
    </w:p>
    <w:p w14:paraId="6BCE1AA3"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Agyeman-Manu, K., Ghebreyesus, T. A., Maait, M., Rafila, A., Tom, L., Lima, N. T., &amp; Wangmo, D. (2023). Prioritising the health and care workforce shortage: protect, invest, together. In </w:t>
      </w:r>
      <w:r w:rsidRPr="00525FBB">
        <w:rPr>
          <w:rFonts w:asciiTheme="majorBidi" w:hAnsiTheme="majorBidi" w:cstheme="majorBidi"/>
          <w:i/>
          <w:iCs/>
          <w:noProof/>
          <w:kern w:val="0"/>
          <w:sz w:val="24"/>
          <w:szCs w:val="24"/>
        </w:rPr>
        <w:t>The Lancet Global Health</w:t>
      </w:r>
      <w:r w:rsidRPr="00525FBB">
        <w:rPr>
          <w:rFonts w:asciiTheme="majorBidi" w:hAnsiTheme="majorBidi" w:cstheme="majorBidi"/>
          <w:noProof/>
          <w:kern w:val="0"/>
          <w:sz w:val="24"/>
          <w:szCs w:val="24"/>
        </w:rPr>
        <w:t>. https://doi.org/10.1016/S2214-109X(23)00224-3</w:t>
      </w:r>
    </w:p>
    <w:p w14:paraId="5CE0CD0F"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Al-Hanawi, M. K., Khan, S. A., &amp; Al-Borie, H. M. (2019). Healthcare human resource development in Saudi Arabia: Emerging challenges and opportunities - A critical review. </w:t>
      </w:r>
      <w:r w:rsidRPr="00525FBB">
        <w:rPr>
          <w:rFonts w:asciiTheme="majorBidi" w:hAnsiTheme="majorBidi" w:cstheme="majorBidi"/>
          <w:i/>
          <w:iCs/>
          <w:noProof/>
          <w:kern w:val="0"/>
          <w:sz w:val="24"/>
          <w:szCs w:val="24"/>
        </w:rPr>
        <w:t>Public Health Reviews</w:t>
      </w:r>
      <w:r w:rsidRPr="00525FBB">
        <w:rPr>
          <w:rFonts w:asciiTheme="majorBidi" w:hAnsiTheme="majorBidi" w:cstheme="majorBidi"/>
          <w:noProof/>
          <w:kern w:val="0"/>
          <w:sz w:val="24"/>
          <w:szCs w:val="24"/>
        </w:rPr>
        <w:t xml:space="preserve">, </w:t>
      </w:r>
      <w:r w:rsidRPr="00525FBB">
        <w:rPr>
          <w:rFonts w:asciiTheme="majorBidi" w:hAnsiTheme="majorBidi" w:cstheme="majorBidi"/>
          <w:i/>
          <w:iCs/>
          <w:noProof/>
          <w:kern w:val="0"/>
          <w:sz w:val="24"/>
          <w:szCs w:val="24"/>
        </w:rPr>
        <w:t>40</w:t>
      </w:r>
      <w:r w:rsidRPr="00525FBB">
        <w:rPr>
          <w:rFonts w:asciiTheme="majorBidi" w:hAnsiTheme="majorBidi" w:cstheme="majorBidi"/>
          <w:noProof/>
          <w:kern w:val="0"/>
          <w:sz w:val="24"/>
          <w:szCs w:val="24"/>
        </w:rPr>
        <w:t>(1). https://doi.org/10.1186/S40985-019-0112-4</w:t>
      </w:r>
    </w:p>
    <w:p w14:paraId="37279D61"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Al Khashan, H., Abogazalah, F., Alomary, S., Nahhas, M., Alwadey, A., Al-Khudhair, B., Alamri, F., Aleisa, N., Mahmoud, N., &amp; Hassanein, M. (n.d.). Primary health care reform in Saudi Arabia: progress, challenges and prospects. </w:t>
      </w:r>
      <w:r w:rsidRPr="00525FBB">
        <w:rPr>
          <w:rFonts w:asciiTheme="majorBidi" w:hAnsiTheme="majorBidi" w:cstheme="majorBidi"/>
          <w:i/>
          <w:iCs/>
          <w:noProof/>
          <w:kern w:val="0"/>
          <w:sz w:val="24"/>
          <w:szCs w:val="24"/>
        </w:rPr>
        <w:t>Review EMHJ</w:t>
      </w:r>
      <w:r w:rsidRPr="00525FBB">
        <w:rPr>
          <w:rFonts w:asciiTheme="majorBidi" w:hAnsiTheme="majorBidi" w:cstheme="majorBidi"/>
          <w:noProof/>
          <w:kern w:val="0"/>
          <w:sz w:val="24"/>
          <w:szCs w:val="24"/>
        </w:rPr>
        <w:t xml:space="preserve">, </w:t>
      </w:r>
      <w:r w:rsidRPr="00525FBB">
        <w:rPr>
          <w:rFonts w:asciiTheme="majorBidi" w:hAnsiTheme="majorBidi" w:cstheme="majorBidi"/>
          <w:i/>
          <w:iCs/>
          <w:noProof/>
          <w:kern w:val="0"/>
          <w:sz w:val="24"/>
          <w:szCs w:val="24"/>
        </w:rPr>
        <w:t>27</w:t>
      </w:r>
      <w:r w:rsidRPr="00525FBB">
        <w:rPr>
          <w:rFonts w:asciiTheme="majorBidi" w:hAnsiTheme="majorBidi" w:cstheme="majorBidi"/>
          <w:noProof/>
          <w:kern w:val="0"/>
          <w:sz w:val="24"/>
          <w:szCs w:val="24"/>
        </w:rPr>
        <w:t>, 10–2021. https://doi.org/10.26719/emhj.21.042</w:t>
      </w:r>
    </w:p>
    <w:p w14:paraId="05CD5F6B"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Alasiri, A. A., &amp; Mohammed, V. (2022). Healthcare Transformation in Saudi Arabia: An Overview Since the Launch of Vision 2030. </w:t>
      </w:r>
      <w:r w:rsidRPr="00525FBB">
        <w:rPr>
          <w:rFonts w:asciiTheme="majorBidi" w:hAnsiTheme="majorBidi" w:cstheme="majorBidi"/>
          <w:i/>
          <w:iCs/>
          <w:noProof/>
          <w:kern w:val="0"/>
          <w:sz w:val="24"/>
          <w:szCs w:val="24"/>
        </w:rPr>
        <w:t>Health Services Insights</w:t>
      </w:r>
      <w:r w:rsidRPr="00525FBB">
        <w:rPr>
          <w:rFonts w:asciiTheme="majorBidi" w:hAnsiTheme="majorBidi" w:cstheme="majorBidi"/>
          <w:noProof/>
          <w:kern w:val="0"/>
          <w:sz w:val="24"/>
          <w:szCs w:val="24"/>
        </w:rPr>
        <w:t xml:space="preserve">, </w:t>
      </w:r>
      <w:r w:rsidRPr="00525FBB">
        <w:rPr>
          <w:rFonts w:asciiTheme="majorBidi" w:hAnsiTheme="majorBidi" w:cstheme="majorBidi"/>
          <w:i/>
          <w:iCs/>
          <w:noProof/>
          <w:kern w:val="0"/>
          <w:sz w:val="24"/>
          <w:szCs w:val="24"/>
        </w:rPr>
        <w:t>15</w:t>
      </w:r>
      <w:r w:rsidRPr="00525FBB">
        <w:rPr>
          <w:rFonts w:asciiTheme="majorBidi" w:hAnsiTheme="majorBidi" w:cstheme="majorBidi"/>
          <w:noProof/>
          <w:kern w:val="0"/>
          <w:sz w:val="24"/>
          <w:szCs w:val="24"/>
        </w:rPr>
        <w:t>. https://doi.org/10.1177/11786329221121214/SUPPL_FILE/SJ-DOCX-1-HIS-10.1177_11786329221121214.DOCX</w:t>
      </w:r>
    </w:p>
    <w:p w14:paraId="32D242CB"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lastRenderedPageBreak/>
        <w:t xml:space="preserve">Alghamdi, S., Alqahtani, J., &amp; Aldhahir, A. (2020). Current status of telehealth in Saudi Arabia during COVID-19. </w:t>
      </w:r>
      <w:r w:rsidRPr="00525FBB">
        <w:rPr>
          <w:rFonts w:asciiTheme="majorBidi" w:hAnsiTheme="majorBidi" w:cstheme="majorBidi"/>
          <w:i/>
          <w:iCs/>
          <w:noProof/>
          <w:kern w:val="0"/>
          <w:sz w:val="24"/>
          <w:szCs w:val="24"/>
        </w:rPr>
        <w:t>Journal of Family and Community Medicine</w:t>
      </w:r>
      <w:r w:rsidRPr="00525FBB">
        <w:rPr>
          <w:rFonts w:asciiTheme="majorBidi" w:hAnsiTheme="majorBidi" w:cstheme="majorBidi"/>
          <w:noProof/>
          <w:kern w:val="0"/>
          <w:sz w:val="24"/>
          <w:szCs w:val="24"/>
        </w:rPr>
        <w:t xml:space="preserve">, </w:t>
      </w:r>
      <w:r w:rsidRPr="00525FBB">
        <w:rPr>
          <w:rFonts w:asciiTheme="majorBidi" w:hAnsiTheme="majorBidi" w:cstheme="majorBidi"/>
          <w:i/>
          <w:iCs/>
          <w:noProof/>
          <w:kern w:val="0"/>
          <w:sz w:val="24"/>
          <w:szCs w:val="24"/>
        </w:rPr>
        <w:t>27</w:t>
      </w:r>
      <w:r w:rsidRPr="00525FBB">
        <w:rPr>
          <w:rFonts w:asciiTheme="majorBidi" w:hAnsiTheme="majorBidi" w:cstheme="majorBidi"/>
          <w:noProof/>
          <w:kern w:val="0"/>
          <w:sz w:val="24"/>
          <w:szCs w:val="24"/>
        </w:rPr>
        <w:t>(3), 208–211. https://doi.org/10.4103/JFCM.JFCM_295_20</w:t>
      </w:r>
    </w:p>
    <w:p w14:paraId="4759450E"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Alharbi, M. F. (2018). An analysis of the Saudi health-care system’s readiness to change in the context of the Saudi National Health-care Plan in Vision 2030. </w:t>
      </w:r>
      <w:r w:rsidRPr="00525FBB">
        <w:rPr>
          <w:rFonts w:asciiTheme="majorBidi" w:hAnsiTheme="majorBidi" w:cstheme="majorBidi"/>
          <w:i/>
          <w:iCs/>
          <w:noProof/>
          <w:kern w:val="0"/>
          <w:sz w:val="24"/>
          <w:szCs w:val="24"/>
        </w:rPr>
        <w:t>International Journal of Health Sciences</w:t>
      </w:r>
      <w:r w:rsidRPr="00525FBB">
        <w:rPr>
          <w:rFonts w:asciiTheme="majorBidi" w:hAnsiTheme="majorBidi" w:cstheme="majorBidi"/>
          <w:noProof/>
          <w:kern w:val="0"/>
          <w:sz w:val="24"/>
          <w:szCs w:val="24"/>
        </w:rPr>
        <w:t xml:space="preserve">, </w:t>
      </w:r>
      <w:r w:rsidRPr="00525FBB">
        <w:rPr>
          <w:rFonts w:asciiTheme="majorBidi" w:hAnsiTheme="majorBidi" w:cstheme="majorBidi"/>
          <w:i/>
          <w:iCs/>
          <w:noProof/>
          <w:kern w:val="0"/>
          <w:sz w:val="24"/>
          <w:szCs w:val="24"/>
        </w:rPr>
        <w:t>12</w:t>
      </w:r>
      <w:r w:rsidRPr="00525FBB">
        <w:rPr>
          <w:rFonts w:asciiTheme="majorBidi" w:hAnsiTheme="majorBidi" w:cstheme="majorBidi"/>
          <w:noProof/>
          <w:kern w:val="0"/>
          <w:sz w:val="24"/>
          <w:szCs w:val="24"/>
        </w:rPr>
        <w:t>(3), 83. https://pmc.ncbi.nlm.nih.gov/articles/PMC5969787/</w:t>
      </w:r>
    </w:p>
    <w:p w14:paraId="46BB05B9"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Alkhurayji, K., Alzahrani, H. A., Alotaibi, A. S., Alharbi, A. G., Zandan, A. A., &amp; Alsheikhi, H. (2024). </w:t>
      </w:r>
      <w:r w:rsidRPr="00525FBB">
        <w:rPr>
          <w:rFonts w:asciiTheme="majorBidi" w:hAnsiTheme="majorBidi" w:cstheme="majorBidi"/>
          <w:i/>
          <w:iCs/>
          <w:noProof/>
          <w:kern w:val="0"/>
          <w:sz w:val="24"/>
          <w:szCs w:val="24"/>
        </w:rPr>
        <w:t>Categories: Epidemiology/Public Health, Health Policy</w:t>
      </w:r>
      <w:r w:rsidRPr="00525FBB">
        <w:rPr>
          <w:rFonts w:asciiTheme="majorBidi" w:hAnsiTheme="majorBidi" w:cstheme="majorBidi"/>
          <w:noProof/>
          <w:kern w:val="0"/>
          <w:sz w:val="24"/>
          <w:szCs w:val="24"/>
        </w:rPr>
        <w:t>. https://doi.org/10.7759/cureus.65047</w:t>
      </w:r>
    </w:p>
    <w:p w14:paraId="0FD769AB"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Aluttis, C., Bishaw, T., &amp; Frank, M. W. (2014). The workforce for health in a globalized context - global shortages and international migration. In </w:t>
      </w:r>
      <w:r w:rsidRPr="00525FBB">
        <w:rPr>
          <w:rFonts w:asciiTheme="majorBidi" w:hAnsiTheme="majorBidi" w:cstheme="majorBidi"/>
          <w:i/>
          <w:iCs/>
          <w:noProof/>
          <w:kern w:val="0"/>
          <w:sz w:val="24"/>
          <w:szCs w:val="24"/>
        </w:rPr>
        <w:t>Global Health Action</w:t>
      </w:r>
      <w:r w:rsidRPr="00525FBB">
        <w:rPr>
          <w:rFonts w:asciiTheme="majorBidi" w:hAnsiTheme="majorBidi" w:cstheme="majorBidi"/>
          <w:noProof/>
          <w:kern w:val="0"/>
          <w:sz w:val="24"/>
          <w:szCs w:val="24"/>
        </w:rPr>
        <w:t>. https://doi.org/10.3402/gha.v7.23611</w:t>
      </w:r>
    </w:p>
    <w:p w14:paraId="55FD8855"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Angel, Y., &amp; Fire, G. (2023). Healthcare policy changes in an era of health workforce shortage. </w:t>
      </w:r>
      <w:r w:rsidRPr="00525FBB">
        <w:rPr>
          <w:rFonts w:asciiTheme="majorBidi" w:hAnsiTheme="majorBidi" w:cstheme="majorBidi"/>
          <w:i/>
          <w:iCs/>
          <w:noProof/>
          <w:kern w:val="0"/>
          <w:sz w:val="24"/>
          <w:szCs w:val="24"/>
        </w:rPr>
        <w:t>Israel Journal of Health Policy Research</w:t>
      </w:r>
      <w:r w:rsidRPr="00525FBB">
        <w:rPr>
          <w:rFonts w:asciiTheme="majorBidi" w:hAnsiTheme="majorBidi" w:cstheme="majorBidi"/>
          <w:noProof/>
          <w:kern w:val="0"/>
          <w:sz w:val="24"/>
          <w:szCs w:val="24"/>
        </w:rPr>
        <w:t>. https://doi.org/10.1186/s13584-023-00576-7</w:t>
      </w:r>
    </w:p>
    <w:p w14:paraId="7A63FC18"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Boniol, M., Kunjumen, T., Nair, T. S., Siyam, A., Campbell, J., &amp; Diallo, K. (2022). The global health workforce stock and distribution in 2020 and 2030: A threat to equity and â € universal’ health coverage? </w:t>
      </w:r>
      <w:r w:rsidRPr="00525FBB">
        <w:rPr>
          <w:rFonts w:asciiTheme="majorBidi" w:hAnsiTheme="majorBidi" w:cstheme="majorBidi"/>
          <w:i/>
          <w:iCs/>
          <w:noProof/>
          <w:kern w:val="0"/>
          <w:sz w:val="24"/>
          <w:szCs w:val="24"/>
        </w:rPr>
        <w:t>BMJ Global Health</w:t>
      </w:r>
      <w:r w:rsidRPr="00525FBB">
        <w:rPr>
          <w:rFonts w:asciiTheme="majorBidi" w:hAnsiTheme="majorBidi" w:cstheme="majorBidi"/>
          <w:noProof/>
          <w:kern w:val="0"/>
          <w:sz w:val="24"/>
          <w:szCs w:val="24"/>
        </w:rPr>
        <w:t>. https://doi.org/10.1136/bmjgh-2022-009316</w:t>
      </w:r>
    </w:p>
    <w:p w14:paraId="68CB0F0A"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Borden, W. B., &amp; Nallamothu, B. K. (2018). Making Health Policy More Accessible. In </w:t>
      </w:r>
      <w:r w:rsidRPr="00525FBB">
        <w:rPr>
          <w:rFonts w:asciiTheme="majorBidi" w:hAnsiTheme="majorBidi" w:cstheme="majorBidi"/>
          <w:i/>
          <w:iCs/>
          <w:noProof/>
          <w:kern w:val="0"/>
          <w:sz w:val="24"/>
          <w:szCs w:val="24"/>
        </w:rPr>
        <w:t>Circulation. Cardiovascular quality and outcomes</w:t>
      </w:r>
      <w:r w:rsidRPr="00525FBB">
        <w:rPr>
          <w:rFonts w:asciiTheme="majorBidi" w:hAnsiTheme="majorBidi" w:cstheme="majorBidi"/>
          <w:noProof/>
          <w:kern w:val="0"/>
          <w:sz w:val="24"/>
          <w:szCs w:val="24"/>
        </w:rPr>
        <w:t>. https://doi.org/10.1161/CIRCOUTCOMES.118.005372</w:t>
      </w:r>
    </w:p>
    <w:p w14:paraId="510CE93E"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Buse,  et al. (2012). Making Health Policy. In </w:t>
      </w:r>
      <w:r w:rsidRPr="00525FBB">
        <w:rPr>
          <w:rFonts w:asciiTheme="majorBidi" w:hAnsiTheme="majorBidi" w:cstheme="majorBidi"/>
          <w:i/>
          <w:iCs/>
          <w:noProof/>
          <w:kern w:val="0"/>
          <w:sz w:val="24"/>
          <w:szCs w:val="24"/>
        </w:rPr>
        <w:t>Making Health Policy</w:t>
      </w:r>
      <w:r w:rsidRPr="00525FBB">
        <w:rPr>
          <w:rFonts w:asciiTheme="majorBidi" w:hAnsiTheme="majorBidi" w:cstheme="majorBidi"/>
          <w:noProof/>
          <w:kern w:val="0"/>
          <w:sz w:val="24"/>
          <w:szCs w:val="24"/>
        </w:rPr>
        <w:t>.</w:t>
      </w:r>
    </w:p>
    <w:p w14:paraId="775CDDF7"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Chowdhury, S., Mok, D., &amp; Leenen, L. (2021). Transformation of health care and the new model of care in Saudi Arabia: Kingdom’s Vision 2030. </w:t>
      </w:r>
      <w:r w:rsidRPr="00525FBB">
        <w:rPr>
          <w:rFonts w:asciiTheme="majorBidi" w:hAnsiTheme="majorBidi" w:cstheme="majorBidi"/>
          <w:i/>
          <w:iCs/>
          <w:noProof/>
          <w:kern w:val="0"/>
          <w:sz w:val="24"/>
          <w:szCs w:val="24"/>
        </w:rPr>
        <w:t>Journal of Medicine and Life</w:t>
      </w:r>
      <w:r w:rsidRPr="00525FBB">
        <w:rPr>
          <w:rFonts w:asciiTheme="majorBidi" w:hAnsiTheme="majorBidi" w:cstheme="majorBidi"/>
          <w:noProof/>
          <w:kern w:val="0"/>
          <w:sz w:val="24"/>
          <w:szCs w:val="24"/>
        </w:rPr>
        <w:t xml:space="preserve">, </w:t>
      </w:r>
      <w:r w:rsidRPr="00525FBB">
        <w:rPr>
          <w:rFonts w:asciiTheme="majorBidi" w:hAnsiTheme="majorBidi" w:cstheme="majorBidi"/>
          <w:i/>
          <w:iCs/>
          <w:noProof/>
          <w:kern w:val="0"/>
          <w:sz w:val="24"/>
          <w:szCs w:val="24"/>
        </w:rPr>
        <w:lastRenderedPageBreak/>
        <w:t>2021</w:t>
      </w:r>
      <w:r w:rsidRPr="00525FBB">
        <w:rPr>
          <w:rFonts w:asciiTheme="majorBidi" w:hAnsiTheme="majorBidi" w:cstheme="majorBidi"/>
          <w:noProof/>
          <w:kern w:val="0"/>
          <w:sz w:val="24"/>
          <w:szCs w:val="24"/>
        </w:rPr>
        <w:t>(3), 347–354. https://doi.org/10.25122/JML-2021-0070</w:t>
      </w:r>
    </w:p>
    <w:p w14:paraId="40BC42E5"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Dzakula, A., Relic, D., &amp; Michelutti, P. (2022). Health workforce shortage - Doing the right things or doing things right? In </w:t>
      </w:r>
      <w:r w:rsidRPr="00525FBB">
        <w:rPr>
          <w:rFonts w:asciiTheme="majorBidi" w:hAnsiTheme="majorBidi" w:cstheme="majorBidi"/>
          <w:i/>
          <w:iCs/>
          <w:noProof/>
          <w:kern w:val="0"/>
          <w:sz w:val="24"/>
          <w:szCs w:val="24"/>
        </w:rPr>
        <w:t>Croatian Medical Journal</w:t>
      </w:r>
      <w:r w:rsidRPr="00525FBB">
        <w:rPr>
          <w:rFonts w:asciiTheme="majorBidi" w:hAnsiTheme="majorBidi" w:cstheme="majorBidi"/>
          <w:noProof/>
          <w:kern w:val="0"/>
          <w:sz w:val="24"/>
          <w:szCs w:val="24"/>
        </w:rPr>
        <w:t>. https://doi.org/10.3325/cmj.2022.63.107</w:t>
      </w:r>
    </w:p>
    <w:p w14:paraId="115F0FE7"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Flood, C. M., &amp; Thomas, B. (2016). Modernizing the Canada Health Act. </w:t>
      </w:r>
      <w:r w:rsidRPr="00525FBB">
        <w:rPr>
          <w:rFonts w:asciiTheme="majorBidi" w:hAnsiTheme="majorBidi" w:cstheme="majorBidi"/>
          <w:i/>
          <w:iCs/>
          <w:noProof/>
          <w:kern w:val="0"/>
          <w:sz w:val="24"/>
          <w:szCs w:val="24"/>
        </w:rPr>
        <w:t>Dalhousie Law Journal</w:t>
      </w:r>
      <w:r w:rsidRPr="00525FBB">
        <w:rPr>
          <w:rFonts w:asciiTheme="majorBidi" w:hAnsiTheme="majorBidi" w:cstheme="majorBidi"/>
          <w:noProof/>
          <w:kern w:val="0"/>
          <w:sz w:val="24"/>
          <w:szCs w:val="24"/>
        </w:rPr>
        <w:t>.</w:t>
      </w:r>
    </w:p>
    <w:p w14:paraId="06F1DA0D"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Gandarillas, M. Á., &amp; Goswami, N. (2018). Merging current health care trends: Innovative perspective in aging care. In </w:t>
      </w:r>
      <w:r w:rsidRPr="00525FBB">
        <w:rPr>
          <w:rFonts w:asciiTheme="majorBidi" w:hAnsiTheme="majorBidi" w:cstheme="majorBidi"/>
          <w:i/>
          <w:iCs/>
          <w:noProof/>
          <w:kern w:val="0"/>
          <w:sz w:val="24"/>
          <w:szCs w:val="24"/>
        </w:rPr>
        <w:t>Clinical Interventions in Aging</w:t>
      </w:r>
      <w:r w:rsidRPr="00525FBB">
        <w:rPr>
          <w:rFonts w:asciiTheme="majorBidi" w:hAnsiTheme="majorBidi" w:cstheme="majorBidi"/>
          <w:noProof/>
          <w:kern w:val="0"/>
          <w:sz w:val="24"/>
          <w:szCs w:val="24"/>
        </w:rPr>
        <w:t>. https://doi.org/10.2147/CIA.S177286</w:t>
      </w:r>
    </w:p>
    <w:p w14:paraId="0746E2FE"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Gendelman, R., Preis, H., Chandran, L., Blair, R. J., Chitkara, M., &amp; Pati, S. (2021). Healthcare workforce transformation: implementing patient-centered medical home standards in an academic medical center. </w:t>
      </w:r>
      <w:r w:rsidRPr="00525FBB">
        <w:rPr>
          <w:rFonts w:asciiTheme="majorBidi" w:hAnsiTheme="majorBidi" w:cstheme="majorBidi"/>
          <w:i/>
          <w:iCs/>
          <w:noProof/>
          <w:kern w:val="0"/>
          <w:sz w:val="24"/>
          <w:szCs w:val="24"/>
        </w:rPr>
        <w:t>BMC Medical Education</w:t>
      </w:r>
      <w:r w:rsidRPr="00525FBB">
        <w:rPr>
          <w:rFonts w:asciiTheme="majorBidi" w:hAnsiTheme="majorBidi" w:cstheme="majorBidi"/>
          <w:noProof/>
          <w:kern w:val="0"/>
          <w:sz w:val="24"/>
          <w:szCs w:val="24"/>
        </w:rPr>
        <w:t>. https://doi.org/10.1186/s12909-021-02775-9</w:t>
      </w:r>
    </w:p>
    <w:p w14:paraId="457EDB94"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Gurajala, S. (2023). Healthcare System in the Kingdom of Saudi Arabia: An Expat Doctor’s Perspective. </w:t>
      </w:r>
      <w:r w:rsidRPr="00525FBB">
        <w:rPr>
          <w:rFonts w:asciiTheme="majorBidi" w:hAnsiTheme="majorBidi" w:cstheme="majorBidi"/>
          <w:i/>
          <w:iCs/>
          <w:noProof/>
          <w:kern w:val="0"/>
          <w:sz w:val="24"/>
          <w:szCs w:val="24"/>
        </w:rPr>
        <w:t>Cureus</w:t>
      </w:r>
      <w:r w:rsidRPr="00525FBB">
        <w:rPr>
          <w:rFonts w:asciiTheme="majorBidi" w:hAnsiTheme="majorBidi" w:cstheme="majorBidi"/>
          <w:noProof/>
          <w:kern w:val="0"/>
          <w:sz w:val="24"/>
          <w:szCs w:val="24"/>
        </w:rPr>
        <w:t>. https://doi.org/10.7759/cureus.38806</w:t>
      </w:r>
    </w:p>
    <w:p w14:paraId="2EBA842C"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Lateef, A. M., &amp; Mhlongo, E. M. (2020). Trends in Patient-Centered Care in South West Nigeria: A Holistic Assessment of the Nurses Perception of Primary Healthcare Practice. </w:t>
      </w:r>
      <w:r w:rsidRPr="00525FBB">
        <w:rPr>
          <w:rFonts w:asciiTheme="majorBidi" w:hAnsiTheme="majorBidi" w:cstheme="majorBidi"/>
          <w:i/>
          <w:iCs/>
          <w:noProof/>
          <w:kern w:val="0"/>
          <w:sz w:val="24"/>
          <w:szCs w:val="24"/>
        </w:rPr>
        <w:t>Global Journal of Health Science</w:t>
      </w:r>
      <w:r w:rsidRPr="00525FBB">
        <w:rPr>
          <w:rFonts w:asciiTheme="majorBidi" w:hAnsiTheme="majorBidi" w:cstheme="majorBidi"/>
          <w:noProof/>
          <w:kern w:val="0"/>
          <w:sz w:val="24"/>
          <w:szCs w:val="24"/>
        </w:rPr>
        <w:t>. https://doi.org/10.5539/gjhs.v12n6p73</w:t>
      </w:r>
    </w:p>
    <w:p w14:paraId="446D69CB"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Mani, Z. A., &amp; Goniewicz, K. (2024). Transforming Healthcare in Saudi Arabia: A Comprehensive Evaluation of Vision 2030’s Impact. </w:t>
      </w:r>
      <w:r w:rsidRPr="00525FBB">
        <w:rPr>
          <w:rFonts w:asciiTheme="majorBidi" w:hAnsiTheme="majorBidi" w:cstheme="majorBidi"/>
          <w:i/>
          <w:iCs/>
          <w:noProof/>
          <w:kern w:val="0"/>
          <w:sz w:val="24"/>
          <w:szCs w:val="24"/>
        </w:rPr>
        <w:t>Sustainability 2024, Vol. 16, Page 3277</w:t>
      </w:r>
      <w:r w:rsidRPr="00525FBB">
        <w:rPr>
          <w:rFonts w:asciiTheme="majorBidi" w:hAnsiTheme="majorBidi" w:cstheme="majorBidi"/>
          <w:noProof/>
          <w:kern w:val="0"/>
          <w:sz w:val="24"/>
          <w:szCs w:val="24"/>
        </w:rPr>
        <w:t xml:space="preserve">, </w:t>
      </w:r>
      <w:r w:rsidRPr="00525FBB">
        <w:rPr>
          <w:rFonts w:asciiTheme="majorBidi" w:hAnsiTheme="majorBidi" w:cstheme="majorBidi"/>
          <w:i/>
          <w:iCs/>
          <w:noProof/>
          <w:kern w:val="0"/>
          <w:sz w:val="24"/>
          <w:szCs w:val="24"/>
        </w:rPr>
        <w:t>16</w:t>
      </w:r>
      <w:r w:rsidRPr="00525FBB">
        <w:rPr>
          <w:rFonts w:asciiTheme="majorBidi" w:hAnsiTheme="majorBidi" w:cstheme="majorBidi"/>
          <w:noProof/>
          <w:kern w:val="0"/>
          <w:sz w:val="24"/>
          <w:szCs w:val="24"/>
        </w:rPr>
        <w:t>(8), 3277. https://doi.org/10.3390/SU16083277</w:t>
      </w:r>
    </w:p>
    <w:p w14:paraId="34807A79"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Mathur, S., &amp; Sutton, J. (2017). Personalized medicine could transform healthcare (Review). In </w:t>
      </w:r>
      <w:r w:rsidRPr="00525FBB">
        <w:rPr>
          <w:rFonts w:asciiTheme="majorBidi" w:hAnsiTheme="majorBidi" w:cstheme="majorBidi"/>
          <w:i/>
          <w:iCs/>
          <w:noProof/>
          <w:kern w:val="0"/>
          <w:sz w:val="24"/>
          <w:szCs w:val="24"/>
        </w:rPr>
        <w:t>Biomedical Reports</w:t>
      </w:r>
      <w:r w:rsidRPr="00525FBB">
        <w:rPr>
          <w:rFonts w:asciiTheme="majorBidi" w:hAnsiTheme="majorBidi" w:cstheme="majorBidi"/>
          <w:noProof/>
          <w:kern w:val="0"/>
          <w:sz w:val="24"/>
          <w:szCs w:val="24"/>
        </w:rPr>
        <w:t>. https://doi.org/10.3892/br.2017.922</w:t>
      </w:r>
    </w:p>
    <w:p w14:paraId="3FE732BF"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Mohammed, S., Al Yami, A., Hamad, A., Alyami, K., Algobry, B. Y., Shabeh, H. A., Shaibah, R. A., Ali, M., Hamaim, B., Saif, M., Alyami, H., Ghaseb, H., Al Mreah, M., </w:t>
      </w:r>
      <w:r w:rsidRPr="00525FBB">
        <w:rPr>
          <w:rFonts w:asciiTheme="majorBidi" w:hAnsiTheme="majorBidi" w:cstheme="majorBidi"/>
          <w:noProof/>
          <w:kern w:val="0"/>
          <w:sz w:val="24"/>
          <w:szCs w:val="24"/>
        </w:rPr>
        <w:lastRenderedPageBreak/>
        <w:t xml:space="preserve">Muhammad, H., Al Hattab, H., Mahdi, S., Saleh, M. A., &amp; Sinan, A. (2024). Challenges and Opportunities in Healthcare Delivery in Saudi Arabia. </w:t>
      </w:r>
      <w:r w:rsidRPr="00525FBB">
        <w:rPr>
          <w:rFonts w:asciiTheme="majorBidi" w:hAnsiTheme="majorBidi" w:cstheme="majorBidi"/>
          <w:i/>
          <w:iCs/>
          <w:noProof/>
          <w:kern w:val="0"/>
          <w:sz w:val="24"/>
          <w:szCs w:val="24"/>
        </w:rPr>
        <w:t>Journal of International Crisis and Risk Communication Research</w:t>
      </w:r>
      <w:r w:rsidRPr="00525FBB">
        <w:rPr>
          <w:rFonts w:asciiTheme="majorBidi" w:hAnsiTheme="majorBidi" w:cstheme="majorBidi"/>
          <w:noProof/>
          <w:kern w:val="0"/>
          <w:sz w:val="24"/>
          <w:szCs w:val="24"/>
        </w:rPr>
        <w:t>, 1907–1925. https://doi.org/10.63278/JICRCR.VI.1197</w:t>
      </w:r>
    </w:p>
    <w:p w14:paraId="2392AB78"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Moore, L., Britten, N., Lydahl, D., Naldemirci, Ö., Elam, M., &amp; Wolf, A. (2017). Barriers and facilitators to the implementation of person-centred care in different healthcare contexts. </w:t>
      </w:r>
      <w:r w:rsidRPr="00525FBB">
        <w:rPr>
          <w:rFonts w:asciiTheme="majorBidi" w:hAnsiTheme="majorBidi" w:cstheme="majorBidi"/>
          <w:i/>
          <w:iCs/>
          <w:noProof/>
          <w:kern w:val="0"/>
          <w:sz w:val="24"/>
          <w:szCs w:val="24"/>
        </w:rPr>
        <w:t>Scandinavian Journal of Caring Sciences</w:t>
      </w:r>
      <w:r w:rsidRPr="00525FBB">
        <w:rPr>
          <w:rFonts w:asciiTheme="majorBidi" w:hAnsiTheme="majorBidi" w:cstheme="majorBidi"/>
          <w:noProof/>
          <w:kern w:val="0"/>
          <w:sz w:val="24"/>
          <w:szCs w:val="24"/>
        </w:rPr>
        <w:t>. https://doi.org/10.1111/scs.12376</w:t>
      </w:r>
    </w:p>
    <w:p w14:paraId="4CC8EB84"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Nhavoto, J. A., &amp; Grönlund, A. (2014). Mobile technologies and geographic information systems to improve health care systems: A literature review. In </w:t>
      </w:r>
      <w:r w:rsidRPr="00525FBB">
        <w:rPr>
          <w:rFonts w:asciiTheme="majorBidi" w:hAnsiTheme="majorBidi" w:cstheme="majorBidi"/>
          <w:i/>
          <w:iCs/>
          <w:noProof/>
          <w:kern w:val="0"/>
          <w:sz w:val="24"/>
          <w:szCs w:val="24"/>
        </w:rPr>
        <w:t>JMIR mHealth and uHealth</w:t>
      </w:r>
      <w:r w:rsidRPr="00525FBB">
        <w:rPr>
          <w:rFonts w:asciiTheme="majorBidi" w:hAnsiTheme="majorBidi" w:cstheme="majorBidi"/>
          <w:noProof/>
          <w:kern w:val="0"/>
          <w:sz w:val="24"/>
          <w:szCs w:val="24"/>
        </w:rPr>
        <w:t>. https://doi.org/10.2196/mhealth.3216</w:t>
      </w:r>
    </w:p>
    <w:p w14:paraId="53000763"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OECD. (2021). Long-term care settings | Health at a Glance 2021 : In </w:t>
      </w:r>
      <w:r w:rsidRPr="00525FBB">
        <w:rPr>
          <w:rFonts w:asciiTheme="majorBidi" w:hAnsiTheme="majorBidi" w:cstheme="majorBidi"/>
          <w:i/>
          <w:iCs/>
          <w:noProof/>
          <w:kern w:val="0"/>
          <w:sz w:val="24"/>
          <w:szCs w:val="24"/>
        </w:rPr>
        <w:t>OECD Indicators, OECD iLibrary</w:t>
      </w:r>
      <w:r w:rsidRPr="00525FBB">
        <w:rPr>
          <w:rFonts w:asciiTheme="majorBidi" w:hAnsiTheme="majorBidi" w:cstheme="majorBidi"/>
          <w:noProof/>
          <w:kern w:val="0"/>
          <w:sz w:val="24"/>
          <w:szCs w:val="24"/>
        </w:rPr>
        <w:t>.</w:t>
      </w:r>
    </w:p>
    <w:p w14:paraId="4328320A"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Rahman, R., &amp; Al-Borie, H. M. (2020). Strengthening the Saudi Arabian healthcare system: Role of Vision 2030. In </w:t>
      </w:r>
      <w:r w:rsidRPr="00525FBB">
        <w:rPr>
          <w:rFonts w:asciiTheme="majorBidi" w:hAnsiTheme="majorBidi" w:cstheme="majorBidi"/>
          <w:i/>
          <w:iCs/>
          <w:noProof/>
          <w:kern w:val="0"/>
          <w:sz w:val="24"/>
          <w:szCs w:val="24"/>
        </w:rPr>
        <w:t>International Journal of Healthcare Management</w:t>
      </w:r>
      <w:r w:rsidRPr="00525FBB">
        <w:rPr>
          <w:rFonts w:asciiTheme="majorBidi" w:hAnsiTheme="majorBidi" w:cstheme="majorBidi"/>
          <w:noProof/>
          <w:kern w:val="0"/>
          <w:sz w:val="24"/>
          <w:szCs w:val="24"/>
        </w:rPr>
        <w:t xml:space="preserve"> (pp. 1–9). Taylor and Francis Ltd. https://doi.org/10.1080/20479700.2020.1788334</w:t>
      </w:r>
    </w:p>
    <w:p w14:paraId="781471A3"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Rahman, R., &amp; Qattan, A. (2021). Vision 2030 and Sustainable Development: State Capacity to Revitalize the Healthcare System in Saudi Arabia. </w:t>
      </w:r>
      <w:r w:rsidRPr="00525FBB">
        <w:rPr>
          <w:rFonts w:asciiTheme="majorBidi" w:hAnsiTheme="majorBidi" w:cstheme="majorBidi"/>
          <w:i/>
          <w:iCs/>
          <w:noProof/>
          <w:kern w:val="0"/>
          <w:sz w:val="24"/>
          <w:szCs w:val="24"/>
        </w:rPr>
        <w:t>Inquiry (United States)</w:t>
      </w:r>
      <w:r w:rsidRPr="00525FBB">
        <w:rPr>
          <w:rFonts w:asciiTheme="majorBidi" w:hAnsiTheme="majorBidi" w:cstheme="majorBidi"/>
          <w:noProof/>
          <w:kern w:val="0"/>
          <w:sz w:val="24"/>
          <w:szCs w:val="24"/>
        </w:rPr>
        <w:t xml:space="preserve">, </w:t>
      </w:r>
      <w:r w:rsidRPr="00525FBB">
        <w:rPr>
          <w:rFonts w:asciiTheme="majorBidi" w:hAnsiTheme="majorBidi" w:cstheme="majorBidi"/>
          <w:i/>
          <w:iCs/>
          <w:noProof/>
          <w:kern w:val="0"/>
          <w:sz w:val="24"/>
          <w:szCs w:val="24"/>
        </w:rPr>
        <w:t>58</w:t>
      </w:r>
      <w:r w:rsidRPr="00525FBB">
        <w:rPr>
          <w:rFonts w:asciiTheme="majorBidi" w:hAnsiTheme="majorBidi" w:cstheme="majorBidi"/>
          <w:noProof/>
          <w:kern w:val="0"/>
          <w:sz w:val="24"/>
          <w:szCs w:val="24"/>
        </w:rPr>
        <w:t>. https://doi.org/10.1177/0046958020984682</w:t>
      </w:r>
    </w:p>
    <w:p w14:paraId="43586969"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Riley, A. J., Alshammary, S. A., Abuzied, Y., Al-Amer, R., Bin-Hussain, I., Alwaalah, M., Alshammari, K., &amp; Alqumaizi, K. I. (2024). Accelerated transformation programme for healthcare services: Structure, function and the lessons learnt. </w:t>
      </w:r>
      <w:r w:rsidRPr="00525FBB">
        <w:rPr>
          <w:rFonts w:asciiTheme="majorBidi" w:hAnsiTheme="majorBidi" w:cstheme="majorBidi"/>
          <w:i/>
          <w:iCs/>
          <w:noProof/>
          <w:kern w:val="0"/>
          <w:sz w:val="24"/>
          <w:szCs w:val="24"/>
        </w:rPr>
        <w:t>BMJ Leader</w:t>
      </w:r>
      <w:r w:rsidRPr="00525FBB">
        <w:rPr>
          <w:rFonts w:asciiTheme="majorBidi" w:hAnsiTheme="majorBidi" w:cstheme="majorBidi"/>
          <w:noProof/>
          <w:kern w:val="0"/>
          <w:sz w:val="24"/>
          <w:szCs w:val="24"/>
        </w:rPr>
        <w:t>. https://doi.org/10.1136/leader-2023-000851</w:t>
      </w:r>
    </w:p>
    <w:p w14:paraId="31D0A9E7"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Shah, S., Diwan, S., Kohan, L., Rosenblum, D., Gharibo, C., Soin, A., Sulindro, A., Nguyen, Q., &amp; Provenzano, D. (2020). The technological impact of COVID-19 on the future of education and health care delivery. </w:t>
      </w:r>
      <w:r w:rsidRPr="00525FBB">
        <w:rPr>
          <w:rFonts w:asciiTheme="majorBidi" w:hAnsiTheme="majorBidi" w:cstheme="majorBidi"/>
          <w:i/>
          <w:iCs/>
          <w:noProof/>
          <w:kern w:val="0"/>
          <w:sz w:val="24"/>
          <w:szCs w:val="24"/>
        </w:rPr>
        <w:t>Pain Physician</w:t>
      </w:r>
      <w:r w:rsidRPr="00525FBB">
        <w:rPr>
          <w:rFonts w:asciiTheme="majorBidi" w:hAnsiTheme="majorBidi" w:cstheme="majorBidi"/>
          <w:noProof/>
          <w:kern w:val="0"/>
          <w:sz w:val="24"/>
          <w:szCs w:val="24"/>
        </w:rPr>
        <w:t xml:space="preserve">. </w:t>
      </w:r>
      <w:r w:rsidRPr="00525FBB">
        <w:rPr>
          <w:rFonts w:asciiTheme="majorBidi" w:hAnsiTheme="majorBidi" w:cstheme="majorBidi"/>
          <w:noProof/>
          <w:kern w:val="0"/>
          <w:sz w:val="24"/>
          <w:szCs w:val="24"/>
        </w:rPr>
        <w:lastRenderedPageBreak/>
        <w:t>https://doi.org/10.36076/ppj.2020/23/s367</w:t>
      </w:r>
    </w:p>
    <w:p w14:paraId="2D12C4B5"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Sheth, A. (2014). kHealth : Proactive Personalized Actionable Information for Better Healthcare. </w:t>
      </w:r>
      <w:r w:rsidRPr="00525FBB">
        <w:rPr>
          <w:rFonts w:asciiTheme="majorBidi" w:hAnsiTheme="majorBidi" w:cstheme="majorBidi"/>
          <w:i/>
          <w:iCs/>
          <w:noProof/>
          <w:kern w:val="0"/>
          <w:sz w:val="24"/>
          <w:szCs w:val="24"/>
        </w:rPr>
        <w:t>Workshop on Personal Data Analytics in the Internet of Things (PDA@IOT 2014)</w:t>
      </w:r>
      <w:r w:rsidRPr="00525FBB">
        <w:rPr>
          <w:rFonts w:asciiTheme="majorBidi" w:hAnsiTheme="majorBidi" w:cstheme="majorBidi"/>
          <w:noProof/>
          <w:kern w:val="0"/>
          <w:sz w:val="24"/>
          <w:szCs w:val="24"/>
        </w:rPr>
        <w:t>.</w:t>
      </w:r>
    </w:p>
    <w:p w14:paraId="441119A9"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Suleiman, A. K., &amp; Ming, L. C. (2025). Transforming healthcare: Saudi Arabia’s vision 2030 healthcare model. In </w:t>
      </w:r>
      <w:r w:rsidRPr="00525FBB">
        <w:rPr>
          <w:rFonts w:asciiTheme="majorBidi" w:hAnsiTheme="majorBidi" w:cstheme="majorBidi"/>
          <w:i/>
          <w:iCs/>
          <w:noProof/>
          <w:kern w:val="0"/>
          <w:sz w:val="24"/>
          <w:szCs w:val="24"/>
        </w:rPr>
        <w:t>Journal of Pharmaceutical Policy and Practice</w:t>
      </w:r>
      <w:r w:rsidRPr="00525FBB">
        <w:rPr>
          <w:rFonts w:asciiTheme="majorBidi" w:hAnsiTheme="majorBidi" w:cstheme="majorBidi"/>
          <w:noProof/>
          <w:kern w:val="0"/>
          <w:sz w:val="24"/>
          <w:szCs w:val="24"/>
        </w:rPr>
        <w:t xml:space="preserve"> (Vol. 18, Issue 1, p. 2449051). Taylor and Francis Ltd. https://doi.org/10.1080/20523211.2024.2449051</w:t>
      </w:r>
    </w:p>
    <w:p w14:paraId="5F12544A"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Turcotte, P. L., Carrier, A., Desrosiers, J., &amp; Levasseur, M. (2015). Are health promotion and prevention interventions integrated into occupational therapy practice with older adults having disabilities? Insights from six community health settings in Québec, Canada. </w:t>
      </w:r>
      <w:r w:rsidRPr="00525FBB">
        <w:rPr>
          <w:rFonts w:asciiTheme="majorBidi" w:hAnsiTheme="majorBidi" w:cstheme="majorBidi"/>
          <w:i/>
          <w:iCs/>
          <w:noProof/>
          <w:kern w:val="0"/>
          <w:sz w:val="24"/>
          <w:szCs w:val="24"/>
        </w:rPr>
        <w:t>Australian Occupational Therapy Journal</w:t>
      </w:r>
      <w:r w:rsidRPr="00525FBB">
        <w:rPr>
          <w:rFonts w:asciiTheme="majorBidi" w:hAnsiTheme="majorBidi" w:cstheme="majorBidi"/>
          <w:noProof/>
          <w:kern w:val="0"/>
          <w:sz w:val="24"/>
          <w:szCs w:val="24"/>
        </w:rPr>
        <w:t>. https://doi.org/10.1111/1440-1630.12174</w:t>
      </w:r>
    </w:p>
    <w:p w14:paraId="5D388A4D"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US-UAE Business Council. (2014). The U.A.E. Healthcare Sector. </w:t>
      </w:r>
      <w:r w:rsidRPr="00525FBB">
        <w:rPr>
          <w:rFonts w:asciiTheme="majorBidi" w:hAnsiTheme="majorBidi" w:cstheme="majorBidi"/>
          <w:i/>
          <w:iCs/>
          <w:noProof/>
          <w:kern w:val="0"/>
          <w:sz w:val="24"/>
          <w:szCs w:val="24"/>
        </w:rPr>
        <w:t>UAE Business Council</w:t>
      </w:r>
      <w:r w:rsidRPr="00525FBB">
        <w:rPr>
          <w:rFonts w:asciiTheme="majorBidi" w:hAnsiTheme="majorBidi" w:cstheme="majorBidi"/>
          <w:noProof/>
          <w:kern w:val="0"/>
          <w:sz w:val="24"/>
          <w:szCs w:val="24"/>
        </w:rPr>
        <w:t>.</w:t>
      </w:r>
    </w:p>
    <w:p w14:paraId="5D1E89A2"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World Health Organization(WHO). (2019). Medication Safety in high-risk situations. </w:t>
      </w:r>
      <w:r w:rsidRPr="00525FBB">
        <w:rPr>
          <w:rFonts w:asciiTheme="majorBidi" w:hAnsiTheme="majorBidi" w:cstheme="majorBidi"/>
          <w:i/>
          <w:iCs/>
          <w:noProof/>
          <w:kern w:val="0"/>
          <w:sz w:val="24"/>
          <w:szCs w:val="24"/>
        </w:rPr>
        <w:t>The Third Global Patient Safety Challenge: Medication Without Harm, Webinar on Medication Safety</w:t>
      </w:r>
      <w:r w:rsidRPr="00525FBB">
        <w:rPr>
          <w:rFonts w:asciiTheme="majorBidi" w:hAnsiTheme="majorBidi" w:cstheme="majorBidi"/>
          <w:noProof/>
          <w:kern w:val="0"/>
          <w:sz w:val="24"/>
          <w:szCs w:val="24"/>
        </w:rPr>
        <w:t>.</w:t>
      </w:r>
    </w:p>
    <w:p w14:paraId="7792E7A3"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World Health Organization. (2023). </w:t>
      </w:r>
      <w:r w:rsidRPr="00525FBB">
        <w:rPr>
          <w:rFonts w:asciiTheme="majorBidi" w:hAnsiTheme="majorBidi" w:cstheme="majorBidi"/>
          <w:i/>
          <w:iCs/>
          <w:noProof/>
          <w:kern w:val="0"/>
          <w:sz w:val="24"/>
          <w:szCs w:val="24"/>
        </w:rPr>
        <w:t>WHO Global Health Workforce Statistics Database</w:t>
      </w:r>
      <w:r w:rsidRPr="00525FBB">
        <w:rPr>
          <w:rFonts w:asciiTheme="majorBidi" w:hAnsiTheme="majorBidi" w:cstheme="majorBidi"/>
          <w:noProof/>
          <w:kern w:val="0"/>
          <w:sz w:val="24"/>
          <w:szCs w:val="24"/>
        </w:rPr>
        <w:t>. Geneva. https://www.who.int/data/gho/data/themes/topics/health-workforce</w:t>
      </w:r>
    </w:p>
    <w:p w14:paraId="59CD459C"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Yousef, L., Alangari, D., Alshehri, R., Alsharif, B., Bayameen, O., &amp; Alnemer, Z. (2023). Healthcare transformation journey in the Eastern Region of Saudi Arabia: an overview, challenges and lessons learned. </w:t>
      </w:r>
      <w:r w:rsidRPr="00525FBB">
        <w:rPr>
          <w:rFonts w:asciiTheme="majorBidi" w:hAnsiTheme="majorBidi" w:cstheme="majorBidi"/>
          <w:i/>
          <w:iCs/>
          <w:noProof/>
          <w:kern w:val="0"/>
          <w:sz w:val="24"/>
          <w:szCs w:val="24"/>
        </w:rPr>
        <w:t>Journal of Medicine and Life</w:t>
      </w:r>
      <w:r w:rsidRPr="00525FBB">
        <w:rPr>
          <w:rFonts w:asciiTheme="majorBidi" w:hAnsiTheme="majorBidi" w:cstheme="majorBidi"/>
          <w:noProof/>
          <w:kern w:val="0"/>
          <w:sz w:val="24"/>
          <w:szCs w:val="24"/>
        </w:rPr>
        <w:t>. https://doi.org/10.25122/jml-2023-0010</w:t>
      </w:r>
    </w:p>
    <w:p w14:paraId="32F45301"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sz w:val="24"/>
          <w:szCs w:val="24"/>
        </w:rPr>
      </w:pPr>
      <w:r w:rsidRPr="00525FBB">
        <w:rPr>
          <w:rFonts w:asciiTheme="majorBidi" w:hAnsiTheme="majorBidi" w:cstheme="majorBidi"/>
          <w:noProof/>
          <w:kern w:val="0"/>
          <w:sz w:val="24"/>
          <w:szCs w:val="24"/>
        </w:rPr>
        <w:t xml:space="preserve">Zarocostas, J. (2021). WHO and World Bank urge spending for UHC. In </w:t>
      </w:r>
      <w:r w:rsidRPr="00525FBB">
        <w:rPr>
          <w:rFonts w:asciiTheme="majorBidi" w:hAnsiTheme="majorBidi" w:cstheme="majorBidi"/>
          <w:i/>
          <w:iCs/>
          <w:noProof/>
          <w:kern w:val="0"/>
          <w:sz w:val="24"/>
          <w:szCs w:val="24"/>
        </w:rPr>
        <w:t>Lancet (London, England)</w:t>
      </w:r>
      <w:r w:rsidRPr="00525FBB">
        <w:rPr>
          <w:rFonts w:asciiTheme="majorBidi" w:hAnsiTheme="majorBidi" w:cstheme="majorBidi"/>
          <w:noProof/>
          <w:kern w:val="0"/>
          <w:sz w:val="24"/>
          <w:szCs w:val="24"/>
        </w:rPr>
        <w:t>. https://doi.org/10.1016/S0140-6736(21)02792-6</w:t>
      </w:r>
    </w:p>
    <w:p w14:paraId="62212554"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sz w:val="24"/>
          <w:szCs w:val="24"/>
        </w:rPr>
        <w:lastRenderedPageBreak/>
        <w:fldChar w:fldCharType="end"/>
      </w:r>
    </w:p>
    <w:p w14:paraId="01FEEAE7" w14:textId="3C9B2511" w:rsidR="00D34361" w:rsidRPr="00525FBB" w:rsidRDefault="00D34361" w:rsidP="00525FBB">
      <w:pPr>
        <w:tabs>
          <w:tab w:val="left" w:pos="5292"/>
        </w:tabs>
        <w:jc w:val="right"/>
        <w:rPr>
          <w:rFonts w:asciiTheme="majorBidi" w:hAnsiTheme="majorBidi" w:cstheme="majorBidi"/>
          <w:sz w:val="24"/>
          <w:szCs w:val="24"/>
        </w:rPr>
      </w:pPr>
    </w:p>
    <w:sectPr w:rsidR="00D34361" w:rsidRPr="00525FBB" w:rsidSect="00877AAC">
      <w:footerReference w:type="defaul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6EEFA" w14:textId="77777777" w:rsidR="00095F07" w:rsidRDefault="00095F07" w:rsidP="009125CE">
      <w:pPr>
        <w:spacing w:after="0" w:line="240" w:lineRule="auto"/>
      </w:pPr>
      <w:r>
        <w:separator/>
      </w:r>
    </w:p>
  </w:endnote>
  <w:endnote w:type="continuationSeparator" w:id="0">
    <w:p w14:paraId="21D03EB1" w14:textId="77777777" w:rsidR="00095F07" w:rsidRDefault="00095F0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44572916"/>
      <w:docPartObj>
        <w:docPartGallery w:val="Page Numbers (Bottom of Page)"/>
        <w:docPartUnique/>
      </w:docPartObj>
    </w:sdtPr>
    <w:sdtEndPr>
      <w:rPr>
        <w:noProof/>
      </w:rPr>
    </w:sdtEndPr>
    <w:sdtContent>
      <w:p w14:paraId="336B106C" w14:textId="299378D0" w:rsidR="00A55D84" w:rsidRDefault="00A55D84">
        <w:pPr>
          <w:pStyle w:val="Footer"/>
        </w:pPr>
        <w:r>
          <w:fldChar w:fldCharType="begin"/>
        </w:r>
        <w:r>
          <w:instrText xml:space="preserve"> PAGE   \* MERGEFORMAT </w:instrText>
        </w:r>
        <w:r>
          <w:fldChar w:fldCharType="separate"/>
        </w:r>
        <w:r>
          <w:rPr>
            <w:noProof/>
            <w:rtl/>
          </w:rPr>
          <w:t>33</w:t>
        </w:r>
        <w:r>
          <w:rPr>
            <w:noProof/>
          </w:rPr>
          <w:fldChar w:fldCharType="end"/>
        </w:r>
      </w:p>
    </w:sdtContent>
  </w:sdt>
  <w:p w14:paraId="72C6F7BB" w14:textId="77777777" w:rsidR="00C56A95" w:rsidRDefault="00C56A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6F726" w14:textId="77777777" w:rsidR="00095F07" w:rsidRDefault="00095F07" w:rsidP="009125CE">
      <w:pPr>
        <w:spacing w:after="0" w:line="240" w:lineRule="auto"/>
      </w:pPr>
      <w:r>
        <w:separator/>
      </w:r>
    </w:p>
  </w:footnote>
  <w:footnote w:type="continuationSeparator" w:id="0">
    <w:p w14:paraId="6579C8EE" w14:textId="77777777" w:rsidR="00095F07" w:rsidRDefault="00095F07"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362FA"/>
    <w:rsid w:val="00090F21"/>
    <w:rsid w:val="00095F07"/>
    <w:rsid w:val="000D3CC2"/>
    <w:rsid w:val="000E03D7"/>
    <w:rsid w:val="000F44B4"/>
    <w:rsid w:val="001902DB"/>
    <w:rsid w:val="001C2162"/>
    <w:rsid w:val="002B0E31"/>
    <w:rsid w:val="002B5969"/>
    <w:rsid w:val="00340F0A"/>
    <w:rsid w:val="0037265D"/>
    <w:rsid w:val="003A5D5C"/>
    <w:rsid w:val="003B275F"/>
    <w:rsid w:val="003E7E9C"/>
    <w:rsid w:val="004163C7"/>
    <w:rsid w:val="004B7140"/>
    <w:rsid w:val="00506A5D"/>
    <w:rsid w:val="00525FBB"/>
    <w:rsid w:val="006878B6"/>
    <w:rsid w:val="006948DE"/>
    <w:rsid w:val="007B0E54"/>
    <w:rsid w:val="007E3A20"/>
    <w:rsid w:val="007F5BAF"/>
    <w:rsid w:val="00877AAC"/>
    <w:rsid w:val="00896FE4"/>
    <w:rsid w:val="008D28C1"/>
    <w:rsid w:val="008D36B1"/>
    <w:rsid w:val="008D761C"/>
    <w:rsid w:val="008E4A69"/>
    <w:rsid w:val="008F1EAE"/>
    <w:rsid w:val="009125CE"/>
    <w:rsid w:val="00946F5F"/>
    <w:rsid w:val="0098049D"/>
    <w:rsid w:val="00992C84"/>
    <w:rsid w:val="00993FD3"/>
    <w:rsid w:val="009B6888"/>
    <w:rsid w:val="009C0161"/>
    <w:rsid w:val="009D108D"/>
    <w:rsid w:val="009E1436"/>
    <w:rsid w:val="009E3C06"/>
    <w:rsid w:val="009E5668"/>
    <w:rsid w:val="00A55D84"/>
    <w:rsid w:val="00AA79E9"/>
    <w:rsid w:val="00AB0A70"/>
    <w:rsid w:val="00AF3EF9"/>
    <w:rsid w:val="00B63B0F"/>
    <w:rsid w:val="00B7678A"/>
    <w:rsid w:val="00BC094B"/>
    <w:rsid w:val="00C04162"/>
    <w:rsid w:val="00C04FC0"/>
    <w:rsid w:val="00C56A95"/>
    <w:rsid w:val="00C72744"/>
    <w:rsid w:val="00CB2A44"/>
    <w:rsid w:val="00D04F62"/>
    <w:rsid w:val="00D22171"/>
    <w:rsid w:val="00D2468F"/>
    <w:rsid w:val="00D34361"/>
    <w:rsid w:val="00D52480"/>
    <w:rsid w:val="00DD0C02"/>
    <w:rsid w:val="00E80FD9"/>
    <w:rsid w:val="00F540ED"/>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9E3C06"/>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46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937244">
      <w:bodyDiv w:val="1"/>
      <w:marLeft w:val="0"/>
      <w:marRight w:val="0"/>
      <w:marTop w:val="0"/>
      <w:marBottom w:val="0"/>
      <w:divBdr>
        <w:top w:val="none" w:sz="0" w:space="0" w:color="auto"/>
        <w:left w:val="none" w:sz="0" w:space="0" w:color="auto"/>
        <w:bottom w:val="none" w:sz="0" w:space="0" w:color="auto"/>
        <w:right w:val="none" w:sz="0" w:space="0" w:color="auto"/>
      </w:divBdr>
    </w:div>
    <w:div w:id="186407562">
      <w:bodyDiv w:val="1"/>
      <w:marLeft w:val="0"/>
      <w:marRight w:val="0"/>
      <w:marTop w:val="0"/>
      <w:marBottom w:val="0"/>
      <w:divBdr>
        <w:top w:val="none" w:sz="0" w:space="0" w:color="auto"/>
        <w:left w:val="none" w:sz="0" w:space="0" w:color="auto"/>
        <w:bottom w:val="none" w:sz="0" w:space="0" w:color="auto"/>
        <w:right w:val="none" w:sz="0" w:space="0" w:color="auto"/>
      </w:divBdr>
    </w:div>
    <w:div w:id="186873393">
      <w:bodyDiv w:val="1"/>
      <w:marLeft w:val="0"/>
      <w:marRight w:val="0"/>
      <w:marTop w:val="0"/>
      <w:marBottom w:val="0"/>
      <w:divBdr>
        <w:top w:val="none" w:sz="0" w:space="0" w:color="auto"/>
        <w:left w:val="none" w:sz="0" w:space="0" w:color="auto"/>
        <w:bottom w:val="none" w:sz="0" w:space="0" w:color="auto"/>
        <w:right w:val="none" w:sz="0" w:space="0" w:color="auto"/>
      </w:divBdr>
    </w:div>
    <w:div w:id="188957089">
      <w:bodyDiv w:val="1"/>
      <w:marLeft w:val="0"/>
      <w:marRight w:val="0"/>
      <w:marTop w:val="0"/>
      <w:marBottom w:val="0"/>
      <w:divBdr>
        <w:top w:val="none" w:sz="0" w:space="0" w:color="auto"/>
        <w:left w:val="none" w:sz="0" w:space="0" w:color="auto"/>
        <w:bottom w:val="none" w:sz="0" w:space="0" w:color="auto"/>
        <w:right w:val="none" w:sz="0" w:space="0" w:color="auto"/>
      </w:divBdr>
    </w:div>
    <w:div w:id="238246717">
      <w:bodyDiv w:val="1"/>
      <w:marLeft w:val="0"/>
      <w:marRight w:val="0"/>
      <w:marTop w:val="0"/>
      <w:marBottom w:val="0"/>
      <w:divBdr>
        <w:top w:val="none" w:sz="0" w:space="0" w:color="auto"/>
        <w:left w:val="none" w:sz="0" w:space="0" w:color="auto"/>
        <w:bottom w:val="none" w:sz="0" w:space="0" w:color="auto"/>
        <w:right w:val="none" w:sz="0" w:space="0" w:color="auto"/>
      </w:divBdr>
    </w:div>
    <w:div w:id="410738031">
      <w:bodyDiv w:val="1"/>
      <w:marLeft w:val="0"/>
      <w:marRight w:val="0"/>
      <w:marTop w:val="0"/>
      <w:marBottom w:val="0"/>
      <w:divBdr>
        <w:top w:val="none" w:sz="0" w:space="0" w:color="auto"/>
        <w:left w:val="none" w:sz="0" w:space="0" w:color="auto"/>
        <w:bottom w:val="none" w:sz="0" w:space="0" w:color="auto"/>
        <w:right w:val="none" w:sz="0" w:space="0" w:color="auto"/>
      </w:divBdr>
    </w:div>
    <w:div w:id="422805086">
      <w:bodyDiv w:val="1"/>
      <w:marLeft w:val="0"/>
      <w:marRight w:val="0"/>
      <w:marTop w:val="0"/>
      <w:marBottom w:val="0"/>
      <w:divBdr>
        <w:top w:val="none" w:sz="0" w:space="0" w:color="auto"/>
        <w:left w:val="none" w:sz="0" w:space="0" w:color="auto"/>
        <w:bottom w:val="none" w:sz="0" w:space="0" w:color="auto"/>
        <w:right w:val="none" w:sz="0" w:space="0" w:color="auto"/>
      </w:divBdr>
    </w:div>
    <w:div w:id="449784612">
      <w:bodyDiv w:val="1"/>
      <w:marLeft w:val="0"/>
      <w:marRight w:val="0"/>
      <w:marTop w:val="0"/>
      <w:marBottom w:val="0"/>
      <w:divBdr>
        <w:top w:val="none" w:sz="0" w:space="0" w:color="auto"/>
        <w:left w:val="none" w:sz="0" w:space="0" w:color="auto"/>
        <w:bottom w:val="none" w:sz="0" w:space="0" w:color="auto"/>
        <w:right w:val="none" w:sz="0" w:space="0" w:color="auto"/>
      </w:divBdr>
    </w:div>
    <w:div w:id="464811491">
      <w:bodyDiv w:val="1"/>
      <w:marLeft w:val="0"/>
      <w:marRight w:val="0"/>
      <w:marTop w:val="0"/>
      <w:marBottom w:val="0"/>
      <w:divBdr>
        <w:top w:val="none" w:sz="0" w:space="0" w:color="auto"/>
        <w:left w:val="none" w:sz="0" w:space="0" w:color="auto"/>
        <w:bottom w:val="none" w:sz="0" w:space="0" w:color="auto"/>
        <w:right w:val="none" w:sz="0" w:space="0" w:color="auto"/>
      </w:divBdr>
    </w:div>
    <w:div w:id="567960690">
      <w:bodyDiv w:val="1"/>
      <w:marLeft w:val="0"/>
      <w:marRight w:val="0"/>
      <w:marTop w:val="0"/>
      <w:marBottom w:val="0"/>
      <w:divBdr>
        <w:top w:val="none" w:sz="0" w:space="0" w:color="auto"/>
        <w:left w:val="none" w:sz="0" w:space="0" w:color="auto"/>
        <w:bottom w:val="none" w:sz="0" w:space="0" w:color="auto"/>
        <w:right w:val="none" w:sz="0" w:space="0" w:color="auto"/>
      </w:divBdr>
    </w:div>
    <w:div w:id="617221740">
      <w:bodyDiv w:val="1"/>
      <w:marLeft w:val="0"/>
      <w:marRight w:val="0"/>
      <w:marTop w:val="0"/>
      <w:marBottom w:val="0"/>
      <w:divBdr>
        <w:top w:val="none" w:sz="0" w:space="0" w:color="auto"/>
        <w:left w:val="none" w:sz="0" w:space="0" w:color="auto"/>
        <w:bottom w:val="none" w:sz="0" w:space="0" w:color="auto"/>
        <w:right w:val="none" w:sz="0" w:space="0" w:color="auto"/>
      </w:divBdr>
    </w:div>
    <w:div w:id="888154811">
      <w:bodyDiv w:val="1"/>
      <w:marLeft w:val="0"/>
      <w:marRight w:val="0"/>
      <w:marTop w:val="0"/>
      <w:marBottom w:val="0"/>
      <w:divBdr>
        <w:top w:val="none" w:sz="0" w:space="0" w:color="auto"/>
        <w:left w:val="none" w:sz="0" w:space="0" w:color="auto"/>
        <w:bottom w:val="none" w:sz="0" w:space="0" w:color="auto"/>
        <w:right w:val="none" w:sz="0" w:space="0" w:color="auto"/>
      </w:divBdr>
    </w:div>
    <w:div w:id="993681875">
      <w:bodyDiv w:val="1"/>
      <w:marLeft w:val="0"/>
      <w:marRight w:val="0"/>
      <w:marTop w:val="0"/>
      <w:marBottom w:val="0"/>
      <w:divBdr>
        <w:top w:val="none" w:sz="0" w:space="0" w:color="auto"/>
        <w:left w:val="none" w:sz="0" w:space="0" w:color="auto"/>
        <w:bottom w:val="none" w:sz="0" w:space="0" w:color="auto"/>
        <w:right w:val="none" w:sz="0" w:space="0" w:color="auto"/>
      </w:divBdr>
    </w:div>
    <w:div w:id="1044791401">
      <w:bodyDiv w:val="1"/>
      <w:marLeft w:val="0"/>
      <w:marRight w:val="0"/>
      <w:marTop w:val="0"/>
      <w:marBottom w:val="0"/>
      <w:divBdr>
        <w:top w:val="none" w:sz="0" w:space="0" w:color="auto"/>
        <w:left w:val="none" w:sz="0" w:space="0" w:color="auto"/>
        <w:bottom w:val="none" w:sz="0" w:space="0" w:color="auto"/>
        <w:right w:val="none" w:sz="0" w:space="0" w:color="auto"/>
      </w:divBdr>
    </w:div>
    <w:div w:id="1054234608">
      <w:bodyDiv w:val="1"/>
      <w:marLeft w:val="0"/>
      <w:marRight w:val="0"/>
      <w:marTop w:val="0"/>
      <w:marBottom w:val="0"/>
      <w:divBdr>
        <w:top w:val="none" w:sz="0" w:space="0" w:color="auto"/>
        <w:left w:val="none" w:sz="0" w:space="0" w:color="auto"/>
        <w:bottom w:val="none" w:sz="0" w:space="0" w:color="auto"/>
        <w:right w:val="none" w:sz="0" w:space="0" w:color="auto"/>
      </w:divBdr>
    </w:div>
    <w:div w:id="1190755976">
      <w:bodyDiv w:val="1"/>
      <w:marLeft w:val="0"/>
      <w:marRight w:val="0"/>
      <w:marTop w:val="0"/>
      <w:marBottom w:val="0"/>
      <w:divBdr>
        <w:top w:val="none" w:sz="0" w:space="0" w:color="auto"/>
        <w:left w:val="none" w:sz="0" w:space="0" w:color="auto"/>
        <w:bottom w:val="none" w:sz="0" w:space="0" w:color="auto"/>
        <w:right w:val="none" w:sz="0" w:space="0" w:color="auto"/>
      </w:divBdr>
    </w:div>
    <w:div w:id="1193878914">
      <w:bodyDiv w:val="1"/>
      <w:marLeft w:val="0"/>
      <w:marRight w:val="0"/>
      <w:marTop w:val="0"/>
      <w:marBottom w:val="0"/>
      <w:divBdr>
        <w:top w:val="none" w:sz="0" w:space="0" w:color="auto"/>
        <w:left w:val="none" w:sz="0" w:space="0" w:color="auto"/>
        <w:bottom w:val="none" w:sz="0" w:space="0" w:color="auto"/>
        <w:right w:val="none" w:sz="0" w:space="0" w:color="auto"/>
      </w:divBdr>
    </w:div>
    <w:div w:id="1201743413">
      <w:bodyDiv w:val="1"/>
      <w:marLeft w:val="0"/>
      <w:marRight w:val="0"/>
      <w:marTop w:val="0"/>
      <w:marBottom w:val="0"/>
      <w:divBdr>
        <w:top w:val="none" w:sz="0" w:space="0" w:color="auto"/>
        <w:left w:val="none" w:sz="0" w:space="0" w:color="auto"/>
        <w:bottom w:val="none" w:sz="0" w:space="0" w:color="auto"/>
        <w:right w:val="none" w:sz="0" w:space="0" w:color="auto"/>
      </w:divBdr>
    </w:div>
    <w:div w:id="1251354397">
      <w:bodyDiv w:val="1"/>
      <w:marLeft w:val="0"/>
      <w:marRight w:val="0"/>
      <w:marTop w:val="0"/>
      <w:marBottom w:val="0"/>
      <w:divBdr>
        <w:top w:val="none" w:sz="0" w:space="0" w:color="auto"/>
        <w:left w:val="none" w:sz="0" w:space="0" w:color="auto"/>
        <w:bottom w:val="none" w:sz="0" w:space="0" w:color="auto"/>
        <w:right w:val="none" w:sz="0" w:space="0" w:color="auto"/>
      </w:divBdr>
    </w:div>
    <w:div w:id="1267885056">
      <w:bodyDiv w:val="1"/>
      <w:marLeft w:val="0"/>
      <w:marRight w:val="0"/>
      <w:marTop w:val="0"/>
      <w:marBottom w:val="0"/>
      <w:divBdr>
        <w:top w:val="none" w:sz="0" w:space="0" w:color="auto"/>
        <w:left w:val="none" w:sz="0" w:space="0" w:color="auto"/>
        <w:bottom w:val="none" w:sz="0" w:space="0" w:color="auto"/>
        <w:right w:val="none" w:sz="0" w:space="0" w:color="auto"/>
      </w:divBdr>
    </w:div>
    <w:div w:id="1329869284">
      <w:bodyDiv w:val="1"/>
      <w:marLeft w:val="0"/>
      <w:marRight w:val="0"/>
      <w:marTop w:val="0"/>
      <w:marBottom w:val="0"/>
      <w:divBdr>
        <w:top w:val="none" w:sz="0" w:space="0" w:color="auto"/>
        <w:left w:val="none" w:sz="0" w:space="0" w:color="auto"/>
        <w:bottom w:val="none" w:sz="0" w:space="0" w:color="auto"/>
        <w:right w:val="none" w:sz="0" w:space="0" w:color="auto"/>
      </w:divBdr>
    </w:div>
    <w:div w:id="1348872638">
      <w:bodyDiv w:val="1"/>
      <w:marLeft w:val="0"/>
      <w:marRight w:val="0"/>
      <w:marTop w:val="0"/>
      <w:marBottom w:val="0"/>
      <w:divBdr>
        <w:top w:val="none" w:sz="0" w:space="0" w:color="auto"/>
        <w:left w:val="none" w:sz="0" w:space="0" w:color="auto"/>
        <w:bottom w:val="none" w:sz="0" w:space="0" w:color="auto"/>
        <w:right w:val="none" w:sz="0" w:space="0" w:color="auto"/>
      </w:divBdr>
    </w:div>
    <w:div w:id="1456170113">
      <w:bodyDiv w:val="1"/>
      <w:marLeft w:val="0"/>
      <w:marRight w:val="0"/>
      <w:marTop w:val="0"/>
      <w:marBottom w:val="0"/>
      <w:divBdr>
        <w:top w:val="none" w:sz="0" w:space="0" w:color="auto"/>
        <w:left w:val="none" w:sz="0" w:space="0" w:color="auto"/>
        <w:bottom w:val="none" w:sz="0" w:space="0" w:color="auto"/>
        <w:right w:val="none" w:sz="0" w:space="0" w:color="auto"/>
      </w:divBdr>
    </w:div>
    <w:div w:id="1535968064">
      <w:bodyDiv w:val="1"/>
      <w:marLeft w:val="0"/>
      <w:marRight w:val="0"/>
      <w:marTop w:val="0"/>
      <w:marBottom w:val="0"/>
      <w:divBdr>
        <w:top w:val="none" w:sz="0" w:space="0" w:color="auto"/>
        <w:left w:val="none" w:sz="0" w:space="0" w:color="auto"/>
        <w:bottom w:val="none" w:sz="0" w:space="0" w:color="auto"/>
        <w:right w:val="none" w:sz="0" w:space="0" w:color="auto"/>
      </w:divBdr>
    </w:div>
    <w:div w:id="1582182680">
      <w:bodyDiv w:val="1"/>
      <w:marLeft w:val="0"/>
      <w:marRight w:val="0"/>
      <w:marTop w:val="0"/>
      <w:marBottom w:val="0"/>
      <w:divBdr>
        <w:top w:val="none" w:sz="0" w:space="0" w:color="auto"/>
        <w:left w:val="none" w:sz="0" w:space="0" w:color="auto"/>
        <w:bottom w:val="none" w:sz="0" w:space="0" w:color="auto"/>
        <w:right w:val="none" w:sz="0" w:space="0" w:color="auto"/>
      </w:divBdr>
    </w:div>
    <w:div w:id="1718117515">
      <w:bodyDiv w:val="1"/>
      <w:marLeft w:val="0"/>
      <w:marRight w:val="0"/>
      <w:marTop w:val="0"/>
      <w:marBottom w:val="0"/>
      <w:divBdr>
        <w:top w:val="none" w:sz="0" w:space="0" w:color="auto"/>
        <w:left w:val="none" w:sz="0" w:space="0" w:color="auto"/>
        <w:bottom w:val="none" w:sz="0" w:space="0" w:color="auto"/>
        <w:right w:val="none" w:sz="0" w:space="0" w:color="auto"/>
      </w:divBdr>
    </w:div>
    <w:div w:id="1880429570">
      <w:bodyDiv w:val="1"/>
      <w:marLeft w:val="0"/>
      <w:marRight w:val="0"/>
      <w:marTop w:val="0"/>
      <w:marBottom w:val="0"/>
      <w:divBdr>
        <w:top w:val="none" w:sz="0" w:space="0" w:color="auto"/>
        <w:left w:val="none" w:sz="0" w:space="0" w:color="auto"/>
        <w:bottom w:val="none" w:sz="0" w:space="0" w:color="auto"/>
        <w:right w:val="none" w:sz="0" w:space="0" w:color="auto"/>
      </w:divBdr>
    </w:div>
    <w:div w:id="2125034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hart" Target="charts/chart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chart" Target="charts/chart2.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hart" Target="charts/chart1.xm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ownloads\sstabl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ownloads\sstabl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ownloads\sstable.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ownloads\sstable.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a:t>Key Themes</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Sheet2!$B$3</c:f>
              <c:strCache>
                <c:ptCount val="1"/>
                <c:pt idx="0">
                  <c:v>Frequency</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trendline>
            <c:spPr>
              <a:ln w="19050" cap="rnd">
                <a:solidFill>
                  <a:schemeClr val="accent1"/>
                </a:solidFill>
              </a:ln>
              <a:effectLst/>
            </c:spPr>
            <c:trendlineType val="log"/>
            <c:dispRSqr val="0"/>
            <c:dispEq val="0"/>
          </c:trendline>
          <c:cat>
            <c:strRef>
              <c:f>Sheet2!$A$4:$A$8</c:f>
              <c:strCache>
                <c:ptCount val="5"/>
                <c:pt idx="0">
                  <c:v>Healthcare Transformation</c:v>
                </c:pt>
                <c:pt idx="1">
                  <c:v>Vision 2030 Healthcare Reform</c:v>
                </c:pt>
                <c:pt idx="2">
                  <c:v>Workforce Development</c:v>
                </c:pt>
                <c:pt idx="3">
                  <c:v>Digital Health Solutions</c:v>
                </c:pt>
                <c:pt idx="4">
                  <c:v>Public-Private Partnerships (PPPs)</c:v>
                </c:pt>
              </c:strCache>
            </c:strRef>
          </c:cat>
          <c:val>
            <c:numRef>
              <c:f>Sheet2!$B$4:$B$8</c:f>
              <c:numCache>
                <c:formatCode>General</c:formatCode>
                <c:ptCount val="5"/>
                <c:pt idx="0">
                  <c:v>12</c:v>
                </c:pt>
                <c:pt idx="1">
                  <c:v>9</c:v>
                </c:pt>
                <c:pt idx="2">
                  <c:v>7</c:v>
                </c:pt>
                <c:pt idx="3">
                  <c:v>6</c:v>
                </c:pt>
                <c:pt idx="4">
                  <c:v>5</c:v>
                </c:pt>
              </c:numCache>
            </c:numRef>
          </c:val>
          <c:extLst>
            <c:ext xmlns:c16="http://schemas.microsoft.com/office/drawing/2014/chart" uri="{C3380CC4-5D6E-409C-BE32-E72D297353CC}">
              <c16:uniqueId val="{00000000-6D58-420E-BFE8-B5BF2CB2CBFB}"/>
            </c:ext>
          </c:extLst>
        </c:ser>
        <c:dLbls>
          <c:showLegendKey val="0"/>
          <c:showVal val="0"/>
          <c:showCatName val="0"/>
          <c:showSerName val="0"/>
          <c:showPercent val="0"/>
          <c:showBubbleSize val="0"/>
        </c:dLbls>
        <c:gapWidth val="164"/>
        <c:overlap val="-22"/>
        <c:axId val="482625952"/>
        <c:axId val="482626312"/>
      </c:barChart>
      <c:catAx>
        <c:axId val="482625952"/>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626312"/>
        <c:crosses val="autoZero"/>
        <c:auto val="1"/>
        <c:lblAlgn val="ctr"/>
        <c:lblOffset val="100"/>
        <c:noMultiLvlLbl val="0"/>
      </c:catAx>
      <c:valAx>
        <c:axId val="48262631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6259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Challenges</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Sheet2!$B$14</c:f>
              <c:strCache>
                <c:ptCount val="1"/>
                <c:pt idx="0">
                  <c:v>Frequency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Sheet2!$A$15:$A$19</c:f>
              <c:strCache>
                <c:ptCount val="5"/>
                <c:pt idx="0">
                  <c:v>Workforce Issues (shortages, capacity)</c:v>
                </c:pt>
                <c:pt idx="1">
                  <c:v>Infrastructure Limitations</c:v>
                </c:pt>
                <c:pt idx="2">
                  <c:v>Access to Healthcare</c:v>
                </c:pt>
                <c:pt idx="3">
                  <c:v>Non-communicable Diseases (NCDs)</c:v>
                </c:pt>
                <c:pt idx="4">
                  <c:v>Financial Sustainability of Healthcare</c:v>
                </c:pt>
              </c:strCache>
            </c:strRef>
          </c:cat>
          <c:val>
            <c:numRef>
              <c:f>Sheet2!$B$15:$B$19</c:f>
              <c:numCache>
                <c:formatCode>General</c:formatCode>
                <c:ptCount val="5"/>
                <c:pt idx="0">
                  <c:v>8</c:v>
                </c:pt>
                <c:pt idx="1">
                  <c:v>6</c:v>
                </c:pt>
                <c:pt idx="2">
                  <c:v>5</c:v>
                </c:pt>
                <c:pt idx="3">
                  <c:v>4</c:v>
                </c:pt>
                <c:pt idx="4">
                  <c:v>4</c:v>
                </c:pt>
              </c:numCache>
            </c:numRef>
          </c:val>
          <c:extLst>
            <c:ext xmlns:c16="http://schemas.microsoft.com/office/drawing/2014/chart" uri="{C3380CC4-5D6E-409C-BE32-E72D297353CC}">
              <c16:uniqueId val="{00000000-4FE7-4F3B-89BD-02E9ED7C2519}"/>
            </c:ext>
          </c:extLst>
        </c:ser>
        <c:dLbls>
          <c:dLblPos val="inEnd"/>
          <c:showLegendKey val="0"/>
          <c:showVal val="1"/>
          <c:showCatName val="0"/>
          <c:showSerName val="0"/>
          <c:showPercent val="0"/>
          <c:showBubbleSize val="0"/>
        </c:dLbls>
        <c:gapWidth val="219"/>
        <c:overlap val="-27"/>
        <c:axId val="493956384"/>
        <c:axId val="493958904"/>
      </c:barChart>
      <c:catAx>
        <c:axId val="493956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958904"/>
        <c:crosses val="autoZero"/>
        <c:auto val="1"/>
        <c:lblAlgn val="ctr"/>
        <c:lblOffset val="100"/>
        <c:noMultiLvlLbl val="0"/>
      </c:catAx>
      <c:valAx>
        <c:axId val="493958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9563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Opportunities</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Sheet2!$B$26</c:f>
              <c:strCache>
                <c:ptCount val="1"/>
                <c:pt idx="0">
                  <c:v>Frequency</c:v>
                </c:pt>
              </c:strCache>
            </c:strRef>
          </c:tx>
          <c:spPr>
            <a:solidFill>
              <a:schemeClr val="accent1"/>
            </a:solidFill>
            <a:ln>
              <a:noFill/>
            </a:ln>
            <a:effectLst/>
          </c:spPr>
          <c:invertIfNegative val="0"/>
          <c:cat>
            <c:strRef>
              <c:f>Sheet2!$A$27:$A$31</c:f>
              <c:strCache>
                <c:ptCount val="5"/>
                <c:pt idx="0">
                  <c:v>Expansion of Primary Care</c:v>
                </c:pt>
                <c:pt idx="1">
                  <c:v>Improved Governance/Policy Reform</c:v>
                </c:pt>
                <c:pt idx="2">
                  <c:v>Workforce Development</c:v>
                </c:pt>
                <c:pt idx="3">
                  <c:v>Private Sector Involvement/PPP</c:v>
                </c:pt>
                <c:pt idx="4">
                  <c:v>Technology Integration (e-health, telemedicine)</c:v>
                </c:pt>
              </c:strCache>
            </c:strRef>
          </c:cat>
          <c:val>
            <c:numRef>
              <c:f>Sheet2!$B$27:$B$31</c:f>
              <c:numCache>
                <c:formatCode>General</c:formatCode>
                <c:ptCount val="5"/>
                <c:pt idx="0">
                  <c:v>3</c:v>
                </c:pt>
                <c:pt idx="1">
                  <c:v>4</c:v>
                </c:pt>
                <c:pt idx="2">
                  <c:v>5</c:v>
                </c:pt>
                <c:pt idx="3">
                  <c:v>6</c:v>
                </c:pt>
                <c:pt idx="4">
                  <c:v>8</c:v>
                </c:pt>
              </c:numCache>
            </c:numRef>
          </c:val>
          <c:extLst>
            <c:ext xmlns:c16="http://schemas.microsoft.com/office/drawing/2014/chart" uri="{C3380CC4-5D6E-409C-BE32-E72D297353CC}">
              <c16:uniqueId val="{00000000-7AA2-4C80-BB63-85950284E6C0}"/>
            </c:ext>
          </c:extLst>
        </c:ser>
        <c:dLbls>
          <c:showLegendKey val="0"/>
          <c:showVal val="0"/>
          <c:showCatName val="0"/>
          <c:showSerName val="0"/>
          <c:showPercent val="0"/>
          <c:showBubbleSize val="0"/>
        </c:dLbls>
        <c:gapWidth val="182"/>
        <c:axId val="490354184"/>
        <c:axId val="490352744"/>
      </c:barChart>
      <c:catAx>
        <c:axId val="4903541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0352744"/>
        <c:crosses val="autoZero"/>
        <c:auto val="1"/>
        <c:lblAlgn val="ctr"/>
        <c:lblOffset val="100"/>
        <c:noMultiLvlLbl val="0"/>
      </c:catAx>
      <c:valAx>
        <c:axId val="4903527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03541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Mitigative Strategies</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Sheet2!$B$37</c:f>
              <c:strCache>
                <c:ptCount val="1"/>
                <c:pt idx="0">
                  <c:v>Frequency</c:v>
                </c:pt>
              </c:strCache>
            </c:strRef>
          </c:tx>
          <c:dPt>
            <c:idx val="0"/>
            <c:bubble3D val="0"/>
            <c:spPr>
              <a:solidFill>
                <a:schemeClr val="accent6">
                  <a:lumMod val="75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018-4D15-ADC9-1CBA02C25885}"/>
              </c:ext>
            </c:extLst>
          </c:dPt>
          <c:dPt>
            <c:idx val="1"/>
            <c:bubble3D val="0"/>
            <c:spPr>
              <a:solidFill>
                <a:srgbClr val="FFC000"/>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018-4D15-ADC9-1CBA02C25885}"/>
              </c:ext>
            </c:extLst>
          </c:dPt>
          <c:dPt>
            <c:idx val="2"/>
            <c:bubble3D val="0"/>
            <c:spPr>
              <a:solidFill>
                <a:srgbClr val="7030A0"/>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4018-4D15-ADC9-1CBA02C25885}"/>
              </c:ext>
            </c:extLst>
          </c:dPt>
          <c:dPt>
            <c:idx val="3"/>
            <c:bubble3D val="0"/>
            <c:spPr>
              <a:solidFill>
                <a:srgbClr val="FF0000"/>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4018-4D15-ADC9-1CBA02C25885}"/>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4018-4D15-ADC9-1CBA02C25885}"/>
              </c:ext>
            </c:extLst>
          </c:dPt>
          <c:dLbls>
            <c:dLbl>
              <c:idx val="0"/>
              <c:layout>
                <c:manualLayout>
                  <c:x val="6.9444444444444545E-2"/>
                  <c:y val="5.555555555555555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7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018-4D15-ADC9-1CBA02C25885}"/>
                </c:ext>
              </c:extLst>
            </c:dLbl>
            <c:dLbl>
              <c:idx val="1"/>
              <c:layout>
                <c:manualLayout>
                  <c:x val="0.13333333333333314"/>
                  <c:y val="-6.9444444444444531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rgbClr val="FFC000"/>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018-4D15-ADC9-1CBA02C25885}"/>
                </c:ext>
              </c:extLst>
            </c:dLbl>
            <c:dLbl>
              <c:idx val="2"/>
              <c:layout>
                <c:manualLayout>
                  <c:x val="1.5277777777777777E-2"/>
                  <c:y val="3.240740740740732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rgbClr val="7030A0"/>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24813888888888888"/>
                      <c:h val="0.2964122193059201"/>
                    </c:manualLayout>
                  </c15:layout>
                </c:ext>
                <c:ext xmlns:c16="http://schemas.microsoft.com/office/drawing/2014/chart" uri="{C3380CC4-5D6E-409C-BE32-E72D297353CC}">
                  <c16:uniqueId val="{00000005-4018-4D15-ADC9-1CBA02C25885}"/>
                </c:ext>
              </c:extLst>
            </c:dLbl>
            <c:dLbl>
              <c:idx val="3"/>
              <c:layout>
                <c:manualLayout>
                  <c:x val="-1.1111111111111112E-2"/>
                  <c:y val="6.4814814814814811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rgbClr val="C00000"/>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4018-4D15-ADC9-1CBA02C25885}"/>
                </c:ext>
              </c:extLst>
            </c:dLbl>
            <c:dLbl>
              <c:idx val="4"/>
              <c:layout>
                <c:manualLayout>
                  <c:x val="0.13472233158355201"/>
                  <c:y val="5.0925925925925923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41187510936132976"/>
                      <c:h val="0.18340296004666085"/>
                    </c:manualLayout>
                  </c15:layout>
                </c:ext>
                <c:ext xmlns:c16="http://schemas.microsoft.com/office/drawing/2014/chart" uri="{C3380CC4-5D6E-409C-BE32-E72D297353CC}">
                  <c16:uniqueId val="{00000009-4018-4D15-ADC9-1CBA02C25885}"/>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Sheet2!$A$38:$A$42</c:f>
              <c:strCache>
                <c:ptCount val="5"/>
                <c:pt idx="0">
                  <c:v>Workforce Training and Capacity Building</c:v>
                </c:pt>
                <c:pt idx="1">
                  <c:v>Public-Private Partnerships (PPPs)</c:v>
                </c:pt>
                <c:pt idx="2">
                  <c:v>Technology Adoption (Digital Health, e-health)</c:v>
                </c:pt>
                <c:pt idx="3">
                  <c:v>Governance and Policy Reforms</c:v>
                </c:pt>
                <c:pt idx="4">
                  <c:v>Healthcare Financing Reforms</c:v>
                </c:pt>
              </c:strCache>
            </c:strRef>
          </c:cat>
          <c:val>
            <c:numRef>
              <c:f>Sheet2!$B$38:$B$42</c:f>
              <c:numCache>
                <c:formatCode>General</c:formatCode>
                <c:ptCount val="5"/>
                <c:pt idx="0">
                  <c:v>8</c:v>
                </c:pt>
                <c:pt idx="1">
                  <c:v>6</c:v>
                </c:pt>
                <c:pt idx="2">
                  <c:v>5</c:v>
                </c:pt>
                <c:pt idx="3">
                  <c:v>4</c:v>
                </c:pt>
                <c:pt idx="4">
                  <c:v>3</c:v>
                </c:pt>
              </c:numCache>
            </c:numRef>
          </c:val>
          <c:extLst>
            <c:ext xmlns:c16="http://schemas.microsoft.com/office/drawing/2014/chart" uri="{C3380CC4-5D6E-409C-BE32-E72D297353CC}">
              <c16:uniqueId val="{0000000A-4018-4D15-ADC9-1CBA02C25885}"/>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317</TotalTime>
  <Pages>1</Pages>
  <Words>26891</Words>
  <Characters>153284</Characters>
  <Application>Microsoft Office Word</Application>
  <DocSecurity>0</DocSecurity>
  <Lines>1277</Lines>
  <Paragraphs>359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rohitha ravisekar</cp:lastModifiedBy>
  <cp:revision>20</cp:revision>
  <dcterms:created xsi:type="dcterms:W3CDTF">2025-03-14T07:20:00Z</dcterms:created>
  <dcterms:modified xsi:type="dcterms:W3CDTF">2025-04-11T04:40:00Z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