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0A1" w:rsidRDefault="006450A1" w:rsidP="006450A1">
      <w:pPr>
        <w:pStyle w:val="Heading1"/>
        <w:bidi/>
      </w:pPr>
      <w:r>
        <w:rPr>
          <w:rStyle w:val="Strong"/>
          <w:b/>
          <w:bCs/>
          <w:rtl/>
        </w:rPr>
        <w:t>تقرير مراجعة الفصل الثالث</w:t>
      </w:r>
    </w:p>
    <w:p w:rsidR="006450A1" w:rsidRDefault="006450A1" w:rsidP="006450A1">
      <w:pPr>
        <w:pStyle w:val="NormalWeb"/>
        <w:bidi/>
      </w:pPr>
      <w:r>
        <w:rPr>
          <w:rStyle w:val="Strong"/>
          <w:rtl/>
        </w:rPr>
        <w:t>عنوان الدراسة</w:t>
      </w:r>
      <w:r>
        <w:rPr>
          <w:rStyle w:val="Strong"/>
        </w:rPr>
        <w:t>:</w:t>
      </w:r>
      <w:r>
        <w:br/>
      </w:r>
      <w:r>
        <w:rPr>
          <w:rStyle w:val="Strong"/>
          <w:rtl/>
        </w:rPr>
        <w:t>أثر جودة الحياة الوظيفية على السلوك الأخلاقي في مستشفيات الرياض</w:t>
      </w:r>
    </w:p>
    <w:p w:rsidR="006450A1" w:rsidRDefault="006450A1" w:rsidP="006450A1">
      <w:pPr>
        <w:pStyle w:val="NormalWeb"/>
        <w:bidi/>
      </w:pPr>
      <w:r>
        <w:rPr>
          <w:rtl/>
        </w:rPr>
        <w:t>بعد الاطلاع على النسخة المعدلة من الفصل الثالث، يتضح أن الباحثة بذلت جهدًا واضحًا في معالجة عدد من الملاحظات السابقة، حيث أجرت تعديلات على تحديد مجتمع الدراسة والعينة، وأضافت توضيحات مهمة بشأن أداة الدراسة وإجراءات الصدق والثبات والدراسة الاستطلاعية، كما أضافت قسمًا مستقلًا للجوانب الأخلاقية، وأوضحت بصورة أفضل بعض المعالجات الإحصائية المقترحة. كما تم توحيد تسمية أبعاد المتغير المستقل وتحديد عدد فقرات المتغير التابع</w:t>
      </w:r>
      <w:r>
        <w:t>.</w:t>
      </w:r>
      <w:r>
        <w:rPr>
          <w:rtl/>
        </w:rPr>
        <w:t>ومع ذلك، لا تزال بعض الملاحظات المنهجية بحاجة إلى استكمال أو إعادة صياغة، كما توجد بعض التناقضات والصياغات غير المرتبطة بموضوع الدراسة، الأمر الذي يستلزم إجراء تعديلات إضافية قبل اعتماد الفصل بصيغته النهائية</w:t>
      </w:r>
      <w:r>
        <w:t>.</w:t>
      </w:r>
    </w:p>
    <w:p w:rsidR="006450A1" w:rsidRDefault="006450A1" w:rsidP="006450A1">
      <w:pPr>
        <w:pStyle w:val="Heading3"/>
        <w:bidi/>
      </w:pPr>
      <w:r>
        <w:rPr>
          <w:rStyle w:val="Strong"/>
          <w:b w:val="0"/>
          <w:bCs w:val="0"/>
        </w:rPr>
        <w:t xml:space="preserve">1: </w:t>
      </w:r>
      <w:r w:rsidRPr="006450A1">
        <w:rPr>
          <w:rStyle w:val="Strong"/>
          <w:rFonts w:ascii="Times New Roman" w:eastAsia="Times New Roman" w:hAnsi="Times New Roman" w:cs="Times New Roman"/>
          <w:color w:val="auto"/>
          <w:rtl/>
        </w:rPr>
        <w:t>عدم الاتساق بين وصف المنهج المستخدم وإجراءات الدراسة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قامت الباحثة بتوضيح اعتماد الدراسة على المنهج الوصفي التحليلي، كما تم توضيح بعض إجراءات التحليل الإحصائي. إلا أن الفصل لا يزال يتضمن إشارات إلى استخدام المنهج المختلط وإجراءات نوعية، في حين لا توجد إجراءات منهجية مكتملة للجزء النوعي من حيث عدد المقابلات، وآلية اختيار المشاركين، وطريقة تحليل البيانات النوعية، أو آلية دمج نتائجها مع النتائج الكمية. وبالتالي لا يزال هناك عدم اتساق يحتاج إلى الحسم، إما باعتماد المنهج الكمي الوصفي التحليلي بصورة واضحة، أو استكمال جميع إجراءات المنهج المختلط</w:t>
      </w:r>
      <w:r>
        <w:t>.</w:t>
      </w:r>
    </w:p>
    <w:p w:rsidR="006450A1" w:rsidRDefault="006450A1" w:rsidP="006450A1">
      <w:pPr>
        <w:pStyle w:val="Heading3"/>
        <w:bidi/>
      </w:pPr>
      <w:r>
        <w:rPr>
          <w:rStyle w:val="Strong"/>
          <w:b w:val="0"/>
          <w:bCs w:val="0"/>
        </w:rPr>
        <w:t xml:space="preserve">2: </w:t>
      </w:r>
      <w:r w:rsidRPr="006450A1">
        <w:rPr>
          <w:rStyle w:val="Strong"/>
          <w:rFonts w:ascii="Times New Roman" w:eastAsia="Times New Roman" w:hAnsi="Times New Roman" w:cs="Times New Roman"/>
          <w:color w:val="auto"/>
          <w:rtl/>
        </w:rPr>
        <w:t>عدم الاتساق بين مجتمع الدراسة والعينة المستهدفة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شهد الفصل تحسنًا في تحديد مجتمع الدراسة، حيث تم تحديد العاملين في أقسام الموارد البشرية والمسؤولين عن تدريب العاملين والمسؤولين عن توفير الحياة الوظيفية، بالإضافة إلى مقدمي خدمات الرعاية الصحية</w:t>
      </w:r>
      <w:r>
        <w:t xml:space="preserve">. </w:t>
      </w:r>
      <w:r>
        <w:rPr>
          <w:rtl/>
        </w:rPr>
        <w:t>إلا أن تعدد الفئات المستهدفة لا يزال يحتاج إلى مزيد من التحديد، بحيث يكون واضحًا من هم أفراد المجتمع الأصلي ومن هم أفراد العينة، وما هي وحدة المعاينة، وما إذا كانت جميع الفئات المذكورة ستشارك فعليًا في الدراسة</w:t>
      </w:r>
      <w:r>
        <w:t>.</w:t>
      </w:r>
    </w:p>
    <w:p w:rsidR="006450A1" w:rsidRPr="006450A1" w:rsidRDefault="006450A1" w:rsidP="006450A1">
      <w:pPr>
        <w:pStyle w:val="Heading3"/>
        <w:bidi/>
        <w:rPr>
          <w:rStyle w:val="Strong"/>
          <w:rFonts w:ascii="Times New Roman" w:eastAsia="Times New Roman" w:hAnsi="Times New Roman" w:cs="Times New Roman"/>
          <w:color w:val="auto"/>
        </w:rPr>
      </w:pPr>
      <w:r w:rsidRPr="006450A1">
        <w:rPr>
          <w:rStyle w:val="Strong"/>
          <w:rFonts w:ascii="Times New Roman" w:eastAsia="Times New Roman" w:hAnsi="Times New Roman" w:cs="Times New Roman"/>
          <w:color w:val="auto"/>
        </w:rPr>
        <w:t xml:space="preserve">3: </w:t>
      </w:r>
      <w:r w:rsidRPr="006450A1">
        <w:rPr>
          <w:rStyle w:val="Strong"/>
          <w:rFonts w:ascii="Times New Roman" w:eastAsia="Times New Roman" w:hAnsi="Times New Roman" w:cs="Times New Roman"/>
          <w:color w:val="auto"/>
          <w:rtl/>
        </w:rPr>
        <w:t>تبرير حجم العينة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 xml:space="preserve">أضافت الباحثة إشارة إلى استخدام أسلوب علمي لتحديد حجم العينة، كما أوضحت توزيع العدد على المستشفيات والمراكز الصحية. إلا أن حجم العينة البالغ </w:t>
      </w:r>
      <w:r>
        <w:rPr>
          <w:rStyle w:val="Strong"/>
        </w:rPr>
        <w:t xml:space="preserve">250 </w:t>
      </w:r>
      <w:r>
        <w:rPr>
          <w:rStyle w:val="Strong"/>
          <w:rtl/>
        </w:rPr>
        <w:t>مفردة</w:t>
      </w:r>
      <w:r>
        <w:rPr>
          <w:rtl/>
        </w:rPr>
        <w:t xml:space="preserve"> لا يزال بحاجة إلى تبرير إحصائي مباشر، من خلال بيان حجم المجتمع الأصلي وتطبيق معادلة أو أسلوب إحصائي معتمد وإظهار كيفية الوصول إلى العدد النهائي، وليس الاكتفاء بتوزيع العدد على المؤسسات الصحية</w:t>
      </w:r>
      <w:r>
        <w:t>.</w:t>
      </w:r>
    </w:p>
    <w:p w:rsidR="006450A1" w:rsidRDefault="006450A1" w:rsidP="006450A1">
      <w:pPr>
        <w:pStyle w:val="NormalWeb"/>
        <w:bidi/>
      </w:pPr>
      <w:r>
        <w:rPr>
          <w:rtl/>
        </w:rPr>
        <w:t xml:space="preserve">وبالتالي، فإن إضافة الأسلوب الإحصائي تمثل استجابة للملاحظة، إلا أن </w:t>
      </w:r>
      <w:r>
        <w:rPr>
          <w:rStyle w:val="Strong"/>
          <w:rtl/>
        </w:rPr>
        <w:t>التطبيق الفعلي والتبرير النهائي لحجم العينة لا يزال بحاجة إلى استكمال</w:t>
      </w:r>
      <w:r>
        <w:t>.</w:t>
      </w:r>
    </w:p>
    <w:p w:rsidR="006450A1" w:rsidRPr="006450A1" w:rsidRDefault="006450A1" w:rsidP="006450A1">
      <w:pPr>
        <w:pStyle w:val="Heading3"/>
        <w:bidi/>
        <w:rPr>
          <w:rStyle w:val="Strong"/>
          <w:rFonts w:ascii="Times New Roman" w:eastAsia="Times New Roman" w:hAnsi="Times New Roman" w:cs="Times New Roman"/>
          <w:color w:val="auto"/>
        </w:rPr>
      </w:pPr>
      <w:r w:rsidRPr="006450A1">
        <w:rPr>
          <w:rStyle w:val="Strong"/>
          <w:rFonts w:ascii="Times New Roman" w:eastAsia="Times New Roman" w:hAnsi="Times New Roman" w:cs="Times New Roman"/>
          <w:color w:val="auto"/>
        </w:rPr>
        <w:lastRenderedPageBreak/>
        <w:t xml:space="preserve">4: </w:t>
      </w:r>
      <w:r w:rsidRPr="006450A1">
        <w:rPr>
          <w:rStyle w:val="Strong"/>
          <w:rFonts w:ascii="Times New Roman" w:eastAsia="Times New Roman" w:hAnsi="Times New Roman" w:cs="Times New Roman"/>
          <w:color w:val="auto"/>
          <w:rtl/>
        </w:rPr>
        <w:t>الاتساق بين أسلوب اختيار العينة وآلية توزيع الاستبانة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 xml:space="preserve">قامت الباحثة بتوضيح أن الاستبانة سيتم توزيعها إلكترونيًا، كما أصبح هناك توضيح أفضل بشأن استهداف أفراد العينة. إلا أن استخدام وصف </w:t>
      </w:r>
      <w:r>
        <w:rPr>
          <w:rStyle w:val="Strong"/>
          <w:rtl/>
        </w:rPr>
        <w:t>العينة الطبقية العشوائية</w:t>
      </w:r>
      <w:r>
        <w:rPr>
          <w:rtl/>
        </w:rPr>
        <w:t xml:space="preserve"> لا يزال يحتاج إلى توضيح أكثر دقة لآلية السحب العشوائي داخل كل طبقة، ومصدر قوائم أفراد المجتمع التي سيتم السحب منها، وكيفية ضمان أن الرابط الإلكتروني لا يصل إلا إلى الأفراد الذين تم اختيارهم ضمن العينة</w:t>
      </w:r>
      <w:r>
        <w:t>.</w:t>
      </w:r>
    </w:p>
    <w:p w:rsidR="006450A1" w:rsidRDefault="006450A1" w:rsidP="006450A1">
      <w:pPr>
        <w:pStyle w:val="NormalWeb"/>
        <w:bidi/>
      </w:pPr>
      <w:r>
        <w:rPr>
          <w:rtl/>
        </w:rPr>
        <w:t xml:space="preserve">وعليه، تم معالجة جانب من الملاحظة، إلا أن </w:t>
      </w:r>
      <w:r>
        <w:rPr>
          <w:rStyle w:val="Strong"/>
          <w:rtl/>
        </w:rPr>
        <w:t>آلية تحقيق العشوائية الطبقية عمليًا لا تزال بحاجة إلى توضيح</w:t>
      </w:r>
      <w:r>
        <w:t>.</w:t>
      </w:r>
    </w:p>
    <w:p w:rsidR="006450A1" w:rsidRPr="006450A1" w:rsidRDefault="006450A1" w:rsidP="006450A1">
      <w:pPr>
        <w:pStyle w:val="Heading3"/>
        <w:bidi/>
        <w:rPr>
          <w:rStyle w:val="Strong"/>
          <w:rFonts w:ascii="Times New Roman" w:eastAsia="Times New Roman" w:hAnsi="Times New Roman" w:cs="Times New Roman"/>
          <w:color w:val="auto"/>
        </w:rPr>
      </w:pPr>
      <w:r w:rsidRPr="006450A1">
        <w:rPr>
          <w:rStyle w:val="Strong"/>
          <w:rFonts w:ascii="Times New Roman" w:eastAsia="Times New Roman" w:hAnsi="Times New Roman" w:cs="Times New Roman"/>
          <w:color w:val="auto"/>
        </w:rPr>
        <w:t xml:space="preserve">5: </w:t>
      </w:r>
      <w:r w:rsidRPr="006450A1">
        <w:rPr>
          <w:rStyle w:val="Strong"/>
          <w:rFonts w:ascii="Times New Roman" w:eastAsia="Times New Roman" w:hAnsi="Times New Roman" w:cs="Times New Roman"/>
          <w:color w:val="auto"/>
          <w:rtl/>
        </w:rPr>
        <w:t>وصف أداة الدراسة</w:t>
      </w:r>
    </w:p>
    <w:p w:rsidR="006450A1" w:rsidRDefault="006450A1" w:rsidP="006450A1">
      <w:pPr>
        <w:pStyle w:val="NormalWeb"/>
        <w:bidi/>
      </w:pPr>
      <w:r>
        <w:rPr>
          <w:rStyle w:val="Strong"/>
          <w:rtl/>
        </w:rPr>
        <w:t>تم التنفيذ</w:t>
      </w:r>
      <w:r>
        <w:rPr>
          <w:rStyle w:val="Strong"/>
        </w:rPr>
        <w:t>.</w:t>
      </w:r>
    </w:p>
    <w:p w:rsidR="006450A1" w:rsidRDefault="006450A1" w:rsidP="006450A1">
      <w:pPr>
        <w:pStyle w:val="Heading3"/>
        <w:bidi/>
      </w:pPr>
      <w:r>
        <w:rPr>
          <w:rStyle w:val="Strong"/>
          <w:b w:val="0"/>
          <w:bCs w:val="0"/>
        </w:rPr>
        <w:t xml:space="preserve">6: </w:t>
      </w:r>
      <w:r w:rsidRPr="006450A1">
        <w:rPr>
          <w:rStyle w:val="Strong"/>
          <w:rFonts w:ascii="Times New Roman" w:eastAsia="Times New Roman" w:hAnsi="Times New Roman" w:cs="Times New Roman"/>
          <w:color w:val="auto"/>
          <w:rtl/>
        </w:rPr>
        <w:t>إجراءات الصدق والثبات</w:t>
      </w:r>
    </w:p>
    <w:p w:rsidR="006450A1" w:rsidRDefault="006450A1" w:rsidP="006450A1">
      <w:pPr>
        <w:pStyle w:val="NormalWeb"/>
        <w:bidi/>
      </w:pPr>
      <w:r>
        <w:rPr>
          <w:rStyle w:val="Strong"/>
          <w:rtl/>
        </w:rPr>
        <w:t>تم التنفيذ</w:t>
      </w:r>
      <w:r>
        <w:rPr>
          <w:rStyle w:val="Strong"/>
        </w:rPr>
        <w:t>.</w:t>
      </w:r>
    </w:p>
    <w:p w:rsidR="006450A1" w:rsidRPr="006450A1" w:rsidRDefault="006450A1" w:rsidP="006450A1">
      <w:pPr>
        <w:pStyle w:val="Heading3"/>
        <w:bidi/>
        <w:rPr>
          <w:rStyle w:val="Strong"/>
          <w:rFonts w:ascii="Times New Roman" w:eastAsia="Times New Roman" w:hAnsi="Times New Roman" w:cs="Times New Roman"/>
          <w:color w:val="auto"/>
        </w:rPr>
      </w:pPr>
      <w:r>
        <w:rPr>
          <w:rStyle w:val="Strong"/>
          <w:b w:val="0"/>
          <w:bCs w:val="0"/>
        </w:rPr>
        <w:t xml:space="preserve">7: </w:t>
      </w:r>
      <w:r w:rsidRPr="006450A1">
        <w:rPr>
          <w:rStyle w:val="Strong"/>
          <w:rFonts w:ascii="Times New Roman" w:eastAsia="Times New Roman" w:hAnsi="Times New Roman" w:cs="Times New Roman"/>
          <w:color w:val="auto"/>
          <w:rtl/>
        </w:rPr>
        <w:t>إجراءات التحقق من صلاحية أداة الدراسة</w:t>
      </w:r>
    </w:p>
    <w:p w:rsidR="006450A1" w:rsidRDefault="006450A1" w:rsidP="006450A1">
      <w:pPr>
        <w:pStyle w:val="NormalWeb"/>
        <w:bidi/>
      </w:pPr>
      <w:r>
        <w:rPr>
          <w:rStyle w:val="Strong"/>
          <w:rtl/>
        </w:rPr>
        <w:t>تم التنفيذ</w:t>
      </w:r>
      <w:r>
        <w:rPr>
          <w:rStyle w:val="Strong"/>
        </w:rPr>
        <w:t>.</w:t>
      </w:r>
    </w:p>
    <w:p w:rsidR="006450A1" w:rsidRDefault="006450A1" w:rsidP="006450A1">
      <w:pPr>
        <w:pStyle w:val="Heading3"/>
        <w:bidi/>
      </w:pPr>
      <w:r>
        <w:rPr>
          <w:rStyle w:val="Strong"/>
          <w:b w:val="0"/>
          <w:bCs w:val="0"/>
        </w:rPr>
        <w:t xml:space="preserve">8: </w:t>
      </w:r>
      <w:r w:rsidRPr="006450A1">
        <w:rPr>
          <w:rStyle w:val="Strong"/>
          <w:rFonts w:ascii="Times New Roman" w:eastAsia="Times New Roman" w:hAnsi="Times New Roman" w:cs="Times New Roman"/>
          <w:color w:val="auto"/>
          <w:rtl/>
        </w:rPr>
        <w:t>توحيد تسمية أبعاد المتغير المستقل</w:t>
      </w:r>
    </w:p>
    <w:p w:rsidR="006450A1" w:rsidRDefault="006450A1" w:rsidP="006450A1">
      <w:pPr>
        <w:pStyle w:val="NormalWeb"/>
        <w:bidi/>
      </w:pPr>
      <w:r>
        <w:rPr>
          <w:rStyle w:val="Strong"/>
          <w:rtl/>
        </w:rPr>
        <w:t>تم التنفيذ</w:t>
      </w:r>
      <w:r>
        <w:rPr>
          <w:rStyle w:val="Strong"/>
        </w:rPr>
        <w:t>.</w:t>
      </w:r>
    </w:p>
    <w:p w:rsidR="006450A1" w:rsidRDefault="006450A1" w:rsidP="006450A1">
      <w:pPr>
        <w:pStyle w:val="Heading3"/>
        <w:bidi/>
      </w:pPr>
      <w:r>
        <w:rPr>
          <w:rStyle w:val="Strong"/>
          <w:b w:val="0"/>
          <w:bCs w:val="0"/>
        </w:rPr>
        <w:t xml:space="preserve">9: </w:t>
      </w:r>
      <w:r w:rsidRPr="006450A1">
        <w:rPr>
          <w:rStyle w:val="Strong"/>
          <w:rFonts w:ascii="Times New Roman" w:eastAsia="Times New Roman" w:hAnsi="Times New Roman" w:cs="Times New Roman"/>
          <w:color w:val="auto"/>
          <w:rtl/>
        </w:rPr>
        <w:t>المعالجات الإحصائية المقترحة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 xml:space="preserve">شهد هذا الجزء تحسنًا ملحوظًا، حيث أضافت الباحثة اختبار </w:t>
      </w:r>
      <w:r>
        <w:rPr>
          <w:rStyle w:val="Strong"/>
        </w:rPr>
        <w:t>Shapiro-Wilk</w:t>
      </w:r>
      <w:r>
        <w:t xml:space="preserve"> </w:t>
      </w:r>
      <w:r>
        <w:rPr>
          <w:rtl/>
        </w:rPr>
        <w:t xml:space="preserve">للتحقق من الاعتدالية، ومعامل </w:t>
      </w:r>
      <w:r>
        <w:rPr>
          <w:rStyle w:val="Strong"/>
        </w:rPr>
        <w:t>VIF</w:t>
      </w:r>
      <w:r>
        <w:t xml:space="preserve"> </w:t>
      </w:r>
      <w:r>
        <w:rPr>
          <w:rtl/>
        </w:rPr>
        <w:t>للتحقق من التعدد الخطي، كما أوضحت بصورة أفضل استخدام</w:t>
      </w:r>
      <w:r>
        <w:t xml:space="preserve"> SPSS </w:t>
      </w:r>
      <w:r>
        <w:rPr>
          <w:rtl/>
        </w:rPr>
        <w:t>أو</w:t>
      </w:r>
      <w:r>
        <w:t xml:space="preserve"> </w:t>
      </w:r>
      <w:proofErr w:type="spellStart"/>
      <w:r>
        <w:t>SmartPLS</w:t>
      </w:r>
      <w:proofErr w:type="spellEnd"/>
      <w:r>
        <w:t xml:space="preserve"> </w:t>
      </w:r>
      <w:r>
        <w:rPr>
          <w:rtl/>
        </w:rPr>
        <w:t>وفقًا لطبيعة البيانات</w:t>
      </w:r>
      <w:r>
        <w:t xml:space="preserve">. </w:t>
      </w:r>
    </w:p>
    <w:p w:rsidR="006450A1" w:rsidRDefault="006450A1" w:rsidP="006450A1">
      <w:pPr>
        <w:pStyle w:val="NormalWeb"/>
        <w:bidi/>
      </w:pPr>
      <w:r>
        <w:rPr>
          <w:rtl/>
        </w:rPr>
        <w:t>إلا أن هذا الجزء لا يزال يحتاج إلى مراجعة منهجية ولغوية؛ إذ لم يتم استكمال جميع افتراضات التحليل الإحصائي المطلوبة، كما توجد بعض الفقرات التي تتضمن عبارات لا تتوافق مع موضوع الدراسة، مثل الإشارة إلى أبعاد الذكاء الاصطناعي وكفاءة إدارة المرور، وهي عبارات لا ترتبط بالدراسة الحالية</w:t>
      </w:r>
      <w:r>
        <w:t xml:space="preserve">. </w:t>
      </w:r>
      <w:r>
        <w:rPr>
          <w:rtl/>
        </w:rPr>
        <w:t>كما تحتاج الباحثة إلى توضيح مبررات استخدام</w:t>
      </w:r>
      <w:r>
        <w:t xml:space="preserve"> </w:t>
      </w:r>
      <w:proofErr w:type="spellStart"/>
      <w:r>
        <w:t>SmartPLS</w:t>
      </w:r>
      <w:proofErr w:type="spellEnd"/>
      <w:r>
        <w:t xml:space="preserve"> </w:t>
      </w:r>
      <w:r>
        <w:rPr>
          <w:rtl/>
        </w:rPr>
        <w:t>بصورة أكثر ارتباطًا بنموذج الدراسة وطبيعة التحليل المطلوب</w:t>
      </w:r>
      <w:r>
        <w:t>.</w:t>
      </w:r>
    </w:p>
    <w:p w:rsidR="006450A1" w:rsidRPr="006450A1" w:rsidRDefault="006450A1" w:rsidP="006450A1">
      <w:pPr>
        <w:pStyle w:val="Heading3"/>
        <w:bidi/>
        <w:rPr>
          <w:rStyle w:val="Strong"/>
          <w:rFonts w:ascii="Times New Roman" w:eastAsia="Times New Roman" w:hAnsi="Times New Roman" w:cs="Times New Roman"/>
          <w:color w:val="auto"/>
        </w:rPr>
      </w:pPr>
      <w:r>
        <w:rPr>
          <w:rStyle w:val="Strong"/>
          <w:b w:val="0"/>
          <w:bCs w:val="0"/>
        </w:rPr>
        <w:t xml:space="preserve">10: </w:t>
      </w:r>
      <w:r w:rsidRPr="006450A1">
        <w:rPr>
          <w:rStyle w:val="Strong"/>
          <w:rFonts w:ascii="Times New Roman" w:eastAsia="Times New Roman" w:hAnsi="Times New Roman" w:cs="Times New Roman"/>
          <w:color w:val="auto"/>
          <w:rtl/>
        </w:rPr>
        <w:t>الجوانب الأخلاقية للدراسة</w:t>
      </w:r>
    </w:p>
    <w:p w:rsidR="006450A1" w:rsidRDefault="006450A1" w:rsidP="006450A1">
      <w:pPr>
        <w:pStyle w:val="NormalWeb"/>
        <w:bidi/>
      </w:pPr>
      <w:r>
        <w:rPr>
          <w:rStyle w:val="Strong"/>
          <w:rtl/>
        </w:rPr>
        <w:t>تم التنفيذ</w:t>
      </w:r>
      <w:r>
        <w:rPr>
          <w:rStyle w:val="Strong"/>
        </w:rPr>
        <w:t>.</w:t>
      </w:r>
    </w:p>
    <w:p w:rsidR="006450A1" w:rsidRDefault="006450A1" w:rsidP="006450A1">
      <w:pPr>
        <w:pStyle w:val="Heading3"/>
        <w:bidi/>
      </w:pPr>
      <w:r>
        <w:rPr>
          <w:rStyle w:val="Strong"/>
          <w:b w:val="0"/>
          <w:bCs w:val="0"/>
        </w:rPr>
        <w:t xml:space="preserve">11: </w:t>
      </w:r>
      <w:r w:rsidRPr="006450A1">
        <w:rPr>
          <w:rStyle w:val="Strong"/>
          <w:rFonts w:ascii="Times New Roman" w:eastAsia="Times New Roman" w:hAnsi="Times New Roman" w:cs="Times New Roman"/>
          <w:color w:val="auto"/>
          <w:rtl/>
        </w:rPr>
        <w:t>التعريفات الإجرائية للمتغيرات</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قامت الباحثة بإضافة وتعديل التعريفات الإجرائية، كما تم تحديد كيفية قياس جودة الحياة الوظيفية من خلال أبعادها وفقراتها، وتحديد السلوك الأخلاقي باعتباره متغيرًا يتكون من 8 فقرات</w:t>
      </w:r>
      <w:r>
        <w:t xml:space="preserve">. </w:t>
      </w:r>
    </w:p>
    <w:p w:rsidR="006450A1" w:rsidRDefault="006450A1" w:rsidP="006450A1">
      <w:pPr>
        <w:pStyle w:val="NormalWeb"/>
        <w:bidi/>
      </w:pPr>
      <w:r>
        <w:rPr>
          <w:rtl/>
        </w:rPr>
        <w:t xml:space="preserve">إلا أنه لا يزال يوجد </w:t>
      </w:r>
      <w:r>
        <w:rPr>
          <w:rStyle w:val="Strong"/>
          <w:rtl/>
        </w:rPr>
        <w:t>عدم اتساق في تعريف السلوك الأخلاقي</w:t>
      </w:r>
      <w:r>
        <w:rPr>
          <w:rtl/>
        </w:rPr>
        <w:t>؛ إذ ورد في موضع آخر تعريف إجرائي يصفه بأنه "سلوكيات اختيارية تطوعية تتجاوز متطلبات الدور المحدد"، وهو تعريف لا يتطابق بصورة مباشرة مع الفقرات المستخدمة لقياس السلوك الأخلاقي في الدراسة، والتي تركز على الصدق، والسرية، وعدم التمييز، والالتزام بقواعد السلوك المهني، وعدم استغلال السلطة وغيرها</w:t>
      </w:r>
      <w:r>
        <w:t xml:space="preserve">. </w:t>
      </w:r>
      <w:r>
        <w:rPr>
          <w:rFonts w:hint="cs"/>
          <w:rtl/>
        </w:rPr>
        <w:t xml:space="preserve"> </w:t>
      </w:r>
      <w:r>
        <w:rPr>
          <w:rtl/>
        </w:rPr>
        <w:t xml:space="preserve">لذلك تحتاج الباحثة إلى </w:t>
      </w:r>
      <w:r>
        <w:rPr>
          <w:rStyle w:val="Strong"/>
          <w:rtl/>
        </w:rPr>
        <w:t>توحيد التعريف الإجرائي للسلوك الأخلاقي</w:t>
      </w:r>
      <w:r>
        <w:rPr>
          <w:rtl/>
        </w:rPr>
        <w:t xml:space="preserve"> بحيث يتطابق بصورة مباشرة مع طريقة قياسه في الاستبانة</w:t>
      </w:r>
      <w:r>
        <w:t>.</w:t>
      </w:r>
    </w:p>
    <w:p w:rsidR="006450A1" w:rsidRPr="006450A1" w:rsidRDefault="006450A1" w:rsidP="006450A1">
      <w:pPr>
        <w:pStyle w:val="Heading3"/>
        <w:bidi/>
        <w:rPr>
          <w:rStyle w:val="Strong"/>
          <w:rFonts w:ascii="Times New Roman" w:eastAsia="Times New Roman" w:hAnsi="Times New Roman" w:cs="Times New Roman"/>
          <w:color w:val="auto"/>
        </w:rPr>
      </w:pPr>
      <w:r w:rsidRPr="006450A1">
        <w:rPr>
          <w:rStyle w:val="Strong"/>
          <w:rFonts w:ascii="Times New Roman" w:eastAsia="Times New Roman" w:hAnsi="Times New Roman" w:cs="Times New Roman"/>
          <w:color w:val="auto"/>
        </w:rPr>
        <w:t xml:space="preserve">12: </w:t>
      </w:r>
      <w:r w:rsidRPr="006450A1">
        <w:rPr>
          <w:rStyle w:val="Strong"/>
          <w:rFonts w:ascii="Times New Roman" w:eastAsia="Times New Roman" w:hAnsi="Times New Roman" w:cs="Times New Roman"/>
          <w:color w:val="auto"/>
          <w:rtl/>
        </w:rPr>
        <w:t>المراجعة اللغوية والأسلوبية</w:t>
      </w:r>
    </w:p>
    <w:p w:rsidR="006450A1" w:rsidRDefault="006450A1" w:rsidP="006450A1">
      <w:pPr>
        <w:pStyle w:val="NormalWeb"/>
        <w:bidi/>
      </w:pPr>
      <w:r>
        <w:rPr>
          <w:rStyle w:val="Strong"/>
          <w:rtl/>
        </w:rPr>
        <w:t>تم التنفيذ جزئيًا</w:t>
      </w:r>
      <w:r>
        <w:rPr>
          <w:rStyle w:val="Strong"/>
        </w:rPr>
        <w:t>.</w:t>
      </w:r>
    </w:p>
    <w:p w:rsidR="006450A1" w:rsidRDefault="006450A1" w:rsidP="006450A1">
      <w:pPr>
        <w:pStyle w:val="NormalWeb"/>
        <w:bidi/>
      </w:pPr>
      <w:r>
        <w:rPr>
          <w:rtl/>
        </w:rPr>
        <w:t>شهد الفصل بعض التحسن في الصياغة والتنظيم، إلا أنه لا يزال يحتوي على عدد من الأخطاء اللغوية والإملائية والصياغات غير الدقيقة، إضافة إلى وجود تكرار لبعض الفقرات، ووجود عبارات تبدو مرتبطة بدراسات أو موضوعات أخرى، كما ظهر في الجزء الخاص بالمعالجات الإحصائية</w:t>
      </w:r>
      <w:r>
        <w:t xml:space="preserve">. </w:t>
      </w:r>
      <w:r>
        <w:rPr>
          <w:rtl/>
        </w:rPr>
        <w:t xml:space="preserve">كما تحتاج بعض الفقرات إلى إعادة صياغة لتحقيق الترابط والاتساق بين أجزاء الفصل، ولذلك لا تزال هناك حاجة إلى </w:t>
      </w:r>
      <w:r>
        <w:rPr>
          <w:rStyle w:val="Strong"/>
          <w:rtl/>
        </w:rPr>
        <w:t>مراجعة لغوية وأسلوبية ومنهجية شاملة</w:t>
      </w:r>
      <w:r>
        <w:rPr>
          <w:rtl/>
        </w:rPr>
        <w:t xml:space="preserve"> قبل اعتماد الفصل بصورته النهائية</w:t>
      </w:r>
      <w:r>
        <w:t>.</w:t>
      </w:r>
    </w:p>
    <w:p w:rsidR="006450A1" w:rsidRDefault="006450A1" w:rsidP="006450A1">
      <w:pPr>
        <w:bidi/>
      </w:pPr>
    </w:p>
    <w:p w:rsidR="006450A1" w:rsidRDefault="006450A1" w:rsidP="006450A1">
      <w:pPr>
        <w:pStyle w:val="Heading1"/>
        <w:bidi/>
      </w:pPr>
      <w:r>
        <w:rPr>
          <w:rStyle w:val="Strong"/>
          <w:b/>
          <w:bCs/>
          <w:rtl/>
        </w:rPr>
        <w:t>التقييم العام</w:t>
      </w:r>
    </w:p>
    <w:p w:rsidR="006450A1" w:rsidRDefault="006450A1" w:rsidP="006450A1">
      <w:pPr>
        <w:pStyle w:val="NormalWeb"/>
        <w:bidi/>
      </w:pPr>
      <w:r>
        <w:rPr>
          <w:rtl/>
        </w:rPr>
        <w:t xml:space="preserve">يتضح من المراجعة أن الباحثة </w:t>
      </w:r>
      <w:r>
        <w:rPr>
          <w:rStyle w:val="Strong"/>
          <w:rtl/>
        </w:rPr>
        <w:t>استجابت بصورة واضحة لعدد مهم من الملاحظات السابقة</w:t>
      </w:r>
      <w:r>
        <w:rPr>
          <w:rtl/>
        </w:rPr>
        <w:t>، وخاصة ما يتعلق بوصف أداة الدراسة، وتحديد عدد فقرات المتغيرين، وإجراءات الصدق والثبات، وإجراء الدراسة الاستطلاعية، وتوحيد تسمية أبعاد المتغير المستقل، وإضافة قسم مستقل للجوانب الأخلاقية للدراسة. كما شهدت المعالجات الإحصائية وتحديد المجتمع والعينة تحسنًا مقارنة بالنسخة السابقة</w:t>
      </w:r>
      <w:r>
        <w:t>.</w:t>
      </w:r>
    </w:p>
    <w:p w:rsidR="006450A1" w:rsidRDefault="006450A1" w:rsidP="006450A1">
      <w:pPr>
        <w:pStyle w:val="NormalWeb"/>
        <w:bidi/>
      </w:pPr>
      <w:r>
        <w:rPr>
          <w:rtl/>
        </w:rPr>
        <w:t xml:space="preserve">إلا أن عددًا من الملاحظات المنهجية لا يزال بحاجة إلى استكمال، وأهمها </w:t>
      </w:r>
      <w:r>
        <w:rPr>
          <w:rStyle w:val="Strong"/>
          <w:rtl/>
        </w:rPr>
        <w:t>حسم طبيعة المنهج المستخدم وإزالة أي تعارض مع المنهج المختلط، واستكمال التبرير العلمي لحجم العينة، وتوضيح آلية تطبيق العينة الطبقية العشوائية، واستكمال وتدقيق المعالجات الإحصائية، وتوحيد التعريف الإجرائي للسلوك الأخلاقي، بالإضافة إلى إجراء مراجعة لغوية ومنهجية شاملة للفصل</w:t>
      </w:r>
      <w:r>
        <w:t>.</w:t>
      </w:r>
    </w:p>
    <w:p w:rsidR="006450A1" w:rsidRDefault="006450A1" w:rsidP="006450A1">
      <w:pPr>
        <w:pStyle w:val="NormalWeb"/>
        <w:bidi/>
      </w:pPr>
      <w:r>
        <w:rPr>
          <w:rtl/>
        </w:rPr>
        <w:t xml:space="preserve">وبناءً على ذلك، يمكن تقدير مستوى تنفيذ الملاحظات السابقة بأنه </w:t>
      </w:r>
      <w:r>
        <w:rPr>
          <w:rStyle w:val="Strong"/>
          <w:rtl/>
        </w:rPr>
        <w:t>تنفيذ جزئي جيد</w:t>
      </w:r>
      <w:r>
        <w:rPr>
          <w:rtl/>
        </w:rPr>
        <w:t xml:space="preserve">، حيث تم تنفيذ عدد كبير من الملاحظات بصورة مقبولة، إلا أن الفصل </w:t>
      </w:r>
      <w:r>
        <w:rPr>
          <w:rStyle w:val="Strong"/>
          <w:rtl/>
        </w:rPr>
        <w:t>لا يزال بحاجة إلى استكمال بعض التعديلات المنهجية واللغوية الجوهرية قبل اعتماده بصورة نهائية</w:t>
      </w:r>
      <w:r>
        <w:t>.</w:t>
      </w:r>
    </w:p>
    <w:p w:rsidR="00F05980" w:rsidRPr="006450A1" w:rsidRDefault="009D0A49" w:rsidP="006450A1">
      <w:pPr>
        <w:bidi/>
      </w:pPr>
      <w:bookmarkStart w:id="0" w:name="_GoBack"/>
      <w:bookmarkEnd w:id="0"/>
    </w:p>
    <w:sectPr w:rsidR="00F05980" w:rsidRPr="006450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7F"/>
    <w:rsid w:val="006450A1"/>
    <w:rsid w:val="009A457F"/>
    <w:rsid w:val="009D0A49"/>
    <w:rsid w:val="00A75348"/>
    <w:rsid w:val="00AB36A0"/>
    <w:rsid w:val="00AE6205"/>
    <w:rsid w:val="00C24458"/>
    <w:rsid w:val="00D9148C"/>
    <w:rsid w:val="00E317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4C62"/>
  <w15:chartTrackingRefBased/>
  <w15:docId w15:val="{FC88A425-6067-451F-93C6-BD73C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44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244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450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4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445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244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4458"/>
    <w:rPr>
      <w:b/>
      <w:bCs/>
    </w:rPr>
  </w:style>
  <w:style w:type="character" w:customStyle="1" w:styleId="Heading3Char">
    <w:name w:val="Heading 3 Char"/>
    <w:basedOn w:val="DefaultParagraphFont"/>
    <w:link w:val="Heading3"/>
    <w:uiPriority w:val="9"/>
    <w:semiHidden/>
    <w:rsid w:val="006450A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779699">
      <w:bodyDiv w:val="1"/>
      <w:marLeft w:val="0"/>
      <w:marRight w:val="0"/>
      <w:marTop w:val="0"/>
      <w:marBottom w:val="0"/>
      <w:divBdr>
        <w:top w:val="none" w:sz="0" w:space="0" w:color="auto"/>
        <w:left w:val="none" w:sz="0" w:space="0" w:color="auto"/>
        <w:bottom w:val="none" w:sz="0" w:space="0" w:color="auto"/>
        <w:right w:val="none" w:sz="0" w:space="0" w:color="auto"/>
      </w:divBdr>
      <w:divsChild>
        <w:div w:id="245041157">
          <w:marLeft w:val="0"/>
          <w:marRight w:val="0"/>
          <w:marTop w:val="0"/>
          <w:marBottom w:val="0"/>
          <w:divBdr>
            <w:top w:val="none" w:sz="0" w:space="0" w:color="auto"/>
            <w:left w:val="none" w:sz="0" w:space="0" w:color="auto"/>
            <w:bottom w:val="none" w:sz="0" w:space="0" w:color="auto"/>
            <w:right w:val="none" w:sz="0" w:space="0" w:color="auto"/>
          </w:divBdr>
          <w:divsChild>
            <w:div w:id="1569144743">
              <w:marLeft w:val="0"/>
              <w:marRight w:val="0"/>
              <w:marTop w:val="0"/>
              <w:marBottom w:val="0"/>
              <w:divBdr>
                <w:top w:val="none" w:sz="0" w:space="0" w:color="auto"/>
                <w:left w:val="none" w:sz="0" w:space="0" w:color="auto"/>
                <w:bottom w:val="none" w:sz="0" w:space="0" w:color="auto"/>
                <w:right w:val="none" w:sz="0" w:space="0" w:color="auto"/>
              </w:divBdr>
              <w:divsChild>
                <w:div w:id="1603607079">
                  <w:marLeft w:val="0"/>
                  <w:marRight w:val="0"/>
                  <w:marTop w:val="0"/>
                  <w:marBottom w:val="0"/>
                  <w:divBdr>
                    <w:top w:val="none" w:sz="0" w:space="0" w:color="auto"/>
                    <w:left w:val="none" w:sz="0" w:space="0" w:color="auto"/>
                    <w:bottom w:val="none" w:sz="0" w:space="0" w:color="auto"/>
                    <w:right w:val="none" w:sz="0" w:space="0" w:color="auto"/>
                  </w:divBdr>
                  <w:divsChild>
                    <w:div w:id="1511487809">
                      <w:marLeft w:val="0"/>
                      <w:marRight w:val="0"/>
                      <w:marTop w:val="0"/>
                      <w:marBottom w:val="0"/>
                      <w:divBdr>
                        <w:top w:val="none" w:sz="0" w:space="0" w:color="auto"/>
                        <w:left w:val="none" w:sz="0" w:space="0" w:color="auto"/>
                        <w:bottom w:val="none" w:sz="0" w:space="0" w:color="auto"/>
                        <w:right w:val="none" w:sz="0" w:space="0" w:color="auto"/>
                      </w:divBdr>
                      <w:divsChild>
                        <w:div w:id="167912473">
                          <w:marLeft w:val="0"/>
                          <w:marRight w:val="0"/>
                          <w:marTop w:val="0"/>
                          <w:marBottom w:val="0"/>
                          <w:divBdr>
                            <w:top w:val="none" w:sz="0" w:space="0" w:color="auto"/>
                            <w:left w:val="none" w:sz="0" w:space="0" w:color="auto"/>
                            <w:bottom w:val="none" w:sz="0" w:space="0" w:color="auto"/>
                            <w:right w:val="none" w:sz="0" w:space="0" w:color="auto"/>
                          </w:divBdr>
                          <w:divsChild>
                            <w:div w:id="1374839965">
                              <w:marLeft w:val="0"/>
                              <w:marRight w:val="0"/>
                              <w:marTop w:val="0"/>
                              <w:marBottom w:val="0"/>
                              <w:divBdr>
                                <w:top w:val="none" w:sz="0" w:space="0" w:color="auto"/>
                                <w:left w:val="none" w:sz="0" w:space="0" w:color="auto"/>
                                <w:bottom w:val="none" w:sz="0" w:space="0" w:color="auto"/>
                                <w:right w:val="none" w:sz="0" w:space="0" w:color="auto"/>
                              </w:divBdr>
                              <w:divsChild>
                                <w:div w:id="959607077">
                                  <w:marLeft w:val="0"/>
                                  <w:marRight w:val="0"/>
                                  <w:marTop w:val="0"/>
                                  <w:marBottom w:val="0"/>
                                  <w:divBdr>
                                    <w:top w:val="none" w:sz="0" w:space="0" w:color="auto"/>
                                    <w:left w:val="none" w:sz="0" w:space="0" w:color="auto"/>
                                    <w:bottom w:val="none" w:sz="0" w:space="0" w:color="auto"/>
                                    <w:right w:val="none" w:sz="0" w:space="0" w:color="auto"/>
                                  </w:divBdr>
                                  <w:divsChild>
                                    <w:div w:id="3204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01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866</Words>
  <Characters>4942</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تقرير مراجعة الفصل الثالث</vt:lpstr>
      <vt:lpstr>        1: عدم الاتساق بين وصف المنهج المستخدم وإجراءات الدراسة</vt:lpstr>
      <vt:lpstr>        2: عدم الاتساق بين مجتمع الدراسة والعينة المستهدفة</vt:lpstr>
      <vt:lpstr>        3: تبرير حجم العينة</vt:lpstr>
      <vt:lpstr>        4: الاتساق بين أسلوب اختيار العينة وآلية توزيع الاستبانة</vt:lpstr>
      <vt:lpstr>        5: وصف أداة الدراسة</vt:lpstr>
      <vt:lpstr>        6: إجراءات الصدق والثبات</vt:lpstr>
      <vt:lpstr>        7: إجراءات التحقق من صلاحية أداة الدراسة</vt:lpstr>
      <vt:lpstr>        8: توحيد تسمية أبعاد المتغير المستقل</vt:lpstr>
      <vt:lpstr>        9: المعالجات الإحصائية المقترحة</vt:lpstr>
      <vt:lpstr>        10: الجوانب الأخلاقية للدراسة</vt:lpstr>
      <vt:lpstr>        11: التعريفات الإجرائية للمتغيرات</vt:lpstr>
      <vt:lpstr>        12: المراجعة اللغوية والأسلوبية</vt:lpstr>
      <vt:lpstr>التقييم العام</vt:lpstr>
    </vt:vector>
  </TitlesOfParts>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2026-08-16T10:07:00Z</dcterms:created>
  <dcterms:modified xsi:type="dcterms:W3CDTF">2026-08-16T10:12:00Z</dcterms:modified>
</cp:coreProperties>
</file>