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68F10AF1" w:rsidR="009125CE" w:rsidRPr="000A29F6" w:rsidRDefault="00841627" w:rsidP="00974154">
      <w:pPr>
        <w:bidi/>
        <w:jc w:val="left"/>
        <w:rPr>
          <w:rFonts w:ascii="Simplified Arabic" w:hAnsi="Simplified Arabic" w:cs="Simplified Arabic"/>
          <w:b/>
          <w:bCs/>
          <w:sz w:val="24"/>
          <w:szCs w:val="24"/>
          <w:lang w:bidi="ar-EG"/>
        </w:rPr>
      </w:pPr>
      <w:r w:rsidRPr="000A29F6">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143F7088">
            <wp:simplePos x="0" y="0"/>
            <wp:positionH relativeFrom="margin">
              <wp:posOffset>-396240</wp:posOffset>
            </wp:positionH>
            <wp:positionV relativeFrom="margin">
              <wp:posOffset>-460375</wp:posOffset>
            </wp:positionV>
            <wp:extent cx="1866900" cy="1732280"/>
            <wp:effectExtent l="0" t="0" r="0"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6900" cy="17322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125CE" w:rsidRPr="000A29F6">
        <w:rPr>
          <w:rFonts w:ascii="Simplified Arabic" w:hAnsi="Simplified Arabic" w:cs="Simplified Arabic"/>
          <w:b/>
          <w:bCs/>
          <w:sz w:val="24"/>
          <w:szCs w:val="24"/>
          <w:rtl/>
          <w:lang w:bidi="ar-EG"/>
        </w:rPr>
        <w:t>جامعة ميدأ</w:t>
      </w:r>
      <w:bookmarkStart w:id="0" w:name="_GoBack"/>
      <w:bookmarkEnd w:id="0"/>
      <w:r w:rsidR="009125CE" w:rsidRPr="000A29F6">
        <w:rPr>
          <w:rFonts w:ascii="Simplified Arabic" w:hAnsi="Simplified Arabic" w:cs="Simplified Arabic"/>
          <w:b/>
          <w:bCs/>
          <w:sz w:val="24"/>
          <w:szCs w:val="24"/>
          <w:rtl/>
          <w:lang w:bidi="ar-EG"/>
        </w:rPr>
        <w:t xml:space="preserve">وشن </w:t>
      </w:r>
    </w:p>
    <w:p w14:paraId="1E957002" w14:textId="05F37C37" w:rsidR="00F546CE" w:rsidRPr="000A29F6" w:rsidRDefault="009125CE" w:rsidP="00974154">
      <w:pPr>
        <w:bidi/>
        <w:jc w:val="left"/>
        <w:rPr>
          <w:rFonts w:ascii="Simplified Arabic" w:hAnsi="Simplified Arabic" w:cs="Simplified Arabic"/>
          <w:b/>
          <w:bCs/>
          <w:sz w:val="24"/>
          <w:szCs w:val="24"/>
          <w:rtl/>
          <w:lang w:bidi="ar-EG"/>
        </w:rPr>
      </w:pPr>
      <w:r w:rsidRPr="000A29F6">
        <w:rPr>
          <w:rFonts w:ascii="Simplified Arabic" w:hAnsi="Simplified Arabic" w:cs="Simplified Arabic"/>
          <w:b/>
          <w:bCs/>
          <w:sz w:val="24"/>
          <w:szCs w:val="24"/>
          <w:lang w:bidi="ar-EG"/>
        </w:rPr>
        <w:t xml:space="preserve">    </w:t>
      </w:r>
      <w:r w:rsidRPr="000A29F6">
        <w:rPr>
          <w:rFonts w:ascii="Simplified Arabic" w:hAnsi="Simplified Arabic" w:cs="Simplified Arabic"/>
          <w:b/>
          <w:bCs/>
          <w:sz w:val="24"/>
          <w:szCs w:val="24"/>
          <w:rtl/>
          <w:lang w:bidi="ar-EG"/>
        </w:rPr>
        <w:t xml:space="preserve">كلية الإدارة </w:t>
      </w:r>
    </w:p>
    <w:p w14:paraId="0217C513" w14:textId="6C91A209" w:rsidR="009125CE" w:rsidRPr="000A29F6" w:rsidRDefault="009125CE" w:rsidP="00974154">
      <w:pPr>
        <w:bidi/>
        <w:jc w:val="left"/>
        <w:rPr>
          <w:rFonts w:ascii="Simplified Arabic" w:hAnsi="Simplified Arabic" w:cs="Simplified Arabic"/>
          <w:b/>
          <w:bCs/>
          <w:sz w:val="24"/>
          <w:szCs w:val="24"/>
          <w:rtl/>
          <w:lang w:bidi="ar-EG"/>
        </w:rPr>
      </w:pPr>
      <w:r w:rsidRPr="000A29F6">
        <w:rPr>
          <w:rFonts w:ascii="Simplified Arabic" w:hAnsi="Simplified Arabic" w:cs="Simplified Arabic"/>
          <w:b/>
          <w:bCs/>
          <w:sz w:val="24"/>
          <w:szCs w:val="24"/>
          <w:rtl/>
          <w:lang w:bidi="ar-EG"/>
        </w:rPr>
        <w:t>قسم / تخصص</w:t>
      </w:r>
      <w:r w:rsidR="00DF6816">
        <w:rPr>
          <w:rFonts w:ascii="Simplified Arabic" w:hAnsi="Simplified Arabic" w:cs="Simplified Arabic" w:hint="cs"/>
          <w:b/>
          <w:bCs/>
          <w:sz w:val="24"/>
          <w:szCs w:val="24"/>
          <w:rtl/>
          <w:lang w:bidi="ar-EG"/>
        </w:rPr>
        <w:t xml:space="preserve"> ماجستير ادارة المشاريع </w:t>
      </w:r>
    </w:p>
    <w:p w14:paraId="11A91486" w14:textId="77777777" w:rsidR="009125CE" w:rsidRPr="000A29F6" w:rsidRDefault="009125CE" w:rsidP="00974154">
      <w:pPr>
        <w:bidi/>
        <w:jc w:val="left"/>
        <w:rPr>
          <w:rFonts w:ascii="Simplified Arabic" w:hAnsi="Simplified Arabic" w:cs="Simplified Arabic"/>
          <w:b/>
          <w:bCs/>
          <w:sz w:val="24"/>
          <w:szCs w:val="24"/>
          <w:rtl/>
          <w:lang w:bidi="ar-EG"/>
        </w:rPr>
      </w:pPr>
    </w:p>
    <w:p w14:paraId="3A7BF367" w14:textId="1F4FA2B7" w:rsidR="009125CE" w:rsidRPr="00A00916" w:rsidRDefault="00396091" w:rsidP="00A00916">
      <w:pPr>
        <w:pStyle w:val="Heading1"/>
        <w:bidi/>
        <w:jc w:val="left"/>
        <w:rPr>
          <w:rFonts w:ascii="Simplified Arabic" w:hAnsi="Simplified Arabic" w:cs="Simplified Arabic"/>
          <w:color w:val="000000" w:themeColor="text1"/>
          <w:rtl/>
          <w:lang w:bidi="ar-EG"/>
        </w:rPr>
      </w:pPr>
      <w:r>
        <w:rPr>
          <w:rFonts w:ascii="Simplified Arabic" w:hAnsi="Simplified Arabic" w:cs="Simplified Arabic"/>
          <w:color w:val="000000" w:themeColor="text1"/>
          <w:lang w:bidi="ar-EG"/>
        </w:rPr>
        <w:t xml:space="preserve"> </w:t>
      </w:r>
    </w:p>
    <w:p w14:paraId="5F6542BF" w14:textId="6BBD77F7" w:rsidR="009125CE" w:rsidRPr="000A29F6" w:rsidRDefault="0028524B" w:rsidP="0028524B">
      <w:pPr>
        <w:pStyle w:val="Heading1"/>
        <w:bidi/>
        <w:rPr>
          <w:rtl/>
          <w:lang w:bidi="ar-EG"/>
        </w:rPr>
      </w:pPr>
      <w:r>
        <w:rPr>
          <w:rFonts w:hint="cs"/>
          <w:color w:val="000000" w:themeColor="text1"/>
          <w:rtl/>
          <w:lang w:bidi="ar-EG"/>
        </w:rPr>
        <w:t xml:space="preserve"> </w:t>
      </w:r>
    </w:p>
    <w:p w14:paraId="6CB6E2DA" w14:textId="77777777" w:rsidR="008E74CB" w:rsidRPr="008E74CB" w:rsidRDefault="008E74CB" w:rsidP="008E74CB">
      <w:pPr>
        <w:bidi/>
        <w:spacing w:before="0" w:beforeAutospacing="0" w:after="200" w:afterAutospacing="0"/>
        <w:rPr>
          <w:rFonts w:ascii="Simplified Arabic" w:eastAsia="Calibri" w:hAnsi="Simplified Arabic" w:cs="Simplified Arabic"/>
          <w:b/>
          <w:bCs/>
          <w:kern w:val="0"/>
          <w:sz w:val="32"/>
          <w:szCs w:val="32"/>
          <w:rtl/>
          <w14:ligatures w14:val="none"/>
        </w:rPr>
      </w:pPr>
      <w:bookmarkStart w:id="1" w:name="_Hlk195126085"/>
      <w:r w:rsidRPr="008E74CB">
        <w:rPr>
          <w:rFonts w:ascii="Simplified Arabic" w:eastAsia="Calibri" w:hAnsi="Simplified Arabic" w:cs="Simplified Arabic" w:hint="cs"/>
          <w:b/>
          <w:bCs/>
          <w:kern w:val="0"/>
          <w:sz w:val="32"/>
          <w:szCs w:val="32"/>
          <w:rtl/>
          <w14:ligatures w14:val="none"/>
        </w:rPr>
        <w:t>اثر الحلول التامينية على ادارة</w:t>
      </w:r>
      <w:r w:rsidRPr="008E74CB">
        <w:rPr>
          <w:rFonts w:ascii="Simplified Arabic" w:eastAsia="Calibri" w:hAnsi="Simplified Arabic" w:cs="Simplified Arabic"/>
          <w:b/>
          <w:bCs/>
          <w:kern w:val="0"/>
          <w:sz w:val="32"/>
          <w:szCs w:val="32"/>
          <w:rtl/>
          <w14:ligatures w14:val="none"/>
        </w:rPr>
        <w:t xml:space="preserve"> مخاطر تجارة الذهب والمجوهرات</w:t>
      </w:r>
      <w:r w:rsidRPr="008E74CB">
        <w:rPr>
          <w:rFonts w:ascii="Simplified Arabic" w:eastAsia="Calibri" w:hAnsi="Simplified Arabic" w:cs="Simplified Arabic"/>
          <w:b/>
          <w:bCs/>
          <w:kern w:val="0"/>
          <w:sz w:val="32"/>
          <w:szCs w:val="32"/>
          <w:rtl/>
          <w14:ligatures w14:val="none"/>
        </w:rPr>
        <w:br/>
      </w:r>
      <w:r w:rsidRPr="008E74CB">
        <w:rPr>
          <w:rFonts w:ascii="Simplified Arabic" w:eastAsia="Calibri" w:hAnsi="Simplified Arabic" w:cs="Simplified Arabic" w:hint="cs"/>
          <w:b/>
          <w:bCs/>
          <w:kern w:val="0"/>
          <w:sz w:val="32"/>
          <w:szCs w:val="32"/>
          <w:rtl/>
          <w14:ligatures w14:val="none"/>
        </w:rPr>
        <w:t xml:space="preserve"> </w:t>
      </w:r>
      <w:r w:rsidRPr="008E74CB">
        <w:rPr>
          <w:rFonts w:ascii="Simplified Arabic" w:eastAsia="Calibri" w:hAnsi="Simplified Arabic" w:cs="Simplified Arabic"/>
          <w:b/>
          <w:bCs/>
          <w:kern w:val="0"/>
          <w:sz w:val="32"/>
          <w:szCs w:val="32"/>
          <w:rtl/>
          <w14:ligatures w14:val="none"/>
        </w:rPr>
        <w:t xml:space="preserve">دراسة تطبيقية على شركات التامين </w:t>
      </w:r>
      <w:r w:rsidRPr="008E74CB">
        <w:rPr>
          <w:rFonts w:ascii="Simplified Arabic" w:eastAsia="Calibri" w:hAnsi="Simplified Arabic" w:cs="Simplified Arabic" w:hint="cs"/>
          <w:b/>
          <w:bCs/>
          <w:kern w:val="0"/>
          <w:sz w:val="32"/>
          <w:szCs w:val="32"/>
          <w:rtl/>
          <w14:ligatures w14:val="none"/>
        </w:rPr>
        <w:t xml:space="preserve"> </w:t>
      </w:r>
    </w:p>
    <w:bookmarkEnd w:id="1"/>
    <w:p w14:paraId="58D6152F" w14:textId="7CBA0DC7" w:rsidR="009125CE" w:rsidRPr="00383BE4" w:rsidRDefault="009125CE" w:rsidP="00984CD6">
      <w:pPr>
        <w:bidi/>
        <w:rPr>
          <w:rFonts w:ascii="Simplified Arabic" w:hAnsi="Simplified Arabic" w:cs="Simplified Arabic"/>
          <w:b/>
          <w:bCs/>
          <w:sz w:val="28"/>
          <w:szCs w:val="28"/>
          <w:rtl/>
          <w:lang w:bidi="ar-EG"/>
        </w:rPr>
      </w:pPr>
      <w:r w:rsidRPr="00383BE4">
        <w:rPr>
          <w:rFonts w:ascii="Simplified Arabic" w:hAnsi="Simplified Arabic" w:cs="Simplified Arabic"/>
          <w:b/>
          <w:bCs/>
          <w:sz w:val="28"/>
          <w:szCs w:val="28"/>
          <w:rtl/>
          <w:lang w:bidi="ar-EG"/>
        </w:rPr>
        <w:t>إعداد الطالب/</w:t>
      </w:r>
      <w:r w:rsidR="000310D1" w:rsidRPr="00383BE4">
        <w:rPr>
          <w:rFonts w:ascii="Simplified Arabic" w:hAnsi="Simplified Arabic" w:cs="Simplified Arabic" w:hint="cs"/>
          <w:b/>
          <w:bCs/>
          <w:sz w:val="28"/>
          <w:szCs w:val="28"/>
          <w:rtl/>
          <w:lang w:bidi="ar-EG"/>
        </w:rPr>
        <w:t xml:space="preserve"> نوره حمد الجاسر</w:t>
      </w:r>
    </w:p>
    <w:p w14:paraId="5F4EE2DE" w14:textId="08AF934B" w:rsidR="009125CE" w:rsidRPr="00383BE4" w:rsidRDefault="009125CE" w:rsidP="00984CD6">
      <w:pPr>
        <w:bidi/>
        <w:rPr>
          <w:rFonts w:ascii="Simplified Arabic" w:hAnsi="Simplified Arabic" w:cs="Simplified Arabic"/>
          <w:b/>
          <w:bCs/>
          <w:sz w:val="28"/>
          <w:szCs w:val="28"/>
          <w:rtl/>
          <w:lang w:bidi="ar-EG"/>
        </w:rPr>
      </w:pPr>
      <w:r w:rsidRPr="00383BE4">
        <w:rPr>
          <w:rFonts w:ascii="Simplified Arabic" w:hAnsi="Simplified Arabic" w:cs="Simplified Arabic"/>
          <w:b/>
          <w:bCs/>
          <w:sz w:val="28"/>
          <w:szCs w:val="28"/>
          <w:rtl/>
          <w:lang w:bidi="ar-EG"/>
        </w:rPr>
        <w:t>إشراف</w:t>
      </w:r>
    </w:p>
    <w:p w14:paraId="22738CC6" w14:textId="07577C90" w:rsidR="009125CE" w:rsidRPr="00383BE4" w:rsidRDefault="00D04F62" w:rsidP="00984CD6">
      <w:pPr>
        <w:bidi/>
        <w:rPr>
          <w:rFonts w:ascii="Simplified Arabic" w:hAnsi="Simplified Arabic" w:cs="Simplified Arabic"/>
          <w:b/>
          <w:bCs/>
          <w:sz w:val="28"/>
          <w:szCs w:val="28"/>
          <w:rtl/>
          <w:lang w:bidi="ar-EG"/>
        </w:rPr>
      </w:pPr>
      <w:r w:rsidRPr="00383BE4">
        <w:rPr>
          <w:rFonts w:ascii="Simplified Arabic" w:hAnsi="Simplified Arabic" w:cs="Simplified Arabic"/>
          <w:b/>
          <w:bCs/>
          <w:sz w:val="28"/>
          <w:szCs w:val="28"/>
          <w:rtl/>
          <w:lang w:bidi="ar-EG"/>
        </w:rPr>
        <w:t>د.الفيصل عبد الحميد</w:t>
      </w:r>
      <w:r w:rsidRPr="00383BE4">
        <w:rPr>
          <w:rFonts w:ascii="Simplified Arabic" w:hAnsi="Simplified Arabic" w:cs="Simplified Arabic"/>
          <w:b/>
          <w:bCs/>
          <w:sz w:val="28"/>
          <w:szCs w:val="28"/>
          <w:rtl/>
          <w:lang w:bidi="ar-EG"/>
        </w:rPr>
        <w:br/>
        <w:t>د.فايز جراد</w:t>
      </w:r>
    </w:p>
    <w:p w14:paraId="14480418" w14:textId="1F69611B" w:rsidR="009125CE" w:rsidRPr="00383BE4" w:rsidRDefault="009125CE" w:rsidP="00984CD6">
      <w:pPr>
        <w:bidi/>
        <w:rPr>
          <w:rFonts w:ascii="Simplified Arabic" w:hAnsi="Simplified Arabic" w:cs="Simplified Arabic"/>
          <w:b/>
          <w:bCs/>
          <w:sz w:val="28"/>
          <w:szCs w:val="28"/>
          <w:rtl/>
          <w:lang w:bidi="ar-EG"/>
        </w:rPr>
      </w:pPr>
      <w:r w:rsidRPr="00383BE4">
        <w:rPr>
          <w:rFonts w:ascii="Simplified Arabic" w:hAnsi="Simplified Arabic" w:cs="Simplified Arabic"/>
          <w:b/>
          <w:bCs/>
          <w:sz w:val="28"/>
          <w:szCs w:val="28"/>
          <w:rtl/>
          <w:lang w:bidi="ar-EG"/>
        </w:rPr>
        <w:t>العام الدراسي</w:t>
      </w:r>
    </w:p>
    <w:p w14:paraId="0CD26914" w14:textId="24C918F6" w:rsidR="008843E0" w:rsidRPr="00383BE4" w:rsidRDefault="009125CE" w:rsidP="00984CD6">
      <w:pPr>
        <w:bidi/>
        <w:rPr>
          <w:rFonts w:ascii="Simplified Arabic" w:hAnsi="Simplified Arabic" w:cs="Simplified Arabic"/>
          <w:b/>
          <w:bCs/>
          <w:sz w:val="28"/>
          <w:szCs w:val="28"/>
          <w:rtl/>
          <w:lang w:bidi="ar-EG"/>
        </w:rPr>
      </w:pPr>
      <w:r w:rsidRPr="00383BE4">
        <w:rPr>
          <w:rFonts w:ascii="Simplified Arabic" w:hAnsi="Simplified Arabic" w:cs="Simplified Arabic"/>
          <w:b/>
          <w:bCs/>
          <w:sz w:val="28"/>
          <w:szCs w:val="28"/>
          <w:rtl/>
          <w:lang w:bidi="ar-EG"/>
        </w:rPr>
        <w:t>202</w:t>
      </w:r>
      <w:r w:rsidR="00383BE4" w:rsidRPr="00383BE4">
        <w:rPr>
          <w:rFonts w:ascii="Simplified Arabic" w:hAnsi="Simplified Arabic" w:cs="Simplified Arabic" w:hint="cs"/>
          <w:b/>
          <w:bCs/>
          <w:sz w:val="28"/>
          <w:szCs w:val="28"/>
          <w:rtl/>
          <w:lang w:bidi="ar-EG"/>
        </w:rPr>
        <w:t>5</w:t>
      </w:r>
    </w:p>
    <w:p w14:paraId="425241BB" w14:textId="77777777" w:rsidR="00953079" w:rsidRPr="000A29F6" w:rsidRDefault="00953079" w:rsidP="00974154">
      <w:pPr>
        <w:bidi/>
        <w:jc w:val="left"/>
        <w:rPr>
          <w:rFonts w:ascii="Simplified Arabic" w:hAnsi="Simplified Arabic" w:cs="Simplified Arabic"/>
          <w:b/>
          <w:bCs/>
          <w:sz w:val="24"/>
          <w:szCs w:val="24"/>
          <w:rtl/>
          <w:lang w:bidi="ar-EG"/>
        </w:rPr>
      </w:pPr>
    </w:p>
    <w:p w14:paraId="68B07D38" w14:textId="77777777" w:rsidR="00953079" w:rsidRPr="000A29F6" w:rsidRDefault="00953079" w:rsidP="00974154">
      <w:pPr>
        <w:bidi/>
        <w:jc w:val="left"/>
        <w:rPr>
          <w:rFonts w:ascii="Simplified Arabic" w:hAnsi="Simplified Arabic" w:cs="Simplified Arabic"/>
          <w:b/>
          <w:bCs/>
          <w:sz w:val="24"/>
          <w:szCs w:val="24"/>
          <w:rtl/>
          <w:lang w:bidi="ar-EG"/>
        </w:rPr>
      </w:pPr>
    </w:p>
    <w:p w14:paraId="55C0C8D3" w14:textId="77777777" w:rsidR="00953079" w:rsidRDefault="00953079" w:rsidP="00974154">
      <w:pPr>
        <w:bidi/>
        <w:jc w:val="left"/>
        <w:rPr>
          <w:rFonts w:ascii="Simplified Arabic" w:hAnsi="Simplified Arabic" w:cs="Simplified Arabic"/>
          <w:b/>
          <w:bCs/>
          <w:sz w:val="24"/>
          <w:szCs w:val="24"/>
          <w:rtl/>
          <w:lang w:bidi="ar-EG"/>
        </w:rPr>
      </w:pPr>
    </w:p>
    <w:p w14:paraId="466C8602" w14:textId="77777777" w:rsidR="00E474C0" w:rsidRDefault="00E474C0" w:rsidP="00974154">
      <w:pPr>
        <w:bidi/>
        <w:jc w:val="left"/>
        <w:rPr>
          <w:rFonts w:ascii="Simplified Arabic" w:hAnsi="Simplified Arabic" w:cs="Simplified Arabic"/>
          <w:b/>
          <w:bCs/>
          <w:sz w:val="24"/>
          <w:szCs w:val="24"/>
          <w:rtl/>
          <w:lang w:bidi="ar-EG"/>
        </w:rPr>
      </w:pPr>
    </w:p>
    <w:p w14:paraId="4C5DD6F6" w14:textId="77777777" w:rsidR="00E474C0" w:rsidRPr="000A29F6" w:rsidRDefault="00E474C0" w:rsidP="00974154">
      <w:pPr>
        <w:bidi/>
        <w:jc w:val="left"/>
        <w:rPr>
          <w:rFonts w:ascii="Simplified Arabic" w:hAnsi="Simplified Arabic" w:cs="Simplified Arabic"/>
          <w:b/>
          <w:bCs/>
          <w:sz w:val="24"/>
          <w:szCs w:val="24"/>
          <w:rtl/>
          <w:lang w:bidi="ar-EG"/>
        </w:rPr>
      </w:pPr>
    </w:p>
    <w:p w14:paraId="66ECF77E" w14:textId="36AE65FD" w:rsidR="00885281" w:rsidRPr="0028524B" w:rsidRDefault="00EC5629" w:rsidP="00C14D21">
      <w:pPr>
        <w:bidi/>
        <w:jc w:val="both"/>
        <w:outlineLvl w:val="2"/>
        <w:rPr>
          <w:rFonts w:ascii="Simplified Arabic" w:eastAsia="Times New Roman" w:hAnsi="Simplified Arabic" w:cs="Simplified Arabic"/>
          <w:kern w:val="0"/>
          <w:sz w:val="24"/>
          <w:szCs w:val="24"/>
          <w:rtl/>
          <w14:ligatures w14:val="none"/>
        </w:rPr>
      </w:pPr>
      <w:r>
        <w:rPr>
          <w:rFonts w:ascii="Simplified Arabic" w:eastAsia="Times New Roman" w:hAnsi="Simplified Arabic" w:cs="Simplified Arabic"/>
          <w:kern w:val="0"/>
          <w:sz w:val="24"/>
          <w:szCs w:val="24"/>
          <w14:ligatures w14:val="none"/>
        </w:rPr>
        <w:t xml:space="preserve"> </w:t>
      </w:r>
    </w:p>
    <w:p w14:paraId="2BDF7FD5" w14:textId="77777777" w:rsidR="00885281" w:rsidRPr="00885281" w:rsidRDefault="00885281" w:rsidP="00974154">
      <w:pPr>
        <w:bidi/>
        <w:spacing w:line="276" w:lineRule="auto"/>
        <w:jc w:val="left"/>
        <w:outlineLvl w:val="2"/>
        <w:rPr>
          <w:rFonts w:ascii="Simplified Arabic" w:eastAsia="Times New Roman" w:hAnsi="Simplified Arabic" w:cs="Simplified Arabic"/>
          <w:b/>
          <w:bCs/>
          <w:kern w:val="0"/>
          <w:sz w:val="28"/>
          <w:szCs w:val="28"/>
          <w:rtl/>
          <w14:ligatures w14:val="none"/>
        </w:rPr>
      </w:pPr>
    </w:p>
    <w:p w14:paraId="2B1B2C0D" w14:textId="0F94E0BA" w:rsidR="00BD0160" w:rsidRPr="0028524B" w:rsidRDefault="00EC5629" w:rsidP="00984CD6">
      <w:pPr>
        <w:bidi/>
        <w:spacing w:line="276" w:lineRule="auto"/>
        <w:jc w:val="right"/>
        <w:outlineLvl w:val="2"/>
        <w:rPr>
          <w:rFonts w:ascii="Simplified Arabic" w:eastAsia="Times New Roman" w:hAnsi="Simplified Arabic" w:cs="Simplified Arabic"/>
          <w:kern w:val="0"/>
          <w:sz w:val="24"/>
          <w:szCs w:val="24"/>
          <w:rtl/>
          <w14:ligatures w14:val="none"/>
        </w:rPr>
      </w:pPr>
      <w:r>
        <w:rPr>
          <w:rFonts w:ascii="Simplified Arabic" w:eastAsia="Times New Roman" w:hAnsi="Simplified Arabic" w:cs="Simplified Arabic"/>
          <w:kern w:val="0"/>
          <w:sz w:val="28"/>
          <w:szCs w:val="28"/>
          <w14:ligatures w14:val="none"/>
        </w:rPr>
        <w:t xml:space="preserve"> </w:t>
      </w:r>
    </w:p>
    <w:p w14:paraId="4C75AE7C" w14:textId="77777777" w:rsidR="00BD0160" w:rsidRDefault="00BD0160" w:rsidP="00974154">
      <w:pPr>
        <w:bidi/>
        <w:spacing w:line="240" w:lineRule="auto"/>
        <w:jc w:val="left"/>
        <w:outlineLvl w:val="2"/>
        <w:rPr>
          <w:rFonts w:ascii="Times New Roman" w:eastAsia="Times New Roman" w:hAnsi="Times New Roman" w:cs="Times New Roman"/>
          <w:b/>
          <w:bCs/>
          <w:kern w:val="0"/>
          <w:sz w:val="24"/>
          <w:szCs w:val="24"/>
          <w:rtl/>
          <w14:ligatures w14:val="none"/>
        </w:rPr>
      </w:pPr>
    </w:p>
    <w:p w14:paraId="59B3BAFD" w14:textId="77777777" w:rsidR="00BD0160" w:rsidRDefault="00BD0160" w:rsidP="00974154">
      <w:pPr>
        <w:bidi/>
        <w:spacing w:line="240" w:lineRule="auto"/>
        <w:jc w:val="left"/>
        <w:outlineLvl w:val="2"/>
        <w:rPr>
          <w:rFonts w:ascii="Times New Roman" w:eastAsia="Times New Roman" w:hAnsi="Times New Roman" w:cs="Times New Roman"/>
          <w:b/>
          <w:bCs/>
          <w:kern w:val="0"/>
          <w:sz w:val="24"/>
          <w:szCs w:val="24"/>
          <w:rtl/>
          <w14:ligatures w14:val="none"/>
        </w:rPr>
      </w:pPr>
    </w:p>
    <w:p w14:paraId="5F1963FC" w14:textId="77777777" w:rsidR="00BD0160" w:rsidRDefault="00BD0160" w:rsidP="00974154">
      <w:pPr>
        <w:bidi/>
        <w:spacing w:line="240" w:lineRule="auto"/>
        <w:jc w:val="left"/>
        <w:outlineLvl w:val="2"/>
        <w:rPr>
          <w:rFonts w:ascii="Times New Roman" w:eastAsia="Times New Roman" w:hAnsi="Times New Roman" w:cs="Times New Roman"/>
          <w:b/>
          <w:bCs/>
          <w:kern w:val="0"/>
          <w:sz w:val="24"/>
          <w:szCs w:val="24"/>
          <w:rtl/>
          <w14:ligatures w14:val="none"/>
        </w:rPr>
      </w:pPr>
    </w:p>
    <w:p w14:paraId="54BFF7DA" w14:textId="77777777" w:rsidR="00141372" w:rsidRDefault="00141372" w:rsidP="00141372">
      <w:pPr>
        <w:bidi/>
        <w:spacing w:line="240" w:lineRule="auto"/>
        <w:jc w:val="left"/>
        <w:outlineLvl w:val="2"/>
        <w:rPr>
          <w:rFonts w:ascii="Times New Roman" w:eastAsia="Times New Roman" w:hAnsi="Times New Roman" w:cs="Times New Roman"/>
          <w:b/>
          <w:bCs/>
          <w:kern w:val="0"/>
          <w:sz w:val="24"/>
          <w:szCs w:val="24"/>
          <w:rtl/>
          <w14:ligatures w14:val="none"/>
        </w:rPr>
      </w:pPr>
    </w:p>
    <w:p w14:paraId="63943B63" w14:textId="77777777" w:rsidR="00141372" w:rsidRDefault="00141372" w:rsidP="00141372">
      <w:pPr>
        <w:bidi/>
        <w:spacing w:line="240" w:lineRule="auto"/>
        <w:jc w:val="left"/>
        <w:outlineLvl w:val="2"/>
        <w:rPr>
          <w:rFonts w:ascii="Times New Roman" w:eastAsia="Times New Roman" w:hAnsi="Times New Roman" w:cs="Times New Roman"/>
          <w:b/>
          <w:bCs/>
          <w:kern w:val="0"/>
          <w:sz w:val="24"/>
          <w:szCs w:val="24"/>
          <w:rtl/>
          <w14:ligatures w14:val="none"/>
        </w:rPr>
      </w:pPr>
    </w:p>
    <w:p w14:paraId="48B732F6" w14:textId="77777777" w:rsidR="00141372" w:rsidRDefault="00141372" w:rsidP="00141372">
      <w:pPr>
        <w:bidi/>
        <w:spacing w:line="240" w:lineRule="auto"/>
        <w:jc w:val="left"/>
        <w:outlineLvl w:val="2"/>
        <w:rPr>
          <w:rFonts w:ascii="Times New Roman" w:eastAsia="Times New Roman" w:hAnsi="Times New Roman" w:cs="Times New Roman"/>
          <w:b/>
          <w:bCs/>
          <w:kern w:val="0"/>
          <w:sz w:val="24"/>
          <w:szCs w:val="24"/>
          <w:rtl/>
          <w14:ligatures w14:val="none"/>
        </w:rPr>
      </w:pPr>
    </w:p>
    <w:p w14:paraId="372AD3B8" w14:textId="77777777" w:rsidR="00141372" w:rsidRDefault="00141372" w:rsidP="00141372">
      <w:pPr>
        <w:bidi/>
        <w:spacing w:line="240" w:lineRule="auto"/>
        <w:jc w:val="left"/>
        <w:outlineLvl w:val="2"/>
        <w:rPr>
          <w:rFonts w:ascii="Times New Roman" w:eastAsia="Times New Roman" w:hAnsi="Times New Roman" w:cs="Times New Roman"/>
          <w:b/>
          <w:bCs/>
          <w:kern w:val="0"/>
          <w:sz w:val="24"/>
          <w:szCs w:val="24"/>
          <w:rtl/>
          <w14:ligatures w14:val="none"/>
        </w:rPr>
      </w:pPr>
    </w:p>
    <w:p w14:paraId="01091735" w14:textId="77777777" w:rsidR="00141372" w:rsidRDefault="00141372" w:rsidP="00141372">
      <w:pPr>
        <w:bidi/>
        <w:spacing w:line="240" w:lineRule="auto"/>
        <w:jc w:val="left"/>
        <w:outlineLvl w:val="2"/>
        <w:rPr>
          <w:rFonts w:ascii="Times New Roman" w:eastAsia="Times New Roman" w:hAnsi="Times New Roman" w:cs="Times New Roman"/>
          <w:b/>
          <w:bCs/>
          <w:kern w:val="0"/>
          <w:sz w:val="24"/>
          <w:szCs w:val="24"/>
          <w:rtl/>
          <w14:ligatures w14:val="none"/>
        </w:rPr>
      </w:pPr>
    </w:p>
    <w:p w14:paraId="0C3A6F96" w14:textId="15D2F425" w:rsidR="0009286A" w:rsidRPr="00EC5629" w:rsidRDefault="009A629A" w:rsidP="00EC5629">
      <w:pPr>
        <w:pStyle w:val="TOCHeading"/>
        <w:bidi/>
        <w:rPr>
          <w:rtl/>
        </w:rPr>
        <w:sectPr w:rsidR="0009286A" w:rsidRPr="00EC5629" w:rsidSect="007D36AA">
          <w:footerReference w:type="default" r:id="rId10"/>
          <w:pgSz w:w="11910" w:h="16840"/>
          <w:pgMar w:top="1560" w:right="1275" w:bottom="280" w:left="1134" w:header="720" w:footer="720" w:gutter="0"/>
          <w:cols w:space="720"/>
        </w:sectPr>
      </w:pPr>
      <w:bookmarkStart w:id="2" w:name="_Toc195963617"/>
      <w:r w:rsidRPr="00A00916">
        <w:rPr>
          <w:rFonts w:ascii="Simplified Arabic" w:hAnsi="Simplified Arabic" w:cs="Simplified Arabic"/>
          <w:color w:val="000000" w:themeColor="text1"/>
          <w:rtl/>
          <w:lang w:bidi="ar-EG"/>
        </w:rPr>
        <w:t>الفصل الاول</w:t>
      </w:r>
      <w:bookmarkEnd w:id="2"/>
    </w:p>
    <w:p w14:paraId="571BBFB8" w14:textId="7A8CAFE9" w:rsidR="00365504" w:rsidRPr="00365504" w:rsidRDefault="00365504" w:rsidP="0038742F">
      <w:pPr>
        <w:pStyle w:val="Heading3"/>
        <w:bidi/>
        <w:jc w:val="both"/>
        <w:rPr>
          <w:rFonts w:ascii="Simplified Arabic" w:eastAsia="Times New Roman" w:hAnsi="Simplified Arabic" w:cs="Simplified Arabic"/>
          <w:color w:val="auto"/>
          <w:kern w:val="0"/>
          <w:sz w:val="24"/>
          <w:szCs w:val="24"/>
          <w14:ligatures w14:val="none"/>
        </w:rPr>
      </w:pPr>
      <w:bookmarkStart w:id="3" w:name="_Toc194505485"/>
      <w:bookmarkStart w:id="4" w:name="_Toc194513041"/>
      <w:bookmarkStart w:id="5" w:name="_Toc195963618"/>
      <w:r w:rsidRPr="00A00916">
        <w:rPr>
          <w:rStyle w:val="Heading2Char"/>
          <w:rFonts w:hint="cs"/>
          <w:b/>
          <w:bCs/>
          <w:color w:val="000000" w:themeColor="text1"/>
          <w:sz w:val="28"/>
          <w:szCs w:val="28"/>
          <w:rtl/>
        </w:rPr>
        <w:lastRenderedPageBreak/>
        <w:t>مقدمة :</w:t>
      </w:r>
      <w:r w:rsidRPr="00A00916">
        <w:rPr>
          <w:rFonts w:ascii="Simplified Arabic" w:eastAsiaTheme="minorHAnsi" w:hAnsi="Simplified Arabic" w:cs="Simplified Arabic" w:hint="cs"/>
          <w:b w:val="0"/>
          <w:bCs w:val="0"/>
          <w:color w:val="000000" w:themeColor="text1"/>
          <w:sz w:val="24"/>
          <w:szCs w:val="24"/>
          <w:rtl/>
        </w:rPr>
        <w:t xml:space="preserve"> </w:t>
      </w:r>
      <w:r w:rsidRPr="00365504">
        <w:rPr>
          <w:rFonts w:ascii="Simplified Arabic" w:eastAsiaTheme="minorHAnsi" w:hAnsi="Simplified Arabic" w:cs="Simplified Arabic"/>
          <w:b w:val="0"/>
          <w:bCs w:val="0"/>
          <w:color w:val="auto"/>
          <w:sz w:val="24"/>
          <w:szCs w:val="24"/>
          <w:rtl/>
        </w:rPr>
        <w:t>تعد المخاطر التي تواجه تجارة الذهب والمجوهرات تمثل مستويات عالية من التهديدات نظرا لان  تجارة الذهب والمجوهرات تعتبر من الاستثمارات ذات العائد العالي  الا انها  تحمل أيضًا مخاطر كبيرة تتطلب حلولًا تأمينية فعالة و مصممة خصيصًا للتعامل مع طبيعة هذه المخاطر كما نجد ان  تجار الذهب والمجوهرات تواجههم  تحديات ومخاطر متعددة، بدءًا من التقلبات الكبيرة في أسعار الذهب عالميًا وصولًا إلى مخاطر السرقة، الاحتيال، التلف، والنقل مما ينعكس ذلك  بشكل كبير على التجار وما يجب ان تكون علية الصورة المطلوبة نحو  إدارة هذه التجارة من تخطيط و دراسة دقيقة لإجراءات الحماية والتى يعتبر التأمين إحدى الأدوات الرئيسية التي تساعد في تقليل الخسائر الناتجة عن هذه  المخاطر  تجارة الذهب والمجوهرات ولتى تظهر في صور متعددة منها التقلبات في أسعار السوق حيث ترتبط</w:t>
      </w:r>
      <w:r w:rsidRPr="00365504">
        <w:rPr>
          <w:rFonts w:ascii="Simplified Arabic" w:eastAsiaTheme="minorHAnsi" w:hAnsi="Simplified Arabic" w:cs="Simplified Arabic"/>
          <w:b w:val="0"/>
          <w:bCs w:val="0"/>
          <w:color w:val="auto"/>
          <w:sz w:val="24"/>
          <w:szCs w:val="24"/>
        </w:rPr>
        <w:t xml:space="preserve"> </w:t>
      </w:r>
      <w:r w:rsidRPr="00365504">
        <w:rPr>
          <w:rFonts w:ascii="Simplified Arabic" w:eastAsiaTheme="minorHAnsi" w:hAnsi="Simplified Arabic" w:cs="Simplified Arabic"/>
          <w:b w:val="0"/>
          <w:bCs w:val="0"/>
          <w:color w:val="auto"/>
          <w:sz w:val="24"/>
          <w:szCs w:val="24"/>
          <w:rtl/>
        </w:rPr>
        <w:t>أسعار الذهب بمجموعة من العوامل منها  اقتصادية وسياسية عالمية والتى تنعكس بالأثر على  تقلبات حادة قد تؤثر سلبًا على قيمة المخزون</w:t>
      </w:r>
      <w:r w:rsidRPr="00365504">
        <w:rPr>
          <w:rFonts w:ascii="Simplified Arabic" w:eastAsiaTheme="minorHAnsi" w:hAnsi="Simplified Arabic" w:cs="Simplified Arabic"/>
          <w:b w:val="0"/>
          <w:bCs w:val="0"/>
          <w:color w:val="auto"/>
          <w:sz w:val="24"/>
          <w:szCs w:val="24"/>
        </w:rPr>
        <w:t xml:space="preserve"> </w:t>
      </w:r>
      <w:r w:rsidRPr="00365504">
        <w:rPr>
          <w:rFonts w:ascii="Simplified Arabic" w:eastAsiaTheme="minorHAnsi" w:hAnsi="Simplified Arabic" w:cs="Simplified Arabic"/>
          <w:b w:val="0"/>
          <w:bCs w:val="0"/>
          <w:color w:val="auto"/>
          <w:sz w:val="24"/>
          <w:szCs w:val="24"/>
          <w:rtl/>
        </w:rPr>
        <w:t xml:space="preserve"> بجانب مخاطر السرقة والسطو حيث تعد هذه التجارة من  الأهداف الشائعة للسرقة، خاصة في المتاجر أو خلال عمليات النقل</w:t>
      </w:r>
      <w:r w:rsidRPr="00365504">
        <w:rPr>
          <w:rFonts w:ascii="Simplified Arabic" w:eastAsiaTheme="minorHAnsi" w:hAnsi="Simplified Arabic" w:cs="Simplified Arabic"/>
          <w:b w:val="0"/>
          <w:bCs w:val="0"/>
          <w:color w:val="auto"/>
          <w:sz w:val="24"/>
          <w:szCs w:val="24"/>
        </w:rPr>
        <w:t xml:space="preserve"> </w:t>
      </w:r>
      <w:r w:rsidRPr="00365504">
        <w:rPr>
          <w:rFonts w:ascii="Simplified Arabic" w:eastAsiaTheme="minorHAnsi" w:hAnsi="Simplified Arabic" w:cs="Simplified Arabic"/>
          <w:b w:val="0"/>
          <w:bCs w:val="0"/>
          <w:color w:val="auto"/>
          <w:sz w:val="24"/>
          <w:szCs w:val="24"/>
          <w:rtl/>
        </w:rPr>
        <w:t xml:space="preserve"> كذلك صور الاحتيال المختلفة التى يشمل ذلك بيع مجوهرات مزيفة أو التعامل مع عملاء غير موثوقين، مما يؤثر على سمعة التاجر</w:t>
      </w:r>
      <w:r w:rsidRPr="00365504">
        <w:rPr>
          <w:rFonts w:ascii="Simplified Arabic" w:eastAsiaTheme="minorHAnsi" w:hAnsi="Simplified Arabic" w:cs="Simplified Arabic"/>
          <w:b w:val="0"/>
          <w:bCs w:val="0"/>
          <w:color w:val="auto"/>
          <w:sz w:val="24"/>
          <w:szCs w:val="24"/>
        </w:rPr>
        <w:t xml:space="preserve"> </w:t>
      </w:r>
      <w:r w:rsidRPr="00365504">
        <w:rPr>
          <w:rFonts w:ascii="Simplified Arabic" w:eastAsiaTheme="minorHAnsi" w:hAnsi="Simplified Arabic" w:cs="Simplified Arabic"/>
          <w:b w:val="0"/>
          <w:bCs w:val="0"/>
          <w:color w:val="auto"/>
          <w:sz w:val="24"/>
          <w:szCs w:val="24"/>
          <w:rtl/>
        </w:rPr>
        <w:t xml:space="preserve"> كما نجد ان من ضمن المخاطر بعض المجوهرات تتعرض للتلف نتيجة لسوء التخزين أو الحوادث العرضية، مما قد يؤدي إلى خسائر لا تقتصر على التخزين فقط بل تمتد الى مخاطر تحدث أثناء نقل الذهب أو المجوهرات، قد يتعرض الشحن إلى السرقة أو التلف، خاصة في عمليات التصدير والاستيراد</w:t>
      </w:r>
      <w:r w:rsidRPr="00365504">
        <w:rPr>
          <w:rFonts w:ascii="Simplified Arabic" w:eastAsiaTheme="minorHAnsi" w:hAnsi="Simplified Arabic" w:cs="Simplified Arabic"/>
          <w:b w:val="0"/>
          <w:bCs w:val="0"/>
          <w:color w:val="auto"/>
          <w:sz w:val="24"/>
          <w:szCs w:val="24"/>
        </w:rPr>
        <w:t xml:space="preserve"> </w:t>
      </w:r>
      <w:r w:rsidRPr="00365504">
        <w:rPr>
          <w:rFonts w:ascii="Simplified Arabic" w:eastAsiaTheme="minorHAnsi" w:hAnsi="Simplified Arabic" w:cs="Simplified Arabic"/>
          <w:b w:val="0"/>
          <w:bCs w:val="0"/>
          <w:color w:val="auto"/>
          <w:sz w:val="24"/>
          <w:szCs w:val="24"/>
          <w:rtl/>
        </w:rPr>
        <w:t xml:space="preserve"> الامر الذى يتطلب معه الوقوف حول  الحلول التأمينية اللازمة الى  توفير حماية مالية ضد بعض المخاطر المذكورة. تشمل </w:t>
      </w:r>
      <w:r w:rsidRPr="00365504">
        <w:rPr>
          <w:rFonts w:ascii="Simplified Arabic" w:eastAsiaTheme="minorHAnsi" w:hAnsi="Simplified Arabic" w:cs="Simplified Arabic"/>
          <w:b w:val="0"/>
          <w:bCs w:val="0"/>
          <w:color w:val="auto"/>
          <w:sz w:val="24"/>
          <w:szCs w:val="24"/>
        </w:rPr>
        <w:t xml:space="preserve"> </w:t>
      </w:r>
      <w:r w:rsidRPr="00365504">
        <w:rPr>
          <w:rFonts w:ascii="Simplified Arabic" w:eastAsiaTheme="minorHAnsi" w:hAnsi="Simplified Arabic" w:cs="Simplified Arabic"/>
          <w:b w:val="0"/>
          <w:bCs w:val="0"/>
          <w:color w:val="auto"/>
          <w:sz w:val="24"/>
          <w:szCs w:val="24"/>
          <w:rtl/>
        </w:rPr>
        <w:t>توفير الحماية من الخسائر الناتجة عن السرقات سواء في المتجر أو أثناء عمليات النقل</w:t>
      </w:r>
      <w:r w:rsidRPr="00365504">
        <w:rPr>
          <w:rFonts w:ascii="Simplified Arabic" w:eastAsiaTheme="minorHAnsi" w:hAnsi="Simplified Arabic" w:cs="Simplified Arabic"/>
          <w:b w:val="0"/>
          <w:bCs w:val="0"/>
          <w:color w:val="auto"/>
          <w:sz w:val="24"/>
          <w:szCs w:val="24"/>
        </w:rPr>
        <w:t xml:space="preserve"> </w:t>
      </w:r>
      <w:r w:rsidRPr="00365504">
        <w:rPr>
          <w:rFonts w:ascii="Simplified Arabic" w:eastAsiaTheme="minorHAnsi" w:hAnsi="Simplified Arabic" w:cs="Simplified Arabic"/>
          <w:b w:val="0"/>
          <w:bCs w:val="0"/>
          <w:color w:val="auto"/>
          <w:sz w:val="24"/>
          <w:szCs w:val="24"/>
          <w:rtl/>
        </w:rPr>
        <w:t xml:space="preserve"> وهى احدى صور التامين التأمين ضد السرقة والسطو كذلك هناك  أدوات التحوط المالي لحماية المستثمرين من التقلبات الكبيرة في الاسعار الامر الذى يتوجب التامين ضد هذه التقلبات كذلك الحفاظ ضد اى تلفيات او حسائر نتيجة النقل او غيرها من خلال التأمين ضد التلف حيث </w:t>
      </w:r>
      <w:r w:rsidRPr="00365504">
        <w:rPr>
          <w:rFonts w:ascii="Simplified Arabic" w:eastAsiaTheme="minorHAnsi" w:hAnsi="Simplified Arabic" w:cs="Simplified Arabic"/>
          <w:b w:val="0"/>
          <w:bCs w:val="0"/>
          <w:color w:val="auto"/>
          <w:sz w:val="24"/>
          <w:szCs w:val="24"/>
        </w:rPr>
        <w:t xml:space="preserve"> </w:t>
      </w:r>
      <w:r w:rsidRPr="00365504">
        <w:rPr>
          <w:rFonts w:ascii="Simplified Arabic" w:eastAsiaTheme="minorHAnsi" w:hAnsi="Simplified Arabic" w:cs="Simplified Arabic"/>
          <w:b w:val="0"/>
          <w:bCs w:val="0"/>
          <w:color w:val="auto"/>
          <w:sz w:val="24"/>
          <w:szCs w:val="24"/>
          <w:rtl/>
        </w:rPr>
        <w:t>يساعد على تغطية تكاليف الإصلاح أو الاستبدال في حال تلف المجوهرات</w:t>
      </w:r>
      <w:r w:rsidRPr="00365504">
        <w:rPr>
          <w:rFonts w:ascii="Simplified Arabic" w:eastAsiaTheme="minorHAnsi" w:hAnsi="Simplified Arabic" w:cs="Simplified Arabic"/>
          <w:b w:val="0"/>
          <w:bCs w:val="0"/>
          <w:color w:val="auto"/>
          <w:sz w:val="24"/>
          <w:szCs w:val="24"/>
        </w:rPr>
        <w:t xml:space="preserve"> </w:t>
      </w:r>
      <w:r w:rsidRPr="00365504">
        <w:rPr>
          <w:rFonts w:ascii="Simplified Arabic" w:eastAsiaTheme="minorHAnsi" w:hAnsi="Simplified Arabic" w:cs="Simplified Arabic"/>
          <w:b w:val="0"/>
          <w:bCs w:val="0"/>
          <w:color w:val="auto"/>
          <w:sz w:val="24"/>
          <w:szCs w:val="24"/>
          <w:rtl/>
        </w:rPr>
        <w:t xml:space="preserve"> بالإضافة الى حماية للشحنات من المخاطر التي قد تتعرض لها خلال النقل، مثل السرقة أو التلف</w:t>
      </w:r>
      <w:r w:rsidRPr="00365504">
        <w:rPr>
          <w:rFonts w:ascii="Simplified Arabic" w:eastAsia="Times New Roman" w:hAnsi="Simplified Arabic" w:cs="Simplified Arabic"/>
          <w:kern w:val="0"/>
          <w:sz w:val="24"/>
          <w:szCs w:val="24"/>
          <w14:ligatures w14:val="none"/>
        </w:rPr>
        <w:t>.</w:t>
      </w:r>
      <w:bookmarkEnd w:id="3"/>
      <w:bookmarkEnd w:id="4"/>
      <w:bookmarkEnd w:id="5"/>
    </w:p>
    <w:p w14:paraId="59FB743E" w14:textId="77777777" w:rsidR="00365504" w:rsidRPr="00365504" w:rsidRDefault="00365504" w:rsidP="00974154">
      <w:pPr>
        <w:bidi/>
        <w:jc w:val="left"/>
        <w:rPr>
          <w:rFonts w:ascii="Simplified Arabic" w:hAnsi="Simplified Arabic" w:cs="Simplified Arabic"/>
          <w:b/>
          <w:bCs/>
          <w:sz w:val="24"/>
          <w:szCs w:val="24"/>
          <w:rtl/>
          <w:lang w:bidi="ar-EG"/>
        </w:rPr>
      </w:pPr>
    </w:p>
    <w:p w14:paraId="1EA760DE" w14:textId="77777777" w:rsidR="00365504" w:rsidRDefault="00365504" w:rsidP="00974154">
      <w:pPr>
        <w:bidi/>
        <w:jc w:val="left"/>
        <w:rPr>
          <w:rFonts w:ascii="Simplified Arabic" w:hAnsi="Simplified Arabic" w:cs="Simplified Arabic"/>
          <w:b/>
          <w:bCs/>
          <w:sz w:val="24"/>
          <w:szCs w:val="24"/>
          <w:rtl/>
          <w:lang w:bidi="ar-EG"/>
        </w:rPr>
      </w:pPr>
    </w:p>
    <w:p w14:paraId="3B1B18B5" w14:textId="77777777" w:rsidR="00462F99" w:rsidRDefault="00462F99" w:rsidP="00974154">
      <w:pPr>
        <w:bidi/>
        <w:jc w:val="left"/>
        <w:rPr>
          <w:rFonts w:ascii="Simplified Arabic" w:hAnsi="Simplified Arabic" w:cs="Simplified Arabic"/>
          <w:b/>
          <w:bCs/>
          <w:sz w:val="24"/>
          <w:szCs w:val="24"/>
          <w:rtl/>
          <w:lang w:bidi="ar-EG"/>
        </w:rPr>
      </w:pPr>
    </w:p>
    <w:p w14:paraId="3334C051" w14:textId="77777777" w:rsidR="00DF559F" w:rsidRDefault="009E2714" w:rsidP="00974154">
      <w:pPr>
        <w:bidi/>
        <w:jc w:val="left"/>
        <w:rPr>
          <w:rFonts w:ascii="Simplified Arabic" w:hAnsi="Simplified Arabic" w:cs="Simplified Arabic"/>
          <w:sz w:val="24"/>
          <w:szCs w:val="24"/>
          <w:rtl/>
          <w:lang w:bidi="ar-EG"/>
        </w:rPr>
      </w:pPr>
      <w:bookmarkStart w:id="6" w:name="_Toc195963619"/>
      <w:r w:rsidRPr="00A00916">
        <w:rPr>
          <w:rStyle w:val="Heading2Char"/>
          <w:color w:val="000000" w:themeColor="text1"/>
          <w:sz w:val="28"/>
          <w:szCs w:val="28"/>
          <w:rtl/>
        </w:rPr>
        <w:lastRenderedPageBreak/>
        <w:t>مشكلة الدراسة:</w:t>
      </w:r>
      <w:bookmarkEnd w:id="6"/>
      <w:r w:rsidRPr="00A00916">
        <w:rPr>
          <w:rFonts w:ascii="Simplified Arabic" w:hAnsi="Simplified Arabic" w:cs="Simplified Arabic"/>
          <w:color w:val="000000" w:themeColor="text1"/>
          <w:sz w:val="24"/>
          <w:szCs w:val="24"/>
          <w:rtl/>
          <w:lang w:bidi="ar-EG"/>
        </w:rPr>
        <w:t xml:space="preserve">  </w:t>
      </w:r>
      <w:r w:rsidRPr="009E2714">
        <w:rPr>
          <w:rFonts w:ascii="Simplified Arabic" w:hAnsi="Simplified Arabic" w:cs="Simplified Arabic"/>
          <w:sz w:val="24"/>
          <w:szCs w:val="24"/>
          <w:rtl/>
          <w:lang w:bidi="ar-EG"/>
        </w:rPr>
        <w:t xml:space="preserve">نظرا لما </w:t>
      </w:r>
      <w:r w:rsidRPr="009E2714">
        <w:rPr>
          <w:rFonts w:ascii="Simplified Arabic" w:hAnsi="Simplified Arabic" w:cs="Simplified Arabic"/>
          <w:sz w:val="24"/>
          <w:szCs w:val="24"/>
          <w:rtl/>
        </w:rPr>
        <w:t>تواجه تجارة الذهب والمجوهرات  الى العديد من المخاطر التي تهدد استمرارية ونمو هذا القطاع من  تقلبات الأسعار، مخاطر السرقة والاحتيال، ومخاطر التلف أثناء النقل والتخزين  فإن تعرض هذه السلع لمثل هذه المخاطر يؤدي إلى خسائر كبيرة للتجار والمستثمرين، مما يتطلب تطوير حلول تأمينية فعالة للحد من هذه المخاطر وتقليل الأثر المالي السلبي</w:t>
      </w:r>
      <w:r w:rsidRPr="009E2714">
        <w:rPr>
          <w:rFonts w:ascii="Simplified Arabic" w:hAnsi="Simplified Arabic" w:cs="Simplified Arabic"/>
          <w:sz w:val="24"/>
          <w:szCs w:val="24"/>
        </w:rPr>
        <w:t xml:space="preserve"> </w:t>
      </w:r>
      <w:r w:rsidRPr="009E2714">
        <w:rPr>
          <w:rFonts w:ascii="Simplified Arabic" w:hAnsi="Simplified Arabic" w:cs="Simplified Arabic"/>
          <w:sz w:val="24"/>
          <w:szCs w:val="24"/>
          <w:rtl/>
          <w:lang w:bidi="ar-EG"/>
        </w:rPr>
        <w:t xml:space="preserve"> لذلك تتلخص </w:t>
      </w:r>
      <w:r w:rsidRPr="009E2714">
        <w:rPr>
          <w:rFonts w:ascii="Simplified Arabic" w:hAnsi="Simplified Arabic" w:cs="Simplified Arabic"/>
          <w:b/>
          <w:bCs/>
          <w:sz w:val="24"/>
          <w:szCs w:val="24"/>
          <w:rtl/>
        </w:rPr>
        <w:t>مشكلة الدراسة في السؤال الرئيسي التالي</w:t>
      </w:r>
      <w:r w:rsidRPr="009E2714">
        <w:rPr>
          <w:rFonts w:ascii="Simplified Arabic" w:hAnsi="Simplified Arabic" w:cs="Simplified Arabic"/>
          <w:b/>
          <w:bCs/>
          <w:sz w:val="24"/>
          <w:szCs w:val="24"/>
          <w:lang w:bidi="ar-EG"/>
        </w:rPr>
        <w:t>:</w:t>
      </w:r>
    </w:p>
    <w:p w14:paraId="080378E4" w14:textId="2613BD16" w:rsidR="009E2714" w:rsidRPr="009E2714" w:rsidRDefault="009E2714" w:rsidP="00974154">
      <w:pPr>
        <w:bidi/>
        <w:jc w:val="left"/>
        <w:rPr>
          <w:rFonts w:ascii="Simplified Arabic" w:hAnsi="Simplified Arabic" w:cs="Simplified Arabic"/>
          <w:sz w:val="24"/>
          <w:szCs w:val="24"/>
          <w:rtl/>
          <w:lang w:bidi="ar-EG"/>
        </w:rPr>
      </w:pPr>
      <w:r w:rsidRPr="009E2714">
        <w:rPr>
          <w:rFonts w:ascii="Simplified Arabic" w:hAnsi="Simplified Arabic" w:cs="Simplified Arabic"/>
          <w:b/>
          <w:bCs/>
          <w:sz w:val="24"/>
          <w:szCs w:val="24"/>
          <w:rtl/>
        </w:rPr>
        <w:t>ما هي أبرز المخاطر المرتبطة بتجارة الذهب والمجوهرات؟ وكيف يمكن للحلول التأمينية أن تساهم في تقليل هذه المخاطر وحماية المستثمرين؟</w:t>
      </w:r>
      <w:r w:rsidRPr="009E2714">
        <w:rPr>
          <w:rFonts w:ascii="Simplified Arabic" w:hAnsi="Simplified Arabic" w:cs="Simplified Arabic"/>
          <w:sz w:val="24"/>
          <w:szCs w:val="24"/>
          <w:rtl/>
          <w:lang w:bidi="ar-EG"/>
        </w:rPr>
        <w:t xml:space="preserve"> </w:t>
      </w:r>
    </w:p>
    <w:p w14:paraId="51967F32" w14:textId="77777777" w:rsidR="00FC58E5" w:rsidRPr="00DF559F" w:rsidRDefault="00B4237C" w:rsidP="00974154">
      <w:pPr>
        <w:bidi/>
        <w:jc w:val="left"/>
        <w:rPr>
          <w:rFonts w:ascii="Simplified Arabic" w:hAnsi="Simplified Arabic" w:cs="Simplified Arabic"/>
          <w:b/>
          <w:bCs/>
          <w:sz w:val="28"/>
          <w:szCs w:val="28"/>
          <w:rtl/>
        </w:rPr>
      </w:pPr>
      <w:bookmarkStart w:id="7" w:name="_Toc195963620"/>
      <w:r w:rsidRPr="00A00916">
        <w:rPr>
          <w:rStyle w:val="Heading2Char"/>
          <w:color w:val="000000" w:themeColor="text1"/>
          <w:sz w:val="28"/>
          <w:szCs w:val="28"/>
          <w:rtl/>
        </w:rPr>
        <w:t>أهمية الدراسة :</w:t>
      </w:r>
      <w:bookmarkEnd w:id="7"/>
      <w:r w:rsidRPr="00A00916">
        <w:rPr>
          <w:rFonts w:ascii="Simplified Arabic" w:hAnsi="Simplified Arabic" w:cs="Simplified Arabic"/>
          <w:b/>
          <w:bCs/>
          <w:color w:val="000000" w:themeColor="text1"/>
          <w:sz w:val="28"/>
          <w:szCs w:val="28"/>
          <w:rtl/>
        </w:rPr>
        <w:t xml:space="preserve"> </w:t>
      </w:r>
      <w:r w:rsidRPr="00DF559F">
        <w:rPr>
          <w:rFonts w:ascii="Simplified Arabic" w:hAnsi="Simplified Arabic" w:cs="Simplified Arabic"/>
          <w:b/>
          <w:bCs/>
          <w:sz w:val="28"/>
          <w:szCs w:val="28"/>
          <w:rtl/>
        </w:rPr>
        <w:t xml:space="preserve">تتمثل الاهمية في مجموعة من الاتجاهات منها </w:t>
      </w:r>
    </w:p>
    <w:p w14:paraId="3D0E5496" w14:textId="748F7709" w:rsidR="00FC58E5" w:rsidRPr="00DF559F" w:rsidRDefault="00FC58E5" w:rsidP="008E6ED6">
      <w:pPr>
        <w:pStyle w:val="ListParagraph"/>
        <w:numPr>
          <w:ilvl w:val="0"/>
          <w:numId w:val="2"/>
        </w:numPr>
        <w:bidi/>
        <w:jc w:val="left"/>
        <w:rPr>
          <w:rFonts w:ascii="Simplified Arabic" w:hAnsi="Simplified Arabic" w:cs="Simplified Arabic"/>
          <w:b/>
          <w:bCs/>
          <w:sz w:val="28"/>
          <w:szCs w:val="28"/>
        </w:rPr>
      </w:pPr>
      <w:r w:rsidRPr="00DF559F">
        <w:rPr>
          <w:rFonts w:ascii="Simplified Arabic" w:hAnsi="Simplified Arabic" w:cs="Simplified Arabic"/>
          <w:b/>
          <w:bCs/>
          <w:sz w:val="28"/>
          <w:szCs w:val="28"/>
          <w:rtl/>
        </w:rPr>
        <w:t xml:space="preserve">الأهمية من الناحية  العلمية: </w:t>
      </w:r>
    </w:p>
    <w:p w14:paraId="119E403C" w14:textId="71A57462" w:rsidR="00FC58E5" w:rsidRPr="000A29F6" w:rsidRDefault="007321BC" w:rsidP="008E6ED6">
      <w:pPr>
        <w:pStyle w:val="ListParagraph"/>
        <w:numPr>
          <w:ilvl w:val="0"/>
          <w:numId w:val="3"/>
        </w:numPr>
        <w:bidi/>
        <w:jc w:val="left"/>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FC58E5" w:rsidRPr="000A29F6">
        <w:rPr>
          <w:rFonts w:ascii="Simplified Arabic" w:hAnsi="Simplified Arabic" w:cs="Simplified Arabic"/>
          <w:sz w:val="24"/>
          <w:szCs w:val="24"/>
          <w:rtl/>
        </w:rPr>
        <w:t xml:space="preserve"> الحلول التأمينية المناسبة من اجل  تطوير برامج توعية قائمة على الأدلة، مما يعزز الوعي بالآليات الوقائية التي يمكن اتخاذها لحماية استثماراتهم.</w:t>
      </w:r>
    </w:p>
    <w:p w14:paraId="550554B0" w14:textId="77777777" w:rsidR="00FC58E5" w:rsidRPr="000A29F6" w:rsidRDefault="00FC58E5" w:rsidP="008E6ED6">
      <w:pPr>
        <w:pStyle w:val="ListParagraph"/>
        <w:numPr>
          <w:ilvl w:val="0"/>
          <w:numId w:val="3"/>
        </w:numPr>
        <w:bidi/>
        <w:jc w:val="left"/>
        <w:rPr>
          <w:rFonts w:ascii="Simplified Arabic" w:hAnsi="Simplified Arabic" w:cs="Simplified Arabic"/>
          <w:sz w:val="24"/>
          <w:szCs w:val="24"/>
        </w:rPr>
      </w:pPr>
      <w:r w:rsidRPr="000A29F6">
        <w:rPr>
          <w:rFonts w:ascii="Simplified Arabic" w:hAnsi="Simplified Arabic" w:cs="Simplified Arabic"/>
          <w:sz w:val="24"/>
          <w:szCs w:val="24"/>
          <w:rtl/>
        </w:rPr>
        <w:t>تحقيق معدلات النمو الاستثماري في المجال:  من خلال اليات الربط جوانب التأمين بتحفيز الاستثمارات ذات العائد المرتفع لايجاد توثيق عميقاً لعلاقة التأمين بالثقة الاستثمارية، مما يشجع المزيد من الاستثمارات في هذا القطاع.</w:t>
      </w:r>
    </w:p>
    <w:p w14:paraId="6A6799B3" w14:textId="649914A3" w:rsidR="00FC58E5" w:rsidRPr="000A29F6" w:rsidRDefault="007321BC" w:rsidP="008E6ED6">
      <w:pPr>
        <w:pStyle w:val="ListParagraph"/>
        <w:numPr>
          <w:ilvl w:val="0"/>
          <w:numId w:val="3"/>
        </w:numPr>
        <w:bidi/>
        <w:jc w:val="left"/>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FC58E5" w:rsidRPr="000A29F6">
        <w:rPr>
          <w:rFonts w:ascii="Simplified Arabic" w:hAnsi="Simplified Arabic" w:cs="Simplified Arabic"/>
          <w:sz w:val="24"/>
          <w:szCs w:val="24"/>
          <w:rtl/>
        </w:rPr>
        <w:t xml:space="preserve">  تطوير استراتيجيات تأمينية  يسهم في استقرار الأعمال وزيادة قدرة التجار والمستثمرين على مواجهة الأزمات الاقتصادية </w:t>
      </w:r>
    </w:p>
    <w:p w14:paraId="046EAA8C" w14:textId="6DE734EF" w:rsidR="00FC58E5" w:rsidRPr="000A29F6" w:rsidRDefault="007321BC" w:rsidP="008E6ED6">
      <w:pPr>
        <w:pStyle w:val="ListParagraph"/>
        <w:numPr>
          <w:ilvl w:val="0"/>
          <w:numId w:val="3"/>
        </w:numPr>
        <w:bidi/>
        <w:jc w:val="left"/>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FC58E5" w:rsidRPr="000A29F6">
        <w:rPr>
          <w:rFonts w:ascii="Simplified Arabic" w:hAnsi="Simplified Arabic" w:cs="Simplified Arabic"/>
          <w:sz w:val="24"/>
          <w:szCs w:val="24"/>
          <w:rtl/>
        </w:rPr>
        <w:t xml:space="preserve">  استقرار السوق لتعزيز تأثير القطاع على الاقتصاد بشكل عام.</w:t>
      </w:r>
    </w:p>
    <w:p w14:paraId="3F0C69A7" w14:textId="77777777" w:rsidR="007321BC" w:rsidRDefault="007321BC" w:rsidP="007321BC">
      <w:pPr>
        <w:pStyle w:val="ListParagraph"/>
        <w:numPr>
          <w:ilvl w:val="0"/>
          <w:numId w:val="3"/>
        </w:numPr>
        <w:bidi/>
        <w:jc w:val="left"/>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FC58E5" w:rsidRPr="000A29F6">
        <w:rPr>
          <w:rFonts w:ascii="Simplified Arabic" w:hAnsi="Simplified Arabic" w:cs="Simplified Arabic"/>
          <w:sz w:val="24"/>
          <w:szCs w:val="24"/>
          <w:rtl/>
        </w:rPr>
        <w:t xml:space="preserve">  للوصول الى  بناء بيئة تجارية آمنة وموثوقة، مما يعزز سمعة المتاجر ويزيد من ثقة العملاء في المنتجات.</w:t>
      </w:r>
    </w:p>
    <w:p w14:paraId="4EF9839E" w14:textId="5A3E00DC" w:rsidR="00BD53FD" w:rsidRPr="007321BC" w:rsidRDefault="00FC58E5" w:rsidP="007321BC">
      <w:pPr>
        <w:bidi/>
        <w:ind w:left="1080"/>
        <w:jc w:val="left"/>
        <w:rPr>
          <w:rFonts w:ascii="Simplified Arabic" w:hAnsi="Simplified Arabic" w:cs="Simplified Arabic"/>
          <w:sz w:val="24"/>
          <w:szCs w:val="24"/>
        </w:rPr>
      </w:pPr>
      <w:r w:rsidRPr="007321BC">
        <w:rPr>
          <w:rFonts w:ascii="Simplified Arabic" w:hAnsi="Simplified Arabic" w:cs="Simplified Arabic"/>
          <w:b/>
          <w:bCs/>
          <w:sz w:val="28"/>
          <w:szCs w:val="28"/>
          <w:rtl/>
        </w:rPr>
        <w:t>الأهمية من الناحية العملية:</w:t>
      </w:r>
    </w:p>
    <w:p w14:paraId="07BFFAC7" w14:textId="77777777" w:rsidR="00BD53FD" w:rsidRPr="000A29F6" w:rsidRDefault="00FC58E5" w:rsidP="008E6ED6">
      <w:pPr>
        <w:pStyle w:val="ListParagraph"/>
        <w:numPr>
          <w:ilvl w:val="0"/>
          <w:numId w:val="3"/>
        </w:numPr>
        <w:bidi/>
        <w:jc w:val="left"/>
        <w:rPr>
          <w:rFonts w:ascii="Simplified Arabic" w:hAnsi="Simplified Arabic" w:cs="Simplified Arabic"/>
          <w:b/>
          <w:bCs/>
          <w:sz w:val="24"/>
          <w:szCs w:val="24"/>
        </w:rPr>
      </w:pPr>
      <w:r w:rsidRPr="000A29F6">
        <w:rPr>
          <w:rFonts w:ascii="Simplified Arabic" w:hAnsi="Simplified Arabic" w:cs="Simplified Arabic"/>
          <w:sz w:val="24"/>
          <w:szCs w:val="24"/>
          <w:rtl/>
        </w:rPr>
        <w:t>زيادة الوعي بالتأمين بين التجار والمستثمرين</w:t>
      </w:r>
      <w:r w:rsidR="00BD53FD" w:rsidRPr="000A29F6">
        <w:rPr>
          <w:rFonts w:ascii="Simplified Arabic" w:hAnsi="Simplified Arabic" w:cs="Simplified Arabic"/>
          <w:sz w:val="24"/>
          <w:szCs w:val="24"/>
          <w:rtl/>
        </w:rPr>
        <w:t xml:space="preserve"> من خلال التوعية </w:t>
      </w:r>
      <w:r w:rsidRPr="000A29F6">
        <w:rPr>
          <w:rFonts w:ascii="Simplified Arabic" w:hAnsi="Simplified Arabic" w:cs="Simplified Arabic"/>
          <w:sz w:val="24"/>
          <w:szCs w:val="24"/>
          <w:rtl/>
        </w:rPr>
        <w:t xml:space="preserve"> حول المخاطر المحتملة وحلول التأمين المناسبة</w:t>
      </w:r>
      <w:r w:rsidR="00BD53FD" w:rsidRPr="000A29F6">
        <w:rPr>
          <w:rFonts w:ascii="Simplified Arabic" w:hAnsi="Simplified Arabic" w:cs="Simplified Arabic"/>
          <w:sz w:val="24"/>
          <w:szCs w:val="24"/>
          <w:rtl/>
        </w:rPr>
        <w:t xml:space="preserve"> </w:t>
      </w:r>
    </w:p>
    <w:p w14:paraId="137AE329" w14:textId="77777777" w:rsidR="00BD53FD" w:rsidRPr="000A29F6" w:rsidRDefault="00FC58E5" w:rsidP="008E6ED6">
      <w:pPr>
        <w:pStyle w:val="ListParagraph"/>
        <w:numPr>
          <w:ilvl w:val="0"/>
          <w:numId w:val="3"/>
        </w:numPr>
        <w:bidi/>
        <w:jc w:val="left"/>
        <w:rPr>
          <w:rFonts w:ascii="Simplified Arabic" w:hAnsi="Simplified Arabic" w:cs="Simplified Arabic"/>
          <w:b/>
          <w:bCs/>
          <w:sz w:val="24"/>
          <w:szCs w:val="24"/>
        </w:rPr>
      </w:pPr>
      <w:r w:rsidRPr="000A29F6">
        <w:rPr>
          <w:rFonts w:ascii="Simplified Arabic" w:hAnsi="Simplified Arabic" w:cs="Simplified Arabic"/>
          <w:sz w:val="24"/>
          <w:szCs w:val="24"/>
          <w:rtl/>
        </w:rPr>
        <w:lastRenderedPageBreak/>
        <w:t>استخدام الحلول التأمينية المناسبة</w:t>
      </w:r>
      <w:r w:rsidR="00BD53FD" w:rsidRPr="000A29F6">
        <w:rPr>
          <w:rFonts w:ascii="Simplified Arabic" w:hAnsi="Simplified Arabic" w:cs="Simplified Arabic"/>
          <w:sz w:val="24"/>
          <w:szCs w:val="24"/>
          <w:rtl/>
        </w:rPr>
        <w:t xml:space="preserve"> نحو تحفيز التجارة وجذب الاستثمارات من اجل </w:t>
      </w:r>
      <w:r w:rsidRPr="000A29F6">
        <w:rPr>
          <w:rFonts w:ascii="Simplified Arabic" w:hAnsi="Simplified Arabic" w:cs="Simplified Arabic"/>
          <w:sz w:val="24"/>
          <w:szCs w:val="24"/>
          <w:rtl/>
        </w:rPr>
        <w:t>تحفيز المستثمرين في قطاع الذهب والمجوهرات</w:t>
      </w:r>
      <w:r w:rsidR="00BD53FD" w:rsidRPr="000A29F6">
        <w:rPr>
          <w:rFonts w:ascii="Simplified Arabic" w:hAnsi="Simplified Arabic" w:cs="Simplified Arabic"/>
          <w:sz w:val="24"/>
          <w:szCs w:val="24"/>
          <w:rtl/>
        </w:rPr>
        <w:t xml:space="preserve"> </w:t>
      </w:r>
    </w:p>
    <w:p w14:paraId="31A3873D" w14:textId="49115C92" w:rsidR="00BD53FD" w:rsidRPr="000A29F6" w:rsidRDefault="00D541E5" w:rsidP="008E6ED6">
      <w:pPr>
        <w:pStyle w:val="ListParagraph"/>
        <w:numPr>
          <w:ilvl w:val="0"/>
          <w:numId w:val="3"/>
        </w:numPr>
        <w:bidi/>
        <w:jc w:val="left"/>
        <w:rPr>
          <w:rFonts w:ascii="Simplified Arabic" w:hAnsi="Simplified Arabic" w:cs="Simplified Arabic"/>
          <w:b/>
          <w:bCs/>
          <w:sz w:val="24"/>
          <w:szCs w:val="24"/>
        </w:rPr>
      </w:pPr>
      <w:r>
        <w:rPr>
          <w:rFonts w:ascii="Simplified Arabic" w:hAnsi="Simplified Arabic" w:cs="Simplified Arabic" w:hint="cs"/>
          <w:sz w:val="24"/>
          <w:szCs w:val="24"/>
          <w:rtl/>
        </w:rPr>
        <w:t xml:space="preserve"> </w:t>
      </w:r>
      <w:r w:rsidR="00FC58E5" w:rsidRPr="000A29F6">
        <w:rPr>
          <w:rFonts w:ascii="Simplified Arabic" w:hAnsi="Simplified Arabic" w:cs="Simplified Arabic"/>
          <w:sz w:val="24"/>
          <w:szCs w:val="24"/>
          <w:rtl/>
        </w:rPr>
        <w:t xml:space="preserve"> تقليل حجم الخسائر</w:t>
      </w:r>
      <w:r w:rsidR="00BD53FD" w:rsidRPr="000A29F6">
        <w:rPr>
          <w:rFonts w:ascii="Simplified Arabic" w:hAnsi="Simplified Arabic" w:cs="Simplified Arabic"/>
          <w:sz w:val="24"/>
          <w:szCs w:val="24"/>
          <w:rtl/>
        </w:rPr>
        <w:t xml:space="preserve"> و تحقيق استقرار الأعمال  من اجل </w:t>
      </w:r>
      <w:r w:rsidR="00FC58E5" w:rsidRPr="000A29F6">
        <w:rPr>
          <w:rFonts w:ascii="Simplified Arabic" w:hAnsi="Simplified Arabic" w:cs="Simplified Arabic"/>
          <w:sz w:val="24"/>
          <w:szCs w:val="24"/>
          <w:rtl/>
        </w:rPr>
        <w:t xml:space="preserve"> العمل على تطوير منتجات تأمينية متخصصة تلبي احتياجات قطاع المجوهرات والذهب يسهم في تقوية قطاع التأمين</w:t>
      </w:r>
      <w:r w:rsidR="00BD53FD" w:rsidRPr="000A29F6">
        <w:rPr>
          <w:rFonts w:ascii="Simplified Arabic" w:hAnsi="Simplified Arabic" w:cs="Simplified Arabic"/>
          <w:sz w:val="24"/>
          <w:szCs w:val="24"/>
          <w:rtl/>
        </w:rPr>
        <w:t xml:space="preserve"> </w:t>
      </w:r>
    </w:p>
    <w:p w14:paraId="6B7C1358" w14:textId="77777777" w:rsidR="00C87A91" w:rsidRPr="00C87A91" w:rsidRDefault="00B4237C" w:rsidP="008E6ED6">
      <w:pPr>
        <w:pStyle w:val="ListParagraph"/>
        <w:numPr>
          <w:ilvl w:val="0"/>
          <w:numId w:val="3"/>
        </w:numPr>
        <w:bidi/>
        <w:jc w:val="left"/>
        <w:rPr>
          <w:rFonts w:ascii="Simplified Arabic" w:hAnsi="Simplified Arabic" w:cs="Simplified Arabic"/>
          <w:b/>
          <w:bCs/>
          <w:sz w:val="24"/>
          <w:szCs w:val="24"/>
        </w:rPr>
      </w:pPr>
      <w:r w:rsidRPr="000A29F6">
        <w:rPr>
          <w:rFonts w:ascii="Simplified Arabic" w:hAnsi="Simplified Arabic" w:cs="Simplified Arabic"/>
          <w:sz w:val="24"/>
          <w:szCs w:val="24"/>
          <w:rtl/>
        </w:rPr>
        <w:t>رفع الوعي  حول المخاطر التي قد يواجهونها، وتوجيههم نحو الحلول التأمينية المناسبة لحمايتهم</w:t>
      </w:r>
      <w:r w:rsidR="00BD53FD" w:rsidRPr="000A29F6">
        <w:rPr>
          <w:rFonts w:ascii="Simplified Arabic" w:hAnsi="Simplified Arabic" w:cs="Simplified Arabic"/>
          <w:sz w:val="24"/>
          <w:szCs w:val="24"/>
          <w:rtl/>
        </w:rPr>
        <w:t xml:space="preserve"> استحداث برامج توعية التجار والمستثمرين  </w:t>
      </w:r>
    </w:p>
    <w:p w14:paraId="00A8B1F7" w14:textId="155E954A" w:rsidR="00B4237C" w:rsidRPr="00C87A91" w:rsidRDefault="00B4237C" w:rsidP="00974154">
      <w:pPr>
        <w:bidi/>
        <w:jc w:val="left"/>
        <w:rPr>
          <w:rFonts w:ascii="Simplified Arabic" w:hAnsi="Simplified Arabic" w:cs="Simplified Arabic"/>
          <w:b/>
          <w:bCs/>
          <w:sz w:val="24"/>
          <w:szCs w:val="24"/>
          <w:rtl/>
        </w:rPr>
      </w:pPr>
      <w:bookmarkStart w:id="8" w:name="_Toc195963621"/>
      <w:r w:rsidRPr="00A00916">
        <w:rPr>
          <w:rStyle w:val="Heading2Char"/>
          <w:color w:val="000000" w:themeColor="text1"/>
          <w:sz w:val="28"/>
          <w:szCs w:val="28"/>
          <w:rtl/>
        </w:rPr>
        <w:t>أهداف الدراسة :</w:t>
      </w:r>
      <w:bookmarkEnd w:id="8"/>
      <w:r w:rsidRPr="00A00916">
        <w:rPr>
          <w:rFonts w:ascii="Simplified Arabic" w:hAnsi="Simplified Arabic" w:cs="Simplified Arabic"/>
          <w:b/>
          <w:bCs/>
          <w:color w:val="000000" w:themeColor="text1"/>
          <w:sz w:val="24"/>
          <w:szCs w:val="24"/>
          <w:rtl/>
        </w:rPr>
        <w:t xml:space="preserve"> </w:t>
      </w:r>
      <w:r w:rsidR="00F65BD3" w:rsidRPr="00A00916">
        <w:rPr>
          <w:rFonts w:ascii="Simplified Arabic" w:hAnsi="Simplified Arabic" w:cs="Simplified Arabic"/>
          <w:color w:val="000000" w:themeColor="text1"/>
          <w:sz w:val="24"/>
          <w:szCs w:val="24"/>
          <w:rtl/>
        </w:rPr>
        <w:t xml:space="preserve"> </w:t>
      </w:r>
      <w:r w:rsidRPr="00A00916">
        <w:rPr>
          <w:rFonts w:ascii="Simplified Arabic" w:hAnsi="Simplified Arabic" w:cs="Simplified Arabic"/>
          <w:color w:val="000000" w:themeColor="text1"/>
          <w:sz w:val="24"/>
          <w:szCs w:val="24"/>
          <w:rtl/>
        </w:rPr>
        <w:t xml:space="preserve"> </w:t>
      </w:r>
      <w:r w:rsidR="00F65BD3" w:rsidRPr="00C87A91">
        <w:rPr>
          <w:rFonts w:ascii="Simplified Arabic" w:hAnsi="Simplified Arabic" w:cs="Simplified Arabic"/>
          <w:sz w:val="24"/>
          <w:szCs w:val="24"/>
          <w:rtl/>
        </w:rPr>
        <w:t xml:space="preserve">يمثل </w:t>
      </w:r>
      <w:r w:rsidRPr="00C87A91">
        <w:rPr>
          <w:rFonts w:ascii="Simplified Arabic" w:hAnsi="Simplified Arabic" w:cs="Simplified Arabic"/>
          <w:sz w:val="24"/>
          <w:szCs w:val="24"/>
          <w:rtl/>
        </w:rPr>
        <w:t xml:space="preserve"> </w:t>
      </w:r>
      <w:r w:rsidR="00F65BD3" w:rsidRPr="00C87A91">
        <w:rPr>
          <w:rFonts w:ascii="Simplified Arabic" w:hAnsi="Simplified Arabic" w:cs="Simplified Arabic"/>
          <w:sz w:val="24"/>
          <w:szCs w:val="24"/>
          <w:rtl/>
        </w:rPr>
        <w:t>الهدف العام للدراسه التركيز على تقديم  تحليل شامل لأنواع المخاطر المرتبطة بتجارة الذهب والمجوهرات، واستكشاف الحلول التأمينية الفعّالة للتقليل من تأثير هذه المخاطر، وتعزيز استدا</w:t>
      </w:r>
      <w:r w:rsidR="00C87A91">
        <w:rPr>
          <w:rFonts w:ascii="Simplified Arabic" w:hAnsi="Simplified Arabic" w:cs="Simplified Arabic"/>
          <w:sz w:val="24"/>
          <w:szCs w:val="24"/>
          <w:rtl/>
        </w:rPr>
        <w:t>مة واستقرار هذا القطاع التجاري.</w:t>
      </w:r>
      <w:r w:rsidR="00F65BD3" w:rsidRPr="00C87A91">
        <w:rPr>
          <w:rFonts w:ascii="Simplified Arabic" w:hAnsi="Simplified Arabic" w:cs="Simplified Arabic"/>
          <w:sz w:val="24"/>
          <w:szCs w:val="24"/>
          <w:rtl/>
        </w:rPr>
        <w:t xml:space="preserve">الهدف العام يرتبط بكافة الأهداف الأخرى، حيث يشملها ضمن إطار واحد لتحليل المخاطر والحلول المقترحة، مما يؤدي إلى فهم كامل للأمان التجاري  وتعزيز الحماية وفيما يلى توضيح لاهم الاهداف المرتبطة بالهدف العام للدراسة : </w:t>
      </w:r>
    </w:p>
    <w:tbl>
      <w:tblPr>
        <w:tblStyle w:val="TableGrid"/>
        <w:bidiVisual/>
        <w:tblW w:w="0" w:type="auto"/>
        <w:jc w:val="center"/>
        <w:tblLook w:val="04A0" w:firstRow="1" w:lastRow="0" w:firstColumn="1" w:lastColumn="0" w:noHBand="0" w:noVBand="1"/>
      </w:tblPr>
      <w:tblGrid>
        <w:gridCol w:w="2277"/>
        <w:gridCol w:w="3686"/>
        <w:gridCol w:w="3085"/>
      </w:tblGrid>
      <w:tr w:rsidR="00B4237C" w:rsidRPr="000A29F6" w14:paraId="28A86B1F" w14:textId="77777777" w:rsidTr="00AD768F">
        <w:trPr>
          <w:jc w:val="center"/>
        </w:trPr>
        <w:tc>
          <w:tcPr>
            <w:tcW w:w="2277" w:type="dxa"/>
            <w:vAlign w:val="center"/>
            <w:hideMark/>
          </w:tcPr>
          <w:p w14:paraId="62C0124A" w14:textId="77777777" w:rsidR="00B4237C" w:rsidRPr="000A29F6" w:rsidRDefault="00B4237C" w:rsidP="00974154">
            <w:pPr>
              <w:bidi/>
              <w:spacing w:after="160" w:line="259" w:lineRule="auto"/>
              <w:jc w:val="left"/>
              <w:rPr>
                <w:rFonts w:ascii="Simplified Arabic" w:hAnsi="Simplified Arabic" w:cs="Simplified Arabic"/>
                <w:b/>
                <w:bCs/>
                <w:sz w:val="24"/>
                <w:szCs w:val="24"/>
              </w:rPr>
            </w:pPr>
            <w:r w:rsidRPr="000A29F6">
              <w:rPr>
                <w:rFonts w:ascii="Simplified Arabic" w:hAnsi="Simplified Arabic" w:cs="Simplified Arabic"/>
                <w:b/>
                <w:bCs/>
                <w:sz w:val="24"/>
                <w:szCs w:val="24"/>
                <w:rtl/>
              </w:rPr>
              <w:t>البند</w:t>
            </w:r>
          </w:p>
        </w:tc>
        <w:tc>
          <w:tcPr>
            <w:tcW w:w="3686" w:type="dxa"/>
            <w:vAlign w:val="center"/>
            <w:hideMark/>
          </w:tcPr>
          <w:p w14:paraId="7D8A9E9C" w14:textId="044EC20C" w:rsidR="00B4237C" w:rsidRPr="000A29F6" w:rsidRDefault="00B4237C" w:rsidP="00974154">
            <w:pPr>
              <w:bidi/>
              <w:spacing w:after="160" w:line="259" w:lineRule="auto"/>
              <w:jc w:val="left"/>
              <w:rPr>
                <w:rFonts w:ascii="Simplified Arabic" w:hAnsi="Simplified Arabic" w:cs="Simplified Arabic"/>
                <w:b/>
                <w:bCs/>
                <w:sz w:val="24"/>
                <w:szCs w:val="24"/>
              </w:rPr>
            </w:pPr>
            <w:r w:rsidRPr="000A29F6">
              <w:rPr>
                <w:rFonts w:ascii="Simplified Arabic" w:hAnsi="Simplified Arabic" w:cs="Simplified Arabic"/>
                <w:b/>
                <w:bCs/>
                <w:sz w:val="24"/>
                <w:szCs w:val="24"/>
                <w:rtl/>
              </w:rPr>
              <w:t>بيان الاهداف</w:t>
            </w:r>
          </w:p>
        </w:tc>
        <w:tc>
          <w:tcPr>
            <w:tcW w:w="3085" w:type="dxa"/>
            <w:vAlign w:val="center"/>
            <w:hideMark/>
          </w:tcPr>
          <w:p w14:paraId="49F3CA65" w14:textId="77777777" w:rsidR="00B4237C" w:rsidRPr="000A29F6" w:rsidRDefault="00B4237C" w:rsidP="00974154">
            <w:pPr>
              <w:bidi/>
              <w:spacing w:after="160" w:line="259" w:lineRule="auto"/>
              <w:jc w:val="left"/>
              <w:rPr>
                <w:rFonts w:ascii="Simplified Arabic" w:hAnsi="Simplified Arabic" w:cs="Simplified Arabic"/>
                <w:b/>
                <w:bCs/>
                <w:sz w:val="24"/>
                <w:szCs w:val="24"/>
              </w:rPr>
            </w:pPr>
            <w:r w:rsidRPr="000A29F6">
              <w:rPr>
                <w:rFonts w:ascii="Simplified Arabic" w:hAnsi="Simplified Arabic" w:cs="Simplified Arabic"/>
                <w:b/>
                <w:bCs/>
                <w:sz w:val="24"/>
                <w:szCs w:val="24"/>
                <w:rtl/>
              </w:rPr>
              <w:t>علاقة الأهداف ببعضها في تجارة الذهب والمجوهرات</w:t>
            </w:r>
          </w:p>
        </w:tc>
      </w:tr>
      <w:tr w:rsidR="00B4237C" w:rsidRPr="000A29F6" w14:paraId="61F2A5DC" w14:textId="77777777" w:rsidTr="00AD768F">
        <w:trPr>
          <w:jc w:val="center"/>
        </w:trPr>
        <w:tc>
          <w:tcPr>
            <w:tcW w:w="2277" w:type="dxa"/>
            <w:vAlign w:val="center"/>
            <w:hideMark/>
          </w:tcPr>
          <w:p w14:paraId="72334131" w14:textId="77777777" w:rsidR="00B4237C" w:rsidRPr="000A29F6" w:rsidRDefault="00B4237C" w:rsidP="00974154">
            <w:pPr>
              <w:bidi/>
              <w:spacing w:after="160" w:line="259" w:lineRule="auto"/>
              <w:jc w:val="left"/>
              <w:rPr>
                <w:rFonts w:ascii="Simplified Arabic" w:hAnsi="Simplified Arabic" w:cs="Simplified Arabic"/>
                <w:sz w:val="24"/>
                <w:szCs w:val="24"/>
              </w:rPr>
            </w:pPr>
            <w:r w:rsidRPr="000A29F6">
              <w:rPr>
                <w:rFonts w:ascii="Simplified Arabic" w:hAnsi="Simplified Arabic" w:cs="Simplified Arabic"/>
                <w:b/>
                <w:bCs/>
                <w:sz w:val="24"/>
                <w:szCs w:val="24"/>
                <w:rtl/>
              </w:rPr>
              <w:t>الهدف من حيث التجارة</w:t>
            </w:r>
          </w:p>
        </w:tc>
        <w:tc>
          <w:tcPr>
            <w:tcW w:w="3686" w:type="dxa"/>
            <w:vAlign w:val="center"/>
            <w:hideMark/>
          </w:tcPr>
          <w:p w14:paraId="3358DD7A" w14:textId="77777777" w:rsidR="00B4237C" w:rsidRPr="000A29F6" w:rsidRDefault="00B4237C" w:rsidP="00974154">
            <w:pPr>
              <w:bidi/>
              <w:spacing w:after="160" w:line="259" w:lineRule="auto"/>
              <w:jc w:val="left"/>
              <w:rPr>
                <w:rFonts w:ascii="Simplified Arabic" w:hAnsi="Simplified Arabic" w:cs="Simplified Arabic"/>
                <w:sz w:val="24"/>
                <w:szCs w:val="24"/>
              </w:rPr>
            </w:pPr>
            <w:r w:rsidRPr="000A29F6">
              <w:rPr>
                <w:rFonts w:ascii="Simplified Arabic" w:hAnsi="Simplified Arabic" w:cs="Simplified Arabic"/>
                <w:sz w:val="24"/>
                <w:szCs w:val="24"/>
                <w:rtl/>
              </w:rPr>
              <w:t>دعم نمو واستدامة تجارة الذهب والمجوهرات من خلال وضع استراتيجيات لحماية المستثمرين والتجار، وتشجيعهم على الاستثمار بثقة أكبر في هذا القطاع الذي يعدّ من أهم الأسواق المالية</w:t>
            </w:r>
            <w:r w:rsidRPr="000A29F6">
              <w:rPr>
                <w:rFonts w:ascii="Simplified Arabic" w:hAnsi="Simplified Arabic" w:cs="Simplified Arabic"/>
                <w:sz w:val="24"/>
                <w:szCs w:val="24"/>
              </w:rPr>
              <w:t>.</w:t>
            </w:r>
          </w:p>
        </w:tc>
        <w:tc>
          <w:tcPr>
            <w:tcW w:w="3085" w:type="dxa"/>
            <w:vAlign w:val="center"/>
            <w:hideMark/>
          </w:tcPr>
          <w:p w14:paraId="733561B7" w14:textId="77777777" w:rsidR="00B4237C" w:rsidRPr="000A29F6" w:rsidRDefault="00B4237C" w:rsidP="00974154">
            <w:pPr>
              <w:bidi/>
              <w:spacing w:after="160" w:line="259" w:lineRule="auto"/>
              <w:jc w:val="left"/>
              <w:rPr>
                <w:rFonts w:ascii="Simplified Arabic" w:hAnsi="Simplified Arabic" w:cs="Simplified Arabic"/>
                <w:sz w:val="24"/>
                <w:szCs w:val="24"/>
              </w:rPr>
            </w:pPr>
            <w:r w:rsidRPr="000A29F6">
              <w:rPr>
                <w:rFonts w:ascii="Simplified Arabic" w:hAnsi="Simplified Arabic" w:cs="Simplified Arabic"/>
                <w:sz w:val="24"/>
                <w:szCs w:val="24"/>
                <w:rtl/>
              </w:rPr>
              <w:t>يرتبط هذا الهدف بالهدف العام ويساهم في تحقيقه من خلال توفير بيئة تجارية مستقرة وجاذبة للاستثمارات، مما يسهم في تحقيق استقرار طويل الأجل لقطاع الذهب والمجوهرات</w:t>
            </w:r>
            <w:r w:rsidRPr="000A29F6">
              <w:rPr>
                <w:rFonts w:ascii="Simplified Arabic" w:hAnsi="Simplified Arabic" w:cs="Simplified Arabic"/>
                <w:sz w:val="24"/>
                <w:szCs w:val="24"/>
              </w:rPr>
              <w:t>.</w:t>
            </w:r>
          </w:p>
        </w:tc>
      </w:tr>
      <w:tr w:rsidR="00B4237C" w:rsidRPr="000A29F6" w14:paraId="5D0B57D3" w14:textId="77777777" w:rsidTr="00AD768F">
        <w:trPr>
          <w:jc w:val="center"/>
        </w:trPr>
        <w:tc>
          <w:tcPr>
            <w:tcW w:w="2277" w:type="dxa"/>
            <w:vAlign w:val="center"/>
            <w:hideMark/>
          </w:tcPr>
          <w:p w14:paraId="34D1D6D8" w14:textId="77777777" w:rsidR="00B4237C" w:rsidRPr="000A29F6" w:rsidRDefault="00B4237C" w:rsidP="00974154">
            <w:pPr>
              <w:bidi/>
              <w:spacing w:after="160" w:line="259" w:lineRule="auto"/>
              <w:jc w:val="left"/>
              <w:rPr>
                <w:rFonts w:ascii="Simplified Arabic" w:hAnsi="Simplified Arabic" w:cs="Simplified Arabic"/>
                <w:sz w:val="24"/>
                <w:szCs w:val="24"/>
              </w:rPr>
            </w:pPr>
            <w:r w:rsidRPr="000A29F6">
              <w:rPr>
                <w:rFonts w:ascii="Simplified Arabic" w:hAnsi="Simplified Arabic" w:cs="Simplified Arabic"/>
                <w:b/>
                <w:bCs/>
                <w:sz w:val="24"/>
                <w:szCs w:val="24"/>
                <w:rtl/>
              </w:rPr>
              <w:t>الهدف من حيث المخاطر</w:t>
            </w:r>
          </w:p>
        </w:tc>
        <w:tc>
          <w:tcPr>
            <w:tcW w:w="3686" w:type="dxa"/>
            <w:vAlign w:val="center"/>
            <w:hideMark/>
          </w:tcPr>
          <w:p w14:paraId="712BE1DA" w14:textId="77777777" w:rsidR="00B4237C" w:rsidRPr="000A29F6" w:rsidRDefault="00B4237C" w:rsidP="00974154">
            <w:pPr>
              <w:bidi/>
              <w:spacing w:after="160" w:line="259" w:lineRule="auto"/>
              <w:jc w:val="left"/>
              <w:rPr>
                <w:rFonts w:ascii="Simplified Arabic" w:hAnsi="Simplified Arabic" w:cs="Simplified Arabic"/>
                <w:sz w:val="24"/>
                <w:szCs w:val="24"/>
              </w:rPr>
            </w:pPr>
            <w:r w:rsidRPr="000A29F6">
              <w:rPr>
                <w:rFonts w:ascii="Simplified Arabic" w:hAnsi="Simplified Arabic" w:cs="Simplified Arabic"/>
                <w:sz w:val="24"/>
                <w:szCs w:val="24"/>
                <w:rtl/>
              </w:rPr>
              <w:t>تحديد وتحليل المخاطر المتنوعة التي تواجه تجارة الذهب والمجوهرات، مثل التقلبات السعرية الحادة، السرقة، الاحتيال، التلف أثناء التخزين أو النقل، وتأثيرها على الأرباح والإيرادات</w:t>
            </w:r>
            <w:r w:rsidRPr="000A29F6">
              <w:rPr>
                <w:rFonts w:ascii="Simplified Arabic" w:hAnsi="Simplified Arabic" w:cs="Simplified Arabic"/>
                <w:sz w:val="24"/>
                <w:szCs w:val="24"/>
              </w:rPr>
              <w:t>.</w:t>
            </w:r>
          </w:p>
        </w:tc>
        <w:tc>
          <w:tcPr>
            <w:tcW w:w="3085" w:type="dxa"/>
            <w:vAlign w:val="center"/>
            <w:hideMark/>
          </w:tcPr>
          <w:p w14:paraId="3B8449AD" w14:textId="77777777" w:rsidR="00B4237C" w:rsidRPr="000A29F6" w:rsidRDefault="00B4237C" w:rsidP="00974154">
            <w:pPr>
              <w:bidi/>
              <w:spacing w:after="160" w:line="259" w:lineRule="auto"/>
              <w:jc w:val="left"/>
              <w:rPr>
                <w:rFonts w:ascii="Simplified Arabic" w:hAnsi="Simplified Arabic" w:cs="Simplified Arabic"/>
                <w:sz w:val="24"/>
                <w:szCs w:val="24"/>
              </w:rPr>
            </w:pPr>
            <w:r w:rsidRPr="000A29F6">
              <w:rPr>
                <w:rFonts w:ascii="Simplified Arabic" w:hAnsi="Simplified Arabic" w:cs="Simplified Arabic"/>
                <w:sz w:val="24"/>
                <w:szCs w:val="24"/>
                <w:rtl/>
              </w:rPr>
              <w:t>يرتبط هذا الهدف بأهمية التجارة، حيث أن فهم المخاطر يساعد على تطوير استراتيجيات أفضل لحماية التجار والمستثمرين، مما يعزز الأمان التجاري ويضمن استمرارية الأعمال</w:t>
            </w:r>
            <w:r w:rsidRPr="000A29F6">
              <w:rPr>
                <w:rFonts w:ascii="Simplified Arabic" w:hAnsi="Simplified Arabic" w:cs="Simplified Arabic"/>
                <w:sz w:val="24"/>
                <w:szCs w:val="24"/>
              </w:rPr>
              <w:t>.</w:t>
            </w:r>
          </w:p>
        </w:tc>
      </w:tr>
      <w:tr w:rsidR="00B4237C" w:rsidRPr="000A29F6" w14:paraId="21C93351" w14:textId="77777777" w:rsidTr="00AD768F">
        <w:trPr>
          <w:jc w:val="center"/>
        </w:trPr>
        <w:tc>
          <w:tcPr>
            <w:tcW w:w="2277" w:type="dxa"/>
            <w:vAlign w:val="center"/>
            <w:hideMark/>
          </w:tcPr>
          <w:p w14:paraId="17351BA9" w14:textId="77777777" w:rsidR="00B4237C" w:rsidRPr="000A29F6" w:rsidRDefault="00B4237C" w:rsidP="00974154">
            <w:pPr>
              <w:bidi/>
              <w:spacing w:after="160" w:line="259" w:lineRule="auto"/>
              <w:jc w:val="left"/>
              <w:rPr>
                <w:rFonts w:ascii="Simplified Arabic" w:hAnsi="Simplified Arabic" w:cs="Simplified Arabic"/>
                <w:sz w:val="24"/>
                <w:szCs w:val="24"/>
              </w:rPr>
            </w:pPr>
            <w:r w:rsidRPr="000A29F6">
              <w:rPr>
                <w:rFonts w:ascii="Simplified Arabic" w:hAnsi="Simplified Arabic" w:cs="Simplified Arabic"/>
                <w:sz w:val="24"/>
                <w:szCs w:val="24"/>
                <w:rtl/>
              </w:rPr>
              <w:t>الهدف من حيث الحلول التأمينية</w:t>
            </w:r>
          </w:p>
        </w:tc>
        <w:tc>
          <w:tcPr>
            <w:tcW w:w="3686" w:type="dxa"/>
            <w:vAlign w:val="center"/>
            <w:hideMark/>
          </w:tcPr>
          <w:p w14:paraId="6B72EC59" w14:textId="77777777" w:rsidR="00B4237C" w:rsidRPr="000A29F6" w:rsidRDefault="00B4237C" w:rsidP="00974154">
            <w:pPr>
              <w:bidi/>
              <w:spacing w:after="160" w:line="259" w:lineRule="auto"/>
              <w:jc w:val="left"/>
              <w:rPr>
                <w:rFonts w:ascii="Simplified Arabic" w:hAnsi="Simplified Arabic" w:cs="Simplified Arabic"/>
                <w:sz w:val="24"/>
                <w:szCs w:val="24"/>
              </w:rPr>
            </w:pPr>
            <w:r w:rsidRPr="000A29F6">
              <w:rPr>
                <w:rFonts w:ascii="Simplified Arabic" w:hAnsi="Simplified Arabic" w:cs="Simplified Arabic"/>
                <w:sz w:val="24"/>
                <w:szCs w:val="24"/>
                <w:rtl/>
              </w:rPr>
              <w:t>استكشاف وتقييم الحلول التأمينية المناسبة لتغطية مختلف أنواع المخاطر، مثل التأمين ضد السرقة والنقل والتلف، وتطوير منتجات تأمينية خاصة تتناسب مع خصوصية قطاع الذهب والمجوهرات</w:t>
            </w:r>
            <w:r w:rsidRPr="000A29F6">
              <w:rPr>
                <w:rFonts w:ascii="Simplified Arabic" w:hAnsi="Simplified Arabic" w:cs="Simplified Arabic"/>
                <w:sz w:val="24"/>
                <w:szCs w:val="24"/>
              </w:rPr>
              <w:t>.</w:t>
            </w:r>
          </w:p>
        </w:tc>
        <w:tc>
          <w:tcPr>
            <w:tcW w:w="3085" w:type="dxa"/>
            <w:vAlign w:val="center"/>
            <w:hideMark/>
          </w:tcPr>
          <w:p w14:paraId="32E1F6E3" w14:textId="77777777" w:rsidR="00B4237C" w:rsidRPr="000A29F6" w:rsidRDefault="00B4237C" w:rsidP="00974154">
            <w:pPr>
              <w:bidi/>
              <w:spacing w:after="160" w:line="259" w:lineRule="auto"/>
              <w:jc w:val="left"/>
              <w:rPr>
                <w:rFonts w:ascii="Simplified Arabic" w:hAnsi="Simplified Arabic" w:cs="Simplified Arabic"/>
                <w:sz w:val="24"/>
                <w:szCs w:val="24"/>
              </w:rPr>
            </w:pPr>
            <w:r w:rsidRPr="000A29F6">
              <w:rPr>
                <w:rFonts w:ascii="Simplified Arabic" w:hAnsi="Simplified Arabic" w:cs="Simplified Arabic"/>
                <w:sz w:val="24"/>
                <w:szCs w:val="24"/>
                <w:rtl/>
              </w:rPr>
              <w:t>يرتبط هذا الهدف بتحليل المخاطر، حيث تعتمد فعالية الحلول التأمينية على فهم دقيق للمخاطر المحيطة، مما يؤدي إلى حماية شاملة ويضمن تحقيق أهداف النمو والاستدامة في تجارة الذهب</w:t>
            </w:r>
            <w:r w:rsidRPr="000A29F6">
              <w:rPr>
                <w:rFonts w:ascii="Simplified Arabic" w:hAnsi="Simplified Arabic" w:cs="Simplified Arabic"/>
                <w:sz w:val="24"/>
                <w:szCs w:val="24"/>
              </w:rPr>
              <w:t>.</w:t>
            </w:r>
          </w:p>
        </w:tc>
      </w:tr>
    </w:tbl>
    <w:p w14:paraId="0238A4D8" w14:textId="1AA8CF09" w:rsidR="00B4237C" w:rsidRPr="000A29F6" w:rsidRDefault="00B4237C" w:rsidP="00974154">
      <w:pPr>
        <w:bidi/>
        <w:jc w:val="left"/>
        <w:rPr>
          <w:rFonts w:ascii="Simplified Arabic" w:hAnsi="Simplified Arabic" w:cs="Simplified Arabic"/>
          <w:b/>
          <w:bCs/>
          <w:sz w:val="24"/>
          <w:szCs w:val="24"/>
        </w:rPr>
      </w:pPr>
    </w:p>
    <w:p w14:paraId="728A3165" w14:textId="77777777" w:rsidR="00134632" w:rsidRPr="00A00916" w:rsidRDefault="00B4237C" w:rsidP="00A00916">
      <w:pPr>
        <w:pStyle w:val="Heading2"/>
        <w:bidi/>
        <w:jc w:val="left"/>
        <w:rPr>
          <w:color w:val="000000" w:themeColor="text1"/>
          <w:sz w:val="28"/>
          <w:szCs w:val="28"/>
          <w:rtl/>
        </w:rPr>
      </w:pPr>
      <w:bookmarkStart w:id="9" w:name="_Toc195963622"/>
      <w:r w:rsidRPr="00A00916">
        <w:rPr>
          <w:color w:val="000000" w:themeColor="text1"/>
          <w:sz w:val="28"/>
          <w:szCs w:val="28"/>
          <w:rtl/>
        </w:rPr>
        <w:t>تساؤلات الدراسة</w:t>
      </w:r>
      <w:r w:rsidR="00134632" w:rsidRPr="00A00916">
        <w:rPr>
          <w:color w:val="000000" w:themeColor="text1"/>
          <w:sz w:val="28"/>
          <w:szCs w:val="28"/>
          <w:rtl/>
        </w:rPr>
        <w:t xml:space="preserve"> :</w:t>
      </w:r>
      <w:bookmarkEnd w:id="9"/>
      <w:r w:rsidR="00134632" w:rsidRPr="00A00916">
        <w:rPr>
          <w:color w:val="000000" w:themeColor="text1"/>
          <w:sz w:val="28"/>
          <w:szCs w:val="28"/>
          <w:rtl/>
        </w:rPr>
        <w:t xml:space="preserve"> </w:t>
      </w:r>
    </w:p>
    <w:p w14:paraId="513B7DBE" w14:textId="41874CEB" w:rsidR="00134632" w:rsidRPr="000A29F6" w:rsidRDefault="00134632" w:rsidP="008E6ED6">
      <w:pPr>
        <w:pStyle w:val="ListParagraph"/>
        <w:numPr>
          <w:ilvl w:val="0"/>
          <w:numId w:val="1"/>
        </w:numPr>
        <w:bidi/>
        <w:jc w:val="left"/>
        <w:rPr>
          <w:rFonts w:ascii="Simplified Arabic" w:hAnsi="Simplified Arabic" w:cs="Simplified Arabic"/>
          <w:sz w:val="24"/>
          <w:szCs w:val="24"/>
          <w:rtl/>
        </w:rPr>
      </w:pPr>
      <w:r w:rsidRPr="00DF559F">
        <w:rPr>
          <w:rFonts w:ascii="Simplified Arabic" w:hAnsi="Simplified Arabic" w:cs="Simplified Arabic"/>
          <w:b/>
          <w:bCs/>
          <w:sz w:val="24"/>
          <w:szCs w:val="24"/>
          <w:rtl/>
        </w:rPr>
        <w:t>السؤال العام الرئيسي:</w:t>
      </w:r>
      <w:r w:rsidRPr="000A29F6">
        <w:rPr>
          <w:rFonts w:ascii="Simplified Arabic" w:hAnsi="Simplified Arabic" w:cs="Simplified Arabic"/>
          <w:sz w:val="24"/>
          <w:szCs w:val="24"/>
          <w:rtl/>
        </w:rPr>
        <w:t xml:space="preserve">  ما هي المخاطر المرتبطة بتجارة الذهب والمجوهرات، وكيف يمكن للحلول التأمينية أن تساعد في تقليل هذه المخاطر وحماية المستثمرين؟</w:t>
      </w:r>
    </w:p>
    <w:p w14:paraId="7253B125" w14:textId="4F02EEE3" w:rsidR="00134632" w:rsidRPr="000A29F6" w:rsidRDefault="00134632" w:rsidP="00974154">
      <w:pPr>
        <w:bidi/>
        <w:jc w:val="left"/>
        <w:rPr>
          <w:rFonts w:ascii="Simplified Arabic" w:hAnsi="Simplified Arabic" w:cs="Simplified Arabic"/>
          <w:b/>
          <w:bCs/>
          <w:sz w:val="24"/>
          <w:szCs w:val="24"/>
          <w:rtl/>
        </w:rPr>
      </w:pPr>
      <w:r w:rsidRPr="000A29F6">
        <w:rPr>
          <w:rFonts w:ascii="Simplified Arabic" w:hAnsi="Simplified Arabic" w:cs="Simplified Arabic"/>
          <w:b/>
          <w:bCs/>
          <w:sz w:val="24"/>
          <w:szCs w:val="24"/>
          <w:rtl/>
        </w:rPr>
        <w:t>الأسئلة الفرعية المتعلقة بوجود ارتباطات:</w:t>
      </w:r>
    </w:p>
    <w:p w14:paraId="0FBFD174" w14:textId="04306CCB" w:rsidR="00134632" w:rsidRPr="000A29F6" w:rsidRDefault="00DB7734" w:rsidP="008E6ED6">
      <w:pPr>
        <w:pStyle w:val="ListParagraph"/>
        <w:numPr>
          <w:ilvl w:val="0"/>
          <w:numId w:val="1"/>
        </w:num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 xml:space="preserve"> </w:t>
      </w:r>
      <w:r w:rsidR="00134632" w:rsidRPr="000A29F6">
        <w:rPr>
          <w:rFonts w:ascii="Simplified Arabic" w:hAnsi="Simplified Arabic" w:cs="Simplified Arabic"/>
          <w:sz w:val="24"/>
          <w:szCs w:val="24"/>
          <w:rtl/>
        </w:rPr>
        <w:t>هل يوجد ارتباط بين أنواع المخاطر (مثل التقلبات السعرية، السرقة، الاحتيال) ومستوى الأمان المالي للتجار والمستثمرين في تجارة الذهب والمجوهرات؟</w:t>
      </w:r>
    </w:p>
    <w:p w14:paraId="4CD3101A" w14:textId="7FE9368E" w:rsidR="00134632" w:rsidRPr="000A29F6" w:rsidRDefault="00DB7734" w:rsidP="008E6ED6">
      <w:pPr>
        <w:pStyle w:val="ListParagraph"/>
        <w:numPr>
          <w:ilvl w:val="0"/>
          <w:numId w:val="1"/>
        </w:num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 xml:space="preserve"> </w:t>
      </w:r>
      <w:r w:rsidR="00134632" w:rsidRPr="000A29F6">
        <w:rPr>
          <w:rFonts w:ascii="Simplified Arabic" w:hAnsi="Simplified Arabic" w:cs="Simplified Arabic"/>
          <w:sz w:val="24"/>
          <w:szCs w:val="24"/>
          <w:rtl/>
        </w:rPr>
        <w:t>هل هناك ارتباط بين استخدام الحلول التأمينية ومستوى الثقة لدى المستثمرين في قطاع الذهب والمجوهرات؟</w:t>
      </w:r>
    </w:p>
    <w:p w14:paraId="581DA1CA" w14:textId="77777777" w:rsidR="00134632" w:rsidRPr="000A29F6" w:rsidRDefault="00134632" w:rsidP="008E6ED6">
      <w:pPr>
        <w:pStyle w:val="ListParagraph"/>
        <w:numPr>
          <w:ilvl w:val="0"/>
          <w:numId w:val="1"/>
        </w:num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الأسئلة الفرعية المتعلقة بالتأثير:</w:t>
      </w:r>
    </w:p>
    <w:p w14:paraId="03D4B540" w14:textId="705EFC82" w:rsidR="00134632" w:rsidRPr="000A29F6" w:rsidRDefault="00DB7734" w:rsidP="008E6ED6">
      <w:pPr>
        <w:pStyle w:val="ListParagraph"/>
        <w:numPr>
          <w:ilvl w:val="0"/>
          <w:numId w:val="1"/>
        </w:num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 xml:space="preserve"> </w:t>
      </w:r>
      <w:r w:rsidR="00134632" w:rsidRPr="000A29F6">
        <w:rPr>
          <w:rFonts w:ascii="Simplified Arabic" w:hAnsi="Simplified Arabic" w:cs="Simplified Arabic"/>
          <w:sz w:val="24"/>
          <w:szCs w:val="24"/>
          <w:rtl/>
        </w:rPr>
        <w:t>ما مدى تأثير تقلبات الأسعار على الاستقرار المالي للتجار والمستثمرين في سوق الذهب والمجوهرات؟</w:t>
      </w:r>
    </w:p>
    <w:p w14:paraId="123A1D30" w14:textId="224B2CA5" w:rsidR="00134632" w:rsidRPr="000A29F6" w:rsidRDefault="00DB7734" w:rsidP="008E6ED6">
      <w:pPr>
        <w:pStyle w:val="ListParagraph"/>
        <w:numPr>
          <w:ilvl w:val="0"/>
          <w:numId w:val="1"/>
        </w:num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 xml:space="preserve"> </w:t>
      </w:r>
      <w:r w:rsidR="00134632" w:rsidRPr="000A29F6">
        <w:rPr>
          <w:rFonts w:ascii="Simplified Arabic" w:hAnsi="Simplified Arabic" w:cs="Simplified Arabic"/>
          <w:sz w:val="24"/>
          <w:szCs w:val="24"/>
          <w:rtl/>
        </w:rPr>
        <w:t>ما هو تأثير تطبيق حلول التأمين المختلفة (مثل التأمين ضد السرقة والنقل) على تقليل الخسائر في تجارة الذهب والمجوهرات؟</w:t>
      </w:r>
    </w:p>
    <w:p w14:paraId="5A7E721C" w14:textId="48DA8338" w:rsidR="00134632" w:rsidRPr="000A29F6" w:rsidRDefault="00DB7734" w:rsidP="008E6ED6">
      <w:pPr>
        <w:pStyle w:val="ListParagraph"/>
        <w:numPr>
          <w:ilvl w:val="0"/>
          <w:numId w:val="1"/>
        </w:num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 xml:space="preserve"> </w:t>
      </w:r>
      <w:r w:rsidR="00134632" w:rsidRPr="000A29F6">
        <w:rPr>
          <w:rFonts w:ascii="Simplified Arabic" w:hAnsi="Simplified Arabic" w:cs="Simplified Arabic"/>
          <w:sz w:val="24"/>
          <w:szCs w:val="24"/>
          <w:rtl/>
        </w:rPr>
        <w:t>كيف يؤثر التأمين على تقليل المخاطر المالية المرتبطة بتقلبات الأسعار، ورفع مستوى الثقة في استمرارية الأعمال؟</w:t>
      </w:r>
    </w:p>
    <w:p w14:paraId="3FEC7470" w14:textId="77777777" w:rsidR="00134632" w:rsidRPr="000A29F6" w:rsidRDefault="00134632" w:rsidP="00974154">
      <w:pPr>
        <w:bidi/>
        <w:jc w:val="left"/>
        <w:rPr>
          <w:rFonts w:ascii="Simplified Arabic" w:hAnsi="Simplified Arabic" w:cs="Simplified Arabic"/>
          <w:b/>
          <w:bCs/>
          <w:sz w:val="24"/>
          <w:szCs w:val="24"/>
          <w:rtl/>
        </w:rPr>
      </w:pPr>
      <w:r w:rsidRPr="000A29F6">
        <w:rPr>
          <w:rFonts w:ascii="Simplified Arabic" w:hAnsi="Simplified Arabic" w:cs="Simplified Arabic"/>
          <w:b/>
          <w:bCs/>
          <w:sz w:val="24"/>
          <w:szCs w:val="24"/>
          <w:rtl/>
        </w:rPr>
        <w:t>الأسئلة الفرعية المتعلقة بما يجب إثباته وعلاقته بالسؤال العام:</w:t>
      </w:r>
    </w:p>
    <w:p w14:paraId="6D3BC57A" w14:textId="5EF07F18" w:rsidR="00134632" w:rsidRPr="000A29F6" w:rsidRDefault="00DB7734" w:rsidP="008E6ED6">
      <w:pPr>
        <w:pStyle w:val="ListParagraph"/>
        <w:numPr>
          <w:ilvl w:val="0"/>
          <w:numId w:val="1"/>
        </w:num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 xml:space="preserve"> </w:t>
      </w:r>
      <w:r w:rsidR="00134632" w:rsidRPr="000A29F6">
        <w:rPr>
          <w:rFonts w:ascii="Simplified Arabic" w:hAnsi="Simplified Arabic" w:cs="Simplified Arabic"/>
          <w:sz w:val="24"/>
          <w:szCs w:val="24"/>
          <w:rtl/>
        </w:rPr>
        <w:t>ما هي الحلول التأمينية الأكثر فعالية لتقليل المخاطر في تجارة الذهب والمجوهرات، وكيف يمكن إثبات فعاليتها بناءً على حالات دراسية أو تجارب عملية؟</w:t>
      </w:r>
    </w:p>
    <w:p w14:paraId="2913BC87" w14:textId="2938CE1B" w:rsidR="00134632" w:rsidRPr="000A29F6" w:rsidRDefault="00DB7734" w:rsidP="008E6ED6">
      <w:pPr>
        <w:pStyle w:val="ListParagraph"/>
        <w:numPr>
          <w:ilvl w:val="0"/>
          <w:numId w:val="1"/>
        </w:num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 xml:space="preserve"> </w:t>
      </w:r>
      <w:r w:rsidR="00134632" w:rsidRPr="000A29F6">
        <w:rPr>
          <w:rFonts w:ascii="Simplified Arabic" w:hAnsi="Simplified Arabic" w:cs="Simplified Arabic"/>
          <w:sz w:val="24"/>
          <w:szCs w:val="24"/>
          <w:rtl/>
        </w:rPr>
        <w:t>كيف يمكن إثبات أن تبني استراتيجيات تأمينية شاملة يؤدي إلى تعزيز الأمان المالي وتقليل الخسائر في تجارة الذهب والمجوهرات؟</w:t>
      </w:r>
    </w:p>
    <w:p w14:paraId="09CDDC84" w14:textId="22BC1DF7" w:rsidR="00B4237C" w:rsidRPr="000A29F6" w:rsidRDefault="00DB7734" w:rsidP="008E6ED6">
      <w:pPr>
        <w:pStyle w:val="ListParagraph"/>
        <w:numPr>
          <w:ilvl w:val="0"/>
          <w:numId w:val="1"/>
        </w:numPr>
        <w:bidi/>
        <w:jc w:val="left"/>
        <w:rPr>
          <w:rFonts w:ascii="Simplified Arabic" w:hAnsi="Simplified Arabic" w:cs="Simplified Arabic"/>
          <w:b/>
          <w:bCs/>
          <w:sz w:val="24"/>
          <w:szCs w:val="24"/>
          <w:rtl/>
        </w:rPr>
      </w:pPr>
      <w:r w:rsidRPr="000A29F6">
        <w:rPr>
          <w:rFonts w:ascii="Simplified Arabic" w:hAnsi="Simplified Arabic" w:cs="Simplified Arabic"/>
          <w:sz w:val="24"/>
          <w:szCs w:val="24"/>
          <w:rtl/>
        </w:rPr>
        <w:t xml:space="preserve"> </w:t>
      </w:r>
      <w:r w:rsidR="00134632" w:rsidRPr="000A29F6">
        <w:rPr>
          <w:rFonts w:ascii="Simplified Arabic" w:hAnsi="Simplified Arabic" w:cs="Simplified Arabic"/>
          <w:sz w:val="24"/>
          <w:szCs w:val="24"/>
          <w:rtl/>
        </w:rPr>
        <w:t>ما هو الدور الذي يلعبه التأمين في دعم استقرار سوق الذهب والمجوهرات كجزء من السوق المالي، وكيف يمكن إثبات ذلك بشكل يتوافق مع السؤال العام</w:t>
      </w:r>
      <w:r w:rsidR="00134632" w:rsidRPr="000A29F6">
        <w:rPr>
          <w:rFonts w:ascii="Simplified Arabic" w:hAnsi="Simplified Arabic" w:cs="Simplified Arabic"/>
          <w:b/>
          <w:bCs/>
          <w:sz w:val="24"/>
          <w:szCs w:val="24"/>
          <w:rtl/>
        </w:rPr>
        <w:t>؟</w:t>
      </w:r>
    </w:p>
    <w:p w14:paraId="406C8F09" w14:textId="05F68126" w:rsidR="006E7B97" w:rsidRPr="000A29F6" w:rsidRDefault="00B4237C" w:rsidP="00974154">
      <w:pPr>
        <w:bidi/>
        <w:jc w:val="left"/>
        <w:rPr>
          <w:rFonts w:ascii="Simplified Arabic" w:hAnsi="Simplified Arabic" w:cs="Simplified Arabic"/>
          <w:sz w:val="24"/>
          <w:szCs w:val="24"/>
          <w:rtl/>
        </w:rPr>
      </w:pPr>
      <w:bookmarkStart w:id="10" w:name="_Toc195963623"/>
      <w:r w:rsidRPr="00A00916">
        <w:rPr>
          <w:rStyle w:val="Heading2Char"/>
          <w:color w:val="000000" w:themeColor="text1"/>
          <w:sz w:val="28"/>
          <w:szCs w:val="28"/>
          <w:rtl/>
        </w:rPr>
        <w:lastRenderedPageBreak/>
        <w:t>فروض الدراسة</w:t>
      </w:r>
      <w:bookmarkEnd w:id="10"/>
      <w:r w:rsidR="006E7B97" w:rsidRPr="00A00916">
        <w:rPr>
          <w:rFonts w:ascii="Simplified Arabic" w:hAnsi="Simplified Arabic" w:cs="Simplified Arabic"/>
          <w:b/>
          <w:bCs/>
          <w:color w:val="000000" w:themeColor="text1"/>
          <w:sz w:val="28"/>
          <w:szCs w:val="28"/>
          <w:rtl/>
        </w:rPr>
        <w:t xml:space="preserve"> </w:t>
      </w:r>
      <w:r w:rsidR="006E7B97" w:rsidRPr="00DF559F">
        <w:rPr>
          <w:rFonts w:ascii="Simplified Arabic" w:hAnsi="Simplified Arabic" w:cs="Simplified Arabic"/>
          <w:b/>
          <w:bCs/>
          <w:sz w:val="28"/>
          <w:szCs w:val="28"/>
          <w:rtl/>
        </w:rPr>
        <w:t>:</w:t>
      </w:r>
      <w:r w:rsidR="006E7B97" w:rsidRPr="000A29F6">
        <w:rPr>
          <w:rFonts w:ascii="Simplified Arabic" w:hAnsi="Simplified Arabic" w:cs="Simplified Arabic"/>
          <w:sz w:val="24"/>
          <w:szCs w:val="24"/>
          <w:rtl/>
        </w:rPr>
        <w:t xml:space="preserve"> تعد فرضيات الدراسة اداه من الادوات التى  تساعد في توجيه البحث نحو اختبار العلاقات والتأثيرات المختلفة المتعلقة بالمخاطر والحلول التأمينية للوصول الى  فهم كيفية تحسين حماية التجار والمستثمرين في قطاع الذهب والمجوهرات  وتتمثل الفرضيات في الاتي : </w:t>
      </w:r>
    </w:p>
    <w:p w14:paraId="1FB82F67" w14:textId="77777777" w:rsidR="006E7B97" w:rsidRPr="000A29F6" w:rsidRDefault="006E7B97" w:rsidP="00974154">
      <w:p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1.</w:t>
      </w:r>
      <w:r w:rsidRPr="000A29F6">
        <w:rPr>
          <w:rFonts w:ascii="Simplified Arabic" w:hAnsi="Simplified Arabic" w:cs="Simplified Arabic"/>
          <w:sz w:val="24"/>
          <w:szCs w:val="24"/>
          <w:rtl/>
        </w:rPr>
        <w:tab/>
        <w:t>الفرضية الأولى (</w:t>
      </w:r>
      <w:r w:rsidRPr="000A29F6">
        <w:rPr>
          <w:rFonts w:ascii="Simplified Arabic" w:hAnsi="Simplified Arabic" w:cs="Simplified Arabic"/>
          <w:sz w:val="24"/>
          <w:szCs w:val="24"/>
        </w:rPr>
        <w:t>H1</w:t>
      </w:r>
      <w:r w:rsidRPr="000A29F6">
        <w:rPr>
          <w:rFonts w:ascii="Simplified Arabic" w:hAnsi="Simplified Arabic" w:cs="Simplified Arabic"/>
          <w:sz w:val="24"/>
          <w:szCs w:val="24"/>
          <w:rtl/>
        </w:rPr>
        <w:t>): يوجد ارتباط ذو دلالة إحصائية بين أنواع المخاطر (مثل التقلبات السعرية، السرقة، الاحتيال) ومستوى الأمان المالي للتجار والمستثمرين في قطاع الذهب والمجوهرات.</w:t>
      </w:r>
    </w:p>
    <w:p w14:paraId="77FF41CE" w14:textId="77777777" w:rsidR="006E7B97" w:rsidRPr="000A29F6" w:rsidRDefault="006E7B97" w:rsidP="00974154">
      <w:p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2.</w:t>
      </w:r>
      <w:r w:rsidRPr="000A29F6">
        <w:rPr>
          <w:rFonts w:ascii="Simplified Arabic" w:hAnsi="Simplified Arabic" w:cs="Simplified Arabic"/>
          <w:sz w:val="24"/>
          <w:szCs w:val="24"/>
          <w:rtl/>
        </w:rPr>
        <w:tab/>
        <w:t>الفرضية الثانية (</w:t>
      </w:r>
      <w:r w:rsidRPr="000A29F6">
        <w:rPr>
          <w:rFonts w:ascii="Simplified Arabic" w:hAnsi="Simplified Arabic" w:cs="Simplified Arabic"/>
          <w:sz w:val="24"/>
          <w:szCs w:val="24"/>
        </w:rPr>
        <w:t>H2</w:t>
      </w:r>
      <w:r w:rsidRPr="000A29F6">
        <w:rPr>
          <w:rFonts w:ascii="Simplified Arabic" w:hAnsi="Simplified Arabic" w:cs="Simplified Arabic"/>
          <w:sz w:val="24"/>
          <w:szCs w:val="24"/>
          <w:rtl/>
        </w:rPr>
        <w:t>): يوجد ارتباط ذو دلالة إحصائية بين استخدام الحلول التأمينية وارتفاع مستوى الثقة لدى المستثمرين في تجارة الذهب والمجوهرات.</w:t>
      </w:r>
    </w:p>
    <w:p w14:paraId="168C6F4E" w14:textId="77777777" w:rsidR="006E7B97" w:rsidRPr="000A29F6" w:rsidRDefault="006E7B97" w:rsidP="00974154">
      <w:p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3.</w:t>
      </w:r>
      <w:r w:rsidRPr="000A29F6">
        <w:rPr>
          <w:rFonts w:ascii="Simplified Arabic" w:hAnsi="Simplified Arabic" w:cs="Simplified Arabic"/>
          <w:sz w:val="24"/>
          <w:szCs w:val="24"/>
          <w:rtl/>
        </w:rPr>
        <w:tab/>
        <w:t>الفرضية الثالثة (</w:t>
      </w:r>
      <w:r w:rsidRPr="000A29F6">
        <w:rPr>
          <w:rFonts w:ascii="Simplified Arabic" w:hAnsi="Simplified Arabic" w:cs="Simplified Arabic"/>
          <w:sz w:val="24"/>
          <w:szCs w:val="24"/>
        </w:rPr>
        <w:t>H3</w:t>
      </w:r>
      <w:r w:rsidRPr="000A29F6">
        <w:rPr>
          <w:rFonts w:ascii="Simplified Arabic" w:hAnsi="Simplified Arabic" w:cs="Simplified Arabic"/>
          <w:sz w:val="24"/>
          <w:szCs w:val="24"/>
          <w:rtl/>
        </w:rPr>
        <w:t>): تؤثر تقلبات الأسعار بشكل سلبي وذو دلالة إحصائية على الاستقرار المالي للتجار والمستثمرين في سوق الذهب والمجوهرات.</w:t>
      </w:r>
    </w:p>
    <w:p w14:paraId="2496B35E" w14:textId="77777777" w:rsidR="006E7B97" w:rsidRPr="000A29F6" w:rsidRDefault="006E7B97" w:rsidP="00974154">
      <w:p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4.</w:t>
      </w:r>
      <w:r w:rsidRPr="000A29F6">
        <w:rPr>
          <w:rFonts w:ascii="Simplified Arabic" w:hAnsi="Simplified Arabic" w:cs="Simplified Arabic"/>
          <w:sz w:val="24"/>
          <w:szCs w:val="24"/>
          <w:rtl/>
        </w:rPr>
        <w:tab/>
        <w:t>الفرضية الرابعة (</w:t>
      </w:r>
      <w:r w:rsidRPr="000A29F6">
        <w:rPr>
          <w:rFonts w:ascii="Simplified Arabic" w:hAnsi="Simplified Arabic" w:cs="Simplified Arabic"/>
          <w:sz w:val="24"/>
          <w:szCs w:val="24"/>
        </w:rPr>
        <w:t>H4</w:t>
      </w:r>
      <w:r w:rsidRPr="000A29F6">
        <w:rPr>
          <w:rFonts w:ascii="Simplified Arabic" w:hAnsi="Simplified Arabic" w:cs="Simplified Arabic"/>
          <w:sz w:val="24"/>
          <w:szCs w:val="24"/>
          <w:rtl/>
        </w:rPr>
        <w:t>): يؤثر تطبيق حلول التأمين المختلفة (مثل التأمين ضد السرقة والنقل) بشكل إيجابي وذو دلالة إحصائية على تقليل الخسائر المالية الناتجة عن المخاطر في تجارة الذهب والمجوهرات.</w:t>
      </w:r>
    </w:p>
    <w:p w14:paraId="446BE12F" w14:textId="77777777" w:rsidR="006E7B97" w:rsidRPr="000A29F6" w:rsidRDefault="006E7B97" w:rsidP="00974154">
      <w:p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5.</w:t>
      </w:r>
      <w:r w:rsidRPr="000A29F6">
        <w:rPr>
          <w:rFonts w:ascii="Simplified Arabic" w:hAnsi="Simplified Arabic" w:cs="Simplified Arabic"/>
          <w:sz w:val="24"/>
          <w:szCs w:val="24"/>
          <w:rtl/>
        </w:rPr>
        <w:tab/>
        <w:t>الفرضية الخامسة (</w:t>
      </w:r>
      <w:r w:rsidRPr="000A29F6">
        <w:rPr>
          <w:rFonts w:ascii="Simplified Arabic" w:hAnsi="Simplified Arabic" w:cs="Simplified Arabic"/>
          <w:sz w:val="24"/>
          <w:szCs w:val="24"/>
        </w:rPr>
        <w:t>H5</w:t>
      </w:r>
      <w:r w:rsidRPr="000A29F6">
        <w:rPr>
          <w:rFonts w:ascii="Simplified Arabic" w:hAnsi="Simplified Arabic" w:cs="Simplified Arabic"/>
          <w:sz w:val="24"/>
          <w:szCs w:val="24"/>
          <w:rtl/>
        </w:rPr>
        <w:t>): يسهم التأمين في تقليل المخاطر المالية المرتبطة بتقلبات الأسعار، ويؤثر ذلك بشكل إيجابي وذو دلالة إحصائية على مستوى الثقة لدى المستثمرين في استمرارية الأعمال في هذا القطاع.</w:t>
      </w:r>
    </w:p>
    <w:p w14:paraId="79AA9F36" w14:textId="77777777" w:rsidR="006E7B97" w:rsidRPr="000A29F6" w:rsidRDefault="006E7B97" w:rsidP="00974154">
      <w:p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6.</w:t>
      </w:r>
      <w:r w:rsidRPr="000A29F6">
        <w:rPr>
          <w:rFonts w:ascii="Simplified Arabic" w:hAnsi="Simplified Arabic" w:cs="Simplified Arabic"/>
          <w:sz w:val="24"/>
          <w:szCs w:val="24"/>
          <w:rtl/>
        </w:rPr>
        <w:tab/>
        <w:t>الفرضية السادسة (</w:t>
      </w:r>
      <w:r w:rsidRPr="000A29F6">
        <w:rPr>
          <w:rFonts w:ascii="Simplified Arabic" w:hAnsi="Simplified Arabic" w:cs="Simplified Arabic"/>
          <w:sz w:val="24"/>
          <w:szCs w:val="24"/>
        </w:rPr>
        <w:t>H6</w:t>
      </w:r>
      <w:r w:rsidRPr="000A29F6">
        <w:rPr>
          <w:rFonts w:ascii="Simplified Arabic" w:hAnsi="Simplified Arabic" w:cs="Simplified Arabic"/>
          <w:sz w:val="24"/>
          <w:szCs w:val="24"/>
          <w:rtl/>
        </w:rPr>
        <w:t>): الحلول التأمينية المتخصصة لتغطية المخاطر في تجارة الذهب والمجوهرات فعالة بشكل ذي دلالة إحصائية في تقليل هذه المخاطر وحماية الاستثمارات.</w:t>
      </w:r>
    </w:p>
    <w:p w14:paraId="21AAE456" w14:textId="77777777" w:rsidR="006E7B97" w:rsidRPr="000A29F6" w:rsidRDefault="006E7B97" w:rsidP="00974154">
      <w:pPr>
        <w:bidi/>
        <w:jc w:val="left"/>
        <w:rPr>
          <w:rFonts w:ascii="Simplified Arabic" w:hAnsi="Simplified Arabic" w:cs="Simplified Arabic"/>
          <w:sz w:val="24"/>
          <w:szCs w:val="24"/>
          <w:rtl/>
        </w:rPr>
      </w:pPr>
      <w:r w:rsidRPr="000A29F6">
        <w:rPr>
          <w:rFonts w:ascii="Simplified Arabic" w:hAnsi="Simplified Arabic" w:cs="Simplified Arabic"/>
          <w:sz w:val="24"/>
          <w:szCs w:val="24"/>
          <w:rtl/>
        </w:rPr>
        <w:t>7.</w:t>
      </w:r>
      <w:r w:rsidRPr="000A29F6">
        <w:rPr>
          <w:rFonts w:ascii="Simplified Arabic" w:hAnsi="Simplified Arabic" w:cs="Simplified Arabic"/>
          <w:sz w:val="24"/>
          <w:szCs w:val="24"/>
          <w:rtl/>
        </w:rPr>
        <w:tab/>
        <w:t>الفرضية السابعة (</w:t>
      </w:r>
      <w:r w:rsidRPr="000A29F6">
        <w:rPr>
          <w:rFonts w:ascii="Simplified Arabic" w:hAnsi="Simplified Arabic" w:cs="Simplified Arabic"/>
          <w:sz w:val="24"/>
          <w:szCs w:val="24"/>
        </w:rPr>
        <w:t>H7</w:t>
      </w:r>
      <w:r w:rsidRPr="000A29F6">
        <w:rPr>
          <w:rFonts w:ascii="Simplified Arabic" w:hAnsi="Simplified Arabic" w:cs="Simplified Arabic"/>
          <w:sz w:val="24"/>
          <w:szCs w:val="24"/>
          <w:rtl/>
        </w:rPr>
        <w:t>): تبني استراتيجيات تأمينية شاملة يؤدي إلى تعزيز الأمان المالي وتقليل الخسائر بشكل ذي دلالة إحصائية، مما يحقق استقرارًا أكبر في قطاع تجارة الذهب والمجوهرات.</w:t>
      </w:r>
    </w:p>
    <w:p w14:paraId="07D83F0B" w14:textId="34068BB0" w:rsidR="00B4237C" w:rsidRPr="000A29F6" w:rsidRDefault="006E7B97" w:rsidP="00974154">
      <w:pPr>
        <w:bidi/>
        <w:jc w:val="left"/>
        <w:rPr>
          <w:rFonts w:ascii="Simplified Arabic" w:hAnsi="Simplified Arabic" w:cs="Simplified Arabic"/>
          <w:sz w:val="24"/>
          <w:szCs w:val="24"/>
        </w:rPr>
      </w:pPr>
      <w:r w:rsidRPr="000A29F6">
        <w:rPr>
          <w:rFonts w:ascii="Simplified Arabic" w:hAnsi="Simplified Arabic" w:cs="Simplified Arabic"/>
          <w:sz w:val="24"/>
          <w:szCs w:val="24"/>
          <w:rtl/>
        </w:rPr>
        <w:t>8.</w:t>
      </w:r>
      <w:r w:rsidRPr="000A29F6">
        <w:rPr>
          <w:rFonts w:ascii="Simplified Arabic" w:hAnsi="Simplified Arabic" w:cs="Simplified Arabic"/>
          <w:sz w:val="24"/>
          <w:szCs w:val="24"/>
          <w:rtl/>
        </w:rPr>
        <w:tab/>
        <w:t>الفرضية الثامنة (</w:t>
      </w:r>
      <w:r w:rsidRPr="000A29F6">
        <w:rPr>
          <w:rFonts w:ascii="Simplified Arabic" w:hAnsi="Simplified Arabic" w:cs="Simplified Arabic"/>
          <w:sz w:val="24"/>
          <w:szCs w:val="24"/>
        </w:rPr>
        <w:t>H8</w:t>
      </w:r>
      <w:r w:rsidRPr="000A29F6">
        <w:rPr>
          <w:rFonts w:ascii="Simplified Arabic" w:hAnsi="Simplified Arabic" w:cs="Simplified Arabic"/>
          <w:sz w:val="24"/>
          <w:szCs w:val="24"/>
          <w:rtl/>
        </w:rPr>
        <w:t>): يلعب التأمين دورًا أساسيًا وذو دلالة إحصائية في دعم استقرار سوق الذهب والمجوهرات كجزء من الاقتصاد المالي، مما يعزز من استدامة ونمو هذا القطاع.</w:t>
      </w:r>
    </w:p>
    <w:p w14:paraId="3991694E" w14:textId="40B078CF" w:rsidR="00B4237C" w:rsidRPr="000A29F6" w:rsidRDefault="00B4237C" w:rsidP="00974154">
      <w:pPr>
        <w:bidi/>
        <w:jc w:val="left"/>
        <w:rPr>
          <w:rFonts w:ascii="Simplified Arabic" w:hAnsi="Simplified Arabic" w:cs="Simplified Arabic"/>
          <w:b/>
          <w:bCs/>
          <w:sz w:val="24"/>
          <w:szCs w:val="24"/>
          <w:rtl/>
        </w:rPr>
      </w:pPr>
      <w:bookmarkStart w:id="11" w:name="_Toc195963624"/>
      <w:r w:rsidRPr="00A00916">
        <w:rPr>
          <w:rStyle w:val="Heading2Char"/>
          <w:color w:val="000000" w:themeColor="text1"/>
          <w:sz w:val="28"/>
          <w:szCs w:val="28"/>
          <w:rtl/>
        </w:rPr>
        <w:lastRenderedPageBreak/>
        <w:t>النظرية العلمية المتبعة لإعداد البحث</w:t>
      </w:r>
      <w:bookmarkEnd w:id="11"/>
      <w:r w:rsidR="00DB7734" w:rsidRPr="00A00916">
        <w:rPr>
          <w:rFonts w:ascii="Simplified Arabic" w:hAnsi="Simplified Arabic" w:cs="Simplified Arabic"/>
          <w:b/>
          <w:bCs/>
          <w:color w:val="000000" w:themeColor="text1"/>
          <w:sz w:val="28"/>
          <w:szCs w:val="28"/>
          <w:rtl/>
        </w:rPr>
        <w:t xml:space="preserve"> </w:t>
      </w:r>
      <w:r w:rsidR="00DB7734" w:rsidRPr="00DF559F">
        <w:rPr>
          <w:rFonts w:ascii="Simplified Arabic" w:hAnsi="Simplified Arabic" w:cs="Simplified Arabic"/>
          <w:b/>
          <w:bCs/>
          <w:sz w:val="28"/>
          <w:szCs w:val="28"/>
          <w:rtl/>
        </w:rPr>
        <w:t>:</w:t>
      </w:r>
      <w:r w:rsidR="00DB7734" w:rsidRPr="000A29F6">
        <w:rPr>
          <w:rFonts w:ascii="Simplified Arabic" w:hAnsi="Simplified Arabic" w:cs="Simplified Arabic"/>
          <w:sz w:val="24"/>
          <w:szCs w:val="24"/>
          <w:rtl/>
        </w:rPr>
        <w:t xml:space="preserve">  وفق الدراسات التى اعددت فى هذا المجال نجد ان النظرية الاقرب فى هذا المجال هى نظرية المخاطر حيث التركيز على طرق وأساليب إدارة المخاطر في شركات التأمين حيث تعد نظرية    المخاطر التي تواجه شركات التأمين   مثل المخاطر المالية الناجمة عن تقلبات الأسواق وأسعار الفائدة، والمخاطر الاكتوارية المتعلقة بالتنبؤات غير الدقيقة للعمر المتوقع أو الحوادث، والمخاطر التشغيلية المتعلقة بالأنظمة الداخلية والخارجية، والمخاطر القانونية الناتجة عن التغيرات في التشريعات وما يلزمها من طرق للادارة تشمل  تنويع المنتجات لتقليل تأثير المخاطر المرتبطة بأنواع معينة من التأمين، وإجراء تحليلات اكتوارية دقيقة لتحديد الأسعار وتخصيص الأموال بشكل صحيح، والاستثمار في التكنولوجيا لتحسين الكفاءة وتقليل المخاطر التشغيلية، بالإضافة إلى استخدام التأمين الإعادة لتقليل المخاطر المالية المرتبطة بالأحداث غير المتوقعة </w:t>
      </w:r>
      <w:r w:rsidR="00F02228" w:rsidRPr="000A29F6">
        <w:rPr>
          <w:rFonts w:ascii="Simplified Arabic" w:hAnsi="Simplified Arabic" w:cs="Simplified Arabic"/>
          <w:b/>
          <w:bCs/>
          <w:sz w:val="24"/>
          <w:szCs w:val="24"/>
          <w:rtl/>
        </w:rPr>
        <w:t>*(3)</w:t>
      </w:r>
    </w:p>
    <w:p w14:paraId="350F3EE8" w14:textId="77777777" w:rsidR="003B12D1" w:rsidRPr="000A29F6" w:rsidRDefault="003B12D1" w:rsidP="00974154">
      <w:pPr>
        <w:bidi/>
        <w:jc w:val="left"/>
        <w:rPr>
          <w:rFonts w:ascii="Simplified Arabic" w:hAnsi="Simplified Arabic" w:cs="Simplified Arabic"/>
          <w:b/>
          <w:bCs/>
          <w:sz w:val="24"/>
          <w:szCs w:val="24"/>
          <w:rtl/>
          <w:lang w:bidi="ar-EG"/>
        </w:rPr>
      </w:pPr>
    </w:p>
    <w:p w14:paraId="24ED2432" w14:textId="77777777" w:rsidR="003B12D1" w:rsidRPr="000A29F6" w:rsidRDefault="003B12D1" w:rsidP="00974154">
      <w:pPr>
        <w:bidi/>
        <w:jc w:val="left"/>
        <w:rPr>
          <w:rFonts w:ascii="Simplified Arabic" w:hAnsi="Simplified Arabic" w:cs="Simplified Arabic"/>
          <w:b/>
          <w:bCs/>
          <w:sz w:val="24"/>
          <w:szCs w:val="24"/>
          <w:rtl/>
          <w:lang w:bidi="ar-EG"/>
        </w:rPr>
      </w:pPr>
    </w:p>
    <w:p w14:paraId="38926ACE" w14:textId="77777777" w:rsidR="003B12D1" w:rsidRPr="000A29F6" w:rsidRDefault="003B12D1" w:rsidP="00974154">
      <w:pPr>
        <w:bidi/>
        <w:jc w:val="left"/>
        <w:rPr>
          <w:rFonts w:ascii="Simplified Arabic" w:hAnsi="Simplified Arabic" w:cs="Simplified Arabic"/>
          <w:b/>
          <w:bCs/>
          <w:sz w:val="24"/>
          <w:szCs w:val="24"/>
          <w:rtl/>
          <w:lang w:bidi="ar-EG"/>
        </w:rPr>
      </w:pPr>
    </w:p>
    <w:p w14:paraId="6418361A" w14:textId="77777777" w:rsidR="003B12D1" w:rsidRPr="000A29F6" w:rsidRDefault="003B12D1" w:rsidP="00974154">
      <w:pPr>
        <w:bidi/>
        <w:jc w:val="left"/>
        <w:rPr>
          <w:rFonts w:ascii="Simplified Arabic" w:hAnsi="Simplified Arabic" w:cs="Simplified Arabic"/>
          <w:b/>
          <w:bCs/>
          <w:sz w:val="24"/>
          <w:szCs w:val="24"/>
          <w:rtl/>
          <w:lang w:bidi="ar-EG"/>
        </w:rPr>
      </w:pPr>
    </w:p>
    <w:p w14:paraId="0FE07869" w14:textId="77777777" w:rsidR="003B12D1" w:rsidRPr="000A29F6" w:rsidRDefault="003B12D1" w:rsidP="00974154">
      <w:pPr>
        <w:bidi/>
        <w:jc w:val="left"/>
        <w:rPr>
          <w:rFonts w:ascii="Simplified Arabic" w:hAnsi="Simplified Arabic" w:cs="Simplified Arabic"/>
          <w:b/>
          <w:bCs/>
          <w:sz w:val="24"/>
          <w:szCs w:val="24"/>
          <w:rtl/>
          <w:lang w:bidi="ar-EG"/>
        </w:rPr>
      </w:pPr>
    </w:p>
    <w:p w14:paraId="31781C60" w14:textId="77777777" w:rsidR="003B12D1" w:rsidRPr="000A29F6" w:rsidRDefault="003B12D1" w:rsidP="00974154">
      <w:pPr>
        <w:bidi/>
        <w:jc w:val="left"/>
        <w:rPr>
          <w:rFonts w:ascii="Simplified Arabic" w:hAnsi="Simplified Arabic" w:cs="Simplified Arabic"/>
          <w:b/>
          <w:bCs/>
          <w:sz w:val="24"/>
          <w:szCs w:val="24"/>
          <w:rtl/>
          <w:lang w:bidi="ar-EG"/>
        </w:rPr>
      </w:pPr>
    </w:p>
    <w:p w14:paraId="67E56C9C" w14:textId="77777777" w:rsidR="003B12D1" w:rsidRPr="000A29F6" w:rsidRDefault="003B12D1" w:rsidP="00974154">
      <w:pPr>
        <w:bidi/>
        <w:jc w:val="left"/>
        <w:rPr>
          <w:rFonts w:ascii="Simplified Arabic" w:hAnsi="Simplified Arabic" w:cs="Simplified Arabic"/>
          <w:b/>
          <w:bCs/>
          <w:sz w:val="24"/>
          <w:szCs w:val="24"/>
          <w:rtl/>
          <w:lang w:bidi="ar-EG"/>
        </w:rPr>
      </w:pPr>
    </w:p>
    <w:p w14:paraId="5F4678F5" w14:textId="77777777" w:rsidR="00DF559F" w:rsidRDefault="00DF559F" w:rsidP="00974154">
      <w:pPr>
        <w:bidi/>
        <w:jc w:val="left"/>
        <w:rPr>
          <w:rFonts w:ascii="Simplified Arabic" w:hAnsi="Simplified Arabic" w:cs="Simplified Arabic"/>
          <w:b/>
          <w:bCs/>
          <w:sz w:val="28"/>
          <w:szCs w:val="28"/>
          <w:rtl/>
        </w:rPr>
      </w:pPr>
    </w:p>
    <w:p w14:paraId="3A192A07" w14:textId="77777777" w:rsidR="00D541E5" w:rsidRDefault="00D541E5" w:rsidP="00D541E5">
      <w:pPr>
        <w:bidi/>
        <w:jc w:val="left"/>
        <w:rPr>
          <w:rFonts w:ascii="Simplified Arabic" w:hAnsi="Simplified Arabic" w:cs="Simplified Arabic"/>
          <w:b/>
          <w:bCs/>
          <w:sz w:val="28"/>
          <w:szCs w:val="28"/>
          <w:rtl/>
        </w:rPr>
      </w:pPr>
    </w:p>
    <w:p w14:paraId="726E11FA" w14:textId="77777777" w:rsidR="00D541E5" w:rsidRDefault="00D541E5" w:rsidP="00D541E5">
      <w:pPr>
        <w:bidi/>
        <w:jc w:val="left"/>
        <w:rPr>
          <w:rFonts w:ascii="Simplified Arabic" w:hAnsi="Simplified Arabic" w:cs="Simplified Arabic"/>
          <w:b/>
          <w:bCs/>
          <w:sz w:val="28"/>
          <w:szCs w:val="28"/>
          <w:rtl/>
        </w:rPr>
      </w:pPr>
    </w:p>
    <w:p w14:paraId="03B48FF2" w14:textId="77777777" w:rsidR="00D541E5" w:rsidRDefault="00D541E5" w:rsidP="00D541E5">
      <w:pPr>
        <w:bidi/>
        <w:jc w:val="left"/>
        <w:rPr>
          <w:rFonts w:ascii="Simplified Arabic" w:hAnsi="Simplified Arabic" w:cs="Simplified Arabic"/>
          <w:b/>
          <w:bCs/>
          <w:sz w:val="28"/>
          <w:szCs w:val="28"/>
          <w:rtl/>
        </w:rPr>
      </w:pPr>
    </w:p>
    <w:p w14:paraId="4102EE96" w14:textId="77777777" w:rsidR="00D541E5" w:rsidRDefault="00D541E5" w:rsidP="00D541E5">
      <w:pPr>
        <w:bidi/>
        <w:jc w:val="left"/>
        <w:rPr>
          <w:rFonts w:ascii="Simplified Arabic" w:hAnsi="Simplified Arabic" w:cs="Simplified Arabic"/>
          <w:b/>
          <w:bCs/>
          <w:sz w:val="28"/>
          <w:szCs w:val="28"/>
          <w:rtl/>
        </w:rPr>
      </w:pPr>
    </w:p>
    <w:p w14:paraId="2887C8C2" w14:textId="77777777" w:rsidR="00D541E5" w:rsidRDefault="00D541E5" w:rsidP="00D541E5">
      <w:pPr>
        <w:bidi/>
        <w:jc w:val="left"/>
        <w:rPr>
          <w:rFonts w:ascii="Simplified Arabic" w:hAnsi="Simplified Arabic" w:cs="Simplified Arabic"/>
          <w:b/>
          <w:bCs/>
          <w:sz w:val="28"/>
          <w:szCs w:val="28"/>
          <w:rtl/>
        </w:rPr>
      </w:pPr>
    </w:p>
    <w:p w14:paraId="7C2D9343" w14:textId="77777777" w:rsidR="00D541E5" w:rsidRDefault="00D541E5" w:rsidP="00D541E5">
      <w:pPr>
        <w:bidi/>
        <w:jc w:val="left"/>
        <w:rPr>
          <w:rFonts w:ascii="Simplified Arabic" w:hAnsi="Simplified Arabic" w:cs="Simplified Arabic"/>
          <w:b/>
          <w:bCs/>
          <w:sz w:val="28"/>
          <w:szCs w:val="28"/>
          <w:rtl/>
        </w:rPr>
      </w:pPr>
    </w:p>
    <w:p w14:paraId="7D969206" w14:textId="77777777" w:rsidR="000362EF" w:rsidRPr="00A00916" w:rsidRDefault="000362EF" w:rsidP="00A00916">
      <w:pPr>
        <w:pStyle w:val="Heading1"/>
        <w:bidi/>
        <w:rPr>
          <w:color w:val="000000" w:themeColor="text1"/>
          <w:rtl/>
        </w:rPr>
      </w:pPr>
      <w:bookmarkStart w:id="12" w:name="_Toc195963625"/>
      <w:r w:rsidRPr="00A00916">
        <w:rPr>
          <w:color w:val="000000" w:themeColor="text1"/>
          <w:rtl/>
        </w:rPr>
        <w:t>الفصل الثاني</w:t>
      </w:r>
      <w:bookmarkEnd w:id="12"/>
    </w:p>
    <w:p w14:paraId="146CE1B3" w14:textId="77777777" w:rsidR="000362EF" w:rsidRPr="00A00916" w:rsidRDefault="000362EF" w:rsidP="00A00916">
      <w:pPr>
        <w:pStyle w:val="Heading2"/>
        <w:bidi/>
        <w:rPr>
          <w:color w:val="000000" w:themeColor="text1"/>
          <w:sz w:val="28"/>
          <w:szCs w:val="28"/>
          <w:rtl/>
        </w:rPr>
      </w:pPr>
      <w:bookmarkStart w:id="13" w:name="_Toc195963626"/>
      <w:r w:rsidRPr="00A00916">
        <w:rPr>
          <w:color w:val="000000" w:themeColor="text1"/>
          <w:sz w:val="28"/>
          <w:szCs w:val="28"/>
          <w:rtl/>
        </w:rPr>
        <w:t>الدراسات السابقة</w:t>
      </w:r>
      <w:bookmarkEnd w:id="13"/>
    </w:p>
    <w:p w14:paraId="375CD75A" w14:textId="77777777" w:rsidR="000362EF" w:rsidRPr="000A29F6" w:rsidRDefault="000362EF" w:rsidP="00974154">
      <w:pPr>
        <w:bidi/>
        <w:jc w:val="left"/>
        <w:rPr>
          <w:rFonts w:ascii="Simplified Arabic" w:hAnsi="Simplified Arabic" w:cs="Simplified Arabic"/>
          <w:b/>
          <w:bCs/>
          <w:sz w:val="24"/>
          <w:szCs w:val="24"/>
          <w:rtl/>
          <w:lang w:bidi="ar-EG"/>
        </w:rPr>
      </w:pPr>
    </w:p>
    <w:p w14:paraId="7FBE5FEC" w14:textId="77777777" w:rsidR="000362EF" w:rsidRPr="000A29F6" w:rsidRDefault="000362EF" w:rsidP="00974154">
      <w:pPr>
        <w:bidi/>
        <w:jc w:val="left"/>
        <w:rPr>
          <w:rFonts w:ascii="Simplified Arabic" w:hAnsi="Simplified Arabic" w:cs="Simplified Arabic"/>
          <w:b/>
          <w:bCs/>
          <w:sz w:val="24"/>
          <w:szCs w:val="24"/>
          <w:rtl/>
          <w:lang w:bidi="ar-EG"/>
        </w:rPr>
      </w:pPr>
    </w:p>
    <w:p w14:paraId="4572E4D5" w14:textId="77777777" w:rsidR="000362EF" w:rsidRPr="000A29F6" w:rsidRDefault="000362EF" w:rsidP="00974154">
      <w:pPr>
        <w:bidi/>
        <w:jc w:val="left"/>
        <w:rPr>
          <w:rFonts w:ascii="Simplified Arabic" w:hAnsi="Simplified Arabic" w:cs="Simplified Arabic"/>
          <w:b/>
          <w:bCs/>
          <w:sz w:val="24"/>
          <w:szCs w:val="24"/>
          <w:rtl/>
          <w:lang w:bidi="ar-EG"/>
        </w:rPr>
      </w:pPr>
    </w:p>
    <w:p w14:paraId="63C1A235" w14:textId="77777777" w:rsidR="000362EF" w:rsidRDefault="000362EF" w:rsidP="00974154">
      <w:pPr>
        <w:bidi/>
        <w:jc w:val="left"/>
        <w:rPr>
          <w:rFonts w:ascii="Simplified Arabic" w:hAnsi="Simplified Arabic" w:cs="Simplified Arabic"/>
          <w:b/>
          <w:bCs/>
          <w:sz w:val="24"/>
          <w:szCs w:val="24"/>
          <w:rtl/>
          <w:lang w:bidi="ar-EG"/>
        </w:rPr>
      </w:pPr>
    </w:p>
    <w:p w14:paraId="5F8EFAD2" w14:textId="77777777" w:rsidR="008B7838" w:rsidRDefault="008B7838" w:rsidP="008B7838">
      <w:pPr>
        <w:bidi/>
        <w:jc w:val="left"/>
        <w:rPr>
          <w:rFonts w:ascii="Simplified Arabic" w:hAnsi="Simplified Arabic" w:cs="Simplified Arabic"/>
          <w:b/>
          <w:bCs/>
          <w:sz w:val="24"/>
          <w:szCs w:val="24"/>
          <w:rtl/>
          <w:lang w:bidi="ar-EG"/>
        </w:rPr>
      </w:pPr>
    </w:p>
    <w:p w14:paraId="0B393C42" w14:textId="77777777" w:rsidR="008B7838" w:rsidRDefault="008B7838" w:rsidP="008B7838">
      <w:pPr>
        <w:bidi/>
        <w:jc w:val="left"/>
        <w:rPr>
          <w:rFonts w:ascii="Simplified Arabic" w:hAnsi="Simplified Arabic" w:cs="Simplified Arabic"/>
          <w:b/>
          <w:bCs/>
          <w:sz w:val="24"/>
          <w:szCs w:val="24"/>
          <w:rtl/>
          <w:lang w:bidi="ar-EG"/>
        </w:rPr>
      </w:pPr>
    </w:p>
    <w:p w14:paraId="2DC96E05" w14:textId="77777777" w:rsidR="008B7838" w:rsidRDefault="008B7838" w:rsidP="008B7838">
      <w:pPr>
        <w:bidi/>
        <w:jc w:val="left"/>
        <w:rPr>
          <w:rFonts w:ascii="Simplified Arabic" w:hAnsi="Simplified Arabic" w:cs="Simplified Arabic"/>
          <w:b/>
          <w:bCs/>
          <w:sz w:val="24"/>
          <w:szCs w:val="24"/>
          <w:rtl/>
          <w:lang w:bidi="ar-EG"/>
        </w:rPr>
      </w:pPr>
    </w:p>
    <w:p w14:paraId="238E7894" w14:textId="77777777" w:rsidR="008B7838" w:rsidRDefault="008B7838" w:rsidP="008B7838">
      <w:pPr>
        <w:bidi/>
        <w:jc w:val="left"/>
        <w:rPr>
          <w:rFonts w:ascii="Simplified Arabic" w:hAnsi="Simplified Arabic" w:cs="Simplified Arabic"/>
          <w:b/>
          <w:bCs/>
          <w:sz w:val="24"/>
          <w:szCs w:val="24"/>
          <w:rtl/>
          <w:lang w:bidi="ar-EG"/>
        </w:rPr>
      </w:pPr>
    </w:p>
    <w:p w14:paraId="31B30301" w14:textId="77777777" w:rsidR="00D541E5" w:rsidRPr="000A29F6" w:rsidRDefault="00D541E5" w:rsidP="00D541E5">
      <w:pPr>
        <w:bidi/>
        <w:jc w:val="left"/>
        <w:rPr>
          <w:rFonts w:ascii="Simplified Arabic" w:hAnsi="Simplified Arabic" w:cs="Simplified Arabic"/>
          <w:b/>
          <w:bCs/>
          <w:sz w:val="24"/>
          <w:szCs w:val="24"/>
          <w:rtl/>
          <w:lang w:bidi="ar-EG"/>
        </w:rPr>
      </w:pPr>
    </w:p>
    <w:p w14:paraId="23B01571" w14:textId="77777777" w:rsidR="000362EF" w:rsidRPr="000A29F6" w:rsidRDefault="000362EF" w:rsidP="00974154">
      <w:pPr>
        <w:bidi/>
        <w:jc w:val="left"/>
        <w:rPr>
          <w:rFonts w:ascii="Simplified Arabic" w:hAnsi="Simplified Arabic" w:cs="Simplified Arabic"/>
          <w:b/>
          <w:bCs/>
          <w:sz w:val="24"/>
          <w:szCs w:val="24"/>
          <w:rtl/>
          <w:lang w:bidi="ar-EG"/>
        </w:rPr>
      </w:pPr>
    </w:p>
    <w:p w14:paraId="67C313EC" w14:textId="77777777" w:rsidR="00C87A91" w:rsidRDefault="000362EF" w:rsidP="0038742F">
      <w:pPr>
        <w:bidi/>
        <w:jc w:val="both"/>
        <w:rPr>
          <w:rFonts w:ascii="Simplified Arabic" w:hAnsi="Simplified Arabic" w:cs="Simplified Arabic"/>
          <w:sz w:val="24"/>
          <w:szCs w:val="24"/>
          <w:rtl/>
          <w:lang w:bidi="ar-EG"/>
        </w:rPr>
      </w:pPr>
      <w:bookmarkStart w:id="14" w:name="_Toc195963627"/>
      <w:r w:rsidRPr="00A00916">
        <w:rPr>
          <w:rStyle w:val="Heading2Char"/>
          <w:color w:val="000000" w:themeColor="text1"/>
          <w:sz w:val="28"/>
          <w:szCs w:val="28"/>
          <w:rtl/>
        </w:rPr>
        <w:lastRenderedPageBreak/>
        <w:t xml:space="preserve">مقدمة </w:t>
      </w:r>
      <w:r w:rsidR="00DB7734" w:rsidRPr="00A00916">
        <w:rPr>
          <w:rStyle w:val="Heading2Char"/>
          <w:color w:val="000000" w:themeColor="text1"/>
          <w:sz w:val="28"/>
          <w:szCs w:val="28"/>
          <w:rtl/>
        </w:rPr>
        <w:t xml:space="preserve"> :</w:t>
      </w:r>
      <w:bookmarkEnd w:id="14"/>
      <w:r w:rsidR="00DB7734" w:rsidRPr="00A00916">
        <w:rPr>
          <w:rFonts w:ascii="Simplified Arabic" w:hAnsi="Simplified Arabic" w:cs="Simplified Arabic"/>
          <w:color w:val="000000" w:themeColor="text1"/>
          <w:sz w:val="24"/>
          <w:szCs w:val="24"/>
          <w:rtl/>
          <w:lang w:bidi="ar-EG"/>
        </w:rPr>
        <w:t xml:space="preserve"> </w:t>
      </w:r>
      <w:r w:rsidR="00DB7734" w:rsidRPr="000A29F6">
        <w:rPr>
          <w:rFonts w:ascii="Simplified Arabic" w:hAnsi="Simplified Arabic" w:cs="Simplified Arabic"/>
          <w:sz w:val="24"/>
          <w:szCs w:val="24"/>
          <w:rtl/>
          <w:lang w:bidi="ar-EG"/>
        </w:rPr>
        <w:t xml:space="preserve">فيما يلى </w:t>
      </w:r>
      <w:r w:rsidR="00DB7734" w:rsidRPr="000A29F6">
        <w:rPr>
          <w:rFonts w:ascii="Simplified Arabic" w:hAnsi="Simplified Arabic" w:cs="Simplified Arabic"/>
          <w:sz w:val="24"/>
          <w:szCs w:val="24"/>
          <w:rtl/>
        </w:rPr>
        <w:t>جدول يوضح الدراسات السابقة حول مخاطر التجارة، تجارة الذهب والمجوهرات، والحلول التأمينية المختلفة</w:t>
      </w:r>
      <w:r w:rsidR="00DB7734" w:rsidRPr="000A29F6">
        <w:rPr>
          <w:rFonts w:ascii="Simplified Arabic" w:hAnsi="Simplified Arabic" w:cs="Simplified Arabic"/>
          <w:sz w:val="24"/>
          <w:szCs w:val="24"/>
          <w:rtl/>
          <w:lang w:bidi="ar-EG"/>
        </w:rPr>
        <w:t xml:space="preserve"> </w:t>
      </w:r>
      <w:r w:rsidR="00C0674E" w:rsidRPr="000A29F6">
        <w:rPr>
          <w:rFonts w:ascii="Simplified Arabic" w:hAnsi="Simplified Arabic" w:cs="Simplified Arabic"/>
          <w:sz w:val="24"/>
          <w:szCs w:val="24"/>
          <w:rtl/>
          <w:lang w:bidi="ar-EG"/>
        </w:rPr>
        <w:t xml:space="preserve">حيث يجب الاطلاع على  الدراسات السابقة حول مخاطر التجارة، وخاصة في قطاعات مثل تجارة الذهب والمجوهرات وذلك للوقوف حول  التحديات الاقتصادية والمالية التي قد يواجهها التجار والمستثمرون وكذا  تحليل المخاطر المختلفة التي تؤثر على العمليات التجارية في الأسواق المتقلبة وغير المستقرة كذلك الوقوف على  الحلول التأمينية كوسيلة فعالة لإدارة هذه المخاطر، سواء من خلال تأمين ضد السرقة أو الخسارة أو الكوارث الطبيعية. ومن جانب اخر التركيز على الاستراتيجيات والتقنيات التي يمكن أن تحسن قدرة التجار والمستثمرين على حماية استثماراتهم وتقليل الخسائر المالية من جانب اخر استعراض اهم الدراسات التى تركز على دور التأمين في زيادة الاستقرار في الأسواق المالية المرتبطة بالذهب والمجوهرات من اجل الوصول الى  بيئة تجارية أكثر أمانًا  تعمل على  تحفيز المستثمرين على دخول هذا القطاع بشكل أكبر </w:t>
      </w:r>
    </w:p>
    <w:p w14:paraId="2DB9BE13" w14:textId="7F6A92FA" w:rsidR="00C87A91" w:rsidRPr="00C87A91" w:rsidRDefault="00C87A91" w:rsidP="00974154">
      <w:pPr>
        <w:bidi/>
        <w:jc w:val="left"/>
        <w:rPr>
          <w:rFonts w:ascii="Simplified Arabic" w:hAnsi="Simplified Arabic" w:cs="Simplified Arabic"/>
          <w:b/>
          <w:bCs/>
          <w:sz w:val="28"/>
          <w:szCs w:val="28"/>
          <w:rtl/>
        </w:rPr>
      </w:pPr>
      <w:bookmarkStart w:id="15" w:name="_Toc195963628"/>
      <w:r w:rsidRPr="00A00916">
        <w:rPr>
          <w:rStyle w:val="Heading2Char"/>
          <w:rFonts w:hint="cs"/>
          <w:color w:val="000000" w:themeColor="text1"/>
          <w:sz w:val="28"/>
          <w:szCs w:val="28"/>
          <w:rtl/>
        </w:rPr>
        <w:t>متغيرات الدراسة :</w:t>
      </w:r>
      <w:bookmarkEnd w:id="15"/>
      <w:r w:rsidRPr="00A00916">
        <w:rPr>
          <w:rFonts w:ascii="Simplified Arabic" w:hAnsi="Simplified Arabic" w:cs="Simplified Arabic" w:hint="cs"/>
          <w:b/>
          <w:bCs/>
          <w:color w:val="000000" w:themeColor="text1"/>
          <w:sz w:val="28"/>
          <w:szCs w:val="28"/>
          <w:rtl/>
          <w:lang w:bidi="ar-EG"/>
        </w:rPr>
        <w:t xml:space="preserve"> </w:t>
      </w:r>
      <w:r w:rsidRPr="00C87A91">
        <w:rPr>
          <w:rFonts w:ascii="Simplified Arabic" w:hAnsi="Simplified Arabic" w:cs="Simplified Arabic" w:hint="cs"/>
          <w:b/>
          <w:bCs/>
          <w:sz w:val="28"/>
          <w:szCs w:val="28"/>
          <w:rtl/>
          <w:lang w:bidi="ar-EG"/>
        </w:rPr>
        <w:t xml:space="preserve">يتم تقسيم متغيرات البحث الى نوعين </w:t>
      </w:r>
      <w:r>
        <w:rPr>
          <w:rFonts w:ascii="Simplified Arabic" w:hAnsi="Simplified Arabic" w:cs="Simplified Arabic" w:hint="cs"/>
          <w:b/>
          <w:bCs/>
          <w:sz w:val="28"/>
          <w:szCs w:val="28"/>
          <w:rtl/>
          <w:lang w:bidi="ar-EG"/>
        </w:rPr>
        <w:t xml:space="preserve">وفقا لعنوان البحث </w:t>
      </w:r>
      <w:r w:rsidRPr="00C87A91">
        <w:rPr>
          <w:rFonts w:ascii="Simplified Arabic" w:hAnsi="Simplified Arabic" w:cs="Simplified Arabic"/>
          <w:b/>
          <w:bCs/>
          <w:sz w:val="28"/>
          <w:szCs w:val="28"/>
          <w:rtl/>
        </w:rPr>
        <w:t>الحلول التأمينية وأثرها على تقل</w:t>
      </w:r>
      <w:r>
        <w:rPr>
          <w:rFonts w:ascii="Simplified Arabic" w:hAnsi="Simplified Arabic" w:cs="Simplified Arabic"/>
          <w:b/>
          <w:bCs/>
          <w:sz w:val="28"/>
          <w:szCs w:val="28"/>
          <w:rtl/>
        </w:rPr>
        <w:t>يل مخاطر تجارة الذهب والمجوهرات</w:t>
      </w:r>
      <w:r w:rsidRPr="00C87A91">
        <w:rPr>
          <w:rFonts w:ascii="Simplified Arabic" w:hAnsi="Simplified Arabic" w:cs="Simplified Arabic"/>
          <w:b/>
          <w:bCs/>
          <w:sz w:val="28"/>
          <w:szCs w:val="28"/>
          <w:rtl/>
        </w:rPr>
        <w:t>" دراسة تطبيقية على شركات التامين "</w:t>
      </w:r>
    </w:p>
    <w:p w14:paraId="04494986" w14:textId="03073861" w:rsidR="00C87A91" w:rsidRPr="00C87A91" w:rsidRDefault="00C87A91" w:rsidP="008E6ED6">
      <w:pPr>
        <w:pStyle w:val="ListParagraph"/>
        <w:numPr>
          <w:ilvl w:val="0"/>
          <w:numId w:val="11"/>
        </w:numPr>
        <w:bidi/>
        <w:jc w:val="left"/>
        <w:rPr>
          <w:rFonts w:ascii="Times New Roman" w:eastAsia="Times New Roman" w:hAnsi="Times New Roman" w:cs="Times New Roman"/>
          <w:kern w:val="0"/>
          <w:sz w:val="24"/>
          <w:szCs w:val="24"/>
          <w14:ligatures w14:val="none"/>
        </w:rPr>
      </w:pPr>
      <w:r w:rsidRPr="00C87A91">
        <w:rPr>
          <w:rFonts w:ascii="Times New Roman" w:eastAsia="Times New Roman" w:hAnsi="Times New Roman" w:cs="Times New Roman"/>
          <w:b/>
          <w:bCs/>
          <w:kern w:val="0"/>
          <w:sz w:val="24"/>
          <w:szCs w:val="24"/>
          <w:rtl/>
          <w14:ligatures w14:val="none"/>
        </w:rPr>
        <w:t>المتغير المستقل</w:t>
      </w:r>
      <w:r w:rsidRPr="00C87A91">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kern w:val="0"/>
          <w:sz w:val="24"/>
          <w:szCs w:val="24"/>
          <w:rtl/>
          <w14:ligatures w14:val="none"/>
        </w:rPr>
        <w:t xml:space="preserve"> </w:t>
      </w:r>
      <w:r w:rsidRPr="00C87A91">
        <w:rPr>
          <w:rFonts w:ascii="Simplified Arabic" w:eastAsia="Times New Roman" w:hAnsi="Simplified Arabic" w:cs="Simplified Arabic"/>
          <w:kern w:val="0"/>
          <w:sz w:val="24"/>
          <w:szCs w:val="24"/>
          <w:rtl/>
          <w14:ligatures w14:val="none"/>
        </w:rPr>
        <w:t xml:space="preserve">الحلول التأمينية  والتى تتضمن التعرض لكافة المفاهيم الاقرب الى هذا المتغير ليتم توضيح اهم ما يتناوله المتغير لموضوع الدراسة والتى منها  أنواع التأمين المقدمة، سياسات التأمين، التغطية التأمينية، استراتيجيات الحد من المخاطر التأمينية </w:t>
      </w:r>
    </w:p>
    <w:p w14:paraId="2CAB766D" w14:textId="0ABA69BB" w:rsidR="00D05A5C" w:rsidRPr="00D541E5" w:rsidRDefault="00C87A91" w:rsidP="00D541E5">
      <w:pPr>
        <w:pStyle w:val="ListParagraph"/>
        <w:numPr>
          <w:ilvl w:val="0"/>
          <w:numId w:val="11"/>
        </w:numPr>
        <w:bidi/>
        <w:jc w:val="left"/>
        <w:rPr>
          <w:rFonts w:ascii="Times New Roman" w:eastAsia="Times New Roman" w:hAnsi="Times New Roman" w:cs="Times New Roman"/>
          <w:kern w:val="0"/>
          <w:sz w:val="24"/>
          <w:szCs w:val="24"/>
          <w:rtl/>
          <w14:ligatures w14:val="none"/>
        </w:rPr>
      </w:pPr>
      <w:r w:rsidRPr="00C87A91">
        <w:rPr>
          <w:rFonts w:ascii="Times New Roman" w:eastAsia="Times New Roman" w:hAnsi="Times New Roman" w:cs="Times New Roman"/>
          <w:b/>
          <w:bCs/>
          <w:kern w:val="0"/>
          <w:sz w:val="24"/>
          <w:szCs w:val="24"/>
          <w:rtl/>
          <w14:ligatures w14:val="none"/>
        </w:rPr>
        <w:t>المتغير التابع</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kern w:val="0"/>
          <w:sz w:val="24"/>
          <w:szCs w:val="24"/>
          <w:rtl/>
          <w:lang w:bidi="ar-EG"/>
          <w14:ligatures w14:val="none"/>
        </w:rPr>
        <w:t xml:space="preserve"> : </w:t>
      </w:r>
      <w:r w:rsidRPr="00C87A91">
        <w:rPr>
          <w:rFonts w:ascii="Simplified Arabic" w:eastAsia="Times New Roman" w:hAnsi="Simplified Arabic" w:cs="Simplified Arabic"/>
          <w:kern w:val="0"/>
          <w:sz w:val="24"/>
          <w:szCs w:val="24"/>
          <w:rtl/>
          <w:lang w:bidi="ar-EG"/>
          <w14:ligatures w14:val="none"/>
        </w:rPr>
        <w:t xml:space="preserve">يعد تقليل </w:t>
      </w:r>
      <w:r w:rsidRPr="00C87A91">
        <w:rPr>
          <w:rFonts w:ascii="Simplified Arabic" w:eastAsia="Times New Roman" w:hAnsi="Simplified Arabic" w:cs="Simplified Arabic"/>
          <w:kern w:val="0"/>
          <w:sz w:val="24"/>
          <w:szCs w:val="24"/>
          <w:rtl/>
          <w14:ligatures w14:val="none"/>
        </w:rPr>
        <w:t xml:space="preserve"> المخاطر لتجارة الذهب والمجوهرات  المتغير التابع فى فهم متطلبات الدراسة والتى منها مثل  الخسائر المالية  وما يخص جوانب  تقليل حوادث السرقة أو الاحتيال والحرص على تعزيز  الاستقرار المالي لتجار الذهب لزيادة مستوى الثقة لجميع التجار</w:t>
      </w:r>
    </w:p>
    <w:p w14:paraId="0779BE71" w14:textId="73C0C748" w:rsidR="006541DE" w:rsidRPr="00C87A91" w:rsidRDefault="00C0674E" w:rsidP="00974154">
      <w:pPr>
        <w:bidi/>
        <w:jc w:val="left"/>
        <w:rPr>
          <w:rFonts w:ascii="Times New Roman" w:eastAsia="Times New Roman" w:hAnsi="Times New Roman" w:cs="Times New Roman"/>
          <w:kern w:val="0"/>
          <w:sz w:val="24"/>
          <w:szCs w:val="24"/>
          <w:rtl/>
          <w14:ligatures w14:val="none"/>
        </w:rPr>
      </w:pPr>
      <w:r w:rsidRPr="00C87A91">
        <w:rPr>
          <w:rFonts w:ascii="Simplified Arabic" w:hAnsi="Simplified Arabic" w:cs="Simplified Arabic"/>
          <w:sz w:val="24"/>
          <w:szCs w:val="24"/>
          <w:rtl/>
          <w:lang w:bidi="ar-EG"/>
        </w:rPr>
        <w:t xml:space="preserve">وفيما يلى استعراض لاهم ماورد فى ضوء الدراسات والادبيات فى هذه الاتجاهات : </w:t>
      </w:r>
    </w:p>
    <w:p w14:paraId="6E5A1B98" w14:textId="6C6552D5" w:rsidR="009D6D5D" w:rsidRPr="00D541E5" w:rsidRDefault="006541DE" w:rsidP="00D541E5">
      <w:pPr>
        <w:pStyle w:val="Heading3"/>
        <w:bidi/>
        <w:jc w:val="left"/>
        <w:rPr>
          <w:sz w:val="24"/>
          <w:szCs w:val="24"/>
          <w:rtl/>
          <w:lang w:bidi="ar-EG"/>
        </w:rPr>
      </w:pPr>
      <w:r w:rsidRPr="000A29F6">
        <w:rPr>
          <w:rtl/>
        </w:rPr>
        <w:t xml:space="preserve"> </w:t>
      </w:r>
      <w:bookmarkStart w:id="16" w:name="_Toc195963629"/>
      <w:r w:rsidRPr="00A00916">
        <w:rPr>
          <w:color w:val="000000" w:themeColor="text1"/>
          <w:sz w:val="24"/>
          <w:szCs w:val="24"/>
          <w:rtl/>
        </w:rPr>
        <w:t>دراسات تتعلق بجوانب</w:t>
      </w:r>
      <w:r w:rsidR="00A47D26" w:rsidRPr="00A00916">
        <w:rPr>
          <w:color w:val="000000" w:themeColor="text1"/>
          <w:sz w:val="24"/>
          <w:szCs w:val="24"/>
          <w:rtl/>
        </w:rPr>
        <w:t xml:space="preserve"> تجارة الذهب والمجوهرات</w:t>
      </w:r>
      <w:r w:rsidRPr="00A00916">
        <w:rPr>
          <w:color w:val="000000" w:themeColor="text1"/>
          <w:sz w:val="24"/>
          <w:szCs w:val="24"/>
          <w:rtl/>
        </w:rPr>
        <w:t xml:space="preserve"> :</w:t>
      </w:r>
      <w:bookmarkEnd w:id="16"/>
      <w:r w:rsidRPr="00A00916">
        <w:rPr>
          <w:color w:val="000000" w:themeColor="text1"/>
          <w:sz w:val="24"/>
          <w:szCs w:val="24"/>
          <w:rtl/>
        </w:rPr>
        <w:t xml:space="preserve"> </w:t>
      </w:r>
    </w:p>
    <w:p w14:paraId="11E175C1" w14:textId="77777777" w:rsidR="009D6D5D" w:rsidRPr="009D6D5D" w:rsidRDefault="009D6D5D" w:rsidP="009D6D5D">
      <w:pPr>
        <w:autoSpaceDE w:val="0"/>
        <w:autoSpaceDN w:val="0"/>
        <w:bidi/>
        <w:adjustRightInd w:val="0"/>
        <w:spacing w:before="0" w:beforeAutospacing="0" w:after="0" w:afterAutospacing="0" w:line="240" w:lineRule="auto"/>
        <w:jc w:val="left"/>
        <w:rPr>
          <w:rFonts w:ascii="Simplified Arabic" w:eastAsia="Calibri" w:hAnsi="Simplified Arabic" w:cs="Simplified Arabic"/>
          <w:color w:val="000000"/>
          <w:kern w:val="0"/>
          <w:sz w:val="24"/>
          <w:szCs w:val="24"/>
          <w:rtl/>
          <w14:ligatures w14:val="none"/>
        </w:rPr>
      </w:pPr>
    </w:p>
    <w:p w14:paraId="116F375F" w14:textId="77777777" w:rsidR="009D6D5D" w:rsidRPr="009D6D5D" w:rsidRDefault="009D6D5D" w:rsidP="009D6D5D">
      <w:pPr>
        <w:numPr>
          <w:ilvl w:val="0"/>
          <w:numId w:val="28"/>
        </w:numPr>
        <w:autoSpaceDE w:val="0"/>
        <w:autoSpaceDN w:val="0"/>
        <w:bidi/>
        <w:adjustRightInd w:val="0"/>
        <w:spacing w:before="0" w:beforeAutospacing="0" w:after="0" w:afterAutospacing="0" w:line="240" w:lineRule="auto"/>
        <w:contextualSpacing/>
        <w:jc w:val="both"/>
        <w:rPr>
          <w:rFonts w:ascii="Simplified Arabic" w:eastAsia="Calibri" w:hAnsi="Simplified Arabic" w:cs="Simplified Arabic"/>
          <w:color w:val="000000"/>
          <w:kern w:val="0"/>
          <w:sz w:val="24"/>
          <w:szCs w:val="24"/>
          <w:rtl/>
          <w14:ligatures w14:val="none"/>
        </w:rPr>
      </w:pPr>
      <w:r w:rsidRPr="009D6D5D">
        <w:rPr>
          <w:rFonts w:ascii="Simplified Arabic" w:eastAsia="Calibri" w:hAnsi="Simplified Arabic" w:cs="Simplified Arabic"/>
          <w:color w:val="000000"/>
          <w:kern w:val="0"/>
          <w:sz w:val="24"/>
          <w:szCs w:val="24"/>
          <w14:ligatures w14:val="none"/>
        </w:rPr>
        <w:t xml:space="preserve">Efimenko, V. </w:t>
      </w:r>
      <w:r w:rsidRPr="009D6D5D">
        <w:rPr>
          <w:rFonts w:ascii="Simplified Arabic" w:eastAsia="Calibri" w:hAnsi="Simplified Arabic" w:cs="Simplified Arabic" w:hint="cs"/>
          <w:color w:val="000000"/>
          <w:kern w:val="0"/>
          <w:sz w:val="24"/>
          <w:szCs w:val="24"/>
          <w:rtl/>
          <w14:ligatures w14:val="none"/>
        </w:rPr>
        <w:t xml:space="preserve"> (</w:t>
      </w:r>
      <w:r w:rsidRPr="009D6D5D">
        <w:rPr>
          <w:rFonts w:ascii="Simplified Arabic" w:eastAsia="Calibri" w:hAnsi="Simplified Arabic" w:cs="Simplified Arabic"/>
          <w:color w:val="000000"/>
          <w:kern w:val="0"/>
          <w:sz w:val="24"/>
          <w:szCs w:val="24"/>
          <w14:ligatures w14:val="none"/>
        </w:rPr>
        <w:t>2015</w:t>
      </w:r>
      <w:r w:rsidRPr="009D6D5D">
        <w:rPr>
          <w:rFonts w:ascii="Simplified Arabic" w:eastAsia="Calibri" w:hAnsi="Simplified Arabic" w:cs="Simplified Arabic"/>
          <w:color w:val="000000"/>
          <w:kern w:val="0"/>
          <w:sz w:val="24"/>
          <w:szCs w:val="24"/>
          <w:rtl/>
          <w14:ligatures w14:val="none"/>
        </w:rPr>
        <w:t>) الطلب والاستثمار في المجوهرات خلال الأزمات الاقتصادية. درست الدراسة العوامل المؤثرة على الطلب على المجوهرات أثناء الأزمات الاقتصادية، موضحةً أن الاستثمار في المجوهرات يعمل كملاذ آمن خلال الأوقات الصعبة. لم تتناول الدراسة التأمين كإجراء للحد من المخاطر</w:t>
      </w:r>
      <w:r w:rsidRPr="009D6D5D">
        <w:rPr>
          <w:rFonts w:ascii="Simplified Arabic" w:eastAsia="Calibri" w:hAnsi="Simplified Arabic" w:cs="Simplified Arabic" w:hint="cs"/>
          <w:color w:val="000000"/>
          <w:kern w:val="0"/>
          <w:sz w:val="24"/>
          <w:szCs w:val="24"/>
          <w:rtl/>
          <w14:ligatures w14:val="none"/>
        </w:rPr>
        <w:t xml:space="preserve">  </w:t>
      </w:r>
    </w:p>
    <w:p w14:paraId="72ABEB36" w14:textId="77777777" w:rsidR="009D6D5D" w:rsidRPr="009D6D5D" w:rsidRDefault="009D6D5D" w:rsidP="009D6D5D">
      <w:pPr>
        <w:autoSpaceDE w:val="0"/>
        <w:autoSpaceDN w:val="0"/>
        <w:bidi/>
        <w:adjustRightInd w:val="0"/>
        <w:spacing w:before="0" w:beforeAutospacing="0" w:after="0" w:afterAutospacing="0" w:line="240" w:lineRule="auto"/>
        <w:ind w:left="720"/>
        <w:contextualSpacing/>
        <w:jc w:val="both"/>
        <w:rPr>
          <w:rFonts w:ascii="Simplified Arabic" w:eastAsia="Calibri" w:hAnsi="Simplified Arabic" w:cs="Simplified Arabic"/>
          <w:color w:val="000000"/>
          <w:kern w:val="0"/>
          <w:sz w:val="24"/>
          <w:szCs w:val="24"/>
          <w14:ligatures w14:val="none"/>
        </w:rPr>
      </w:pPr>
    </w:p>
    <w:p w14:paraId="486B5D32" w14:textId="77777777" w:rsidR="009D6D5D" w:rsidRPr="009D6D5D" w:rsidRDefault="009D6D5D" w:rsidP="009D6D5D">
      <w:pPr>
        <w:numPr>
          <w:ilvl w:val="0"/>
          <w:numId w:val="28"/>
        </w:numPr>
        <w:autoSpaceDE w:val="0"/>
        <w:autoSpaceDN w:val="0"/>
        <w:bidi/>
        <w:adjustRightInd w:val="0"/>
        <w:spacing w:before="0" w:beforeAutospacing="0" w:after="0" w:afterAutospacing="0" w:line="240" w:lineRule="auto"/>
        <w:contextualSpacing/>
        <w:jc w:val="both"/>
        <w:rPr>
          <w:rFonts w:ascii="Simplified Arabic" w:eastAsia="Calibri" w:hAnsi="Simplified Arabic" w:cs="Simplified Arabic"/>
          <w:color w:val="000000"/>
          <w:kern w:val="0"/>
          <w:sz w:val="24"/>
          <w:szCs w:val="24"/>
          <w:rtl/>
          <w14:ligatures w14:val="none"/>
        </w:rPr>
      </w:pPr>
      <w:r w:rsidRPr="009D6D5D">
        <w:rPr>
          <w:rFonts w:ascii="Simplified Arabic" w:eastAsia="Calibri" w:hAnsi="Simplified Arabic" w:cs="Simplified Arabic"/>
          <w:kern w:val="0"/>
          <w:sz w:val="24"/>
          <w:szCs w:val="24"/>
          <w14:ligatures w14:val="none"/>
        </w:rPr>
        <w:lastRenderedPageBreak/>
        <w:t>Carrigan, M., McEachern, M., and Morais, K. (2017)</w:t>
      </w:r>
      <w:r w:rsidRPr="009D6D5D">
        <w:rPr>
          <w:rFonts w:ascii="Simplified Arabic" w:eastAsia="Calibri" w:hAnsi="Simplified Arabic" w:cs="Simplified Arabic"/>
          <w:color w:val="000000"/>
          <w:kern w:val="0"/>
          <w:sz w:val="24"/>
          <w:szCs w:val="24"/>
          <w:rtl/>
          <w14:ligatures w14:val="none"/>
        </w:rPr>
        <w:t xml:space="preserve"> صناعة المجوهرات الفاخرة: تحديات المسؤولية الاجتماعية والقوى المؤسسية التي تواجه الشركات الصغيرة والمتوسطة. ركزت الدراسة على التحديات التي تواجه الشركات الصغيرة والمتوسطة في قطاع المجوهرات، مثل المسؤولية الاجتماعية والتحديات المؤسسية. أظهرت النتائج دور المسؤولية الاجتماعية في تحسين أداء الشركات، دون التطرق إلى التأمين كأداة لتخفيف المخاطر</w:t>
      </w:r>
      <w:r w:rsidRPr="009D6D5D">
        <w:rPr>
          <w:rFonts w:ascii="Simplified Arabic" w:eastAsia="Calibri" w:hAnsi="Simplified Arabic" w:cs="Simplified Arabic" w:hint="cs"/>
          <w:color w:val="000000"/>
          <w:kern w:val="0"/>
          <w:sz w:val="24"/>
          <w:szCs w:val="24"/>
          <w:rtl/>
          <w14:ligatures w14:val="none"/>
        </w:rPr>
        <w:t xml:space="preserve"> </w:t>
      </w:r>
    </w:p>
    <w:p w14:paraId="59E31444" w14:textId="77777777" w:rsidR="009D6D5D" w:rsidRPr="009D6D5D" w:rsidRDefault="009D6D5D" w:rsidP="009D6D5D">
      <w:pPr>
        <w:numPr>
          <w:ilvl w:val="0"/>
          <w:numId w:val="28"/>
        </w:numPr>
        <w:bidi/>
        <w:spacing w:before="0" w:beforeAutospacing="0" w:after="200" w:afterAutospacing="0" w:line="276" w:lineRule="auto"/>
        <w:contextualSpacing/>
        <w:jc w:val="both"/>
        <w:rPr>
          <w:rFonts w:ascii="Simplified Arabic" w:eastAsia="Calibri" w:hAnsi="Simplified Arabic" w:cs="Simplified Arabic"/>
          <w:color w:val="000000"/>
          <w:kern w:val="0"/>
          <w:sz w:val="24"/>
          <w:szCs w:val="24"/>
          <w:rtl/>
          <w14:ligatures w14:val="none"/>
        </w:rPr>
      </w:pPr>
      <w:r w:rsidRPr="009D6D5D">
        <w:rPr>
          <w:rFonts w:ascii="Simplified Arabic" w:eastAsia="Calibri" w:hAnsi="Simplified Arabic" w:cs="Simplified Arabic"/>
          <w:kern w:val="0"/>
          <w:sz w:val="24"/>
          <w:szCs w:val="24"/>
          <w14:ligatures w14:val="none"/>
        </w:rPr>
        <w:t>Gaggio, D. (2018)</w:t>
      </w:r>
      <w:proofErr w:type="gramStart"/>
      <w:r w:rsidRPr="009D6D5D">
        <w:rPr>
          <w:rFonts w:ascii="Simplified Arabic" w:eastAsia="Calibri" w:hAnsi="Simplified Arabic" w:cs="Simplified Arabic"/>
          <w:kern w:val="0"/>
          <w:sz w:val="24"/>
          <w:szCs w:val="24"/>
          <w14:ligatures w14:val="none"/>
        </w:rPr>
        <w:t>.</w:t>
      </w:r>
      <w:r w:rsidRPr="009D6D5D">
        <w:rPr>
          <w:rFonts w:ascii="Simplified Arabic" w:eastAsia="Calibri" w:hAnsi="Simplified Arabic" w:cs="Simplified Arabic"/>
          <w:color w:val="000000"/>
          <w:kern w:val="0"/>
          <w:sz w:val="24"/>
          <w:szCs w:val="24"/>
          <w:rtl/>
          <w14:ligatures w14:val="none"/>
        </w:rPr>
        <w:t>.</w:t>
      </w:r>
      <w:proofErr w:type="gramEnd"/>
      <w:r w:rsidRPr="009D6D5D">
        <w:rPr>
          <w:rFonts w:ascii="Simplified Arabic" w:eastAsia="Calibri" w:hAnsi="Simplified Arabic" w:cs="Simplified Arabic"/>
          <w:color w:val="000000"/>
          <w:kern w:val="0"/>
          <w:sz w:val="24"/>
          <w:szCs w:val="24"/>
          <w:rtl/>
          <w14:ligatures w14:val="none"/>
        </w:rPr>
        <w:t xml:space="preserve"> نثق في الذهب: رأس المال الاجتماعي والتغير الاقتصادي في مدن المجوهرات الإيطالية. ناقشت الدراسة تأثير الذهب على الاقتصاد المحلي في المدن الإيطالية، مؤكدةً العلاقة بين رأس المال الاجتماعي والتغيرات الاقتصادية. أظهرت النتائج أن الاستثمار في الذهب يساهم في استقرار الاقتصاد المحلي، دون التطرق إلى التأمين</w:t>
      </w:r>
      <w:r w:rsidRPr="009D6D5D">
        <w:rPr>
          <w:rFonts w:ascii="Simplified Arabic" w:eastAsia="Calibri" w:hAnsi="Simplified Arabic" w:cs="Simplified Arabic" w:hint="cs"/>
          <w:color w:val="000000"/>
          <w:kern w:val="0"/>
          <w:sz w:val="24"/>
          <w:szCs w:val="24"/>
          <w:rtl/>
          <w14:ligatures w14:val="none"/>
        </w:rPr>
        <w:t xml:space="preserve">  </w:t>
      </w:r>
    </w:p>
    <w:p w14:paraId="778D4B04" w14:textId="77777777" w:rsidR="009D6D5D" w:rsidRPr="009D6D5D" w:rsidRDefault="009D6D5D" w:rsidP="009D6D5D">
      <w:pPr>
        <w:numPr>
          <w:ilvl w:val="0"/>
          <w:numId w:val="28"/>
        </w:numPr>
        <w:bidi/>
        <w:spacing w:before="0" w:beforeAutospacing="0" w:after="200" w:afterAutospacing="0" w:line="276" w:lineRule="auto"/>
        <w:contextualSpacing/>
        <w:jc w:val="left"/>
        <w:rPr>
          <w:rFonts w:ascii="Simplified Arabic" w:eastAsia="Calibri" w:hAnsi="Simplified Arabic" w:cs="Simplified Arabic"/>
          <w:color w:val="000000"/>
          <w:kern w:val="0"/>
          <w:sz w:val="24"/>
          <w:szCs w:val="24"/>
          <w:rtl/>
          <w14:ligatures w14:val="none"/>
        </w:rPr>
      </w:pPr>
      <w:r w:rsidRPr="009D6D5D">
        <w:rPr>
          <w:rFonts w:ascii="Simplified Arabic" w:eastAsia="Calibri" w:hAnsi="Simplified Arabic" w:cs="Simplified Arabic"/>
          <w:kern w:val="0"/>
          <w:sz w:val="24"/>
          <w:szCs w:val="24"/>
          <w14:ligatures w14:val="none"/>
        </w:rPr>
        <w:t>Abdul Majeed, M., Colby, F., Hinrichsen, K., and Kapoor, K. (2019)</w:t>
      </w:r>
      <w:r w:rsidRPr="009D6D5D">
        <w:rPr>
          <w:rFonts w:ascii="Simplified Arabic" w:eastAsia="Calibri" w:hAnsi="Simplified Arabic" w:cs="Simplified Arabic"/>
          <w:color w:val="000000"/>
          <w:kern w:val="0"/>
          <w:sz w:val="24"/>
          <w:szCs w:val="24"/>
          <w:rtl/>
          <w14:ligatures w14:val="none"/>
        </w:rPr>
        <w:t>. مؤشر تأثير تطوير المجوهرات. ركزت الدراسة على التأثير البيئي لصناعة المجوهرات، موضحةً التحديات البيئية الناتجة عن عمليات التعدين مثل التلوث. لم تتناول الدراسة التأمين بشكل مباشر، ولكنها سلطت الضوء على المخاطر البيئية التي تؤثر على قطاع المجوهرات.</w:t>
      </w:r>
      <w:r w:rsidRPr="009D6D5D">
        <w:rPr>
          <w:rFonts w:ascii="Simplified Arabic" w:eastAsia="Calibri" w:hAnsi="Simplified Arabic" w:cs="Simplified Arabic" w:hint="cs"/>
          <w:color w:val="000000"/>
          <w:kern w:val="0"/>
          <w:sz w:val="24"/>
          <w:szCs w:val="24"/>
          <w:rtl/>
          <w14:ligatures w14:val="none"/>
        </w:rPr>
        <w:t xml:space="preserve"> </w:t>
      </w:r>
    </w:p>
    <w:p w14:paraId="0283E240" w14:textId="77777777" w:rsidR="009D6D5D" w:rsidRPr="009D6D5D" w:rsidRDefault="009D6D5D" w:rsidP="009D6D5D">
      <w:pPr>
        <w:numPr>
          <w:ilvl w:val="0"/>
          <w:numId w:val="28"/>
        </w:numPr>
        <w:bidi/>
        <w:spacing w:before="0" w:beforeAutospacing="0" w:after="200" w:afterAutospacing="0" w:line="276" w:lineRule="auto"/>
        <w:contextualSpacing/>
        <w:jc w:val="left"/>
        <w:rPr>
          <w:rFonts w:ascii="Simplified Arabic" w:eastAsia="Calibri" w:hAnsi="Simplified Arabic" w:cs="Simplified Arabic"/>
          <w:color w:val="000000"/>
          <w:kern w:val="0"/>
          <w:sz w:val="24"/>
          <w:szCs w:val="24"/>
          <w:rtl/>
          <w14:ligatures w14:val="none"/>
        </w:rPr>
      </w:pPr>
      <w:r w:rsidRPr="009D6D5D">
        <w:rPr>
          <w:rFonts w:ascii="Simplified Arabic" w:eastAsia="Calibri" w:hAnsi="Simplified Arabic" w:cs="Simplified Arabic"/>
          <w:kern w:val="0"/>
          <w:sz w:val="24"/>
          <w:szCs w:val="24"/>
          <w14:ligatures w14:val="none"/>
        </w:rPr>
        <w:t>Konovalova, M. E., Kuzmina, A. Y., and Wondorzova, E. S. (2019).</w:t>
      </w:r>
      <w:r w:rsidRPr="009D6D5D">
        <w:rPr>
          <w:rFonts w:ascii="Simplified Arabic" w:eastAsia="Calibri" w:hAnsi="Simplified Arabic" w:cs="Simplified Arabic" w:hint="cs"/>
          <w:color w:val="000000"/>
          <w:kern w:val="0"/>
          <w:sz w:val="24"/>
          <w:szCs w:val="24"/>
          <w:rtl/>
          <w14:ligatures w14:val="none"/>
        </w:rPr>
        <w:t xml:space="preserve"> </w:t>
      </w:r>
      <w:r w:rsidRPr="009D6D5D">
        <w:rPr>
          <w:rFonts w:ascii="Simplified Arabic" w:eastAsia="Calibri" w:hAnsi="Simplified Arabic" w:cs="Simplified Arabic"/>
          <w:color w:val="000000"/>
          <w:kern w:val="0"/>
          <w:sz w:val="24"/>
          <w:szCs w:val="24"/>
          <w:rtl/>
          <w14:ligatures w14:val="none"/>
        </w:rPr>
        <w:t>. تحليل سوق المعادن الثمينة في روسيا كجزء من السوق المالية العالمية في الظروف الحديثة. تناولت الدراسة تأثير الأزمات الاقتصادية والسياسية على سوق المعادن الثمينة في روسيا، موضحةً التقلبات الحادة في الإنتاج والتجارة. لم يتم التطرق إلى التأمين كجزء من إدارة هذه التقلبات</w:t>
      </w:r>
      <w:r w:rsidRPr="009D6D5D">
        <w:rPr>
          <w:rFonts w:ascii="Simplified Arabic" w:eastAsia="Calibri" w:hAnsi="Simplified Arabic" w:cs="Simplified Arabic" w:hint="cs"/>
          <w:color w:val="000000"/>
          <w:kern w:val="0"/>
          <w:sz w:val="24"/>
          <w:szCs w:val="24"/>
          <w:rtl/>
          <w14:ligatures w14:val="none"/>
        </w:rPr>
        <w:t xml:space="preserve"> </w:t>
      </w:r>
    </w:p>
    <w:p w14:paraId="188B663A" w14:textId="77777777" w:rsidR="009D6D5D" w:rsidRPr="009D6D5D" w:rsidRDefault="009D6D5D" w:rsidP="009D6D5D">
      <w:pPr>
        <w:numPr>
          <w:ilvl w:val="0"/>
          <w:numId w:val="28"/>
        </w:numPr>
        <w:bidi/>
        <w:spacing w:before="0" w:beforeAutospacing="0" w:after="200" w:afterAutospacing="0" w:line="276" w:lineRule="auto"/>
        <w:contextualSpacing/>
        <w:jc w:val="left"/>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kern w:val="0"/>
          <w:sz w:val="24"/>
          <w:szCs w:val="24"/>
          <w14:ligatures w14:val="none"/>
        </w:rPr>
        <w:t xml:space="preserve">Phongvornorachai, R. (2021). </w:t>
      </w:r>
      <w:r w:rsidRPr="009D6D5D">
        <w:rPr>
          <w:rFonts w:ascii="Simplified Arabic" w:eastAsia="Calibri" w:hAnsi="Simplified Arabic" w:cs="Simplified Arabic" w:hint="cs"/>
          <w:color w:val="000000"/>
          <w:kern w:val="0"/>
          <w:sz w:val="24"/>
          <w:szCs w:val="24"/>
          <w:rtl/>
          <w14:ligatures w14:val="none"/>
        </w:rPr>
        <w:t xml:space="preserve"> </w:t>
      </w:r>
      <w:r w:rsidRPr="009D6D5D">
        <w:rPr>
          <w:rFonts w:ascii="Simplified Arabic" w:eastAsia="Calibri" w:hAnsi="Simplified Arabic" w:cs="Simplified Arabic"/>
          <w:color w:val="000000"/>
          <w:kern w:val="0"/>
          <w:sz w:val="24"/>
          <w:szCs w:val="24"/>
          <w:rtl/>
          <w14:ligatures w14:val="none"/>
        </w:rPr>
        <w:t>عوامل اتخاذ قرار الاستثمار وتأثيرها على توسع الحصة السوقية للأحجار الكريمة والمجوهرات. تناولت الدراسة العوامل المؤثرة في قرارات الاستثمار بسوق الأحجار الكريمة والمجوهرات، مسلطةً الضوء على المخاطر المرتبطة بالسوق. أكدت النتائج أهمية التقييم الصحيح للمخاطر، لكنها لم تركز على التأمين كأداة لتخفيف هذه المخاطر</w:t>
      </w:r>
      <w:r w:rsidRPr="009D6D5D">
        <w:rPr>
          <w:rFonts w:ascii="Simplified Arabic" w:eastAsia="Calibri" w:hAnsi="Simplified Arabic" w:cs="Simplified Arabic" w:hint="cs"/>
          <w:color w:val="000000"/>
          <w:kern w:val="0"/>
          <w:sz w:val="24"/>
          <w:szCs w:val="24"/>
          <w:rtl/>
          <w14:ligatures w14:val="none"/>
        </w:rPr>
        <w:t xml:space="preserve"> </w:t>
      </w:r>
      <w:r w:rsidRPr="009D6D5D">
        <w:rPr>
          <w:rFonts w:ascii="Simplified Arabic" w:eastAsia="Calibri" w:hAnsi="Simplified Arabic" w:cs="Simplified Arabic"/>
          <w:color w:val="000000"/>
          <w:kern w:val="0"/>
          <w:sz w:val="24"/>
          <w:szCs w:val="24"/>
          <w:rtl/>
          <w14:ligatures w14:val="none"/>
        </w:rPr>
        <w:t>.</w:t>
      </w:r>
    </w:p>
    <w:p w14:paraId="36DD82A9" w14:textId="77777777" w:rsidR="009D6D5D" w:rsidRPr="009D6D5D" w:rsidRDefault="009D6D5D" w:rsidP="009D6D5D">
      <w:pPr>
        <w:numPr>
          <w:ilvl w:val="0"/>
          <w:numId w:val="28"/>
        </w:numPr>
        <w:autoSpaceDE w:val="0"/>
        <w:autoSpaceDN w:val="0"/>
        <w:bidi/>
        <w:adjustRightInd w:val="0"/>
        <w:spacing w:before="0" w:beforeAutospacing="0" w:after="0" w:afterAutospacing="0" w:line="240" w:lineRule="auto"/>
        <w:contextualSpacing/>
        <w:jc w:val="both"/>
        <w:rPr>
          <w:rFonts w:ascii="Simplified Arabic" w:eastAsia="Calibri" w:hAnsi="Simplified Arabic" w:cs="Simplified Arabic"/>
          <w:color w:val="000000"/>
          <w:kern w:val="0"/>
          <w:sz w:val="24"/>
          <w:szCs w:val="24"/>
          <w:rtl/>
          <w14:ligatures w14:val="none"/>
        </w:rPr>
      </w:pPr>
      <w:r w:rsidRPr="009D6D5D">
        <w:rPr>
          <w:rFonts w:ascii="Simplified Arabic" w:eastAsia="Calibri" w:hAnsi="Simplified Arabic" w:cs="Simplified Arabic"/>
          <w:kern w:val="0"/>
          <w:sz w:val="24"/>
          <w:szCs w:val="24"/>
          <w14:ligatures w14:val="none"/>
        </w:rPr>
        <w:t xml:space="preserve">Kei, H. H. M. (2024). </w:t>
      </w:r>
      <w:r w:rsidRPr="009D6D5D">
        <w:rPr>
          <w:rFonts w:ascii="Simplified Arabic" w:eastAsia="Calibri" w:hAnsi="Simplified Arabic" w:cs="Simplified Arabic" w:hint="cs"/>
          <w:color w:val="000000"/>
          <w:kern w:val="0"/>
          <w:sz w:val="24"/>
          <w:szCs w:val="24"/>
          <w:rtl/>
          <w14:ligatures w14:val="none"/>
        </w:rPr>
        <w:t xml:space="preserve"> </w:t>
      </w:r>
      <w:r w:rsidRPr="009D6D5D">
        <w:rPr>
          <w:rFonts w:ascii="Simplified Arabic" w:eastAsia="Calibri" w:hAnsi="Simplified Arabic" w:cs="Simplified Arabic"/>
          <w:color w:val="000000"/>
          <w:kern w:val="0"/>
          <w:sz w:val="24"/>
          <w:szCs w:val="24"/>
          <w:rtl/>
          <w14:ligatures w14:val="none"/>
        </w:rPr>
        <w:t>الاستثمار المربح في المجوهرات في جنوب شرق آسيا. تناولت الدراسة التحديات التي تواجه صناعة المجوهرات في جنوب شرق آسيا، مع التركيز على استراتيجيات تقليل المخاطر، بما في ذلك دور التأمين كأداة أساسية لحماية المستثمرين. أكدت النتائج أن التأمين يعد عنصرًا حيويًا في تحقيق الاستقرار المالي لهذه الصناعة.</w:t>
      </w:r>
      <w:r w:rsidRPr="009D6D5D">
        <w:rPr>
          <w:rFonts w:ascii="Simplified Arabic" w:eastAsia="Calibri" w:hAnsi="Simplified Arabic" w:cs="Simplified Arabic" w:hint="cs"/>
          <w:color w:val="FF0000"/>
          <w:kern w:val="0"/>
          <w:sz w:val="24"/>
          <w:szCs w:val="24"/>
          <w:rtl/>
          <w14:ligatures w14:val="none"/>
        </w:rPr>
        <w:t xml:space="preserve"> </w:t>
      </w:r>
    </w:p>
    <w:p w14:paraId="6AEA51BA" w14:textId="77777777" w:rsidR="009D6D5D" w:rsidRPr="009D6D5D" w:rsidRDefault="009D6D5D" w:rsidP="009D6D5D">
      <w:pPr>
        <w:autoSpaceDE w:val="0"/>
        <w:autoSpaceDN w:val="0"/>
        <w:bidi/>
        <w:adjustRightInd w:val="0"/>
        <w:spacing w:before="0" w:beforeAutospacing="0" w:after="0" w:afterAutospacing="0" w:line="240" w:lineRule="auto"/>
        <w:jc w:val="left"/>
        <w:rPr>
          <w:rFonts w:ascii="Simplified Arabic" w:eastAsia="Calibri" w:hAnsi="Simplified Arabic" w:cs="Simplified Arabic"/>
          <w:color w:val="000000"/>
          <w:kern w:val="0"/>
          <w:sz w:val="24"/>
          <w:szCs w:val="24"/>
          <w:rtl/>
          <w14:ligatures w14:val="none"/>
        </w:rPr>
      </w:pPr>
    </w:p>
    <w:p w14:paraId="3A4E3F96" w14:textId="77777777" w:rsidR="009D6D5D" w:rsidRPr="009D6D5D" w:rsidRDefault="009D6D5D" w:rsidP="009D6D5D">
      <w:pPr>
        <w:autoSpaceDE w:val="0"/>
        <w:autoSpaceDN w:val="0"/>
        <w:bidi/>
        <w:adjustRightInd w:val="0"/>
        <w:spacing w:before="0" w:beforeAutospacing="0" w:after="0" w:afterAutospacing="0" w:line="240" w:lineRule="auto"/>
        <w:jc w:val="left"/>
        <w:rPr>
          <w:rFonts w:ascii="Simplified Arabic" w:eastAsia="Calibri" w:hAnsi="Simplified Arabic" w:cs="Simplified Arabic"/>
          <w:b/>
          <w:bCs/>
          <w:color w:val="000000"/>
          <w:kern w:val="0"/>
          <w:sz w:val="24"/>
          <w:szCs w:val="24"/>
          <w:rtl/>
          <w:lang w:bidi="ar-EG"/>
          <w14:ligatures w14:val="none"/>
        </w:rPr>
      </w:pPr>
      <w:r w:rsidRPr="009D6D5D">
        <w:rPr>
          <w:rFonts w:ascii="Simplified Arabic" w:eastAsia="Calibri" w:hAnsi="Simplified Arabic" w:cs="Simplified Arabic"/>
          <w:color w:val="000000"/>
          <w:kern w:val="0"/>
          <w:sz w:val="24"/>
          <w:szCs w:val="24"/>
          <w:rtl/>
          <w14:ligatures w14:val="none"/>
        </w:rPr>
        <w:t>2</w:t>
      </w:r>
      <w:r w:rsidRPr="009D6D5D">
        <w:rPr>
          <w:rFonts w:ascii="Simplified Arabic" w:eastAsia="Calibri" w:hAnsi="Simplified Arabic" w:cs="Simplified Arabic"/>
          <w:b/>
          <w:bCs/>
          <w:color w:val="000000"/>
          <w:kern w:val="0"/>
          <w:sz w:val="28"/>
          <w:szCs w:val="28"/>
          <w:rtl/>
          <w14:ligatures w14:val="none"/>
        </w:rPr>
        <w:t>-</w:t>
      </w:r>
      <w:r w:rsidRPr="009D6D5D">
        <w:rPr>
          <w:rFonts w:ascii="Simplified Arabic" w:eastAsia="Calibri" w:hAnsi="Simplified Arabic" w:cs="Simplified Arabic" w:hint="cs"/>
          <w:b/>
          <w:bCs/>
          <w:color w:val="000000"/>
          <w:kern w:val="0"/>
          <w:sz w:val="28"/>
          <w:szCs w:val="28"/>
          <w:rtl/>
          <w14:ligatures w14:val="none"/>
        </w:rPr>
        <w:t xml:space="preserve">دراسات تشمل </w:t>
      </w:r>
      <w:r w:rsidRPr="009D6D5D">
        <w:rPr>
          <w:rFonts w:ascii="Simplified Arabic" w:eastAsia="Calibri" w:hAnsi="Simplified Arabic" w:cs="Simplified Arabic"/>
          <w:b/>
          <w:bCs/>
          <w:color w:val="000000"/>
          <w:kern w:val="0"/>
          <w:sz w:val="28"/>
          <w:szCs w:val="28"/>
          <w:rtl/>
          <w14:ligatures w14:val="none"/>
        </w:rPr>
        <w:t xml:space="preserve">الحلول التأمينية وأثرها على تقليل مخاطر على شركات التامين </w:t>
      </w:r>
    </w:p>
    <w:p w14:paraId="66EA3070" w14:textId="77777777" w:rsidR="009D6D5D" w:rsidRPr="009D6D5D" w:rsidRDefault="009D6D5D" w:rsidP="009D6D5D">
      <w:pPr>
        <w:autoSpaceDE w:val="0"/>
        <w:autoSpaceDN w:val="0"/>
        <w:bidi/>
        <w:adjustRightInd w:val="0"/>
        <w:spacing w:before="0" w:beforeAutospacing="0" w:after="0" w:afterAutospacing="0" w:line="240" w:lineRule="auto"/>
        <w:jc w:val="left"/>
        <w:rPr>
          <w:rFonts w:ascii="Simplified Arabic" w:eastAsia="Calibri" w:hAnsi="Simplified Arabic" w:cs="Simplified Arabic"/>
          <w:b/>
          <w:bCs/>
          <w:color w:val="000000"/>
          <w:kern w:val="0"/>
          <w:sz w:val="24"/>
          <w:szCs w:val="24"/>
          <w:rtl/>
          <w:lang w:bidi="ar-EG"/>
          <w14:ligatures w14:val="none"/>
        </w:rPr>
      </w:pPr>
    </w:p>
    <w:p w14:paraId="41511573" w14:textId="77777777" w:rsidR="009D6D5D" w:rsidRPr="009D6D5D" w:rsidRDefault="009D6D5D" w:rsidP="009D6D5D">
      <w:pPr>
        <w:numPr>
          <w:ilvl w:val="0"/>
          <w:numId w:val="28"/>
        </w:numPr>
        <w:autoSpaceDE w:val="0"/>
        <w:autoSpaceDN w:val="0"/>
        <w:bidi/>
        <w:adjustRightInd w:val="0"/>
        <w:spacing w:before="0" w:beforeAutospacing="0" w:after="0" w:afterAutospacing="0" w:line="240" w:lineRule="auto"/>
        <w:contextualSpacing/>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kern w:val="0"/>
          <w:sz w:val="24"/>
          <w:szCs w:val="24"/>
          <w14:ligatures w14:val="none"/>
        </w:rPr>
        <w:t>Gatzert, N., &amp; Kolb, A. (2014</w:t>
      </w:r>
      <w:proofErr w:type="gramStart"/>
      <w:r w:rsidRPr="009D6D5D">
        <w:rPr>
          <w:rFonts w:ascii="Simplified Arabic" w:eastAsia="Calibri" w:hAnsi="Simplified Arabic" w:cs="Simplified Arabic"/>
          <w:kern w:val="0"/>
          <w:sz w:val="24"/>
          <w:szCs w:val="24"/>
          <w14:ligatures w14:val="none"/>
        </w:rPr>
        <w:t>)</w:t>
      </w:r>
      <w:r w:rsidRPr="009D6D5D">
        <w:rPr>
          <w:rFonts w:ascii="Simplified Arabic" w:eastAsia="Calibri" w:hAnsi="Simplified Arabic" w:cs="Simplified Arabic"/>
          <w:kern w:val="0"/>
          <w:sz w:val="24"/>
          <w:szCs w:val="24"/>
          <w:rtl/>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 قياس</w:t>
      </w:r>
      <w:proofErr w:type="gramEnd"/>
      <w:r w:rsidRPr="009D6D5D">
        <w:rPr>
          <w:rFonts w:ascii="Simplified Arabic" w:eastAsia="Calibri" w:hAnsi="Simplified Arabic" w:cs="Simplified Arabic"/>
          <w:color w:val="000000"/>
          <w:kern w:val="0"/>
          <w:sz w:val="24"/>
          <w:szCs w:val="24"/>
          <w:rtl/>
          <w14:ligatures w14:val="none"/>
        </w:rPr>
        <w:t xml:space="preserve"> وإدارة المخاطر التشغيلية في شركات التأمين من منظور مؤسسي</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بحثت هذه الدراسة في أساليب قياس وإدارة المخاطر التشغيلية ضمن شركات التأمين، موضحةً تأثير هذه المخاطر على تسعير وثائق التأمين. وبيّنت النتائج أن تبني استراتيجيات فعالة لإدارة المخاطر التشغيلية يساهم في تقليل التكاليف التشغيلية، مما يؤدي إلى زيادة الكفاءة المالية للشركات. </w:t>
      </w:r>
    </w:p>
    <w:p w14:paraId="5EB0B1AB" w14:textId="77777777" w:rsidR="009D6D5D" w:rsidRPr="009D6D5D" w:rsidRDefault="009D6D5D" w:rsidP="009D6D5D">
      <w:pPr>
        <w:autoSpaceDE w:val="0"/>
        <w:autoSpaceDN w:val="0"/>
        <w:bidi/>
        <w:adjustRightInd w:val="0"/>
        <w:spacing w:before="0" w:beforeAutospacing="0" w:after="0" w:afterAutospacing="0" w:line="240" w:lineRule="auto"/>
        <w:ind w:left="360"/>
        <w:jc w:val="both"/>
        <w:rPr>
          <w:rFonts w:ascii="Simplified Arabic" w:eastAsia="Calibri" w:hAnsi="Simplified Arabic" w:cs="Simplified Arabic"/>
          <w:color w:val="000000"/>
          <w:kern w:val="0"/>
          <w:sz w:val="24"/>
          <w:szCs w:val="24"/>
          <w:rtl/>
          <w14:ligatures w14:val="none"/>
        </w:rPr>
      </w:pPr>
    </w:p>
    <w:p w14:paraId="3B9CE59B" w14:textId="77777777" w:rsidR="009D6D5D" w:rsidRPr="009D6D5D" w:rsidRDefault="009D6D5D" w:rsidP="009D6D5D">
      <w:pPr>
        <w:numPr>
          <w:ilvl w:val="0"/>
          <w:numId w:val="28"/>
        </w:numPr>
        <w:autoSpaceDE w:val="0"/>
        <w:autoSpaceDN w:val="0"/>
        <w:bidi/>
        <w:adjustRightInd w:val="0"/>
        <w:spacing w:before="0" w:beforeAutospacing="0" w:after="0" w:afterAutospacing="0" w:line="240" w:lineRule="auto"/>
        <w:contextualSpacing/>
        <w:jc w:val="both"/>
        <w:rPr>
          <w:rFonts w:ascii="Simplified Arabic" w:eastAsia="Calibri" w:hAnsi="Simplified Arabic" w:cs="Simplified Arabic"/>
          <w:color w:val="000000"/>
          <w:kern w:val="0"/>
          <w:sz w:val="24"/>
          <w:szCs w:val="24"/>
          <w:rtl/>
          <w14:ligatures w14:val="none"/>
        </w:rPr>
      </w:pPr>
      <w:r w:rsidRPr="009D6D5D">
        <w:rPr>
          <w:rFonts w:ascii="Simplified Arabic" w:eastAsia="Calibri" w:hAnsi="Simplified Arabic" w:cs="Simplified Arabic"/>
          <w:kern w:val="0"/>
          <w:sz w:val="24"/>
          <w:szCs w:val="24"/>
          <w14:ligatures w14:val="none"/>
        </w:rPr>
        <w:lastRenderedPageBreak/>
        <w:t xml:space="preserve">Eikenhout, L. C. A. (2015). </w:t>
      </w:r>
      <w:r w:rsidRPr="009D6D5D">
        <w:rPr>
          <w:rFonts w:ascii="Simplified Arabic" w:eastAsia="Calibri" w:hAnsi="Simplified Arabic" w:cs="Simplified Arabic"/>
          <w:color w:val="000000"/>
          <w:kern w:val="0"/>
          <w:sz w:val="24"/>
          <w:szCs w:val="24"/>
          <w:rtl/>
          <w14:ligatures w14:val="none"/>
        </w:rPr>
        <w:t xml:space="preserve"> إدارة المخاطر وأداء شركات التأمين  تناولت هذه الدراسة العلاقة بين استراتيجيات إدارة المخاطر وأداء شركات التأمين، خاصة خلال الأزمات الاقتصادية. وخلصت إلى أن الشركات التي تعتمد نهجًا قويًا في إدارة المخاطر تكون أكثر قدرة على مواجهة التحديات المالية وتحقيق استقرار أكبر في أدائها. كما أبرزت الدراسة الفروق في استراتيجيات إدارة المخاطر بين شركات التأمين على الحياة وشركات التأمين على غير الحياة. </w:t>
      </w:r>
    </w:p>
    <w:p w14:paraId="0D214826" w14:textId="77777777" w:rsidR="009D6D5D" w:rsidRPr="009D6D5D" w:rsidRDefault="009D6D5D" w:rsidP="009D6D5D">
      <w:pPr>
        <w:numPr>
          <w:ilvl w:val="0"/>
          <w:numId w:val="28"/>
        </w:numPr>
        <w:bidi/>
        <w:spacing w:before="0" w:beforeAutospacing="0" w:after="200" w:afterAutospacing="0" w:line="276" w:lineRule="auto"/>
        <w:contextualSpacing/>
        <w:jc w:val="left"/>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kern w:val="0"/>
          <w:sz w:val="24"/>
          <w:szCs w:val="24"/>
          <w14:ligatures w14:val="none"/>
        </w:rPr>
        <w:t xml:space="preserve">Kokobe, S. A., &amp; Gemechu, D. (2016). </w:t>
      </w:r>
      <w:r w:rsidRPr="009D6D5D">
        <w:rPr>
          <w:rFonts w:ascii="Simplified Arabic" w:eastAsia="Calibri" w:hAnsi="Simplified Arabic" w:cs="Simplified Arabic"/>
          <w:color w:val="000000"/>
          <w:kern w:val="0"/>
          <w:sz w:val="24"/>
          <w:szCs w:val="24"/>
          <w:rtl/>
          <w14:ligatures w14:val="none"/>
        </w:rPr>
        <w:t xml:space="preserve"> تقنيات إدارة المخاطر والأداء المالي لشركات التأمي</w:t>
      </w:r>
      <w:r w:rsidRPr="009D6D5D">
        <w:rPr>
          <w:rFonts w:ascii="Simplified Arabic" w:eastAsia="Calibri" w:hAnsi="Simplified Arabic" w:cs="Simplified Arabic"/>
          <w:color w:val="000000"/>
          <w:kern w:val="0"/>
          <w:sz w:val="24"/>
          <w:szCs w:val="24"/>
          <w:rtl/>
          <w:lang w:bidi="ar-EG"/>
          <w14:ligatures w14:val="none"/>
        </w:rPr>
        <w:t>ني</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ركزت هذه الدراسة على تقنيات إدارة المخاطر التي تعتمدها شركات التأمين، ومدى تأثيرها المباشر على الأداء المالي. وأثبتت أن استخدام استراتيجيات فعالة في الحد من المخاطر يعزز قدرة الشركات على تحقيق أهدافها الاستراتيجية وزيادة استدامتها المالية على المدى الطويل. </w:t>
      </w:r>
    </w:p>
    <w:p w14:paraId="50D98F4E" w14:textId="77777777" w:rsidR="009D6D5D" w:rsidRPr="009D6D5D" w:rsidRDefault="009D6D5D" w:rsidP="009D6D5D">
      <w:pPr>
        <w:numPr>
          <w:ilvl w:val="0"/>
          <w:numId w:val="28"/>
        </w:numPr>
        <w:bidi/>
        <w:spacing w:before="0" w:beforeAutospacing="0" w:after="200" w:afterAutospacing="0" w:line="276" w:lineRule="auto"/>
        <w:contextualSpacing/>
        <w:jc w:val="left"/>
        <w:rPr>
          <w:rFonts w:ascii="Simplified Arabic" w:eastAsia="Calibri" w:hAnsi="Simplified Arabic" w:cs="Simplified Arabic"/>
          <w:kern w:val="0"/>
          <w:sz w:val="24"/>
          <w:szCs w:val="24"/>
          <w:lang w:bidi="ar-EG"/>
          <w14:ligatures w14:val="none"/>
        </w:rPr>
      </w:pPr>
      <w:r w:rsidRPr="009D6D5D">
        <w:rPr>
          <w:rFonts w:ascii="Simplified Arabic" w:eastAsia="Calibri" w:hAnsi="Simplified Arabic" w:cs="Simplified Arabic"/>
          <w:kern w:val="0"/>
          <w:sz w:val="24"/>
          <w:szCs w:val="24"/>
          <w:lang w:bidi="ar-EG"/>
          <w14:ligatures w14:val="none"/>
        </w:rPr>
        <w:t xml:space="preserve">Eling, M., &amp; Lehmann, M. (2018). </w:t>
      </w:r>
      <w:r w:rsidRPr="009D6D5D">
        <w:rPr>
          <w:rFonts w:ascii="Simplified Arabic" w:eastAsia="Calibri" w:hAnsi="Simplified Arabic" w:cs="Simplified Arabic"/>
          <w:kern w:val="0"/>
          <w:sz w:val="24"/>
          <w:szCs w:val="24"/>
          <w:rtl/>
          <w14:ligatures w14:val="none"/>
        </w:rPr>
        <w:t xml:space="preserve"> تأثير الرقمنة على سلسلة قيمة التأمين وقابلية المخاطر للتأمين</w:t>
      </w:r>
      <w:r w:rsidRPr="009D6D5D">
        <w:rPr>
          <w:rFonts w:ascii="Simplified Arabic" w:eastAsia="Calibri" w:hAnsi="Simplified Arabic" w:cs="Simplified Arabic"/>
          <w:kern w:val="0"/>
          <w:sz w:val="24"/>
          <w:szCs w:val="24"/>
          <w:lang w:bidi="ar-EG"/>
          <w14:ligatures w14:val="none"/>
        </w:rPr>
        <w:t xml:space="preserve">  </w:t>
      </w:r>
      <w:r w:rsidRPr="009D6D5D">
        <w:rPr>
          <w:rFonts w:ascii="Simplified Arabic" w:eastAsia="Calibri" w:hAnsi="Simplified Arabic" w:cs="Simplified Arabic"/>
          <w:kern w:val="0"/>
          <w:sz w:val="24"/>
          <w:szCs w:val="24"/>
          <w:rtl/>
          <w14:ligatures w14:val="none"/>
        </w:rPr>
        <w:t xml:space="preserve">تناولت هذه الدراسة تأثير الرقمنة على سلسلة قيمة التأمين وإمكانية تأمين المخاطر المختلفة. وأوضحت أن التطورات الرقمية تؤدي إلى تحسين عمليات تقييم المخاطر، إلا أن شركات التأمين تواجه تحديات متزايدة تتعلق بحماية البيانات والابتكارات التكنولوجية، مما يتطلب استراتيجيات متقدمة لضمان أمن المعلومات واستمرارية الخدمات. </w:t>
      </w:r>
    </w:p>
    <w:p w14:paraId="455B7156" w14:textId="77777777" w:rsidR="009D6D5D" w:rsidRPr="009D6D5D" w:rsidRDefault="009D6D5D" w:rsidP="009D6D5D">
      <w:pPr>
        <w:numPr>
          <w:ilvl w:val="0"/>
          <w:numId w:val="28"/>
        </w:numPr>
        <w:autoSpaceDE w:val="0"/>
        <w:autoSpaceDN w:val="0"/>
        <w:bidi/>
        <w:adjustRightInd w:val="0"/>
        <w:spacing w:before="0" w:beforeAutospacing="0" w:after="0" w:afterAutospacing="0" w:line="240" w:lineRule="auto"/>
        <w:contextualSpacing/>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kern w:val="0"/>
          <w:sz w:val="24"/>
          <w:szCs w:val="24"/>
          <w14:ligatures w14:val="none"/>
        </w:rPr>
        <w:t xml:space="preserve">Pušara, D. (2019). </w:t>
      </w:r>
      <w:r w:rsidRPr="009D6D5D">
        <w:rPr>
          <w:rFonts w:ascii="Simplified Arabic" w:eastAsia="Calibri" w:hAnsi="Simplified Arabic" w:cs="Simplified Arabic"/>
          <w:color w:val="000000"/>
          <w:kern w:val="0"/>
          <w:sz w:val="24"/>
          <w:szCs w:val="24"/>
          <w:rtl/>
          <w14:ligatures w14:val="none"/>
        </w:rPr>
        <w:t xml:space="preserve"> تأثير التطور التكنولوجي على شركات التأميني استعرضت هذه الدراسة أثر التطورات التكنولوجية، بما في ذلك الذكاء الاصطناعي وتحليل البيانات الضخمة، على شركات التأمين. وأظهرت النتائج أن هذه التقنيات تعزز من دقة تقييم المخاطر، مما يساهم في تحسين كفاءة الخدمات التأمينية وتقليل التكاليف التشغيلية المرتبطة بالمخاطر. </w:t>
      </w:r>
    </w:p>
    <w:p w14:paraId="6017CD74" w14:textId="77777777" w:rsidR="009D6D5D" w:rsidRDefault="009D6D5D" w:rsidP="009D6D5D">
      <w:pPr>
        <w:numPr>
          <w:ilvl w:val="0"/>
          <w:numId w:val="28"/>
        </w:numPr>
        <w:autoSpaceDE w:val="0"/>
        <w:autoSpaceDN w:val="0"/>
        <w:bidi/>
        <w:adjustRightInd w:val="0"/>
        <w:spacing w:before="0" w:beforeAutospacing="0" w:after="0" w:afterAutospacing="0" w:line="240" w:lineRule="auto"/>
        <w:contextualSpacing/>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kern w:val="0"/>
          <w:sz w:val="24"/>
          <w:szCs w:val="24"/>
          <w14:ligatures w14:val="none"/>
        </w:rPr>
        <w:t>Marchal, R., Piton, G., Lopez-Gunn, E., &amp; Zorrilla-Miras, P. (2019)</w:t>
      </w:r>
      <w:r w:rsidRPr="009D6D5D">
        <w:rPr>
          <w:rFonts w:ascii="Simplified Arabic" w:eastAsia="Calibri" w:hAnsi="Simplified Arabic" w:cs="Simplified Arabic"/>
          <w:kern w:val="0"/>
          <w:sz w:val="24"/>
          <w:szCs w:val="24"/>
          <w:rtl/>
          <w14:ligatures w14:val="none"/>
        </w:rPr>
        <w:t xml:space="preserve"> </w:t>
      </w:r>
      <w:r w:rsidRPr="009D6D5D">
        <w:rPr>
          <w:rFonts w:ascii="Simplified Arabic" w:eastAsia="Calibri" w:hAnsi="Simplified Arabic" w:cs="Simplified Arabic"/>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 دور إعادة التأمين في دمج الحلول الطبيعية للحد من المخاطر الكارثية</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ناقشت الدراسة دور قطاع التأمين وإعادة التأمين في دعم الحلول القائمة على الطبيعة للتخفيف من المخاطر الناجمة عن الكوارث الطبيعية. وأثبتت النتائج أن تبني هذه الحلول يساهم في تعزيز استدامة شركات التأمين، مما يقلل من الخسائر المحتملة ويزيد من كفاءة آليات التأمين ضد الكوارث. </w:t>
      </w:r>
    </w:p>
    <w:p w14:paraId="481CC5A6" w14:textId="77777777" w:rsidR="009D6D5D" w:rsidRPr="009D6D5D" w:rsidRDefault="009D6D5D" w:rsidP="009D6D5D">
      <w:pPr>
        <w:numPr>
          <w:ilvl w:val="0"/>
          <w:numId w:val="28"/>
        </w:numPr>
        <w:autoSpaceDE w:val="0"/>
        <w:autoSpaceDN w:val="0"/>
        <w:bidi/>
        <w:adjustRightInd w:val="0"/>
        <w:spacing w:before="0" w:beforeAutospacing="0" w:after="0" w:afterAutospacing="0" w:line="240" w:lineRule="auto"/>
        <w:contextualSpacing/>
        <w:jc w:val="both"/>
        <w:rPr>
          <w:rFonts w:ascii="Simplified Arabic" w:eastAsia="Calibri" w:hAnsi="Simplified Arabic" w:cs="Simplified Arabic"/>
          <w:color w:val="000000"/>
          <w:kern w:val="0"/>
          <w:sz w:val="24"/>
          <w:szCs w:val="24"/>
          <w:rtl/>
          <w14:ligatures w14:val="none"/>
        </w:rPr>
      </w:pPr>
    </w:p>
    <w:p w14:paraId="12D75796" w14:textId="77777777" w:rsidR="009D6D5D" w:rsidRPr="009D6D5D" w:rsidRDefault="009D6D5D" w:rsidP="009D6D5D">
      <w:pPr>
        <w:autoSpaceDE w:val="0"/>
        <w:autoSpaceDN w:val="0"/>
        <w:bidi/>
        <w:adjustRightInd w:val="0"/>
        <w:spacing w:before="0" w:beforeAutospacing="0" w:after="0" w:afterAutospacing="0" w:line="240" w:lineRule="auto"/>
        <w:jc w:val="both"/>
        <w:rPr>
          <w:rFonts w:ascii="Simplified Arabic" w:eastAsia="Calibri" w:hAnsi="Simplified Arabic" w:cs="Simplified Arabic"/>
          <w:color w:val="000000"/>
          <w:kern w:val="0"/>
          <w:sz w:val="24"/>
          <w:szCs w:val="24"/>
          <w:rtl/>
          <w14:ligatures w14:val="none"/>
        </w:rPr>
      </w:pPr>
    </w:p>
    <w:p w14:paraId="6A47DDA5" w14:textId="77777777" w:rsidR="009D6D5D" w:rsidRPr="009D6D5D" w:rsidRDefault="009D6D5D" w:rsidP="009D6D5D">
      <w:pPr>
        <w:numPr>
          <w:ilvl w:val="0"/>
          <w:numId w:val="28"/>
        </w:numPr>
        <w:autoSpaceDE w:val="0"/>
        <w:autoSpaceDN w:val="0"/>
        <w:bidi/>
        <w:adjustRightInd w:val="0"/>
        <w:spacing w:before="0" w:beforeAutospacing="0" w:after="0" w:afterAutospacing="0" w:line="240" w:lineRule="auto"/>
        <w:contextualSpacing/>
        <w:jc w:val="both"/>
        <w:rPr>
          <w:rFonts w:ascii="Simplified Arabic" w:eastAsia="Calibri" w:hAnsi="Simplified Arabic" w:cs="Simplified Arabic"/>
          <w:color w:val="000000"/>
          <w:kern w:val="0"/>
          <w:sz w:val="24"/>
          <w:szCs w:val="24"/>
          <w:rtl/>
          <w14:ligatures w14:val="none"/>
        </w:rPr>
      </w:pPr>
      <w:r w:rsidRPr="009D6D5D">
        <w:rPr>
          <w:rFonts w:ascii="Simplified Arabic" w:eastAsia="Calibri" w:hAnsi="Simplified Arabic" w:cs="Simplified Arabic"/>
          <w:kern w:val="0"/>
          <w:sz w:val="24"/>
          <w:szCs w:val="24"/>
          <w14:ligatures w14:val="none"/>
        </w:rPr>
        <w:t>Pillay, C. P., &amp; Njenga, J. K. (2021)</w:t>
      </w:r>
      <w:r w:rsidRPr="009D6D5D">
        <w:rPr>
          <w:rFonts w:ascii="Simplified Arabic" w:eastAsia="Calibri" w:hAnsi="Simplified Arabic" w:cs="Simplified Arabic" w:hint="cs"/>
          <w:kern w:val="0"/>
          <w:sz w:val="24"/>
          <w:szCs w:val="24"/>
          <w:rtl/>
          <w14:ligatures w14:val="none"/>
        </w:rPr>
        <w:t xml:space="preserve"> </w:t>
      </w:r>
      <w:r w:rsidRPr="009D6D5D">
        <w:rPr>
          <w:rFonts w:ascii="Simplified Arabic" w:eastAsia="Calibri" w:hAnsi="Simplified Arabic" w:cs="Simplified Arabic"/>
          <w:kern w:val="0"/>
          <w:sz w:val="24"/>
          <w:szCs w:val="24"/>
          <w14:ligatures w14:val="none"/>
        </w:rPr>
        <w:t xml:space="preserve"> </w:t>
      </w:r>
      <w:r w:rsidRPr="009D6D5D">
        <w:rPr>
          <w:rFonts w:ascii="Simplified Arabic" w:eastAsia="Calibri" w:hAnsi="Simplified Arabic" w:cs="Simplified Arabic" w:hint="cs"/>
          <w:color w:val="000000"/>
          <w:kern w:val="0"/>
          <w:sz w:val="24"/>
          <w:szCs w:val="24"/>
          <w:rtl/>
          <w14:ligatures w14:val="none"/>
        </w:rPr>
        <w:t xml:space="preserve"> </w:t>
      </w:r>
      <w:r w:rsidRPr="009D6D5D">
        <w:rPr>
          <w:rFonts w:ascii="Simplified Arabic" w:eastAsia="Calibri" w:hAnsi="Simplified Arabic" w:cs="Simplified Arabic"/>
          <w:color w:val="000000"/>
          <w:kern w:val="0"/>
          <w:sz w:val="24"/>
          <w:szCs w:val="24"/>
          <w:rtl/>
          <w14:ligatures w14:val="none"/>
        </w:rPr>
        <w:t>تقليص النفقات من خلال الابتكار الرقمي في شركات التأمين</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تناولت الدراسة إمكانيات خفض التكاليف التشغيلية لشركات التأمين من خلال الابتكارات الرقمية. وأوضحت أن استخدام الحلول الرقمية الحديثة يسهم في تحسين آليات تسعير الأقساط التأمينية وتعزيز التنافسية بين الشركات، مما يتيح فرصًا أكبر للنمو في القطاع التأميني.</w:t>
      </w:r>
      <w:r w:rsidRPr="009D6D5D">
        <w:rPr>
          <w:rFonts w:ascii="Simplified Arabic" w:eastAsia="Calibri" w:hAnsi="Simplified Arabic" w:cs="Simplified Arabic" w:hint="cs"/>
          <w:color w:val="000000"/>
          <w:kern w:val="0"/>
          <w:sz w:val="24"/>
          <w:szCs w:val="24"/>
          <w:rtl/>
          <w14:ligatures w14:val="none"/>
        </w:rPr>
        <w:t xml:space="preserve"> </w:t>
      </w:r>
    </w:p>
    <w:p w14:paraId="620F0012" w14:textId="77777777" w:rsidR="009D6D5D" w:rsidRPr="009D6D5D" w:rsidRDefault="009D6D5D" w:rsidP="009D6D5D">
      <w:pPr>
        <w:autoSpaceDE w:val="0"/>
        <w:autoSpaceDN w:val="0"/>
        <w:bidi/>
        <w:adjustRightInd w:val="0"/>
        <w:spacing w:before="0" w:beforeAutospacing="0" w:after="0" w:afterAutospacing="0" w:line="240" w:lineRule="auto"/>
        <w:jc w:val="left"/>
        <w:rPr>
          <w:rFonts w:ascii="Simplified Arabic" w:eastAsia="Calibri" w:hAnsi="Simplified Arabic" w:cs="Simplified Arabic"/>
          <w:color w:val="000000"/>
          <w:kern w:val="0"/>
          <w:sz w:val="24"/>
          <w:szCs w:val="24"/>
          <w:rtl/>
          <w14:ligatures w14:val="none"/>
        </w:rPr>
      </w:pPr>
    </w:p>
    <w:p w14:paraId="7482996A" w14:textId="77777777" w:rsidR="009D6D5D" w:rsidRPr="009D6D5D" w:rsidRDefault="009D6D5D" w:rsidP="009D6D5D">
      <w:pPr>
        <w:autoSpaceDE w:val="0"/>
        <w:autoSpaceDN w:val="0"/>
        <w:bidi/>
        <w:adjustRightInd w:val="0"/>
        <w:spacing w:before="0" w:beforeAutospacing="0" w:after="200" w:afterAutospacing="0" w:line="276" w:lineRule="auto"/>
        <w:jc w:val="both"/>
        <w:rPr>
          <w:rFonts w:ascii="Simplified Arabic" w:eastAsia="Calibri" w:hAnsi="Simplified Arabic" w:cs="Simplified Arabic"/>
          <w:b/>
          <w:bCs/>
          <w:color w:val="000000"/>
          <w:kern w:val="0"/>
          <w:sz w:val="24"/>
          <w:szCs w:val="24"/>
          <w:rtl/>
          <w:lang w:bidi="ar-EG"/>
          <w14:ligatures w14:val="none"/>
        </w:rPr>
      </w:pPr>
      <w:r w:rsidRPr="009D6D5D">
        <w:rPr>
          <w:rFonts w:ascii="Simplified Arabic" w:eastAsia="Calibri" w:hAnsi="Simplified Arabic" w:cs="Simplified Arabic" w:hint="cs"/>
          <w:b/>
          <w:bCs/>
          <w:color w:val="000000"/>
          <w:kern w:val="0"/>
          <w:sz w:val="24"/>
          <w:szCs w:val="24"/>
          <w:rtl/>
          <w14:ligatures w14:val="none"/>
        </w:rPr>
        <w:t xml:space="preserve">محاور </w:t>
      </w:r>
      <w:r w:rsidRPr="009D6D5D">
        <w:rPr>
          <w:rFonts w:ascii="Simplified Arabic" w:eastAsia="Calibri" w:hAnsi="Simplified Arabic" w:cs="Simplified Arabic"/>
          <w:b/>
          <w:bCs/>
          <w:color w:val="000000"/>
          <w:kern w:val="0"/>
          <w:sz w:val="24"/>
          <w:szCs w:val="24"/>
          <w:rtl/>
          <w14:ligatures w14:val="none"/>
        </w:rPr>
        <w:t>الدراسات السابقة في ضوء متغيرات الدراسة</w:t>
      </w:r>
      <w:r w:rsidRPr="009D6D5D">
        <w:rPr>
          <w:rFonts w:ascii="Simplified Arabic" w:eastAsia="Calibri" w:hAnsi="Simplified Arabic" w:cs="Simplified Arabic" w:hint="cs"/>
          <w:b/>
          <w:bCs/>
          <w:color w:val="000000"/>
          <w:kern w:val="0"/>
          <w:sz w:val="24"/>
          <w:szCs w:val="24"/>
          <w:rtl/>
          <w:lang w:bidi="ar-EG"/>
          <w14:ligatures w14:val="none"/>
        </w:rPr>
        <w:t xml:space="preserve"> : من خلال </w:t>
      </w:r>
      <w:r w:rsidRPr="009D6D5D">
        <w:rPr>
          <w:rFonts w:ascii="Simplified Arabic" w:eastAsia="Calibri" w:hAnsi="Simplified Arabic" w:cs="Simplified Arabic"/>
          <w:color w:val="000000"/>
          <w:kern w:val="0"/>
          <w:sz w:val="24"/>
          <w:szCs w:val="24"/>
          <w:rtl/>
          <w14:ligatures w14:val="none"/>
        </w:rPr>
        <w:t xml:space="preserve"> الدراسات المتعلقة بجوانب مختلفة من تجارة الذهب والمجوهرات، إضافة إلى الحلول التأمينية وأثرها في إدارة المخاطر وتقليل التكاليف التشغيلية لشركات التأمين. فيما يلي تحليل المحاور التي تناولتها</w:t>
      </w:r>
      <w:r w:rsidRPr="009D6D5D">
        <w:rPr>
          <w:rFonts w:ascii="Simplified Arabic" w:eastAsia="Calibri" w:hAnsi="Simplified Arabic" w:cs="Simplified Arabic" w:hint="cs"/>
          <w:color w:val="000000"/>
          <w:kern w:val="0"/>
          <w:sz w:val="24"/>
          <w:szCs w:val="24"/>
          <w:rtl/>
          <w14:ligatures w14:val="none"/>
        </w:rPr>
        <w:t xml:space="preserve"> الدراسات التى </w:t>
      </w:r>
      <w:r w:rsidRPr="009D6D5D">
        <w:rPr>
          <w:rFonts w:ascii="Simplified Arabic" w:eastAsia="Calibri" w:hAnsi="Simplified Arabic" w:cs="Simplified Arabic"/>
          <w:color w:val="000000"/>
          <w:kern w:val="0"/>
          <w:sz w:val="24"/>
          <w:szCs w:val="24"/>
          <w:rtl/>
          <w14:ligatures w14:val="none"/>
        </w:rPr>
        <w:t xml:space="preserve"> تتعلق بجوانب تجارة الذهب والمجوهرات</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hint="cs"/>
          <w:color w:val="000000"/>
          <w:kern w:val="0"/>
          <w:sz w:val="24"/>
          <w:szCs w:val="24"/>
          <w:rtl/>
          <w:lang w:bidi="ar-EG"/>
          <w14:ligatures w14:val="none"/>
        </w:rPr>
        <w:t xml:space="preserve"> منها </w:t>
      </w:r>
      <w:r w:rsidRPr="009D6D5D">
        <w:rPr>
          <w:rFonts w:ascii="Simplified Arabic" w:eastAsia="Calibri" w:hAnsi="Simplified Arabic" w:cs="Simplified Arabic" w:hint="cs"/>
          <w:b/>
          <w:bCs/>
          <w:color w:val="000000"/>
          <w:kern w:val="0"/>
          <w:sz w:val="24"/>
          <w:szCs w:val="24"/>
          <w:rtl/>
          <w:lang w:bidi="ar-EG"/>
          <w14:ligatures w14:val="none"/>
        </w:rPr>
        <w:t xml:space="preserve"> : </w:t>
      </w:r>
    </w:p>
    <w:p w14:paraId="51446068" w14:textId="77777777" w:rsidR="009D6D5D" w:rsidRPr="009D6D5D" w:rsidRDefault="009D6D5D" w:rsidP="009D6D5D">
      <w:pPr>
        <w:numPr>
          <w:ilvl w:val="0"/>
          <w:numId w:val="29"/>
        </w:num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color w:val="000000"/>
          <w:kern w:val="0"/>
          <w:sz w:val="24"/>
          <w:szCs w:val="24"/>
          <w:rtl/>
          <w14:ligatures w14:val="none"/>
        </w:rPr>
        <w:lastRenderedPageBreak/>
        <w:t>تأثير الأزمات الاقتصادية على الطلب</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تناولت الدراسات مثل </w:t>
      </w:r>
      <w:r w:rsidRPr="009D6D5D">
        <w:rPr>
          <w:rFonts w:ascii="Simplified Arabic" w:eastAsia="Calibri" w:hAnsi="Simplified Arabic" w:cs="Simplified Arabic"/>
          <w:i/>
          <w:iCs/>
          <w:color w:val="000000"/>
          <w:kern w:val="0"/>
          <w:sz w:val="24"/>
          <w:szCs w:val="24"/>
          <w14:ligatures w14:val="none"/>
        </w:rPr>
        <w:t>Efimenko (2015)</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أهمية الاستثمار في الذهب والمجوهرات خلال الأزمات الاقتصادية كملاذ آمن، دون الإشارة إلى التأمين كوسيلة لتقليل المخاطر المرتبطة بالسوق</w:t>
      </w:r>
      <w:r w:rsidRPr="009D6D5D">
        <w:rPr>
          <w:rFonts w:ascii="Simplified Arabic" w:eastAsia="Calibri" w:hAnsi="Simplified Arabic" w:cs="Simplified Arabic"/>
          <w:color w:val="000000"/>
          <w:kern w:val="0"/>
          <w:sz w:val="24"/>
          <w:szCs w:val="24"/>
          <w14:ligatures w14:val="none"/>
        </w:rPr>
        <w:t>.</w:t>
      </w:r>
    </w:p>
    <w:p w14:paraId="47335B02" w14:textId="77777777" w:rsidR="009D6D5D" w:rsidRPr="009D6D5D" w:rsidRDefault="009D6D5D" w:rsidP="009D6D5D">
      <w:pPr>
        <w:numPr>
          <w:ilvl w:val="0"/>
          <w:numId w:val="29"/>
        </w:num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color w:val="000000"/>
          <w:kern w:val="0"/>
          <w:sz w:val="24"/>
          <w:szCs w:val="24"/>
          <w:rtl/>
          <w14:ligatures w14:val="none"/>
        </w:rPr>
        <w:t>التحديات البيئية والاجتماعية</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ناقشت </w:t>
      </w:r>
      <w:r w:rsidRPr="009D6D5D">
        <w:rPr>
          <w:rFonts w:ascii="Simplified Arabic" w:eastAsia="Calibri" w:hAnsi="Simplified Arabic" w:cs="Simplified Arabic"/>
          <w:i/>
          <w:iCs/>
          <w:color w:val="000000"/>
          <w:kern w:val="0"/>
          <w:sz w:val="24"/>
          <w:szCs w:val="24"/>
          <w14:ligatures w14:val="none"/>
        </w:rPr>
        <w:t>Carrigan et al. (2017)</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و</w:t>
      </w:r>
      <w:r w:rsidRPr="009D6D5D">
        <w:rPr>
          <w:rFonts w:ascii="Simplified Arabic" w:eastAsia="Calibri" w:hAnsi="Simplified Arabic" w:cs="Simplified Arabic"/>
          <w:i/>
          <w:iCs/>
          <w:color w:val="000000"/>
          <w:kern w:val="0"/>
          <w:sz w:val="24"/>
          <w:szCs w:val="24"/>
          <w14:ligatures w14:val="none"/>
        </w:rPr>
        <w:t>Abdul Majeed et al. (2019)</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قضايا المسؤولية الاجتماعية والتأثير البيئي لصناعة المجوهرات، موضحةً جوانب تتطلب استراتيجيات دعم مبتكرة، مثل التأمين</w:t>
      </w:r>
      <w:r w:rsidRPr="009D6D5D">
        <w:rPr>
          <w:rFonts w:ascii="Simplified Arabic" w:eastAsia="Calibri" w:hAnsi="Simplified Arabic" w:cs="Simplified Arabic"/>
          <w:color w:val="000000"/>
          <w:kern w:val="0"/>
          <w:sz w:val="24"/>
          <w:szCs w:val="24"/>
          <w14:ligatures w14:val="none"/>
        </w:rPr>
        <w:t>.</w:t>
      </w:r>
    </w:p>
    <w:p w14:paraId="183744C7" w14:textId="77777777" w:rsidR="009D6D5D" w:rsidRPr="009D6D5D" w:rsidRDefault="009D6D5D" w:rsidP="009D6D5D">
      <w:pPr>
        <w:numPr>
          <w:ilvl w:val="0"/>
          <w:numId w:val="29"/>
        </w:num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color w:val="000000"/>
          <w:kern w:val="0"/>
          <w:sz w:val="24"/>
          <w:szCs w:val="24"/>
          <w:rtl/>
          <w14:ligatures w14:val="none"/>
        </w:rPr>
        <w:t>التغيرات الاقتصادية المحلية والدولية</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سلطت الدراسات مثل </w:t>
      </w:r>
      <w:r w:rsidRPr="009D6D5D">
        <w:rPr>
          <w:rFonts w:ascii="Simplified Arabic" w:eastAsia="Calibri" w:hAnsi="Simplified Arabic" w:cs="Simplified Arabic"/>
          <w:i/>
          <w:iCs/>
          <w:color w:val="000000"/>
          <w:kern w:val="0"/>
          <w:sz w:val="24"/>
          <w:szCs w:val="24"/>
          <w14:ligatures w14:val="none"/>
        </w:rPr>
        <w:t>Gaggio (2018)</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و</w:t>
      </w:r>
      <w:r w:rsidRPr="009D6D5D">
        <w:rPr>
          <w:rFonts w:ascii="Simplified Arabic" w:eastAsia="Calibri" w:hAnsi="Simplified Arabic" w:cs="Simplified Arabic"/>
          <w:i/>
          <w:iCs/>
          <w:color w:val="000000"/>
          <w:kern w:val="0"/>
          <w:sz w:val="24"/>
          <w:szCs w:val="24"/>
          <w14:ligatures w14:val="none"/>
        </w:rPr>
        <w:t>Konovalova et al. (2019)</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الضوء على دور الذهب في استقرار الاقتصاد المحلي وتأثير الأزمات السياسية والاقتصادية على التجارة العالمية</w:t>
      </w:r>
      <w:r w:rsidRPr="009D6D5D">
        <w:rPr>
          <w:rFonts w:ascii="Simplified Arabic" w:eastAsia="Calibri" w:hAnsi="Simplified Arabic" w:cs="Simplified Arabic"/>
          <w:color w:val="000000"/>
          <w:kern w:val="0"/>
          <w:sz w:val="24"/>
          <w:szCs w:val="24"/>
          <w14:ligatures w14:val="none"/>
        </w:rPr>
        <w:t>.</w:t>
      </w:r>
    </w:p>
    <w:p w14:paraId="1B565319" w14:textId="77777777" w:rsidR="009D6D5D" w:rsidRPr="009D6D5D" w:rsidRDefault="009D6D5D" w:rsidP="009D6D5D">
      <w:pPr>
        <w:numPr>
          <w:ilvl w:val="0"/>
          <w:numId w:val="29"/>
        </w:num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color w:val="000000"/>
          <w:kern w:val="0"/>
          <w:sz w:val="24"/>
          <w:szCs w:val="24"/>
          <w:rtl/>
          <w14:ligatures w14:val="none"/>
        </w:rPr>
        <w:t>قرارات الاستثمار والمخاطر</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ركزت </w:t>
      </w:r>
      <w:r w:rsidRPr="009D6D5D">
        <w:rPr>
          <w:rFonts w:ascii="Simplified Arabic" w:eastAsia="Calibri" w:hAnsi="Simplified Arabic" w:cs="Simplified Arabic"/>
          <w:i/>
          <w:iCs/>
          <w:color w:val="000000"/>
          <w:kern w:val="0"/>
          <w:sz w:val="24"/>
          <w:szCs w:val="24"/>
          <w14:ligatures w14:val="none"/>
        </w:rPr>
        <w:t>Phongvornorachai (2021)</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على تحليل العوامل المؤثرة في قرارات الاستثمار والمخاطر المرتبطة بالسوق، مع أهمية تقييم المخاطر دون التركيز على دور التأمين كأداة للتخفيف</w:t>
      </w:r>
      <w:r w:rsidRPr="009D6D5D">
        <w:rPr>
          <w:rFonts w:ascii="Simplified Arabic" w:eastAsia="Calibri" w:hAnsi="Simplified Arabic" w:cs="Simplified Arabic"/>
          <w:color w:val="000000"/>
          <w:kern w:val="0"/>
          <w:sz w:val="24"/>
          <w:szCs w:val="24"/>
          <w14:ligatures w14:val="none"/>
        </w:rPr>
        <w:t>.</w:t>
      </w:r>
    </w:p>
    <w:p w14:paraId="59BEA086" w14:textId="77777777" w:rsidR="009D6D5D" w:rsidRPr="009D6D5D" w:rsidRDefault="009D6D5D" w:rsidP="009D6D5D">
      <w:pPr>
        <w:numPr>
          <w:ilvl w:val="0"/>
          <w:numId w:val="32"/>
        </w:numPr>
        <w:autoSpaceDE w:val="0"/>
        <w:autoSpaceDN w:val="0"/>
        <w:bidi/>
        <w:adjustRightInd w:val="0"/>
        <w:spacing w:before="0" w:beforeAutospacing="0" w:after="0" w:afterAutospacing="0" w:line="276" w:lineRule="auto"/>
        <w:contextualSpacing/>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hint="cs"/>
          <w:color w:val="000000"/>
          <w:kern w:val="0"/>
          <w:sz w:val="24"/>
          <w:szCs w:val="24"/>
          <w:rtl/>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الحلول التأمينية </w:t>
      </w:r>
      <w:r w:rsidRPr="009D6D5D">
        <w:rPr>
          <w:rFonts w:ascii="Simplified Arabic" w:eastAsia="Calibri" w:hAnsi="Simplified Arabic" w:cs="Simplified Arabic" w:hint="cs"/>
          <w:color w:val="000000"/>
          <w:kern w:val="0"/>
          <w:sz w:val="24"/>
          <w:szCs w:val="24"/>
          <w:rtl/>
          <w14:ligatures w14:val="none"/>
        </w:rPr>
        <w:t xml:space="preserve">واثرها فى ادارة </w:t>
      </w:r>
      <w:r w:rsidRPr="009D6D5D">
        <w:rPr>
          <w:rFonts w:ascii="Simplified Arabic" w:eastAsia="Calibri" w:hAnsi="Simplified Arabic" w:cs="Simplified Arabic"/>
          <w:color w:val="000000"/>
          <w:kern w:val="0"/>
          <w:sz w:val="24"/>
          <w:szCs w:val="24"/>
          <w:rtl/>
          <w14:ligatures w14:val="none"/>
        </w:rPr>
        <w:t xml:space="preserve"> تقليل المخاطر</w:t>
      </w:r>
      <w:r w:rsidRPr="009D6D5D">
        <w:rPr>
          <w:rFonts w:ascii="Simplified Arabic" w:eastAsia="Calibri" w:hAnsi="Simplified Arabic" w:cs="Simplified Arabic"/>
          <w:color w:val="000000"/>
          <w:kern w:val="0"/>
          <w:sz w:val="24"/>
          <w:szCs w:val="24"/>
          <w14:ligatures w14:val="none"/>
        </w:rPr>
        <w:t>:</w:t>
      </w:r>
    </w:p>
    <w:p w14:paraId="01212899" w14:textId="77777777" w:rsidR="009D6D5D" w:rsidRPr="009D6D5D" w:rsidRDefault="009D6D5D" w:rsidP="009D6D5D">
      <w:pPr>
        <w:numPr>
          <w:ilvl w:val="0"/>
          <w:numId w:val="30"/>
        </w:num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color w:val="000000"/>
          <w:kern w:val="0"/>
          <w:sz w:val="24"/>
          <w:szCs w:val="24"/>
          <w:rtl/>
          <w14:ligatures w14:val="none"/>
        </w:rPr>
        <w:t>إدارة المخاطر التشغيلية</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ناقشت </w:t>
      </w:r>
      <w:r w:rsidRPr="009D6D5D">
        <w:rPr>
          <w:rFonts w:ascii="Simplified Arabic" w:eastAsia="Calibri" w:hAnsi="Simplified Arabic" w:cs="Simplified Arabic"/>
          <w:i/>
          <w:iCs/>
          <w:color w:val="000000"/>
          <w:kern w:val="0"/>
          <w:sz w:val="24"/>
          <w:szCs w:val="24"/>
          <w14:ligatures w14:val="none"/>
        </w:rPr>
        <w:t>Gatzert &amp; Kolb (2014)</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أهمية استراتيجيات إدارة المخاطر التشغيلية ودورها في خفض التكاليف التشغيلية وزيادة الكفاءة المالية</w:t>
      </w:r>
      <w:r w:rsidRPr="009D6D5D">
        <w:rPr>
          <w:rFonts w:ascii="Simplified Arabic" w:eastAsia="Calibri" w:hAnsi="Simplified Arabic" w:cs="Simplified Arabic"/>
          <w:color w:val="000000"/>
          <w:kern w:val="0"/>
          <w:sz w:val="24"/>
          <w:szCs w:val="24"/>
          <w14:ligatures w14:val="none"/>
        </w:rPr>
        <w:t>.</w:t>
      </w:r>
    </w:p>
    <w:p w14:paraId="701F28FB" w14:textId="77777777" w:rsidR="009D6D5D" w:rsidRPr="009D6D5D" w:rsidRDefault="009D6D5D" w:rsidP="009D6D5D">
      <w:pPr>
        <w:numPr>
          <w:ilvl w:val="0"/>
          <w:numId w:val="30"/>
        </w:num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color w:val="000000"/>
          <w:kern w:val="0"/>
          <w:sz w:val="24"/>
          <w:szCs w:val="24"/>
          <w:rtl/>
          <w14:ligatures w14:val="none"/>
        </w:rPr>
        <w:t>العلاقة بين إدارة المخاطر والأداء</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سلطت </w:t>
      </w:r>
      <w:r w:rsidRPr="009D6D5D">
        <w:rPr>
          <w:rFonts w:ascii="Simplified Arabic" w:eastAsia="Calibri" w:hAnsi="Simplified Arabic" w:cs="Simplified Arabic"/>
          <w:i/>
          <w:iCs/>
          <w:color w:val="000000"/>
          <w:kern w:val="0"/>
          <w:sz w:val="24"/>
          <w:szCs w:val="24"/>
          <w14:ligatures w14:val="none"/>
        </w:rPr>
        <w:t>Eikenhout (2015)</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الضوء على تأثير استراتيجيات إدارة المخاطر على استقرار أداء شركات التأمين خلال الأزمات الاقتصادية</w:t>
      </w:r>
      <w:r w:rsidRPr="009D6D5D">
        <w:rPr>
          <w:rFonts w:ascii="Simplified Arabic" w:eastAsia="Calibri" w:hAnsi="Simplified Arabic" w:cs="Simplified Arabic"/>
          <w:color w:val="000000"/>
          <w:kern w:val="0"/>
          <w:sz w:val="24"/>
          <w:szCs w:val="24"/>
          <w14:ligatures w14:val="none"/>
        </w:rPr>
        <w:t>.</w:t>
      </w:r>
    </w:p>
    <w:p w14:paraId="76741640" w14:textId="77777777" w:rsidR="009D6D5D" w:rsidRPr="009D6D5D" w:rsidRDefault="009D6D5D" w:rsidP="009D6D5D">
      <w:pPr>
        <w:numPr>
          <w:ilvl w:val="0"/>
          <w:numId w:val="30"/>
        </w:num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color w:val="000000"/>
          <w:kern w:val="0"/>
          <w:sz w:val="24"/>
          <w:szCs w:val="24"/>
          <w:rtl/>
          <w14:ligatures w14:val="none"/>
        </w:rPr>
        <w:t>الابتكارات الرقمية وتأثيرها</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تناولت الدراسات مثل </w:t>
      </w:r>
      <w:r w:rsidRPr="009D6D5D">
        <w:rPr>
          <w:rFonts w:ascii="Simplified Arabic" w:eastAsia="Calibri" w:hAnsi="Simplified Arabic" w:cs="Simplified Arabic"/>
          <w:i/>
          <w:iCs/>
          <w:color w:val="000000"/>
          <w:kern w:val="0"/>
          <w:sz w:val="24"/>
          <w:szCs w:val="24"/>
          <w14:ligatures w14:val="none"/>
        </w:rPr>
        <w:t>Eling &amp; Lehmann (2018)</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و</w:t>
      </w:r>
      <w:r w:rsidRPr="009D6D5D">
        <w:rPr>
          <w:rFonts w:ascii="Simplified Arabic" w:eastAsia="Calibri" w:hAnsi="Simplified Arabic" w:cs="Simplified Arabic"/>
          <w:i/>
          <w:iCs/>
          <w:color w:val="000000"/>
          <w:kern w:val="0"/>
          <w:sz w:val="24"/>
          <w:szCs w:val="24"/>
          <w14:ligatures w14:val="none"/>
        </w:rPr>
        <w:t>Pillay &amp; Njenga (2021)</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دور الرقمنة في تحسين تقييم المخاطر وتعزيز تنافسية شركات التأمين، إلا أنها أشارت لتحديات مرتبطة بحماية البيانات</w:t>
      </w:r>
      <w:r w:rsidRPr="009D6D5D">
        <w:rPr>
          <w:rFonts w:ascii="Simplified Arabic" w:eastAsia="Calibri" w:hAnsi="Simplified Arabic" w:cs="Simplified Arabic"/>
          <w:color w:val="000000"/>
          <w:kern w:val="0"/>
          <w:sz w:val="24"/>
          <w:szCs w:val="24"/>
          <w14:ligatures w14:val="none"/>
        </w:rPr>
        <w:t>.</w:t>
      </w:r>
    </w:p>
    <w:p w14:paraId="5E867E39" w14:textId="77777777" w:rsidR="009D6D5D" w:rsidRPr="009D6D5D" w:rsidRDefault="009D6D5D" w:rsidP="009D6D5D">
      <w:pPr>
        <w:numPr>
          <w:ilvl w:val="0"/>
          <w:numId w:val="30"/>
        </w:num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color w:val="000000"/>
          <w:kern w:val="0"/>
          <w:sz w:val="24"/>
          <w:szCs w:val="24"/>
          <w:rtl/>
          <w14:ligatures w14:val="none"/>
        </w:rPr>
        <w:t>دور الحلول الطبيعية</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بحثت </w:t>
      </w:r>
      <w:r w:rsidRPr="009D6D5D">
        <w:rPr>
          <w:rFonts w:ascii="Simplified Arabic" w:eastAsia="Calibri" w:hAnsi="Simplified Arabic" w:cs="Simplified Arabic"/>
          <w:i/>
          <w:iCs/>
          <w:color w:val="000000"/>
          <w:kern w:val="0"/>
          <w:sz w:val="24"/>
          <w:szCs w:val="24"/>
          <w14:ligatures w14:val="none"/>
        </w:rPr>
        <w:t>Marchal et al. (2019)</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color w:val="000000"/>
          <w:kern w:val="0"/>
          <w:sz w:val="24"/>
          <w:szCs w:val="24"/>
          <w:rtl/>
          <w14:ligatures w14:val="none"/>
        </w:rPr>
        <w:t>في إمكانيات تعزيز استدامة شركات التأمين من خلال دمج الحلول الطبيعية كوسيلة للتقليل من المخاطر الكارثية</w:t>
      </w:r>
      <w:r w:rsidRPr="009D6D5D">
        <w:rPr>
          <w:rFonts w:ascii="Simplified Arabic" w:eastAsia="Calibri" w:hAnsi="Simplified Arabic" w:cs="Simplified Arabic"/>
          <w:color w:val="000000"/>
          <w:kern w:val="0"/>
          <w:sz w:val="24"/>
          <w:szCs w:val="24"/>
          <w14:ligatures w14:val="none"/>
        </w:rPr>
        <w:t>.</w:t>
      </w:r>
    </w:p>
    <w:p w14:paraId="68A53CFA" w14:textId="77777777" w:rsidR="009D6D5D" w:rsidRPr="009D6D5D" w:rsidRDefault="009D6D5D" w:rsidP="009D6D5D">
      <w:p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rtl/>
          <w14:ligatures w14:val="none"/>
        </w:rPr>
      </w:pPr>
    </w:p>
    <w:p w14:paraId="26212EB8" w14:textId="77777777" w:rsidR="009D6D5D" w:rsidRPr="009D6D5D" w:rsidRDefault="009D6D5D" w:rsidP="009D6D5D">
      <w:p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rtl/>
          <w:lang w:bidi="ar-EG"/>
          <w14:ligatures w14:val="none"/>
        </w:rPr>
      </w:pPr>
      <w:r w:rsidRPr="00D541E5">
        <w:rPr>
          <w:rFonts w:ascii="Simplified Arabic" w:eastAsia="Calibri" w:hAnsi="Simplified Arabic" w:cs="Simplified Arabic" w:hint="cs"/>
          <w:b/>
          <w:bCs/>
          <w:color w:val="000000"/>
          <w:kern w:val="0"/>
          <w:sz w:val="24"/>
          <w:szCs w:val="24"/>
          <w:rtl/>
          <w14:ligatures w14:val="none"/>
        </w:rPr>
        <w:t>التعليق على الدراسات السابقة فى ضوء الفجوات البحثية :</w:t>
      </w:r>
      <w:r w:rsidRPr="009D6D5D">
        <w:rPr>
          <w:rFonts w:ascii="Simplified Arabic" w:eastAsia="Calibri" w:hAnsi="Simplified Arabic" w:cs="Simplified Arabic" w:hint="cs"/>
          <w:color w:val="000000"/>
          <w:kern w:val="0"/>
          <w:sz w:val="24"/>
          <w:szCs w:val="24"/>
          <w:rtl/>
          <w14:ligatures w14:val="none"/>
        </w:rPr>
        <w:t xml:space="preserve"> </w:t>
      </w:r>
      <w:r w:rsidRPr="009D6D5D">
        <w:rPr>
          <w:rFonts w:ascii="Simplified Arabic" w:eastAsia="Calibri" w:hAnsi="Simplified Arabic" w:cs="Simplified Arabic" w:hint="cs"/>
          <w:color w:val="000000"/>
          <w:kern w:val="0"/>
          <w:sz w:val="24"/>
          <w:szCs w:val="24"/>
          <w:rtl/>
          <w:lang w:bidi="ar-EG"/>
          <w14:ligatures w14:val="none"/>
        </w:rPr>
        <w:t xml:space="preserve"> </w:t>
      </w:r>
      <w:r w:rsidRPr="009D6D5D">
        <w:rPr>
          <w:rFonts w:ascii="Simplified Arabic" w:eastAsia="Calibri" w:hAnsi="Simplified Arabic" w:cs="Simplified Arabic"/>
          <w:color w:val="000000"/>
          <w:kern w:val="0"/>
          <w:sz w:val="24"/>
          <w:szCs w:val="24"/>
          <w:rtl/>
          <w14:ligatures w14:val="none"/>
        </w:rPr>
        <w:t>على الرغم من تناول العديد من الدراسات لجوانب مختلفة من تجارة الذهب والمجوهرات، إلا أن دور التأمين كأداة مباشرة لتقليل المخاطر الاقتصادية والاجتماعية لم يتم بحثه بشكل واسع</w:t>
      </w:r>
      <w:r w:rsidRPr="009D6D5D">
        <w:rPr>
          <w:rFonts w:ascii="Simplified Arabic" w:eastAsia="Calibri" w:hAnsi="Simplified Arabic" w:cs="Simplified Arabic"/>
          <w:color w:val="000000"/>
          <w:kern w:val="0"/>
          <w:sz w:val="24"/>
          <w:szCs w:val="24"/>
          <w14:ligatures w14:val="none"/>
        </w:rPr>
        <w:t>.</w:t>
      </w:r>
      <w:r w:rsidRPr="009D6D5D">
        <w:rPr>
          <w:rFonts w:ascii="Simplified Arabic" w:eastAsia="Calibri" w:hAnsi="Simplified Arabic" w:cs="Simplified Arabic" w:hint="cs"/>
          <w:color w:val="000000"/>
          <w:kern w:val="0"/>
          <w:sz w:val="24"/>
          <w:szCs w:val="24"/>
          <w:rtl/>
          <w:lang w:bidi="ar-EG"/>
          <w14:ligatures w14:val="none"/>
        </w:rPr>
        <w:t xml:space="preserve"> </w:t>
      </w:r>
      <w:r w:rsidRPr="009D6D5D">
        <w:rPr>
          <w:rFonts w:ascii="Simplified Arabic" w:eastAsia="Calibri" w:hAnsi="Simplified Arabic" w:cs="Simplified Arabic"/>
          <w:color w:val="000000"/>
          <w:kern w:val="0"/>
          <w:sz w:val="24"/>
          <w:szCs w:val="24"/>
          <w:rtl/>
          <w14:ligatures w14:val="none"/>
        </w:rPr>
        <w:t>فيما يتعلق بشركات التأمين، هناك نقص في الدراسات التي تستعرض بشكل عملي كيفية دمج الحلول الابتكارية مع استراتيجيات التأمين لمواجهة تحديات متعددة مثل الكوارث الطبيعية وحماية البيانات</w:t>
      </w:r>
      <w:r w:rsidRPr="009D6D5D">
        <w:rPr>
          <w:rFonts w:ascii="Simplified Arabic" w:eastAsia="Calibri" w:hAnsi="Simplified Arabic" w:cs="Simplified Arabic"/>
          <w:color w:val="000000"/>
          <w:kern w:val="0"/>
          <w:sz w:val="24"/>
          <w:szCs w:val="24"/>
          <w14:ligatures w14:val="none"/>
        </w:rPr>
        <w:t xml:space="preserve"> </w:t>
      </w:r>
      <w:r w:rsidRPr="009D6D5D">
        <w:rPr>
          <w:rFonts w:ascii="Simplified Arabic" w:eastAsia="Calibri" w:hAnsi="Simplified Arabic" w:cs="Simplified Arabic" w:hint="cs"/>
          <w:color w:val="000000"/>
          <w:kern w:val="0"/>
          <w:sz w:val="24"/>
          <w:szCs w:val="24"/>
          <w:rtl/>
          <w:lang w:bidi="ar-EG"/>
          <w14:ligatures w14:val="none"/>
        </w:rPr>
        <w:t xml:space="preserve">كما نجد ان الدراسات تناولت : </w:t>
      </w:r>
    </w:p>
    <w:p w14:paraId="620A11E6" w14:textId="77777777" w:rsidR="009D6D5D" w:rsidRPr="009D6D5D" w:rsidRDefault="009D6D5D" w:rsidP="009D6D5D">
      <w:pPr>
        <w:numPr>
          <w:ilvl w:val="1"/>
          <w:numId w:val="31"/>
        </w:num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hint="cs"/>
          <w:color w:val="000000"/>
          <w:kern w:val="0"/>
          <w:sz w:val="24"/>
          <w:szCs w:val="24"/>
          <w:rtl/>
          <w14:ligatures w14:val="none"/>
        </w:rPr>
        <w:t>دور</w:t>
      </w:r>
      <w:r w:rsidRPr="009D6D5D">
        <w:rPr>
          <w:rFonts w:ascii="Simplified Arabic" w:eastAsia="Calibri" w:hAnsi="Simplified Arabic" w:cs="Simplified Arabic"/>
          <w:color w:val="000000"/>
          <w:kern w:val="0"/>
          <w:sz w:val="24"/>
          <w:szCs w:val="24"/>
          <w:rtl/>
          <w14:ligatures w14:val="none"/>
        </w:rPr>
        <w:t xml:space="preserve"> التأمين في حماية المستثمرين في قطاع الذهب والمجوهرات من المخاطر</w:t>
      </w:r>
      <w:r w:rsidRPr="009D6D5D">
        <w:rPr>
          <w:rFonts w:ascii="Simplified Arabic" w:eastAsia="Calibri" w:hAnsi="Simplified Arabic" w:cs="Simplified Arabic" w:hint="cs"/>
          <w:color w:val="000000"/>
          <w:kern w:val="0"/>
          <w:sz w:val="24"/>
          <w:szCs w:val="24"/>
          <w:rtl/>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 السرقة، التلف، والتقلبات السعرية</w:t>
      </w:r>
      <w:r w:rsidRPr="009D6D5D">
        <w:rPr>
          <w:rFonts w:ascii="Simplified Arabic" w:eastAsia="Calibri" w:hAnsi="Simplified Arabic" w:cs="Simplified Arabic" w:hint="cs"/>
          <w:color w:val="000000"/>
          <w:kern w:val="0"/>
          <w:sz w:val="24"/>
          <w:szCs w:val="24"/>
          <w:rtl/>
          <w14:ligatures w14:val="none"/>
        </w:rPr>
        <w:t xml:space="preserve">) </w:t>
      </w:r>
    </w:p>
    <w:p w14:paraId="375D8237" w14:textId="77777777" w:rsidR="009D6D5D" w:rsidRPr="009D6D5D" w:rsidRDefault="009D6D5D" w:rsidP="009D6D5D">
      <w:pPr>
        <w:numPr>
          <w:ilvl w:val="1"/>
          <w:numId w:val="31"/>
        </w:num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hint="cs"/>
          <w:color w:val="000000"/>
          <w:kern w:val="0"/>
          <w:sz w:val="24"/>
          <w:szCs w:val="24"/>
          <w:rtl/>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 الجمع بين الابتكارات الرقمية وحلول إدارة المخاطر الطبيعية لتعزيز استدامة شركات التأمين</w:t>
      </w:r>
      <w:r w:rsidRPr="009D6D5D">
        <w:rPr>
          <w:rFonts w:ascii="Simplified Arabic" w:eastAsia="Calibri" w:hAnsi="Simplified Arabic" w:cs="Simplified Arabic"/>
          <w:color w:val="000000"/>
          <w:kern w:val="0"/>
          <w:sz w:val="24"/>
          <w:szCs w:val="24"/>
          <w14:ligatures w14:val="none"/>
        </w:rPr>
        <w:t>.</w:t>
      </w:r>
    </w:p>
    <w:p w14:paraId="195953C5" w14:textId="77777777" w:rsidR="009D6D5D" w:rsidRPr="009D6D5D" w:rsidRDefault="009D6D5D" w:rsidP="009D6D5D">
      <w:pPr>
        <w:numPr>
          <w:ilvl w:val="1"/>
          <w:numId w:val="31"/>
        </w:numPr>
        <w:autoSpaceDE w:val="0"/>
        <w:autoSpaceDN w:val="0"/>
        <w:bidi/>
        <w:adjustRightInd w:val="0"/>
        <w:spacing w:before="0" w:beforeAutospacing="0" w:after="0" w:afterAutospacing="0" w:line="276" w:lineRule="auto"/>
        <w:jc w:val="both"/>
        <w:rPr>
          <w:rFonts w:ascii="Simplified Arabic" w:eastAsia="Calibri" w:hAnsi="Simplified Arabic" w:cs="Simplified Arabic"/>
          <w:color w:val="000000"/>
          <w:kern w:val="0"/>
          <w:sz w:val="24"/>
          <w:szCs w:val="24"/>
          <w14:ligatures w14:val="none"/>
        </w:rPr>
      </w:pPr>
      <w:r w:rsidRPr="009D6D5D">
        <w:rPr>
          <w:rFonts w:ascii="Simplified Arabic" w:eastAsia="Calibri" w:hAnsi="Simplified Arabic" w:cs="Simplified Arabic" w:hint="cs"/>
          <w:color w:val="000000"/>
          <w:kern w:val="0"/>
          <w:sz w:val="24"/>
          <w:szCs w:val="24"/>
          <w:rtl/>
          <w14:ligatures w14:val="none"/>
        </w:rPr>
        <w:t xml:space="preserve"> </w:t>
      </w:r>
      <w:r w:rsidRPr="009D6D5D">
        <w:rPr>
          <w:rFonts w:ascii="Simplified Arabic" w:eastAsia="Calibri" w:hAnsi="Simplified Arabic" w:cs="Simplified Arabic"/>
          <w:color w:val="000000"/>
          <w:kern w:val="0"/>
          <w:sz w:val="24"/>
          <w:szCs w:val="24"/>
          <w:rtl/>
          <w14:ligatures w14:val="none"/>
        </w:rPr>
        <w:t xml:space="preserve"> </w:t>
      </w:r>
      <w:r w:rsidRPr="009D6D5D">
        <w:rPr>
          <w:rFonts w:ascii="Simplified Arabic" w:eastAsia="Calibri" w:hAnsi="Simplified Arabic" w:cs="Simplified Arabic" w:hint="cs"/>
          <w:color w:val="000000"/>
          <w:kern w:val="0"/>
          <w:sz w:val="24"/>
          <w:szCs w:val="24"/>
          <w:rtl/>
          <w14:ligatures w14:val="none"/>
        </w:rPr>
        <w:t>التأمين ودوره فى تقديم</w:t>
      </w:r>
      <w:r w:rsidRPr="009D6D5D">
        <w:rPr>
          <w:rFonts w:ascii="Simplified Arabic" w:eastAsia="Calibri" w:hAnsi="Simplified Arabic" w:cs="Simplified Arabic"/>
          <w:color w:val="000000"/>
          <w:kern w:val="0"/>
          <w:sz w:val="24"/>
          <w:szCs w:val="24"/>
          <w:rtl/>
          <w14:ligatures w14:val="none"/>
        </w:rPr>
        <w:t>المسؤولية الاجتماعية ويقلل من التأثيرات البيئية في صناعة المجوهرات</w:t>
      </w:r>
      <w:r w:rsidRPr="009D6D5D">
        <w:rPr>
          <w:rFonts w:ascii="Simplified Arabic" w:eastAsia="Calibri" w:hAnsi="Simplified Arabic" w:cs="Simplified Arabic"/>
          <w:color w:val="000000"/>
          <w:kern w:val="0"/>
          <w:sz w:val="24"/>
          <w:szCs w:val="24"/>
          <w14:ligatures w14:val="none"/>
        </w:rPr>
        <w:t>.</w:t>
      </w:r>
    </w:p>
    <w:p w14:paraId="12EF739A" w14:textId="77777777" w:rsidR="009D6D5D" w:rsidRPr="009D6D5D" w:rsidRDefault="009D6D5D" w:rsidP="009D6D5D">
      <w:pPr>
        <w:autoSpaceDE w:val="0"/>
        <w:autoSpaceDN w:val="0"/>
        <w:bidi/>
        <w:adjustRightInd w:val="0"/>
        <w:spacing w:before="0" w:beforeAutospacing="0" w:after="0" w:afterAutospacing="0" w:line="240" w:lineRule="auto"/>
        <w:jc w:val="both"/>
        <w:rPr>
          <w:rFonts w:ascii="Simplified Arabic" w:eastAsia="Calibri" w:hAnsi="Simplified Arabic" w:cs="Simplified Arabic"/>
          <w:b/>
          <w:bCs/>
          <w:color w:val="000000"/>
          <w:kern w:val="0"/>
          <w:sz w:val="28"/>
          <w:szCs w:val="28"/>
          <w:rtl/>
          <w14:ligatures w14:val="none"/>
        </w:rPr>
      </w:pPr>
    </w:p>
    <w:p w14:paraId="7B725EBD" w14:textId="54E89EC0" w:rsidR="00D05A5C" w:rsidRPr="00EC5629" w:rsidRDefault="00D05A5C" w:rsidP="00EC5629">
      <w:pPr>
        <w:bidi/>
        <w:jc w:val="both"/>
        <w:rPr>
          <w:rFonts w:ascii="Simplified Arabic" w:hAnsi="Simplified Arabic" w:cs="Simplified Arabic" w:hint="cs"/>
          <w:sz w:val="24"/>
          <w:szCs w:val="24"/>
          <w:rtl/>
          <w:lang w:bidi="ar-EG"/>
        </w:rPr>
      </w:pPr>
    </w:p>
    <w:sectPr w:rsidR="00D05A5C" w:rsidRPr="00EC5629" w:rsidSect="00EC5629">
      <w:pgSz w:w="11910" w:h="16840"/>
      <w:pgMar w:top="1134" w:right="1275" w:bottom="851" w:left="1275"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0885ED" w14:textId="77777777" w:rsidR="00395123" w:rsidRDefault="00395123" w:rsidP="009125CE">
      <w:pPr>
        <w:spacing w:after="0" w:line="240" w:lineRule="auto"/>
      </w:pPr>
      <w:r>
        <w:separator/>
      </w:r>
    </w:p>
  </w:endnote>
  <w:endnote w:type="continuationSeparator" w:id="0">
    <w:p w14:paraId="30C01DE6" w14:textId="77777777" w:rsidR="00395123" w:rsidRDefault="003951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7355864"/>
      <w:docPartObj>
        <w:docPartGallery w:val="Page Numbers (Bottom of Page)"/>
        <w:docPartUnique/>
      </w:docPartObj>
    </w:sdtPr>
    <w:sdtEndPr/>
    <w:sdtContent>
      <w:p w14:paraId="71086F68" w14:textId="148B94C5" w:rsidR="00504367" w:rsidRDefault="00504367">
        <w:pPr>
          <w:pStyle w:val="Footer"/>
        </w:pPr>
        <w:r>
          <w:rPr>
            <w:noProof/>
          </w:rPr>
          <mc:AlternateContent>
            <mc:Choice Requires="wps">
              <w:drawing>
                <wp:anchor distT="0" distB="0" distL="114300" distR="114300" simplePos="0" relativeHeight="251660288" behindDoc="0" locked="0" layoutInCell="1" allowOverlap="1" wp14:anchorId="71D431B1" wp14:editId="74833BAC">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F1ECD50" w14:textId="77777777" w:rsidR="00504367" w:rsidRDefault="00504367">
                              <w:r>
                                <w:fldChar w:fldCharType="begin"/>
                              </w:r>
                              <w:r>
                                <w:instrText xml:space="preserve"> PAGE    \* MERGEFORMAT </w:instrText>
                              </w:r>
                              <w:r>
                                <w:fldChar w:fldCharType="separate"/>
                              </w:r>
                              <w:r w:rsidR="00EC5629">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" filled="t" strokecolor="gray" strokeweight="2.25pt">
                  <v:textbox inset=",0,,0">
                    <w:txbxContent>
                      <w:p w14:paraId="7F1ECD50" w14:textId="77777777" w:rsidR="00504367" w:rsidRDefault="00504367">
                        <w:r>
                          <w:fldChar w:fldCharType="begin"/>
                        </w:r>
                        <w:r>
                          <w:instrText xml:space="preserve"> PAGE    \* MERGEFORMAT </w:instrText>
                        </w:r>
                        <w:r>
                          <w:fldChar w:fldCharType="separate"/>
                        </w:r>
                        <w:r w:rsidR="00EC5629">
                          <w:rPr>
                            <w:noProof/>
                          </w:rPr>
                          <w:t>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99536BC" wp14:editId="1C61B0E0">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AutoShape 21"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8A8538" w14:textId="77777777" w:rsidR="00395123" w:rsidRDefault="00395123" w:rsidP="009125CE">
      <w:pPr>
        <w:spacing w:after="0" w:line="240" w:lineRule="auto"/>
      </w:pPr>
      <w:r>
        <w:separator/>
      </w:r>
    </w:p>
  </w:footnote>
  <w:footnote w:type="continuationSeparator" w:id="0">
    <w:p w14:paraId="476CBAE3" w14:textId="77777777" w:rsidR="00395123" w:rsidRDefault="0039512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4577"/>
    <w:multiLevelType w:val="hybridMultilevel"/>
    <w:tmpl w:val="1EF84F94"/>
    <w:lvl w:ilvl="0" w:tplc="4E6270CE">
      <w:start w:val="1"/>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00876689"/>
    <w:multiLevelType w:val="hybridMultilevel"/>
    <w:tmpl w:val="4E4ABD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E54841"/>
    <w:multiLevelType w:val="hybridMultilevel"/>
    <w:tmpl w:val="162E4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224E56"/>
    <w:multiLevelType w:val="hybridMultilevel"/>
    <w:tmpl w:val="06AAFF9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870EC0"/>
    <w:multiLevelType w:val="hybridMultilevel"/>
    <w:tmpl w:val="F7F62A56"/>
    <w:lvl w:ilvl="0" w:tplc="D79297B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E57EEC"/>
    <w:multiLevelType w:val="multilevel"/>
    <w:tmpl w:val="DB60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F96656"/>
    <w:multiLevelType w:val="multilevel"/>
    <w:tmpl w:val="8F80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C056EF"/>
    <w:multiLevelType w:val="hybridMultilevel"/>
    <w:tmpl w:val="BB30B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332017"/>
    <w:multiLevelType w:val="hybridMultilevel"/>
    <w:tmpl w:val="801A0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F57B0B"/>
    <w:multiLevelType w:val="hybridMultilevel"/>
    <w:tmpl w:val="629A1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06119E"/>
    <w:multiLevelType w:val="hybridMultilevel"/>
    <w:tmpl w:val="283E4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497BAE"/>
    <w:multiLevelType w:val="hybridMultilevel"/>
    <w:tmpl w:val="B6463F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43931791"/>
    <w:multiLevelType w:val="hybridMultilevel"/>
    <w:tmpl w:val="A4E216C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3">
    <w:nsid w:val="493E264B"/>
    <w:multiLevelType w:val="hybridMultilevel"/>
    <w:tmpl w:val="A4DADD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A986EF1"/>
    <w:multiLevelType w:val="hybridMultilevel"/>
    <w:tmpl w:val="D80AB9DE"/>
    <w:lvl w:ilvl="0" w:tplc="FD50777A">
      <w:start w:val="1"/>
      <w:numFmt w:val="decimal"/>
      <w:lvlText w:val="%1-"/>
      <w:lvlJc w:val="left"/>
      <w:pPr>
        <w:ind w:left="955"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FCB66B4A">
      <w:numFmt w:val="bullet"/>
      <w:lvlText w:val="•"/>
      <w:lvlJc w:val="left"/>
      <w:pPr>
        <w:ind w:left="1799" w:hanging="360"/>
      </w:pPr>
      <w:rPr>
        <w:rFonts w:hint="default"/>
        <w:lang w:val="en-US" w:eastAsia="en-US" w:bidi="ar-SA"/>
      </w:rPr>
    </w:lvl>
    <w:lvl w:ilvl="2" w:tplc="6FFEDB7E">
      <w:numFmt w:val="bullet"/>
      <w:lvlText w:val="•"/>
      <w:lvlJc w:val="left"/>
      <w:pPr>
        <w:ind w:left="2639" w:hanging="360"/>
      </w:pPr>
      <w:rPr>
        <w:rFonts w:hint="default"/>
        <w:lang w:val="en-US" w:eastAsia="en-US" w:bidi="ar-SA"/>
      </w:rPr>
    </w:lvl>
    <w:lvl w:ilvl="3" w:tplc="0D62DEA4">
      <w:numFmt w:val="bullet"/>
      <w:lvlText w:val="•"/>
      <w:lvlJc w:val="left"/>
      <w:pPr>
        <w:ind w:left="3478" w:hanging="360"/>
      </w:pPr>
      <w:rPr>
        <w:rFonts w:hint="default"/>
        <w:lang w:val="en-US" w:eastAsia="en-US" w:bidi="ar-SA"/>
      </w:rPr>
    </w:lvl>
    <w:lvl w:ilvl="4" w:tplc="C7269A6E">
      <w:numFmt w:val="bullet"/>
      <w:lvlText w:val="•"/>
      <w:lvlJc w:val="left"/>
      <w:pPr>
        <w:ind w:left="4318" w:hanging="360"/>
      </w:pPr>
      <w:rPr>
        <w:rFonts w:hint="default"/>
        <w:lang w:val="en-US" w:eastAsia="en-US" w:bidi="ar-SA"/>
      </w:rPr>
    </w:lvl>
    <w:lvl w:ilvl="5" w:tplc="EA4891A8">
      <w:numFmt w:val="bullet"/>
      <w:lvlText w:val="•"/>
      <w:lvlJc w:val="left"/>
      <w:pPr>
        <w:ind w:left="5158" w:hanging="360"/>
      </w:pPr>
      <w:rPr>
        <w:rFonts w:hint="default"/>
        <w:lang w:val="en-US" w:eastAsia="en-US" w:bidi="ar-SA"/>
      </w:rPr>
    </w:lvl>
    <w:lvl w:ilvl="6" w:tplc="4AE8FAD4">
      <w:numFmt w:val="bullet"/>
      <w:lvlText w:val="•"/>
      <w:lvlJc w:val="left"/>
      <w:pPr>
        <w:ind w:left="5997" w:hanging="360"/>
      </w:pPr>
      <w:rPr>
        <w:rFonts w:hint="default"/>
        <w:lang w:val="en-US" w:eastAsia="en-US" w:bidi="ar-SA"/>
      </w:rPr>
    </w:lvl>
    <w:lvl w:ilvl="7" w:tplc="415A8324">
      <w:numFmt w:val="bullet"/>
      <w:lvlText w:val="•"/>
      <w:lvlJc w:val="left"/>
      <w:pPr>
        <w:ind w:left="6837" w:hanging="360"/>
      </w:pPr>
      <w:rPr>
        <w:rFonts w:hint="default"/>
        <w:lang w:val="en-US" w:eastAsia="en-US" w:bidi="ar-SA"/>
      </w:rPr>
    </w:lvl>
    <w:lvl w:ilvl="8" w:tplc="868C29A8">
      <w:numFmt w:val="bullet"/>
      <w:lvlText w:val="•"/>
      <w:lvlJc w:val="left"/>
      <w:pPr>
        <w:ind w:left="7677" w:hanging="360"/>
      </w:pPr>
      <w:rPr>
        <w:rFonts w:hint="default"/>
        <w:lang w:val="en-US" w:eastAsia="en-US" w:bidi="ar-SA"/>
      </w:rPr>
    </w:lvl>
  </w:abstractNum>
  <w:abstractNum w:abstractNumId="15">
    <w:nsid w:val="4D282B63"/>
    <w:multiLevelType w:val="hybridMultilevel"/>
    <w:tmpl w:val="075EF776"/>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0A7653"/>
    <w:multiLevelType w:val="multilevel"/>
    <w:tmpl w:val="0F884CD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161BA8"/>
    <w:multiLevelType w:val="hybridMultilevel"/>
    <w:tmpl w:val="903A9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DE0EA0"/>
    <w:multiLevelType w:val="hybridMultilevel"/>
    <w:tmpl w:val="E58A93BA"/>
    <w:lvl w:ilvl="0" w:tplc="C8C6CF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5F26906"/>
    <w:multiLevelType w:val="hybridMultilevel"/>
    <w:tmpl w:val="1C983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FE0B2B"/>
    <w:multiLevelType w:val="hybridMultilevel"/>
    <w:tmpl w:val="4A72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371D0A"/>
    <w:multiLevelType w:val="hybridMultilevel"/>
    <w:tmpl w:val="0CE86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DA552B"/>
    <w:multiLevelType w:val="hybridMultilevel"/>
    <w:tmpl w:val="357AF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8E1AF6"/>
    <w:multiLevelType w:val="hybridMultilevel"/>
    <w:tmpl w:val="017648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4612F98"/>
    <w:multiLevelType w:val="hybridMultilevel"/>
    <w:tmpl w:val="92A8A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A8111E"/>
    <w:multiLevelType w:val="hybridMultilevel"/>
    <w:tmpl w:val="CD2CB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AB5EF8"/>
    <w:multiLevelType w:val="multilevel"/>
    <w:tmpl w:val="204C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461B3C"/>
    <w:multiLevelType w:val="multilevel"/>
    <w:tmpl w:val="F2C0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6112F36"/>
    <w:multiLevelType w:val="hybridMultilevel"/>
    <w:tmpl w:val="C1E63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917A4F"/>
    <w:multiLevelType w:val="multilevel"/>
    <w:tmpl w:val="EF1A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A235C89"/>
    <w:multiLevelType w:val="multilevel"/>
    <w:tmpl w:val="5D88A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B194B51"/>
    <w:multiLevelType w:val="multilevel"/>
    <w:tmpl w:val="2C5A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456380"/>
    <w:multiLevelType w:val="multilevel"/>
    <w:tmpl w:val="E6C84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C366D82"/>
    <w:multiLevelType w:val="multilevel"/>
    <w:tmpl w:val="D43E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2"/>
  </w:num>
  <w:num w:numId="3">
    <w:abstractNumId w:val="23"/>
  </w:num>
  <w:num w:numId="4">
    <w:abstractNumId w:val="15"/>
  </w:num>
  <w:num w:numId="5">
    <w:abstractNumId w:val="10"/>
  </w:num>
  <w:num w:numId="6">
    <w:abstractNumId w:val="20"/>
  </w:num>
  <w:num w:numId="7">
    <w:abstractNumId w:val="9"/>
  </w:num>
  <w:num w:numId="8">
    <w:abstractNumId w:val="18"/>
  </w:num>
  <w:num w:numId="9">
    <w:abstractNumId w:val="14"/>
  </w:num>
  <w:num w:numId="10">
    <w:abstractNumId w:val="24"/>
  </w:num>
  <w:num w:numId="11">
    <w:abstractNumId w:val="12"/>
  </w:num>
  <w:num w:numId="12">
    <w:abstractNumId w:val="28"/>
  </w:num>
  <w:num w:numId="13">
    <w:abstractNumId w:val="29"/>
  </w:num>
  <w:num w:numId="14">
    <w:abstractNumId w:val="0"/>
  </w:num>
  <w:num w:numId="15">
    <w:abstractNumId w:val="11"/>
  </w:num>
  <w:num w:numId="16">
    <w:abstractNumId w:val="17"/>
  </w:num>
  <w:num w:numId="17">
    <w:abstractNumId w:val="8"/>
  </w:num>
  <w:num w:numId="18">
    <w:abstractNumId w:val="2"/>
  </w:num>
  <w:num w:numId="19">
    <w:abstractNumId w:val="3"/>
  </w:num>
  <w:num w:numId="20">
    <w:abstractNumId w:val="19"/>
  </w:num>
  <w:num w:numId="21">
    <w:abstractNumId w:val="13"/>
  </w:num>
  <w:num w:numId="22">
    <w:abstractNumId w:val="5"/>
  </w:num>
  <w:num w:numId="23">
    <w:abstractNumId w:val="31"/>
  </w:num>
  <w:num w:numId="24">
    <w:abstractNumId w:val="6"/>
  </w:num>
  <w:num w:numId="25">
    <w:abstractNumId w:val="16"/>
  </w:num>
  <w:num w:numId="26">
    <w:abstractNumId w:val="26"/>
  </w:num>
  <w:num w:numId="27">
    <w:abstractNumId w:val="32"/>
  </w:num>
  <w:num w:numId="28">
    <w:abstractNumId w:val="25"/>
  </w:num>
  <w:num w:numId="29">
    <w:abstractNumId w:val="27"/>
  </w:num>
  <w:num w:numId="30">
    <w:abstractNumId w:val="33"/>
  </w:num>
  <w:num w:numId="31">
    <w:abstractNumId w:val="30"/>
  </w:num>
  <w:num w:numId="32">
    <w:abstractNumId w:val="7"/>
  </w:num>
  <w:num w:numId="33">
    <w:abstractNumId w:val="4"/>
  </w:num>
  <w:num w:numId="34">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07FA"/>
    <w:rsid w:val="000015A8"/>
    <w:rsid w:val="00004577"/>
    <w:rsid w:val="00016A54"/>
    <w:rsid w:val="000206C6"/>
    <w:rsid w:val="000310D1"/>
    <w:rsid w:val="000362EF"/>
    <w:rsid w:val="000414BC"/>
    <w:rsid w:val="00046947"/>
    <w:rsid w:val="000526A9"/>
    <w:rsid w:val="000612CD"/>
    <w:rsid w:val="00061869"/>
    <w:rsid w:val="000656ED"/>
    <w:rsid w:val="00065D75"/>
    <w:rsid w:val="000825CA"/>
    <w:rsid w:val="00082E08"/>
    <w:rsid w:val="00090F21"/>
    <w:rsid w:val="0009286A"/>
    <w:rsid w:val="000A29F6"/>
    <w:rsid w:val="000C1412"/>
    <w:rsid w:val="000C6454"/>
    <w:rsid w:val="000D15B8"/>
    <w:rsid w:val="000F44B4"/>
    <w:rsid w:val="000F67D7"/>
    <w:rsid w:val="000F6F04"/>
    <w:rsid w:val="00117BA9"/>
    <w:rsid w:val="001257F5"/>
    <w:rsid w:val="00134632"/>
    <w:rsid w:val="00141372"/>
    <w:rsid w:val="001460EC"/>
    <w:rsid w:val="00147AEA"/>
    <w:rsid w:val="00150265"/>
    <w:rsid w:val="001504BB"/>
    <w:rsid w:val="001510C8"/>
    <w:rsid w:val="00152B63"/>
    <w:rsid w:val="001727A1"/>
    <w:rsid w:val="001902DB"/>
    <w:rsid w:val="001A1C5D"/>
    <w:rsid w:val="001A2D19"/>
    <w:rsid w:val="001A3CB0"/>
    <w:rsid w:val="001C2162"/>
    <w:rsid w:val="001C5BC2"/>
    <w:rsid w:val="001D0843"/>
    <w:rsid w:val="001D25CC"/>
    <w:rsid w:val="001F29D6"/>
    <w:rsid w:val="001F76F4"/>
    <w:rsid w:val="001F7730"/>
    <w:rsid w:val="002021AB"/>
    <w:rsid w:val="002414FD"/>
    <w:rsid w:val="00265012"/>
    <w:rsid w:val="00276190"/>
    <w:rsid w:val="0028524B"/>
    <w:rsid w:val="002869C8"/>
    <w:rsid w:val="0029258B"/>
    <w:rsid w:val="002B12DC"/>
    <w:rsid w:val="002B1DC8"/>
    <w:rsid w:val="002C13CC"/>
    <w:rsid w:val="002C6E60"/>
    <w:rsid w:val="002D4E3D"/>
    <w:rsid w:val="002E73EF"/>
    <w:rsid w:val="00313382"/>
    <w:rsid w:val="0032243C"/>
    <w:rsid w:val="00326FA3"/>
    <w:rsid w:val="00342427"/>
    <w:rsid w:val="00346A63"/>
    <w:rsid w:val="00353554"/>
    <w:rsid w:val="00361F0D"/>
    <w:rsid w:val="00365504"/>
    <w:rsid w:val="003674C1"/>
    <w:rsid w:val="00375BAE"/>
    <w:rsid w:val="00383BE4"/>
    <w:rsid w:val="0038742F"/>
    <w:rsid w:val="00395123"/>
    <w:rsid w:val="00396091"/>
    <w:rsid w:val="003A710E"/>
    <w:rsid w:val="003B0F37"/>
    <w:rsid w:val="003B12D1"/>
    <w:rsid w:val="003B2905"/>
    <w:rsid w:val="003C2A02"/>
    <w:rsid w:val="003C4CE0"/>
    <w:rsid w:val="003D4174"/>
    <w:rsid w:val="003D6A05"/>
    <w:rsid w:val="003E622E"/>
    <w:rsid w:val="003E7B3C"/>
    <w:rsid w:val="004047A2"/>
    <w:rsid w:val="004163C7"/>
    <w:rsid w:val="00421B3D"/>
    <w:rsid w:val="004578C3"/>
    <w:rsid w:val="00462F99"/>
    <w:rsid w:val="004860DF"/>
    <w:rsid w:val="004A3F07"/>
    <w:rsid w:val="004B5272"/>
    <w:rsid w:val="004E023D"/>
    <w:rsid w:val="004E1870"/>
    <w:rsid w:val="004E49D2"/>
    <w:rsid w:val="004E5542"/>
    <w:rsid w:val="00504367"/>
    <w:rsid w:val="00516083"/>
    <w:rsid w:val="0051700A"/>
    <w:rsid w:val="00535081"/>
    <w:rsid w:val="00543E0C"/>
    <w:rsid w:val="00550983"/>
    <w:rsid w:val="00573C64"/>
    <w:rsid w:val="005831A1"/>
    <w:rsid w:val="0059381E"/>
    <w:rsid w:val="005A2DC3"/>
    <w:rsid w:val="005D3F99"/>
    <w:rsid w:val="005D4DD5"/>
    <w:rsid w:val="005F7255"/>
    <w:rsid w:val="00622AC1"/>
    <w:rsid w:val="00653001"/>
    <w:rsid w:val="006541DE"/>
    <w:rsid w:val="00654A77"/>
    <w:rsid w:val="00664A85"/>
    <w:rsid w:val="00665418"/>
    <w:rsid w:val="00671FED"/>
    <w:rsid w:val="00677B2D"/>
    <w:rsid w:val="006878B6"/>
    <w:rsid w:val="00690A07"/>
    <w:rsid w:val="00692BB4"/>
    <w:rsid w:val="006948DE"/>
    <w:rsid w:val="006A28CB"/>
    <w:rsid w:val="006A5F28"/>
    <w:rsid w:val="006A65B6"/>
    <w:rsid w:val="006A7BFB"/>
    <w:rsid w:val="006D1B5C"/>
    <w:rsid w:val="006E7B97"/>
    <w:rsid w:val="006F2EBF"/>
    <w:rsid w:val="007321BC"/>
    <w:rsid w:val="00735B5F"/>
    <w:rsid w:val="00742419"/>
    <w:rsid w:val="00750009"/>
    <w:rsid w:val="00763F51"/>
    <w:rsid w:val="00791E39"/>
    <w:rsid w:val="007A3DEA"/>
    <w:rsid w:val="007B0E54"/>
    <w:rsid w:val="007B1430"/>
    <w:rsid w:val="007B6FED"/>
    <w:rsid w:val="007C1A78"/>
    <w:rsid w:val="007D0988"/>
    <w:rsid w:val="007D36AA"/>
    <w:rsid w:val="007E3A20"/>
    <w:rsid w:val="007F36A1"/>
    <w:rsid w:val="007F7E23"/>
    <w:rsid w:val="0080241F"/>
    <w:rsid w:val="008071D8"/>
    <w:rsid w:val="008156A2"/>
    <w:rsid w:val="00821577"/>
    <w:rsid w:val="00821BBA"/>
    <w:rsid w:val="00827A3E"/>
    <w:rsid w:val="00841627"/>
    <w:rsid w:val="00862B02"/>
    <w:rsid w:val="00876F10"/>
    <w:rsid w:val="00877AAC"/>
    <w:rsid w:val="008843E0"/>
    <w:rsid w:val="00885281"/>
    <w:rsid w:val="00896FE4"/>
    <w:rsid w:val="008A3BA0"/>
    <w:rsid w:val="008A3F6E"/>
    <w:rsid w:val="008B7838"/>
    <w:rsid w:val="008E6ED6"/>
    <w:rsid w:val="008E74CB"/>
    <w:rsid w:val="008F1EAE"/>
    <w:rsid w:val="008F5335"/>
    <w:rsid w:val="009125CE"/>
    <w:rsid w:val="009368D5"/>
    <w:rsid w:val="00946F5F"/>
    <w:rsid w:val="00953079"/>
    <w:rsid w:val="00963D2D"/>
    <w:rsid w:val="00973209"/>
    <w:rsid w:val="00974154"/>
    <w:rsid w:val="009837BF"/>
    <w:rsid w:val="00984CD6"/>
    <w:rsid w:val="00991019"/>
    <w:rsid w:val="0099410F"/>
    <w:rsid w:val="009A629A"/>
    <w:rsid w:val="009B1555"/>
    <w:rsid w:val="009B6888"/>
    <w:rsid w:val="009B763E"/>
    <w:rsid w:val="009C0161"/>
    <w:rsid w:val="009C32D5"/>
    <w:rsid w:val="009D108D"/>
    <w:rsid w:val="009D2EA5"/>
    <w:rsid w:val="009D6D5D"/>
    <w:rsid w:val="009E010B"/>
    <w:rsid w:val="009E1436"/>
    <w:rsid w:val="009E2714"/>
    <w:rsid w:val="009E5668"/>
    <w:rsid w:val="009F549B"/>
    <w:rsid w:val="00A00916"/>
    <w:rsid w:val="00A1329E"/>
    <w:rsid w:val="00A177E9"/>
    <w:rsid w:val="00A27E1A"/>
    <w:rsid w:val="00A32703"/>
    <w:rsid w:val="00A40DBC"/>
    <w:rsid w:val="00A47D26"/>
    <w:rsid w:val="00A5689F"/>
    <w:rsid w:val="00A6123A"/>
    <w:rsid w:val="00A72718"/>
    <w:rsid w:val="00A75841"/>
    <w:rsid w:val="00A917D5"/>
    <w:rsid w:val="00AA5C6B"/>
    <w:rsid w:val="00AA79E9"/>
    <w:rsid w:val="00AB0A70"/>
    <w:rsid w:val="00AC28C7"/>
    <w:rsid w:val="00AD5AF8"/>
    <w:rsid w:val="00AD768F"/>
    <w:rsid w:val="00AF5D44"/>
    <w:rsid w:val="00B1241D"/>
    <w:rsid w:val="00B15F27"/>
    <w:rsid w:val="00B25101"/>
    <w:rsid w:val="00B30A8E"/>
    <w:rsid w:val="00B4237C"/>
    <w:rsid w:val="00B43416"/>
    <w:rsid w:val="00B63B0F"/>
    <w:rsid w:val="00B70860"/>
    <w:rsid w:val="00B7678A"/>
    <w:rsid w:val="00B82D6E"/>
    <w:rsid w:val="00B84FE9"/>
    <w:rsid w:val="00B921DD"/>
    <w:rsid w:val="00BC094B"/>
    <w:rsid w:val="00BC3CDD"/>
    <w:rsid w:val="00BD0160"/>
    <w:rsid w:val="00BD53FD"/>
    <w:rsid w:val="00BE16A0"/>
    <w:rsid w:val="00BE5822"/>
    <w:rsid w:val="00BF03BF"/>
    <w:rsid w:val="00BF2028"/>
    <w:rsid w:val="00BF3B27"/>
    <w:rsid w:val="00C0674E"/>
    <w:rsid w:val="00C14CD7"/>
    <w:rsid w:val="00C14D21"/>
    <w:rsid w:val="00C17D8F"/>
    <w:rsid w:val="00C51304"/>
    <w:rsid w:val="00C53384"/>
    <w:rsid w:val="00C6545F"/>
    <w:rsid w:val="00C65723"/>
    <w:rsid w:val="00C6722A"/>
    <w:rsid w:val="00C70EC3"/>
    <w:rsid w:val="00C72744"/>
    <w:rsid w:val="00C73C28"/>
    <w:rsid w:val="00C82100"/>
    <w:rsid w:val="00C82A38"/>
    <w:rsid w:val="00C84C83"/>
    <w:rsid w:val="00C87A91"/>
    <w:rsid w:val="00CA5371"/>
    <w:rsid w:val="00CB2A44"/>
    <w:rsid w:val="00CB2F7A"/>
    <w:rsid w:val="00CB381A"/>
    <w:rsid w:val="00CD7990"/>
    <w:rsid w:val="00CE4427"/>
    <w:rsid w:val="00CF53FE"/>
    <w:rsid w:val="00D04F62"/>
    <w:rsid w:val="00D05A5C"/>
    <w:rsid w:val="00D11BCA"/>
    <w:rsid w:val="00D14650"/>
    <w:rsid w:val="00D22171"/>
    <w:rsid w:val="00D23208"/>
    <w:rsid w:val="00D238F6"/>
    <w:rsid w:val="00D323CB"/>
    <w:rsid w:val="00D36F4E"/>
    <w:rsid w:val="00D45F24"/>
    <w:rsid w:val="00D507DC"/>
    <w:rsid w:val="00D52480"/>
    <w:rsid w:val="00D541E5"/>
    <w:rsid w:val="00D800F3"/>
    <w:rsid w:val="00D9005B"/>
    <w:rsid w:val="00D90C1E"/>
    <w:rsid w:val="00D96F30"/>
    <w:rsid w:val="00DA3DDB"/>
    <w:rsid w:val="00DB63A4"/>
    <w:rsid w:val="00DB7734"/>
    <w:rsid w:val="00DD05DB"/>
    <w:rsid w:val="00DE6125"/>
    <w:rsid w:val="00DF44AD"/>
    <w:rsid w:val="00DF559F"/>
    <w:rsid w:val="00DF6816"/>
    <w:rsid w:val="00DF6A08"/>
    <w:rsid w:val="00E11549"/>
    <w:rsid w:val="00E14980"/>
    <w:rsid w:val="00E162D4"/>
    <w:rsid w:val="00E2412C"/>
    <w:rsid w:val="00E4062F"/>
    <w:rsid w:val="00E43D65"/>
    <w:rsid w:val="00E474C0"/>
    <w:rsid w:val="00E561D3"/>
    <w:rsid w:val="00E60199"/>
    <w:rsid w:val="00E71AD7"/>
    <w:rsid w:val="00E77F30"/>
    <w:rsid w:val="00E80FD9"/>
    <w:rsid w:val="00E90096"/>
    <w:rsid w:val="00EA0B4A"/>
    <w:rsid w:val="00EA2E6B"/>
    <w:rsid w:val="00EB6A37"/>
    <w:rsid w:val="00EC01DD"/>
    <w:rsid w:val="00EC368C"/>
    <w:rsid w:val="00EC5629"/>
    <w:rsid w:val="00ED03DD"/>
    <w:rsid w:val="00ED15EB"/>
    <w:rsid w:val="00EE0943"/>
    <w:rsid w:val="00EE2814"/>
    <w:rsid w:val="00EF04ED"/>
    <w:rsid w:val="00EF0748"/>
    <w:rsid w:val="00EF746D"/>
    <w:rsid w:val="00EF77D3"/>
    <w:rsid w:val="00F02228"/>
    <w:rsid w:val="00F02835"/>
    <w:rsid w:val="00F271DA"/>
    <w:rsid w:val="00F32B66"/>
    <w:rsid w:val="00F33E0B"/>
    <w:rsid w:val="00F44BB8"/>
    <w:rsid w:val="00F546CE"/>
    <w:rsid w:val="00F614AE"/>
    <w:rsid w:val="00F65BD3"/>
    <w:rsid w:val="00F81641"/>
    <w:rsid w:val="00F925D0"/>
    <w:rsid w:val="00F9738C"/>
    <w:rsid w:val="00FC1B0D"/>
    <w:rsid w:val="00FC58E5"/>
    <w:rsid w:val="00FD1AC9"/>
    <w:rsid w:val="00FE75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00" w:beforeAutospacing="1" w:after="100" w:afterAutospacing="1" w:line="36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1AD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E71AD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365504"/>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162D4"/>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FootnoteText">
    <w:name w:val="footnote text"/>
    <w:basedOn w:val="Normal"/>
    <w:link w:val="FootnoteTextChar"/>
    <w:uiPriority w:val="99"/>
    <w:semiHidden/>
    <w:unhideWhenUsed/>
    <w:rsid w:val="00EE28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2814"/>
    <w:rPr>
      <w:sz w:val="20"/>
      <w:szCs w:val="20"/>
    </w:rPr>
  </w:style>
  <w:style w:type="character" w:styleId="FootnoteReference">
    <w:name w:val="footnote reference"/>
    <w:basedOn w:val="DefaultParagraphFont"/>
    <w:uiPriority w:val="99"/>
    <w:semiHidden/>
    <w:unhideWhenUsed/>
    <w:rsid w:val="00EE2814"/>
    <w:rPr>
      <w:vertAlign w:val="superscript"/>
    </w:rPr>
  </w:style>
  <w:style w:type="character" w:styleId="Emphasis">
    <w:name w:val="Emphasis"/>
    <w:basedOn w:val="DefaultParagraphFont"/>
    <w:uiPriority w:val="20"/>
    <w:qFormat/>
    <w:rsid w:val="00C6722A"/>
    <w:rPr>
      <w:i/>
      <w:iCs/>
    </w:rPr>
  </w:style>
  <w:style w:type="paragraph" w:styleId="NormalWeb">
    <w:name w:val="Normal (Web)"/>
    <w:basedOn w:val="Normal"/>
    <w:uiPriority w:val="99"/>
    <w:unhideWhenUsed/>
    <w:rsid w:val="00C6722A"/>
    <w:pPr>
      <w:spacing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0241F"/>
    <w:rPr>
      <w:color w:val="0000FF"/>
      <w:u w:val="single"/>
    </w:rPr>
  </w:style>
  <w:style w:type="table" w:styleId="TableGrid">
    <w:name w:val="Table Grid"/>
    <w:basedOn w:val="TableNormal"/>
    <w:uiPriority w:val="39"/>
    <w:rsid w:val="001F76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E6B"/>
    <w:pPr>
      <w:ind w:left="720"/>
      <w:contextualSpacing/>
    </w:pPr>
  </w:style>
  <w:style w:type="character" w:styleId="Strong">
    <w:name w:val="Strong"/>
    <w:basedOn w:val="DefaultParagraphFont"/>
    <w:uiPriority w:val="22"/>
    <w:qFormat/>
    <w:rsid w:val="006541DE"/>
    <w:rPr>
      <w:b/>
      <w:bCs/>
    </w:rPr>
  </w:style>
  <w:style w:type="character" w:customStyle="1" w:styleId="Heading3Char">
    <w:name w:val="Heading 3 Char"/>
    <w:basedOn w:val="DefaultParagraphFont"/>
    <w:link w:val="Heading3"/>
    <w:uiPriority w:val="9"/>
    <w:rsid w:val="00365504"/>
    <w:rPr>
      <w:rFonts w:asciiTheme="majorHAnsi" w:eastAsiaTheme="majorEastAsia" w:hAnsiTheme="majorHAnsi" w:cstheme="majorBidi"/>
      <w:b/>
      <w:bCs/>
      <w:color w:val="4472C4" w:themeColor="accent1"/>
    </w:rPr>
  </w:style>
  <w:style w:type="character" w:customStyle="1" w:styleId="Heading1Char">
    <w:name w:val="Heading 1 Char"/>
    <w:basedOn w:val="DefaultParagraphFont"/>
    <w:link w:val="Heading1"/>
    <w:uiPriority w:val="9"/>
    <w:rsid w:val="00E71AD7"/>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E71AD7"/>
    <w:rPr>
      <w:rFonts w:asciiTheme="majorHAnsi" w:eastAsiaTheme="majorEastAsia" w:hAnsiTheme="majorHAnsi" w:cstheme="majorBidi"/>
      <w:b/>
      <w:bCs/>
      <w:color w:val="4472C4" w:themeColor="accent1"/>
      <w:sz w:val="26"/>
      <w:szCs w:val="26"/>
    </w:rPr>
  </w:style>
  <w:style w:type="paragraph" w:styleId="BalloonText">
    <w:name w:val="Balloon Text"/>
    <w:basedOn w:val="Normal"/>
    <w:link w:val="BalloonTextChar"/>
    <w:uiPriority w:val="99"/>
    <w:semiHidden/>
    <w:unhideWhenUsed/>
    <w:rsid w:val="00E71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AD7"/>
    <w:rPr>
      <w:rFonts w:ascii="Tahoma" w:hAnsi="Tahoma" w:cs="Tahoma"/>
      <w:sz w:val="16"/>
      <w:szCs w:val="16"/>
    </w:rPr>
  </w:style>
  <w:style w:type="character" w:customStyle="1" w:styleId="Heading4Char">
    <w:name w:val="Heading 4 Char"/>
    <w:basedOn w:val="DefaultParagraphFont"/>
    <w:link w:val="Heading4"/>
    <w:uiPriority w:val="9"/>
    <w:semiHidden/>
    <w:rsid w:val="00E162D4"/>
    <w:rPr>
      <w:rFonts w:asciiTheme="majorHAnsi" w:eastAsiaTheme="majorEastAsia" w:hAnsiTheme="majorHAnsi" w:cstheme="majorBidi"/>
      <w:b/>
      <w:bCs/>
      <w:i/>
      <w:iCs/>
      <w:color w:val="4472C4" w:themeColor="accent1"/>
    </w:rPr>
  </w:style>
  <w:style w:type="table" w:styleId="MediumGrid3-Accent5">
    <w:name w:val="Medium Grid 3 Accent 5"/>
    <w:basedOn w:val="TableNormal"/>
    <w:uiPriority w:val="69"/>
    <w:rsid w:val="003D417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paragraph" w:styleId="TOCHeading">
    <w:name w:val="TOC Heading"/>
    <w:basedOn w:val="Heading1"/>
    <w:next w:val="Normal"/>
    <w:uiPriority w:val="39"/>
    <w:unhideWhenUsed/>
    <w:qFormat/>
    <w:rsid w:val="00A5689F"/>
    <w:pPr>
      <w:spacing w:line="276" w:lineRule="auto"/>
      <w:outlineLvl w:val="9"/>
    </w:pPr>
    <w:rPr>
      <w:kern w:val="0"/>
      <w:lang w:eastAsia="ja-JP"/>
      <w14:ligatures w14:val="none"/>
    </w:rPr>
  </w:style>
  <w:style w:type="paragraph" w:styleId="TOC3">
    <w:name w:val="toc 3"/>
    <w:basedOn w:val="Normal"/>
    <w:next w:val="Normal"/>
    <w:autoRedefine/>
    <w:uiPriority w:val="39"/>
    <w:unhideWhenUsed/>
    <w:qFormat/>
    <w:rsid w:val="0028524B"/>
    <w:pPr>
      <w:tabs>
        <w:tab w:val="right" w:leader="dot" w:pos="9491"/>
      </w:tabs>
      <w:bidi/>
      <w:ind w:left="440"/>
    </w:pPr>
  </w:style>
  <w:style w:type="paragraph" w:styleId="TOC1">
    <w:name w:val="toc 1"/>
    <w:basedOn w:val="Normal"/>
    <w:next w:val="Normal"/>
    <w:autoRedefine/>
    <w:uiPriority w:val="39"/>
    <w:unhideWhenUsed/>
    <w:qFormat/>
    <w:rsid w:val="00504367"/>
    <w:pPr>
      <w:tabs>
        <w:tab w:val="right" w:leader="dot" w:pos="9491"/>
      </w:tabs>
      <w:bidi/>
      <w:jc w:val="right"/>
    </w:pPr>
    <w:rPr>
      <w:b/>
      <w:bCs/>
      <w:noProof/>
      <w:lang w:bidi="ar-EG"/>
    </w:rPr>
  </w:style>
  <w:style w:type="paragraph" w:styleId="TOC2">
    <w:name w:val="toc 2"/>
    <w:basedOn w:val="Normal"/>
    <w:next w:val="Normal"/>
    <w:autoRedefine/>
    <w:uiPriority w:val="39"/>
    <w:unhideWhenUsed/>
    <w:qFormat/>
    <w:rsid w:val="00C14D21"/>
    <w:pPr>
      <w:tabs>
        <w:tab w:val="right" w:leader="dot" w:pos="9491"/>
      </w:tabs>
      <w:bidi/>
      <w:ind w:left="220"/>
      <w:jc w:val="left"/>
    </w:pPr>
  </w:style>
  <w:style w:type="character" w:customStyle="1" w:styleId="citation-0">
    <w:name w:val="citation-0"/>
    <w:basedOn w:val="DefaultParagraphFont"/>
    <w:rsid w:val="00353554"/>
  </w:style>
  <w:style w:type="character" w:customStyle="1" w:styleId="button-container">
    <w:name w:val="button-container"/>
    <w:basedOn w:val="DefaultParagraphFont"/>
    <w:rsid w:val="00353554"/>
  </w:style>
  <w:style w:type="character" w:customStyle="1" w:styleId="citation-1">
    <w:name w:val="citation-1"/>
    <w:basedOn w:val="DefaultParagraphFont"/>
    <w:rsid w:val="00353554"/>
  </w:style>
  <w:style w:type="paragraph" w:styleId="Title">
    <w:name w:val="Title"/>
    <w:basedOn w:val="Normal"/>
    <w:next w:val="Normal"/>
    <w:link w:val="TitleChar"/>
    <w:uiPriority w:val="10"/>
    <w:qFormat/>
    <w:rsid w:val="0028524B"/>
    <w:pPr>
      <w:pBdr>
        <w:bottom w:val="single" w:sz="8" w:space="4" w:color="4472C4" w:themeColor="accent1"/>
      </w:pBdr>
      <w:spacing w:before="0"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8524B"/>
    <w:rPr>
      <w:rFonts w:asciiTheme="majorHAnsi" w:eastAsiaTheme="majorEastAsia" w:hAnsiTheme="majorHAnsi" w:cstheme="majorBidi"/>
      <w:color w:val="323E4F" w:themeColor="text2" w:themeShade="BF"/>
      <w:spacing w:val="5"/>
      <w:kern w:val="28"/>
      <w:sz w:val="52"/>
      <w:szCs w:val="52"/>
    </w:rPr>
  </w:style>
  <w:style w:type="paragraph" w:styleId="TOC4">
    <w:name w:val="toc 4"/>
    <w:basedOn w:val="Normal"/>
    <w:next w:val="Normal"/>
    <w:autoRedefine/>
    <w:uiPriority w:val="39"/>
    <w:unhideWhenUsed/>
    <w:rsid w:val="002D4E3D"/>
    <w:pPr>
      <w:bidi/>
      <w:spacing w:before="0" w:beforeAutospacing="0" w:afterAutospacing="0" w:line="276" w:lineRule="auto"/>
      <w:ind w:left="660"/>
      <w:jc w:val="left"/>
    </w:pPr>
    <w:rPr>
      <w:rFonts w:eastAsiaTheme="minorEastAsia"/>
      <w:kern w:val="0"/>
      <w14:ligatures w14:val="none"/>
    </w:rPr>
  </w:style>
  <w:style w:type="paragraph" w:styleId="TOC5">
    <w:name w:val="toc 5"/>
    <w:basedOn w:val="Normal"/>
    <w:next w:val="Normal"/>
    <w:autoRedefine/>
    <w:uiPriority w:val="39"/>
    <w:unhideWhenUsed/>
    <w:rsid w:val="002D4E3D"/>
    <w:pPr>
      <w:bidi/>
      <w:spacing w:before="0" w:beforeAutospacing="0" w:afterAutospacing="0" w:line="276" w:lineRule="auto"/>
      <w:ind w:left="880"/>
      <w:jc w:val="left"/>
    </w:pPr>
    <w:rPr>
      <w:rFonts w:eastAsiaTheme="minorEastAsia"/>
      <w:kern w:val="0"/>
      <w14:ligatures w14:val="none"/>
    </w:rPr>
  </w:style>
  <w:style w:type="paragraph" w:styleId="TOC6">
    <w:name w:val="toc 6"/>
    <w:basedOn w:val="Normal"/>
    <w:next w:val="Normal"/>
    <w:autoRedefine/>
    <w:uiPriority w:val="39"/>
    <w:unhideWhenUsed/>
    <w:rsid w:val="002D4E3D"/>
    <w:pPr>
      <w:bidi/>
      <w:spacing w:before="0" w:beforeAutospacing="0" w:afterAutospacing="0" w:line="276" w:lineRule="auto"/>
      <w:ind w:left="1100"/>
      <w:jc w:val="left"/>
    </w:pPr>
    <w:rPr>
      <w:rFonts w:eastAsiaTheme="minorEastAsia"/>
      <w:kern w:val="0"/>
      <w14:ligatures w14:val="none"/>
    </w:rPr>
  </w:style>
  <w:style w:type="paragraph" w:styleId="TOC7">
    <w:name w:val="toc 7"/>
    <w:basedOn w:val="Normal"/>
    <w:next w:val="Normal"/>
    <w:autoRedefine/>
    <w:uiPriority w:val="39"/>
    <w:unhideWhenUsed/>
    <w:rsid w:val="002D4E3D"/>
    <w:pPr>
      <w:bidi/>
      <w:spacing w:before="0" w:beforeAutospacing="0" w:afterAutospacing="0" w:line="276" w:lineRule="auto"/>
      <w:ind w:left="1320"/>
      <w:jc w:val="left"/>
    </w:pPr>
    <w:rPr>
      <w:rFonts w:eastAsiaTheme="minorEastAsia"/>
      <w:kern w:val="0"/>
      <w14:ligatures w14:val="none"/>
    </w:rPr>
  </w:style>
  <w:style w:type="paragraph" w:styleId="TOC8">
    <w:name w:val="toc 8"/>
    <w:basedOn w:val="Normal"/>
    <w:next w:val="Normal"/>
    <w:autoRedefine/>
    <w:uiPriority w:val="39"/>
    <w:unhideWhenUsed/>
    <w:rsid w:val="002D4E3D"/>
    <w:pPr>
      <w:bidi/>
      <w:spacing w:before="0" w:beforeAutospacing="0" w:afterAutospacing="0" w:line="276" w:lineRule="auto"/>
      <w:ind w:left="1540"/>
      <w:jc w:val="left"/>
    </w:pPr>
    <w:rPr>
      <w:rFonts w:eastAsiaTheme="minorEastAsia"/>
      <w:kern w:val="0"/>
      <w14:ligatures w14:val="none"/>
    </w:rPr>
  </w:style>
  <w:style w:type="paragraph" w:styleId="TOC9">
    <w:name w:val="toc 9"/>
    <w:basedOn w:val="Normal"/>
    <w:next w:val="Normal"/>
    <w:autoRedefine/>
    <w:uiPriority w:val="39"/>
    <w:unhideWhenUsed/>
    <w:rsid w:val="002D4E3D"/>
    <w:pPr>
      <w:bidi/>
      <w:spacing w:before="0" w:beforeAutospacing="0" w:afterAutospacing="0" w:line="276" w:lineRule="auto"/>
      <w:ind w:left="1760"/>
      <w:jc w:val="left"/>
    </w:pPr>
    <w:rPr>
      <w:rFonts w:eastAsiaTheme="minorEastAsia"/>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00" w:beforeAutospacing="1" w:after="100" w:afterAutospacing="1" w:line="36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1AD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E71AD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365504"/>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162D4"/>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FootnoteText">
    <w:name w:val="footnote text"/>
    <w:basedOn w:val="Normal"/>
    <w:link w:val="FootnoteTextChar"/>
    <w:uiPriority w:val="99"/>
    <w:semiHidden/>
    <w:unhideWhenUsed/>
    <w:rsid w:val="00EE28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2814"/>
    <w:rPr>
      <w:sz w:val="20"/>
      <w:szCs w:val="20"/>
    </w:rPr>
  </w:style>
  <w:style w:type="character" w:styleId="FootnoteReference">
    <w:name w:val="footnote reference"/>
    <w:basedOn w:val="DefaultParagraphFont"/>
    <w:uiPriority w:val="99"/>
    <w:semiHidden/>
    <w:unhideWhenUsed/>
    <w:rsid w:val="00EE2814"/>
    <w:rPr>
      <w:vertAlign w:val="superscript"/>
    </w:rPr>
  </w:style>
  <w:style w:type="character" w:styleId="Emphasis">
    <w:name w:val="Emphasis"/>
    <w:basedOn w:val="DefaultParagraphFont"/>
    <w:uiPriority w:val="20"/>
    <w:qFormat/>
    <w:rsid w:val="00C6722A"/>
    <w:rPr>
      <w:i/>
      <w:iCs/>
    </w:rPr>
  </w:style>
  <w:style w:type="paragraph" w:styleId="NormalWeb">
    <w:name w:val="Normal (Web)"/>
    <w:basedOn w:val="Normal"/>
    <w:uiPriority w:val="99"/>
    <w:unhideWhenUsed/>
    <w:rsid w:val="00C6722A"/>
    <w:pPr>
      <w:spacing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0241F"/>
    <w:rPr>
      <w:color w:val="0000FF"/>
      <w:u w:val="single"/>
    </w:rPr>
  </w:style>
  <w:style w:type="table" w:styleId="TableGrid">
    <w:name w:val="Table Grid"/>
    <w:basedOn w:val="TableNormal"/>
    <w:uiPriority w:val="39"/>
    <w:rsid w:val="001F76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E6B"/>
    <w:pPr>
      <w:ind w:left="720"/>
      <w:contextualSpacing/>
    </w:pPr>
  </w:style>
  <w:style w:type="character" w:styleId="Strong">
    <w:name w:val="Strong"/>
    <w:basedOn w:val="DefaultParagraphFont"/>
    <w:uiPriority w:val="22"/>
    <w:qFormat/>
    <w:rsid w:val="006541DE"/>
    <w:rPr>
      <w:b/>
      <w:bCs/>
    </w:rPr>
  </w:style>
  <w:style w:type="character" w:customStyle="1" w:styleId="Heading3Char">
    <w:name w:val="Heading 3 Char"/>
    <w:basedOn w:val="DefaultParagraphFont"/>
    <w:link w:val="Heading3"/>
    <w:uiPriority w:val="9"/>
    <w:rsid w:val="00365504"/>
    <w:rPr>
      <w:rFonts w:asciiTheme="majorHAnsi" w:eastAsiaTheme="majorEastAsia" w:hAnsiTheme="majorHAnsi" w:cstheme="majorBidi"/>
      <w:b/>
      <w:bCs/>
      <w:color w:val="4472C4" w:themeColor="accent1"/>
    </w:rPr>
  </w:style>
  <w:style w:type="character" w:customStyle="1" w:styleId="Heading1Char">
    <w:name w:val="Heading 1 Char"/>
    <w:basedOn w:val="DefaultParagraphFont"/>
    <w:link w:val="Heading1"/>
    <w:uiPriority w:val="9"/>
    <w:rsid w:val="00E71AD7"/>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E71AD7"/>
    <w:rPr>
      <w:rFonts w:asciiTheme="majorHAnsi" w:eastAsiaTheme="majorEastAsia" w:hAnsiTheme="majorHAnsi" w:cstheme="majorBidi"/>
      <w:b/>
      <w:bCs/>
      <w:color w:val="4472C4" w:themeColor="accent1"/>
      <w:sz w:val="26"/>
      <w:szCs w:val="26"/>
    </w:rPr>
  </w:style>
  <w:style w:type="paragraph" w:styleId="BalloonText">
    <w:name w:val="Balloon Text"/>
    <w:basedOn w:val="Normal"/>
    <w:link w:val="BalloonTextChar"/>
    <w:uiPriority w:val="99"/>
    <w:semiHidden/>
    <w:unhideWhenUsed/>
    <w:rsid w:val="00E71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AD7"/>
    <w:rPr>
      <w:rFonts w:ascii="Tahoma" w:hAnsi="Tahoma" w:cs="Tahoma"/>
      <w:sz w:val="16"/>
      <w:szCs w:val="16"/>
    </w:rPr>
  </w:style>
  <w:style w:type="character" w:customStyle="1" w:styleId="Heading4Char">
    <w:name w:val="Heading 4 Char"/>
    <w:basedOn w:val="DefaultParagraphFont"/>
    <w:link w:val="Heading4"/>
    <w:uiPriority w:val="9"/>
    <w:semiHidden/>
    <w:rsid w:val="00E162D4"/>
    <w:rPr>
      <w:rFonts w:asciiTheme="majorHAnsi" w:eastAsiaTheme="majorEastAsia" w:hAnsiTheme="majorHAnsi" w:cstheme="majorBidi"/>
      <w:b/>
      <w:bCs/>
      <w:i/>
      <w:iCs/>
      <w:color w:val="4472C4" w:themeColor="accent1"/>
    </w:rPr>
  </w:style>
  <w:style w:type="table" w:styleId="MediumGrid3-Accent5">
    <w:name w:val="Medium Grid 3 Accent 5"/>
    <w:basedOn w:val="TableNormal"/>
    <w:uiPriority w:val="69"/>
    <w:rsid w:val="003D417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paragraph" w:styleId="TOCHeading">
    <w:name w:val="TOC Heading"/>
    <w:basedOn w:val="Heading1"/>
    <w:next w:val="Normal"/>
    <w:uiPriority w:val="39"/>
    <w:unhideWhenUsed/>
    <w:qFormat/>
    <w:rsid w:val="00A5689F"/>
    <w:pPr>
      <w:spacing w:line="276" w:lineRule="auto"/>
      <w:outlineLvl w:val="9"/>
    </w:pPr>
    <w:rPr>
      <w:kern w:val="0"/>
      <w:lang w:eastAsia="ja-JP"/>
      <w14:ligatures w14:val="none"/>
    </w:rPr>
  </w:style>
  <w:style w:type="paragraph" w:styleId="TOC3">
    <w:name w:val="toc 3"/>
    <w:basedOn w:val="Normal"/>
    <w:next w:val="Normal"/>
    <w:autoRedefine/>
    <w:uiPriority w:val="39"/>
    <w:unhideWhenUsed/>
    <w:qFormat/>
    <w:rsid w:val="0028524B"/>
    <w:pPr>
      <w:tabs>
        <w:tab w:val="right" w:leader="dot" w:pos="9491"/>
      </w:tabs>
      <w:bidi/>
      <w:ind w:left="440"/>
    </w:pPr>
  </w:style>
  <w:style w:type="paragraph" w:styleId="TOC1">
    <w:name w:val="toc 1"/>
    <w:basedOn w:val="Normal"/>
    <w:next w:val="Normal"/>
    <w:autoRedefine/>
    <w:uiPriority w:val="39"/>
    <w:unhideWhenUsed/>
    <w:qFormat/>
    <w:rsid w:val="00504367"/>
    <w:pPr>
      <w:tabs>
        <w:tab w:val="right" w:leader="dot" w:pos="9491"/>
      </w:tabs>
      <w:bidi/>
      <w:jc w:val="right"/>
    </w:pPr>
    <w:rPr>
      <w:b/>
      <w:bCs/>
      <w:noProof/>
      <w:lang w:bidi="ar-EG"/>
    </w:rPr>
  </w:style>
  <w:style w:type="paragraph" w:styleId="TOC2">
    <w:name w:val="toc 2"/>
    <w:basedOn w:val="Normal"/>
    <w:next w:val="Normal"/>
    <w:autoRedefine/>
    <w:uiPriority w:val="39"/>
    <w:unhideWhenUsed/>
    <w:qFormat/>
    <w:rsid w:val="00C14D21"/>
    <w:pPr>
      <w:tabs>
        <w:tab w:val="right" w:leader="dot" w:pos="9491"/>
      </w:tabs>
      <w:bidi/>
      <w:ind w:left="220"/>
      <w:jc w:val="left"/>
    </w:pPr>
  </w:style>
  <w:style w:type="character" w:customStyle="1" w:styleId="citation-0">
    <w:name w:val="citation-0"/>
    <w:basedOn w:val="DefaultParagraphFont"/>
    <w:rsid w:val="00353554"/>
  </w:style>
  <w:style w:type="character" w:customStyle="1" w:styleId="button-container">
    <w:name w:val="button-container"/>
    <w:basedOn w:val="DefaultParagraphFont"/>
    <w:rsid w:val="00353554"/>
  </w:style>
  <w:style w:type="character" w:customStyle="1" w:styleId="citation-1">
    <w:name w:val="citation-1"/>
    <w:basedOn w:val="DefaultParagraphFont"/>
    <w:rsid w:val="00353554"/>
  </w:style>
  <w:style w:type="paragraph" w:styleId="Title">
    <w:name w:val="Title"/>
    <w:basedOn w:val="Normal"/>
    <w:next w:val="Normal"/>
    <w:link w:val="TitleChar"/>
    <w:uiPriority w:val="10"/>
    <w:qFormat/>
    <w:rsid w:val="0028524B"/>
    <w:pPr>
      <w:pBdr>
        <w:bottom w:val="single" w:sz="8" w:space="4" w:color="4472C4" w:themeColor="accent1"/>
      </w:pBdr>
      <w:spacing w:before="0"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8524B"/>
    <w:rPr>
      <w:rFonts w:asciiTheme="majorHAnsi" w:eastAsiaTheme="majorEastAsia" w:hAnsiTheme="majorHAnsi" w:cstheme="majorBidi"/>
      <w:color w:val="323E4F" w:themeColor="text2" w:themeShade="BF"/>
      <w:spacing w:val="5"/>
      <w:kern w:val="28"/>
      <w:sz w:val="52"/>
      <w:szCs w:val="52"/>
    </w:rPr>
  </w:style>
  <w:style w:type="paragraph" w:styleId="TOC4">
    <w:name w:val="toc 4"/>
    <w:basedOn w:val="Normal"/>
    <w:next w:val="Normal"/>
    <w:autoRedefine/>
    <w:uiPriority w:val="39"/>
    <w:unhideWhenUsed/>
    <w:rsid w:val="002D4E3D"/>
    <w:pPr>
      <w:bidi/>
      <w:spacing w:before="0" w:beforeAutospacing="0" w:afterAutospacing="0" w:line="276" w:lineRule="auto"/>
      <w:ind w:left="660"/>
      <w:jc w:val="left"/>
    </w:pPr>
    <w:rPr>
      <w:rFonts w:eastAsiaTheme="minorEastAsia"/>
      <w:kern w:val="0"/>
      <w14:ligatures w14:val="none"/>
    </w:rPr>
  </w:style>
  <w:style w:type="paragraph" w:styleId="TOC5">
    <w:name w:val="toc 5"/>
    <w:basedOn w:val="Normal"/>
    <w:next w:val="Normal"/>
    <w:autoRedefine/>
    <w:uiPriority w:val="39"/>
    <w:unhideWhenUsed/>
    <w:rsid w:val="002D4E3D"/>
    <w:pPr>
      <w:bidi/>
      <w:spacing w:before="0" w:beforeAutospacing="0" w:afterAutospacing="0" w:line="276" w:lineRule="auto"/>
      <w:ind w:left="880"/>
      <w:jc w:val="left"/>
    </w:pPr>
    <w:rPr>
      <w:rFonts w:eastAsiaTheme="minorEastAsia"/>
      <w:kern w:val="0"/>
      <w14:ligatures w14:val="none"/>
    </w:rPr>
  </w:style>
  <w:style w:type="paragraph" w:styleId="TOC6">
    <w:name w:val="toc 6"/>
    <w:basedOn w:val="Normal"/>
    <w:next w:val="Normal"/>
    <w:autoRedefine/>
    <w:uiPriority w:val="39"/>
    <w:unhideWhenUsed/>
    <w:rsid w:val="002D4E3D"/>
    <w:pPr>
      <w:bidi/>
      <w:spacing w:before="0" w:beforeAutospacing="0" w:afterAutospacing="0" w:line="276" w:lineRule="auto"/>
      <w:ind w:left="1100"/>
      <w:jc w:val="left"/>
    </w:pPr>
    <w:rPr>
      <w:rFonts w:eastAsiaTheme="minorEastAsia"/>
      <w:kern w:val="0"/>
      <w14:ligatures w14:val="none"/>
    </w:rPr>
  </w:style>
  <w:style w:type="paragraph" w:styleId="TOC7">
    <w:name w:val="toc 7"/>
    <w:basedOn w:val="Normal"/>
    <w:next w:val="Normal"/>
    <w:autoRedefine/>
    <w:uiPriority w:val="39"/>
    <w:unhideWhenUsed/>
    <w:rsid w:val="002D4E3D"/>
    <w:pPr>
      <w:bidi/>
      <w:spacing w:before="0" w:beforeAutospacing="0" w:afterAutospacing="0" w:line="276" w:lineRule="auto"/>
      <w:ind w:left="1320"/>
      <w:jc w:val="left"/>
    </w:pPr>
    <w:rPr>
      <w:rFonts w:eastAsiaTheme="minorEastAsia"/>
      <w:kern w:val="0"/>
      <w14:ligatures w14:val="none"/>
    </w:rPr>
  </w:style>
  <w:style w:type="paragraph" w:styleId="TOC8">
    <w:name w:val="toc 8"/>
    <w:basedOn w:val="Normal"/>
    <w:next w:val="Normal"/>
    <w:autoRedefine/>
    <w:uiPriority w:val="39"/>
    <w:unhideWhenUsed/>
    <w:rsid w:val="002D4E3D"/>
    <w:pPr>
      <w:bidi/>
      <w:spacing w:before="0" w:beforeAutospacing="0" w:afterAutospacing="0" w:line="276" w:lineRule="auto"/>
      <w:ind w:left="1540"/>
      <w:jc w:val="left"/>
    </w:pPr>
    <w:rPr>
      <w:rFonts w:eastAsiaTheme="minorEastAsia"/>
      <w:kern w:val="0"/>
      <w14:ligatures w14:val="none"/>
    </w:rPr>
  </w:style>
  <w:style w:type="paragraph" w:styleId="TOC9">
    <w:name w:val="toc 9"/>
    <w:basedOn w:val="Normal"/>
    <w:next w:val="Normal"/>
    <w:autoRedefine/>
    <w:uiPriority w:val="39"/>
    <w:unhideWhenUsed/>
    <w:rsid w:val="002D4E3D"/>
    <w:pPr>
      <w:bidi/>
      <w:spacing w:before="0" w:beforeAutospacing="0" w:afterAutospacing="0" w:line="276" w:lineRule="auto"/>
      <w:ind w:left="1760"/>
      <w:jc w:val="left"/>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3212">
      <w:bodyDiv w:val="1"/>
      <w:marLeft w:val="0"/>
      <w:marRight w:val="0"/>
      <w:marTop w:val="0"/>
      <w:marBottom w:val="0"/>
      <w:divBdr>
        <w:top w:val="none" w:sz="0" w:space="0" w:color="auto"/>
        <w:left w:val="none" w:sz="0" w:space="0" w:color="auto"/>
        <w:bottom w:val="none" w:sz="0" w:space="0" w:color="auto"/>
        <w:right w:val="none" w:sz="0" w:space="0" w:color="auto"/>
      </w:divBdr>
    </w:div>
    <w:div w:id="58602905">
      <w:bodyDiv w:val="1"/>
      <w:marLeft w:val="0"/>
      <w:marRight w:val="0"/>
      <w:marTop w:val="0"/>
      <w:marBottom w:val="0"/>
      <w:divBdr>
        <w:top w:val="none" w:sz="0" w:space="0" w:color="auto"/>
        <w:left w:val="none" w:sz="0" w:space="0" w:color="auto"/>
        <w:bottom w:val="none" w:sz="0" w:space="0" w:color="auto"/>
        <w:right w:val="none" w:sz="0" w:space="0" w:color="auto"/>
      </w:divBdr>
    </w:div>
    <w:div w:id="124198050">
      <w:bodyDiv w:val="1"/>
      <w:marLeft w:val="0"/>
      <w:marRight w:val="0"/>
      <w:marTop w:val="0"/>
      <w:marBottom w:val="0"/>
      <w:divBdr>
        <w:top w:val="none" w:sz="0" w:space="0" w:color="auto"/>
        <w:left w:val="none" w:sz="0" w:space="0" w:color="auto"/>
        <w:bottom w:val="none" w:sz="0" w:space="0" w:color="auto"/>
        <w:right w:val="none" w:sz="0" w:space="0" w:color="auto"/>
      </w:divBdr>
    </w:div>
    <w:div w:id="163596734">
      <w:bodyDiv w:val="1"/>
      <w:marLeft w:val="0"/>
      <w:marRight w:val="0"/>
      <w:marTop w:val="0"/>
      <w:marBottom w:val="0"/>
      <w:divBdr>
        <w:top w:val="none" w:sz="0" w:space="0" w:color="auto"/>
        <w:left w:val="none" w:sz="0" w:space="0" w:color="auto"/>
        <w:bottom w:val="none" w:sz="0" w:space="0" w:color="auto"/>
        <w:right w:val="none" w:sz="0" w:space="0" w:color="auto"/>
      </w:divBdr>
    </w:div>
    <w:div w:id="195625779">
      <w:bodyDiv w:val="1"/>
      <w:marLeft w:val="0"/>
      <w:marRight w:val="0"/>
      <w:marTop w:val="0"/>
      <w:marBottom w:val="0"/>
      <w:divBdr>
        <w:top w:val="none" w:sz="0" w:space="0" w:color="auto"/>
        <w:left w:val="none" w:sz="0" w:space="0" w:color="auto"/>
        <w:bottom w:val="none" w:sz="0" w:space="0" w:color="auto"/>
        <w:right w:val="none" w:sz="0" w:space="0" w:color="auto"/>
      </w:divBdr>
    </w:div>
    <w:div w:id="426190795">
      <w:bodyDiv w:val="1"/>
      <w:marLeft w:val="0"/>
      <w:marRight w:val="0"/>
      <w:marTop w:val="0"/>
      <w:marBottom w:val="0"/>
      <w:divBdr>
        <w:top w:val="none" w:sz="0" w:space="0" w:color="auto"/>
        <w:left w:val="none" w:sz="0" w:space="0" w:color="auto"/>
        <w:bottom w:val="none" w:sz="0" w:space="0" w:color="auto"/>
        <w:right w:val="none" w:sz="0" w:space="0" w:color="auto"/>
      </w:divBdr>
    </w:div>
    <w:div w:id="668562596">
      <w:bodyDiv w:val="1"/>
      <w:marLeft w:val="0"/>
      <w:marRight w:val="0"/>
      <w:marTop w:val="0"/>
      <w:marBottom w:val="0"/>
      <w:divBdr>
        <w:top w:val="none" w:sz="0" w:space="0" w:color="auto"/>
        <w:left w:val="none" w:sz="0" w:space="0" w:color="auto"/>
        <w:bottom w:val="none" w:sz="0" w:space="0" w:color="auto"/>
        <w:right w:val="none" w:sz="0" w:space="0" w:color="auto"/>
      </w:divBdr>
    </w:div>
    <w:div w:id="748961619">
      <w:bodyDiv w:val="1"/>
      <w:marLeft w:val="0"/>
      <w:marRight w:val="0"/>
      <w:marTop w:val="0"/>
      <w:marBottom w:val="0"/>
      <w:divBdr>
        <w:top w:val="none" w:sz="0" w:space="0" w:color="auto"/>
        <w:left w:val="none" w:sz="0" w:space="0" w:color="auto"/>
        <w:bottom w:val="none" w:sz="0" w:space="0" w:color="auto"/>
        <w:right w:val="none" w:sz="0" w:space="0" w:color="auto"/>
      </w:divBdr>
    </w:div>
    <w:div w:id="803620652">
      <w:bodyDiv w:val="1"/>
      <w:marLeft w:val="0"/>
      <w:marRight w:val="0"/>
      <w:marTop w:val="0"/>
      <w:marBottom w:val="0"/>
      <w:divBdr>
        <w:top w:val="none" w:sz="0" w:space="0" w:color="auto"/>
        <w:left w:val="none" w:sz="0" w:space="0" w:color="auto"/>
        <w:bottom w:val="none" w:sz="0" w:space="0" w:color="auto"/>
        <w:right w:val="none" w:sz="0" w:space="0" w:color="auto"/>
      </w:divBdr>
    </w:div>
    <w:div w:id="809327515">
      <w:bodyDiv w:val="1"/>
      <w:marLeft w:val="0"/>
      <w:marRight w:val="0"/>
      <w:marTop w:val="0"/>
      <w:marBottom w:val="0"/>
      <w:divBdr>
        <w:top w:val="none" w:sz="0" w:space="0" w:color="auto"/>
        <w:left w:val="none" w:sz="0" w:space="0" w:color="auto"/>
        <w:bottom w:val="none" w:sz="0" w:space="0" w:color="auto"/>
        <w:right w:val="none" w:sz="0" w:space="0" w:color="auto"/>
      </w:divBdr>
    </w:div>
    <w:div w:id="822816825">
      <w:bodyDiv w:val="1"/>
      <w:marLeft w:val="0"/>
      <w:marRight w:val="0"/>
      <w:marTop w:val="0"/>
      <w:marBottom w:val="0"/>
      <w:divBdr>
        <w:top w:val="none" w:sz="0" w:space="0" w:color="auto"/>
        <w:left w:val="none" w:sz="0" w:space="0" w:color="auto"/>
        <w:bottom w:val="none" w:sz="0" w:space="0" w:color="auto"/>
        <w:right w:val="none" w:sz="0" w:space="0" w:color="auto"/>
      </w:divBdr>
    </w:div>
    <w:div w:id="828398364">
      <w:bodyDiv w:val="1"/>
      <w:marLeft w:val="0"/>
      <w:marRight w:val="0"/>
      <w:marTop w:val="0"/>
      <w:marBottom w:val="0"/>
      <w:divBdr>
        <w:top w:val="none" w:sz="0" w:space="0" w:color="auto"/>
        <w:left w:val="none" w:sz="0" w:space="0" w:color="auto"/>
        <w:bottom w:val="none" w:sz="0" w:space="0" w:color="auto"/>
        <w:right w:val="none" w:sz="0" w:space="0" w:color="auto"/>
      </w:divBdr>
      <w:divsChild>
        <w:div w:id="317727237">
          <w:marLeft w:val="0"/>
          <w:marRight w:val="0"/>
          <w:marTop w:val="0"/>
          <w:marBottom w:val="0"/>
          <w:divBdr>
            <w:top w:val="none" w:sz="0" w:space="0" w:color="auto"/>
            <w:left w:val="none" w:sz="0" w:space="0" w:color="auto"/>
            <w:bottom w:val="none" w:sz="0" w:space="0" w:color="auto"/>
            <w:right w:val="none" w:sz="0" w:space="0" w:color="auto"/>
          </w:divBdr>
        </w:div>
      </w:divsChild>
    </w:div>
    <w:div w:id="1056389126">
      <w:bodyDiv w:val="1"/>
      <w:marLeft w:val="0"/>
      <w:marRight w:val="0"/>
      <w:marTop w:val="0"/>
      <w:marBottom w:val="0"/>
      <w:divBdr>
        <w:top w:val="none" w:sz="0" w:space="0" w:color="auto"/>
        <w:left w:val="none" w:sz="0" w:space="0" w:color="auto"/>
        <w:bottom w:val="none" w:sz="0" w:space="0" w:color="auto"/>
        <w:right w:val="none" w:sz="0" w:space="0" w:color="auto"/>
      </w:divBdr>
    </w:div>
    <w:div w:id="1075779500">
      <w:bodyDiv w:val="1"/>
      <w:marLeft w:val="0"/>
      <w:marRight w:val="0"/>
      <w:marTop w:val="0"/>
      <w:marBottom w:val="0"/>
      <w:divBdr>
        <w:top w:val="none" w:sz="0" w:space="0" w:color="auto"/>
        <w:left w:val="none" w:sz="0" w:space="0" w:color="auto"/>
        <w:bottom w:val="none" w:sz="0" w:space="0" w:color="auto"/>
        <w:right w:val="none" w:sz="0" w:space="0" w:color="auto"/>
      </w:divBdr>
      <w:divsChild>
        <w:div w:id="450319307">
          <w:marLeft w:val="0"/>
          <w:marRight w:val="0"/>
          <w:marTop w:val="0"/>
          <w:marBottom w:val="0"/>
          <w:divBdr>
            <w:top w:val="none" w:sz="0" w:space="0" w:color="auto"/>
            <w:left w:val="none" w:sz="0" w:space="0" w:color="auto"/>
            <w:bottom w:val="none" w:sz="0" w:space="0" w:color="auto"/>
            <w:right w:val="none" w:sz="0" w:space="0" w:color="auto"/>
          </w:divBdr>
        </w:div>
      </w:divsChild>
    </w:div>
    <w:div w:id="1081754881">
      <w:bodyDiv w:val="1"/>
      <w:marLeft w:val="0"/>
      <w:marRight w:val="0"/>
      <w:marTop w:val="0"/>
      <w:marBottom w:val="0"/>
      <w:divBdr>
        <w:top w:val="none" w:sz="0" w:space="0" w:color="auto"/>
        <w:left w:val="none" w:sz="0" w:space="0" w:color="auto"/>
        <w:bottom w:val="none" w:sz="0" w:space="0" w:color="auto"/>
        <w:right w:val="none" w:sz="0" w:space="0" w:color="auto"/>
      </w:divBdr>
    </w:div>
    <w:div w:id="1334530855">
      <w:bodyDiv w:val="1"/>
      <w:marLeft w:val="0"/>
      <w:marRight w:val="0"/>
      <w:marTop w:val="0"/>
      <w:marBottom w:val="0"/>
      <w:divBdr>
        <w:top w:val="none" w:sz="0" w:space="0" w:color="auto"/>
        <w:left w:val="none" w:sz="0" w:space="0" w:color="auto"/>
        <w:bottom w:val="none" w:sz="0" w:space="0" w:color="auto"/>
        <w:right w:val="none" w:sz="0" w:space="0" w:color="auto"/>
      </w:divBdr>
    </w:div>
    <w:div w:id="1374846709">
      <w:bodyDiv w:val="1"/>
      <w:marLeft w:val="0"/>
      <w:marRight w:val="0"/>
      <w:marTop w:val="0"/>
      <w:marBottom w:val="0"/>
      <w:divBdr>
        <w:top w:val="none" w:sz="0" w:space="0" w:color="auto"/>
        <w:left w:val="none" w:sz="0" w:space="0" w:color="auto"/>
        <w:bottom w:val="none" w:sz="0" w:space="0" w:color="auto"/>
        <w:right w:val="none" w:sz="0" w:space="0" w:color="auto"/>
      </w:divBdr>
    </w:div>
    <w:div w:id="1403866219">
      <w:bodyDiv w:val="1"/>
      <w:marLeft w:val="0"/>
      <w:marRight w:val="0"/>
      <w:marTop w:val="0"/>
      <w:marBottom w:val="0"/>
      <w:divBdr>
        <w:top w:val="none" w:sz="0" w:space="0" w:color="auto"/>
        <w:left w:val="none" w:sz="0" w:space="0" w:color="auto"/>
        <w:bottom w:val="none" w:sz="0" w:space="0" w:color="auto"/>
        <w:right w:val="none" w:sz="0" w:space="0" w:color="auto"/>
      </w:divBdr>
    </w:div>
    <w:div w:id="1487088691">
      <w:bodyDiv w:val="1"/>
      <w:marLeft w:val="0"/>
      <w:marRight w:val="0"/>
      <w:marTop w:val="0"/>
      <w:marBottom w:val="0"/>
      <w:divBdr>
        <w:top w:val="none" w:sz="0" w:space="0" w:color="auto"/>
        <w:left w:val="none" w:sz="0" w:space="0" w:color="auto"/>
        <w:bottom w:val="none" w:sz="0" w:space="0" w:color="auto"/>
        <w:right w:val="none" w:sz="0" w:space="0" w:color="auto"/>
      </w:divBdr>
      <w:divsChild>
        <w:div w:id="1888905554">
          <w:marLeft w:val="0"/>
          <w:marRight w:val="0"/>
          <w:marTop w:val="100"/>
          <w:marBottom w:val="100"/>
          <w:divBdr>
            <w:top w:val="none" w:sz="0" w:space="0" w:color="auto"/>
            <w:left w:val="none" w:sz="0" w:space="0" w:color="auto"/>
            <w:bottom w:val="none" w:sz="0" w:space="0" w:color="auto"/>
            <w:right w:val="none" w:sz="0" w:space="0" w:color="auto"/>
          </w:divBdr>
          <w:divsChild>
            <w:div w:id="410468529">
              <w:marLeft w:val="0"/>
              <w:marRight w:val="0"/>
              <w:marTop w:val="0"/>
              <w:marBottom w:val="0"/>
              <w:divBdr>
                <w:top w:val="none" w:sz="0" w:space="0" w:color="auto"/>
                <w:left w:val="none" w:sz="0" w:space="0" w:color="auto"/>
                <w:bottom w:val="none" w:sz="0" w:space="0" w:color="auto"/>
                <w:right w:val="none" w:sz="0" w:space="0" w:color="auto"/>
              </w:divBdr>
              <w:divsChild>
                <w:div w:id="55057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748835">
      <w:bodyDiv w:val="1"/>
      <w:marLeft w:val="0"/>
      <w:marRight w:val="0"/>
      <w:marTop w:val="0"/>
      <w:marBottom w:val="0"/>
      <w:divBdr>
        <w:top w:val="none" w:sz="0" w:space="0" w:color="auto"/>
        <w:left w:val="none" w:sz="0" w:space="0" w:color="auto"/>
        <w:bottom w:val="none" w:sz="0" w:space="0" w:color="auto"/>
        <w:right w:val="none" w:sz="0" w:space="0" w:color="auto"/>
      </w:divBdr>
    </w:div>
    <w:div w:id="1661351220">
      <w:bodyDiv w:val="1"/>
      <w:marLeft w:val="0"/>
      <w:marRight w:val="0"/>
      <w:marTop w:val="0"/>
      <w:marBottom w:val="0"/>
      <w:divBdr>
        <w:top w:val="none" w:sz="0" w:space="0" w:color="auto"/>
        <w:left w:val="none" w:sz="0" w:space="0" w:color="auto"/>
        <w:bottom w:val="none" w:sz="0" w:space="0" w:color="auto"/>
        <w:right w:val="none" w:sz="0" w:space="0" w:color="auto"/>
      </w:divBdr>
    </w:div>
    <w:div w:id="1671524520">
      <w:bodyDiv w:val="1"/>
      <w:marLeft w:val="0"/>
      <w:marRight w:val="0"/>
      <w:marTop w:val="0"/>
      <w:marBottom w:val="0"/>
      <w:divBdr>
        <w:top w:val="none" w:sz="0" w:space="0" w:color="auto"/>
        <w:left w:val="none" w:sz="0" w:space="0" w:color="auto"/>
        <w:bottom w:val="none" w:sz="0" w:space="0" w:color="auto"/>
        <w:right w:val="none" w:sz="0" w:space="0" w:color="auto"/>
      </w:divBdr>
    </w:div>
    <w:div w:id="1733579649">
      <w:bodyDiv w:val="1"/>
      <w:marLeft w:val="0"/>
      <w:marRight w:val="0"/>
      <w:marTop w:val="0"/>
      <w:marBottom w:val="0"/>
      <w:divBdr>
        <w:top w:val="none" w:sz="0" w:space="0" w:color="auto"/>
        <w:left w:val="none" w:sz="0" w:space="0" w:color="auto"/>
        <w:bottom w:val="none" w:sz="0" w:space="0" w:color="auto"/>
        <w:right w:val="none" w:sz="0" w:space="0" w:color="auto"/>
      </w:divBdr>
    </w:div>
    <w:div w:id="1747723667">
      <w:bodyDiv w:val="1"/>
      <w:marLeft w:val="0"/>
      <w:marRight w:val="0"/>
      <w:marTop w:val="0"/>
      <w:marBottom w:val="0"/>
      <w:divBdr>
        <w:top w:val="none" w:sz="0" w:space="0" w:color="auto"/>
        <w:left w:val="none" w:sz="0" w:space="0" w:color="auto"/>
        <w:bottom w:val="none" w:sz="0" w:space="0" w:color="auto"/>
        <w:right w:val="none" w:sz="0" w:space="0" w:color="auto"/>
      </w:divBdr>
    </w:div>
    <w:div w:id="1760329526">
      <w:bodyDiv w:val="1"/>
      <w:marLeft w:val="0"/>
      <w:marRight w:val="0"/>
      <w:marTop w:val="0"/>
      <w:marBottom w:val="0"/>
      <w:divBdr>
        <w:top w:val="none" w:sz="0" w:space="0" w:color="auto"/>
        <w:left w:val="none" w:sz="0" w:space="0" w:color="auto"/>
        <w:bottom w:val="none" w:sz="0" w:space="0" w:color="auto"/>
        <w:right w:val="none" w:sz="0" w:space="0" w:color="auto"/>
      </w:divBdr>
      <w:divsChild>
        <w:div w:id="1376544224">
          <w:marLeft w:val="0"/>
          <w:marRight w:val="0"/>
          <w:marTop w:val="0"/>
          <w:marBottom w:val="0"/>
          <w:divBdr>
            <w:top w:val="none" w:sz="0" w:space="0" w:color="auto"/>
            <w:left w:val="none" w:sz="0" w:space="0" w:color="auto"/>
            <w:bottom w:val="none" w:sz="0" w:space="0" w:color="auto"/>
            <w:right w:val="none" w:sz="0" w:space="0" w:color="auto"/>
          </w:divBdr>
        </w:div>
      </w:divsChild>
    </w:div>
    <w:div w:id="1887715534">
      <w:bodyDiv w:val="1"/>
      <w:marLeft w:val="0"/>
      <w:marRight w:val="0"/>
      <w:marTop w:val="0"/>
      <w:marBottom w:val="0"/>
      <w:divBdr>
        <w:top w:val="none" w:sz="0" w:space="0" w:color="auto"/>
        <w:left w:val="none" w:sz="0" w:space="0" w:color="auto"/>
        <w:bottom w:val="none" w:sz="0" w:space="0" w:color="auto"/>
        <w:right w:val="none" w:sz="0" w:space="0" w:color="auto"/>
      </w:divBdr>
    </w:div>
    <w:div w:id="1908953042">
      <w:bodyDiv w:val="1"/>
      <w:marLeft w:val="0"/>
      <w:marRight w:val="0"/>
      <w:marTop w:val="0"/>
      <w:marBottom w:val="0"/>
      <w:divBdr>
        <w:top w:val="none" w:sz="0" w:space="0" w:color="auto"/>
        <w:left w:val="none" w:sz="0" w:space="0" w:color="auto"/>
        <w:bottom w:val="none" w:sz="0" w:space="0" w:color="auto"/>
        <w:right w:val="none" w:sz="0" w:space="0" w:color="auto"/>
      </w:divBdr>
    </w:div>
    <w:div w:id="1912108348">
      <w:bodyDiv w:val="1"/>
      <w:marLeft w:val="0"/>
      <w:marRight w:val="0"/>
      <w:marTop w:val="0"/>
      <w:marBottom w:val="0"/>
      <w:divBdr>
        <w:top w:val="none" w:sz="0" w:space="0" w:color="auto"/>
        <w:left w:val="none" w:sz="0" w:space="0" w:color="auto"/>
        <w:bottom w:val="none" w:sz="0" w:space="0" w:color="auto"/>
        <w:right w:val="none" w:sz="0" w:space="0" w:color="auto"/>
      </w:divBdr>
      <w:divsChild>
        <w:div w:id="1410271036">
          <w:marLeft w:val="0"/>
          <w:marRight w:val="0"/>
          <w:marTop w:val="0"/>
          <w:marBottom w:val="0"/>
          <w:divBdr>
            <w:top w:val="none" w:sz="0" w:space="0" w:color="auto"/>
            <w:left w:val="none" w:sz="0" w:space="0" w:color="auto"/>
            <w:bottom w:val="none" w:sz="0" w:space="0" w:color="auto"/>
            <w:right w:val="none" w:sz="0" w:space="0" w:color="auto"/>
          </w:divBdr>
        </w:div>
        <w:div w:id="334385757">
          <w:marLeft w:val="0"/>
          <w:marRight w:val="0"/>
          <w:marTop w:val="0"/>
          <w:marBottom w:val="0"/>
          <w:divBdr>
            <w:top w:val="none" w:sz="0" w:space="0" w:color="auto"/>
            <w:left w:val="none" w:sz="0" w:space="0" w:color="auto"/>
            <w:bottom w:val="none" w:sz="0" w:space="0" w:color="auto"/>
            <w:right w:val="none" w:sz="0" w:space="0" w:color="auto"/>
          </w:divBdr>
        </w:div>
        <w:div w:id="1731920791">
          <w:marLeft w:val="0"/>
          <w:marRight w:val="0"/>
          <w:marTop w:val="0"/>
          <w:marBottom w:val="0"/>
          <w:divBdr>
            <w:top w:val="none" w:sz="0" w:space="0" w:color="auto"/>
            <w:left w:val="none" w:sz="0" w:space="0" w:color="auto"/>
            <w:bottom w:val="none" w:sz="0" w:space="0" w:color="auto"/>
            <w:right w:val="none" w:sz="0" w:space="0" w:color="auto"/>
          </w:divBdr>
        </w:div>
        <w:div w:id="2006281255">
          <w:marLeft w:val="0"/>
          <w:marRight w:val="0"/>
          <w:marTop w:val="0"/>
          <w:marBottom w:val="0"/>
          <w:divBdr>
            <w:top w:val="none" w:sz="0" w:space="0" w:color="auto"/>
            <w:left w:val="none" w:sz="0" w:space="0" w:color="auto"/>
            <w:bottom w:val="none" w:sz="0" w:space="0" w:color="auto"/>
            <w:right w:val="none" w:sz="0" w:space="0" w:color="auto"/>
          </w:divBdr>
        </w:div>
        <w:div w:id="1843162600">
          <w:marLeft w:val="0"/>
          <w:marRight w:val="0"/>
          <w:marTop w:val="0"/>
          <w:marBottom w:val="0"/>
          <w:divBdr>
            <w:top w:val="none" w:sz="0" w:space="0" w:color="auto"/>
            <w:left w:val="none" w:sz="0" w:space="0" w:color="auto"/>
            <w:bottom w:val="none" w:sz="0" w:space="0" w:color="auto"/>
            <w:right w:val="none" w:sz="0" w:space="0" w:color="auto"/>
          </w:divBdr>
        </w:div>
        <w:div w:id="2120682226">
          <w:marLeft w:val="0"/>
          <w:marRight w:val="0"/>
          <w:marTop w:val="0"/>
          <w:marBottom w:val="0"/>
          <w:divBdr>
            <w:top w:val="none" w:sz="0" w:space="0" w:color="auto"/>
            <w:left w:val="none" w:sz="0" w:space="0" w:color="auto"/>
            <w:bottom w:val="none" w:sz="0" w:space="0" w:color="auto"/>
            <w:right w:val="none" w:sz="0" w:space="0" w:color="auto"/>
          </w:divBdr>
        </w:div>
        <w:div w:id="2123838096">
          <w:marLeft w:val="0"/>
          <w:marRight w:val="0"/>
          <w:marTop w:val="0"/>
          <w:marBottom w:val="0"/>
          <w:divBdr>
            <w:top w:val="none" w:sz="0" w:space="0" w:color="auto"/>
            <w:left w:val="none" w:sz="0" w:space="0" w:color="auto"/>
            <w:bottom w:val="none" w:sz="0" w:space="0" w:color="auto"/>
            <w:right w:val="none" w:sz="0" w:space="0" w:color="auto"/>
          </w:divBdr>
        </w:div>
        <w:div w:id="1101148837">
          <w:marLeft w:val="0"/>
          <w:marRight w:val="0"/>
          <w:marTop w:val="0"/>
          <w:marBottom w:val="0"/>
          <w:divBdr>
            <w:top w:val="none" w:sz="0" w:space="0" w:color="auto"/>
            <w:left w:val="none" w:sz="0" w:space="0" w:color="auto"/>
            <w:bottom w:val="none" w:sz="0" w:space="0" w:color="auto"/>
            <w:right w:val="none" w:sz="0" w:space="0" w:color="auto"/>
          </w:divBdr>
        </w:div>
      </w:divsChild>
    </w:div>
    <w:div w:id="19935558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99743-A03E-44CB-8BAF-D3B8BDD8E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1</Pages>
  <Words>2785</Words>
  <Characters>15875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ET</cp:lastModifiedBy>
  <cp:revision>150</cp:revision>
  <dcterms:created xsi:type="dcterms:W3CDTF">2025-03-14T07:29:00Z</dcterms:created>
  <dcterms:modified xsi:type="dcterms:W3CDTF">2025-04-20T19:01:00Z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