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B108C29" w:rsidR="009125CE" w:rsidRPr="000C589F" w:rsidRDefault="00AE519C" w:rsidP="00AE519C">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C589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787F542">
            <wp:simplePos x="0" y="0"/>
            <wp:positionH relativeFrom="margin">
              <wp:posOffset>255270</wp:posOffset>
            </wp:positionH>
            <wp:positionV relativeFrom="margin">
              <wp:posOffset>-231775</wp:posOffset>
            </wp:positionV>
            <wp:extent cx="1716036"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6036"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0C589F">
        <w:rPr>
          <w:rFonts w:ascii="Simplified Arabic" w:hAnsi="Simplified Arabic" w:cs="Simplified Arabic"/>
          <w:b/>
          <w:bCs/>
          <w:color w:val="000000" w:themeColor="text1"/>
          <w:sz w:val="32"/>
          <w:szCs w:val="32"/>
          <w:rtl/>
          <w:lang w:bidi="ar-EG"/>
        </w:rPr>
        <w:t xml:space="preserve">جامعة ميدأوشن </w:t>
      </w:r>
    </w:p>
    <w:p w14:paraId="1E957002" w14:textId="37CE9400" w:rsidR="00F546CE" w:rsidRPr="000C589F" w:rsidRDefault="009125CE" w:rsidP="00AE519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C589F">
        <w:rPr>
          <w:rFonts w:ascii="Simplified Arabic" w:hAnsi="Simplified Arabic" w:cs="Simplified Arabic"/>
          <w:b/>
          <w:bCs/>
          <w:color w:val="000000" w:themeColor="text1"/>
          <w:sz w:val="32"/>
          <w:szCs w:val="32"/>
          <w:lang w:bidi="ar-EG"/>
        </w:rPr>
        <w:t xml:space="preserve"> </w:t>
      </w:r>
      <w:r w:rsidRPr="000C589F">
        <w:rPr>
          <w:rFonts w:ascii="Simplified Arabic" w:hAnsi="Simplified Arabic" w:cs="Simplified Arabic"/>
          <w:b/>
          <w:bCs/>
          <w:color w:val="000000" w:themeColor="text1"/>
          <w:sz w:val="32"/>
          <w:szCs w:val="32"/>
          <w:rtl/>
          <w:lang w:bidi="ar-EG"/>
        </w:rPr>
        <w:t xml:space="preserve">كلية </w:t>
      </w:r>
      <w:r w:rsidR="008C42C1" w:rsidRPr="000C589F">
        <w:rPr>
          <w:rFonts w:ascii="Simplified Arabic" w:hAnsi="Simplified Arabic" w:cs="Simplified Arabic"/>
          <w:b/>
          <w:bCs/>
          <w:color w:val="000000" w:themeColor="text1"/>
          <w:sz w:val="32"/>
          <w:szCs w:val="32"/>
          <w:rtl/>
          <w:lang w:bidi="ar-EG"/>
        </w:rPr>
        <w:t>الإدارة</w:t>
      </w:r>
      <w:r w:rsidRPr="000C589F">
        <w:rPr>
          <w:rFonts w:ascii="Simplified Arabic" w:hAnsi="Simplified Arabic" w:cs="Simplified Arabic"/>
          <w:b/>
          <w:bCs/>
          <w:color w:val="000000" w:themeColor="text1"/>
          <w:sz w:val="32"/>
          <w:szCs w:val="32"/>
          <w:rtl/>
          <w:lang w:bidi="ar-EG"/>
        </w:rPr>
        <w:t xml:space="preserve"> </w:t>
      </w:r>
    </w:p>
    <w:p w14:paraId="6B449BCF" w14:textId="021A3384" w:rsidR="00CC6261" w:rsidRPr="000C589F" w:rsidRDefault="00A44F55" w:rsidP="00AE519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C589F">
        <w:rPr>
          <w:rFonts w:ascii="Simplified Arabic" w:hAnsi="Simplified Arabic" w:cs="Simplified Arabic"/>
          <w:b/>
          <w:bCs/>
          <w:color w:val="000000" w:themeColor="text1"/>
          <w:sz w:val="32"/>
          <w:szCs w:val="32"/>
          <w:rtl/>
          <w:lang w:bidi="ar-EG"/>
        </w:rPr>
        <w:t>ماجستير الادارة الصحية</w:t>
      </w:r>
    </w:p>
    <w:p w14:paraId="05D8990E" w14:textId="77777777" w:rsidR="00AE519C" w:rsidRPr="000C589F" w:rsidRDefault="00AE519C" w:rsidP="00AE519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11B2D1EE" w:rsidR="00054375" w:rsidRPr="000C589F" w:rsidRDefault="00A44F55" w:rsidP="00AE519C">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C589F">
        <w:rPr>
          <w:rFonts w:ascii="Simplified Arabic" w:hAnsi="Simplified Arabic" w:cs="Simplified Arabic"/>
          <w:b/>
          <w:bCs/>
          <w:color w:val="000000" w:themeColor="text1"/>
          <w:sz w:val="40"/>
          <w:szCs w:val="40"/>
          <w:rtl/>
        </w:rPr>
        <w:t>أثر إدارة السعة السريريه على خفض الإلغاءات وزيادة عدد العمليات المنجزة يومياً: دراسة تطبيقية على أقسام جراحة العظام بمكة المكرمة.</w:t>
      </w:r>
    </w:p>
    <w:p w14:paraId="0126C2BC" w14:textId="77777777" w:rsidR="00AE519C" w:rsidRPr="000C589F" w:rsidRDefault="00AE519C" w:rsidP="00AE519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51A7E65" w14:textId="6F0B7338" w:rsidR="009125CE" w:rsidRPr="000C589F" w:rsidRDefault="00AE519C" w:rsidP="00AE519C">
      <w:pPr>
        <w:tabs>
          <w:tab w:val="left" w:pos="3479"/>
          <w:tab w:val="center" w:pos="4535"/>
        </w:tabs>
        <w:spacing w:before="100" w:beforeAutospacing="1" w:after="100" w:afterAutospacing="1" w:line="276" w:lineRule="auto"/>
        <w:rPr>
          <w:rFonts w:ascii="Simplified Arabic" w:hAnsi="Simplified Arabic" w:cs="Simplified Arabic"/>
          <w:b/>
          <w:bCs/>
          <w:color w:val="000000" w:themeColor="text1"/>
          <w:sz w:val="36"/>
          <w:szCs w:val="36"/>
          <w:rtl/>
          <w:lang w:bidi="ar-EG"/>
        </w:rPr>
      </w:pPr>
      <w:r w:rsidRPr="000C589F">
        <w:rPr>
          <w:rFonts w:ascii="Simplified Arabic" w:hAnsi="Simplified Arabic" w:cs="Simplified Arabic"/>
          <w:b/>
          <w:bCs/>
          <w:color w:val="000000" w:themeColor="text1"/>
          <w:sz w:val="36"/>
          <w:szCs w:val="36"/>
          <w:rtl/>
          <w:lang w:bidi="ar-EG"/>
        </w:rPr>
        <w:tab/>
      </w:r>
      <w:r w:rsidRPr="000C589F">
        <w:rPr>
          <w:rFonts w:ascii="Simplified Arabic" w:hAnsi="Simplified Arabic" w:cs="Simplified Arabic"/>
          <w:b/>
          <w:bCs/>
          <w:color w:val="000000" w:themeColor="text1"/>
          <w:sz w:val="36"/>
          <w:szCs w:val="36"/>
          <w:rtl/>
          <w:lang w:bidi="ar-EG"/>
        </w:rPr>
        <w:tab/>
      </w:r>
      <w:r w:rsidR="009125CE" w:rsidRPr="000C589F">
        <w:rPr>
          <w:rFonts w:ascii="Simplified Arabic" w:hAnsi="Simplified Arabic" w:cs="Simplified Arabic"/>
          <w:b/>
          <w:bCs/>
          <w:color w:val="000000" w:themeColor="text1"/>
          <w:sz w:val="36"/>
          <w:szCs w:val="36"/>
          <w:rtl/>
          <w:lang w:bidi="ar-EG"/>
        </w:rPr>
        <w:t>إعداد الطالب/</w:t>
      </w:r>
    </w:p>
    <w:p w14:paraId="12E8FCB8" w14:textId="16180BA2" w:rsidR="00A44F55" w:rsidRPr="000C589F" w:rsidRDefault="00A44F55" w:rsidP="00AE519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C589F">
        <w:rPr>
          <w:rFonts w:ascii="Simplified Arabic" w:hAnsi="Simplified Arabic" w:cs="Simplified Arabic"/>
          <w:color w:val="000000" w:themeColor="text1"/>
          <w:sz w:val="36"/>
          <w:szCs w:val="36"/>
          <w:rtl/>
          <w:lang w:bidi="ar-EG"/>
        </w:rPr>
        <w:t>ريان محمد سعيد سقطي</w:t>
      </w:r>
    </w:p>
    <w:p w14:paraId="3978B89B" w14:textId="77777777" w:rsidR="00A44F55" w:rsidRPr="000C589F" w:rsidRDefault="00A44F55" w:rsidP="00AE519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C589F">
        <w:rPr>
          <w:rFonts w:ascii="Simplified Arabic" w:hAnsi="Simplified Arabic" w:cs="Simplified Arabic"/>
          <w:color w:val="000000" w:themeColor="text1"/>
          <w:sz w:val="36"/>
          <w:szCs w:val="36"/>
          <w:rtl/>
          <w:lang w:bidi="ar-EG"/>
        </w:rPr>
        <w:t>253002127</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E519C" w:rsidRPr="000C589F" w14:paraId="30C6BDC7" w14:textId="77777777" w:rsidTr="00602256">
        <w:tc>
          <w:tcPr>
            <w:tcW w:w="4530" w:type="dxa"/>
          </w:tcPr>
          <w:p w14:paraId="0B7671E4" w14:textId="77777777" w:rsidR="00AE519C" w:rsidRPr="000C589F" w:rsidRDefault="00AE519C" w:rsidP="00602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C589F">
              <w:rPr>
                <w:rFonts w:ascii="Simplified Arabic" w:hAnsi="Simplified Arabic" w:cs="Simplified Arabic" w:hint="cs"/>
                <w:b/>
                <w:bCs/>
                <w:color w:val="000000" w:themeColor="text1"/>
                <w:sz w:val="36"/>
                <w:szCs w:val="36"/>
                <w:rtl/>
                <w:lang w:bidi="ar-EG"/>
              </w:rPr>
              <w:t>المشرف الرئيسي/</w:t>
            </w:r>
          </w:p>
        </w:tc>
        <w:tc>
          <w:tcPr>
            <w:tcW w:w="4531" w:type="dxa"/>
          </w:tcPr>
          <w:p w14:paraId="59FBED2D" w14:textId="77777777" w:rsidR="00AE519C" w:rsidRPr="000C589F" w:rsidRDefault="00AE519C" w:rsidP="00602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C589F">
              <w:rPr>
                <w:rFonts w:ascii="Simplified Arabic" w:hAnsi="Simplified Arabic" w:cs="Simplified Arabic" w:hint="cs"/>
                <w:b/>
                <w:bCs/>
                <w:color w:val="000000" w:themeColor="text1"/>
                <w:sz w:val="36"/>
                <w:szCs w:val="36"/>
                <w:rtl/>
                <w:lang w:bidi="ar-EG"/>
              </w:rPr>
              <w:t>المشرف الثاني/</w:t>
            </w:r>
          </w:p>
        </w:tc>
      </w:tr>
      <w:tr w:rsidR="00AE519C" w:rsidRPr="000C589F" w14:paraId="7920D399" w14:textId="77777777" w:rsidTr="00602256">
        <w:tc>
          <w:tcPr>
            <w:tcW w:w="4530" w:type="dxa"/>
          </w:tcPr>
          <w:p w14:paraId="536B3A62" w14:textId="77777777" w:rsidR="00AE519C" w:rsidRPr="000C589F" w:rsidRDefault="00AE519C" w:rsidP="00602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C589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3AB9931" w14:textId="77777777" w:rsidR="00AE519C" w:rsidRPr="000C589F" w:rsidRDefault="00AE519C" w:rsidP="00602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C589F">
              <w:rPr>
                <w:rFonts w:ascii="Simplified Arabic" w:eastAsia="Calibri" w:hAnsi="Simplified Arabic" w:cs="Simplified Arabic"/>
                <w:color w:val="000000" w:themeColor="text1"/>
                <w:kern w:val="0"/>
                <w:sz w:val="36"/>
                <w:szCs w:val="36"/>
                <w:rtl/>
                <w:lang w:bidi="ar-EG"/>
                <w14:ligatures w14:val="none"/>
              </w:rPr>
              <w:t>د.فايز جراد</w:t>
            </w:r>
          </w:p>
        </w:tc>
      </w:tr>
    </w:tbl>
    <w:p w14:paraId="7B629CE0" w14:textId="77777777" w:rsidR="00AE519C" w:rsidRPr="000C589F" w:rsidRDefault="00AE519C" w:rsidP="00AE519C">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0C589F">
        <w:rPr>
          <w:rFonts w:ascii="Simplified Arabic" w:hAnsi="Simplified Arabic" w:cs="Simplified Arabic"/>
          <w:b/>
          <w:bCs/>
          <w:color w:val="000000" w:themeColor="text1"/>
          <w:sz w:val="36"/>
          <w:szCs w:val="36"/>
          <w:rtl/>
          <w:lang w:bidi="ar-EG"/>
        </w:rPr>
        <w:t>العام الدراسي:</w:t>
      </w:r>
    </w:p>
    <w:p w14:paraId="112926CD" w14:textId="77777777" w:rsidR="00AE519C" w:rsidRPr="000C589F" w:rsidRDefault="00AE519C" w:rsidP="00AE519C">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AE519C" w:rsidRPr="000C589F" w:rsidSect="00602256">
          <w:type w:val="continuous"/>
          <w:pgSz w:w="11906" w:h="16838" w:code="9"/>
          <w:pgMar w:top="1134" w:right="1701" w:bottom="1134" w:left="1134" w:header="720" w:footer="720" w:gutter="0"/>
          <w:pgNumType w:fmt="arabicAbjad" w:start="1"/>
          <w:cols w:space="708"/>
          <w:bidi/>
          <w:rtlGutter/>
          <w:docGrid w:linePitch="360"/>
        </w:sectPr>
      </w:pPr>
      <w:r w:rsidRPr="000C589F">
        <w:rPr>
          <w:rFonts w:ascii="Simplified Arabic" w:hAnsi="Simplified Arabic" w:cs="Simplified Arabic"/>
          <w:color w:val="000000" w:themeColor="text1"/>
          <w:sz w:val="36"/>
          <w:szCs w:val="36"/>
          <w:lang w:bidi="ar-EG"/>
        </w:rPr>
        <w:t>1448 – 2026</w:t>
      </w:r>
    </w:p>
    <w:p w14:paraId="2BD0FC94" w14:textId="77777777" w:rsidR="00AE519C" w:rsidRPr="000C589F" w:rsidRDefault="00AE519C" w:rsidP="00AE519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12B4D40" w14:textId="5C81577D" w:rsidR="00FF4634" w:rsidRPr="000C589F" w:rsidRDefault="00FF4634" w:rsidP="00AE519C">
      <w:pPr>
        <w:spacing w:before="100" w:beforeAutospacing="1" w:after="100" w:afterAutospacing="1" w:line="276" w:lineRule="auto"/>
        <w:jc w:val="both"/>
        <w:rPr>
          <w:rFonts w:ascii="Simplified Arabic" w:eastAsiaTheme="majorEastAsia" w:hAnsi="Simplified Arabic" w:cs="Simplified Arabic"/>
          <w:color w:val="000000" w:themeColor="text1"/>
          <w:sz w:val="28"/>
          <w:szCs w:val="28"/>
          <w:rtl/>
        </w:rPr>
      </w:pPr>
      <w:bookmarkStart w:id="0" w:name="_Toc169790487"/>
    </w:p>
    <w:p w14:paraId="390E8F24" w14:textId="1E483035" w:rsidR="00AE519C" w:rsidRPr="000C589F" w:rsidRDefault="00FA1A1C" w:rsidP="00FA1A1C">
      <w:pPr>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1" w:name="_Hlk172151144"/>
      <w:bookmarkStart w:id="2" w:name="_Toc169790489"/>
      <w:bookmarkStart w:id="3" w:name="_Toc233411384"/>
      <w:bookmarkEnd w:id="0"/>
      <w:r w:rsidRPr="000C589F">
        <w:rPr>
          <w:rFonts w:ascii="Simplified Arabic" w:eastAsia="Times New Roman" w:hAnsi="Simplified Arabic" w:cs="Simplified Arabic" w:hint="cs"/>
          <w:b/>
          <w:bCs/>
          <w:color w:val="000000" w:themeColor="text1"/>
          <w:kern w:val="0"/>
          <w:sz w:val="40"/>
          <w:szCs w:val="40"/>
          <w:rtl/>
          <w:lang w:bidi="ar-EG"/>
          <w14:ligatures w14:val="none"/>
        </w:rPr>
        <w:t>الفصل الأول: الإطار العام للدراسة</w:t>
      </w:r>
      <w:bookmarkEnd w:id="3"/>
    </w:p>
    <w:p w14:paraId="526E1DA5" w14:textId="7B4A7FCB" w:rsidR="00FA1A1C" w:rsidRPr="000C589F" w:rsidRDefault="00FA1A1C" w:rsidP="00FA1A1C">
      <w:pPr>
        <w:outlineLvl w:val="1"/>
        <w:rPr>
          <w:rFonts w:ascii="Simplified Arabic" w:eastAsia="Times New Roman" w:hAnsi="Simplified Arabic" w:cs="Simplified Arabic" w:hint="cs"/>
          <w:b/>
          <w:bCs/>
          <w:color w:val="000000" w:themeColor="text1"/>
          <w:kern w:val="0"/>
          <w:sz w:val="36"/>
          <w:szCs w:val="36"/>
          <w:rtl/>
          <w:lang w:bidi="ar-EG"/>
          <w14:ligatures w14:val="none"/>
        </w:rPr>
      </w:pPr>
      <w:bookmarkStart w:id="4" w:name="_Toc233411385"/>
      <w:r w:rsidRPr="000C589F">
        <w:rPr>
          <w:rFonts w:ascii="Simplified Arabic" w:eastAsia="Times New Roman" w:hAnsi="Simplified Arabic" w:cs="Simplified Arabic" w:hint="cs"/>
          <w:b/>
          <w:bCs/>
          <w:color w:val="000000" w:themeColor="text1"/>
          <w:kern w:val="0"/>
          <w:sz w:val="36"/>
          <w:szCs w:val="36"/>
          <w:rtl/>
          <w:lang w:bidi="ar-EG"/>
          <w14:ligatures w14:val="none"/>
        </w:rPr>
        <w:t>1.1 المقدمة</w:t>
      </w:r>
      <w:bookmarkEnd w:id="4"/>
    </w:p>
    <w:p w14:paraId="21B88586" w14:textId="69062C5A" w:rsidR="000361B5" w:rsidRPr="000C589F" w:rsidRDefault="000361B5" w:rsidP="00FA1A1C">
      <w:pPr>
        <w:pStyle w:val="NormalWeb"/>
        <w:bidi/>
        <w:spacing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يشهد قطاع الرعاية الصحية على المستوى العالمي تحوّلات متسارعة فرضتها الزيادة المطّردة في أعداد السكان وارتفاع معدلات الأمراض المزمنة وتصاعد توقعات المرضى نحو خدمات صحية أكثر جودة وكفاءة، مما جعل المستشفيات أمام ضغوط غير مسبوقة لتعظيم الاستفادة من مواردها المحدودة وتحقيق التوازن بين الطلب المتنامي والعرض المتاح من الخدمات،</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tl/>
        </w:rPr>
        <w:t>وتُمثّل السعة السريرية أحد أهم الموارد الاستراتيجية التي تتمحور حولها عمليات المستشفى بأكملها، إذ يرتبط توفر الأسرّة وكفاءة إدارتها ارتباطاً مباشراً بقدرة المنشأة الصحية على استقبال المرضى وتقديم الرعاية لهم في التوقيت المناسب وتحقيق الاستدامة المالية</w:t>
      </w:r>
      <w:r w:rsidRPr="000C589F">
        <w:rPr>
          <w:rFonts w:ascii="Simplified Arabic" w:hAnsi="Simplified Arabic" w:cs="Simplified Arabic"/>
          <w:color w:val="000000" w:themeColor="text1"/>
          <w:sz w:val="28"/>
          <w:szCs w:val="28"/>
        </w:rPr>
        <w:t xml:space="preserve"> (Kim &amp; Oh, 2024).</w:t>
      </w:r>
    </w:p>
    <w:p w14:paraId="3EE730C2" w14:textId="48E4280E" w:rsidR="000361B5" w:rsidRPr="000C589F" w:rsidRDefault="000361B5" w:rsidP="00FA1A1C">
      <w:pPr>
        <w:pStyle w:val="NormalWeb"/>
        <w:bidi/>
        <w:spacing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وتتجاوز إدارة السعة السريرية مفهوم العدّ البسيط للأسرّة المتاحة لتشمل منظومة متكاملة من العمليات التخطيطية والتنظيمية والتقنية التي تهدف إلى تحسين معدلات الإشغال وتسريع دورة تجهيز الأسرّة وتقليل أوقات انتظار المرضى،  أن تبنّي نماذج منظّمة لإدارة الأسرّة يُسهم في خفض مدة الإقامة في أقسام الطوارئ وتحسين تدفق المرضى واستيعاب الزيادات في حالات الدخول العاجلة دون المساس بجودة الخدمة، كما أن توظيف الأنظمة الرقمية والمركزية في إدارة الأسرّة يُقلّص زمن تجهيز السرير بشكل ملحوظ ويُعزّز من قدرة المستشفى على إدارة سعته بكفاءة عالية</w:t>
      </w:r>
      <w:r w:rsidRPr="000C589F">
        <w:rPr>
          <w:rFonts w:ascii="Simplified Arabic" w:hAnsi="Simplified Arabic" w:cs="Simplified Arabic"/>
          <w:color w:val="000000" w:themeColor="text1"/>
          <w:sz w:val="28"/>
          <w:szCs w:val="28"/>
        </w:rPr>
        <w:t xml:space="preserve"> (Altavilla, 2026).</w:t>
      </w:r>
    </w:p>
    <w:p w14:paraId="46465C77" w14:textId="2CF78833" w:rsidR="000361B5" w:rsidRPr="000C589F" w:rsidRDefault="000361B5" w:rsidP="00FA1A1C">
      <w:pPr>
        <w:pStyle w:val="NormalWeb"/>
        <w:bidi/>
        <w:spacing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ومن أبرز المجالات التي تتأثر تأثراً مباشراً بكفاءة إدارة السعة السريرية مجالُ تشغيل غرف العمليات الجراحية، حيث تُعدّ ظاهرة إلغاء العمليات المجدولة من أكثر التحديات التشغيلية شيوعاً في المستشفيات حول العالم. وتتعدد أسباب هذا الإلغاء بين عوامل مرتبطة بالمريض وعوامل مرتبطة بالمنشأة وعوامل طبية، إلا أن الدراسات أظهرت أن العوامل المرتبطة بالمنشأة وخاصة عدم توفر الأسرّة في أقسام التنويم والعناية المركزة وضعف الجدولة  تُشكّل النصيب الأكبر من الأسباب القابلة للتفادي، مما يجعل إدارة السعة السريرية عاملاً حاسماً في التصدي لهذه الظاهرة</w:t>
      </w:r>
      <w:r w:rsidRPr="000C589F">
        <w:rPr>
          <w:rFonts w:ascii="Simplified Arabic" w:hAnsi="Simplified Arabic" w:cs="Simplified Arabic"/>
          <w:color w:val="000000" w:themeColor="text1"/>
          <w:sz w:val="28"/>
          <w:szCs w:val="28"/>
        </w:rPr>
        <w:t xml:space="preserve"> (Dhafar et al., 2015).</w:t>
      </w:r>
    </w:p>
    <w:p w14:paraId="145620D8" w14:textId="77777777" w:rsidR="000361B5" w:rsidRPr="000C589F" w:rsidRDefault="000361B5" w:rsidP="00FA1A1C">
      <w:pPr>
        <w:pStyle w:val="NormalWeb"/>
        <w:bidi/>
        <w:spacing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 xml:space="preserve">ولا يقتصر الأثر السلبي لإلغاء العمليات على الكفاءة التشغيلية للمستشفى فحسب، بل يمتد ليشمل هدر الموارد المالية والبشرية المخصصة للتحضير الجراحي، وتكرار الفحوصات التشخيصية، وإطالة فترات الانتظار للمرضى الآخرين، فضلاً عن الأثر النفسي والصحي على المريض الذي يتعرض للتأجيل المتكرر. كما أن تراكم الإلغاءات يُفضي إلى تراجع عدد العمليات المنجزة يومياً وعدم استغلال الطاقة القصوى لغرف العمليات، وهو ما ينعكس سلباً على إيرادات المستشفى وعلى ثقة المرضى في المنظومة الصحية </w:t>
      </w:r>
      <w:r w:rsidRPr="000C589F">
        <w:rPr>
          <w:rFonts w:ascii="Simplified Arabic" w:hAnsi="Simplified Arabic" w:cs="Simplified Arabic"/>
          <w:color w:val="000000" w:themeColor="text1"/>
          <w:sz w:val="28"/>
          <w:szCs w:val="28"/>
        </w:rPr>
        <w:t>(Schretlen et al., 2021).</w:t>
      </w:r>
    </w:p>
    <w:p w14:paraId="4736A941" w14:textId="77777777" w:rsidR="000361B5" w:rsidRPr="000C589F" w:rsidRDefault="000361B5" w:rsidP="00FA1A1C">
      <w:pPr>
        <w:pStyle w:val="NormalWeb"/>
        <w:bidi/>
        <w:spacing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وفي ضوء هذا الترابط الوثيق بين إدارة السعة السريرية ومخرجات غرف العمليات، تبرز الحاجة إلى دراسة هذه العلاقة دراسة منهجية تتجاوز التوصيف السطحي لأسباب الإلغاء إلى التحليل العميق للأبعاد الإدارية والتنظيمية والتقنية التي تقف خلفها. فقد أكدت الأدبيات أن المقاربات متعددة الأبعاد التي تجمع بين التخطيط الاستراتيجي للأسرّة وتحسين تدفق المرضى وتعزيز التنسيق بين الأقسام وتوظيف التقنية الرقمية هي الأكثر فاعلية في خفض الإلغاءات ورفع معدل الإنجاز الجراحي اليومي</w:t>
      </w:r>
      <w:r w:rsidRPr="000C589F">
        <w:rPr>
          <w:rFonts w:ascii="Simplified Arabic" w:hAnsi="Simplified Arabic" w:cs="Simplified Arabic"/>
          <w:color w:val="000000" w:themeColor="text1"/>
          <w:sz w:val="28"/>
          <w:szCs w:val="28"/>
        </w:rPr>
        <w:t xml:space="preserve"> (McGowan et al., 2007).</w:t>
      </w:r>
    </w:p>
    <w:p w14:paraId="1707F197" w14:textId="77777777" w:rsidR="000361B5" w:rsidRPr="000C589F" w:rsidRDefault="000361B5" w:rsidP="00FA1A1C">
      <w:pPr>
        <w:pStyle w:val="NormalWeb"/>
        <w:bidi/>
        <w:spacing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وعليه، تأتي هذه الدراسة لتتناول أثر إدارة السعة السريرية بأبعادها المتعددة على خفض إلغاءات العمليات الجراحية وزيادة عدد العمليات المنجزة يومياً في المستشفيات الحكومية، ساعيةً إلى تقديم إطار تحليلي متكامل يُسهم في تعزيز كفاءة الأداء التشغيلي وتحسين جودة الخدمات الجراحية المقدّمة للمرضى، بما يتواءم مع التوجهات الحديثة في إدارة المنشآت الصحية ومستهدفات التطوير في القطاع الصحي</w:t>
      </w:r>
      <w:r w:rsidRPr="000C589F">
        <w:rPr>
          <w:rFonts w:ascii="Simplified Arabic" w:hAnsi="Simplified Arabic" w:cs="Simplified Arabic"/>
          <w:color w:val="000000" w:themeColor="text1"/>
          <w:sz w:val="28"/>
          <w:szCs w:val="28"/>
        </w:rPr>
        <w:t>.</w:t>
      </w:r>
    </w:p>
    <w:p w14:paraId="6BD95392" w14:textId="6DD7DF4E" w:rsidR="00FA1A1C" w:rsidRPr="000C589F" w:rsidRDefault="00FA1A1C" w:rsidP="00FA1A1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5" w:name="_Toc233411386"/>
      <w:bookmarkEnd w:id="1"/>
      <w:r w:rsidRPr="000C589F">
        <w:rPr>
          <w:rFonts w:ascii="Simplified Arabic" w:hAnsi="Simplified Arabic" w:cs="Simplified Arabic"/>
          <w:b/>
          <w:bCs/>
          <w:color w:val="000000" w:themeColor="text1"/>
          <w:sz w:val="36"/>
          <w:szCs w:val="36"/>
          <w:rtl/>
        </w:rPr>
        <w:t>2.1مشكلة الدراسة</w:t>
      </w:r>
      <w:bookmarkEnd w:id="5"/>
    </w:p>
    <w:p w14:paraId="53E68CC1" w14:textId="070AD800" w:rsidR="000361B5" w:rsidRPr="000C589F" w:rsidRDefault="000361B5" w:rsidP="00FA1A1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 xml:space="preserve">تُعدّ غرف العمليات الجراحية من أكثر الوحدات استهلاكاً للموارد داخل المنظومة المستشفوية، إذ تستأثر وحدها بما يتراوح بين 40% و60% من إجمالي إيرادات المستشفى، وتستقطب نسبة مماثلة من نفقاته التشغيلية المتمثلة في الأطقم الطبية المتخصصة والتجهيزات عالية التقنية ومستلزمات التعقيم والتخدير، غير أن هذا الاستثمار الضخم يواجه تحدياً جوهرياً يتمثّل في ظاهرة إلغاء العمليات الجراحية المجدولة في اليوم ذاته أو قبلها بفترة وجيزة، وهي ظاهرة تتكرر بمعدلات مقلقة تتراوح عالمياً بين </w:t>
      </w:r>
      <w:r w:rsidRPr="000C589F">
        <w:rPr>
          <w:rFonts w:ascii="Simplified Arabic" w:hAnsi="Simplified Arabic" w:cs="Simplified Arabic"/>
          <w:color w:val="000000" w:themeColor="text1"/>
          <w:sz w:val="28"/>
          <w:szCs w:val="28"/>
        </w:rPr>
        <w:t xml:space="preserve">2% </w:t>
      </w:r>
      <w:r w:rsidRPr="000C589F">
        <w:rPr>
          <w:rFonts w:ascii="Simplified Arabic" w:hAnsi="Simplified Arabic" w:cs="Simplified Arabic"/>
          <w:color w:val="000000" w:themeColor="text1"/>
          <w:sz w:val="28"/>
          <w:szCs w:val="28"/>
          <w:rtl/>
        </w:rPr>
        <w:t>و40% في الدول المتقدمة وقد تصل إلى 73% في بعض الدول النامية، مما يُلقي بظلال ثقيلة على كفاءة المنشأة الصحية وجودة خدماتها وسلامة مرضاها واستدامتها المالية</w:t>
      </w:r>
      <w:r w:rsidRPr="000C589F">
        <w:rPr>
          <w:rFonts w:ascii="Simplified Arabic" w:hAnsi="Simplified Arabic" w:cs="Simplified Arabic"/>
          <w:color w:val="000000" w:themeColor="text1"/>
          <w:sz w:val="28"/>
          <w:szCs w:val="28"/>
        </w:rPr>
        <w:t>.</w:t>
      </w:r>
    </w:p>
    <w:p w14:paraId="4EB2B343" w14:textId="477D414C" w:rsidR="000361B5" w:rsidRPr="000C589F" w:rsidRDefault="000361B5" w:rsidP="00FA1A1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 xml:space="preserve">وفي السياق العربي والسعودي تحديداً، كشفت دراسة </w:t>
      </w:r>
      <w:r w:rsidRPr="000C589F">
        <w:rPr>
          <w:rFonts w:ascii="Simplified Arabic" w:hAnsi="Simplified Arabic" w:cs="Simplified Arabic"/>
          <w:color w:val="000000" w:themeColor="text1"/>
          <w:sz w:val="28"/>
          <w:szCs w:val="28"/>
        </w:rPr>
        <w:t xml:space="preserve">Dhafar et al. (2015) </w:t>
      </w:r>
      <w:r w:rsidRPr="000C589F">
        <w:rPr>
          <w:rFonts w:ascii="Simplified Arabic" w:hAnsi="Simplified Arabic" w:cs="Simplified Arabic"/>
          <w:color w:val="000000" w:themeColor="text1"/>
          <w:sz w:val="28"/>
          <w:szCs w:val="28"/>
          <w:rtl/>
        </w:rPr>
        <w:t>التي شملت 25 مستشفى بمنطقة مكة المكرمة عن معدل إلغاء بلغ 7.6% من إجمالي 16,211 عملية مجدولة، حيث كانت الأسباب المرتبطة بالمنشأة ـــ وعلى رأسها عدم توفر الأسرّة وضعف الجدولة ـــ تُشكّل نحو 20</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tl/>
        </w:rPr>
        <w:t>من أسباب الإلغاء، كما أظهرت دراسة</w:t>
      </w:r>
      <w:r w:rsidRPr="000C589F">
        <w:rPr>
          <w:rFonts w:ascii="Simplified Arabic" w:hAnsi="Simplified Arabic" w:cs="Simplified Arabic"/>
          <w:color w:val="000000" w:themeColor="text1"/>
          <w:sz w:val="28"/>
          <w:szCs w:val="28"/>
        </w:rPr>
        <w:t xml:space="preserve"> Mesmar et al. (2011) </w:t>
      </w:r>
      <w:r w:rsidRPr="000C589F">
        <w:rPr>
          <w:rFonts w:ascii="Simplified Arabic" w:hAnsi="Simplified Arabic" w:cs="Simplified Arabic"/>
          <w:color w:val="000000" w:themeColor="text1"/>
          <w:sz w:val="28"/>
          <w:szCs w:val="28"/>
          <w:rtl/>
        </w:rPr>
        <w:t>في الأردن أن عدم توفر الأسرّة يُعدّ السبب الإداري الأبرز لإلغاء العمليات الاختيارية، بينما وثّقت دراسة</w:t>
      </w:r>
      <w:r w:rsidRPr="000C589F">
        <w:rPr>
          <w:rFonts w:ascii="Simplified Arabic" w:hAnsi="Simplified Arabic" w:cs="Simplified Arabic"/>
          <w:color w:val="000000" w:themeColor="text1"/>
          <w:sz w:val="28"/>
          <w:szCs w:val="28"/>
        </w:rPr>
        <w:t xml:space="preserve"> Nasr et al. (2025) </w:t>
      </w:r>
      <w:r w:rsidRPr="000C589F">
        <w:rPr>
          <w:rFonts w:ascii="Simplified Arabic" w:hAnsi="Simplified Arabic" w:cs="Simplified Arabic"/>
          <w:color w:val="000000" w:themeColor="text1"/>
          <w:sz w:val="28"/>
          <w:szCs w:val="28"/>
          <w:rtl/>
        </w:rPr>
        <w:t>في مستشفى الدمرداش الجامعي بمصر أن عدم توفر أسرّة العناية المركزة وحده يتسبب في 21.71% من إجمالي الإلغاءات،</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tl/>
        </w:rPr>
        <w:t>وتكشف هذه الشواهد مجتمعة عن خيط ناظم واحد يربط بين القصور في إدارة السعة السريرية وارتفاع معدلات إلغاء العمليات، مما يُفضي بالضرورة إلى تراجع عدد العمليات المنجزة يومياً وإطالة قوائم الانتظار وتصاعد التكاليف</w:t>
      </w:r>
      <w:r w:rsidRPr="000C589F">
        <w:rPr>
          <w:rFonts w:ascii="Simplified Arabic" w:hAnsi="Simplified Arabic" w:cs="Simplified Arabic"/>
          <w:color w:val="000000" w:themeColor="text1"/>
          <w:sz w:val="28"/>
          <w:szCs w:val="28"/>
        </w:rPr>
        <w:t>.</w:t>
      </w:r>
    </w:p>
    <w:p w14:paraId="3893E170" w14:textId="77777777" w:rsidR="000361B5" w:rsidRPr="000C589F" w:rsidRDefault="000361B5" w:rsidP="00FA1A1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إن إلغاء عملية جراحية واحدة لا يقتصر أثره على خسارة مالية تُقدّر بنحو 2,460 يورو وفق التقديرات الدولية، بل يمتد ليشمل هدراً في الموارد البشرية والتشخيصية التي استُنفدت في مرحلة التحضير، وتكراراً للفحوصات المخبرية والإشعاعية عند إعادة الجدولة، فضلاً عن الأثر النفسي والاجتماعي البالغ على المريض وأسرته الذين يعيشون حالة من القلق والترقب ثم يُفاجأون بالتأجيل. والأخطر من ذلك أن تأخير التدخل الجراحي قد يُفضي إلى تدهور الحالة الصحية للمريض وارتفاع مخاطر المضاعفات وإطالة مدة الإقامة اللاحقة في المستشفى، مما يُحدث حلقة مفرغة من الضغط على السعة السريرية ذاتها</w:t>
      </w:r>
      <w:r w:rsidRPr="000C589F">
        <w:rPr>
          <w:rFonts w:ascii="Simplified Arabic" w:hAnsi="Simplified Arabic" w:cs="Simplified Arabic"/>
          <w:color w:val="000000" w:themeColor="text1"/>
          <w:sz w:val="28"/>
          <w:szCs w:val="28"/>
        </w:rPr>
        <w:t>.</w:t>
      </w:r>
    </w:p>
    <w:p w14:paraId="1C3C6633" w14:textId="77777777" w:rsidR="000361B5" w:rsidRPr="000C589F" w:rsidRDefault="000361B5" w:rsidP="00FA1A1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 xml:space="preserve">وعلى الرغم من الاهتمام المتنامي بتحسين كفاءة غرف العمليات، فإن المتتبع للأدبيات العربية يلحظ ندرة واضحة في الدراسات التي تتناول إدارة السعة السريرية كمتغيّر مستقل متعدد الأبعاد وتربطه ربطاً منهجياً بمخرجات غرف العمليات من حيث خفض الإلغاءات وزيادة الإنجاز اليومي. فمعظم الدراسات القائمة اكتفت بتوصيف أسباب الإلغاء دون التعمق في البُنية الإدارية والتنظيمية لإدارة الأسرّة التي تقف خلف هذه الأسباب، كما أن دراسات إدارة السعة السريرية غالباً ما تناولت الموضوع بمعزل عن مخرجات العمليات الجراحية. وتبرز هنا الفجوة البحثية التي تسعى الدراسة الحالية لسدّها من خلال بناء نموذج تحليلي يربط بين أبعاد إدارة السعة السريرية </w:t>
      </w:r>
      <w:r w:rsidRPr="000C589F">
        <w:rPr>
          <w:rFonts w:ascii="Simplified Arabic" w:hAnsi="Simplified Arabic" w:cs="Simplified Arabic"/>
          <w:color w:val="000000" w:themeColor="text1"/>
          <w:sz w:val="28"/>
          <w:szCs w:val="28"/>
        </w:rPr>
        <w:t>(</w:t>
      </w:r>
      <w:r w:rsidRPr="000C589F">
        <w:rPr>
          <w:rFonts w:ascii="Simplified Arabic" w:hAnsi="Simplified Arabic" w:cs="Simplified Arabic"/>
          <w:color w:val="000000" w:themeColor="text1"/>
          <w:sz w:val="28"/>
          <w:szCs w:val="28"/>
          <w:rtl/>
        </w:rPr>
        <w:t>التخطيط الاستراتيجي للأسرّة، إدارة تدفق المرضى، التنسيق بين الأقسام السريرية والإدارية، الأنظمة الرقمية لإدارة الأسرّة) وبين خفض الإلغاءات وزيادة العمليات المنجزة يومياً في المستشفيات الحكومية</w:t>
      </w:r>
      <w:r w:rsidRPr="000C589F">
        <w:rPr>
          <w:rFonts w:ascii="Simplified Arabic" w:hAnsi="Simplified Arabic" w:cs="Simplified Arabic"/>
          <w:color w:val="000000" w:themeColor="text1"/>
          <w:sz w:val="28"/>
          <w:szCs w:val="28"/>
        </w:rPr>
        <w:t>.</w:t>
      </w:r>
    </w:p>
    <w:p w14:paraId="54296434" w14:textId="77777777" w:rsidR="000361B5" w:rsidRPr="000C589F" w:rsidRDefault="000361B5" w:rsidP="00FA1A1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وانطلاقاً مما سبق، يمكن بلورة مشكلة الدراسة في التساؤل الرئيس التالي</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tl/>
        </w:rPr>
        <w:t>ما أثر إدارة السعة السريرية بأبعادها (التخطيط الاستراتيجي للأسرّة، إدارة تدفق المرضى، التنسيق بين الأقسام السريرية والإدارية، الأنظمة الرقمية لإدارة الأسرّة) على خفض إلغاءات العمليات الجراحية وزيادة عدد العمليات المنجزة يومياً في المستشفيات الحكومية؟</w:t>
      </w:r>
    </w:p>
    <w:p w14:paraId="063102E4" w14:textId="77777777" w:rsidR="00FA1A1C" w:rsidRPr="000C589F" w:rsidRDefault="00FA1A1C" w:rsidP="00FA1A1C">
      <w:pPr>
        <w:pStyle w:val="NormalWeb"/>
        <w:bidi/>
        <w:spacing w:line="276" w:lineRule="auto"/>
        <w:ind w:left="-1"/>
        <w:outlineLvl w:val="1"/>
        <w:rPr>
          <w:rFonts w:ascii="Simplified Arabic" w:hAnsi="Simplified Arabic" w:cs="Simplified Arabic"/>
          <w:b/>
          <w:bCs/>
          <w:color w:val="000000" w:themeColor="text1"/>
          <w:sz w:val="36"/>
          <w:szCs w:val="36"/>
          <w:rtl/>
        </w:rPr>
      </w:pPr>
      <w:bookmarkStart w:id="6" w:name="_Toc169790490"/>
      <w:bookmarkStart w:id="7" w:name="_Toc233411387"/>
      <w:bookmarkEnd w:id="2"/>
      <w:r w:rsidRPr="000C589F">
        <w:rPr>
          <w:rFonts w:ascii="Simplified Arabic" w:hAnsi="Simplified Arabic" w:cs="Simplified Arabic"/>
          <w:b/>
          <w:bCs/>
          <w:color w:val="000000" w:themeColor="text1"/>
          <w:sz w:val="36"/>
          <w:szCs w:val="36"/>
        </w:rPr>
        <w:t xml:space="preserve">3.1 </w:t>
      </w:r>
      <w:r w:rsidRPr="000C589F">
        <w:rPr>
          <w:rFonts w:ascii="Simplified Arabic" w:hAnsi="Simplified Arabic" w:cs="Simplified Arabic"/>
          <w:b/>
          <w:bCs/>
          <w:color w:val="000000" w:themeColor="text1"/>
          <w:sz w:val="36"/>
          <w:szCs w:val="36"/>
          <w:rtl/>
        </w:rPr>
        <w:t>أهمية الدراسة</w:t>
      </w:r>
      <w:r w:rsidRPr="000C589F">
        <w:rPr>
          <w:rFonts w:ascii="Simplified Arabic" w:hAnsi="Simplified Arabic" w:cs="Simplified Arabic"/>
          <w:b/>
          <w:bCs/>
          <w:color w:val="000000" w:themeColor="text1"/>
          <w:sz w:val="36"/>
          <w:szCs w:val="36"/>
        </w:rPr>
        <w:t>:</w:t>
      </w:r>
      <w:bookmarkEnd w:id="7"/>
    </w:p>
    <w:p w14:paraId="5FC1A7F5" w14:textId="21488F9D" w:rsidR="00FA1A1C" w:rsidRPr="000C589F" w:rsidRDefault="00FA1A1C" w:rsidP="00FA1A1C">
      <w:pPr>
        <w:pStyle w:val="NormalWeb"/>
        <w:bidi/>
        <w:spacing w:line="276" w:lineRule="auto"/>
        <w:jc w:val="both"/>
        <w:rPr>
          <w:rFonts w:ascii="Simplified Arabic" w:hAnsi="Simplified Arabic" w:cs="Simplified Arabic"/>
          <w:b/>
          <w:bCs/>
          <w:color w:val="000000" w:themeColor="text1"/>
          <w:sz w:val="32"/>
          <w:szCs w:val="32"/>
          <w:rtl/>
        </w:rPr>
      </w:pPr>
      <w:r w:rsidRPr="000C589F">
        <w:rPr>
          <w:rFonts w:ascii="Simplified Arabic" w:hAnsi="Simplified Arabic" w:cs="Simplified Arabic"/>
          <w:b/>
          <w:bCs/>
          <w:color w:val="000000" w:themeColor="text1"/>
          <w:sz w:val="32"/>
          <w:szCs w:val="32"/>
          <w:rtl/>
        </w:rPr>
        <w:t>الأهمية العلمية (النظرية)</w:t>
      </w:r>
    </w:p>
    <w:p w14:paraId="51E573D7" w14:textId="77777777" w:rsidR="00EA6CD1" w:rsidRPr="000C589F" w:rsidRDefault="00EA6CD1" w:rsidP="00FA1A1C">
      <w:pPr>
        <w:pStyle w:val="NormalWeb"/>
        <w:bidi/>
        <w:spacing w:line="276" w:lineRule="auto"/>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t>تستمد هذه الدراسة أهميتها العلمية من عدة اعتبارات جوهرية تتمثل فيما يلي</w:t>
      </w:r>
      <w:r w:rsidRPr="000C589F">
        <w:rPr>
          <w:rFonts w:ascii="Simplified Arabic" w:hAnsi="Simplified Arabic" w:cs="Simplified Arabic"/>
          <w:b/>
          <w:bCs/>
          <w:color w:val="000000" w:themeColor="text1"/>
          <w:sz w:val="28"/>
          <w:szCs w:val="28"/>
        </w:rPr>
        <w:t>:</w:t>
      </w:r>
    </w:p>
    <w:p w14:paraId="6A99F0FF" w14:textId="77777777" w:rsidR="00EA6CD1" w:rsidRPr="000C589F" w:rsidRDefault="00EA6CD1" w:rsidP="00FA1A1C">
      <w:pPr>
        <w:pStyle w:val="NormalWeb"/>
        <w:numPr>
          <w:ilvl w:val="0"/>
          <w:numId w:val="3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تُسهم الدراسة في إثراء الأدبيات العربية والمكتبة البحثية في مجال إدارة المخاطر البيئية وعلاقتها بمعايير السلامة والجودة، وهو مجال يشهد ندرة نسبية في الدراسات العربية مقارنة بالدراسات الأجنبية، مما يُضيف قيمة علمية متميزة للتراث المعرفي في هذا الحقل</w:t>
      </w:r>
      <w:r w:rsidRPr="000C589F">
        <w:rPr>
          <w:rFonts w:ascii="Simplified Arabic" w:hAnsi="Simplified Arabic" w:cs="Simplified Arabic"/>
          <w:color w:val="000000" w:themeColor="text1"/>
          <w:sz w:val="28"/>
          <w:szCs w:val="28"/>
        </w:rPr>
        <w:t>.</w:t>
      </w:r>
    </w:p>
    <w:p w14:paraId="2EBF4413" w14:textId="77777777" w:rsidR="00EA6CD1" w:rsidRPr="000C589F" w:rsidRDefault="00EA6CD1" w:rsidP="00FA1A1C">
      <w:pPr>
        <w:pStyle w:val="NormalWeb"/>
        <w:numPr>
          <w:ilvl w:val="0"/>
          <w:numId w:val="3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تُقدم الدراسة إطاراً نظرياً متكاملاً يربط بين إدارة المخاطر البيئية بأبعادها الأربعة والالتزام بمعايير السلامة والجودة، وهو ما يُعد إضافة نوعية للنماذج النظرية القائمة التي تناولت كل متغير على حدة دون الربط الشامل بينهما</w:t>
      </w:r>
      <w:r w:rsidRPr="000C589F">
        <w:rPr>
          <w:rFonts w:ascii="Simplified Arabic" w:hAnsi="Simplified Arabic" w:cs="Simplified Arabic"/>
          <w:color w:val="000000" w:themeColor="text1"/>
          <w:sz w:val="28"/>
          <w:szCs w:val="28"/>
        </w:rPr>
        <w:t>.</w:t>
      </w:r>
    </w:p>
    <w:p w14:paraId="7AA353C8" w14:textId="77777777" w:rsidR="00EA6CD1" w:rsidRPr="000C589F" w:rsidRDefault="00EA6CD1" w:rsidP="00FA1A1C">
      <w:pPr>
        <w:pStyle w:val="NormalWeb"/>
        <w:numPr>
          <w:ilvl w:val="0"/>
          <w:numId w:val="3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تُوفر الدراسة أداة قياس علمية محكّمة يمكن للباحثين الاستفادة منها في دراسات مستقبلية مماثلة، فضلاً عن إمكانية تطويرها وتكييفها لتناسب بيئات وقطاعات مختلفة</w:t>
      </w:r>
      <w:r w:rsidRPr="000C589F">
        <w:rPr>
          <w:rFonts w:ascii="Simplified Arabic" w:hAnsi="Simplified Arabic" w:cs="Simplified Arabic"/>
          <w:color w:val="000000" w:themeColor="text1"/>
          <w:sz w:val="28"/>
          <w:szCs w:val="28"/>
        </w:rPr>
        <w:t>.</w:t>
      </w:r>
    </w:p>
    <w:p w14:paraId="66D2196A" w14:textId="77777777" w:rsidR="00EA6CD1" w:rsidRPr="000C589F" w:rsidRDefault="00EA6CD1" w:rsidP="00FA1A1C">
      <w:pPr>
        <w:pStyle w:val="NormalWeb"/>
        <w:numPr>
          <w:ilvl w:val="0"/>
          <w:numId w:val="3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تُسهم الدراسة في سد الفجوة البحثية المتعلقة بدراسة العلاقة بين المتغيرات البيئية ومتغيرات السلامة والجودة في السياق السعودي، مما يفتح آفاقاً جديدة للبحث العلمي في هذا المجال</w:t>
      </w:r>
      <w:r w:rsidRPr="000C589F">
        <w:rPr>
          <w:rFonts w:ascii="Simplified Arabic" w:hAnsi="Simplified Arabic" w:cs="Simplified Arabic"/>
          <w:color w:val="000000" w:themeColor="text1"/>
          <w:sz w:val="28"/>
          <w:szCs w:val="28"/>
        </w:rPr>
        <w:t>.</w:t>
      </w:r>
    </w:p>
    <w:p w14:paraId="2525D7CB" w14:textId="77777777" w:rsidR="00EA6CD1" w:rsidRPr="000C589F" w:rsidRDefault="00EA6CD1" w:rsidP="00FA1A1C">
      <w:pPr>
        <w:pStyle w:val="NormalWeb"/>
        <w:numPr>
          <w:ilvl w:val="0"/>
          <w:numId w:val="3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تستند الدراسة إلى مراجعة شاملة للدراسات السابقة العربية والأجنبية الحديثة (2021-2025)، مما يُوفر قاعدة معرفية متينة يمكن للباحثين البناء عليها في دراساتهم المستقبلية</w:t>
      </w:r>
      <w:r w:rsidRPr="000C589F">
        <w:rPr>
          <w:rFonts w:ascii="Simplified Arabic" w:hAnsi="Simplified Arabic" w:cs="Simplified Arabic"/>
          <w:color w:val="000000" w:themeColor="text1"/>
          <w:sz w:val="28"/>
          <w:szCs w:val="28"/>
        </w:rPr>
        <w:t>.</w:t>
      </w:r>
    </w:p>
    <w:p w14:paraId="07DA7C38" w14:textId="44EE0FF2" w:rsidR="00FA1A1C" w:rsidRPr="000C589F" w:rsidRDefault="00FA1A1C" w:rsidP="00FA1A1C">
      <w:pPr>
        <w:pStyle w:val="NormalWeb"/>
        <w:bidi/>
        <w:spacing w:line="276" w:lineRule="auto"/>
        <w:jc w:val="both"/>
        <w:rPr>
          <w:rFonts w:ascii="Simplified Arabic" w:hAnsi="Simplified Arabic" w:cs="Simplified Arabic"/>
          <w:b/>
          <w:bCs/>
          <w:color w:val="000000" w:themeColor="text1"/>
          <w:sz w:val="32"/>
          <w:szCs w:val="32"/>
          <w:rtl/>
        </w:rPr>
      </w:pPr>
      <w:r w:rsidRPr="000C589F">
        <w:rPr>
          <w:rFonts w:ascii="Simplified Arabic" w:hAnsi="Simplified Arabic" w:cs="Simplified Arabic"/>
          <w:b/>
          <w:bCs/>
          <w:color w:val="000000" w:themeColor="text1"/>
          <w:sz w:val="32"/>
          <w:szCs w:val="32"/>
          <w:rtl/>
        </w:rPr>
        <w:t>الأهمية العملية (التطبيقية)</w:t>
      </w:r>
    </w:p>
    <w:p w14:paraId="66233359" w14:textId="77777777" w:rsidR="00EA6CD1" w:rsidRPr="000C589F" w:rsidRDefault="00EA6CD1" w:rsidP="00FA1A1C">
      <w:pPr>
        <w:pStyle w:val="NormalWeb"/>
        <w:bidi/>
        <w:spacing w:line="276" w:lineRule="auto"/>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t>تكتسب هذه الدراسة أهميتها العملية من خلال الاعتبارات التالية</w:t>
      </w:r>
      <w:r w:rsidRPr="000C589F">
        <w:rPr>
          <w:rFonts w:ascii="Simplified Arabic" w:hAnsi="Simplified Arabic" w:cs="Simplified Arabic"/>
          <w:b/>
          <w:bCs/>
          <w:color w:val="000000" w:themeColor="text1"/>
          <w:sz w:val="28"/>
          <w:szCs w:val="28"/>
        </w:rPr>
        <w:t>:</w:t>
      </w:r>
    </w:p>
    <w:p w14:paraId="6F75CBC6" w14:textId="77777777" w:rsidR="00EA6CD1" w:rsidRPr="000C589F" w:rsidRDefault="00EA6CD1" w:rsidP="00FA1A1C">
      <w:pPr>
        <w:pStyle w:val="NormalWeb"/>
        <w:numPr>
          <w:ilvl w:val="0"/>
          <w:numId w:val="3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تُقدم الدراسة نتائج وتوصيات قابلة للتطبيق تُساعد صانعي القرار في الشركات الصناعية السعودية على تطوير ممارسات إدارة المخاطر البيئية وتعزيز الالتزام بمعايير السلامة والجودة، بما ينعكس إيجاباً على الأداء التشغيلي والتنافسي لهذه الشركات</w:t>
      </w:r>
      <w:r w:rsidRPr="000C589F">
        <w:rPr>
          <w:rFonts w:ascii="Simplified Arabic" w:hAnsi="Simplified Arabic" w:cs="Simplified Arabic"/>
          <w:color w:val="000000" w:themeColor="text1"/>
          <w:sz w:val="28"/>
          <w:szCs w:val="28"/>
        </w:rPr>
        <w:t>.</w:t>
      </w:r>
    </w:p>
    <w:p w14:paraId="15176118" w14:textId="77777777" w:rsidR="00EA6CD1" w:rsidRPr="000C589F" w:rsidRDefault="00EA6CD1" w:rsidP="00FA1A1C">
      <w:pPr>
        <w:pStyle w:val="NormalWeb"/>
        <w:numPr>
          <w:ilvl w:val="0"/>
          <w:numId w:val="3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تتوافق الدراسة مع توجهات رؤية المملكة العربية السعودية 2030 التي تُولي اهتماماً بالغاً بالاستدامة البيئية وجودة الحياة والتحول نحو الاقتصاد الأخضر، مما يجعل نتائجها ذات صلة مباشرة بالأولويات الوطنية</w:t>
      </w:r>
      <w:r w:rsidRPr="000C589F">
        <w:rPr>
          <w:rFonts w:ascii="Simplified Arabic" w:hAnsi="Simplified Arabic" w:cs="Simplified Arabic"/>
          <w:color w:val="000000" w:themeColor="text1"/>
          <w:sz w:val="28"/>
          <w:szCs w:val="28"/>
        </w:rPr>
        <w:t>.</w:t>
      </w:r>
    </w:p>
    <w:p w14:paraId="3CF49A6E" w14:textId="77777777" w:rsidR="00EA6CD1" w:rsidRPr="000C589F" w:rsidRDefault="00EA6CD1" w:rsidP="00FA1A1C">
      <w:pPr>
        <w:pStyle w:val="NormalWeb"/>
        <w:numPr>
          <w:ilvl w:val="0"/>
          <w:numId w:val="3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تُساعد الدراسة المسؤولين في إدارات السلامة والبيئة والجودة على تحديد أولويات التطوير والتحسين استناداً إلى نتائج علمية موثوقة، بدلاً من الاعتماد على الاجتهادات الشخصية أو التجارب العشوائية</w:t>
      </w:r>
      <w:r w:rsidRPr="000C589F">
        <w:rPr>
          <w:rFonts w:ascii="Simplified Arabic" w:hAnsi="Simplified Arabic" w:cs="Simplified Arabic"/>
          <w:color w:val="000000" w:themeColor="text1"/>
          <w:sz w:val="28"/>
          <w:szCs w:val="28"/>
        </w:rPr>
        <w:t>.</w:t>
      </w:r>
    </w:p>
    <w:p w14:paraId="0ED53718" w14:textId="77777777" w:rsidR="00EA6CD1" w:rsidRPr="000C589F" w:rsidRDefault="00EA6CD1" w:rsidP="00FA1A1C">
      <w:pPr>
        <w:pStyle w:val="NormalWeb"/>
        <w:numPr>
          <w:ilvl w:val="0"/>
          <w:numId w:val="3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تُوفر الدراسة مؤشرات كمية ونوعية يمكن للجهات الرقابية والتنظيمية الاستفادة منها في تقييم مستوى التزام الشركات الصناعية بالمعايير البيئية ومعايير السلامة والجودة، وتطوير السياسات والتشريعات ذات الصلة</w:t>
      </w:r>
      <w:r w:rsidRPr="000C589F">
        <w:rPr>
          <w:rFonts w:ascii="Simplified Arabic" w:hAnsi="Simplified Arabic" w:cs="Simplified Arabic"/>
          <w:color w:val="000000" w:themeColor="text1"/>
          <w:sz w:val="28"/>
          <w:szCs w:val="28"/>
        </w:rPr>
        <w:t>.</w:t>
      </w:r>
    </w:p>
    <w:p w14:paraId="24AF51FC" w14:textId="77777777" w:rsidR="00EA6CD1" w:rsidRPr="000C589F" w:rsidRDefault="00EA6CD1" w:rsidP="00FA1A1C">
      <w:pPr>
        <w:pStyle w:val="NormalWeb"/>
        <w:numPr>
          <w:ilvl w:val="0"/>
          <w:numId w:val="3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تُفيد الدراسة الشركات الصناعية الساعية للحصول على الشهادات الدولية مثل</w:t>
      </w:r>
      <w:r w:rsidRPr="000C589F">
        <w:rPr>
          <w:rFonts w:ascii="Simplified Arabic" w:hAnsi="Simplified Arabic" w:cs="Simplified Arabic"/>
          <w:color w:val="000000" w:themeColor="text1"/>
          <w:sz w:val="28"/>
          <w:szCs w:val="28"/>
        </w:rPr>
        <w:t xml:space="preserve"> ISO 14001 </w:t>
      </w:r>
      <w:r w:rsidRPr="000C589F">
        <w:rPr>
          <w:rFonts w:ascii="Simplified Arabic" w:hAnsi="Simplified Arabic" w:cs="Simplified Arabic"/>
          <w:color w:val="000000" w:themeColor="text1"/>
          <w:sz w:val="28"/>
          <w:szCs w:val="28"/>
          <w:rtl/>
        </w:rPr>
        <w:t>و</w:t>
      </w:r>
      <w:r w:rsidRPr="000C589F">
        <w:rPr>
          <w:rFonts w:ascii="Simplified Arabic" w:hAnsi="Simplified Arabic" w:cs="Simplified Arabic"/>
          <w:color w:val="000000" w:themeColor="text1"/>
          <w:sz w:val="28"/>
          <w:szCs w:val="28"/>
        </w:rPr>
        <w:t xml:space="preserve">ISO 45001 </w:t>
      </w:r>
      <w:r w:rsidRPr="000C589F">
        <w:rPr>
          <w:rFonts w:ascii="Simplified Arabic" w:hAnsi="Simplified Arabic" w:cs="Simplified Arabic"/>
          <w:color w:val="000000" w:themeColor="text1"/>
          <w:sz w:val="28"/>
          <w:szCs w:val="28"/>
          <w:rtl/>
        </w:rPr>
        <w:t>من خلال تحديد العوامل المؤثرة في تحقيق متطلبات هذه المعايير والممارسات الفضلى في هذا الشأن</w:t>
      </w:r>
      <w:r w:rsidRPr="000C589F">
        <w:rPr>
          <w:rFonts w:ascii="Simplified Arabic" w:hAnsi="Simplified Arabic" w:cs="Simplified Arabic"/>
          <w:color w:val="000000" w:themeColor="text1"/>
          <w:sz w:val="28"/>
          <w:szCs w:val="28"/>
        </w:rPr>
        <w:t>.</w:t>
      </w:r>
    </w:p>
    <w:p w14:paraId="74E90836" w14:textId="77777777" w:rsidR="00EA6CD1" w:rsidRPr="000C589F" w:rsidRDefault="00EA6CD1" w:rsidP="00FA1A1C">
      <w:pPr>
        <w:pStyle w:val="NormalWeb"/>
        <w:numPr>
          <w:ilvl w:val="0"/>
          <w:numId w:val="3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تُسهم الدراسة في رفع مستوى الوعي لدى العاملين في القطاع الصناعي السعودي بأهمية إدارة المخاطر البيئية وانعكاساتها على السلامة والجودة، مما يُعزز ثقافة السلامة والمسؤولية البيئية في بيئة العمل</w:t>
      </w:r>
      <w:r w:rsidRPr="000C589F">
        <w:rPr>
          <w:rFonts w:ascii="Simplified Arabic" w:hAnsi="Simplified Arabic" w:cs="Simplified Arabic"/>
          <w:color w:val="000000" w:themeColor="text1"/>
          <w:sz w:val="28"/>
          <w:szCs w:val="28"/>
        </w:rPr>
        <w:t>.</w:t>
      </w:r>
    </w:p>
    <w:p w14:paraId="0D986721" w14:textId="4D93CD17" w:rsidR="00FA1A1C" w:rsidRPr="000C589F" w:rsidRDefault="00FA1A1C" w:rsidP="00FA1A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169790500"/>
      <w:bookmarkStart w:id="9" w:name="_Toc233411388"/>
      <w:bookmarkEnd w:id="6"/>
      <w:r w:rsidRPr="000C589F">
        <w:rPr>
          <w:rFonts w:ascii="Simplified Arabic" w:eastAsia="Times New Roman" w:hAnsi="Simplified Arabic" w:cs="Simplified Arabic"/>
          <w:b/>
          <w:bCs/>
          <w:color w:val="000000" w:themeColor="text1"/>
          <w:kern w:val="0"/>
          <w:sz w:val="36"/>
          <w:szCs w:val="36"/>
          <w:rtl/>
          <w14:ligatures w14:val="none"/>
        </w:rPr>
        <w:t>4.1 اهداف الدراسة</w:t>
      </w:r>
      <w:bookmarkEnd w:id="9"/>
    </w:p>
    <w:p w14:paraId="09E353BB" w14:textId="708CA099" w:rsidR="000361B5" w:rsidRPr="000C589F" w:rsidRDefault="000361B5" w:rsidP="00FA1A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السعة السريرية بأبعادها (التخطيط الاستراتيجي للأسرّة، إدارة تدفق المرضى، التنسيق بين الأقسام السريرية والإدارية، الأنظمة الرقمية لإدارة الأسرّة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09A527DF" w14:textId="77777777" w:rsidR="000361B5" w:rsidRPr="000C589F" w:rsidRDefault="000361B5" w:rsidP="00AE51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وتتفرع من هذا الهدف الرئيس الأهداف الفرعية التالية</w:t>
      </w:r>
      <w:r w:rsidRPr="000C589F">
        <w:rPr>
          <w:rFonts w:ascii="Simplified Arabic" w:eastAsia="Times New Roman" w:hAnsi="Simplified Arabic" w:cs="Simplified Arabic"/>
          <w:b/>
          <w:bCs/>
          <w:color w:val="000000" w:themeColor="text1"/>
          <w:kern w:val="0"/>
          <w:sz w:val="28"/>
          <w:szCs w:val="28"/>
          <w14:ligatures w14:val="none"/>
        </w:rPr>
        <w:t>:</w:t>
      </w:r>
    </w:p>
    <w:p w14:paraId="6D100EFA" w14:textId="7F43DAD1" w:rsidR="000361B5" w:rsidRPr="000C589F" w:rsidRDefault="000361B5" w:rsidP="00FA1A1C">
      <w:pPr>
        <w:pStyle w:val="ListParagraph"/>
        <w:numPr>
          <w:ilvl w:val="1"/>
          <w:numId w:val="32"/>
        </w:numPr>
        <w:tabs>
          <w:tab w:val="clear" w:pos="144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التعرف على أثر التخطيط الاستراتيجي للأسرّة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7715795F" w14:textId="74DCD081" w:rsidR="000361B5" w:rsidRPr="000C589F" w:rsidRDefault="000361B5" w:rsidP="00FA1A1C">
      <w:pPr>
        <w:pStyle w:val="ListParagraph"/>
        <w:numPr>
          <w:ilvl w:val="1"/>
          <w:numId w:val="32"/>
        </w:numPr>
        <w:tabs>
          <w:tab w:val="clear" w:pos="144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التعرف على أثر إدارة تدفق المرضى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01E1145F" w14:textId="09C252F7" w:rsidR="000361B5" w:rsidRPr="000C589F" w:rsidRDefault="000361B5" w:rsidP="00FA1A1C">
      <w:pPr>
        <w:pStyle w:val="ListParagraph"/>
        <w:numPr>
          <w:ilvl w:val="1"/>
          <w:numId w:val="32"/>
        </w:numPr>
        <w:tabs>
          <w:tab w:val="clear" w:pos="144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التعرف على أثر التنسيق بين الأقسام السريرية والإدارية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37B217C9" w14:textId="1A44227B" w:rsidR="000361B5" w:rsidRPr="000C589F" w:rsidRDefault="000361B5" w:rsidP="00FA1A1C">
      <w:pPr>
        <w:pStyle w:val="ListParagraph"/>
        <w:numPr>
          <w:ilvl w:val="1"/>
          <w:numId w:val="32"/>
        </w:numPr>
        <w:tabs>
          <w:tab w:val="clear" w:pos="144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التعرف على أثر استخدام الأنظمة الرقمية لإدارة الأسرّة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0A943422" w14:textId="77777777" w:rsidR="000361B5" w:rsidRPr="000C589F" w:rsidRDefault="000361B5" w:rsidP="00FA1A1C">
      <w:pPr>
        <w:pStyle w:val="ListParagraph"/>
        <w:numPr>
          <w:ilvl w:val="1"/>
          <w:numId w:val="32"/>
        </w:numPr>
        <w:tabs>
          <w:tab w:val="clear" w:pos="144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تقديم توصيات عملية وإطار مقترح لتحسين إدارة السعة السريرية بما يُسهم في خفض الإلغاءات ورفع معدل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49E60BD8" w14:textId="30262A7F" w:rsidR="00FA1A1C" w:rsidRPr="000C589F" w:rsidRDefault="00FA1A1C" w:rsidP="00FA1A1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411389"/>
      <w:r w:rsidRPr="000C589F">
        <w:rPr>
          <w:rFonts w:ascii="Simplified Arabic" w:eastAsia="Times New Roman" w:hAnsi="Simplified Arabic" w:cs="Simplified Arabic" w:hint="cs"/>
          <w:b/>
          <w:bCs/>
          <w:color w:val="000000" w:themeColor="text1"/>
          <w:kern w:val="0"/>
          <w:sz w:val="36"/>
          <w:szCs w:val="36"/>
          <w:rtl/>
          <w14:ligatures w14:val="none"/>
        </w:rPr>
        <w:t xml:space="preserve">5.1 </w:t>
      </w:r>
      <w:r w:rsidRPr="000C589F">
        <w:rPr>
          <w:rFonts w:ascii="Simplified Arabic" w:eastAsia="Times New Roman" w:hAnsi="Simplified Arabic" w:cs="Simplified Arabic"/>
          <w:b/>
          <w:bCs/>
          <w:color w:val="000000" w:themeColor="text1"/>
          <w:kern w:val="0"/>
          <w:sz w:val="36"/>
          <w:szCs w:val="36"/>
          <w:rtl/>
          <w14:ligatures w14:val="none"/>
        </w:rPr>
        <w:t>أسئلة الدراسة</w:t>
      </w:r>
      <w:bookmarkEnd w:id="10"/>
    </w:p>
    <w:p w14:paraId="2B518622" w14:textId="7BB25117" w:rsidR="000361B5" w:rsidRPr="000C589F" w:rsidRDefault="000361B5" w:rsidP="00FA1A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ما أثر إدارة السعة السريرية بأبعادها (التخطيط الاستراتيجي للأسرّة، إدارة تدفق المرضى، التنسيق بين الأقسام السريرية والإدارية، الأنظمة الرقمية لإدارة الأسرّة) </w:t>
      </w:r>
      <w:bookmarkStart w:id="11" w:name="_Hlk223408834"/>
      <w:r w:rsidRPr="000C589F">
        <w:rPr>
          <w:rFonts w:ascii="Simplified Arabic" w:eastAsia="Times New Roman" w:hAnsi="Simplified Arabic" w:cs="Simplified Arabic"/>
          <w:color w:val="000000" w:themeColor="text1"/>
          <w:kern w:val="0"/>
          <w:sz w:val="28"/>
          <w:szCs w:val="28"/>
          <w:rtl/>
          <w14:ligatures w14:val="none"/>
        </w:rPr>
        <w:t>على خفض إلغاءات العمليات الجراحية وزيادة عدد العمليات المنجزة يومياً في المستشفيات الحكومية</w:t>
      </w:r>
      <w:bookmarkEnd w:id="11"/>
      <w:r w:rsidRPr="000C589F">
        <w:rPr>
          <w:rFonts w:ascii="Simplified Arabic" w:eastAsia="Times New Roman" w:hAnsi="Simplified Arabic" w:cs="Simplified Arabic"/>
          <w:color w:val="000000" w:themeColor="text1"/>
          <w:kern w:val="0"/>
          <w:sz w:val="28"/>
          <w:szCs w:val="28"/>
          <w:rtl/>
          <w14:ligatures w14:val="none"/>
        </w:rPr>
        <w:t>؟</w:t>
      </w:r>
    </w:p>
    <w:p w14:paraId="71939865" w14:textId="77777777" w:rsidR="000361B5" w:rsidRPr="000C589F" w:rsidRDefault="000361B5" w:rsidP="00FA1A1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409266"/>
      <w:r w:rsidRPr="000C589F">
        <w:rPr>
          <w:rFonts w:ascii="Simplified Arabic" w:eastAsia="Times New Roman" w:hAnsi="Simplified Arabic" w:cs="Simplified Arabic"/>
          <w:b/>
          <w:bCs/>
          <w:color w:val="000000" w:themeColor="text1"/>
          <w:kern w:val="0"/>
          <w:sz w:val="32"/>
          <w:szCs w:val="32"/>
          <w:rtl/>
          <w14:ligatures w14:val="none"/>
        </w:rPr>
        <w:t>الأسئلة الفرعية</w:t>
      </w:r>
      <w:bookmarkEnd w:id="12"/>
    </w:p>
    <w:p w14:paraId="464A56EC" w14:textId="006D96C8" w:rsidR="000361B5" w:rsidRPr="000C589F" w:rsidRDefault="000361B5" w:rsidP="00FA1A1C">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ما أثر التخطيط الاستراتيجي للأسرّة على خفض إلغاءات العمليات الجراحية وزيادة عدد العمليات المنجزة يومياً في المستشفيات الحكومية ؟</w:t>
      </w:r>
    </w:p>
    <w:p w14:paraId="609DCF36" w14:textId="2CDF489F" w:rsidR="000361B5" w:rsidRPr="000C589F" w:rsidRDefault="000361B5" w:rsidP="00FA1A1C">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ما أثر إدارة تدفق المرضى على خفض إلغاءات العمليات الجراحية وزيادة عدد العمليات المنجزة يومياً في المستشفيات الحكومية ؟</w:t>
      </w:r>
    </w:p>
    <w:p w14:paraId="5C06B081" w14:textId="32802F43" w:rsidR="000361B5" w:rsidRPr="000C589F" w:rsidRDefault="000361B5" w:rsidP="00FA1A1C">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ما أثر التنسيق بين الأقسام السريرية والإدارية على خفض إلغاءات العمليات الجراحية وزيادة عدد العمليات المنجزة يومياً في المستشفيات الحكومية ؟</w:t>
      </w:r>
    </w:p>
    <w:p w14:paraId="3D69B63C" w14:textId="5D7A8455" w:rsidR="000361B5" w:rsidRPr="000C589F" w:rsidRDefault="000361B5" w:rsidP="00FA1A1C">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ما أثر استخدام الأنظمة الرقمية لإدارة الأسرّة على خفض إلغاءات العمليات الجراحية وزيادة عدد العمليات المنجزة يومياً في المستشفيات الحكومية ؟</w:t>
      </w:r>
    </w:p>
    <w:p w14:paraId="39514764" w14:textId="77777777" w:rsidR="000C589F" w:rsidRPr="000C589F" w:rsidRDefault="000C589F" w:rsidP="000C589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411390"/>
      <w:r w:rsidRPr="000C589F">
        <w:rPr>
          <w:rFonts w:ascii="Simplified Arabic" w:eastAsia="Times New Roman" w:hAnsi="Simplified Arabic" w:cs="Simplified Arabic"/>
          <w:b/>
          <w:bCs/>
          <w:color w:val="000000" w:themeColor="text1"/>
          <w:kern w:val="0"/>
          <w:sz w:val="36"/>
          <w:szCs w:val="36"/>
          <w:rtl/>
          <w14:ligatures w14:val="none"/>
        </w:rPr>
        <w:t>6.1 فروض الدراسة</w:t>
      </w:r>
      <w:bookmarkEnd w:id="13"/>
    </w:p>
    <w:p w14:paraId="792A30C8" w14:textId="7E2C939A" w:rsidR="000C589F" w:rsidRPr="000C589F" w:rsidRDefault="000C589F"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C589F">
        <w:rPr>
          <w:rFonts w:ascii="Simplified Arabic" w:eastAsia="Times New Roman" w:hAnsi="Simplified Arabic" w:cs="Simplified Arabic"/>
          <w:b/>
          <w:bCs/>
          <w:color w:val="000000" w:themeColor="text1"/>
          <w:kern w:val="0"/>
          <w:sz w:val="32"/>
          <w:szCs w:val="32"/>
          <w:rtl/>
          <w14:ligatures w14:val="none"/>
        </w:rPr>
        <w:t>الفرض الرئيس</w:t>
      </w:r>
    </w:p>
    <w:p w14:paraId="1E4E8529"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يوجد أثر ذو دلالة إحصائية عند مستوى معنوية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Cambria" w:eastAsia="Times New Roman" w:hAnsi="Cambria" w:cs="Cambria"/>
          <w:color w:val="000000" w:themeColor="text1"/>
          <w:kern w:val="0"/>
          <w:sz w:val="28"/>
          <w:szCs w:val="28"/>
          <w14:ligatures w14:val="none"/>
        </w:rPr>
        <w:t>α</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Times New Roman" w:eastAsia="Times New Roman" w:hAnsi="Times New Roman" w:cs="Times New Roman"/>
          <w:color w:val="000000" w:themeColor="text1"/>
          <w:kern w:val="0"/>
          <w:sz w:val="28"/>
          <w:szCs w:val="28"/>
          <w14:ligatures w14:val="none"/>
        </w:rPr>
        <w:t>≤</w:t>
      </w:r>
      <w:r w:rsidRPr="000C589F">
        <w:rPr>
          <w:rFonts w:ascii="Simplified Arabic" w:eastAsia="Times New Roman" w:hAnsi="Simplified Arabic" w:cs="Simplified Arabic"/>
          <w:color w:val="000000" w:themeColor="text1"/>
          <w:kern w:val="0"/>
          <w:sz w:val="28"/>
          <w:szCs w:val="28"/>
          <w14:ligatures w14:val="none"/>
        </w:rPr>
        <w:t xml:space="preserve"> 0.05) </w:t>
      </w:r>
      <w:r w:rsidRPr="000C589F">
        <w:rPr>
          <w:rFonts w:ascii="Simplified Arabic" w:eastAsia="Times New Roman" w:hAnsi="Simplified Arabic" w:cs="Simplified Arabic"/>
          <w:color w:val="000000" w:themeColor="text1"/>
          <w:kern w:val="0"/>
          <w:sz w:val="28"/>
          <w:szCs w:val="28"/>
          <w:rtl/>
          <w14:ligatures w14:val="none"/>
        </w:rPr>
        <w:t>لإدارة السعة السريرية بأبعادها (التخطيط الاستراتيجي للأسرّة، إدارة تدفق المرضى، التنسيق بين الأقسام السريرية والإدارية، الأنظمة الرقمية لإدارة الأسرّة)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4557307D"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409269"/>
      <w:r w:rsidRPr="000C589F">
        <w:rPr>
          <w:rFonts w:ascii="Simplified Arabic" w:eastAsia="Times New Roman" w:hAnsi="Simplified Arabic" w:cs="Simplified Arabic"/>
          <w:b/>
          <w:bCs/>
          <w:color w:val="000000" w:themeColor="text1"/>
          <w:kern w:val="0"/>
          <w:sz w:val="32"/>
          <w:szCs w:val="32"/>
          <w:rtl/>
          <w14:ligatures w14:val="none"/>
        </w:rPr>
        <w:t>الفروض الفرعية</w:t>
      </w:r>
      <w:bookmarkEnd w:id="14"/>
    </w:p>
    <w:p w14:paraId="3CEC06E6" w14:textId="07ACFF79" w:rsidR="000361B5" w:rsidRPr="000C589F" w:rsidRDefault="000361B5" w:rsidP="000C589F">
      <w:pPr>
        <w:pStyle w:val="ListParagraph"/>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Cambria" w:eastAsia="Times New Roman" w:hAnsi="Cambria" w:cs="Cambria"/>
          <w:color w:val="000000" w:themeColor="text1"/>
          <w:kern w:val="0"/>
          <w:sz w:val="28"/>
          <w:szCs w:val="28"/>
          <w14:ligatures w14:val="none"/>
        </w:rPr>
        <w:t>α</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Times New Roman" w:eastAsia="Times New Roman" w:hAnsi="Times New Roman" w:cs="Times New Roman"/>
          <w:color w:val="000000" w:themeColor="text1"/>
          <w:kern w:val="0"/>
          <w:sz w:val="28"/>
          <w:szCs w:val="28"/>
          <w14:ligatures w14:val="none"/>
        </w:rPr>
        <w:t>≤</w:t>
      </w:r>
      <w:r w:rsidRPr="000C589F">
        <w:rPr>
          <w:rFonts w:ascii="Simplified Arabic" w:eastAsia="Times New Roman" w:hAnsi="Simplified Arabic" w:cs="Simplified Arabic"/>
          <w:color w:val="000000" w:themeColor="text1"/>
          <w:kern w:val="0"/>
          <w:sz w:val="28"/>
          <w:szCs w:val="28"/>
          <w14:ligatures w14:val="none"/>
        </w:rPr>
        <w:t xml:space="preserve"> 0.05) </w:t>
      </w:r>
      <w:r w:rsidRPr="000C589F">
        <w:rPr>
          <w:rFonts w:ascii="Simplified Arabic" w:eastAsia="Times New Roman" w:hAnsi="Simplified Arabic" w:cs="Simplified Arabic"/>
          <w:color w:val="000000" w:themeColor="text1"/>
          <w:kern w:val="0"/>
          <w:sz w:val="28"/>
          <w:szCs w:val="28"/>
          <w:rtl/>
          <w14:ligatures w14:val="none"/>
        </w:rPr>
        <w:t>للتخطيط الاستراتيجي للأسرّة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0FD205B9" w14:textId="3DDF3F82" w:rsidR="000361B5" w:rsidRPr="000C589F" w:rsidRDefault="000361B5" w:rsidP="000C589F">
      <w:pPr>
        <w:pStyle w:val="ListParagraph"/>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Cambria" w:eastAsia="Times New Roman" w:hAnsi="Cambria" w:cs="Cambria"/>
          <w:color w:val="000000" w:themeColor="text1"/>
          <w:kern w:val="0"/>
          <w:sz w:val="28"/>
          <w:szCs w:val="28"/>
          <w14:ligatures w14:val="none"/>
        </w:rPr>
        <w:t>α</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Times New Roman" w:eastAsia="Times New Roman" w:hAnsi="Times New Roman" w:cs="Times New Roman"/>
          <w:color w:val="000000" w:themeColor="text1"/>
          <w:kern w:val="0"/>
          <w:sz w:val="28"/>
          <w:szCs w:val="28"/>
          <w14:ligatures w14:val="none"/>
        </w:rPr>
        <w:t>≤</w:t>
      </w:r>
      <w:r w:rsidRPr="000C589F">
        <w:rPr>
          <w:rFonts w:ascii="Simplified Arabic" w:eastAsia="Times New Roman" w:hAnsi="Simplified Arabic" w:cs="Simplified Arabic"/>
          <w:color w:val="000000" w:themeColor="text1"/>
          <w:kern w:val="0"/>
          <w:sz w:val="28"/>
          <w:szCs w:val="28"/>
          <w14:ligatures w14:val="none"/>
        </w:rPr>
        <w:t xml:space="preserve"> 0.05) </w:t>
      </w:r>
      <w:r w:rsidRPr="000C589F">
        <w:rPr>
          <w:rFonts w:ascii="Simplified Arabic" w:eastAsia="Times New Roman" w:hAnsi="Simplified Arabic" w:cs="Simplified Arabic"/>
          <w:color w:val="000000" w:themeColor="text1"/>
          <w:kern w:val="0"/>
          <w:sz w:val="28"/>
          <w:szCs w:val="28"/>
          <w:rtl/>
          <w14:ligatures w14:val="none"/>
        </w:rPr>
        <w:t>لإدارة تدفق المرضى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2CF3DA11" w14:textId="12D18446" w:rsidR="000361B5" w:rsidRPr="000C589F" w:rsidRDefault="000361B5" w:rsidP="000C589F">
      <w:pPr>
        <w:pStyle w:val="ListParagraph"/>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Cambria" w:eastAsia="Times New Roman" w:hAnsi="Cambria" w:cs="Cambria"/>
          <w:color w:val="000000" w:themeColor="text1"/>
          <w:kern w:val="0"/>
          <w:sz w:val="28"/>
          <w:szCs w:val="28"/>
          <w14:ligatures w14:val="none"/>
        </w:rPr>
        <w:t>α</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Times New Roman" w:eastAsia="Times New Roman" w:hAnsi="Times New Roman" w:cs="Times New Roman"/>
          <w:color w:val="000000" w:themeColor="text1"/>
          <w:kern w:val="0"/>
          <w:sz w:val="28"/>
          <w:szCs w:val="28"/>
          <w14:ligatures w14:val="none"/>
        </w:rPr>
        <w:t>≤</w:t>
      </w:r>
      <w:r w:rsidRPr="000C589F">
        <w:rPr>
          <w:rFonts w:ascii="Simplified Arabic" w:eastAsia="Times New Roman" w:hAnsi="Simplified Arabic" w:cs="Simplified Arabic"/>
          <w:color w:val="000000" w:themeColor="text1"/>
          <w:kern w:val="0"/>
          <w:sz w:val="28"/>
          <w:szCs w:val="28"/>
          <w14:ligatures w14:val="none"/>
        </w:rPr>
        <w:t xml:space="preserve"> 0.05) </w:t>
      </w:r>
      <w:r w:rsidRPr="000C589F">
        <w:rPr>
          <w:rFonts w:ascii="Simplified Arabic" w:eastAsia="Times New Roman" w:hAnsi="Simplified Arabic" w:cs="Simplified Arabic"/>
          <w:color w:val="000000" w:themeColor="text1"/>
          <w:kern w:val="0"/>
          <w:sz w:val="28"/>
          <w:szCs w:val="28"/>
          <w:rtl/>
          <w14:ligatures w14:val="none"/>
        </w:rPr>
        <w:t>للتنسيق بين الأقسام السريرية والإدارية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312C0EE5" w14:textId="74EB146F" w:rsidR="000361B5" w:rsidRPr="000C589F" w:rsidRDefault="000361B5" w:rsidP="000C589F">
      <w:pPr>
        <w:pStyle w:val="ListParagraph"/>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Cambria" w:eastAsia="Times New Roman" w:hAnsi="Cambria" w:cs="Cambria"/>
          <w:color w:val="000000" w:themeColor="text1"/>
          <w:kern w:val="0"/>
          <w:sz w:val="28"/>
          <w:szCs w:val="28"/>
          <w14:ligatures w14:val="none"/>
        </w:rPr>
        <w:t>α</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Times New Roman" w:eastAsia="Times New Roman" w:hAnsi="Times New Roman" w:cs="Times New Roman"/>
          <w:color w:val="000000" w:themeColor="text1"/>
          <w:kern w:val="0"/>
          <w:sz w:val="28"/>
          <w:szCs w:val="28"/>
          <w14:ligatures w14:val="none"/>
        </w:rPr>
        <w:t>≤</w:t>
      </w:r>
      <w:r w:rsidRPr="000C589F">
        <w:rPr>
          <w:rFonts w:ascii="Simplified Arabic" w:eastAsia="Times New Roman" w:hAnsi="Simplified Arabic" w:cs="Simplified Arabic"/>
          <w:color w:val="000000" w:themeColor="text1"/>
          <w:kern w:val="0"/>
          <w:sz w:val="28"/>
          <w:szCs w:val="28"/>
          <w14:ligatures w14:val="none"/>
        </w:rPr>
        <w:t xml:space="preserve"> 0.05) </w:t>
      </w:r>
      <w:r w:rsidRPr="000C589F">
        <w:rPr>
          <w:rFonts w:ascii="Simplified Arabic" w:eastAsia="Times New Roman" w:hAnsi="Simplified Arabic" w:cs="Simplified Arabic"/>
          <w:color w:val="000000" w:themeColor="text1"/>
          <w:kern w:val="0"/>
          <w:sz w:val="28"/>
          <w:szCs w:val="28"/>
          <w:rtl/>
          <w14:ligatures w14:val="none"/>
        </w:rPr>
        <w:t>لاستخدام الأنظمة الرقمية لإدارة الأسرّة على خفض إلغاءات العمليات الجراحية وزيادة عدد العمليات المنجزة يومياً في المستشفيات الحكومية</w:t>
      </w:r>
      <w:r w:rsidRPr="000C589F">
        <w:rPr>
          <w:rFonts w:ascii="Simplified Arabic" w:eastAsia="Times New Roman" w:hAnsi="Simplified Arabic" w:cs="Simplified Arabic"/>
          <w:color w:val="000000" w:themeColor="text1"/>
          <w:kern w:val="0"/>
          <w:sz w:val="28"/>
          <w:szCs w:val="28"/>
          <w14:ligatures w14:val="none"/>
        </w:rPr>
        <w:t>.</w:t>
      </w:r>
    </w:p>
    <w:p w14:paraId="7D27F605" w14:textId="77777777" w:rsidR="000C589F" w:rsidRPr="000C589F" w:rsidRDefault="000C589F" w:rsidP="000C589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69790501"/>
      <w:bookmarkStart w:id="16" w:name="_Toc233411391"/>
      <w:bookmarkEnd w:id="8"/>
      <w:r w:rsidRPr="000C589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01160872" w14:textId="77777777" w:rsidR="000C589F" w:rsidRPr="000C589F" w:rsidRDefault="000C589F" w:rsidP="000C589F">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0C589F">
        <w:rPr>
          <w:rFonts w:ascii="Simplified Arabic" w:eastAsia="Times New Roman" w:hAnsi="Simplified Arabic" w:cs="Simplified Arabic"/>
          <w:b/>
          <w:bCs/>
          <w:color w:val="000000" w:themeColor="text1"/>
          <w:kern w:val="0"/>
          <w:sz w:val="32"/>
          <w:szCs w:val="32"/>
          <w:rtl/>
          <w14:ligatures w14:val="none"/>
        </w:rPr>
        <w:t>المحور الأول: دراسات المتغيّر المستقل (إدارة السعة السريرية) وعلاقته بمتغيرات أخرى</w:t>
      </w:r>
    </w:p>
    <w:p w14:paraId="7E90E74C" w14:textId="454E9CCF" w:rsidR="000C589F" w:rsidRPr="000C589F" w:rsidRDefault="000C589F"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0C589F">
        <w:rPr>
          <w:rFonts w:ascii="Simplified Arabic" w:eastAsia="Times New Roman" w:hAnsi="Simplified Arabic" w:cs="Simplified Arabic"/>
          <w:b/>
          <w:bCs/>
          <w:color w:val="000000" w:themeColor="text1"/>
          <w:kern w:val="0"/>
          <w:sz w:val="28"/>
          <w:szCs w:val="28"/>
          <w:rtl/>
          <w14:ligatures w14:val="none"/>
        </w:rPr>
        <w:t>الدراسات العربية</w:t>
      </w:r>
    </w:p>
    <w:p w14:paraId="26D280C7"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McGowan et al. (2007): "Operating Room Efficiency and Hospital Capacity: Factors Affecting Operating Room Use During Maximum Hospital Census"</w:t>
      </w:r>
    </w:p>
    <w:p w14:paraId="11A5F5C7" w14:textId="5A19B54D"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إدارة سعة المستشفى بأبعادها (التواصل اليومي، تخطيط الأسرّة، برنامج الخروج قبل الظهيرة، التوظيف الداخلي، وحدة انتقال المرضى، الحوافز، خدمات التنظيف المعجّلة) على كفاءة غرف العمليات في فترات الإشغال القصوى في مستشفى جامعة فرجينيا، الولايات المتحدة. واستخدمت الدراسة المنهج شبه التجريبي (قبل/بعد) مع نهج متعدد التخصصات. وتكوّنت العينة من جميع البيانات التشغيلية لغرف العمليات والأسرّة خلال الفترة من 2004 إلى 2006 حين كان المستشفى يعمل بنسب إشغال 87%–95%. وتوصلت نتائج الدراسة إلى زيادة حجم مرضى غرف العمليات بنسبة 8%، وانخفاض حالات الاحتجاز في غرف العمليات بنسبة </w:t>
      </w:r>
      <w:r w:rsidRPr="000C589F">
        <w:rPr>
          <w:rFonts w:ascii="Simplified Arabic" w:eastAsia="Times New Roman" w:hAnsi="Simplified Arabic" w:cs="Simplified Arabic"/>
          <w:color w:val="000000" w:themeColor="text1"/>
          <w:kern w:val="0"/>
          <w:sz w:val="28"/>
          <w:szCs w:val="28"/>
          <w14:ligatures w14:val="none"/>
        </w:rPr>
        <w:t>37%</w:t>
      </w:r>
      <w:r w:rsidRPr="000C589F">
        <w:rPr>
          <w:rFonts w:ascii="Simplified Arabic" w:eastAsia="Times New Roman" w:hAnsi="Simplified Arabic" w:cs="Simplified Arabic"/>
          <w:color w:val="000000" w:themeColor="text1"/>
          <w:kern w:val="0"/>
          <w:sz w:val="28"/>
          <w:szCs w:val="28"/>
          <w:rtl/>
          <w14:ligatures w14:val="none"/>
        </w:rPr>
        <w:t>، وانخفاض معدل إلغاء العمليات من 4.3% إلى 3.1%. وأوصت الدراسة بتبنّي مقاربة متعددة التخصصات تجمع بين إدارة الأسرّة وتحسين تدفق المرضى وتحفيز الموظفين</w:t>
      </w:r>
      <w:r w:rsidRPr="000C589F">
        <w:rPr>
          <w:rFonts w:ascii="Simplified Arabic" w:eastAsia="Times New Roman" w:hAnsi="Simplified Arabic" w:cs="Simplified Arabic"/>
          <w:color w:val="000000" w:themeColor="text1"/>
          <w:kern w:val="0"/>
          <w:sz w:val="28"/>
          <w:szCs w:val="28"/>
          <w14:ligatures w14:val="none"/>
        </w:rPr>
        <w:t>.</w:t>
      </w:r>
    </w:p>
    <w:p w14:paraId="23FF2F72"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تقرير وزارة الصحة السعودية</w:t>
      </w:r>
      <w:r w:rsidRPr="000C589F">
        <w:rPr>
          <w:rFonts w:ascii="Simplified Arabic" w:eastAsia="Times New Roman" w:hAnsi="Simplified Arabic" w:cs="Simplified Arabic"/>
          <w:b/>
          <w:bCs/>
          <w:color w:val="000000" w:themeColor="text1"/>
          <w:kern w:val="0"/>
          <w:sz w:val="28"/>
          <w:szCs w:val="28"/>
          <w14:ligatures w14:val="none"/>
        </w:rPr>
        <w:t xml:space="preserve"> (2012): "</w:t>
      </w:r>
      <w:r w:rsidRPr="000C589F">
        <w:rPr>
          <w:rFonts w:ascii="Simplified Arabic" w:eastAsia="Times New Roman" w:hAnsi="Simplified Arabic" w:cs="Simplified Arabic"/>
          <w:b/>
          <w:bCs/>
          <w:color w:val="000000" w:themeColor="text1"/>
          <w:kern w:val="0"/>
          <w:sz w:val="28"/>
          <w:szCs w:val="28"/>
          <w:rtl/>
          <w14:ligatures w14:val="none"/>
        </w:rPr>
        <w:t>خطة وزارة الصحة لمعدل دوران الأسرّة في مستشفياتها</w:t>
      </w:r>
      <w:r w:rsidRPr="000C589F">
        <w:rPr>
          <w:rFonts w:ascii="Simplified Arabic" w:eastAsia="Times New Roman" w:hAnsi="Simplified Arabic" w:cs="Simplified Arabic"/>
          <w:b/>
          <w:bCs/>
          <w:color w:val="000000" w:themeColor="text1"/>
          <w:kern w:val="0"/>
          <w:sz w:val="28"/>
          <w:szCs w:val="28"/>
          <w14:ligatures w14:val="none"/>
        </w:rPr>
        <w:t>"</w:t>
      </w:r>
    </w:p>
    <w:p w14:paraId="05F1B025" w14:textId="2D97EF9C"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هدف التقرير إلى التعرف على واقع معدلات دوران الأسرّة بأبعاده (معدل دوران السرير الشهري، متوسط فترة الإقامة، نسبة الإشغال) على كفاءة مستشفيات وزارة الصحة في المملكة العربية السعودية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واستخدم التقرير المنهج الوصفي الإحصائي. وتكوّنت البيانات من إحصاءات جميع مستشفيات وزارة الصحة على مستوى المملكة. وتوصلت النتائج إلى أن معدل دوران الأسرّة بلغ 3.6 دورة شهرياً للمستشفيات ذات 500 سرير فأكثر، و2.81 دورة شهرياً للمستشفيات الأخرى. وأوصى التقرير بوضع خطط تشغيلية لرفع معدل الدوران وتحسين إدارة عمليات الخروج وتسريع تجهيز الأسرّة</w:t>
      </w:r>
      <w:r w:rsidRPr="000C589F">
        <w:rPr>
          <w:rFonts w:ascii="Simplified Arabic" w:eastAsia="Times New Roman" w:hAnsi="Simplified Arabic" w:cs="Simplified Arabic"/>
          <w:color w:val="000000" w:themeColor="text1"/>
          <w:kern w:val="0"/>
          <w:sz w:val="28"/>
          <w:szCs w:val="28"/>
          <w14:ligatures w14:val="none"/>
        </w:rPr>
        <w:t>.</w:t>
      </w:r>
    </w:p>
    <w:p w14:paraId="33474625"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 الفراج</w:t>
      </w:r>
      <w:r w:rsidRPr="000C589F">
        <w:rPr>
          <w:rFonts w:ascii="Simplified Arabic" w:eastAsia="Times New Roman" w:hAnsi="Simplified Arabic" w:cs="Simplified Arabic"/>
          <w:b/>
          <w:bCs/>
          <w:color w:val="000000" w:themeColor="text1"/>
          <w:kern w:val="0"/>
          <w:sz w:val="28"/>
          <w:szCs w:val="28"/>
          <w14:ligatures w14:val="none"/>
        </w:rPr>
        <w:t xml:space="preserve"> (2016): "</w:t>
      </w:r>
      <w:r w:rsidRPr="000C589F">
        <w:rPr>
          <w:rFonts w:ascii="Simplified Arabic" w:eastAsia="Times New Roman" w:hAnsi="Simplified Arabic" w:cs="Simplified Arabic"/>
          <w:b/>
          <w:bCs/>
          <w:color w:val="000000" w:themeColor="text1"/>
          <w:kern w:val="0"/>
          <w:sz w:val="28"/>
          <w:szCs w:val="28"/>
          <w:rtl/>
          <w14:ligatures w14:val="none"/>
        </w:rPr>
        <w:t>قياس كفاءة تشغيل الأسرّة في المستشفى: دراسة تطبيقية باستخدام مخطط</w:t>
      </w:r>
      <w:r w:rsidRPr="000C589F">
        <w:rPr>
          <w:rFonts w:ascii="Simplified Arabic" w:eastAsia="Times New Roman" w:hAnsi="Simplified Arabic" w:cs="Simplified Arabic"/>
          <w:b/>
          <w:bCs/>
          <w:color w:val="000000" w:themeColor="text1"/>
          <w:kern w:val="0"/>
          <w:sz w:val="28"/>
          <w:szCs w:val="28"/>
          <w14:ligatures w14:val="none"/>
        </w:rPr>
        <w:t xml:space="preserve"> Barber"</w:t>
      </w:r>
    </w:p>
    <w:p w14:paraId="0785CE48" w14:textId="44C60944"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درجة كفاءة تشغيل المستشفى لمواردها بأبعادها (معدل إشغال الأسرّة، متوسط أيام المكوث، معدل خلو السرير، معدل دوران السرير) على الأداء التشغيلي لقسم الأمراض الداخلية في عدة مستشفيات ضمن مدينة دمشق، سوريا. واستخدمت الدراسة المنهج الوصفي التحليلي بالاستناد إلى نموذج</w:t>
      </w:r>
      <w:r w:rsidRPr="000C589F">
        <w:rPr>
          <w:rFonts w:ascii="Simplified Arabic" w:eastAsia="Times New Roman" w:hAnsi="Simplified Arabic" w:cs="Simplified Arabic"/>
          <w:color w:val="000000" w:themeColor="text1"/>
          <w:kern w:val="0"/>
          <w:sz w:val="28"/>
          <w:szCs w:val="28"/>
          <w14:ligatures w14:val="none"/>
        </w:rPr>
        <w:t xml:space="preserve"> Bary-Barber. </w:t>
      </w:r>
      <w:r w:rsidRPr="000C589F">
        <w:rPr>
          <w:rFonts w:ascii="Simplified Arabic" w:eastAsia="Times New Roman" w:hAnsi="Simplified Arabic" w:cs="Simplified Arabic"/>
          <w:color w:val="000000" w:themeColor="text1"/>
          <w:kern w:val="0"/>
          <w:sz w:val="28"/>
          <w:szCs w:val="28"/>
          <w:rtl/>
          <w14:ligatures w14:val="none"/>
        </w:rPr>
        <w:t xml:space="preserve">وتكوّنت العينة من بيانات السجلات والتقارير الإحصائية الداخلية لعدة مستشفيات في دمشق عن عامَي 2013 و2014. وتوصلت نتائج الدراسة إلى أن تحديد قيمة مسبقة لمعدل دوران السرير كهدف يُراد الوصول إليه يعزّز من إمكانية تحقيق توازن بين مؤشرات الكفاءة الأربعة، كما أن المحافظة على ثبات معدل إشغال الأسرّة فقط يؤدي إلى زيادة في متوسط مدة </w:t>
      </w:r>
      <w:r w:rsidRPr="000C589F">
        <w:rPr>
          <w:rFonts w:ascii="Simplified Arabic" w:eastAsia="Times New Roman" w:hAnsi="Simplified Arabic" w:cs="Simplified Arabic"/>
          <w:color w:val="000000" w:themeColor="text1"/>
          <w:kern w:val="0"/>
          <w:sz w:val="28"/>
          <w:szCs w:val="28"/>
          <w:rtl/>
          <w14:ligatures w14:val="none"/>
        </w:rPr>
        <w:lastRenderedPageBreak/>
        <w:t>المكوث ومعدل خلو السرير ومعدل الدوران. وأوصت الدراسة باستخدام مخطط</w:t>
      </w:r>
      <w:r w:rsidRPr="000C589F">
        <w:rPr>
          <w:rFonts w:ascii="Simplified Arabic" w:eastAsia="Times New Roman" w:hAnsi="Simplified Arabic" w:cs="Simplified Arabic"/>
          <w:color w:val="000000" w:themeColor="text1"/>
          <w:kern w:val="0"/>
          <w:sz w:val="28"/>
          <w:szCs w:val="28"/>
          <w14:ligatures w14:val="none"/>
        </w:rPr>
        <w:t xml:space="preserve"> Barber </w:t>
      </w:r>
      <w:r w:rsidRPr="000C589F">
        <w:rPr>
          <w:rFonts w:ascii="Simplified Arabic" w:eastAsia="Times New Roman" w:hAnsi="Simplified Arabic" w:cs="Simplified Arabic"/>
          <w:color w:val="000000" w:themeColor="text1"/>
          <w:kern w:val="0"/>
          <w:sz w:val="28"/>
          <w:szCs w:val="28"/>
          <w:rtl/>
          <w14:ligatures w14:val="none"/>
        </w:rPr>
        <w:t>كأداة تقييم دورية لكفاءة تشغيل الأسرّة واعتماد معدل الدوران كمؤشر مستهدف في التخطيط الاستراتيجي للمستشفيات</w:t>
      </w:r>
      <w:r w:rsidRPr="000C589F">
        <w:rPr>
          <w:rFonts w:ascii="Simplified Arabic" w:eastAsia="Times New Roman" w:hAnsi="Simplified Arabic" w:cs="Simplified Arabic"/>
          <w:color w:val="000000" w:themeColor="text1"/>
          <w:kern w:val="0"/>
          <w:sz w:val="28"/>
          <w:szCs w:val="28"/>
          <w14:ligatures w14:val="none"/>
        </w:rPr>
        <w:t>.</w:t>
      </w:r>
    </w:p>
    <w:p w14:paraId="0206D417"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Brendel (2021): "Optimizing Operating Room Throughput"</w:t>
      </w:r>
    </w:p>
    <w:p w14:paraId="110B8555" w14:textId="248AF4FE"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عملية موحّدة لإدارة تدفق الأسرّة بأبعادها (تعيين مدير مخصص لتدفق الأسرّة الجراحية، توحيد إجراءات انتقال الرعاية، تقليل التأخيرات المحيطة بالعمليات) على تحسين معدل الإنتاجية في غرف العمليات والمؤشرات المالية للمستشفى. واستخدمت الدراسة منهج مشروع تحسين الجودة</w:t>
      </w:r>
      <w:r w:rsidRPr="000C589F">
        <w:rPr>
          <w:rFonts w:ascii="Simplified Arabic" w:eastAsia="Times New Roman" w:hAnsi="Simplified Arabic" w:cs="Simplified Arabic"/>
          <w:color w:val="000000" w:themeColor="text1"/>
          <w:kern w:val="0"/>
          <w:sz w:val="28"/>
          <w:szCs w:val="28"/>
          <w14:ligatures w14:val="none"/>
        </w:rPr>
        <w:t xml:space="preserve"> (DNP Scholarly Project). </w:t>
      </w:r>
      <w:r w:rsidRPr="000C589F">
        <w:rPr>
          <w:rFonts w:ascii="Simplified Arabic" w:eastAsia="Times New Roman" w:hAnsi="Simplified Arabic" w:cs="Simplified Arabic"/>
          <w:color w:val="000000" w:themeColor="text1"/>
          <w:kern w:val="0"/>
          <w:sz w:val="28"/>
          <w:szCs w:val="28"/>
          <w:rtl/>
          <w14:ligatures w14:val="none"/>
        </w:rPr>
        <w:t>وتكوّنت العينة من بيانات مرضى غرف العمليات الذين يحتاجون إلى دخول كمرضى داخليين خلال فترة ثلاثة أشهر في أحد المستشفيات بالولايات المتحدة. وتوصلت نتائج الدراسة إلى أن النتائج لم تحقق دلالة إحصائية لكنها أظهرت أهمية إكلينيكية حيث تمكّن المستشفى من تعظيم السعة والإنتاجية حتى خلال جائحة كوفيد-19. وأوصت الدراسة بضرورة تعيين مدير مخصص لتدفق الأسرّة الجراحية كعنصر أساسي لتحسين وتوحيد عمليات الإنتاجية المحيطة بالعمليات</w:t>
      </w:r>
      <w:r w:rsidRPr="000C589F">
        <w:rPr>
          <w:rFonts w:ascii="Simplified Arabic" w:eastAsia="Times New Roman" w:hAnsi="Simplified Arabic" w:cs="Simplified Arabic"/>
          <w:color w:val="000000" w:themeColor="text1"/>
          <w:kern w:val="0"/>
          <w:sz w:val="28"/>
          <w:szCs w:val="28"/>
          <w14:ligatures w14:val="none"/>
        </w:rPr>
        <w:t>.</w:t>
      </w:r>
    </w:p>
    <w:p w14:paraId="0D993148"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Kim &amp; Oh (2024): "Optimizing Hospital Bed Capacity and Resource Allocation Using Inflow and Outflow Indices for Effective Healthcare Management"</w:t>
      </w:r>
    </w:p>
    <w:p w14:paraId="2250B76A" w14:textId="0C9E77EB" w:rsidR="000C589F" w:rsidRPr="000C589F" w:rsidRDefault="000C589F" w:rsidP="000C589F">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أثر التوزيع الوظيفي للأسرّة بأبعاده (مؤشر الصلة</w:t>
      </w:r>
      <w:r w:rsidRPr="000C589F">
        <w:rPr>
          <w:rFonts w:ascii="Simplified Arabic" w:eastAsia="Times New Roman" w:hAnsi="Simplified Arabic" w:cs="Simplified Arabic"/>
          <w:color w:val="000000" w:themeColor="text1"/>
          <w:kern w:val="0"/>
          <w:sz w:val="28"/>
          <w:szCs w:val="28"/>
          <w14:ligatures w14:val="none"/>
        </w:rPr>
        <w:t xml:space="preserve"> RI</w:t>
      </w:r>
      <w:r w:rsidRPr="000C589F">
        <w:rPr>
          <w:rFonts w:ascii="Simplified Arabic" w:eastAsia="Times New Roman" w:hAnsi="Simplified Arabic" w:cs="Simplified Arabic"/>
          <w:color w:val="000000" w:themeColor="text1"/>
          <w:kern w:val="0"/>
          <w:sz w:val="28"/>
          <w:szCs w:val="28"/>
          <w:rtl/>
          <w14:ligatures w14:val="none"/>
        </w:rPr>
        <w:t>، مؤشر الالتزام</w:t>
      </w:r>
      <w:r w:rsidRPr="000C589F">
        <w:rPr>
          <w:rFonts w:ascii="Simplified Arabic" w:eastAsia="Times New Roman" w:hAnsi="Simplified Arabic" w:cs="Simplified Arabic"/>
          <w:color w:val="000000" w:themeColor="text1"/>
          <w:kern w:val="0"/>
          <w:sz w:val="28"/>
          <w:szCs w:val="28"/>
          <w14:ligatures w14:val="none"/>
        </w:rPr>
        <w:t xml:space="preserve"> CI</w:t>
      </w:r>
      <w:r w:rsidRPr="000C589F">
        <w:rPr>
          <w:rFonts w:ascii="Simplified Arabic" w:eastAsia="Times New Roman" w:hAnsi="Simplified Arabic" w:cs="Simplified Arabic"/>
          <w:color w:val="000000" w:themeColor="text1"/>
          <w:kern w:val="0"/>
          <w:sz w:val="28"/>
          <w:szCs w:val="28"/>
          <w:rtl/>
          <w14:ligatures w14:val="none"/>
        </w:rPr>
        <w:t xml:space="preserve">، مؤشر التدفق الداخلي والخارجي) على كفاءة تخصيص الموارد الصحية في مستشفيات مدينة سيول، كوريا الجنوبية. واستخدمت الدراسة المنهج الوصفي التحليلي بالاعتماد على بيانات الكتاب الإحصائي السنوي لاستخدام الخدمات الطبية حسب المنطقة لعام </w:t>
      </w:r>
      <w:r w:rsidRPr="000C589F">
        <w:rPr>
          <w:rFonts w:ascii="Simplified Arabic" w:eastAsia="Times New Roman" w:hAnsi="Simplified Arabic" w:cs="Simplified Arabic"/>
          <w:color w:val="000000" w:themeColor="text1"/>
          <w:kern w:val="0"/>
          <w:sz w:val="28"/>
          <w:szCs w:val="28"/>
          <w14:ligatures w14:val="none"/>
        </w:rPr>
        <w:t xml:space="preserve">2019. </w:t>
      </w:r>
      <w:r w:rsidRPr="000C589F">
        <w:rPr>
          <w:rFonts w:ascii="Simplified Arabic" w:eastAsia="Times New Roman" w:hAnsi="Simplified Arabic" w:cs="Simplified Arabic"/>
          <w:color w:val="000000" w:themeColor="text1"/>
          <w:kern w:val="0"/>
          <w:sz w:val="28"/>
          <w:szCs w:val="28"/>
          <w:rtl/>
          <w14:ligatures w14:val="none"/>
        </w:rPr>
        <w:t>وتكوّنت العينة من بيانات جميع المنشآت الصحية في سيول (13 مستشفى إحالة من المستوى الثالث، 44 مستشفى عام، 228 مستشفى، 124 مستشفى رعاية طويلة الأمد). وتوصلت نتائج الدراسة إلى أن مستشفيات الإحالة سجلت أعلى مؤشر صلة (94.74%)، وأدنى مؤشر التزام (52.29%)، مما يعني تدفقاً داخلياً عالياً من مناطق أخرى، بينما أظهرت مستشفيات الرعاية طويلة الأمد نقصاً في الاستغلال. وأوصت الدراسة بضرورة إعادة التوزيع الاستراتيجي للأسرّة حسب الوظيفة خاصة أسرّة العناية المركزة في المناطق المحرومة</w:t>
      </w:r>
      <w:r w:rsidRPr="000C589F">
        <w:rPr>
          <w:rFonts w:ascii="Simplified Arabic" w:eastAsia="Times New Roman" w:hAnsi="Simplified Arabic" w:cs="Simplified Arabic"/>
          <w:color w:val="000000" w:themeColor="text1"/>
          <w:kern w:val="0"/>
          <w:sz w:val="28"/>
          <w:szCs w:val="28"/>
          <w14:ligatures w14:val="none"/>
        </w:rPr>
        <w:t>.</w:t>
      </w:r>
    </w:p>
    <w:p w14:paraId="7416EEFD" w14:textId="77777777"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lastRenderedPageBreak/>
        <w:t>دراسة آل جعرة</w:t>
      </w:r>
      <w:r w:rsidRPr="000C589F">
        <w:rPr>
          <w:rFonts w:ascii="Simplified Arabic" w:eastAsia="Times New Roman" w:hAnsi="Simplified Arabic" w:cs="Simplified Arabic"/>
          <w:b/>
          <w:bCs/>
          <w:color w:val="000000" w:themeColor="text1"/>
          <w:kern w:val="0"/>
          <w:sz w:val="28"/>
          <w:szCs w:val="28"/>
          <w14:ligatures w14:val="none"/>
        </w:rPr>
        <w:t xml:space="preserve"> (2025): "</w:t>
      </w:r>
      <w:r w:rsidRPr="000C589F">
        <w:rPr>
          <w:rFonts w:ascii="Simplified Arabic" w:eastAsia="Times New Roman" w:hAnsi="Simplified Arabic" w:cs="Simplified Arabic"/>
          <w:b/>
          <w:bCs/>
          <w:color w:val="000000" w:themeColor="text1"/>
          <w:kern w:val="0"/>
          <w:sz w:val="28"/>
          <w:szCs w:val="28"/>
          <w:rtl/>
          <w14:ligatures w14:val="none"/>
        </w:rPr>
        <w:t>دراسة تحليلية لمعوقات تطبيق إدارة التنسيق والأسرّة بالقطاع الصحي السعودي من وجهة نظر العاملين في مستشفيات جازان</w:t>
      </w:r>
      <w:r w:rsidRPr="000C589F">
        <w:rPr>
          <w:rFonts w:ascii="Simplified Arabic" w:eastAsia="Times New Roman" w:hAnsi="Simplified Arabic" w:cs="Simplified Arabic"/>
          <w:b/>
          <w:bCs/>
          <w:color w:val="000000" w:themeColor="text1"/>
          <w:kern w:val="0"/>
          <w:sz w:val="28"/>
          <w:szCs w:val="28"/>
          <w14:ligatures w14:val="none"/>
        </w:rPr>
        <w:t>"</w:t>
      </w:r>
    </w:p>
    <w:p w14:paraId="2EDB685B" w14:textId="77777777" w:rsidR="000361B5" w:rsidRPr="000C589F" w:rsidRDefault="000361B5" w:rsidP="000C589F">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معوقات تطبيق إدارة التنسيق والأسرّة بالقطاع الصحي السعودي بأبعادها (المعوقات الإدارية، المعوقات التقنية، المعوقات البشرية) على كفاءة تقديم الخدمة في مستشفيات جازان بالمملكة العربية السعودية. واستخدمت الدراسة المنهج الوصفي التحليلي، واعتمدت على الاستبانة كأداة رئيسية، وتم تحليل البيانات بواسطة برنامج</w:t>
      </w:r>
      <w:r w:rsidRPr="000C589F">
        <w:rPr>
          <w:rFonts w:ascii="Simplified Arabic" w:eastAsia="Times New Roman" w:hAnsi="Simplified Arabic" w:cs="Simplified Arabic"/>
          <w:color w:val="000000" w:themeColor="text1"/>
          <w:kern w:val="0"/>
          <w:sz w:val="28"/>
          <w:szCs w:val="28"/>
          <w14:ligatures w14:val="none"/>
        </w:rPr>
        <w:t xml:space="preserve"> SPSS. </w:t>
      </w:r>
      <w:r w:rsidRPr="000C589F">
        <w:rPr>
          <w:rFonts w:ascii="Simplified Arabic" w:eastAsia="Times New Roman" w:hAnsi="Simplified Arabic" w:cs="Simplified Arabic"/>
          <w:color w:val="000000" w:themeColor="text1"/>
          <w:kern w:val="0"/>
          <w:sz w:val="28"/>
          <w:szCs w:val="28"/>
          <w:rtl/>
          <w14:ligatures w14:val="none"/>
        </w:rPr>
        <w:t>وتكوّنت العينة من (89) مفردة من العاملين في مستشفيات جازان تم اختيارهم بأسلوب العينة العشوائية من مجتمع بلغ (116) موظفاً. وتوصلت نتائج الدراسة إلى وجود مستوى مرتفع للمعوقات الإدارية لتطبيق إدارة التنسيق والأسرّة، ومستوى متوسط لكلٍّ من المعوقات التقنية والبشرية، وعدم وجود فروق ذات دلالة إحصائية تُعزى للمتغيرات الديموغرافية (النوع، العمر، المستوى التعليمي، سنوات الخبرة). وأوصت الدراسة بإطلاق حملات توعوية دورية وورش عمل لتعزيز فهم الموظفين لمفهوم إدارة التنسيق والأسرّة، وزيادة الاستثمار في التدريب على التقنيات الطبية الحديثة، وتخصيص ميزانيات إضافية لتحديث البنية التحتية التقنية</w:t>
      </w:r>
      <w:r w:rsidRPr="000C589F">
        <w:rPr>
          <w:rFonts w:ascii="Simplified Arabic" w:eastAsia="Times New Roman" w:hAnsi="Simplified Arabic" w:cs="Simplified Arabic"/>
          <w:color w:val="000000" w:themeColor="text1"/>
          <w:kern w:val="0"/>
          <w:sz w:val="28"/>
          <w:szCs w:val="28"/>
          <w14:ligatures w14:val="none"/>
        </w:rPr>
        <w:t>.</w:t>
      </w:r>
    </w:p>
    <w:p w14:paraId="2DE32312" w14:textId="77777777"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Altavilla (2026): "The Impact of Bed Management Models on Hospital Performance and Patient Flow: A Systematic Review"</w:t>
      </w:r>
    </w:p>
    <w:p w14:paraId="134696F5" w14:textId="1383734B"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أثر نماذج إدارة الأسرّة بأبعادها (دور مدير الأسرّة، فرق إدارة الأسرّة، الأنظمة الرقمية المركزية) على أداء المستشفى وتدفق المرضى. واستخدمت الدراسة منهج المراجعة المنهجية وفق إرشادات</w:t>
      </w:r>
      <w:r w:rsidRPr="000C589F">
        <w:rPr>
          <w:rFonts w:ascii="Simplified Arabic" w:eastAsia="Times New Roman" w:hAnsi="Simplified Arabic" w:cs="Simplified Arabic"/>
          <w:color w:val="000000" w:themeColor="text1"/>
          <w:kern w:val="0"/>
          <w:sz w:val="28"/>
          <w:szCs w:val="28"/>
          <w14:ligatures w14:val="none"/>
        </w:rPr>
        <w:t xml:space="preserve"> PRISMA 2020</w:t>
      </w:r>
      <w:r w:rsidRPr="000C589F">
        <w:rPr>
          <w:rFonts w:ascii="Simplified Arabic" w:eastAsia="Times New Roman" w:hAnsi="Simplified Arabic" w:cs="Simplified Arabic"/>
          <w:color w:val="000000" w:themeColor="text1"/>
          <w:kern w:val="0"/>
          <w:sz w:val="28"/>
          <w:szCs w:val="28"/>
          <w:rtl/>
          <w14:ligatures w14:val="none"/>
        </w:rPr>
        <w:t>، حيث تم البحث في قواعد</w:t>
      </w:r>
      <w:r w:rsidRPr="000C589F">
        <w:rPr>
          <w:rFonts w:ascii="Simplified Arabic" w:eastAsia="Times New Roman" w:hAnsi="Simplified Arabic" w:cs="Simplified Arabic"/>
          <w:color w:val="000000" w:themeColor="text1"/>
          <w:kern w:val="0"/>
          <w:sz w:val="28"/>
          <w:szCs w:val="28"/>
          <w14:ligatures w14:val="none"/>
        </w:rPr>
        <w:t xml:space="preserve"> PubMed </w:t>
      </w:r>
      <w:r w:rsidRPr="000C589F">
        <w:rPr>
          <w:rFonts w:ascii="Simplified Arabic" w:eastAsia="Times New Roman" w:hAnsi="Simplified Arabic" w:cs="Simplified Arabic"/>
          <w:color w:val="000000" w:themeColor="text1"/>
          <w:kern w:val="0"/>
          <w:sz w:val="28"/>
          <w:szCs w:val="28"/>
          <w:rtl/>
          <w14:ligatures w14:val="none"/>
        </w:rPr>
        <w:t>و</w:t>
      </w:r>
      <w:r w:rsidRPr="000C589F">
        <w:rPr>
          <w:rFonts w:ascii="Simplified Arabic" w:eastAsia="Times New Roman" w:hAnsi="Simplified Arabic" w:cs="Simplified Arabic"/>
          <w:color w:val="000000" w:themeColor="text1"/>
          <w:kern w:val="0"/>
          <w:sz w:val="28"/>
          <w:szCs w:val="28"/>
          <w14:ligatures w14:val="none"/>
        </w:rPr>
        <w:t xml:space="preserve">CINAHL </w:t>
      </w:r>
      <w:r w:rsidRPr="000C589F">
        <w:rPr>
          <w:rFonts w:ascii="Simplified Arabic" w:eastAsia="Times New Roman" w:hAnsi="Simplified Arabic" w:cs="Simplified Arabic"/>
          <w:color w:val="000000" w:themeColor="text1"/>
          <w:kern w:val="0"/>
          <w:sz w:val="28"/>
          <w:szCs w:val="28"/>
          <w:rtl/>
          <w14:ligatures w14:val="none"/>
        </w:rPr>
        <w:t>و</w:t>
      </w:r>
      <w:r w:rsidRPr="000C589F">
        <w:rPr>
          <w:rFonts w:ascii="Simplified Arabic" w:eastAsia="Times New Roman" w:hAnsi="Simplified Arabic" w:cs="Simplified Arabic"/>
          <w:color w:val="000000" w:themeColor="text1"/>
          <w:kern w:val="0"/>
          <w:sz w:val="28"/>
          <w:szCs w:val="28"/>
          <w14:ligatures w14:val="none"/>
        </w:rPr>
        <w:t xml:space="preserve">Scopus </w:t>
      </w:r>
      <w:r w:rsidRPr="000C589F">
        <w:rPr>
          <w:rFonts w:ascii="Simplified Arabic" w:eastAsia="Times New Roman" w:hAnsi="Simplified Arabic" w:cs="Simplified Arabic"/>
          <w:color w:val="000000" w:themeColor="text1"/>
          <w:kern w:val="0"/>
          <w:sz w:val="28"/>
          <w:szCs w:val="28"/>
          <w:rtl/>
          <w14:ligatures w14:val="none"/>
        </w:rPr>
        <w:t>عن الدراسات المنشورة بالإنجليزية والإيطالية (2005–2025). وتكوّنت العينة من (7) دراسات مؤهلة، معظمها رصدية بتصميم قبل/بعد. وتوصلت نتائج الدراسة إلى أن مدة الإقامة في الطوارئ انخفضت بمقدار يصل إلى 98 دقيقة، وأن مدير التدفق/الأسرّة ساعد في استيعاب زيادة 22% في حالات الدخول العاجلة دون زيادة متوسط مدة الإقامة، كما خفّضت الأنظمة الرقمية المركزية زمن تجهيز السرير من 111 إلى 49 دقيقة، وأن فريق أسرّة مدعوم بنظام</w:t>
      </w:r>
      <w:r w:rsidRPr="000C589F">
        <w:rPr>
          <w:rFonts w:ascii="Simplified Arabic" w:eastAsia="Times New Roman" w:hAnsi="Simplified Arabic" w:cs="Simplified Arabic"/>
          <w:color w:val="000000" w:themeColor="text1"/>
          <w:kern w:val="0"/>
          <w:sz w:val="28"/>
          <w:szCs w:val="28"/>
          <w14:ligatures w14:val="none"/>
        </w:rPr>
        <w:t xml:space="preserve"> Kanban </w:t>
      </w:r>
      <w:r w:rsidRPr="000C589F">
        <w:rPr>
          <w:rFonts w:ascii="Simplified Arabic" w:eastAsia="Times New Roman" w:hAnsi="Simplified Arabic" w:cs="Simplified Arabic"/>
          <w:color w:val="000000" w:themeColor="text1"/>
          <w:kern w:val="0"/>
          <w:sz w:val="28"/>
          <w:szCs w:val="28"/>
          <w:rtl/>
          <w14:ligatures w14:val="none"/>
        </w:rPr>
        <w:t>خفّض مدة الإقامة الكلية من 5.6 إلى 4.9 يوم. وأوصت الدراسة بإجراء تقييمات متعددة المراكز بمؤشرات أداء موحّدة ومقاييس سلامة لتعزيز جودة الأدلة</w:t>
      </w:r>
      <w:r w:rsidRPr="000C589F">
        <w:rPr>
          <w:rFonts w:ascii="Simplified Arabic" w:eastAsia="Times New Roman" w:hAnsi="Simplified Arabic" w:cs="Simplified Arabic"/>
          <w:color w:val="000000" w:themeColor="text1"/>
          <w:kern w:val="0"/>
          <w:sz w:val="28"/>
          <w:szCs w:val="28"/>
          <w14:ligatures w14:val="none"/>
        </w:rPr>
        <w:t>.</w:t>
      </w:r>
    </w:p>
    <w:p w14:paraId="7C00FC74" w14:textId="2EB3420F" w:rsidR="000361B5" w:rsidRPr="000C589F" w:rsidRDefault="000361B5" w:rsidP="000C589F">
      <w:pPr>
        <w:tabs>
          <w:tab w:val="right" w:pos="6094"/>
        </w:tabs>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409276"/>
      <w:r w:rsidRPr="000C589F">
        <w:rPr>
          <w:rFonts w:ascii="Simplified Arabic" w:eastAsia="Times New Roman" w:hAnsi="Simplified Arabic" w:cs="Simplified Arabic"/>
          <w:b/>
          <w:bCs/>
          <w:color w:val="000000" w:themeColor="text1"/>
          <w:kern w:val="0"/>
          <w:sz w:val="32"/>
          <w:szCs w:val="32"/>
          <w:rtl/>
          <w14:ligatures w14:val="none"/>
        </w:rPr>
        <w:lastRenderedPageBreak/>
        <w:t>المحور الثاني: دراسات المتغيّر التابع (خفض الإلغاءات وزيادة العمليات المنجزة يومياً) وعلاقته بمتغيرات أخرى</w:t>
      </w:r>
      <w:bookmarkEnd w:id="17"/>
    </w:p>
    <w:p w14:paraId="131CB0BC" w14:textId="7914B513"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Dhafar et al. (2015): "Cancellation of Operations in Saudi Arabian Hospitals: Frequency, Reasons and Suggestions for Improvements"</w:t>
      </w:r>
      <w:r w:rsidRPr="000C589F">
        <w:rPr>
          <w:rFonts w:ascii="Simplified Arabic" w:eastAsia="Times New Roman" w:hAnsi="Simplified Arabic" w:cs="Simplified Arabic"/>
          <w:b/>
          <w:bCs/>
          <w:color w:val="000000" w:themeColor="text1"/>
          <w:kern w:val="0"/>
          <w:sz w:val="28"/>
          <w:szCs w:val="28"/>
          <w:rtl/>
          <w14:ligatures w14:val="none"/>
        </w:rPr>
        <w:t>إلغاء العمليات في مستشفيات المملكة العربية السعودية</w:t>
      </w:r>
    </w:p>
    <w:p w14:paraId="0BB2F82A" w14:textId="69592261"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معدل وأسباب إلغاء العمليات بأبعادها (أسباب متعلقة بالمريض، أسباب متعلقة بالمنشأة، أسباب متعلقة بالاستعداد الطبي، أسباب متعلقة بالتخدير والجرّاح) على كفاءة استغلال غرف العمليات في 25 مستشفى بمنطقة مكة المكرمة، المملكة العربية السعودية. واستخدمت الدراسة المنهج الوصفي الاسترجاعي (المقطعي). وتكوّنت العينة من بيانات (16,211) حالة جراحية مجدولة في 15 تخصصاً جراحياً خلال الفترة من يناير إلى ديسمبر 2013. وتوصلت نتائج الدراسة إلى أن معدل الإلغاء بلغ 7.6% (1,238 حالة)، وأن أعلى مساهمة في الإلغاءات كانت لجراحة العظام (33.8%) ثم الجراحة العامة (27.5%)، وأن 42.81% من الأسباب مرتبطة بالمريض (أهمها عدم الحضور 20.76%)، و20.03% مرتبطة بالمنشأة (أهمها عدم ترتيب الدم وعدم توفر أسرّة العناية). وأوصت الدراسة بإنشاء عيادات ما قبل الدخول في كل مستشفى، وأن يقوم الاستشاري بحجز المرضى للعمليات بدلاً من الأطباء المقيمين، وترشيد قوائم العمليات مع مراعاة الموارد المتاحة</w:t>
      </w:r>
      <w:r w:rsidRPr="000C589F">
        <w:rPr>
          <w:rFonts w:ascii="Simplified Arabic" w:eastAsia="Times New Roman" w:hAnsi="Simplified Arabic" w:cs="Simplified Arabic"/>
          <w:color w:val="000000" w:themeColor="text1"/>
          <w:kern w:val="0"/>
          <w:sz w:val="28"/>
          <w:szCs w:val="28"/>
          <w14:ligatures w14:val="none"/>
        </w:rPr>
        <w:t>.</w:t>
      </w:r>
    </w:p>
    <w:p w14:paraId="225C2D8A" w14:textId="2C41911D"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Abeeleh et al. (2017): "Reasons for Operation Cancellations at a Teaching Hospital: Prioritizing Areas of Improvement" </w:t>
      </w:r>
      <w:r w:rsidRPr="000C589F">
        <w:rPr>
          <w:rFonts w:ascii="Simplified Arabic" w:eastAsia="Times New Roman" w:hAnsi="Simplified Arabic" w:cs="Simplified Arabic"/>
          <w:b/>
          <w:bCs/>
          <w:color w:val="000000" w:themeColor="text1"/>
          <w:kern w:val="0"/>
          <w:sz w:val="28"/>
          <w:szCs w:val="28"/>
          <w:rtl/>
          <w14:ligatures w14:val="none"/>
        </w:rPr>
        <w:t>أسباب إلغاء العمليات في مستشفى تعليمي</w:t>
      </w:r>
    </w:p>
    <w:p w14:paraId="454BC300" w14:textId="77777777"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أسباب إلغاء العمليات بأبعادها (أسباب مرتبطة بالمريض، أسباب مرتبطة بالمنشأة، أسباب طبية) على تحديد أولويات مجالات التحسين في مستشفى جامعي في عمّان، الأردن</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واستخدمت الدراسة المنهج الوصفي الاسترجاعي. وتكوّنت العينة من بيانات جميع العمليات الاختيارية المجدولة خلال فترة الدراسة. وتوصلت نتائج الدراسة إلى أن معدل الإلغاء بلغ 9.31%، وأن الأسباب الأكثر شيوعاً شملت عدم جاهزية المريض طبياً وعدم توفر الموارد. وأوصت الدراسة بتحسين التقييم قبل الجراحة وتعزيز التنسيق بين الأقسام لتقليل الإلغاءات القابلة للتفادي</w:t>
      </w:r>
      <w:r w:rsidRPr="000C589F">
        <w:rPr>
          <w:rFonts w:ascii="Simplified Arabic" w:eastAsia="Times New Roman" w:hAnsi="Simplified Arabic" w:cs="Simplified Arabic"/>
          <w:color w:val="000000" w:themeColor="text1"/>
          <w:kern w:val="0"/>
          <w:sz w:val="28"/>
          <w:szCs w:val="28"/>
          <w14:ligatures w14:val="none"/>
        </w:rPr>
        <w:t>.</w:t>
      </w:r>
    </w:p>
    <w:p w14:paraId="7555F469"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lastRenderedPageBreak/>
        <w:t>دراسة</w:t>
      </w:r>
      <w:r w:rsidRPr="000C589F">
        <w:rPr>
          <w:rFonts w:ascii="Simplified Arabic" w:eastAsia="Times New Roman" w:hAnsi="Simplified Arabic" w:cs="Simplified Arabic"/>
          <w:b/>
          <w:bCs/>
          <w:color w:val="000000" w:themeColor="text1"/>
          <w:kern w:val="0"/>
          <w:sz w:val="28"/>
          <w:szCs w:val="28"/>
          <w14:ligatures w14:val="none"/>
        </w:rPr>
        <w:t xml:space="preserve"> Rathlev, Chessare &amp; Litvak (2018): "Redesigning the Surgical Schedule to Enhance Productivity in the Operating Room"</w:t>
      </w:r>
    </w:p>
    <w:p w14:paraId="0B2DC11C" w14:textId="571B7264"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أثر إعادة تصميم الجدول الجراحي بأبعاده (إدارة تدفق المرضى، التنبّؤ بالطلب على غرف العمليات، موازنة الأحمال الجراحية عبر أيام الأسبوع) على تحسين إنتاجية غرف العمليات وخفض معدلات الإلغاء. واستخدمت الدراسة المنهج شبه التجريبي (قبل/بعد). وتكوّنت العينة من بيانات العمليات الجراحية في مستشفى قبل وبعد إعادة تصميم الجدول. وتوصلت نتائج الدراسة إلى انخفاض العمليات المؤجّلة أو المُلغاة بنسبة 99.5%، مع تحسّن ملحوظ في استغلال غرف العمليات وتوزيع أكثر توازناً للأحمال الجراحية عبر أيام الأسبوع. وأوصت الدراسة بتبنّي منهجيات إدارة تدفق المرضى وإعادة هندسة الجداول الجراحية كاستراتيجية جوهرية لزيادة عدد العمليات المنجزة يومياً وخفض الإلغاءات</w:t>
      </w:r>
      <w:r w:rsidRPr="000C589F">
        <w:rPr>
          <w:rFonts w:ascii="Simplified Arabic" w:eastAsia="Times New Roman" w:hAnsi="Simplified Arabic" w:cs="Simplified Arabic"/>
          <w:color w:val="000000" w:themeColor="text1"/>
          <w:kern w:val="0"/>
          <w:sz w:val="28"/>
          <w:szCs w:val="28"/>
          <w14:ligatures w14:val="none"/>
        </w:rPr>
        <w:t>.</w:t>
      </w:r>
    </w:p>
    <w:p w14:paraId="6C35EFAE"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Schretlen et al. (2021): "Reducing Surgical Cancellations: A Successful Application of Lean Six Sigma in Healthcare"</w:t>
      </w:r>
    </w:p>
    <w:p w14:paraId="6C38D5A0" w14:textId="77777777"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منهجية </w:t>
      </w:r>
      <w:r w:rsidRPr="000C589F">
        <w:rPr>
          <w:rFonts w:ascii="Simplified Arabic" w:eastAsia="Times New Roman" w:hAnsi="Simplified Arabic" w:cs="Simplified Arabic"/>
          <w:color w:val="000000" w:themeColor="text1"/>
          <w:kern w:val="0"/>
          <w:sz w:val="28"/>
          <w:szCs w:val="28"/>
          <w14:ligatures w14:val="none"/>
        </w:rPr>
        <w:t xml:space="preserve">Lean Six Sigma </w:t>
      </w:r>
      <w:r w:rsidRPr="000C589F">
        <w:rPr>
          <w:rFonts w:ascii="Simplified Arabic" w:eastAsia="Times New Roman" w:hAnsi="Simplified Arabic" w:cs="Simplified Arabic"/>
          <w:color w:val="000000" w:themeColor="text1"/>
          <w:kern w:val="0"/>
          <w:sz w:val="28"/>
          <w:szCs w:val="28"/>
          <w:rtl/>
          <w14:ligatures w14:val="none"/>
        </w:rPr>
        <w:t>بأبعادها (عيادة ما قبل الجراحة الموحّدة، الجدولة الذكية لغرف العمليات، مسار العناية المركزة السريع، التخطيط الاستباقي للخروج</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على خفض معدل إلغاء عمليات القلب المفتوح</w:t>
      </w:r>
      <w:r w:rsidRPr="000C589F">
        <w:rPr>
          <w:rFonts w:ascii="Simplified Arabic" w:eastAsia="Times New Roman" w:hAnsi="Simplified Arabic" w:cs="Simplified Arabic"/>
          <w:color w:val="000000" w:themeColor="text1"/>
          <w:kern w:val="0"/>
          <w:sz w:val="28"/>
          <w:szCs w:val="28"/>
          <w14:ligatures w14:val="none"/>
        </w:rPr>
        <w:t xml:space="preserve"> (CABG) </w:t>
      </w:r>
      <w:r w:rsidRPr="000C589F">
        <w:rPr>
          <w:rFonts w:ascii="Simplified Arabic" w:eastAsia="Times New Roman" w:hAnsi="Simplified Arabic" w:cs="Simplified Arabic"/>
          <w:color w:val="000000" w:themeColor="text1"/>
          <w:kern w:val="0"/>
          <w:sz w:val="28"/>
          <w:szCs w:val="28"/>
          <w:rtl/>
          <w14:ligatures w14:val="none"/>
        </w:rPr>
        <w:t>في المركز الطبي الجامعي بماستريخت، هولندا. واستخدمت الدراسة منهج تحسين الجودة بتصميم السلاسل الزمنية المتقطعة</w:t>
      </w:r>
      <w:r w:rsidRPr="000C589F">
        <w:rPr>
          <w:rFonts w:ascii="Simplified Arabic" w:eastAsia="Times New Roman" w:hAnsi="Simplified Arabic" w:cs="Simplified Arabic"/>
          <w:color w:val="000000" w:themeColor="text1"/>
          <w:kern w:val="0"/>
          <w:sz w:val="28"/>
          <w:szCs w:val="28"/>
          <w14:ligatures w14:val="none"/>
        </w:rPr>
        <w:t xml:space="preserve"> (Interrupted Time Series) </w:t>
      </w:r>
      <w:r w:rsidRPr="000C589F">
        <w:rPr>
          <w:rFonts w:ascii="Simplified Arabic" w:eastAsia="Times New Roman" w:hAnsi="Simplified Arabic" w:cs="Simplified Arabic"/>
          <w:color w:val="000000" w:themeColor="text1"/>
          <w:kern w:val="0"/>
          <w:sz w:val="28"/>
          <w:szCs w:val="28"/>
          <w:rtl/>
          <w14:ligatures w14:val="none"/>
        </w:rPr>
        <w:t>وفق دورة</w:t>
      </w:r>
      <w:r w:rsidRPr="000C589F">
        <w:rPr>
          <w:rFonts w:ascii="Simplified Arabic" w:eastAsia="Times New Roman" w:hAnsi="Simplified Arabic" w:cs="Simplified Arabic"/>
          <w:color w:val="000000" w:themeColor="text1"/>
          <w:kern w:val="0"/>
          <w:sz w:val="28"/>
          <w:szCs w:val="28"/>
          <w14:ligatures w14:val="none"/>
        </w:rPr>
        <w:t xml:space="preserve"> DMAIC. </w:t>
      </w:r>
      <w:r w:rsidRPr="000C589F">
        <w:rPr>
          <w:rFonts w:ascii="Simplified Arabic" w:eastAsia="Times New Roman" w:hAnsi="Simplified Arabic" w:cs="Simplified Arabic"/>
          <w:color w:val="000000" w:themeColor="text1"/>
          <w:kern w:val="0"/>
          <w:sz w:val="28"/>
          <w:szCs w:val="28"/>
          <w:rtl/>
          <w14:ligatures w14:val="none"/>
        </w:rPr>
        <w:t>وتكوّنت العينة من جميع عمليات</w:t>
      </w:r>
      <w:r w:rsidRPr="000C589F">
        <w:rPr>
          <w:rFonts w:ascii="Simplified Arabic" w:eastAsia="Times New Roman" w:hAnsi="Simplified Arabic" w:cs="Simplified Arabic"/>
          <w:color w:val="000000" w:themeColor="text1"/>
          <w:kern w:val="0"/>
          <w:sz w:val="28"/>
          <w:szCs w:val="28"/>
          <w14:ligatures w14:val="none"/>
        </w:rPr>
        <w:t xml:space="preserve"> CABG </w:t>
      </w:r>
      <w:r w:rsidRPr="000C589F">
        <w:rPr>
          <w:rFonts w:ascii="Simplified Arabic" w:eastAsia="Times New Roman" w:hAnsi="Simplified Arabic" w:cs="Simplified Arabic"/>
          <w:color w:val="000000" w:themeColor="text1"/>
          <w:kern w:val="0"/>
          <w:sz w:val="28"/>
          <w:szCs w:val="28"/>
          <w:rtl/>
          <w14:ligatures w14:val="none"/>
        </w:rPr>
        <w:t xml:space="preserve">المجدولة خلال الفترة من يناير 2014 إلى ديسمبر </w:t>
      </w:r>
      <w:r w:rsidRPr="000C589F">
        <w:rPr>
          <w:rFonts w:ascii="Simplified Arabic" w:eastAsia="Times New Roman" w:hAnsi="Simplified Arabic" w:cs="Simplified Arabic"/>
          <w:color w:val="000000" w:themeColor="text1"/>
          <w:kern w:val="0"/>
          <w:sz w:val="28"/>
          <w:szCs w:val="28"/>
          <w14:ligatures w14:val="none"/>
        </w:rPr>
        <w:t xml:space="preserve">2016 </w:t>
      </w:r>
      <w:r w:rsidRPr="000C589F">
        <w:rPr>
          <w:rFonts w:ascii="Simplified Arabic" w:eastAsia="Times New Roman" w:hAnsi="Simplified Arabic" w:cs="Simplified Arabic"/>
          <w:color w:val="000000" w:themeColor="text1"/>
          <w:kern w:val="0"/>
          <w:sz w:val="28"/>
          <w:szCs w:val="28"/>
          <w:rtl/>
          <w14:ligatures w14:val="none"/>
        </w:rPr>
        <w:t>(20 شهراً قبل التطبيق و16 شهراً بعده)، بمعدل 84 عملية شهرياً</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انخفاض الإلغاءات بنسبة 50% (من 16 إلى 8 حالات شهرياً، </w:t>
      </w:r>
      <w:r w:rsidRPr="000C589F">
        <w:rPr>
          <w:rFonts w:ascii="Simplified Arabic" w:eastAsia="Times New Roman" w:hAnsi="Simplified Arabic" w:cs="Simplified Arabic"/>
          <w:color w:val="000000" w:themeColor="text1"/>
          <w:kern w:val="0"/>
          <w:sz w:val="28"/>
          <w:szCs w:val="28"/>
          <w14:ligatures w14:val="none"/>
        </w:rPr>
        <w:t>p=0.010)</w:t>
      </w:r>
      <w:r w:rsidRPr="000C589F">
        <w:rPr>
          <w:rFonts w:ascii="Simplified Arabic" w:eastAsia="Times New Roman" w:hAnsi="Simplified Arabic" w:cs="Simplified Arabic"/>
          <w:color w:val="000000" w:themeColor="text1"/>
          <w:kern w:val="0"/>
          <w:sz w:val="28"/>
          <w:szCs w:val="28"/>
          <w:rtl/>
          <w14:ligatures w14:val="none"/>
        </w:rPr>
        <w:t>، وانخفاض تكرار الفحوصات التشخيصية بنسبة 67</w:t>
      </w:r>
      <w:r w:rsidRPr="000C589F">
        <w:rPr>
          <w:rFonts w:ascii="Simplified Arabic" w:eastAsia="Times New Roman" w:hAnsi="Simplified Arabic" w:cs="Simplified Arabic"/>
          <w:color w:val="000000" w:themeColor="text1"/>
          <w:kern w:val="0"/>
          <w:sz w:val="28"/>
          <w:szCs w:val="28"/>
          <w14:ligatures w14:val="none"/>
        </w:rPr>
        <w:t>% (p=0.021)</w:t>
      </w:r>
      <w:r w:rsidRPr="000C589F">
        <w:rPr>
          <w:rFonts w:ascii="Simplified Arabic" w:eastAsia="Times New Roman" w:hAnsi="Simplified Arabic" w:cs="Simplified Arabic"/>
          <w:color w:val="000000" w:themeColor="text1"/>
          <w:kern w:val="0"/>
          <w:sz w:val="28"/>
          <w:szCs w:val="28"/>
          <w:rtl/>
          <w14:ligatures w14:val="none"/>
        </w:rPr>
        <w:t xml:space="preserve">، وانخفاض مدة الانتظار من الإحالة إلى العلاج بنسبة 35% (من 71 إلى 46 يوماً، </w:t>
      </w:r>
      <w:r w:rsidRPr="000C589F">
        <w:rPr>
          <w:rFonts w:ascii="Simplified Arabic" w:eastAsia="Times New Roman" w:hAnsi="Simplified Arabic" w:cs="Simplified Arabic"/>
          <w:color w:val="000000" w:themeColor="text1"/>
          <w:kern w:val="0"/>
          <w:sz w:val="28"/>
          <w:szCs w:val="28"/>
          <w14:ligatures w14:val="none"/>
        </w:rPr>
        <w:t>p=0.000)</w:t>
      </w:r>
      <w:r w:rsidRPr="000C589F">
        <w:rPr>
          <w:rFonts w:ascii="Simplified Arabic" w:eastAsia="Times New Roman" w:hAnsi="Simplified Arabic" w:cs="Simplified Arabic"/>
          <w:color w:val="000000" w:themeColor="text1"/>
          <w:kern w:val="0"/>
          <w:sz w:val="28"/>
          <w:szCs w:val="28"/>
          <w:rtl/>
          <w14:ligatures w14:val="none"/>
        </w:rPr>
        <w:t>، وارتفاع رضا المرضى</w:t>
      </w:r>
      <w:r w:rsidRPr="000C589F">
        <w:rPr>
          <w:rFonts w:ascii="Simplified Arabic" w:eastAsia="Times New Roman" w:hAnsi="Simplified Arabic" w:cs="Simplified Arabic"/>
          <w:color w:val="000000" w:themeColor="text1"/>
          <w:kern w:val="0"/>
          <w:sz w:val="28"/>
          <w:szCs w:val="28"/>
          <w14:ligatures w14:val="none"/>
        </w:rPr>
        <w:t xml:space="preserve"> (NPS) </w:t>
      </w:r>
      <w:r w:rsidRPr="000C589F">
        <w:rPr>
          <w:rFonts w:ascii="Simplified Arabic" w:eastAsia="Times New Roman" w:hAnsi="Simplified Arabic" w:cs="Simplified Arabic"/>
          <w:color w:val="000000" w:themeColor="text1"/>
          <w:kern w:val="0"/>
          <w:sz w:val="28"/>
          <w:szCs w:val="28"/>
          <w:rtl/>
          <w14:ligatures w14:val="none"/>
        </w:rPr>
        <w:t>بنسبة 14</w:t>
      </w:r>
      <w:r w:rsidRPr="000C589F">
        <w:rPr>
          <w:rFonts w:ascii="Simplified Arabic" w:eastAsia="Times New Roman" w:hAnsi="Simplified Arabic" w:cs="Simplified Arabic"/>
          <w:color w:val="000000" w:themeColor="text1"/>
          <w:kern w:val="0"/>
          <w:sz w:val="28"/>
          <w:szCs w:val="28"/>
          <w14:ligatures w14:val="none"/>
        </w:rPr>
        <w:t>% (p=0.005)</w:t>
      </w:r>
      <w:r w:rsidRPr="000C589F">
        <w:rPr>
          <w:rFonts w:ascii="Simplified Arabic" w:eastAsia="Times New Roman" w:hAnsi="Simplified Arabic" w:cs="Simplified Arabic"/>
          <w:color w:val="000000" w:themeColor="text1"/>
          <w:kern w:val="0"/>
          <w:sz w:val="28"/>
          <w:szCs w:val="28"/>
          <w:rtl/>
          <w14:ligatures w14:val="none"/>
        </w:rPr>
        <w:t>، مما أتاح إجراء 96 عملية إضافية سنوياً بعائد 1.15 مليون يورو. وأوصت الدراسة بتبنّي منهجية</w:t>
      </w:r>
      <w:r w:rsidRPr="000C589F">
        <w:rPr>
          <w:rFonts w:ascii="Simplified Arabic" w:eastAsia="Times New Roman" w:hAnsi="Simplified Arabic" w:cs="Simplified Arabic"/>
          <w:color w:val="000000" w:themeColor="text1"/>
          <w:kern w:val="0"/>
          <w:sz w:val="28"/>
          <w:szCs w:val="28"/>
          <w14:ligatures w14:val="none"/>
        </w:rPr>
        <w:t xml:space="preserve"> Lean Six Sigma </w:t>
      </w:r>
      <w:r w:rsidRPr="000C589F">
        <w:rPr>
          <w:rFonts w:ascii="Simplified Arabic" w:eastAsia="Times New Roman" w:hAnsi="Simplified Arabic" w:cs="Simplified Arabic"/>
          <w:color w:val="000000" w:themeColor="text1"/>
          <w:kern w:val="0"/>
          <w:sz w:val="28"/>
          <w:szCs w:val="28"/>
          <w:rtl/>
          <w14:ligatures w14:val="none"/>
        </w:rPr>
        <w:t>كمقاربة منظّمة لتحسين الجودة عبر مسار الرعاية الكامل، مع التأكيد على دعم القيادة وإشراك المهنيين الصحيين</w:t>
      </w:r>
      <w:r w:rsidRPr="000C589F">
        <w:rPr>
          <w:rFonts w:ascii="Simplified Arabic" w:eastAsia="Times New Roman" w:hAnsi="Simplified Arabic" w:cs="Simplified Arabic"/>
          <w:color w:val="000000" w:themeColor="text1"/>
          <w:kern w:val="0"/>
          <w:sz w:val="28"/>
          <w:szCs w:val="28"/>
          <w14:ligatures w14:val="none"/>
        </w:rPr>
        <w:t>.</w:t>
      </w:r>
    </w:p>
    <w:p w14:paraId="5B685F39"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lastRenderedPageBreak/>
        <w:t>دراسة</w:t>
      </w:r>
      <w:r w:rsidRPr="000C589F">
        <w:rPr>
          <w:rFonts w:ascii="Simplified Arabic" w:eastAsia="Times New Roman" w:hAnsi="Simplified Arabic" w:cs="Simplified Arabic"/>
          <w:b/>
          <w:bCs/>
          <w:color w:val="000000" w:themeColor="text1"/>
          <w:kern w:val="0"/>
          <w:sz w:val="28"/>
          <w:szCs w:val="28"/>
          <w14:ligatures w14:val="none"/>
        </w:rPr>
        <w:t xml:space="preserve"> Viderman et al. (2021): "Implementation of Evidence-Based Recommendations to Reduce Elective Surgical Case Cancellations"</w:t>
      </w:r>
    </w:p>
    <w:p w14:paraId="4E19F089" w14:textId="77777777"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بروتوكول داخلي قائم على التوصيات المبنية على الأدلة بأبعاده (فحص ومعرفة أهم أسباب الإلغاء، وضع بروتوكول إدارة مخاطر القلب والأوعية الدموية في الفترة المحيطة بالعمليات، تطبيق البروتوكول ومتابعة النتائج) على خفض معدل إلغاء العمليات الاختيارية في المركز الطبي الجامعي بنور سلطان، كازاخستان. واستخدمت الدراسة منهج تحسين الجودة (دراسة مقارنة قبل/بعد)</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وتكوّنت العينة من (2,242) حالة جراحية في عام 2018 (قبل التطبيق) و</w:t>
      </w:r>
      <w:r w:rsidRPr="000C589F">
        <w:rPr>
          <w:rFonts w:ascii="Simplified Arabic" w:eastAsia="Times New Roman" w:hAnsi="Simplified Arabic" w:cs="Simplified Arabic"/>
          <w:color w:val="000000" w:themeColor="text1"/>
          <w:kern w:val="0"/>
          <w:sz w:val="28"/>
          <w:szCs w:val="28"/>
          <w14:ligatures w14:val="none"/>
        </w:rPr>
        <w:t xml:space="preserve">(2,538) </w:t>
      </w:r>
      <w:r w:rsidRPr="000C589F">
        <w:rPr>
          <w:rFonts w:ascii="Simplified Arabic" w:eastAsia="Times New Roman" w:hAnsi="Simplified Arabic" w:cs="Simplified Arabic"/>
          <w:color w:val="000000" w:themeColor="text1"/>
          <w:kern w:val="0"/>
          <w:sz w:val="28"/>
          <w:szCs w:val="28"/>
          <w:rtl/>
          <w14:ligatures w14:val="none"/>
        </w:rPr>
        <w:t>حالة في عام 2019 (بعد التطبيق). وتوصلت نتائج الدراسة إلى انخفاض معدل الإلغاء من 3.7% (83 حالة من 2,242) في 2018 إلى 1.1% (28 حالة من 2,538) في 2019، مع انخفاض ملحوظ في حالات ارتفاع ضغط الدم ونقص تروية القلب واضطرابات الإيقاع قبل الجراحة. وأوصت الدراسة بضرورة فحص الفجوات في الرعاية المحيطة بالعمليات وتطبيق التوصيات المبنية على الأدلة كاستراتيجية فعّالة لخفض الإلغاءات</w:t>
      </w:r>
      <w:r w:rsidRPr="000C589F">
        <w:rPr>
          <w:rFonts w:ascii="Simplified Arabic" w:eastAsia="Times New Roman" w:hAnsi="Simplified Arabic" w:cs="Simplified Arabic"/>
          <w:color w:val="000000" w:themeColor="text1"/>
          <w:kern w:val="0"/>
          <w:sz w:val="28"/>
          <w:szCs w:val="28"/>
          <w14:ligatures w14:val="none"/>
        </w:rPr>
        <w:t>.</w:t>
      </w:r>
    </w:p>
    <w:p w14:paraId="542DA803" w14:textId="77777777" w:rsidR="000C589F" w:rsidRPr="000C589F" w:rsidRDefault="000C589F"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Naderi et al. (2021): "Increased Surgical Capacity Without Additional Resources: Generalized Turnover Time as a Novel Measure of Surgical Suite Utilization"</w:t>
      </w:r>
    </w:p>
    <w:p w14:paraId="66240CA8" w14:textId="65A1CC76" w:rsidR="000C589F" w:rsidRPr="000C589F" w:rsidRDefault="000C589F"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هدفت الدراسة إلى التعرف على أثر تحسين الجدولة الجراحية بأبعادها (زمن التحوّل المعمّم</w:t>
      </w:r>
      <w:r w:rsidRPr="000C589F">
        <w:rPr>
          <w:rFonts w:ascii="Simplified Arabic" w:eastAsia="Times New Roman" w:hAnsi="Simplified Arabic" w:cs="Simplified Arabic"/>
          <w:color w:val="000000" w:themeColor="text1"/>
          <w:kern w:val="0"/>
          <w:sz w:val="28"/>
          <w:szCs w:val="28"/>
          <w14:ligatures w14:val="none"/>
        </w:rPr>
        <w:t xml:space="preserve"> GTT</w:t>
      </w:r>
      <w:r w:rsidRPr="000C589F">
        <w:rPr>
          <w:rFonts w:ascii="Simplified Arabic" w:eastAsia="Times New Roman" w:hAnsi="Simplified Arabic" w:cs="Simplified Arabic"/>
          <w:color w:val="000000" w:themeColor="text1"/>
          <w:kern w:val="0"/>
          <w:sz w:val="28"/>
          <w:szCs w:val="28"/>
          <w:rtl/>
          <w14:ligatures w14:val="none"/>
        </w:rPr>
        <w:t>، تخصيص وقت غرف العمليات، محاكاة السيناريوهات التشغيلية) على زيادة السعة الجراحية دون موارد إضافية. واستخدمت الدراسة المنهج التحليلي الكمّي باستخدام نماذج البرمجة الرياضية والمحاكاة. وتكوّنت العينة من بيانات تشغيلية لغرف العمليات في مستشفى تعليمي كبير. وتوصلت نتائج الدراسة إلى أن تحسين الجدولة وتقليل أوقات التحوّل يمكن أن يرفع معدل استخدام غرف العمليات بنسبة تصل إلى 25% دون الحاجة لموارد بشرية أو مادية إضافية. وأوصت الدراسة باعتماد مؤشر</w:t>
      </w:r>
      <w:r w:rsidRPr="000C589F">
        <w:rPr>
          <w:rFonts w:ascii="Simplified Arabic" w:eastAsia="Times New Roman" w:hAnsi="Simplified Arabic" w:cs="Simplified Arabic"/>
          <w:color w:val="000000" w:themeColor="text1"/>
          <w:kern w:val="0"/>
          <w:sz w:val="28"/>
          <w:szCs w:val="28"/>
          <w14:ligatures w14:val="none"/>
        </w:rPr>
        <w:t xml:space="preserve"> GTT </w:t>
      </w:r>
      <w:r w:rsidRPr="000C589F">
        <w:rPr>
          <w:rFonts w:ascii="Simplified Arabic" w:eastAsia="Times New Roman" w:hAnsi="Simplified Arabic" w:cs="Simplified Arabic"/>
          <w:color w:val="000000" w:themeColor="text1"/>
          <w:kern w:val="0"/>
          <w:sz w:val="28"/>
          <w:szCs w:val="28"/>
          <w:rtl/>
          <w14:ligatures w14:val="none"/>
        </w:rPr>
        <w:t>كأداة قياس جديدة لكفاءة أجنحة العمليات، وتطبيق نماذج الجدولة الذكية لتعظيم عدد العمليات المنجزة يومياً</w:t>
      </w:r>
      <w:r w:rsidRPr="000C589F">
        <w:rPr>
          <w:rFonts w:ascii="Simplified Arabic" w:eastAsia="Times New Roman" w:hAnsi="Simplified Arabic" w:cs="Simplified Arabic"/>
          <w:color w:val="000000" w:themeColor="text1"/>
          <w:kern w:val="0"/>
          <w:sz w:val="28"/>
          <w:szCs w:val="28"/>
          <w14:ligatures w14:val="none"/>
        </w:rPr>
        <w:t>.</w:t>
      </w:r>
    </w:p>
    <w:p w14:paraId="756BFC7F" w14:textId="531AA562"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C589F">
        <w:rPr>
          <w:rFonts w:ascii="Simplified Arabic" w:eastAsia="Times New Roman" w:hAnsi="Simplified Arabic" w:cs="Simplified Arabic"/>
          <w:b/>
          <w:bCs/>
          <w:color w:val="000000" w:themeColor="text1"/>
          <w:kern w:val="0"/>
          <w:sz w:val="28"/>
          <w:szCs w:val="28"/>
          <w:rtl/>
          <w14:ligatures w14:val="none"/>
        </w:rPr>
        <w:t>دراسة</w:t>
      </w:r>
      <w:r w:rsidRPr="000C589F">
        <w:rPr>
          <w:rFonts w:ascii="Simplified Arabic" w:eastAsia="Times New Roman" w:hAnsi="Simplified Arabic" w:cs="Simplified Arabic"/>
          <w:b/>
          <w:bCs/>
          <w:color w:val="000000" w:themeColor="text1"/>
          <w:kern w:val="0"/>
          <w:sz w:val="28"/>
          <w:szCs w:val="28"/>
          <w14:ligatures w14:val="none"/>
        </w:rPr>
        <w:t xml:space="preserve"> Nasr et al. (2025): "Prevalence, Causes, and Staff Perception of Same-Day Elective Surgery Cancellation at a University Hospital: A Mixed Study" </w:t>
      </w:r>
      <w:r w:rsidRPr="000C589F">
        <w:rPr>
          <w:rFonts w:ascii="Simplified Arabic" w:eastAsia="Times New Roman" w:hAnsi="Simplified Arabic" w:cs="Simplified Arabic"/>
          <w:b/>
          <w:bCs/>
          <w:color w:val="000000" w:themeColor="text1"/>
          <w:kern w:val="0"/>
          <w:sz w:val="28"/>
          <w:szCs w:val="28"/>
          <w:rtl/>
          <w14:ligatures w14:val="none"/>
        </w:rPr>
        <w:t>انتشار وأسباب وتصوّرات الطاقم حول إلغاء العمليات الاختيارية</w:t>
      </w:r>
    </w:p>
    <w:p w14:paraId="21C24D65" w14:textId="18963419"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معدل وأسباب إلغاء العمليات الاختيارية في يوم الجراحة بأبعادها (عوامل مرتبطة بالمستشفى، عوامل مرتبطة بالمريض، عوامل مرتبطة بالطاقم) على كفاءة استخدام غرف العمليات في مستشفى الدمرداش الجامعي، القاهرة، مصر. واستخدمت الدراسة المنهج المختلط (كمّي ونوعي): المكوّن الكمّي دراسة مقطعية مستقبلية، والمكوّن النوعي مقابلات معمّقة ومجموعات نقاش بؤرية. وتكوّنت العينة الكمّية من (993) عملية اختيارية مجدولة في 21 غرفة عمليات، والعينة النوعية من (25) عضواً من طاقم غرف العمليات. وتوصلت نتائج الدراسة إلى أن معدل الإلغاء بلغ 12.59% (125 حالة)، وأن الأسباب الرئيسية هي: عدم توفر وقت غرفة العمليات (24.03%)، عدم توفر أسرّة العناية المركزة</w:t>
      </w:r>
      <w:r w:rsidRPr="000C589F">
        <w:rPr>
          <w:rFonts w:ascii="Simplified Arabic" w:eastAsia="Times New Roman" w:hAnsi="Simplified Arabic" w:cs="Simplified Arabic"/>
          <w:color w:val="000000" w:themeColor="text1"/>
          <w:kern w:val="0"/>
          <w:sz w:val="28"/>
          <w:szCs w:val="28"/>
          <w14:ligatures w14:val="none"/>
        </w:rPr>
        <w:t xml:space="preserve"> (21.71%)</w:t>
      </w:r>
      <w:r w:rsidRPr="000C589F">
        <w:rPr>
          <w:rFonts w:ascii="Simplified Arabic" w:eastAsia="Times New Roman" w:hAnsi="Simplified Arabic" w:cs="Simplified Arabic"/>
          <w:color w:val="000000" w:themeColor="text1"/>
          <w:kern w:val="0"/>
          <w:sz w:val="28"/>
          <w:szCs w:val="28"/>
          <w:rtl/>
          <w14:ligatures w14:val="none"/>
        </w:rPr>
        <w:t>، تغيّر الحالة الطبية للمريض (14.73%)، طول مدة العمليات السابقة</w:t>
      </w:r>
      <w:r w:rsidRPr="000C589F">
        <w:rPr>
          <w:rFonts w:ascii="Simplified Arabic" w:eastAsia="Times New Roman" w:hAnsi="Simplified Arabic" w:cs="Simplified Arabic"/>
          <w:color w:val="000000" w:themeColor="text1"/>
          <w:kern w:val="0"/>
          <w:sz w:val="28"/>
          <w:szCs w:val="28"/>
          <w14:ligatures w14:val="none"/>
        </w:rPr>
        <w:t xml:space="preserve"> (10.85%)</w:t>
      </w:r>
      <w:r w:rsidRPr="000C589F">
        <w:rPr>
          <w:rFonts w:ascii="Simplified Arabic" w:eastAsia="Times New Roman" w:hAnsi="Simplified Arabic" w:cs="Simplified Arabic"/>
          <w:color w:val="000000" w:themeColor="text1"/>
          <w:kern w:val="0"/>
          <w:sz w:val="28"/>
          <w:szCs w:val="28"/>
          <w:rtl/>
          <w14:ligatures w14:val="none"/>
        </w:rPr>
        <w:t>، ومشاكل المعدات (7.75%). وأوصت الدراسة بتحسين نظام حجز غرف العمليات، وتعزيز التواصل بين الفرق الجراحية وفرق العناية المركزة، ودمج أدوات الذكاء الاصطناعي في إدارة حجز الأسرّة وغرف العمليات</w:t>
      </w:r>
      <w:r w:rsidRPr="000C589F">
        <w:rPr>
          <w:rFonts w:ascii="Simplified Arabic" w:eastAsia="Times New Roman" w:hAnsi="Simplified Arabic" w:cs="Simplified Arabic"/>
          <w:color w:val="000000" w:themeColor="text1"/>
          <w:kern w:val="0"/>
          <w:sz w:val="28"/>
          <w:szCs w:val="28"/>
          <w14:ligatures w14:val="none"/>
        </w:rPr>
        <w:t>.</w:t>
      </w:r>
    </w:p>
    <w:p w14:paraId="52F4E627" w14:textId="021E7C32" w:rsidR="000C589F"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411392"/>
      <w:r w:rsidRPr="000C589F">
        <w:rPr>
          <w:rFonts w:ascii="Simplified Arabic" w:eastAsia="Times New Roman" w:hAnsi="Simplified Arabic" w:cs="Simplified Arabic"/>
          <w:b/>
          <w:bCs/>
          <w:color w:val="000000" w:themeColor="text1"/>
          <w:kern w:val="0"/>
          <w:sz w:val="36"/>
          <w:szCs w:val="36"/>
          <w:rtl/>
          <w14:ligatures w14:val="none"/>
        </w:rPr>
        <w:t>8.1 الفجوة البحثية</w:t>
      </w:r>
      <w:bookmarkEnd w:id="18"/>
    </w:p>
    <w:p w14:paraId="4AF64CF6"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تتفق الدراسة الحالية مع الدراسات السابقة في عدة جوانب جوهرية، إذ تتقاطع مع دراسة آل جعرة (2025) ودراسة الفراج</w:t>
      </w:r>
      <w:r w:rsidRPr="000C589F">
        <w:rPr>
          <w:rFonts w:ascii="Simplified Arabic" w:eastAsia="Times New Roman" w:hAnsi="Simplified Arabic" w:cs="Simplified Arabic"/>
          <w:color w:val="000000" w:themeColor="text1"/>
          <w:kern w:val="0"/>
          <w:sz w:val="28"/>
          <w:szCs w:val="28"/>
          <w14:ligatures w14:val="none"/>
        </w:rPr>
        <w:t xml:space="preserve"> (2016) </w:t>
      </w:r>
      <w:r w:rsidRPr="000C589F">
        <w:rPr>
          <w:rFonts w:ascii="Simplified Arabic" w:eastAsia="Times New Roman" w:hAnsi="Simplified Arabic" w:cs="Simplified Arabic"/>
          <w:color w:val="000000" w:themeColor="text1"/>
          <w:kern w:val="0"/>
          <w:sz w:val="28"/>
          <w:szCs w:val="28"/>
          <w:rtl/>
          <w14:ligatures w14:val="none"/>
        </w:rPr>
        <w:t>وتقرير وزارة الصحة السعودية (2012) في التأكيد على أن إدارة السعة السريرية تُمثّل ركيزة أساسية في منظومة الأداء المستشفوي وأن القصور فيها ينعكس سلباً على كفاءة تقديم الخدمات الصحية، كما تتفق مع دراسة</w:t>
      </w:r>
      <w:r w:rsidRPr="000C589F">
        <w:rPr>
          <w:rFonts w:ascii="Simplified Arabic" w:eastAsia="Times New Roman" w:hAnsi="Simplified Arabic" w:cs="Simplified Arabic"/>
          <w:color w:val="000000" w:themeColor="text1"/>
          <w:kern w:val="0"/>
          <w:sz w:val="28"/>
          <w:szCs w:val="28"/>
          <w14:ligatures w14:val="none"/>
        </w:rPr>
        <w:t xml:space="preserve"> Kim &amp; Oh (2024)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Altavilla (2026) </w:t>
      </w:r>
      <w:r w:rsidRPr="000C589F">
        <w:rPr>
          <w:rFonts w:ascii="Simplified Arabic" w:eastAsia="Times New Roman" w:hAnsi="Simplified Arabic" w:cs="Simplified Arabic"/>
          <w:color w:val="000000" w:themeColor="text1"/>
          <w:kern w:val="0"/>
          <w:sz w:val="28"/>
          <w:szCs w:val="28"/>
          <w:rtl/>
          <w14:ligatures w14:val="none"/>
        </w:rPr>
        <w:t>في تبنّي مقاربة متعددة الأبعاد لإدارة الأسرّة تتجاوز الإحصاء الكمّي إلى التحليل الوظيفي والتنظيمي. وفيما يخص المتغيّر التابع، تتوافق الدراسة الحالية مع دراسة</w:t>
      </w:r>
      <w:r w:rsidRPr="000C589F">
        <w:rPr>
          <w:rFonts w:ascii="Simplified Arabic" w:eastAsia="Times New Roman" w:hAnsi="Simplified Arabic" w:cs="Simplified Arabic"/>
          <w:color w:val="000000" w:themeColor="text1"/>
          <w:kern w:val="0"/>
          <w:sz w:val="28"/>
          <w:szCs w:val="28"/>
          <w14:ligatures w14:val="none"/>
        </w:rPr>
        <w:t xml:space="preserve"> Dhafar et al. (2015)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Mesmar et al. (2011)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Nasr et al. (2025)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Abeeleh et al. (2017) </w:t>
      </w:r>
      <w:r w:rsidRPr="000C589F">
        <w:rPr>
          <w:rFonts w:ascii="Simplified Arabic" w:eastAsia="Times New Roman" w:hAnsi="Simplified Arabic" w:cs="Simplified Arabic"/>
          <w:color w:val="000000" w:themeColor="text1"/>
          <w:kern w:val="0"/>
          <w:sz w:val="28"/>
          <w:szCs w:val="28"/>
          <w:rtl/>
          <w14:ligatures w14:val="none"/>
        </w:rPr>
        <w:t>في إبراز أن العوامل المرتبطة بالمنشأة ـــ وعلى رأسها عدم توفر الأسرّة ـــ تُشكّل نسبة معتبرة من أسباب إلغاء العمليات القابلة للتفادي، كما تتفق مع دراسة</w:t>
      </w:r>
      <w:r w:rsidRPr="000C589F">
        <w:rPr>
          <w:rFonts w:ascii="Simplified Arabic" w:eastAsia="Times New Roman" w:hAnsi="Simplified Arabic" w:cs="Simplified Arabic"/>
          <w:color w:val="000000" w:themeColor="text1"/>
          <w:kern w:val="0"/>
          <w:sz w:val="28"/>
          <w:szCs w:val="28"/>
          <w14:ligatures w14:val="none"/>
        </w:rPr>
        <w:t xml:space="preserve"> Schretlen et al. (2021)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Viderman et al. (2021)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Naderi et al. (2021)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Rathlev, Chessare &amp; Litvak (2018) </w:t>
      </w:r>
      <w:r w:rsidRPr="000C589F">
        <w:rPr>
          <w:rFonts w:ascii="Simplified Arabic" w:eastAsia="Times New Roman" w:hAnsi="Simplified Arabic" w:cs="Simplified Arabic"/>
          <w:color w:val="000000" w:themeColor="text1"/>
          <w:kern w:val="0"/>
          <w:sz w:val="28"/>
          <w:szCs w:val="28"/>
          <w:rtl/>
          <w14:ligatures w14:val="none"/>
        </w:rPr>
        <w:t>في التأكيد على أن التدخلات المنظّمة في إدارة التدفق والجدولة تُفضي إلى خفض ملموس في معدلات الإلغاء وزيادة في عدد العمليات المنجزة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 xml:space="preserve">وتتفق الدراسة الحالية كذلك مع معظم الدراسات السابقة في استخدام المنهج الوصفي التحليلي كمنهج ملائم لدراسة الظواهر الإدارية في البيئة </w:t>
      </w:r>
      <w:r w:rsidRPr="000C589F">
        <w:rPr>
          <w:rFonts w:ascii="Simplified Arabic" w:eastAsia="Times New Roman" w:hAnsi="Simplified Arabic" w:cs="Simplified Arabic"/>
          <w:color w:val="000000" w:themeColor="text1"/>
          <w:kern w:val="0"/>
          <w:sz w:val="28"/>
          <w:szCs w:val="28"/>
          <w:rtl/>
          <w14:ligatures w14:val="none"/>
        </w:rPr>
        <w:lastRenderedPageBreak/>
        <w:t>الصحية، وفي الاعتماد على الاستبانة كأداة رئيسية لجمع البيانات الأولية، وفي توظيف الأساليب الإحصائية الوصفية والاستدلالية لتحليل العلاقات بين المتغيرات</w:t>
      </w:r>
      <w:r w:rsidRPr="000C589F">
        <w:rPr>
          <w:rFonts w:ascii="Simplified Arabic" w:eastAsia="Times New Roman" w:hAnsi="Simplified Arabic" w:cs="Simplified Arabic"/>
          <w:color w:val="000000" w:themeColor="text1"/>
          <w:kern w:val="0"/>
          <w:sz w:val="28"/>
          <w:szCs w:val="28"/>
          <w14:ligatures w14:val="none"/>
        </w:rPr>
        <w:t>.</w:t>
      </w:r>
    </w:p>
    <w:p w14:paraId="65F35D65" w14:textId="00359609"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409278"/>
      <w:r w:rsidRPr="000C589F">
        <w:rPr>
          <w:rFonts w:ascii="Simplified Arabic" w:eastAsia="Times New Roman" w:hAnsi="Simplified Arabic" w:cs="Simplified Arabic"/>
          <w:b/>
          <w:bCs/>
          <w:color w:val="000000" w:themeColor="text1"/>
          <w:kern w:val="0"/>
          <w:sz w:val="32"/>
          <w:szCs w:val="32"/>
          <w:rtl/>
          <w14:ligatures w14:val="none"/>
        </w:rPr>
        <w:t>أوجه الاختلاف</w:t>
      </w:r>
      <w:bookmarkEnd w:id="19"/>
    </w:p>
    <w:p w14:paraId="4452D856"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تختلف الدراسة الحالية عن الدراسات السابقة في عدة أوجه تُشكّل مجتمعة إضافتها العلمية المميزة، فبينما ركّزت دراسة آل جعرة (2025) على معوقات تطبيق إدارة التنسيق والأسرّة دون ربطها بمخرجات غرف العمليات، واقتصرت دراسة الفراج (2016) على قياس كفاءة تشغيل الأسرّة باستخدام مخطط</w:t>
      </w:r>
      <w:r w:rsidRPr="000C589F">
        <w:rPr>
          <w:rFonts w:ascii="Simplified Arabic" w:eastAsia="Times New Roman" w:hAnsi="Simplified Arabic" w:cs="Simplified Arabic"/>
          <w:color w:val="000000" w:themeColor="text1"/>
          <w:kern w:val="0"/>
          <w:sz w:val="28"/>
          <w:szCs w:val="28"/>
          <w14:ligatures w14:val="none"/>
        </w:rPr>
        <w:t xml:space="preserve"> Barber </w:t>
      </w:r>
      <w:r w:rsidRPr="000C589F">
        <w:rPr>
          <w:rFonts w:ascii="Simplified Arabic" w:eastAsia="Times New Roman" w:hAnsi="Simplified Arabic" w:cs="Simplified Arabic"/>
          <w:color w:val="000000" w:themeColor="text1"/>
          <w:kern w:val="0"/>
          <w:sz w:val="28"/>
          <w:szCs w:val="28"/>
          <w:rtl/>
          <w14:ligatures w14:val="none"/>
        </w:rPr>
        <w:t>دون تناول أثرها على الإلغاءات، وتناولت دراسة</w:t>
      </w:r>
      <w:r w:rsidRPr="000C589F">
        <w:rPr>
          <w:rFonts w:ascii="Simplified Arabic" w:eastAsia="Times New Roman" w:hAnsi="Simplified Arabic" w:cs="Simplified Arabic"/>
          <w:color w:val="000000" w:themeColor="text1"/>
          <w:kern w:val="0"/>
          <w:sz w:val="28"/>
          <w:szCs w:val="28"/>
          <w14:ligatures w14:val="none"/>
        </w:rPr>
        <w:t xml:space="preserve"> Kim &amp; Oh (2024) </w:t>
      </w:r>
      <w:r w:rsidRPr="000C589F">
        <w:rPr>
          <w:rFonts w:ascii="Simplified Arabic" w:eastAsia="Times New Roman" w:hAnsi="Simplified Arabic" w:cs="Simplified Arabic"/>
          <w:color w:val="000000" w:themeColor="text1"/>
          <w:kern w:val="0"/>
          <w:sz w:val="28"/>
          <w:szCs w:val="28"/>
          <w:rtl/>
          <w14:ligatures w14:val="none"/>
        </w:rPr>
        <w:t>التوزيع الجغرافي للأسرّة وفق مؤشرات التدفق دون التطرق للأداء الجراحي، فإن الدراسة الحالية تتميّز بربطها المباشر بين إدارة السعة السريرية كمتغيّر مستقل رباعي الأبعاد ومخرجات غرف العمليات كمتغيّر تابع في نموذج تحليلي واحد متكامل. كما تختلف الدراسة الحالية عن دراسات المتغيّر التابع التي اكتفى معظمها بتوصيف أسباب الإلغاء وحساب معدلاته كما في دراسة</w:t>
      </w:r>
      <w:r w:rsidRPr="000C589F">
        <w:rPr>
          <w:rFonts w:ascii="Simplified Arabic" w:eastAsia="Times New Roman" w:hAnsi="Simplified Arabic" w:cs="Simplified Arabic"/>
          <w:color w:val="000000" w:themeColor="text1"/>
          <w:kern w:val="0"/>
          <w:sz w:val="28"/>
          <w:szCs w:val="28"/>
          <w14:ligatures w14:val="none"/>
        </w:rPr>
        <w:t xml:space="preserve"> Dhafar et al. (2015)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Mesmar et al. (2011)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Nasr et al. (2025) </w:t>
      </w:r>
      <w:r w:rsidRPr="000C589F">
        <w:rPr>
          <w:rFonts w:ascii="Simplified Arabic" w:eastAsia="Times New Roman" w:hAnsi="Simplified Arabic" w:cs="Simplified Arabic"/>
          <w:color w:val="000000" w:themeColor="text1"/>
          <w:kern w:val="0"/>
          <w:sz w:val="28"/>
          <w:szCs w:val="28"/>
          <w:rtl/>
          <w14:ligatures w14:val="none"/>
        </w:rPr>
        <w:t>ودراسة</w:t>
      </w:r>
      <w:r w:rsidRPr="000C589F">
        <w:rPr>
          <w:rFonts w:ascii="Simplified Arabic" w:eastAsia="Times New Roman" w:hAnsi="Simplified Arabic" w:cs="Simplified Arabic"/>
          <w:color w:val="000000" w:themeColor="text1"/>
          <w:kern w:val="0"/>
          <w:sz w:val="28"/>
          <w:szCs w:val="28"/>
          <w14:ligatures w14:val="none"/>
        </w:rPr>
        <w:t xml:space="preserve"> Abeeleh et al. (2017) </w:t>
      </w:r>
      <w:r w:rsidRPr="000C589F">
        <w:rPr>
          <w:rFonts w:ascii="Simplified Arabic" w:eastAsia="Times New Roman" w:hAnsi="Simplified Arabic" w:cs="Simplified Arabic"/>
          <w:color w:val="000000" w:themeColor="text1"/>
          <w:kern w:val="0"/>
          <w:sz w:val="28"/>
          <w:szCs w:val="28"/>
          <w:rtl/>
          <w14:ligatures w14:val="none"/>
        </w:rPr>
        <w:t>دون التعمق في البُنية الإدارية والتنظيمية لإدارة الأسرّة التي تقف خلف هذه الأسباب، بينما ركّزت دراسة</w:t>
      </w:r>
      <w:r w:rsidRPr="000C589F">
        <w:rPr>
          <w:rFonts w:ascii="Simplified Arabic" w:eastAsia="Times New Roman" w:hAnsi="Simplified Arabic" w:cs="Simplified Arabic"/>
          <w:color w:val="000000" w:themeColor="text1"/>
          <w:kern w:val="0"/>
          <w:sz w:val="28"/>
          <w:szCs w:val="28"/>
          <w14:ligatures w14:val="none"/>
        </w:rPr>
        <w:t xml:space="preserve"> Schretlen et al. (2021) </w:t>
      </w:r>
      <w:r w:rsidRPr="000C589F">
        <w:rPr>
          <w:rFonts w:ascii="Simplified Arabic" w:eastAsia="Times New Roman" w:hAnsi="Simplified Arabic" w:cs="Simplified Arabic"/>
          <w:color w:val="000000" w:themeColor="text1"/>
          <w:kern w:val="0"/>
          <w:sz w:val="28"/>
          <w:szCs w:val="28"/>
          <w:rtl/>
          <w14:ligatures w14:val="none"/>
        </w:rPr>
        <w:t>على منهجية</w:t>
      </w:r>
      <w:r w:rsidRPr="000C589F">
        <w:rPr>
          <w:rFonts w:ascii="Simplified Arabic" w:eastAsia="Times New Roman" w:hAnsi="Simplified Arabic" w:cs="Simplified Arabic"/>
          <w:color w:val="000000" w:themeColor="text1"/>
          <w:kern w:val="0"/>
          <w:sz w:val="28"/>
          <w:szCs w:val="28"/>
          <w14:ligatures w14:val="none"/>
        </w:rPr>
        <w:t xml:space="preserve"> Lean Six Sigma </w:t>
      </w:r>
      <w:r w:rsidRPr="000C589F">
        <w:rPr>
          <w:rFonts w:ascii="Simplified Arabic" w:eastAsia="Times New Roman" w:hAnsi="Simplified Arabic" w:cs="Simplified Arabic"/>
          <w:color w:val="000000" w:themeColor="text1"/>
          <w:kern w:val="0"/>
          <w:sz w:val="28"/>
          <w:szCs w:val="28"/>
          <w:rtl/>
          <w14:ligatures w14:val="none"/>
        </w:rPr>
        <w:t>في جراحة القلب تحديداً، وتناولت دراسة</w:t>
      </w:r>
      <w:r w:rsidRPr="000C589F">
        <w:rPr>
          <w:rFonts w:ascii="Simplified Arabic" w:eastAsia="Times New Roman" w:hAnsi="Simplified Arabic" w:cs="Simplified Arabic"/>
          <w:color w:val="000000" w:themeColor="text1"/>
          <w:kern w:val="0"/>
          <w:sz w:val="28"/>
          <w:szCs w:val="28"/>
          <w14:ligatures w14:val="none"/>
        </w:rPr>
        <w:t xml:space="preserve"> Viderman et al. (2021) </w:t>
      </w:r>
      <w:r w:rsidRPr="000C589F">
        <w:rPr>
          <w:rFonts w:ascii="Simplified Arabic" w:eastAsia="Times New Roman" w:hAnsi="Simplified Arabic" w:cs="Simplified Arabic"/>
          <w:color w:val="000000" w:themeColor="text1"/>
          <w:kern w:val="0"/>
          <w:sz w:val="28"/>
          <w:szCs w:val="28"/>
          <w:rtl/>
          <w14:ligatures w14:val="none"/>
        </w:rPr>
        <w:t>بروتوكول إدارة مخاطر القلب والأوعية الدموية فقط، واقتصرت دراسة</w:t>
      </w:r>
      <w:r w:rsidRPr="000C589F">
        <w:rPr>
          <w:rFonts w:ascii="Simplified Arabic" w:eastAsia="Times New Roman" w:hAnsi="Simplified Arabic" w:cs="Simplified Arabic"/>
          <w:color w:val="000000" w:themeColor="text1"/>
          <w:kern w:val="0"/>
          <w:sz w:val="28"/>
          <w:szCs w:val="28"/>
          <w14:ligatures w14:val="none"/>
        </w:rPr>
        <w:t xml:space="preserve"> Naderi et al. (2021) </w:t>
      </w:r>
      <w:r w:rsidRPr="000C589F">
        <w:rPr>
          <w:rFonts w:ascii="Simplified Arabic" w:eastAsia="Times New Roman" w:hAnsi="Simplified Arabic" w:cs="Simplified Arabic"/>
          <w:color w:val="000000" w:themeColor="text1"/>
          <w:kern w:val="0"/>
          <w:sz w:val="28"/>
          <w:szCs w:val="28"/>
          <w:rtl/>
          <w14:ligatures w14:val="none"/>
        </w:rPr>
        <w:t>على نماذج البرمجة الرياضية لتحسين الجدولة، في حين تتبنّى الدراسة الحالية مقاربة شاملة تجمع بين الأبعاد التخطيطية والتنظيمية والتنسيقية والتقنية لإدارة السعة السريرية وتقيس أثرها المجمّع والمنفرد على خفض الإلغاءات وزيادة العمليات المنجزة يومياً في سياق المستشفيات الحكومية العربية، وهو ما يُشكّل إضافة نوعية للأدبيات في هذا المجال</w:t>
      </w:r>
      <w:r w:rsidRPr="000C589F">
        <w:rPr>
          <w:rFonts w:ascii="Simplified Arabic" w:eastAsia="Times New Roman" w:hAnsi="Simplified Arabic" w:cs="Simplified Arabic"/>
          <w:color w:val="000000" w:themeColor="text1"/>
          <w:kern w:val="0"/>
          <w:sz w:val="28"/>
          <w:szCs w:val="28"/>
          <w14:ligatures w14:val="none"/>
        </w:rPr>
        <w:t>.</w:t>
      </w:r>
    </w:p>
    <w:p w14:paraId="7FC9BC37" w14:textId="77777777" w:rsidR="000C589F" w:rsidRPr="000C589F" w:rsidRDefault="000C589F" w:rsidP="000C589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3411393"/>
      <w:bookmarkEnd w:id="15"/>
      <w:r w:rsidRPr="000C589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01A38969" w14:textId="79469857" w:rsidR="000C589F" w:rsidRPr="000C589F" w:rsidRDefault="000C589F"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C589F">
        <w:rPr>
          <w:rFonts w:ascii="Simplified Arabic" w:eastAsia="Times New Roman" w:hAnsi="Simplified Arabic" w:cs="Simplified Arabic"/>
          <w:b/>
          <w:bCs/>
          <w:color w:val="000000" w:themeColor="text1"/>
          <w:kern w:val="0"/>
          <w:sz w:val="32"/>
          <w:szCs w:val="32"/>
          <w:rtl/>
          <w14:ligatures w14:val="none"/>
        </w:rPr>
        <w:t>أولاً: مفهوم إدارة السعة السريرية</w:t>
      </w:r>
    </w:p>
    <w:p w14:paraId="1690B20F"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تُشير إدارة السعة السريرية</w:t>
      </w:r>
      <w:r w:rsidRPr="000C589F">
        <w:rPr>
          <w:rFonts w:ascii="Simplified Arabic" w:eastAsia="Times New Roman" w:hAnsi="Simplified Arabic" w:cs="Simplified Arabic"/>
          <w:color w:val="000000" w:themeColor="text1"/>
          <w:kern w:val="0"/>
          <w:sz w:val="28"/>
          <w:szCs w:val="28"/>
          <w14:ligatures w14:val="none"/>
        </w:rPr>
        <w:t xml:space="preserve"> (Bed Capacity Management) </w:t>
      </w:r>
      <w:r w:rsidRPr="000C589F">
        <w:rPr>
          <w:rFonts w:ascii="Simplified Arabic" w:eastAsia="Times New Roman" w:hAnsi="Simplified Arabic" w:cs="Simplified Arabic"/>
          <w:color w:val="000000" w:themeColor="text1"/>
          <w:kern w:val="0"/>
          <w:sz w:val="28"/>
          <w:szCs w:val="28"/>
          <w:rtl/>
          <w14:ligatures w14:val="none"/>
        </w:rPr>
        <w:t>إلى مجموعة العمليات الإدارية والتنظيمية والتقنية المنهجية التي تهدف إلى تحقيق الاستغلال الأمثل للأسرّة المتاحة داخل المنشأة الصحية، بما يضمن توفير السرير المناسب للمريض المناسب في الوقت المناسب</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 xml:space="preserve">ولا يقتصر هذا </w:t>
      </w:r>
      <w:r w:rsidRPr="000C589F">
        <w:rPr>
          <w:rFonts w:ascii="Simplified Arabic" w:eastAsia="Times New Roman" w:hAnsi="Simplified Arabic" w:cs="Simplified Arabic"/>
          <w:color w:val="000000" w:themeColor="text1"/>
          <w:kern w:val="0"/>
          <w:sz w:val="28"/>
          <w:szCs w:val="28"/>
          <w:rtl/>
          <w14:ligatures w14:val="none"/>
        </w:rPr>
        <w:lastRenderedPageBreak/>
        <w:t>المفهوم على الجانب الكمّي المتمثّل في عدد الأسرّة المادية المتوفرة، بل يمتد ليشمل البُعد الوظيفي الذي يتعلق بكيفية توزيع هذه الأسرّة وتخصيصها وإدارة دورة إشغالها وتفريغها بكفاءة عالية. وقد تطوّر هذا المفهوم تاريخياً من مجرد إحصاء بسيط لعدد الأسرّة لكل عشرة آلاف نسمة وفق نموذج منظمة الصحة العالمية، إلى نماذج أكثر تعقيداً تأخذ في الاعتبار تدفق المرضى والتنبؤ بالطلب والتوزيع الوظيفي حسب التخصصات ومستويات الحدّة، وصولاً إلى النماذج الحديثة المدعومة بالذكاء الاصطناعي والتعلّم الآلي التي تستطيع التنبؤ بالطلب على الأسرّة آنياً وتحسين تخصيصها ديناميكياً</w:t>
      </w:r>
      <w:r w:rsidRPr="000C589F">
        <w:rPr>
          <w:rFonts w:ascii="Simplified Arabic" w:eastAsia="Times New Roman" w:hAnsi="Simplified Arabic" w:cs="Simplified Arabic"/>
          <w:color w:val="000000" w:themeColor="text1"/>
          <w:kern w:val="0"/>
          <w:sz w:val="28"/>
          <w:szCs w:val="28"/>
          <w14:ligatures w14:val="none"/>
        </w:rPr>
        <w:t xml:space="preserve"> (Kim &amp; Oh, 2024).</w:t>
      </w:r>
    </w:p>
    <w:p w14:paraId="480B9428"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وتقوم إدارة السعة السريرية في إطار هذه الدراسة على أربعة أبعاد مترابطة ومتكاملة تُشكّل مجتمعة المنظومة التي يتم من خلالها تشغيل الأسرّة وإدارتها</w:t>
      </w:r>
      <w:r w:rsidRPr="000C589F">
        <w:rPr>
          <w:rFonts w:ascii="Simplified Arabic" w:eastAsia="Times New Roman" w:hAnsi="Simplified Arabic" w:cs="Simplified Arabic"/>
          <w:color w:val="000000" w:themeColor="text1"/>
          <w:kern w:val="0"/>
          <w:sz w:val="28"/>
          <w:szCs w:val="28"/>
          <w14:ligatures w14:val="none"/>
        </w:rPr>
        <w:t>.</w:t>
      </w:r>
    </w:p>
    <w:p w14:paraId="7F3FB0E6"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409281"/>
      <w:r w:rsidRPr="000C589F">
        <w:rPr>
          <w:rFonts w:ascii="Simplified Arabic" w:eastAsia="Times New Roman" w:hAnsi="Simplified Arabic" w:cs="Simplified Arabic"/>
          <w:b/>
          <w:bCs/>
          <w:color w:val="000000" w:themeColor="text1"/>
          <w:kern w:val="0"/>
          <w:sz w:val="32"/>
          <w:szCs w:val="32"/>
          <w:rtl/>
          <w14:ligatures w14:val="none"/>
        </w:rPr>
        <w:t>ثانياً: أبعاد إدارة السعة السريرية</w:t>
      </w:r>
      <w:bookmarkEnd w:id="22"/>
    </w:p>
    <w:p w14:paraId="497256BF"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3409282"/>
      <w:r w:rsidRPr="000C589F">
        <w:rPr>
          <w:rFonts w:ascii="Simplified Arabic" w:eastAsia="Times New Roman" w:hAnsi="Simplified Arabic" w:cs="Simplified Arabic"/>
          <w:b/>
          <w:bCs/>
          <w:color w:val="000000" w:themeColor="text1"/>
          <w:kern w:val="0"/>
          <w:sz w:val="28"/>
          <w:szCs w:val="28"/>
          <w:rtl/>
          <w14:ligatures w14:val="none"/>
        </w:rPr>
        <w:t>البُعد الأول: التخطيط الاستراتيجي للأسرّة</w:t>
      </w:r>
      <w:bookmarkEnd w:id="23"/>
    </w:p>
    <w:p w14:paraId="4276CC81"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يُقصد بالتخطيط الاستراتيجي للأسرّة </w:t>
      </w:r>
      <w:r w:rsidRPr="000C589F">
        <w:rPr>
          <w:rFonts w:ascii="Simplified Arabic" w:eastAsia="Times New Roman" w:hAnsi="Simplified Arabic" w:cs="Simplified Arabic"/>
          <w:color w:val="000000" w:themeColor="text1"/>
          <w:kern w:val="0"/>
          <w:sz w:val="28"/>
          <w:szCs w:val="28"/>
          <w14:ligatures w14:val="none"/>
        </w:rPr>
        <w:t xml:space="preserve">(Strategic Bed Planning) </w:t>
      </w:r>
      <w:r w:rsidRPr="000C589F">
        <w:rPr>
          <w:rFonts w:ascii="Simplified Arabic" w:eastAsia="Times New Roman" w:hAnsi="Simplified Arabic" w:cs="Simplified Arabic"/>
          <w:color w:val="000000" w:themeColor="text1"/>
          <w:kern w:val="0"/>
          <w:sz w:val="28"/>
          <w:szCs w:val="28"/>
          <w:rtl/>
          <w14:ligatures w14:val="none"/>
        </w:rPr>
        <w:t>تلك العملية المنهجية طويلة ومتوسطة المدى التي تتضمن التنبؤ بالطلب المستقبلي على الأسرّة بناءً على البيانات التاريخية والاتجاهات الديموغرافية وأنماط المراضة، وتحديد العدد الأمثل من الأسرّة اللازمة لكل تخصص ومستوى رعاية، ووضع خطط طوارئ للتعامل مع فترات الذروة والأزمات. ويرتبط هذا البُعد بمفهوم نسبة إشغال الأسرّة</w:t>
      </w:r>
      <w:r w:rsidRPr="000C589F">
        <w:rPr>
          <w:rFonts w:ascii="Simplified Arabic" w:eastAsia="Times New Roman" w:hAnsi="Simplified Arabic" w:cs="Simplified Arabic"/>
          <w:color w:val="000000" w:themeColor="text1"/>
          <w:kern w:val="0"/>
          <w:sz w:val="28"/>
          <w:szCs w:val="28"/>
          <w14:ligatures w14:val="none"/>
        </w:rPr>
        <w:t xml:space="preserve"> (Bed Occupancy Rate) </w:t>
      </w:r>
      <w:r w:rsidRPr="000C589F">
        <w:rPr>
          <w:rFonts w:ascii="Simplified Arabic" w:eastAsia="Times New Roman" w:hAnsi="Simplified Arabic" w:cs="Simplified Arabic"/>
          <w:color w:val="000000" w:themeColor="text1"/>
          <w:kern w:val="0"/>
          <w:sz w:val="28"/>
          <w:szCs w:val="28"/>
          <w:rtl/>
          <w14:ligatures w14:val="none"/>
        </w:rPr>
        <w:t>التي تُعبّر عن النسبة المئوية للأسرّة المشغولة من إجمالي الأسرّة المتاحة خلال فترة زمنية محددة، حيث تُشير الأدبيات إلى أن النسبة المثالية تتراوح بين 80% و85%، وأن تجاوز 90% يؤدي إلى اختناقات في التدفق وتأخير في قبول المرضى. ويرتبط أيضاً بمعدل دوران السرير</w:t>
      </w:r>
      <w:r w:rsidRPr="000C589F">
        <w:rPr>
          <w:rFonts w:ascii="Simplified Arabic" w:eastAsia="Times New Roman" w:hAnsi="Simplified Arabic" w:cs="Simplified Arabic"/>
          <w:color w:val="000000" w:themeColor="text1"/>
          <w:kern w:val="0"/>
          <w:sz w:val="28"/>
          <w:szCs w:val="28"/>
          <w14:ligatures w14:val="none"/>
        </w:rPr>
        <w:t xml:space="preserve"> (Bed Turnover Rate) </w:t>
      </w:r>
      <w:r w:rsidRPr="000C589F">
        <w:rPr>
          <w:rFonts w:ascii="Simplified Arabic" w:eastAsia="Times New Roman" w:hAnsi="Simplified Arabic" w:cs="Simplified Arabic"/>
          <w:color w:val="000000" w:themeColor="text1"/>
          <w:kern w:val="0"/>
          <w:sz w:val="28"/>
          <w:szCs w:val="28"/>
          <w:rtl/>
          <w14:ligatures w14:val="none"/>
        </w:rPr>
        <w:t>الذي يقيس عدد المرات التي يتم فيها إشغال السرير وتفريغه خلال فترة زمنية معينة، وهو مؤشر على كفاءة استغلال السعة المتاحة (الفراج، 2016)</w:t>
      </w:r>
      <w:r w:rsidRPr="000C589F">
        <w:rPr>
          <w:rFonts w:ascii="Simplified Arabic" w:eastAsia="Times New Roman" w:hAnsi="Simplified Arabic" w:cs="Simplified Arabic"/>
          <w:color w:val="000000" w:themeColor="text1"/>
          <w:kern w:val="0"/>
          <w:sz w:val="28"/>
          <w:szCs w:val="28"/>
          <w14:ligatures w14:val="none"/>
        </w:rPr>
        <w:t>.</w:t>
      </w:r>
    </w:p>
    <w:p w14:paraId="62905903"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4" w:name="_Toc223409283"/>
      <w:r w:rsidRPr="000C589F">
        <w:rPr>
          <w:rFonts w:ascii="Simplified Arabic" w:eastAsia="Times New Roman" w:hAnsi="Simplified Arabic" w:cs="Simplified Arabic"/>
          <w:b/>
          <w:bCs/>
          <w:color w:val="000000" w:themeColor="text1"/>
          <w:kern w:val="0"/>
          <w:sz w:val="28"/>
          <w:szCs w:val="28"/>
          <w:rtl/>
          <w14:ligatures w14:val="none"/>
        </w:rPr>
        <w:t>البُعد الثاني: إدارة تدفق المرضى</w:t>
      </w:r>
      <w:bookmarkEnd w:id="24"/>
    </w:p>
    <w:p w14:paraId="56B3B45C"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تُعرَّف إدارة تدفق المرضى</w:t>
      </w:r>
      <w:r w:rsidRPr="000C589F">
        <w:rPr>
          <w:rFonts w:ascii="Simplified Arabic" w:eastAsia="Times New Roman" w:hAnsi="Simplified Arabic" w:cs="Simplified Arabic"/>
          <w:color w:val="000000" w:themeColor="text1"/>
          <w:kern w:val="0"/>
          <w:sz w:val="28"/>
          <w:szCs w:val="28"/>
          <w14:ligatures w14:val="none"/>
        </w:rPr>
        <w:t xml:space="preserve"> (Patient Flow Management) </w:t>
      </w:r>
      <w:r w:rsidRPr="000C589F">
        <w:rPr>
          <w:rFonts w:ascii="Simplified Arabic" w:eastAsia="Times New Roman" w:hAnsi="Simplified Arabic" w:cs="Simplified Arabic"/>
          <w:color w:val="000000" w:themeColor="text1"/>
          <w:kern w:val="0"/>
          <w:sz w:val="28"/>
          <w:szCs w:val="28"/>
          <w:rtl/>
          <w14:ligatures w14:val="none"/>
        </w:rPr>
        <w:t>بأنها مجموعة الإجراءات والآليات التي تُنظّم حركة المريض عبر مراحل الرعاية المختلفة من لحظة القرار بالدخول حتى لحظة الخروج، بما يشمل إدارة عمليات الدخول والنقل الداخلي بين الأقسام وتجهيز الأسرّة بعد خروج المريض وإدارة عمليات الخروج ذاتها. ويُعدّ زمن تجهيز السرير</w:t>
      </w:r>
      <w:r w:rsidRPr="000C589F">
        <w:rPr>
          <w:rFonts w:ascii="Simplified Arabic" w:eastAsia="Times New Roman" w:hAnsi="Simplified Arabic" w:cs="Simplified Arabic"/>
          <w:color w:val="000000" w:themeColor="text1"/>
          <w:kern w:val="0"/>
          <w:sz w:val="28"/>
          <w:szCs w:val="28"/>
          <w14:ligatures w14:val="none"/>
        </w:rPr>
        <w:t xml:space="preserve"> (Bed Turnover Time) </w:t>
      </w:r>
      <w:r w:rsidRPr="000C589F">
        <w:rPr>
          <w:rFonts w:ascii="Simplified Arabic" w:eastAsia="Times New Roman" w:hAnsi="Simplified Arabic" w:cs="Simplified Arabic"/>
          <w:color w:val="000000" w:themeColor="text1"/>
          <w:kern w:val="0"/>
          <w:sz w:val="28"/>
          <w:szCs w:val="28"/>
          <w:rtl/>
          <w14:ligatures w14:val="none"/>
        </w:rPr>
        <w:t xml:space="preserve">من أهم المؤشرات المرتبطة </w:t>
      </w:r>
      <w:r w:rsidRPr="000C589F">
        <w:rPr>
          <w:rFonts w:ascii="Simplified Arabic" w:eastAsia="Times New Roman" w:hAnsi="Simplified Arabic" w:cs="Simplified Arabic"/>
          <w:color w:val="000000" w:themeColor="text1"/>
          <w:kern w:val="0"/>
          <w:sz w:val="28"/>
          <w:szCs w:val="28"/>
          <w:rtl/>
          <w14:ligatures w14:val="none"/>
        </w:rPr>
        <w:lastRenderedPageBreak/>
        <w:t>بهذا البُعد، وهو الفترة الزمنية المنقضية بين مغادرة مريض للسرير واستقبال المريض التالي، حيث أثبتت الدراسات أن الأنظمة المركزية لإدارة الأسرّة تُقلّص هذا الزمن من 111 دقيقة إلى 49 دقيقة</w:t>
      </w:r>
      <w:r w:rsidRPr="000C589F">
        <w:rPr>
          <w:rFonts w:ascii="Simplified Arabic" w:eastAsia="Times New Roman" w:hAnsi="Simplified Arabic" w:cs="Simplified Arabic"/>
          <w:color w:val="000000" w:themeColor="text1"/>
          <w:kern w:val="0"/>
          <w:sz w:val="28"/>
          <w:szCs w:val="28"/>
          <w14:ligatures w14:val="none"/>
        </w:rPr>
        <w:t xml:space="preserve"> (Altavilla, 2026). </w:t>
      </w:r>
      <w:r w:rsidRPr="000C589F">
        <w:rPr>
          <w:rFonts w:ascii="Simplified Arabic" w:eastAsia="Times New Roman" w:hAnsi="Simplified Arabic" w:cs="Simplified Arabic"/>
          <w:color w:val="000000" w:themeColor="text1"/>
          <w:kern w:val="0"/>
          <w:sz w:val="28"/>
          <w:szCs w:val="28"/>
          <w:rtl/>
          <w14:ligatures w14:val="none"/>
        </w:rPr>
        <w:t>كما يشمل هذا البُعد مفهوم الاحتجاز في غرف العمليات</w:t>
      </w:r>
      <w:r w:rsidRPr="000C589F">
        <w:rPr>
          <w:rFonts w:ascii="Simplified Arabic" w:eastAsia="Times New Roman" w:hAnsi="Simplified Arabic" w:cs="Simplified Arabic"/>
          <w:color w:val="000000" w:themeColor="text1"/>
          <w:kern w:val="0"/>
          <w:sz w:val="28"/>
          <w:szCs w:val="28"/>
          <w14:ligatures w14:val="none"/>
        </w:rPr>
        <w:t xml:space="preserve"> (OR Holds) </w:t>
      </w:r>
      <w:r w:rsidRPr="000C589F">
        <w:rPr>
          <w:rFonts w:ascii="Simplified Arabic" w:eastAsia="Times New Roman" w:hAnsi="Simplified Arabic" w:cs="Simplified Arabic"/>
          <w:color w:val="000000" w:themeColor="text1"/>
          <w:kern w:val="0"/>
          <w:sz w:val="28"/>
          <w:szCs w:val="28"/>
          <w:rtl/>
          <w14:ligatures w14:val="none"/>
        </w:rPr>
        <w:t>الذي يُشير إلى بقاء المريض في غرفة العمليات بعد انتهاء الإجراء الجراحي بسبب عدم توفر سرير في قسم التنويم أو العناية المركزة، مما يُعطّل جدول العمليات اللاحقة</w:t>
      </w:r>
      <w:r w:rsidRPr="000C589F">
        <w:rPr>
          <w:rFonts w:ascii="Simplified Arabic" w:eastAsia="Times New Roman" w:hAnsi="Simplified Arabic" w:cs="Simplified Arabic"/>
          <w:color w:val="000000" w:themeColor="text1"/>
          <w:kern w:val="0"/>
          <w:sz w:val="28"/>
          <w:szCs w:val="28"/>
          <w14:ligatures w14:val="none"/>
        </w:rPr>
        <w:t xml:space="preserve"> (McGowan et al., 2007).</w:t>
      </w:r>
    </w:p>
    <w:p w14:paraId="471B1952"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3409284"/>
      <w:r w:rsidRPr="000C589F">
        <w:rPr>
          <w:rFonts w:ascii="Simplified Arabic" w:eastAsia="Times New Roman" w:hAnsi="Simplified Arabic" w:cs="Simplified Arabic"/>
          <w:b/>
          <w:bCs/>
          <w:color w:val="000000" w:themeColor="text1"/>
          <w:kern w:val="0"/>
          <w:sz w:val="28"/>
          <w:szCs w:val="28"/>
          <w:rtl/>
          <w14:ligatures w14:val="none"/>
        </w:rPr>
        <w:t>البُعد الثالث: التنسيق بين الأقسام السريرية والإدارية</w:t>
      </w:r>
      <w:bookmarkEnd w:id="25"/>
    </w:p>
    <w:p w14:paraId="75A727D7"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يُشير التنسيق بين الأقسام السريرية والإدارية </w:t>
      </w:r>
      <w:r w:rsidRPr="000C589F">
        <w:rPr>
          <w:rFonts w:ascii="Simplified Arabic" w:eastAsia="Times New Roman" w:hAnsi="Simplified Arabic" w:cs="Simplified Arabic"/>
          <w:color w:val="000000" w:themeColor="text1"/>
          <w:kern w:val="0"/>
          <w:sz w:val="28"/>
          <w:szCs w:val="28"/>
          <w14:ligatures w14:val="none"/>
        </w:rPr>
        <w:t xml:space="preserve">(Interdepartmental Coordination) </w:t>
      </w:r>
      <w:r w:rsidRPr="000C589F">
        <w:rPr>
          <w:rFonts w:ascii="Simplified Arabic" w:eastAsia="Times New Roman" w:hAnsi="Simplified Arabic" w:cs="Simplified Arabic"/>
          <w:color w:val="000000" w:themeColor="text1"/>
          <w:kern w:val="0"/>
          <w:sz w:val="28"/>
          <w:szCs w:val="28"/>
          <w:rtl/>
          <w14:ligatures w14:val="none"/>
        </w:rPr>
        <w:t>إلى مستوى التواصل والتكامل التنظيمي بين الأقسام المعنية بمسار المريض الجراحي، وتحديداً أقسام الجراحة والتخدير والعناية المركزة وإدارة الأسرّة والتمريض وخدمات الدعم. ويتضمن هذا البُعد آليات مثل الاجتماعات اليومية لتنسيق السعة</w:t>
      </w:r>
      <w:r w:rsidRPr="000C589F">
        <w:rPr>
          <w:rFonts w:ascii="Simplified Arabic" w:eastAsia="Times New Roman" w:hAnsi="Simplified Arabic" w:cs="Simplified Arabic"/>
          <w:color w:val="000000" w:themeColor="text1"/>
          <w:kern w:val="0"/>
          <w:sz w:val="28"/>
          <w:szCs w:val="28"/>
          <w14:ligatures w14:val="none"/>
        </w:rPr>
        <w:t xml:space="preserve"> (Daily Capacity Huddles) </w:t>
      </w:r>
      <w:r w:rsidRPr="000C589F">
        <w:rPr>
          <w:rFonts w:ascii="Simplified Arabic" w:eastAsia="Times New Roman" w:hAnsi="Simplified Arabic" w:cs="Simplified Arabic"/>
          <w:color w:val="000000" w:themeColor="text1"/>
          <w:kern w:val="0"/>
          <w:sz w:val="28"/>
          <w:szCs w:val="28"/>
          <w:rtl/>
          <w14:ligatures w14:val="none"/>
        </w:rPr>
        <w:t>ومشاركة المعلومات الآنية حول وضع الأسرّة وتنسيق جداول الخروج مع جداول العمليات. وقد أثبتت الأدبيات أن ضعف التنسيق بين الفرق الجراحية وفرق العناية المركزة يُعدّ من العوامل الرئيسية المسببة لإلغاء العمليات بسبب عدم توفر أسرّة ما بعد الجراحة</w:t>
      </w:r>
      <w:r w:rsidRPr="000C589F">
        <w:rPr>
          <w:rFonts w:ascii="Simplified Arabic" w:eastAsia="Times New Roman" w:hAnsi="Simplified Arabic" w:cs="Simplified Arabic"/>
          <w:color w:val="000000" w:themeColor="text1"/>
          <w:kern w:val="0"/>
          <w:sz w:val="28"/>
          <w:szCs w:val="28"/>
          <w14:ligatures w14:val="none"/>
        </w:rPr>
        <w:t xml:space="preserve"> (Nasr et al., 2025). </w:t>
      </w:r>
      <w:r w:rsidRPr="000C589F">
        <w:rPr>
          <w:rFonts w:ascii="Simplified Arabic" w:eastAsia="Times New Roman" w:hAnsi="Simplified Arabic" w:cs="Simplified Arabic"/>
          <w:color w:val="000000" w:themeColor="text1"/>
          <w:kern w:val="0"/>
          <w:sz w:val="28"/>
          <w:szCs w:val="28"/>
          <w:rtl/>
          <w14:ligatures w14:val="none"/>
        </w:rPr>
        <w:t>كما بيّنت دراسة آل جعرة (2025) أن المعوقات الإدارية المتعلقة بضعف التنسيق بين الإدارات تُشكّل أعلى مستويات المعوقات في تطبيق إدارة التنسيق والأسرّة بالقطاع الصحي السعودي</w:t>
      </w:r>
      <w:r w:rsidRPr="000C589F">
        <w:rPr>
          <w:rFonts w:ascii="Simplified Arabic" w:eastAsia="Times New Roman" w:hAnsi="Simplified Arabic" w:cs="Simplified Arabic"/>
          <w:color w:val="000000" w:themeColor="text1"/>
          <w:kern w:val="0"/>
          <w:sz w:val="28"/>
          <w:szCs w:val="28"/>
          <w14:ligatures w14:val="none"/>
        </w:rPr>
        <w:t>.</w:t>
      </w:r>
    </w:p>
    <w:p w14:paraId="28B06722"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6" w:name="_Toc223409285"/>
      <w:r w:rsidRPr="000C589F">
        <w:rPr>
          <w:rFonts w:ascii="Simplified Arabic" w:eastAsia="Times New Roman" w:hAnsi="Simplified Arabic" w:cs="Simplified Arabic"/>
          <w:b/>
          <w:bCs/>
          <w:color w:val="000000" w:themeColor="text1"/>
          <w:kern w:val="0"/>
          <w:sz w:val="28"/>
          <w:szCs w:val="28"/>
          <w:rtl/>
          <w14:ligatures w14:val="none"/>
        </w:rPr>
        <w:t>البُعد الرابع: الأنظمة الرقمية لإدارة الأسرّة</w:t>
      </w:r>
      <w:bookmarkEnd w:id="26"/>
    </w:p>
    <w:p w14:paraId="127138EE"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تُمثّل الأنظمة الرقمية لإدارة الأسرّة </w:t>
      </w:r>
      <w:r w:rsidRPr="000C589F">
        <w:rPr>
          <w:rFonts w:ascii="Simplified Arabic" w:eastAsia="Times New Roman" w:hAnsi="Simplified Arabic" w:cs="Simplified Arabic"/>
          <w:color w:val="000000" w:themeColor="text1"/>
          <w:kern w:val="0"/>
          <w:sz w:val="28"/>
          <w:szCs w:val="28"/>
          <w14:ligatures w14:val="none"/>
        </w:rPr>
        <w:t xml:space="preserve">(Digital Bed Management Systems) </w:t>
      </w:r>
      <w:r w:rsidRPr="000C589F">
        <w:rPr>
          <w:rFonts w:ascii="Simplified Arabic" w:eastAsia="Times New Roman" w:hAnsi="Simplified Arabic" w:cs="Simplified Arabic"/>
          <w:color w:val="000000" w:themeColor="text1"/>
          <w:kern w:val="0"/>
          <w:sz w:val="28"/>
          <w:szCs w:val="28"/>
          <w:rtl/>
          <w14:ligatures w14:val="none"/>
        </w:rPr>
        <w:t>البُعد التقني في منظومة إدارة السعة السريرية، وتشمل الحلول التكنولوجية والبرمجيات المتخصصة التي تُتيح المراقبة الآنية لحالة كل سرير في المستشفى والتنبؤ بأوقات الإخلاء وأتمتة عمليات تخصيص الأسرّة وتوفير لوحات معلومات</w:t>
      </w:r>
      <w:r w:rsidRPr="000C589F">
        <w:rPr>
          <w:rFonts w:ascii="Simplified Arabic" w:eastAsia="Times New Roman" w:hAnsi="Simplified Arabic" w:cs="Simplified Arabic"/>
          <w:color w:val="000000" w:themeColor="text1"/>
          <w:kern w:val="0"/>
          <w:sz w:val="28"/>
          <w:szCs w:val="28"/>
          <w14:ligatures w14:val="none"/>
        </w:rPr>
        <w:t xml:space="preserve"> (Dashboards) </w:t>
      </w:r>
      <w:r w:rsidRPr="000C589F">
        <w:rPr>
          <w:rFonts w:ascii="Simplified Arabic" w:eastAsia="Times New Roman" w:hAnsi="Simplified Arabic" w:cs="Simplified Arabic"/>
          <w:color w:val="000000" w:themeColor="text1"/>
          <w:kern w:val="0"/>
          <w:sz w:val="28"/>
          <w:szCs w:val="28"/>
          <w:rtl/>
          <w14:ligatures w14:val="none"/>
        </w:rPr>
        <w:t>تُعرض مؤشرات الأداء الرئيسية المتعلقة بالسعة. ويندرج تحت هذا البُعد مفاهيم مثل نظام تتبّع الأسرّة الإلكتروني</w:t>
      </w:r>
      <w:r w:rsidRPr="000C589F">
        <w:rPr>
          <w:rFonts w:ascii="Simplified Arabic" w:eastAsia="Times New Roman" w:hAnsi="Simplified Arabic" w:cs="Simplified Arabic"/>
          <w:color w:val="000000" w:themeColor="text1"/>
          <w:kern w:val="0"/>
          <w:sz w:val="28"/>
          <w:szCs w:val="28"/>
          <w14:ligatures w14:val="none"/>
        </w:rPr>
        <w:t xml:space="preserve"> (Electronic Bed Tracking) </w:t>
      </w:r>
      <w:r w:rsidRPr="000C589F">
        <w:rPr>
          <w:rFonts w:ascii="Simplified Arabic" w:eastAsia="Times New Roman" w:hAnsi="Simplified Arabic" w:cs="Simplified Arabic"/>
          <w:color w:val="000000" w:themeColor="text1"/>
          <w:kern w:val="0"/>
          <w:sz w:val="28"/>
          <w:szCs w:val="28"/>
          <w:rtl/>
          <w14:ligatures w14:val="none"/>
        </w:rPr>
        <w:t>وأدوات التنبؤ المدعومة بالذكاء الاصطناعي</w:t>
      </w:r>
      <w:r w:rsidRPr="000C589F">
        <w:rPr>
          <w:rFonts w:ascii="Simplified Arabic" w:eastAsia="Times New Roman" w:hAnsi="Simplified Arabic" w:cs="Simplified Arabic"/>
          <w:color w:val="000000" w:themeColor="text1"/>
          <w:kern w:val="0"/>
          <w:sz w:val="28"/>
          <w:szCs w:val="28"/>
          <w14:ligatures w14:val="none"/>
        </w:rPr>
        <w:t xml:space="preserve"> (AI-Powered Forecasting) </w:t>
      </w:r>
      <w:r w:rsidRPr="000C589F">
        <w:rPr>
          <w:rFonts w:ascii="Simplified Arabic" w:eastAsia="Times New Roman" w:hAnsi="Simplified Arabic" w:cs="Simplified Arabic"/>
          <w:color w:val="000000" w:themeColor="text1"/>
          <w:kern w:val="0"/>
          <w:sz w:val="28"/>
          <w:szCs w:val="28"/>
          <w:rtl/>
          <w14:ligatures w14:val="none"/>
        </w:rPr>
        <w:t>التي تُساعد في التخطيط الاستباقي لاحتياجات الأسرّة بناءً على أنماط الدخول والخروج التاريخية</w:t>
      </w:r>
      <w:r w:rsidRPr="000C589F">
        <w:rPr>
          <w:rFonts w:ascii="Simplified Arabic" w:eastAsia="Times New Roman" w:hAnsi="Simplified Arabic" w:cs="Simplified Arabic"/>
          <w:color w:val="000000" w:themeColor="text1"/>
          <w:kern w:val="0"/>
          <w:sz w:val="28"/>
          <w:szCs w:val="28"/>
          <w14:ligatures w14:val="none"/>
        </w:rPr>
        <w:t xml:space="preserve"> (Brendel, 2021).</w:t>
      </w:r>
    </w:p>
    <w:p w14:paraId="1CA1B112"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3409286"/>
      <w:r w:rsidRPr="000C589F">
        <w:rPr>
          <w:rFonts w:ascii="Simplified Arabic" w:eastAsia="Times New Roman" w:hAnsi="Simplified Arabic" w:cs="Simplified Arabic"/>
          <w:b/>
          <w:bCs/>
          <w:color w:val="000000" w:themeColor="text1"/>
          <w:kern w:val="0"/>
          <w:sz w:val="32"/>
          <w:szCs w:val="32"/>
          <w:rtl/>
          <w14:ligatures w14:val="none"/>
        </w:rPr>
        <w:t>ثالثاً: مفهوم إلغاء العمليات الجراحية</w:t>
      </w:r>
      <w:bookmarkEnd w:id="27"/>
    </w:p>
    <w:p w14:paraId="0212B245"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يُعرَّف إلغاء العمليات الجراحية</w:t>
      </w:r>
      <w:r w:rsidRPr="000C589F">
        <w:rPr>
          <w:rFonts w:ascii="Simplified Arabic" w:eastAsia="Times New Roman" w:hAnsi="Simplified Arabic" w:cs="Simplified Arabic"/>
          <w:color w:val="000000" w:themeColor="text1"/>
          <w:kern w:val="0"/>
          <w:sz w:val="28"/>
          <w:szCs w:val="28"/>
          <w14:ligatures w14:val="none"/>
        </w:rPr>
        <w:t xml:space="preserve"> (Surgical Case Cancellation) </w:t>
      </w:r>
      <w:r w:rsidRPr="000C589F">
        <w:rPr>
          <w:rFonts w:ascii="Simplified Arabic" w:eastAsia="Times New Roman" w:hAnsi="Simplified Arabic" w:cs="Simplified Arabic"/>
          <w:color w:val="000000" w:themeColor="text1"/>
          <w:kern w:val="0"/>
          <w:sz w:val="28"/>
          <w:szCs w:val="28"/>
          <w:rtl/>
          <w14:ligatures w14:val="none"/>
        </w:rPr>
        <w:t>بأنه عدم إجراء العملية الجراحية الاختيارية المجدولة في موعدها المحدد بعد أن تكون قد أُدرجت رسمياً في قائمة العمليات</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ويُميَّز في الأدبيات بين الإلغاء في يوم الجراحة ذاته</w:t>
      </w:r>
      <w:r w:rsidRPr="000C589F">
        <w:rPr>
          <w:rFonts w:ascii="Simplified Arabic" w:eastAsia="Times New Roman" w:hAnsi="Simplified Arabic" w:cs="Simplified Arabic"/>
          <w:color w:val="000000" w:themeColor="text1"/>
          <w:kern w:val="0"/>
          <w:sz w:val="28"/>
          <w:szCs w:val="28"/>
          <w14:ligatures w14:val="none"/>
        </w:rPr>
        <w:t xml:space="preserve"> (Same-Day Cancellation) </w:t>
      </w:r>
      <w:r w:rsidRPr="000C589F">
        <w:rPr>
          <w:rFonts w:ascii="Simplified Arabic" w:eastAsia="Times New Roman" w:hAnsi="Simplified Arabic" w:cs="Simplified Arabic"/>
          <w:color w:val="000000" w:themeColor="text1"/>
          <w:kern w:val="0"/>
          <w:sz w:val="28"/>
          <w:szCs w:val="28"/>
          <w:rtl/>
          <w14:ligatures w14:val="none"/>
        </w:rPr>
        <w:t>والإلغاء في اللحظة الأخيرة</w:t>
      </w:r>
      <w:r w:rsidRPr="000C589F">
        <w:rPr>
          <w:rFonts w:ascii="Simplified Arabic" w:eastAsia="Times New Roman" w:hAnsi="Simplified Arabic" w:cs="Simplified Arabic"/>
          <w:color w:val="000000" w:themeColor="text1"/>
          <w:kern w:val="0"/>
          <w:sz w:val="28"/>
          <w:szCs w:val="28"/>
          <w14:ligatures w14:val="none"/>
        </w:rPr>
        <w:t xml:space="preserve"> (Last-Minute Cancellation) </w:t>
      </w:r>
      <w:r w:rsidRPr="000C589F">
        <w:rPr>
          <w:rFonts w:ascii="Simplified Arabic" w:eastAsia="Times New Roman" w:hAnsi="Simplified Arabic" w:cs="Simplified Arabic"/>
          <w:color w:val="000000" w:themeColor="text1"/>
          <w:kern w:val="0"/>
          <w:sz w:val="28"/>
          <w:szCs w:val="28"/>
          <w:rtl/>
          <w14:ligatures w14:val="none"/>
        </w:rPr>
        <w:t>الذي يحدث بعد وصول المريض إلى منطقة العمليات. وتتنوع أسباب الإلغاء بين عوامل مرتبطة بالمريض كعدم الحضور أو تغيّر الحالة الصحية، وعوامل مرتبطة بالمنشأة كعدم توفر الأسرّة أو المعدات أو غرف العمليات، وعوامل مرتبطة بالطاقم الطبي كعدم توفر الجرّاح أو طبيب التخدير. ويُعدّ معدل الإلغاء مؤشراً معترفاً به دولياً على كفاءة تشغيل غرف العمليات، حيث يُعتبر معدل أقل من 5% مؤشراً على الاستغلال الأمثل</w:t>
      </w:r>
      <w:r w:rsidRPr="000C589F">
        <w:rPr>
          <w:rFonts w:ascii="Simplified Arabic" w:eastAsia="Times New Roman" w:hAnsi="Simplified Arabic" w:cs="Simplified Arabic"/>
          <w:color w:val="000000" w:themeColor="text1"/>
          <w:kern w:val="0"/>
          <w:sz w:val="28"/>
          <w:szCs w:val="28"/>
          <w14:ligatures w14:val="none"/>
        </w:rPr>
        <w:t xml:space="preserve"> (Dhafar et al., 2015).</w:t>
      </w:r>
    </w:p>
    <w:p w14:paraId="224DB36C"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8" w:name="_Toc223409287"/>
      <w:r w:rsidRPr="000C589F">
        <w:rPr>
          <w:rFonts w:ascii="Simplified Arabic" w:eastAsia="Times New Roman" w:hAnsi="Simplified Arabic" w:cs="Simplified Arabic"/>
          <w:b/>
          <w:bCs/>
          <w:color w:val="000000" w:themeColor="text1"/>
          <w:kern w:val="0"/>
          <w:sz w:val="32"/>
          <w:szCs w:val="32"/>
          <w:rtl/>
          <w14:ligatures w14:val="none"/>
        </w:rPr>
        <w:t>رابعاً: مفهوم زيادة عدد العمليات المنجزة يومياً</w:t>
      </w:r>
      <w:bookmarkEnd w:id="28"/>
    </w:p>
    <w:p w14:paraId="19E8EC1D"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يُقصد بزيادة عدد العمليات المنجزة يومياً </w:t>
      </w:r>
      <w:r w:rsidRPr="000C589F">
        <w:rPr>
          <w:rFonts w:ascii="Simplified Arabic" w:eastAsia="Times New Roman" w:hAnsi="Simplified Arabic" w:cs="Simplified Arabic"/>
          <w:color w:val="000000" w:themeColor="text1"/>
          <w:kern w:val="0"/>
          <w:sz w:val="28"/>
          <w:szCs w:val="28"/>
          <w14:ligatures w14:val="none"/>
        </w:rPr>
        <w:t xml:space="preserve">(Increasing Daily Surgical Throughput) </w:t>
      </w:r>
      <w:r w:rsidRPr="000C589F">
        <w:rPr>
          <w:rFonts w:ascii="Simplified Arabic" w:eastAsia="Times New Roman" w:hAnsi="Simplified Arabic" w:cs="Simplified Arabic"/>
          <w:color w:val="000000" w:themeColor="text1"/>
          <w:kern w:val="0"/>
          <w:sz w:val="28"/>
          <w:szCs w:val="28"/>
          <w:rtl/>
          <w14:ligatures w14:val="none"/>
        </w:rPr>
        <w:t>رفع الطاقة الإنتاجية الفعلية لغرف العمليات من حيث عدد الحالات الجراحية المُكتملة خلال يوم العمل الواحد، مع المحافظة على معايير الجودة والسلامة. ويرتبط هذا المفهوم بمصطلح كفاءة غرف العمليات</w:t>
      </w:r>
      <w:r w:rsidRPr="000C589F">
        <w:rPr>
          <w:rFonts w:ascii="Simplified Arabic" w:eastAsia="Times New Roman" w:hAnsi="Simplified Arabic" w:cs="Simplified Arabic"/>
          <w:color w:val="000000" w:themeColor="text1"/>
          <w:kern w:val="0"/>
          <w:sz w:val="28"/>
          <w:szCs w:val="28"/>
          <w14:ligatures w14:val="none"/>
        </w:rPr>
        <w:t xml:space="preserve"> (Operating Room Efficiency) </w:t>
      </w:r>
      <w:r w:rsidRPr="000C589F">
        <w:rPr>
          <w:rFonts w:ascii="Simplified Arabic" w:eastAsia="Times New Roman" w:hAnsi="Simplified Arabic" w:cs="Simplified Arabic"/>
          <w:color w:val="000000" w:themeColor="text1"/>
          <w:kern w:val="0"/>
          <w:sz w:val="28"/>
          <w:szCs w:val="28"/>
          <w:rtl/>
          <w14:ligatures w14:val="none"/>
        </w:rPr>
        <w:t>الذي يُقاس بمؤشرات مثل نسبة استخدام غرفة العمليات</w:t>
      </w:r>
      <w:r w:rsidRPr="000C589F">
        <w:rPr>
          <w:rFonts w:ascii="Simplified Arabic" w:eastAsia="Times New Roman" w:hAnsi="Simplified Arabic" w:cs="Simplified Arabic"/>
          <w:color w:val="000000" w:themeColor="text1"/>
          <w:kern w:val="0"/>
          <w:sz w:val="28"/>
          <w:szCs w:val="28"/>
          <w14:ligatures w14:val="none"/>
        </w:rPr>
        <w:t xml:space="preserve"> (OR Utilization Rate) </w:t>
      </w:r>
      <w:r w:rsidRPr="000C589F">
        <w:rPr>
          <w:rFonts w:ascii="Simplified Arabic" w:eastAsia="Times New Roman" w:hAnsi="Simplified Arabic" w:cs="Simplified Arabic"/>
          <w:color w:val="000000" w:themeColor="text1"/>
          <w:kern w:val="0"/>
          <w:sz w:val="28"/>
          <w:szCs w:val="28"/>
          <w:rtl/>
          <w14:ligatures w14:val="none"/>
        </w:rPr>
        <w:t xml:space="preserve">وزمن التحوّل بين الحالات </w:t>
      </w:r>
      <w:r w:rsidRPr="000C589F">
        <w:rPr>
          <w:rFonts w:ascii="Simplified Arabic" w:eastAsia="Times New Roman" w:hAnsi="Simplified Arabic" w:cs="Simplified Arabic"/>
          <w:color w:val="000000" w:themeColor="text1"/>
          <w:kern w:val="0"/>
          <w:sz w:val="28"/>
          <w:szCs w:val="28"/>
          <w14:ligatures w14:val="none"/>
        </w:rPr>
        <w:t xml:space="preserve">(Turnover Time) </w:t>
      </w:r>
      <w:r w:rsidRPr="000C589F">
        <w:rPr>
          <w:rFonts w:ascii="Simplified Arabic" w:eastAsia="Times New Roman" w:hAnsi="Simplified Arabic" w:cs="Simplified Arabic"/>
          <w:color w:val="000000" w:themeColor="text1"/>
          <w:kern w:val="0"/>
          <w:sz w:val="28"/>
          <w:szCs w:val="28"/>
          <w:rtl/>
          <w14:ligatures w14:val="none"/>
        </w:rPr>
        <w:t>ومعدل البدء في الوقت المحدد</w:t>
      </w:r>
      <w:r w:rsidRPr="000C589F">
        <w:rPr>
          <w:rFonts w:ascii="Simplified Arabic" w:eastAsia="Times New Roman" w:hAnsi="Simplified Arabic" w:cs="Simplified Arabic"/>
          <w:color w:val="000000" w:themeColor="text1"/>
          <w:kern w:val="0"/>
          <w:sz w:val="28"/>
          <w:szCs w:val="28"/>
          <w14:ligatures w14:val="none"/>
        </w:rPr>
        <w:t xml:space="preserve"> (On-Time Start Rate). </w:t>
      </w:r>
      <w:r w:rsidRPr="000C589F">
        <w:rPr>
          <w:rFonts w:ascii="Simplified Arabic" w:eastAsia="Times New Roman" w:hAnsi="Simplified Arabic" w:cs="Simplified Arabic"/>
          <w:color w:val="000000" w:themeColor="text1"/>
          <w:kern w:val="0"/>
          <w:sz w:val="28"/>
          <w:szCs w:val="28"/>
          <w:rtl/>
          <w14:ligatures w14:val="none"/>
        </w:rPr>
        <w:t xml:space="preserve">وقد أثبتت الدراسات أن تحسين إدارة السعة السريرية يُمكن أن يرفع حجم العمليات بنسبة 8% ويُقلّص أوقات التحوّل بشكل ملحوظ دون الحاجة لموارد إضافية </w:t>
      </w:r>
      <w:r w:rsidRPr="000C589F">
        <w:rPr>
          <w:rFonts w:ascii="Simplified Arabic" w:eastAsia="Times New Roman" w:hAnsi="Simplified Arabic" w:cs="Simplified Arabic"/>
          <w:color w:val="000000" w:themeColor="text1"/>
          <w:kern w:val="0"/>
          <w:sz w:val="28"/>
          <w:szCs w:val="28"/>
          <w14:ligatures w14:val="none"/>
        </w:rPr>
        <w:t>(Naderi et al., 2021).</w:t>
      </w:r>
    </w:p>
    <w:p w14:paraId="17B6CFA8" w14:textId="77777777" w:rsidR="000361B5" w:rsidRPr="000C589F" w:rsidRDefault="000361B5" w:rsidP="000C5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3409288"/>
      <w:r w:rsidRPr="000C589F">
        <w:rPr>
          <w:rFonts w:ascii="Simplified Arabic" w:eastAsia="Times New Roman" w:hAnsi="Simplified Arabic" w:cs="Simplified Arabic"/>
          <w:b/>
          <w:bCs/>
          <w:color w:val="000000" w:themeColor="text1"/>
          <w:kern w:val="0"/>
          <w:sz w:val="32"/>
          <w:szCs w:val="32"/>
          <w:rtl/>
          <w14:ligatures w14:val="none"/>
        </w:rPr>
        <w:t>خامساً: العلاقة النظرية بين إدارة السعة السريرية ومخرجات غرف العمليات</w:t>
      </w:r>
      <w:bookmarkEnd w:id="29"/>
    </w:p>
    <w:p w14:paraId="5B491F92"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يقوم الإطار النظري لهذه الدراسة على فرضية مفادها أن إدارة السعة السريرية بأبعادها الأربعة تُؤثّر تأثيراً مباشراً على مخرجات غرف العمليات من خلال سلسلة من العلاقات السببية المترابطة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فالتخطيط الاستراتيجي يضمن توفر العدد الكافي من الأسرّة لكل تخصص، وإدارة التدفق تضمن تجهيز الأسرّة في الوقت المناسب لاستقبال مرضى ما بعد الجراحة، والتنسيق بين الأقسام يضمن حجز سرير العناية المركزة قبل بدء العملية، والأنظمة الرقمية تُتيح الرؤية الآنية لحالة الأسرّة وتُسرّع عملية اتخاذ القرار. وعندما يختل أي من هذه الأبعاد تحدث سلسلة من الاختناقات تبدأ بعدم توفر سرير ما بعد الجراحة وتنتهي بإلغاء العملية أو تأخيرها، مما يُقلّص عدد العمليات المنجزة يومياً. وقد أكدت دراسة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14:ligatures w14:val="none"/>
        </w:rPr>
        <w:lastRenderedPageBreak/>
        <w:t xml:space="preserve">Schretlen et al. (2021) </w:t>
      </w:r>
      <w:r w:rsidRPr="000C589F">
        <w:rPr>
          <w:rFonts w:ascii="Simplified Arabic" w:eastAsia="Times New Roman" w:hAnsi="Simplified Arabic" w:cs="Simplified Arabic"/>
          <w:color w:val="000000" w:themeColor="text1"/>
          <w:kern w:val="0"/>
          <w:sz w:val="28"/>
          <w:szCs w:val="28"/>
          <w:rtl/>
          <w14:ligatures w14:val="none"/>
        </w:rPr>
        <w:t>أن المقاربة الشاملة التي تتناول مسار الرعاية بالكامل من مرحلة ما قبل الجراحة إلى ما بعدها هي الأكثر فاعلية في خفض الإلغاءات وزيادة الإنتاجية الجراحية</w:t>
      </w:r>
      <w:r w:rsidRPr="000C589F">
        <w:rPr>
          <w:rFonts w:ascii="Simplified Arabic" w:eastAsia="Times New Roman" w:hAnsi="Simplified Arabic" w:cs="Simplified Arabic"/>
          <w:color w:val="000000" w:themeColor="text1"/>
          <w:kern w:val="0"/>
          <w:sz w:val="28"/>
          <w:szCs w:val="28"/>
          <w14:ligatures w14:val="none"/>
        </w:rPr>
        <w:t>.</w:t>
      </w:r>
    </w:p>
    <w:p w14:paraId="7E7BA7FF" w14:textId="25A35042" w:rsidR="000C589F"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0" w:name="_Toc169790506"/>
      <w:bookmarkStart w:id="31" w:name="_Toc233411394"/>
      <w:bookmarkEnd w:id="20"/>
      <w:r w:rsidRPr="000C589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1"/>
    </w:p>
    <w:p w14:paraId="12498D78"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الأنسب لطبيعة الدراسة وأهدافها، حيث يُتيح هذا المنهج وصف الظاهرة محل الدراسة وصفاً دقيقاً وتحليل العلاقات بين متغيراتها كمّياً. وسيتم توظيف هذا المنهج في رصد واقع إدارة السعة السريرية بأبعادها الأربعة (التخطيط الاستراتيجي للأسرّة، إدارة تدفق المرضى، التنسيق بين الأقسام السريرية والإدارية، الأنظمة الرقمية لإدارة الأسرّة) وقياس أثرها على خفض إلغاءات العمليات الجراحية وزيادة عدد العمليات المنجزة يومياً في المستشفيات الحكومية، وذلك من خلال جمع البيانات الأولية باستخدام أداة الاستبانة وتحليلها إحصائياً لاختبار فروض الدراسة</w:t>
      </w:r>
      <w:r w:rsidRPr="000C589F">
        <w:rPr>
          <w:rFonts w:ascii="Simplified Arabic" w:eastAsia="Times New Roman" w:hAnsi="Simplified Arabic" w:cs="Simplified Arabic"/>
          <w:color w:val="000000" w:themeColor="text1"/>
          <w:kern w:val="0"/>
          <w:sz w:val="28"/>
          <w:szCs w:val="28"/>
          <w14:ligatures w14:val="none"/>
        </w:rPr>
        <w:t>.</w:t>
      </w:r>
    </w:p>
    <w:p w14:paraId="2AC4F1E3"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وسيتم تصميم الدراسة وفق مراحل منهجية متتابعة تبدأ بمراجعة الأدبيات والدراسات السابقة لبناء الإطار النظري وتحديد أبعاد المتغيّر المستقل والتابع، ثم تصميم أداة الاستبانة وتحكيمها من قِبل مجموعة من المحكّمين المتخصصين والتأكد من صدقها وثباتها، يلي ذلك توزيع الاستبانة على أفراد عينة الدراسة وجمع الاستجابات، وصولاً إلى مرحلة التحليل الإحصائي باستخدام البرنامج الإحصائي</w:t>
      </w:r>
      <w:r w:rsidRPr="000C589F">
        <w:rPr>
          <w:rFonts w:ascii="Simplified Arabic" w:eastAsia="Times New Roman" w:hAnsi="Simplified Arabic" w:cs="Simplified Arabic"/>
          <w:color w:val="000000" w:themeColor="text1"/>
          <w:kern w:val="0"/>
          <w:sz w:val="28"/>
          <w:szCs w:val="28"/>
          <w14:ligatures w14:val="none"/>
        </w:rPr>
        <w:t xml:space="preserve"> SPSS </w:t>
      </w:r>
      <w:r w:rsidRPr="000C589F">
        <w:rPr>
          <w:rFonts w:ascii="Simplified Arabic" w:eastAsia="Times New Roman" w:hAnsi="Simplified Arabic" w:cs="Simplified Arabic"/>
          <w:color w:val="000000" w:themeColor="text1"/>
          <w:kern w:val="0"/>
          <w:sz w:val="28"/>
          <w:szCs w:val="28"/>
          <w:rtl/>
          <w14:ligatures w14:val="none"/>
        </w:rPr>
        <w:t>واستخلاص النتائج وتفسيرها في ضوء الإطار النظري والدراسات السابقة وتقديم التوصيات والمقترحات</w:t>
      </w:r>
      <w:r w:rsidRPr="000C589F">
        <w:rPr>
          <w:rFonts w:ascii="Simplified Arabic" w:eastAsia="Times New Roman" w:hAnsi="Simplified Arabic" w:cs="Simplified Arabic"/>
          <w:color w:val="000000" w:themeColor="text1"/>
          <w:kern w:val="0"/>
          <w:sz w:val="28"/>
          <w:szCs w:val="28"/>
          <w14:ligatures w14:val="none"/>
        </w:rPr>
        <w:t>.</w:t>
      </w:r>
    </w:p>
    <w:p w14:paraId="373A3CAF" w14:textId="42DB170A" w:rsidR="000361B5"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409290"/>
      <w:bookmarkStart w:id="33" w:name="_Toc233411395"/>
      <w:r w:rsidRPr="000C589F">
        <w:rPr>
          <w:rFonts w:ascii="Simplified Arabic" w:eastAsia="Times New Roman" w:hAnsi="Simplified Arabic" w:cs="Simplified Arabic" w:hint="cs"/>
          <w:b/>
          <w:bCs/>
          <w:color w:val="000000" w:themeColor="text1"/>
          <w:kern w:val="36"/>
          <w:sz w:val="36"/>
          <w:szCs w:val="36"/>
          <w:rtl/>
          <w14:ligatures w14:val="none"/>
        </w:rPr>
        <w:t xml:space="preserve">11.1 </w:t>
      </w:r>
      <w:r w:rsidR="000361B5" w:rsidRPr="000C589F">
        <w:rPr>
          <w:rFonts w:ascii="Simplified Arabic" w:eastAsia="Times New Roman" w:hAnsi="Simplified Arabic" w:cs="Simplified Arabic"/>
          <w:b/>
          <w:bCs/>
          <w:color w:val="000000" w:themeColor="text1"/>
          <w:kern w:val="36"/>
          <w:sz w:val="36"/>
          <w:szCs w:val="36"/>
          <w:rtl/>
          <w14:ligatures w14:val="none"/>
        </w:rPr>
        <w:t>مجتمع الدراسة وعينتها</w:t>
      </w:r>
      <w:bookmarkEnd w:id="32"/>
      <w:bookmarkEnd w:id="33"/>
    </w:p>
    <w:p w14:paraId="5036DE83"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ذوي العلاقة المباشرة بإدارة السعة السريرية وتشغيل غرف العمليات في المستشفيات الحكومية بمنطقة الدراسة، ويشمل ذلك: الأطباء الجرّاحين، وأطباء التخدير، وممرضي غرف العمليات، وموظفي إدارة الأسرّة والتنسيق، ومديري الأقسام الجراحية، ومسؤولي الجودة وتحسين الأداء. ويُقدَّر مجتمع الدراسة بنحو </w:t>
      </w:r>
      <w:r w:rsidRPr="000C589F">
        <w:rPr>
          <w:rFonts w:ascii="Simplified Arabic" w:eastAsia="Times New Roman" w:hAnsi="Simplified Arabic" w:cs="Simplified Arabic"/>
          <w:color w:val="000000" w:themeColor="text1"/>
          <w:kern w:val="0"/>
          <w:sz w:val="28"/>
          <w:szCs w:val="28"/>
          <w14:ligatures w14:val="none"/>
        </w:rPr>
        <w:t xml:space="preserve">(650) </w:t>
      </w:r>
      <w:r w:rsidRPr="000C589F">
        <w:rPr>
          <w:rFonts w:ascii="Simplified Arabic" w:eastAsia="Times New Roman" w:hAnsi="Simplified Arabic" w:cs="Simplified Arabic"/>
          <w:color w:val="000000" w:themeColor="text1"/>
          <w:kern w:val="0"/>
          <w:sz w:val="28"/>
          <w:szCs w:val="28"/>
          <w:rtl/>
          <w14:ligatures w14:val="none"/>
        </w:rPr>
        <w:t xml:space="preserve">فرداً موزّعين على (5) مستشفيات حكومية تتفاوت في سعتها السريرية بين </w:t>
      </w:r>
      <w:r w:rsidRPr="000C589F">
        <w:rPr>
          <w:rFonts w:ascii="Simplified Arabic" w:eastAsia="Times New Roman" w:hAnsi="Simplified Arabic" w:cs="Simplified Arabic"/>
          <w:color w:val="000000" w:themeColor="text1"/>
          <w:kern w:val="0"/>
          <w:sz w:val="28"/>
          <w:szCs w:val="28"/>
          <w14:ligatures w14:val="none"/>
        </w:rPr>
        <w:t xml:space="preserve">(200) </w:t>
      </w:r>
      <w:r w:rsidRPr="000C589F">
        <w:rPr>
          <w:rFonts w:ascii="Simplified Arabic" w:eastAsia="Times New Roman" w:hAnsi="Simplified Arabic" w:cs="Simplified Arabic"/>
          <w:color w:val="000000" w:themeColor="text1"/>
          <w:kern w:val="0"/>
          <w:sz w:val="28"/>
          <w:szCs w:val="28"/>
          <w:rtl/>
          <w14:ligatures w14:val="none"/>
        </w:rPr>
        <w:t xml:space="preserve">و(500) سرير، وتضم مجتمعة نحو (45) غرفة عمليات وتُجري ما يقارب </w:t>
      </w:r>
      <w:r w:rsidRPr="000C589F">
        <w:rPr>
          <w:rFonts w:ascii="Simplified Arabic" w:eastAsia="Times New Roman" w:hAnsi="Simplified Arabic" w:cs="Simplified Arabic"/>
          <w:color w:val="000000" w:themeColor="text1"/>
          <w:kern w:val="0"/>
          <w:sz w:val="28"/>
          <w:szCs w:val="28"/>
          <w14:ligatures w14:val="none"/>
        </w:rPr>
        <w:t xml:space="preserve">(120) </w:t>
      </w:r>
      <w:r w:rsidRPr="000C589F">
        <w:rPr>
          <w:rFonts w:ascii="Simplified Arabic" w:eastAsia="Times New Roman" w:hAnsi="Simplified Arabic" w:cs="Simplified Arabic"/>
          <w:color w:val="000000" w:themeColor="text1"/>
          <w:kern w:val="0"/>
          <w:sz w:val="28"/>
          <w:szCs w:val="28"/>
          <w:rtl/>
          <w14:ligatures w14:val="none"/>
        </w:rPr>
        <w:t>عملية جراحية يومياً</w:t>
      </w:r>
      <w:r w:rsidRPr="000C589F">
        <w:rPr>
          <w:rFonts w:ascii="Simplified Arabic" w:eastAsia="Times New Roman" w:hAnsi="Simplified Arabic" w:cs="Simplified Arabic"/>
          <w:color w:val="000000" w:themeColor="text1"/>
          <w:kern w:val="0"/>
          <w:sz w:val="28"/>
          <w:szCs w:val="28"/>
          <w14:ligatures w14:val="none"/>
        </w:rPr>
        <w:t>.</w:t>
      </w:r>
    </w:p>
    <w:p w14:paraId="6AA44269" w14:textId="1B3DFD8F"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وسيتم اختيار عينة الدراسة بأسلوب العينة العشوائية الطبقية التناسبية لضمان تمثيل جميع الفئات الوظيفية والمستشفيات تمثيلاً متوازناً. وبناءً على جداول تحديد حجم العينة عند مستوى ثقة 95</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وهامش خطأ 5%، سيتم تحديد حجم العينة بنحو (242) مفردة من إجمالي مجتمع الدراسة البالغ (650) فرداً، وسيتم توزيع الاستبانات بالتناسب على المستشفيات الخمسة وفق أعداد العاملين في كل منها. وللتحوّط من حالات الفقد وعدم الاستجابة سيتم توزيع (280) استبانة، على أن يتم استبعاد الاستبانات غير المكتملة أو غير الصالحة للتحليل الإحصائي</w:t>
      </w:r>
      <w:r w:rsidRPr="000C589F">
        <w:rPr>
          <w:rFonts w:ascii="Simplified Arabic" w:eastAsia="Times New Roman" w:hAnsi="Simplified Arabic" w:cs="Simplified Arabic"/>
          <w:color w:val="000000" w:themeColor="text1"/>
          <w:kern w:val="0"/>
          <w:sz w:val="28"/>
          <w:szCs w:val="28"/>
          <w14:ligatures w14:val="none"/>
        </w:rPr>
        <w:t>.</w:t>
      </w:r>
    </w:p>
    <w:p w14:paraId="3A94A63D" w14:textId="3B6B10B3" w:rsidR="000361B5"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409291"/>
      <w:bookmarkStart w:id="35" w:name="_Toc233411396"/>
      <w:r w:rsidRPr="000C589F">
        <w:rPr>
          <w:rFonts w:ascii="Simplified Arabic" w:eastAsia="Times New Roman" w:hAnsi="Simplified Arabic" w:cs="Simplified Arabic" w:hint="cs"/>
          <w:b/>
          <w:bCs/>
          <w:color w:val="000000" w:themeColor="text1"/>
          <w:kern w:val="36"/>
          <w:sz w:val="36"/>
          <w:szCs w:val="36"/>
          <w:rtl/>
          <w14:ligatures w14:val="none"/>
        </w:rPr>
        <w:t xml:space="preserve">12.1 </w:t>
      </w:r>
      <w:r w:rsidR="000361B5" w:rsidRPr="000C589F">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4"/>
      <w:bookmarkEnd w:id="35"/>
    </w:p>
    <w:p w14:paraId="1150536E" w14:textId="77777777" w:rsidR="00B63D69" w:rsidRPr="000C589F" w:rsidRDefault="000361B5" w:rsidP="00AE51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0C589F">
        <w:rPr>
          <w:rFonts w:ascii="Simplified Arabic" w:eastAsia="Times New Roman" w:hAnsi="Simplified Arabic" w:cs="Simplified Arabic"/>
          <w:b/>
          <w:bCs/>
          <w:color w:val="000000" w:themeColor="text1"/>
          <w:kern w:val="0"/>
          <w:sz w:val="28"/>
          <w:szCs w:val="28"/>
          <w:rtl/>
          <w14:ligatures w14:val="none"/>
        </w:rPr>
        <w:t xml:space="preserve">سوف تعتمد الدراسة على مصدرين أساسيين لجمع البيانات. </w:t>
      </w:r>
    </w:p>
    <w:p w14:paraId="26262268" w14:textId="299341CE"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C589F">
        <w:rPr>
          <w:rFonts w:ascii="Simplified Arabic" w:eastAsia="Times New Roman" w:hAnsi="Simplified Arabic" w:cs="Simplified Arabic"/>
          <w:color w:val="000000" w:themeColor="text1"/>
          <w:kern w:val="0"/>
          <w:sz w:val="28"/>
          <w:szCs w:val="28"/>
          <w:rtl/>
          <w14:ligatures w14:val="none"/>
        </w:rPr>
        <w:t>المصدر الأول هو المصادر الثانوية ويشمل الكتب والمراجع العلمية المتخصصة في إدارة المستشفيات وإدارة السعة السريرية، والدوريات والمجلات العلمية المحكّمة العربية والأجنبية، والرسائل الجامعية (ماجستير ودكتوراه)، والتقارير الرسمية لوزارة الصحة، وقواعد البيانات الإلكترونية مثل</w:t>
      </w:r>
      <w:r w:rsidRPr="000C589F">
        <w:rPr>
          <w:rFonts w:ascii="Simplified Arabic" w:eastAsia="Times New Roman" w:hAnsi="Simplified Arabic" w:cs="Simplified Arabic"/>
          <w:color w:val="000000" w:themeColor="text1"/>
          <w:kern w:val="0"/>
          <w:sz w:val="28"/>
          <w:szCs w:val="28"/>
          <w14:ligatures w14:val="none"/>
        </w:rPr>
        <w:t xml:space="preserve"> PubMed </w:t>
      </w:r>
      <w:r w:rsidRPr="000C589F">
        <w:rPr>
          <w:rFonts w:ascii="Simplified Arabic" w:eastAsia="Times New Roman" w:hAnsi="Simplified Arabic" w:cs="Simplified Arabic"/>
          <w:color w:val="000000" w:themeColor="text1"/>
          <w:kern w:val="0"/>
          <w:sz w:val="28"/>
          <w:szCs w:val="28"/>
          <w:rtl/>
          <w14:ligatures w14:val="none"/>
        </w:rPr>
        <w:t>و</w:t>
      </w:r>
      <w:r w:rsidRPr="000C589F">
        <w:rPr>
          <w:rFonts w:ascii="Simplified Arabic" w:eastAsia="Times New Roman" w:hAnsi="Simplified Arabic" w:cs="Simplified Arabic"/>
          <w:color w:val="000000" w:themeColor="text1"/>
          <w:kern w:val="0"/>
          <w:sz w:val="28"/>
          <w:szCs w:val="28"/>
          <w14:ligatures w14:val="none"/>
        </w:rPr>
        <w:t xml:space="preserve">Scopus </w:t>
      </w:r>
      <w:r w:rsidRPr="000C589F">
        <w:rPr>
          <w:rFonts w:ascii="Simplified Arabic" w:eastAsia="Times New Roman" w:hAnsi="Simplified Arabic" w:cs="Simplified Arabic"/>
          <w:color w:val="000000" w:themeColor="text1"/>
          <w:kern w:val="0"/>
          <w:sz w:val="28"/>
          <w:szCs w:val="28"/>
          <w:rtl/>
          <w14:ligatures w14:val="none"/>
        </w:rPr>
        <w:t>و</w:t>
      </w:r>
      <w:r w:rsidRPr="000C589F">
        <w:rPr>
          <w:rFonts w:ascii="Simplified Arabic" w:eastAsia="Times New Roman" w:hAnsi="Simplified Arabic" w:cs="Simplified Arabic"/>
          <w:color w:val="000000" w:themeColor="text1"/>
          <w:kern w:val="0"/>
          <w:sz w:val="28"/>
          <w:szCs w:val="28"/>
          <w14:ligatures w14:val="none"/>
        </w:rPr>
        <w:t xml:space="preserve">Google Scholar </w:t>
      </w:r>
      <w:r w:rsidRPr="000C589F">
        <w:rPr>
          <w:rFonts w:ascii="Simplified Arabic" w:eastAsia="Times New Roman" w:hAnsi="Simplified Arabic" w:cs="Simplified Arabic"/>
          <w:color w:val="000000" w:themeColor="text1"/>
          <w:kern w:val="0"/>
          <w:sz w:val="28"/>
          <w:szCs w:val="28"/>
          <w:rtl/>
          <w14:ligatures w14:val="none"/>
        </w:rPr>
        <w:t>وقاعدة دار المنظومة.</w:t>
      </w:r>
    </w:p>
    <w:p w14:paraId="4B7B7F43" w14:textId="43120A68"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 xml:space="preserve"> أما المصدر الثاني فهو المصادر الأولية ويتمثّل في الاستبانة التي سيتم تصميمها خصيصاً لهذه الدراسة لجمع البيانات الميدانية من أفراد العينة حول واقع إدارة السعة السريرية وأثرها على خفض الإلغاءات وزيادة العمليات المنجزة</w:t>
      </w:r>
      <w:r w:rsidRPr="000C589F">
        <w:rPr>
          <w:rFonts w:ascii="Simplified Arabic" w:eastAsia="Times New Roman" w:hAnsi="Simplified Arabic" w:cs="Simplified Arabic"/>
          <w:color w:val="000000" w:themeColor="text1"/>
          <w:kern w:val="0"/>
          <w:sz w:val="28"/>
          <w:szCs w:val="28"/>
          <w14:ligatures w14:val="none"/>
        </w:rPr>
        <w:t>.</w:t>
      </w:r>
    </w:p>
    <w:p w14:paraId="5BCDF7E4" w14:textId="6719775B" w:rsidR="000361B5"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3409292"/>
      <w:bookmarkStart w:id="37" w:name="_Toc233411397"/>
      <w:r w:rsidRPr="000C589F">
        <w:rPr>
          <w:rFonts w:ascii="Simplified Arabic" w:eastAsia="Times New Roman" w:hAnsi="Simplified Arabic" w:cs="Simplified Arabic" w:hint="cs"/>
          <w:b/>
          <w:bCs/>
          <w:color w:val="000000" w:themeColor="text1"/>
          <w:kern w:val="36"/>
          <w:sz w:val="36"/>
          <w:szCs w:val="36"/>
          <w:rtl/>
          <w14:ligatures w14:val="none"/>
        </w:rPr>
        <w:t xml:space="preserve">13.1 </w:t>
      </w:r>
      <w:r w:rsidR="000361B5" w:rsidRPr="000C589F">
        <w:rPr>
          <w:rFonts w:ascii="Simplified Arabic" w:eastAsia="Times New Roman" w:hAnsi="Simplified Arabic" w:cs="Simplified Arabic"/>
          <w:b/>
          <w:bCs/>
          <w:color w:val="000000" w:themeColor="text1"/>
          <w:kern w:val="36"/>
          <w:sz w:val="36"/>
          <w:szCs w:val="36"/>
          <w:rtl/>
          <w14:ligatures w14:val="none"/>
        </w:rPr>
        <w:t>أداة الدراسة</w:t>
      </w:r>
      <w:bookmarkEnd w:id="36"/>
      <w:bookmarkEnd w:id="37"/>
    </w:p>
    <w:p w14:paraId="07ABDBC5"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سوف تكون الاستبانة هي الأداة الرئيسية لجمع البيانات الأولية، وسيتم تصميمها بناءً على الإطار النظري والدراسات السابقة، وستتكوّن من ثلاثة أقسام رئيسية على النحو التالي</w:t>
      </w:r>
      <w:r w:rsidRPr="000C589F">
        <w:rPr>
          <w:rFonts w:ascii="Simplified Arabic" w:eastAsia="Times New Roman" w:hAnsi="Simplified Arabic" w:cs="Simplified Arabic"/>
          <w:color w:val="000000" w:themeColor="text1"/>
          <w:kern w:val="0"/>
          <w:sz w:val="28"/>
          <w:szCs w:val="28"/>
          <w14:ligatures w14:val="none"/>
        </w:rPr>
        <w:t>:</w:t>
      </w:r>
    </w:p>
    <w:p w14:paraId="671AC44B"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يتضمّن هذا القسم بيانات عامة عن المستجيب تشمل: المسمّى الوظيفي، سنوات الخبرة، نوع المستشفى (تخصصي/عام)، التخصص الجراحي، والمؤهل العلمي</w:t>
      </w:r>
      <w:r w:rsidRPr="000C589F">
        <w:rPr>
          <w:rFonts w:ascii="Simplified Arabic" w:eastAsia="Times New Roman" w:hAnsi="Simplified Arabic" w:cs="Simplified Arabic"/>
          <w:color w:val="000000" w:themeColor="text1"/>
          <w:kern w:val="0"/>
          <w:sz w:val="28"/>
          <w:szCs w:val="28"/>
          <w14:ligatures w14:val="none"/>
        </w:rPr>
        <w:t>.</w:t>
      </w:r>
    </w:p>
    <w:p w14:paraId="08E96623"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القسم الثاني: المتغيّر المستقل (إدارة السعة السريرية) يتكوّن هذا القسم من (16) فقرة موزّعة على أربعة أبعاد</w:t>
      </w:r>
      <w:r w:rsidRPr="000C589F">
        <w:rPr>
          <w:rFonts w:ascii="Simplified Arabic" w:eastAsia="Times New Roman" w:hAnsi="Simplified Arabic" w:cs="Simplified Arabic"/>
          <w:color w:val="000000" w:themeColor="text1"/>
          <w:kern w:val="0"/>
          <w:sz w:val="28"/>
          <w:szCs w:val="28"/>
          <w14:ligatures w14:val="none"/>
        </w:rPr>
        <w:t>:</w:t>
      </w:r>
    </w:p>
    <w:p w14:paraId="7D000DF9" w14:textId="77777777"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البُعد الأول – التخطيط الاستراتيجي للأسرّة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يتضمّن (4) فقرات</w:t>
      </w:r>
      <w:r w:rsidRPr="000C589F">
        <w:rPr>
          <w:rFonts w:ascii="Simplified Arabic" w:eastAsia="Times New Roman" w:hAnsi="Simplified Arabic" w:cs="Simplified Arabic"/>
          <w:color w:val="000000" w:themeColor="text1"/>
          <w:kern w:val="0"/>
          <w:sz w:val="28"/>
          <w:szCs w:val="28"/>
          <w14:ligatures w14:val="none"/>
        </w:rPr>
        <w:t>.</w:t>
      </w:r>
    </w:p>
    <w:p w14:paraId="062511AE" w14:textId="77777777"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البُعد الثاني – إدارة تدفق المرضى</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يتضمّن (4) فقرات</w:t>
      </w:r>
      <w:r w:rsidRPr="000C589F">
        <w:rPr>
          <w:rFonts w:ascii="Simplified Arabic" w:eastAsia="Times New Roman" w:hAnsi="Simplified Arabic" w:cs="Simplified Arabic"/>
          <w:color w:val="000000" w:themeColor="text1"/>
          <w:kern w:val="0"/>
          <w:sz w:val="28"/>
          <w:szCs w:val="28"/>
          <w14:ligatures w14:val="none"/>
        </w:rPr>
        <w:t>.</w:t>
      </w:r>
    </w:p>
    <w:p w14:paraId="5723FC61" w14:textId="77777777"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البُعد الثالث – التنسيق بين الأقسام السريرية والإدارية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يتضمّن (4) فقرات</w:t>
      </w:r>
      <w:r w:rsidRPr="000C589F">
        <w:rPr>
          <w:rFonts w:ascii="Simplified Arabic" w:eastAsia="Times New Roman" w:hAnsi="Simplified Arabic" w:cs="Simplified Arabic"/>
          <w:color w:val="000000" w:themeColor="text1"/>
          <w:kern w:val="0"/>
          <w:sz w:val="28"/>
          <w:szCs w:val="28"/>
          <w14:ligatures w14:val="none"/>
        </w:rPr>
        <w:t>.</w:t>
      </w:r>
    </w:p>
    <w:p w14:paraId="1A95E99C" w14:textId="77777777" w:rsidR="000361B5" w:rsidRPr="000C589F" w:rsidRDefault="000361B5" w:rsidP="000C589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البُعد الرابع – الأنظمة الرقمية لإدارة الأسرّة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يتضمّن (4) فقرات</w:t>
      </w:r>
      <w:r w:rsidRPr="000C589F">
        <w:rPr>
          <w:rFonts w:ascii="Simplified Arabic" w:eastAsia="Times New Roman" w:hAnsi="Simplified Arabic" w:cs="Simplified Arabic"/>
          <w:color w:val="000000" w:themeColor="text1"/>
          <w:kern w:val="0"/>
          <w:sz w:val="28"/>
          <w:szCs w:val="28"/>
          <w14:ligatures w14:val="none"/>
        </w:rPr>
        <w:t>.</w:t>
      </w:r>
    </w:p>
    <w:p w14:paraId="042FCD62"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القسم الثالث: المتغيّر التابع (خفض الإلغاءات وزيادة العمليات المنجزة يومياً) يتكوّن هذا القسم من محور واحد يتضمّن (10) فقرات تقيس مدى انخفاض معدلات إلغاء العمليات الجراحية المجدولة وارتفاع عدد العمليات المنجزة يومياً</w:t>
      </w:r>
      <w:r w:rsidRPr="000C589F">
        <w:rPr>
          <w:rFonts w:ascii="Simplified Arabic" w:eastAsia="Times New Roman" w:hAnsi="Simplified Arabic" w:cs="Simplified Arabic"/>
          <w:color w:val="000000" w:themeColor="text1"/>
          <w:kern w:val="0"/>
          <w:sz w:val="28"/>
          <w:szCs w:val="28"/>
          <w14:ligatures w14:val="none"/>
        </w:rPr>
        <w:t>.</w:t>
      </w:r>
    </w:p>
    <w:p w14:paraId="38E6D58F"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(بخلاف البيانات الديموغرافية)، وسيتم قياس الاستجابات باستخدام مقياس ليكرت الخماسي (موافق بشدة = 5، موافق = 4، محايد = 3، غير موافق = 2، غير موافق بشدة = 1). وسيتم التحقق من صدق الأداة من خلال الصدق الظاهري (عرضها على محكّمين متخصصين لا يقل عددهم عن 7 محكّمين) والصدق البنائي (باستخدام معامل ارتباط بيرسون)، والتحقق من ثباتها باستخدام معامل ألفا كرونباخ</w:t>
      </w:r>
      <w:r w:rsidRPr="000C589F">
        <w:rPr>
          <w:rFonts w:ascii="Simplified Arabic" w:eastAsia="Times New Roman" w:hAnsi="Simplified Arabic" w:cs="Simplified Arabic"/>
          <w:color w:val="000000" w:themeColor="text1"/>
          <w:kern w:val="0"/>
          <w:sz w:val="28"/>
          <w:szCs w:val="28"/>
          <w14:ligatures w14:val="none"/>
        </w:rPr>
        <w:t>.</w:t>
      </w:r>
    </w:p>
    <w:p w14:paraId="10902018" w14:textId="11F87F7E" w:rsidR="000361B5"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3409293"/>
      <w:bookmarkStart w:id="39" w:name="_Toc233411398"/>
      <w:r w:rsidRPr="000C589F">
        <w:rPr>
          <w:rFonts w:ascii="Simplified Arabic" w:eastAsia="Times New Roman" w:hAnsi="Simplified Arabic" w:cs="Simplified Arabic" w:hint="cs"/>
          <w:b/>
          <w:bCs/>
          <w:color w:val="000000" w:themeColor="text1"/>
          <w:kern w:val="36"/>
          <w:sz w:val="36"/>
          <w:szCs w:val="36"/>
          <w:rtl/>
          <w14:ligatures w14:val="none"/>
        </w:rPr>
        <w:t xml:space="preserve">14.1 </w:t>
      </w:r>
      <w:r w:rsidR="000361B5" w:rsidRPr="000C589F">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8"/>
      <w:bookmarkEnd w:id="39"/>
    </w:p>
    <w:p w14:paraId="042BE65B" w14:textId="77777777" w:rsidR="000361B5" w:rsidRPr="000C589F" w:rsidRDefault="000361B5" w:rsidP="000C589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سوف تتم معالجة البيانات وتحليلها باستخدام برنامج الحزمة الإحصائية للعلوم الاجتماعية</w:t>
      </w:r>
      <w:r w:rsidRPr="000C589F">
        <w:rPr>
          <w:rFonts w:ascii="Simplified Arabic" w:eastAsia="Times New Roman" w:hAnsi="Simplified Arabic" w:cs="Simplified Arabic"/>
          <w:color w:val="000000" w:themeColor="text1"/>
          <w:kern w:val="0"/>
          <w:sz w:val="28"/>
          <w:szCs w:val="28"/>
          <w14:ligatures w14:val="none"/>
        </w:rPr>
        <w:t xml:space="preserve"> SPSS</w:t>
      </w:r>
      <w:r w:rsidRPr="000C589F">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0C589F">
        <w:rPr>
          <w:rFonts w:ascii="Simplified Arabic" w:eastAsia="Times New Roman" w:hAnsi="Simplified Arabic" w:cs="Simplified Arabic"/>
          <w:color w:val="000000" w:themeColor="text1"/>
          <w:kern w:val="0"/>
          <w:sz w:val="28"/>
          <w:szCs w:val="28"/>
          <w14:ligatures w14:val="none"/>
        </w:rPr>
        <w:t>:</w:t>
      </w:r>
    </w:p>
    <w:p w14:paraId="2330D5ED" w14:textId="77777777" w:rsidR="000361B5" w:rsidRPr="000C589F" w:rsidRDefault="000361B5" w:rsidP="000C589F">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أولاً – أساليب التحقق من جودة الأداة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معامل ألفا كرونباخ</w:t>
      </w:r>
      <w:r w:rsidRPr="000C589F">
        <w:rPr>
          <w:rFonts w:ascii="Simplified Arabic" w:eastAsia="Times New Roman" w:hAnsi="Simplified Arabic" w:cs="Simplified Arabic"/>
          <w:color w:val="000000" w:themeColor="text1"/>
          <w:kern w:val="0"/>
          <w:sz w:val="28"/>
          <w:szCs w:val="28"/>
          <w14:ligatures w14:val="none"/>
        </w:rPr>
        <w:t xml:space="preserve"> (Cronbach's Alpha) </w:t>
      </w:r>
      <w:r w:rsidRPr="000C589F">
        <w:rPr>
          <w:rFonts w:ascii="Simplified Arabic" w:eastAsia="Times New Roman" w:hAnsi="Simplified Arabic" w:cs="Simplified Arabic"/>
          <w:color w:val="000000" w:themeColor="text1"/>
          <w:kern w:val="0"/>
          <w:sz w:val="28"/>
          <w:szCs w:val="28"/>
          <w:rtl/>
          <w14:ligatures w14:val="none"/>
        </w:rPr>
        <w:t>لقياس ثبات الأداة، ومعامل ارتباط بيرسون</w:t>
      </w:r>
      <w:r w:rsidRPr="000C589F">
        <w:rPr>
          <w:rFonts w:ascii="Simplified Arabic" w:eastAsia="Times New Roman" w:hAnsi="Simplified Arabic" w:cs="Simplified Arabic"/>
          <w:color w:val="000000" w:themeColor="text1"/>
          <w:kern w:val="0"/>
          <w:sz w:val="28"/>
          <w:szCs w:val="28"/>
          <w14:ligatures w14:val="none"/>
        </w:rPr>
        <w:t xml:space="preserve"> (Pearson Correlation) </w:t>
      </w:r>
      <w:r w:rsidRPr="000C589F">
        <w:rPr>
          <w:rFonts w:ascii="Simplified Arabic" w:eastAsia="Times New Roman" w:hAnsi="Simplified Arabic" w:cs="Simplified Arabic"/>
          <w:color w:val="000000" w:themeColor="text1"/>
          <w:kern w:val="0"/>
          <w:sz w:val="28"/>
          <w:szCs w:val="28"/>
          <w:rtl/>
          <w14:ligatures w14:val="none"/>
        </w:rPr>
        <w:t>لقياس الصدق البنائي (الاتساق الداخلي)</w:t>
      </w:r>
      <w:r w:rsidRPr="000C589F">
        <w:rPr>
          <w:rFonts w:ascii="Simplified Arabic" w:eastAsia="Times New Roman" w:hAnsi="Simplified Arabic" w:cs="Simplified Arabic"/>
          <w:color w:val="000000" w:themeColor="text1"/>
          <w:kern w:val="0"/>
          <w:sz w:val="28"/>
          <w:szCs w:val="28"/>
          <w14:ligatures w14:val="none"/>
        </w:rPr>
        <w:t>.</w:t>
      </w:r>
    </w:p>
    <w:p w14:paraId="238BA6A9" w14:textId="77777777" w:rsidR="000361B5" w:rsidRPr="000C589F" w:rsidRDefault="000361B5" w:rsidP="000C589F">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ثانياً – أساليب الإحصاء الوصفي</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والمتوسطات الحسابية والانحرافات المعيارية لتحديد اتجاهات استجابات أفراد العينة ودرجة الموافقة على كل فقرة وبُعد ومحور</w:t>
      </w:r>
      <w:r w:rsidRPr="000C589F">
        <w:rPr>
          <w:rFonts w:ascii="Simplified Arabic" w:eastAsia="Times New Roman" w:hAnsi="Simplified Arabic" w:cs="Simplified Arabic"/>
          <w:color w:val="000000" w:themeColor="text1"/>
          <w:kern w:val="0"/>
          <w:sz w:val="28"/>
          <w:szCs w:val="28"/>
          <w14:ligatures w14:val="none"/>
        </w:rPr>
        <w:t>.</w:t>
      </w:r>
    </w:p>
    <w:p w14:paraId="3F8578C3" w14:textId="77777777" w:rsidR="000361B5" w:rsidRPr="000C589F" w:rsidRDefault="000361B5" w:rsidP="000C589F">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lastRenderedPageBreak/>
        <w:t>ثالثاً – أساليب الإحصاء الاستدلالي</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تحليل الانحدار المتعدد</w:t>
      </w:r>
      <w:r w:rsidRPr="000C589F">
        <w:rPr>
          <w:rFonts w:ascii="Simplified Arabic" w:eastAsia="Times New Roman" w:hAnsi="Simplified Arabic" w:cs="Simplified Arabic"/>
          <w:color w:val="000000" w:themeColor="text1"/>
          <w:kern w:val="0"/>
          <w:sz w:val="28"/>
          <w:szCs w:val="28"/>
          <w14:ligatures w14:val="none"/>
        </w:rPr>
        <w:t xml:space="preserve"> (Multiple Regression Analysis) </w:t>
      </w:r>
      <w:r w:rsidRPr="000C589F">
        <w:rPr>
          <w:rFonts w:ascii="Simplified Arabic" w:eastAsia="Times New Roman" w:hAnsi="Simplified Arabic" w:cs="Simplified Arabic"/>
          <w:color w:val="000000" w:themeColor="text1"/>
          <w:kern w:val="0"/>
          <w:sz w:val="28"/>
          <w:szCs w:val="28"/>
          <w:rtl/>
          <w14:ligatures w14:val="none"/>
        </w:rPr>
        <w:t xml:space="preserve">لقياس أثر أبعاد المتغيّر المستقل مجتمعة على المتغيّر التابع، وتحليل الانحدار البسيط </w:t>
      </w:r>
      <w:r w:rsidRPr="000C589F">
        <w:rPr>
          <w:rFonts w:ascii="Simplified Arabic" w:eastAsia="Times New Roman" w:hAnsi="Simplified Arabic" w:cs="Simplified Arabic"/>
          <w:color w:val="000000" w:themeColor="text1"/>
          <w:kern w:val="0"/>
          <w:sz w:val="28"/>
          <w:szCs w:val="28"/>
          <w14:ligatures w14:val="none"/>
        </w:rPr>
        <w:t xml:space="preserve">(Simple Regression) </w:t>
      </w:r>
      <w:r w:rsidRPr="000C589F">
        <w:rPr>
          <w:rFonts w:ascii="Simplified Arabic" w:eastAsia="Times New Roman" w:hAnsi="Simplified Arabic" w:cs="Simplified Arabic"/>
          <w:color w:val="000000" w:themeColor="text1"/>
          <w:kern w:val="0"/>
          <w:sz w:val="28"/>
          <w:szCs w:val="28"/>
          <w:rtl/>
          <w14:ligatures w14:val="none"/>
        </w:rPr>
        <w:t>لقياس أثر كل بُعد على حدة، واختبار (ت) للعينات المستقلة</w:t>
      </w:r>
      <w:r w:rsidRPr="000C589F">
        <w:rPr>
          <w:rFonts w:ascii="Simplified Arabic" w:eastAsia="Times New Roman" w:hAnsi="Simplified Arabic" w:cs="Simplified Arabic"/>
          <w:color w:val="000000" w:themeColor="text1"/>
          <w:kern w:val="0"/>
          <w:sz w:val="28"/>
          <w:szCs w:val="28"/>
          <w14:ligatures w14:val="none"/>
        </w:rPr>
        <w:t xml:space="preserve"> (Independent Samples T-Test) </w:t>
      </w:r>
      <w:r w:rsidRPr="000C589F">
        <w:rPr>
          <w:rFonts w:ascii="Simplified Arabic" w:eastAsia="Times New Roman" w:hAnsi="Simplified Arabic" w:cs="Simplified Arabic"/>
          <w:color w:val="000000" w:themeColor="text1"/>
          <w:kern w:val="0"/>
          <w:sz w:val="28"/>
          <w:szCs w:val="28"/>
          <w:rtl/>
          <w14:ligatures w14:val="none"/>
        </w:rPr>
        <w:t>للكشف عن الفروق وفق المتغيرات الديموغرافية ثنائية الفئات، وتحليل التباين الأحادي</w:t>
      </w:r>
      <w:r w:rsidRPr="000C589F">
        <w:rPr>
          <w:rFonts w:ascii="Simplified Arabic" w:eastAsia="Times New Roman" w:hAnsi="Simplified Arabic" w:cs="Simplified Arabic"/>
          <w:color w:val="000000" w:themeColor="text1"/>
          <w:kern w:val="0"/>
          <w:sz w:val="28"/>
          <w:szCs w:val="28"/>
          <w14:ligatures w14:val="none"/>
        </w:rPr>
        <w:t xml:space="preserve"> (One-Way ANOVA) </w:t>
      </w:r>
      <w:r w:rsidRPr="000C589F">
        <w:rPr>
          <w:rFonts w:ascii="Simplified Arabic" w:eastAsia="Times New Roman" w:hAnsi="Simplified Arabic" w:cs="Simplified Arabic"/>
          <w:color w:val="000000" w:themeColor="text1"/>
          <w:kern w:val="0"/>
          <w:sz w:val="28"/>
          <w:szCs w:val="28"/>
          <w:rtl/>
          <w14:ligatures w14:val="none"/>
        </w:rPr>
        <w:t xml:space="preserve">للكشف عن الفروق وفق المتغيرات الديموغرافية متعددة الفئات، واختبار شيفيه </w:t>
      </w:r>
      <w:r w:rsidRPr="000C589F">
        <w:rPr>
          <w:rFonts w:ascii="Simplified Arabic" w:eastAsia="Times New Roman" w:hAnsi="Simplified Arabic" w:cs="Simplified Arabic"/>
          <w:color w:val="000000" w:themeColor="text1"/>
          <w:kern w:val="0"/>
          <w:sz w:val="28"/>
          <w:szCs w:val="28"/>
          <w14:ligatures w14:val="none"/>
        </w:rPr>
        <w:t xml:space="preserve">(Scheffé) </w:t>
      </w:r>
      <w:r w:rsidRPr="000C589F">
        <w:rPr>
          <w:rFonts w:ascii="Simplified Arabic" w:eastAsia="Times New Roman" w:hAnsi="Simplified Arabic" w:cs="Simplified Arabic"/>
          <w:color w:val="000000" w:themeColor="text1"/>
          <w:kern w:val="0"/>
          <w:sz w:val="28"/>
          <w:szCs w:val="28"/>
          <w:rtl/>
          <w14:ligatures w14:val="none"/>
        </w:rPr>
        <w:t>أو اختبار توكي</w:t>
      </w:r>
      <w:r w:rsidRPr="000C589F">
        <w:rPr>
          <w:rFonts w:ascii="Simplified Arabic" w:eastAsia="Times New Roman" w:hAnsi="Simplified Arabic" w:cs="Simplified Arabic"/>
          <w:color w:val="000000" w:themeColor="text1"/>
          <w:kern w:val="0"/>
          <w:sz w:val="28"/>
          <w:szCs w:val="28"/>
          <w14:ligatures w14:val="none"/>
        </w:rPr>
        <w:t xml:space="preserve"> (Tukey) </w:t>
      </w:r>
      <w:r w:rsidRPr="000C589F">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0C589F">
        <w:rPr>
          <w:rFonts w:ascii="Simplified Arabic" w:eastAsia="Times New Roman" w:hAnsi="Simplified Arabic" w:cs="Simplified Arabic"/>
          <w:color w:val="000000" w:themeColor="text1"/>
          <w:kern w:val="0"/>
          <w:sz w:val="28"/>
          <w:szCs w:val="28"/>
          <w14:ligatures w14:val="none"/>
        </w:rPr>
        <w:t>.</w:t>
      </w:r>
    </w:p>
    <w:p w14:paraId="284DF498" w14:textId="5B06454B" w:rsidR="000361B5" w:rsidRPr="000C589F" w:rsidRDefault="000C589F" w:rsidP="000C589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0" w:name="_Toc223409294"/>
      <w:bookmarkStart w:id="41" w:name="_Toc233411399"/>
      <w:r w:rsidRPr="000C589F">
        <w:rPr>
          <w:rFonts w:ascii="Simplified Arabic" w:eastAsia="Times New Roman" w:hAnsi="Simplified Arabic" w:cs="Simplified Arabic" w:hint="cs"/>
          <w:b/>
          <w:bCs/>
          <w:color w:val="000000" w:themeColor="text1"/>
          <w:kern w:val="36"/>
          <w:sz w:val="36"/>
          <w:szCs w:val="36"/>
          <w:rtl/>
          <w14:ligatures w14:val="none"/>
        </w:rPr>
        <w:t xml:space="preserve">15.1 </w:t>
      </w:r>
      <w:r w:rsidR="000361B5" w:rsidRPr="000C589F">
        <w:rPr>
          <w:rFonts w:ascii="Simplified Arabic" w:eastAsia="Times New Roman" w:hAnsi="Simplified Arabic" w:cs="Simplified Arabic"/>
          <w:b/>
          <w:bCs/>
          <w:color w:val="000000" w:themeColor="text1"/>
          <w:kern w:val="36"/>
          <w:sz w:val="36"/>
          <w:szCs w:val="36"/>
          <w:rtl/>
          <w14:ligatures w14:val="none"/>
        </w:rPr>
        <w:t>حدود الدراسة</w:t>
      </w:r>
      <w:bookmarkEnd w:id="40"/>
      <w:bookmarkEnd w:id="41"/>
    </w:p>
    <w:p w14:paraId="51AD2D14" w14:textId="77777777" w:rsidR="000361B5" w:rsidRPr="000C589F" w:rsidRDefault="000361B5" w:rsidP="000C589F">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الحدود الموضوعية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ستقتصر الدراسة على قياس أثر إدارة السعة السريرية بأبعادها الأربعة (التخطيط الاستراتيجي للأسرّة، إدارة تدفق المرضى، التنسيق بين الأقسام السريرية والإدارية، الأنظمة الرقمية لإدارة الأسرّة) على خفض إلغاءات العمليات الجراحية وزيادة عدد العمليات المنجزة يومياً</w:t>
      </w:r>
      <w:r w:rsidRPr="000C589F">
        <w:rPr>
          <w:rFonts w:ascii="Simplified Arabic" w:eastAsia="Times New Roman" w:hAnsi="Simplified Arabic" w:cs="Simplified Arabic"/>
          <w:color w:val="000000" w:themeColor="text1"/>
          <w:kern w:val="0"/>
          <w:sz w:val="28"/>
          <w:szCs w:val="28"/>
          <w14:ligatures w14:val="none"/>
        </w:rPr>
        <w:t>.</w:t>
      </w:r>
    </w:p>
    <w:p w14:paraId="7BA74B81" w14:textId="77777777" w:rsidR="000361B5" w:rsidRPr="000C589F" w:rsidRDefault="000361B5" w:rsidP="000C589F">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الحدود المكانية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ستُطبَّق الدراسة على المستشفيات الحكومية التابعة لوزارة الصحة بمنطقة الدراسة والبالغ عددها (5) مستشفيات حكومية</w:t>
      </w:r>
      <w:r w:rsidRPr="000C589F">
        <w:rPr>
          <w:rFonts w:ascii="Simplified Arabic" w:eastAsia="Times New Roman" w:hAnsi="Simplified Arabic" w:cs="Simplified Arabic"/>
          <w:color w:val="000000" w:themeColor="text1"/>
          <w:kern w:val="0"/>
          <w:sz w:val="28"/>
          <w:szCs w:val="28"/>
          <w14:ligatures w14:val="none"/>
        </w:rPr>
        <w:t>.</w:t>
      </w:r>
    </w:p>
    <w:p w14:paraId="5C087BA3" w14:textId="77777777" w:rsidR="000361B5" w:rsidRPr="000C589F" w:rsidRDefault="000361B5" w:rsidP="000C589F">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الحدود البشرية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ستقتصر الدراسة على العاملين ذوي العلاقة المباشرة بإدارة السعة السريرية وتشغيل غرف العمليات وتشمل: الأطباء الجرّاحين، وأطباء التخدير، وممرضي غرف العمليات، وموظفي إدارة الأسرّة والتنسيق، ومديري الأقسام الجراحية، ومسؤولي الجودة</w:t>
      </w:r>
      <w:r w:rsidRPr="000C589F">
        <w:rPr>
          <w:rFonts w:ascii="Simplified Arabic" w:eastAsia="Times New Roman" w:hAnsi="Simplified Arabic" w:cs="Simplified Arabic"/>
          <w:color w:val="000000" w:themeColor="text1"/>
          <w:kern w:val="0"/>
          <w:sz w:val="28"/>
          <w:szCs w:val="28"/>
          <w14:ligatures w14:val="none"/>
        </w:rPr>
        <w:t>.</w:t>
      </w:r>
    </w:p>
    <w:p w14:paraId="4C7C0C15" w14:textId="77777777" w:rsidR="000361B5" w:rsidRPr="000C589F" w:rsidRDefault="000361B5" w:rsidP="000C589F">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C589F">
        <w:rPr>
          <w:rFonts w:ascii="Simplified Arabic" w:eastAsia="Times New Roman" w:hAnsi="Simplified Arabic" w:cs="Simplified Arabic"/>
          <w:color w:val="000000" w:themeColor="text1"/>
          <w:kern w:val="0"/>
          <w:sz w:val="28"/>
          <w:szCs w:val="28"/>
          <w:rtl/>
          <w14:ligatures w14:val="none"/>
        </w:rPr>
        <w:t>الحدود الزمانية</w:t>
      </w:r>
      <w:r w:rsidRPr="000C589F">
        <w:rPr>
          <w:rFonts w:ascii="Simplified Arabic" w:eastAsia="Times New Roman" w:hAnsi="Simplified Arabic" w:cs="Simplified Arabic"/>
          <w:color w:val="000000" w:themeColor="text1"/>
          <w:kern w:val="0"/>
          <w:sz w:val="28"/>
          <w:szCs w:val="28"/>
          <w14:ligatures w14:val="none"/>
        </w:rPr>
        <w:t xml:space="preserve">: </w:t>
      </w:r>
      <w:r w:rsidRPr="000C589F">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العام الدراسي/الميلادي 2026م</w:t>
      </w:r>
      <w:r w:rsidRPr="000C589F">
        <w:rPr>
          <w:rFonts w:ascii="Simplified Arabic" w:eastAsia="Times New Roman" w:hAnsi="Simplified Arabic" w:cs="Simplified Arabic"/>
          <w:color w:val="000000" w:themeColor="text1"/>
          <w:kern w:val="0"/>
          <w:sz w:val="28"/>
          <w:szCs w:val="28"/>
          <w14:ligatures w14:val="none"/>
        </w:rPr>
        <w:t>.</w:t>
      </w:r>
    </w:p>
    <w:p w14:paraId="19F6CF5C" w14:textId="30F8A7DB" w:rsidR="00414176" w:rsidRPr="000C589F" w:rsidRDefault="00AE519C" w:rsidP="00AE519C">
      <w:pPr>
        <w:jc w:val="center"/>
        <w:outlineLvl w:val="0"/>
        <w:rPr>
          <w:rFonts w:ascii="Simplified Arabic" w:hAnsi="Simplified Arabic" w:cs="Simplified Arabic"/>
          <w:b/>
          <w:bCs/>
          <w:color w:val="000000" w:themeColor="text1"/>
          <w:sz w:val="40"/>
          <w:szCs w:val="40"/>
        </w:rPr>
      </w:pPr>
      <w:r w:rsidRPr="000C589F">
        <w:rPr>
          <w:rFonts w:ascii="Simplified Arabic" w:hAnsi="Simplified Arabic" w:cs="Simplified Arabic"/>
          <w:b/>
          <w:bCs/>
          <w:color w:val="000000" w:themeColor="text1"/>
          <w:sz w:val="40"/>
          <w:szCs w:val="40"/>
          <w:rtl/>
        </w:rPr>
        <w:br w:type="page"/>
      </w:r>
      <w:bookmarkStart w:id="42" w:name="_Toc233411400"/>
      <w:r w:rsidRPr="000C589F">
        <w:rPr>
          <w:rFonts w:ascii="Simplified Arabic" w:hAnsi="Simplified Arabic" w:cs="Simplified Arabic" w:hint="cs"/>
          <w:b/>
          <w:bCs/>
          <w:color w:val="000000" w:themeColor="text1"/>
          <w:sz w:val="40"/>
          <w:szCs w:val="40"/>
          <w:rtl/>
        </w:rPr>
        <w:lastRenderedPageBreak/>
        <w:t xml:space="preserve">الفصل الثاني: </w:t>
      </w:r>
      <w:r w:rsidR="00414176" w:rsidRPr="000C589F">
        <w:rPr>
          <w:rFonts w:ascii="Simplified Arabic" w:hAnsi="Simplified Arabic" w:cs="Simplified Arabic"/>
          <w:b/>
          <w:bCs/>
          <w:color w:val="000000" w:themeColor="text1"/>
          <w:sz w:val="40"/>
          <w:szCs w:val="40"/>
          <w:rtl/>
        </w:rPr>
        <w:t>الإطار النظري للدراسة</w:t>
      </w:r>
      <w:bookmarkEnd w:id="42"/>
    </w:p>
    <w:p w14:paraId="2C7DC661" w14:textId="7A5A2DC3" w:rsidR="00414176" w:rsidRPr="000C589F" w:rsidRDefault="00414176" w:rsidP="00AE519C">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3" w:name="_Toc233411401"/>
      <w:r w:rsidRPr="000C589F">
        <w:rPr>
          <w:rFonts w:ascii="Simplified Arabic" w:hAnsi="Simplified Arabic" w:cs="Simplified Arabic"/>
          <w:b/>
          <w:bCs/>
          <w:color w:val="000000" w:themeColor="text1"/>
          <w:sz w:val="36"/>
          <w:szCs w:val="36"/>
          <w:rtl/>
        </w:rPr>
        <w:t>المبحث الأول: إدارة السعة السريرية</w:t>
      </w:r>
      <w:bookmarkEnd w:id="43"/>
    </w:p>
    <w:p w14:paraId="7030356D" w14:textId="3A3065C6"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411402"/>
      <w:r w:rsidRPr="000C589F">
        <w:rPr>
          <w:rFonts w:ascii="Simplified Arabic" w:hAnsi="Simplified Arabic" w:cs="Simplified Arabic" w:hint="cs"/>
          <w:b/>
          <w:bCs/>
          <w:color w:val="000000" w:themeColor="text1"/>
          <w:sz w:val="32"/>
          <w:szCs w:val="32"/>
          <w:rtl/>
        </w:rPr>
        <w:t xml:space="preserve">1.1.2 </w:t>
      </w:r>
      <w:r w:rsidR="00414176" w:rsidRPr="000C589F">
        <w:rPr>
          <w:rFonts w:ascii="Simplified Arabic" w:hAnsi="Simplified Arabic" w:cs="Simplified Arabic"/>
          <w:b/>
          <w:bCs/>
          <w:color w:val="000000" w:themeColor="text1"/>
          <w:sz w:val="32"/>
          <w:szCs w:val="32"/>
          <w:rtl/>
        </w:rPr>
        <w:t>تمهيد</w:t>
      </w:r>
      <w:bookmarkEnd w:id="44"/>
    </w:p>
    <w:p w14:paraId="047E8DA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تُمثّل إدارة السعة السريرية أحد أبرز الحقول الإدارية الحديثة التي استقطبت اهتمام الباحثين والممارسين في مجال إدارة المنظمات الصحية، إذ باتت تُشكّل ركيزة جوهرية في تحقيق التوازن بين الموارد المتاحة والطلب المتزايد على الخدمات الصحية. ولم يعد يُنظر إلى السرير في المستشفى بوصفه أصلاً ماديًا جامدًا، بل صار وحدةً تشغيليةً ديناميكيةً تتقاطع عندها سلاسل القيمة السريرية والإدارية واللوجستية، وتُقاس عبرها كفاءة المنشأة الصحية في توظيف مواردها. ومن هذا المنطلق برزت الحاجة إلى إطار إداري متكامل يُعنى بتخطيط السعة وتدفقها وتنسيقها ورقمنتها، بما يُسهم في تجويد الأداء التشغيلي ورفع مستوى الاستجابة للحالات المرضية. ويسعى هذا المبحث إلى تأصيل مفهوم إدارة السعة السريرية وأهميتها وأهدافها وأبعادها واستراتيجياتها، ومداخلها النظرية المفسِّرة، بما يُرسّخ الأرضية المعرفية لاختبار فرضيات الدراسة الميدانية</w:t>
      </w:r>
      <w:r w:rsidRPr="000C589F">
        <w:rPr>
          <w:rFonts w:ascii="Simplified Arabic" w:hAnsi="Simplified Arabic" w:cs="Simplified Arabic"/>
          <w:color w:val="000000" w:themeColor="text1"/>
          <w:sz w:val="28"/>
          <w:szCs w:val="28"/>
        </w:rPr>
        <w:t>.</w:t>
      </w:r>
    </w:p>
    <w:p w14:paraId="060D5800" w14:textId="60441C75"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411403"/>
      <w:r w:rsidRPr="000C589F">
        <w:rPr>
          <w:rFonts w:ascii="Simplified Arabic" w:hAnsi="Simplified Arabic" w:cs="Simplified Arabic" w:hint="cs"/>
          <w:b/>
          <w:bCs/>
          <w:color w:val="000000" w:themeColor="text1"/>
          <w:sz w:val="32"/>
          <w:szCs w:val="32"/>
          <w:rtl/>
        </w:rPr>
        <w:t>2.1.2</w:t>
      </w:r>
      <w:r w:rsidR="00414176" w:rsidRPr="000C589F">
        <w:rPr>
          <w:rFonts w:ascii="Simplified Arabic" w:hAnsi="Simplified Arabic" w:cs="Simplified Arabic"/>
          <w:b/>
          <w:bCs/>
          <w:color w:val="000000" w:themeColor="text1"/>
          <w:sz w:val="32"/>
          <w:szCs w:val="32"/>
          <w:rtl/>
        </w:rPr>
        <w:t xml:space="preserve"> مفهوم إدارة السعة السريرية</w:t>
      </w:r>
      <w:bookmarkEnd w:id="45"/>
    </w:p>
    <w:p w14:paraId="48F5B60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تنوّعت مقاربات الباحثين في تعريف إدارة السعة السريرية تبعًا لزاوية المعالجة التي ينطلق منها كل باحث، فمنهم من نظر إليها بوصفها وظيفة تخطيطية تستهدف المواءمة بين الموارد السريرية والطلب المتذبذب على الخدمة، ومنهم من تناولها بوصفها منظومةً تشغيليةً تتمحور حول تدفق المريض، فيما اتجه فريق ثالث إلى مقاربتها بوصفها حقلًا للنمذجة الكميّة ومحاكاة الأنظمة الديناميكية</w:t>
      </w:r>
      <w:r w:rsidRPr="000C589F">
        <w:rPr>
          <w:rFonts w:ascii="Simplified Arabic" w:hAnsi="Simplified Arabic" w:cs="Simplified Arabic"/>
          <w:color w:val="000000" w:themeColor="text1"/>
          <w:sz w:val="28"/>
          <w:szCs w:val="28"/>
        </w:rPr>
        <w:t>.</w:t>
      </w:r>
    </w:p>
    <w:p w14:paraId="155586C3"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 xml:space="preserve">ففي السياق العربي، تناول آل جعرة (٢٠٢٥) إدارة السعة السريرية بوصفها منظومةً إداريةً تتولّى تنسيق استخدام الأسرّة بين الأقسام السريرية المختلفة، وضمان توافرها في الوقت المناسب للحالات التي تستوجب الإيواء، مع مراعاة معايير الجودة والسلامة المهنية، بحيث يتحقّق التوازن بين الطاقة الاستيعابية المعلنة والطاقة الفعلية المستثمرة. وتوسّع الفراج (٢٠١٦) في هذا التأصيل حين عرّفها بوصفها عمليةً قياسيةً تستند إلى مؤشرات كميّة دقيقة، أبرزها معدل الإشغال ومتوسط مدة الإقامة ومعدل الدوران، </w:t>
      </w:r>
      <w:r w:rsidRPr="000C589F">
        <w:rPr>
          <w:rFonts w:ascii="Simplified Arabic" w:hAnsi="Simplified Arabic" w:cs="Simplified Arabic"/>
          <w:color w:val="000000" w:themeColor="text1"/>
          <w:sz w:val="28"/>
          <w:szCs w:val="28"/>
          <w:rtl/>
        </w:rPr>
        <w:lastRenderedPageBreak/>
        <w:t>تُمكِّن إدارة المستشفى من تشخيص كفاءة التشغيل واكتشاف الفجوات بين الإمكانات المتاحة والاستخدام الفعلي</w:t>
      </w:r>
      <w:r w:rsidRPr="000C589F">
        <w:rPr>
          <w:rFonts w:ascii="Simplified Arabic" w:hAnsi="Simplified Arabic" w:cs="Simplified Arabic"/>
          <w:color w:val="000000" w:themeColor="text1"/>
          <w:sz w:val="28"/>
          <w:szCs w:val="28"/>
        </w:rPr>
        <w:t>.</w:t>
      </w:r>
    </w:p>
    <w:p w14:paraId="0D1F9440"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أما في الأدبيات الأجنبية، فقد قدّم</w:t>
      </w:r>
      <w:r w:rsidRPr="000C589F">
        <w:rPr>
          <w:rFonts w:ascii="Simplified Arabic" w:hAnsi="Simplified Arabic" w:cs="Simplified Arabic"/>
          <w:color w:val="000000" w:themeColor="text1"/>
          <w:sz w:val="28"/>
          <w:szCs w:val="28"/>
        </w:rPr>
        <w:t xml:space="preserve"> Altavilla (2026) </w:t>
      </w:r>
      <w:r w:rsidRPr="000C589F">
        <w:rPr>
          <w:rFonts w:ascii="Simplified Arabic" w:hAnsi="Simplified Arabic" w:cs="Simplified Arabic"/>
          <w:color w:val="000000" w:themeColor="text1"/>
          <w:sz w:val="28"/>
          <w:szCs w:val="28"/>
          <w:rtl/>
        </w:rPr>
        <w:t>تعريفًا أوسع يربط إدارة السعة السريرية بنماذج إدارة الأسرّة المتقدمة</w:t>
      </w:r>
      <w:r w:rsidRPr="000C589F">
        <w:rPr>
          <w:rFonts w:ascii="Simplified Arabic" w:hAnsi="Simplified Arabic" w:cs="Simplified Arabic"/>
          <w:color w:val="000000" w:themeColor="text1"/>
          <w:sz w:val="28"/>
          <w:szCs w:val="28"/>
        </w:rPr>
        <w:t xml:space="preserve"> (Bed Management Models)</w:t>
      </w:r>
      <w:r w:rsidRPr="000C589F">
        <w:rPr>
          <w:rFonts w:ascii="Simplified Arabic" w:hAnsi="Simplified Arabic" w:cs="Simplified Arabic"/>
          <w:color w:val="000000" w:themeColor="text1"/>
          <w:sz w:val="28"/>
          <w:szCs w:val="28"/>
          <w:rtl/>
        </w:rPr>
        <w:t>، إذ اعتبرها منظومةً متكاملةً من السياسات والأدوات والإجراءات التي تستهدف تعظيم كفاءة استخدام السعة السريرية وتحسين تدفق المرضى داخل المستشفى، بما يخدم الأداء المؤسسي ويُحسّن تجربة المريض. وفي السياق ذاته، عرّف</w:t>
      </w:r>
      <w:r w:rsidRPr="000C589F">
        <w:rPr>
          <w:rFonts w:ascii="Simplified Arabic" w:hAnsi="Simplified Arabic" w:cs="Simplified Arabic"/>
          <w:color w:val="000000" w:themeColor="text1"/>
          <w:sz w:val="28"/>
          <w:szCs w:val="28"/>
        </w:rPr>
        <w:t xml:space="preserve"> Kim and Oh (2024) </w:t>
      </w:r>
      <w:r w:rsidRPr="000C589F">
        <w:rPr>
          <w:rFonts w:ascii="Simplified Arabic" w:hAnsi="Simplified Arabic" w:cs="Simplified Arabic"/>
          <w:color w:val="000000" w:themeColor="text1"/>
          <w:sz w:val="28"/>
          <w:szCs w:val="28"/>
          <w:rtl/>
        </w:rPr>
        <w:t>إدارة السعة السريرية بأنها عمليةُ مواءمةٍ ديناميكيةٍ بين مؤشرات التدفق الداخل والتدفق الخارج للمرضى، تسعى إلى تخصيص الموارد السريرية وفق منطق تحليلي يُراعي تذبذب الطلب الموسمي وحالات الذروة. كما أضاف</w:t>
      </w:r>
      <w:r w:rsidRPr="000C589F">
        <w:rPr>
          <w:rFonts w:ascii="Simplified Arabic" w:hAnsi="Simplified Arabic" w:cs="Simplified Arabic"/>
          <w:color w:val="000000" w:themeColor="text1"/>
          <w:sz w:val="28"/>
          <w:szCs w:val="28"/>
        </w:rPr>
        <w:t xml:space="preserve"> Hosseinzadeh et al. (2024) </w:t>
      </w:r>
      <w:r w:rsidRPr="000C589F">
        <w:rPr>
          <w:rFonts w:ascii="Simplified Arabic" w:hAnsi="Simplified Arabic" w:cs="Simplified Arabic"/>
          <w:color w:val="000000" w:themeColor="text1"/>
          <w:sz w:val="28"/>
          <w:szCs w:val="28"/>
          <w:rtl/>
        </w:rPr>
        <w:t>بُعدًا منهجيًا حين تناولها من زاوية ديناميكيات النظم</w:t>
      </w:r>
      <w:r w:rsidRPr="000C589F">
        <w:rPr>
          <w:rFonts w:ascii="Simplified Arabic" w:hAnsi="Simplified Arabic" w:cs="Simplified Arabic"/>
          <w:color w:val="000000" w:themeColor="text1"/>
          <w:sz w:val="28"/>
          <w:szCs w:val="28"/>
        </w:rPr>
        <w:t xml:space="preserve"> (System Dynamics)</w:t>
      </w:r>
      <w:r w:rsidRPr="000C589F">
        <w:rPr>
          <w:rFonts w:ascii="Simplified Arabic" w:hAnsi="Simplified Arabic" w:cs="Simplified Arabic"/>
          <w:color w:val="000000" w:themeColor="text1"/>
          <w:sz w:val="28"/>
          <w:szCs w:val="28"/>
          <w:rtl/>
        </w:rPr>
        <w:t>، معتبرين إياها شبكةً من العلاقات السببية المتشابكة بين معدلات الدخول والخروج وفترات الإقامة، يُمكن نمذجتها لاتخاذ قرارات استراتيجية رشيدة بشأن السعة</w:t>
      </w:r>
      <w:r w:rsidRPr="000C589F">
        <w:rPr>
          <w:rFonts w:ascii="Simplified Arabic" w:hAnsi="Simplified Arabic" w:cs="Simplified Arabic"/>
          <w:color w:val="000000" w:themeColor="text1"/>
          <w:sz w:val="28"/>
          <w:szCs w:val="28"/>
        </w:rPr>
        <w:t>.</w:t>
      </w:r>
    </w:p>
    <w:p w14:paraId="0F871194"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وفي امتداد لهذا التطور المفهومي، طرح</w:t>
      </w:r>
      <w:r w:rsidRPr="000C589F">
        <w:rPr>
          <w:rFonts w:ascii="Simplified Arabic" w:hAnsi="Simplified Arabic" w:cs="Simplified Arabic"/>
          <w:color w:val="000000" w:themeColor="text1"/>
          <w:sz w:val="28"/>
          <w:szCs w:val="28"/>
        </w:rPr>
        <w:t xml:space="preserve"> Heydari et al. (2022) </w:t>
      </w:r>
      <w:r w:rsidRPr="000C589F">
        <w:rPr>
          <w:rFonts w:ascii="Simplified Arabic" w:hAnsi="Simplified Arabic" w:cs="Simplified Arabic"/>
          <w:color w:val="000000" w:themeColor="text1"/>
          <w:sz w:val="28"/>
          <w:szCs w:val="28"/>
          <w:rtl/>
        </w:rPr>
        <w:t>رؤيةً موسعةً لإدارة السعة السريرية تتجاوز التشغيل الاعتيادي إلى مواجهة حالات الطوارئ والكوارث، إذ اعتبراها قدرةً مؤسسيةً على المرونة في إعادة توزيع الأسرّة وتوسيع الطاقة الاستيعابية الجراحية وفق متطلبات الأزمات. واقترح</w:t>
      </w:r>
      <w:r w:rsidRPr="000C589F">
        <w:rPr>
          <w:rFonts w:ascii="Simplified Arabic" w:hAnsi="Simplified Arabic" w:cs="Simplified Arabic"/>
          <w:color w:val="000000" w:themeColor="text1"/>
          <w:sz w:val="28"/>
          <w:szCs w:val="28"/>
        </w:rPr>
        <w:t xml:space="preserve"> Koushan (2022) </w:t>
      </w:r>
      <w:r w:rsidRPr="000C589F">
        <w:rPr>
          <w:rFonts w:ascii="Simplified Arabic" w:hAnsi="Simplified Arabic" w:cs="Simplified Arabic"/>
          <w:color w:val="000000" w:themeColor="text1"/>
          <w:sz w:val="28"/>
          <w:szCs w:val="28"/>
          <w:rtl/>
        </w:rPr>
        <w:t>مقاربةً تكامليةً تجمع بين الجدولة الشاملة ومحاكاة سياسات إدارة سعة غرف العمليات، بحيث تُعدّ إدارة السعة السريرية حقلًا متعدد الأبعاد يستوعب البُعد التشغيلي والاستراتيجي والمحاكاتي معًا</w:t>
      </w:r>
      <w:r w:rsidRPr="000C589F">
        <w:rPr>
          <w:rFonts w:ascii="Simplified Arabic" w:hAnsi="Simplified Arabic" w:cs="Simplified Arabic"/>
          <w:color w:val="000000" w:themeColor="text1"/>
          <w:sz w:val="28"/>
          <w:szCs w:val="28"/>
        </w:rPr>
        <w:t>.</w:t>
      </w:r>
    </w:p>
    <w:p w14:paraId="4BBA0254"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ويتضح من استعراض هذه التعريفات أنّ ثمة تطورًا تدريجيًا في النظر إلى المفهوم، انتقل من المقاربة الإدارية الكلاسيكية التي تقتصر على تخصيص الأسرّة، إلى مقاربة منظوميّة شاملة تستثمر التحليل الكمي والنمذجة الرقمية والمرونة التنظيمية. كما يتبيّن أنّ ثمة قاسمًا مشتركًا بين الباحثين في عناصر التعريف، يتمثل في: المواءمة بين الموارد والطلب، والاستناد إلى مؤشرات قياسية، وتحقيق كفاءة التدفق، وضمان جودة الرعاية</w:t>
      </w:r>
      <w:r w:rsidRPr="000C589F">
        <w:rPr>
          <w:rFonts w:ascii="Simplified Arabic" w:hAnsi="Simplified Arabic" w:cs="Simplified Arabic"/>
          <w:color w:val="000000" w:themeColor="text1"/>
          <w:sz w:val="28"/>
          <w:szCs w:val="28"/>
        </w:rPr>
        <w:t>.</w:t>
      </w:r>
    </w:p>
    <w:p w14:paraId="39F826C2"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رأي الباحث</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tl/>
        </w:rPr>
        <w:t xml:space="preserve">يخلص الباحث إلى أنّ إدارة السعة السريرية تُعرَّف إجرائيًا في هذه الدراسة بأنها: «منظومة إدارية متكاملة تستند إلى التخطيط الاستراتيجي للأسرّة، وتنظيم تدفق المرضى، وتنسيق العمل </w:t>
      </w:r>
      <w:r w:rsidRPr="000C589F">
        <w:rPr>
          <w:rFonts w:ascii="Simplified Arabic" w:hAnsi="Simplified Arabic" w:cs="Simplified Arabic"/>
          <w:color w:val="000000" w:themeColor="text1"/>
          <w:sz w:val="28"/>
          <w:szCs w:val="28"/>
          <w:rtl/>
        </w:rPr>
        <w:lastRenderedPageBreak/>
        <w:t>بين الوحدات السريرية والإدارية، وتوظيف الأنظمة الرقمية، بغية مواءمة الطاقة الاستيعابية للمستشفى مع حجم الطلب على الخدمات الجراحية والإيوائية، وتعظيم الاستفادة من الموارد المتاحة، وضمان استمرارية تدفق العمليات الجراحية المجدولة دون انقطاع». ويرى الباحث أنّ هذا التعريف يجمع بين البُعد التخطيطي والبُعد التشغيلي والبُعد الرقمي، ويتلاءم مع طبيعة المستشفيات الحكومية موضوع الدراسة، التي تتسم بضغط الطلب وتعدد الأقسام واستمرار الجدولة الجراحية</w:t>
      </w:r>
      <w:r w:rsidRPr="000C589F">
        <w:rPr>
          <w:rFonts w:ascii="Simplified Arabic" w:hAnsi="Simplified Arabic" w:cs="Simplified Arabic"/>
          <w:color w:val="000000" w:themeColor="text1"/>
          <w:sz w:val="28"/>
          <w:szCs w:val="28"/>
        </w:rPr>
        <w:t>.</w:t>
      </w:r>
    </w:p>
    <w:p w14:paraId="7FF3BCEF" w14:textId="09BA612C"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411404"/>
      <w:r w:rsidRPr="000C589F">
        <w:rPr>
          <w:rFonts w:ascii="Simplified Arabic" w:hAnsi="Simplified Arabic" w:cs="Simplified Arabic" w:hint="cs"/>
          <w:b/>
          <w:bCs/>
          <w:color w:val="000000" w:themeColor="text1"/>
          <w:sz w:val="32"/>
          <w:szCs w:val="32"/>
          <w:rtl/>
        </w:rPr>
        <w:t>3.1.2</w:t>
      </w:r>
      <w:r w:rsidR="00414176" w:rsidRPr="000C589F">
        <w:rPr>
          <w:rFonts w:ascii="Simplified Arabic" w:hAnsi="Simplified Arabic" w:cs="Simplified Arabic"/>
          <w:b/>
          <w:bCs/>
          <w:color w:val="000000" w:themeColor="text1"/>
          <w:sz w:val="32"/>
          <w:szCs w:val="32"/>
          <w:rtl/>
        </w:rPr>
        <w:t xml:space="preserve"> أهمية إدارة السعة السريرية</w:t>
      </w:r>
      <w:bookmarkEnd w:id="46"/>
    </w:p>
    <w:p w14:paraId="44A42292"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تكتسب إدارة السعة السريرية أهميةً متناميةً في ميدان إدارة المنظمات الصحية، نظرًا لما تُمثّله من رافعةٍ استراتيجيةٍ للارتقاء بالكفاءة التشغيلية وضبط جودة الخدمة الصحية والحدّ من الهدر في الموارد. وتنبع هذه الأهمية من الطبيعة المعقدة لبيئة العمل في المستشفيات، إذ يتقاطع الطلب المتزايد على الخدمات الصحية مع محدودية الموارد المتاحة، فيغدو حسن إدارة السعة شرطًا لازمًا لاستقرار المنظومة وتحقيق أهدافها</w:t>
      </w:r>
      <w:r w:rsidRPr="000C589F">
        <w:rPr>
          <w:rFonts w:ascii="Simplified Arabic" w:hAnsi="Simplified Arabic" w:cs="Simplified Arabic"/>
          <w:color w:val="000000" w:themeColor="text1"/>
          <w:sz w:val="28"/>
          <w:szCs w:val="28"/>
        </w:rPr>
        <w:t>.</w:t>
      </w:r>
    </w:p>
    <w:p w14:paraId="67CF1DB8"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ويُشير</w:t>
      </w:r>
      <w:r w:rsidRPr="000C589F">
        <w:rPr>
          <w:rFonts w:ascii="Simplified Arabic" w:hAnsi="Simplified Arabic" w:cs="Simplified Arabic"/>
          <w:color w:val="000000" w:themeColor="text1"/>
          <w:sz w:val="28"/>
          <w:szCs w:val="28"/>
        </w:rPr>
        <w:t xml:space="preserve"> McGowan et al. (2007) </w:t>
      </w:r>
      <w:r w:rsidRPr="000C589F">
        <w:rPr>
          <w:rFonts w:ascii="Simplified Arabic" w:hAnsi="Simplified Arabic" w:cs="Simplified Arabic"/>
          <w:color w:val="000000" w:themeColor="text1"/>
          <w:sz w:val="28"/>
          <w:szCs w:val="28"/>
          <w:rtl/>
        </w:rPr>
        <w:t>إلى أنّ أهمية إدارة السعة السريرية تتجلى في الأبعاد الآتية: أولًا، أنها تُسهم في تجاوز الاختناقات التشغيلية في غرف العمليات حين يبلغ المستشفى ذروة إشغاله، بما يُقلّص فجوة التعارض بين الطلب على السرير والطلب على غرفة العمليات. ثانيًا، أنها تُمكّن الإدارة من اتخاذ قرارات مدروسة بشأن جدولة الحالات وفق توافر السرير في الوحدات اللاحقة للعمليات. ثالثًا، أنها تُحسّن قدرة المستشفى على استيعاب الحالات الطارئة دون التضحية بالحالات المجدولة. رابعًا، أنها تُتيح مواءمة قرارات الاستثمار في التوسعة السريرية مع مؤشرات الاستخدام الفعلي</w:t>
      </w:r>
      <w:r w:rsidRPr="000C589F">
        <w:rPr>
          <w:rFonts w:ascii="Simplified Arabic" w:hAnsi="Simplified Arabic" w:cs="Simplified Arabic"/>
          <w:color w:val="000000" w:themeColor="text1"/>
          <w:sz w:val="28"/>
          <w:szCs w:val="28"/>
        </w:rPr>
        <w:t>.</w:t>
      </w:r>
    </w:p>
    <w:p w14:paraId="0FB3FE27"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ويرى الفراج (٢٠١٦) أنّ أهمية إدارة السعة السريرية تنبثق من ارتباطها بالمؤشرات الأساسية لكفاءة المستشفى، ويُفصّلها في الجوانب التالية: أولًا، أنها تُمثّل الأداة التي تكشف الفجوة بين السعة الاسمية والسعة المستثمرة. ثانيًا، أنها تُسهم في ترشيد قرارات إعادة توزيع الأسرّة بين الأقسام وفق معدلات الإشغال. ثالثًا، أنها تُعزّز قدرة المستشفى على تخفيض زمن انتظار المريض. رابعًا، أنها تُمكّن الإدارة العليا من مقارنة الأداء عبر الزمن وعبر المنشآت المماثلة، بما يُتيح بناء مرجعيات مقارنة</w:t>
      </w:r>
      <w:r w:rsidRPr="000C589F">
        <w:rPr>
          <w:rFonts w:ascii="Simplified Arabic" w:hAnsi="Simplified Arabic" w:cs="Simplified Arabic"/>
          <w:color w:val="000000" w:themeColor="text1"/>
          <w:sz w:val="28"/>
          <w:szCs w:val="28"/>
        </w:rPr>
        <w:t xml:space="preserve"> (Benchmarks) </w:t>
      </w:r>
      <w:r w:rsidRPr="000C589F">
        <w:rPr>
          <w:rFonts w:ascii="Simplified Arabic" w:hAnsi="Simplified Arabic" w:cs="Simplified Arabic"/>
          <w:color w:val="000000" w:themeColor="text1"/>
          <w:sz w:val="28"/>
          <w:szCs w:val="28"/>
          <w:rtl/>
        </w:rPr>
        <w:t>لتطوير الأداء</w:t>
      </w:r>
      <w:r w:rsidRPr="000C589F">
        <w:rPr>
          <w:rFonts w:ascii="Simplified Arabic" w:hAnsi="Simplified Arabic" w:cs="Simplified Arabic"/>
          <w:color w:val="000000" w:themeColor="text1"/>
          <w:sz w:val="28"/>
          <w:szCs w:val="28"/>
        </w:rPr>
        <w:t>.</w:t>
      </w:r>
    </w:p>
    <w:p w14:paraId="0729DDA3"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ويُضيف</w:t>
      </w:r>
      <w:r w:rsidRPr="000C589F">
        <w:rPr>
          <w:rFonts w:ascii="Simplified Arabic" w:hAnsi="Simplified Arabic" w:cs="Simplified Arabic"/>
          <w:color w:val="000000" w:themeColor="text1"/>
          <w:sz w:val="28"/>
          <w:szCs w:val="28"/>
        </w:rPr>
        <w:t xml:space="preserve"> Altavilla (2026) </w:t>
      </w:r>
      <w:r w:rsidRPr="000C589F">
        <w:rPr>
          <w:rFonts w:ascii="Simplified Arabic" w:hAnsi="Simplified Arabic" w:cs="Simplified Arabic"/>
          <w:color w:val="000000" w:themeColor="text1"/>
          <w:sz w:val="28"/>
          <w:szCs w:val="28"/>
          <w:rtl/>
        </w:rPr>
        <w:t>أنّ الأهمية تتعاظم في ضوء التطور الذي شهدته نماذج إدارة الأسرّة، ويُجمل ذلك في المحاور الآتية: أولًا، أنها تُحسّن تجربة المريض من خلال تقليل فترات الانتظار وتيسير الانتقال بين مراحل الرعاية. ثانيًا، أنها تُخفّض معدلات الإلغاء الناتجة عن نقص الأسرّة المتاحة. ثالثًا، أنها تُسهم في تحقيق الاستدامة المالية للمستشفى من خلال تعظيم العائد على كل وحدة سعة. رابعًا، أنها تُوفّر بيانات تشغيلية ثرية تدعم القرار الإداري الاستراتيجي</w:t>
      </w:r>
      <w:r w:rsidRPr="000C589F">
        <w:rPr>
          <w:rFonts w:ascii="Simplified Arabic" w:hAnsi="Simplified Arabic" w:cs="Simplified Arabic"/>
          <w:color w:val="000000" w:themeColor="text1"/>
          <w:sz w:val="28"/>
          <w:szCs w:val="28"/>
        </w:rPr>
        <w:t>.</w:t>
      </w:r>
    </w:p>
    <w:p w14:paraId="6C2863EB"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وفي السياق التطبيقي، يُؤكّد</w:t>
      </w:r>
      <w:r w:rsidRPr="000C589F">
        <w:rPr>
          <w:rFonts w:ascii="Simplified Arabic" w:hAnsi="Simplified Arabic" w:cs="Simplified Arabic"/>
          <w:color w:val="000000" w:themeColor="text1"/>
          <w:sz w:val="28"/>
          <w:szCs w:val="28"/>
        </w:rPr>
        <w:t xml:space="preserve"> Hosseinzadeh et al. (2024) </w:t>
      </w:r>
      <w:r w:rsidRPr="000C589F">
        <w:rPr>
          <w:rFonts w:ascii="Simplified Arabic" w:hAnsi="Simplified Arabic" w:cs="Simplified Arabic"/>
          <w:color w:val="000000" w:themeColor="text1"/>
          <w:sz w:val="28"/>
          <w:szCs w:val="28"/>
          <w:rtl/>
        </w:rPr>
        <w:t>أنّ أهمية إدارة السعة السريرية برزت بصورة جلية خلال أزمات الصحة العامة، إذ غدت مدخلًا لإدارة الموجات الوبائية وتنظيم الاستجابة للطوارئ، وتتلخّص أهميتها في: أولًا، توفير نموذج كمّي يُتيح محاكاة سيناريوهات الضغط على السعة قبل وقوعها. ثانيًا، تمكين صنّاع القرار من اختبار سياسات بديلة لإعادة توزيع الموارد. ثالثًا، توفير بنية تحتية معرفية للتعامل مع الأزمات المستقبلية. رابعًا، تعزيز المرونة التنظيمية للمستشفى في مواجهة الصدمات الخارجية</w:t>
      </w:r>
      <w:r w:rsidRPr="000C589F">
        <w:rPr>
          <w:rFonts w:ascii="Simplified Arabic" w:hAnsi="Simplified Arabic" w:cs="Simplified Arabic"/>
          <w:color w:val="000000" w:themeColor="text1"/>
          <w:sz w:val="28"/>
          <w:szCs w:val="28"/>
        </w:rPr>
        <w:t>.</w:t>
      </w:r>
    </w:p>
    <w:p w14:paraId="648E26EE"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ويُبرز</w:t>
      </w:r>
      <w:r w:rsidRPr="000C589F">
        <w:rPr>
          <w:rFonts w:ascii="Simplified Arabic" w:hAnsi="Simplified Arabic" w:cs="Simplified Arabic"/>
          <w:color w:val="000000" w:themeColor="text1"/>
          <w:sz w:val="28"/>
          <w:szCs w:val="28"/>
        </w:rPr>
        <w:t xml:space="preserve"> Mattingly et al. (2021) </w:t>
      </w:r>
      <w:r w:rsidRPr="000C589F">
        <w:rPr>
          <w:rFonts w:ascii="Simplified Arabic" w:hAnsi="Simplified Arabic" w:cs="Simplified Arabic"/>
          <w:color w:val="000000" w:themeColor="text1"/>
          <w:sz w:val="28"/>
          <w:szCs w:val="28"/>
          <w:rtl/>
        </w:rPr>
        <w:t>أنّ أهمية إدارة السعة السريرية تتضح في قدرتها على دعم استجابة المنظومة الصحية للسياسات الاستثنائية التي تُقيّد العمليات الاختيارية، وتتجلى أهميتها هنا في: أولًا، صون استمرارية الخدمة الجراحية في حدودها الممكنة. ثانيًا، تنظيم أولويات الجدولة وفق درجة الإلحاح السريري. ثالثًا، تقليص التراكم اللاحق للحالات المؤجلة. رابعًا، حماية الأطقم السريرية من الضغط التشغيلي الزائد</w:t>
      </w:r>
      <w:r w:rsidRPr="000C589F">
        <w:rPr>
          <w:rFonts w:ascii="Simplified Arabic" w:hAnsi="Simplified Arabic" w:cs="Simplified Arabic"/>
          <w:color w:val="000000" w:themeColor="text1"/>
          <w:sz w:val="28"/>
          <w:szCs w:val="28"/>
        </w:rPr>
        <w:t>.</w:t>
      </w:r>
    </w:p>
    <w:p w14:paraId="3C785C57"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ويُلخّص الباحث ممّا سبق أنّ أهمية إدارة السعة السريرية تنتظم في ثلاث دوائر مترابطة: دائرة المريض من خلال تقليل الإلغاء وتحسين تجربة الرعاية، ودائرة المنشأة من خلال تعظيم كفاءة الموارد وضبط التكلفة، ودائرة المنظومة الصحية الكلية من خلال تعزيز المرونة والقدرة على الاستجابة للأزمات</w:t>
      </w:r>
      <w:r w:rsidRPr="000C589F">
        <w:rPr>
          <w:rFonts w:ascii="Simplified Arabic" w:hAnsi="Simplified Arabic" w:cs="Simplified Arabic"/>
          <w:color w:val="000000" w:themeColor="text1"/>
          <w:sz w:val="28"/>
          <w:szCs w:val="28"/>
        </w:rPr>
        <w:t>.</w:t>
      </w:r>
    </w:p>
    <w:p w14:paraId="707B5450" w14:textId="124B08BF"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411405"/>
      <w:r w:rsidRPr="000C589F">
        <w:rPr>
          <w:rFonts w:ascii="Simplified Arabic" w:hAnsi="Simplified Arabic" w:cs="Simplified Arabic" w:hint="cs"/>
          <w:b/>
          <w:bCs/>
          <w:color w:val="000000" w:themeColor="text1"/>
          <w:sz w:val="32"/>
          <w:szCs w:val="32"/>
          <w:rtl/>
        </w:rPr>
        <w:t>4.1.2</w:t>
      </w:r>
      <w:r w:rsidR="00414176" w:rsidRPr="000C589F">
        <w:rPr>
          <w:rFonts w:ascii="Simplified Arabic" w:hAnsi="Simplified Arabic" w:cs="Simplified Arabic"/>
          <w:b/>
          <w:bCs/>
          <w:color w:val="000000" w:themeColor="text1"/>
          <w:sz w:val="32"/>
          <w:szCs w:val="32"/>
          <w:rtl/>
        </w:rPr>
        <w:t xml:space="preserve"> أهداف إدارة السعة السريرية</w:t>
      </w:r>
      <w:bookmarkEnd w:id="47"/>
    </w:p>
    <w:p w14:paraId="465E71AE"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تتعدد أهداف إدارة السعة السريرية بتعدد المداخل النظرية التي تتناولها، ويُمكن تصنيف هذه الأهداف وفق ما طرحه الباحثون على النحو الآتي</w:t>
      </w:r>
      <w:r w:rsidRPr="000C589F">
        <w:rPr>
          <w:rFonts w:ascii="Simplified Arabic" w:hAnsi="Simplified Arabic" w:cs="Simplified Arabic"/>
          <w:color w:val="000000" w:themeColor="text1"/>
          <w:sz w:val="28"/>
          <w:szCs w:val="28"/>
        </w:rPr>
        <w:t>:</w:t>
      </w:r>
    </w:p>
    <w:p w14:paraId="303BFA5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يُحدّد آل جعرة (٢٠٢٥) جملةً من الأهداف الإدارية لإدارة السعة السريرية، تتمثل في: تعظيم استثمار الطاقة الاستيعابية المتاحة في المستشفى؛ وتجاوز معوّقات التنسيق بين الوحدات السريرية المختلفة؛ وضبط آلية تخصيص الأسرّة بما يُراعي أولويات الحالات؛ وتوفير بيئة عمل منظمة تُمكّن الكوادر الطبية والإدارية من أداء مهامها وفق معايير محددة</w:t>
      </w:r>
      <w:r w:rsidRPr="000C589F">
        <w:rPr>
          <w:rFonts w:ascii="Simplified Arabic" w:hAnsi="Simplified Arabic" w:cs="Simplified Arabic"/>
          <w:color w:val="000000" w:themeColor="text1"/>
          <w:sz w:val="28"/>
          <w:szCs w:val="28"/>
        </w:rPr>
        <w:t>.</w:t>
      </w:r>
    </w:p>
    <w:p w14:paraId="080015E2"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ويرى</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أنّ من أبرز أهداف إدارة السعة السريرية في علاقتها بمنظومة العمليات الجراحية ما يلي: زيادة الطاقة الاستيعابية الجراحية دون اللجوء إلى موارد إضافية؛ وتقليص أزمنة دوران غرف العمليات؛ وتطوير مؤشرات قياسية جديدة لاستخدام السعة الجراحية؛ ودعم الجدولة المتكاملة التي تُراعي قيود الموارد المختلفة</w:t>
      </w:r>
      <w:r w:rsidRPr="000C589F">
        <w:rPr>
          <w:rFonts w:ascii="Simplified Arabic" w:hAnsi="Simplified Arabic" w:cs="Simplified Arabic"/>
          <w:color w:val="000000" w:themeColor="text1"/>
          <w:sz w:val="28"/>
          <w:szCs w:val="28"/>
        </w:rPr>
        <w:t>.</w:t>
      </w:r>
    </w:p>
    <w:p w14:paraId="065421A6"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ويُوسّع</w:t>
      </w:r>
      <w:r w:rsidRPr="000C589F">
        <w:rPr>
          <w:rFonts w:ascii="Simplified Arabic" w:hAnsi="Simplified Arabic" w:cs="Simplified Arabic"/>
          <w:color w:val="000000" w:themeColor="text1"/>
          <w:sz w:val="28"/>
          <w:szCs w:val="28"/>
        </w:rPr>
        <w:t xml:space="preserve"> Khorasanian et al. (2022) </w:t>
      </w:r>
      <w:r w:rsidRPr="000C589F">
        <w:rPr>
          <w:rFonts w:ascii="Simplified Arabic" w:hAnsi="Simplified Arabic" w:cs="Simplified Arabic"/>
          <w:color w:val="000000" w:themeColor="text1"/>
          <w:sz w:val="28"/>
          <w:szCs w:val="28"/>
          <w:rtl/>
        </w:rPr>
        <w:t>دائرة الأهداف لتشمل: تقليص حالات إلغاء العمليات في حالات النقص الحاد في أسرّة وحدات الرعاية بعد التخدير؛ وتطوير نماذج لتقليل حالات الإلغاء عبر إعادة جدولة العمليات؛ ومواءمة قرارات الجدولة مع توافر الكوادر التمريضية؛ وضمان استمرارية المسار الجراحي من غرفة العمليات إلى وحدات التعافي</w:t>
      </w:r>
      <w:r w:rsidRPr="000C589F">
        <w:rPr>
          <w:rFonts w:ascii="Simplified Arabic" w:hAnsi="Simplified Arabic" w:cs="Simplified Arabic"/>
          <w:color w:val="000000" w:themeColor="text1"/>
          <w:sz w:val="28"/>
          <w:szCs w:val="28"/>
        </w:rPr>
        <w:t>.</w:t>
      </w:r>
    </w:p>
    <w:p w14:paraId="649B86A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ويُبرز</w:t>
      </w:r>
      <w:r w:rsidRPr="000C589F">
        <w:rPr>
          <w:rFonts w:ascii="Simplified Arabic" w:hAnsi="Simplified Arabic" w:cs="Simplified Arabic"/>
          <w:color w:val="000000" w:themeColor="text1"/>
          <w:sz w:val="28"/>
          <w:szCs w:val="28"/>
        </w:rPr>
        <w:t xml:space="preserve"> Brendel (2021) </w:t>
      </w:r>
      <w:r w:rsidRPr="000C589F">
        <w:rPr>
          <w:rFonts w:ascii="Simplified Arabic" w:hAnsi="Simplified Arabic" w:cs="Simplified Arabic"/>
          <w:color w:val="000000" w:themeColor="text1"/>
          <w:sz w:val="28"/>
          <w:szCs w:val="28"/>
          <w:rtl/>
        </w:rPr>
        <w:t>أنّ أهداف إدارة السعة السريرية في سياقها التشغيلي تتمحور حول: رفع إنتاجية غرف العمليات؛ وتحسين انسيابية الحالات الجراحية المجدولة؛ وتقليص الفترات الزمنية بين العمليات المتعاقبة؛ وضبط معدلات الاستفادة من الموارد الجراحية</w:t>
      </w:r>
      <w:r w:rsidRPr="000C589F">
        <w:rPr>
          <w:rFonts w:ascii="Simplified Arabic" w:hAnsi="Simplified Arabic" w:cs="Simplified Arabic"/>
          <w:color w:val="000000" w:themeColor="text1"/>
          <w:sz w:val="28"/>
          <w:szCs w:val="28"/>
        </w:rPr>
        <w:t>.</w:t>
      </w:r>
    </w:p>
    <w:p w14:paraId="3D8A0BC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Rathlev et al. (2018) </w:t>
      </w:r>
      <w:r w:rsidRPr="000C589F">
        <w:rPr>
          <w:rFonts w:ascii="Simplified Arabic" w:hAnsi="Simplified Arabic" w:cs="Simplified Arabic"/>
          <w:color w:val="000000" w:themeColor="text1"/>
          <w:sz w:val="28"/>
          <w:szCs w:val="28"/>
          <w:rtl/>
        </w:rPr>
        <w:t>أهدافًا تتصل بإعادة تصميم الجدولة الجراحية، تشمل: تعزيز إنتاجية غرف العمليات؛ وموازنة الحمل الجراحي عبر أيام الأسبوع؛ وتقليص حالات التعارض في استخدام الموارد المشتركة؛ وتحسين قدرة المستشفى على استيعاب الحالات العاجلة دون الإخلال بالجدولة الانتقائية</w:t>
      </w:r>
      <w:r w:rsidRPr="000C589F">
        <w:rPr>
          <w:rFonts w:ascii="Simplified Arabic" w:hAnsi="Simplified Arabic" w:cs="Simplified Arabic"/>
          <w:color w:val="000000" w:themeColor="text1"/>
          <w:sz w:val="28"/>
          <w:szCs w:val="28"/>
        </w:rPr>
        <w:t>.</w:t>
      </w:r>
    </w:p>
    <w:p w14:paraId="73F30AA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ويُلخّص الباحث الأهداف العامة لإدارة السعة السريرية في الدراسة الحالية بأنها تتمحور حول: تعظيم كفاءة استخدام الأسرّة، وتقليص حالات إلغاء العمليات الجراحية المجدولة، وزيادة عدد العمليات المنجزة يوميًا، وتعزيز قدرة المستشفى الحكومي على الاستجابة للطلب المتزايد</w:t>
      </w:r>
      <w:r w:rsidRPr="000C589F">
        <w:rPr>
          <w:rFonts w:ascii="Simplified Arabic" w:hAnsi="Simplified Arabic" w:cs="Simplified Arabic"/>
          <w:color w:val="000000" w:themeColor="text1"/>
          <w:sz w:val="28"/>
          <w:szCs w:val="28"/>
        </w:rPr>
        <w:t>.</w:t>
      </w:r>
    </w:p>
    <w:p w14:paraId="4DED0422" w14:textId="235C472D"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411406"/>
      <w:r w:rsidRPr="000C589F">
        <w:rPr>
          <w:rFonts w:ascii="Simplified Arabic" w:hAnsi="Simplified Arabic" w:cs="Simplified Arabic" w:hint="cs"/>
          <w:b/>
          <w:bCs/>
          <w:color w:val="000000" w:themeColor="text1"/>
          <w:sz w:val="32"/>
          <w:szCs w:val="32"/>
          <w:rtl/>
        </w:rPr>
        <w:t>5.1.2</w:t>
      </w:r>
      <w:r w:rsidR="00414176" w:rsidRPr="000C589F">
        <w:rPr>
          <w:rFonts w:ascii="Simplified Arabic" w:hAnsi="Simplified Arabic" w:cs="Simplified Arabic"/>
          <w:b/>
          <w:bCs/>
          <w:color w:val="000000" w:themeColor="text1"/>
          <w:sz w:val="32"/>
          <w:szCs w:val="32"/>
          <w:rtl/>
        </w:rPr>
        <w:t xml:space="preserve"> المداخل النظرية المفسّرة لإدارة السعة السريرية</w:t>
      </w:r>
      <w:bookmarkEnd w:id="48"/>
    </w:p>
    <w:p w14:paraId="18C4673E"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تتعدد المداخل النظرية التي تُستند إليها في تفسير إدارة السعة السريرية، وتُمثّل هذه المداخل أطرًا تحليليةً تُعين الباحث على فهم العلاقات بين متغيرات السعة وعناصر التشغيل. ويُبرز</w:t>
      </w:r>
      <w:r w:rsidRPr="000C589F">
        <w:rPr>
          <w:rFonts w:ascii="Simplified Arabic" w:hAnsi="Simplified Arabic" w:cs="Simplified Arabic"/>
          <w:color w:val="000000" w:themeColor="text1"/>
          <w:sz w:val="28"/>
          <w:szCs w:val="28"/>
        </w:rPr>
        <w:t xml:space="preserve"> Hosseinzadeh et al. (2024) </w:t>
      </w:r>
      <w:r w:rsidRPr="000C589F">
        <w:rPr>
          <w:rFonts w:ascii="Simplified Arabic" w:hAnsi="Simplified Arabic" w:cs="Simplified Arabic"/>
          <w:color w:val="000000" w:themeColor="text1"/>
          <w:sz w:val="28"/>
          <w:szCs w:val="28"/>
          <w:rtl/>
        </w:rPr>
        <w:t>مدخل ديناميكيات النظم بوصفه إطارًا تحليليًا يُتيح نمذجة العلاقات السببية بين تدفقات المرضى والموارد السريرية وقرارات الإدارة، ويُمكّن من اختبار سيناريوهات بديلة قبل تطبيقها على أرض الواقع. ويستند هذا المدخل إلى افتراض أنّ نظام المستشفى نظامٌ ديناميكيٌّ معقدٌ تتشابك فيه التغذيات الراجعة والتأخيرات الزمنية، ولا يُمكن فهمه بمعزل عن هذه الشبكة من التفاعلات</w:t>
      </w:r>
      <w:r w:rsidRPr="000C589F">
        <w:rPr>
          <w:rFonts w:ascii="Simplified Arabic" w:hAnsi="Simplified Arabic" w:cs="Simplified Arabic"/>
          <w:color w:val="000000" w:themeColor="text1"/>
          <w:sz w:val="28"/>
          <w:szCs w:val="28"/>
        </w:rPr>
        <w:t>.</w:t>
      </w:r>
    </w:p>
    <w:p w14:paraId="41B975A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ويطرح</w:t>
      </w:r>
      <w:r w:rsidRPr="000C589F">
        <w:rPr>
          <w:rFonts w:ascii="Simplified Arabic" w:hAnsi="Simplified Arabic" w:cs="Simplified Arabic"/>
          <w:color w:val="000000" w:themeColor="text1"/>
          <w:sz w:val="28"/>
          <w:szCs w:val="28"/>
        </w:rPr>
        <w:t xml:space="preserve"> Koushan (2022) </w:t>
      </w:r>
      <w:r w:rsidRPr="000C589F">
        <w:rPr>
          <w:rFonts w:ascii="Simplified Arabic" w:hAnsi="Simplified Arabic" w:cs="Simplified Arabic"/>
          <w:color w:val="000000" w:themeColor="text1"/>
          <w:sz w:val="28"/>
          <w:szCs w:val="28"/>
          <w:rtl/>
        </w:rPr>
        <w:t>مدخل المحاكاة والجدولة الشاملة، ويقوم على بناء نماذج محاكاة لسياسات إدارة السعة الجراحية، تُتيح اختبار أثر القرارات المختلفة على معدلات الإلغاء والإنتاجية، قبل تبنّيها فعليًا. ويُتيح هذا المدخل تجاوز قيود التجربة الميدانية المباشرة، ويُوفّر بيئةً افتراضيةً آمنة لتقييم البدائل</w:t>
      </w:r>
      <w:r w:rsidRPr="000C589F">
        <w:rPr>
          <w:rFonts w:ascii="Simplified Arabic" w:hAnsi="Simplified Arabic" w:cs="Simplified Arabic"/>
          <w:color w:val="000000" w:themeColor="text1"/>
          <w:sz w:val="28"/>
          <w:szCs w:val="28"/>
        </w:rPr>
        <w:t>.</w:t>
      </w:r>
    </w:p>
    <w:p w14:paraId="02E3C0D2"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أما</w:t>
      </w:r>
      <w:r w:rsidRPr="000C589F">
        <w:rPr>
          <w:rFonts w:ascii="Simplified Arabic" w:hAnsi="Simplified Arabic" w:cs="Simplified Arabic"/>
          <w:color w:val="000000" w:themeColor="text1"/>
          <w:sz w:val="28"/>
          <w:szCs w:val="28"/>
        </w:rPr>
        <w:t xml:space="preserve"> Schretlen et al. (2021) </w:t>
      </w:r>
      <w:r w:rsidRPr="000C589F">
        <w:rPr>
          <w:rFonts w:ascii="Simplified Arabic" w:hAnsi="Simplified Arabic" w:cs="Simplified Arabic"/>
          <w:color w:val="000000" w:themeColor="text1"/>
          <w:sz w:val="28"/>
          <w:szCs w:val="28"/>
          <w:rtl/>
        </w:rPr>
        <w:t>فيتبنّيان مدخل الإدارة الرشيقة وستة سيغما</w:t>
      </w:r>
      <w:r w:rsidRPr="000C589F">
        <w:rPr>
          <w:rFonts w:ascii="Simplified Arabic" w:hAnsi="Simplified Arabic" w:cs="Simplified Arabic"/>
          <w:color w:val="000000" w:themeColor="text1"/>
          <w:sz w:val="28"/>
          <w:szCs w:val="28"/>
        </w:rPr>
        <w:t xml:space="preserve"> (Lean Six Sigma) </w:t>
      </w:r>
      <w:r w:rsidRPr="000C589F">
        <w:rPr>
          <w:rFonts w:ascii="Simplified Arabic" w:hAnsi="Simplified Arabic" w:cs="Simplified Arabic"/>
          <w:color w:val="000000" w:themeColor="text1"/>
          <w:sz w:val="28"/>
          <w:szCs w:val="28"/>
          <w:rtl/>
        </w:rPr>
        <w:t>إطارًا لتحسين العمليات في إدارة السعة، ويقوم هذا المدخل على تحديد مصادر الهدر في مسار المريض الجراحي، وتقليص التذبذب في العمليات، وضبط الإجراءات وفق منهجية تحسين مستمر. ويتميّز هذا المدخل بقابلية تطبيقه التدريجي في بيئات المستشفيات الحكومية ذات الموارد المحدودة</w:t>
      </w:r>
      <w:r w:rsidRPr="000C589F">
        <w:rPr>
          <w:rFonts w:ascii="Simplified Arabic" w:hAnsi="Simplified Arabic" w:cs="Simplified Arabic"/>
          <w:color w:val="000000" w:themeColor="text1"/>
          <w:sz w:val="28"/>
          <w:szCs w:val="28"/>
        </w:rPr>
        <w:t>.</w:t>
      </w:r>
    </w:p>
    <w:p w14:paraId="7668E565"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ويُقدّم</w:t>
      </w:r>
      <w:r w:rsidRPr="000C589F">
        <w:rPr>
          <w:rFonts w:ascii="Simplified Arabic" w:hAnsi="Simplified Arabic" w:cs="Simplified Arabic"/>
          <w:color w:val="000000" w:themeColor="text1"/>
          <w:sz w:val="28"/>
          <w:szCs w:val="28"/>
        </w:rPr>
        <w:t xml:space="preserve"> Kim and Oh (2024) </w:t>
      </w:r>
      <w:r w:rsidRPr="000C589F">
        <w:rPr>
          <w:rFonts w:ascii="Simplified Arabic" w:hAnsi="Simplified Arabic" w:cs="Simplified Arabic"/>
          <w:color w:val="000000" w:themeColor="text1"/>
          <w:sz w:val="28"/>
          <w:szCs w:val="28"/>
          <w:rtl/>
        </w:rPr>
        <w:t>مدخل مؤشرات التدفق</w:t>
      </w:r>
      <w:r w:rsidRPr="000C589F">
        <w:rPr>
          <w:rFonts w:ascii="Simplified Arabic" w:hAnsi="Simplified Arabic" w:cs="Simplified Arabic"/>
          <w:color w:val="000000" w:themeColor="text1"/>
          <w:sz w:val="28"/>
          <w:szCs w:val="28"/>
        </w:rPr>
        <w:t xml:space="preserve"> (Inflow–Outflow Indices) </w:t>
      </w:r>
      <w:r w:rsidRPr="000C589F">
        <w:rPr>
          <w:rFonts w:ascii="Simplified Arabic" w:hAnsi="Simplified Arabic" w:cs="Simplified Arabic"/>
          <w:color w:val="000000" w:themeColor="text1"/>
          <w:sz w:val="28"/>
          <w:szCs w:val="28"/>
          <w:rtl/>
        </w:rPr>
        <w:t>أداةً لرصد كفاءة إدارة السعة، ويرتكز على فكرة أنّ كفاءة المستشفى تُقاس بمدى توازن تدفق المرضى الداخل مع تدفقهم الخارج، وأنّ أي اختلال في هذا التوازن يُنتج اختناقات تشغيلية تنعكس على الإلغاءات والإشغال</w:t>
      </w:r>
      <w:r w:rsidRPr="000C589F">
        <w:rPr>
          <w:rFonts w:ascii="Simplified Arabic" w:hAnsi="Simplified Arabic" w:cs="Simplified Arabic"/>
          <w:color w:val="000000" w:themeColor="text1"/>
          <w:sz w:val="28"/>
          <w:szCs w:val="28"/>
        </w:rPr>
        <w:t>.</w:t>
      </w:r>
    </w:p>
    <w:p w14:paraId="31353ADF" w14:textId="2CE585E1"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411407"/>
      <w:r w:rsidRPr="000C589F">
        <w:rPr>
          <w:rFonts w:ascii="Simplified Arabic" w:hAnsi="Simplified Arabic" w:cs="Simplified Arabic" w:hint="cs"/>
          <w:b/>
          <w:bCs/>
          <w:color w:val="000000" w:themeColor="text1"/>
          <w:sz w:val="32"/>
          <w:szCs w:val="32"/>
          <w:rtl/>
        </w:rPr>
        <w:t>6.1.2</w:t>
      </w:r>
      <w:r w:rsidR="00414176" w:rsidRPr="000C589F">
        <w:rPr>
          <w:rFonts w:ascii="Simplified Arabic" w:hAnsi="Simplified Arabic" w:cs="Simplified Arabic"/>
          <w:b/>
          <w:bCs/>
          <w:color w:val="000000" w:themeColor="text1"/>
          <w:sz w:val="32"/>
          <w:szCs w:val="32"/>
          <w:rtl/>
        </w:rPr>
        <w:t xml:space="preserve"> أبعاد إدارة السعة السريرية</w:t>
      </w:r>
      <w:bookmarkEnd w:id="49"/>
    </w:p>
    <w:p w14:paraId="62204C0F"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تم تحديد أبعاد إدارة السعة السريرية في هذه الدراسة بناءً على دراسة آل جعرة (٢٠٢٥) ودراسة الفراج (٢٠١٦) ودراسة</w:t>
      </w:r>
      <w:r w:rsidRPr="000C589F">
        <w:rPr>
          <w:rFonts w:ascii="Simplified Arabic" w:hAnsi="Simplified Arabic" w:cs="Simplified Arabic"/>
          <w:color w:val="000000" w:themeColor="text1"/>
          <w:sz w:val="28"/>
          <w:szCs w:val="28"/>
        </w:rPr>
        <w:t xml:space="preserve"> Altavilla (2026) </w:t>
      </w:r>
      <w:r w:rsidRPr="000C589F">
        <w:rPr>
          <w:rFonts w:ascii="Simplified Arabic" w:hAnsi="Simplified Arabic" w:cs="Simplified Arabic"/>
          <w:color w:val="000000" w:themeColor="text1"/>
          <w:sz w:val="28"/>
          <w:szCs w:val="28"/>
          <w:rtl/>
        </w:rPr>
        <w:t>ودراسة</w:t>
      </w:r>
      <w:r w:rsidRPr="000C589F">
        <w:rPr>
          <w:rFonts w:ascii="Simplified Arabic" w:hAnsi="Simplified Arabic" w:cs="Simplified Arabic"/>
          <w:color w:val="000000" w:themeColor="text1"/>
          <w:sz w:val="28"/>
          <w:szCs w:val="28"/>
        </w:rPr>
        <w:t xml:space="preserve"> Kim and Oh (2024)</w:t>
      </w:r>
      <w:r w:rsidRPr="000C589F">
        <w:rPr>
          <w:rFonts w:ascii="Simplified Arabic" w:hAnsi="Simplified Arabic" w:cs="Simplified Arabic"/>
          <w:color w:val="000000" w:themeColor="text1"/>
          <w:sz w:val="28"/>
          <w:szCs w:val="28"/>
          <w:rtl/>
        </w:rPr>
        <w:t>، إذ تُجمع هذه الدراسات على أنّ إدارة السعة السريرية منظومةٌ رباعيةُ الأبعاد، تتكامل فيها الأبعاد التخطيطية والتشغيلية والتنسيقية والرقمية. وفيما يلي تفصيل لهذه الأبعاد</w:t>
      </w:r>
      <w:r w:rsidRPr="000C589F">
        <w:rPr>
          <w:rFonts w:ascii="Simplified Arabic" w:hAnsi="Simplified Arabic" w:cs="Simplified Arabic"/>
          <w:color w:val="000000" w:themeColor="text1"/>
          <w:sz w:val="28"/>
          <w:szCs w:val="28"/>
        </w:rPr>
        <w:t>:</w:t>
      </w:r>
    </w:p>
    <w:p w14:paraId="0C12CD7E" w14:textId="77777777" w:rsidR="00414176" w:rsidRPr="000C589F" w:rsidRDefault="00414176" w:rsidP="00AE519C">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t>البُعد الأول: التخطيط الاستراتيجي للأسرّة</w:t>
      </w:r>
    </w:p>
    <w:p w14:paraId="48621FC8"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يُمثّل التخطيط الاستراتيجي للأسرّة الإطارَ المرجعي الذي تنطلق منه قرارات إدارة السعة في الأمد المتوسط والطويل، إذ يستهدف بناء رؤية متكاملة لتوزيع الأسرّة بين الأقسام وفق احتياجات الطلب المتوقّع وأنماط استخدام الموارد. ويتناول الفراج (٢٠١٦) هذا البُعد من زاوية كميّة عبر استخدام مخطط</w:t>
      </w:r>
      <w:r w:rsidRPr="000C589F">
        <w:rPr>
          <w:rFonts w:ascii="Simplified Arabic" w:hAnsi="Simplified Arabic" w:cs="Simplified Arabic"/>
          <w:color w:val="000000" w:themeColor="text1"/>
          <w:sz w:val="28"/>
          <w:szCs w:val="28"/>
        </w:rPr>
        <w:t xml:space="preserve"> Barber </w:t>
      </w:r>
      <w:r w:rsidRPr="000C589F">
        <w:rPr>
          <w:rFonts w:ascii="Simplified Arabic" w:hAnsi="Simplified Arabic" w:cs="Simplified Arabic"/>
          <w:color w:val="000000" w:themeColor="text1"/>
          <w:sz w:val="28"/>
          <w:szCs w:val="28"/>
          <w:rtl/>
        </w:rPr>
        <w:t>في قياس كفاءة تشغيل الأسرّة، بوصفه أداةً تربط بين أربعة مؤشرات أساسية هي: معدل الإشغال، ومتوسط مدة الإقامة، ومعدل الدوران، ومتوسط الفترة بين استخدامين متعاقبين للسرير. وتُتيح هذه الأداة للإدارة تشخيص موقع كل قسم على خريطة الكفاءة، والوقوف على نقاط الاختلال التي تستلزم تدخلًا تخطيطيًا</w:t>
      </w:r>
      <w:r w:rsidRPr="000C589F">
        <w:rPr>
          <w:rFonts w:ascii="Simplified Arabic" w:hAnsi="Simplified Arabic" w:cs="Simplified Arabic"/>
          <w:color w:val="000000" w:themeColor="text1"/>
          <w:sz w:val="28"/>
          <w:szCs w:val="28"/>
        </w:rPr>
        <w:t>.</w:t>
      </w:r>
    </w:p>
    <w:p w14:paraId="776A20A8"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ويتقاطع هذا التصور مع ما طرحته وزارة الصحة السعودية (٢٠١٢)، التي اعتمدت معدل دوران الأسرّة مؤشرًا استراتيجيًا لتقييم أداء مستشفياتها، ووضعت معايير واضحة لمعدل الدوران المستهدف وفق سعة المستشفى، بما يُشير إلى أنّ التخطيط الاستراتيجي للأسرّة لا يقتصر على المستوى الجزئي للمنشأة، بل يمتد إلى المستوى القطاعي الذي تُحدّده الجهات الإشرافية</w:t>
      </w:r>
      <w:r w:rsidRPr="000C589F">
        <w:rPr>
          <w:rFonts w:ascii="Simplified Arabic" w:hAnsi="Simplified Arabic" w:cs="Simplified Arabic"/>
          <w:color w:val="000000" w:themeColor="text1"/>
          <w:sz w:val="28"/>
          <w:szCs w:val="28"/>
        </w:rPr>
        <w:t>.</w:t>
      </w:r>
    </w:p>
    <w:p w14:paraId="3D73C78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Heydari et al. (2022) </w:t>
      </w:r>
      <w:r w:rsidRPr="000C589F">
        <w:rPr>
          <w:rFonts w:ascii="Simplified Arabic" w:hAnsi="Simplified Arabic" w:cs="Simplified Arabic"/>
          <w:color w:val="000000" w:themeColor="text1"/>
          <w:sz w:val="28"/>
          <w:szCs w:val="28"/>
          <w:rtl/>
        </w:rPr>
        <w:t>بُعدًا آخر للتخطيط الاستراتيجي يتصل بإدارة الطوارئ والكوارث، إذ يرى أنّ التخطيط الفعّال للأسرّة يجب أن يستوعب سيناريوهات الأزمات، ويُتيح إعادة توزيع السعة الجراحية بسرعة، مع الإبقاء على نواةٍ مرنةٍ من الأسرّة الاحتياطية. ويُكمل</w:t>
      </w:r>
      <w:r w:rsidRPr="000C589F">
        <w:rPr>
          <w:rFonts w:ascii="Simplified Arabic" w:hAnsi="Simplified Arabic" w:cs="Simplified Arabic"/>
          <w:color w:val="000000" w:themeColor="text1"/>
          <w:sz w:val="28"/>
          <w:szCs w:val="28"/>
        </w:rPr>
        <w:t xml:space="preserve"> Mattingly et al. (2021) </w:t>
      </w:r>
      <w:r w:rsidRPr="000C589F">
        <w:rPr>
          <w:rFonts w:ascii="Simplified Arabic" w:hAnsi="Simplified Arabic" w:cs="Simplified Arabic"/>
          <w:color w:val="000000" w:themeColor="text1"/>
          <w:sz w:val="28"/>
          <w:szCs w:val="28"/>
          <w:rtl/>
        </w:rPr>
        <w:t>هذا الطرح بالإشارة إلى أنّ التخطيط الاستراتيجي للأسرّة في زمن الجوائح يُلزم الإدارة بإعادة هندسة أولويات الجدولة الجراحية الاختيارية، وتطوير سياسات تُوازن بين متطلبات السلامة العامة واستمرارية الرعاية</w:t>
      </w:r>
      <w:r w:rsidRPr="000C589F">
        <w:rPr>
          <w:rFonts w:ascii="Simplified Arabic" w:hAnsi="Simplified Arabic" w:cs="Simplified Arabic"/>
          <w:color w:val="000000" w:themeColor="text1"/>
          <w:sz w:val="28"/>
          <w:szCs w:val="28"/>
        </w:rPr>
        <w:t>.</w:t>
      </w:r>
    </w:p>
    <w:p w14:paraId="1DBAD260"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ويُتيح التخطيط الاستراتيجي للأسرّة، وفق هذا التأصيل، اتخاذ قرارات بشأن: حجم السعة المخصّصة لكل قسم، وآليات إعادة التوزيع الموسمي، والاحتفاظ بسعة احتياطية للحالات الطارئة، ومواءمة السعة مع خطط التوسع الجراحي. ويرى الباحث أنّ هذا البُعد يُمثّل حجر الأساس في منظومة إدارة السعة، إذ تتفرّع عنه سائر الأبعاد التشغيلية والتنسيقية</w:t>
      </w:r>
      <w:r w:rsidRPr="000C589F">
        <w:rPr>
          <w:rFonts w:ascii="Simplified Arabic" w:hAnsi="Simplified Arabic" w:cs="Simplified Arabic"/>
          <w:color w:val="000000" w:themeColor="text1"/>
          <w:sz w:val="28"/>
          <w:szCs w:val="28"/>
        </w:rPr>
        <w:t>.</w:t>
      </w:r>
    </w:p>
    <w:p w14:paraId="23256D2A" w14:textId="77777777" w:rsidR="00414176" w:rsidRPr="000C589F" w:rsidRDefault="00414176" w:rsidP="00AE519C">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t>البُعد الثاني: إدارة تدفق المرضى</w:t>
      </w:r>
    </w:p>
    <w:p w14:paraId="6DD9B840"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يُعنى هذا البُعد بضبط مسار المريض داخل المستشفى منذ لحظة دخوله وحتى خروجه، بحيث يتحقّق انسيابٌ مستمرٌ يُجنّب المنشأة الاختناقات والازدحامات. ويُقدّم</w:t>
      </w:r>
      <w:r w:rsidRPr="000C589F">
        <w:rPr>
          <w:rFonts w:ascii="Simplified Arabic" w:hAnsi="Simplified Arabic" w:cs="Simplified Arabic"/>
          <w:color w:val="000000" w:themeColor="text1"/>
          <w:sz w:val="28"/>
          <w:szCs w:val="28"/>
        </w:rPr>
        <w:t xml:space="preserve"> Kim and Oh (2024) </w:t>
      </w:r>
      <w:r w:rsidRPr="000C589F">
        <w:rPr>
          <w:rFonts w:ascii="Simplified Arabic" w:hAnsi="Simplified Arabic" w:cs="Simplified Arabic"/>
          <w:color w:val="000000" w:themeColor="text1"/>
          <w:sz w:val="28"/>
          <w:szCs w:val="28"/>
          <w:rtl/>
        </w:rPr>
        <w:t xml:space="preserve">إطارًا </w:t>
      </w:r>
      <w:r w:rsidRPr="000C589F">
        <w:rPr>
          <w:rFonts w:ascii="Simplified Arabic" w:hAnsi="Simplified Arabic" w:cs="Simplified Arabic"/>
          <w:color w:val="000000" w:themeColor="text1"/>
          <w:sz w:val="28"/>
          <w:szCs w:val="28"/>
          <w:rtl/>
        </w:rPr>
        <w:lastRenderedPageBreak/>
        <w:t>تحليليًا متقدمًا لإدارة التدفق يقوم على مؤشري التدفق الداخل والخارج، ويرى أنّ كفاءة إدارة التدفق تُقاس بمدى التوازن بين هذين المؤشرين، وأنّ أي اختلال يُنتج إما اكتظاظًا أو هدرًا في السعة</w:t>
      </w:r>
      <w:r w:rsidRPr="000C589F">
        <w:rPr>
          <w:rFonts w:ascii="Simplified Arabic" w:hAnsi="Simplified Arabic" w:cs="Simplified Arabic"/>
          <w:color w:val="000000" w:themeColor="text1"/>
          <w:sz w:val="28"/>
          <w:szCs w:val="28"/>
        </w:rPr>
        <w:t>.</w:t>
      </w:r>
    </w:p>
    <w:p w14:paraId="547E60D7"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ويتقاطع هذا الطرح مع ما يُقدّمه</w:t>
      </w:r>
      <w:r w:rsidRPr="000C589F">
        <w:rPr>
          <w:rFonts w:ascii="Simplified Arabic" w:hAnsi="Simplified Arabic" w:cs="Simplified Arabic"/>
          <w:color w:val="000000" w:themeColor="text1"/>
          <w:sz w:val="28"/>
          <w:szCs w:val="28"/>
        </w:rPr>
        <w:t xml:space="preserve"> McGowan et al. (2007) </w:t>
      </w:r>
      <w:r w:rsidRPr="000C589F">
        <w:rPr>
          <w:rFonts w:ascii="Simplified Arabic" w:hAnsi="Simplified Arabic" w:cs="Simplified Arabic"/>
          <w:color w:val="000000" w:themeColor="text1"/>
          <w:sz w:val="28"/>
          <w:szCs w:val="28"/>
          <w:rtl/>
        </w:rPr>
        <w:t>من أنّ إدارة التدفق ترتبط ارتباطًا وثيقًا بكفاءة غرف العمليات حين يبلغ المستشفى ذروة الإشغال، إذ يُمثّل توافر السرير في وحدات ما بعد العمليات شرطًا لقبول الحالة الجراحية. وعليه، فإنّ إدارة التدفق ليست شأنًا داخليًا لأقسام الإيواء فحسب، بل تمتد لتشمل أقسام الطوارئ والعمليات والعناية المركزة في منظومة متشابكة</w:t>
      </w:r>
      <w:r w:rsidRPr="000C589F">
        <w:rPr>
          <w:rFonts w:ascii="Simplified Arabic" w:hAnsi="Simplified Arabic" w:cs="Simplified Arabic"/>
          <w:color w:val="000000" w:themeColor="text1"/>
          <w:sz w:val="28"/>
          <w:szCs w:val="28"/>
        </w:rPr>
        <w:t>.</w:t>
      </w:r>
    </w:p>
    <w:p w14:paraId="0F560009"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ويُبرز</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أنّ إدارة تدفق المرضى في علاقتها بالمسار الجراحي تتطلب التعامل مع زمن الدوران</w:t>
      </w:r>
      <w:r w:rsidRPr="000C589F">
        <w:rPr>
          <w:rFonts w:ascii="Simplified Arabic" w:hAnsi="Simplified Arabic" w:cs="Simplified Arabic"/>
          <w:color w:val="000000" w:themeColor="text1"/>
          <w:sz w:val="28"/>
          <w:szCs w:val="28"/>
        </w:rPr>
        <w:t xml:space="preserve"> (Turnover Time) </w:t>
      </w:r>
      <w:r w:rsidRPr="000C589F">
        <w:rPr>
          <w:rFonts w:ascii="Simplified Arabic" w:hAnsi="Simplified Arabic" w:cs="Simplified Arabic"/>
          <w:color w:val="000000" w:themeColor="text1"/>
          <w:sz w:val="28"/>
          <w:szCs w:val="28"/>
          <w:rtl/>
        </w:rPr>
        <w:t>بوصفه مؤشرًا حاكمًا، إذ يُحدّد قدرة المنشأة على تتابع العمليات في غرفة العمليات الواحدة دون انقطاع، ويُتيح زيادة العمليات المنجزة دون الحاجة إلى توسعة الموارد. ويُقدّم هذا التصور رؤيةً مغايرةً تنظر إلى التدفق بوصفه إنتاجيةً زمنيةً يُمكن تعظيمها بإعادة هندسة الإجراءات</w:t>
      </w:r>
      <w:r w:rsidRPr="000C589F">
        <w:rPr>
          <w:rFonts w:ascii="Simplified Arabic" w:hAnsi="Simplified Arabic" w:cs="Simplified Arabic"/>
          <w:color w:val="000000" w:themeColor="text1"/>
          <w:sz w:val="28"/>
          <w:szCs w:val="28"/>
        </w:rPr>
        <w:t>.</w:t>
      </w:r>
    </w:p>
    <w:p w14:paraId="714C0A45"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Khorasanian et al. (2022) </w:t>
      </w:r>
      <w:r w:rsidRPr="000C589F">
        <w:rPr>
          <w:rFonts w:ascii="Simplified Arabic" w:hAnsi="Simplified Arabic" w:cs="Simplified Arabic"/>
          <w:color w:val="000000" w:themeColor="text1"/>
          <w:sz w:val="28"/>
          <w:szCs w:val="28"/>
          <w:rtl/>
        </w:rPr>
        <w:t>بُعدًا تنظيميًا لإدارة التدفق يتصل بالعلاقة بين توافر أسرّة وحدات الرعاية بعد التخدير وتدفق الحالات الجراحية، إذ يرى أنّ النقص الحاد في هذه الأسرّة أو في الكوادر التمريضية يُعدّ من أبرز مسببات إلغاء العمليات، وأنّ إدارة التدفق ينبغي أن تستوعب هذا التشابك بين الموارد البشرية والسعة المادية في قرار الجدولة</w:t>
      </w:r>
      <w:r w:rsidRPr="000C589F">
        <w:rPr>
          <w:rFonts w:ascii="Simplified Arabic" w:hAnsi="Simplified Arabic" w:cs="Simplified Arabic"/>
          <w:color w:val="000000" w:themeColor="text1"/>
          <w:sz w:val="28"/>
          <w:szCs w:val="28"/>
        </w:rPr>
        <w:t>.</w:t>
      </w:r>
    </w:p>
    <w:p w14:paraId="0D32F154"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ويُمكّن هذا البُعد الإدارة من رصد نقاط الاختناق في مسار المريض، وتقليص فترات الانتظار، وضمان انسيابية الانتقال بين مراحل الرعاية المختلفة. ويرى الباحث أنّ إدارة تدفق المرضى تُجسّد الجانب التشغيلي الحيّ لإدارة السعة السريرية، وتُمثّل الواجهة التي يلمس فيها المريض كفاءة المنظومة الإدارية</w:t>
      </w:r>
      <w:r w:rsidRPr="000C589F">
        <w:rPr>
          <w:rFonts w:ascii="Simplified Arabic" w:hAnsi="Simplified Arabic" w:cs="Simplified Arabic"/>
          <w:color w:val="000000" w:themeColor="text1"/>
          <w:sz w:val="28"/>
          <w:szCs w:val="28"/>
        </w:rPr>
        <w:t>.</w:t>
      </w:r>
    </w:p>
    <w:p w14:paraId="7660EB85" w14:textId="77777777" w:rsidR="00414176" w:rsidRPr="000C589F" w:rsidRDefault="00414176" w:rsidP="00AE519C">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t>البُعد الثالث: التنسيق بين الأقسام السريرية والإدارية</w:t>
      </w:r>
    </w:p>
    <w:p w14:paraId="7F383C82"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 xml:space="preserve">يُمثّل التنسيق بين الأقسام جسرًا حيويًا يضمن انسجام القرارات المتعلقة بالسعة السريرية بين الجهات المختلفة في المستشفى، ويُجنّب المنشأة التضارب والازدواجية في استخدام الموارد. ويرى آل جعرة (٢٠٢٥) أنّ ضعف التنسيق يُمثّل أحد أبرز المعوّقات في تطبيق إدارة الأسرّة بالقطاع الصحي، إذ يُنتج </w:t>
      </w:r>
      <w:r w:rsidRPr="000C589F">
        <w:rPr>
          <w:rFonts w:ascii="Simplified Arabic" w:hAnsi="Simplified Arabic" w:cs="Simplified Arabic"/>
          <w:color w:val="000000" w:themeColor="text1"/>
          <w:sz w:val="28"/>
          <w:szCs w:val="28"/>
          <w:rtl/>
        </w:rPr>
        <w:lastRenderedPageBreak/>
        <w:t>فجواتٍ في تبادل المعلومات بين أقسام القبول والعمليات والإيواء، تنعكس سلبًا على قرارات الجدولة وإلغاء العمليات</w:t>
      </w:r>
      <w:r w:rsidRPr="000C589F">
        <w:rPr>
          <w:rFonts w:ascii="Simplified Arabic" w:hAnsi="Simplified Arabic" w:cs="Simplified Arabic"/>
          <w:color w:val="000000" w:themeColor="text1"/>
          <w:sz w:val="28"/>
          <w:szCs w:val="28"/>
        </w:rPr>
        <w:t>.</w:t>
      </w:r>
    </w:p>
    <w:p w14:paraId="2B763659"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ويُعزّز</w:t>
      </w:r>
      <w:r w:rsidRPr="000C589F">
        <w:rPr>
          <w:rFonts w:ascii="Simplified Arabic" w:hAnsi="Simplified Arabic" w:cs="Simplified Arabic"/>
          <w:color w:val="000000" w:themeColor="text1"/>
          <w:sz w:val="28"/>
          <w:szCs w:val="28"/>
        </w:rPr>
        <w:t xml:space="preserve"> Schretlen et al. (2021) </w:t>
      </w:r>
      <w:r w:rsidRPr="000C589F">
        <w:rPr>
          <w:rFonts w:ascii="Simplified Arabic" w:hAnsi="Simplified Arabic" w:cs="Simplified Arabic"/>
          <w:color w:val="000000" w:themeColor="text1"/>
          <w:sz w:val="28"/>
          <w:szCs w:val="28"/>
          <w:rtl/>
        </w:rPr>
        <w:t>هذا الطرح من خلال مدخل</w:t>
      </w:r>
      <w:r w:rsidRPr="000C589F">
        <w:rPr>
          <w:rFonts w:ascii="Simplified Arabic" w:hAnsi="Simplified Arabic" w:cs="Simplified Arabic"/>
          <w:color w:val="000000" w:themeColor="text1"/>
          <w:sz w:val="28"/>
          <w:szCs w:val="28"/>
        </w:rPr>
        <w:t xml:space="preserve"> Lean Six Sigma</w:t>
      </w:r>
      <w:r w:rsidRPr="000C589F">
        <w:rPr>
          <w:rFonts w:ascii="Simplified Arabic" w:hAnsi="Simplified Arabic" w:cs="Simplified Arabic"/>
          <w:color w:val="000000" w:themeColor="text1"/>
          <w:sz w:val="28"/>
          <w:szCs w:val="28"/>
          <w:rtl/>
        </w:rPr>
        <w:t>، إذ يُؤكّدان أنّ تقليص حالات إلغاء العمليات يستلزم تنسيقًا منهجيًا بين الأقسام السريرية والإدارية، يقوم على تحديد مصادر الهدر في مسار المريض، وتوحيد الإجراءات، وبناء قنوات اتصال فعّالة. ويُبرز هذا التصور أنّ التنسيق ليس مجرد ترتيب شكلي للعلاقات، بل عملٌ مؤسسيٌّ ممنهجٌ يُديره فريقٌ متعدد التخصصات</w:t>
      </w:r>
      <w:r w:rsidRPr="000C589F">
        <w:rPr>
          <w:rFonts w:ascii="Simplified Arabic" w:hAnsi="Simplified Arabic" w:cs="Simplified Arabic"/>
          <w:color w:val="000000" w:themeColor="text1"/>
          <w:sz w:val="28"/>
          <w:szCs w:val="28"/>
        </w:rPr>
        <w:t>.</w:t>
      </w:r>
    </w:p>
    <w:p w14:paraId="710FB631"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Mesmar et al. (2011) </w:t>
      </w:r>
      <w:r w:rsidRPr="000C589F">
        <w:rPr>
          <w:rFonts w:ascii="Simplified Arabic" w:hAnsi="Simplified Arabic" w:cs="Simplified Arabic"/>
          <w:color w:val="000000" w:themeColor="text1"/>
          <w:sz w:val="28"/>
          <w:szCs w:val="28"/>
          <w:rtl/>
        </w:rPr>
        <w:t>أنّ ضعف التنسيق بين الأقسام يُعدّ من الأسباب الجوهرية لإلغاء العمليات الاختيارية في المستشفيات التعليمية، ويُشير إلى أنّ سوء التواصل بين فرق التخدير والجراحة والإيواء يُنتج قرارات إلغاء كان يُمكن تجنّبها بآليات تنسيق أفضل. ويتقاطع هذا الطرح مع ما يُقدّمه</w:t>
      </w:r>
      <w:r w:rsidRPr="000C589F">
        <w:rPr>
          <w:rFonts w:ascii="Simplified Arabic" w:hAnsi="Simplified Arabic" w:cs="Simplified Arabic"/>
          <w:color w:val="000000" w:themeColor="text1"/>
          <w:sz w:val="28"/>
          <w:szCs w:val="28"/>
        </w:rPr>
        <w:t xml:space="preserve"> Abeeleh et al. (2017) </w:t>
      </w:r>
      <w:r w:rsidRPr="000C589F">
        <w:rPr>
          <w:rFonts w:ascii="Simplified Arabic" w:hAnsi="Simplified Arabic" w:cs="Simplified Arabic"/>
          <w:color w:val="000000" w:themeColor="text1"/>
          <w:sz w:val="28"/>
          <w:szCs w:val="28"/>
          <w:rtl/>
        </w:rPr>
        <w:t>من أنّ التنسيق بين الأقسام يُمثّل أولويةً للتحسين في المستشفيات التعليمية، وأنّ تحديد مصادر الإلغاء يستوجب رؤيةً منظوميةً تربط بين قرارات الأقسام المختلفة</w:t>
      </w:r>
      <w:r w:rsidRPr="000C589F">
        <w:rPr>
          <w:rFonts w:ascii="Simplified Arabic" w:hAnsi="Simplified Arabic" w:cs="Simplified Arabic"/>
          <w:color w:val="000000" w:themeColor="text1"/>
          <w:sz w:val="28"/>
          <w:szCs w:val="28"/>
        </w:rPr>
        <w:t>.</w:t>
      </w:r>
    </w:p>
    <w:p w14:paraId="02CD690B"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ويُكمل</w:t>
      </w:r>
      <w:r w:rsidRPr="000C589F">
        <w:rPr>
          <w:rFonts w:ascii="Simplified Arabic" w:hAnsi="Simplified Arabic" w:cs="Simplified Arabic"/>
          <w:color w:val="000000" w:themeColor="text1"/>
          <w:sz w:val="28"/>
          <w:szCs w:val="28"/>
        </w:rPr>
        <w:t xml:space="preserve"> Viderman et al. (2021) </w:t>
      </w:r>
      <w:r w:rsidRPr="000C589F">
        <w:rPr>
          <w:rFonts w:ascii="Simplified Arabic" w:hAnsi="Simplified Arabic" w:cs="Simplified Arabic"/>
          <w:color w:val="000000" w:themeColor="text1"/>
          <w:sz w:val="28"/>
          <w:szCs w:val="28"/>
          <w:rtl/>
        </w:rPr>
        <w:t>هذا التأصيل بالإشارة إلى أنّ تطبيق التوصيات المستندة إلى الأدلة لتقليل إلغاء العمليات يستلزم إطارًا تنسيقيًا قويًا يجمع بين الفرق السريرية والإدارية، ويُتيح ترجمة التوصيات إلى ممارسات يومية. ويُعزّز هذا الطرح فكرة أنّ التنسيق هو الوسيط الذي يُحوّل المعرفة العلمية إلى تحسين تشغيلي ملموس</w:t>
      </w:r>
      <w:r w:rsidRPr="000C589F">
        <w:rPr>
          <w:rFonts w:ascii="Simplified Arabic" w:hAnsi="Simplified Arabic" w:cs="Simplified Arabic"/>
          <w:color w:val="000000" w:themeColor="text1"/>
          <w:sz w:val="28"/>
          <w:szCs w:val="28"/>
        </w:rPr>
        <w:t>.</w:t>
      </w:r>
    </w:p>
    <w:p w14:paraId="1D438C90"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ويُتيح هذا البُعد توحيد جهود الأقسام المختلفة في خدمة الهدف الكلي لإدارة السعة، ويُجنّب المنشأة آثار التجزؤ الإداري. ويرى الباحث أنّ التنسيق يُمثّل البعد الذي يربط بين التخطيط والتنفيذ، ويُعطي منظومة إدارة السعة تماسكها المؤسسي</w:t>
      </w:r>
      <w:r w:rsidRPr="000C589F">
        <w:rPr>
          <w:rFonts w:ascii="Simplified Arabic" w:hAnsi="Simplified Arabic" w:cs="Simplified Arabic"/>
          <w:color w:val="000000" w:themeColor="text1"/>
          <w:sz w:val="28"/>
          <w:szCs w:val="28"/>
        </w:rPr>
        <w:t>.</w:t>
      </w:r>
    </w:p>
    <w:p w14:paraId="43742151" w14:textId="77777777" w:rsidR="00414176" w:rsidRPr="000C589F" w:rsidRDefault="00414176" w:rsidP="00AE519C">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t>البُعد الرابع: الأنظمة الرقمية لإدارة الأسرّة</w:t>
      </w:r>
    </w:p>
    <w:p w14:paraId="592F0953"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يُجسّد هذا البُعد المرحلة المتقدمة من تطور إدارة السعة السريرية، إذ يستثمر التحول الرقمي لتطوير أنظمة معلوماتية تُتيح تتبّع الأسرّة لحظيًا، ودعم القرارات الإدارية ببيانات دقيقة. ويُبرز</w:t>
      </w:r>
      <w:r w:rsidRPr="000C589F">
        <w:rPr>
          <w:rFonts w:ascii="Simplified Arabic" w:hAnsi="Simplified Arabic" w:cs="Simplified Arabic"/>
          <w:color w:val="000000" w:themeColor="text1"/>
          <w:sz w:val="28"/>
          <w:szCs w:val="28"/>
        </w:rPr>
        <w:t xml:space="preserve"> Altavilla (2026) </w:t>
      </w:r>
      <w:r w:rsidRPr="000C589F">
        <w:rPr>
          <w:rFonts w:ascii="Simplified Arabic" w:hAnsi="Simplified Arabic" w:cs="Simplified Arabic"/>
          <w:color w:val="000000" w:themeColor="text1"/>
          <w:sz w:val="28"/>
          <w:szCs w:val="28"/>
          <w:rtl/>
        </w:rPr>
        <w:t>أنّ نماذج إدارة الأسرّة الحديثة تستند إلى أنظمة رقمية متطورة تربط بين أقسام المستشفى، وتُتيح رؤيةً شاملةً لحالة السعة في أي لحظة، بما يُحسّن جودة القرار الإداري ويُقلّص زمن الاستجابة</w:t>
      </w:r>
      <w:r w:rsidRPr="000C589F">
        <w:rPr>
          <w:rFonts w:ascii="Simplified Arabic" w:hAnsi="Simplified Arabic" w:cs="Simplified Arabic"/>
          <w:color w:val="000000" w:themeColor="text1"/>
          <w:sz w:val="28"/>
          <w:szCs w:val="28"/>
        </w:rPr>
        <w:t>.</w:t>
      </w:r>
    </w:p>
    <w:p w14:paraId="7C859A61"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ويُعزّز</w:t>
      </w:r>
      <w:r w:rsidRPr="000C589F">
        <w:rPr>
          <w:rFonts w:ascii="Simplified Arabic" w:hAnsi="Simplified Arabic" w:cs="Simplified Arabic"/>
          <w:color w:val="000000" w:themeColor="text1"/>
          <w:sz w:val="28"/>
          <w:szCs w:val="28"/>
        </w:rPr>
        <w:t xml:space="preserve"> Hosseinzadeh et al. (2024) </w:t>
      </w:r>
      <w:r w:rsidRPr="000C589F">
        <w:rPr>
          <w:rFonts w:ascii="Simplified Arabic" w:hAnsi="Simplified Arabic" w:cs="Simplified Arabic"/>
          <w:color w:val="000000" w:themeColor="text1"/>
          <w:sz w:val="28"/>
          <w:szCs w:val="28"/>
          <w:rtl/>
        </w:rPr>
        <w:t>هذا التصور من خلال نمذجة ديناميكيات النظم، إذ يُتيح التطبيق الرقمي محاكاة سيناريوهات السعة قبل تطبيقها، ويُمكّن الإدارة من اختبار سياسات بديلة في بيئة افتراضية. وتُمثّل هذه القدرة التحليلية قفزةً نوعيةً في إدارة السعة، تنتقل بها من ردّ الفعل إلى الاستباق</w:t>
      </w:r>
      <w:r w:rsidRPr="000C589F">
        <w:rPr>
          <w:rFonts w:ascii="Simplified Arabic" w:hAnsi="Simplified Arabic" w:cs="Simplified Arabic"/>
          <w:color w:val="000000" w:themeColor="text1"/>
          <w:sz w:val="28"/>
          <w:szCs w:val="28"/>
        </w:rPr>
        <w:t>.</w:t>
      </w:r>
    </w:p>
    <w:p w14:paraId="2C80644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ويُكمل</w:t>
      </w:r>
      <w:r w:rsidRPr="000C589F">
        <w:rPr>
          <w:rFonts w:ascii="Simplified Arabic" w:hAnsi="Simplified Arabic" w:cs="Simplified Arabic"/>
          <w:color w:val="000000" w:themeColor="text1"/>
          <w:sz w:val="28"/>
          <w:szCs w:val="28"/>
        </w:rPr>
        <w:t xml:space="preserve"> Koushan (2022) </w:t>
      </w:r>
      <w:r w:rsidRPr="000C589F">
        <w:rPr>
          <w:rFonts w:ascii="Simplified Arabic" w:hAnsi="Simplified Arabic" w:cs="Simplified Arabic"/>
          <w:color w:val="000000" w:themeColor="text1"/>
          <w:sz w:val="28"/>
          <w:szCs w:val="28"/>
          <w:rtl/>
        </w:rPr>
        <w:t>هذا الطرح بمدخل المحاكاة الرقمي الذي يُتيح بناء نماذج تفصيلية لسياسات إدارة سعة غرف العمليات، ويُمكّن من تقييم أثر القرارات قبل تبنّيها. ويُشير هذا التصور إلى أنّ الأنظمة الرقمية ليست أدوات إدارية فقط، بل منصاتٌ تحليليةٌ تُغذّي الفكر الاستراتيجي بالبيانات والنماذج</w:t>
      </w:r>
      <w:r w:rsidRPr="000C589F">
        <w:rPr>
          <w:rFonts w:ascii="Simplified Arabic" w:hAnsi="Simplified Arabic" w:cs="Simplified Arabic"/>
          <w:color w:val="000000" w:themeColor="text1"/>
          <w:sz w:val="28"/>
          <w:szCs w:val="28"/>
        </w:rPr>
        <w:t>.</w:t>
      </w:r>
    </w:p>
    <w:p w14:paraId="549437D5"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أنّ الأنظمة الرقمية تُتيح تطوير مؤشرات قياسية جديدة لاستخدام السعة الجراحية، مثل زمن الدوران المعمّم، الذي يُمكن حسابه وتحليله بدقة عالية في ظل وجود نظام معلوماتي متكامل. ويُعزّز هذا الطرح فكرة أنّ الرقمنة شرطٌ ضروريٌ لتطوير أدوات القياس وتحسين الأداء</w:t>
      </w:r>
      <w:r w:rsidRPr="000C589F">
        <w:rPr>
          <w:rFonts w:ascii="Simplified Arabic" w:hAnsi="Simplified Arabic" w:cs="Simplified Arabic"/>
          <w:color w:val="000000" w:themeColor="text1"/>
          <w:sz w:val="28"/>
          <w:szCs w:val="28"/>
        </w:rPr>
        <w:t>.</w:t>
      </w:r>
    </w:p>
    <w:p w14:paraId="552ED51F"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ويُتيح هذا البُعد للمستشفى الانتقال من الإدارة التقليدية للأسرّة إلى الإدارة الذكية المستندة إلى البيانات، ويُمكّن صنّاع القرار من الاستجابة الفورية لتغيّرات الطلب، وتعديل الجدولة الجراحية بصورة لحظية. ويرى الباحث أنّ هذا البُعد يُمثّل المستقبل الذي تتجه إليه إدارة السعة السريرية، وأنّ المستشفيات الحكومية مدعوة إلى تبنّيه لاستيعاب الضغوط المتزايدة على السعة</w:t>
      </w:r>
      <w:r w:rsidRPr="000C589F">
        <w:rPr>
          <w:rFonts w:ascii="Simplified Arabic" w:hAnsi="Simplified Arabic" w:cs="Simplified Arabic"/>
          <w:color w:val="000000" w:themeColor="text1"/>
          <w:sz w:val="28"/>
          <w:szCs w:val="28"/>
        </w:rPr>
        <w:t>.</w:t>
      </w:r>
    </w:p>
    <w:p w14:paraId="00B2F1F0" w14:textId="69A67284"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411408"/>
      <w:r w:rsidRPr="000C589F">
        <w:rPr>
          <w:rFonts w:ascii="Simplified Arabic" w:hAnsi="Simplified Arabic" w:cs="Simplified Arabic" w:hint="cs"/>
          <w:b/>
          <w:bCs/>
          <w:color w:val="000000" w:themeColor="text1"/>
          <w:sz w:val="32"/>
          <w:szCs w:val="32"/>
          <w:rtl/>
        </w:rPr>
        <w:t>7.1.2</w:t>
      </w:r>
      <w:r w:rsidR="00414176" w:rsidRPr="000C589F">
        <w:rPr>
          <w:rFonts w:ascii="Simplified Arabic" w:hAnsi="Simplified Arabic" w:cs="Simplified Arabic"/>
          <w:b/>
          <w:bCs/>
          <w:color w:val="000000" w:themeColor="text1"/>
          <w:sz w:val="32"/>
          <w:szCs w:val="32"/>
          <w:rtl/>
        </w:rPr>
        <w:t xml:space="preserve"> استراتيجيات إدارة السعة السريرية</w:t>
      </w:r>
      <w:bookmarkEnd w:id="50"/>
    </w:p>
    <w:p w14:paraId="6BF83856"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تتعدد الاستراتيجيات التي تتبنّاها المستشفيات لإدارة السعة السريرية، وتتراوح بين الاستراتيجيات الكميّة والاستراتيجيات التشغيلية والاستراتيجيات التحويلية. ويُقدّم</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استراتيجية الجدولة المعمّمة لغرف العمليات بوصفها مدخلًا لزيادة الطاقة الاستيعابية دون موارد إضافية، تقوم على تحسين خوارزميات الجدولة وتقليص أزمنة الدوران. ويُكمل</w:t>
      </w:r>
      <w:r w:rsidRPr="000C589F">
        <w:rPr>
          <w:rFonts w:ascii="Simplified Arabic" w:hAnsi="Simplified Arabic" w:cs="Simplified Arabic"/>
          <w:color w:val="000000" w:themeColor="text1"/>
          <w:sz w:val="28"/>
          <w:szCs w:val="28"/>
        </w:rPr>
        <w:t xml:space="preserve"> Brendel (2021) </w:t>
      </w:r>
      <w:r w:rsidRPr="000C589F">
        <w:rPr>
          <w:rFonts w:ascii="Simplified Arabic" w:hAnsi="Simplified Arabic" w:cs="Simplified Arabic"/>
          <w:color w:val="000000" w:themeColor="text1"/>
          <w:sz w:val="28"/>
          <w:szCs w:val="28"/>
          <w:rtl/>
        </w:rPr>
        <w:t>ذلك باستراتيجية تحسين إنتاجية غرف العمليات عبر إعادة هندسة الإجراءات، فيما يطرح</w:t>
      </w:r>
      <w:r w:rsidRPr="000C589F">
        <w:rPr>
          <w:rFonts w:ascii="Simplified Arabic" w:hAnsi="Simplified Arabic" w:cs="Simplified Arabic"/>
          <w:color w:val="000000" w:themeColor="text1"/>
          <w:sz w:val="28"/>
          <w:szCs w:val="28"/>
        </w:rPr>
        <w:t xml:space="preserve"> Rathlev et al. (2018) </w:t>
      </w:r>
      <w:r w:rsidRPr="000C589F">
        <w:rPr>
          <w:rFonts w:ascii="Simplified Arabic" w:hAnsi="Simplified Arabic" w:cs="Simplified Arabic"/>
          <w:color w:val="000000" w:themeColor="text1"/>
          <w:sz w:val="28"/>
          <w:szCs w:val="28"/>
          <w:rtl/>
        </w:rPr>
        <w:t>استراتيجية إعادة تصميم الجدولة الجراحية بوصفها مدخلًا لرفع الإنتاجية. ويُضيف</w:t>
      </w:r>
      <w:r w:rsidRPr="000C589F">
        <w:rPr>
          <w:rFonts w:ascii="Simplified Arabic" w:hAnsi="Simplified Arabic" w:cs="Simplified Arabic"/>
          <w:color w:val="000000" w:themeColor="text1"/>
          <w:sz w:val="28"/>
          <w:szCs w:val="28"/>
        </w:rPr>
        <w:t xml:space="preserve"> Schretlen et al. (2021) </w:t>
      </w:r>
      <w:r w:rsidRPr="000C589F">
        <w:rPr>
          <w:rFonts w:ascii="Simplified Arabic" w:hAnsi="Simplified Arabic" w:cs="Simplified Arabic"/>
          <w:color w:val="000000" w:themeColor="text1"/>
          <w:sz w:val="28"/>
          <w:szCs w:val="28"/>
          <w:rtl/>
        </w:rPr>
        <w:t>استراتيجية</w:t>
      </w:r>
      <w:r w:rsidRPr="000C589F">
        <w:rPr>
          <w:rFonts w:ascii="Simplified Arabic" w:hAnsi="Simplified Arabic" w:cs="Simplified Arabic"/>
          <w:color w:val="000000" w:themeColor="text1"/>
          <w:sz w:val="28"/>
          <w:szCs w:val="28"/>
        </w:rPr>
        <w:t xml:space="preserve"> Lean Six Sigma </w:t>
      </w:r>
      <w:r w:rsidRPr="000C589F">
        <w:rPr>
          <w:rFonts w:ascii="Simplified Arabic" w:hAnsi="Simplified Arabic" w:cs="Simplified Arabic"/>
          <w:color w:val="000000" w:themeColor="text1"/>
          <w:sz w:val="28"/>
          <w:szCs w:val="28"/>
          <w:rtl/>
        </w:rPr>
        <w:t>بوصفها منهجيةً متكاملةً للتحسين المستمر، وتُجمع هذه الاستراتيجيات على ضرورة استثمار الموارد المتاحة قبل اللجوء إلى التوسعة</w:t>
      </w:r>
      <w:r w:rsidRPr="000C589F">
        <w:rPr>
          <w:rFonts w:ascii="Simplified Arabic" w:hAnsi="Simplified Arabic" w:cs="Simplified Arabic"/>
          <w:color w:val="000000" w:themeColor="text1"/>
          <w:sz w:val="28"/>
          <w:szCs w:val="28"/>
        </w:rPr>
        <w:t>.</w:t>
      </w:r>
    </w:p>
    <w:p w14:paraId="2C962545" w14:textId="68B203AC"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411409"/>
      <w:r w:rsidRPr="000C589F">
        <w:rPr>
          <w:rFonts w:ascii="Simplified Arabic" w:hAnsi="Simplified Arabic" w:cs="Simplified Arabic" w:hint="cs"/>
          <w:b/>
          <w:bCs/>
          <w:color w:val="000000" w:themeColor="text1"/>
          <w:sz w:val="32"/>
          <w:szCs w:val="32"/>
          <w:rtl/>
        </w:rPr>
        <w:lastRenderedPageBreak/>
        <w:t>8.1.2</w:t>
      </w:r>
      <w:r w:rsidR="00414176" w:rsidRPr="000C589F">
        <w:rPr>
          <w:rFonts w:ascii="Simplified Arabic" w:hAnsi="Simplified Arabic" w:cs="Simplified Arabic"/>
          <w:b/>
          <w:bCs/>
          <w:color w:val="000000" w:themeColor="text1"/>
          <w:sz w:val="32"/>
          <w:szCs w:val="32"/>
          <w:rtl/>
        </w:rPr>
        <w:t xml:space="preserve"> التحديات والانتقادات الموجَّهة لإدارة السعة السريرية</w:t>
      </w:r>
      <w:bookmarkEnd w:id="51"/>
    </w:p>
    <w:p w14:paraId="172087FC"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على الرغم من المكاسب التي تُحقّقها إدارة السعة السريرية، فإنها تواجه جملةً من التحديات. ويُشير آل جعرة (٢٠٢٥) إلى أنّ من أبرز معوّقات تطبيقها في القطاع الصحي السعودي ضعف البنية التنسيقية بين الأقسام ومحدودية الموارد البشرية المؤهلة. ويُضيف</w:t>
      </w:r>
      <w:r w:rsidRPr="000C589F">
        <w:rPr>
          <w:rFonts w:ascii="Simplified Arabic" w:hAnsi="Simplified Arabic" w:cs="Simplified Arabic"/>
          <w:color w:val="000000" w:themeColor="text1"/>
          <w:sz w:val="28"/>
          <w:szCs w:val="28"/>
        </w:rPr>
        <w:t xml:space="preserve"> Koushan, Wood, and Greatbanks (2021) </w:t>
      </w:r>
      <w:r w:rsidRPr="000C589F">
        <w:rPr>
          <w:rFonts w:ascii="Simplified Arabic" w:hAnsi="Simplified Arabic" w:cs="Simplified Arabic"/>
          <w:color w:val="000000" w:themeColor="text1"/>
          <w:sz w:val="28"/>
          <w:szCs w:val="28"/>
          <w:rtl/>
        </w:rPr>
        <w:t>أنّ تطبيق سياسات إدارة السعة يستلزم تجاوز عوائق ثقافية وتنظيمية تتصل بمقاومة التغيير وتفاوت المصالح بين الأقسام</w:t>
      </w:r>
      <w:r w:rsidRPr="000C589F">
        <w:rPr>
          <w:rFonts w:ascii="Simplified Arabic" w:hAnsi="Simplified Arabic" w:cs="Simplified Arabic"/>
          <w:color w:val="000000" w:themeColor="text1"/>
          <w:sz w:val="28"/>
          <w:szCs w:val="28"/>
        </w:rPr>
        <w:t>.</w:t>
      </w:r>
    </w:p>
    <w:p w14:paraId="560D7FB3" w14:textId="52737DBC" w:rsidR="00414176" w:rsidRPr="000C589F" w:rsidRDefault="00AE519C" w:rsidP="00AE519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411410"/>
      <w:r w:rsidRPr="000C589F">
        <w:rPr>
          <w:rFonts w:ascii="Simplified Arabic" w:hAnsi="Simplified Arabic" w:cs="Simplified Arabic" w:hint="cs"/>
          <w:b/>
          <w:bCs/>
          <w:color w:val="000000" w:themeColor="text1"/>
          <w:sz w:val="32"/>
          <w:szCs w:val="32"/>
          <w:rtl/>
        </w:rPr>
        <w:t xml:space="preserve">9.1.2 </w:t>
      </w:r>
      <w:r w:rsidR="00414176" w:rsidRPr="000C589F">
        <w:rPr>
          <w:rFonts w:ascii="Simplified Arabic" w:hAnsi="Simplified Arabic" w:cs="Simplified Arabic"/>
          <w:b/>
          <w:bCs/>
          <w:color w:val="000000" w:themeColor="text1"/>
          <w:sz w:val="32"/>
          <w:szCs w:val="32"/>
          <w:rtl/>
        </w:rPr>
        <w:t>دراسات سابقة ذات صلة بالمتغير المستقل</w:t>
      </w:r>
      <w:bookmarkEnd w:id="52"/>
    </w:p>
    <w:p w14:paraId="5EE8D5DC"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تناول</w:t>
      </w:r>
      <w:r w:rsidRPr="000C589F">
        <w:rPr>
          <w:rFonts w:ascii="Simplified Arabic" w:hAnsi="Simplified Arabic" w:cs="Simplified Arabic"/>
          <w:color w:val="000000" w:themeColor="text1"/>
          <w:sz w:val="28"/>
          <w:szCs w:val="28"/>
        </w:rPr>
        <w:t xml:space="preserve"> Mesmar et al. (2011) </w:t>
      </w:r>
      <w:r w:rsidRPr="000C589F">
        <w:rPr>
          <w:rFonts w:ascii="Simplified Arabic" w:hAnsi="Simplified Arabic" w:cs="Simplified Arabic"/>
          <w:color w:val="000000" w:themeColor="text1"/>
          <w:sz w:val="28"/>
          <w:szCs w:val="28"/>
          <w:rtl/>
        </w:rPr>
        <w:t>دراسة أسباب إلغاء العمليات الاختيارية في مستشفى تعليمي مرجعي بالأردن، وانطلقا من منظور تحليلي يربط بين قرارات الإلغاء وعوامل التنظيم الداخلي، وطبّقا الدراسة في بيئة مستشفى تعليمي كبير، واستخدما متغيرات تتصل بأسباب الإلغاء وتصنيفها، واعتمدا على مؤشرات تكرارية لرصد الظاهرة. وتُفيد هذه الدراسة الإطار الحالي في إثراء التأصيل النظري لأسباب الإلغاء وعلاقتها بإدارة السعة</w:t>
      </w:r>
      <w:r w:rsidRPr="000C589F">
        <w:rPr>
          <w:rFonts w:ascii="Simplified Arabic" w:hAnsi="Simplified Arabic" w:cs="Simplified Arabic"/>
          <w:color w:val="000000" w:themeColor="text1"/>
          <w:sz w:val="28"/>
          <w:szCs w:val="28"/>
        </w:rPr>
        <w:t>.</w:t>
      </w:r>
    </w:p>
    <w:p w14:paraId="25613EFA"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وتناول</w:t>
      </w:r>
      <w:r w:rsidRPr="000C589F">
        <w:rPr>
          <w:rFonts w:ascii="Simplified Arabic" w:hAnsi="Simplified Arabic" w:cs="Simplified Arabic"/>
          <w:color w:val="000000" w:themeColor="text1"/>
          <w:sz w:val="28"/>
          <w:szCs w:val="28"/>
        </w:rPr>
        <w:t xml:space="preserve"> McGowan et al. (2007) </w:t>
      </w:r>
      <w:r w:rsidRPr="000C589F">
        <w:rPr>
          <w:rFonts w:ascii="Simplified Arabic" w:hAnsi="Simplified Arabic" w:cs="Simplified Arabic"/>
          <w:color w:val="000000" w:themeColor="text1"/>
          <w:sz w:val="28"/>
          <w:szCs w:val="28"/>
          <w:rtl/>
        </w:rPr>
        <w:t>كفاءة غرف العمليات وسعة المستشفى من زاوية العوامل المؤثرة في استخدام غرف العمليات خلال ذروة الإشغال، وانطلقوا من منظور تشغيلي يربط بين السعة السريرية والإنتاجية الجراحية، وطبّقوا الدراسة في مستشفى أكاديمي كبير، واستخدموا متغيرات تتصل بمؤشرات الإشغال وأوقات استخدام غرف العمليات. وتُفيد هذه الدراسة الإطار الحالي في تأصيل العلاقة بين السعة السريرية والإنتاجية الجراحية</w:t>
      </w:r>
      <w:r w:rsidRPr="000C589F">
        <w:rPr>
          <w:rFonts w:ascii="Simplified Arabic" w:hAnsi="Simplified Arabic" w:cs="Simplified Arabic"/>
          <w:color w:val="000000" w:themeColor="text1"/>
          <w:sz w:val="28"/>
          <w:szCs w:val="28"/>
        </w:rPr>
        <w:t>.</w:t>
      </w:r>
    </w:p>
    <w:p w14:paraId="1EB9BF6F" w14:textId="77777777" w:rsidR="00414176" w:rsidRPr="000C589F" w:rsidRDefault="00414176" w:rsidP="00AE519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وتناول</w:t>
      </w:r>
      <w:r w:rsidRPr="000C589F">
        <w:rPr>
          <w:rFonts w:ascii="Simplified Arabic" w:hAnsi="Simplified Arabic" w:cs="Simplified Arabic"/>
          <w:color w:val="000000" w:themeColor="text1"/>
          <w:sz w:val="28"/>
          <w:szCs w:val="28"/>
        </w:rPr>
        <w:t xml:space="preserve"> Hosseinzadeh et al. (2024) </w:t>
      </w:r>
      <w:r w:rsidRPr="000C589F">
        <w:rPr>
          <w:rFonts w:ascii="Simplified Arabic" w:hAnsi="Simplified Arabic" w:cs="Simplified Arabic"/>
          <w:color w:val="000000" w:themeColor="text1"/>
          <w:sz w:val="28"/>
          <w:szCs w:val="28"/>
          <w:rtl/>
        </w:rPr>
        <w:t>إدارة سعة الأسرّة خلال جائحة كوفيد-١٩ باستخدام ديناميكيات النظم، وانطلقوا من منظور نمذجي يربط بين تدفق المرضى وقرارات السعة، وطبّقوا الدراسة في مستشفيات عامة بمدينة آمل بإيران، واستخدموا متغيرات تتصل بمعدلات الدخول والخروج والإقامة. وتُفيد هذه الدراسة الإطار الحالي في تقديم مدخل تحليلي متقدم لإدارة السعة</w:t>
      </w:r>
      <w:r w:rsidRPr="000C589F">
        <w:rPr>
          <w:rFonts w:ascii="Simplified Arabic" w:hAnsi="Simplified Arabic" w:cs="Simplified Arabic"/>
          <w:color w:val="000000" w:themeColor="text1"/>
          <w:sz w:val="28"/>
          <w:szCs w:val="28"/>
        </w:rPr>
        <w:t>.</w:t>
      </w:r>
    </w:p>
    <w:p w14:paraId="150BA276" w14:textId="4C892419" w:rsidR="00414176" w:rsidRPr="000C589F" w:rsidRDefault="00AE519C" w:rsidP="00602256">
      <w:pPr>
        <w:jc w:val="center"/>
        <w:outlineLvl w:val="1"/>
        <w:rPr>
          <w:rFonts w:ascii="Simplified Arabic" w:hAnsi="Simplified Arabic" w:cs="Simplified Arabic"/>
          <w:b/>
          <w:bCs/>
          <w:color w:val="000000" w:themeColor="text1"/>
          <w:sz w:val="36"/>
          <w:szCs w:val="36"/>
        </w:rPr>
      </w:pPr>
      <w:r w:rsidRPr="000C589F">
        <w:rPr>
          <w:rFonts w:ascii="Simplified Arabic" w:hAnsi="Simplified Arabic" w:cs="Simplified Arabic"/>
          <w:b/>
          <w:bCs/>
          <w:color w:val="000000" w:themeColor="text1"/>
          <w:sz w:val="36"/>
          <w:szCs w:val="36"/>
        </w:rPr>
        <w:br w:type="page"/>
      </w:r>
      <w:bookmarkStart w:id="53" w:name="_Toc233411411"/>
      <w:r w:rsidR="00414176" w:rsidRPr="000C589F">
        <w:rPr>
          <w:rFonts w:ascii="Simplified Arabic" w:hAnsi="Simplified Arabic" w:cs="Simplified Arabic"/>
          <w:b/>
          <w:bCs/>
          <w:color w:val="000000" w:themeColor="text1"/>
          <w:sz w:val="36"/>
          <w:szCs w:val="36"/>
          <w:rtl/>
        </w:rPr>
        <w:lastRenderedPageBreak/>
        <w:t>المبحث الثاني: خفض إلغاءات العمليات وزيادة العمليات المنجزة يوميًا</w:t>
      </w:r>
      <w:bookmarkEnd w:id="53"/>
    </w:p>
    <w:p w14:paraId="7A64560A" w14:textId="4B7A2FAC"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4" w:name="_Toc233411412"/>
      <w:r w:rsidRPr="000C589F">
        <w:rPr>
          <w:rFonts w:ascii="Simplified Arabic" w:hAnsi="Simplified Arabic" w:cs="Simplified Arabic" w:hint="cs"/>
          <w:b/>
          <w:bCs/>
          <w:color w:val="000000" w:themeColor="text1"/>
          <w:sz w:val="32"/>
          <w:szCs w:val="32"/>
          <w:rtl/>
        </w:rPr>
        <w:t xml:space="preserve">1.2.2 </w:t>
      </w:r>
      <w:r w:rsidR="00414176" w:rsidRPr="000C589F">
        <w:rPr>
          <w:rFonts w:ascii="Simplified Arabic" w:hAnsi="Simplified Arabic" w:cs="Simplified Arabic"/>
          <w:b/>
          <w:bCs/>
          <w:color w:val="000000" w:themeColor="text1"/>
          <w:sz w:val="32"/>
          <w:szCs w:val="32"/>
          <w:rtl/>
        </w:rPr>
        <w:t>تمهيد</w:t>
      </w:r>
      <w:bookmarkEnd w:id="54"/>
    </w:p>
    <w:p w14:paraId="7645C147"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يُمثّل خفض إلغاءات العمليات الجراحية وزيادة عدد العمليات المنجزة يوميًا أحد أبرز المؤشرات التي تعكس كفاءة إدارة المنظومة الجراحية في المستشفى، إذ تُجسّد هذه الظاهرة المركّبة محصّلة تفاعلات إدارية وسريرية ولوجستية متشابكة. ولا تُمثّل عملية الإلغاء مجرد قرار فني عابر، بل تنطوي على آثار اقتصادية ونفسية وتنظيمية متعددة الأبعاد، تطال المريض والمنشأة والمنظومة الصحية بأسرها. وقد استقطبت هذه الظاهرة اهتمامًا أكاديميًا وممارساتيًا متناميًا، تجلّى في تطور الأدبيات التي تناولتها بمختلف المداخل التحليلية والتدخلية. ويسعى هذا المبحث إلى تقديم تأصيل نظري لمفهوم خفض الإلغاءات وزيادة العمليات المنجزة، وأهميته، وأهدافه، وأبعاده، واستراتيجياته، والمداخل النظرية المفسّرة له، بما يُرسّخ الأرضية المعرفية لاختبار العلاقة بينه وبين المتغير المستقل</w:t>
      </w:r>
      <w:r w:rsidRPr="000C589F">
        <w:rPr>
          <w:rFonts w:ascii="Simplified Arabic" w:hAnsi="Simplified Arabic" w:cs="Simplified Arabic"/>
          <w:color w:val="000000" w:themeColor="text1"/>
          <w:sz w:val="28"/>
          <w:szCs w:val="28"/>
        </w:rPr>
        <w:t>.</w:t>
      </w:r>
    </w:p>
    <w:p w14:paraId="6D14C68A" w14:textId="75A78682"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5" w:name="_Toc233411413"/>
      <w:r w:rsidRPr="000C589F">
        <w:rPr>
          <w:rFonts w:ascii="Simplified Arabic" w:hAnsi="Simplified Arabic" w:cs="Simplified Arabic" w:hint="cs"/>
          <w:b/>
          <w:bCs/>
          <w:color w:val="000000" w:themeColor="text1"/>
          <w:sz w:val="32"/>
          <w:szCs w:val="32"/>
          <w:rtl/>
        </w:rPr>
        <w:t>2.2.2</w:t>
      </w:r>
      <w:r w:rsidR="00414176" w:rsidRPr="000C589F">
        <w:rPr>
          <w:rFonts w:ascii="Simplified Arabic" w:hAnsi="Simplified Arabic" w:cs="Simplified Arabic"/>
          <w:b/>
          <w:bCs/>
          <w:color w:val="000000" w:themeColor="text1"/>
          <w:sz w:val="32"/>
          <w:szCs w:val="32"/>
          <w:rtl/>
        </w:rPr>
        <w:t xml:space="preserve"> مفهوم خفض إلغاءات العمليات وزيادة العمليات المنجزة يوميًا</w:t>
      </w:r>
      <w:bookmarkEnd w:id="55"/>
    </w:p>
    <w:p w14:paraId="51117ED0"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تنوّعت تعريفات الباحثين لهذا المفهوم تبعًا لمداخلهم البحثية، فمنهم من تناوله بوصفه ظاهرةً تنظيميةً تستدعي التحليل التشخيصي، ومنهم من تناوله بوصفه هدفًا تشغيليًا يستوجب التدخل المنهجي. ويُعرّف</w:t>
      </w:r>
      <w:r w:rsidRPr="000C589F">
        <w:rPr>
          <w:rFonts w:ascii="Simplified Arabic" w:hAnsi="Simplified Arabic" w:cs="Simplified Arabic"/>
          <w:color w:val="000000" w:themeColor="text1"/>
          <w:sz w:val="28"/>
          <w:szCs w:val="28"/>
        </w:rPr>
        <w:t xml:space="preserve"> Mesmar et al. (2011) </w:t>
      </w:r>
      <w:r w:rsidRPr="000C589F">
        <w:rPr>
          <w:rFonts w:ascii="Simplified Arabic" w:hAnsi="Simplified Arabic" w:cs="Simplified Arabic"/>
          <w:color w:val="000000" w:themeColor="text1"/>
          <w:sz w:val="28"/>
          <w:szCs w:val="28"/>
          <w:rtl/>
        </w:rPr>
        <w:t>إلغاء العمليات الاختيارية بأنه إيقافٌ لجدولةٍ جراحيةٍ سبق إقرارها قبل الموعد المحدد للعملية أو في يومها، نتيجةً لأسباب تتصل بالمريض أو بالمنشأة أو بالموارد، ويُعدّ خفض هذه الإلغاءات هدفًا إداريًا يسعى إلى تقليص الفجوة بين العمليات المجدولة والعمليات المنفّذة</w:t>
      </w:r>
      <w:r w:rsidRPr="000C589F">
        <w:rPr>
          <w:rFonts w:ascii="Simplified Arabic" w:hAnsi="Simplified Arabic" w:cs="Simplified Arabic"/>
          <w:color w:val="000000" w:themeColor="text1"/>
          <w:sz w:val="28"/>
          <w:szCs w:val="28"/>
        </w:rPr>
        <w:t>.</w:t>
      </w:r>
    </w:p>
    <w:p w14:paraId="273AD3F2"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ويتوسّع</w:t>
      </w:r>
      <w:r w:rsidRPr="000C589F">
        <w:rPr>
          <w:rFonts w:ascii="Simplified Arabic" w:hAnsi="Simplified Arabic" w:cs="Simplified Arabic"/>
          <w:color w:val="000000" w:themeColor="text1"/>
          <w:sz w:val="28"/>
          <w:szCs w:val="28"/>
        </w:rPr>
        <w:t xml:space="preserve"> Nasr et al. (2025) </w:t>
      </w:r>
      <w:r w:rsidRPr="000C589F">
        <w:rPr>
          <w:rFonts w:ascii="Simplified Arabic" w:hAnsi="Simplified Arabic" w:cs="Simplified Arabic"/>
          <w:color w:val="000000" w:themeColor="text1"/>
          <w:sz w:val="28"/>
          <w:szCs w:val="28"/>
          <w:rtl/>
        </w:rPr>
        <w:t>في تأصيل المفهوم حين يُعرّفان إلغاء العمليات في يوم الجراحة بوصفه ظاهرةً مركّبةً تتداخل فيها أبعادٌ إدارية وسريرية وإدراكية، إذ لا يقتصر تفسيرها على المعطيات الموضوعية، بل يمتد ليشمل تصوّرات الكوادر العاملة في المنشأة. ويُمثّل خفضها، وفق هذا التصور، عمليةً منظوميةً تستهدف معالجة الأسباب التنظيمية وتعديل الإدراكات الجمعية</w:t>
      </w:r>
      <w:r w:rsidRPr="000C589F">
        <w:rPr>
          <w:rFonts w:ascii="Simplified Arabic" w:hAnsi="Simplified Arabic" w:cs="Simplified Arabic"/>
          <w:color w:val="000000" w:themeColor="text1"/>
          <w:sz w:val="28"/>
          <w:szCs w:val="28"/>
        </w:rPr>
        <w:t>.</w:t>
      </w:r>
    </w:p>
    <w:p w14:paraId="16E1B159"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ويُقدّم</w:t>
      </w:r>
      <w:r w:rsidRPr="000C589F">
        <w:rPr>
          <w:rFonts w:ascii="Simplified Arabic" w:hAnsi="Simplified Arabic" w:cs="Simplified Arabic"/>
          <w:color w:val="000000" w:themeColor="text1"/>
          <w:sz w:val="28"/>
          <w:szCs w:val="28"/>
        </w:rPr>
        <w:t xml:space="preserve"> Schretlen et al. (2021) </w:t>
      </w:r>
      <w:r w:rsidRPr="000C589F">
        <w:rPr>
          <w:rFonts w:ascii="Simplified Arabic" w:hAnsi="Simplified Arabic" w:cs="Simplified Arabic"/>
          <w:color w:val="000000" w:themeColor="text1"/>
          <w:sz w:val="28"/>
          <w:szCs w:val="28"/>
          <w:rtl/>
        </w:rPr>
        <w:t>تعريفًا تحسينيًا للمفهوم، إذ يعدّان خفض الإلغاءات الجراحية مخرجًا من مخرجات تطبيق منهجيات التحسين المستمر في القطاع الصحي، يُقاس بمعدل الإلغاءات المتفادى عبر تدخلات منهجية تستند إلى مدخل</w:t>
      </w:r>
      <w:r w:rsidRPr="000C589F">
        <w:rPr>
          <w:rFonts w:ascii="Simplified Arabic" w:hAnsi="Simplified Arabic" w:cs="Simplified Arabic"/>
          <w:color w:val="000000" w:themeColor="text1"/>
          <w:sz w:val="28"/>
          <w:szCs w:val="28"/>
        </w:rPr>
        <w:t xml:space="preserve"> Lean Six Sigma. </w:t>
      </w:r>
      <w:r w:rsidRPr="000C589F">
        <w:rPr>
          <w:rFonts w:ascii="Simplified Arabic" w:hAnsi="Simplified Arabic" w:cs="Simplified Arabic"/>
          <w:color w:val="000000" w:themeColor="text1"/>
          <w:sz w:val="28"/>
          <w:szCs w:val="28"/>
          <w:rtl/>
        </w:rPr>
        <w:t>ويتقاطع هذا التصور مع ما يُقدّمه</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Pr>
        <w:lastRenderedPageBreak/>
        <w:t xml:space="preserve">Viderman et al. (2021) </w:t>
      </w:r>
      <w:r w:rsidRPr="000C589F">
        <w:rPr>
          <w:rFonts w:ascii="Simplified Arabic" w:hAnsi="Simplified Arabic" w:cs="Simplified Arabic"/>
          <w:color w:val="000000" w:themeColor="text1"/>
          <w:sz w:val="28"/>
          <w:szCs w:val="28"/>
          <w:rtl/>
        </w:rPr>
        <w:t>من أنّ خفض الإلغاءات هدفٌ قابلٌ للتحقيق عبر تطبيق توصيات مستندة إلى الأدلة، وأنه يُمثّل مؤشرًا على نضج المنظومة في استثمار المعرفة العلمية</w:t>
      </w:r>
      <w:r w:rsidRPr="000C589F">
        <w:rPr>
          <w:rFonts w:ascii="Simplified Arabic" w:hAnsi="Simplified Arabic" w:cs="Simplified Arabic"/>
          <w:color w:val="000000" w:themeColor="text1"/>
          <w:sz w:val="28"/>
          <w:szCs w:val="28"/>
        </w:rPr>
        <w:t>.</w:t>
      </w:r>
    </w:p>
    <w:p w14:paraId="6B5D7347"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أما زيادة العمليات المنجزة يوميًا، فيُعرّفها</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بأنها قدرةُ المنشأة على تنفيذ عددٍ أكبر من العمليات الجراحية في الإطار الزمني المعتاد دون توسعةٍ في الموارد، عبر تحسين كفاءة استخدام السعة الجراحية وتقليص الأزمنة البينية. ويُكمل</w:t>
      </w:r>
      <w:r w:rsidRPr="000C589F">
        <w:rPr>
          <w:rFonts w:ascii="Simplified Arabic" w:hAnsi="Simplified Arabic" w:cs="Simplified Arabic"/>
          <w:color w:val="000000" w:themeColor="text1"/>
          <w:sz w:val="28"/>
          <w:szCs w:val="28"/>
        </w:rPr>
        <w:t xml:space="preserve"> Brendel (2021) </w:t>
      </w:r>
      <w:r w:rsidRPr="000C589F">
        <w:rPr>
          <w:rFonts w:ascii="Simplified Arabic" w:hAnsi="Simplified Arabic" w:cs="Simplified Arabic"/>
          <w:color w:val="000000" w:themeColor="text1"/>
          <w:sz w:val="28"/>
          <w:szCs w:val="28"/>
          <w:rtl/>
        </w:rPr>
        <w:t>هذا الطرح بتعريف زيادة العمليات المنجزة بوصفها إنتاجيةً جراحيةً تنبثق من إعادة هندسة العمليات وتحسين تدفق الحالات داخل غرف العمليات</w:t>
      </w:r>
      <w:r w:rsidRPr="000C589F">
        <w:rPr>
          <w:rFonts w:ascii="Simplified Arabic" w:hAnsi="Simplified Arabic" w:cs="Simplified Arabic"/>
          <w:color w:val="000000" w:themeColor="text1"/>
          <w:sz w:val="28"/>
          <w:szCs w:val="28"/>
        </w:rPr>
        <w:t>.</w:t>
      </w:r>
    </w:p>
    <w:p w14:paraId="7B1C63B9"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ويرى</w:t>
      </w:r>
      <w:r w:rsidRPr="000C589F">
        <w:rPr>
          <w:rFonts w:ascii="Simplified Arabic" w:hAnsi="Simplified Arabic" w:cs="Simplified Arabic"/>
          <w:color w:val="000000" w:themeColor="text1"/>
          <w:sz w:val="28"/>
          <w:szCs w:val="28"/>
        </w:rPr>
        <w:t xml:space="preserve"> Rathlev et al. (2018) </w:t>
      </w:r>
      <w:r w:rsidRPr="000C589F">
        <w:rPr>
          <w:rFonts w:ascii="Simplified Arabic" w:hAnsi="Simplified Arabic" w:cs="Simplified Arabic"/>
          <w:color w:val="000000" w:themeColor="text1"/>
          <w:sz w:val="28"/>
          <w:szCs w:val="28"/>
          <w:rtl/>
        </w:rPr>
        <w:t>أنّ زيادة العمليات المنجزة تُمثّل محصلةً لإعادة تصميم الجدولة الجراحية، وأنها مؤشرٌ على قدرة المنشأة على استثمار طاقتها الكامنة. ويُضيف</w:t>
      </w:r>
      <w:r w:rsidRPr="000C589F">
        <w:rPr>
          <w:rFonts w:ascii="Simplified Arabic" w:hAnsi="Simplified Arabic" w:cs="Simplified Arabic"/>
          <w:color w:val="000000" w:themeColor="text1"/>
          <w:sz w:val="28"/>
          <w:szCs w:val="28"/>
        </w:rPr>
        <w:t xml:space="preserve"> Khorasanian et al. (2022) </w:t>
      </w:r>
      <w:r w:rsidRPr="000C589F">
        <w:rPr>
          <w:rFonts w:ascii="Simplified Arabic" w:hAnsi="Simplified Arabic" w:cs="Simplified Arabic"/>
          <w:color w:val="000000" w:themeColor="text1"/>
          <w:sz w:val="28"/>
          <w:szCs w:val="28"/>
          <w:rtl/>
        </w:rPr>
        <w:t>أنّ زيادة العمليات المنجزة ترتبط ارتباطًا وثيقًا بإدارة الموارد المصاحبة كأسرّة الرعاية بعد التخدير والكوادر التمريضية، وأنّ تجاوز الاختناقات في هذه الموارد شرطٌ لازمٌ لتحقيق الزيادة</w:t>
      </w:r>
      <w:r w:rsidRPr="000C589F">
        <w:rPr>
          <w:rFonts w:ascii="Simplified Arabic" w:hAnsi="Simplified Arabic" w:cs="Simplified Arabic"/>
          <w:color w:val="000000" w:themeColor="text1"/>
          <w:sz w:val="28"/>
          <w:szCs w:val="28"/>
        </w:rPr>
        <w:t>.</w:t>
      </w:r>
    </w:p>
    <w:p w14:paraId="0B2AB702"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ويُلاحظ من استعراض هذه التعريفات أنّ ثمة تكاملًا بين شقّي المفهوم: خفض الإلغاءات وزيادة العمليات المنجزة، إذ يُمثّلان وجهين لعملةٍ واحدةٍ، تتمحور حول استثمار السعة الجراحية وتحسين كفاءتها. ويتطور المفهوم من النظرة التشخيصية التي ترصد الإلغاءات بوصفها ظاهرة، إلى النظرة التحسينية التي تراها فرصةً للتدخل المنهجي</w:t>
      </w:r>
      <w:r w:rsidRPr="000C589F">
        <w:rPr>
          <w:rFonts w:ascii="Simplified Arabic" w:hAnsi="Simplified Arabic" w:cs="Simplified Arabic"/>
          <w:color w:val="000000" w:themeColor="text1"/>
          <w:sz w:val="28"/>
          <w:szCs w:val="28"/>
        </w:rPr>
        <w:t>.</w:t>
      </w:r>
    </w:p>
    <w:p w14:paraId="00BB7284"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رأي الباحث</w:t>
      </w:r>
      <w:r w:rsidRPr="000C589F">
        <w:rPr>
          <w:rFonts w:ascii="Simplified Arabic" w:hAnsi="Simplified Arabic" w:cs="Simplified Arabic"/>
          <w:color w:val="000000" w:themeColor="text1"/>
          <w:sz w:val="28"/>
          <w:szCs w:val="28"/>
        </w:rPr>
        <w:t xml:space="preserve">: </w:t>
      </w:r>
      <w:r w:rsidRPr="000C589F">
        <w:rPr>
          <w:rFonts w:ascii="Simplified Arabic" w:hAnsi="Simplified Arabic" w:cs="Simplified Arabic"/>
          <w:color w:val="000000" w:themeColor="text1"/>
          <w:sz w:val="28"/>
          <w:szCs w:val="28"/>
          <w:rtl/>
        </w:rPr>
        <w:t>يُعرّف الباحث المتغير التابع إجرائيًا في هذه الدراسة بأنه: «درجة قدرة المستشفى الحكومي على تقليص نسبة العمليات الجراحية المجدولة التي تُلغى قبل تنفيذها أو في يومها، مع رفع متوسط عدد العمليات الجراحية المنفّذة فعليًا خلال اليوم، عبر استثمار السعة السريرية المتاحة وتحسين تدفق المرضى وتنسيق العمل بين الأقسام وتوظيف الأنظمة الرقمية». ويرى الباحث أنّ هذا التعريف يربط شقّي المتغير التابع في إطار واحد، ويُتيح قياسه عبر مؤشرات كميّة قابلة للرصد</w:t>
      </w:r>
      <w:r w:rsidRPr="000C589F">
        <w:rPr>
          <w:rFonts w:ascii="Simplified Arabic" w:hAnsi="Simplified Arabic" w:cs="Simplified Arabic"/>
          <w:color w:val="000000" w:themeColor="text1"/>
          <w:sz w:val="28"/>
          <w:szCs w:val="28"/>
        </w:rPr>
        <w:t>.</w:t>
      </w:r>
    </w:p>
    <w:p w14:paraId="3224DA91" w14:textId="124A8C90"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6" w:name="_Toc233411414"/>
      <w:r w:rsidRPr="000C589F">
        <w:rPr>
          <w:rFonts w:ascii="Simplified Arabic" w:hAnsi="Simplified Arabic" w:cs="Simplified Arabic" w:hint="cs"/>
          <w:b/>
          <w:bCs/>
          <w:color w:val="000000" w:themeColor="text1"/>
          <w:sz w:val="32"/>
          <w:szCs w:val="32"/>
          <w:rtl/>
        </w:rPr>
        <w:t>3.1.2</w:t>
      </w:r>
      <w:r w:rsidR="00414176" w:rsidRPr="000C589F">
        <w:rPr>
          <w:rFonts w:ascii="Simplified Arabic" w:hAnsi="Simplified Arabic" w:cs="Simplified Arabic"/>
          <w:b/>
          <w:bCs/>
          <w:color w:val="000000" w:themeColor="text1"/>
          <w:sz w:val="32"/>
          <w:szCs w:val="32"/>
          <w:rtl/>
        </w:rPr>
        <w:t xml:space="preserve"> أهمية خفض إلغاءات العمليات وزيادة العمليات المنجزة يوميًا</w:t>
      </w:r>
      <w:bookmarkEnd w:id="56"/>
    </w:p>
    <w:p w14:paraId="4AE1B163"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تكتسب هذه الظاهرة أهميةً متعددة الأبعاد، تنعكس على المريض والمنشأة والمنظومة الصحية. ويُشير</w:t>
      </w:r>
      <w:r w:rsidRPr="000C589F">
        <w:rPr>
          <w:rFonts w:ascii="Simplified Arabic" w:hAnsi="Simplified Arabic" w:cs="Simplified Arabic"/>
          <w:color w:val="000000" w:themeColor="text1"/>
          <w:sz w:val="28"/>
          <w:szCs w:val="28"/>
        </w:rPr>
        <w:t xml:space="preserve"> Nasr et al. (2025) </w:t>
      </w:r>
      <w:r w:rsidRPr="000C589F">
        <w:rPr>
          <w:rFonts w:ascii="Simplified Arabic" w:hAnsi="Simplified Arabic" w:cs="Simplified Arabic"/>
          <w:color w:val="000000" w:themeColor="text1"/>
          <w:sz w:val="28"/>
          <w:szCs w:val="28"/>
          <w:rtl/>
        </w:rPr>
        <w:t xml:space="preserve">إلى أنّ أهمية خفض الإلغاءات تتجلى في الأبعاد الآتية: أولًا، أنه يُقلّص الأعباء النفسية والمادية التي تتحمّلها أسر المرضى نتيجة تأجيل العمليات. ثانيًا، أنه يُحسّن إدراك الكوادر </w:t>
      </w:r>
      <w:r w:rsidRPr="000C589F">
        <w:rPr>
          <w:rFonts w:ascii="Simplified Arabic" w:hAnsi="Simplified Arabic" w:cs="Simplified Arabic"/>
          <w:color w:val="000000" w:themeColor="text1"/>
          <w:sz w:val="28"/>
          <w:szCs w:val="28"/>
          <w:rtl/>
        </w:rPr>
        <w:lastRenderedPageBreak/>
        <w:t>العاملة لكفاءة المنشأة. ثالثًا، أنه يُتيح للإدارة تخصيص الموارد المهدورة لأغراض إنتاجية. رابعًا، أنه يُعزّز الثقة المؤسسية في النظام الصحي</w:t>
      </w:r>
      <w:r w:rsidRPr="000C589F">
        <w:rPr>
          <w:rFonts w:ascii="Simplified Arabic" w:hAnsi="Simplified Arabic" w:cs="Simplified Arabic"/>
          <w:color w:val="000000" w:themeColor="text1"/>
          <w:sz w:val="28"/>
          <w:szCs w:val="28"/>
        </w:rPr>
        <w:t>.</w:t>
      </w:r>
    </w:p>
    <w:p w14:paraId="4F5EF799"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ويرى</w:t>
      </w:r>
      <w:r w:rsidRPr="000C589F">
        <w:rPr>
          <w:rFonts w:ascii="Simplified Arabic" w:hAnsi="Simplified Arabic" w:cs="Simplified Arabic"/>
          <w:color w:val="000000" w:themeColor="text1"/>
          <w:sz w:val="28"/>
          <w:szCs w:val="28"/>
        </w:rPr>
        <w:t xml:space="preserve"> Koushan, Wood, and Greatbanks (2021) </w:t>
      </w:r>
      <w:r w:rsidRPr="000C589F">
        <w:rPr>
          <w:rFonts w:ascii="Simplified Arabic" w:hAnsi="Simplified Arabic" w:cs="Simplified Arabic"/>
          <w:color w:val="000000" w:themeColor="text1"/>
          <w:sz w:val="28"/>
          <w:szCs w:val="28"/>
          <w:rtl/>
        </w:rPr>
        <w:t>أنّ أهمية خفض الإلغاءات تتمثل في: أولًا، أنه يُمثّل مؤشرًا حاكمًا لجودة إدارة العمليات الجراحية. ثانيًا، أنه يُتيح للباحثين فهم العوامل المتشابكة المؤثرة في القرار الجراحي. ثالثًا، أنه يُمكّن المنشأة من بناء معرفة تراكمية حول مسببات التأجيل. رابعًا، أنه يُسهم في تطوير سياسات تنظيمية مستندة إلى الأدلة</w:t>
      </w:r>
      <w:r w:rsidRPr="000C589F">
        <w:rPr>
          <w:rFonts w:ascii="Simplified Arabic" w:hAnsi="Simplified Arabic" w:cs="Simplified Arabic"/>
          <w:color w:val="000000" w:themeColor="text1"/>
          <w:sz w:val="28"/>
          <w:szCs w:val="28"/>
        </w:rPr>
        <w:t>.</w:t>
      </w:r>
    </w:p>
    <w:p w14:paraId="094D7576"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ويُؤكّد</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أنّ أهمية زيادة العمليات المنجزة يوميًا تتجلى في: أولًا، أنها تُتيح للمنشأة استثمار طاقتها الكامنة دون استثمارات إضافية. ثانيًا، أنها تُقلّص فترات الانتظار للحالات المؤجلة. ثالثًا، أنها تُحسّن الإنتاجية المؤسسية وتُعزّز عائد الموارد. رابعًا، أنها تُمثّل مؤشرًا على نضج الإدارة في توظيف الأدوات التحليلية</w:t>
      </w:r>
      <w:r w:rsidRPr="000C589F">
        <w:rPr>
          <w:rFonts w:ascii="Simplified Arabic" w:hAnsi="Simplified Arabic" w:cs="Simplified Arabic"/>
          <w:color w:val="000000" w:themeColor="text1"/>
          <w:sz w:val="28"/>
          <w:szCs w:val="28"/>
        </w:rPr>
        <w:t>.</w:t>
      </w:r>
    </w:p>
    <w:p w14:paraId="7B9FF147"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Abeeleh et al. (2017) </w:t>
      </w:r>
      <w:r w:rsidRPr="000C589F">
        <w:rPr>
          <w:rFonts w:ascii="Simplified Arabic" w:hAnsi="Simplified Arabic" w:cs="Simplified Arabic"/>
          <w:color w:val="000000" w:themeColor="text1"/>
          <w:sz w:val="28"/>
          <w:szCs w:val="28"/>
          <w:rtl/>
        </w:rPr>
        <w:t>أنّ أهمية معالجة إلغاءات العمليات تكمن في: أولًا، أنها تكشف عن مناطق الأولوية للتحسين في المستشفيات التعليمية. ثانيًا، أنها تُتيح ترتيب التدخلات الإدارية وفق درجة تأثيرها. ثالثًا، أنها تُسهم في تطوير برامج التدريب المؤسسي. رابعًا، أنها تُعزّز قدرة المنشأة على التعلم التنظيمي</w:t>
      </w:r>
      <w:r w:rsidRPr="000C589F">
        <w:rPr>
          <w:rFonts w:ascii="Simplified Arabic" w:hAnsi="Simplified Arabic" w:cs="Simplified Arabic"/>
          <w:color w:val="000000" w:themeColor="text1"/>
          <w:sz w:val="28"/>
          <w:szCs w:val="28"/>
        </w:rPr>
        <w:t>.</w:t>
      </w:r>
    </w:p>
    <w:p w14:paraId="41F82096"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ويُبرز</w:t>
      </w:r>
      <w:r w:rsidRPr="000C589F">
        <w:rPr>
          <w:rFonts w:ascii="Simplified Arabic" w:hAnsi="Simplified Arabic" w:cs="Simplified Arabic"/>
          <w:color w:val="000000" w:themeColor="text1"/>
          <w:sz w:val="28"/>
          <w:szCs w:val="28"/>
        </w:rPr>
        <w:t xml:space="preserve"> Mattingly et al. (2021) </w:t>
      </w:r>
      <w:r w:rsidRPr="000C589F">
        <w:rPr>
          <w:rFonts w:ascii="Simplified Arabic" w:hAnsi="Simplified Arabic" w:cs="Simplified Arabic"/>
          <w:color w:val="000000" w:themeColor="text1"/>
          <w:sz w:val="28"/>
          <w:szCs w:val="28"/>
          <w:rtl/>
        </w:rPr>
        <w:t>أنّ هذه الظاهرة اكتسبت أهميةً مضاعفةً في زمن الأزمات الصحية، إذ تتجلى في: أولًا، صون الحدّ الأدنى من الخدمة الجراحية في ظل القيود الاستثنائية. ثانيًا، تقليص التراكم اللاحق للحالات المؤجلة. ثالثًا، حماية صحة المجتمع من تفاقم الحالات غير المعالجة. رابعًا، الحفاظ على استدامة المنظومة الصحية</w:t>
      </w:r>
      <w:r w:rsidRPr="000C589F">
        <w:rPr>
          <w:rFonts w:ascii="Simplified Arabic" w:hAnsi="Simplified Arabic" w:cs="Simplified Arabic"/>
          <w:color w:val="000000" w:themeColor="text1"/>
          <w:sz w:val="28"/>
          <w:szCs w:val="28"/>
        </w:rPr>
        <w:t>.</w:t>
      </w:r>
    </w:p>
    <w:p w14:paraId="6706F4A1"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ويُلخّص الباحث ممّا سبق أنّ أهمية المتغير التابع تنتظم في ثلاث دوائر مترابطة: دائرة المريض من خلال تقليل المعاناة وتسريع الوصول للرعاية، ودائرة المنشأة من خلال تعظيم الإنتاجية وضبط التكلفة، ودائرة المنظومة الصحية من خلال تعزيز الكفاءة العامة والاستجابة للضغوط المتنامية</w:t>
      </w:r>
      <w:r w:rsidRPr="000C589F">
        <w:rPr>
          <w:rFonts w:ascii="Simplified Arabic" w:hAnsi="Simplified Arabic" w:cs="Simplified Arabic"/>
          <w:color w:val="000000" w:themeColor="text1"/>
          <w:sz w:val="28"/>
          <w:szCs w:val="28"/>
        </w:rPr>
        <w:t>.</w:t>
      </w:r>
    </w:p>
    <w:p w14:paraId="10E3B209" w14:textId="5F2D4CBB"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7" w:name="_Toc233411415"/>
      <w:r w:rsidRPr="000C589F">
        <w:rPr>
          <w:rFonts w:ascii="Simplified Arabic" w:hAnsi="Simplified Arabic" w:cs="Simplified Arabic" w:hint="cs"/>
          <w:b/>
          <w:bCs/>
          <w:color w:val="000000" w:themeColor="text1"/>
          <w:sz w:val="32"/>
          <w:szCs w:val="32"/>
          <w:rtl/>
        </w:rPr>
        <w:t>4.1.2</w:t>
      </w:r>
      <w:r w:rsidR="00414176" w:rsidRPr="000C589F">
        <w:rPr>
          <w:rFonts w:ascii="Simplified Arabic" w:hAnsi="Simplified Arabic" w:cs="Simplified Arabic"/>
          <w:b/>
          <w:bCs/>
          <w:color w:val="000000" w:themeColor="text1"/>
          <w:sz w:val="32"/>
          <w:szCs w:val="32"/>
          <w:rtl/>
        </w:rPr>
        <w:t xml:space="preserve"> أهداف خفض إلغاءات العمليات وزيادة العمليات المنجزة يوميًا</w:t>
      </w:r>
      <w:bookmarkEnd w:id="57"/>
    </w:p>
    <w:p w14:paraId="0A31CC2E"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0C589F">
        <w:rPr>
          <w:rFonts w:ascii="Simplified Arabic" w:hAnsi="Simplified Arabic" w:cs="Simplified Arabic"/>
          <w:b/>
          <w:bCs/>
          <w:color w:val="000000" w:themeColor="text1"/>
          <w:sz w:val="28"/>
          <w:szCs w:val="28"/>
          <w:rtl/>
        </w:rPr>
        <w:lastRenderedPageBreak/>
        <w:t>تتعدد أهداف هذا المتغير تبعًا لمنظور كل باحث، ويُمكن تصنيفها وفق ما طرحه الباحثون في النقاط الآتية</w:t>
      </w:r>
      <w:r w:rsidRPr="000C589F">
        <w:rPr>
          <w:rFonts w:ascii="Simplified Arabic" w:hAnsi="Simplified Arabic" w:cs="Simplified Arabic"/>
          <w:b/>
          <w:bCs/>
          <w:color w:val="000000" w:themeColor="text1"/>
          <w:sz w:val="28"/>
          <w:szCs w:val="28"/>
        </w:rPr>
        <w:t>:</w:t>
      </w:r>
    </w:p>
    <w:p w14:paraId="3372AA13"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يُحدّد</w:t>
      </w:r>
      <w:r w:rsidRPr="000C589F">
        <w:rPr>
          <w:rFonts w:ascii="Simplified Arabic" w:hAnsi="Simplified Arabic" w:cs="Simplified Arabic"/>
          <w:color w:val="000000" w:themeColor="text1"/>
          <w:sz w:val="28"/>
          <w:szCs w:val="28"/>
        </w:rPr>
        <w:t xml:space="preserve"> Schretlen et al. (2021) </w:t>
      </w:r>
      <w:r w:rsidRPr="000C589F">
        <w:rPr>
          <w:rFonts w:ascii="Simplified Arabic" w:hAnsi="Simplified Arabic" w:cs="Simplified Arabic"/>
          <w:color w:val="000000" w:themeColor="text1"/>
          <w:sz w:val="28"/>
          <w:szCs w:val="28"/>
          <w:rtl/>
        </w:rPr>
        <w:t>أهداف خفض الإلغاءات في: تقليص حالات الإلغاء غير المبررة في يوم العملية؛ وضبط مسار المريض الجراحي وفق منهجية</w:t>
      </w:r>
      <w:r w:rsidRPr="000C589F">
        <w:rPr>
          <w:rFonts w:ascii="Simplified Arabic" w:hAnsi="Simplified Arabic" w:cs="Simplified Arabic"/>
          <w:color w:val="000000" w:themeColor="text1"/>
          <w:sz w:val="28"/>
          <w:szCs w:val="28"/>
        </w:rPr>
        <w:t xml:space="preserve"> Lean Six Sigma</w:t>
      </w:r>
      <w:r w:rsidRPr="000C589F">
        <w:rPr>
          <w:rFonts w:ascii="Simplified Arabic" w:hAnsi="Simplified Arabic" w:cs="Simplified Arabic"/>
          <w:color w:val="000000" w:themeColor="text1"/>
          <w:sz w:val="28"/>
          <w:szCs w:val="28"/>
          <w:rtl/>
        </w:rPr>
        <w:t>؛ وتقليص التذبذب في الإجراءات الجراحية؛ وبناء ثقافة التحسين المستمر في المنشأة</w:t>
      </w:r>
      <w:r w:rsidRPr="000C589F">
        <w:rPr>
          <w:rFonts w:ascii="Simplified Arabic" w:hAnsi="Simplified Arabic" w:cs="Simplified Arabic"/>
          <w:color w:val="000000" w:themeColor="text1"/>
          <w:sz w:val="28"/>
          <w:szCs w:val="28"/>
        </w:rPr>
        <w:t>.</w:t>
      </w:r>
    </w:p>
    <w:p w14:paraId="50F35891"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ويُجمل</w:t>
      </w:r>
      <w:r w:rsidRPr="000C589F">
        <w:rPr>
          <w:rFonts w:ascii="Simplified Arabic" w:hAnsi="Simplified Arabic" w:cs="Simplified Arabic"/>
          <w:color w:val="000000" w:themeColor="text1"/>
          <w:sz w:val="28"/>
          <w:szCs w:val="28"/>
        </w:rPr>
        <w:t xml:space="preserve"> Viderman et al. (2021) </w:t>
      </w:r>
      <w:r w:rsidRPr="000C589F">
        <w:rPr>
          <w:rFonts w:ascii="Simplified Arabic" w:hAnsi="Simplified Arabic" w:cs="Simplified Arabic"/>
          <w:color w:val="000000" w:themeColor="text1"/>
          <w:sz w:val="28"/>
          <w:szCs w:val="28"/>
          <w:rtl/>
        </w:rPr>
        <w:t>أهداف خفض الإلغاءات في: تطبيق التوصيات المستندة إلى الأدلة في الممارسة الجراحية؛ وتقليص الفجوة بين المعرفة العلمية والممارسة المؤسسية؛ وتطوير معايير قياسية لتقييم أداء المنشأة في إدارة العمليات؛ وتعزيز قدرة الكوادر على تبنّي التحسينات المستندة إلى الأدلة</w:t>
      </w:r>
      <w:r w:rsidRPr="000C589F">
        <w:rPr>
          <w:rFonts w:ascii="Simplified Arabic" w:hAnsi="Simplified Arabic" w:cs="Simplified Arabic"/>
          <w:color w:val="000000" w:themeColor="text1"/>
          <w:sz w:val="28"/>
          <w:szCs w:val="28"/>
        </w:rPr>
        <w:t>.</w:t>
      </w:r>
    </w:p>
    <w:p w14:paraId="22999F53"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ويُحدّد</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أهداف زيادة العمليات المنجزة في: استثمار السعة الجراحية المتاحة بأقصى كفاءة ممكنة؛ وتطوير مؤشرات قياسية جديدة للإنتاجية الجراحية؛ وتقليص أزمنة الدوران بين العمليات المتعاقبة؛ ودعم القرار الإداري بنماذج جدولة متقدمة</w:t>
      </w:r>
      <w:r w:rsidRPr="000C589F">
        <w:rPr>
          <w:rFonts w:ascii="Simplified Arabic" w:hAnsi="Simplified Arabic" w:cs="Simplified Arabic"/>
          <w:color w:val="000000" w:themeColor="text1"/>
          <w:sz w:val="28"/>
          <w:szCs w:val="28"/>
        </w:rPr>
        <w:t>.</w:t>
      </w:r>
    </w:p>
    <w:p w14:paraId="7A81F529"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ويُبرز</w:t>
      </w:r>
      <w:r w:rsidRPr="000C589F">
        <w:rPr>
          <w:rFonts w:ascii="Simplified Arabic" w:hAnsi="Simplified Arabic" w:cs="Simplified Arabic"/>
          <w:color w:val="000000" w:themeColor="text1"/>
          <w:sz w:val="28"/>
          <w:szCs w:val="28"/>
        </w:rPr>
        <w:t xml:space="preserve"> Brendel (2021) </w:t>
      </w:r>
      <w:r w:rsidRPr="000C589F">
        <w:rPr>
          <w:rFonts w:ascii="Simplified Arabic" w:hAnsi="Simplified Arabic" w:cs="Simplified Arabic"/>
          <w:color w:val="000000" w:themeColor="text1"/>
          <w:sz w:val="28"/>
          <w:szCs w:val="28"/>
          <w:rtl/>
        </w:rPr>
        <w:t>أهداف زيادة العمليات المنجزة في: تحسين إنتاجية غرف العمليات؛ وإعادة هندسة الإجراءات الداخلية؛ وضبط زمن استخدام الموارد الجراحية؛ وتعزيز قدرة المنشأة على استيعاب أعداد متزايدة من الحالات</w:t>
      </w:r>
      <w:r w:rsidRPr="000C589F">
        <w:rPr>
          <w:rFonts w:ascii="Simplified Arabic" w:hAnsi="Simplified Arabic" w:cs="Simplified Arabic"/>
          <w:color w:val="000000" w:themeColor="text1"/>
          <w:sz w:val="28"/>
          <w:szCs w:val="28"/>
        </w:rPr>
        <w:t>.</w:t>
      </w:r>
    </w:p>
    <w:p w14:paraId="66A72712"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ويُضيف</w:t>
      </w:r>
      <w:r w:rsidRPr="000C589F">
        <w:rPr>
          <w:rFonts w:ascii="Simplified Arabic" w:hAnsi="Simplified Arabic" w:cs="Simplified Arabic"/>
          <w:color w:val="000000" w:themeColor="text1"/>
          <w:sz w:val="28"/>
          <w:szCs w:val="28"/>
        </w:rPr>
        <w:t xml:space="preserve"> Rathlev et al. (2018) </w:t>
      </w:r>
      <w:r w:rsidRPr="000C589F">
        <w:rPr>
          <w:rFonts w:ascii="Simplified Arabic" w:hAnsi="Simplified Arabic" w:cs="Simplified Arabic"/>
          <w:color w:val="000000" w:themeColor="text1"/>
          <w:sz w:val="28"/>
          <w:szCs w:val="28"/>
          <w:rtl/>
        </w:rPr>
        <w:t>أهدافًا تتصل بإعادة تصميم الجدولة الجراحية، تشمل: توزيع الحمل الجراحي عبر أيام الأسبوع؛ وتقليص حالات التعارض على الموارد المشتركة؛ وضمان استمرارية تنفيذ العمليات؛ وتعزيز قدرة المنشأة على الاستجابة للحالات العاجلة دون الإخلال بالجدولة</w:t>
      </w:r>
      <w:r w:rsidRPr="000C589F">
        <w:rPr>
          <w:rFonts w:ascii="Simplified Arabic" w:hAnsi="Simplified Arabic" w:cs="Simplified Arabic"/>
          <w:color w:val="000000" w:themeColor="text1"/>
          <w:sz w:val="28"/>
          <w:szCs w:val="28"/>
        </w:rPr>
        <w:t>.</w:t>
      </w:r>
    </w:p>
    <w:p w14:paraId="3592BD13"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ويُلخّص الباحث أنّ الأهداف العامة لهذا المتغير تتمحور حول: تقليص الإلغاء غير المبرر، واستثمار السعة الجراحية بأقصى كفاءة، وتعزيز الإنتاجية المؤسسية، وتحسين تجربة المريض الجراحي</w:t>
      </w:r>
      <w:r w:rsidRPr="000C589F">
        <w:rPr>
          <w:rFonts w:ascii="Simplified Arabic" w:hAnsi="Simplified Arabic" w:cs="Simplified Arabic"/>
          <w:color w:val="000000" w:themeColor="text1"/>
          <w:sz w:val="28"/>
          <w:szCs w:val="28"/>
        </w:rPr>
        <w:t>.</w:t>
      </w:r>
    </w:p>
    <w:p w14:paraId="596C4C15" w14:textId="5C45920B"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8" w:name="_Toc233411416"/>
      <w:r w:rsidRPr="000C589F">
        <w:rPr>
          <w:rFonts w:ascii="Simplified Arabic" w:hAnsi="Simplified Arabic" w:cs="Simplified Arabic" w:hint="cs"/>
          <w:b/>
          <w:bCs/>
          <w:color w:val="000000" w:themeColor="text1"/>
          <w:sz w:val="32"/>
          <w:szCs w:val="32"/>
          <w:rtl/>
        </w:rPr>
        <w:t>5.1.2</w:t>
      </w:r>
      <w:r w:rsidR="00414176" w:rsidRPr="000C589F">
        <w:rPr>
          <w:rFonts w:ascii="Simplified Arabic" w:hAnsi="Simplified Arabic" w:cs="Simplified Arabic"/>
          <w:b/>
          <w:bCs/>
          <w:color w:val="000000" w:themeColor="text1"/>
          <w:sz w:val="32"/>
          <w:szCs w:val="32"/>
          <w:rtl/>
        </w:rPr>
        <w:t xml:space="preserve"> المداخل النظرية المفسّرة للمتغير التابع</w:t>
      </w:r>
      <w:bookmarkEnd w:id="58"/>
    </w:p>
    <w:p w14:paraId="2AAF94BA"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تتعدد المداخل النظرية التي يُمكن الاستناد إليها في تفسير هذه الظاهرة. ويُمثّل مدخل</w:t>
      </w:r>
      <w:r w:rsidRPr="000C589F">
        <w:rPr>
          <w:rFonts w:ascii="Simplified Arabic" w:hAnsi="Simplified Arabic" w:cs="Simplified Arabic"/>
          <w:color w:val="000000" w:themeColor="text1"/>
          <w:sz w:val="28"/>
          <w:szCs w:val="28"/>
        </w:rPr>
        <w:t xml:space="preserve"> Lean Six Sigma</w:t>
      </w:r>
      <w:r w:rsidRPr="000C589F">
        <w:rPr>
          <w:rFonts w:ascii="Simplified Arabic" w:hAnsi="Simplified Arabic" w:cs="Simplified Arabic"/>
          <w:color w:val="000000" w:themeColor="text1"/>
          <w:sz w:val="28"/>
          <w:szCs w:val="28"/>
          <w:rtl/>
        </w:rPr>
        <w:t>، الذي تبنّاه</w:t>
      </w:r>
      <w:r w:rsidRPr="000C589F">
        <w:rPr>
          <w:rFonts w:ascii="Simplified Arabic" w:hAnsi="Simplified Arabic" w:cs="Simplified Arabic"/>
          <w:color w:val="000000" w:themeColor="text1"/>
          <w:sz w:val="28"/>
          <w:szCs w:val="28"/>
        </w:rPr>
        <w:t xml:space="preserve"> Schretlen et al. (2021)</w:t>
      </w:r>
      <w:r w:rsidRPr="000C589F">
        <w:rPr>
          <w:rFonts w:ascii="Simplified Arabic" w:hAnsi="Simplified Arabic" w:cs="Simplified Arabic"/>
          <w:color w:val="000000" w:themeColor="text1"/>
          <w:sz w:val="28"/>
          <w:szCs w:val="28"/>
          <w:rtl/>
        </w:rPr>
        <w:t xml:space="preserve">، إطارًا تحسينيًا يقوم على رصد مصادر الهدر في </w:t>
      </w:r>
      <w:r w:rsidRPr="000C589F">
        <w:rPr>
          <w:rFonts w:ascii="Simplified Arabic" w:hAnsi="Simplified Arabic" w:cs="Simplified Arabic"/>
          <w:color w:val="000000" w:themeColor="text1"/>
          <w:sz w:val="28"/>
          <w:szCs w:val="28"/>
          <w:rtl/>
        </w:rPr>
        <w:lastRenderedPageBreak/>
        <w:t>مسار المريض الجراحي، وتقليص التذبذب في الإجراءات، وضبط جودة المخرج عبر دورات تحسين متعاقبة. ويُتيح هذا المدخل تفسير الإلغاءات بوصفها هدرًا قابلًا للقياس والمعالجة</w:t>
      </w:r>
      <w:r w:rsidRPr="000C589F">
        <w:rPr>
          <w:rFonts w:ascii="Simplified Arabic" w:hAnsi="Simplified Arabic" w:cs="Simplified Arabic"/>
          <w:color w:val="000000" w:themeColor="text1"/>
          <w:sz w:val="28"/>
          <w:szCs w:val="28"/>
        </w:rPr>
        <w:t>.</w:t>
      </w:r>
    </w:p>
    <w:p w14:paraId="2CE967E8"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ويُقدّم</w:t>
      </w:r>
      <w:r w:rsidRPr="000C589F">
        <w:rPr>
          <w:rFonts w:ascii="Simplified Arabic" w:hAnsi="Simplified Arabic" w:cs="Simplified Arabic"/>
          <w:color w:val="000000" w:themeColor="text1"/>
          <w:sz w:val="28"/>
          <w:szCs w:val="28"/>
        </w:rPr>
        <w:t xml:space="preserve"> Koushan, Wood, and Greatbanks (2021) </w:t>
      </w:r>
      <w:r w:rsidRPr="000C589F">
        <w:rPr>
          <w:rFonts w:ascii="Simplified Arabic" w:hAnsi="Simplified Arabic" w:cs="Simplified Arabic"/>
          <w:color w:val="000000" w:themeColor="text1"/>
          <w:sz w:val="28"/>
          <w:szCs w:val="28"/>
          <w:rtl/>
        </w:rPr>
        <w:t>مدخل المراجعة المنهجية بوصفه إطارًا لفهم العوامل المؤثرة في الإلغاء والتأجيل، ويقوم على استقراء الأدبيات وتصنيف العوامل وفق فئات سببية، بما يُتيح بناء خريطة شاملة للظاهرة. ويُمثّل هذا المدخل أرضيةً للانتقال من التشخيص إلى التدخل</w:t>
      </w:r>
      <w:r w:rsidRPr="000C589F">
        <w:rPr>
          <w:rFonts w:ascii="Simplified Arabic" w:hAnsi="Simplified Arabic" w:cs="Simplified Arabic"/>
          <w:color w:val="000000" w:themeColor="text1"/>
          <w:sz w:val="28"/>
          <w:szCs w:val="28"/>
        </w:rPr>
        <w:t>.</w:t>
      </w:r>
    </w:p>
    <w:p w14:paraId="1143FBF0"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ويتبنّى</w:t>
      </w:r>
      <w:r w:rsidRPr="000C589F">
        <w:rPr>
          <w:rFonts w:ascii="Simplified Arabic" w:hAnsi="Simplified Arabic" w:cs="Simplified Arabic"/>
          <w:color w:val="000000" w:themeColor="text1"/>
          <w:sz w:val="28"/>
          <w:szCs w:val="28"/>
        </w:rPr>
        <w:t xml:space="preserve"> Khorasanian et al. (2022) </w:t>
      </w:r>
      <w:r w:rsidRPr="000C589F">
        <w:rPr>
          <w:rFonts w:ascii="Simplified Arabic" w:hAnsi="Simplified Arabic" w:cs="Simplified Arabic"/>
          <w:color w:val="000000" w:themeColor="text1"/>
          <w:sz w:val="28"/>
          <w:szCs w:val="28"/>
          <w:rtl/>
        </w:rPr>
        <w:t>مدخل البحث العملياتي بوصفه إطارًا لنمذجة قرارات الجدولة في ظل القيود، ويقوم على بناء نماذج رياضية تستهدف تقليص الإلغاءات في حالات النقص الحاد في الموارد. ويُتيح هذا المدخل تجاوز الإدارة الارتجالية إلى إدارة قائمة على النمذجة الكميّة</w:t>
      </w:r>
      <w:r w:rsidRPr="000C589F">
        <w:rPr>
          <w:rFonts w:ascii="Simplified Arabic" w:hAnsi="Simplified Arabic" w:cs="Simplified Arabic"/>
          <w:color w:val="000000" w:themeColor="text1"/>
          <w:sz w:val="28"/>
          <w:szCs w:val="28"/>
        </w:rPr>
        <w:t>.</w:t>
      </w:r>
    </w:p>
    <w:p w14:paraId="7824D2B1"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ويُمثّل مدخل الممارسة المستندة إلى الأدلة، الذي تبنّاه</w:t>
      </w:r>
      <w:r w:rsidRPr="000C589F">
        <w:rPr>
          <w:rFonts w:ascii="Simplified Arabic" w:hAnsi="Simplified Arabic" w:cs="Simplified Arabic"/>
          <w:color w:val="000000" w:themeColor="text1"/>
          <w:sz w:val="28"/>
          <w:szCs w:val="28"/>
        </w:rPr>
        <w:t xml:space="preserve"> Viderman et al. (2021)</w:t>
      </w:r>
      <w:r w:rsidRPr="000C589F">
        <w:rPr>
          <w:rFonts w:ascii="Simplified Arabic" w:hAnsi="Simplified Arabic" w:cs="Simplified Arabic"/>
          <w:color w:val="000000" w:themeColor="text1"/>
          <w:sz w:val="28"/>
          <w:szCs w:val="28"/>
          <w:rtl/>
        </w:rPr>
        <w:t>، إطارًا لتطبيق التدخلات في إدارة الإلغاءات وفق ما تُثبته الدراسات العلمية، ويقوم على ترجمة المعرفة العلمية إلى ممارسات مؤسسية. ويُعزّز هذا المدخل الجسر بين البحث والتطبيق في إدارة العمليات الجراحية</w:t>
      </w:r>
      <w:r w:rsidRPr="000C589F">
        <w:rPr>
          <w:rFonts w:ascii="Simplified Arabic" w:hAnsi="Simplified Arabic" w:cs="Simplified Arabic"/>
          <w:color w:val="000000" w:themeColor="text1"/>
          <w:sz w:val="28"/>
          <w:szCs w:val="28"/>
        </w:rPr>
        <w:t>.</w:t>
      </w:r>
    </w:p>
    <w:p w14:paraId="37B3CC75" w14:textId="69280011"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9" w:name="_Toc233411417"/>
      <w:r w:rsidRPr="000C589F">
        <w:rPr>
          <w:rFonts w:ascii="Simplified Arabic" w:hAnsi="Simplified Arabic" w:cs="Simplified Arabic" w:hint="cs"/>
          <w:b/>
          <w:bCs/>
          <w:color w:val="000000" w:themeColor="text1"/>
          <w:sz w:val="32"/>
          <w:szCs w:val="32"/>
          <w:rtl/>
        </w:rPr>
        <w:t>6.1.2</w:t>
      </w:r>
      <w:r w:rsidR="00414176" w:rsidRPr="000C589F">
        <w:rPr>
          <w:rFonts w:ascii="Simplified Arabic" w:hAnsi="Simplified Arabic" w:cs="Simplified Arabic"/>
          <w:b/>
          <w:bCs/>
          <w:color w:val="000000" w:themeColor="text1"/>
          <w:sz w:val="32"/>
          <w:szCs w:val="32"/>
          <w:rtl/>
        </w:rPr>
        <w:t xml:space="preserve"> العوامل المؤثرة في إلغاء العمليات والإنتاجية الجراحية</w:t>
      </w:r>
      <w:bookmarkEnd w:id="59"/>
    </w:p>
    <w:p w14:paraId="07B77D99"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تُجمع الأدبيات على أنّ ثمة عوامل متعددة تُؤثّر في الإلغاءات وفي معدل العمليات المنجزة. ويُصنّف</w:t>
      </w:r>
      <w:r w:rsidRPr="000C589F">
        <w:rPr>
          <w:rFonts w:ascii="Simplified Arabic" w:hAnsi="Simplified Arabic" w:cs="Simplified Arabic"/>
          <w:color w:val="000000" w:themeColor="text1"/>
          <w:sz w:val="28"/>
          <w:szCs w:val="28"/>
        </w:rPr>
        <w:t xml:space="preserve"> Koushan, Wood, and Greatbanks (2021) </w:t>
      </w:r>
      <w:r w:rsidRPr="000C589F">
        <w:rPr>
          <w:rFonts w:ascii="Simplified Arabic" w:hAnsi="Simplified Arabic" w:cs="Simplified Arabic"/>
          <w:color w:val="000000" w:themeColor="text1"/>
          <w:sz w:val="28"/>
          <w:szCs w:val="28"/>
          <w:rtl/>
        </w:rPr>
        <w:t>هذه العوامل في فئات تشمل: العوامل المتعلقة بالمريض، والعوامل التنظيمية والإدارية، والعوامل المتصلة بالموارد، والعوامل الإجرائية. ويُمثّل هذا التصنيف خريطةً معرفيةً تُيسّر التشخيص والتدخل</w:t>
      </w:r>
      <w:r w:rsidRPr="000C589F">
        <w:rPr>
          <w:rFonts w:ascii="Simplified Arabic" w:hAnsi="Simplified Arabic" w:cs="Simplified Arabic"/>
          <w:color w:val="000000" w:themeColor="text1"/>
          <w:sz w:val="28"/>
          <w:szCs w:val="28"/>
        </w:rPr>
        <w:t>.</w:t>
      </w:r>
    </w:p>
    <w:p w14:paraId="255A08F0"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ويُبرز</w:t>
      </w:r>
      <w:r w:rsidRPr="000C589F">
        <w:rPr>
          <w:rFonts w:ascii="Simplified Arabic" w:hAnsi="Simplified Arabic" w:cs="Simplified Arabic"/>
          <w:color w:val="000000" w:themeColor="text1"/>
          <w:sz w:val="28"/>
          <w:szCs w:val="28"/>
        </w:rPr>
        <w:t xml:space="preserve"> Abeeleh et al. (2017) </w:t>
      </w:r>
      <w:r w:rsidRPr="000C589F">
        <w:rPr>
          <w:rFonts w:ascii="Simplified Arabic" w:hAnsi="Simplified Arabic" w:cs="Simplified Arabic"/>
          <w:color w:val="000000" w:themeColor="text1"/>
          <w:sz w:val="28"/>
          <w:szCs w:val="28"/>
          <w:rtl/>
        </w:rPr>
        <w:t>أنّ العوامل التنظيمية تحتل المرتبة الأولى في تفسير الإلغاءات بالمستشفيات التعليمية، وأنّ ضعف التنسيق وقصور الجدولة يُمثّلان منطقتي الأولوية للتحسين. ويُكمل</w:t>
      </w:r>
      <w:r w:rsidRPr="000C589F">
        <w:rPr>
          <w:rFonts w:ascii="Simplified Arabic" w:hAnsi="Simplified Arabic" w:cs="Simplified Arabic"/>
          <w:color w:val="000000" w:themeColor="text1"/>
          <w:sz w:val="28"/>
          <w:szCs w:val="28"/>
        </w:rPr>
        <w:t xml:space="preserve"> Mesmar et al. (2011) </w:t>
      </w:r>
      <w:r w:rsidRPr="000C589F">
        <w:rPr>
          <w:rFonts w:ascii="Simplified Arabic" w:hAnsi="Simplified Arabic" w:cs="Simplified Arabic"/>
          <w:color w:val="000000" w:themeColor="text1"/>
          <w:sz w:val="28"/>
          <w:szCs w:val="28"/>
          <w:rtl/>
        </w:rPr>
        <w:t>هذا التأصيل بالإشارة إلى أنّ العوامل التنظيمية تتشابك مع عوامل سريرية ومتصلة بالمريض، وأنّ معالجة الظاهرة تستوجب رؤيةً منظوميةً تتجاوز التركيز على فئة واحدة من العوامل</w:t>
      </w:r>
      <w:r w:rsidRPr="000C589F">
        <w:rPr>
          <w:rFonts w:ascii="Simplified Arabic" w:hAnsi="Simplified Arabic" w:cs="Simplified Arabic"/>
          <w:color w:val="000000" w:themeColor="text1"/>
          <w:sz w:val="28"/>
          <w:szCs w:val="28"/>
        </w:rPr>
        <w:t>.</w:t>
      </w:r>
    </w:p>
    <w:p w14:paraId="0A159511"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ويُضيف</w:t>
      </w:r>
      <w:r w:rsidRPr="000C589F">
        <w:rPr>
          <w:rFonts w:ascii="Simplified Arabic" w:hAnsi="Simplified Arabic" w:cs="Simplified Arabic"/>
          <w:color w:val="000000" w:themeColor="text1"/>
          <w:sz w:val="28"/>
          <w:szCs w:val="28"/>
        </w:rPr>
        <w:t xml:space="preserve"> Khorasanian et al. (2022) </w:t>
      </w:r>
      <w:r w:rsidRPr="000C589F">
        <w:rPr>
          <w:rFonts w:ascii="Simplified Arabic" w:hAnsi="Simplified Arabic" w:cs="Simplified Arabic"/>
          <w:color w:val="000000" w:themeColor="text1"/>
          <w:sz w:val="28"/>
          <w:szCs w:val="28"/>
          <w:rtl/>
        </w:rPr>
        <w:t>أنّ من أبرز العوامل المؤثرة في الإلغاء النقصُ في أسرّة الرعاية بعد التخدير ونقص الكوادر التمريضية، وأنّ معالجة هذه الاختناقات تُمثّل مدخلًا فعّالًا لخفض الإلغاءات. ويُعزّز</w:t>
      </w:r>
      <w:r w:rsidRPr="000C589F">
        <w:rPr>
          <w:rFonts w:ascii="Simplified Arabic" w:hAnsi="Simplified Arabic" w:cs="Simplified Arabic"/>
          <w:color w:val="000000" w:themeColor="text1"/>
          <w:sz w:val="28"/>
          <w:szCs w:val="28"/>
        </w:rPr>
        <w:t xml:space="preserve"> McGowan et al. (2007) </w:t>
      </w:r>
      <w:r w:rsidRPr="000C589F">
        <w:rPr>
          <w:rFonts w:ascii="Simplified Arabic" w:hAnsi="Simplified Arabic" w:cs="Simplified Arabic"/>
          <w:color w:val="000000" w:themeColor="text1"/>
          <w:sz w:val="28"/>
          <w:szCs w:val="28"/>
          <w:rtl/>
        </w:rPr>
        <w:t>هذا الطرح بالإشارة إلى أنّ العلاقة بين السعة السريرية وكفاءة غرف العمليات تتجلى بوضوح في ذروة الإشغال، حين تُصبح السعة السريرية القيد الحاكم على الإنتاجية الجراحية</w:t>
      </w:r>
      <w:r w:rsidRPr="000C589F">
        <w:rPr>
          <w:rFonts w:ascii="Simplified Arabic" w:hAnsi="Simplified Arabic" w:cs="Simplified Arabic"/>
          <w:color w:val="000000" w:themeColor="text1"/>
          <w:sz w:val="28"/>
          <w:szCs w:val="28"/>
        </w:rPr>
        <w:t>.</w:t>
      </w:r>
    </w:p>
    <w:p w14:paraId="7904514A" w14:textId="3517DAD1"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60" w:name="_Toc233411418"/>
      <w:r w:rsidRPr="000C589F">
        <w:rPr>
          <w:rFonts w:ascii="Simplified Arabic" w:hAnsi="Simplified Arabic" w:cs="Simplified Arabic" w:hint="cs"/>
          <w:b/>
          <w:bCs/>
          <w:color w:val="000000" w:themeColor="text1"/>
          <w:sz w:val="32"/>
          <w:szCs w:val="32"/>
          <w:rtl/>
        </w:rPr>
        <w:t>7.1.2</w:t>
      </w:r>
      <w:r w:rsidR="00414176" w:rsidRPr="000C589F">
        <w:rPr>
          <w:rFonts w:ascii="Simplified Arabic" w:hAnsi="Simplified Arabic" w:cs="Simplified Arabic"/>
          <w:b/>
          <w:bCs/>
          <w:color w:val="000000" w:themeColor="text1"/>
          <w:sz w:val="32"/>
          <w:szCs w:val="32"/>
          <w:rtl/>
        </w:rPr>
        <w:t xml:space="preserve"> استراتيجيات خفض الإلغاءات وزيادة العمليات المنجزة</w:t>
      </w:r>
      <w:bookmarkEnd w:id="60"/>
    </w:p>
    <w:p w14:paraId="35AF72DA"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تتعدد الاستراتيجيات التي تتبنّاها المستشفيات لتحقيق هذا الهدف، ويُمكن تصنيفها في عدة محاور</w:t>
      </w:r>
      <w:r w:rsidRPr="000C589F">
        <w:rPr>
          <w:rFonts w:ascii="Simplified Arabic" w:hAnsi="Simplified Arabic" w:cs="Simplified Arabic"/>
          <w:color w:val="000000" w:themeColor="text1"/>
          <w:sz w:val="28"/>
          <w:szCs w:val="28"/>
        </w:rPr>
        <w:t>.</w:t>
      </w:r>
    </w:p>
    <w:p w14:paraId="26D5EF7C"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أولًا، استراتيجية إعادة تصميم الجدولة الجراحية، التي يطرحها</w:t>
      </w:r>
      <w:r w:rsidRPr="000C589F">
        <w:rPr>
          <w:rFonts w:ascii="Simplified Arabic" w:hAnsi="Simplified Arabic" w:cs="Simplified Arabic"/>
          <w:color w:val="000000" w:themeColor="text1"/>
          <w:sz w:val="28"/>
          <w:szCs w:val="28"/>
        </w:rPr>
        <w:t xml:space="preserve"> Rathlev et al. (2018) </w:t>
      </w:r>
      <w:r w:rsidRPr="000C589F">
        <w:rPr>
          <w:rFonts w:ascii="Simplified Arabic" w:hAnsi="Simplified Arabic" w:cs="Simplified Arabic"/>
          <w:color w:val="000000" w:themeColor="text1"/>
          <w:sz w:val="28"/>
          <w:szCs w:val="28"/>
          <w:rtl/>
        </w:rPr>
        <w:t>بوصفها مدخلًا لتعزيز الإنتاجية عبر إعادة توزيع الحمل الجراحي بين أيام الأسبوع، وضبط أولويات الجدولة وفق درجة الإلحاح والموارد المتاحة. وتُتيح هذه الاستراتيجية تجاوز الاختناقات الناتجة عن التوزيع غير المتوازن للحالات</w:t>
      </w:r>
      <w:r w:rsidRPr="000C589F">
        <w:rPr>
          <w:rFonts w:ascii="Simplified Arabic" w:hAnsi="Simplified Arabic" w:cs="Simplified Arabic"/>
          <w:color w:val="000000" w:themeColor="text1"/>
          <w:sz w:val="28"/>
          <w:szCs w:val="28"/>
        </w:rPr>
        <w:t>.</w:t>
      </w:r>
    </w:p>
    <w:p w14:paraId="78513D2A"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ثانيًا، استراتيجية</w:t>
      </w:r>
      <w:r w:rsidRPr="000C589F">
        <w:rPr>
          <w:rFonts w:ascii="Simplified Arabic" w:hAnsi="Simplified Arabic" w:cs="Simplified Arabic"/>
          <w:color w:val="000000" w:themeColor="text1"/>
          <w:sz w:val="28"/>
          <w:szCs w:val="28"/>
        </w:rPr>
        <w:t xml:space="preserve"> Lean Six Sigma</w:t>
      </w:r>
      <w:r w:rsidRPr="000C589F">
        <w:rPr>
          <w:rFonts w:ascii="Simplified Arabic" w:hAnsi="Simplified Arabic" w:cs="Simplified Arabic"/>
          <w:color w:val="000000" w:themeColor="text1"/>
          <w:sz w:val="28"/>
          <w:szCs w:val="28"/>
          <w:rtl/>
        </w:rPr>
        <w:t>، التي يتبنّاها</w:t>
      </w:r>
      <w:r w:rsidRPr="000C589F">
        <w:rPr>
          <w:rFonts w:ascii="Simplified Arabic" w:hAnsi="Simplified Arabic" w:cs="Simplified Arabic"/>
          <w:color w:val="000000" w:themeColor="text1"/>
          <w:sz w:val="28"/>
          <w:szCs w:val="28"/>
        </w:rPr>
        <w:t xml:space="preserve"> Schretlen et al. (2021) </w:t>
      </w:r>
      <w:r w:rsidRPr="000C589F">
        <w:rPr>
          <w:rFonts w:ascii="Simplified Arabic" w:hAnsi="Simplified Arabic" w:cs="Simplified Arabic"/>
          <w:color w:val="000000" w:themeColor="text1"/>
          <w:sz w:val="28"/>
          <w:szCs w:val="28"/>
          <w:rtl/>
        </w:rPr>
        <w:t>إطارًا منهجيًا لتحديد مصادر الهدر في مسار المريض الجراحي، وتقليص التذبذب في الإجراءات. وتمتاز هذه الاستراتيجية بقابليتها للتطبيق التدريجي وملاءمتها لبيئات المستشفيات الحكومية</w:t>
      </w:r>
      <w:r w:rsidRPr="000C589F">
        <w:rPr>
          <w:rFonts w:ascii="Simplified Arabic" w:hAnsi="Simplified Arabic" w:cs="Simplified Arabic"/>
          <w:color w:val="000000" w:themeColor="text1"/>
          <w:sz w:val="28"/>
          <w:szCs w:val="28"/>
        </w:rPr>
        <w:t>.</w:t>
      </w:r>
    </w:p>
    <w:p w14:paraId="5FA45B48"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ثالثًا، استراتيجية الجدولة المعمّمة لغرف العمليات، التي يُقدّمها</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بوصفها مدخلًا لزيادة الطاقة الاستيعابية الجراحية دون موارد إضافية، عبر تحسين خوارزميات الجدولة وتقليص أزمنة الدوران المعمّم</w:t>
      </w:r>
      <w:r w:rsidRPr="000C589F">
        <w:rPr>
          <w:rFonts w:ascii="Simplified Arabic" w:hAnsi="Simplified Arabic" w:cs="Simplified Arabic"/>
          <w:color w:val="000000" w:themeColor="text1"/>
          <w:sz w:val="28"/>
          <w:szCs w:val="28"/>
        </w:rPr>
        <w:t>.</w:t>
      </w:r>
    </w:p>
    <w:p w14:paraId="3F4ED011"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رابعًا، استراتيجية تطبيق التوصيات المستندة إلى الأدلة، التي يطرحها</w:t>
      </w:r>
      <w:r w:rsidRPr="000C589F">
        <w:rPr>
          <w:rFonts w:ascii="Simplified Arabic" w:hAnsi="Simplified Arabic" w:cs="Simplified Arabic"/>
          <w:color w:val="000000" w:themeColor="text1"/>
          <w:sz w:val="28"/>
          <w:szCs w:val="28"/>
        </w:rPr>
        <w:t xml:space="preserve"> Viderman et al. (2021) </w:t>
      </w:r>
      <w:r w:rsidRPr="000C589F">
        <w:rPr>
          <w:rFonts w:ascii="Simplified Arabic" w:hAnsi="Simplified Arabic" w:cs="Simplified Arabic"/>
          <w:color w:val="000000" w:themeColor="text1"/>
          <w:sz w:val="28"/>
          <w:szCs w:val="28"/>
          <w:rtl/>
        </w:rPr>
        <w:t>إطارًا منهجيًا لترجمة المعرفة العلمية إلى ممارسات تقلّص الإلغاءات. وتقوم هذه الاستراتيجية على بناء بروتوكولات إكلينيكية وإدارية مستندة إلى الأدلة وتعميمها مؤسسيًا</w:t>
      </w:r>
      <w:r w:rsidRPr="000C589F">
        <w:rPr>
          <w:rFonts w:ascii="Simplified Arabic" w:hAnsi="Simplified Arabic" w:cs="Simplified Arabic"/>
          <w:color w:val="000000" w:themeColor="text1"/>
          <w:sz w:val="28"/>
          <w:szCs w:val="28"/>
        </w:rPr>
        <w:t>.</w:t>
      </w:r>
    </w:p>
    <w:p w14:paraId="4D910021"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خامسًا، استراتيجية تحسين إنتاجية غرف العمليات، التي يُقدّمها</w:t>
      </w:r>
      <w:r w:rsidRPr="000C589F">
        <w:rPr>
          <w:rFonts w:ascii="Simplified Arabic" w:hAnsi="Simplified Arabic" w:cs="Simplified Arabic"/>
          <w:color w:val="000000" w:themeColor="text1"/>
          <w:sz w:val="28"/>
          <w:szCs w:val="28"/>
        </w:rPr>
        <w:t xml:space="preserve"> Brendel (2021) </w:t>
      </w:r>
      <w:r w:rsidRPr="000C589F">
        <w:rPr>
          <w:rFonts w:ascii="Simplified Arabic" w:hAnsi="Simplified Arabic" w:cs="Simplified Arabic"/>
          <w:color w:val="000000" w:themeColor="text1"/>
          <w:sz w:val="28"/>
          <w:szCs w:val="28"/>
          <w:rtl/>
        </w:rPr>
        <w:t>بوصفها مدخلًا لإعادة هندسة الإجراءات داخل غرف العمليات، وتقليص الأزمنة البينية، وضبط استخدام الموارد الجراحية</w:t>
      </w:r>
      <w:r w:rsidRPr="000C589F">
        <w:rPr>
          <w:rFonts w:ascii="Simplified Arabic" w:hAnsi="Simplified Arabic" w:cs="Simplified Arabic"/>
          <w:color w:val="000000" w:themeColor="text1"/>
          <w:sz w:val="28"/>
          <w:szCs w:val="28"/>
        </w:rPr>
        <w:t>.</w:t>
      </w:r>
    </w:p>
    <w:p w14:paraId="4EBED7AA"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lastRenderedPageBreak/>
        <w:t>سادسًا، استراتيجية النمذجة وإدارة الموارد المساعدة، التي يطرحها</w:t>
      </w:r>
      <w:r w:rsidRPr="000C589F">
        <w:rPr>
          <w:rFonts w:ascii="Simplified Arabic" w:hAnsi="Simplified Arabic" w:cs="Simplified Arabic"/>
          <w:color w:val="000000" w:themeColor="text1"/>
          <w:sz w:val="28"/>
          <w:szCs w:val="28"/>
        </w:rPr>
        <w:t xml:space="preserve"> Khorasanian et al. (2022) </w:t>
      </w:r>
      <w:r w:rsidRPr="000C589F">
        <w:rPr>
          <w:rFonts w:ascii="Simplified Arabic" w:hAnsi="Simplified Arabic" w:cs="Simplified Arabic"/>
          <w:color w:val="000000" w:themeColor="text1"/>
          <w:sz w:val="28"/>
          <w:szCs w:val="28"/>
          <w:rtl/>
        </w:rPr>
        <w:t>إطارًا لتقليص الإلغاءات في ظل النقص الحاد في الموارد، عبر بناء نماذج رياضية تُتيح اتخاذ قرارات الجدولة في ظل القيود</w:t>
      </w:r>
      <w:r w:rsidRPr="000C589F">
        <w:rPr>
          <w:rFonts w:ascii="Simplified Arabic" w:hAnsi="Simplified Arabic" w:cs="Simplified Arabic"/>
          <w:color w:val="000000" w:themeColor="text1"/>
          <w:sz w:val="28"/>
          <w:szCs w:val="28"/>
        </w:rPr>
        <w:t>.</w:t>
      </w:r>
    </w:p>
    <w:p w14:paraId="0A648142" w14:textId="5DAC68D1"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61" w:name="_Toc233411419"/>
      <w:r w:rsidRPr="000C589F">
        <w:rPr>
          <w:rFonts w:ascii="Simplified Arabic" w:hAnsi="Simplified Arabic" w:cs="Simplified Arabic" w:hint="cs"/>
          <w:b/>
          <w:bCs/>
          <w:color w:val="000000" w:themeColor="text1"/>
          <w:sz w:val="32"/>
          <w:szCs w:val="32"/>
          <w:rtl/>
        </w:rPr>
        <w:t>8.1.2</w:t>
      </w:r>
      <w:r w:rsidR="00414176" w:rsidRPr="000C589F">
        <w:rPr>
          <w:rFonts w:ascii="Simplified Arabic" w:hAnsi="Simplified Arabic" w:cs="Simplified Arabic"/>
          <w:b/>
          <w:bCs/>
          <w:color w:val="000000" w:themeColor="text1"/>
          <w:sz w:val="32"/>
          <w:szCs w:val="32"/>
          <w:rtl/>
        </w:rPr>
        <w:t xml:space="preserve"> مؤشرات قياس المتغير التابع</w:t>
      </w:r>
      <w:bookmarkEnd w:id="61"/>
    </w:p>
    <w:p w14:paraId="4CBF750D"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يُمكن قياس خفض إلغاءات العمليات وزيادة العمليات المنجزة عبر مؤشرات متعددة. ويُقدّم</w:t>
      </w:r>
      <w:r w:rsidRPr="000C589F">
        <w:rPr>
          <w:rFonts w:ascii="Simplified Arabic" w:hAnsi="Simplified Arabic" w:cs="Simplified Arabic"/>
          <w:color w:val="000000" w:themeColor="text1"/>
          <w:sz w:val="28"/>
          <w:szCs w:val="28"/>
        </w:rPr>
        <w:t xml:space="preserve"> Naderi et al. (2021) </w:t>
      </w:r>
      <w:r w:rsidRPr="000C589F">
        <w:rPr>
          <w:rFonts w:ascii="Simplified Arabic" w:hAnsi="Simplified Arabic" w:cs="Simplified Arabic"/>
          <w:color w:val="000000" w:themeColor="text1"/>
          <w:sz w:val="28"/>
          <w:szCs w:val="28"/>
          <w:rtl/>
        </w:rPr>
        <w:t>مؤشر زمن الدوران المعمّم بوصفه مقياسًا متقدمًا لاستخدام السعة الجراحية، يتجاوز المؤشرات التقليدية بقدرته على عكس الكفاءة التشغيلية الفعلية. ويُكمل</w:t>
      </w:r>
      <w:r w:rsidRPr="000C589F">
        <w:rPr>
          <w:rFonts w:ascii="Simplified Arabic" w:hAnsi="Simplified Arabic" w:cs="Simplified Arabic"/>
          <w:color w:val="000000" w:themeColor="text1"/>
          <w:sz w:val="28"/>
          <w:szCs w:val="28"/>
        </w:rPr>
        <w:t xml:space="preserve"> Nasr et al. (2025) </w:t>
      </w:r>
      <w:r w:rsidRPr="000C589F">
        <w:rPr>
          <w:rFonts w:ascii="Simplified Arabic" w:hAnsi="Simplified Arabic" w:cs="Simplified Arabic"/>
          <w:color w:val="000000" w:themeColor="text1"/>
          <w:sz w:val="28"/>
          <w:szCs w:val="28"/>
          <w:rtl/>
        </w:rPr>
        <w:t>هذا الطرح بمؤشر معدل انتشار الإلغاء في يوم العملية، الذي يُتيح رصد الظاهرة بصورة دقيقة. ويُعزّز</w:t>
      </w:r>
      <w:r w:rsidRPr="000C589F">
        <w:rPr>
          <w:rFonts w:ascii="Simplified Arabic" w:hAnsi="Simplified Arabic" w:cs="Simplified Arabic"/>
          <w:color w:val="000000" w:themeColor="text1"/>
          <w:sz w:val="28"/>
          <w:szCs w:val="28"/>
        </w:rPr>
        <w:t xml:space="preserve"> Abeeleh et al. (2017) </w:t>
      </w:r>
      <w:r w:rsidRPr="000C589F">
        <w:rPr>
          <w:rFonts w:ascii="Simplified Arabic" w:hAnsi="Simplified Arabic" w:cs="Simplified Arabic"/>
          <w:color w:val="000000" w:themeColor="text1"/>
          <w:sz w:val="28"/>
          <w:szCs w:val="28"/>
          <w:rtl/>
        </w:rPr>
        <w:t>ذلك بتصنيف أسباب الإلغاء وفق فئات قابلة للقياس، بما يُتيح بناء مؤشرات مركّبة لتقييم أداء المنشأة</w:t>
      </w:r>
      <w:r w:rsidRPr="000C589F">
        <w:rPr>
          <w:rFonts w:ascii="Simplified Arabic" w:hAnsi="Simplified Arabic" w:cs="Simplified Arabic"/>
          <w:color w:val="000000" w:themeColor="text1"/>
          <w:sz w:val="28"/>
          <w:szCs w:val="28"/>
        </w:rPr>
        <w:t>.</w:t>
      </w:r>
    </w:p>
    <w:p w14:paraId="67FA56C7" w14:textId="729D566F" w:rsidR="00414176" w:rsidRPr="000C589F" w:rsidRDefault="00602256" w:rsidP="0060225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62" w:name="_Toc233411420"/>
      <w:r w:rsidRPr="000C589F">
        <w:rPr>
          <w:rFonts w:ascii="Simplified Arabic" w:hAnsi="Simplified Arabic" w:cs="Simplified Arabic" w:hint="cs"/>
          <w:b/>
          <w:bCs/>
          <w:color w:val="000000" w:themeColor="text1"/>
          <w:sz w:val="32"/>
          <w:szCs w:val="32"/>
          <w:rtl/>
        </w:rPr>
        <w:t>9.1.2</w:t>
      </w:r>
      <w:r w:rsidR="00414176" w:rsidRPr="000C589F">
        <w:rPr>
          <w:rFonts w:ascii="Simplified Arabic" w:hAnsi="Simplified Arabic" w:cs="Simplified Arabic"/>
          <w:b/>
          <w:bCs/>
          <w:color w:val="000000" w:themeColor="text1"/>
          <w:sz w:val="32"/>
          <w:szCs w:val="32"/>
          <w:rtl/>
        </w:rPr>
        <w:t xml:space="preserve"> التحديات والانتقادات الموجَّهة لجهود خفض الإلغاءات</w:t>
      </w:r>
      <w:bookmarkEnd w:id="62"/>
    </w:p>
    <w:p w14:paraId="09DFEF15" w14:textId="77777777" w:rsidR="00414176" w:rsidRPr="000C589F" w:rsidRDefault="00414176" w:rsidP="0060225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C589F">
        <w:rPr>
          <w:rFonts w:ascii="Simplified Arabic" w:hAnsi="Simplified Arabic" w:cs="Simplified Arabic"/>
          <w:color w:val="000000" w:themeColor="text1"/>
          <w:sz w:val="28"/>
          <w:szCs w:val="28"/>
          <w:rtl/>
        </w:rPr>
        <w:t>على الرغم من المكاسب التي تُحقّقها استراتيجيات خفض الإلغاءات، فإنها تواجه تحديات متعددة. ويُشير</w:t>
      </w:r>
      <w:r w:rsidRPr="000C589F">
        <w:rPr>
          <w:rFonts w:ascii="Simplified Arabic" w:hAnsi="Simplified Arabic" w:cs="Simplified Arabic"/>
          <w:color w:val="000000" w:themeColor="text1"/>
          <w:sz w:val="28"/>
          <w:szCs w:val="28"/>
        </w:rPr>
        <w:t xml:space="preserve"> Nasr et al. (2025) </w:t>
      </w:r>
      <w:r w:rsidRPr="000C589F">
        <w:rPr>
          <w:rFonts w:ascii="Simplified Arabic" w:hAnsi="Simplified Arabic" w:cs="Simplified Arabic"/>
          <w:color w:val="000000" w:themeColor="text1"/>
          <w:sz w:val="28"/>
          <w:szCs w:val="28"/>
          <w:rtl/>
        </w:rPr>
        <w:t>إلى أنّ من أبرز التحديات تفاوت إدراكات الكوادر العاملة لأسباب الإلغاء، وأنّ سدّ هذه الفجوة الإدراكية يُمثّل شرطًا لنجاح التدخلات. ويُضيف</w:t>
      </w:r>
      <w:r w:rsidRPr="000C589F">
        <w:rPr>
          <w:rFonts w:ascii="Simplified Arabic" w:hAnsi="Simplified Arabic" w:cs="Simplified Arabic"/>
          <w:color w:val="000000" w:themeColor="text1"/>
          <w:sz w:val="28"/>
          <w:szCs w:val="28"/>
        </w:rPr>
        <w:t xml:space="preserve"> Mattingly et al. (2021) </w:t>
      </w:r>
      <w:r w:rsidRPr="000C589F">
        <w:rPr>
          <w:rFonts w:ascii="Simplified Arabic" w:hAnsi="Simplified Arabic" w:cs="Simplified Arabic"/>
          <w:color w:val="000000" w:themeColor="text1"/>
          <w:sz w:val="28"/>
          <w:szCs w:val="28"/>
          <w:rtl/>
        </w:rPr>
        <w:t>أنّ التحديات تتعاظم في زمن الأزمات، حين تتقاطع متطلبات الصحة العامة مع متطلبات استمرارية الخدمة الجراحية، وأنّ بناء استراتيجيات مرنة يُمثّل ضرورةً مؤسسيةً</w:t>
      </w:r>
      <w:r w:rsidRPr="000C589F">
        <w:rPr>
          <w:rFonts w:ascii="Simplified Arabic" w:hAnsi="Simplified Arabic" w:cs="Simplified Arabic"/>
          <w:color w:val="000000" w:themeColor="text1"/>
          <w:sz w:val="28"/>
          <w:szCs w:val="28"/>
        </w:rPr>
        <w:t>.</w:t>
      </w:r>
    </w:p>
    <w:p w14:paraId="10C2D448" w14:textId="60845469" w:rsidR="00EF32E6" w:rsidRPr="000C589F" w:rsidRDefault="00602256" w:rsidP="008D5943">
      <w:pPr>
        <w:jc w:val="center"/>
        <w:outlineLvl w:val="0"/>
        <w:rPr>
          <w:rFonts w:ascii="Simplified Arabic" w:hAnsi="Simplified Arabic" w:cs="Simplified Arabic"/>
          <w:b/>
          <w:bCs/>
          <w:color w:val="000000" w:themeColor="text1"/>
          <w:szCs w:val="28"/>
          <w:rtl/>
        </w:rPr>
        <w:sectPr w:rsidR="00EF32E6" w:rsidRPr="000C589F" w:rsidSect="00AE519C">
          <w:footerReference w:type="default" r:id="rId9"/>
          <w:pgSz w:w="11906" w:h="16838" w:code="9"/>
          <w:pgMar w:top="1134" w:right="1701" w:bottom="1134" w:left="1134" w:header="720" w:footer="720" w:gutter="0"/>
          <w:pgNumType w:start="1"/>
          <w:cols w:space="708"/>
          <w:bidi/>
          <w:rtlGutter/>
          <w:docGrid w:linePitch="360"/>
        </w:sectPr>
      </w:pPr>
      <w:r w:rsidRPr="000C589F">
        <w:rPr>
          <w:rFonts w:ascii="Simplified Arabic" w:hAnsi="Simplified Arabic" w:cs="Simplified Arabic"/>
          <w:b/>
          <w:bCs/>
          <w:color w:val="000000" w:themeColor="text1"/>
          <w:sz w:val="40"/>
          <w:szCs w:val="40"/>
          <w:rtl/>
        </w:rPr>
        <w:br w:type="page"/>
      </w:r>
      <w:bookmarkStart w:id="63" w:name="_GoBack"/>
      <w:bookmarkEnd w:id="30"/>
      <w:bookmarkEnd w:id="63"/>
    </w:p>
    <w:p w14:paraId="29D4231B" w14:textId="5FFEB00E" w:rsidR="0081623B" w:rsidRPr="000C589F" w:rsidRDefault="00E27D3B" w:rsidP="00AE519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C589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3C8F0EB">
            <wp:simplePos x="0" y="0"/>
            <wp:positionH relativeFrom="column">
              <wp:posOffset>4451985</wp:posOffset>
            </wp:positionH>
            <wp:positionV relativeFrom="paragraph">
              <wp:posOffset>0</wp:posOffset>
            </wp:positionV>
            <wp:extent cx="1431925" cy="1325880"/>
            <wp:effectExtent l="0" t="0" r="0" b="7620"/>
            <wp:wrapTight wrapText="bothSides">
              <wp:wrapPolygon edited="0">
                <wp:start x="0" y="0"/>
                <wp:lineTo x="0" y="21414"/>
                <wp:lineTo x="21265" y="21414"/>
                <wp:lineTo x="212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1925" cy="132588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C589F">
        <w:rPr>
          <w:rFonts w:asciiTheme="majorBidi" w:eastAsia="Calibri" w:hAnsiTheme="majorBidi" w:cstheme="majorBidi"/>
          <w:b/>
          <w:bCs/>
          <w:color w:val="000000" w:themeColor="text1"/>
          <w:kern w:val="0"/>
          <w:sz w:val="32"/>
          <w:szCs w:val="32"/>
          <w:lang w:bidi="ar-EG"/>
          <w14:ligatures w14:val="none"/>
        </w:rPr>
        <w:t>Mid</w:t>
      </w:r>
      <w:r w:rsidR="000D353F" w:rsidRPr="000C589F">
        <w:rPr>
          <w:rFonts w:asciiTheme="majorBidi" w:eastAsia="Calibri" w:hAnsiTheme="majorBidi" w:cstheme="majorBidi"/>
          <w:b/>
          <w:bCs/>
          <w:color w:val="000000" w:themeColor="text1"/>
          <w:kern w:val="0"/>
          <w:sz w:val="32"/>
          <w:szCs w:val="32"/>
          <w:lang w:bidi="ar-EG"/>
          <w14:ligatures w14:val="none"/>
        </w:rPr>
        <w:t xml:space="preserve"> </w:t>
      </w:r>
      <w:r w:rsidR="0081623B" w:rsidRPr="000C589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C589F" w:rsidRDefault="0081623B" w:rsidP="00AE519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C589F">
        <w:rPr>
          <w:rFonts w:asciiTheme="majorBidi" w:eastAsia="Calibri" w:hAnsiTheme="majorBidi" w:cstheme="majorBidi"/>
          <w:b/>
          <w:bCs/>
          <w:color w:val="000000" w:themeColor="text1"/>
          <w:kern w:val="0"/>
          <w:sz w:val="32"/>
          <w:szCs w:val="32"/>
          <w:lang w:bidi="ar-EG"/>
          <w14:ligatures w14:val="none"/>
        </w:rPr>
        <w:t>College of Management</w:t>
      </w:r>
    </w:p>
    <w:p w14:paraId="2E25706A" w14:textId="77777777" w:rsidR="000361B5" w:rsidRPr="000C589F" w:rsidRDefault="000361B5" w:rsidP="00AE519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C589F">
        <w:rPr>
          <w:rFonts w:asciiTheme="majorBidi" w:eastAsia="Calibri" w:hAnsiTheme="majorBidi" w:cstheme="majorBidi"/>
          <w:b/>
          <w:bCs/>
          <w:color w:val="000000" w:themeColor="text1"/>
          <w:kern w:val="0"/>
          <w:sz w:val="32"/>
          <w:szCs w:val="32"/>
          <w:lang w:bidi="ar-EG"/>
          <w14:ligatures w14:val="none"/>
        </w:rPr>
        <w:t xml:space="preserve">Master of Health Administration </w:t>
      </w:r>
    </w:p>
    <w:p w14:paraId="7F1106F3" w14:textId="77777777" w:rsidR="00E27D3B" w:rsidRPr="000C589F" w:rsidRDefault="00E27D3B" w:rsidP="00AE519C">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541A1F7D" w14:textId="5B6642A6" w:rsidR="00A44F55" w:rsidRPr="000C589F" w:rsidRDefault="000361B5" w:rsidP="00EF32E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C589F">
        <w:rPr>
          <w:rFonts w:asciiTheme="majorBidi" w:eastAsia="Calibri" w:hAnsiTheme="majorBidi" w:cstheme="majorBidi"/>
          <w:b/>
          <w:bCs/>
          <w:color w:val="000000" w:themeColor="text1"/>
          <w:kern w:val="0"/>
          <w:sz w:val="40"/>
          <w:szCs w:val="40"/>
          <w:lang w:bidi="ar-EG"/>
          <w14:ligatures w14:val="none"/>
        </w:rPr>
        <w:t>The Impact of Bed Capacity Management on Reducing Cancellations and Increasing the Number of Surgeries Completed Daily: An Applied Study on Orthopedic Surgery Departments in Makkah Al-Mukarramah</w:t>
      </w:r>
    </w:p>
    <w:p w14:paraId="170A6CD3" w14:textId="77777777" w:rsidR="00A44F55" w:rsidRPr="000C589F" w:rsidRDefault="00A44F55" w:rsidP="00AE519C">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4532F5F" w14:textId="0936D15C" w:rsidR="000D353F" w:rsidRPr="000C589F" w:rsidRDefault="000D353F" w:rsidP="00EF32E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0C589F">
        <w:rPr>
          <w:rFonts w:asciiTheme="majorBidi" w:eastAsia="Calibri" w:hAnsiTheme="majorBidi" w:cstheme="majorBidi"/>
          <w:b/>
          <w:bCs/>
          <w:color w:val="000000" w:themeColor="text1"/>
          <w:kern w:val="0"/>
          <w:sz w:val="36"/>
          <w:szCs w:val="36"/>
          <w:lang w:bidi="ar-EG"/>
          <w14:ligatures w14:val="none"/>
        </w:rPr>
        <w:t>Prepared by:</w:t>
      </w:r>
    </w:p>
    <w:p w14:paraId="4324CC4A" w14:textId="77777777" w:rsidR="00EF32E6" w:rsidRPr="000C589F" w:rsidRDefault="00EF32E6" w:rsidP="00EF32E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0F53B821" w14:textId="77777777" w:rsidR="00EF32E6" w:rsidRPr="000C589F" w:rsidRDefault="00EF32E6" w:rsidP="00EF32E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C589F" w:rsidRPr="000C589F" w14:paraId="3B41B9D0" w14:textId="77777777" w:rsidTr="00B013B1">
        <w:tc>
          <w:tcPr>
            <w:tcW w:w="4530" w:type="dxa"/>
          </w:tcPr>
          <w:p w14:paraId="191FEE2E" w14:textId="77777777" w:rsidR="00EF32E6" w:rsidRPr="000C589F" w:rsidRDefault="00EF32E6" w:rsidP="00B013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C589F">
              <w:rPr>
                <w:rFonts w:asciiTheme="majorBidi" w:eastAsia="Calibri" w:hAnsiTheme="majorBidi" w:cstheme="majorBidi"/>
                <w:b/>
                <w:bCs/>
                <w:color w:val="000000" w:themeColor="text1"/>
                <w:kern w:val="0"/>
                <w:sz w:val="36"/>
                <w:szCs w:val="36"/>
                <w:lang w:bidi="ar-EG"/>
                <w14:ligatures w14:val="none"/>
              </w:rPr>
              <w:t>Main supervisor</w:t>
            </w:r>
            <w:r w:rsidRPr="000C589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9012051" w14:textId="77777777" w:rsidR="00EF32E6" w:rsidRPr="000C589F" w:rsidRDefault="00EF32E6" w:rsidP="00B013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C589F">
              <w:rPr>
                <w:rFonts w:asciiTheme="majorBidi" w:eastAsia="Calibri" w:hAnsiTheme="majorBidi" w:cstheme="majorBidi"/>
                <w:b/>
                <w:bCs/>
                <w:color w:val="000000" w:themeColor="text1"/>
                <w:kern w:val="0"/>
                <w:sz w:val="36"/>
                <w:szCs w:val="36"/>
                <w:lang w:bidi="ar-EG"/>
                <w14:ligatures w14:val="none"/>
              </w:rPr>
              <w:t>Second supervisor</w:t>
            </w:r>
            <w:r w:rsidRPr="000C589F">
              <w:rPr>
                <w:rFonts w:asciiTheme="majorBidi" w:eastAsia="Calibri" w:hAnsiTheme="majorBidi" w:cstheme="majorBidi"/>
                <w:b/>
                <w:bCs/>
                <w:color w:val="000000" w:themeColor="text1"/>
                <w:kern w:val="0"/>
                <w:sz w:val="36"/>
                <w:szCs w:val="36"/>
                <w:rtl/>
                <w:lang w:bidi="ar-EG"/>
                <w14:ligatures w14:val="none"/>
              </w:rPr>
              <w:t>/</w:t>
            </w:r>
          </w:p>
        </w:tc>
      </w:tr>
      <w:tr w:rsidR="000C589F" w:rsidRPr="000C589F" w14:paraId="78F1CB2E" w14:textId="77777777" w:rsidTr="00B013B1">
        <w:tc>
          <w:tcPr>
            <w:tcW w:w="4530" w:type="dxa"/>
          </w:tcPr>
          <w:p w14:paraId="63823A1A" w14:textId="77777777" w:rsidR="00EF32E6" w:rsidRPr="000C589F" w:rsidRDefault="00EF32E6" w:rsidP="00B013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C589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5FBD39C" w14:textId="77777777" w:rsidR="00EF32E6" w:rsidRPr="000C589F" w:rsidRDefault="00EF32E6" w:rsidP="00B013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C589F">
              <w:rPr>
                <w:rFonts w:asciiTheme="majorBidi" w:eastAsia="Calibri" w:hAnsiTheme="majorBidi" w:cstheme="majorBidi"/>
                <w:color w:val="000000" w:themeColor="text1"/>
                <w:kern w:val="0"/>
                <w:sz w:val="36"/>
                <w:szCs w:val="36"/>
                <w:lang w:bidi="ar-EG"/>
                <w14:ligatures w14:val="none"/>
              </w:rPr>
              <w:t>Dr. Fayez Jarad</w:t>
            </w:r>
          </w:p>
        </w:tc>
      </w:tr>
    </w:tbl>
    <w:p w14:paraId="6F0C96CC" w14:textId="77777777" w:rsidR="00EF32E6" w:rsidRPr="000C589F" w:rsidRDefault="00EF32E6" w:rsidP="00EF32E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C589F">
        <w:rPr>
          <w:rFonts w:asciiTheme="majorBidi" w:eastAsia="Calibri" w:hAnsiTheme="majorBidi" w:cstheme="majorBidi"/>
          <w:color w:val="000000" w:themeColor="text1"/>
          <w:kern w:val="0"/>
          <w:sz w:val="36"/>
          <w:szCs w:val="36"/>
          <w:rtl/>
          <w:lang w:bidi="ar-EG"/>
          <w14:ligatures w14:val="none"/>
        </w:rPr>
        <w:t>1448 – 2026</w:t>
      </w:r>
    </w:p>
    <w:p w14:paraId="75BE1B08" w14:textId="77777777" w:rsidR="00EF32E6" w:rsidRPr="000C589F" w:rsidRDefault="00EF32E6" w:rsidP="00EF32E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ECF6268" w14:textId="77777777" w:rsidR="00EF32E6" w:rsidRPr="000C589F" w:rsidRDefault="00EF32E6" w:rsidP="00EF32E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39BC751E" w14:textId="77777777" w:rsidR="00B63D69" w:rsidRPr="000C589F" w:rsidRDefault="00B63D69" w:rsidP="00AE519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469EC49" w:rsidR="009125CE" w:rsidRPr="000C589F" w:rsidRDefault="009125CE" w:rsidP="00AE519C">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C589F" w:rsidSect="00AE519C">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3750A" w14:textId="77777777" w:rsidR="00314F41" w:rsidRDefault="00314F41" w:rsidP="009125CE">
      <w:pPr>
        <w:spacing w:after="0" w:line="240" w:lineRule="auto"/>
      </w:pPr>
      <w:r>
        <w:separator/>
      </w:r>
    </w:p>
  </w:endnote>
  <w:endnote w:type="continuationSeparator" w:id="0">
    <w:p w14:paraId="274910E2" w14:textId="77777777" w:rsidR="00314F41" w:rsidRDefault="00314F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02542703"/>
      <w:docPartObj>
        <w:docPartGallery w:val="Page Numbers (Bottom of Page)"/>
        <w:docPartUnique/>
      </w:docPartObj>
    </w:sdtPr>
    <w:sdtContent>
      <w:p w14:paraId="43CE86C9" w14:textId="77777777" w:rsidR="00B013B1" w:rsidRDefault="00B013B1">
        <w:pPr>
          <w:pStyle w:val="Footer"/>
        </w:pPr>
        <w:r>
          <w:rPr>
            <w:noProof/>
          </w:rPr>
          <mc:AlternateContent>
            <mc:Choice Requires="wps">
              <w:drawing>
                <wp:anchor distT="0" distB="0" distL="114300" distR="114300" simplePos="0" relativeHeight="251663360" behindDoc="0" locked="0" layoutInCell="1" allowOverlap="1" wp14:anchorId="6515A343" wp14:editId="0A251DCE">
                  <wp:simplePos x="0" y="0"/>
                  <wp:positionH relativeFrom="margin">
                    <wp:posOffset>2598420</wp:posOffset>
                  </wp:positionH>
                  <wp:positionV relativeFrom="bottomMargin">
                    <wp:posOffset>246380</wp:posOffset>
                  </wp:positionV>
                  <wp:extent cx="551815" cy="350520"/>
                  <wp:effectExtent l="19050" t="19050" r="14605" b="1143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50520"/>
                          </a:xfrm>
                          <a:prstGeom prst="bracketPair">
                            <a:avLst>
                              <a:gd name="adj" fmla="val 16667"/>
                            </a:avLst>
                          </a:prstGeom>
                          <a:solidFill>
                            <a:srgbClr val="FFFFFF"/>
                          </a:solidFill>
                          <a:ln w="28575">
                            <a:solidFill>
                              <a:srgbClr val="808080"/>
                            </a:solidFill>
                            <a:round/>
                            <a:headEnd/>
                            <a:tailEnd/>
                          </a:ln>
                        </wps:spPr>
                        <wps:txbx>
                          <w:txbxContent>
                            <w:p w14:paraId="1FD00B8D" w14:textId="77777777" w:rsidR="00B013B1" w:rsidRPr="00AE519C" w:rsidRDefault="00B013B1">
                              <w:pPr>
                                <w:jc w:val="center"/>
                                <w:rPr>
                                  <w:rFonts w:ascii="Simplified Arabic" w:hAnsi="Simplified Arabic" w:cs="Simplified Arabic"/>
                                  <w:b/>
                                  <w:bCs/>
                                  <w:sz w:val="24"/>
                                  <w:szCs w:val="24"/>
                                </w:rPr>
                              </w:pPr>
                              <w:r w:rsidRPr="00AE519C">
                                <w:rPr>
                                  <w:rFonts w:ascii="Simplified Arabic" w:hAnsi="Simplified Arabic" w:cs="Simplified Arabic"/>
                                  <w:b/>
                                  <w:bCs/>
                                  <w:sz w:val="24"/>
                                  <w:szCs w:val="24"/>
                                </w:rPr>
                                <w:fldChar w:fldCharType="begin"/>
                              </w:r>
                              <w:r w:rsidRPr="00AE519C">
                                <w:rPr>
                                  <w:rFonts w:ascii="Simplified Arabic" w:hAnsi="Simplified Arabic" w:cs="Simplified Arabic"/>
                                  <w:b/>
                                  <w:bCs/>
                                  <w:sz w:val="24"/>
                                  <w:szCs w:val="24"/>
                                </w:rPr>
                                <w:instrText xml:space="preserve"> PAGE    \* MERGEFORMAT </w:instrText>
                              </w:r>
                              <w:r w:rsidRPr="00AE519C">
                                <w:rPr>
                                  <w:rFonts w:ascii="Simplified Arabic" w:hAnsi="Simplified Arabic" w:cs="Simplified Arabic"/>
                                  <w:b/>
                                  <w:bCs/>
                                  <w:sz w:val="24"/>
                                  <w:szCs w:val="24"/>
                                </w:rPr>
                                <w:fldChar w:fldCharType="separate"/>
                              </w:r>
                              <w:r w:rsidR="008D5943">
                                <w:rPr>
                                  <w:rFonts w:ascii="Simplified Arabic" w:hAnsi="Simplified Arabic" w:cs="Simplified Arabic"/>
                                  <w:b/>
                                  <w:bCs/>
                                  <w:noProof/>
                                  <w:sz w:val="24"/>
                                  <w:szCs w:val="24"/>
                                  <w:rtl/>
                                </w:rPr>
                                <w:t>40</w:t>
                              </w:r>
                              <w:r w:rsidRPr="00AE519C">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515A34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27.6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" filled="t" strokecolor="gray" strokeweight="2.25pt">
                  <v:textbox inset=",0,,0">
                    <w:txbxContent>
                      <w:p w14:paraId="1FD00B8D" w14:textId="77777777" w:rsidR="00B013B1" w:rsidRPr="00AE519C" w:rsidRDefault="00B013B1">
                        <w:pPr>
                          <w:jc w:val="center"/>
                          <w:rPr>
                            <w:rFonts w:ascii="Simplified Arabic" w:hAnsi="Simplified Arabic" w:cs="Simplified Arabic"/>
                            <w:b/>
                            <w:bCs/>
                            <w:sz w:val="24"/>
                            <w:szCs w:val="24"/>
                          </w:rPr>
                        </w:pPr>
                        <w:r w:rsidRPr="00AE519C">
                          <w:rPr>
                            <w:rFonts w:ascii="Simplified Arabic" w:hAnsi="Simplified Arabic" w:cs="Simplified Arabic"/>
                            <w:b/>
                            <w:bCs/>
                            <w:sz w:val="24"/>
                            <w:szCs w:val="24"/>
                          </w:rPr>
                          <w:fldChar w:fldCharType="begin"/>
                        </w:r>
                        <w:r w:rsidRPr="00AE519C">
                          <w:rPr>
                            <w:rFonts w:ascii="Simplified Arabic" w:hAnsi="Simplified Arabic" w:cs="Simplified Arabic"/>
                            <w:b/>
                            <w:bCs/>
                            <w:sz w:val="24"/>
                            <w:szCs w:val="24"/>
                          </w:rPr>
                          <w:instrText xml:space="preserve"> PAGE    \* MERGEFORMAT </w:instrText>
                        </w:r>
                        <w:r w:rsidRPr="00AE519C">
                          <w:rPr>
                            <w:rFonts w:ascii="Simplified Arabic" w:hAnsi="Simplified Arabic" w:cs="Simplified Arabic"/>
                            <w:b/>
                            <w:bCs/>
                            <w:sz w:val="24"/>
                            <w:szCs w:val="24"/>
                          </w:rPr>
                          <w:fldChar w:fldCharType="separate"/>
                        </w:r>
                        <w:r w:rsidR="008D5943">
                          <w:rPr>
                            <w:rFonts w:ascii="Simplified Arabic" w:hAnsi="Simplified Arabic" w:cs="Simplified Arabic"/>
                            <w:b/>
                            <w:bCs/>
                            <w:noProof/>
                            <w:sz w:val="24"/>
                            <w:szCs w:val="24"/>
                            <w:rtl/>
                          </w:rPr>
                          <w:t>40</w:t>
                        </w:r>
                        <w:r w:rsidRPr="00AE519C">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CF520DB" wp14:editId="72FA5429">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B28DF39"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3550B" w14:textId="39A89BB3" w:rsidR="00B013B1" w:rsidRDefault="00B013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7E8031" w14:textId="77777777" w:rsidR="00314F41" w:rsidRDefault="00314F41" w:rsidP="009125CE">
      <w:pPr>
        <w:spacing w:after="0" w:line="240" w:lineRule="auto"/>
      </w:pPr>
      <w:r>
        <w:separator/>
      </w:r>
    </w:p>
  </w:footnote>
  <w:footnote w:type="continuationSeparator" w:id="0">
    <w:p w14:paraId="1D880742" w14:textId="77777777" w:rsidR="00314F41" w:rsidRDefault="00314F4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1781A"/>
    <w:multiLevelType w:val="multilevel"/>
    <w:tmpl w:val="C72446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B5D74"/>
    <w:multiLevelType w:val="multilevel"/>
    <w:tmpl w:val="DC623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162182"/>
    <w:multiLevelType w:val="multilevel"/>
    <w:tmpl w:val="C72446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0A2877"/>
    <w:multiLevelType w:val="hybridMultilevel"/>
    <w:tmpl w:val="307C74C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DB6943"/>
    <w:multiLevelType w:val="multilevel"/>
    <w:tmpl w:val="E2B83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D334F7"/>
    <w:multiLevelType w:val="multilevel"/>
    <w:tmpl w:val="39083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40029A"/>
    <w:multiLevelType w:val="hybridMultilevel"/>
    <w:tmpl w:val="F2BCB4E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CD0F5F"/>
    <w:multiLevelType w:val="multilevel"/>
    <w:tmpl w:val="D7988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A359CD"/>
    <w:multiLevelType w:val="hybridMultilevel"/>
    <w:tmpl w:val="6D747204"/>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30945764"/>
    <w:multiLevelType w:val="multilevel"/>
    <w:tmpl w:val="C72446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54007B"/>
    <w:multiLevelType w:val="multilevel"/>
    <w:tmpl w:val="C72446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C77F99"/>
    <w:multiLevelType w:val="multilevel"/>
    <w:tmpl w:val="A5040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FA300C"/>
    <w:multiLevelType w:val="hybridMultilevel"/>
    <w:tmpl w:val="05641E7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914DFC"/>
    <w:multiLevelType w:val="multilevel"/>
    <w:tmpl w:val="DF6A7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5B2A57"/>
    <w:multiLevelType w:val="multilevel"/>
    <w:tmpl w:val="15A6D6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B35E2D"/>
    <w:multiLevelType w:val="hybridMultilevel"/>
    <w:tmpl w:val="6C92B032"/>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52196D"/>
    <w:multiLevelType w:val="hybridMultilevel"/>
    <w:tmpl w:val="56CAD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580237"/>
    <w:multiLevelType w:val="multilevel"/>
    <w:tmpl w:val="C72446BA"/>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B05399B"/>
    <w:multiLevelType w:val="multilevel"/>
    <w:tmpl w:val="7ADE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8A57585"/>
    <w:multiLevelType w:val="hybridMultilevel"/>
    <w:tmpl w:val="9FD4FA2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4244BC"/>
    <w:multiLevelType w:val="hybridMultilevel"/>
    <w:tmpl w:val="24F8A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FD58A7"/>
    <w:multiLevelType w:val="multilevel"/>
    <w:tmpl w:val="6896B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nsid w:val="67015BA7"/>
    <w:multiLevelType w:val="hybridMultilevel"/>
    <w:tmpl w:val="B17A4A8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DC20EF"/>
    <w:multiLevelType w:val="hybridMultilevel"/>
    <w:tmpl w:val="47C4A052"/>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6D674C7D"/>
    <w:multiLevelType w:val="multilevel"/>
    <w:tmpl w:val="15A6D6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7B52C7"/>
    <w:multiLevelType w:val="hybridMultilevel"/>
    <w:tmpl w:val="BC2433D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767CEA"/>
    <w:multiLevelType w:val="multilevel"/>
    <w:tmpl w:val="C72446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2"/>
  </w:num>
  <w:num w:numId="3">
    <w:abstractNumId w:val="31"/>
  </w:num>
  <w:num w:numId="4">
    <w:abstractNumId w:val="32"/>
  </w:num>
  <w:num w:numId="5">
    <w:abstractNumId w:val="11"/>
  </w:num>
  <w:num w:numId="6">
    <w:abstractNumId w:val="25"/>
  </w:num>
  <w:num w:numId="7">
    <w:abstractNumId w:val="21"/>
  </w:num>
  <w:num w:numId="8">
    <w:abstractNumId w:val="26"/>
  </w:num>
  <w:num w:numId="9">
    <w:abstractNumId w:val="13"/>
  </w:num>
  <w:num w:numId="10">
    <w:abstractNumId w:val="4"/>
  </w:num>
  <w:num w:numId="11">
    <w:abstractNumId w:val="1"/>
  </w:num>
  <w:num w:numId="12">
    <w:abstractNumId w:val="5"/>
  </w:num>
  <w:num w:numId="13">
    <w:abstractNumId w:val="15"/>
  </w:num>
  <w:num w:numId="14">
    <w:abstractNumId w:val="17"/>
  </w:num>
  <w:num w:numId="15">
    <w:abstractNumId w:val="33"/>
  </w:num>
  <w:num w:numId="16">
    <w:abstractNumId w:val="28"/>
  </w:num>
  <w:num w:numId="17">
    <w:abstractNumId w:val="6"/>
  </w:num>
  <w:num w:numId="18">
    <w:abstractNumId w:val="9"/>
  </w:num>
  <w:num w:numId="19">
    <w:abstractNumId w:val="29"/>
  </w:num>
  <w:num w:numId="20">
    <w:abstractNumId w:val="19"/>
  </w:num>
  <w:num w:numId="21">
    <w:abstractNumId w:val="8"/>
  </w:num>
  <w:num w:numId="22">
    <w:abstractNumId w:val="24"/>
  </w:num>
  <w:num w:numId="23">
    <w:abstractNumId w:val="30"/>
  </w:num>
  <w:num w:numId="24">
    <w:abstractNumId w:val="16"/>
  </w:num>
  <w:num w:numId="25">
    <w:abstractNumId w:val="34"/>
  </w:num>
  <w:num w:numId="26">
    <w:abstractNumId w:val="10"/>
  </w:num>
  <w:num w:numId="27">
    <w:abstractNumId w:val="0"/>
  </w:num>
  <w:num w:numId="28">
    <w:abstractNumId w:val="7"/>
  </w:num>
  <w:num w:numId="29">
    <w:abstractNumId w:val="27"/>
  </w:num>
  <w:num w:numId="30">
    <w:abstractNumId w:val="12"/>
  </w:num>
  <w:num w:numId="31">
    <w:abstractNumId w:val="2"/>
  </w:num>
  <w:num w:numId="32">
    <w:abstractNumId w:val="20"/>
  </w:num>
  <w:num w:numId="33">
    <w:abstractNumId w:val="14"/>
  </w:num>
  <w:num w:numId="34">
    <w:abstractNumId w:val="23"/>
  </w:num>
  <w:num w:numId="3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361B5"/>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589F"/>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1E2E"/>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57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4F41"/>
    <w:rsid w:val="00323FD3"/>
    <w:rsid w:val="00331C80"/>
    <w:rsid w:val="00333749"/>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1417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2B80"/>
    <w:rsid w:val="005D5DB7"/>
    <w:rsid w:val="005E37C2"/>
    <w:rsid w:val="005E4AF3"/>
    <w:rsid w:val="005F2722"/>
    <w:rsid w:val="006020A6"/>
    <w:rsid w:val="0060225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166C"/>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55C6"/>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D5943"/>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4F55"/>
    <w:rsid w:val="00A4659A"/>
    <w:rsid w:val="00A50745"/>
    <w:rsid w:val="00A55EF3"/>
    <w:rsid w:val="00A57461"/>
    <w:rsid w:val="00A71BCE"/>
    <w:rsid w:val="00A74F76"/>
    <w:rsid w:val="00A756EB"/>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E519C"/>
    <w:rsid w:val="00AF24F6"/>
    <w:rsid w:val="00AF31BE"/>
    <w:rsid w:val="00AF46DF"/>
    <w:rsid w:val="00AF49EF"/>
    <w:rsid w:val="00B013B1"/>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3D69"/>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03D4"/>
    <w:rsid w:val="00D043D4"/>
    <w:rsid w:val="00D1053F"/>
    <w:rsid w:val="00D10F38"/>
    <w:rsid w:val="00D1454F"/>
    <w:rsid w:val="00D216C5"/>
    <w:rsid w:val="00D21F9B"/>
    <w:rsid w:val="00D22171"/>
    <w:rsid w:val="00D274B5"/>
    <w:rsid w:val="00D27AED"/>
    <w:rsid w:val="00D30845"/>
    <w:rsid w:val="00D3210F"/>
    <w:rsid w:val="00D32470"/>
    <w:rsid w:val="00D417B5"/>
    <w:rsid w:val="00D52462"/>
    <w:rsid w:val="00D5653F"/>
    <w:rsid w:val="00D60743"/>
    <w:rsid w:val="00D92BC0"/>
    <w:rsid w:val="00D92F77"/>
    <w:rsid w:val="00D965B5"/>
    <w:rsid w:val="00DA0EBA"/>
    <w:rsid w:val="00DA1C1B"/>
    <w:rsid w:val="00DA3C05"/>
    <w:rsid w:val="00DA4EAA"/>
    <w:rsid w:val="00DA61E2"/>
    <w:rsid w:val="00DA6E40"/>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2E6"/>
    <w:rsid w:val="00EF369D"/>
    <w:rsid w:val="00EF5F43"/>
    <w:rsid w:val="00F00FB8"/>
    <w:rsid w:val="00F10C89"/>
    <w:rsid w:val="00F11345"/>
    <w:rsid w:val="00F12EEC"/>
    <w:rsid w:val="00F131B1"/>
    <w:rsid w:val="00F1646F"/>
    <w:rsid w:val="00F215E2"/>
    <w:rsid w:val="00F30BD7"/>
    <w:rsid w:val="00F310F2"/>
    <w:rsid w:val="00F33937"/>
    <w:rsid w:val="00F3442D"/>
    <w:rsid w:val="00F450D5"/>
    <w:rsid w:val="00F540A1"/>
    <w:rsid w:val="00F546CE"/>
    <w:rsid w:val="00F563E2"/>
    <w:rsid w:val="00F60BB7"/>
    <w:rsid w:val="00F66109"/>
    <w:rsid w:val="00F72CBB"/>
    <w:rsid w:val="00F733B2"/>
    <w:rsid w:val="00F73C22"/>
    <w:rsid w:val="00F86421"/>
    <w:rsid w:val="00F86761"/>
    <w:rsid w:val="00F91846"/>
    <w:rsid w:val="00F95872"/>
    <w:rsid w:val="00FA0A03"/>
    <w:rsid w:val="00FA1A1C"/>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0361B5"/>
    <w:rPr>
      <w:i/>
      <w:iCs/>
    </w:rPr>
  </w:style>
  <w:style w:type="table" w:styleId="GridTable4-Accent1">
    <w:name w:val="Grid Table 4 Accent 1"/>
    <w:basedOn w:val="TableNormal"/>
    <w:uiPriority w:val="49"/>
    <w:rsid w:val="00AE519C"/>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5">
    <w:name w:val="Plain Table 5"/>
    <w:basedOn w:val="TableNormal"/>
    <w:uiPriority w:val="45"/>
    <w:rsid w:val="00602256"/>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F131B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0226">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495073">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0225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03336250">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3972739">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49628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6136565">
      <w:bodyDiv w:val="1"/>
      <w:marLeft w:val="0"/>
      <w:marRight w:val="0"/>
      <w:marTop w:val="0"/>
      <w:marBottom w:val="0"/>
      <w:divBdr>
        <w:top w:val="none" w:sz="0" w:space="0" w:color="auto"/>
        <w:left w:val="none" w:sz="0" w:space="0" w:color="auto"/>
        <w:bottom w:val="none" w:sz="0" w:space="0" w:color="auto"/>
        <w:right w:val="none" w:sz="0" w:space="0" w:color="auto"/>
      </w:divBdr>
      <w:divsChild>
        <w:div w:id="8682641">
          <w:marLeft w:val="0"/>
          <w:marRight w:val="0"/>
          <w:marTop w:val="0"/>
          <w:marBottom w:val="0"/>
          <w:divBdr>
            <w:top w:val="none" w:sz="0" w:space="0" w:color="auto"/>
            <w:left w:val="none" w:sz="0" w:space="0" w:color="auto"/>
            <w:bottom w:val="none" w:sz="0" w:space="0" w:color="auto"/>
            <w:right w:val="none" w:sz="0" w:space="0" w:color="auto"/>
          </w:divBdr>
          <w:divsChild>
            <w:div w:id="813760725">
              <w:marLeft w:val="0"/>
              <w:marRight w:val="0"/>
              <w:marTop w:val="0"/>
              <w:marBottom w:val="0"/>
              <w:divBdr>
                <w:top w:val="none" w:sz="0" w:space="0" w:color="auto"/>
                <w:left w:val="none" w:sz="0" w:space="0" w:color="auto"/>
                <w:bottom w:val="none" w:sz="0" w:space="0" w:color="auto"/>
                <w:right w:val="none" w:sz="0" w:space="0" w:color="auto"/>
              </w:divBdr>
              <w:divsChild>
                <w:div w:id="658120681">
                  <w:marLeft w:val="0"/>
                  <w:marRight w:val="0"/>
                  <w:marTop w:val="0"/>
                  <w:marBottom w:val="0"/>
                  <w:divBdr>
                    <w:top w:val="none" w:sz="0" w:space="0" w:color="auto"/>
                    <w:left w:val="none" w:sz="0" w:space="0" w:color="auto"/>
                    <w:bottom w:val="none" w:sz="0" w:space="0" w:color="auto"/>
                    <w:right w:val="none" w:sz="0" w:space="0" w:color="auto"/>
                  </w:divBdr>
                  <w:divsChild>
                    <w:div w:id="1037046940">
                      <w:marLeft w:val="0"/>
                      <w:marRight w:val="0"/>
                      <w:marTop w:val="0"/>
                      <w:marBottom w:val="0"/>
                      <w:divBdr>
                        <w:top w:val="none" w:sz="0" w:space="0" w:color="auto"/>
                        <w:left w:val="none" w:sz="0" w:space="0" w:color="auto"/>
                        <w:bottom w:val="none" w:sz="0" w:space="0" w:color="auto"/>
                        <w:right w:val="none" w:sz="0" w:space="0" w:color="auto"/>
                      </w:divBdr>
                      <w:divsChild>
                        <w:div w:id="287395830">
                          <w:marLeft w:val="0"/>
                          <w:marRight w:val="0"/>
                          <w:marTop w:val="0"/>
                          <w:marBottom w:val="0"/>
                          <w:divBdr>
                            <w:top w:val="none" w:sz="0" w:space="0" w:color="auto"/>
                            <w:left w:val="none" w:sz="0" w:space="0" w:color="auto"/>
                            <w:bottom w:val="none" w:sz="0" w:space="0" w:color="auto"/>
                            <w:right w:val="none" w:sz="0" w:space="0" w:color="auto"/>
                          </w:divBdr>
                          <w:divsChild>
                            <w:div w:id="1826358012">
                              <w:marLeft w:val="0"/>
                              <w:marRight w:val="0"/>
                              <w:marTop w:val="0"/>
                              <w:marBottom w:val="0"/>
                              <w:divBdr>
                                <w:top w:val="none" w:sz="0" w:space="0" w:color="auto"/>
                                <w:left w:val="none" w:sz="0" w:space="0" w:color="auto"/>
                                <w:bottom w:val="none" w:sz="0" w:space="0" w:color="auto"/>
                                <w:right w:val="none" w:sz="0" w:space="0" w:color="auto"/>
                              </w:divBdr>
                              <w:divsChild>
                                <w:div w:id="742530023">
                                  <w:marLeft w:val="0"/>
                                  <w:marRight w:val="0"/>
                                  <w:marTop w:val="0"/>
                                  <w:marBottom w:val="0"/>
                                  <w:divBdr>
                                    <w:top w:val="none" w:sz="0" w:space="0" w:color="auto"/>
                                    <w:left w:val="none" w:sz="0" w:space="0" w:color="auto"/>
                                    <w:bottom w:val="none" w:sz="0" w:space="0" w:color="auto"/>
                                    <w:right w:val="none" w:sz="0" w:space="0" w:color="auto"/>
                                  </w:divBdr>
                                  <w:divsChild>
                                    <w:div w:id="128280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421085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8536005">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443684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4B5372-F660-411C-8BAF-4D71A3E7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10907</Words>
  <Characters>62175</Characters>
  <Application>Microsoft Office Word</Application>
  <DocSecurity>0</DocSecurity>
  <Lines>518</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2026-06-26T21:14:00Z</cp:lastPrinted>
  <dcterms:created xsi:type="dcterms:W3CDTF">2026-06-26T21:13:00Z</dcterms:created>
  <dcterms:modified xsi:type="dcterms:W3CDTF">2026-06-26T21:14:00Z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