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D1F20" w14:textId="77777777" w:rsidR="007730C7" w:rsidRPr="007730C7" w:rsidRDefault="007730C7" w:rsidP="007730C7">
      <w:pPr>
        <w:bidi/>
        <w:rPr>
          <w:rFonts w:ascii="Simplified Arabic" w:hAnsi="Simplified Arabic" w:cs="Simplified Arabic"/>
          <w:sz w:val="28"/>
          <w:szCs w:val="28"/>
          <w:rtl/>
        </w:rPr>
      </w:pPr>
    </w:p>
    <w:p w14:paraId="43D61F7F" w14:textId="77777777" w:rsidR="007730C7" w:rsidRDefault="007730C7" w:rsidP="007730C7">
      <w:pPr>
        <w:bidi/>
        <w:rPr>
          <w:rFonts w:ascii="Simplified Arabic" w:hAnsi="Simplified Arabic" w:cs="Simplified Arabic"/>
          <w:sz w:val="28"/>
          <w:szCs w:val="28"/>
        </w:rPr>
      </w:pPr>
    </w:p>
    <w:p w14:paraId="2A735964" w14:textId="77777777" w:rsidR="007730C7" w:rsidRDefault="007730C7" w:rsidP="007730C7">
      <w:pPr>
        <w:bidi/>
        <w:rPr>
          <w:rFonts w:ascii="Simplified Arabic" w:hAnsi="Simplified Arabic" w:cs="Simplified Arabic"/>
          <w:sz w:val="28"/>
          <w:szCs w:val="28"/>
        </w:rPr>
      </w:pPr>
    </w:p>
    <w:p w14:paraId="76D5C959" w14:textId="77777777" w:rsidR="007730C7" w:rsidRDefault="007730C7" w:rsidP="007730C7">
      <w:pPr>
        <w:bidi/>
        <w:jc w:val="center"/>
        <w:rPr>
          <w:rFonts w:ascii="Simplified Arabic" w:hAnsi="Simplified Arabic" w:cs="Simplified Arabic"/>
          <w:b/>
          <w:bCs/>
          <w:sz w:val="34"/>
          <w:szCs w:val="34"/>
        </w:rPr>
      </w:pPr>
    </w:p>
    <w:p w14:paraId="736F0E47" w14:textId="77777777" w:rsidR="007730C7" w:rsidRDefault="007730C7" w:rsidP="007730C7">
      <w:pPr>
        <w:bidi/>
        <w:jc w:val="center"/>
        <w:rPr>
          <w:rFonts w:ascii="Simplified Arabic" w:hAnsi="Simplified Arabic" w:cs="Simplified Arabic"/>
          <w:b/>
          <w:bCs/>
          <w:sz w:val="34"/>
          <w:szCs w:val="34"/>
        </w:rPr>
      </w:pPr>
    </w:p>
    <w:p w14:paraId="0A4FD549" w14:textId="029A45A9" w:rsidR="007730C7" w:rsidRPr="007730C7" w:rsidRDefault="007730C7" w:rsidP="007730C7">
      <w:pPr>
        <w:bidi/>
        <w:jc w:val="center"/>
        <w:rPr>
          <w:rFonts w:ascii="Simplified Arabic" w:hAnsi="Simplified Arabic" w:cs="Simplified Arabic"/>
          <w:b/>
          <w:bCs/>
          <w:sz w:val="34"/>
          <w:szCs w:val="34"/>
          <w:rtl/>
        </w:rPr>
      </w:pPr>
      <w:r w:rsidRPr="007730C7">
        <w:rPr>
          <w:rFonts w:ascii="Simplified Arabic" w:hAnsi="Simplified Arabic" w:cs="Simplified Arabic"/>
          <w:b/>
          <w:bCs/>
          <w:sz w:val="34"/>
          <w:szCs w:val="34"/>
          <w:rtl/>
        </w:rPr>
        <w:t>أثر نماذج الريادة الاجتماعية على الاستدامة المالية للمنظمات غير الربحية في المملكة العربية السعودية</w:t>
      </w:r>
    </w:p>
    <w:p w14:paraId="33B61003" w14:textId="77777777" w:rsidR="007730C7" w:rsidRPr="007730C7" w:rsidRDefault="007730C7" w:rsidP="007730C7">
      <w:pPr>
        <w:bidi/>
        <w:rPr>
          <w:rFonts w:ascii="Simplified Arabic" w:hAnsi="Simplified Arabic" w:cs="Simplified Arabic"/>
          <w:sz w:val="28"/>
          <w:szCs w:val="28"/>
          <w:rtl/>
        </w:rPr>
      </w:pPr>
    </w:p>
    <w:p w14:paraId="48EBEB08" w14:textId="77777777" w:rsidR="007730C7" w:rsidRDefault="007730C7">
      <w:pPr>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br w:type="page"/>
      </w:r>
    </w:p>
    <w:p w14:paraId="6A91094C" w14:textId="247F7659" w:rsidR="007730C7" w:rsidRPr="007730C7" w:rsidRDefault="007730C7" w:rsidP="007730C7">
      <w:pPr>
        <w:bidi/>
        <w:jc w:val="both"/>
        <w:rPr>
          <w:rFonts w:ascii="Simplified Arabic" w:hAnsi="Simplified Arabic" w:cs="Simplified Arabic" w:hint="cs"/>
          <w:b/>
          <w:bCs/>
          <w:sz w:val="28"/>
          <w:szCs w:val="28"/>
          <w:rtl/>
          <w:lang w:bidi="ar-SY"/>
        </w:rPr>
      </w:pPr>
      <w:r w:rsidRPr="007730C7">
        <w:rPr>
          <w:rFonts w:ascii="Simplified Arabic" w:hAnsi="Simplified Arabic" w:cs="Simplified Arabic" w:hint="cs"/>
          <w:b/>
          <w:bCs/>
          <w:sz w:val="28"/>
          <w:szCs w:val="28"/>
          <w:rtl/>
          <w:lang w:bidi="ar-SY"/>
        </w:rPr>
        <w:lastRenderedPageBreak/>
        <w:t>مقدمة</w:t>
      </w:r>
    </w:p>
    <w:p w14:paraId="591E8A04" w14:textId="16165E3F"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t>تقوم رؤية المملكة العربية السعودية 2030 على هدف استراتيجي صريح، يتمثل في رفع مساهمة القطاع غير الربحي في الناتج المحلي الإجمالي من أقل من 1% إلى 5%، مما يضع هذه المنظمات في مواجهة مباشرة مع مسؤوليات تنموية كبرى لم تكن مهيأة لها بموجب نماذجها التشغيلية التقليدية القائمة على التبرعات والمنح. وتكشف هذه الفجوة بين الطموح المرسوم والواقع المؤسسي القائم عن جوهر الإشكالية التي يتصدى لها هذا البحث</w:t>
      </w:r>
      <w:r w:rsidRPr="007730C7">
        <w:rPr>
          <w:rFonts w:ascii="Simplified Arabic" w:hAnsi="Simplified Arabic" w:cs="Simplified Arabic"/>
          <w:sz w:val="28"/>
          <w:szCs w:val="28"/>
        </w:rPr>
        <w:t>.</w:t>
      </w:r>
    </w:p>
    <w:p w14:paraId="2D62016B" w14:textId="4C79EAE1" w:rsid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t>لقد اتسمت بيئة عمل هذه المنظمات تاريخياً بهيمنة دولة الرعاية الاجتماعية الشاملة على المساحة التشغيلية، وبقيود تنظيمية مشددة أملتها اعتبارات ما بعد الحادي عشر من سبتمبر 2001، مما ترك القطاع الثالث يعمل في هامش ضيق من الاستقلالية وبقدرات محدودة على تطوير مصادر تمويل ذاتية. وقد وصف</w:t>
      </w:r>
      <w:r w:rsidRPr="007730C7">
        <w:rPr>
          <w:rFonts w:ascii="Simplified Arabic" w:hAnsi="Simplified Arabic" w:cs="Simplified Arabic"/>
          <w:sz w:val="28"/>
          <w:szCs w:val="28"/>
        </w:rPr>
        <w:t xml:space="preserve"> Drucker (1990) </w:t>
      </w:r>
      <w:r w:rsidRPr="007730C7">
        <w:rPr>
          <w:rFonts w:ascii="Simplified Arabic" w:hAnsi="Simplified Arabic" w:cs="Simplified Arabic"/>
          <w:sz w:val="28"/>
          <w:szCs w:val="28"/>
          <w:rtl/>
        </w:rPr>
        <w:t>هذا التوتر البنيوي بوضوح حين أشار إلى أن المنظمة غير الربحية لا تقيس أداءها بالربح، لكنها تظل مضطرة إلى بناء قاعدة موارد متجددة وإلا أصبحت رسالتها مهددة بالتوقف، مما يجعل الاستدامة المالية ليست غاية بحد ذاتها، بل شرطاً لضمان استمرار الأثر الاجتماعي</w:t>
      </w:r>
      <w:r>
        <w:rPr>
          <w:rFonts w:ascii="Simplified Arabic" w:hAnsi="Simplified Arabic" w:cs="Simplified Arabic" w:hint="cs"/>
          <w:sz w:val="28"/>
          <w:szCs w:val="28"/>
          <w:rtl/>
        </w:rPr>
        <w:t xml:space="preserve"> (رؤية 2030).</w:t>
      </w:r>
    </w:p>
    <w:p w14:paraId="69ACA71F" w14:textId="5673A3DC"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t>ومن هنا تتبلور إشكالية البحث في سؤاله الجوهري: هل تُسهم نماذج الريادة الاجتماعية التي تعتمدها المنظمات غير الربحية في رفع مستوى استدامتها المالية، وما الأبعاد التي تتوسط هذه العلاقة في السياق السعودي تحديداً؟</w:t>
      </w:r>
    </w:p>
    <w:p w14:paraId="33E99305" w14:textId="77777777"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t>تعود جذور الاهتمام الأكاديمي بمفهوم الريادة الاجتماعية إلى الورقة التأسيسية التي أصدرها</w:t>
      </w:r>
      <w:r w:rsidRPr="007730C7">
        <w:rPr>
          <w:rFonts w:ascii="Simplified Arabic" w:hAnsi="Simplified Arabic" w:cs="Simplified Arabic"/>
          <w:sz w:val="28"/>
          <w:szCs w:val="28"/>
        </w:rPr>
        <w:t xml:space="preserve"> Dees </w:t>
      </w:r>
      <w:r w:rsidRPr="007730C7">
        <w:rPr>
          <w:rFonts w:ascii="Simplified Arabic" w:hAnsi="Simplified Arabic" w:cs="Simplified Arabic"/>
          <w:sz w:val="28"/>
          <w:szCs w:val="28"/>
          <w:rtl/>
        </w:rPr>
        <w:t>عام 1998، إذ وضع فيها تعريفاً إجرائياً للريادي الاجتماعي بوصفه فاعلاً يسعى إلى خلق قيمة اجتماعية مستدامة عبر الاستغلال الكفء للفرص وقبول مستويات أعلى من المخاطرة. وقد أضاف</w:t>
      </w:r>
      <w:r w:rsidRPr="007730C7">
        <w:rPr>
          <w:rFonts w:ascii="Simplified Arabic" w:hAnsi="Simplified Arabic" w:cs="Simplified Arabic"/>
          <w:sz w:val="28"/>
          <w:szCs w:val="28"/>
        </w:rPr>
        <w:t xml:space="preserve"> Drucker (1990) </w:t>
      </w:r>
      <w:r w:rsidRPr="007730C7">
        <w:rPr>
          <w:rFonts w:ascii="Simplified Arabic" w:hAnsi="Simplified Arabic" w:cs="Simplified Arabic"/>
          <w:sz w:val="28"/>
          <w:szCs w:val="28"/>
          <w:rtl/>
        </w:rPr>
        <w:t>بُعداً جوهرياً حين ميّز بين رجل الأعمال الذي يبحث عن الفرصة التجارية ويستثمرها، والقائد الاجتماعي الذي يُحوّل الحاجة الاجتماعية إلى فرصة للتغيير، مؤكداً أن التميز الحقيقي لمؤسسات القطاع الثالث يكمن في قدرتها على تغيير الإنسان ذاته لا في تقديم الخدمة المجردة</w:t>
      </w:r>
      <w:r w:rsidRPr="007730C7">
        <w:rPr>
          <w:rFonts w:ascii="Simplified Arabic" w:hAnsi="Simplified Arabic" w:cs="Simplified Arabic"/>
          <w:sz w:val="28"/>
          <w:szCs w:val="28"/>
        </w:rPr>
        <w:t>.</w:t>
      </w:r>
    </w:p>
    <w:p w14:paraId="22BA0514" w14:textId="77777777"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t>وعلى صعيد العلاقة بين الريادة التجارية والريادة الاجتماعية، قدّم</w:t>
      </w:r>
      <w:r w:rsidRPr="007730C7">
        <w:rPr>
          <w:rFonts w:ascii="Simplified Arabic" w:hAnsi="Simplified Arabic" w:cs="Simplified Arabic"/>
          <w:sz w:val="28"/>
          <w:szCs w:val="28"/>
        </w:rPr>
        <w:t xml:space="preserve"> Austin </w:t>
      </w:r>
      <w:r w:rsidRPr="007730C7">
        <w:rPr>
          <w:rFonts w:ascii="Simplified Arabic" w:hAnsi="Simplified Arabic" w:cs="Simplified Arabic"/>
          <w:sz w:val="28"/>
          <w:szCs w:val="28"/>
          <w:rtl/>
        </w:rPr>
        <w:t>و</w:t>
      </w:r>
      <w:r w:rsidRPr="007730C7">
        <w:rPr>
          <w:rFonts w:ascii="Simplified Arabic" w:hAnsi="Simplified Arabic" w:cs="Simplified Arabic"/>
          <w:sz w:val="28"/>
          <w:szCs w:val="28"/>
        </w:rPr>
        <w:t xml:space="preserve">Stevenson </w:t>
      </w:r>
      <w:r w:rsidRPr="007730C7">
        <w:rPr>
          <w:rFonts w:ascii="Simplified Arabic" w:hAnsi="Simplified Arabic" w:cs="Simplified Arabic"/>
          <w:sz w:val="28"/>
          <w:szCs w:val="28"/>
          <w:rtl/>
        </w:rPr>
        <w:t>و</w:t>
      </w:r>
      <w:r w:rsidRPr="007730C7">
        <w:rPr>
          <w:rFonts w:ascii="Simplified Arabic" w:hAnsi="Simplified Arabic" w:cs="Simplified Arabic"/>
          <w:sz w:val="28"/>
          <w:szCs w:val="28"/>
        </w:rPr>
        <w:t xml:space="preserve">Wei-Skillern (2006) </w:t>
      </w:r>
      <w:r w:rsidRPr="007730C7">
        <w:rPr>
          <w:rFonts w:ascii="Simplified Arabic" w:hAnsi="Simplified Arabic" w:cs="Simplified Arabic"/>
          <w:sz w:val="28"/>
          <w:szCs w:val="28"/>
          <w:rtl/>
        </w:rPr>
        <w:t>تحليلاً مقارناً كشف عن أوجه التشابه والاختلاف الجوهرية بين هذين النوعين، وخلصوا إلى أن الريادة الاجتماعية تمثل نشاطاً ابتكارياً خالقاً للقيمة الاجتماعية يمكن أن يحدث داخل القطاعات الثلاثة أو عبر حدودها. وقد كشفت هذه الدراسة أن نجاح المؤسسات الريادية الاجتماعية يتوقف إلى حدٍّ كبير على إدارتها الدقيقة لمتغير الرسالة والموارد البشرية والمالية في آنٍ معاً</w:t>
      </w:r>
      <w:r w:rsidRPr="007730C7">
        <w:rPr>
          <w:rFonts w:ascii="Simplified Arabic" w:hAnsi="Simplified Arabic" w:cs="Simplified Arabic"/>
          <w:sz w:val="28"/>
          <w:szCs w:val="28"/>
        </w:rPr>
        <w:t>. Sage Journals</w:t>
      </w:r>
    </w:p>
    <w:p w14:paraId="55619712" w14:textId="77777777"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lastRenderedPageBreak/>
        <w:t>وعلى صعيد النماذج التشغيلية، يُعدّ</w:t>
      </w:r>
      <w:r w:rsidRPr="007730C7">
        <w:rPr>
          <w:rFonts w:ascii="Simplified Arabic" w:hAnsi="Simplified Arabic" w:cs="Simplified Arabic"/>
          <w:sz w:val="28"/>
          <w:szCs w:val="28"/>
        </w:rPr>
        <w:t xml:space="preserve"> Alter (2007) </w:t>
      </w:r>
      <w:r w:rsidRPr="007730C7">
        <w:rPr>
          <w:rFonts w:ascii="Simplified Arabic" w:hAnsi="Simplified Arabic" w:cs="Simplified Arabic"/>
          <w:sz w:val="28"/>
          <w:szCs w:val="28"/>
          <w:rtl/>
        </w:rPr>
        <w:t>من أبرز من نظّروا لتصنيف المؤسسات الاجتماعية، إذ وضع طيفاً يمتد من المنظمات غير الربحية التي تتبنى أنشطة تجارية جانبية لتمويل رسالتها، مروراً بنماذج هجينة تمزج بين المنطقَين الاجتماعي والتجاري، وصولاً إلى شركات اجتماعية تعتمد أساساً على إيرادات السوق في تحقيق مهمتها. وأبان</w:t>
      </w:r>
      <w:r w:rsidRPr="007730C7">
        <w:rPr>
          <w:rFonts w:ascii="Simplified Arabic" w:hAnsi="Simplified Arabic" w:cs="Simplified Arabic"/>
          <w:sz w:val="28"/>
          <w:szCs w:val="28"/>
        </w:rPr>
        <w:t xml:space="preserve"> Alter </w:t>
      </w:r>
      <w:r w:rsidRPr="007730C7">
        <w:rPr>
          <w:rFonts w:ascii="Simplified Arabic" w:hAnsi="Simplified Arabic" w:cs="Simplified Arabic"/>
          <w:sz w:val="28"/>
          <w:szCs w:val="28"/>
          <w:rtl/>
        </w:rPr>
        <w:t>أن الخيار بين هذه النماذج ليس خياراً إيديولوجياً، بل هو قرار استراتيجي يتحدد في ضوء طبيعة الخدمة المقدمة ومستوى تنافسية السوق والقدرات التنظيمية الداخلية</w:t>
      </w:r>
      <w:r w:rsidRPr="007730C7">
        <w:rPr>
          <w:rFonts w:ascii="Simplified Arabic" w:hAnsi="Simplified Arabic" w:cs="Simplified Arabic"/>
          <w:sz w:val="28"/>
          <w:szCs w:val="28"/>
        </w:rPr>
        <w:t>. Academia.edu</w:t>
      </w:r>
    </w:p>
    <w:p w14:paraId="1BED8055" w14:textId="320D3530"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t>وفيما يتعلق بالاستدامة المالية للمنظمات غير الربحية تحديداً، ألقت دراسة</w:t>
      </w:r>
      <w:r w:rsidRPr="007730C7">
        <w:rPr>
          <w:rFonts w:ascii="Simplified Arabic" w:hAnsi="Simplified Arabic" w:cs="Simplified Arabic"/>
          <w:sz w:val="28"/>
          <w:szCs w:val="28"/>
        </w:rPr>
        <w:t xml:space="preserve"> Tuckman </w:t>
      </w:r>
      <w:r w:rsidRPr="007730C7">
        <w:rPr>
          <w:rFonts w:ascii="Simplified Arabic" w:hAnsi="Simplified Arabic" w:cs="Simplified Arabic"/>
          <w:sz w:val="28"/>
          <w:szCs w:val="28"/>
          <w:rtl/>
        </w:rPr>
        <w:t>و</w:t>
      </w:r>
      <w:r w:rsidRPr="007730C7">
        <w:rPr>
          <w:rFonts w:ascii="Simplified Arabic" w:hAnsi="Simplified Arabic" w:cs="Simplified Arabic"/>
          <w:sz w:val="28"/>
          <w:szCs w:val="28"/>
        </w:rPr>
        <w:t xml:space="preserve">Chang (1991) </w:t>
      </w:r>
      <w:r>
        <w:rPr>
          <w:rFonts w:ascii="Simplified Arabic" w:hAnsi="Simplified Arabic" w:cs="Simplified Arabic" w:hint="cs"/>
          <w:sz w:val="28"/>
          <w:szCs w:val="28"/>
          <w:rtl/>
        </w:rPr>
        <w:t xml:space="preserve"> </w:t>
      </w:r>
      <w:r w:rsidRPr="007730C7">
        <w:rPr>
          <w:rFonts w:ascii="Simplified Arabic" w:hAnsi="Simplified Arabic" w:cs="Simplified Arabic"/>
          <w:sz w:val="28"/>
          <w:szCs w:val="28"/>
          <w:rtl/>
        </w:rPr>
        <w:t>الضوء على منهجية لقياس الهشاشة المالية، تقوم على أربعة نسب متكاملة تشمل: رصيد حقوق الملكية، وتركيز الإيرادات، ونسبة التكاليف الإدارية، وهامش التشغيل. وخلصت الدراسة إلى أن المنظمة المعرّضة للخطر المالي هي التي تُحجم عن تقديم خدماتها فور تعرضها لصدمة مالية، مما يجعل بناء المرونة المالية حاجة مؤسسية جوهرية. وتوسّع</w:t>
      </w:r>
      <w:r w:rsidRPr="007730C7">
        <w:rPr>
          <w:rFonts w:ascii="Simplified Arabic" w:hAnsi="Simplified Arabic" w:cs="Simplified Arabic"/>
          <w:sz w:val="28"/>
          <w:szCs w:val="28"/>
        </w:rPr>
        <w:t xml:space="preserve"> Carroll </w:t>
      </w:r>
      <w:r w:rsidRPr="007730C7">
        <w:rPr>
          <w:rFonts w:ascii="Simplified Arabic" w:hAnsi="Simplified Arabic" w:cs="Simplified Arabic"/>
          <w:sz w:val="28"/>
          <w:szCs w:val="28"/>
          <w:rtl/>
        </w:rPr>
        <w:t>و</w:t>
      </w:r>
      <w:r w:rsidRPr="007730C7">
        <w:rPr>
          <w:rFonts w:ascii="Simplified Arabic" w:hAnsi="Simplified Arabic" w:cs="Simplified Arabic"/>
          <w:sz w:val="28"/>
          <w:szCs w:val="28"/>
        </w:rPr>
        <w:t xml:space="preserve">Stater (2009) </w:t>
      </w:r>
      <w:r>
        <w:rPr>
          <w:rFonts w:ascii="Simplified Arabic" w:hAnsi="Simplified Arabic" w:cs="Simplified Arabic" w:hint="cs"/>
          <w:sz w:val="28"/>
          <w:szCs w:val="28"/>
          <w:rtl/>
        </w:rPr>
        <w:t xml:space="preserve"> </w:t>
      </w:r>
      <w:r w:rsidRPr="007730C7">
        <w:rPr>
          <w:rFonts w:ascii="Simplified Arabic" w:hAnsi="Simplified Arabic" w:cs="Simplified Arabic"/>
          <w:sz w:val="28"/>
          <w:szCs w:val="28"/>
          <w:rtl/>
        </w:rPr>
        <w:t>في هذا الإطار ليثبتا ارتباطاً دالاً إحصائياً بين تنويع مصادر الإيراد والاستقرار المالي للمنظمات، معتبرَين أن الاستقرار المالي يُؤثر مباشرة في قدرة المنظمة على الاستمرار في تقديم برامجها وتعويض كوادرها والترويج لمهمتها</w:t>
      </w:r>
      <w:r>
        <w:rPr>
          <w:rFonts w:ascii="Simplified Arabic" w:hAnsi="Simplified Arabic" w:cs="Simplified Arabic" w:hint="cs"/>
          <w:sz w:val="28"/>
          <w:szCs w:val="28"/>
          <w:rtl/>
        </w:rPr>
        <w:t>.</w:t>
      </w:r>
    </w:p>
    <w:p w14:paraId="0160FAD9" w14:textId="42889E7D"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t>وعلى مستوى الأشكال الهجينة تحديداً، أثبتت دراسة</w:t>
      </w:r>
      <w:r w:rsidRPr="007730C7">
        <w:rPr>
          <w:rFonts w:ascii="Simplified Arabic" w:hAnsi="Simplified Arabic" w:cs="Simplified Arabic"/>
          <w:sz w:val="28"/>
          <w:szCs w:val="28"/>
        </w:rPr>
        <w:t xml:space="preserve"> Battilana </w:t>
      </w:r>
      <w:r w:rsidRPr="007730C7">
        <w:rPr>
          <w:rFonts w:ascii="Simplified Arabic" w:hAnsi="Simplified Arabic" w:cs="Simplified Arabic"/>
          <w:sz w:val="28"/>
          <w:szCs w:val="28"/>
          <w:rtl/>
        </w:rPr>
        <w:t>و</w:t>
      </w:r>
      <w:r w:rsidRPr="007730C7">
        <w:rPr>
          <w:rFonts w:ascii="Simplified Arabic" w:hAnsi="Simplified Arabic" w:cs="Simplified Arabic"/>
          <w:sz w:val="28"/>
          <w:szCs w:val="28"/>
        </w:rPr>
        <w:t xml:space="preserve">Dorado (2010) </w:t>
      </w:r>
      <w:r>
        <w:rPr>
          <w:rFonts w:ascii="Simplified Arabic" w:hAnsi="Simplified Arabic" w:cs="Simplified Arabic" w:hint="cs"/>
          <w:sz w:val="28"/>
          <w:szCs w:val="28"/>
          <w:rtl/>
        </w:rPr>
        <w:t xml:space="preserve"> </w:t>
      </w:r>
      <w:r w:rsidRPr="007730C7">
        <w:rPr>
          <w:rFonts w:ascii="Simplified Arabic" w:hAnsi="Simplified Arabic" w:cs="Simplified Arabic"/>
          <w:sz w:val="28"/>
          <w:szCs w:val="28"/>
          <w:rtl/>
        </w:rPr>
        <w:t>المعنونة ببناء المنظمات الهجينة المستدامة، أن التحدي الأكبر الذي تواجهه هذه المنظمات لا يكمن في شُح الموارد بل في إدارة التوتر بين منطقَي العمل المتنافسَين: منطق المهمة الاجتماعية ومنطق قيمة السوق، مما يستوجب بناء ثقافة مؤسسية داخلية قادرة على دمج الهويتين دون الانجراف نحو أيٍّ منهما</w:t>
      </w:r>
      <w:r w:rsidRPr="007730C7">
        <w:rPr>
          <w:rFonts w:ascii="Simplified Arabic" w:hAnsi="Simplified Arabic" w:cs="Simplified Arabic"/>
          <w:sz w:val="28"/>
          <w:szCs w:val="28"/>
        </w:rPr>
        <w:t>.</w:t>
      </w:r>
    </w:p>
    <w:p w14:paraId="008412A1" w14:textId="5A4B45F3"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t>وعلى المستوى المحلي، شهد القطاع غير الربحي السعودي تحولات هيكلية عميقة منذ انطلاق رؤية 2030. فبموجب لوائح المركز الوطني لتنمية القطاع غير الربحي الصادرة عام 2021، أصبح المركز مسؤولاً عن إعداد الاستراتيجيات وخطط الأداء والمؤشرات المرتبطة بهذا القطاع وضمان فاعليتها. وأشار تقرير "مؤشر القطاع غير الربحي 2025" الصادر عن مؤسسة الملك خالد إلى أن إجمالي القيمة الاقتصادية للقطاع تجاوز 100 مليار ريال لأول مرة في تاريخه، مما يعادل 3.3% من الناتج المحلي الإجمالي، مع توقعات ببلوغ هدف 5% قبل موعده المحدد بعامين. غير أن هذا النمو الرقمي يطرح تساؤلات جوهرية حول مدى ارتكازه على نماذج تشغيلية مستدامة أم أنه يظل رهيناً بضخ حكومي ومنظومة منح تقليدية</w:t>
      </w:r>
      <w:r>
        <w:rPr>
          <w:rFonts w:ascii="Simplified Arabic" w:hAnsi="Simplified Arabic" w:cs="Simplified Arabic" w:hint="cs"/>
          <w:sz w:val="28"/>
          <w:szCs w:val="28"/>
          <w:rtl/>
        </w:rPr>
        <w:t>.</w:t>
      </w:r>
    </w:p>
    <w:p w14:paraId="23BC12D6" w14:textId="77777777"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lastRenderedPageBreak/>
        <w:t>على الرغم من الثراء النسبي للأدبيات العالمية، يكشف الفحص النقدي الدقيق عن ثلاث فجوات جوهرية لا يمكن إغفالها</w:t>
      </w:r>
      <w:r w:rsidRPr="007730C7">
        <w:rPr>
          <w:rFonts w:ascii="Simplified Arabic" w:hAnsi="Simplified Arabic" w:cs="Simplified Arabic"/>
          <w:sz w:val="28"/>
          <w:szCs w:val="28"/>
        </w:rPr>
        <w:t>:</w:t>
      </w:r>
    </w:p>
    <w:p w14:paraId="012B5A03" w14:textId="7FFD2E6E" w:rsidR="007730C7" w:rsidRPr="007730C7" w:rsidRDefault="007730C7" w:rsidP="007730C7">
      <w:pPr>
        <w:bidi/>
        <w:ind w:left="720"/>
        <w:jc w:val="both"/>
        <w:rPr>
          <w:rFonts w:ascii="Simplified Arabic" w:hAnsi="Simplified Arabic" w:cs="Simplified Arabic"/>
          <w:sz w:val="28"/>
          <w:szCs w:val="28"/>
          <w:rtl/>
        </w:rPr>
      </w:pPr>
      <w:r w:rsidRPr="007730C7">
        <w:rPr>
          <w:rFonts w:ascii="Simplified Arabic" w:hAnsi="Simplified Arabic" w:cs="Simplified Arabic"/>
          <w:sz w:val="28"/>
          <w:szCs w:val="28"/>
          <w:rtl/>
        </w:rPr>
        <w:t xml:space="preserve">الفجوة السياقية: تتسم الأدبيات الراهنة بهيمنة واضحة للنماذج الغربية على دراسات الريادة الاجتماعية، وإن كانت اتجاهات الاستدامة </w:t>
      </w:r>
      <w:proofErr w:type="spellStart"/>
      <w:r w:rsidRPr="007730C7">
        <w:rPr>
          <w:rFonts w:ascii="Simplified Arabic" w:hAnsi="Simplified Arabic" w:cs="Simplified Arabic"/>
          <w:sz w:val="28"/>
          <w:szCs w:val="28"/>
          <w:rtl/>
        </w:rPr>
        <w:t>والرقمنة</w:t>
      </w:r>
      <w:proofErr w:type="spellEnd"/>
      <w:r w:rsidRPr="007730C7">
        <w:rPr>
          <w:rFonts w:ascii="Simplified Arabic" w:hAnsi="Simplified Arabic" w:cs="Simplified Arabic"/>
          <w:sz w:val="28"/>
          <w:szCs w:val="28"/>
          <w:rtl/>
        </w:rPr>
        <w:t xml:space="preserve"> والمرونة قد برزت بوصفها محاور أساسية في الحقل خلال الفترة 2019-2024. بيد أن هذه الاتجاهات تُبنى في معظمها على تجارب دول تختلف عن المملكة العربية السعودية اختلافاً جذرياً في بنيتها التشريعية، وفي دور المرجعية الدينية في تشكيل منظومة العطاء والخدمة، وفي مستوى نضج الأسواق المحلية وقدرتها على استيعاب النماذج الهجينة</w:t>
      </w:r>
      <w:r w:rsidRPr="007730C7">
        <w:rPr>
          <w:rFonts w:ascii="Simplified Arabic" w:hAnsi="Simplified Arabic" w:cs="Simplified Arabic"/>
          <w:sz w:val="28"/>
          <w:szCs w:val="28"/>
        </w:rPr>
        <w:t>.</w:t>
      </w:r>
    </w:p>
    <w:p w14:paraId="7728D664" w14:textId="535CD226" w:rsidR="007730C7" w:rsidRPr="007730C7" w:rsidRDefault="007730C7" w:rsidP="007730C7">
      <w:pPr>
        <w:bidi/>
        <w:ind w:left="720"/>
        <w:jc w:val="both"/>
        <w:rPr>
          <w:rFonts w:ascii="Simplified Arabic" w:hAnsi="Simplified Arabic" w:cs="Simplified Arabic"/>
          <w:sz w:val="28"/>
          <w:szCs w:val="28"/>
          <w:rtl/>
        </w:rPr>
      </w:pPr>
      <w:r w:rsidRPr="007730C7">
        <w:rPr>
          <w:rFonts w:ascii="Simplified Arabic" w:hAnsi="Simplified Arabic" w:cs="Simplified Arabic"/>
          <w:sz w:val="28"/>
          <w:szCs w:val="28"/>
          <w:rtl/>
        </w:rPr>
        <w:t>الفجوة الزمنية والسياسية: معظم الدراسات المتاحة حول القطاع غير الربحي السعودي أُجريت قبل موجة التشريعات المتسارعة التي أعادت رسم بيئة العمل بين عامَي 2017 و2023. وعلى الرغم من أن ريادة الأعمال الاجتماعية في المملكة تعود جذورها إلى عقود سابقة، فإن البيانات المتاحة عنها تظل شحيحة بسبب ضعف منظومة التوثيق والرصد، إذ لا تتجاوز نسبة المنظمات الاجتماعية للفرد في المملكة منظمة واحدة لكل عشرة آلاف شخص مقارنة بخمسين منظمة لكل عشرة آلاف شخص في كندا والولايات المتحدة، وهي فجوة تعكس نقصاً حقيقياً في التأسيس والبحث في آنٍ واحد</w:t>
      </w:r>
      <w:r>
        <w:rPr>
          <w:rFonts w:ascii="Simplified Arabic" w:hAnsi="Simplified Arabic" w:cs="Simplified Arabic" w:hint="cs"/>
          <w:sz w:val="28"/>
          <w:szCs w:val="28"/>
          <w:rtl/>
        </w:rPr>
        <w:t>.</w:t>
      </w:r>
    </w:p>
    <w:p w14:paraId="74B5A819" w14:textId="64DCD09E" w:rsidR="007730C7" w:rsidRPr="007730C7" w:rsidRDefault="007730C7" w:rsidP="007730C7">
      <w:pPr>
        <w:bidi/>
        <w:ind w:left="720"/>
        <w:jc w:val="both"/>
        <w:rPr>
          <w:rFonts w:ascii="Simplified Arabic" w:hAnsi="Simplified Arabic" w:cs="Simplified Arabic"/>
          <w:sz w:val="28"/>
          <w:szCs w:val="28"/>
          <w:rtl/>
        </w:rPr>
      </w:pPr>
      <w:r w:rsidRPr="007730C7">
        <w:rPr>
          <w:rFonts w:ascii="Simplified Arabic" w:hAnsi="Simplified Arabic" w:cs="Simplified Arabic"/>
          <w:sz w:val="28"/>
          <w:szCs w:val="28"/>
          <w:rtl/>
        </w:rPr>
        <w:t>الفجوة القياسية: لا تتوافر في الأدبيات الأكاديمية المتاحة دراسات تجريبية تختبر نماذج ريادية بعينها وتقيس أثرها على مؤشرات الاستدامة المالية القابلة للقياس الكمي في السياق السعودي. إن ترك هذا الفراغ المعرفي دون معالجة يُبقي منظمات القطاع الثالث أمام قرارات استراتيجية مصيرية دون توجيه بحثي موثوق، ويُعرّض المستفيدين منها</w:t>
      </w:r>
      <w:r>
        <w:rPr>
          <w:rFonts w:ascii="Simplified Arabic" w:hAnsi="Simplified Arabic" w:cs="Simplified Arabic" w:hint="cs"/>
          <w:sz w:val="28"/>
          <w:szCs w:val="28"/>
          <w:rtl/>
        </w:rPr>
        <w:t xml:space="preserve"> </w:t>
      </w:r>
      <w:r w:rsidRPr="007730C7">
        <w:rPr>
          <w:rFonts w:ascii="Simplified Arabic" w:hAnsi="Simplified Arabic" w:cs="Simplified Arabic"/>
          <w:sz w:val="28"/>
          <w:szCs w:val="28"/>
          <w:rtl/>
        </w:rPr>
        <w:t>من فئات هشة وأسر ومجتمعات</w:t>
      </w:r>
      <w:r>
        <w:rPr>
          <w:rFonts w:ascii="Simplified Arabic" w:hAnsi="Simplified Arabic" w:cs="Simplified Arabic" w:hint="cs"/>
          <w:sz w:val="28"/>
          <w:szCs w:val="28"/>
          <w:rtl/>
        </w:rPr>
        <w:t xml:space="preserve"> </w:t>
      </w:r>
      <w:r w:rsidRPr="007730C7">
        <w:rPr>
          <w:rFonts w:ascii="Simplified Arabic" w:hAnsi="Simplified Arabic" w:cs="Simplified Arabic"/>
          <w:sz w:val="28"/>
          <w:szCs w:val="28"/>
          <w:rtl/>
        </w:rPr>
        <w:t>لمخاطر انقطاع الخدمات جراء نماذج مالية غير مستدامة</w:t>
      </w:r>
      <w:r w:rsidRPr="007730C7">
        <w:rPr>
          <w:rFonts w:ascii="Simplified Arabic" w:hAnsi="Simplified Arabic" w:cs="Simplified Arabic"/>
          <w:sz w:val="28"/>
          <w:szCs w:val="28"/>
        </w:rPr>
        <w:t>.</w:t>
      </w:r>
    </w:p>
    <w:p w14:paraId="4EDC0B60" w14:textId="77777777"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t>تتوجه هذه الدراسة بالدرجة الأولى إلى ثلاث شرائح متمايزة ومترابطة في آنٍ واحد: الباحثين الأكاديميين في حقل إدارة المنظمات غير الربحية والريادة الاجتماعية، الساعين إلى نماذج تحليلية تستوعب خصوصية السياقات غير الغربية؛ وصانعي السياسات في الجهات التنظيمية كالمركز الوطني لتنمية القطاع غير الربحي الذين يحتاجون إلى أدلة تجريبية تُسند قراراتهم في صياغة منظومة الحوافز واشتراطات التسجيل والرقابة؛ وقيادات المنظمات غير الربحية السعودية أنفسهم الذين يواجهون اليوم ضغطاً متصاعداً لبناء نماذج تمويل مستدامة</w:t>
      </w:r>
      <w:r w:rsidRPr="007730C7">
        <w:rPr>
          <w:rFonts w:ascii="Simplified Arabic" w:hAnsi="Simplified Arabic" w:cs="Simplified Arabic"/>
          <w:sz w:val="28"/>
          <w:szCs w:val="28"/>
        </w:rPr>
        <w:t>.</w:t>
      </w:r>
    </w:p>
    <w:p w14:paraId="60D3B0D3" w14:textId="77777777" w:rsid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lastRenderedPageBreak/>
        <w:t>يستمد البحث أهميته المضافة من توقيته الدقيق؛ إذ تمر المنظمات غير الربحية السعودية اليوم بمرحلة نضوج مؤسسي مدفوع بالحوكمة والمساءلة وقياس الأثر، وأصبح القطاع يُدار بوصفه محركاً تنموياً منظماً لا مجرد ممارسة خيرية موسمية. في هذا المناخ، تُمثّل الأدلة التجريبية الموثوقة حول نماذج الريادة الاجتماعية وأثرها المالي أداةً لا غنى عنها لمنظمات تبني اختياراتها الاستراتيجية الآن، قبل أن تتصلب هياكلها المؤسسية وتصعب إعادة تشكيلها</w:t>
      </w:r>
      <w:r w:rsidRPr="007730C7">
        <w:rPr>
          <w:rFonts w:ascii="Simplified Arabic" w:hAnsi="Simplified Arabic" w:cs="Simplified Arabic"/>
          <w:sz w:val="28"/>
          <w:szCs w:val="28"/>
        </w:rPr>
        <w:t>.</w:t>
      </w:r>
    </w:p>
    <w:p w14:paraId="290502F8" w14:textId="5844C202"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t>تهدف هذه الدراسة إلى الكشف عن طبيعة العلاقة بين نماذج الريادة الاجتماعية التي تتبناها المنظمات غير الربحية السعودية ومستوى استدامتها المالية، وذلك من خلال تحليل تجارب عينة قصدية من هذه المنظمات العاملة في مناطق مختلفة من المملكة. ويتمحور الغرض الجوهري حول بناء فهم تجريبي متجذّر في السياق المحلي لكيفية تأثير اعتماد نماذج ريادية متنوعة — تجارية أو هجينة أو شبكية — على مؤشرات مثل تنويع مصادر الإيراد، ومعدل الاعتماد الذاتي، ومؤشرات الملاءة التشغيلية</w:t>
      </w:r>
      <w:r w:rsidRPr="007730C7">
        <w:rPr>
          <w:rFonts w:ascii="Simplified Arabic" w:hAnsi="Simplified Arabic" w:cs="Simplified Arabic"/>
          <w:sz w:val="28"/>
          <w:szCs w:val="28"/>
        </w:rPr>
        <w:t>.</w:t>
      </w:r>
    </w:p>
    <w:p w14:paraId="404FA6DB" w14:textId="77777777" w:rsidR="007730C7" w:rsidRPr="007730C7" w:rsidRDefault="007730C7" w:rsidP="007730C7">
      <w:pPr>
        <w:bidi/>
        <w:jc w:val="both"/>
        <w:rPr>
          <w:rFonts w:ascii="Simplified Arabic" w:hAnsi="Simplified Arabic" w:cs="Simplified Arabic"/>
          <w:sz w:val="28"/>
          <w:szCs w:val="28"/>
          <w:rtl/>
        </w:rPr>
      </w:pPr>
      <w:r w:rsidRPr="007730C7">
        <w:rPr>
          <w:rFonts w:ascii="Simplified Arabic" w:hAnsi="Simplified Arabic" w:cs="Simplified Arabic"/>
          <w:sz w:val="28"/>
          <w:szCs w:val="28"/>
          <w:rtl/>
        </w:rPr>
        <w:t>وتسعى الدراسة إلى تحقيق غايتين متلازمتين: الأولى أكاديمية، تتمثل في إثراء أدبيات الريادة الاجتماعية بأطر تحليلية تستوعب السياق الثقافي والتشريعي لمجتمعات الخليج؛ والثانية تطبيقية، تتمثل في تزويد صانعي القرار وقيادات المنظمات غير الربحية بتوصيات مبنية على أدلة تُمكّنهم من اتخاذ قرارات استراتيجية رشيدة في مسار بناء منظومة قطاع ثالث مستدامة وفاعلة تُسهم فعلاً في تحقيق مستهدفات رؤية 2030</w:t>
      </w:r>
      <w:r w:rsidRPr="007730C7">
        <w:rPr>
          <w:rFonts w:ascii="Simplified Arabic" w:hAnsi="Simplified Arabic" w:cs="Simplified Arabic"/>
          <w:sz w:val="28"/>
          <w:szCs w:val="28"/>
        </w:rPr>
        <w:t>.</w:t>
      </w:r>
    </w:p>
    <w:p w14:paraId="4AC0F354" w14:textId="77777777" w:rsidR="007730C7" w:rsidRPr="007730C7" w:rsidRDefault="007730C7" w:rsidP="007730C7">
      <w:pPr>
        <w:bidi/>
        <w:jc w:val="both"/>
        <w:rPr>
          <w:rFonts w:ascii="Simplified Arabic" w:hAnsi="Simplified Arabic" w:cs="Simplified Arabic"/>
          <w:sz w:val="28"/>
          <w:szCs w:val="28"/>
          <w:rtl/>
        </w:rPr>
      </w:pPr>
    </w:p>
    <w:p w14:paraId="6743BA33" w14:textId="77777777" w:rsidR="007730C7" w:rsidRPr="007730C7" w:rsidRDefault="007730C7" w:rsidP="007730C7">
      <w:pPr>
        <w:bidi/>
        <w:rPr>
          <w:rFonts w:ascii="Simplified Arabic" w:hAnsi="Simplified Arabic" w:cs="Simplified Arabic"/>
          <w:b/>
          <w:bCs/>
          <w:sz w:val="28"/>
          <w:szCs w:val="28"/>
          <w:rtl/>
        </w:rPr>
      </w:pPr>
      <w:r w:rsidRPr="007730C7">
        <w:rPr>
          <w:rFonts w:ascii="Simplified Arabic" w:hAnsi="Simplified Arabic" w:cs="Simplified Arabic"/>
          <w:b/>
          <w:bCs/>
          <w:sz w:val="28"/>
          <w:szCs w:val="28"/>
          <w:rtl/>
        </w:rPr>
        <w:t>قائمة المراجع</w:t>
      </w:r>
    </w:p>
    <w:p w14:paraId="2313D016" w14:textId="77777777" w:rsidR="007730C7" w:rsidRPr="007730C7" w:rsidRDefault="007730C7" w:rsidP="007730C7">
      <w:pPr>
        <w:bidi/>
        <w:rPr>
          <w:rFonts w:ascii="Simplified Arabic" w:hAnsi="Simplified Arabic" w:cs="Simplified Arabic"/>
          <w:b/>
          <w:bCs/>
          <w:sz w:val="28"/>
          <w:szCs w:val="28"/>
          <w:rtl/>
        </w:rPr>
      </w:pPr>
      <w:r w:rsidRPr="007730C7">
        <w:rPr>
          <w:rFonts w:ascii="Simplified Arabic" w:hAnsi="Simplified Arabic" w:cs="Simplified Arabic"/>
          <w:b/>
          <w:bCs/>
          <w:sz w:val="28"/>
          <w:szCs w:val="28"/>
          <w:rtl/>
        </w:rPr>
        <w:t>أولاً: المراجع العربية</w:t>
      </w:r>
    </w:p>
    <w:p w14:paraId="4A229503" w14:textId="77777777" w:rsidR="007730C7" w:rsidRPr="007730C7" w:rsidRDefault="007730C7" w:rsidP="007730C7">
      <w:pPr>
        <w:bidi/>
        <w:ind w:firstLine="720"/>
        <w:jc w:val="both"/>
        <w:rPr>
          <w:rFonts w:ascii="Simplified Arabic" w:hAnsi="Simplified Arabic" w:cs="Simplified Arabic"/>
          <w:sz w:val="28"/>
          <w:szCs w:val="28"/>
          <w:rtl/>
        </w:rPr>
      </w:pPr>
      <w:r w:rsidRPr="007730C7">
        <w:rPr>
          <w:rFonts w:ascii="Simplified Arabic" w:hAnsi="Simplified Arabic" w:cs="Simplified Arabic"/>
          <w:sz w:val="28"/>
          <w:szCs w:val="28"/>
          <w:rtl/>
        </w:rPr>
        <w:t>المركز الوطني لتنمية القطاع غير الربحي. (2021). لائحة المركز الوطني لتنمية القطاع غير الربحي. مجلس الوزراء السعودي</w:t>
      </w:r>
      <w:r w:rsidRPr="007730C7">
        <w:rPr>
          <w:rFonts w:ascii="Simplified Arabic" w:hAnsi="Simplified Arabic" w:cs="Simplified Arabic"/>
          <w:sz w:val="28"/>
          <w:szCs w:val="28"/>
        </w:rPr>
        <w:t>. https://ncnp.gov.sa</w:t>
      </w:r>
    </w:p>
    <w:p w14:paraId="2BBB76B2" w14:textId="77777777" w:rsidR="007730C7" w:rsidRPr="007730C7" w:rsidRDefault="007730C7" w:rsidP="007730C7">
      <w:pPr>
        <w:bidi/>
        <w:ind w:firstLine="720"/>
        <w:jc w:val="both"/>
        <w:rPr>
          <w:rFonts w:ascii="Simplified Arabic" w:hAnsi="Simplified Arabic" w:cs="Simplified Arabic"/>
          <w:sz w:val="28"/>
          <w:szCs w:val="28"/>
          <w:rtl/>
        </w:rPr>
      </w:pPr>
      <w:r w:rsidRPr="007730C7">
        <w:rPr>
          <w:rFonts w:ascii="Simplified Arabic" w:hAnsi="Simplified Arabic" w:cs="Simplified Arabic"/>
          <w:sz w:val="28"/>
          <w:szCs w:val="28"/>
          <w:rtl/>
        </w:rPr>
        <w:t>مؤسسة الملك خالد. (2025). تقرير مؤشر القطاع غير الربحي 2025: القطاع غير الربحي يتجاوز 100 مليار ريال. مؤسسة الملك خالد</w:t>
      </w:r>
      <w:r w:rsidRPr="007730C7">
        <w:rPr>
          <w:rFonts w:ascii="Simplified Arabic" w:hAnsi="Simplified Arabic" w:cs="Simplified Arabic"/>
          <w:sz w:val="28"/>
          <w:szCs w:val="28"/>
        </w:rPr>
        <w:t>. https://kkf.org.sa</w:t>
      </w:r>
    </w:p>
    <w:p w14:paraId="51C56600" w14:textId="77777777" w:rsidR="007730C7" w:rsidRPr="007730C7" w:rsidRDefault="007730C7" w:rsidP="007730C7">
      <w:pPr>
        <w:bidi/>
        <w:ind w:firstLine="720"/>
        <w:jc w:val="both"/>
        <w:rPr>
          <w:rFonts w:ascii="Simplified Arabic" w:hAnsi="Simplified Arabic" w:cs="Simplified Arabic"/>
          <w:sz w:val="28"/>
          <w:szCs w:val="28"/>
          <w:rtl/>
        </w:rPr>
      </w:pPr>
      <w:r w:rsidRPr="007730C7">
        <w:rPr>
          <w:rFonts w:ascii="Simplified Arabic" w:hAnsi="Simplified Arabic" w:cs="Simplified Arabic"/>
          <w:sz w:val="28"/>
          <w:szCs w:val="28"/>
          <w:rtl/>
        </w:rPr>
        <w:t>المملكة العربية السعودية، رؤية 2030. (2016). رؤية المملكة العربية السعودية 2030. مجلس الشؤون الاقتصادية والتنمية</w:t>
      </w:r>
      <w:r w:rsidRPr="007730C7">
        <w:rPr>
          <w:rFonts w:ascii="Simplified Arabic" w:hAnsi="Simplified Arabic" w:cs="Simplified Arabic"/>
          <w:sz w:val="28"/>
          <w:szCs w:val="28"/>
        </w:rPr>
        <w:t>. https://www.vision2030.gov.sa</w:t>
      </w:r>
    </w:p>
    <w:p w14:paraId="1CE6F7F3" w14:textId="77777777" w:rsidR="007730C7" w:rsidRPr="007730C7" w:rsidRDefault="007730C7" w:rsidP="007730C7">
      <w:pPr>
        <w:bidi/>
        <w:ind w:firstLine="720"/>
        <w:jc w:val="both"/>
        <w:rPr>
          <w:rFonts w:ascii="Simplified Arabic" w:hAnsi="Simplified Arabic" w:cs="Simplified Arabic"/>
          <w:sz w:val="28"/>
          <w:szCs w:val="28"/>
          <w:rtl/>
        </w:rPr>
      </w:pPr>
      <w:r w:rsidRPr="007730C7">
        <w:rPr>
          <w:rFonts w:ascii="Simplified Arabic" w:hAnsi="Simplified Arabic" w:cs="Simplified Arabic"/>
          <w:sz w:val="28"/>
          <w:szCs w:val="28"/>
          <w:rtl/>
        </w:rPr>
        <w:lastRenderedPageBreak/>
        <w:t>الراجحي للتنمية. (2024). نظرة عامة على القطاع غير الربحي في المملكة العربية السعودية. مؤسسة الراجحي</w:t>
      </w:r>
      <w:r w:rsidRPr="007730C7">
        <w:rPr>
          <w:rFonts w:ascii="Simplified Arabic" w:hAnsi="Simplified Arabic" w:cs="Simplified Arabic"/>
          <w:sz w:val="28"/>
          <w:szCs w:val="28"/>
        </w:rPr>
        <w:t>. https://alrajhicharity.org</w:t>
      </w:r>
    </w:p>
    <w:p w14:paraId="63C2F8F8" w14:textId="77777777" w:rsidR="007730C7" w:rsidRPr="007730C7" w:rsidRDefault="007730C7" w:rsidP="007730C7">
      <w:pPr>
        <w:bidi/>
        <w:ind w:firstLine="720"/>
        <w:jc w:val="both"/>
        <w:rPr>
          <w:rFonts w:ascii="Simplified Arabic" w:hAnsi="Simplified Arabic" w:cs="Simplified Arabic"/>
          <w:sz w:val="28"/>
          <w:szCs w:val="28"/>
          <w:rtl/>
        </w:rPr>
      </w:pPr>
      <w:r w:rsidRPr="007730C7">
        <w:rPr>
          <w:rFonts w:ascii="Simplified Arabic" w:hAnsi="Simplified Arabic" w:cs="Simplified Arabic"/>
          <w:sz w:val="28"/>
          <w:szCs w:val="28"/>
          <w:rtl/>
        </w:rPr>
        <w:t>وزارة الموارد البشرية والتنمية الاجتماعية. (2024). الموارد البشرية والتنمية الاجتماعية في رؤية السعودية 2030: تقرير الإنجازات. وزارة الموارد البشرية والتنمية الاجتماعية</w:t>
      </w:r>
      <w:r w:rsidRPr="007730C7">
        <w:rPr>
          <w:rFonts w:ascii="Simplified Arabic" w:hAnsi="Simplified Arabic" w:cs="Simplified Arabic"/>
          <w:sz w:val="28"/>
          <w:szCs w:val="28"/>
        </w:rPr>
        <w:t>. https://www.hrsd.gov.sa</w:t>
      </w:r>
    </w:p>
    <w:p w14:paraId="49D63E2D" w14:textId="77777777" w:rsidR="007730C7" w:rsidRPr="007730C7" w:rsidRDefault="007730C7" w:rsidP="007730C7">
      <w:pPr>
        <w:bidi/>
        <w:rPr>
          <w:rFonts w:ascii="Simplified Arabic" w:hAnsi="Simplified Arabic" w:cs="Simplified Arabic"/>
          <w:sz w:val="28"/>
          <w:szCs w:val="28"/>
          <w:rtl/>
        </w:rPr>
      </w:pPr>
    </w:p>
    <w:p w14:paraId="3B1C1665" w14:textId="77777777" w:rsidR="007730C7" w:rsidRPr="007730C7" w:rsidRDefault="007730C7" w:rsidP="007730C7">
      <w:pPr>
        <w:bidi/>
        <w:rPr>
          <w:rFonts w:ascii="Simplified Arabic" w:hAnsi="Simplified Arabic" w:cs="Simplified Arabic"/>
          <w:b/>
          <w:bCs/>
          <w:sz w:val="28"/>
          <w:szCs w:val="28"/>
          <w:rtl/>
        </w:rPr>
      </w:pPr>
      <w:r w:rsidRPr="007730C7">
        <w:rPr>
          <w:rFonts w:ascii="Simplified Arabic" w:hAnsi="Simplified Arabic" w:cs="Simplified Arabic"/>
          <w:b/>
          <w:bCs/>
          <w:sz w:val="28"/>
          <w:szCs w:val="28"/>
          <w:rtl/>
        </w:rPr>
        <w:t>ثانياً: المراجع الإنجليزية</w:t>
      </w:r>
    </w:p>
    <w:p w14:paraId="3F93F68F" w14:textId="77777777" w:rsidR="007730C7" w:rsidRPr="007730C7" w:rsidRDefault="007730C7" w:rsidP="007730C7">
      <w:pPr>
        <w:ind w:firstLine="720"/>
        <w:jc w:val="both"/>
        <w:rPr>
          <w:rFonts w:ascii="Simplified Arabic" w:hAnsi="Simplified Arabic" w:cs="Simplified Arabic"/>
          <w:sz w:val="28"/>
          <w:szCs w:val="28"/>
          <w:lang w:val="fr-FR"/>
        </w:rPr>
      </w:pPr>
      <w:r w:rsidRPr="007730C7">
        <w:rPr>
          <w:rFonts w:ascii="Simplified Arabic" w:hAnsi="Simplified Arabic" w:cs="Simplified Arabic"/>
          <w:sz w:val="28"/>
          <w:szCs w:val="28"/>
        </w:rPr>
        <w:t xml:space="preserve">Alter, K. (2007). </w:t>
      </w:r>
      <w:r w:rsidRPr="007730C7">
        <w:rPr>
          <w:rFonts w:ascii="Simplified Arabic" w:hAnsi="Simplified Arabic" w:cs="Simplified Arabic"/>
          <w:sz w:val="28"/>
          <w:szCs w:val="28"/>
          <w:lang w:val="fr-FR"/>
        </w:rPr>
        <w:t xml:space="preserve">Social </w:t>
      </w:r>
      <w:proofErr w:type="spellStart"/>
      <w:r w:rsidRPr="007730C7">
        <w:rPr>
          <w:rFonts w:ascii="Simplified Arabic" w:hAnsi="Simplified Arabic" w:cs="Simplified Arabic"/>
          <w:sz w:val="28"/>
          <w:szCs w:val="28"/>
          <w:lang w:val="fr-FR"/>
        </w:rPr>
        <w:t>enterprise</w:t>
      </w:r>
      <w:proofErr w:type="spellEnd"/>
      <w:r w:rsidRPr="007730C7">
        <w:rPr>
          <w:rFonts w:ascii="Simplified Arabic" w:hAnsi="Simplified Arabic" w:cs="Simplified Arabic"/>
          <w:sz w:val="28"/>
          <w:szCs w:val="28"/>
          <w:lang w:val="fr-FR"/>
        </w:rPr>
        <w:t xml:space="preserve"> </w:t>
      </w:r>
      <w:proofErr w:type="spellStart"/>
      <w:r w:rsidRPr="007730C7">
        <w:rPr>
          <w:rFonts w:ascii="Simplified Arabic" w:hAnsi="Simplified Arabic" w:cs="Simplified Arabic"/>
          <w:sz w:val="28"/>
          <w:szCs w:val="28"/>
          <w:lang w:val="fr-FR"/>
        </w:rPr>
        <w:t>typology</w:t>
      </w:r>
      <w:proofErr w:type="spellEnd"/>
      <w:r w:rsidRPr="007730C7">
        <w:rPr>
          <w:rFonts w:ascii="Simplified Arabic" w:hAnsi="Simplified Arabic" w:cs="Simplified Arabic"/>
          <w:sz w:val="28"/>
          <w:szCs w:val="28"/>
          <w:lang w:val="fr-FR"/>
        </w:rPr>
        <w:t>. Virtue Ventures LLC.</w:t>
      </w:r>
    </w:p>
    <w:p w14:paraId="2A66ABEF" w14:textId="77777777" w:rsidR="007730C7" w:rsidRPr="007730C7" w:rsidRDefault="007730C7" w:rsidP="007730C7">
      <w:pPr>
        <w:ind w:firstLine="720"/>
        <w:jc w:val="both"/>
        <w:rPr>
          <w:rFonts w:ascii="Simplified Arabic" w:hAnsi="Simplified Arabic" w:cs="Simplified Arabic"/>
          <w:sz w:val="28"/>
          <w:szCs w:val="28"/>
        </w:rPr>
      </w:pPr>
      <w:r w:rsidRPr="007730C7">
        <w:rPr>
          <w:rFonts w:ascii="Simplified Arabic" w:hAnsi="Simplified Arabic" w:cs="Simplified Arabic"/>
          <w:sz w:val="28"/>
          <w:szCs w:val="28"/>
        </w:rPr>
        <w:t>Austin, J. E., Stevenson, H., &amp; Wei-Skillern, J. (2006). Social and commercial entrepreneurship: Same, different, or both? Entrepreneurship Theory and Practice, 30(1), 1–22. https://doi.org/10.1111/j.1540-6520.2006.00107.x</w:t>
      </w:r>
    </w:p>
    <w:p w14:paraId="3FDEBD73" w14:textId="77777777" w:rsidR="007730C7" w:rsidRPr="007730C7" w:rsidRDefault="007730C7" w:rsidP="007730C7">
      <w:pPr>
        <w:ind w:firstLine="720"/>
        <w:jc w:val="both"/>
        <w:rPr>
          <w:rFonts w:ascii="Simplified Arabic" w:hAnsi="Simplified Arabic" w:cs="Simplified Arabic"/>
          <w:sz w:val="28"/>
          <w:szCs w:val="28"/>
        </w:rPr>
      </w:pPr>
      <w:r w:rsidRPr="007730C7">
        <w:rPr>
          <w:rFonts w:ascii="Simplified Arabic" w:hAnsi="Simplified Arabic" w:cs="Simplified Arabic"/>
          <w:sz w:val="28"/>
          <w:szCs w:val="28"/>
        </w:rPr>
        <w:t>Battilana, J., &amp; Dorado, S. (2010). Building sustainable hybrid organizations: The case of commercial microfinance organizations. Academy of Management Journal, 53(6), 1419–1440. https://doi.org/10.5465/amj.2010.57318391</w:t>
      </w:r>
    </w:p>
    <w:p w14:paraId="5F16C582" w14:textId="77777777" w:rsidR="007730C7" w:rsidRPr="007730C7" w:rsidRDefault="007730C7" w:rsidP="007730C7">
      <w:pPr>
        <w:ind w:firstLine="720"/>
        <w:jc w:val="both"/>
        <w:rPr>
          <w:rFonts w:ascii="Simplified Arabic" w:hAnsi="Simplified Arabic" w:cs="Simplified Arabic"/>
          <w:sz w:val="28"/>
          <w:szCs w:val="28"/>
        </w:rPr>
      </w:pPr>
      <w:r w:rsidRPr="007730C7">
        <w:rPr>
          <w:rFonts w:ascii="Simplified Arabic" w:hAnsi="Simplified Arabic" w:cs="Simplified Arabic"/>
          <w:sz w:val="28"/>
          <w:szCs w:val="28"/>
        </w:rPr>
        <w:t>Carroll, D. A., &amp; Stater, K. J. (2009). Revenue diversification in nonprofit organizations: Does it lead to financial stability? Journal of Public Administration Research and Theory, 19(4), 947–966. https://doi.org/10.1093/jopart/mun025</w:t>
      </w:r>
    </w:p>
    <w:p w14:paraId="07A3F92D" w14:textId="77777777" w:rsidR="007730C7" w:rsidRPr="007730C7" w:rsidRDefault="007730C7" w:rsidP="007730C7">
      <w:pPr>
        <w:ind w:firstLine="720"/>
        <w:jc w:val="both"/>
        <w:rPr>
          <w:rFonts w:ascii="Simplified Arabic" w:hAnsi="Simplified Arabic" w:cs="Simplified Arabic"/>
          <w:sz w:val="28"/>
          <w:szCs w:val="28"/>
        </w:rPr>
      </w:pPr>
      <w:r w:rsidRPr="007730C7">
        <w:rPr>
          <w:rFonts w:ascii="Simplified Arabic" w:hAnsi="Simplified Arabic" w:cs="Simplified Arabic"/>
          <w:sz w:val="28"/>
          <w:szCs w:val="28"/>
        </w:rPr>
        <w:t>Dees, J. G. (1998). The meaning of "social entrepreneurship" [Working paper]. Duke University, Fuqua School of Business. https://case.fuqua.duke.edu/wp-content/uploads/2025/03/Article_Dees_MeaningofSocialEntrepreneurship_2001.pdf</w:t>
      </w:r>
    </w:p>
    <w:p w14:paraId="389AEADF" w14:textId="77777777" w:rsidR="007730C7" w:rsidRPr="007730C7" w:rsidRDefault="007730C7" w:rsidP="007730C7">
      <w:pPr>
        <w:ind w:firstLine="720"/>
        <w:jc w:val="both"/>
        <w:rPr>
          <w:rFonts w:ascii="Simplified Arabic" w:hAnsi="Simplified Arabic" w:cs="Simplified Arabic"/>
          <w:sz w:val="28"/>
          <w:szCs w:val="28"/>
        </w:rPr>
      </w:pPr>
      <w:r w:rsidRPr="007730C7">
        <w:rPr>
          <w:rFonts w:ascii="Simplified Arabic" w:hAnsi="Simplified Arabic" w:cs="Simplified Arabic"/>
          <w:sz w:val="28"/>
          <w:szCs w:val="28"/>
        </w:rPr>
        <w:t>Dees, J. G. (1998). Enterprising nonprofits: What do you do when traditional sources of funding fall short? Harvard Business Review, 76(1), 55–67.</w:t>
      </w:r>
    </w:p>
    <w:p w14:paraId="2A313758" w14:textId="77777777" w:rsidR="007730C7" w:rsidRPr="007730C7" w:rsidRDefault="007730C7" w:rsidP="007730C7">
      <w:pPr>
        <w:ind w:firstLine="720"/>
        <w:jc w:val="both"/>
        <w:rPr>
          <w:rFonts w:ascii="Simplified Arabic" w:hAnsi="Simplified Arabic" w:cs="Simplified Arabic"/>
          <w:sz w:val="28"/>
          <w:szCs w:val="28"/>
          <w:lang w:val="es-ES"/>
        </w:rPr>
      </w:pPr>
      <w:r w:rsidRPr="007730C7">
        <w:rPr>
          <w:rFonts w:ascii="Simplified Arabic" w:hAnsi="Simplified Arabic" w:cs="Simplified Arabic"/>
          <w:sz w:val="28"/>
          <w:szCs w:val="28"/>
        </w:rPr>
        <w:t xml:space="preserve">Drucker, P. F. (1990). Managing the nonprofit organization: Principles and practices. </w:t>
      </w:r>
      <w:proofErr w:type="spellStart"/>
      <w:r w:rsidRPr="007730C7">
        <w:rPr>
          <w:rFonts w:ascii="Simplified Arabic" w:hAnsi="Simplified Arabic" w:cs="Simplified Arabic"/>
          <w:sz w:val="28"/>
          <w:szCs w:val="28"/>
          <w:lang w:val="es-ES"/>
        </w:rPr>
        <w:t>HarperCollins</w:t>
      </w:r>
      <w:proofErr w:type="spellEnd"/>
      <w:r w:rsidRPr="007730C7">
        <w:rPr>
          <w:rFonts w:ascii="Simplified Arabic" w:hAnsi="Simplified Arabic" w:cs="Simplified Arabic"/>
          <w:sz w:val="28"/>
          <w:szCs w:val="28"/>
          <w:lang w:val="es-ES"/>
        </w:rPr>
        <w:t>.</w:t>
      </w:r>
    </w:p>
    <w:p w14:paraId="3D24E5A3" w14:textId="77777777" w:rsidR="007730C7" w:rsidRPr="007730C7" w:rsidRDefault="007730C7" w:rsidP="007730C7">
      <w:pPr>
        <w:ind w:firstLine="720"/>
        <w:jc w:val="both"/>
        <w:rPr>
          <w:rFonts w:ascii="Simplified Arabic" w:hAnsi="Simplified Arabic" w:cs="Simplified Arabic"/>
          <w:sz w:val="28"/>
          <w:szCs w:val="28"/>
        </w:rPr>
      </w:pPr>
      <w:r w:rsidRPr="007730C7">
        <w:rPr>
          <w:rFonts w:ascii="Simplified Arabic" w:hAnsi="Simplified Arabic" w:cs="Simplified Arabic"/>
          <w:sz w:val="28"/>
          <w:szCs w:val="28"/>
          <w:lang w:val="es-ES"/>
        </w:rPr>
        <w:lastRenderedPageBreak/>
        <w:t xml:space="preserve">García-Jurado, A., Pérez-Barea, J. J., &amp; Nova, R. J. (2021). </w:t>
      </w:r>
      <w:r w:rsidRPr="007730C7">
        <w:rPr>
          <w:rFonts w:ascii="Simplified Arabic" w:hAnsi="Simplified Arabic" w:cs="Simplified Arabic"/>
          <w:sz w:val="28"/>
          <w:szCs w:val="28"/>
        </w:rPr>
        <w:t>A new approach to social entrepreneurship: A systematic review and meta-analysis. Sustainability, 13(5), 2754. https://doi.org/10.3390/su13052754</w:t>
      </w:r>
    </w:p>
    <w:p w14:paraId="4B8A80AC" w14:textId="77777777" w:rsidR="007730C7" w:rsidRPr="007730C7" w:rsidRDefault="007730C7" w:rsidP="007730C7">
      <w:pPr>
        <w:ind w:firstLine="720"/>
        <w:jc w:val="both"/>
        <w:rPr>
          <w:rFonts w:ascii="Simplified Arabic" w:hAnsi="Simplified Arabic" w:cs="Simplified Arabic"/>
          <w:sz w:val="28"/>
          <w:szCs w:val="28"/>
        </w:rPr>
      </w:pPr>
      <w:r w:rsidRPr="007730C7">
        <w:rPr>
          <w:rFonts w:ascii="Simplified Arabic" w:hAnsi="Simplified Arabic" w:cs="Simplified Arabic"/>
          <w:sz w:val="28"/>
          <w:szCs w:val="28"/>
        </w:rPr>
        <w:t>King Khalid Foundation. (2025). Nonprofit Sector Outlook 2025. King Khalid Foundation. https://kkf.org.sa/en/news/flagship-report-highlights-growth-trajectory-of-saudi-s-nonprofit-sector</w:t>
      </w:r>
    </w:p>
    <w:p w14:paraId="1B7713E3" w14:textId="77777777" w:rsidR="007730C7" w:rsidRPr="007730C7" w:rsidRDefault="007730C7" w:rsidP="007730C7">
      <w:pPr>
        <w:ind w:firstLine="720"/>
        <w:jc w:val="both"/>
        <w:rPr>
          <w:rFonts w:ascii="Simplified Arabic" w:hAnsi="Simplified Arabic" w:cs="Simplified Arabic"/>
          <w:sz w:val="28"/>
          <w:szCs w:val="28"/>
        </w:rPr>
      </w:pPr>
      <w:r w:rsidRPr="007730C7">
        <w:rPr>
          <w:rFonts w:ascii="Simplified Arabic" w:hAnsi="Simplified Arabic" w:cs="Simplified Arabic"/>
          <w:sz w:val="28"/>
          <w:szCs w:val="28"/>
          <w:lang w:val="it-CH"/>
        </w:rPr>
        <w:t xml:space="preserve">Martin, R. L., &amp; Osberg, S. (2007). </w:t>
      </w:r>
      <w:r w:rsidRPr="007730C7">
        <w:rPr>
          <w:rFonts w:ascii="Simplified Arabic" w:hAnsi="Simplified Arabic" w:cs="Simplified Arabic"/>
          <w:sz w:val="28"/>
          <w:szCs w:val="28"/>
        </w:rPr>
        <w:t>Social entrepreneurship: The case for definition. Stanford Social Innovation Review, 5(2), 28–39.</w:t>
      </w:r>
    </w:p>
    <w:p w14:paraId="4242B74B" w14:textId="77777777" w:rsidR="007730C7" w:rsidRPr="007730C7" w:rsidRDefault="007730C7" w:rsidP="007730C7">
      <w:pPr>
        <w:ind w:firstLine="720"/>
        <w:jc w:val="both"/>
        <w:rPr>
          <w:rFonts w:ascii="Simplified Arabic" w:hAnsi="Simplified Arabic" w:cs="Simplified Arabic"/>
          <w:sz w:val="28"/>
          <w:szCs w:val="28"/>
        </w:rPr>
      </w:pPr>
      <w:r w:rsidRPr="007730C7">
        <w:rPr>
          <w:rFonts w:ascii="Simplified Arabic" w:hAnsi="Simplified Arabic" w:cs="Simplified Arabic"/>
          <w:sz w:val="28"/>
          <w:szCs w:val="28"/>
        </w:rPr>
        <w:t>Nicholls, A. (Ed.). (2006). Social entrepreneurship: New models of sustainable social change. Oxford University Press.</w:t>
      </w:r>
    </w:p>
    <w:p w14:paraId="147E8B32" w14:textId="77777777" w:rsidR="007730C7" w:rsidRPr="007730C7" w:rsidRDefault="007730C7" w:rsidP="007730C7">
      <w:pPr>
        <w:ind w:firstLine="720"/>
        <w:jc w:val="both"/>
        <w:rPr>
          <w:rFonts w:ascii="Simplified Arabic" w:hAnsi="Simplified Arabic" w:cs="Simplified Arabic"/>
          <w:sz w:val="28"/>
          <w:szCs w:val="28"/>
        </w:rPr>
      </w:pPr>
      <w:r w:rsidRPr="007730C7">
        <w:rPr>
          <w:rFonts w:ascii="Simplified Arabic" w:hAnsi="Simplified Arabic" w:cs="Simplified Arabic"/>
          <w:sz w:val="28"/>
          <w:szCs w:val="28"/>
        </w:rPr>
        <w:t>Tuckman, H. P., &amp; Chang, C. F. (1991). A methodology for measuring the financial vulnerability of charitable nonprofit organizations. Nonprofit and Voluntary Sector Quarterly, 20(4), 445–460. https://doi.org/10.1177/089976409102000407</w:t>
      </w:r>
    </w:p>
    <w:p w14:paraId="6DDF4A8C" w14:textId="5CE7D7AA" w:rsidR="00583607" w:rsidRPr="007730C7" w:rsidRDefault="007730C7" w:rsidP="007730C7">
      <w:pPr>
        <w:ind w:firstLine="720"/>
        <w:jc w:val="both"/>
        <w:rPr>
          <w:rFonts w:ascii="Simplified Arabic" w:hAnsi="Simplified Arabic" w:cs="Simplified Arabic"/>
          <w:sz w:val="28"/>
          <w:szCs w:val="28"/>
        </w:rPr>
      </w:pPr>
      <w:r w:rsidRPr="007730C7">
        <w:rPr>
          <w:rFonts w:ascii="Simplified Arabic" w:hAnsi="Simplified Arabic" w:cs="Simplified Arabic"/>
          <w:sz w:val="28"/>
          <w:szCs w:val="28"/>
        </w:rPr>
        <w:t xml:space="preserve">Vision 2030. (2024). National Center for Non-Profit Sector strategy. Saudi Vision 2030. </w:t>
      </w:r>
      <w:hyperlink r:id="rId4" w:history="1">
        <w:r w:rsidRPr="007730C7">
          <w:rPr>
            <w:rStyle w:val="Hyperlink"/>
            <w:rFonts w:ascii="Simplified Arabic" w:hAnsi="Simplified Arabic" w:cs="Simplified Arabic"/>
            <w:sz w:val="28"/>
            <w:szCs w:val="28"/>
          </w:rPr>
          <w:t>https://www.vision2030.gov.sa/en/explore/strategies/national-center-for-non-profit-sector-strategy</w:t>
        </w:r>
      </w:hyperlink>
    </w:p>
    <w:sectPr w:rsidR="00583607" w:rsidRPr="007730C7" w:rsidSect="007730C7">
      <w:pgSz w:w="11906" w:h="16838"/>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0C7"/>
    <w:rsid w:val="00142217"/>
    <w:rsid w:val="00351B5C"/>
    <w:rsid w:val="00583607"/>
    <w:rsid w:val="006B0958"/>
    <w:rsid w:val="007730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76682"/>
  <w15:chartTrackingRefBased/>
  <w15:docId w15:val="{E2F0B0BD-B52C-41AF-A2CA-EDA1DB91B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0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30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30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0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0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0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0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0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0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0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30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0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0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0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0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0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0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0C7"/>
    <w:rPr>
      <w:rFonts w:eastAsiaTheme="majorEastAsia" w:cstheme="majorBidi"/>
      <w:color w:val="272727" w:themeColor="text1" w:themeTint="D8"/>
    </w:rPr>
  </w:style>
  <w:style w:type="paragraph" w:styleId="Title">
    <w:name w:val="Title"/>
    <w:basedOn w:val="Normal"/>
    <w:next w:val="Normal"/>
    <w:link w:val="TitleChar"/>
    <w:uiPriority w:val="10"/>
    <w:qFormat/>
    <w:rsid w:val="007730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0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0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0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0C7"/>
    <w:pPr>
      <w:spacing w:before="160"/>
      <w:jc w:val="center"/>
    </w:pPr>
    <w:rPr>
      <w:i/>
      <w:iCs/>
      <w:color w:val="404040" w:themeColor="text1" w:themeTint="BF"/>
    </w:rPr>
  </w:style>
  <w:style w:type="character" w:customStyle="1" w:styleId="QuoteChar">
    <w:name w:val="Quote Char"/>
    <w:basedOn w:val="DefaultParagraphFont"/>
    <w:link w:val="Quote"/>
    <w:uiPriority w:val="29"/>
    <w:rsid w:val="007730C7"/>
    <w:rPr>
      <w:i/>
      <w:iCs/>
      <w:color w:val="404040" w:themeColor="text1" w:themeTint="BF"/>
    </w:rPr>
  </w:style>
  <w:style w:type="paragraph" w:styleId="ListParagraph">
    <w:name w:val="List Paragraph"/>
    <w:basedOn w:val="Normal"/>
    <w:uiPriority w:val="34"/>
    <w:qFormat/>
    <w:rsid w:val="007730C7"/>
    <w:pPr>
      <w:ind w:left="720"/>
      <w:contextualSpacing/>
    </w:pPr>
  </w:style>
  <w:style w:type="character" w:styleId="IntenseEmphasis">
    <w:name w:val="Intense Emphasis"/>
    <w:basedOn w:val="DefaultParagraphFont"/>
    <w:uiPriority w:val="21"/>
    <w:qFormat/>
    <w:rsid w:val="007730C7"/>
    <w:rPr>
      <w:i/>
      <w:iCs/>
      <w:color w:val="0F4761" w:themeColor="accent1" w:themeShade="BF"/>
    </w:rPr>
  </w:style>
  <w:style w:type="paragraph" w:styleId="IntenseQuote">
    <w:name w:val="Intense Quote"/>
    <w:basedOn w:val="Normal"/>
    <w:next w:val="Normal"/>
    <w:link w:val="IntenseQuoteChar"/>
    <w:uiPriority w:val="30"/>
    <w:qFormat/>
    <w:rsid w:val="007730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0C7"/>
    <w:rPr>
      <w:i/>
      <w:iCs/>
      <w:color w:val="0F4761" w:themeColor="accent1" w:themeShade="BF"/>
    </w:rPr>
  </w:style>
  <w:style w:type="character" w:styleId="IntenseReference">
    <w:name w:val="Intense Reference"/>
    <w:basedOn w:val="DefaultParagraphFont"/>
    <w:uiPriority w:val="32"/>
    <w:qFormat/>
    <w:rsid w:val="007730C7"/>
    <w:rPr>
      <w:b/>
      <w:bCs/>
      <w:smallCaps/>
      <w:color w:val="0F4761" w:themeColor="accent1" w:themeShade="BF"/>
      <w:spacing w:val="5"/>
    </w:rPr>
  </w:style>
  <w:style w:type="character" w:styleId="Hyperlink">
    <w:name w:val="Hyperlink"/>
    <w:basedOn w:val="DefaultParagraphFont"/>
    <w:uiPriority w:val="99"/>
    <w:unhideWhenUsed/>
    <w:rsid w:val="007730C7"/>
    <w:rPr>
      <w:color w:val="467886" w:themeColor="hyperlink"/>
      <w:u w:val="single"/>
    </w:rPr>
  </w:style>
  <w:style w:type="character" w:styleId="UnresolvedMention">
    <w:name w:val="Unresolved Mention"/>
    <w:basedOn w:val="DefaultParagraphFont"/>
    <w:uiPriority w:val="99"/>
    <w:semiHidden/>
    <w:unhideWhenUsed/>
    <w:rsid w:val="00773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ision2030.gov.sa/en/explore/strategies/national-center-for-non-profit-sector-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1624</Words>
  <Characters>9259</Characters>
  <Application>Microsoft Office Word</Application>
  <DocSecurity>0</DocSecurity>
  <Lines>77</Lines>
  <Paragraphs>21</Paragraphs>
  <ScaleCrop>false</ScaleCrop>
  <Company/>
  <LinksUpToDate>false</LinksUpToDate>
  <CharactersWithSpaces>10862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Kareem Hourani</dc:creator>
  <cp:keywords/>
  <dc:description/>
  <cp:lastModifiedBy>Kareem Hourani</cp:lastModifiedBy>
  <cp:revision>2</cp:revision>
  <dcterms:created xsi:type="dcterms:W3CDTF">2026-06-23T20:12:00Z</dcterms:created>
  <dcterms:modified xsi:type="dcterms:W3CDTF">2026-06-23T20:20:00Z</dcterms:modified>
</cp:coreProperties>
</file>