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line="312" w:lineRule="auto"/>
        <w:jc w:val="center"/>
      </w:pPr>
      <w:r>
        <w:rPr>
          <w:rFonts w:ascii="Arial" w:hAnsi="Arial" w:cs="Arial" w:eastAsia="Arial"/>
          <w:b/>
          <w:color w:val="000000"/>
          <w:sz w:val="32"/>
        </w:rPr>
        <w:t>Midocean University</w:t>
      </w:r>
    </w:p>
    <w:p>
      <w:pPr>
        <w:spacing w:after="120" w:line="312" w:lineRule="auto"/>
        <w:jc w:val="center"/>
      </w:pPr>
      <w:r>
        <w:rPr>
          <w:rFonts w:ascii="Arial" w:hAnsi="Arial" w:cs="Arial" w:eastAsia="Arial"/>
          <w:b/>
          <w:color w:val="000000"/>
          <w:sz w:val="30"/>
        </w:rPr>
        <w:t>Research Plan (RPC001)</w:t>
      </w:r>
    </w:p>
    <w:p>
      <w:pPr>
        <w:bidi/>
        <w:spacing w:after="120" w:line="312" w:lineRule="auto"/>
        <w:jc w:val="right"/>
      </w:pPr>
      <w:r>
        <w:rPr>
          <w:rFonts w:ascii="Arial" w:hAnsi="Arial" w:cs="Arial" w:eastAsia="Arial"/>
          <w:b w:val="0"/>
          <w:color w:val="000000"/>
          <w:sz w:val="16"/>
        </w:rPr>
      </w:r>
    </w:p>
    <w:p>
      <w:pPr>
        <w:spacing w:after="120" w:line="312" w:lineRule="auto"/>
        <w:jc w:val="center"/>
      </w:pPr>
      <w:r>
        <w:rPr>
          <w:rFonts w:ascii="Arial" w:hAnsi="Arial" w:cs="Arial" w:eastAsia="Arial"/>
          <w:b/>
          <w:color w:val="000000"/>
          <w:sz w:val="36"/>
        </w:rPr>
        <w:t>Research Proposal</w:t>
      </w:r>
    </w:p>
    <w:p>
      <w:pPr>
        <w:spacing w:after="120" w:line="312" w:lineRule="auto"/>
        <w:jc w:val="center"/>
      </w:pPr>
      <w:r>
        <w:rPr>
          <w:rFonts w:ascii="Arial" w:hAnsi="Arial" w:cs="Arial" w:eastAsia="Arial"/>
          <w:b/>
          <w:color w:val="000000"/>
          <w:sz w:val="28"/>
        </w:rPr>
        <w:t>Research Title:</w:t>
      </w:r>
    </w:p>
    <w:p>
      <w:pPr>
        <w:spacing w:after="120" w:line="312" w:lineRule="auto"/>
        <w:jc w:val="center"/>
      </w:pPr>
      <w:r>
        <w:rPr>
          <w:rFonts w:ascii="Arial" w:hAnsi="Arial" w:cs="Arial" w:eastAsia="Arial"/>
          <w:b/>
          <w:color w:val="000000"/>
          <w:sz w:val="30"/>
        </w:rPr>
        <w:t>The Impact of Startups on the Development of the Entertainment Sector in Saudi Arabia</w:t>
      </w:r>
    </w:p>
    <w:p>
      <w:pPr>
        <w:spacing w:after="120" w:line="312" w:lineRule="auto"/>
        <w:jc w:val="center"/>
      </w:pPr>
      <w:r>
        <w:rPr>
          <w:rFonts w:ascii="Arial" w:hAnsi="Arial" w:cs="Arial" w:eastAsia="Arial"/>
          <w:b/>
          <w:color w:val="000000"/>
          <w:sz w:val="28"/>
        </w:rPr>
        <w:t>عنوان البحث:</w:t>
      </w:r>
    </w:p>
    <w:p>
      <w:pPr>
        <w:spacing w:after="120" w:line="312" w:lineRule="auto"/>
        <w:jc w:val="center"/>
      </w:pPr>
      <w:r>
        <w:rPr>
          <w:rFonts w:ascii="Arial" w:hAnsi="Arial" w:cs="Arial" w:eastAsia="Arial"/>
          <w:b/>
          <w:color w:val="000000"/>
          <w:sz w:val="32"/>
        </w:rPr>
        <w:t>أثر الشركات الناشئة على تطوير قطاع الترفيه في المملكة العربية السعودية</w:t>
      </w:r>
    </w:p>
    <w:p>
      <w:pPr>
        <w:bidi/>
        <w:spacing w:after="120" w:line="312" w:lineRule="auto"/>
        <w:jc w:val="right"/>
      </w:pPr>
      <w:r>
        <w:rPr>
          <w:rFonts w:ascii="Arial" w:hAnsi="Arial" w:cs="Arial" w:eastAsia="Arial"/>
          <w:b w:val="0"/>
          <w:color w:val="000000"/>
          <w:sz w:val="16"/>
        </w:rPr>
      </w:r>
    </w:p>
    <w:p>
      <w:pPr>
        <w:spacing w:after="120" w:line="312" w:lineRule="auto"/>
        <w:jc w:val="center"/>
      </w:pPr>
      <w:r>
        <w:rPr>
          <w:rFonts w:ascii="Arial" w:hAnsi="Arial" w:cs="Arial" w:eastAsia="Arial"/>
          <w:b w:val="0"/>
          <w:color w:val="000000"/>
          <w:sz w:val="26"/>
        </w:rPr>
        <w:t>Student Name: Radwan Ibrahim Mohammed Ali Mli</w:t>
      </w:r>
    </w:p>
    <w:p>
      <w:pPr>
        <w:spacing w:after="120" w:line="312" w:lineRule="auto"/>
        <w:jc w:val="center"/>
      </w:pPr>
      <w:r>
        <w:rPr>
          <w:rFonts w:ascii="Arial" w:hAnsi="Arial" w:cs="Arial" w:eastAsia="Arial"/>
          <w:b w:val="0"/>
          <w:color w:val="000000"/>
          <w:sz w:val="26"/>
        </w:rPr>
        <w:t>Student ID: 250000972</w:t>
      </w:r>
    </w:p>
    <w:p>
      <w:pPr>
        <w:spacing w:after="120" w:line="312" w:lineRule="auto"/>
        <w:jc w:val="center"/>
      </w:pPr>
      <w:r>
        <w:rPr>
          <w:rFonts w:ascii="Arial" w:hAnsi="Arial" w:cs="Arial" w:eastAsia="Arial"/>
          <w:b w:val="0"/>
          <w:color w:val="000000"/>
          <w:sz w:val="26"/>
        </w:rPr>
        <w:t>Instructor: Dr. Fayez Jrad</w:t>
      </w:r>
    </w:p>
    <w:p>
      <w:pPr>
        <w:spacing w:after="120" w:line="312" w:lineRule="auto"/>
        <w:jc w:val="center"/>
      </w:pPr>
      <w:r>
        <w:rPr>
          <w:rFonts w:ascii="Arial" w:hAnsi="Arial" w:cs="Arial" w:eastAsia="Arial"/>
          <w:b w:val="0"/>
          <w:color w:val="000000"/>
          <w:sz w:val="26"/>
        </w:rPr>
        <w:t>Year: 2026</w:t>
      </w:r>
    </w:p>
    <w:p>
      <w:r>
        <w:br w:type="page"/>
      </w:r>
    </w:p>
    <w:p>
      <w:pPr>
        <w:bidi/>
        <w:spacing w:before="200" w:after="120"/>
        <w:jc w:val="right"/>
      </w:pPr>
      <w:r>
        <w:rPr>
          <w:rFonts w:ascii="Arial" w:hAnsi="Arial" w:cs="Arial" w:eastAsia="Arial"/>
          <w:b/>
          <w:color w:val="1F4E79"/>
          <w:sz w:val="32"/>
        </w:rPr>
        <w:t>الملخص</w:t>
      </w:r>
    </w:p>
    <w:p>
      <w:pPr>
        <w:bidi/>
        <w:spacing w:after="120" w:line="312" w:lineRule="auto"/>
        <w:jc w:val="right"/>
      </w:pPr>
      <w:r>
        <w:rPr>
          <w:rFonts w:ascii="Arial" w:hAnsi="Arial" w:cs="Arial" w:eastAsia="Arial"/>
          <w:b w:val="0"/>
          <w:color w:val="000000"/>
          <w:sz w:val="26"/>
        </w:rPr>
        <w:t>تهدف هذه الدراسة إلى تحليل أثر الشركات الناشئة على تطوير قطاع الترفيه في المملكة العربية السعودية، في ظل التحولات الاقتصادية والاجتماعية التي تشهدها المملكة ضمن رؤية 2030. وتركز الدراسة على دور الشركات الناشئة في الابتكار، وتطوير الخدمات والفعاليات الترفيهية، وتوظيف الحلول الرقمية، وخلق فرص العمل، وتعزيز التنافسية في السوق. وتعتمد الدراسة على المنهج الوصفي التحليلي من خلال الرجوع إلى المراجع العلمية والتقارير الحكومية والدراسات السابقة ذات العلاقة. وتبرز أهمية البحث في تقديم تصور واضح لصناع القرار ورواد الأعمال حول العوامل التي تساعد الشركات الناشئة على الإسهام بفاعلية في تنمية قطاع الترفيه، إضافة إلى تحديد أبرز التحديات التي تواجهها مثل التمويل، التنظيم، المنافسة، وبناء الكفاءات البشرية.</w:t>
      </w:r>
    </w:p>
    <w:p>
      <w:pPr>
        <w:bidi/>
        <w:spacing w:before="200" w:after="120"/>
        <w:jc w:val="right"/>
      </w:pPr>
      <w:r>
        <w:rPr>
          <w:rFonts w:ascii="Arial" w:hAnsi="Arial" w:cs="Arial" w:eastAsia="Arial"/>
          <w:b/>
          <w:color w:val="1F4E79"/>
          <w:sz w:val="28"/>
        </w:rPr>
        <w:t>الكلمات المفتاحية</w:t>
      </w:r>
    </w:p>
    <w:p>
      <w:pPr>
        <w:bidi/>
        <w:spacing w:after="120" w:line="312" w:lineRule="auto"/>
        <w:jc w:val="right"/>
      </w:pPr>
      <w:r>
        <w:rPr>
          <w:rFonts w:ascii="Arial" w:hAnsi="Arial" w:cs="Arial" w:eastAsia="Arial"/>
          <w:b w:val="0"/>
          <w:color w:val="000000"/>
          <w:sz w:val="26"/>
        </w:rPr>
        <w:t>الشركات الناشئة، ريادة الأعمال، قطاع الترفيه، الابتكار، رؤية المملكة 2030، جودة الحياة، المملكة العربية السعودية.</w:t>
      </w:r>
    </w:p>
    <w:p>
      <w:pPr>
        <w:bidi/>
        <w:spacing w:before="200" w:after="120"/>
        <w:jc w:val="right"/>
      </w:pPr>
      <w:r>
        <w:rPr>
          <w:rFonts w:ascii="Arial" w:hAnsi="Arial" w:cs="Arial" w:eastAsia="Arial"/>
          <w:b/>
          <w:color w:val="1F4E79"/>
          <w:sz w:val="32"/>
        </w:rPr>
        <w:t>المقدمة</w:t>
      </w:r>
    </w:p>
    <w:p>
      <w:pPr>
        <w:bidi/>
        <w:spacing w:after="120" w:line="312" w:lineRule="auto"/>
        <w:jc w:val="right"/>
      </w:pPr>
      <w:r>
        <w:rPr>
          <w:rFonts w:ascii="Arial" w:hAnsi="Arial" w:cs="Arial" w:eastAsia="Arial"/>
          <w:b w:val="0"/>
          <w:color w:val="000000"/>
          <w:sz w:val="26"/>
        </w:rPr>
        <w:t>شهدت المملكة العربية السعودية خلال السنوات الأخيرة تحولاً كبيراً في العديد من القطاعات الاقتصادية، ويعد قطاع الترفيه أحد أبرز هذه القطاعات التي حظيت باهتمام واسع ضمن رؤية المملكة 2030، التي تهدف إلى تنويع الاقتصاد الوطني وتقليل الاعتماد على النفط وتحسين جودة الحياة. ويُعد برنامج جودة الحياة أحد البرامج التنفيذية المهمة في الرؤية، إذ يركز على تطوير قطاعات الثقافة والترفيه والرياضة والسياحة وتحسين نمط الحياة في المملكة.</w:t>
      </w:r>
    </w:p>
    <w:p>
      <w:pPr>
        <w:bidi/>
        <w:spacing w:after="120" w:line="312" w:lineRule="auto"/>
        <w:jc w:val="right"/>
      </w:pPr>
      <w:r>
        <w:rPr>
          <w:rFonts w:ascii="Arial" w:hAnsi="Arial" w:cs="Arial" w:eastAsia="Arial"/>
          <w:b w:val="0"/>
          <w:color w:val="000000"/>
          <w:sz w:val="26"/>
        </w:rPr>
        <w:t>وقد لعبت الشركات الناشئة دوراً مهماً في دعم هذا التحول من خلال تقديم أفكار مبتكرة وخدمات ترفيهية حديثة تعتمد على التكنولوجيا والإبداع وريادة الأعمال. كما ساهمت هذه الشركات في تطوير الفعاليات والأنشطة الترفيهية وتنظيمها بطريقة أكثر احترافية، إضافة إلى استخدام الحلول الرقمية في الحجز، إدارة الحشود، التسويق، تجربة العميل، وتحليل البيانات.</w:t>
      </w:r>
    </w:p>
    <w:p>
      <w:pPr>
        <w:bidi/>
        <w:spacing w:after="120" w:line="312" w:lineRule="auto"/>
        <w:jc w:val="right"/>
      </w:pPr>
      <w:r>
        <w:rPr>
          <w:rFonts w:ascii="Arial" w:hAnsi="Arial" w:cs="Arial" w:eastAsia="Arial"/>
          <w:b w:val="0"/>
          <w:color w:val="000000"/>
          <w:sz w:val="26"/>
        </w:rPr>
        <w:t>وتشير البيانات الرسمية الحديثة إلى توسع واضح في سوق الترفيه السعودي؛ فقد أعلنت الهيئة العامة للترفيه أن القطاع استقبل أكثر من 89 مليون زائر خلال عام 2025، كما بلغ عدد الوجهات الترفيهية النشطة 975 وجهة، وشارك 6,778 شركة في أنشطة القطاع خلال العام نفسه. وتعكس هذه الأرقام أهمية دراسة دور الشركات الناشئة في دعم النمو السريع للقطاع وتطوير خدماته.</w:t>
      </w:r>
    </w:p>
    <w:p>
      <w:pPr>
        <w:bidi/>
        <w:spacing w:after="120" w:line="312" w:lineRule="auto"/>
        <w:jc w:val="right"/>
      </w:pPr>
      <w:r>
        <w:rPr>
          <w:rFonts w:ascii="Arial" w:hAnsi="Arial" w:cs="Arial" w:eastAsia="Arial"/>
          <w:b w:val="0"/>
          <w:color w:val="000000"/>
          <w:sz w:val="26"/>
        </w:rPr>
        <w:t>ومن هنا تأتي أهمية دراسة أثر الشركات الناشئة على تطوير قطاع الترفيه في المملكة العربية السعودية، بهدف فهم الدور الذي تلعبه هذه الشركات في الابتكار، وتحسين تجربة المستفيدين، ودعم الاقتصاد الوطني، إضافة إلى تحديد التحديات التي قد تحد من نموها واستدامتها.</w:t>
      </w:r>
    </w:p>
    <w:p>
      <w:pPr>
        <w:bidi/>
        <w:spacing w:before="200" w:after="120"/>
        <w:jc w:val="right"/>
      </w:pPr>
      <w:r>
        <w:rPr>
          <w:rFonts w:ascii="Arial" w:hAnsi="Arial" w:cs="Arial" w:eastAsia="Arial"/>
          <w:b/>
          <w:color w:val="1F4E79"/>
          <w:sz w:val="32"/>
        </w:rPr>
        <w:t>مشكلة الدراسة</w:t>
      </w:r>
    </w:p>
    <w:p>
      <w:pPr>
        <w:bidi/>
        <w:spacing w:after="120" w:line="312" w:lineRule="auto"/>
        <w:jc w:val="right"/>
      </w:pPr>
      <w:r>
        <w:rPr>
          <w:rFonts w:ascii="Arial" w:hAnsi="Arial" w:cs="Arial" w:eastAsia="Arial"/>
          <w:b w:val="0"/>
          <w:color w:val="000000"/>
          <w:sz w:val="26"/>
        </w:rPr>
        <w:t>على الرغم من التطور الكبير الذي يشهده قطاع الترفيه في المملكة العربية السعودية خلال السنوات الأخيرة، إلا أن الدور الذي تلعبه الشركات الناشئة في هذا القطاع لا يزال بحاجة إلى مزيد من الدراسة والتحليل، خصوصاً مع اتساع حجم الفعاليات وتزايد عدد الشركات العاملة في القطاع وارتفاع توقعات الجمهور تجاه جودة التجربة الترفيهية.</w:t>
      </w:r>
    </w:p>
    <w:p>
      <w:pPr>
        <w:bidi/>
        <w:spacing w:after="120" w:line="312" w:lineRule="auto"/>
        <w:jc w:val="right"/>
      </w:pPr>
      <w:r>
        <w:rPr>
          <w:rFonts w:ascii="Arial" w:hAnsi="Arial" w:cs="Arial" w:eastAsia="Arial"/>
          <w:b w:val="0"/>
          <w:color w:val="000000"/>
          <w:sz w:val="26"/>
        </w:rPr>
        <w:t>وتتمثل مشكلة الدراسة في محاولة الإجابة عن السؤال الرئيسي التالي:</w:t>
      </w:r>
    </w:p>
    <w:p>
      <w:pPr>
        <w:bidi/>
        <w:spacing w:after="120" w:line="312" w:lineRule="auto"/>
        <w:jc w:val="right"/>
      </w:pPr>
      <w:r>
        <w:rPr>
          <w:rFonts w:ascii="Arial" w:hAnsi="Arial" w:cs="Arial" w:eastAsia="Arial"/>
          <w:b/>
          <w:color w:val="000000"/>
          <w:sz w:val="26"/>
        </w:rPr>
        <w:t>ما أثر الشركات الناشئة على تطوير قطاع الترفيه في المملكة العربية السعودية؟</w:t>
      </w:r>
    </w:p>
    <w:p>
      <w:pPr>
        <w:bidi/>
        <w:spacing w:after="120" w:line="312" w:lineRule="auto"/>
        <w:jc w:val="right"/>
      </w:pPr>
      <w:r>
        <w:rPr>
          <w:rFonts w:ascii="Arial" w:hAnsi="Arial" w:cs="Arial" w:eastAsia="Arial"/>
          <w:b w:val="0"/>
          <w:color w:val="000000"/>
          <w:sz w:val="26"/>
        </w:rPr>
        <w:t>ويتفرع من هذا السؤال عدة تساؤلات فرعية:</w:t>
      </w:r>
    </w:p>
    <w:p>
      <w:pPr>
        <w:bidi/>
        <w:spacing w:after="60"/>
        <w:ind w:left="0" w:firstLine="0"/>
        <w:jc w:val="right"/>
      </w:pPr>
      <w:r>
        <w:rPr>
          <w:rFonts w:ascii="Arial" w:hAnsi="Arial" w:cs="Arial" w:eastAsia="Arial"/>
          <w:sz w:val="26"/>
        </w:rPr>
        <w:t>• ما دور الشركات الناشئة في تقديم أفكار مبتكرة في قطاع الترفيه؟</w:t>
      </w:r>
    </w:p>
    <w:p>
      <w:pPr>
        <w:bidi/>
        <w:spacing w:after="60"/>
        <w:ind w:left="0" w:firstLine="0"/>
        <w:jc w:val="right"/>
      </w:pPr>
      <w:r>
        <w:rPr>
          <w:rFonts w:ascii="Arial" w:hAnsi="Arial" w:cs="Arial" w:eastAsia="Arial"/>
          <w:sz w:val="26"/>
        </w:rPr>
        <w:t>• كيف تساهم الشركات الناشئة في تطوير الفعاليات والأنشطة والخدمات الترفيهية؟</w:t>
      </w:r>
    </w:p>
    <w:p>
      <w:pPr>
        <w:bidi/>
        <w:spacing w:after="60"/>
        <w:ind w:left="0" w:firstLine="0"/>
        <w:jc w:val="right"/>
      </w:pPr>
      <w:r>
        <w:rPr>
          <w:rFonts w:ascii="Arial" w:hAnsi="Arial" w:cs="Arial" w:eastAsia="Arial"/>
          <w:sz w:val="26"/>
        </w:rPr>
        <w:t>• ما أثر استخدام التكنولوجيا والحلول الرقمية من قبل الشركات الناشئة على تجربة الجمهور؟</w:t>
      </w:r>
    </w:p>
    <w:p>
      <w:pPr>
        <w:bidi/>
        <w:spacing w:after="60"/>
        <w:ind w:left="0" w:firstLine="0"/>
        <w:jc w:val="right"/>
      </w:pPr>
      <w:r>
        <w:rPr>
          <w:rFonts w:ascii="Arial" w:hAnsi="Arial" w:cs="Arial" w:eastAsia="Arial"/>
          <w:sz w:val="26"/>
        </w:rPr>
        <w:t>• ما أبرز التحديات التي تواجه الشركات الناشئة في قطاع الترفيه السعودي؟</w:t>
      </w:r>
    </w:p>
    <w:p>
      <w:pPr>
        <w:bidi/>
        <w:spacing w:after="60"/>
        <w:ind w:left="0" w:firstLine="0"/>
        <w:jc w:val="right"/>
      </w:pPr>
      <w:r>
        <w:rPr>
          <w:rFonts w:ascii="Arial" w:hAnsi="Arial" w:cs="Arial" w:eastAsia="Arial"/>
          <w:sz w:val="26"/>
        </w:rPr>
        <w:t>• ما المقترحات التي يمكن أن تدعم نمو الشركات الناشئة في هذا القطاع؟</w:t>
      </w:r>
    </w:p>
    <w:p>
      <w:pPr>
        <w:bidi/>
        <w:spacing w:before="200" w:after="120"/>
        <w:jc w:val="right"/>
      </w:pPr>
      <w:r>
        <w:rPr>
          <w:rFonts w:ascii="Arial" w:hAnsi="Arial" w:cs="Arial" w:eastAsia="Arial"/>
          <w:b/>
          <w:color w:val="1F4E79"/>
          <w:sz w:val="32"/>
        </w:rPr>
        <w:t>فجوة الدراسة</w:t>
      </w:r>
    </w:p>
    <w:p>
      <w:pPr>
        <w:bidi/>
        <w:spacing w:after="120" w:line="312" w:lineRule="auto"/>
        <w:jc w:val="right"/>
      </w:pPr>
      <w:r>
        <w:rPr>
          <w:rFonts w:ascii="Arial" w:hAnsi="Arial" w:cs="Arial" w:eastAsia="Arial"/>
          <w:b w:val="0"/>
          <w:color w:val="000000"/>
          <w:sz w:val="26"/>
        </w:rPr>
        <w:t>تركز كثير من الدراسات على ريادة الأعمال أو على نمو قطاع الترفيه بشكل عام، إلا أن الربط المباشر بين الشركات الناشئة وتطوير قطاع الترفيه في المملكة العربية السعودية لا يزال محدوداً. لذلك تسعى هذه الدراسة إلى سد هذه الفجوة من خلال تحليل أثر الشركات الناشئة في الابتكار، جودة الخدمات، تجربة الجمهور، وخلق الفرص الاقتصادية داخل قطاع الترفيه السعودي.</w:t>
      </w:r>
    </w:p>
    <w:p>
      <w:pPr>
        <w:bidi/>
        <w:spacing w:before="200" w:after="120"/>
        <w:jc w:val="right"/>
      </w:pPr>
      <w:r>
        <w:rPr>
          <w:rFonts w:ascii="Arial" w:hAnsi="Arial" w:cs="Arial" w:eastAsia="Arial"/>
          <w:b/>
          <w:color w:val="1F4E79"/>
          <w:sz w:val="32"/>
        </w:rPr>
        <w:t>أهمية الدراسة</w:t>
      </w:r>
    </w:p>
    <w:p>
      <w:pPr>
        <w:bidi/>
        <w:spacing w:after="120" w:line="312" w:lineRule="auto"/>
        <w:jc w:val="right"/>
      </w:pPr>
      <w:r>
        <w:rPr>
          <w:rFonts w:ascii="Arial" w:hAnsi="Arial" w:cs="Arial" w:eastAsia="Arial"/>
          <w:b w:val="0"/>
          <w:color w:val="000000"/>
          <w:sz w:val="26"/>
        </w:rPr>
        <w:t>تكمن أهمية هذه الدراسة في تسليط الضوء على دور الشركات الناشئة في تطوير قطاع الترفيه في المملكة العربية السعودية، وذلك من خلال توضيح العلاقة بين ريادة الأعمال والابتكار والنمو الاقتصادي في قطاع حديث وسريع التغير.</w:t>
      </w:r>
    </w:p>
    <w:p>
      <w:pPr>
        <w:bidi/>
        <w:spacing w:after="120" w:line="312" w:lineRule="auto"/>
        <w:jc w:val="right"/>
      </w:pPr>
      <w:r>
        <w:rPr>
          <w:rFonts w:ascii="Arial" w:hAnsi="Arial" w:cs="Arial" w:eastAsia="Arial"/>
          <w:b/>
          <w:color w:val="000000"/>
          <w:sz w:val="26"/>
        </w:rPr>
        <w:t>الأهمية العلمية:</w:t>
      </w:r>
    </w:p>
    <w:p>
      <w:pPr>
        <w:bidi/>
        <w:spacing w:after="60"/>
        <w:ind w:left="0" w:firstLine="0"/>
        <w:jc w:val="right"/>
      </w:pPr>
      <w:r>
        <w:rPr>
          <w:rFonts w:ascii="Arial" w:hAnsi="Arial" w:cs="Arial" w:eastAsia="Arial"/>
          <w:sz w:val="26"/>
        </w:rPr>
        <w:t>• إثراء المعرفة العلمية المتعلقة بريادة الأعمال وقطاع الترفيه.</w:t>
      </w:r>
    </w:p>
    <w:p>
      <w:pPr>
        <w:bidi/>
        <w:spacing w:after="60"/>
        <w:ind w:left="0" w:firstLine="0"/>
        <w:jc w:val="right"/>
      </w:pPr>
      <w:r>
        <w:rPr>
          <w:rFonts w:ascii="Arial" w:hAnsi="Arial" w:cs="Arial" w:eastAsia="Arial"/>
          <w:sz w:val="26"/>
        </w:rPr>
        <w:t>• تقديم إطار بحثي يساعد الباحثين على دراسة العلاقة بين الابتكار وتطوير القطاعات الناشئة.</w:t>
      </w:r>
    </w:p>
    <w:p>
      <w:pPr>
        <w:bidi/>
        <w:spacing w:after="60"/>
        <w:ind w:left="0" w:firstLine="0"/>
        <w:jc w:val="right"/>
      </w:pPr>
      <w:r>
        <w:rPr>
          <w:rFonts w:ascii="Arial" w:hAnsi="Arial" w:cs="Arial" w:eastAsia="Arial"/>
          <w:sz w:val="26"/>
        </w:rPr>
        <w:t>• دعم الدراسات المستقبلية التي تتناول اقتصاد الترفيه في المملكة.</w:t>
      </w:r>
    </w:p>
    <w:p>
      <w:pPr>
        <w:bidi/>
        <w:spacing w:after="120" w:line="312" w:lineRule="auto"/>
        <w:jc w:val="right"/>
      </w:pPr>
      <w:r>
        <w:rPr>
          <w:rFonts w:ascii="Arial" w:hAnsi="Arial" w:cs="Arial" w:eastAsia="Arial"/>
          <w:b/>
          <w:color w:val="000000"/>
          <w:sz w:val="26"/>
        </w:rPr>
        <w:t>الأهمية العملية:</w:t>
      </w:r>
    </w:p>
    <w:p>
      <w:pPr>
        <w:bidi/>
        <w:spacing w:after="60"/>
        <w:ind w:left="0" w:firstLine="0"/>
        <w:jc w:val="right"/>
      </w:pPr>
      <w:r>
        <w:rPr>
          <w:rFonts w:ascii="Arial" w:hAnsi="Arial" w:cs="Arial" w:eastAsia="Arial"/>
          <w:sz w:val="26"/>
        </w:rPr>
        <w:t>• مساعدة صناع القرار في فهم احتياجات الشركات الناشئة داخل قطاع الترفيه.</w:t>
      </w:r>
    </w:p>
    <w:p>
      <w:pPr>
        <w:bidi/>
        <w:spacing w:after="60"/>
        <w:ind w:left="0" w:firstLine="0"/>
        <w:jc w:val="right"/>
      </w:pPr>
      <w:r>
        <w:rPr>
          <w:rFonts w:ascii="Arial" w:hAnsi="Arial" w:cs="Arial" w:eastAsia="Arial"/>
          <w:sz w:val="26"/>
        </w:rPr>
        <w:t>• تقديم مؤشرات مفيدة لرواد الأعمال والمستثمرين الراغبين في دخول هذا القطاع.</w:t>
      </w:r>
    </w:p>
    <w:p>
      <w:pPr>
        <w:bidi/>
        <w:spacing w:after="60"/>
        <w:ind w:left="0" w:firstLine="0"/>
        <w:jc w:val="right"/>
      </w:pPr>
      <w:r>
        <w:rPr>
          <w:rFonts w:ascii="Arial" w:hAnsi="Arial" w:cs="Arial" w:eastAsia="Arial"/>
          <w:sz w:val="26"/>
        </w:rPr>
        <w:t>• توضيح التحديات التنظيمية والمالية والتشغيلية التي قد تؤثر في نمو الشركات الناشئة.</w:t>
      </w:r>
    </w:p>
    <w:p>
      <w:pPr>
        <w:bidi/>
        <w:spacing w:before="200" w:after="120"/>
        <w:jc w:val="right"/>
      </w:pPr>
      <w:r>
        <w:rPr>
          <w:rFonts w:ascii="Arial" w:hAnsi="Arial" w:cs="Arial" w:eastAsia="Arial"/>
          <w:b/>
          <w:color w:val="1F4E79"/>
          <w:sz w:val="32"/>
        </w:rPr>
        <w:t>أهداف الدراسة</w:t>
      </w:r>
    </w:p>
    <w:p>
      <w:pPr>
        <w:bidi/>
        <w:spacing w:after="60"/>
        <w:ind w:left="0" w:firstLine="0"/>
        <w:jc w:val="right"/>
      </w:pPr>
      <w:r>
        <w:rPr>
          <w:rFonts w:ascii="Arial" w:hAnsi="Arial" w:cs="Arial" w:eastAsia="Arial"/>
          <w:sz w:val="26"/>
        </w:rPr>
        <w:t>• التعرف على مفهوم الشركات الناشئة ودورها في الاقتصاد.</w:t>
      </w:r>
    </w:p>
    <w:p>
      <w:pPr>
        <w:bidi/>
        <w:spacing w:after="60"/>
        <w:ind w:left="0" w:firstLine="0"/>
        <w:jc w:val="right"/>
      </w:pPr>
      <w:r>
        <w:rPr>
          <w:rFonts w:ascii="Arial" w:hAnsi="Arial" w:cs="Arial" w:eastAsia="Arial"/>
          <w:sz w:val="26"/>
        </w:rPr>
        <w:t>• دراسة واقع قطاع الترفيه في المملكة العربية السعودية.</w:t>
      </w:r>
    </w:p>
    <w:p>
      <w:pPr>
        <w:bidi/>
        <w:spacing w:after="60"/>
        <w:ind w:left="0" w:firstLine="0"/>
        <w:jc w:val="right"/>
      </w:pPr>
      <w:r>
        <w:rPr>
          <w:rFonts w:ascii="Arial" w:hAnsi="Arial" w:cs="Arial" w:eastAsia="Arial"/>
          <w:sz w:val="26"/>
        </w:rPr>
        <w:t>• تحليل دور الشركات الناشئة في تطوير الأنشطة والخدمات الترفيهية.</w:t>
      </w:r>
    </w:p>
    <w:p>
      <w:pPr>
        <w:bidi/>
        <w:spacing w:after="60"/>
        <w:ind w:left="0" w:firstLine="0"/>
        <w:jc w:val="right"/>
      </w:pPr>
      <w:r>
        <w:rPr>
          <w:rFonts w:ascii="Arial" w:hAnsi="Arial" w:cs="Arial" w:eastAsia="Arial"/>
          <w:sz w:val="26"/>
        </w:rPr>
        <w:t>• قياس أثر الابتكار والتكنولوجيا على جودة التجربة الترفيهية.</w:t>
      </w:r>
    </w:p>
    <w:p>
      <w:pPr>
        <w:bidi/>
        <w:spacing w:after="60"/>
        <w:ind w:left="0" w:firstLine="0"/>
        <w:jc w:val="right"/>
      </w:pPr>
      <w:r>
        <w:rPr>
          <w:rFonts w:ascii="Arial" w:hAnsi="Arial" w:cs="Arial" w:eastAsia="Arial"/>
          <w:sz w:val="26"/>
        </w:rPr>
        <w:t>• التعرف على التحديات التي تواجه الشركات الناشئة في قطاع الترفيه.</w:t>
      </w:r>
    </w:p>
    <w:p>
      <w:pPr>
        <w:bidi/>
        <w:spacing w:after="60"/>
        <w:ind w:left="0" w:firstLine="0"/>
        <w:jc w:val="right"/>
      </w:pPr>
      <w:r>
        <w:rPr>
          <w:rFonts w:ascii="Arial" w:hAnsi="Arial" w:cs="Arial" w:eastAsia="Arial"/>
          <w:sz w:val="26"/>
        </w:rPr>
        <w:t>• تقديم توصيات تساعد في دعم الشركات الناشئة وتعزيز دورها في تطوير القطاع.</w:t>
      </w:r>
    </w:p>
    <w:p>
      <w:pPr>
        <w:bidi/>
        <w:spacing w:before="200" w:after="120"/>
        <w:jc w:val="right"/>
      </w:pPr>
      <w:r>
        <w:rPr>
          <w:rFonts w:ascii="Arial" w:hAnsi="Arial" w:cs="Arial" w:eastAsia="Arial"/>
          <w:b/>
          <w:color w:val="1F4E79"/>
          <w:sz w:val="32"/>
        </w:rPr>
        <w:t>أسئلة الدراسة</w:t>
      </w:r>
    </w:p>
    <w:p>
      <w:pPr>
        <w:bidi/>
        <w:spacing w:after="60"/>
        <w:ind w:left="0" w:firstLine="0"/>
        <w:jc w:val="right"/>
      </w:pPr>
      <w:r>
        <w:rPr>
          <w:rFonts w:ascii="Arial" w:hAnsi="Arial" w:cs="Arial" w:eastAsia="Arial"/>
          <w:sz w:val="26"/>
        </w:rPr>
        <w:t>• ما أثر الشركات الناشئة على تطوير قطاع الترفيه في المملكة العربية السعودية؟</w:t>
      </w:r>
    </w:p>
    <w:p>
      <w:pPr>
        <w:bidi/>
        <w:spacing w:after="60"/>
        <w:ind w:left="0" w:firstLine="0"/>
        <w:jc w:val="right"/>
      </w:pPr>
      <w:r>
        <w:rPr>
          <w:rFonts w:ascii="Arial" w:hAnsi="Arial" w:cs="Arial" w:eastAsia="Arial"/>
          <w:sz w:val="26"/>
        </w:rPr>
        <w:t>• ما دور الشركات الناشئة في تقديم خدمات ترفيهية مبتكرة؟</w:t>
      </w:r>
    </w:p>
    <w:p>
      <w:pPr>
        <w:bidi/>
        <w:spacing w:after="60"/>
        <w:ind w:left="0" w:firstLine="0"/>
        <w:jc w:val="right"/>
      </w:pPr>
      <w:r>
        <w:rPr>
          <w:rFonts w:ascii="Arial" w:hAnsi="Arial" w:cs="Arial" w:eastAsia="Arial"/>
          <w:sz w:val="26"/>
        </w:rPr>
        <w:t>• كيف تساهم التكنولوجيا في تحسين تجربة الجمهور داخل قطاع الترفيه؟</w:t>
      </w:r>
    </w:p>
    <w:p>
      <w:pPr>
        <w:bidi/>
        <w:spacing w:after="60"/>
        <w:ind w:left="0" w:firstLine="0"/>
        <w:jc w:val="right"/>
      </w:pPr>
      <w:r>
        <w:rPr>
          <w:rFonts w:ascii="Arial" w:hAnsi="Arial" w:cs="Arial" w:eastAsia="Arial"/>
          <w:sz w:val="26"/>
        </w:rPr>
        <w:t>• ما أبرز التحديات التي تواجه الشركات الناشئة في هذا القطاع؟</w:t>
      </w:r>
    </w:p>
    <w:p>
      <w:pPr>
        <w:bidi/>
        <w:spacing w:after="60"/>
        <w:ind w:left="0" w:firstLine="0"/>
        <w:jc w:val="right"/>
      </w:pPr>
      <w:r>
        <w:rPr>
          <w:rFonts w:ascii="Arial" w:hAnsi="Arial" w:cs="Arial" w:eastAsia="Arial"/>
          <w:sz w:val="26"/>
        </w:rPr>
        <w:t>• ما المقترحات التي تساعد على دعم واستدامة الشركات الناشئة في قطاع الترفيه؟</w:t>
      </w:r>
    </w:p>
    <w:p>
      <w:pPr>
        <w:bidi/>
        <w:spacing w:before="200" w:after="120"/>
        <w:jc w:val="right"/>
      </w:pPr>
      <w:r>
        <w:rPr>
          <w:rFonts w:ascii="Arial" w:hAnsi="Arial" w:cs="Arial" w:eastAsia="Arial"/>
          <w:b/>
          <w:color w:val="1F4E79"/>
          <w:sz w:val="32"/>
        </w:rPr>
        <w:t>فرضيات الدراسة</w:t>
      </w:r>
    </w:p>
    <w:p>
      <w:pPr>
        <w:bidi/>
        <w:spacing w:after="60"/>
        <w:ind w:left="0" w:firstLine="0"/>
        <w:jc w:val="right"/>
      </w:pPr>
      <w:r>
        <w:rPr>
          <w:rFonts w:ascii="Arial" w:hAnsi="Arial" w:cs="Arial" w:eastAsia="Arial"/>
          <w:sz w:val="26"/>
        </w:rPr>
        <w:t>• توجد علاقة إيجابية بين ابتكار الشركات الناشئة وتطوير قطاع الترفيه في المملكة العربية السعودية.</w:t>
      </w:r>
    </w:p>
    <w:p>
      <w:pPr>
        <w:bidi/>
        <w:spacing w:after="60"/>
        <w:ind w:left="0" w:firstLine="0"/>
        <w:jc w:val="right"/>
      </w:pPr>
      <w:r>
        <w:rPr>
          <w:rFonts w:ascii="Arial" w:hAnsi="Arial" w:cs="Arial" w:eastAsia="Arial"/>
          <w:sz w:val="26"/>
        </w:rPr>
        <w:t>• يساهم استخدام التكنولوجيا من قبل الشركات الناشئة في تحسين جودة التجربة الترفيهية.</w:t>
      </w:r>
    </w:p>
    <w:p>
      <w:pPr>
        <w:bidi/>
        <w:spacing w:after="60"/>
        <w:ind w:left="0" w:firstLine="0"/>
        <w:jc w:val="right"/>
      </w:pPr>
      <w:r>
        <w:rPr>
          <w:rFonts w:ascii="Arial" w:hAnsi="Arial" w:cs="Arial" w:eastAsia="Arial"/>
          <w:sz w:val="26"/>
        </w:rPr>
        <w:t>• تؤثر التحديات التمويلية والتنظيمية سلباً على نمو الشركات الناشئة في قطاع الترفيه.</w:t>
      </w:r>
    </w:p>
    <w:p>
      <w:pPr>
        <w:bidi/>
        <w:spacing w:after="60"/>
        <w:ind w:left="0" w:firstLine="0"/>
        <w:jc w:val="right"/>
      </w:pPr>
      <w:r>
        <w:rPr>
          <w:rFonts w:ascii="Arial" w:hAnsi="Arial" w:cs="Arial" w:eastAsia="Arial"/>
          <w:sz w:val="26"/>
        </w:rPr>
        <w:t>• يساهم دعم الجهات الحكومية والممكنات الريادية في تعزيز استدامة الشركات الناشئة في قطاع الترفيه.</w:t>
      </w:r>
    </w:p>
    <w:p>
      <w:pPr>
        <w:bidi/>
        <w:spacing w:before="200" w:after="120"/>
        <w:jc w:val="right"/>
      </w:pPr>
      <w:r>
        <w:rPr>
          <w:rFonts w:ascii="Arial" w:hAnsi="Arial" w:cs="Arial" w:eastAsia="Arial"/>
          <w:b/>
          <w:color w:val="1F4E79"/>
          <w:sz w:val="32"/>
        </w:rPr>
        <w:t>متغيرات الدراسة</w:t>
      </w:r>
    </w:p>
    <w:tbl>
      <w:tblPr>
        <w:tblStyle w:val="TableGrid"/>
        <w:tblW w:type="auto" w:w="0"/>
        <w:jc w:val="center"/>
        <w:tblLook w:firstColumn="1" w:firstRow="1" w:lastColumn="0" w:lastRow="0" w:noHBand="0" w:noVBand="1" w:val="04A0"/>
      </w:tblPr>
      <w:tblGrid>
        <w:gridCol w:w="3408"/>
        <w:gridCol w:w="3408"/>
        <w:gridCol w:w="3408"/>
      </w:tblGrid>
      <w:tr>
        <w:tc>
          <w:tcPr>
            <w:tcW w:type="dxa" w:w="3408"/>
            <w:bidi/>
          </w:tcPr>
          <w:p>
            <w:pPr>
              <w:jc w:val="right"/>
            </w:pPr>
            <w:r/>
            <w:r>
              <w:rPr>
                <w:rFonts w:ascii="Arial" w:hAnsi="Arial"/>
                <w:b/>
                <w:sz w:val="24"/>
              </w:rPr>
              <w:t>نوع المتغير</w:t>
            </w:r>
          </w:p>
        </w:tc>
        <w:tc>
          <w:tcPr>
            <w:tcW w:type="dxa" w:w="3408"/>
            <w:bidi/>
          </w:tcPr>
          <w:p>
            <w:pPr>
              <w:jc w:val="right"/>
            </w:pPr>
            <w:r/>
            <w:r>
              <w:rPr>
                <w:rFonts w:ascii="Arial" w:hAnsi="Arial"/>
                <w:b/>
                <w:sz w:val="24"/>
              </w:rPr>
              <w:t>المتغير</w:t>
            </w:r>
          </w:p>
        </w:tc>
        <w:tc>
          <w:tcPr>
            <w:tcW w:type="dxa" w:w="3408"/>
            <w:bidi/>
          </w:tcPr>
          <w:p>
            <w:pPr>
              <w:jc w:val="right"/>
            </w:pPr>
            <w:r/>
            <w:r>
              <w:rPr>
                <w:rFonts w:ascii="Arial" w:hAnsi="Arial"/>
                <w:b/>
                <w:sz w:val="24"/>
              </w:rPr>
              <w:t>مؤشرات القياس</w:t>
            </w:r>
          </w:p>
        </w:tc>
      </w:tr>
      <w:tr>
        <w:tc>
          <w:tcPr>
            <w:tcW w:type="dxa" w:w="3408"/>
            <w:bidi/>
          </w:tcPr>
          <w:p>
            <w:pPr>
              <w:jc w:val="right"/>
            </w:pPr>
            <w:r/>
            <w:r>
              <w:rPr>
                <w:rFonts w:ascii="Arial" w:hAnsi="Arial"/>
                <w:b w:val="0"/>
                <w:sz w:val="24"/>
              </w:rPr>
              <w:t>المتغير المستقل</w:t>
            </w:r>
          </w:p>
        </w:tc>
        <w:tc>
          <w:tcPr>
            <w:tcW w:type="dxa" w:w="3408"/>
            <w:bidi/>
          </w:tcPr>
          <w:p>
            <w:pPr>
              <w:jc w:val="right"/>
            </w:pPr>
            <w:r/>
            <w:r>
              <w:rPr>
                <w:rFonts w:ascii="Arial" w:hAnsi="Arial"/>
                <w:b w:val="0"/>
                <w:sz w:val="24"/>
              </w:rPr>
              <w:t>الشركات الناشئة</w:t>
            </w:r>
          </w:p>
        </w:tc>
        <w:tc>
          <w:tcPr>
            <w:tcW w:type="dxa" w:w="3408"/>
            <w:bidi/>
          </w:tcPr>
          <w:p>
            <w:pPr>
              <w:jc w:val="right"/>
            </w:pPr>
            <w:r/>
            <w:r>
              <w:rPr>
                <w:rFonts w:ascii="Arial" w:hAnsi="Arial"/>
                <w:b w:val="0"/>
                <w:sz w:val="24"/>
              </w:rPr>
              <w:t>الابتكار، استخدام التكنولوجيا، سرعة النمو، ريادة الأعمال، المرونة التشغيلية</w:t>
            </w:r>
          </w:p>
        </w:tc>
      </w:tr>
      <w:tr>
        <w:tc>
          <w:tcPr>
            <w:tcW w:type="dxa" w:w="3408"/>
            <w:bidi/>
          </w:tcPr>
          <w:p>
            <w:pPr>
              <w:jc w:val="right"/>
            </w:pPr>
            <w:r/>
            <w:r>
              <w:rPr>
                <w:rFonts w:ascii="Arial" w:hAnsi="Arial"/>
                <w:b w:val="0"/>
                <w:sz w:val="24"/>
              </w:rPr>
              <w:t>المتغير التابع</w:t>
            </w:r>
          </w:p>
        </w:tc>
        <w:tc>
          <w:tcPr>
            <w:tcW w:type="dxa" w:w="3408"/>
            <w:bidi/>
          </w:tcPr>
          <w:p>
            <w:pPr>
              <w:jc w:val="right"/>
            </w:pPr>
            <w:r/>
            <w:r>
              <w:rPr>
                <w:rFonts w:ascii="Arial" w:hAnsi="Arial"/>
                <w:b w:val="0"/>
                <w:sz w:val="24"/>
              </w:rPr>
              <w:t>تطوير قطاع الترفيه</w:t>
            </w:r>
          </w:p>
        </w:tc>
        <w:tc>
          <w:tcPr>
            <w:tcW w:type="dxa" w:w="3408"/>
            <w:bidi/>
          </w:tcPr>
          <w:p>
            <w:pPr>
              <w:jc w:val="right"/>
            </w:pPr>
            <w:r/>
            <w:r>
              <w:rPr>
                <w:rFonts w:ascii="Arial" w:hAnsi="Arial"/>
                <w:b w:val="0"/>
                <w:sz w:val="24"/>
              </w:rPr>
              <w:t>جودة الخدمات، تنوع الفعاليات، تجربة الجمهور، فرص العمل، التنافسية</w:t>
            </w:r>
          </w:p>
        </w:tc>
      </w:tr>
      <w:tr>
        <w:tc>
          <w:tcPr>
            <w:tcW w:type="dxa" w:w="3408"/>
            <w:bidi/>
          </w:tcPr>
          <w:p>
            <w:pPr>
              <w:jc w:val="right"/>
            </w:pPr>
            <w:r/>
            <w:r>
              <w:rPr>
                <w:rFonts w:ascii="Arial" w:hAnsi="Arial"/>
                <w:b w:val="0"/>
                <w:sz w:val="24"/>
              </w:rPr>
              <w:t>متغيرات وسيطة/مؤثرة</w:t>
            </w:r>
          </w:p>
        </w:tc>
        <w:tc>
          <w:tcPr>
            <w:tcW w:type="dxa" w:w="3408"/>
            <w:bidi/>
          </w:tcPr>
          <w:p>
            <w:pPr>
              <w:jc w:val="right"/>
            </w:pPr>
            <w:r/>
            <w:r>
              <w:rPr>
                <w:rFonts w:ascii="Arial" w:hAnsi="Arial"/>
                <w:b w:val="0"/>
                <w:sz w:val="24"/>
              </w:rPr>
              <w:t>الدعم الحكومي والتشريعات والتمويل</w:t>
            </w:r>
          </w:p>
        </w:tc>
        <w:tc>
          <w:tcPr>
            <w:tcW w:type="dxa" w:w="3408"/>
            <w:bidi/>
          </w:tcPr>
          <w:p>
            <w:pPr>
              <w:jc w:val="right"/>
            </w:pPr>
            <w:r/>
            <w:r>
              <w:rPr>
                <w:rFonts w:ascii="Arial" w:hAnsi="Arial"/>
                <w:b w:val="0"/>
                <w:sz w:val="24"/>
              </w:rPr>
              <w:t>التسهيلات، الأنظمة، برامج الدعم، توفر الاستثمار، بناء الكفاءات</w:t>
            </w:r>
          </w:p>
        </w:tc>
      </w:tr>
    </w:tbl>
    <w:p>
      <w:pPr>
        <w:bidi/>
        <w:spacing w:before="200" w:after="120"/>
        <w:jc w:val="right"/>
      </w:pPr>
      <w:r>
        <w:rPr>
          <w:rFonts w:ascii="Arial" w:hAnsi="Arial" w:cs="Arial" w:eastAsia="Arial"/>
          <w:b/>
          <w:color w:val="1F4E79"/>
          <w:sz w:val="32"/>
        </w:rPr>
        <w:t>الإطار المفاهيمي للدراسة</w:t>
      </w:r>
    </w:p>
    <w:p>
      <w:pPr>
        <w:bidi/>
        <w:spacing w:after="120" w:line="312" w:lineRule="auto"/>
        <w:jc w:val="right"/>
      </w:pPr>
      <w:r>
        <w:rPr>
          <w:rFonts w:ascii="Arial" w:hAnsi="Arial" w:cs="Arial" w:eastAsia="Arial"/>
          <w:b w:val="0"/>
          <w:color w:val="000000"/>
          <w:sz w:val="26"/>
        </w:rPr>
        <w:t>يقوم الإطار المفاهيمي للدراسة على أن الشركات الناشئة، بما تمتلكه من ابتكار ومرونة وقدرة على استخدام التقنية، يمكن أن تؤثر في تطوير قطاع الترفيه من خلال تحسين تجربة الجمهور، وتقديم خدمات جديدة، ورفع كفاءة تنظيم الفعاليات، ودعم التنافسية. كما أن الدعم الحكومي والتمويل والتشريعات المناسبة قد تعزز هذه العلاقة وتزيد من فرص نجاح الشركات الناشئة في القطاع.</w:t>
      </w:r>
    </w:p>
    <w:p>
      <w:pPr>
        <w:bidi/>
        <w:spacing w:after="120" w:line="312" w:lineRule="auto"/>
        <w:jc w:val="right"/>
      </w:pPr>
      <w:r>
        <w:rPr>
          <w:rFonts w:ascii="Arial" w:hAnsi="Arial" w:cs="Arial" w:eastAsia="Arial"/>
          <w:b/>
          <w:color w:val="000000"/>
          <w:sz w:val="26"/>
        </w:rPr>
        <w:t>الشركات الناشئة ← الابتكار والتكنولوجيا وريادة الأعمال ← تطوير الخدمات والفعاليات الترفيهية ← تحسين تجربة الجمهور ونمو قطاع الترفيه</w:t>
      </w:r>
    </w:p>
    <w:p>
      <w:pPr>
        <w:bidi/>
        <w:spacing w:before="200" w:after="120"/>
        <w:jc w:val="right"/>
      </w:pPr>
      <w:r>
        <w:rPr>
          <w:rFonts w:ascii="Arial" w:hAnsi="Arial" w:cs="Arial" w:eastAsia="Arial"/>
          <w:b/>
          <w:color w:val="1F4E79"/>
          <w:sz w:val="32"/>
        </w:rPr>
        <w:t>منهجية الدراسة</w:t>
      </w:r>
    </w:p>
    <w:p>
      <w:pPr>
        <w:bidi/>
        <w:spacing w:after="120" w:line="312" w:lineRule="auto"/>
        <w:jc w:val="right"/>
      </w:pPr>
      <w:r>
        <w:rPr>
          <w:rFonts w:ascii="Arial" w:hAnsi="Arial" w:cs="Arial" w:eastAsia="Arial"/>
          <w:b w:val="0"/>
          <w:color w:val="000000"/>
          <w:sz w:val="26"/>
        </w:rPr>
        <w:t>تعتمد هذه الدراسة على المنهج الوصفي التحليلي، حيث يتم استخدام هذا المنهج لوصف وتحليل دور الشركات الناشئة في تطوير قطاع الترفيه في المملكة العربية السعودية، وفهم العلاقة بين الابتكار وريادة الأعمال ونمو القطاع.</w:t>
      </w:r>
    </w:p>
    <w:p>
      <w:pPr>
        <w:bidi/>
        <w:spacing w:after="120" w:line="312" w:lineRule="auto"/>
        <w:jc w:val="right"/>
      </w:pPr>
      <w:r>
        <w:rPr>
          <w:rFonts w:ascii="Arial" w:hAnsi="Arial" w:cs="Arial" w:eastAsia="Arial"/>
          <w:b/>
          <w:color w:val="000000"/>
          <w:sz w:val="26"/>
        </w:rPr>
        <w:t>مصادر جمع البيانات:</w:t>
      </w:r>
    </w:p>
    <w:p>
      <w:pPr>
        <w:bidi/>
        <w:spacing w:after="60"/>
        <w:ind w:left="0" w:firstLine="0"/>
        <w:jc w:val="right"/>
      </w:pPr>
      <w:r>
        <w:rPr>
          <w:rFonts w:ascii="Arial" w:hAnsi="Arial" w:cs="Arial" w:eastAsia="Arial"/>
          <w:sz w:val="26"/>
        </w:rPr>
        <w:t>• الكتب والمراجع العلمية المتعلقة بريادة الأعمال والشركات الناشئة.</w:t>
      </w:r>
    </w:p>
    <w:p>
      <w:pPr>
        <w:bidi/>
        <w:spacing w:after="60"/>
        <w:ind w:left="0" w:firstLine="0"/>
        <w:jc w:val="right"/>
      </w:pPr>
      <w:r>
        <w:rPr>
          <w:rFonts w:ascii="Arial" w:hAnsi="Arial" w:cs="Arial" w:eastAsia="Arial"/>
          <w:sz w:val="26"/>
        </w:rPr>
        <w:t>• الدراسات السابقة ذات العلاقة بقطاع الترفيه والابتكار.</w:t>
      </w:r>
    </w:p>
    <w:p>
      <w:pPr>
        <w:bidi/>
        <w:spacing w:after="60"/>
        <w:ind w:left="0" w:firstLine="0"/>
        <w:jc w:val="right"/>
      </w:pPr>
      <w:r>
        <w:rPr>
          <w:rFonts w:ascii="Arial" w:hAnsi="Arial" w:cs="Arial" w:eastAsia="Arial"/>
          <w:sz w:val="26"/>
        </w:rPr>
        <w:t>• التقارير الحكومية والرسمية مثل تقارير رؤية 2030، الهيئة العامة للترفيه، ومنشآت.</w:t>
      </w:r>
    </w:p>
    <w:p>
      <w:pPr>
        <w:bidi/>
        <w:spacing w:after="60"/>
        <w:ind w:left="0" w:firstLine="0"/>
        <w:jc w:val="right"/>
      </w:pPr>
      <w:r>
        <w:rPr>
          <w:rFonts w:ascii="Arial" w:hAnsi="Arial" w:cs="Arial" w:eastAsia="Arial"/>
          <w:sz w:val="26"/>
        </w:rPr>
        <w:t>• المقالات والأبحاث العلمية المنشورة في قواعد البيانات والمجلات المحكمة.</w:t>
      </w:r>
    </w:p>
    <w:p>
      <w:pPr>
        <w:bidi/>
        <w:spacing w:after="120" w:line="312" w:lineRule="auto"/>
        <w:jc w:val="right"/>
      </w:pPr>
      <w:r>
        <w:rPr>
          <w:rFonts w:ascii="Arial" w:hAnsi="Arial" w:cs="Arial" w:eastAsia="Arial"/>
          <w:b/>
          <w:color w:val="000000"/>
          <w:sz w:val="26"/>
        </w:rPr>
        <w:t>مجتمع الدراسة:</w:t>
      </w:r>
    </w:p>
    <w:p>
      <w:pPr>
        <w:bidi/>
        <w:spacing w:after="120" w:line="312" w:lineRule="auto"/>
        <w:jc w:val="right"/>
      </w:pPr>
      <w:r>
        <w:rPr>
          <w:rFonts w:ascii="Arial" w:hAnsi="Arial" w:cs="Arial" w:eastAsia="Arial"/>
          <w:b w:val="0"/>
          <w:color w:val="000000"/>
          <w:sz w:val="26"/>
        </w:rPr>
        <w:t>يتكون مجتمع الدراسة من الشركات الناشئة ورواد الأعمال والعاملين والمهتمين بقطاع الترفيه في المملكة العربية السعودية.</w:t>
      </w:r>
    </w:p>
    <w:p>
      <w:pPr>
        <w:bidi/>
        <w:spacing w:after="120" w:line="312" w:lineRule="auto"/>
        <w:jc w:val="right"/>
      </w:pPr>
      <w:r>
        <w:rPr>
          <w:rFonts w:ascii="Arial" w:hAnsi="Arial" w:cs="Arial" w:eastAsia="Arial"/>
          <w:b/>
          <w:color w:val="000000"/>
          <w:sz w:val="26"/>
        </w:rPr>
        <w:t>عينة الدراسة المقترحة:</w:t>
      </w:r>
    </w:p>
    <w:p>
      <w:pPr>
        <w:bidi/>
        <w:spacing w:after="120" w:line="312" w:lineRule="auto"/>
        <w:jc w:val="right"/>
      </w:pPr>
      <w:r>
        <w:rPr>
          <w:rFonts w:ascii="Arial" w:hAnsi="Arial" w:cs="Arial" w:eastAsia="Arial"/>
          <w:b w:val="0"/>
          <w:color w:val="000000"/>
          <w:sz w:val="26"/>
        </w:rPr>
        <w:t>يمكن أن تشمل عينة الدراسة مجموعة من رواد الأعمال والعاملين في شركات ناشئة مرتبطة بالترفيه والفعاليات، إضافة إلى مستفيدين من الخدمات الترفيهية، وذلك بحسب متطلبات الجامعة وإمكانية جمع البيانات.</w:t>
      </w:r>
    </w:p>
    <w:p>
      <w:pPr>
        <w:bidi/>
        <w:spacing w:after="120" w:line="312" w:lineRule="auto"/>
        <w:jc w:val="right"/>
      </w:pPr>
      <w:r>
        <w:rPr>
          <w:rFonts w:ascii="Arial" w:hAnsi="Arial" w:cs="Arial" w:eastAsia="Arial"/>
          <w:b/>
          <w:color w:val="000000"/>
          <w:sz w:val="26"/>
        </w:rPr>
        <w:t>أداة الدراسة المقترحة:</w:t>
      </w:r>
    </w:p>
    <w:p>
      <w:pPr>
        <w:bidi/>
        <w:spacing w:after="120" w:line="312" w:lineRule="auto"/>
        <w:jc w:val="right"/>
      </w:pPr>
      <w:r>
        <w:rPr>
          <w:rFonts w:ascii="Arial" w:hAnsi="Arial" w:cs="Arial" w:eastAsia="Arial"/>
          <w:b w:val="0"/>
          <w:color w:val="000000"/>
          <w:sz w:val="26"/>
        </w:rPr>
        <w:t>يمكن استخدام الاستبانة كأداة أساسية لجمع البيانات، بحيث تقيس محاور الابتكار، استخدام التقنية، جودة الخدمات، التحديات، والدعم الحكومي. ويمكن كذلك دعمها بمقابلات قصيرة مع مختصين أو رواد أعمال في القطاع.</w:t>
      </w:r>
    </w:p>
    <w:p>
      <w:pPr>
        <w:bidi/>
        <w:spacing w:before="200" w:after="120"/>
        <w:jc w:val="right"/>
      </w:pPr>
      <w:r>
        <w:rPr>
          <w:rFonts w:ascii="Arial" w:hAnsi="Arial" w:cs="Arial" w:eastAsia="Arial"/>
          <w:b/>
          <w:color w:val="1F4E79"/>
          <w:sz w:val="32"/>
        </w:rPr>
        <w:t>حدود الدراسة</w:t>
      </w:r>
    </w:p>
    <w:p>
      <w:pPr>
        <w:bidi/>
        <w:spacing w:after="60"/>
        <w:ind w:left="0" w:firstLine="0"/>
        <w:jc w:val="right"/>
      </w:pPr>
      <w:r>
        <w:rPr>
          <w:rFonts w:ascii="Arial" w:hAnsi="Arial" w:cs="Arial" w:eastAsia="Arial"/>
          <w:sz w:val="26"/>
        </w:rPr>
        <w:t>• الحدود المكانية: المملكة العربية السعودية.</w:t>
      </w:r>
    </w:p>
    <w:p>
      <w:pPr>
        <w:bidi/>
        <w:spacing w:after="60"/>
        <w:ind w:left="0" w:firstLine="0"/>
        <w:jc w:val="right"/>
      </w:pPr>
      <w:r>
        <w:rPr>
          <w:rFonts w:ascii="Arial" w:hAnsi="Arial" w:cs="Arial" w:eastAsia="Arial"/>
          <w:sz w:val="26"/>
        </w:rPr>
        <w:t>• الحدود الزمنية: من عام 2016 إلى عام 2025، وهي الفترة التي شهدت تطوراً كبيراً في قطاع الترفيه بعد إطلاق رؤية المملكة 2030.</w:t>
      </w:r>
    </w:p>
    <w:p>
      <w:pPr>
        <w:bidi/>
        <w:spacing w:after="60"/>
        <w:ind w:left="0" w:firstLine="0"/>
        <w:jc w:val="right"/>
      </w:pPr>
      <w:r>
        <w:rPr>
          <w:rFonts w:ascii="Arial" w:hAnsi="Arial" w:cs="Arial" w:eastAsia="Arial"/>
          <w:sz w:val="26"/>
        </w:rPr>
        <w:t>• الحدود الموضوعية: دراسة أثر الشركات الناشئة على تطوير قطاع الترفيه، مع التركيز على الابتكار والتقنية وجودة الخدمات والتحديات.</w:t>
      </w:r>
    </w:p>
    <w:p>
      <w:pPr>
        <w:bidi/>
        <w:spacing w:after="60"/>
        <w:ind w:left="0" w:firstLine="0"/>
        <w:jc w:val="right"/>
      </w:pPr>
      <w:r>
        <w:rPr>
          <w:rFonts w:ascii="Arial" w:hAnsi="Arial" w:cs="Arial" w:eastAsia="Arial"/>
          <w:sz w:val="26"/>
        </w:rPr>
        <w:t>• الحدود البشرية: رواد الأعمال والعاملون والمهتمون بقطاع الترفيه والشركات الناشئة.</w:t>
      </w:r>
    </w:p>
    <w:p>
      <w:pPr>
        <w:bidi/>
        <w:spacing w:before="200" w:after="120"/>
        <w:jc w:val="right"/>
      </w:pPr>
      <w:r>
        <w:rPr>
          <w:rFonts w:ascii="Arial" w:hAnsi="Arial" w:cs="Arial" w:eastAsia="Arial"/>
          <w:b/>
          <w:color w:val="1F4E79"/>
          <w:sz w:val="32"/>
        </w:rPr>
        <w:t>الإطار النظري</w:t>
      </w:r>
    </w:p>
    <w:p>
      <w:pPr>
        <w:bidi/>
        <w:spacing w:after="120" w:line="312" w:lineRule="auto"/>
        <w:jc w:val="right"/>
      </w:pPr>
      <w:r>
        <w:rPr>
          <w:rFonts w:ascii="Arial" w:hAnsi="Arial" w:cs="Arial" w:eastAsia="Arial"/>
          <w:b w:val="0"/>
          <w:color w:val="000000"/>
          <w:sz w:val="26"/>
        </w:rPr>
        <w:t>يشير مفهوم الشركات الناشئة إلى الشركات الحديثة التي تعتمد على الابتكار والتكنولوجيا لتقديم منتجات أو خدمات جديدة في السوق، وغالباً ما تتميز بسرعة النمو والقدرة على التكيف مع التغيرات الاقتصادية. وتختلف الشركات الناشئة عن المشاريع التقليدية في أنها غالباً تبحث عن نموذج أعمال قابل للتوسع، وتعتمد على حلول جديدة أو رقمية لمعالجة احتياجات السوق.</w:t>
      </w:r>
    </w:p>
    <w:p>
      <w:pPr>
        <w:bidi/>
        <w:spacing w:after="120" w:line="312" w:lineRule="auto"/>
        <w:jc w:val="right"/>
      </w:pPr>
      <w:r>
        <w:rPr>
          <w:rFonts w:ascii="Arial" w:hAnsi="Arial" w:cs="Arial" w:eastAsia="Arial"/>
          <w:b w:val="0"/>
          <w:color w:val="000000"/>
          <w:sz w:val="26"/>
        </w:rPr>
        <w:t>أما قطاع الترفيه فهو مجموعة الأنشطة والخدمات التي تهدف إلى توفير التسلية والترفيه للأفراد مثل الفعاليات، المهرجانات، الأنشطة الثقافية، الرياضية، الفنية، والمعارض. وقد شهد هذا القطاع في المملكة العربية السعودية تطوراً كبيراً نتيجة الاستثمارات الحكومية، وتوسع الفعاليات، وتحسن البنية التنظيمية، وارتفاع الطلب المجتمعي على التجارب الترفيهية.</w:t>
      </w:r>
    </w:p>
    <w:p>
      <w:pPr>
        <w:bidi/>
        <w:spacing w:after="120" w:line="312" w:lineRule="auto"/>
        <w:jc w:val="right"/>
      </w:pPr>
      <w:r>
        <w:rPr>
          <w:rFonts w:ascii="Arial" w:hAnsi="Arial" w:cs="Arial" w:eastAsia="Arial"/>
          <w:b w:val="0"/>
          <w:color w:val="000000"/>
          <w:sz w:val="26"/>
        </w:rPr>
        <w:t>وتبرز أهمية الشركات الناشئة في قطاع الترفيه من خلال قدرتها على تقديم نماذج أعمال مرنة، مثل منصات الحجز الإلكتروني، حلول إدارة الحشود، التسويق الرقمي للفعاليات، إنتاج المحتوى الترفيهي، إدارة التجارب، وخدمات الضيافة المرتبطة بالفعاليات. كما يمكن لهذه الشركات أن تساهم في رفع جودة الخدمة وخفض التكاليف وزيادة تنوع الخيارات أمام الجمهور.</w:t>
      </w:r>
    </w:p>
    <w:p>
      <w:pPr>
        <w:bidi/>
        <w:spacing w:before="200" w:after="120"/>
        <w:jc w:val="right"/>
      </w:pPr>
      <w:r>
        <w:rPr>
          <w:rFonts w:ascii="Arial" w:hAnsi="Arial" w:cs="Arial" w:eastAsia="Arial"/>
          <w:b/>
          <w:color w:val="1F4E79"/>
          <w:sz w:val="32"/>
        </w:rPr>
        <w:t>الدراسات السابقة</w:t>
      </w:r>
    </w:p>
    <w:p>
      <w:pPr>
        <w:bidi/>
        <w:spacing w:after="120" w:line="312" w:lineRule="auto"/>
        <w:jc w:val="right"/>
      </w:pPr>
      <w:r>
        <w:rPr>
          <w:rFonts w:ascii="Arial" w:hAnsi="Arial" w:cs="Arial" w:eastAsia="Arial"/>
          <w:b w:val="0"/>
          <w:color w:val="000000"/>
          <w:sz w:val="26"/>
        </w:rPr>
        <w:t>تناولت العديد من الدراسات والتقارير موضوع الشركات الناشئة ودورها في دعم الاقتصاد وتطوير القطاعات المختلفة. وقد أشارت الأدبيات إلى أن الشركات الناشئة تساهم في تعزيز الابتكار، وزيادة التنافسية، وخلق فرص عمل جديدة، وتحفيز النمو الاقتصادي، خصوصاً عندما تتوافر لها بيئة تنظيمية وتمويلية مناسبة.</w:t>
      </w:r>
    </w:p>
    <w:p>
      <w:pPr>
        <w:bidi/>
        <w:spacing w:after="120" w:line="312" w:lineRule="auto"/>
        <w:jc w:val="right"/>
      </w:pPr>
      <w:r>
        <w:rPr>
          <w:rFonts w:ascii="Arial" w:hAnsi="Arial" w:cs="Arial" w:eastAsia="Arial"/>
          <w:b w:val="0"/>
          <w:color w:val="000000"/>
          <w:sz w:val="26"/>
        </w:rPr>
        <w:t>كما تؤكد تقارير منشآت أن منظومة ريادة الأعمال في المملكة تشهد نمواً ملحوظاً، حيث بلغ عدد السجلات التجارية 1.6 مليون في الربع الرابع من عام 2024، مع ارتفاع في السجلات التجارية بنسبة 67% مقارنة بالربع السابق. ويعكس ذلك اتساع النشاط الريادي في المملكة ووجود بيئة داعمة لنمو المشاريع الصغيرة والمتوسطة والشركات الناشئة.</w:t>
      </w:r>
    </w:p>
    <w:p>
      <w:pPr>
        <w:bidi/>
        <w:spacing w:after="120" w:line="312" w:lineRule="auto"/>
        <w:jc w:val="right"/>
      </w:pPr>
      <w:r>
        <w:rPr>
          <w:rFonts w:ascii="Arial" w:hAnsi="Arial" w:cs="Arial" w:eastAsia="Arial"/>
          <w:b w:val="0"/>
          <w:color w:val="000000"/>
          <w:sz w:val="26"/>
        </w:rPr>
        <w:t>وتوضح بيانات الهيئة العامة للترفيه أن قطاع الترفيه السعودي شهد نمواً كبيراً في عدد الزوار والفعاليات والجهات المشاركة، مما يدل على توسع السوق وارتفاع الحاجة إلى شركات مبتكرة قادرة على تقديم خدمات مساندة ومتخصصة. وبناءً على ذلك، فإن الشركات الناشئة يمكن أن تلعب دوراً مهماً في تطوير الخدمات الترفيهية وتحسين تجربة الجمهور.</w:t>
      </w:r>
    </w:p>
    <w:p>
      <w:pPr>
        <w:bidi/>
        <w:spacing w:before="200" w:after="120"/>
        <w:jc w:val="right"/>
      </w:pPr>
      <w:r>
        <w:rPr>
          <w:rFonts w:ascii="Arial" w:hAnsi="Arial" w:cs="Arial" w:eastAsia="Arial"/>
          <w:b/>
          <w:color w:val="1F4E79"/>
          <w:sz w:val="32"/>
        </w:rPr>
        <w:t>النتائج المتوقعة</w:t>
      </w:r>
    </w:p>
    <w:p>
      <w:pPr>
        <w:bidi/>
        <w:spacing w:after="60"/>
        <w:ind w:left="0" w:firstLine="0"/>
        <w:jc w:val="right"/>
      </w:pPr>
      <w:r>
        <w:rPr>
          <w:rFonts w:ascii="Arial" w:hAnsi="Arial" w:cs="Arial" w:eastAsia="Arial"/>
          <w:sz w:val="26"/>
        </w:rPr>
        <w:t>• يتوقع أن تظهر الدراسة وجود علاقة إيجابية بين نمو الشركات الناشئة وتطوير قطاع الترفيه.</w:t>
      </w:r>
    </w:p>
    <w:p>
      <w:pPr>
        <w:bidi/>
        <w:spacing w:after="60"/>
        <w:ind w:left="0" w:firstLine="0"/>
        <w:jc w:val="right"/>
      </w:pPr>
      <w:r>
        <w:rPr>
          <w:rFonts w:ascii="Arial" w:hAnsi="Arial" w:cs="Arial" w:eastAsia="Arial"/>
          <w:sz w:val="26"/>
        </w:rPr>
        <w:t>• يتوقع أن يكون الابتكار واستخدام التكنولوجيا من أهم العوامل التي ترفع جودة التجربة الترفيهية.</w:t>
      </w:r>
    </w:p>
    <w:p>
      <w:pPr>
        <w:bidi/>
        <w:spacing w:after="60"/>
        <w:ind w:left="0" w:firstLine="0"/>
        <w:jc w:val="right"/>
      </w:pPr>
      <w:r>
        <w:rPr>
          <w:rFonts w:ascii="Arial" w:hAnsi="Arial" w:cs="Arial" w:eastAsia="Arial"/>
          <w:sz w:val="26"/>
        </w:rPr>
        <w:t>• يتوقع أن تكون التحديات التمويلية والتنظيمية وبناء الكفاءات من أبرز المعوقات أمام الشركات الناشئة.</w:t>
      </w:r>
    </w:p>
    <w:p>
      <w:pPr>
        <w:bidi/>
        <w:spacing w:after="60"/>
        <w:ind w:left="0" w:firstLine="0"/>
        <w:jc w:val="right"/>
      </w:pPr>
      <w:r>
        <w:rPr>
          <w:rFonts w:ascii="Arial" w:hAnsi="Arial" w:cs="Arial" w:eastAsia="Arial"/>
          <w:sz w:val="26"/>
        </w:rPr>
        <w:t>• يتوقع أن يساهم الدعم الحكومي وبرامج ريادة الأعمال في تعزيز استدامة الشركات الناشئة داخل القطاع.</w:t>
      </w:r>
    </w:p>
    <w:p>
      <w:pPr>
        <w:bidi/>
        <w:spacing w:before="200" w:after="120"/>
        <w:jc w:val="right"/>
      </w:pPr>
      <w:r>
        <w:rPr>
          <w:rFonts w:ascii="Arial" w:hAnsi="Arial" w:cs="Arial" w:eastAsia="Arial"/>
          <w:b/>
          <w:color w:val="1F4E79"/>
          <w:sz w:val="32"/>
        </w:rPr>
        <w:t>التوصيات المقترحة</w:t>
      </w:r>
    </w:p>
    <w:p>
      <w:pPr>
        <w:bidi/>
        <w:spacing w:after="60"/>
        <w:ind w:left="0" w:firstLine="0"/>
        <w:jc w:val="right"/>
      </w:pPr>
      <w:r>
        <w:rPr>
          <w:rFonts w:ascii="Arial" w:hAnsi="Arial" w:cs="Arial" w:eastAsia="Arial"/>
          <w:sz w:val="26"/>
        </w:rPr>
        <w:t>• تعزيز برامج التمويل والحاضنات والمسرعات الموجهة للشركات الناشئة في قطاع الترفيه.</w:t>
      </w:r>
    </w:p>
    <w:p>
      <w:pPr>
        <w:bidi/>
        <w:spacing w:after="60"/>
        <w:ind w:left="0" w:firstLine="0"/>
        <w:jc w:val="right"/>
      </w:pPr>
      <w:r>
        <w:rPr>
          <w:rFonts w:ascii="Arial" w:hAnsi="Arial" w:cs="Arial" w:eastAsia="Arial"/>
          <w:sz w:val="26"/>
        </w:rPr>
        <w:t>• تطوير برامج تدريبية متخصصة في إدارة الفعاليات، تجربة العميل، إدارة الحشود، والتسويق الرقمي.</w:t>
      </w:r>
    </w:p>
    <w:p>
      <w:pPr>
        <w:bidi/>
        <w:spacing w:after="60"/>
        <w:ind w:left="0" w:firstLine="0"/>
        <w:jc w:val="right"/>
      </w:pPr>
      <w:r>
        <w:rPr>
          <w:rFonts w:ascii="Arial" w:hAnsi="Arial" w:cs="Arial" w:eastAsia="Arial"/>
          <w:sz w:val="26"/>
        </w:rPr>
        <w:t>• تسهيل الإجراءات التنظيمية للشركات الناشئة مع المحافظة على معايير الجودة والسلامة.</w:t>
      </w:r>
    </w:p>
    <w:p>
      <w:pPr>
        <w:bidi/>
        <w:spacing w:after="60"/>
        <w:ind w:left="0" w:firstLine="0"/>
        <w:jc w:val="right"/>
      </w:pPr>
      <w:r>
        <w:rPr>
          <w:rFonts w:ascii="Arial" w:hAnsi="Arial" w:cs="Arial" w:eastAsia="Arial"/>
          <w:sz w:val="26"/>
        </w:rPr>
        <w:t>• تشجيع الشراكات بين الجهات الحكومية والشركات الكبرى والشركات الناشئة.</w:t>
      </w:r>
    </w:p>
    <w:p>
      <w:pPr>
        <w:bidi/>
        <w:spacing w:after="60"/>
        <w:ind w:left="0" w:firstLine="0"/>
        <w:jc w:val="right"/>
      </w:pPr>
      <w:r>
        <w:rPr>
          <w:rFonts w:ascii="Arial" w:hAnsi="Arial" w:cs="Arial" w:eastAsia="Arial"/>
          <w:sz w:val="26"/>
        </w:rPr>
        <w:t>• دعم استخدام الحلول الرقمية في الحجز، إدارة الفعاليات، قياس رضا الجمهور، وتحليل البيانات.</w:t>
      </w:r>
    </w:p>
    <w:p>
      <w:pPr>
        <w:bidi/>
        <w:spacing w:before="200" w:after="120"/>
        <w:jc w:val="right"/>
      </w:pPr>
      <w:r>
        <w:rPr>
          <w:rFonts w:ascii="Arial" w:hAnsi="Arial" w:cs="Arial" w:eastAsia="Arial"/>
          <w:b/>
          <w:color w:val="1F4E79"/>
          <w:sz w:val="32"/>
        </w:rPr>
        <w:t>الخاتمة</w:t>
      </w:r>
    </w:p>
    <w:p>
      <w:pPr>
        <w:bidi/>
        <w:spacing w:after="120" w:line="312" w:lineRule="auto"/>
        <w:jc w:val="right"/>
      </w:pPr>
      <w:r>
        <w:rPr>
          <w:rFonts w:ascii="Arial" w:hAnsi="Arial" w:cs="Arial" w:eastAsia="Arial"/>
          <w:b w:val="0"/>
          <w:color w:val="000000"/>
          <w:sz w:val="26"/>
        </w:rPr>
        <w:t>في ضوء التطورات الكبيرة التي يشهدها قطاع الترفيه في المملكة العربية السعودية، أصبحت الشركات الناشئة أحد العوامل المهمة التي تساهم في تطوير هذا القطاع وتعزيز نموه. فمن خلال الابتكار واستخدام التكنولوجيا وتنظيم الفعاليات الحديثة، تستطيع الشركات الناشئة تقديم تجارب ترفيهية جديدة تواكب تطلعات الجمهور وتدعم مستهدفات رؤية المملكة 2030.</w:t>
      </w:r>
    </w:p>
    <w:p>
      <w:pPr>
        <w:bidi/>
        <w:spacing w:after="120" w:line="312" w:lineRule="auto"/>
        <w:jc w:val="right"/>
      </w:pPr>
      <w:r>
        <w:rPr>
          <w:rFonts w:ascii="Arial" w:hAnsi="Arial" w:cs="Arial" w:eastAsia="Arial"/>
          <w:b w:val="0"/>
          <w:color w:val="000000"/>
          <w:sz w:val="26"/>
        </w:rPr>
        <w:t>وتؤكد هذه الدراسة على أهمية دعم الشركات الناشئة وتوفير البيئة المناسبة لنموها، لما لها من دور مهم في تطوير قطاع الترفيه، وخلق فرص العمل، وتعزيز الاقتصاد الوطني، وتحسين جودة الحياة. كما أن معالجة التحديات التي تواجه هذه الشركات تمثل خطوة أساسية لضمان استدامة القطاع وزيادة مساهمته في التنمية الاقتصادية والاجتماعية.</w:t>
      </w:r>
    </w:p>
    <w:p>
      <w:pPr>
        <w:bidi/>
        <w:spacing w:before="200" w:after="120"/>
        <w:jc w:val="right"/>
      </w:pPr>
      <w:r>
        <w:rPr>
          <w:rFonts w:ascii="Arial" w:hAnsi="Arial" w:cs="Arial" w:eastAsia="Arial"/>
          <w:b/>
          <w:color w:val="1F4E79"/>
          <w:sz w:val="32"/>
        </w:rPr>
        <w:t>المراجع</w:t>
      </w:r>
    </w:p>
    <w:p>
      <w:pPr>
        <w:spacing w:after="60" w:line="312" w:lineRule="auto"/>
        <w:jc w:val="left"/>
      </w:pPr>
      <w:r>
        <w:rPr>
          <w:rFonts w:ascii="Arial" w:hAnsi="Arial" w:cs="Arial" w:eastAsia="Arial"/>
          <w:b w:val="0"/>
          <w:color w:val="000000"/>
          <w:sz w:val="22"/>
        </w:rPr>
        <w:t>الهيئة العامة للترفيه. (2026). تقرير حول نمو قطاع الترفيه في المملكة لعام 2025. وكالة الأنباء السعودية SPA. https://www.spa.gov.sa/en/N2551734</w:t>
      </w:r>
    </w:p>
    <w:p>
      <w:pPr>
        <w:spacing w:after="60" w:line="312" w:lineRule="auto"/>
        <w:jc w:val="left"/>
      </w:pPr>
      <w:r>
        <w:rPr>
          <w:rFonts w:ascii="Arial" w:hAnsi="Arial" w:cs="Arial" w:eastAsia="Arial"/>
          <w:b w:val="0"/>
          <w:color w:val="000000"/>
          <w:sz w:val="22"/>
        </w:rPr>
        <w:t>رؤية المملكة 2030. (2025). برنامج جودة الحياة. https://www.vision2030.gov.sa/en/explore/programs/quality-of-life-program</w:t>
      </w:r>
    </w:p>
    <w:p>
      <w:pPr>
        <w:spacing w:after="60" w:line="312" w:lineRule="auto"/>
        <w:jc w:val="left"/>
      </w:pPr>
      <w:r>
        <w:rPr>
          <w:rFonts w:ascii="Arial" w:hAnsi="Arial" w:cs="Arial" w:eastAsia="Arial"/>
          <w:b w:val="0"/>
          <w:color w:val="000000"/>
          <w:sz w:val="22"/>
        </w:rPr>
        <w:t>رؤية المملكة 2030. (2026). التقرير السنوي لرؤية المملكة 2030 لعام 2025. https://www.vision2030.gov.sa/en/annual-reports</w:t>
      </w:r>
    </w:p>
    <w:p>
      <w:pPr>
        <w:spacing w:after="60" w:line="312" w:lineRule="auto"/>
        <w:jc w:val="left"/>
      </w:pPr>
      <w:r>
        <w:rPr>
          <w:rFonts w:ascii="Arial" w:hAnsi="Arial" w:cs="Arial" w:eastAsia="Arial"/>
          <w:b w:val="0"/>
          <w:color w:val="000000"/>
          <w:sz w:val="22"/>
        </w:rPr>
        <w:t>منشآت. (2025). تقرير مرصد المنشآت الصغيرة والمتوسطة للربع الرابع 2024. https://www.monshaat.gov.sa/en/node/274250</w:t>
      </w:r>
    </w:p>
    <w:p>
      <w:pPr>
        <w:spacing w:after="60" w:line="312" w:lineRule="auto"/>
        <w:jc w:val="left"/>
      </w:pPr>
      <w:r>
        <w:rPr>
          <w:rFonts w:ascii="Arial" w:hAnsi="Arial" w:cs="Arial" w:eastAsia="Arial"/>
          <w:b w:val="0"/>
          <w:color w:val="000000"/>
          <w:sz w:val="22"/>
        </w:rPr>
        <w:t>منشآت. (2025). Saudi Arabia rises 60 places globally, achieving a new milestone in the StartupBlink ecosystem index. https://www.monshaat.gov.sa/en/node/322293</w:t>
      </w:r>
    </w:p>
    <w:p>
      <w:pPr>
        <w:spacing w:after="60" w:line="312" w:lineRule="auto"/>
        <w:jc w:val="left"/>
      </w:pPr>
      <w:r>
        <w:rPr>
          <w:rFonts w:ascii="Arial" w:hAnsi="Arial" w:cs="Arial" w:eastAsia="Arial"/>
          <w:b w:val="0"/>
          <w:color w:val="000000"/>
          <w:sz w:val="22"/>
        </w:rPr>
        <w:t>وزارة الاستثمار السعودية. (د.ت). Entertainment at Scale: Redefining Global Experiences. https://investsaudi.sa/sectors/entertainment</w:t>
      </w:r>
    </w:p>
    <w:p>
      <w:pPr>
        <w:spacing w:after="60" w:line="312" w:lineRule="auto"/>
        <w:jc w:val="left"/>
      </w:pPr>
      <w:r>
        <w:rPr>
          <w:rFonts w:ascii="Arial" w:hAnsi="Arial" w:cs="Arial" w:eastAsia="Arial"/>
          <w:b w:val="0"/>
          <w:color w:val="000000"/>
          <w:sz w:val="22"/>
        </w:rPr>
        <w:t>Blank, S., &amp; Dorf, B. (2020). The Startup Owner’s Manual: The Step-by-Step Guide for Building a Great Company. K&amp;S Ranch.</w:t>
      </w:r>
    </w:p>
    <w:p>
      <w:pPr>
        <w:spacing w:after="60" w:line="312" w:lineRule="auto"/>
        <w:jc w:val="left"/>
      </w:pPr>
      <w:r>
        <w:rPr>
          <w:rFonts w:ascii="Arial" w:hAnsi="Arial" w:cs="Arial" w:eastAsia="Arial"/>
          <w:b w:val="0"/>
          <w:color w:val="000000"/>
          <w:sz w:val="22"/>
        </w:rPr>
        <w:t>Ries, E. (2011). The Lean Startup. Crown Business.</w:t>
      </w:r>
    </w:p>
    <w:sectPr w:rsidR="00FC693F" w:rsidRPr="0006063C" w:rsidSect="00034616">
      <w:footerReference w:type="default" r:id="rId9"/>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8"/>
      </w:rPr>
      <w:t>Radwan Mli – Research Plan 2026</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