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59015F" w14:textId="77777777" w:rsidR="00204E21" w:rsidRDefault="00000000" w:rsidP="004114C8">
      <w:pPr>
        <w:bidi/>
        <w:jc w:val="both"/>
      </w:pPr>
      <w:r>
        <w:rPr>
          <w:b/>
          <w:color w:val="1F4E79"/>
          <w:sz w:val="32"/>
        </w:rPr>
        <w:t>التقرير النهائي لمراجعة الفصل الثاني</w:t>
      </w:r>
    </w:p>
    <w:p w14:paraId="769677B2" w14:textId="77777777" w:rsidR="00204E21" w:rsidRDefault="00000000" w:rsidP="004114C8">
      <w:pPr>
        <w:bidi/>
        <w:jc w:val="both"/>
      </w:pPr>
      <w:r>
        <w:rPr>
          <w:b/>
          <w:color w:val="3F3F3F"/>
          <w:sz w:val="26"/>
        </w:rPr>
        <w:t>الإطار النظري والدراسات السابقة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81"/>
        <w:gridCol w:w="6690"/>
      </w:tblGrid>
      <w:tr w:rsidR="004114C8" w:rsidRPr="004114C8" w14:paraId="3BB3F81E" w14:textId="77777777" w:rsidTr="00793DCC">
        <w:trPr>
          <w:jc w:val="center"/>
        </w:trPr>
        <w:tc>
          <w:tcPr>
            <w:tcW w:w="2381" w:type="dxa"/>
            <w:tcMar>
              <w:top w:w="100" w:type="dxa"/>
              <w:left w:w="100" w:type="dxa"/>
              <w:bottom w:w="100" w:type="dxa"/>
              <w:right w:w="100" w:type="dxa"/>
            </w:tcMar>
          </w:tcPr>
          <w:p w14:paraId="057ACDDF" w14:textId="1C5DD145" w:rsidR="004114C8" w:rsidRPr="004114C8" w:rsidRDefault="004114C8" w:rsidP="004114C8">
            <w:pPr>
              <w:bidi/>
              <w:spacing w:line="240" w:lineRule="auto"/>
              <w:jc w:val="both"/>
              <w:rPr>
                <w:b/>
                <w:bCs/>
              </w:rPr>
            </w:pPr>
            <w:r w:rsidRPr="004114C8">
              <w:rPr>
                <w:b/>
                <w:bCs/>
                <w:rtl/>
              </w:rPr>
              <w:t>اسم الطالب</w:t>
            </w:r>
          </w:p>
        </w:tc>
        <w:tc>
          <w:tcPr>
            <w:tcW w:w="6690" w:type="dxa"/>
            <w:tcMar>
              <w:top w:w="100" w:type="dxa"/>
              <w:left w:w="100" w:type="dxa"/>
              <w:bottom w:w="100" w:type="dxa"/>
              <w:right w:w="100" w:type="dxa"/>
            </w:tcMar>
          </w:tcPr>
          <w:p w14:paraId="53388E32" w14:textId="5887836C" w:rsidR="004114C8" w:rsidRPr="004114C8" w:rsidRDefault="004114C8" w:rsidP="004114C8">
            <w:pPr>
              <w:bidi/>
              <w:spacing w:line="240" w:lineRule="auto"/>
              <w:jc w:val="both"/>
            </w:pPr>
            <w:r w:rsidRPr="00B45A3C">
              <w:rPr>
                <w:rtl/>
              </w:rPr>
              <w:t>منى المطيري</w:t>
            </w:r>
          </w:p>
        </w:tc>
      </w:tr>
      <w:tr w:rsidR="004114C8" w:rsidRPr="004114C8" w14:paraId="06B2F500" w14:textId="77777777" w:rsidTr="00793DCC">
        <w:trPr>
          <w:jc w:val="center"/>
        </w:trPr>
        <w:tc>
          <w:tcPr>
            <w:tcW w:w="2381" w:type="dxa"/>
            <w:tcMar>
              <w:top w:w="100" w:type="dxa"/>
              <w:left w:w="100" w:type="dxa"/>
              <w:bottom w:w="100" w:type="dxa"/>
              <w:right w:w="100" w:type="dxa"/>
            </w:tcMar>
          </w:tcPr>
          <w:p w14:paraId="02427C95" w14:textId="10ACB7F4" w:rsidR="004114C8" w:rsidRPr="004114C8" w:rsidRDefault="004114C8" w:rsidP="004114C8">
            <w:pPr>
              <w:bidi/>
              <w:spacing w:line="240" w:lineRule="auto"/>
              <w:jc w:val="both"/>
              <w:rPr>
                <w:b/>
                <w:bCs/>
              </w:rPr>
            </w:pPr>
            <w:r w:rsidRPr="004114C8">
              <w:rPr>
                <w:b/>
                <w:bCs/>
                <w:rtl/>
              </w:rPr>
              <w:t>موضوع الرسالة</w:t>
            </w:r>
          </w:p>
        </w:tc>
        <w:tc>
          <w:tcPr>
            <w:tcW w:w="6690" w:type="dxa"/>
            <w:tcMar>
              <w:top w:w="100" w:type="dxa"/>
              <w:left w:w="100" w:type="dxa"/>
              <w:bottom w:w="100" w:type="dxa"/>
              <w:right w:w="100" w:type="dxa"/>
            </w:tcMar>
          </w:tcPr>
          <w:p w14:paraId="4BB1FFE6" w14:textId="72C2512B" w:rsidR="004114C8" w:rsidRPr="004114C8" w:rsidRDefault="004114C8" w:rsidP="004114C8">
            <w:pPr>
              <w:bidi/>
              <w:spacing w:line="240" w:lineRule="auto"/>
              <w:jc w:val="both"/>
            </w:pPr>
            <w:r w:rsidRPr="00B45A3C">
              <w:rPr>
                <w:rtl/>
              </w:rPr>
              <w:t>تحليل مستوى نضج التخطيط الاستراتيجي وأثره في تعزيز التكامل المؤسسي: دراسة على المنظمات التابعة لمجلس التعاون الخليجي</w:t>
            </w:r>
          </w:p>
        </w:tc>
      </w:tr>
      <w:tr w:rsidR="004114C8" w:rsidRPr="004114C8" w14:paraId="4AAD67A1" w14:textId="77777777" w:rsidTr="00793DCC">
        <w:trPr>
          <w:jc w:val="center"/>
        </w:trPr>
        <w:tc>
          <w:tcPr>
            <w:tcW w:w="2381" w:type="dxa"/>
            <w:tcMar>
              <w:top w:w="100" w:type="dxa"/>
              <w:left w:w="100" w:type="dxa"/>
              <w:bottom w:w="100" w:type="dxa"/>
              <w:right w:w="100" w:type="dxa"/>
            </w:tcMar>
          </w:tcPr>
          <w:p w14:paraId="1A6DAE56" w14:textId="5002BD32" w:rsidR="004114C8" w:rsidRPr="004114C8" w:rsidRDefault="004114C8" w:rsidP="004114C8">
            <w:pPr>
              <w:bidi/>
              <w:spacing w:line="240" w:lineRule="auto"/>
              <w:jc w:val="both"/>
              <w:rPr>
                <w:b/>
                <w:bCs/>
              </w:rPr>
            </w:pPr>
            <w:r w:rsidRPr="004114C8">
              <w:rPr>
                <w:b/>
                <w:bCs/>
                <w:rtl/>
              </w:rPr>
              <w:t>نوع المراجعة</w:t>
            </w:r>
          </w:p>
        </w:tc>
        <w:tc>
          <w:tcPr>
            <w:tcW w:w="6690" w:type="dxa"/>
            <w:tcMar>
              <w:top w:w="100" w:type="dxa"/>
              <w:left w:w="100" w:type="dxa"/>
              <w:bottom w:w="100" w:type="dxa"/>
              <w:right w:w="100" w:type="dxa"/>
            </w:tcMar>
          </w:tcPr>
          <w:p w14:paraId="7CC5C898" w14:textId="5377DAC8" w:rsidR="004114C8" w:rsidRPr="004114C8" w:rsidRDefault="004114C8" w:rsidP="004114C8">
            <w:pPr>
              <w:bidi/>
              <w:spacing w:line="240" w:lineRule="auto"/>
              <w:jc w:val="both"/>
            </w:pPr>
            <w:r w:rsidRPr="00B45A3C">
              <w:rPr>
                <w:rtl/>
              </w:rPr>
              <w:t>مقارنة بين التقرير الثاني المعتمد والنسخة الحالية (التسليم الثالث) للفصل الثاني</w:t>
            </w:r>
          </w:p>
        </w:tc>
      </w:tr>
      <w:tr w:rsidR="004114C8" w:rsidRPr="004114C8" w14:paraId="47E69DAA" w14:textId="77777777" w:rsidTr="00793DCC">
        <w:trPr>
          <w:trHeight w:val="105"/>
          <w:jc w:val="center"/>
        </w:trPr>
        <w:tc>
          <w:tcPr>
            <w:tcW w:w="2381" w:type="dxa"/>
            <w:tcMar>
              <w:top w:w="100" w:type="dxa"/>
              <w:left w:w="100" w:type="dxa"/>
              <w:bottom w:w="100" w:type="dxa"/>
              <w:right w:w="100" w:type="dxa"/>
            </w:tcMar>
          </w:tcPr>
          <w:p w14:paraId="796D616E" w14:textId="00F1A1C9" w:rsidR="004114C8" w:rsidRPr="004114C8" w:rsidRDefault="004114C8" w:rsidP="004114C8">
            <w:pPr>
              <w:bidi/>
              <w:spacing w:line="240" w:lineRule="auto"/>
              <w:jc w:val="both"/>
              <w:rPr>
                <w:b/>
                <w:bCs/>
              </w:rPr>
            </w:pPr>
            <w:r w:rsidRPr="004114C8">
              <w:rPr>
                <w:b/>
                <w:bCs/>
                <w:rtl/>
              </w:rPr>
              <w:t>قرار المراجعة</w:t>
            </w:r>
          </w:p>
        </w:tc>
        <w:tc>
          <w:tcPr>
            <w:tcW w:w="6690" w:type="dxa"/>
            <w:tcMar>
              <w:top w:w="100" w:type="dxa"/>
              <w:left w:w="100" w:type="dxa"/>
              <w:bottom w:w="100" w:type="dxa"/>
              <w:right w:w="100" w:type="dxa"/>
            </w:tcMar>
          </w:tcPr>
          <w:p w14:paraId="743F9FE9" w14:textId="156BACF1" w:rsidR="004114C8" w:rsidRPr="004114C8" w:rsidRDefault="004114C8" w:rsidP="004114C8">
            <w:pPr>
              <w:bidi/>
              <w:spacing w:line="240" w:lineRule="auto"/>
              <w:jc w:val="both"/>
            </w:pPr>
            <w:r w:rsidRPr="00B45A3C">
              <w:rPr>
                <w:rtl/>
              </w:rPr>
              <w:t>مقبول</w:t>
            </w:r>
            <w:r w:rsidRPr="00B45A3C">
              <w:t xml:space="preserve"> </w:t>
            </w:r>
          </w:p>
        </w:tc>
      </w:tr>
    </w:tbl>
    <w:p w14:paraId="753B4B83" w14:textId="77777777" w:rsidR="00204E21" w:rsidRDefault="00204E21" w:rsidP="004114C8">
      <w:pPr>
        <w:bidi/>
        <w:jc w:val="both"/>
      </w:pPr>
    </w:p>
    <w:p w14:paraId="7ECCC8BD" w14:textId="77777777" w:rsidR="00204E21" w:rsidRDefault="00000000" w:rsidP="004114C8">
      <w:pPr>
        <w:bidi/>
        <w:jc w:val="both"/>
      </w:pPr>
      <w:r>
        <w:rPr>
          <w:b/>
          <w:color w:val="1F4E79"/>
          <w:sz w:val="25"/>
        </w:rPr>
        <w:t>أولًا: التقدير العام</w:t>
      </w:r>
    </w:p>
    <w:p w14:paraId="73F2CA56" w14:textId="77777777" w:rsidR="004114C8" w:rsidRDefault="004114C8" w:rsidP="004114C8">
      <w:pPr>
        <w:bidi/>
        <w:jc w:val="both"/>
        <w:rPr>
          <w:rFonts w:cs="Arial"/>
        </w:rPr>
      </w:pPr>
      <w:r w:rsidRPr="004114C8">
        <w:rPr>
          <w:rFonts w:cs="Arial"/>
          <w:rtl/>
        </w:rPr>
        <w:t>تُظهر النسخة الحالية (التسليم الثالث) تحسنًا أكاديميًا واضحًا مقارنة بالتقرير الثاني المعتمد؛ إذ أصبح البناء النظري أكثر تماسكًا، وتم إبراز أبعاد نضج التخطيط الاستراتيجي بصورة أدق، كما تحسن تعريف التكامل المؤسسي ومصادر قياسه، وظهر نموذج مفاهيمي أوضح، مع إضافة فقرة منهجية أكثر صراحة في اختيار الدراسات السابقة وتنظيمها. ويعني ذلك أن معظم الملاحظات البنيوية والعلمية الواردة في التقرير الثاني قد أُغلقت بدرجة جيدة، ولم يتبقَّ سوى عدد محدود من الملاحظات التحسينية النهائية التي لا تمس سلامة البناء العام للفصل.</w:t>
      </w:r>
    </w:p>
    <w:p w14:paraId="0ED6E42D" w14:textId="2D676DFA" w:rsidR="00204E21" w:rsidRDefault="00000000" w:rsidP="004114C8">
      <w:pPr>
        <w:bidi/>
        <w:jc w:val="both"/>
      </w:pPr>
      <w:proofErr w:type="spellStart"/>
      <w:r>
        <w:rPr>
          <w:b/>
          <w:color w:val="1F4E79"/>
          <w:sz w:val="25"/>
        </w:rPr>
        <w:t>ثانيًا</w:t>
      </w:r>
      <w:proofErr w:type="spellEnd"/>
      <w:r>
        <w:rPr>
          <w:b/>
          <w:color w:val="1F4E79"/>
          <w:sz w:val="25"/>
        </w:rPr>
        <w:t xml:space="preserve">: </w:t>
      </w:r>
      <w:proofErr w:type="spellStart"/>
      <w:r>
        <w:rPr>
          <w:b/>
          <w:color w:val="1F4E79"/>
          <w:sz w:val="25"/>
        </w:rPr>
        <w:t>الملاحظات</w:t>
      </w:r>
      <w:proofErr w:type="spellEnd"/>
      <w:r>
        <w:rPr>
          <w:b/>
          <w:color w:val="1F4E79"/>
          <w:sz w:val="25"/>
        </w:rPr>
        <w:t xml:space="preserve"> </w:t>
      </w:r>
      <w:proofErr w:type="spellStart"/>
      <w:r>
        <w:rPr>
          <w:b/>
          <w:color w:val="1F4E79"/>
          <w:sz w:val="25"/>
        </w:rPr>
        <w:t>الجوهرية</w:t>
      </w:r>
      <w:proofErr w:type="spellEnd"/>
      <w:r>
        <w:rPr>
          <w:b/>
          <w:color w:val="1F4E79"/>
          <w:sz w:val="25"/>
        </w:rPr>
        <w:t xml:space="preserve"> </w:t>
      </w:r>
      <w:proofErr w:type="spellStart"/>
      <w:r>
        <w:rPr>
          <w:b/>
          <w:color w:val="1F4E79"/>
          <w:sz w:val="25"/>
        </w:rPr>
        <w:t>التي</w:t>
      </w:r>
      <w:proofErr w:type="spellEnd"/>
      <w:r>
        <w:rPr>
          <w:b/>
          <w:color w:val="1F4E79"/>
          <w:sz w:val="25"/>
        </w:rPr>
        <w:t xml:space="preserve"> ما تزال قائمة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2103"/>
        <w:gridCol w:w="7290"/>
      </w:tblGrid>
      <w:tr w:rsidR="004114C8" w:rsidRPr="004114C8" w14:paraId="545957AC" w14:textId="77777777" w:rsidTr="004114C8">
        <w:tc>
          <w:tcPr>
            <w:tcW w:w="680" w:type="dxa"/>
            <w:tcMar>
              <w:top w:w="100" w:type="dxa"/>
              <w:left w:w="100" w:type="dxa"/>
              <w:bottom w:w="100" w:type="dxa"/>
              <w:right w:w="100" w:type="dxa"/>
            </w:tcMar>
            <w:vAlign w:val="center"/>
          </w:tcPr>
          <w:p w14:paraId="64FC5A21" w14:textId="77777777" w:rsidR="00204E21" w:rsidRPr="004114C8" w:rsidRDefault="00000000" w:rsidP="004114C8">
            <w:pPr>
              <w:bidi/>
              <w:jc w:val="both"/>
            </w:pPr>
            <w:r w:rsidRPr="004114C8">
              <w:rPr>
                <w:b/>
              </w:rPr>
              <w:t>م</w:t>
            </w:r>
          </w:p>
        </w:tc>
        <w:tc>
          <w:tcPr>
            <w:tcW w:w="2103" w:type="dxa"/>
            <w:tcMar>
              <w:top w:w="100" w:type="dxa"/>
              <w:left w:w="100" w:type="dxa"/>
              <w:bottom w:w="100" w:type="dxa"/>
              <w:right w:w="100" w:type="dxa"/>
            </w:tcMar>
            <w:vAlign w:val="center"/>
          </w:tcPr>
          <w:p w14:paraId="401A7E47" w14:textId="77777777" w:rsidR="00204E21" w:rsidRPr="004114C8" w:rsidRDefault="00000000" w:rsidP="004114C8">
            <w:pPr>
              <w:bidi/>
              <w:jc w:val="both"/>
            </w:pPr>
            <w:r w:rsidRPr="004114C8">
              <w:rPr>
                <w:b/>
              </w:rPr>
              <w:t>الملاحظة الجوهرية</w:t>
            </w:r>
          </w:p>
        </w:tc>
        <w:tc>
          <w:tcPr>
            <w:tcW w:w="7290" w:type="dxa"/>
            <w:tcMar>
              <w:top w:w="100" w:type="dxa"/>
              <w:left w:w="100" w:type="dxa"/>
              <w:bottom w:w="100" w:type="dxa"/>
              <w:right w:w="100" w:type="dxa"/>
            </w:tcMar>
            <w:vAlign w:val="center"/>
          </w:tcPr>
          <w:p w14:paraId="536B3EE9" w14:textId="77777777" w:rsidR="00204E21" w:rsidRPr="004114C8" w:rsidRDefault="00000000" w:rsidP="004114C8">
            <w:pPr>
              <w:bidi/>
              <w:jc w:val="both"/>
            </w:pPr>
            <w:r w:rsidRPr="004114C8">
              <w:rPr>
                <w:b/>
              </w:rPr>
              <w:t>الحكم المختصر</w:t>
            </w:r>
          </w:p>
        </w:tc>
      </w:tr>
      <w:tr w:rsidR="004114C8" w:rsidRPr="004114C8" w14:paraId="264629E1" w14:textId="77777777" w:rsidTr="00E432F3">
        <w:tc>
          <w:tcPr>
            <w:tcW w:w="680" w:type="dxa"/>
            <w:tcMar>
              <w:top w:w="100" w:type="dxa"/>
              <w:left w:w="100" w:type="dxa"/>
              <w:bottom w:w="100" w:type="dxa"/>
              <w:right w:w="100" w:type="dxa"/>
            </w:tcMar>
          </w:tcPr>
          <w:p w14:paraId="028531F6" w14:textId="3C39CFC5" w:rsidR="004114C8" w:rsidRPr="004114C8" w:rsidRDefault="004114C8" w:rsidP="004114C8">
            <w:pPr>
              <w:bidi/>
              <w:jc w:val="both"/>
            </w:pPr>
            <w:r w:rsidRPr="00FE1FB0">
              <w:t>1</w:t>
            </w:r>
          </w:p>
        </w:tc>
        <w:tc>
          <w:tcPr>
            <w:tcW w:w="2103" w:type="dxa"/>
            <w:tcMar>
              <w:top w:w="100" w:type="dxa"/>
              <w:left w:w="100" w:type="dxa"/>
              <w:bottom w:w="100" w:type="dxa"/>
              <w:right w:w="100" w:type="dxa"/>
            </w:tcMar>
          </w:tcPr>
          <w:p w14:paraId="4ADA60FD" w14:textId="2AEB7BCD" w:rsidR="004114C8" w:rsidRPr="004114C8" w:rsidRDefault="004114C8" w:rsidP="004114C8">
            <w:pPr>
              <w:bidi/>
              <w:jc w:val="both"/>
            </w:pPr>
            <w:r w:rsidRPr="00FE1FB0">
              <w:rPr>
                <w:rtl/>
              </w:rPr>
              <w:t>منهجية مراجعة الأدبيات</w:t>
            </w:r>
          </w:p>
        </w:tc>
        <w:tc>
          <w:tcPr>
            <w:tcW w:w="7290" w:type="dxa"/>
            <w:tcMar>
              <w:top w:w="100" w:type="dxa"/>
              <w:left w:w="100" w:type="dxa"/>
              <w:bottom w:w="100" w:type="dxa"/>
              <w:right w:w="100" w:type="dxa"/>
            </w:tcMar>
          </w:tcPr>
          <w:p w14:paraId="36C7B3B6" w14:textId="40E44769" w:rsidR="004114C8" w:rsidRPr="004114C8" w:rsidRDefault="004114C8" w:rsidP="004114C8">
            <w:pPr>
              <w:bidi/>
              <w:jc w:val="both"/>
            </w:pPr>
            <w:r w:rsidRPr="00FE1FB0">
              <w:rPr>
                <w:rtl/>
              </w:rPr>
              <w:t>أضيفت فقرة أوضح لمنهج مراجعة الأدبيات، لكن الفصل يستفيد من صياغتها بصورة أكثر مباشرة واختصارًا داخل مطلع الفصل الثاني، مع إبراز نوع المراجعة ومعايير الاختيار في فقرة مركزة واحدة</w:t>
            </w:r>
            <w:r w:rsidRPr="00FE1FB0">
              <w:t>.</w:t>
            </w:r>
          </w:p>
        </w:tc>
      </w:tr>
      <w:tr w:rsidR="004114C8" w:rsidRPr="004114C8" w14:paraId="6CE77F1B" w14:textId="77777777" w:rsidTr="00E432F3">
        <w:tc>
          <w:tcPr>
            <w:tcW w:w="680" w:type="dxa"/>
            <w:tcMar>
              <w:top w:w="100" w:type="dxa"/>
              <w:left w:w="100" w:type="dxa"/>
              <w:bottom w:w="100" w:type="dxa"/>
              <w:right w:w="100" w:type="dxa"/>
            </w:tcMar>
          </w:tcPr>
          <w:p w14:paraId="6CC171A1" w14:textId="2736F6C6" w:rsidR="004114C8" w:rsidRPr="004114C8" w:rsidRDefault="004114C8" w:rsidP="004114C8">
            <w:pPr>
              <w:bidi/>
              <w:jc w:val="both"/>
            </w:pPr>
            <w:r w:rsidRPr="00FE1FB0">
              <w:t>2</w:t>
            </w:r>
          </w:p>
        </w:tc>
        <w:tc>
          <w:tcPr>
            <w:tcW w:w="2103" w:type="dxa"/>
            <w:tcMar>
              <w:top w:w="100" w:type="dxa"/>
              <w:left w:w="100" w:type="dxa"/>
              <w:bottom w:w="100" w:type="dxa"/>
              <w:right w:w="100" w:type="dxa"/>
            </w:tcMar>
          </w:tcPr>
          <w:p w14:paraId="543125F9" w14:textId="2CF83E17" w:rsidR="004114C8" w:rsidRPr="004114C8" w:rsidRDefault="004114C8" w:rsidP="004114C8">
            <w:pPr>
              <w:bidi/>
              <w:jc w:val="both"/>
            </w:pPr>
            <w:r w:rsidRPr="00FE1FB0">
              <w:rPr>
                <w:rtl/>
              </w:rPr>
              <w:t>الاقتصاد النظري وتركيز الأطر المفسرة</w:t>
            </w:r>
          </w:p>
        </w:tc>
        <w:tc>
          <w:tcPr>
            <w:tcW w:w="7290" w:type="dxa"/>
            <w:tcMar>
              <w:top w:w="100" w:type="dxa"/>
              <w:left w:w="100" w:type="dxa"/>
              <w:bottom w:w="100" w:type="dxa"/>
              <w:right w:w="100" w:type="dxa"/>
            </w:tcMar>
          </w:tcPr>
          <w:p w14:paraId="7C8A9E4A" w14:textId="306FC26E" w:rsidR="004114C8" w:rsidRPr="004114C8" w:rsidRDefault="004114C8" w:rsidP="004114C8">
            <w:pPr>
              <w:bidi/>
              <w:jc w:val="both"/>
            </w:pPr>
            <w:r w:rsidRPr="00FE1FB0">
              <w:rPr>
                <w:rtl/>
              </w:rPr>
              <w:t>حُسم الإطار النظري بصورة أفضل من النسخة السابقة، غير أن العرض ما يزال يستفيد من مزيد من الاقتصاد النظري عبر إبراز النظريتين المحوريتين بوصفهما قادة التفسير، والإبقاء على بقية الأطر في موقع مساند أكثر اختصارًا</w:t>
            </w:r>
            <w:r w:rsidRPr="00FE1FB0">
              <w:t>.</w:t>
            </w:r>
          </w:p>
        </w:tc>
      </w:tr>
      <w:tr w:rsidR="004114C8" w:rsidRPr="004114C8" w14:paraId="123B08EC" w14:textId="77777777" w:rsidTr="00E432F3">
        <w:tc>
          <w:tcPr>
            <w:tcW w:w="680" w:type="dxa"/>
            <w:tcMar>
              <w:top w:w="100" w:type="dxa"/>
              <w:left w:w="100" w:type="dxa"/>
              <w:bottom w:w="100" w:type="dxa"/>
              <w:right w:w="100" w:type="dxa"/>
            </w:tcMar>
          </w:tcPr>
          <w:p w14:paraId="08042353" w14:textId="13BEC770" w:rsidR="004114C8" w:rsidRPr="004114C8" w:rsidRDefault="004114C8" w:rsidP="004114C8">
            <w:pPr>
              <w:bidi/>
              <w:jc w:val="both"/>
            </w:pPr>
            <w:r w:rsidRPr="00FE1FB0">
              <w:t>3</w:t>
            </w:r>
          </w:p>
        </w:tc>
        <w:tc>
          <w:tcPr>
            <w:tcW w:w="2103" w:type="dxa"/>
            <w:tcMar>
              <w:top w:w="100" w:type="dxa"/>
              <w:left w:w="100" w:type="dxa"/>
              <w:bottom w:w="100" w:type="dxa"/>
              <w:right w:w="100" w:type="dxa"/>
            </w:tcMar>
          </w:tcPr>
          <w:p w14:paraId="21CBEC03" w14:textId="2890004D" w:rsidR="004114C8" w:rsidRPr="004114C8" w:rsidRDefault="004114C8" w:rsidP="004114C8">
            <w:pPr>
              <w:bidi/>
              <w:jc w:val="both"/>
            </w:pPr>
            <w:r w:rsidRPr="00FE1FB0">
              <w:rPr>
                <w:rtl/>
              </w:rPr>
              <w:t>التوليف المقارن الختامي للدراسات السابقة</w:t>
            </w:r>
          </w:p>
        </w:tc>
        <w:tc>
          <w:tcPr>
            <w:tcW w:w="7290" w:type="dxa"/>
            <w:tcMar>
              <w:top w:w="100" w:type="dxa"/>
              <w:left w:w="100" w:type="dxa"/>
              <w:bottom w:w="100" w:type="dxa"/>
              <w:right w:w="100" w:type="dxa"/>
            </w:tcMar>
          </w:tcPr>
          <w:p w14:paraId="272A0629" w14:textId="38C76B62" w:rsidR="004114C8" w:rsidRPr="004114C8" w:rsidRDefault="004114C8" w:rsidP="004114C8">
            <w:pPr>
              <w:bidi/>
              <w:jc w:val="both"/>
            </w:pPr>
            <w:r w:rsidRPr="00FE1FB0">
              <w:rPr>
                <w:rtl/>
              </w:rPr>
              <w:t>يوجد تطور ملحوظ في التعقيب على الدراسات السابقة، إلا أن الفصل سيصبح أقوى إذا أضيفت فقرة ختامية أكثر تركيزًا تُظهر بصورة جامعة أنماط الاتفاق والتعارض والحدود المشتركة بين الأدبيات، وتربطها مباشرة بالفجوة البحثية</w:t>
            </w:r>
            <w:r w:rsidRPr="00FE1FB0">
              <w:t>.</w:t>
            </w:r>
          </w:p>
        </w:tc>
      </w:tr>
      <w:tr w:rsidR="004114C8" w:rsidRPr="004114C8" w14:paraId="06D435C0" w14:textId="77777777" w:rsidTr="00E432F3">
        <w:tc>
          <w:tcPr>
            <w:tcW w:w="680" w:type="dxa"/>
            <w:tcMar>
              <w:top w:w="100" w:type="dxa"/>
              <w:left w:w="100" w:type="dxa"/>
              <w:bottom w:w="100" w:type="dxa"/>
              <w:right w:w="100" w:type="dxa"/>
            </w:tcMar>
          </w:tcPr>
          <w:p w14:paraId="7DD1F7C8" w14:textId="2F459A5E" w:rsidR="004114C8" w:rsidRPr="004114C8" w:rsidRDefault="004114C8" w:rsidP="004114C8">
            <w:pPr>
              <w:bidi/>
              <w:jc w:val="both"/>
            </w:pPr>
            <w:r w:rsidRPr="00FE1FB0">
              <w:t>4</w:t>
            </w:r>
          </w:p>
        </w:tc>
        <w:tc>
          <w:tcPr>
            <w:tcW w:w="2103" w:type="dxa"/>
            <w:tcMar>
              <w:top w:w="100" w:type="dxa"/>
              <w:left w:w="100" w:type="dxa"/>
              <w:bottom w:w="100" w:type="dxa"/>
              <w:right w:w="100" w:type="dxa"/>
            </w:tcMar>
          </w:tcPr>
          <w:p w14:paraId="7B1BC0BE" w14:textId="5A2C5450" w:rsidR="004114C8" w:rsidRPr="004114C8" w:rsidRDefault="004114C8" w:rsidP="004114C8">
            <w:pPr>
              <w:bidi/>
              <w:jc w:val="both"/>
            </w:pPr>
            <w:r w:rsidRPr="00FE1FB0">
              <w:rPr>
                <w:rtl/>
              </w:rPr>
              <w:t>الضبط اللغوي والتوثيقي النهائي</w:t>
            </w:r>
          </w:p>
        </w:tc>
        <w:tc>
          <w:tcPr>
            <w:tcW w:w="7290" w:type="dxa"/>
            <w:tcMar>
              <w:top w:w="100" w:type="dxa"/>
              <w:left w:w="100" w:type="dxa"/>
              <w:bottom w:w="100" w:type="dxa"/>
              <w:right w:w="100" w:type="dxa"/>
            </w:tcMar>
          </w:tcPr>
          <w:p w14:paraId="72BE3A6C" w14:textId="5857A43B" w:rsidR="004114C8" w:rsidRPr="004114C8" w:rsidRDefault="004114C8" w:rsidP="004114C8">
            <w:pPr>
              <w:bidi/>
              <w:jc w:val="both"/>
            </w:pPr>
            <w:r w:rsidRPr="00FE1FB0">
              <w:rPr>
                <w:rtl/>
              </w:rPr>
              <w:t>النسخة الحالية جيدة علميًا، لكنها ما تزال بحاجة إلى مراجعة شكلية نهائية لضبط بعض علامات الترقيم، وتوحيد بعض الصياغات الاصطلاحية، والتأكد من الاتساق الكامل في الإحالات والتوثيق</w:t>
            </w:r>
            <w:r w:rsidRPr="00FE1FB0">
              <w:t>.</w:t>
            </w:r>
          </w:p>
        </w:tc>
      </w:tr>
    </w:tbl>
    <w:p w14:paraId="161ECB9D" w14:textId="77777777" w:rsidR="00204E21" w:rsidRDefault="00204E21" w:rsidP="004114C8">
      <w:pPr>
        <w:bidi/>
        <w:jc w:val="both"/>
      </w:pPr>
    </w:p>
    <w:p w14:paraId="3675F6BD" w14:textId="77777777" w:rsidR="00204E21" w:rsidRDefault="00000000" w:rsidP="004114C8">
      <w:pPr>
        <w:bidi/>
        <w:jc w:val="both"/>
      </w:pPr>
      <w:r>
        <w:rPr>
          <w:b/>
          <w:color w:val="1F4E79"/>
          <w:sz w:val="25"/>
        </w:rPr>
        <w:t>ثالثًا: إرشادات الإغلاق</w:t>
      </w:r>
    </w:p>
    <w:p w14:paraId="3981B109" w14:textId="77777777" w:rsidR="004114C8" w:rsidRPr="004114C8" w:rsidRDefault="004114C8" w:rsidP="004114C8">
      <w:pPr>
        <w:bidi/>
        <w:jc w:val="both"/>
        <w:rPr>
          <w:rFonts w:cs="Arial"/>
        </w:rPr>
      </w:pPr>
      <w:r w:rsidRPr="004114C8">
        <w:rPr>
          <w:rFonts w:cs="Arial"/>
          <w:rtl/>
        </w:rPr>
        <w:lastRenderedPageBreak/>
        <w:t>• إعادة صياغة فقرة «منهج مراجعة الأدبيات» في مطلع الفصل الثاني بصورة أكثر تركيزًا، مع توضيح نوع المراجعة ومعايير الاختيار والتنظيم في بناء واحد موجز.• الإبقاء على نظريتي النظم والمواءمة الاستراتيجية بوصفهما الإطارين المحوريين، مع تقديم نظرية الموارد والقدرات ونظرية القدرات الديناميكية كأطر مساندة باختصار أوضح.</w:t>
      </w:r>
    </w:p>
    <w:p w14:paraId="3F717B9D" w14:textId="77777777" w:rsidR="004114C8" w:rsidRPr="004114C8" w:rsidRDefault="004114C8" w:rsidP="004114C8">
      <w:pPr>
        <w:bidi/>
        <w:jc w:val="both"/>
        <w:rPr>
          <w:rFonts w:cs="Arial"/>
        </w:rPr>
      </w:pPr>
      <w:r w:rsidRPr="004114C8">
        <w:rPr>
          <w:rFonts w:cs="Arial"/>
          <w:rtl/>
        </w:rPr>
        <w:t>• إضافة خلاصة تركيبية قصيرة في نهاية محور الدراسات السابقة تُظهر أوجه الاتفاق والتعارض والحدود، وتصل بصورة مباشرة إلى الفجوة البحثية.</w:t>
      </w:r>
    </w:p>
    <w:p w14:paraId="60ABD00E" w14:textId="77777777" w:rsidR="004114C8" w:rsidRDefault="004114C8" w:rsidP="004114C8">
      <w:pPr>
        <w:bidi/>
        <w:jc w:val="both"/>
        <w:rPr>
          <w:rFonts w:cs="Arial"/>
        </w:rPr>
      </w:pPr>
      <w:r w:rsidRPr="004114C8">
        <w:rPr>
          <w:rFonts w:cs="Arial"/>
          <w:rtl/>
        </w:rPr>
        <w:t xml:space="preserve">• تنفيذ مراجعة نهائية للتوثيق وفق </w:t>
      </w:r>
      <w:r w:rsidRPr="004114C8">
        <w:rPr>
          <w:rFonts w:cs="Arial"/>
        </w:rPr>
        <w:t>APA</w:t>
      </w:r>
      <w:r w:rsidRPr="004114C8">
        <w:rPr>
          <w:rFonts w:cs="Arial"/>
          <w:rtl/>
        </w:rPr>
        <w:t>، مع توحيد المصطلحات والعلامات والاتساق الشكلي.</w:t>
      </w:r>
    </w:p>
    <w:p w14:paraId="4F155B9D" w14:textId="39E9FD6B" w:rsidR="00204E21" w:rsidRDefault="00000000" w:rsidP="004114C8">
      <w:pPr>
        <w:bidi/>
        <w:jc w:val="both"/>
      </w:pPr>
      <w:proofErr w:type="spellStart"/>
      <w:r>
        <w:rPr>
          <w:b/>
          <w:color w:val="1F4E79"/>
          <w:sz w:val="25"/>
        </w:rPr>
        <w:t>رابعًا</w:t>
      </w:r>
      <w:proofErr w:type="spellEnd"/>
      <w:r>
        <w:rPr>
          <w:b/>
          <w:color w:val="1F4E79"/>
          <w:sz w:val="25"/>
        </w:rPr>
        <w:t xml:space="preserve">: </w:t>
      </w:r>
      <w:proofErr w:type="spellStart"/>
      <w:r>
        <w:rPr>
          <w:b/>
          <w:color w:val="1F4E79"/>
          <w:sz w:val="25"/>
        </w:rPr>
        <w:t>الخلاصة</w:t>
      </w:r>
      <w:proofErr w:type="spellEnd"/>
      <w:r>
        <w:rPr>
          <w:b/>
          <w:color w:val="1F4E79"/>
          <w:sz w:val="25"/>
        </w:rPr>
        <w:t xml:space="preserve"> </w:t>
      </w:r>
      <w:proofErr w:type="spellStart"/>
      <w:r>
        <w:rPr>
          <w:b/>
          <w:color w:val="1F4E79"/>
          <w:sz w:val="25"/>
        </w:rPr>
        <w:t>التقويمية</w:t>
      </w:r>
      <w:proofErr w:type="spellEnd"/>
    </w:p>
    <w:p w14:paraId="01687A38" w14:textId="61B6989F" w:rsidR="00204E21" w:rsidRDefault="004114C8" w:rsidP="004114C8">
      <w:pPr>
        <w:bidi/>
        <w:spacing w:after="120" w:line="300" w:lineRule="auto"/>
        <w:jc w:val="both"/>
      </w:pPr>
      <w:r w:rsidRPr="004114C8">
        <w:rPr>
          <w:rFonts w:cs="Arial"/>
          <w:rtl/>
        </w:rPr>
        <w:t>استنادًا إلى المقارنة بين التقرير الثاني المعتمد والنسخة الحالية (التسليم الثالث)، يتبين أن الفصل الثاني تحسن بدرجة كبيرة، وأن معظم الملاحظات السابقة ذات الطابع البنيوي والعلمي قد عولجت إلى حدٍّ بعيد. وعليه، أوصي باعتماد الفصل بعد إجراء التعديلات البسيطة المشار إليها أعلاه، بوصفها تعديلات تحسين وصقل نهائي لا إعادة بناء.</w:t>
      </w:r>
    </w:p>
    <w:sectPr w:rsidR="00204E21" w:rsidSect="00034616">
      <w:pgSz w:w="12240" w:h="15840"/>
      <w:pgMar w:top="964" w:right="1134" w:bottom="96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669864307">
    <w:abstractNumId w:val="8"/>
  </w:num>
  <w:num w:numId="2" w16cid:durableId="1126512523">
    <w:abstractNumId w:val="6"/>
  </w:num>
  <w:num w:numId="3" w16cid:durableId="1398626203">
    <w:abstractNumId w:val="5"/>
  </w:num>
  <w:num w:numId="4" w16cid:durableId="2004815992">
    <w:abstractNumId w:val="4"/>
  </w:num>
  <w:num w:numId="5" w16cid:durableId="140314573">
    <w:abstractNumId w:val="7"/>
  </w:num>
  <w:num w:numId="6" w16cid:durableId="1280187723">
    <w:abstractNumId w:val="3"/>
  </w:num>
  <w:num w:numId="7" w16cid:durableId="678967562">
    <w:abstractNumId w:val="2"/>
  </w:num>
  <w:num w:numId="8" w16cid:durableId="63458248">
    <w:abstractNumId w:val="1"/>
  </w:num>
  <w:num w:numId="9" w16cid:durableId="17296442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QyMjA1MTQxMzQwsjRW0lEKTi0uzszPAykwrAUAGXaM4ywAAAA="/>
  </w:docVars>
  <w:rsids>
    <w:rsidRoot w:val="00B47730"/>
    <w:rsid w:val="00034616"/>
    <w:rsid w:val="0006063C"/>
    <w:rsid w:val="0015074B"/>
    <w:rsid w:val="00204E21"/>
    <w:rsid w:val="0029639D"/>
    <w:rsid w:val="00326F90"/>
    <w:rsid w:val="004114C8"/>
    <w:rsid w:val="005A1D0C"/>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C08199B"/>
  <w14:defaultImageDpi w14:val="300"/>
  <w15:docId w15:val="{902F8ACD-CAFF-47B1-BB56-6D0C9CA1E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414</Words>
  <Characters>2365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2774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dc:description>generated by python-docx</dc:description>
  <cp:lastModifiedBy>Fadi Abdelfattah</cp:lastModifiedBy>
  <cp:revision>2</cp:revision>
  <dcterms:created xsi:type="dcterms:W3CDTF">2026-04-21T04:51:00Z</dcterms:created>
  <dcterms:modified xsi:type="dcterms:W3CDTF">2026-04-21T04:51:00Z</dcterms:modified>
  <cp:category/>
</cp:coreProperties>
</file>