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F257E" w14:textId="54987027" w:rsidR="009014C5" w:rsidRPr="009014C5" w:rsidRDefault="009014C5" w:rsidP="009014C5">
      <w:pPr>
        <w:bidi/>
        <w:spacing w:line="240" w:lineRule="auto"/>
        <w:rPr>
          <w:rFonts w:ascii="Simplified Arabic" w:hAnsi="Simplified Arabic" w:cs="Simplified Arabic"/>
          <w:b/>
          <w:bCs/>
          <w:szCs w:val="28"/>
          <w:lang w:bidi="ar-EG"/>
        </w:rPr>
      </w:pPr>
      <w:r w:rsidRPr="009014C5">
        <w:rPr>
          <w:rFonts w:ascii="Simplified Arabic" w:hAnsi="Simplified Arabic" w:cs="Simplified Arabic"/>
          <w:noProof/>
        </w:rPr>
        <w:drawing>
          <wp:anchor distT="0" distB="0" distL="114300" distR="114300" simplePos="0" relativeHeight="251662848" behindDoc="0" locked="0" layoutInCell="0" allowOverlap="1" wp14:anchorId="59B45C94" wp14:editId="13EE2109">
            <wp:simplePos x="0" y="0"/>
            <wp:positionH relativeFrom="margin">
              <wp:posOffset>635</wp:posOffset>
            </wp:positionH>
            <wp:positionV relativeFrom="margin">
              <wp:posOffset>-136525</wp:posOffset>
            </wp:positionV>
            <wp:extent cx="2227580" cy="2066925"/>
            <wp:effectExtent l="0" t="0" r="1270" b="9525"/>
            <wp:wrapNone/>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for a university&#10;&#10;Description automatically generated"/>
                    <pic:cNvPicPr>
                      <a:picLocks noChangeAspect="1" noChangeArrowheads="1"/>
                    </pic:cNvPicPr>
                  </pic:nvPicPr>
                  <pic:blipFill>
                    <a:blip r:embed="rId6"/>
                    <a:stretch>
                      <a:fillRect/>
                    </a:stretch>
                  </pic:blipFill>
                  <pic:spPr bwMode="auto">
                    <a:xfrm>
                      <a:off x="0" y="0"/>
                      <a:ext cx="2227580" cy="2066925"/>
                    </a:xfrm>
                    <a:prstGeom prst="rect">
                      <a:avLst/>
                    </a:prstGeom>
                    <a:noFill/>
                  </pic:spPr>
                </pic:pic>
              </a:graphicData>
            </a:graphic>
          </wp:anchor>
        </w:drawing>
      </w:r>
      <w:r w:rsidRPr="009014C5">
        <w:rPr>
          <w:rFonts w:ascii="Simplified Arabic" w:hAnsi="Simplified Arabic" w:cs="Simplified Arabic"/>
          <w:b/>
          <w:bCs/>
          <w:szCs w:val="28"/>
          <w:rtl/>
          <w:lang w:bidi="ar-EG"/>
        </w:rPr>
        <w:t xml:space="preserve">جامعة </w:t>
      </w:r>
      <w:proofErr w:type="spellStart"/>
      <w:r w:rsidRPr="009014C5">
        <w:rPr>
          <w:rFonts w:ascii="Simplified Arabic" w:hAnsi="Simplified Arabic" w:cs="Simplified Arabic"/>
          <w:b/>
          <w:bCs/>
          <w:szCs w:val="28"/>
          <w:rtl/>
          <w:lang w:bidi="ar-EG"/>
        </w:rPr>
        <w:t>ميد</w:t>
      </w:r>
      <w:r w:rsidRPr="009014C5">
        <w:rPr>
          <w:rFonts w:ascii="Simplified Arabic" w:hAnsi="Simplified Arabic" w:cs="Simplified Arabic" w:hint="cs"/>
          <w:b/>
          <w:bCs/>
          <w:szCs w:val="28"/>
          <w:rtl/>
          <w:lang w:bidi="ar-EG"/>
        </w:rPr>
        <w:t>أ</w:t>
      </w:r>
      <w:r w:rsidRPr="009014C5">
        <w:rPr>
          <w:rFonts w:ascii="Simplified Arabic" w:hAnsi="Simplified Arabic" w:cs="Simplified Arabic"/>
          <w:b/>
          <w:bCs/>
          <w:szCs w:val="28"/>
          <w:rtl/>
          <w:lang w:bidi="ar-EG"/>
        </w:rPr>
        <w:t>وشن</w:t>
      </w:r>
      <w:proofErr w:type="spellEnd"/>
      <w:r w:rsidRPr="009014C5">
        <w:rPr>
          <w:rFonts w:ascii="Simplified Arabic" w:hAnsi="Simplified Arabic" w:cs="Simplified Arabic"/>
          <w:b/>
          <w:bCs/>
          <w:szCs w:val="28"/>
          <w:rtl/>
          <w:lang w:bidi="ar-EG"/>
        </w:rPr>
        <w:t xml:space="preserve"> </w:t>
      </w:r>
    </w:p>
    <w:p w14:paraId="0F6E2785" w14:textId="674170FC" w:rsidR="009014C5" w:rsidRPr="009014C5" w:rsidRDefault="009014C5" w:rsidP="009014C5">
      <w:pPr>
        <w:bidi/>
        <w:spacing w:line="240" w:lineRule="auto"/>
        <w:rPr>
          <w:rFonts w:ascii="Simplified Arabic" w:hAnsi="Simplified Arabic" w:cs="Simplified Arabic"/>
          <w:b/>
          <w:bCs/>
          <w:szCs w:val="28"/>
          <w:lang w:bidi="ar-EG"/>
        </w:rPr>
      </w:pPr>
      <w:r w:rsidRPr="009014C5">
        <w:rPr>
          <w:rFonts w:ascii="Simplified Arabic" w:hAnsi="Simplified Arabic" w:cs="Simplified Arabic"/>
          <w:b/>
          <w:bCs/>
          <w:szCs w:val="28"/>
          <w:rtl/>
          <w:lang w:bidi="ar-EG"/>
        </w:rPr>
        <w:t xml:space="preserve">    كلية الإدارة </w:t>
      </w:r>
    </w:p>
    <w:p w14:paraId="0FEEDD81" w14:textId="77777777" w:rsidR="009014C5" w:rsidRPr="009014C5" w:rsidRDefault="009014C5" w:rsidP="009014C5">
      <w:pPr>
        <w:bidi/>
        <w:spacing w:line="240" w:lineRule="auto"/>
        <w:rPr>
          <w:rFonts w:ascii="Simplified Arabic" w:hAnsi="Simplified Arabic" w:cs="Simplified Arabic"/>
          <w:szCs w:val="28"/>
          <w:lang w:bidi="ar-EG"/>
        </w:rPr>
      </w:pPr>
      <w:r w:rsidRPr="009014C5">
        <w:rPr>
          <w:rFonts w:ascii="Simplified Arabic" w:hAnsi="Simplified Arabic" w:cs="Simplified Arabic"/>
          <w:b/>
          <w:bCs/>
          <w:szCs w:val="28"/>
          <w:rtl/>
          <w:lang w:bidi="ar-EG"/>
        </w:rPr>
        <w:t>قسم / تخصص................</w:t>
      </w:r>
    </w:p>
    <w:p w14:paraId="3CDA7698" w14:textId="77777777" w:rsidR="009014C5" w:rsidRDefault="009014C5" w:rsidP="009014C5">
      <w:pPr>
        <w:bidi/>
        <w:spacing w:line="240" w:lineRule="auto"/>
        <w:jc w:val="center"/>
        <w:rPr>
          <w:rFonts w:ascii="Simplified Arabic" w:hAnsi="Simplified Arabic" w:cs="Simplified Arabic"/>
          <w:sz w:val="24"/>
          <w:szCs w:val="24"/>
          <w:rtl/>
        </w:rPr>
      </w:pPr>
    </w:p>
    <w:p w14:paraId="58101C36" w14:textId="77777777" w:rsidR="009014C5" w:rsidRDefault="009014C5" w:rsidP="009014C5">
      <w:pPr>
        <w:bidi/>
        <w:spacing w:line="240" w:lineRule="auto"/>
        <w:jc w:val="center"/>
        <w:rPr>
          <w:rFonts w:ascii="Simplified Arabic" w:hAnsi="Simplified Arabic" w:cs="Simplified Arabic"/>
          <w:sz w:val="24"/>
          <w:szCs w:val="24"/>
          <w:rtl/>
        </w:rPr>
      </w:pPr>
    </w:p>
    <w:p w14:paraId="7C7B5008" w14:textId="77777777" w:rsidR="009014C5" w:rsidRDefault="009014C5" w:rsidP="009014C5">
      <w:pPr>
        <w:bidi/>
        <w:spacing w:line="240" w:lineRule="auto"/>
        <w:jc w:val="center"/>
        <w:rPr>
          <w:rFonts w:ascii="Simplified Arabic" w:hAnsi="Simplified Arabic" w:cs="Simplified Arabic"/>
          <w:sz w:val="24"/>
          <w:szCs w:val="24"/>
          <w:rtl/>
        </w:rPr>
      </w:pPr>
    </w:p>
    <w:p w14:paraId="10757936" w14:textId="7D17288B" w:rsidR="00922EED" w:rsidRPr="009014C5" w:rsidRDefault="00B030D7" w:rsidP="009014C5">
      <w:pPr>
        <w:bidi/>
        <w:spacing w:line="240" w:lineRule="auto"/>
        <w:jc w:val="center"/>
        <w:rPr>
          <w:rFonts w:ascii="Simplified Arabic" w:hAnsi="Simplified Arabic" w:cs="Simplified Arabic"/>
          <w:bCs/>
          <w:sz w:val="36"/>
          <w:szCs w:val="36"/>
        </w:rPr>
      </w:pPr>
      <w:r w:rsidRPr="009014C5">
        <w:rPr>
          <w:rFonts w:ascii="Simplified Arabic" w:hAnsi="Simplified Arabic" w:cs="Simplified Arabic"/>
          <w:bCs/>
          <w:sz w:val="36"/>
          <w:szCs w:val="36"/>
          <w:rtl/>
        </w:rPr>
        <w:t>أثر التحول الرقمي في محكمة التنفيذ على كفاءة إنجاز القضايا في المملكة العربية السعودية</w:t>
      </w:r>
    </w:p>
    <w:p w14:paraId="05B7D261" w14:textId="77777777" w:rsidR="00922EED" w:rsidRPr="009C4079" w:rsidRDefault="00922EED" w:rsidP="009014C5">
      <w:pPr>
        <w:spacing w:line="240" w:lineRule="auto"/>
        <w:jc w:val="center"/>
        <w:rPr>
          <w:rFonts w:ascii="Simplified Arabic" w:hAnsi="Simplified Arabic" w:cs="Simplified Arabic"/>
          <w:szCs w:val="28"/>
        </w:rPr>
      </w:pPr>
    </w:p>
    <w:p w14:paraId="780E8AD5" w14:textId="77777777" w:rsidR="00922EED" w:rsidRPr="009014C5" w:rsidRDefault="00B030D7" w:rsidP="009014C5">
      <w:pPr>
        <w:bidi/>
        <w:spacing w:line="240" w:lineRule="auto"/>
        <w:jc w:val="center"/>
        <w:rPr>
          <w:rFonts w:ascii="Simplified Arabic" w:hAnsi="Simplified Arabic" w:cs="Simplified Arabic"/>
          <w:b/>
          <w:bCs/>
          <w:sz w:val="36"/>
          <w:szCs w:val="36"/>
        </w:rPr>
      </w:pPr>
      <w:r w:rsidRPr="009014C5">
        <w:rPr>
          <w:rFonts w:ascii="Simplified Arabic" w:hAnsi="Simplified Arabic" w:cs="Simplified Arabic"/>
          <w:b/>
          <w:bCs/>
          <w:sz w:val="36"/>
          <w:szCs w:val="36"/>
          <w:rtl/>
        </w:rPr>
        <w:t>إعداد الطالب/</w:t>
      </w:r>
    </w:p>
    <w:p w14:paraId="60F1050A" w14:textId="77777777" w:rsidR="00922EED" w:rsidRPr="009014C5" w:rsidRDefault="00B030D7" w:rsidP="009014C5">
      <w:pPr>
        <w:bidi/>
        <w:spacing w:line="240" w:lineRule="auto"/>
        <w:jc w:val="center"/>
        <w:rPr>
          <w:rFonts w:ascii="Simplified Arabic" w:hAnsi="Simplified Arabic" w:cs="Simplified Arabic"/>
          <w:b/>
          <w:bCs/>
          <w:sz w:val="36"/>
          <w:szCs w:val="36"/>
        </w:rPr>
      </w:pPr>
      <w:r w:rsidRPr="009014C5">
        <w:rPr>
          <w:rFonts w:ascii="Simplified Arabic" w:hAnsi="Simplified Arabic" w:cs="Simplified Arabic"/>
          <w:b/>
          <w:bCs/>
          <w:sz w:val="36"/>
          <w:szCs w:val="36"/>
          <w:rtl/>
        </w:rPr>
        <w:t xml:space="preserve">ناصر سعود </w:t>
      </w:r>
      <w:proofErr w:type="spellStart"/>
      <w:r w:rsidRPr="009014C5">
        <w:rPr>
          <w:rFonts w:ascii="Simplified Arabic" w:hAnsi="Simplified Arabic" w:cs="Simplified Arabic"/>
          <w:b/>
          <w:bCs/>
          <w:sz w:val="36"/>
          <w:szCs w:val="36"/>
          <w:rtl/>
        </w:rPr>
        <w:t>ابوخليل</w:t>
      </w:r>
      <w:proofErr w:type="spellEnd"/>
    </w:p>
    <w:p w14:paraId="195B2D9F" w14:textId="77777777" w:rsidR="00922EED" w:rsidRPr="009014C5" w:rsidRDefault="00B030D7" w:rsidP="009014C5">
      <w:pPr>
        <w:bidi/>
        <w:spacing w:line="240" w:lineRule="auto"/>
        <w:jc w:val="center"/>
        <w:rPr>
          <w:rFonts w:ascii="Simplified Arabic" w:hAnsi="Simplified Arabic" w:cs="Simplified Arabic"/>
          <w:b/>
          <w:bCs/>
          <w:sz w:val="36"/>
          <w:szCs w:val="36"/>
        </w:rPr>
      </w:pPr>
      <w:r w:rsidRPr="009014C5">
        <w:rPr>
          <w:rFonts w:ascii="Simplified Arabic" w:hAnsi="Simplified Arabic" w:cs="Simplified Arabic"/>
          <w:b/>
          <w:bCs/>
          <w:sz w:val="36"/>
          <w:szCs w:val="36"/>
          <w:rtl/>
        </w:rPr>
        <w:t>252001301</w:t>
      </w:r>
    </w:p>
    <w:p w14:paraId="59F1F032" w14:textId="77777777" w:rsidR="00922EED" w:rsidRPr="009014C5" w:rsidRDefault="00922EED" w:rsidP="009014C5">
      <w:pPr>
        <w:spacing w:line="240" w:lineRule="auto"/>
        <w:jc w:val="center"/>
        <w:rPr>
          <w:rFonts w:ascii="Simplified Arabic" w:hAnsi="Simplified Arabic" w:cs="Simplified Arabic"/>
          <w:b/>
          <w:bCs/>
          <w:sz w:val="36"/>
          <w:szCs w:val="36"/>
        </w:rPr>
      </w:pPr>
    </w:p>
    <w:p w14:paraId="31989A49" w14:textId="77777777" w:rsidR="00922EED" w:rsidRPr="009014C5" w:rsidRDefault="00B030D7" w:rsidP="009014C5">
      <w:pPr>
        <w:bidi/>
        <w:spacing w:line="240" w:lineRule="auto"/>
        <w:jc w:val="center"/>
        <w:rPr>
          <w:rFonts w:ascii="Simplified Arabic" w:hAnsi="Simplified Arabic" w:cs="Simplified Arabic"/>
          <w:b/>
          <w:bCs/>
          <w:sz w:val="36"/>
          <w:szCs w:val="36"/>
        </w:rPr>
      </w:pPr>
      <w:r w:rsidRPr="009014C5">
        <w:rPr>
          <w:rFonts w:ascii="Simplified Arabic" w:hAnsi="Simplified Arabic" w:cs="Simplified Arabic"/>
          <w:b/>
          <w:bCs/>
          <w:sz w:val="36"/>
          <w:szCs w:val="36"/>
          <w:rtl/>
        </w:rPr>
        <w:t>إشراف/</w:t>
      </w:r>
    </w:p>
    <w:p w14:paraId="4663C07B" w14:textId="77777777" w:rsidR="00922EED" w:rsidRPr="009014C5" w:rsidRDefault="00922EED" w:rsidP="009014C5">
      <w:pPr>
        <w:spacing w:line="240" w:lineRule="auto"/>
        <w:jc w:val="center"/>
        <w:rPr>
          <w:rFonts w:ascii="Simplified Arabic" w:hAnsi="Simplified Arabic" w:cs="Simplified Arabic"/>
          <w:b/>
          <w:bCs/>
          <w:sz w:val="36"/>
          <w:szCs w:val="36"/>
        </w:rPr>
      </w:pPr>
    </w:p>
    <w:p w14:paraId="7BDBFFFA" w14:textId="77777777" w:rsidR="00922EED" w:rsidRPr="009014C5" w:rsidRDefault="00B030D7" w:rsidP="009014C5">
      <w:pPr>
        <w:bidi/>
        <w:spacing w:line="240" w:lineRule="auto"/>
        <w:jc w:val="center"/>
        <w:rPr>
          <w:rFonts w:ascii="Simplified Arabic" w:hAnsi="Simplified Arabic" w:cs="Simplified Arabic"/>
          <w:b/>
          <w:bCs/>
          <w:sz w:val="36"/>
          <w:szCs w:val="36"/>
        </w:rPr>
      </w:pPr>
      <w:r w:rsidRPr="009014C5">
        <w:rPr>
          <w:rFonts w:ascii="Simplified Arabic" w:hAnsi="Simplified Arabic" w:cs="Simplified Arabic"/>
          <w:b/>
          <w:bCs/>
          <w:sz w:val="36"/>
          <w:szCs w:val="36"/>
          <w:rtl/>
        </w:rPr>
        <w:t>العام الدراسي:</w:t>
      </w:r>
    </w:p>
    <w:p w14:paraId="41F81D18" w14:textId="77777777" w:rsidR="00922EED" w:rsidRPr="009014C5" w:rsidRDefault="00B030D7" w:rsidP="009014C5">
      <w:pPr>
        <w:bidi/>
        <w:spacing w:line="240" w:lineRule="auto"/>
        <w:jc w:val="center"/>
        <w:rPr>
          <w:rFonts w:ascii="Simplified Arabic" w:hAnsi="Simplified Arabic" w:cs="Simplified Arabic"/>
          <w:b/>
          <w:bCs/>
          <w:sz w:val="36"/>
          <w:szCs w:val="36"/>
        </w:rPr>
      </w:pPr>
      <w:r w:rsidRPr="009014C5">
        <w:rPr>
          <w:rFonts w:ascii="Simplified Arabic" w:hAnsi="Simplified Arabic" w:cs="Simplified Arabic"/>
          <w:b/>
          <w:bCs/>
          <w:sz w:val="36"/>
          <w:szCs w:val="36"/>
          <w:rtl/>
        </w:rPr>
        <w:t>٢٠٢٦</w:t>
      </w:r>
    </w:p>
    <w:p w14:paraId="6681048C" w14:textId="77777777" w:rsidR="00922EED" w:rsidRPr="009C4079" w:rsidRDefault="00B030D7" w:rsidP="009014C5">
      <w:pPr>
        <w:spacing w:line="240" w:lineRule="auto"/>
        <w:jc w:val="center"/>
        <w:rPr>
          <w:rFonts w:ascii="Simplified Arabic" w:hAnsi="Simplified Arabic" w:cs="Simplified Arabic"/>
          <w:szCs w:val="28"/>
        </w:rPr>
      </w:pPr>
      <w:r w:rsidRPr="009C4079">
        <w:rPr>
          <w:rFonts w:ascii="Simplified Arabic" w:hAnsi="Simplified Arabic" w:cs="Simplified Arabic"/>
          <w:szCs w:val="28"/>
        </w:rPr>
        <w:br w:type="page"/>
      </w:r>
    </w:p>
    <w:p w14:paraId="61EFBD44" w14:textId="77777777" w:rsidR="009C4079" w:rsidRDefault="00B030D7" w:rsidP="009C4079">
      <w:pPr>
        <w:bidi/>
        <w:spacing w:after="360" w:line="240" w:lineRule="auto"/>
        <w:jc w:val="center"/>
        <w:rPr>
          <w:rFonts w:ascii="Simplified Arabic" w:hAnsi="Simplified Arabic" w:cs="Simplified Arabic"/>
          <w:bCs/>
          <w:sz w:val="36"/>
          <w:szCs w:val="36"/>
          <w:rtl/>
        </w:rPr>
      </w:pPr>
      <w:r w:rsidRPr="009C4079">
        <w:rPr>
          <w:rFonts w:ascii="Simplified Arabic" w:hAnsi="Simplified Arabic" w:cs="Simplified Arabic"/>
          <w:bCs/>
          <w:sz w:val="36"/>
          <w:szCs w:val="36"/>
          <w:rtl/>
        </w:rPr>
        <w:lastRenderedPageBreak/>
        <w:t>الفصل الأول</w:t>
      </w:r>
    </w:p>
    <w:p w14:paraId="7E985F19" w14:textId="3220B95C" w:rsidR="00922EED" w:rsidRPr="009C4079" w:rsidRDefault="00B030D7" w:rsidP="009C4079">
      <w:pPr>
        <w:bidi/>
        <w:spacing w:after="360" w:line="240" w:lineRule="auto"/>
        <w:jc w:val="center"/>
        <w:rPr>
          <w:rFonts w:ascii="Simplified Arabic" w:hAnsi="Simplified Arabic" w:cs="Simplified Arabic"/>
          <w:bCs/>
          <w:sz w:val="36"/>
          <w:szCs w:val="36"/>
        </w:rPr>
      </w:pPr>
      <w:r w:rsidRPr="009C4079">
        <w:rPr>
          <w:rFonts w:ascii="Simplified Arabic" w:hAnsi="Simplified Arabic" w:cs="Simplified Arabic"/>
          <w:bCs/>
          <w:sz w:val="36"/>
          <w:szCs w:val="36"/>
          <w:rtl/>
        </w:rPr>
        <w:t>المقدمة والإطار النظري للدراسة</w:t>
      </w:r>
    </w:p>
    <w:p w14:paraId="36854608" w14:textId="77777777" w:rsidR="00922EED" w:rsidRPr="009C4079" w:rsidRDefault="00B030D7" w:rsidP="009C4079">
      <w:pPr>
        <w:bidi/>
        <w:spacing w:after="160" w:line="240" w:lineRule="auto"/>
        <w:jc w:val="both"/>
        <w:rPr>
          <w:rFonts w:ascii="Simplified Arabic" w:hAnsi="Simplified Arabic" w:cs="Simplified Arabic"/>
          <w:bCs/>
          <w:sz w:val="32"/>
          <w:szCs w:val="32"/>
        </w:rPr>
      </w:pPr>
      <w:r w:rsidRPr="009C4079">
        <w:rPr>
          <w:rFonts w:ascii="Simplified Arabic" w:hAnsi="Simplified Arabic" w:cs="Simplified Arabic"/>
          <w:bCs/>
          <w:sz w:val="32"/>
          <w:szCs w:val="32"/>
          <w:rtl/>
        </w:rPr>
        <w:t>مقدمة</w:t>
      </w:r>
    </w:p>
    <w:p w14:paraId="31DC75CD"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 xml:space="preserve">يشهد العالم في العقود الأخيرة تحولًا متسارعًا نحو </w:t>
      </w:r>
      <w:proofErr w:type="spellStart"/>
      <w:r w:rsidRPr="009C4079">
        <w:rPr>
          <w:rFonts w:ascii="Simplified Arabic" w:hAnsi="Simplified Arabic" w:cs="Simplified Arabic"/>
          <w:szCs w:val="28"/>
          <w:rtl/>
        </w:rPr>
        <w:t>الرقمنة</w:t>
      </w:r>
      <w:proofErr w:type="spellEnd"/>
      <w:r w:rsidRPr="009C4079">
        <w:rPr>
          <w:rFonts w:ascii="Simplified Arabic" w:hAnsi="Simplified Arabic" w:cs="Simplified Arabic"/>
          <w:szCs w:val="28"/>
          <w:rtl/>
        </w:rPr>
        <w:t xml:space="preserve"> بوصفها توجهًا مؤسسيًا لإعادة تصميم الخدمات العامة ورفع كفاءتها عبر تقليل الزمن الإجرائي، وتحسين دقة البيانات، وتعزيز الشفافية وسهولة الوصول. وقد اتجهت العديد من الأنظمة القضائية إلى تبني حلول رقمية تشمل أنظمة إدارة القضايا إلكترونيًا، والتقاضي عن بُعد، والتكامل بين المنصات، بهدف الحد من التأخير الإجرائي وتحسين جودة الخدمة العدلية عندما تُبنى هذه الحلول على حوكمة بيانات واضحة وبنية تقنية متكاملة (</w:t>
      </w:r>
      <w:proofErr w:type="spellStart"/>
      <w:r w:rsidRPr="009C4079">
        <w:rPr>
          <w:rFonts w:ascii="Simplified Arabic" w:hAnsi="Simplified Arabic" w:cs="Simplified Arabic"/>
          <w:szCs w:val="28"/>
          <w:rtl/>
        </w:rPr>
        <w:t>United</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Nations</w:t>
      </w:r>
      <w:proofErr w:type="spellEnd"/>
      <w:r w:rsidRPr="009C4079">
        <w:rPr>
          <w:rFonts w:ascii="Simplified Arabic" w:hAnsi="Simplified Arabic" w:cs="Simplified Arabic"/>
          <w:szCs w:val="28"/>
          <w:rtl/>
        </w:rPr>
        <w:t xml:space="preserve">, 2024؛ </w:t>
      </w:r>
      <w:proofErr w:type="spellStart"/>
      <w:r w:rsidRPr="009C4079">
        <w:rPr>
          <w:rFonts w:ascii="Simplified Arabic" w:hAnsi="Simplified Arabic" w:cs="Simplified Arabic"/>
          <w:szCs w:val="28"/>
          <w:rtl/>
        </w:rPr>
        <w:t>World</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Bank</w:t>
      </w:r>
      <w:proofErr w:type="spellEnd"/>
      <w:r w:rsidRPr="009C4079">
        <w:rPr>
          <w:rFonts w:ascii="Simplified Arabic" w:hAnsi="Simplified Arabic" w:cs="Simplified Arabic"/>
          <w:szCs w:val="28"/>
          <w:rtl/>
        </w:rPr>
        <w:t>, 2025).</w:t>
      </w:r>
    </w:p>
    <w:p w14:paraId="71A00B97"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وفي السياق السعودي، يكتسب موضوع التحول الرقمي في محكمة التنفيذ أهمية خاصة لارتباطه بمسار التحول الوطني الشامل ضمن رؤية السعودية 2030، وبما يستهدفه ذلك المسار من رفع كفاءة الخدمات الحكومية وتسريع إنجاز المعاملات وتحسين تجربة المستفيد. وتؤكد تقارير برنامج التحول الوطني تقدم مؤشرات التحول الرقمي لدى الجهات الحكومية، وتُبرز حضور وزارة العدل ضمن منظومة القياس والأداء المرتبط بالتحول الرقمي (برنامج التحول الوطني، 2023؛ برنامج التحول الوطني، 2022).</w:t>
      </w:r>
    </w:p>
    <w:p w14:paraId="23E9A30F"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وعلى المستوى التنفيذي المتخصص، يعكس تطوير مسارات التنفيذ الرقمية ومنها المحكمة الافتراضية للتنفيذ توجهًا يستهدف أتمتة سلسلة إجراءات التنفيذ وتقليل الاعتماد على الإجراءات الورقية، بما ينعكس على سرعة الإنجاز وجودته وشفافيته. وقد أشارت وزارة العدل إلى نقلات نوعية في قضاء التنفيذ وإطلاق الأنظمة الإلكترونية ذات الصلة بالتنفيذ وتطوير الإجراءات (وزارة العدل السعودية، 2021)، كما أشارت إلى معالجة المحكمة الافتراضية للتنفيذ لأعداد كبيرة من الطلبات ضمن مؤشرات الاستخدام التشغيلي (وزارة العدل السعودية، 2024).</w:t>
      </w:r>
    </w:p>
    <w:p w14:paraId="55212C06"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وانطلاقًا من هذه المعطيات، تتجه هذه الدراسة إلى قياس أثر التحول الرقمي في محكمة التنفيذ على كفاءة إنجاز القضايا في المملكة العربية السعودية، من خلال مقاربة الكفاءة عبر أبعاد: السرعة (خفض زمن الدورة الإجرائية)، والدقة (تقليل الأخطاء وتحسين موثوقية البيانات)، والشفافية (وضوح المسار الإجرائي وإمكانية التتبع). وتساند الدراسات المحلية هذا الاتجاه عبر إبراز أثر الحكومة الإلكترونية والتحول الرقمي في تحسين الأداء ورفع كفاءة تقديم الخدمات، بما يهيئ لبناء مشكلة دراسة قابلة للقياس في مجال التنفيذ (حافظ، 2021؛ السلمي وآخرون، 2025؛ القثامي، 2021؛ العليان، 2025؛ الأحمَدي، 2024).</w:t>
      </w:r>
    </w:p>
    <w:p w14:paraId="74A2B725" w14:textId="77777777" w:rsidR="00922EED" w:rsidRPr="009C4079" w:rsidRDefault="00B030D7" w:rsidP="009C4079">
      <w:pPr>
        <w:bidi/>
        <w:spacing w:after="160" w:line="240" w:lineRule="auto"/>
        <w:jc w:val="both"/>
        <w:rPr>
          <w:rFonts w:ascii="Simplified Arabic" w:hAnsi="Simplified Arabic" w:cs="Simplified Arabic"/>
          <w:bCs/>
          <w:sz w:val="32"/>
          <w:szCs w:val="32"/>
        </w:rPr>
      </w:pPr>
      <w:r w:rsidRPr="009C4079">
        <w:rPr>
          <w:rFonts w:ascii="Simplified Arabic" w:hAnsi="Simplified Arabic" w:cs="Simplified Arabic"/>
          <w:bCs/>
          <w:sz w:val="32"/>
          <w:szCs w:val="32"/>
          <w:rtl/>
        </w:rPr>
        <w:lastRenderedPageBreak/>
        <w:t>مشكلة الدراسة</w:t>
      </w:r>
    </w:p>
    <w:p w14:paraId="215905E6"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 xml:space="preserve">على المستوى العام، ترتبط كفاءة إنجاز القضايا—زمنًا وجودةً وشفافية—بفاعلية الأنظمة القضائية وثقة المجتمع وبيئة الأعمال؛ إذ يؤدي طول الدورة الإجرائية وتعدد نقاط الاحتكاك الورقي وضعف التكامل بين الجهات إلى بطء الإنجاز وارتفاع كلفة التقاضي وتعثر وصول الحقوق إلى أصحابها. وقد دفع ذلك كثيرًا من الدول إلى تبني </w:t>
      </w:r>
      <w:proofErr w:type="spellStart"/>
      <w:r w:rsidRPr="009C4079">
        <w:rPr>
          <w:rFonts w:ascii="Simplified Arabic" w:hAnsi="Simplified Arabic" w:cs="Simplified Arabic"/>
          <w:szCs w:val="28"/>
          <w:rtl/>
        </w:rPr>
        <w:t>رقمنة</w:t>
      </w:r>
      <w:proofErr w:type="spellEnd"/>
      <w:r w:rsidRPr="009C4079">
        <w:rPr>
          <w:rFonts w:ascii="Simplified Arabic" w:hAnsi="Simplified Arabic" w:cs="Simplified Arabic"/>
          <w:szCs w:val="28"/>
          <w:rtl/>
        </w:rPr>
        <w:t xml:space="preserve"> العدالة عبر منصات إلكترونية وإدارة رقمية للقضايا وتكامل معلوماتي يهدف إلى تقليل التأخير الإجرائي وتحسين تقديم الخدمة العدلية (</w:t>
      </w:r>
      <w:proofErr w:type="spellStart"/>
      <w:r w:rsidRPr="009C4079">
        <w:rPr>
          <w:rFonts w:ascii="Simplified Arabic" w:hAnsi="Simplified Arabic" w:cs="Simplified Arabic"/>
          <w:szCs w:val="28"/>
          <w:rtl/>
        </w:rPr>
        <w:t>United</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Nations</w:t>
      </w:r>
      <w:proofErr w:type="spellEnd"/>
      <w:r w:rsidRPr="009C4079">
        <w:rPr>
          <w:rFonts w:ascii="Simplified Arabic" w:hAnsi="Simplified Arabic" w:cs="Simplified Arabic"/>
          <w:szCs w:val="28"/>
          <w:rtl/>
        </w:rPr>
        <w:t xml:space="preserve">, 2024؛ </w:t>
      </w:r>
      <w:proofErr w:type="spellStart"/>
      <w:r w:rsidRPr="009C4079">
        <w:rPr>
          <w:rFonts w:ascii="Simplified Arabic" w:hAnsi="Simplified Arabic" w:cs="Simplified Arabic"/>
          <w:szCs w:val="28"/>
          <w:rtl/>
        </w:rPr>
        <w:t>World</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Bank</w:t>
      </w:r>
      <w:proofErr w:type="spellEnd"/>
      <w:r w:rsidRPr="009C4079">
        <w:rPr>
          <w:rFonts w:ascii="Simplified Arabic" w:hAnsi="Simplified Arabic" w:cs="Simplified Arabic"/>
          <w:szCs w:val="28"/>
          <w:rtl/>
        </w:rPr>
        <w:t>, 2025).</w:t>
      </w:r>
    </w:p>
    <w:p w14:paraId="6F43FAFB"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وعلى مستوى المملكة العربية السعودية، يتعزز هذا التوجه ضمن رؤية السعودية 2030 وبرامجها التنفيذية، حيث تُظهر تقارير برنامج التحول الوطني مسارًا واضحًا لتعزيز الحكومة الرقمية ورفع كفاءة الأداء في الجهات الحكومية، بما يشمل القطاع العدلي (برنامج التحول الوطني، 2023؛ برنامج التحول الوطني، 2022).</w:t>
      </w:r>
    </w:p>
    <w:p w14:paraId="1E005264"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أما على المستوى الخاص، فرغم اتساع تطبيق الحلول الرقمية في التنفيذ وتطوير إجراءات قضاء التنفيذ وإطلاق الأنظمة الإلكترونية المرتبطة به (وزارة العدل السعودية، 2021)، تظل الحاجة قائمة إلى قياس مدى تحقق الأثر الفعلي لهذه الحلول على كفاءة إنجاز قضايا التنفيذ بصورة منهجية قابلة للقياس، ولاسيما عبر مؤشرات السرعة والدقة والشفافية. وتعضد بعض المؤشرات التطبيقية هذا الاتجاه، ومنها ما يرد في نشرات/وثائق التحول الرقمي التي تُبرز التكامل الإجرائي والمالي عبر منصات العدالة الرقمية (هيئة الحكومة الرقمية، 2024).</w:t>
      </w:r>
    </w:p>
    <w:p w14:paraId="0D658CB0"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وبناءً عليه، تتمثل مشكلة الدراسة في الحاجة إلى قياس أثر التحول الرقمي في محكمة التنفيذ—وخدماته المرتبطة بالمنصات العدلية الرقمية—على كفاءة إنجاز قضايا التنفيذ في المملكة العربية السعودية، عبر مؤشرات دقيقة تعكس السرعة والدقة والشفافية، بما يدعم تطوير الإجراءات واتخاذ القرار المبني على الأدلة.</w:t>
      </w:r>
    </w:p>
    <w:p w14:paraId="0BD304EC" w14:textId="77777777" w:rsidR="00922EED" w:rsidRPr="009C4079" w:rsidRDefault="00B030D7" w:rsidP="009C4079">
      <w:pPr>
        <w:bidi/>
        <w:spacing w:after="160" w:line="240" w:lineRule="auto"/>
        <w:jc w:val="both"/>
        <w:rPr>
          <w:rFonts w:ascii="Simplified Arabic" w:hAnsi="Simplified Arabic" w:cs="Simplified Arabic"/>
          <w:bCs/>
          <w:sz w:val="32"/>
          <w:szCs w:val="32"/>
        </w:rPr>
      </w:pPr>
      <w:r w:rsidRPr="009C4079">
        <w:rPr>
          <w:rFonts w:ascii="Simplified Arabic" w:hAnsi="Simplified Arabic" w:cs="Simplified Arabic"/>
          <w:bCs/>
          <w:sz w:val="32"/>
          <w:szCs w:val="32"/>
          <w:rtl/>
        </w:rPr>
        <w:t>أهمية الدراسة</w:t>
      </w:r>
    </w:p>
    <w:p w14:paraId="39708210" w14:textId="77777777" w:rsidR="00922EED" w:rsidRPr="009C4079" w:rsidRDefault="00B030D7" w:rsidP="009C4079">
      <w:pPr>
        <w:bidi/>
        <w:spacing w:after="120" w:line="240" w:lineRule="auto"/>
        <w:jc w:val="both"/>
        <w:rPr>
          <w:rFonts w:ascii="Simplified Arabic" w:hAnsi="Simplified Arabic" w:cs="Simplified Arabic"/>
          <w:bCs/>
          <w:szCs w:val="28"/>
        </w:rPr>
      </w:pPr>
      <w:r w:rsidRPr="009C4079">
        <w:rPr>
          <w:rFonts w:ascii="Simplified Arabic" w:hAnsi="Simplified Arabic" w:cs="Simplified Arabic"/>
          <w:bCs/>
          <w:szCs w:val="28"/>
          <w:rtl/>
        </w:rPr>
        <w:t>أولًا: الأهمية النظرية/العلمية</w:t>
      </w:r>
    </w:p>
    <w:p w14:paraId="2C3A7FB9"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 xml:space="preserve">تكتسب هذه الدراسة أهميتها النظرية من إسهامها في إثراء الأدبيات السعودية والعربية المتعلقة بالتحول الرقمي القضائي، وذلك من خلال تركيزها على مجال التنفيذ بوصفه حلقة حاسمة في وصول الحقوق وإنفاذ الأحكام، وهو من المجالات التي ما تزال بحاجة إلى مزيد من القياس التحليلي المنهجي. كما تقدم الدراسة إطارًا مفاهيميًا يربط بين التحول الرقمي ومفهوم كفاءة الإنجاز من خلال أبعاد قابلة للقياس تتمثل في السرعة والدقة والشفافية، بما يدعم بناء نماذج تفسيرية قابلة للاختبار في سياق محكمة التنفيذ. كذلك تدعم الدراسة توطين النقاش العلمي حول أثر </w:t>
      </w:r>
      <w:proofErr w:type="spellStart"/>
      <w:r w:rsidRPr="009C4079">
        <w:rPr>
          <w:rFonts w:ascii="Simplified Arabic" w:hAnsi="Simplified Arabic" w:cs="Simplified Arabic"/>
          <w:szCs w:val="28"/>
          <w:rtl/>
        </w:rPr>
        <w:t>رقمنة</w:t>
      </w:r>
      <w:proofErr w:type="spellEnd"/>
      <w:r w:rsidRPr="009C4079">
        <w:rPr>
          <w:rFonts w:ascii="Simplified Arabic" w:hAnsi="Simplified Arabic" w:cs="Simplified Arabic"/>
          <w:szCs w:val="28"/>
          <w:rtl/>
        </w:rPr>
        <w:t xml:space="preserve"> الإجراءات في تقليل التأخير الإجرائي وتحسين جودة الخدمة العدلية ضمن سياق محلي يتسق مع الاتجاهات الحديثة في </w:t>
      </w:r>
      <w:proofErr w:type="spellStart"/>
      <w:r w:rsidRPr="009C4079">
        <w:rPr>
          <w:rFonts w:ascii="Simplified Arabic" w:hAnsi="Simplified Arabic" w:cs="Simplified Arabic"/>
          <w:szCs w:val="28"/>
          <w:rtl/>
        </w:rPr>
        <w:t>رقمنة</w:t>
      </w:r>
      <w:proofErr w:type="spellEnd"/>
      <w:r w:rsidRPr="009C4079">
        <w:rPr>
          <w:rFonts w:ascii="Simplified Arabic" w:hAnsi="Simplified Arabic" w:cs="Simplified Arabic"/>
          <w:szCs w:val="28"/>
          <w:rtl/>
        </w:rPr>
        <w:t xml:space="preserve"> الخدمات العامة (</w:t>
      </w:r>
      <w:proofErr w:type="spellStart"/>
      <w:r w:rsidRPr="009C4079">
        <w:rPr>
          <w:rFonts w:ascii="Simplified Arabic" w:hAnsi="Simplified Arabic" w:cs="Simplified Arabic"/>
          <w:szCs w:val="28"/>
          <w:rtl/>
        </w:rPr>
        <w:t>United</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Nations</w:t>
      </w:r>
      <w:proofErr w:type="spellEnd"/>
      <w:r w:rsidRPr="009C4079">
        <w:rPr>
          <w:rFonts w:ascii="Simplified Arabic" w:hAnsi="Simplified Arabic" w:cs="Simplified Arabic"/>
          <w:szCs w:val="28"/>
          <w:rtl/>
        </w:rPr>
        <w:t>, 2024).</w:t>
      </w:r>
    </w:p>
    <w:p w14:paraId="5B42A2DD" w14:textId="77777777" w:rsidR="00922EED" w:rsidRPr="009C4079" w:rsidRDefault="00B030D7" w:rsidP="009C4079">
      <w:pPr>
        <w:bidi/>
        <w:spacing w:after="120" w:line="240" w:lineRule="auto"/>
        <w:jc w:val="both"/>
        <w:rPr>
          <w:rFonts w:ascii="Simplified Arabic" w:hAnsi="Simplified Arabic" w:cs="Simplified Arabic"/>
          <w:bCs/>
          <w:szCs w:val="28"/>
        </w:rPr>
      </w:pPr>
      <w:r w:rsidRPr="009C4079">
        <w:rPr>
          <w:rFonts w:ascii="Simplified Arabic" w:hAnsi="Simplified Arabic" w:cs="Simplified Arabic"/>
          <w:bCs/>
          <w:szCs w:val="28"/>
          <w:rtl/>
        </w:rPr>
        <w:lastRenderedPageBreak/>
        <w:t>ثانيًا: الأهمية التطبيقية/العملية</w:t>
      </w:r>
    </w:p>
    <w:p w14:paraId="266EDD24"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 xml:space="preserve">تتمثل الأهمية التطبيقية للدراسة </w:t>
      </w:r>
      <w:proofErr w:type="gramStart"/>
      <w:r w:rsidRPr="009C4079">
        <w:rPr>
          <w:rFonts w:ascii="Simplified Arabic" w:hAnsi="Simplified Arabic" w:cs="Simplified Arabic"/>
          <w:szCs w:val="28"/>
          <w:rtl/>
        </w:rPr>
        <w:t>في ما</w:t>
      </w:r>
      <w:proofErr w:type="gramEnd"/>
      <w:r w:rsidRPr="009C4079">
        <w:rPr>
          <w:rFonts w:ascii="Simplified Arabic" w:hAnsi="Simplified Arabic" w:cs="Simplified Arabic"/>
          <w:szCs w:val="28"/>
          <w:rtl/>
        </w:rPr>
        <w:t xml:space="preserve"> يمكن أن تقدمه نتائجها من دعم للجهات المعنية في وزارة العدل ومحاكم التنفيذ عند تقييم أثر الحلول الرقمية على زمن إنجاز الطلبات وجودتها وشفافيتها، بما يسهم في تحسين العمليات وإعادة ضبط المسارات الإجرائية. كما توفر الدراسة مؤشرات عملية يمكن الاستفادة منها في تطوير المبادرات التحولية ورفع كفاءة الخدمات، بما ينسجم مع التوجهات الوطنية المرتبطة برؤية السعودية 2030 وبرامجها التنفيذية (برنامج التحول الوطني، 2023). وإضافة إلى ذلك، تقدم الدراسة توصيات قابلة للتطبيق من شأنها الإسهام في تحسين تجربة المستفيد وتقليل التأخير الإجرائي، وذلك من خلال تعزيز التكامل الرقمي، وتوحيد الإجراءات، وتطوير مسارات الأتمتة في التنفيذ.</w:t>
      </w:r>
    </w:p>
    <w:p w14:paraId="0626744A" w14:textId="77777777" w:rsidR="00922EED" w:rsidRPr="009C4079" w:rsidRDefault="00B030D7" w:rsidP="009C4079">
      <w:pPr>
        <w:bidi/>
        <w:spacing w:after="160" w:line="240" w:lineRule="auto"/>
        <w:jc w:val="both"/>
        <w:rPr>
          <w:rFonts w:ascii="Simplified Arabic" w:hAnsi="Simplified Arabic" w:cs="Simplified Arabic"/>
          <w:bCs/>
          <w:sz w:val="32"/>
          <w:szCs w:val="32"/>
        </w:rPr>
      </w:pPr>
      <w:r w:rsidRPr="009C4079">
        <w:rPr>
          <w:rFonts w:ascii="Simplified Arabic" w:hAnsi="Simplified Arabic" w:cs="Simplified Arabic"/>
          <w:bCs/>
          <w:sz w:val="32"/>
          <w:szCs w:val="32"/>
          <w:rtl/>
        </w:rPr>
        <w:t>أهداف الدراسة</w:t>
      </w:r>
    </w:p>
    <w:p w14:paraId="0C47F5EE"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bCs/>
          <w:szCs w:val="28"/>
          <w:rtl/>
        </w:rPr>
        <w:t>الهدف الرئيس:</w:t>
      </w:r>
      <w:r w:rsidRPr="009C4079">
        <w:rPr>
          <w:rFonts w:ascii="Simplified Arabic" w:hAnsi="Simplified Arabic" w:cs="Simplified Arabic"/>
          <w:b/>
          <w:szCs w:val="28"/>
          <w:rtl/>
        </w:rPr>
        <w:t xml:space="preserve"> قياس أثر التحول الرقمي في محكمة التنفيذ على كفاءة إنجاز قضايا التنفيذ في المملكة العربية السعودية.</w:t>
      </w:r>
    </w:p>
    <w:p w14:paraId="3FB26408" w14:textId="77777777" w:rsidR="00922EED" w:rsidRPr="009C4079" w:rsidRDefault="00B030D7" w:rsidP="009C4079">
      <w:pPr>
        <w:bidi/>
        <w:spacing w:after="120" w:line="240" w:lineRule="auto"/>
        <w:jc w:val="both"/>
        <w:rPr>
          <w:rFonts w:ascii="Simplified Arabic" w:hAnsi="Simplified Arabic" w:cs="Simplified Arabic"/>
          <w:bCs/>
          <w:szCs w:val="28"/>
        </w:rPr>
      </w:pPr>
      <w:r w:rsidRPr="009C4079">
        <w:rPr>
          <w:rFonts w:ascii="Simplified Arabic" w:hAnsi="Simplified Arabic" w:cs="Simplified Arabic"/>
          <w:bCs/>
          <w:szCs w:val="28"/>
          <w:rtl/>
        </w:rPr>
        <w:t>الأهداف الفرعية</w:t>
      </w:r>
    </w:p>
    <w:p w14:paraId="39B46611" w14:textId="77777777" w:rsidR="00922EED" w:rsidRPr="009C4079" w:rsidRDefault="00B030D7" w:rsidP="009C4079">
      <w:pPr>
        <w:pStyle w:val="aa"/>
        <w:numPr>
          <w:ilvl w:val="0"/>
          <w:numId w:val="11"/>
        </w:num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تحديد مستوى تطبيق التحول الرقمي في محكمة التنفيذ من حيث استخدام الخدمات الرقمية والمسارات الإلكترونية المرتبطة بالتنفيذ.</w:t>
      </w:r>
    </w:p>
    <w:p w14:paraId="58BC67E0" w14:textId="77777777" w:rsidR="00922EED" w:rsidRPr="009C4079" w:rsidRDefault="00B030D7" w:rsidP="009C4079">
      <w:pPr>
        <w:pStyle w:val="aa"/>
        <w:numPr>
          <w:ilvl w:val="0"/>
          <w:numId w:val="11"/>
        </w:num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قياس أثر التحول الرقمي على أبعاد كفاءة الإنجاز في قضايا التنفيذ (السرعة، الدقة، الشفافية) وفق مؤشرات إجرائية قابلة للقياس.</w:t>
      </w:r>
    </w:p>
    <w:p w14:paraId="4EE9E413" w14:textId="77777777" w:rsidR="00922EED" w:rsidRPr="009C4079" w:rsidRDefault="00B030D7" w:rsidP="009C4079">
      <w:pPr>
        <w:pStyle w:val="aa"/>
        <w:numPr>
          <w:ilvl w:val="0"/>
          <w:numId w:val="11"/>
        </w:num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اقتراح توصيات تطويرية لتحسين كفاءة الإنجاز في التنفيذ عبر تعظيم الاستفادة من الحلول الرقمية وتقليل نقاط التعثر الإجرائي.</w:t>
      </w:r>
    </w:p>
    <w:p w14:paraId="7DDF95B9" w14:textId="77777777" w:rsidR="00922EED" w:rsidRPr="009C4079" w:rsidRDefault="00B030D7" w:rsidP="009C4079">
      <w:pPr>
        <w:bidi/>
        <w:spacing w:after="160" w:line="240" w:lineRule="auto"/>
        <w:jc w:val="both"/>
        <w:rPr>
          <w:rFonts w:ascii="Simplified Arabic" w:hAnsi="Simplified Arabic" w:cs="Simplified Arabic"/>
          <w:bCs/>
          <w:sz w:val="32"/>
          <w:szCs w:val="32"/>
        </w:rPr>
      </w:pPr>
      <w:r w:rsidRPr="009C4079">
        <w:rPr>
          <w:rFonts w:ascii="Simplified Arabic" w:hAnsi="Simplified Arabic" w:cs="Simplified Arabic"/>
          <w:bCs/>
          <w:sz w:val="32"/>
          <w:szCs w:val="32"/>
          <w:rtl/>
        </w:rPr>
        <w:t>تساؤلات الدراسة</w:t>
      </w:r>
    </w:p>
    <w:p w14:paraId="057FDED6" w14:textId="77777777" w:rsidR="00922EED" w:rsidRPr="009C4079" w:rsidRDefault="00B030D7" w:rsidP="009C4079">
      <w:pPr>
        <w:bidi/>
        <w:spacing w:after="120" w:line="240" w:lineRule="auto"/>
        <w:jc w:val="both"/>
        <w:rPr>
          <w:rFonts w:ascii="Simplified Arabic" w:hAnsi="Simplified Arabic" w:cs="Simplified Arabic"/>
          <w:b/>
          <w:bCs/>
          <w:szCs w:val="28"/>
        </w:rPr>
      </w:pPr>
      <w:r w:rsidRPr="009C4079">
        <w:rPr>
          <w:rFonts w:ascii="Simplified Arabic" w:hAnsi="Simplified Arabic" w:cs="Simplified Arabic"/>
          <w:b/>
          <w:bCs/>
          <w:szCs w:val="28"/>
          <w:rtl/>
        </w:rPr>
        <w:t>ستسعى الدراسة إلى الإجابة عن التساؤل الرئيس الآتي:</w:t>
      </w:r>
    </w:p>
    <w:p w14:paraId="15945857" w14:textId="77777777" w:rsidR="00922EED" w:rsidRPr="009C4079" w:rsidRDefault="00B030D7" w:rsidP="009C4079">
      <w:pPr>
        <w:pStyle w:val="aa"/>
        <w:numPr>
          <w:ilvl w:val="0"/>
          <w:numId w:val="10"/>
        </w:num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ما أثر التحول الرقمي في محكمة التنفيذ على كفاءة إنجاز قضايا التنفيذ في المملكة العربية السعودية؟</w:t>
      </w:r>
    </w:p>
    <w:p w14:paraId="770DB59A" w14:textId="77777777" w:rsidR="00922EED" w:rsidRPr="009C4079" w:rsidRDefault="00B030D7" w:rsidP="009C4079">
      <w:pPr>
        <w:pStyle w:val="aa"/>
        <w:numPr>
          <w:ilvl w:val="0"/>
          <w:numId w:val="10"/>
        </w:num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وتنبثق عنه التساؤلات الفرعية الآتية:</w:t>
      </w:r>
    </w:p>
    <w:p w14:paraId="63FCD765" w14:textId="77777777" w:rsidR="00922EED" w:rsidRPr="009C4079" w:rsidRDefault="00B030D7" w:rsidP="009C4079">
      <w:pPr>
        <w:pStyle w:val="aa"/>
        <w:numPr>
          <w:ilvl w:val="0"/>
          <w:numId w:val="10"/>
        </w:num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ما مستوى تطبيق التحول الرقمي في محكمة التنفيذ من حيث استخدام الخدمات الرقمية والمسارات الإلكترونية المرتبطة بالتنفيذ؟</w:t>
      </w:r>
    </w:p>
    <w:p w14:paraId="75E020AB" w14:textId="77777777" w:rsidR="00922EED" w:rsidRPr="009C4079" w:rsidRDefault="00B030D7" w:rsidP="009C4079">
      <w:pPr>
        <w:pStyle w:val="aa"/>
        <w:numPr>
          <w:ilvl w:val="0"/>
          <w:numId w:val="10"/>
        </w:num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إلى أي مدى يؤثر التحول الرقمي في محكمة التنفيذ على سرعة إنجاز قضايا التنفيذ وتقليل زمن الدورة الإجرائية؟</w:t>
      </w:r>
    </w:p>
    <w:p w14:paraId="32523E4D" w14:textId="77777777" w:rsidR="00922EED" w:rsidRDefault="00B030D7" w:rsidP="009C4079">
      <w:pPr>
        <w:pStyle w:val="aa"/>
        <w:numPr>
          <w:ilvl w:val="0"/>
          <w:numId w:val="10"/>
        </w:num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lastRenderedPageBreak/>
        <w:t>إلى أي مدى يؤثر التحول الرقمي في محكمة التنفيذ على الدقة والشفافية في قضايا التنفيذ (تقليل الأخطاء الإجرائية، وتحسين إمكانية التتبع ووضوح الإجراءات)؟</w:t>
      </w:r>
    </w:p>
    <w:p w14:paraId="182CE552" w14:textId="77777777" w:rsidR="00922EED" w:rsidRPr="009C4079" w:rsidRDefault="00B030D7" w:rsidP="009C4079">
      <w:pPr>
        <w:bidi/>
        <w:spacing w:after="160" w:line="240" w:lineRule="auto"/>
        <w:jc w:val="both"/>
        <w:rPr>
          <w:rFonts w:ascii="Simplified Arabic" w:hAnsi="Simplified Arabic" w:cs="Simplified Arabic"/>
          <w:bCs/>
          <w:sz w:val="32"/>
          <w:szCs w:val="32"/>
        </w:rPr>
      </w:pPr>
      <w:r w:rsidRPr="009C4079">
        <w:rPr>
          <w:rFonts w:ascii="Simplified Arabic" w:hAnsi="Simplified Arabic" w:cs="Simplified Arabic"/>
          <w:bCs/>
          <w:sz w:val="32"/>
          <w:szCs w:val="32"/>
          <w:rtl/>
        </w:rPr>
        <w:t>فرضيات الدراسة</w:t>
      </w:r>
    </w:p>
    <w:p w14:paraId="0D6629FF"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bCs/>
          <w:szCs w:val="28"/>
          <w:rtl/>
        </w:rPr>
        <w:t>الفرضية الرئيسة:</w:t>
      </w:r>
      <w:r w:rsidRPr="009C4079">
        <w:rPr>
          <w:rFonts w:ascii="Simplified Arabic" w:hAnsi="Simplified Arabic" w:cs="Simplified Arabic"/>
          <w:b/>
          <w:szCs w:val="28"/>
          <w:rtl/>
        </w:rPr>
        <w:t xml:space="preserve"> توجد علاقة ذات دلالة إحصائية بين مستوى التحول الرقمي في محكمة التنفيذ وكفاءة إنجاز قضايا التنفيذ في المملكة العربية السعودية.</w:t>
      </w:r>
    </w:p>
    <w:p w14:paraId="2365DFC0" w14:textId="77777777" w:rsidR="00922EED" w:rsidRPr="009C4079" w:rsidRDefault="00B030D7" w:rsidP="009C4079">
      <w:pPr>
        <w:bidi/>
        <w:spacing w:after="120" w:line="240" w:lineRule="auto"/>
        <w:jc w:val="both"/>
        <w:rPr>
          <w:rFonts w:ascii="Simplified Arabic" w:hAnsi="Simplified Arabic" w:cs="Simplified Arabic"/>
          <w:bCs/>
          <w:szCs w:val="28"/>
        </w:rPr>
      </w:pPr>
      <w:r w:rsidRPr="009C4079">
        <w:rPr>
          <w:rFonts w:ascii="Simplified Arabic" w:hAnsi="Simplified Arabic" w:cs="Simplified Arabic"/>
          <w:bCs/>
          <w:szCs w:val="28"/>
          <w:rtl/>
        </w:rPr>
        <w:t>الفرضيات الفرعية:</w:t>
      </w:r>
    </w:p>
    <w:p w14:paraId="16458080" w14:textId="77777777" w:rsidR="00922EED" w:rsidRPr="009C4079" w:rsidRDefault="00B030D7" w:rsidP="009C4079">
      <w:pPr>
        <w:pStyle w:val="aa"/>
        <w:numPr>
          <w:ilvl w:val="0"/>
          <w:numId w:val="17"/>
        </w:num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توجد علاقة ذات دلالة إحصائية بين مستوى التحول الرقمي في محكمة التنفيذ وسرعة إنجاز قضايا التنفيذ (تقليل زمن الدورة الإجرائية للتنفيذ).</w:t>
      </w:r>
    </w:p>
    <w:p w14:paraId="035F6760" w14:textId="77777777" w:rsidR="00922EED" w:rsidRPr="009C4079" w:rsidRDefault="00B030D7" w:rsidP="009C4079">
      <w:pPr>
        <w:pStyle w:val="aa"/>
        <w:numPr>
          <w:ilvl w:val="0"/>
          <w:numId w:val="17"/>
        </w:num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توجد علاقة ذات دلالة إحصائية بين مستوى التحول الرقمي في محكمة التنفيذ ودقة الإنجاز في قضايا التنفيذ (تقليل الأخطاء الإجرائية وتحسين موثوقية البيانات).</w:t>
      </w:r>
    </w:p>
    <w:p w14:paraId="7E0D7C2D" w14:textId="77777777" w:rsidR="00922EED" w:rsidRPr="009C4079" w:rsidRDefault="00B030D7" w:rsidP="009C4079">
      <w:pPr>
        <w:pStyle w:val="aa"/>
        <w:numPr>
          <w:ilvl w:val="0"/>
          <w:numId w:val="17"/>
        </w:num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توجد علاقة ذات دلالة إحصائية بين مستوى التحول الرقمي في محكمة التنفيذ وشفافية إجراءات التنفيذ (تحسين وضوح المسار الإجرائي وإمكانية التتبع).</w:t>
      </w:r>
    </w:p>
    <w:p w14:paraId="6661D44A" w14:textId="77777777" w:rsidR="00922EED" w:rsidRPr="009C4079" w:rsidRDefault="00B030D7" w:rsidP="009C4079">
      <w:pPr>
        <w:bidi/>
        <w:spacing w:after="160" w:line="240" w:lineRule="auto"/>
        <w:jc w:val="both"/>
        <w:rPr>
          <w:rFonts w:ascii="Simplified Arabic" w:hAnsi="Simplified Arabic" w:cs="Simplified Arabic"/>
          <w:bCs/>
          <w:sz w:val="32"/>
          <w:szCs w:val="32"/>
        </w:rPr>
      </w:pPr>
      <w:r w:rsidRPr="009C4079">
        <w:rPr>
          <w:rFonts w:ascii="Simplified Arabic" w:hAnsi="Simplified Arabic" w:cs="Simplified Arabic"/>
          <w:bCs/>
          <w:sz w:val="32"/>
          <w:szCs w:val="32"/>
          <w:rtl/>
        </w:rPr>
        <w:t>المنطلقات النظرية للدراسة</w:t>
      </w:r>
    </w:p>
    <w:p w14:paraId="521A0428"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تستند الدراسة إلى منطلق نظري يفسّر التحول الرقمي في محكمة التنفيذ بوصفه تحولًا تقنيًا–إجرائيًا–تنظيميًا يُعاد من خلاله تصميم مسار تنفيذ الأحكام، بما ينعكس على كفاءة الإنجاز بأبعادها الثلاثة: السرعة، الدقة، الشفافية. ولتعميق التفسير وربط المتغيرات ببعضها على نحو منهجي، تعتمد الدراسة إطارين متكاملين:</w:t>
      </w:r>
    </w:p>
    <w:p w14:paraId="4B1E543D" w14:textId="77777777" w:rsidR="00922EED" w:rsidRPr="009C4079" w:rsidRDefault="00B030D7" w:rsidP="009C4079">
      <w:pPr>
        <w:bidi/>
        <w:spacing w:after="120" w:line="240" w:lineRule="auto"/>
        <w:jc w:val="both"/>
        <w:rPr>
          <w:rFonts w:ascii="Simplified Arabic" w:hAnsi="Simplified Arabic" w:cs="Simplified Arabic"/>
          <w:b/>
          <w:bCs/>
          <w:szCs w:val="28"/>
        </w:rPr>
      </w:pPr>
      <w:r w:rsidRPr="009C4079">
        <w:rPr>
          <w:rFonts w:ascii="Simplified Arabic" w:hAnsi="Simplified Arabic" w:cs="Simplified Arabic"/>
          <w:b/>
          <w:bCs/>
          <w:szCs w:val="28"/>
          <w:rtl/>
        </w:rPr>
        <w:t>نموذج قبول التكنولوجيا (TAM)</w:t>
      </w:r>
    </w:p>
    <w:p w14:paraId="0B2B5051" w14:textId="453CC214" w:rsidR="009C4079" w:rsidRDefault="00B030D7" w:rsidP="009C4079">
      <w:pPr>
        <w:bidi/>
        <w:spacing w:after="120" w:line="240" w:lineRule="auto"/>
        <w:jc w:val="both"/>
        <w:rPr>
          <w:rFonts w:ascii="Simplified Arabic" w:hAnsi="Simplified Arabic" w:cs="Simplified Arabic"/>
          <w:szCs w:val="28"/>
          <w:rtl/>
        </w:rPr>
      </w:pPr>
      <w:r w:rsidRPr="009C4079">
        <w:rPr>
          <w:rFonts w:ascii="Simplified Arabic" w:hAnsi="Simplified Arabic" w:cs="Simplified Arabic"/>
          <w:szCs w:val="28"/>
          <w:rtl/>
        </w:rPr>
        <w:t>يفسّر نموذج قبول التكنولوجيا تبني المستخدمين للتقنيات عبر متغيرين أساسين: المنفعة المتصورة وسهولة الاستخدام المتصورة؛ إذ يقود ارتفاعهما إلى اتجاه إيجابي نحو الاستخدام، ثم إلى استخدام فعلي يدعم تحقق العوائد المتوقعة. وفي سياق محكمة التنفيذ، تتجسد “المنفعة” في تصور القاضي والموظف والمستفيد أن الحلول الرقمية (مثل الخدمات الرقمية عبر ناجز) ستقلل الزمن الإجرائي، وتحد من الأخطاء، وتوفر تتبعًا أوضح للطلبات. كما تتجسد “سهولة الاستخدام” في وضوح خطوات الخدمة وبساطة المتطلبات وإتاحة المساندة التقنية. وعند تحقق الاستخدام الفعلي على نطاق واسع، تتوقع الدراسة تحسن مؤشرات الكفاءة، لا سيما السرعة والدقة والشفافية، مع ملاحظة أن العوائق التطبيقية والجاهزية البشرية قد تحد من الأثر حتى مع توفر المنصة (</w:t>
      </w:r>
      <w:proofErr w:type="spellStart"/>
      <w:r w:rsidRPr="009C4079">
        <w:rPr>
          <w:rFonts w:ascii="Simplified Arabic" w:hAnsi="Simplified Arabic" w:cs="Simplified Arabic"/>
          <w:szCs w:val="28"/>
          <w:rtl/>
        </w:rPr>
        <w:t>Pelssers</w:t>
      </w:r>
      <w:proofErr w:type="spellEnd"/>
      <w:r w:rsidRPr="009C4079">
        <w:rPr>
          <w:rFonts w:ascii="Simplified Arabic" w:hAnsi="Simplified Arabic" w:cs="Simplified Arabic"/>
          <w:szCs w:val="28"/>
          <w:rtl/>
        </w:rPr>
        <w:t xml:space="preserve"> &amp; </w:t>
      </w:r>
      <w:proofErr w:type="spellStart"/>
      <w:r w:rsidRPr="009C4079">
        <w:rPr>
          <w:rFonts w:ascii="Simplified Arabic" w:hAnsi="Simplified Arabic" w:cs="Simplified Arabic"/>
          <w:szCs w:val="28"/>
          <w:rtl/>
        </w:rPr>
        <w:t>Dubois</w:t>
      </w:r>
      <w:proofErr w:type="spellEnd"/>
      <w:r w:rsidRPr="009C4079">
        <w:rPr>
          <w:rFonts w:ascii="Simplified Arabic" w:hAnsi="Simplified Arabic" w:cs="Simplified Arabic"/>
          <w:szCs w:val="28"/>
          <w:rtl/>
        </w:rPr>
        <w:t xml:space="preserve">, 2022؛ </w:t>
      </w:r>
      <w:proofErr w:type="spellStart"/>
      <w:r w:rsidRPr="009C4079">
        <w:rPr>
          <w:rFonts w:ascii="Simplified Arabic" w:hAnsi="Simplified Arabic" w:cs="Simplified Arabic"/>
          <w:szCs w:val="28"/>
          <w:rtl/>
        </w:rPr>
        <w:t>Poshai</w:t>
      </w:r>
      <w:proofErr w:type="spellEnd"/>
      <w:r w:rsidRPr="009C4079">
        <w:rPr>
          <w:rFonts w:ascii="Simplified Arabic" w:hAnsi="Simplified Arabic" w:cs="Simplified Arabic"/>
          <w:szCs w:val="28"/>
          <w:rtl/>
        </w:rPr>
        <w:t xml:space="preserve"> &amp; </w:t>
      </w:r>
      <w:proofErr w:type="spellStart"/>
      <w:r w:rsidRPr="009C4079">
        <w:rPr>
          <w:rFonts w:ascii="Simplified Arabic" w:hAnsi="Simplified Arabic" w:cs="Simplified Arabic"/>
          <w:szCs w:val="28"/>
          <w:rtl/>
        </w:rPr>
        <w:t>Vyas-Doorgapersad</w:t>
      </w:r>
      <w:proofErr w:type="spellEnd"/>
      <w:r w:rsidRPr="009C4079">
        <w:rPr>
          <w:rFonts w:ascii="Simplified Arabic" w:hAnsi="Simplified Arabic" w:cs="Simplified Arabic"/>
          <w:szCs w:val="28"/>
          <w:rtl/>
        </w:rPr>
        <w:t>, 2023).</w:t>
      </w:r>
    </w:p>
    <w:p w14:paraId="3FC314FC" w14:textId="77777777" w:rsidR="00922EED" w:rsidRPr="009C4079" w:rsidRDefault="00B030D7" w:rsidP="009C4079">
      <w:pPr>
        <w:bidi/>
        <w:spacing w:after="120" w:line="240" w:lineRule="auto"/>
        <w:jc w:val="both"/>
        <w:rPr>
          <w:rFonts w:ascii="Simplified Arabic" w:hAnsi="Simplified Arabic" w:cs="Simplified Arabic"/>
          <w:b/>
          <w:bCs/>
          <w:szCs w:val="28"/>
        </w:rPr>
      </w:pPr>
      <w:r w:rsidRPr="009C4079">
        <w:rPr>
          <w:rFonts w:ascii="Simplified Arabic" w:hAnsi="Simplified Arabic" w:cs="Simplified Arabic"/>
          <w:b/>
          <w:bCs/>
          <w:szCs w:val="28"/>
          <w:rtl/>
        </w:rPr>
        <w:lastRenderedPageBreak/>
        <w:t>منظور الإدارة العامة الجديدة (NPM)</w:t>
      </w:r>
    </w:p>
    <w:p w14:paraId="3A08D6BF"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 xml:space="preserve">يركز منظور الإدارة العامة الجديدة على تحسين أداء القطاع العام عبر مبادئ: الكفاءة، القياس بالأداء، تبسيط الإجراءات، التركيز على المستفيد، الشفافية والمساءلة. ويساعد هذا المنظور في تفسير </w:t>
      </w:r>
      <w:proofErr w:type="spellStart"/>
      <w:r w:rsidRPr="009C4079">
        <w:rPr>
          <w:rFonts w:ascii="Simplified Arabic" w:hAnsi="Simplified Arabic" w:cs="Simplified Arabic"/>
          <w:szCs w:val="28"/>
          <w:rtl/>
        </w:rPr>
        <w:t>الرقمنة</w:t>
      </w:r>
      <w:proofErr w:type="spellEnd"/>
      <w:r w:rsidRPr="009C4079">
        <w:rPr>
          <w:rFonts w:ascii="Simplified Arabic" w:hAnsi="Simplified Arabic" w:cs="Simplified Arabic"/>
          <w:szCs w:val="28"/>
          <w:rtl/>
        </w:rPr>
        <w:t xml:space="preserve"> داخل محكمة التنفيذ بوصفها مدخلًا لإعادة هندسة الإجراءات، وتقليل نقاط الاحتكاك الورقي، ورفع الإنتاجية الإجرائية. ومن ثم تُفهم السرعة بوصفها تقليل زمن الدورة الإجرائية، وتُفهم الدقة بوصفها سلامة الإجراء وموثوقية البيانات، وتُفهم الشفافية بوصفها وضوح المسار وقابلية التتبع والتوثيق. ويتسق هذا المنظور مع الاتجاهات الحديثة في </w:t>
      </w:r>
      <w:proofErr w:type="spellStart"/>
      <w:r w:rsidRPr="009C4079">
        <w:rPr>
          <w:rFonts w:ascii="Simplified Arabic" w:hAnsi="Simplified Arabic" w:cs="Simplified Arabic"/>
          <w:szCs w:val="28"/>
          <w:rtl/>
        </w:rPr>
        <w:t>رقمنة</w:t>
      </w:r>
      <w:proofErr w:type="spellEnd"/>
      <w:r w:rsidRPr="009C4079">
        <w:rPr>
          <w:rFonts w:ascii="Simplified Arabic" w:hAnsi="Simplified Arabic" w:cs="Simplified Arabic"/>
          <w:szCs w:val="28"/>
          <w:rtl/>
        </w:rPr>
        <w:t xml:space="preserve"> الحكومة والخدمات العامة التي تربط التحول الرقمي بتحسين جودة الخدمة وتقليل التأخير الإجرائي عند اكتمال الحوكمة والبنية الداعمة (</w:t>
      </w:r>
      <w:proofErr w:type="spellStart"/>
      <w:r w:rsidRPr="009C4079">
        <w:rPr>
          <w:rFonts w:ascii="Simplified Arabic" w:hAnsi="Simplified Arabic" w:cs="Simplified Arabic"/>
          <w:szCs w:val="28"/>
          <w:rtl/>
        </w:rPr>
        <w:t>United</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Nations</w:t>
      </w:r>
      <w:proofErr w:type="spellEnd"/>
      <w:r w:rsidRPr="009C4079">
        <w:rPr>
          <w:rFonts w:ascii="Simplified Arabic" w:hAnsi="Simplified Arabic" w:cs="Simplified Arabic"/>
          <w:szCs w:val="28"/>
          <w:rtl/>
        </w:rPr>
        <w:t xml:space="preserve">, 2024؛ </w:t>
      </w:r>
      <w:proofErr w:type="spellStart"/>
      <w:r w:rsidRPr="009C4079">
        <w:rPr>
          <w:rFonts w:ascii="Simplified Arabic" w:hAnsi="Simplified Arabic" w:cs="Simplified Arabic"/>
          <w:szCs w:val="28"/>
          <w:rtl/>
        </w:rPr>
        <w:t>World</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Bank</w:t>
      </w:r>
      <w:proofErr w:type="spellEnd"/>
      <w:r w:rsidRPr="009C4079">
        <w:rPr>
          <w:rFonts w:ascii="Simplified Arabic" w:hAnsi="Simplified Arabic" w:cs="Simplified Arabic"/>
          <w:szCs w:val="28"/>
          <w:rtl/>
        </w:rPr>
        <w:t>, 2025).</w:t>
      </w:r>
    </w:p>
    <w:p w14:paraId="00233701" w14:textId="77777777" w:rsidR="00922EED" w:rsidRPr="009C4079" w:rsidRDefault="00B030D7" w:rsidP="009C4079">
      <w:pPr>
        <w:bidi/>
        <w:spacing w:after="120" w:line="240" w:lineRule="auto"/>
        <w:jc w:val="both"/>
        <w:rPr>
          <w:rFonts w:ascii="Simplified Arabic" w:hAnsi="Simplified Arabic" w:cs="Simplified Arabic"/>
          <w:b/>
          <w:bCs/>
          <w:szCs w:val="28"/>
        </w:rPr>
      </w:pPr>
      <w:r w:rsidRPr="009C4079">
        <w:rPr>
          <w:rFonts w:ascii="Simplified Arabic" w:hAnsi="Simplified Arabic" w:cs="Simplified Arabic"/>
          <w:b/>
          <w:bCs/>
          <w:szCs w:val="28"/>
          <w:rtl/>
        </w:rPr>
        <w:t>تكامل المنطلقين في تفسير نموذج الدراسة</w:t>
      </w:r>
    </w:p>
    <w:p w14:paraId="6201DE21"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تتكامل (TAM) و(NPM) في أن الأولى تفسر لماذا وكيف يتبنى الأفراد الحلول الرقمية (شرط الاستخدام الفعلي)، بينما تفسر الثانية كيف يتحول هذا الاستخدام إلى نتائج أداء قابلة للقياس داخل المؤسسة العامة. وبناءً عليه، تنطلق الدراسة من افتراض أن ارتفاع مستوى التحول الرقمي الفعلي في محكمة التنفيذ (من حيث الاستخدام والتكامل والأتمتة) سينعكس على تحسن السرعة والدقة والشفافية بوصفها أبعادًا لكفاءة الإنجاز، وهي الفكرة التي تساندها مؤشرات التحول والتطوير في مسار التنفيذ التي تشير إليها الوثائق الرسمية والتطبيقات العملية للتحول في قضاء التنفيذ (وزارة العدل السعودية، 2021؛ وزارة العدل السعودية، 2024).</w:t>
      </w:r>
    </w:p>
    <w:p w14:paraId="7CB37DBD" w14:textId="77777777" w:rsidR="00922EED" w:rsidRPr="009C4079" w:rsidRDefault="00B030D7" w:rsidP="009C4079">
      <w:pPr>
        <w:bidi/>
        <w:spacing w:after="160" w:line="240" w:lineRule="auto"/>
        <w:jc w:val="both"/>
        <w:rPr>
          <w:rFonts w:ascii="Simplified Arabic" w:hAnsi="Simplified Arabic" w:cs="Simplified Arabic"/>
          <w:bCs/>
          <w:sz w:val="32"/>
          <w:szCs w:val="32"/>
        </w:rPr>
      </w:pPr>
      <w:r w:rsidRPr="009C4079">
        <w:rPr>
          <w:rFonts w:ascii="Simplified Arabic" w:hAnsi="Simplified Arabic" w:cs="Simplified Arabic"/>
          <w:bCs/>
          <w:sz w:val="32"/>
          <w:szCs w:val="32"/>
          <w:rtl/>
        </w:rPr>
        <w:t>الإطار النظري للدراسة</w:t>
      </w:r>
    </w:p>
    <w:p w14:paraId="0CEBBD84" w14:textId="1B6D48E9" w:rsidR="00922EED" w:rsidRPr="009C4079" w:rsidRDefault="00B030D7" w:rsidP="009C4079">
      <w:pPr>
        <w:pStyle w:val="aa"/>
        <w:numPr>
          <w:ilvl w:val="0"/>
          <w:numId w:val="12"/>
        </w:numPr>
        <w:bidi/>
        <w:spacing w:after="120" w:line="240" w:lineRule="auto"/>
        <w:jc w:val="both"/>
        <w:rPr>
          <w:rFonts w:ascii="Simplified Arabic" w:hAnsi="Simplified Arabic" w:cs="Simplified Arabic"/>
          <w:bCs/>
          <w:szCs w:val="28"/>
        </w:rPr>
      </w:pPr>
      <w:r w:rsidRPr="009C4079">
        <w:rPr>
          <w:rFonts w:ascii="Simplified Arabic" w:hAnsi="Simplified Arabic" w:cs="Simplified Arabic"/>
          <w:bCs/>
          <w:szCs w:val="28"/>
          <w:rtl/>
        </w:rPr>
        <w:t>التحول الرقمي في العدالة ومحاكم التنفيذ: سياق مفاهيمي</w:t>
      </w:r>
    </w:p>
    <w:p w14:paraId="4AD21C30" w14:textId="77777777" w:rsidR="00922EED" w:rsidRDefault="00B030D7" w:rsidP="009C4079">
      <w:pPr>
        <w:bidi/>
        <w:spacing w:after="120" w:line="240" w:lineRule="auto"/>
        <w:jc w:val="both"/>
        <w:rPr>
          <w:rFonts w:ascii="Simplified Arabic" w:hAnsi="Simplified Arabic" w:cs="Simplified Arabic"/>
          <w:szCs w:val="28"/>
          <w:rtl/>
        </w:rPr>
      </w:pPr>
      <w:r w:rsidRPr="009C4079">
        <w:rPr>
          <w:rFonts w:ascii="Simplified Arabic" w:hAnsi="Simplified Arabic" w:cs="Simplified Arabic"/>
          <w:szCs w:val="28"/>
          <w:rtl/>
        </w:rPr>
        <w:t>يُفهم التحول الرقمي في قطاع العدالة بوصفه عملية انتقال من نموذج إجراءات يعتمد على الورقي والحضور المكاني وتعدد القنوات، إلى نموذج إجراءات رقمي متكامل يعتمد على منصات إلكترونية، وتكامل بيانات، وتوثيق رقمي، وإدارة عمليات تستند إلى البيانات. ولا يقتصر التحول الرقمي على “</w:t>
      </w:r>
      <w:proofErr w:type="spellStart"/>
      <w:r w:rsidRPr="009C4079">
        <w:rPr>
          <w:rFonts w:ascii="Simplified Arabic" w:hAnsi="Simplified Arabic" w:cs="Simplified Arabic"/>
          <w:szCs w:val="28"/>
          <w:rtl/>
        </w:rPr>
        <w:t>رقمنة</w:t>
      </w:r>
      <w:proofErr w:type="spellEnd"/>
      <w:r w:rsidRPr="009C4079">
        <w:rPr>
          <w:rFonts w:ascii="Simplified Arabic" w:hAnsi="Simplified Arabic" w:cs="Simplified Arabic"/>
          <w:szCs w:val="28"/>
          <w:rtl/>
        </w:rPr>
        <w:t xml:space="preserve"> المستند” أو “أتمتة الخطوة”، بل يشمل إعادة تصميم الإجراءات، وتوحيد نقاط تقديم الخدمة، وربط الأنظمة ببعضها، وبناء حوكمة بيانات ومعايير تشغيل، بما ينعكس على جودة الخدمة ومؤشرات الأداء. وتدعم التقارير الدولية هذا التصور من خلال الربط بين التحول الرقمي في الحكومة وبين تحسين تقديم الخدمات وتعزيز الوصول والشفافية إذا اكتملت البنية والحوكمة (</w:t>
      </w:r>
      <w:proofErr w:type="spellStart"/>
      <w:r w:rsidRPr="009C4079">
        <w:rPr>
          <w:rFonts w:ascii="Simplified Arabic" w:hAnsi="Simplified Arabic" w:cs="Simplified Arabic"/>
          <w:szCs w:val="28"/>
          <w:rtl/>
        </w:rPr>
        <w:t>United</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Nations</w:t>
      </w:r>
      <w:proofErr w:type="spellEnd"/>
      <w:r w:rsidRPr="009C4079">
        <w:rPr>
          <w:rFonts w:ascii="Simplified Arabic" w:hAnsi="Simplified Arabic" w:cs="Simplified Arabic"/>
          <w:szCs w:val="28"/>
          <w:rtl/>
        </w:rPr>
        <w:t xml:space="preserve">, 2022؛ </w:t>
      </w:r>
      <w:proofErr w:type="spellStart"/>
      <w:r w:rsidRPr="009C4079">
        <w:rPr>
          <w:rFonts w:ascii="Simplified Arabic" w:hAnsi="Simplified Arabic" w:cs="Simplified Arabic"/>
          <w:szCs w:val="28"/>
          <w:rtl/>
        </w:rPr>
        <w:t>United</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Nations</w:t>
      </w:r>
      <w:proofErr w:type="spellEnd"/>
      <w:r w:rsidRPr="009C4079">
        <w:rPr>
          <w:rFonts w:ascii="Simplified Arabic" w:hAnsi="Simplified Arabic" w:cs="Simplified Arabic"/>
          <w:szCs w:val="28"/>
          <w:rtl/>
        </w:rPr>
        <w:t xml:space="preserve">, 2024؛ </w:t>
      </w:r>
      <w:proofErr w:type="spellStart"/>
      <w:r w:rsidRPr="009C4079">
        <w:rPr>
          <w:rFonts w:ascii="Simplified Arabic" w:hAnsi="Simplified Arabic" w:cs="Simplified Arabic"/>
          <w:szCs w:val="28"/>
          <w:rtl/>
        </w:rPr>
        <w:t>World</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Bank</w:t>
      </w:r>
      <w:proofErr w:type="spellEnd"/>
      <w:r w:rsidRPr="009C4079">
        <w:rPr>
          <w:rFonts w:ascii="Simplified Arabic" w:hAnsi="Simplified Arabic" w:cs="Simplified Arabic"/>
          <w:szCs w:val="28"/>
          <w:rtl/>
        </w:rPr>
        <w:t>, 2025).</w:t>
      </w:r>
    </w:p>
    <w:p w14:paraId="401C62CD" w14:textId="77777777" w:rsidR="009C4079" w:rsidRDefault="009C4079" w:rsidP="009C4079">
      <w:pPr>
        <w:bidi/>
        <w:spacing w:after="120" w:line="240" w:lineRule="auto"/>
        <w:jc w:val="both"/>
        <w:rPr>
          <w:rFonts w:ascii="Simplified Arabic" w:hAnsi="Simplified Arabic" w:cs="Simplified Arabic"/>
          <w:szCs w:val="28"/>
          <w:rtl/>
        </w:rPr>
      </w:pPr>
    </w:p>
    <w:p w14:paraId="11921ECA" w14:textId="77777777" w:rsidR="009C4079" w:rsidRPr="009C4079" w:rsidRDefault="009C4079" w:rsidP="009C4079">
      <w:pPr>
        <w:bidi/>
        <w:spacing w:after="120" w:line="240" w:lineRule="auto"/>
        <w:jc w:val="both"/>
        <w:rPr>
          <w:rFonts w:ascii="Simplified Arabic" w:hAnsi="Simplified Arabic" w:cs="Simplified Arabic"/>
          <w:szCs w:val="28"/>
        </w:rPr>
      </w:pPr>
    </w:p>
    <w:p w14:paraId="79902FDB" w14:textId="77777777" w:rsidR="00922EED" w:rsidRPr="009C4079" w:rsidRDefault="00B030D7" w:rsidP="009C4079">
      <w:pPr>
        <w:bidi/>
        <w:spacing w:after="120" w:line="240" w:lineRule="auto"/>
        <w:jc w:val="both"/>
        <w:rPr>
          <w:rFonts w:ascii="Simplified Arabic" w:hAnsi="Simplified Arabic" w:cs="Simplified Arabic"/>
          <w:b/>
          <w:bCs/>
          <w:szCs w:val="28"/>
        </w:rPr>
      </w:pPr>
      <w:r w:rsidRPr="009C4079">
        <w:rPr>
          <w:rFonts w:ascii="Simplified Arabic" w:hAnsi="Simplified Arabic" w:cs="Simplified Arabic"/>
          <w:b/>
          <w:bCs/>
          <w:szCs w:val="28"/>
          <w:rtl/>
        </w:rPr>
        <w:lastRenderedPageBreak/>
        <w:t>وفي السياق العدلي، يظهر التحول الرقمي عادة في عدة مستويات متدرجة:</w:t>
      </w:r>
    </w:p>
    <w:p w14:paraId="2B88DD45" w14:textId="77777777" w:rsidR="00922EED" w:rsidRPr="009C4079" w:rsidRDefault="00B030D7" w:rsidP="009C4079">
      <w:pPr>
        <w:pStyle w:val="aa"/>
        <w:numPr>
          <w:ilvl w:val="0"/>
          <w:numId w:val="14"/>
        </w:num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مستوى الإتاحة الرقمية للخدمات (تحويل الطلبات إلى قنوات إلكترونية).</w:t>
      </w:r>
    </w:p>
    <w:p w14:paraId="3C9D6B85" w14:textId="77777777" w:rsidR="00922EED" w:rsidRPr="009C4079" w:rsidRDefault="00B030D7" w:rsidP="009C4079">
      <w:pPr>
        <w:pStyle w:val="aa"/>
        <w:numPr>
          <w:ilvl w:val="0"/>
          <w:numId w:val="14"/>
        </w:num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 xml:space="preserve">مستوى </w:t>
      </w:r>
      <w:proofErr w:type="spellStart"/>
      <w:r w:rsidRPr="009C4079">
        <w:rPr>
          <w:rFonts w:ascii="Simplified Arabic" w:hAnsi="Simplified Arabic" w:cs="Simplified Arabic"/>
          <w:szCs w:val="28"/>
          <w:rtl/>
        </w:rPr>
        <w:t>رقمنة</w:t>
      </w:r>
      <w:proofErr w:type="spellEnd"/>
      <w:r w:rsidRPr="009C4079">
        <w:rPr>
          <w:rFonts w:ascii="Simplified Arabic" w:hAnsi="Simplified Arabic" w:cs="Simplified Arabic"/>
          <w:szCs w:val="28"/>
          <w:rtl/>
        </w:rPr>
        <w:t xml:space="preserve"> إدارة القضايا/الملفات (نظام إدارة متكامل للملفات والإجراءات).</w:t>
      </w:r>
    </w:p>
    <w:p w14:paraId="7E32A3C8" w14:textId="77777777" w:rsidR="00922EED" w:rsidRPr="009C4079" w:rsidRDefault="00B030D7" w:rsidP="009C4079">
      <w:pPr>
        <w:pStyle w:val="aa"/>
        <w:numPr>
          <w:ilvl w:val="0"/>
          <w:numId w:val="14"/>
        </w:num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مستوى التكامل المؤسسي والبيانات (الربط بين الجهات وإتاحة تدفق بيانات يختصر الزمن ويقلل الأخطاء).</w:t>
      </w:r>
    </w:p>
    <w:p w14:paraId="77C22105" w14:textId="77777777" w:rsidR="00922EED" w:rsidRPr="009C4079" w:rsidRDefault="00B030D7" w:rsidP="009C4079">
      <w:pPr>
        <w:pStyle w:val="aa"/>
        <w:numPr>
          <w:ilvl w:val="0"/>
          <w:numId w:val="14"/>
        </w:num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مستوى الأتمتة والتحليلات (رفع الإنتاجية عبر أتمتة بعض الأعمال مع ضمان الشفافية وقابلية التقييم).</w:t>
      </w:r>
    </w:p>
    <w:p w14:paraId="6D79B646"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ويُعد قياس أثر التحول الرقمي أكثر دقة عندما يُربط بهذه المستويات لا بمجرد الإعلان عن وجود منصة أو خدمة رقمية. وتظهر الأدبيات الأجنبية أن نجاح التحول الرقمي العدلي يتوقف على الاستخدام الفعلي والتصميم والجاهزية، وهو ما يجعل التحول الرقمي “ممارسة” لا “وجودًا تقنيًا” (</w:t>
      </w:r>
      <w:proofErr w:type="spellStart"/>
      <w:r w:rsidRPr="009C4079">
        <w:rPr>
          <w:rFonts w:ascii="Simplified Arabic" w:hAnsi="Simplified Arabic" w:cs="Simplified Arabic"/>
          <w:szCs w:val="28"/>
          <w:rtl/>
        </w:rPr>
        <w:t>Pelssers</w:t>
      </w:r>
      <w:proofErr w:type="spellEnd"/>
      <w:r w:rsidRPr="009C4079">
        <w:rPr>
          <w:rFonts w:ascii="Simplified Arabic" w:hAnsi="Simplified Arabic" w:cs="Simplified Arabic"/>
          <w:szCs w:val="28"/>
          <w:rtl/>
        </w:rPr>
        <w:t xml:space="preserve"> &amp; </w:t>
      </w:r>
      <w:proofErr w:type="spellStart"/>
      <w:r w:rsidRPr="009C4079">
        <w:rPr>
          <w:rFonts w:ascii="Simplified Arabic" w:hAnsi="Simplified Arabic" w:cs="Simplified Arabic"/>
          <w:szCs w:val="28"/>
          <w:rtl/>
        </w:rPr>
        <w:t>Dubois</w:t>
      </w:r>
      <w:proofErr w:type="spellEnd"/>
      <w:r w:rsidRPr="009C4079">
        <w:rPr>
          <w:rFonts w:ascii="Simplified Arabic" w:hAnsi="Simplified Arabic" w:cs="Simplified Arabic"/>
          <w:szCs w:val="28"/>
          <w:rtl/>
        </w:rPr>
        <w:t xml:space="preserve">, 2022؛ </w:t>
      </w:r>
      <w:proofErr w:type="spellStart"/>
      <w:r w:rsidRPr="009C4079">
        <w:rPr>
          <w:rFonts w:ascii="Simplified Arabic" w:hAnsi="Simplified Arabic" w:cs="Simplified Arabic"/>
          <w:szCs w:val="28"/>
          <w:rtl/>
        </w:rPr>
        <w:t>Poshai</w:t>
      </w:r>
      <w:proofErr w:type="spellEnd"/>
      <w:r w:rsidRPr="009C4079">
        <w:rPr>
          <w:rFonts w:ascii="Simplified Arabic" w:hAnsi="Simplified Arabic" w:cs="Simplified Arabic"/>
          <w:szCs w:val="28"/>
          <w:rtl/>
        </w:rPr>
        <w:t xml:space="preserve"> &amp; </w:t>
      </w:r>
      <w:proofErr w:type="spellStart"/>
      <w:r w:rsidRPr="009C4079">
        <w:rPr>
          <w:rFonts w:ascii="Simplified Arabic" w:hAnsi="Simplified Arabic" w:cs="Simplified Arabic"/>
          <w:szCs w:val="28"/>
          <w:rtl/>
        </w:rPr>
        <w:t>Vyas-Doorgapersad</w:t>
      </w:r>
      <w:proofErr w:type="spellEnd"/>
      <w:r w:rsidRPr="009C4079">
        <w:rPr>
          <w:rFonts w:ascii="Simplified Arabic" w:hAnsi="Simplified Arabic" w:cs="Simplified Arabic"/>
          <w:szCs w:val="28"/>
          <w:rtl/>
        </w:rPr>
        <w:t>, 2023).</w:t>
      </w:r>
    </w:p>
    <w:p w14:paraId="71528633"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أما في المملكة العربية السعودية، فيرتبط التحول الرقمي في العدالة بمستهدفات التحول الوطني ورؤية 2030، ويتجسد في تطوير منصات وخدمات رقمية عدلية، بما في ذلك خدمات مرتبطة بالتنفيذ عبر منصات رقمية مثل “ناجز” بوصفه إطارًا للخدمات العدلية الرقمية (رؤية السعودية 2030، 2024). وتؤكد تقارير برنامج التحول الوطني على تقدم مؤشرات التحول الرقمي لدى الجهات الحكومية، ومن ضمنها الجهات العدلية، بما يعكس أن التحول الرقمي ليس مبادرة منفصلة بل مسار وطني تتداخل فيه الحوكمة وقياس الأداء (برنامج التحول الوطني، 2022؛ برنامج التحول الوطني، 2023). كما تُبرز النشرات الدورية للتحول الرقمي صورة عن تمكين التحول الرقمي في المملكة في إطار “</w:t>
      </w:r>
      <w:proofErr w:type="spellStart"/>
      <w:r w:rsidRPr="009C4079">
        <w:rPr>
          <w:rFonts w:ascii="Simplified Arabic" w:hAnsi="Simplified Arabic" w:cs="Simplified Arabic"/>
          <w:szCs w:val="28"/>
          <w:rtl/>
        </w:rPr>
        <w:t>Digital</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Saudi</w:t>
      </w:r>
      <w:proofErr w:type="spellEnd"/>
      <w:r w:rsidRPr="009C4079">
        <w:rPr>
          <w:rFonts w:ascii="Simplified Arabic" w:hAnsi="Simplified Arabic" w:cs="Simplified Arabic"/>
          <w:szCs w:val="28"/>
          <w:rtl/>
        </w:rPr>
        <w:t>”، بما يدعم فهم التحول بوصفه منظومة تتضمن قياسًا وتكاملًا ومعايير (هيئة الحكومة الرقمية، 2024).</w:t>
      </w:r>
    </w:p>
    <w:p w14:paraId="05F34C97" w14:textId="77777777" w:rsidR="00922EED" w:rsidRDefault="00B030D7" w:rsidP="009C4079">
      <w:pPr>
        <w:bidi/>
        <w:spacing w:after="120" w:line="240" w:lineRule="auto"/>
        <w:jc w:val="both"/>
        <w:rPr>
          <w:rFonts w:ascii="Simplified Arabic" w:hAnsi="Simplified Arabic" w:cs="Simplified Arabic"/>
          <w:szCs w:val="28"/>
          <w:rtl/>
        </w:rPr>
      </w:pPr>
      <w:r w:rsidRPr="009C4079">
        <w:rPr>
          <w:rFonts w:ascii="Simplified Arabic" w:hAnsi="Simplified Arabic" w:cs="Simplified Arabic"/>
          <w:szCs w:val="28"/>
          <w:rtl/>
        </w:rPr>
        <w:t>وفي محكمة التنفيذ تحديدًا، يتخذ التحول الرقمي معنى أكثر تخصصًا لأنه يتعلق بمرحلة إنفاذ الحقوق؛ أي تحويل الحكم أو السند التنفيذي إلى نتائج عملية. وقد أشارت وزارة العدل إلى تعزيز التحول الرقمي لقضاء التنفيذ وإطلاق النظام الإلكتروني “تنفيذ” في جميع محاكم التنفيذ، بما يعكس توجهًا نحو أتمتة سلسلة إجراءات التنفيذ وتوسيع نطاق العمل الإلكتروني (وزارة العدل السعودية، 2021). كما أشارت الوزارة إلى معالجة المحكمة الافتراضية للتنفيذ لأكثر من 110,000 طلب خلال عام 2024، وهو ما يدل على اتساع الاستخدام التشغيلي للخدمات الرقمية المرتبطة بالتنفيذ (وزارة العدل السعودية، 2024). وبذلك، يصبح التحول الرقمي في محكمة التنفيذ متغيرًا مستقلاً يمكن قياس أثره على كفاءة الإنجاز بأبعاد محددة.</w:t>
      </w:r>
    </w:p>
    <w:p w14:paraId="676E1B9E" w14:textId="77777777" w:rsidR="009C4079" w:rsidRDefault="009C4079" w:rsidP="009C4079">
      <w:pPr>
        <w:bidi/>
        <w:spacing w:after="120" w:line="240" w:lineRule="auto"/>
        <w:jc w:val="both"/>
        <w:rPr>
          <w:rFonts w:ascii="Simplified Arabic" w:hAnsi="Simplified Arabic" w:cs="Simplified Arabic"/>
          <w:szCs w:val="28"/>
          <w:rtl/>
        </w:rPr>
      </w:pPr>
    </w:p>
    <w:p w14:paraId="0D67530B" w14:textId="77777777" w:rsidR="009C4079" w:rsidRPr="009C4079" w:rsidRDefault="009C4079" w:rsidP="009C4079">
      <w:pPr>
        <w:bidi/>
        <w:spacing w:after="120" w:line="240" w:lineRule="auto"/>
        <w:jc w:val="both"/>
        <w:rPr>
          <w:rFonts w:ascii="Simplified Arabic" w:hAnsi="Simplified Arabic" w:cs="Simplified Arabic"/>
          <w:szCs w:val="28"/>
        </w:rPr>
      </w:pPr>
    </w:p>
    <w:p w14:paraId="61CDEC49" w14:textId="00A85569" w:rsidR="00922EED" w:rsidRPr="009C4079" w:rsidRDefault="00B030D7" w:rsidP="009C4079">
      <w:pPr>
        <w:pStyle w:val="aa"/>
        <w:numPr>
          <w:ilvl w:val="0"/>
          <w:numId w:val="12"/>
        </w:numPr>
        <w:bidi/>
        <w:spacing w:after="120" w:line="240" w:lineRule="auto"/>
        <w:jc w:val="both"/>
        <w:rPr>
          <w:rFonts w:ascii="Simplified Arabic" w:hAnsi="Simplified Arabic" w:cs="Simplified Arabic"/>
          <w:bCs/>
          <w:szCs w:val="28"/>
        </w:rPr>
      </w:pPr>
      <w:r w:rsidRPr="009C4079">
        <w:rPr>
          <w:rFonts w:ascii="Simplified Arabic" w:hAnsi="Simplified Arabic" w:cs="Simplified Arabic"/>
          <w:bCs/>
          <w:szCs w:val="28"/>
          <w:rtl/>
        </w:rPr>
        <w:lastRenderedPageBreak/>
        <w:t>مفهوم كفاءة الإنجاز وأبعادها الثلاثة: السرعة، الدقة، الشفافية</w:t>
      </w:r>
    </w:p>
    <w:p w14:paraId="33EE8589"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 xml:space="preserve">تُعرّف كفاءة الإنجاز في السياق الإجرائي بوصفها قدرة النظام على إتمام المعاملة أو القضية ضمن زمن مناسب، وبمستوى جودة يضمن صحة الإجراء وموثوقية البيانات، وبدرجة شفافية تتيح تتبع المسار وفهم الحالة والمرحلة وتعزز المساءلة. وفي القضاء—وخاصة في التنفيذ—لا تكفي السرعة وحدها معيارًا للكفاءة، لأن التنفيذ يرتبط بحقوق ومراكز قانونية وبيانات حساسة، ما يجعل الدقة والشفافية جزءًا لا يتجزأ من معنى “الإنجاز”. وتدعم الأدبيات </w:t>
      </w:r>
      <w:proofErr w:type="spellStart"/>
      <w:r w:rsidRPr="009C4079">
        <w:rPr>
          <w:rFonts w:ascii="Simplified Arabic" w:hAnsi="Simplified Arabic" w:cs="Simplified Arabic"/>
          <w:szCs w:val="28"/>
          <w:rtl/>
        </w:rPr>
        <w:t>الضمانية</w:t>
      </w:r>
      <w:proofErr w:type="spellEnd"/>
      <w:r w:rsidRPr="009C4079">
        <w:rPr>
          <w:rFonts w:ascii="Simplified Arabic" w:hAnsi="Simplified Arabic" w:cs="Simplified Arabic"/>
          <w:szCs w:val="28"/>
          <w:rtl/>
        </w:rPr>
        <w:t xml:space="preserve"> هذا التصور؛ إذ تؤكد أن التحول الرقمي يحتاج ضوابط تحمي سلامة الإجراء والبيانات حتى لا تتحول السرعة إلى مخاطر تمس العدالة (العليان، 2025؛ قنديل، 2023).</w:t>
      </w:r>
    </w:p>
    <w:p w14:paraId="6085AA84" w14:textId="77777777" w:rsidR="00922EED" w:rsidRPr="009C4079" w:rsidRDefault="00B030D7" w:rsidP="009C4079">
      <w:pPr>
        <w:bidi/>
        <w:spacing w:after="120" w:line="240" w:lineRule="auto"/>
        <w:jc w:val="both"/>
        <w:rPr>
          <w:rFonts w:ascii="Simplified Arabic" w:hAnsi="Simplified Arabic" w:cs="Simplified Arabic"/>
          <w:bCs/>
          <w:szCs w:val="28"/>
        </w:rPr>
      </w:pPr>
      <w:r w:rsidRPr="009C4079">
        <w:rPr>
          <w:rFonts w:ascii="Simplified Arabic" w:hAnsi="Simplified Arabic" w:cs="Simplified Arabic"/>
          <w:bCs/>
          <w:szCs w:val="28"/>
          <w:rtl/>
        </w:rPr>
        <w:t>أولًا: السرعة</w:t>
      </w:r>
    </w:p>
    <w:p w14:paraId="02EB6A51"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 xml:space="preserve">السرعة في سياق محكمة التنفيذ تُفهم بوصفها تقليل زمن الدورة الإجرائية لقضية التنفيذ أو الطلب التنفيذي، وتخفيض زمن الانتقال بين المراحل، وتقليل التأخير الناتج عن الورق أو تكرار المراجعات أو بطء التبليغ. وتظهر الدراسات التي تناولت </w:t>
      </w:r>
      <w:proofErr w:type="spellStart"/>
      <w:r w:rsidRPr="009C4079">
        <w:rPr>
          <w:rFonts w:ascii="Simplified Arabic" w:hAnsi="Simplified Arabic" w:cs="Simplified Arabic"/>
          <w:szCs w:val="28"/>
          <w:rtl/>
        </w:rPr>
        <w:t>رقمنة</w:t>
      </w:r>
      <w:proofErr w:type="spellEnd"/>
      <w:r w:rsidRPr="009C4079">
        <w:rPr>
          <w:rFonts w:ascii="Simplified Arabic" w:hAnsi="Simplified Arabic" w:cs="Simplified Arabic"/>
          <w:szCs w:val="28"/>
          <w:rtl/>
        </w:rPr>
        <w:t xml:space="preserve"> إجراءات محددة مثل الإعلان القضائي الإلكتروني أن </w:t>
      </w:r>
      <w:proofErr w:type="spellStart"/>
      <w:r w:rsidRPr="009C4079">
        <w:rPr>
          <w:rFonts w:ascii="Simplified Arabic" w:hAnsi="Simplified Arabic" w:cs="Simplified Arabic"/>
          <w:szCs w:val="28"/>
          <w:rtl/>
        </w:rPr>
        <w:t>رقمنة</w:t>
      </w:r>
      <w:proofErr w:type="spellEnd"/>
      <w:r w:rsidRPr="009C4079">
        <w:rPr>
          <w:rFonts w:ascii="Simplified Arabic" w:hAnsi="Simplified Arabic" w:cs="Simplified Arabic"/>
          <w:szCs w:val="28"/>
          <w:rtl/>
        </w:rPr>
        <w:t xml:space="preserve"> حلقة واحدة قد تخفض التأخير المرتبط بهذه الحلقة (</w:t>
      </w:r>
      <w:proofErr w:type="spellStart"/>
      <w:r w:rsidRPr="009C4079">
        <w:rPr>
          <w:rFonts w:ascii="Simplified Arabic" w:hAnsi="Simplified Arabic" w:cs="Simplified Arabic"/>
          <w:szCs w:val="28"/>
          <w:rtl/>
        </w:rPr>
        <w:t>الهديفي</w:t>
      </w:r>
      <w:proofErr w:type="spellEnd"/>
      <w:r w:rsidRPr="009C4079">
        <w:rPr>
          <w:rFonts w:ascii="Simplified Arabic" w:hAnsi="Simplified Arabic" w:cs="Simplified Arabic"/>
          <w:szCs w:val="28"/>
          <w:rtl/>
        </w:rPr>
        <w:t>، 2021)، بينما تشير دراسات أخرى إلى أن الأثر الأقوى يتحقق عندما تُرقمن السلسلة كاملة (</w:t>
      </w:r>
      <w:proofErr w:type="spellStart"/>
      <w:r w:rsidRPr="009C4079">
        <w:rPr>
          <w:rFonts w:ascii="Simplified Arabic" w:hAnsi="Simplified Arabic" w:cs="Simplified Arabic"/>
          <w:szCs w:val="28"/>
          <w:rtl/>
        </w:rPr>
        <w:t>Nuh</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et</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al</w:t>
      </w:r>
      <w:proofErr w:type="spellEnd"/>
      <w:r w:rsidRPr="009C4079">
        <w:rPr>
          <w:rFonts w:ascii="Simplified Arabic" w:hAnsi="Simplified Arabic" w:cs="Simplified Arabic"/>
          <w:szCs w:val="28"/>
          <w:rtl/>
        </w:rPr>
        <w:t>., 2022). وبذلك، فإن السرعة في الدراسة الحالية ليست “سرعة تقنية” فقط، بل “سرعة إجرائية” ناتجة عن إعادة تصميم المسار وربط حلقاته.</w:t>
      </w:r>
    </w:p>
    <w:p w14:paraId="1C5A492B" w14:textId="77777777" w:rsidR="00922EED" w:rsidRPr="009C4079" w:rsidRDefault="00B030D7" w:rsidP="009C4079">
      <w:pPr>
        <w:bidi/>
        <w:spacing w:after="120" w:line="240" w:lineRule="auto"/>
        <w:jc w:val="both"/>
        <w:rPr>
          <w:rFonts w:ascii="Simplified Arabic" w:hAnsi="Simplified Arabic" w:cs="Simplified Arabic"/>
          <w:bCs/>
          <w:szCs w:val="28"/>
        </w:rPr>
      </w:pPr>
      <w:r w:rsidRPr="009C4079">
        <w:rPr>
          <w:rFonts w:ascii="Simplified Arabic" w:hAnsi="Simplified Arabic" w:cs="Simplified Arabic"/>
          <w:bCs/>
          <w:szCs w:val="28"/>
          <w:rtl/>
        </w:rPr>
        <w:t>ثانيًا: الدقة</w:t>
      </w:r>
    </w:p>
    <w:p w14:paraId="4EB5C2C0"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 xml:space="preserve">الدقة في كفاءة الإنجاز تُفهم بوصفها سلامة الإجراءات التنفيذية وموثوقية البيانات والمخرجات، وتقليل الأخطاء الإجرائية أو الأخطاء في إدخال البيانات أو اكتمال المتطلبات، بما يقلل </w:t>
      </w:r>
      <w:proofErr w:type="spellStart"/>
      <w:r w:rsidRPr="009C4079">
        <w:rPr>
          <w:rFonts w:ascii="Simplified Arabic" w:hAnsi="Simplified Arabic" w:cs="Simplified Arabic"/>
          <w:szCs w:val="28"/>
          <w:rtl/>
        </w:rPr>
        <w:t>الإرجاعات</w:t>
      </w:r>
      <w:proofErr w:type="spellEnd"/>
      <w:r w:rsidRPr="009C4079">
        <w:rPr>
          <w:rFonts w:ascii="Simplified Arabic" w:hAnsi="Simplified Arabic" w:cs="Simplified Arabic"/>
          <w:szCs w:val="28"/>
          <w:rtl/>
        </w:rPr>
        <w:t xml:space="preserve"> أو التصحيحات ويعزز جودة القرار التنفيذي. وترتبط الدقة كذلك بحماية البيانات والخصوصية؛ لأن موثوقية الإنجاز الرقمي تفترض أن البيانات محفوظة ومنضبطة وأن إجراءات الوصول والتوثيق تمنع العبث أو التسريب (قنديل، 2023). كما أن الدراسات التي تناولت ضمانات التقاضي عن بعد تُشير ضمنًا إلى أن الدقة تتطلب جاهزية بشرية وتنظيمية وحوكمة معلومات (العليان، 2025). وفي التنفيذ، تتضاعف أهمية الدقة بسبب حساسية البيانات المرتبطة بالأموال والالتزامات.</w:t>
      </w:r>
    </w:p>
    <w:p w14:paraId="2DFD1F36" w14:textId="77777777" w:rsidR="00922EED" w:rsidRPr="009C4079" w:rsidRDefault="00B030D7" w:rsidP="009C4079">
      <w:pPr>
        <w:bidi/>
        <w:spacing w:after="120" w:line="240" w:lineRule="auto"/>
        <w:jc w:val="both"/>
        <w:rPr>
          <w:rFonts w:ascii="Simplified Arabic" w:hAnsi="Simplified Arabic" w:cs="Simplified Arabic"/>
          <w:bCs/>
          <w:szCs w:val="28"/>
        </w:rPr>
      </w:pPr>
      <w:r w:rsidRPr="009C4079">
        <w:rPr>
          <w:rFonts w:ascii="Simplified Arabic" w:hAnsi="Simplified Arabic" w:cs="Simplified Arabic"/>
          <w:bCs/>
          <w:szCs w:val="28"/>
          <w:rtl/>
        </w:rPr>
        <w:t>ثالثًا: الشفافية</w:t>
      </w:r>
    </w:p>
    <w:p w14:paraId="62A31DD3"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 xml:space="preserve">الشفافية تعني وضوح المسار الإجرائي وإمكانية تتبع الحالة والمرحلة، وتوافر سجل يوثق الإجراءات ويتيح للأطراف فهم ما تم وما تبقى، بما يعزز الثقة ويحد من الغموض. وقد أبرزت أدبيات إدارة الدعوى الإلكترونية والتقاضي الذكي أهمية التتبع والتوثيق بوصفهما جزءًا من جودة العمل القضائي الرقمي (الخطيب، 2024؛ القاضي، 2023). وتؤكد الدراسات الأجنبية كذلك أن الشفافية قد تتحسن بسرعة عبر المنصات التي تركز على مركزية المعلومات </w:t>
      </w:r>
      <w:r w:rsidRPr="009C4079">
        <w:rPr>
          <w:rFonts w:ascii="Simplified Arabic" w:hAnsi="Simplified Arabic" w:cs="Simplified Arabic"/>
          <w:szCs w:val="28"/>
          <w:rtl/>
        </w:rPr>
        <w:lastRenderedPageBreak/>
        <w:t>والتتبع، حتى لو كان أثر السرعة متفاوتًا (</w:t>
      </w:r>
      <w:proofErr w:type="spellStart"/>
      <w:r w:rsidRPr="009C4079">
        <w:rPr>
          <w:rFonts w:ascii="Simplified Arabic" w:hAnsi="Simplified Arabic" w:cs="Simplified Arabic"/>
          <w:szCs w:val="28"/>
          <w:rtl/>
        </w:rPr>
        <w:t>Pelssers</w:t>
      </w:r>
      <w:proofErr w:type="spellEnd"/>
      <w:r w:rsidRPr="009C4079">
        <w:rPr>
          <w:rFonts w:ascii="Simplified Arabic" w:hAnsi="Simplified Arabic" w:cs="Simplified Arabic"/>
          <w:szCs w:val="28"/>
          <w:rtl/>
        </w:rPr>
        <w:t xml:space="preserve"> &amp; </w:t>
      </w:r>
      <w:proofErr w:type="spellStart"/>
      <w:r w:rsidRPr="009C4079">
        <w:rPr>
          <w:rFonts w:ascii="Simplified Arabic" w:hAnsi="Simplified Arabic" w:cs="Simplified Arabic"/>
          <w:szCs w:val="28"/>
          <w:rtl/>
        </w:rPr>
        <w:t>Dubois</w:t>
      </w:r>
      <w:proofErr w:type="spellEnd"/>
      <w:r w:rsidRPr="009C4079">
        <w:rPr>
          <w:rFonts w:ascii="Simplified Arabic" w:hAnsi="Simplified Arabic" w:cs="Simplified Arabic"/>
          <w:szCs w:val="28"/>
          <w:rtl/>
        </w:rPr>
        <w:t>, 2022)، وأن القياس بالمؤشرات التشغيلية المرتبطة بالتتبع والمراقبة يعكس أثر التحول بصورة أدق (3ie, 2021). وفي محكمة التنفيذ، تتجسد الشفافية في وضوح حالة الطلب التنفيذي وإشعاراته وسجل إجراءاته وقابلية متابعته عبر القنوات الرقمية.</w:t>
      </w:r>
    </w:p>
    <w:p w14:paraId="26BC253C"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وبناءً على ما سبق، تتحدد كفاءة الإنجاز في الدراسة الحالية بوصفها بناءً مركبًا: سرعة منضبطة (لا تخل بالضمانات)، ودقة معلوماتية وإجرائية (تضمن موثوقية البيانات)، وشفافية تشغيلية (تتيح التتبع وتوثيق المسار). ويصبح أثر التحول الرقمي قابلاً للفحص عندما يُربط بهذه الأبعاد الثلاثة معًا، لا عند اختزاله في مؤشر واحد.</w:t>
      </w:r>
    </w:p>
    <w:p w14:paraId="1AED32C2" w14:textId="36AC65DE" w:rsidR="00922EED" w:rsidRPr="009C4079" w:rsidRDefault="00B030D7" w:rsidP="009C4079">
      <w:pPr>
        <w:pStyle w:val="aa"/>
        <w:numPr>
          <w:ilvl w:val="0"/>
          <w:numId w:val="12"/>
        </w:numPr>
        <w:bidi/>
        <w:spacing w:after="120" w:line="240" w:lineRule="auto"/>
        <w:jc w:val="both"/>
        <w:rPr>
          <w:rFonts w:ascii="Simplified Arabic" w:hAnsi="Simplified Arabic" w:cs="Simplified Arabic"/>
          <w:bCs/>
          <w:szCs w:val="28"/>
        </w:rPr>
      </w:pPr>
      <w:r w:rsidRPr="009C4079">
        <w:rPr>
          <w:rFonts w:ascii="Simplified Arabic" w:hAnsi="Simplified Arabic" w:cs="Simplified Arabic"/>
          <w:bCs/>
          <w:szCs w:val="28"/>
          <w:rtl/>
        </w:rPr>
        <w:t>نموذج قبول التكنولوجيا (TAM) وتفسير التبني والاستخدام</w:t>
      </w:r>
    </w:p>
    <w:p w14:paraId="18C10CA7"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 xml:space="preserve">يُعد نموذج قبول التكنولوجيا (TAM) إطارًا تفسيريًا مناسبًا عند دراسة أثر التحول الرقمي في المؤسسات العامة، لأنه يركز على آلية انتقال التقنية من “توفر” إلى “استخدام فعلي”، وهي آلية حاسمة في القطاع العدلي. يفترض TAM أن قبول المستخدمين للتقنية يتأثر أساسًا بمتغيرين: المنفعة المتصورة وسهولة الاستخدام المتصورة؛ فكلما رأى المستخدم أن التقنية مفيدة وتُحسن أداءه، وأن استخدامها سهل وغير معقد، ارتفع اتجاهه الإيجابي نحو استخدامها، بما يقود إلى نية استخدام ثم استخدام فعلي. وفي التحول الرقمي القضائي، تُعد </w:t>
      </w:r>
      <w:proofErr w:type="spellStart"/>
      <w:r w:rsidRPr="009C4079">
        <w:rPr>
          <w:rFonts w:ascii="Simplified Arabic" w:hAnsi="Simplified Arabic" w:cs="Simplified Arabic"/>
          <w:szCs w:val="28"/>
          <w:rtl/>
        </w:rPr>
        <w:t>مشروطية</w:t>
      </w:r>
      <w:proofErr w:type="spellEnd"/>
      <w:r w:rsidRPr="009C4079">
        <w:rPr>
          <w:rFonts w:ascii="Simplified Arabic" w:hAnsi="Simplified Arabic" w:cs="Simplified Arabic"/>
          <w:szCs w:val="28"/>
          <w:rtl/>
        </w:rPr>
        <w:t xml:space="preserve"> الأثر بالتبني والاستخدام من أهم ما أكدته الأدبيات الحديثة.</w:t>
      </w:r>
    </w:p>
    <w:p w14:paraId="410F23C8" w14:textId="77777777" w:rsidR="00922EED" w:rsidRPr="009C4079" w:rsidRDefault="00B030D7" w:rsidP="009C4079">
      <w:pPr>
        <w:bidi/>
        <w:spacing w:after="120" w:line="240" w:lineRule="auto"/>
        <w:jc w:val="both"/>
        <w:rPr>
          <w:rFonts w:ascii="Simplified Arabic" w:hAnsi="Simplified Arabic" w:cs="Simplified Arabic"/>
          <w:b/>
          <w:bCs/>
          <w:szCs w:val="28"/>
        </w:rPr>
      </w:pPr>
      <w:r w:rsidRPr="009C4079">
        <w:rPr>
          <w:rFonts w:ascii="Simplified Arabic" w:hAnsi="Simplified Arabic" w:cs="Simplified Arabic"/>
          <w:b/>
          <w:bCs/>
          <w:szCs w:val="28"/>
          <w:rtl/>
        </w:rPr>
        <w:t>ويمكن تكييف مفاهيم TAM في سياق محكمة التنفيذ على النحو الآتي:</w:t>
      </w:r>
    </w:p>
    <w:p w14:paraId="7CDC8393"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 xml:space="preserve">المنفعة المتصورة تتمثل في إدراك القاضي أو الموظف أو المستفيد أن خدمات التنفيذ الرقمية تقلل زمن الإجراءات، وتخفض الأخطاء، وتزيد وضوح الحالة والتتبع، وتُيسر الوصول للخدمة. وهذا يتسق مع الأدبيات التي ترى أن </w:t>
      </w:r>
      <w:proofErr w:type="spellStart"/>
      <w:r w:rsidRPr="009C4079">
        <w:rPr>
          <w:rFonts w:ascii="Simplified Arabic" w:hAnsi="Simplified Arabic" w:cs="Simplified Arabic"/>
          <w:szCs w:val="28"/>
          <w:rtl/>
        </w:rPr>
        <w:t>الرقمنة</w:t>
      </w:r>
      <w:proofErr w:type="spellEnd"/>
      <w:r w:rsidRPr="009C4079">
        <w:rPr>
          <w:rFonts w:ascii="Simplified Arabic" w:hAnsi="Simplified Arabic" w:cs="Simplified Arabic"/>
          <w:szCs w:val="28"/>
          <w:rtl/>
        </w:rPr>
        <w:t xml:space="preserve"> قد تحسن الشفافية والتتبع وتقلل بعض أوجه التأخير عند اكتمال التصميم والتطبيق (</w:t>
      </w:r>
      <w:proofErr w:type="spellStart"/>
      <w:r w:rsidRPr="009C4079">
        <w:rPr>
          <w:rFonts w:ascii="Simplified Arabic" w:hAnsi="Simplified Arabic" w:cs="Simplified Arabic"/>
          <w:szCs w:val="28"/>
          <w:rtl/>
        </w:rPr>
        <w:t>Pelssers</w:t>
      </w:r>
      <w:proofErr w:type="spellEnd"/>
      <w:r w:rsidRPr="009C4079">
        <w:rPr>
          <w:rFonts w:ascii="Simplified Arabic" w:hAnsi="Simplified Arabic" w:cs="Simplified Arabic"/>
          <w:szCs w:val="28"/>
          <w:rtl/>
        </w:rPr>
        <w:t xml:space="preserve"> &amp; </w:t>
      </w:r>
      <w:proofErr w:type="spellStart"/>
      <w:r w:rsidRPr="009C4079">
        <w:rPr>
          <w:rFonts w:ascii="Simplified Arabic" w:hAnsi="Simplified Arabic" w:cs="Simplified Arabic"/>
          <w:szCs w:val="28"/>
          <w:rtl/>
        </w:rPr>
        <w:t>Dubois</w:t>
      </w:r>
      <w:proofErr w:type="spellEnd"/>
      <w:r w:rsidRPr="009C4079">
        <w:rPr>
          <w:rFonts w:ascii="Simplified Arabic" w:hAnsi="Simplified Arabic" w:cs="Simplified Arabic"/>
          <w:szCs w:val="28"/>
          <w:rtl/>
        </w:rPr>
        <w:t>, 2022)، كما يتسق مع الطرح الذي يربط نجاح التحول بعائد عملي يشعر به المستخدم. (</w:t>
      </w:r>
      <w:proofErr w:type="spellStart"/>
      <w:r w:rsidRPr="009C4079">
        <w:rPr>
          <w:rFonts w:ascii="Simplified Arabic" w:hAnsi="Simplified Arabic" w:cs="Simplified Arabic"/>
          <w:szCs w:val="28"/>
          <w:rtl/>
        </w:rPr>
        <w:t>Poshai</w:t>
      </w:r>
      <w:proofErr w:type="spellEnd"/>
      <w:r w:rsidRPr="009C4079">
        <w:rPr>
          <w:rFonts w:ascii="Simplified Arabic" w:hAnsi="Simplified Arabic" w:cs="Simplified Arabic"/>
          <w:szCs w:val="28"/>
          <w:rtl/>
        </w:rPr>
        <w:t xml:space="preserve"> &amp; </w:t>
      </w:r>
      <w:proofErr w:type="spellStart"/>
      <w:r w:rsidRPr="009C4079">
        <w:rPr>
          <w:rFonts w:ascii="Simplified Arabic" w:hAnsi="Simplified Arabic" w:cs="Simplified Arabic"/>
          <w:szCs w:val="28"/>
          <w:rtl/>
        </w:rPr>
        <w:t>Vyas-Doorgapersad</w:t>
      </w:r>
      <w:proofErr w:type="spellEnd"/>
      <w:r w:rsidRPr="009C4079">
        <w:rPr>
          <w:rFonts w:ascii="Simplified Arabic" w:hAnsi="Simplified Arabic" w:cs="Simplified Arabic"/>
          <w:szCs w:val="28"/>
          <w:rtl/>
        </w:rPr>
        <w:t>, 2023)</w:t>
      </w:r>
    </w:p>
    <w:p w14:paraId="32B08907"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سهولة الاستخدام المتصورة تتمثل في وضوح خطوات تقديم الطلب، وبساطة المتطلبات، وسهولة رفع المستندات، واستقرار الخدمة، وتوافر الدعم الفني، بما يقلل العبء الإداري على المستخدم. وتبرز الدراسات التي ركزت على الجاهزية ومحو الأمية الرقمية أن صعوبة الاستخدام قد تعيق التبني وتحد من الأثر (</w:t>
      </w:r>
      <w:proofErr w:type="spellStart"/>
      <w:r w:rsidRPr="009C4079">
        <w:rPr>
          <w:rFonts w:ascii="Simplified Arabic" w:hAnsi="Simplified Arabic" w:cs="Simplified Arabic"/>
          <w:szCs w:val="28"/>
          <w:rtl/>
        </w:rPr>
        <w:t>Poshai</w:t>
      </w:r>
      <w:proofErr w:type="spellEnd"/>
      <w:r w:rsidRPr="009C4079">
        <w:rPr>
          <w:rFonts w:ascii="Simplified Arabic" w:hAnsi="Simplified Arabic" w:cs="Simplified Arabic"/>
          <w:szCs w:val="28"/>
          <w:rtl/>
        </w:rPr>
        <w:t xml:space="preserve"> &amp; </w:t>
      </w:r>
      <w:proofErr w:type="spellStart"/>
      <w:r w:rsidRPr="009C4079">
        <w:rPr>
          <w:rFonts w:ascii="Simplified Arabic" w:hAnsi="Simplified Arabic" w:cs="Simplified Arabic"/>
          <w:szCs w:val="28"/>
          <w:rtl/>
        </w:rPr>
        <w:t>Vyas-Doorgapersad</w:t>
      </w:r>
      <w:proofErr w:type="spellEnd"/>
      <w:r w:rsidRPr="009C4079">
        <w:rPr>
          <w:rFonts w:ascii="Simplified Arabic" w:hAnsi="Simplified Arabic" w:cs="Simplified Arabic"/>
          <w:szCs w:val="28"/>
          <w:rtl/>
        </w:rPr>
        <w:t>, 2023).</w:t>
      </w:r>
    </w:p>
    <w:p w14:paraId="3985974D"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 xml:space="preserve">ويرتبط TAM في الدراسة الحالية بفكرة أن أثر التحول الرقمي على كفاءة الإنجاز (السرعة/الدقة/الشفافية) لا يتحقق إلا عند اتساع دائرة الاستخدام الفعلي وتراجع الاعتماد على البدائل اليدوية. فحتى لو توفرت المنصة، فإن انخفاض التبني أو ضعف الاستخدام قد يؤدي إلى أثر محدود في السرعة، وقد يحقق أثرًا جزئيًا في الشفافية إن كانت المنصة </w:t>
      </w:r>
      <w:r w:rsidRPr="009C4079">
        <w:rPr>
          <w:rFonts w:ascii="Simplified Arabic" w:hAnsi="Simplified Arabic" w:cs="Simplified Arabic"/>
          <w:szCs w:val="28"/>
          <w:rtl/>
        </w:rPr>
        <w:lastRenderedPageBreak/>
        <w:t>توفر تتبعًا دون أن تُغير سلوك الممارسين. وهنا تتقاطع أفكار TAM مع الطرح النقدي الذي يفرق بين مكاسب الشفافية ومكاسب السرعة ويجعلها مشروطة بالتصميم والتبني (</w:t>
      </w:r>
      <w:proofErr w:type="spellStart"/>
      <w:r w:rsidRPr="009C4079">
        <w:rPr>
          <w:rFonts w:ascii="Simplified Arabic" w:hAnsi="Simplified Arabic" w:cs="Simplified Arabic"/>
          <w:szCs w:val="28"/>
          <w:rtl/>
        </w:rPr>
        <w:t>Pelssers</w:t>
      </w:r>
      <w:proofErr w:type="spellEnd"/>
      <w:r w:rsidRPr="009C4079">
        <w:rPr>
          <w:rFonts w:ascii="Simplified Arabic" w:hAnsi="Simplified Arabic" w:cs="Simplified Arabic"/>
          <w:szCs w:val="28"/>
          <w:rtl/>
        </w:rPr>
        <w:t xml:space="preserve"> &amp; </w:t>
      </w:r>
      <w:proofErr w:type="spellStart"/>
      <w:r w:rsidRPr="009C4079">
        <w:rPr>
          <w:rFonts w:ascii="Simplified Arabic" w:hAnsi="Simplified Arabic" w:cs="Simplified Arabic"/>
          <w:szCs w:val="28"/>
          <w:rtl/>
        </w:rPr>
        <w:t>Dubois</w:t>
      </w:r>
      <w:proofErr w:type="spellEnd"/>
      <w:r w:rsidRPr="009C4079">
        <w:rPr>
          <w:rFonts w:ascii="Simplified Arabic" w:hAnsi="Simplified Arabic" w:cs="Simplified Arabic"/>
          <w:szCs w:val="28"/>
          <w:rtl/>
        </w:rPr>
        <w:t>, 2022).</w:t>
      </w:r>
    </w:p>
    <w:p w14:paraId="550A42EF"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كما يساعد TAM في تفسير تباين الأثر بين أبعاد الكفاءة: فارتفاع المنفعة المتصورة وسهولة الاستخدام قد يعزز السرعة عبر تقليل زمن المعاملات، ويعزز الدقة عبر تقليل الأخطاء الناتجة عن التعامل الورقي، ويعزز الشفافية عبر زيادة الاعتماد على سجل الإجراءات الرقمي. وفي المقابل، ضعف الإدراك بالمنفعة أو تعقيد الواجهات قد يحد من هذه المكاسب أو يجعلها غير متجانسة بين الأبعاد الثلاثة.</w:t>
      </w:r>
    </w:p>
    <w:p w14:paraId="05B69C20" w14:textId="19E724FE" w:rsidR="00922EED" w:rsidRPr="009C4079" w:rsidRDefault="00B030D7" w:rsidP="009C4079">
      <w:pPr>
        <w:pStyle w:val="aa"/>
        <w:numPr>
          <w:ilvl w:val="0"/>
          <w:numId w:val="12"/>
        </w:numPr>
        <w:bidi/>
        <w:spacing w:after="120" w:line="240" w:lineRule="auto"/>
        <w:jc w:val="both"/>
        <w:rPr>
          <w:rFonts w:ascii="Simplified Arabic" w:hAnsi="Simplified Arabic" w:cs="Simplified Arabic"/>
          <w:bCs/>
          <w:szCs w:val="28"/>
        </w:rPr>
      </w:pPr>
      <w:r w:rsidRPr="009C4079">
        <w:rPr>
          <w:rFonts w:ascii="Simplified Arabic" w:hAnsi="Simplified Arabic" w:cs="Simplified Arabic"/>
          <w:bCs/>
          <w:szCs w:val="28"/>
          <w:rtl/>
        </w:rPr>
        <w:t xml:space="preserve">منظور الإدارة العامة الجديدة (NPM) وتفسير انتقال </w:t>
      </w:r>
      <w:proofErr w:type="spellStart"/>
      <w:r w:rsidRPr="009C4079">
        <w:rPr>
          <w:rFonts w:ascii="Simplified Arabic" w:hAnsi="Simplified Arabic" w:cs="Simplified Arabic"/>
          <w:bCs/>
          <w:szCs w:val="28"/>
          <w:rtl/>
        </w:rPr>
        <w:t>الرقمنة</w:t>
      </w:r>
      <w:proofErr w:type="spellEnd"/>
      <w:r w:rsidRPr="009C4079">
        <w:rPr>
          <w:rFonts w:ascii="Simplified Arabic" w:hAnsi="Simplified Arabic" w:cs="Simplified Arabic"/>
          <w:bCs/>
          <w:szCs w:val="28"/>
          <w:rtl/>
        </w:rPr>
        <w:t xml:space="preserve"> إلى نتائج أداء</w:t>
      </w:r>
    </w:p>
    <w:p w14:paraId="49902E2C"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 xml:space="preserve">يرتبط منظور الإدارة العامة الجديدة (NPM) بفكرة تطوير أداء القطاع العام عبر التركيز على الكفاءة وقياس الأداء وتبسيط الإجراءات وتحسين جودة الخدمة وتعزيز الشفافية والمساءلة. وفي سياق التحول الرقمي، يمكن النظر إلى </w:t>
      </w:r>
      <w:proofErr w:type="spellStart"/>
      <w:r w:rsidRPr="009C4079">
        <w:rPr>
          <w:rFonts w:ascii="Simplified Arabic" w:hAnsi="Simplified Arabic" w:cs="Simplified Arabic"/>
          <w:szCs w:val="28"/>
          <w:rtl/>
        </w:rPr>
        <w:t>الرقمنة</w:t>
      </w:r>
      <w:proofErr w:type="spellEnd"/>
      <w:r w:rsidRPr="009C4079">
        <w:rPr>
          <w:rFonts w:ascii="Simplified Arabic" w:hAnsi="Simplified Arabic" w:cs="Simplified Arabic"/>
          <w:szCs w:val="28"/>
          <w:rtl/>
        </w:rPr>
        <w:t xml:space="preserve"> بوصفها أداة تنفيذية تُترجم هذه المبادئ إلى ممارسات تشغيلية؛ إذ تسهم </w:t>
      </w:r>
      <w:proofErr w:type="spellStart"/>
      <w:r w:rsidRPr="009C4079">
        <w:rPr>
          <w:rFonts w:ascii="Simplified Arabic" w:hAnsi="Simplified Arabic" w:cs="Simplified Arabic"/>
          <w:szCs w:val="28"/>
          <w:rtl/>
        </w:rPr>
        <w:t>الرقمنة</w:t>
      </w:r>
      <w:proofErr w:type="spellEnd"/>
      <w:r w:rsidRPr="009C4079">
        <w:rPr>
          <w:rFonts w:ascii="Simplified Arabic" w:hAnsi="Simplified Arabic" w:cs="Simplified Arabic"/>
          <w:szCs w:val="28"/>
          <w:rtl/>
        </w:rPr>
        <w:t xml:space="preserve"> في تقليل الهدر الإجرائي، وتوحيد المسارات، وتوفير بيانات أداء تساعد على إدارة العمل بصورة أقرب إلى إدارة الأداء القائمة على الأدلة.</w:t>
      </w:r>
    </w:p>
    <w:p w14:paraId="3B4830D1" w14:textId="77777777" w:rsidR="00922EED" w:rsidRPr="009C4079" w:rsidRDefault="00B030D7" w:rsidP="009C4079">
      <w:pPr>
        <w:bidi/>
        <w:spacing w:after="120" w:line="240" w:lineRule="auto"/>
        <w:jc w:val="both"/>
        <w:rPr>
          <w:rFonts w:ascii="Simplified Arabic" w:hAnsi="Simplified Arabic" w:cs="Simplified Arabic"/>
          <w:b/>
          <w:bCs/>
          <w:szCs w:val="28"/>
        </w:rPr>
      </w:pPr>
      <w:r w:rsidRPr="009C4079">
        <w:rPr>
          <w:rFonts w:ascii="Simplified Arabic" w:hAnsi="Simplified Arabic" w:cs="Simplified Arabic"/>
          <w:b/>
          <w:bCs/>
          <w:szCs w:val="28"/>
          <w:rtl/>
        </w:rPr>
        <w:t>ويكتسب هذا المنظور أهمية خاصة في المؤسسات العدلية لأن تحسين كفاءة الإنجاز يتطلب:</w:t>
      </w:r>
    </w:p>
    <w:p w14:paraId="5B858BCE" w14:textId="77777777" w:rsidR="00922EED" w:rsidRPr="009C4079" w:rsidRDefault="00B030D7" w:rsidP="009C4079">
      <w:pPr>
        <w:pStyle w:val="aa"/>
        <w:numPr>
          <w:ilvl w:val="0"/>
          <w:numId w:val="15"/>
        </w:num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إعادة تصميم إجراءات تقلل التأخير،</w:t>
      </w:r>
    </w:p>
    <w:p w14:paraId="2D513B6C" w14:textId="77777777" w:rsidR="00922EED" w:rsidRPr="009C4079" w:rsidRDefault="00B030D7" w:rsidP="009C4079">
      <w:pPr>
        <w:pStyle w:val="aa"/>
        <w:numPr>
          <w:ilvl w:val="0"/>
          <w:numId w:val="15"/>
        </w:num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توحيد بيانات ترفع الدقة،</w:t>
      </w:r>
    </w:p>
    <w:p w14:paraId="2061730E" w14:textId="77777777" w:rsidR="00922EED" w:rsidRPr="009C4079" w:rsidRDefault="00B030D7" w:rsidP="009C4079">
      <w:pPr>
        <w:pStyle w:val="aa"/>
        <w:numPr>
          <w:ilvl w:val="0"/>
          <w:numId w:val="15"/>
        </w:num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بناء تتبع وتوثيق يعزز الشفافية.</w:t>
      </w:r>
    </w:p>
    <w:p w14:paraId="5587AB3D"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وتنسجم هذه المبادئ مع ما تطرحه التقارير الدولية حول أن التحول الرقمي في الحكومة يساهم في تحسين الخدمة وتوسيع الوصول وتعزيز الشفافية إذا توافرت الحوكمة والبنية الداعمة (</w:t>
      </w:r>
      <w:proofErr w:type="spellStart"/>
      <w:r w:rsidRPr="009C4079">
        <w:rPr>
          <w:rFonts w:ascii="Simplified Arabic" w:hAnsi="Simplified Arabic" w:cs="Simplified Arabic"/>
          <w:szCs w:val="28"/>
          <w:rtl/>
        </w:rPr>
        <w:t>United</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Nations</w:t>
      </w:r>
      <w:proofErr w:type="spellEnd"/>
      <w:r w:rsidRPr="009C4079">
        <w:rPr>
          <w:rFonts w:ascii="Simplified Arabic" w:hAnsi="Simplified Arabic" w:cs="Simplified Arabic"/>
          <w:szCs w:val="28"/>
          <w:rtl/>
        </w:rPr>
        <w:t xml:space="preserve">, 2024؛ </w:t>
      </w:r>
      <w:proofErr w:type="spellStart"/>
      <w:r w:rsidRPr="009C4079">
        <w:rPr>
          <w:rFonts w:ascii="Simplified Arabic" w:hAnsi="Simplified Arabic" w:cs="Simplified Arabic"/>
          <w:szCs w:val="28"/>
          <w:rtl/>
        </w:rPr>
        <w:t>World</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Bank</w:t>
      </w:r>
      <w:proofErr w:type="spellEnd"/>
      <w:r w:rsidRPr="009C4079">
        <w:rPr>
          <w:rFonts w:ascii="Simplified Arabic" w:hAnsi="Simplified Arabic" w:cs="Simplified Arabic"/>
          <w:szCs w:val="28"/>
          <w:rtl/>
        </w:rPr>
        <w:t>, 2025). كما يتقاطع منظور NPM مع توجهات التحول الوطني في المملكة التي تربط التحول الرقمي بمؤشرات أداء وتحسينات تشغيلية داخل الجهات الحكومية (برنامج التحول الوطني، 2022؛ برنامج التحول الوطني، 2023؛ هيئة الحكومة الرقمية، 2024).</w:t>
      </w:r>
    </w:p>
    <w:p w14:paraId="50C1241E"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وفي محكمة التنفيذ، يمكن تفعيل منظور NPM لفهم التحول الرقمي بوصفه مدخلًا لإعادة هندسة العمليات التنفيذية، وتقليل نقاط الاحتكاك الورقي، ورفع الإنتاجية الإجرائية. فمن زاوية NPM:</w:t>
      </w:r>
    </w:p>
    <w:p w14:paraId="1C936E63"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تُفهم السرعة بوصفها خفض زمن الدورة الإجرائية للتنفيذ وتقليل التأخير بين المراحل.</w:t>
      </w:r>
    </w:p>
    <w:p w14:paraId="5EFE9D7C"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 xml:space="preserve">وتُفهم الدقة بوصفها سلامة الإجراء وموثوقية البيانات وتقليل الأخطاء </w:t>
      </w:r>
      <w:proofErr w:type="spellStart"/>
      <w:r w:rsidRPr="009C4079">
        <w:rPr>
          <w:rFonts w:ascii="Simplified Arabic" w:hAnsi="Simplified Arabic" w:cs="Simplified Arabic"/>
          <w:szCs w:val="28"/>
          <w:rtl/>
        </w:rPr>
        <w:t>والإرجاعات</w:t>
      </w:r>
      <w:proofErr w:type="spellEnd"/>
      <w:r w:rsidRPr="009C4079">
        <w:rPr>
          <w:rFonts w:ascii="Simplified Arabic" w:hAnsi="Simplified Arabic" w:cs="Simplified Arabic"/>
          <w:szCs w:val="28"/>
          <w:rtl/>
        </w:rPr>
        <w:t>.</w:t>
      </w:r>
    </w:p>
    <w:p w14:paraId="68EC8FDC"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وتُفهم الشفافية بوصفها وضوح المسار وقابلية التتبع والتوثيق بما يعزز المساءلة والثقة.</w:t>
      </w:r>
    </w:p>
    <w:p w14:paraId="5657E7C0"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lastRenderedPageBreak/>
        <w:t xml:space="preserve">وتُعزز التجارب الرقمية في العدالة هذا الفهم؛ فالتقييمات التشغيلية التي تركز على التتبع والمراقبة وإدارة القضايا تُظهر أن </w:t>
      </w:r>
      <w:proofErr w:type="spellStart"/>
      <w:r w:rsidRPr="009C4079">
        <w:rPr>
          <w:rFonts w:ascii="Simplified Arabic" w:hAnsi="Simplified Arabic" w:cs="Simplified Arabic"/>
          <w:szCs w:val="28"/>
          <w:rtl/>
        </w:rPr>
        <w:t>الرقمنة</w:t>
      </w:r>
      <w:proofErr w:type="spellEnd"/>
      <w:r w:rsidRPr="009C4079">
        <w:rPr>
          <w:rFonts w:ascii="Simplified Arabic" w:hAnsi="Simplified Arabic" w:cs="Simplified Arabic"/>
          <w:szCs w:val="28"/>
          <w:rtl/>
        </w:rPr>
        <w:t xml:space="preserve"> تتيح مؤشرات أكثر وضوحًا لإدارة الأداء (3ie, 2021)، بينما تشير الأدبيات إلى أن جودة التوثيق والمعايير شرط لحفظ الشفافية وقابلية التقييم، خاصة عند إدخال الأتمتة أو التقنيات المتقدمة (</w:t>
      </w:r>
      <w:proofErr w:type="spellStart"/>
      <w:r w:rsidRPr="009C4079">
        <w:rPr>
          <w:rFonts w:ascii="Simplified Arabic" w:hAnsi="Simplified Arabic" w:cs="Simplified Arabic"/>
          <w:szCs w:val="28"/>
          <w:rtl/>
        </w:rPr>
        <w:t>Araújo</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et</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al</w:t>
      </w:r>
      <w:proofErr w:type="spellEnd"/>
      <w:r w:rsidRPr="009C4079">
        <w:rPr>
          <w:rFonts w:ascii="Simplified Arabic" w:hAnsi="Simplified Arabic" w:cs="Simplified Arabic"/>
          <w:szCs w:val="28"/>
          <w:rtl/>
        </w:rPr>
        <w:t>., 2025). وهذا يتقاطع مع جوهر NPM الذي يربط الإدارة بالنتائج وبالقدرة على القياس والمساءلة.</w:t>
      </w:r>
    </w:p>
    <w:p w14:paraId="0562A21F" w14:textId="75427034" w:rsidR="00922EED" w:rsidRPr="009C4079" w:rsidRDefault="00B030D7" w:rsidP="009C4079">
      <w:pPr>
        <w:pStyle w:val="aa"/>
        <w:numPr>
          <w:ilvl w:val="0"/>
          <w:numId w:val="12"/>
        </w:numPr>
        <w:bidi/>
        <w:spacing w:after="120" w:line="240" w:lineRule="auto"/>
        <w:jc w:val="both"/>
        <w:rPr>
          <w:rFonts w:ascii="Simplified Arabic" w:hAnsi="Simplified Arabic" w:cs="Simplified Arabic"/>
          <w:bCs/>
          <w:szCs w:val="28"/>
        </w:rPr>
      </w:pPr>
      <w:r w:rsidRPr="009C4079">
        <w:rPr>
          <w:rFonts w:ascii="Simplified Arabic" w:hAnsi="Simplified Arabic" w:cs="Simplified Arabic"/>
          <w:bCs/>
          <w:szCs w:val="28"/>
          <w:rtl/>
        </w:rPr>
        <w:t xml:space="preserve">تكامل TAM </w:t>
      </w:r>
      <w:proofErr w:type="spellStart"/>
      <w:r w:rsidRPr="009C4079">
        <w:rPr>
          <w:rFonts w:ascii="Simplified Arabic" w:hAnsi="Simplified Arabic" w:cs="Simplified Arabic"/>
          <w:bCs/>
          <w:szCs w:val="28"/>
          <w:rtl/>
        </w:rPr>
        <w:t>وNPM</w:t>
      </w:r>
      <w:proofErr w:type="spellEnd"/>
      <w:r w:rsidRPr="009C4079">
        <w:rPr>
          <w:rFonts w:ascii="Simplified Arabic" w:hAnsi="Simplified Arabic" w:cs="Simplified Arabic"/>
          <w:bCs/>
          <w:szCs w:val="28"/>
          <w:rtl/>
        </w:rPr>
        <w:t xml:space="preserve"> لتفسير نموذج الدراسة الحالي</w:t>
      </w:r>
    </w:p>
    <w:p w14:paraId="33F22BEC"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تحتاج الدراسة الحالية—بحكم طبيعتها—إلى إطار تفسيري يربط بين مستويين: مستوى التبني والاستخدام، ومستوى نتائج الأداء. وهنا يتكامل نموذج قبول التكنولوجيا (TAM) مع منظور الإدارة العامة الجديدة (NPM) على نحو يخدم تفسير العلاقة بين التحول الرقمي في محكمة التنفيذ وبين كفاءة إنجاز قضايا التنفيذ.</w:t>
      </w:r>
    </w:p>
    <w:p w14:paraId="6C8BBA19" w14:textId="77777777" w:rsidR="00922EED" w:rsidRPr="009C4079" w:rsidRDefault="00B030D7" w:rsidP="009C4079">
      <w:pPr>
        <w:bidi/>
        <w:spacing w:after="120" w:line="240" w:lineRule="auto"/>
        <w:jc w:val="both"/>
        <w:rPr>
          <w:rFonts w:ascii="Simplified Arabic" w:hAnsi="Simplified Arabic" w:cs="Simplified Arabic"/>
          <w:bCs/>
          <w:szCs w:val="28"/>
        </w:rPr>
      </w:pPr>
      <w:r w:rsidRPr="009C4079">
        <w:rPr>
          <w:rFonts w:ascii="Simplified Arabic" w:hAnsi="Simplified Arabic" w:cs="Simplified Arabic"/>
          <w:bCs/>
          <w:szCs w:val="28"/>
          <w:rtl/>
        </w:rPr>
        <w:t>أولًا: TAM يفسر آلية التفعيل (</w:t>
      </w:r>
      <w:proofErr w:type="spellStart"/>
      <w:r w:rsidRPr="009C4079">
        <w:rPr>
          <w:rFonts w:ascii="Simplified Arabic" w:hAnsi="Simplified Arabic" w:cs="Simplified Arabic"/>
          <w:bCs/>
          <w:szCs w:val="28"/>
          <w:rtl/>
        </w:rPr>
        <w:t>Activation</w:t>
      </w:r>
      <w:proofErr w:type="spellEnd"/>
      <w:r w:rsidRPr="009C4079">
        <w:rPr>
          <w:rFonts w:ascii="Simplified Arabic" w:hAnsi="Simplified Arabic" w:cs="Simplified Arabic"/>
          <w:bCs/>
          <w:szCs w:val="28"/>
          <w:rtl/>
        </w:rPr>
        <w:t xml:space="preserve"> </w:t>
      </w:r>
      <w:proofErr w:type="spellStart"/>
      <w:r w:rsidRPr="009C4079">
        <w:rPr>
          <w:rFonts w:ascii="Simplified Arabic" w:hAnsi="Simplified Arabic" w:cs="Simplified Arabic"/>
          <w:bCs/>
          <w:szCs w:val="28"/>
          <w:rtl/>
        </w:rPr>
        <w:t>Mechanism</w:t>
      </w:r>
      <w:proofErr w:type="spellEnd"/>
      <w:r w:rsidRPr="009C4079">
        <w:rPr>
          <w:rFonts w:ascii="Simplified Arabic" w:hAnsi="Simplified Arabic" w:cs="Simplified Arabic"/>
          <w:bCs/>
          <w:szCs w:val="28"/>
          <w:rtl/>
        </w:rPr>
        <w:t>)</w:t>
      </w:r>
    </w:p>
    <w:p w14:paraId="476F4838"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يفسر TAM كيف ينتقل التحول الرقمي من مجرد توفر تقني إلى استخدام فعلي، عبر المنفعة المتصورة وسهولة الاستخدام. وفي سياق محكمة التنفيذ، يعني ذلك أن الخدمات الرقمية (ومنها مسارات التنفيذ الافتراضي) لا تُحدث أثرًا على الكفاءة إلا إذا تبنّاها القضاة والموظفون والمستفيدون واستُخدمت بصورة مستمرة ومتكاملة. وتؤكد الأدبيات الأجنبية أن النجاح مشروط بالجاهزية والموارد ومحو الأمية الرقمية ومقاومة التغيير، وهي عناصر تتصل عمليًا بمعاني TAM (</w:t>
      </w:r>
      <w:proofErr w:type="spellStart"/>
      <w:r w:rsidRPr="009C4079">
        <w:rPr>
          <w:rFonts w:ascii="Simplified Arabic" w:hAnsi="Simplified Arabic" w:cs="Simplified Arabic"/>
          <w:szCs w:val="28"/>
          <w:rtl/>
        </w:rPr>
        <w:t>Poshai</w:t>
      </w:r>
      <w:proofErr w:type="spellEnd"/>
      <w:r w:rsidRPr="009C4079">
        <w:rPr>
          <w:rFonts w:ascii="Simplified Arabic" w:hAnsi="Simplified Arabic" w:cs="Simplified Arabic"/>
          <w:szCs w:val="28"/>
          <w:rtl/>
        </w:rPr>
        <w:t xml:space="preserve"> &amp; </w:t>
      </w:r>
      <w:proofErr w:type="spellStart"/>
      <w:r w:rsidRPr="009C4079">
        <w:rPr>
          <w:rFonts w:ascii="Simplified Arabic" w:hAnsi="Simplified Arabic" w:cs="Simplified Arabic"/>
          <w:szCs w:val="28"/>
          <w:rtl/>
        </w:rPr>
        <w:t>Vyas-Doorgapersad</w:t>
      </w:r>
      <w:proofErr w:type="spellEnd"/>
      <w:r w:rsidRPr="009C4079">
        <w:rPr>
          <w:rFonts w:ascii="Simplified Arabic" w:hAnsi="Simplified Arabic" w:cs="Simplified Arabic"/>
          <w:szCs w:val="28"/>
          <w:rtl/>
        </w:rPr>
        <w:t>, 2023)، كما تؤكد أن أثر السرعة قد يتأخر إذا لم يُحلّ إشكال التصميم والتبني (</w:t>
      </w:r>
      <w:proofErr w:type="spellStart"/>
      <w:r w:rsidRPr="009C4079">
        <w:rPr>
          <w:rFonts w:ascii="Simplified Arabic" w:hAnsi="Simplified Arabic" w:cs="Simplified Arabic"/>
          <w:szCs w:val="28"/>
          <w:rtl/>
        </w:rPr>
        <w:t>Pelssers</w:t>
      </w:r>
      <w:proofErr w:type="spellEnd"/>
      <w:r w:rsidRPr="009C4079">
        <w:rPr>
          <w:rFonts w:ascii="Simplified Arabic" w:hAnsi="Simplified Arabic" w:cs="Simplified Arabic"/>
          <w:szCs w:val="28"/>
          <w:rtl/>
        </w:rPr>
        <w:t xml:space="preserve"> &amp; </w:t>
      </w:r>
      <w:proofErr w:type="spellStart"/>
      <w:r w:rsidRPr="009C4079">
        <w:rPr>
          <w:rFonts w:ascii="Simplified Arabic" w:hAnsi="Simplified Arabic" w:cs="Simplified Arabic"/>
          <w:szCs w:val="28"/>
          <w:rtl/>
        </w:rPr>
        <w:t>Dubois</w:t>
      </w:r>
      <w:proofErr w:type="spellEnd"/>
      <w:r w:rsidRPr="009C4079">
        <w:rPr>
          <w:rFonts w:ascii="Simplified Arabic" w:hAnsi="Simplified Arabic" w:cs="Simplified Arabic"/>
          <w:szCs w:val="28"/>
          <w:rtl/>
        </w:rPr>
        <w:t>, 2022).</w:t>
      </w:r>
    </w:p>
    <w:p w14:paraId="13325EFE" w14:textId="77777777" w:rsidR="00922EED" w:rsidRPr="009C4079" w:rsidRDefault="00B030D7" w:rsidP="009C4079">
      <w:pPr>
        <w:bidi/>
        <w:spacing w:after="120" w:line="240" w:lineRule="auto"/>
        <w:jc w:val="both"/>
        <w:rPr>
          <w:rFonts w:ascii="Simplified Arabic" w:hAnsi="Simplified Arabic" w:cs="Simplified Arabic"/>
          <w:bCs/>
          <w:szCs w:val="28"/>
        </w:rPr>
      </w:pPr>
      <w:r w:rsidRPr="009C4079">
        <w:rPr>
          <w:rFonts w:ascii="Simplified Arabic" w:hAnsi="Simplified Arabic" w:cs="Simplified Arabic"/>
          <w:bCs/>
          <w:szCs w:val="28"/>
          <w:rtl/>
        </w:rPr>
        <w:t>ثانيًا: NPM يفسر آلية التحويل إلى نتائج (</w:t>
      </w:r>
      <w:proofErr w:type="spellStart"/>
      <w:r w:rsidRPr="009C4079">
        <w:rPr>
          <w:rFonts w:ascii="Simplified Arabic" w:hAnsi="Simplified Arabic" w:cs="Simplified Arabic"/>
          <w:bCs/>
          <w:szCs w:val="28"/>
          <w:rtl/>
        </w:rPr>
        <w:t>Performance</w:t>
      </w:r>
      <w:proofErr w:type="spellEnd"/>
      <w:r w:rsidRPr="009C4079">
        <w:rPr>
          <w:rFonts w:ascii="Simplified Arabic" w:hAnsi="Simplified Arabic" w:cs="Simplified Arabic"/>
          <w:bCs/>
          <w:szCs w:val="28"/>
          <w:rtl/>
        </w:rPr>
        <w:t xml:space="preserve"> </w:t>
      </w:r>
      <w:proofErr w:type="spellStart"/>
      <w:r w:rsidRPr="009C4079">
        <w:rPr>
          <w:rFonts w:ascii="Simplified Arabic" w:hAnsi="Simplified Arabic" w:cs="Simplified Arabic"/>
          <w:bCs/>
          <w:szCs w:val="28"/>
          <w:rtl/>
        </w:rPr>
        <w:t>Translation</w:t>
      </w:r>
      <w:proofErr w:type="spellEnd"/>
      <w:r w:rsidRPr="009C4079">
        <w:rPr>
          <w:rFonts w:ascii="Simplified Arabic" w:hAnsi="Simplified Arabic" w:cs="Simplified Arabic"/>
          <w:bCs/>
          <w:szCs w:val="28"/>
          <w:rtl/>
        </w:rPr>
        <w:t xml:space="preserve"> </w:t>
      </w:r>
      <w:proofErr w:type="spellStart"/>
      <w:r w:rsidRPr="009C4079">
        <w:rPr>
          <w:rFonts w:ascii="Simplified Arabic" w:hAnsi="Simplified Arabic" w:cs="Simplified Arabic"/>
          <w:bCs/>
          <w:szCs w:val="28"/>
          <w:rtl/>
        </w:rPr>
        <w:t>Mechanism</w:t>
      </w:r>
      <w:proofErr w:type="spellEnd"/>
      <w:r w:rsidRPr="009C4079">
        <w:rPr>
          <w:rFonts w:ascii="Simplified Arabic" w:hAnsi="Simplified Arabic" w:cs="Simplified Arabic"/>
          <w:bCs/>
          <w:szCs w:val="28"/>
          <w:rtl/>
        </w:rPr>
        <w:t>)</w:t>
      </w:r>
    </w:p>
    <w:p w14:paraId="0E72F72A" w14:textId="77777777" w:rsidR="00922EED" w:rsidRDefault="00B030D7" w:rsidP="009C4079">
      <w:pPr>
        <w:bidi/>
        <w:spacing w:after="120" w:line="240" w:lineRule="auto"/>
        <w:jc w:val="both"/>
        <w:rPr>
          <w:rFonts w:ascii="Simplified Arabic" w:hAnsi="Simplified Arabic" w:cs="Simplified Arabic"/>
          <w:szCs w:val="28"/>
          <w:rtl/>
        </w:rPr>
      </w:pPr>
      <w:r w:rsidRPr="009C4079">
        <w:rPr>
          <w:rFonts w:ascii="Simplified Arabic" w:hAnsi="Simplified Arabic" w:cs="Simplified Arabic"/>
          <w:szCs w:val="28"/>
          <w:rtl/>
        </w:rPr>
        <w:t xml:space="preserve">يفسر NPM كيف تتحول ممارسات التحول الرقمي (عند تفعيلها) إلى نتائج أداء قابلة للقياس: سرعة أعلى، ودقة أفضل، وشفافية أقوى. فالتحول الرقمي—وفق NPM—يمثل إعادة تصميم للعمل العام تقوده مؤشرات الأداء وقياس النتائج وتحسين الخدمة. وفي ضوء ذلك، يصبح من الممكن تفسير أن التحول الرقمي في محكمة التنفيذ سيؤدي إلى تقليل التأخير الإجرائي عبر تقليل الورقي والتكامل، وتحسين الدقة عبر توحيد البيانات وإجراءات التحقق، وتعزيز الشفافية عبر سجل الإجراءات وإمكانية التتبع. وتساند هذا الاتجاه تقارير التحول الرقمي في الحكومة وما تطرحه من ربط </w:t>
      </w:r>
      <w:proofErr w:type="spellStart"/>
      <w:r w:rsidRPr="009C4079">
        <w:rPr>
          <w:rFonts w:ascii="Simplified Arabic" w:hAnsi="Simplified Arabic" w:cs="Simplified Arabic"/>
          <w:szCs w:val="28"/>
          <w:rtl/>
        </w:rPr>
        <w:t>الرقمنة</w:t>
      </w:r>
      <w:proofErr w:type="spellEnd"/>
      <w:r w:rsidRPr="009C4079">
        <w:rPr>
          <w:rFonts w:ascii="Simplified Arabic" w:hAnsi="Simplified Arabic" w:cs="Simplified Arabic"/>
          <w:szCs w:val="28"/>
          <w:rtl/>
        </w:rPr>
        <w:t xml:space="preserve"> بتحسين الخدمة والشفافية والأداء (</w:t>
      </w:r>
      <w:proofErr w:type="spellStart"/>
      <w:r w:rsidRPr="009C4079">
        <w:rPr>
          <w:rFonts w:ascii="Simplified Arabic" w:hAnsi="Simplified Arabic" w:cs="Simplified Arabic"/>
          <w:szCs w:val="28"/>
          <w:rtl/>
        </w:rPr>
        <w:t>United</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Nations</w:t>
      </w:r>
      <w:proofErr w:type="spellEnd"/>
      <w:r w:rsidRPr="009C4079">
        <w:rPr>
          <w:rFonts w:ascii="Simplified Arabic" w:hAnsi="Simplified Arabic" w:cs="Simplified Arabic"/>
          <w:szCs w:val="28"/>
          <w:rtl/>
        </w:rPr>
        <w:t xml:space="preserve">, 2024؛ </w:t>
      </w:r>
      <w:proofErr w:type="spellStart"/>
      <w:r w:rsidRPr="009C4079">
        <w:rPr>
          <w:rFonts w:ascii="Simplified Arabic" w:hAnsi="Simplified Arabic" w:cs="Simplified Arabic"/>
          <w:szCs w:val="28"/>
          <w:rtl/>
        </w:rPr>
        <w:t>World</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Bank</w:t>
      </w:r>
      <w:proofErr w:type="spellEnd"/>
      <w:r w:rsidRPr="009C4079">
        <w:rPr>
          <w:rFonts w:ascii="Simplified Arabic" w:hAnsi="Simplified Arabic" w:cs="Simplified Arabic"/>
          <w:szCs w:val="28"/>
          <w:rtl/>
        </w:rPr>
        <w:t>, 2025)، إضافة إلى اتجاهات القياس والأداء في التحول الوطني (برنامج التحول الوطني، 2022؛ برنامج التحول الوطني، 2023).</w:t>
      </w:r>
    </w:p>
    <w:p w14:paraId="3E5FA476" w14:textId="77777777" w:rsidR="00480BFE" w:rsidRDefault="00480BFE" w:rsidP="00480BFE">
      <w:pPr>
        <w:bidi/>
        <w:spacing w:after="120" w:line="240" w:lineRule="auto"/>
        <w:jc w:val="both"/>
        <w:rPr>
          <w:rFonts w:ascii="Simplified Arabic" w:hAnsi="Simplified Arabic" w:cs="Simplified Arabic"/>
          <w:szCs w:val="28"/>
          <w:rtl/>
        </w:rPr>
      </w:pPr>
    </w:p>
    <w:p w14:paraId="6F365671" w14:textId="77777777" w:rsidR="00480BFE" w:rsidRPr="009C4079" w:rsidRDefault="00480BFE" w:rsidP="00480BFE">
      <w:pPr>
        <w:bidi/>
        <w:spacing w:after="120" w:line="240" w:lineRule="auto"/>
        <w:jc w:val="both"/>
        <w:rPr>
          <w:rFonts w:ascii="Simplified Arabic" w:hAnsi="Simplified Arabic" w:cs="Simplified Arabic"/>
          <w:szCs w:val="28"/>
        </w:rPr>
      </w:pPr>
    </w:p>
    <w:p w14:paraId="6B80C545" w14:textId="77777777" w:rsidR="00922EED" w:rsidRPr="009C4079" w:rsidRDefault="00B030D7" w:rsidP="009C4079">
      <w:pPr>
        <w:bidi/>
        <w:spacing w:after="120" w:line="240" w:lineRule="auto"/>
        <w:jc w:val="both"/>
        <w:rPr>
          <w:rFonts w:ascii="Simplified Arabic" w:hAnsi="Simplified Arabic" w:cs="Simplified Arabic"/>
          <w:bCs/>
          <w:szCs w:val="28"/>
        </w:rPr>
      </w:pPr>
      <w:r w:rsidRPr="009C4079">
        <w:rPr>
          <w:rFonts w:ascii="Simplified Arabic" w:hAnsi="Simplified Arabic" w:cs="Simplified Arabic"/>
          <w:bCs/>
          <w:szCs w:val="28"/>
          <w:rtl/>
        </w:rPr>
        <w:lastRenderedPageBreak/>
        <w:t>ثالثًا: الصياغة التكاملية لنموذج الدراسة</w:t>
      </w:r>
    </w:p>
    <w:p w14:paraId="461CDF0D" w14:textId="77777777" w:rsidR="00922EED" w:rsidRPr="009C4079" w:rsidRDefault="00B030D7" w:rsidP="009C4079">
      <w:pPr>
        <w:bidi/>
        <w:spacing w:after="120" w:line="240" w:lineRule="auto"/>
        <w:jc w:val="both"/>
        <w:rPr>
          <w:rFonts w:ascii="Simplified Arabic" w:hAnsi="Simplified Arabic" w:cs="Simplified Arabic"/>
          <w:b/>
          <w:bCs/>
          <w:szCs w:val="28"/>
        </w:rPr>
      </w:pPr>
      <w:r w:rsidRPr="009C4079">
        <w:rPr>
          <w:rFonts w:ascii="Simplified Arabic" w:hAnsi="Simplified Arabic" w:cs="Simplified Arabic"/>
          <w:b/>
          <w:bCs/>
          <w:szCs w:val="28"/>
          <w:rtl/>
        </w:rPr>
        <w:t xml:space="preserve">وفق التكامل بين TAM </w:t>
      </w:r>
      <w:proofErr w:type="spellStart"/>
      <w:r w:rsidRPr="009C4079">
        <w:rPr>
          <w:rFonts w:ascii="Simplified Arabic" w:hAnsi="Simplified Arabic" w:cs="Simplified Arabic"/>
          <w:b/>
          <w:bCs/>
          <w:szCs w:val="28"/>
          <w:rtl/>
        </w:rPr>
        <w:t>وNPM</w:t>
      </w:r>
      <w:proofErr w:type="spellEnd"/>
      <w:r w:rsidRPr="009C4079">
        <w:rPr>
          <w:rFonts w:ascii="Simplified Arabic" w:hAnsi="Simplified Arabic" w:cs="Simplified Arabic"/>
          <w:b/>
          <w:bCs/>
          <w:szCs w:val="28"/>
          <w:rtl/>
        </w:rPr>
        <w:t>، يمكن تفسير نموذج الدراسة الحالي على النحو الآتي:</w:t>
      </w:r>
    </w:p>
    <w:p w14:paraId="5CA5E0A5" w14:textId="77777777" w:rsidR="00922EED" w:rsidRPr="009C4079" w:rsidRDefault="00B030D7" w:rsidP="009C4079">
      <w:pPr>
        <w:pStyle w:val="aa"/>
        <w:numPr>
          <w:ilvl w:val="0"/>
          <w:numId w:val="16"/>
        </w:num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التحول الرقمي في محكمة التنفيذ (من حيث التكامل والأتمتة واستخدام الخدمات الرقمية) يمثل مدخلًا تنظيميًا وتقنيًا.</w:t>
      </w:r>
    </w:p>
    <w:p w14:paraId="62A7FB7F" w14:textId="77777777" w:rsidR="00922EED" w:rsidRPr="009C4079" w:rsidRDefault="00B030D7" w:rsidP="009C4079">
      <w:pPr>
        <w:pStyle w:val="aa"/>
        <w:numPr>
          <w:ilvl w:val="0"/>
          <w:numId w:val="16"/>
        </w:num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قبول المستخدمين للتقنية وتبنّيهم لها (TAM) يمثل شرطًا لازمًا لتفعيل هذا المدخل.</w:t>
      </w:r>
    </w:p>
    <w:p w14:paraId="61682401" w14:textId="77777777" w:rsidR="00922EED" w:rsidRPr="009C4079" w:rsidRDefault="00B030D7" w:rsidP="009C4079">
      <w:pPr>
        <w:pStyle w:val="aa"/>
        <w:numPr>
          <w:ilvl w:val="0"/>
          <w:numId w:val="16"/>
        </w:num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 xml:space="preserve">عند تحقق الاستخدام الفعلي واندماجه في دورة العمل، تتحول </w:t>
      </w:r>
      <w:proofErr w:type="spellStart"/>
      <w:r w:rsidRPr="009C4079">
        <w:rPr>
          <w:rFonts w:ascii="Simplified Arabic" w:hAnsi="Simplified Arabic" w:cs="Simplified Arabic"/>
          <w:szCs w:val="28"/>
          <w:rtl/>
        </w:rPr>
        <w:t>الرقمنة</w:t>
      </w:r>
      <w:proofErr w:type="spellEnd"/>
      <w:r w:rsidRPr="009C4079">
        <w:rPr>
          <w:rFonts w:ascii="Simplified Arabic" w:hAnsi="Simplified Arabic" w:cs="Simplified Arabic"/>
          <w:szCs w:val="28"/>
          <w:rtl/>
        </w:rPr>
        <w:t xml:space="preserve"> إلى نتائج أداء (NPM) تتمثل في تحسن السرعة والدقة والشفافية.</w:t>
      </w:r>
    </w:p>
    <w:p w14:paraId="733A37A4"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وقد يكون أثر التحول غير متجانس بين الأبعاد؛ إذ قد تتحسن الشفافية مبكرًا عبر التتبع وتوثيق المسار، بينما يتطلب تحسن السرعة إعادة هندسة أعمق للسلسلة الإجرائية أو معالجة عوائق التبني، كما قد ترتبط الدقة بحوكمة البيانات والضمانات الأمنية والإجرائية (</w:t>
      </w:r>
      <w:proofErr w:type="spellStart"/>
      <w:r w:rsidRPr="009C4079">
        <w:rPr>
          <w:rFonts w:ascii="Simplified Arabic" w:hAnsi="Simplified Arabic" w:cs="Simplified Arabic"/>
          <w:szCs w:val="28"/>
          <w:rtl/>
        </w:rPr>
        <w:t>Pelssers</w:t>
      </w:r>
      <w:proofErr w:type="spellEnd"/>
      <w:r w:rsidRPr="009C4079">
        <w:rPr>
          <w:rFonts w:ascii="Simplified Arabic" w:hAnsi="Simplified Arabic" w:cs="Simplified Arabic"/>
          <w:szCs w:val="28"/>
          <w:rtl/>
        </w:rPr>
        <w:t xml:space="preserve"> &amp; </w:t>
      </w:r>
      <w:proofErr w:type="spellStart"/>
      <w:r w:rsidRPr="009C4079">
        <w:rPr>
          <w:rFonts w:ascii="Simplified Arabic" w:hAnsi="Simplified Arabic" w:cs="Simplified Arabic"/>
          <w:szCs w:val="28"/>
          <w:rtl/>
        </w:rPr>
        <w:t>Dubois</w:t>
      </w:r>
      <w:proofErr w:type="spellEnd"/>
      <w:r w:rsidRPr="009C4079">
        <w:rPr>
          <w:rFonts w:ascii="Simplified Arabic" w:hAnsi="Simplified Arabic" w:cs="Simplified Arabic"/>
          <w:szCs w:val="28"/>
          <w:rtl/>
        </w:rPr>
        <w:t>, 2022؛ قنديل، 2023؛ العليان، 2025).</w:t>
      </w:r>
    </w:p>
    <w:p w14:paraId="1B758365"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وبذلك، يتيح هذا التكامل إطارًا تفسيريًا متماسكًا: فهو لا يكتفي بتفسير “لماذا يستخدم الناس التقنية”، ولا يقتصر على تفسير “كيف تتحسن مؤشرات الأداء”، بل يربط بينهما في سياق محكمة التنفيذ بوصفها مؤسسة عامة ذات إجراءات متسلسلة وحساسة. كما ينسجم هذا الإطار مع واقع التحول الرقمي في السعودية في ضوء مستهدفات التحول الوطني وتوسع الخدمات العدلية الرقمية، بما في ذلك ما أشير إليه رسميًا حول إطلاق النظام الإلكتروني للتنفيذ وتوسع المعالجة التشغيلية لطلبات التنفيذ الافتراضي (وزارة العدل السعودية، 2021؛ وزارة العدل السعودية، 2024).</w:t>
      </w:r>
    </w:p>
    <w:p w14:paraId="063E7410" w14:textId="77777777" w:rsidR="00922EED" w:rsidRPr="009C4079" w:rsidRDefault="00B030D7" w:rsidP="009C4079">
      <w:pPr>
        <w:spacing w:line="240" w:lineRule="auto"/>
        <w:jc w:val="both"/>
        <w:rPr>
          <w:rFonts w:ascii="Simplified Arabic" w:hAnsi="Simplified Arabic" w:cs="Simplified Arabic"/>
          <w:szCs w:val="28"/>
        </w:rPr>
      </w:pPr>
      <w:r w:rsidRPr="009C4079">
        <w:rPr>
          <w:rFonts w:ascii="Simplified Arabic" w:hAnsi="Simplified Arabic" w:cs="Simplified Arabic"/>
          <w:szCs w:val="28"/>
        </w:rPr>
        <w:br w:type="page"/>
      </w:r>
    </w:p>
    <w:p w14:paraId="24F75066" w14:textId="3A463309" w:rsidR="00922EED" w:rsidRPr="009C4079" w:rsidRDefault="00B030D7" w:rsidP="009014C5">
      <w:pPr>
        <w:bidi/>
        <w:spacing w:after="360" w:line="240" w:lineRule="auto"/>
        <w:jc w:val="center"/>
        <w:rPr>
          <w:rFonts w:ascii="Simplified Arabic" w:hAnsi="Simplified Arabic" w:cs="Simplified Arabic"/>
          <w:bCs/>
          <w:sz w:val="36"/>
          <w:szCs w:val="36"/>
        </w:rPr>
      </w:pPr>
      <w:r w:rsidRPr="009C4079">
        <w:rPr>
          <w:rFonts w:ascii="Simplified Arabic" w:hAnsi="Simplified Arabic" w:cs="Simplified Arabic"/>
          <w:bCs/>
          <w:sz w:val="36"/>
          <w:szCs w:val="36"/>
          <w:rtl/>
        </w:rPr>
        <w:lastRenderedPageBreak/>
        <w:t>الفصل الثاني</w:t>
      </w:r>
      <w:r w:rsidR="009014C5">
        <w:rPr>
          <w:rFonts w:ascii="Simplified Arabic" w:hAnsi="Simplified Arabic" w:cs="Simplified Arabic" w:hint="cs"/>
          <w:bCs/>
          <w:sz w:val="36"/>
          <w:szCs w:val="36"/>
          <w:rtl/>
        </w:rPr>
        <w:t>:</w:t>
      </w:r>
      <w:r w:rsidRPr="009C4079">
        <w:rPr>
          <w:rFonts w:ascii="Simplified Arabic" w:hAnsi="Simplified Arabic" w:cs="Simplified Arabic"/>
          <w:bCs/>
          <w:sz w:val="36"/>
          <w:szCs w:val="36"/>
          <w:rtl/>
        </w:rPr>
        <w:t xml:space="preserve"> الدراسات السابقة </w:t>
      </w:r>
    </w:p>
    <w:p w14:paraId="3ED41094" w14:textId="77777777" w:rsidR="00922EED" w:rsidRPr="009C4079" w:rsidRDefault="00B030D7" w:rsidP="009C4079">
      <w:pPr>
        <w:bidi/>
        <w:spacing w:after="160" w:line="240" w:lineRule="auto"/>
        <w:jc w:val="both"/>
        <w:rPr>
          <w:rFonts w:ascii="Simplified Arabic" w:hAnsi="Simplified Arabic" w:cs="Simplified Arabic"/>
          <w:bCs/>
          <w:sz w:val="32"/>
          <w:szCs w:val="32"/>
        </w:rPr>
      </w:pPr>
      <w:r w:rsidRPr="009C4079">
        <w:rPr>
          <w:rFonts w:ascii="Simplified Arabic" w:hAnsi="Simplified Arabic" w:cs="Simplified Arabic"/>
          <w:bCs/>
          <w:sz w:val="32"/>
          <w:szCs w:val="32"/>
          <w:rtl/>
        </w:rPr>
        <w:t>تمهيد</w:t>
      </w:r>
    </w:p>
    <w:p w14:paraId="688CC818"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يشكّل هذا الفصل ركيزةً تأسيسيةً للدراسة الحالية؛ إذ يهدف إلى تتبّع مسار الأدبيات التي تناولت التحول الرقمي في المجال العدلي عمومًا، وفي محاكم التنفيذ أو ما يتصل بها من مسارات إجرائية رقمية خصوصًا، مع إبراز ما توصّلت إليه الدراسات من دلالاتٍ حول العلاقة بين التحول الرقمي وبين كفاءة إنجاز القضايا. وتنبع أهمية هذا الفصل من كونه يمهّد لبناء الفجوة البحثية وصياغة الإطار النظري الذي تستند إليه الدراسة في تفسير العلاقة بين المتغير المستقل (التحول الرقمي في محكمة التنفيذ) والمتغير التابع (كفاءة إنجاز قضايا التنفيذ) بأبعادها الثلاثة: السرعة والدقة والشفافية، وذلك وفق ما اعتمدته الدراسة الحالية في تصورها العام وأهدافها.</w:t>
      </w:r>
    </w:p>
    <w:p w14:paraId="7BE521BF"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ويُلاحظ في الأدبيات الحديثة أن التحول الرقمي في قطاع العدالة لم يعد مجرد “ميكنة” لبعض الإجراءات أو نقلها إلى قناة إلكترونية، بل أصبح مرتبطًا بإعادة تصميم العمليات، وتكامل البيانات، وتحسين تجربة المستفيد، وتعزيز المساءلة والشفافية، ورفع الكفاءة التشغيلية عبر تقليل التأخير الإجرائي وتحسين جودة المعلومات (</w:t>
      </w:r>
      <w:proofErr w:type="spellStart"/>
      <w:r w:rsidRPr="009C4079">
        <w:rPr>
          <w:rFonts w:ascii="Simplified Arabic" w:hAnsi="Simplified Arabic" w:cs="Simplified Arabic"/>
          <w:szCs w:val="28"/>
          <w:rtl/>
        </w:rPr>
        <w:t>United</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Nations</w:t>
      </w:r>
      <w:proofErr w:type="spellEnd"/>
      <w:r w:rsidRPr="009C4079">
        <w:rPr>
          <w:rFonts w:ascii="Simplified Arabic" w:hAnsi="Simplified Arabic" w:cs="Simplified Arabic"/>
          <w:szCs w:val="28"/>
          <w:rtl/>
        </w:rPr>
        <w:t xml:space="preserve">, 2024؛ </w:t>
      </w:r>
      <w:proofErr w:type="spellStart"/>
      <w:r w:rsidRPr="009C4079">
        <w:rPr>
          <w:rFonts w:ascii="Simplified Arabic" w:hAnsi="Simplified Arabic" w:cs="Simplified Arabic"/>
          <w:szCs w:val="28"/>
          <w:rtl/>
        </w:rPr>
        <w:t>World</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Bank</w:t>
      </w:r>
      <w:proofErr w:type="spellEnd"/>
      <w:r w:rsidRPr="009C4079">
        <w:rPr>
          <w:rFonts w:ascii="Simplified Arabic" w:hAnsi="Simplified Arabic" w:cs="Simplified Arabic"/>
          <w:szCs w:val="28"/>
          <w:rtl/>
        </w:rPr>
        <w:t>, 2025). وفي المملكة العربية السعودية، يتقاطع هذا الاتجاه مع مستهدفات التحول الوطني ورؤية السعودية 2030، وما يرتبط بهما من رفع كفاءة الخدمات الحكومية، وتعزيز الحكومة الرقمية، وتطوير الخدمات العدلية الرقمية. ويظهر هذا في سياق التحول المؤسسي لدى وزارة العدل وما يرتبط به من تطوير منصات رقمية ومسارات تنفيذ إلكترونية وتوسّع في خدمات التنفيذ الافتراضي (برنامج التحول الوطني، 2022؛ برنامج التحول الوطني، 2023؛ وزارة العدل السعودية، 2021؛ وزارة العدل السعودية، 2024؛ هيئة الحكومة الرقمية، 2024).</w:t>
      </w:r>
    </w:p>
    <w:p w14:paraId="204CA535"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ومنهجيًا، يستلزم تناول الدراسات السابقة في موضوع التحول الرقمي القضائي مراعاة طبيعة هذا الحقل الذي تتداخل فيه الأبعاد التنظيمية والتقنية والقانونية والسلوكية؛ فبعض الدراسات تميل إلى التركيز على الضمانات والشرعية الإجرائية واعتبارات العدالة، وبعضها يركّز على تحسين الأداء وجودة الخدمة، وأخرى تركز على قبول التكنولوجيا أو جاهزية البيئة المؤسسية ومواردها. وبناءً على ذلك، فإن الدراسة الحالية تُعيد قراءة هذه الأدبيات من زاوية أكثر تحديدًا تتمثل في: كيف ينعكس التحول الرقمي في محكمة التنفيذ على كفاءة الإنجاز، لا على مستوى “التحول” كغايةٍ بحد ذاته، بل بوصفه مدخلًا لتحسين نتائج الأداء التي يمكن تمثيلها في السرعة والدقة والشفافية.</w:t>
      </w:r>
    </w:p>
    <w:p w14:paraId="376AAFCE" w14:textId="77777777" w:rsidR="00922EED" w:rsidRDefault="00B030D7" w:rsidP="009C4079">
      <w:pPr>
        <w:bidi/>
        <w:spacing w:after="120" w:line="240" w:lineRule="auto"/>
        <w:jc w:val="both"/>
        <w:rPr>
          <w:rFonts w:ascii="Simplified Arabic" w:hAnsi="Simplified Arabic" w:cs="Simplified Arabic"/>
          <w:szCs w:val="28"/>
          <w:rtl/>
        </w:rPr>
      </w:pPr>
      <w:r w:rsidRPr="009C4079">
        <w:rPr>
          <w:rFonts w:ascii="Simplified Arabic" w:hAnsi="Simplified Arabic" w:cs="Simplified Arabic"/>
          <w:szCs w:val="28"/>
          <w:rtl/>
        </w:rPr>
        <w:t>وانطلاقًا من الهدف المعلن للفصل، يُعرض هذا الفصل الدراسات السابقة وفق تقسيم إلى دراسات عربية ودراسات أجنبية، ثم تُقدّم قراءة نقدية مقارنة تُفضي إلى تحديد الفجوة البحثية وتبيان تميّز الدراسة الحالية.</w:t>
      </w:r>
    </w:p>
    <w:p w14:paraId="7AEC1E28" w14:textId="77777777" w:rsidR="00480BFE" w:rsidRPr="009C4079" w:rsidRDefault="00480BFE" w:rsidP="00480BFE">
      <w:pPr>
        <w:bidi/>
        <w:spacing w:after="120" w:line="240" w:lineRule="auto"/>
        <w:jc w:val="both"/>
        <w:rPr>
          <w:rFonts w:ascii="Simplified Arabic" w:hAnsi="Simplified Arabic" w:cs="Simplified Arabic"/>
          <w:szCs w:val="28"/>
        </w:rPr>
      </w:pPr>
    </w:p>
    <w:p w14:paraId="12E74B9A" w14:textId="77777777" w:rsidR="00922EED" w:rsidRPr="009C4079" w:rsidRDefault="00B030D7" w:rsidP="009C4079">
      <w:pPr>
        <w:bidi/>
        <w:spacing w:after="160" w:line="240" w:lineRule="auto"/>
        <w:jc w:val="both"/>
        <w:rPr>
          <w:rFonts w:ascii="Simplified Arabic" w:hAnsi="Simplified Arabic" w:cs="Simplified Arabic"/>
          <w:bCs/>
          <w:sz w:val="32"/>
          <w:szCs w:val="32"/>
        </w:rPr>
      </w:pPr>
      <w:r w:rsidRPr="009C4079">
        <w:rPr>
          <w:rFonts w:ascii="Simplified Arabic" w:hAnsi="Simplified Arabic" w:cs="Simplified Arabic"/>
          <w:bCs/>
          <w:sz w:val="32"/>
          <w:szCs w:val="32"/>
          <w:rtl/>
        </w:rPr>
        <w:lastRenderedPageBreak/>
        <w:t>الدراسات السابقة</w:t>
      </w:r>
    </w:p>
    <w:p w14:paraId="4E4C1DA6" w14:textId="77777777" w:rsidR="00922EED" w:rsidRPr="009C4079" w:rsidRDefault="00B030D7" w:rsidP="009C4079">
      <w:pPr>
        <w:bidi/>
        <w:spacing w:after="120" w:line="240" w:lineRule="auto"/>
        <w:jc w:val="both"/>
        <w:rPr>
          <w:rFonts w:ascii="Simplified Arabic" w:hAnsi="Simplified Arabic" w:cs="Simplified Arabic"/>
          <w:bCs/>
          <w:szCs w:val="28"/>
        </w:rPr>
      </w:pPr>
      <w:r w:rsidRPr="009C4079">
        <w:rPr>
          <w:rFonts w:ascii="Simplified Arabic" w:hAnsi="Simplified Arabic" w:cs="Simplified Arabic"/>
          <w:bCs/>
          <w:szCs w:val="28"/>
          <w:rtl/>
        </w:rPr>
        <w:t>أولًا: الدراسات العربية</w:t>
      </w:r>
    </w:p>
    <w:p w14:paraId="591A46D0"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دراسة حافظ (2021) بعنوان "أثر الحكومة الإلكترونية في القطاع العدلي: دراسة ميدانية على العاملين في محكمة التنفيذ بمحافظة جدة"، هدفت الدراسة إلى التعرف على أثر الحكومة الإلكترونية في تحسين الأداء داخل القطاع العدلي، من خلال بحث واقع التحول الإلكتروني في محكمة التنفيذ بمحافظة جدة، ومدى انعكاسه على انسيابية الإجراءات وتقليل التعقيد الإداري ورفع كفاءة تقديم الخدمة. وتوصلت الدراسة إلى أن الحكومة الإلكترونية تسهم في تحسين أداء البيئة العدلية من خلال تقليل الاعتماد على الإجراءات الورقية، وتوحيد المسارات الإجرائية، وتسهيل تدفق المعلومات داخل المؤسسة. وأوصت الدراسة بضرورة التوسع في تطبيق التحول الإلكتروني داخل محاكم التنفيذ، بما يسهم في رفع كفاءة الإنجاز وتحسين جودة الخدمات العدلية.</w:t>
      </w:r>
    </w:p>
    <w:p w14:paraId="601B8DC6"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 xml:space="preserve">وتضيف هذه الدراسة للأدبيات من حيث ترسيخ المنطق المؤسسي الذي يفترض أن </w:t>
      </w:r>
      <w:proofErr w:type="spellStart"/>
      <w:r w:rsidRPr="009C4079">
        <w:rPr>
          <w:rFonts w:ascii="Simplified Arabic" w:hAnsi="Simplified Arabic" w:cs="Simplified Arabic"/>
          <w:szCs w:val="28"/>
          <w:rtl/>
        </w:rPr>
        <w:t>رقمنة</w:t>
      </w:r>
      <w:proofErr w:type="spellEnd"/>
      <w:r w:rsidRPr="009C4079">
        <w:rPr>
          <w:rFonts w:ascii="Simplified Arabic" w:hAnsi="Simplified Arabic" w:cs="Simplified Arabic"/>
          <w:szCs w:val="28"/>
          <w:rtl/>
        </w:rPr>
        <w:t xml:space="preserve"> الخدمات الحكومية—ومنها العدلية—يمكن أن تُحدث تحسنًا في أداء المنظمة، عبر تقليل الاعتماد على </w:t>
      </w:r>
      <w:proofErr w:type="spellStart"/>
      <w:r w:rsidRPr="009C4079">
        <w:rPr>
          <w:rFonts w:ascii="Simplified Arabic" w:hAnsi="Simplified Arabic" w:cs="Simplified Arabic"/>
          <w:szCs w:val="28"/>
          <w:rtl/>
        </w:rPr>
        <w:t>الورقيات</w:t>
      </w:r>
      <w:proofErr w:type="spellEnd"/>
      <w:r w:rsidRPr="009C4079">
        <w:rPr>
          <w:rFonts w:ascii="Simplified Arabic" w:hAnsi="Simplified Arabic" w:cs="Simplified Arabic"/>
          <w:szCs w:val="28"/>
          <w:rtl/>
        </w:rPr>
        <w:t>، وتوحيد المسارات الإجرائية، وتسهيل تدفق المعلومات داخل المؤسسة. ويُستفاد من هذا المنطق عند الانتقال إلى بحث التحول الرقمي في محكمة التنفيذ بوصفه مدخلًا لرفع كفاءة الإنجاز. (حافظ، 2021)</w:t>
      </w:r>
    </w:p>
    <w:p w14:paraId="1C1ADA92"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وعلاقة الدراسة الحالية بهذه الدراسة مباشرة من زاويتين: الأولى أن مجال التطبيق (محكمة التنفيذ) متقارب، والثانية أن فكرة “تحسن الأداء” في ظل الحكومة الإلكترونية يمكن إعادة تفكيكها إلى أبعاد تشغيلية قابلة للملاحظة في بيئة التنفيذ. فالدراسة الحالية تُحدّد الكفاءة في السرعة (تقليل زمن الدورة الإجرائية)، والدقة (خفض الأخطاء وتحسين موثوقية البيانات)، والشفافية (وضوح المسار وإمكانية التتبع). ومن ثم تُعد دراسة (حافظ، 2021) سندًا أوليًا لفرضية وجود أثر إيجابي للتحول الرقمي على كفاءة الإنجاز، مع الحاجة لتخصيص القياس بأبعاد واضحة.</w:t>
      </w:r>
    </w:p>
    <w:p w14:paraId="4D3FCD42"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 xml:space="preserve">وتتفق الدراستان في الإطار العام الذي يرى أن </w:t>
      </w:r>
      <w:proofErr w:type="spellStart"/>
      <w:r w:rsidRPr="009C4079">
        <w:rPr>
          <w:rFonts w:ascii="Simplified Arabic" w:hAnsi="Simplified Arabic" w:cs="Simplified Arabic"/>
          <w:szCs w:val="28"/>
          <w:rtl/>
        </w:rPr>
        <w:t>الرقمنة</w:t>
      </w:r>
      <w:proofErr w:type="spellEnd"/>
      <w:r w:rsidRPr="009C4079">
        <w:rPr>
          <w:rFonts w:ascii="Simplified Arabic" w:hAnsi="Simplified Arabic" w:cs="Simplified Arabic"/>
          <w:szCs w:val="28"/>
          <w:rtl/>
        </w:rPr>
        <w:t xml:space="preserve"> ترتبط بإصلاح إداري وتحسينات في الأداء داخل القطاع العدلي، إلا أن الاختلاف الجوهري يتمثل في أن الدراسة الحالية لا تكتفي بالحديث العام عن تحسين الأداء أو الإبداع التنظيمي، بل تتجه إلى قياس أثر التحول الرقمي على نتائج تنفيذية محددة ومرتبطة بإنجاز القضايا. كما أن الدراسة الحالية تُعيد قراءة التحول الرقمي بوصفه “سلسلة تنفيذية” تبدأ من تقديم طلبات التنفيذ وتمتد عبر إجراءات متعددة، وهو ما يتطلب أدوات قياس مناسبة لبعد السرعة والدقة والشفافية.</w:t>
      </w:r>
    </w:p>
    <w:p w14:paraId="23B23BFD"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 xml:space="preserve">أما حدود الاستفادة من دراسة (حافظ، 2021) فتتمثل في أن تركيزها لا ينصب—بحسب عنوانها وإطارها—على قياس الكفاءة التنفيذية من خلال أبعاد تفصيلية، بل تُعالج أثر الحكومة الإلكترونية على مخرجات تنظيمية عامة </w:t>
      </w:r>
      <w:r w:rsidRPr="009C4079">
        <w:rPr>
          <w:rFonts w:ascii="Simplified Arabic" w:hAnsi="Simplified Arabic" w:cs="Simplified Arabic"/>
          <w:szCs w:val="28"/>
          <w:rtl/>
        </w:rPr>
        <w:lastRenderedPageBreak/>
        <w:t>داخل القطاع العدلي. لذا، تُعد مفيدة لإسناد المنطق العام للعلاقة، لكنها لا تغني عن الحاجة إلى قياس متخصص يلتقط أثر التحول الرقمي على إنجاز قضايا التنفيذ تحديدًا. (حافظ، 2021)</w:t>
      </w:r>
    </w:p>
    <w:p w14:paraId="07B418AE"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دراسة القثامي (2021) بعنوان "التقاضي عن بُعد في النظام السعودي"، هدفت الدراسة إلى بيان مفهوم التقاضي عن بُعد في النظام السعودي، وإبراز أبعاده الفقهية والتطبيقية، مع التركيز على الضبط الإجرائي والضمانات المرتبطة به. وتوصلت الدراسة إلى أن التحول الرقمي في المجال القضائي لا يقتصر على التحديث التقني، بل يمتد إلى إعادة تشكيل الإجراء القضائي بما يحقق السرعة وتيسير الوصول إلى العدالة، شريطة الحفاظ على سلامة الإجراء وضمان حقوق الأطراف. وأوصت الدراسة بضرورة تطوير الأطر النظامية والتنظيمية التي تضمن كفاءة التقاضي الرقمي مع المحافظة على العدالة الإجرائية.</w:t>
      </w:r>
    </w:p>
    <w:p w14:paraId="23236E6E"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 xml:space="preserve">وتضيف الدراسة إلى موضوع التحول الرقمي القضائي من زاوية أنها تُبرز أن </w:t>
      </w:r>
      <w:proofErr w:type="spellStart"/>
      <w:r w:rsidRPr="009C4079">
        <w:rPr>
          <w:rFonts w:ascii="Simplified Arabic" w:hAnsi="Simplified Arabic" w:cs="Simplified Arabic"/>
          <w:szCs w:val="28"/>
          <w:rtl/>
        </w:rPr>
        <w:t>الرقمنة</w:t>
      </w:r>
      <w:proofErr w:type="spellEnd"/>
      <w:r w:rsidRPr="009C4079">
        <w:rPr>
          <w:rFonts w:ascii="Simplified Arabic" w:hAnsi="Simplified Arabic" w:cs="Simplified Arabic"/>
          <w:szCs w:val="28"/>
          <w:rtl/>
        </w:rPr>
        <w:t xml:space="preserve"> تعيد تشكيل المسار الإجرائي؛ فحين تنتقل إجراءات الترافع أو إدارة المستندات أو التواصل القضائي إلى قناة رقمية، فإن ذلك يخلق مسارات جديدة ويعيد توزيع الأدوار ومواطن الزمن الإجرائي، مع ضرورة الحفاظ على ضمانات العدالة وحقوق الأطراف. ويُعد هذا الطرح ذا صلة وثيقة بنقاش “الكفاءة” لأنه ينبه إلى أن تسريع الإجراءات لا ينبغي أن يكون على حساب سلامة الإجراء.</w:t>
      </w:r>
    </w:p>
    <w:p w14:paraId="215033AD"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وترتبط هذه الدراسة بالدراسة الحالية ارتباطًا مباشرًا عبر بُعد السرعة؛ إذ إن أحد دوافع التقاضي عن بعد هو تقليل الزمن والجهد وتيسير الوصول، وهو ما يتقاطع مع بُعد السرعة الذي تقيسه الدراسة الحالية في سياق التنفيذ. كما تتصل ببُعد الدقة من حيث اشتراط الضمانات وضبط الإجراء، وبُعد الشفافية من حيث ضرورة وضوح المسار الإجرائي الرقمي وحقوق الأطراف في الاطلاع والمتابعة. وعليه فإن (القثامي، 2021) تساعد في دعم فرضية أن التحول الرقمي قد يرفع الكفاءة، لكن ضمن شروطٍ مؤسسية وقانونية تضمن سلامة الإجراء.</w:t>
      </w:r>
    </w:p>
    <w:p w14:paraId="1CDB32CA"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ومن حيث الاتفاق والاختلاف، تتفق الدراستان في اعتبار التحول الرقمي القضائي عملية تغيّر جوهر الإجراء، وتختلفان في مجال التركيز؛ فدراسة القثامي تتناول التقاضي عن بعد في إطارٍ فقهي-نظامي، بينما تتجه الدراسة الحالية إلى مرحلة التنفيذ بوصفها حلقة إنفاذ الحقوق، وتبحث أثر التحول الرقمي فيها على كفاءة إنجاز قضايا التنفيذ. وبذلك فإن الدراسة الحالية تستفيد من مبادئ الدراسة السابقة في “اشتراط الضمانات”، لكنها تُعيد تطبيقها على التنفيذ، وتفكّك الكفاءة إلى السرعة والدقة والشفافية.</w:t>
      </w:r>
    </w:p>
    <w:p w14:paraId="2038390A"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 xml:space="preserve">وتظهر حدود الاستفادة في أن الدراسة—بحكم طبيعتها—لا تتجه إلى قياس كفاءة الإنجاز في التنفيذ عبر مؤشرات تشغيلية أو أبعاد كمية/إجرائية، بل تركز على الإطار الضابط للتقاضي عن بعد. لذا تُعد مرجعًا تأسيسيًا لضبط المفهوم والحدود، وتقدم دعمًا نظريًا لتحليل العلاقة بين </w:t>
      </w:r>
      <w:proofErr w:type="spellStart"/>
      <w:r w:rsidRPr="009C4079">
        <w:rPr>
          <w:rFonts w:ascii="Simplified Arabic" w:hAnsi="Simplified Arabic" w:cs="Simplified Arabic"/>
          <w:szCs w:val="28"/>
          <w:rtl/>
        </w:rPr>
        <w:t>الرقمنة</w:t>
      </w:r>
      <w:proofErr w:type="spellEnd"/>
      <w:r w:rsidRPr="009C4079">
        <w:rPr>
          <w:rFonts w:ascii="Simplified Arabic" w:hAnsi="Simplified Arabic" w:cs="Simplified Arabic"/>
          <w:szCs w:val="28"/>
          <w:rtl/>
        </w:rPr>
        <w:t xml:space="preserve"> والكفاءة دون أن تحسم قياس الأثر في سياق التنفيذ. (القثامي، 2021)</w:t>
      </w:r>
    </w:p>
    <w:p w14:paraId="27F0FD51"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lastRenderedPageBreak/>
        <w:t xml:space="preserve">دراسة الأحمَدي (2024) بعنوان "التحول الرقمي الشامل لجميع إجراءات التقاضي بالمحاكم العامة"، هدفت الدراسة إلى بحث أثر التحول الرقمي الشامل في إجراءات التقاضي بالمحاكم العامة، وبيان دوره في إعادة هندسة الإجراءات وتكامل البيانات وتوحيد المسارات. وأظهرت الدراسة أن التحول الرقمي يكون أكثر فاعلية عندما يشمل المنظومة الإجرائية بصورة متكاملة، بما يعزز انسيابية الإجراءات، ويحد من التعثرات الناتجة عن تعدد القنوات أو غياب التكامل. وأوصت الدراسة بأهمية استكمال </w:t>
      </w:r>
      <w:proofErr w:type="spellStart"/>
      <w:r w:rsidRPr="009C4079">
        <w:rPr>
          <w:rFonts w:ascii="Simplified Arabic" w:hAnsi="Simplified Arabic" w:cs="Simplified Arabic"/>
          <w:szCs w:val="28"/>
          <w:rtl/>
        </w:rPr>
        <w:t>رقمنة</w:t>
      </w:r>
      <w:proofErr w:type="spellEnd"/>
      <w:r w:rsidRPr="009C4079">
        <w:rPr>
          <w:rFonts w:ascii="Simplified Arabic" w:hAnsi="Simplified Arabic" w:cs="Simplified Arabic"/>
          <w:szCs w:val="28"/>
          <w:rtl/>
        </w:rPr>
        <w:t xml:space="preserve"> جميع حلقات العمل القضائي، بما يحقق تكاملًا مؤسسيًا ينعكس على سرعة الإنجاز ودقة الإجراءات وشفافيتها.</w:t>
      </w:r>
    </w:p>
    <w:p w14:paraId="6332C73E"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وتضيف الدراسة للأدبيات من حيث ترسيخ فكرة “الشمول الإجرائي”؛ أي أن كفاءة التحول الرقمي تتضاعف عندما تُرقمن الإجراءات بصورة متكاملة، بحيث تتفاعل مكونات النظام القضائي رقميًا، ويصبح تدفق البيانات جزءًا من دورة العمل القضائية. وهذه الفكرة مهمة للدراسة الحالية لأنها تساعد في تفسير لماذا قد يكون أثر التحول الرقمي في محكمة التنفيذ مرتبطًا بتكامل السلسلة الإجرائية، وليس بمجرد وجود منصة أو خدمة رقمية.</w:t>
      </w:r>
    </w:p>
    <w:p w14:paraId="2E1285EB"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 xml:space="preserve">وترتبط الدراسة الحالية بهذه الدراسة عبر المنطق الذي يرى أن </w:t>
      </w:r>
      <w:proofErr w:type="spellStart"/>
      <w:r w:rsidRPr="009C4079">
        <w:rPr>
          <w:rFonts w:ascii="Simplified Arabic" w:hAnsi="Simplified Arabic" w:cs="Simplified Arabic"/>
          <w:szCs w:val="28"/>
          <w:rtl/>
        </w:rPr>
        <w:t>رقمنة</w:t>
      </w:r>
      <w:proofErr w:type="spellEnd"/>
      <w:r w:rsidRPr="009C4079">
        <w:rPr>
          <w:rFonts w:ascii="Simplified Arabic" w:hAnsi="Simplified Arabic" w:cs="Simplified Arabic"/>
          <w:szCs w:val="28"/>
          <w:rtl/>
        </w:rPr>
        <w:t xml:space="preserve"> الإجراءات تعزز الانسيابية الإجرائية وتقلل التعثرات التي تنتج عادة عن الورق أو تعدد القنوات أو عدم التكامل. ويمكن ترجمة هذا إلى أبعاد الدراسة الحالية؛ فالانسيابية وتكامل الإجراءات يرتبطان بـالسرعة، بينما توحيد البيانات وحوكمة الملفات يرتبطان بـالدقة، وإتاحة المسار الرقمي وتتبع الملف يرتبطان بـالشفافية. ومن ثم تُستثمر أفكار (الأحمَدي، 2024) لبناء تصورٍ أعمق عن كيفية تأثير التحول الرقمي على كفاءة الإنجاز.</w:t>
      </w:r>
    </w:p>
    <w:p w14:paraId="17A84D88"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 xml:space="preserve">ومن حيث الاتفاق والاختلاف، تتفق الدراستان في النظر إلى التحول الرقمي بوصفه إعادة تصميم إجراءات وليس مجرد </w:t>
      </w:r>
      <w:proofErr w:type="spellStart"/>
      <w:r w:rsidRPr="009C4079">
        <w:rPr>
          <w:rFonts w:ascii="Simplified Arabic" w:hAnsi="Simplified Arabic" w:cs="Simplified Arabic"/>
          <w:szCs w:val="28"/>
          <w:rtl/>
        </w:rPr>
        <w:t>رقمنة</w:t>
      </w:r>
      <w:proofErr w:type="spellEnd"/>
      <w:r w:rsidRPr="009C4079">
        <w:rPr>
          <w:rFonts w:ascii="Simplified Arabic" w:hAnsi="Simplified Arabic" w:cs="Simplified Arabic"/>
          <w:szCs w:val="28"/>
          <w:rtl/>
        </w:rPr>
        <w:t xml:space="preserve"> شكلية، وتختلفان في نطاق التطبيق؛ فالأحمَدي يتناول المحاكم العامة وإجراءات التقاضي عمومًا، بينما تركز الدراسة الحالية على محكمة التنفيذ وتُخصص القياس لمرحلة التنفيذ. وهذا الاختلاف مهم لأن التنفيذ يملك خصائص إجرائية مختلفة عن التقاضي، ويتضمن حلقات (مثل التبليغ/الإعلان والتنفيذ على الأموال) قد تكون حاسمة في الزمن والدقة والشفافية.</w:t>
      </w:r>
    </w:p>
    <w:p w14:paraId="2EB326FC"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أما حدود الاستفادة فتتمثل في أن الدراسة—بحسب نطاقها—لا تتناول كفاءة الإنجاز في التنفيذ كمرحلة مستقلة، ولا تُفصّل أبعادًا قياسية لكفاءة التنفيذ مثل السرعة والدقة والشفافية ضمن إطار محكمة التنفيذ. لذا تُعد الدراسة مرجعًا قويًا في بناء الخلفية المفاهيمية للتحول الشامل، لكنها تحتاج إلى استكمال بقياس متخصص لمرحلة التنفيذ وهو ما تسعى إليه الدراسة الحالية. (الأحمَدي، 2024)</w:t>
      </w:r>
    </w:p>
    <w:p w14:paraId="29EB5D73"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 xml:space="preserve">دراسة العليان (2025) بعنوان "ضمانات وتحديات التقاضي عن بُعد في القضاء السعودي"، هدفت الدراسة إلى التعرف على الضمانات والتحديات المرتبطة بالتقاضي عن بُعد في القضاء السعودي، مع التركيز على التوازن بين سرعة الإنجاز وسلامة الإجراء وحماية الحقوق. وتوصلت الدراسة إلى أن نجاح التقاضي الرقمي يتطلب جاهزية </w:t>
      </w:r>
      <w:r w:rsidRPr="009C4079">
        <w:rPr>
          <w:rFonts w:ascii="Simplified Arabic" w:hAnsi="Simplified Arabic" w:cs="Simplified Arabic"/>
          <w:szCs w:val="28"/>
          <w:rtl/>
        </w:rPr>
        <w:lastRenderedPageBreak/>
        <w:t>بشرية وتقنية، إضافة إلى توافر متطلبات الأمن المعلوماتي والضبط الإجرائي. كما بينت أن الكفاءة في البيئة القضائية الرقمية لا تعني التسريع فقط، بل تعني أيضًا الموثوقية والدقة وإمكانية المساءلة والتتبع. وأوصت الدراسة بضرورة تعزيز البنية التنظيمية والتقنية للتقاضي عن بُعد، بما يحقق الفاعلية ويحافظ على الحقوق.</w:t>
      </w:r>
    </w:p>
    <w:p w14:paraId="456CDEB1"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وتكمن إضافة الدراسة في أنها تقدم تصورًا “نوعيًا” للكفاءة؛ فالكفاءة ليست تسريعًا فقط، بل هي تسريعٌ منضبط يضمن الموثوقية ويقلل المخاطر المرتبطة بالتحول الرقمي. ويُستفاد من ذلك في الدراسة الحالية عند تفسير بُعد الدقة بوصفه مرتبطًا بسلاسة الإجراء وموثوقيته وحماية البيانات ضمن مسار التنفيذ، وليس مجرد تقليل الأخطاء الشكلية.</w:t>
      </w:r>
    </w:p>
    <w:p w14:paraId="7CA804F0"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وعلاقة الدراسة الحالية بهذه الدراسة تتجلى في كونها تُساند إدراج الأبعاد الثلاثة (السرعة/الدقة/الشفافية) معًا. فالحديث عن التحديات والضمانات يعني أن السرعة قد لا تتحقق أو قد لا تكون قيمة بذاتها ما لم ترافقها دقة في الإجراءات والبيانات، وشفافية تسمح بالتتبع والمساءلة. وبذلك تُعد دراسة (العليان، 2025) إطارًا مُهمًا لتفسير النتائج المحتملة في الدراسة الحالية، خصوصًا إذا ظهر أن أثر التحول الرقمي متفاوت بين الأبعاد الثلاثة.</w:t>
      </w:r>
    </w:p>
    <w:p w14:paraId="54D266D1"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 xml:space="preserve">ومن حيث الاتفاق والاختلاف، تتفق الدراستان في ربط التحول الرقمي بمفهوم “جودة الإجراء” وعدم اختزال </w:t>
      </w:r>
      <w:proofErr w:type="spellStart"/>
      <w:r w:rsidRPr="009C4079">
        <w:rPr>
          <w:rFonts w:ascii="Simplified Arabic" w:hAnsi="Simplified Arabic" w:cs="Simplified Arabic"/>
          <w:szCs w:val="28"/>
          <w:rtl/>
        </w:rPr>
        <w:t>الرقمنة</w:t>
      </w:r>
      <w:proofErr w:type="spellEnd"/>
      <w:r w:rsidRPr="009C4079">
        <w:rPr>
          <w:rFonts w:ascii="Simplified Arabic" w:hAnsi="Simplified Arabic" w:cs="Simplified Arabic"/>
          <w:szCs w:val="28"/>
          <w:rtl/>
        </w:rPr>
        <w:t xml:space="preserve"> في السرعة وحدها، وتختلفان في محور التطبيق؛ فدراسة العليان تدور حول التقاضي عن بعد في القضاء السعودي، بينما تتجه الدراسة الحالية إلى محكمة التنفيذ وتبحث أثر التحول الرقمي على كفاءة إنجاز قضايا التنفيذ. إلا أن التحديات والضمانات التي تناقشها دراسة العليان يمكن إعادة إسقاطها على التنفيذ الرقمي، لأن التنفيذ كذلك يتضمن بيانات مالية وحساسة، وإجراءات قد تؤثر على حقوق الأطراف.</w:t>
      </w:r>
    </w:p>
    <w:p w14:paraId="26BF550A"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 xml:space="preserve">أما حدود الاستفادة فتتمثل في أن الدراسة لا تقدم قياسًا متخصصًا لكفاءة التنفيذ أو تفكيكًا تفصيليًا لمؤشرات السرعة والدقة والشفافية في محكمة التنفيذ تحديدًا، بل تُقدّم إطارًا </w:t>
      </w:r>
      <w:proofErr w:type="spellStart"/>
      <w:r w:rsidRPr="009C4079">
        <w:rPr>
          <w:rFonts w:ascii="Simplified Arabic" w:hAnsi="Simplified Arabic" w:cs="Simplified Arabic"/>
          <w:szCs w:val="28"/>
          <w:rtl/>
        </w:rPr>
        <w:t>ضمانيًا</w:t>
      </w:r>
      <w:proofErr w:type="spellEnd"/>
      <w:r w:rsidRPr="009C4079">
        <w:rPr>
          <w:rFonts w:ascii="Simplified Arabic" w:hAnsi="Simplified Arabic" w:cs="Simplified Arabic"/>
          <w:szCs w:val="28"/>
          <w:rtl/>
        </w:rPr>
        <w:t xml:space="preserve"> وتحليليًا عامًا. ومع ذلك، تبقى قيمة الدراسة عالية لأنها تساعد الدراسة الحالية على بناء تعريفٍ أكثر دقة للكفاءة الرقمية وربطها بحوكمة التحول الرقمي. (العليان، 2025)</w:t>
      </w:r>
    </w:p>
    <w:p w14:paraId="152E36CE"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دراسة السلمي وآخرون (2025) بعنوان "مدى تطبيق معايير التحول الرقمي على إدارة خدمات وزارة العدل: فرع المدينة المنورة من وجهة نظر الموظفين"، هدفت الدراسة إلى التعرف على مدى تطبيق معايير التحول الرقمي في إدارة خدمات وزارة العدل، وبيان أثر ذلك في تحسين الخدمة وكفاءتها. وتوصلت الدراسة إلى وجود ارتباط بين تطبيق معايير التحول الرقمي وبين تحسن مستوى الخدمة وسرعتها وكفاءتها، بما يعكس أهمية التحول الرقمي المؤسسي في تطوير الأداء. وأوصت الدراسة بضرورة الاستمرار في تطبيق معايير التحول الرقمي وتطويرها، بما يسهم في رفع كفاءة الخدمات العدلية وتحسين نتائجها التشغيلية.</w:t>
      </w:r>
    </w:p>
    <w:p w14:paraId="28F92BF8"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lastRenderedPageBreak/>
        <w:t>وتضيف هذه الدراسة للأدبيات من حيث أنها تربط بين تطبيق معايير التحول الرقمي وبين تحسن الخدمة وكفاءتها وسرعتها، وهو ربطٌ يُعزز منطق الدراسة الحالية؛ إذ يُشير إلى أن التحول الرقمي المؤسسي داخل وزارة العدل يمكن أن ينعكس على نتائج تشغيلية. وتُعد قيمة الدراسة في أنها تلتقط “الجانب المؤسسي” للتحول الرقمي، أي أن التحول الرقمي ليس مبادرات منعزلة، بل منظومة معايير وتطبيقات تنعكس على أداء الجهات.</w:t>
      </w:r>
    </w:p>
    <w:p w14:paraId="7A18863B"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وعلاقة الدراسة الحالية بهذه الدراسة تكمن في دعمها للفرضية العامة التي ترى أن التحول الرقمي يرفع الكفاءة، مع إمكانية ترجمة هذا الرفع إلى أبعاد محددة داخل محكمة التنفيذ. فإذا كانت تطبيقات ومعايير التحول الرقمي ترتبط بتحسن الخدمة وسرعتها، فإن الدراسة الحالية تنتقل خطوة أبعد لتقيس أثر التحول الرقمي في محكمة التنفيذ عبر السرعة والدقة والشفافية بوصفها مؤشرات أكثر تخصصًا تتعلق بإنجاز قضايا التنفيذ.</w:t>
      </w:r>
    </w:p>
    <w:p w14:paraId="19E28E08"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ومن حيث الاتفاق والاختلاف، تتفق الدراستان في الاهتمام بالتحول الرقمي في وزارة العدل وبناء صورة عن أثره على الكفاءة، وتختلفان في زاوية القياس؛ فدراسة السلمي وآخرون تعتمد منظور الموظفين حول تطبيق المعايير وأثرها على الخدمة، بينما تركز الدراسة الحالية على “الأثر التنفيذي” المتخصص في محكمة التنفيذ وعلى كفاءة إنجاز القضايا بأبعاد محددة. كما تختلفان من حيث أن الدراسة الحالية تربط التحول الرقمي بمخرجات إجرائية تنفيذية قابلة للتفكيك إلى السرعة والدقة والشفافية.</w:t>
      </w:r>
    </w:p>
    <w:p w14:paraId="236F817B"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أما حدود الاستفادة فتتمثل في أن الدراسة لا تعالج مرحلة التنفيذ بوصفها سلسلة إجراءات، ولا تُفصل الكفاءة إلى أبعاد دقيقة أو تُعطي تصورًا عن شفافية المسار وإمكانية تتبع الطلبات في التنفيذ. لذا تُعد الدراسة داعمًا مؤسسيًا مهمًا لمنطق التحول الرقمي، لكنها تحتاج إلى استكمال بقياس متخصص لمرحلة التنفيذ، وهو ما تتميز به الدراسة الحالية. (السلمي وآخرون، 2025)</w:t>
      </w:r>
    </w:p>
    <w:p w14:paraId="07C7047C"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 xml:space="preserve">دراسة الخطيب (2024) بعنوان "تجربة نظام إدارة الدعوى الإلكتروني في دولة الإمارات العربية المتحدة ومدى مراعاته لضمانات التقاضي الأساسية"، هدفت الدراسة إلى تناول تجربة نظام إدارة الدعوى الإلكتروني في الإمارات، وبيان مدى توافقه مع ضمانات التقاضي الأساسية. وأظهرت الدراسة أن إدارة الدعوى إلكترونيًا تسهم في تحسين تنظيم مسار القضية، وتقليل </w:t>
      </w:r>
      <w:proofErr w:type="spellStart"/>
      <w:r w:rsidRPr="009C4079">
        <w:rPr>
          <w:rFonts w:ascii="Simplified Arabic" w:hAnsi="Simplified Arabic" w:cs="Simplified Arabic"/>
          <w:szCs w:val="28"/>
          <w:rtl/>
        </w:rPr>
        <w:t>الورقيات</w:t>
      </w:r>
      <w:proofErr w:type="spellEnd"/>
      <w:r w:rsidRPr="009C4079">
        <w:rPr>
          <w:rFonts w:ascii="Simplified Arabic" w:hAnsi="Simplified Arabic" w:cs="Simplified Arabic"/>
          <w:szCs w:val="28"/>
          <w:rtl/>
        </w:rPr>
        <w:t>، وتعزيز التوثيق وإمكانية التتبع، إلا أن ذلك يتطلب مراعاة الضمانات الإجرائية الأساسية. وأوصت الدراسة بضرورة تعزيز التوازن بين التطوير التقني وحماية الضمانات القضائية، بما يكفل فاعلية التحول الرقمي دون الإخلال بعدالة الإجراء.</w:t>
      </w:r>
    </w:p>
    <w:p w14:paraId="7903B062"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 xml:space="preserve">وتضيف هذه الدراسة إلى موضوع التحول الرقمي القضائي من حيث أنها تربط بين التحول الرقمي وبين الضمانات الإجرائية، وتؤكد أن </w:t>
      </w:r>
      <w:proofErr w:type="spellStart"/>
      <w:r w:rsidRPr="009C4079">
        <w:rPr>
          <w:rFonts w:ascii="Simplified Arabic" w:hAnsi="Simplified Arabic" w:cs="Simplified Arabic"/>
          <w:szCs w:val="28"/>
          <w:rtl/>
        </w:rPr>
        <w:t>الرقمنة</w:t>
      </w:r>
      <w:proofErr w:type="spellEnd"/>
      <w:r w:rsidRPr="009C4079">
        <w:rPr>
          <w:rFonts w:ascii="Simplified Arabic" w:hAnsi="Simplified Arabic" w:cs="Simplified Arabic"/>
          <w:szCs w:val="28"/>
          <w:rtl/>
        </w:rPr>
        <w:t xml:space="preserve"> قد تسرّع بعض الإجراءات وتُحسن تنظيم مسار القضية، لكن ذلك يتطلب مراعاة الضمانات الأساسية لضمان فاعلية التحول. وضمنًا، يُفهم من هذا المنظور أن “الشفافية” و“قابلية التتبع” ليستا مكاسب ثانوية، بل ترتبطان بجوهر الضمانات الإجرائية في البيئة الرقمية.</w:t>
      </w:r>
    </w:p>
    <w:p w14:paraId="1D92874E"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lastRenderedPageBreak/>
        <w:t>وترتبط الدراسة الحالية بهذه الدراسة من زاوية الشفافية تحديدًا؛ فالدراسة الحالية تُدرج الشفافية كأحد أبعاد كفاءة إنجاز القضايا، وتربطها بوضوح المسار الإجرائي وإمكانية التتبع. وتوضح دراسة الخطيب أن نظم الإدارة الإلكترونية للدعوى تعزز إمكانية التنظيم والتوثيق، وهو ما يمكن إسقاطه على مسار التنفيذ الرقمي؛ فكلما كان مسار التنفيذ مُوثقًا ومُتتبعًا، زادت شفافيته وتحسن إدراك المستفيد لجودة الإنجاز.</w:t>
      </w:r>
    </w:p>
    <w:p w14:paraId="195D7DCD"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ومن حيث الاتفاق والاختلاف، تتفق الدراستان في ربط التحول الرقمي بفكرة التنظيم والتتبع والضبط الإجرائي، وتختلفان في مجال التطبيق؛ فدراسة الخطيب تتناول تجربة الإمارات وفي نطاق إدارة الدعوى/التقاضي، بينما تركز الدراسة الحالية على محكمة التنفيذ في السعودية وعلى كفاءة إنجاز قضايا التنفيذ. غير أن التشابه في “طبيعة الأنظمة” (أنظمة إدارة ملفات وإجراءات) يجعل الدراسة مفيدة لتدعيم إدراج الشفافية ضمن الكفاءة، وللتنبيه إلى أهمية الضمانات.</w:t>
      </w:r>
    </w:p>
    <w:p w14:paraId="32AFD95F"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 xml:space="preserve">أما حدود الاستفادة فتتمثل في أن الدراسة تتناول سياقًا نظاميًا مختلفًا (الإمارات) ومسارًا مختلفًا (إدارة الدعوى)، ولا تقدم وصفًا مباشرًا لكفاءة التنفيذ أو مؤشرات السرعة والدقة والشفافية في قضايا التنفيذ. لذا تُستثمر الدراسة كإطار داعم لمفهوم الشفافية والتتبع والضمانات في </w:t>
      </w:r>
      <w:proofErr w:type="spellStart"/>
      <w:r w:rsidRPr="009C4079">
        <w:rPr>
          <w:rFonts w:ascii="Simplified Arabic" w:hAnsi="Simplified Arabic" w:cs="Simplified Arabic"/>
          <w:szCs w:val="28"/>
          <w:rtl/>
        </w:rPr>
        <w:t>الرقمنة</w:t>
      </w:r>
      <w:proofErr w:type="spellEnd"/>
      <w:r w:rsidRPr="009C4079">
        <w:rPr>
          <w:rFonts w:ascii="Simplified Arabic" w:hAnsi="Simplified Arabic" w:cs="Simplified Arabic"/>
          <w:szCs w:val="28"/>
          <w:rtl/>
        </w:rPr>
        <w:t>، مع بقاء الحاجة إلى قياس أثر التحول الرقمي في التنفيذ تحديدًا كما تقوم به الدراسة الحالية. (الخطيب، 2024)</w:t>
      </w:r>
    </w:p>
    <w:p w14:paraId="1F32D852"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دراسة قنديل (2023) بعنوان "حماية الخصوصية المعلوماتية للمتقاضين أثناء المحاكمة عن بُعد أمام المحاكم الإماراتية"، هدفت الدراسة إلى بحث مدى حماية الخصوصية المعلوماتية للمتقاضين في بيئة المحاكمة عن بُعد، وإبراز علاقتها بسلامة الإجراءات الرقمية وموثوقيتها. وتوصلت الدراسة إلى أن كفاءة التحول الرقمي لا ترتبط بعامل الزمن فقط، بل تشمل أيضًا حماية البيانات، وصحة التحقق من الهوية، وسلامة المستندات، وتوثيق الإجراءات بما يضمن الثقة في العدالة الرقمية. وأوصت الدراسة بضرورة وضع ضوابط أكثر صرامة لحماية البيانات الشخصية، وتطوير نظم الأمن السيبراني في البيئة القضائية الرقمية.</w:t>
      </w:r>
    </w:p>
    <w:p w14:paraId="7CA18E36"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وتضيف الدراسة إلى موضوع التحول الرقمي القضائي من خلال تأكيد أن الكفاءة الرقمية لا تُقاس بالزمن فقط، بل تُقاس كذلك بقدرة النظام على الحفاظ على سلامة المعلومات ومصداقيتها، ومنع المخاطر التي قد تُقوض العدالة. ويُستفاد من هذه الإضافة عند بناء تعريف بُعد الدقة في الدراسة الحالية؛ إذ تُفهم الدقة بوصفها سلامة الإجراء وموثوقية البيانات، بما يتضمن—ضمنًا—الانضباط المعلوماتي وحماية البيانات من العبث أو التسريب الذي قد ينعكس على جودة الإنجاز.</w:t>
      </w:r>
    </w:p>
    <w:p w14:paraId="5CD9B84F"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 xml:space="preserve">وترتبط الدراسة الحالية بهذه الدراسة عبر بعدين: (1) الدقة لأن حماية الخصوصية تُلزم وجود حوكمة بيانات وإجراءات تحقق من الهوية وصحة المستندات وتوثيق الخطوات، وهذه كلها تتصل بموثوقية الإنجاز؛ (2) الشفافية </w:t>
      </w:r>
      <w:r w:rsidRPr="009C4079">
        <w:rPr>
          <w:rFonts w:ascii="Simplified Arabic" w:hAnsi="Simplified Arabic" w:cs="Simplified Arabic"/>
          <w:szCs w:val="28"/>
          <w:rtl/>
        </w:rPr>
        <w:lastRenderedPageBreak/>
        <w:t>لأن حماية البيانات قد تتطلب توازنًا بين إتاحة التتبع والاطلاع من جهة، وتقييد الوصول وحماية الخصوصية من جهة أخرى. ومن ثم تساعد دراسة قنديل في توسيع فهم الكفاءة الرقمية إلى كفاءة “آمنة” لا كفاءة “سريعة” فقط.</w:t>
      </w:r>
    </w:p>
    <w:p w14:paraId="278090EF"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ومن حيث الاتفاق والاختلاف، تتفق الدراستان في اعتبار التحول الرقمي القضائي مدخلًا لتحسين الأداء مع اشتراط الضمانات، وتختلفان في نطاق التطبيق؛ فدراسة قنديل تتناول المحاكمة عن بعد في الإمارات، بينما تركز الدراسة الحالية على محكمة التنفيذ في السعودية. إلا أن الفكرة المركزية—وهي ارتباط جودة التحول الرقمي بسلامة البيانات—تبقى قابلة للتطبيق على التنفيذ؛ لأن إجراءات التنفيذ تتضمن بيانات مالية وإجراءات تمس حقوق الأطراف، ما يجعل الدقة والخصوصية عنصرين رئيسين في “كفاءة الإنجاز” داخل بيئة التنفيذ الرقمية.</w:t>
      </w:r>
    </w:p>
    <w:p w14:paraId="0A44D953"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أما حدود الاستفادة فتتمثل في أن الدراسة ذات طبيعة تركيزية على الخصوصية وضبطها، ولا تتناول قياس الكفاءة في التنفيذ أو تفكيك السرعة والدقة والشفافية في قضايا التنفيذ. لذلك تُستفاد الدراسة في بناء المفهوم وتحديد نطاق الدقة وتوضيح الضمانات، دون أن تُغني عن القياس التطبيقي الذي تسعى إليه الدراسة الحالية. (قنديل، 2023)</w:t>
      </w:r>
    </w:p>
    <w:p w14:paraId="0E51F6FC"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دراسة الحداد (2022) بعنوان "التقاضي الجزائي الإلكتروني وإمكانية تطبيقه في الأردن"، هدفت الدراسة إلى بحث إمكانية تطبيق التقاضي الجزائي الإلكتروني في الأردن، وبيان أثره المتوقع في تقليل الوقت والجهد والكلفة. وتوصلت الدراسة إلى أن التحول الرقمي في الإجراءات الجزائية يمكن أن يسهم في تسريع الإنجاز وتقليل الأعباء الإدارية، شريطة توافر الجاهزية التنظيمية والتقنية والبشرية اللازمة لنجاح التطبيق. وأوصت الدراسة بضرورة توفير البنية التحتية المناسبة، وتأهيل العاملين، وتبني خطط تدريبية تدعم التحول الرقمي في المجال القضائي.</w:t>
      </w:r>
    </w:p>
    <w:p w14:paraId="797CCD01"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 xml:space="preserve">وتضيف الدراسة من حيث أنها تدعم منطق “العائد </w:t>
      </w:r>
      <w:proofErr w:type="spellStart"/>
      <w:r w:rsidRPr="009C4079">
        <w:rPr>
          <w:rFonts w:ascii="Simplified Arabic" w:hAnsi="Simplified Arabic" w:cs="Simplified Arabic"/>
          <w:szCs w:val="28"/>
          <w:rtl/>
        </w:rPr>
        <w:t>الكفائي</w:t>
      </w:r>
      <w:proofErr w:type="spellEnd"/>
      <w:r w:rsidRPr="009C4079">
        <w:rPr>
          <w:rFonts w:ascii="Simplified Arabic" w:hAnsi="Simplified Arabic" w:cs="Simplified Arabic"/>
          <w:szCs w:val="28"/>
          <w:rtl/>
        </w:rPr>
        <w:t>” للتحول الرقمي؛ إذ تُبرز أن نقل الإجراءات إلى بيئة إلكترونية يمكن أن يخفف من الأعباء الإدارية ويُسرّع الإنجاز إذا توافرت عناصر النجاح. ويُستفاد من هذا المنطق في الدراسة الحالية بوصفه منطلقًا لتوقع تحسن السرعة في قضايا التنفيذ عند اكتمال التحول الرقمي وتراجع الاعتماد على المعالجة اليدوية.</w:t>
      </w:r>
    </w:p>
    <w:p w14:paraId="43D186B1"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 xml:space="preserve">وترتبط الدراسة الحالية بهذه الدراسة عبر فكرة أن نجاح </w:t>
      </w:r>
      <w:proofErr w:type="spellStart"/>
      <w:r w:rsidRPr="009C4079">
        <w:rPr>
          <w:rFonts w:ascii="Simplified Arabic" w:hAnsi="Simplified Arabic" w:cs="Simplified Arabic"/>
          <w:szCs w:val="28"/>
          <w:rtl/>
        </w:rPr>
        <w:t>الرقمنة</w:t>
      </w:r>
      <w:proofErr w:type="spellEnd"/>
      <w:r w:rsidRPr="009C4079">
        <w:rPr>
          <w:rFonts w:ascii="Simplified Arabic" w:hAnsi="Simplified Arabic" w:cs="Simplified Arabic"/>
          <w:szCs w:val="28"/>
          <w:rtl/>
        </w:rPr>
        <w:t xml:space="preserve"> مشروط—بحسب طرح الدراسة—بعوامل جاهزية قد تتعلق بالموارد والمهارات والتدريب. وهذه الفكرة تساعد في تفسير النتائج المحتملة للدراسة الحالية؛ إذ قد يظهر أثر التحول الرقمي قويًا في السرعة مثلًا، أو أقل وضوحًا إذا واجه التطبيق عوائق بشرية أو تنظيمية. كما أن الحديث عن تقليل الوقت والجهد والكلفة يمكن ترجمته في التنفيذ إلى تقليل زمن دورة الإجراء وتبسيط نقاط الاحتكاك، وهو ما ينعكس على الكفاءة بأبعادها.</w:t>
      </w:r>
    </w:p>
    <w:p w14:paraId="5828FA5C"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 xml:space="preserve">ومن حيث الاتفاق والاختلاف، تتفق الدراستان في أن </w:t>
      </w:r>
      <w:proofErr w:type="spellStart"/>
      <w:r w:rsidRPr="009C4079">
        <w:rPr>
          <w:rFonts w:ascii="Simplified Arabic" w:hAnsi="Simplified Arabic" w:cs="Simplified Arabic"/>
          <w:szCs w:val="28"/>
          <w:rtl/>
        </w:rPr>
        <w:t>الرقمنة</w:t>
      </w:r>
      <w:proofErr w:type="spellEnd"/>
      <w:r w:rsidRPr="009C4079">
        <w:rPr>
          <w:rFonts w:ascii="Simplified Arabic" w:hAnsi="Simplified Arabic" w:cs="Simplified Arabic"/>
          <w:szCs w:val="28"/>
          <w:rtl/>
        </w:rPr>
        <w:t xml:space="preserve"> يمكن أن ترفع الكفاءة وتقلل الوقت والجهد، وتختلفان في السياق والنطاق؛ فالحداد يتناول التقاضي الجزائي في الأردن، بينما تركز الدراسة الحالية على التنفيذ في </w:t>
      </w:r>
      <w:r w:rsidRPr="009C4079">
        <w:rPr>
          <w:rFonts w:ascii="Simplified Arabic" w:hAnsi="Simplified Arabic" w:cs="Simplified Arabic"/>
          <w:szCs w:val="28"/>
          <w:rtl/>
        </w:rPr>
        <w:lastRenderedPageBreak/>
        <w:t>السعودية. كما أن الدراسة الحالية تُضيف بعد الشفافية بوصفه جزءًا من الكفاءة التنفيذية، وتُعطي للدقة معنى مرتبطًا بموثوقية البيانات التنفيذية وحوكمة الإجراء.</w:t>
      </w:r>
    </w:p>
    <w:p w14:paraId="37196EE5"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 xml:space="preserve">أما حدود الاستفادة فتتمثل في أن الدراسة تتناول مجالًا مختلفًا (جزائي/تقاضي) وبيئة نظامية مختلفة، ولا تقدم معالجة متخصصة لمسار التنفيذ أو لأبعاد الكفاءة في التنفيذ. لذا تُستثمر كدعمٍ منطقي للعلاقة العامة بين </w:t>
      </w:r>
      <w:proofErr w:type="spellStart"/>
      <w:r w:rsidRPr="009C4079">
        <w:rPr>
          <w:rFonts w:ascii="Simplified Arabic" w:hAnsi="Simplified Arabic" w:cs="Simplified Arabic"/>
          <w:szCs w:val="28"/>
          <w:rtl/>
        </w:rPr>
        <w:t>الرقمنة</w:t>
      </w:r>
      <w:proofErr w:type="spellEnd"/>
      <w:r w:rsidRPr="009C4079">
        <w:rPr>
          <w:rFonts w:ascii="Simplified Arabic" w:hAnsi="Simplified Arabic" w:cs="Simplified Arabic"/>
          <w:szCs w:val="28"/>
          <w:rtl/>
        </w:rPr>
        <w:t xml:space="preserve"> والكفاءة، مع بقاء الحاجة إلى اختبار هذه العلاقة في بيئة التنفيذ السعودية وفق أبعاد السرعة والدقة والشفافية، وهو ما تركز عليه الدراسة الحالية. (الحداد، 2022)</w:t>
      </w:r>
    </w:p>
    <w:p w14:paraId="65C00801"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دراسة القاضي (2023) بعنوان "التقاضي الذكي في المحاكم القطرية بين الواقع والمأمول"، هدفت الدراسة إلى التعرف على دور التقنيات الذكية والتكامل الرقمي في رفع كفاءة المحاكم القطرية، وتحسين إدارة الملفات، وتيسير الوصول إلى الخدمات القضائية. وأظهرت الدراسة أن التقاضي الذكي يسهم في تحسين تدفق المعلومات، ورفع كفاءة إدارة الملفات، وتعزيز وضوح الإجراءات وإمكانية تتبعها، مع الحاجة إلى وجود إطار تنظيمي داعم يكفل تحقيق هذه الأهداف. وأوصت الدراسة بتطوير الأنظمة الذكية في المحاكم، وتعزيز التكامل بين قواعد البيانات والأنظمة الإجرائية، بما يدعم الكفاءة والشفافية.</w:t>
      </w:r>
    </w:p>
    <w:p w14:paraId="12FFECC7"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 xml:space="preserve">وتضيف الدراسة إلى موضوع التحول الرقمي العدلي من خلال إبراز مفهوم “التحول الذكي” الذي يتجاوز </w:t>
      </w:r>
      <w:proofErr w:type="spellStart"/>
      <w:r w:rsidRPr="009C4079">
        <w:rPr>
          <w:rFonts w:ascii="Simplified Arabic" w:hAnsi="Simplified Arabic" w:cs="Simplified Arabic"/>
          <w:szCs w:val="28"/>
          <w:rtl/>
        </w:rPr>
        <w:t>الرقمنة</w:t>
      </w:r>
      <w:proofErr w:type="spellEnd"/>
      <w:r w:rsidRPr="009C4079">
        <w:rPr>
          <w:rFonts w:ascii="Simplified Arabic" w:hAnsi="Simplified Arabic" w:cs="Simplified Arabic"/>
          <w:szCs w:val="28"/>
          <w:rtl/>
        </w:rPr>
        <w:t xml:space="preserve"> الأساسية إلى التكامل بين البيانات والأنظمة وإتاحة خدمات أكثر استجابة للمستفيد، وهو ما يرتبط عادة بتحسين إدارة الملفات وإمكان التتبع ووضوح الإجراءات. وهذه النقاط تتقاطع مع بُعد الشفافية في الدراسة الحالية؛ لأن التقاضي الذكي، في جوهره، يُفترض أن يرفع وضوح الحالة والمرحلة ويُحسن تدفق المعلومات.</w:t>
      </w:r>
    </w:p>
    <w:p w14:paraId="7F2B3CAC"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وترتبط الدراسة الحالية بهذه الدراسة عبر تأكيدها على أن التكامل الرقمي يرفع كفاءة إدارة الملفات ويعزز التتبع، وهو ما يعضد إدراج الشفافية ضمن كفاءة الإنجاز في التنفيذ. كما يمكن ربط طرح الدراسة ببعد الدقة؛ لأن التكامل الذكي يفترض تعزيز جودة البيانات وتقليل التكرار أو التضارب في المعلومات، الأمر الذي ينعكس على موثوقية الإجراء. كذلك يتصل طرح الدراسة بالسرعة من حيث أن التكامل وتقليل التعطّل الإداري يسهم في تسريع الإنجاز.</w:t>
      </w:r>
    </w:p>
    <w:p w14:paraId="38C37D08"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ومن حيث الاتفاق والاختلاف، تتفق الدراستان في التعامل مع التحول الرقمي بوصفه مشروعًا مؤسسيًا يتطلب إطارًا تنظيميًا ويستهدف رفع الكفاءة، وتختلفان في مجال التركيز؛ فدراسة القاضي تتناول “التقاضي الذكي” في قطر، بينما تركز الدراسة الحالية على “التحول الرقمي في محكمة التنفيذ” في السعودية وعلى قياس أثره على كفاءة إنجاز قضايا التنفيذ بأبعاد محددة. وبذلك، تستفيد الدراسة الحالية من منطق الدراسة السابقة حول التكامل والتتبع، لكنها تُعيد صياغته في سياق التنفيذ مع تفعيل أبعاد السرعة والدقة والشفافية.</w:t>
      </w:r>
    </w:p>
    <w:p w14:paraId="3EA08123"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lastRenderedPageBreak/>
        <w:t>أما حدود الاستفادة فتتمثل في أن الدراسة لا تختبر مسار التنفيذ، ولا تقدم—بحسب نطاقها—تفصيلًا لآليات قياس السرعة أو الدقة أو الشفافية في قضايا التنفيذ. لذا تُعد مفيدة لتقوية الأساس المفاهيمي للشفافية والتكامل، لكنها لا تغني عن القياس التنفيذي المتخصص الذي تسعى إليه الدراسة الحالية. (القاضي، 2023)</w:t>
      </w:r>
    </w:p>
    <w:p w14:paraId="2E86DE67"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 xml:space="preserve">دراسة </w:t>
      </w:r>
      <w:proofErr w:type="spellStart"/>
      <w:r w:rsidRPr="009C4079">
        <w:rPr>
          <w:rFonts w:ascii="Simplified Arabic" w:hAnsi="Simplified Arabic" w:cs="Simplified Arabic"/>
          <w:szCs w:val="28"/>
          <w:rtl/>
        </w:rPr>
        <w:t>الهديفي</w:t>
      </w:r>
      <w:proofErr w:type="spellEnd"/>
      <w:r w:rsidRPr="009C4079">
        <w:rPr>
          <w:rFonts w:ascii="Simplified Arabic" w:hAnsi="Simplified Arabic" w:cs="Simplified Arabic"/>
          <w:szCs w:val="28"/>
          <w:rtl/>
        </w:rPr>
        <w:t xml:space="preserve"> (2021) بعنوان "الإعلان القضائي الإلكتروني في التشريع القطري"، هدفت الدراسة إلى بيان دور الإعلان القضائي الإلكتروني في معالجة بطء الإعلان التقليدي وأثره في تقليل الزمن الإجرائي. وتوصلت الدراسة إلى أن الإعلان الإلكتروني يمثل حلقة إجرائية مهمة في تسريع سير القضية، وتقليل التأخير، وتعزيز توثيق الإجراء وإمكانية تتبعه، فضلًا عن تقليل أخطاء التبليغ التقليدي. وأوصت الدراسة بضرورة التوسع في استخدام الإعلان القضائي الإلكتروني، وربطه ضمن منظومة إجرائية رقمية متكاملة تسهم في رفع كفاءة العمل القضائي.</w:t>
      </w:r>
    </w:p>
    <w:p w14:paraId="070EE239"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 xml:space="preserve">وتضيف الدراسة إلى الأدبيات من حيث إبرازها لفكرة أن التحول الرقمي قد يبدأ بتحويل “نقطة اختناق” إجرائية إلى نقطة أسرع وأكثر انضباطًا، وأن كفاءة الإنجاز قد تتحقق تدريجيًا من خلال </w:t>
      </w:r>
      <w:proofErr w:type="spellStart"/>
      <w:r w:rsidRPr="009C4079">
        <w:rPr>
          <w:rFonts w:ascii="Simplified Arabic" w:hAnsi="Simplified Arabic" w:cs="Simplified Arabic"/>
          <w:szCs w:val="28"/>
          <w:rtl/>
        </w:rPr>
        <w:t>رقمنة</w:t>
      </w:r>
      <w:proofErr w:type="spellEnd"/>
      <w:r w:rsidRPr="009C4079">
        <w:rPr>
          <w:rFonts w:ascii="Simplified Arabic" w:hAnsi="Simplified Arabic" w:cs="Simplified Arabic"/>
          <w:szCs w:val="28"/>
          <w:rtl/>
        </w:rPr>
        <w:t xml:space="preserve"> حلقات محددة تؤثر على زمن الدورة الإجرائية. وهذه الفكرة مهمة للدراسة الحالية لأن مسار التنفيذ يتضمن حلقات متعاقبة، وبعض الحلقات قد تكون أكثر تأثيرًا على الزمن والدقة والشفافية من غيرها.</w:t>
      </w:r>
    </w:p>
    <w:p w14:paraId="61095F26"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وترتبط الدراسة الحالية بهذه الدراسة ارتباطًا وثيقًا ببُعد السرعة؛ إذ إن الإعلان القضائي الإلكتروني يمثل عاملًا حاسمًا في تقليل التأخير المرتبط بتبليغ الأطراف، وهو ما يمكن أن ينعكس على سرعة إنجاز مسار التنفيذ إذا تم تضمينه ضمن سلسلة رقمية متكاملة. كما تتصل الدراسة ببعد الشفافية لأن الإعلان الإلكتروني قد يعزز توثيق الإجراء وإمكان التتبع (متى أُرسل الإعلان؟ ومتى تم استلامه؟)، وبُعد الدقة من خلال تقليل أخطاء التبليغ أو ضياع المستندات المرتبطة بالإعلان.</w:t>
      </w:r>
    </w:p>
    <w:p w14:paraId="3F9428B8"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 xml:space="preserve">ومن حيث الاتفاق والاختلاف، تتفق الدراستان في أن التحول الرقمي ينعكس على الزمن الإجرائي ويمكن أن يرفع الكفاءة، وتختلفان في النطاق؛ </w:t>
      </w:r>
      <w:proofErr w:type="spellStart"/>
      <w:r w:rsidRPr="009C4079">
        <w:rPr>
          <w:rFonts w:ascii="Simplified Arabic" w:hAnsi="Simplified Arabic" w:cs="Simplified Arabic"/>
          <w:szCs w:val="28"/>
          <w:rtl/>
        </w:rPr>
        <w:t>فالهديفي</w:t>
      </w:r>
      <w:proofErr w:type="spellEnd"/>
      <w:r w:rsidRPr="009C4079">
        <w:rPr>
          <w:rFonts w:ascii="Simplified Arabic" w:hAnsi="Simplified Arabic" w:cs="Simplified Arabic"/>
          <w:szCs w:val="28"/>
          <w:rtl/>
        </w:rPr>
        <w:t xml:space="preserve"> يركز على الإعلان القضائي في التشريع القطري، بينما تتناول الدراسة الحالية محكمة التنفيذ في السعودية بوصفها منظومة تنفيذية كاملة. غير أن فكرة “تفكيك المسار إلى حلقات” تظل من أهم أوجه الاستفادة؛ إذ تساعد الدراسة الحالية على فهم التحول الرقمي في التنفيذ كسلسلة، وتحليل أثره على السرعة والدقة والشفافية عبر مراحل متعددة.</w:t>
      </w:r>
    </w:p>
    <w:p w14:paraId="31EAF49C" w14:textId="77777777" w:rsidR="00922EED" w:rsidRDefault="00B030D7" w:rsidP="009C4079">
      <w:pPr>
        <w:bidi/>
        <w:spacing w:after="120" w:line="240" w:lineRule="auto"/>
        <w:jc w:val="both"/>
        <w:rPr>
          <w:rFonts w:ascii="Simplified Arabic" w:hAnsi="Simplified Arabic" w:cs="Simplified Arabic"/>
          <w:szCs w:val="28"/>
          <w:rtl/>
        </w:rPr>
      </w:pPr>
      <w:r w:rsidRPr="009C4079">
        <w:rPr>
          <w:rFonts w:ascii="Simplified Arabic" w:hAnsi="Simplified Arabic" w:cs="Simplified Arabic"/>
          <w:szCs w:val="28"/>
          <w:rtl/>
        </w:rPr>
        <w:t xml:space="preserve">أما حدود الاستفادة فتتمثل في أن الدراسة تركز على خطوة واحدة (الإعلان القضائي الإلكتروني) دون تحليل شامل لسلسلة التنفيذ، كما أنها في سياق قطري يختلف عن السياق السعودي. ولذا تُستثمر في بناء المنطق التحليلي لتأثير </w:t>
      </w:r>
      <w:proofErr w:type="spellStart"/>
      <w:r w:rsidRPr="009C4079">
        <w:rPr>
          <w:rFonts w:ascii="Simplified Arabic" w:hAnsi="Simplified Arabic" w:cs="Simplified Arabic"/>
          <w:szCs w:val="28"/>
          <w:rtl/>
        </w:rPr>
        <w:t>رقمنة</w:t>
      </w:r>
      <w:proofErr w:type="spellEnd"/>
      <w:r w:rsidRPr="009C4079">
        <w:rPr>
          <w:rFonts w:ascii="Simplified Arabic" w:hAnsi="Simplified Arabic" w:cs="Simplified Arabic"/>
          <w:szCs w:val="28"/>
          <w:rtl/>
        </w:rPr>
        <w:t xml:space="preserve"> الحلقات الإجرائية، مع بقاء الحاجة إلى قياس أثر التحول الرقمي على كفاءة التنفيذ بوصفه سلسلة متكاملة، وهو جوهر الدراسة الحالية. (</w:t>
      </w:r>
      <w:proofErr w:type="spellStart"/>
      <w:r w:rsidRPr="009C4079">
        <w:rPr>
          <w:rFonts w:ascii="Simplified Arabic" w:hAnsi="Simplified Arabic" w:cs="Simplified Arabic"/>
          <w:szCs w:val="28"/>
          <w:rtl/>
        </w:rPr>
        <w:t>الهديفي</w:t>
      </w:r>
      <w:proofErr w:type="spellEnd"/>
      <w:r w:rsidRPr="009C4079">
        <w:rPr>
          <w:rFonts w:ascii="Simplified Arabic" w:hAnsi="Simplified Arabic" w:cs="Simplified Arabic"/>
          <w:szCs w:val="28"/>
          <w:rtl/>
        </w:rPr>
        <w:t>، 2021)</w:t>
      </w:r>
    </w:p>
    <w:p w14:paraId="731135F3" w14:textId="77777777" w:rsidR="009014C5" w:rsidRPr="009C4079" w:rsidRDefault="009014C5" w:rsidP="009014C5">
      <w:pPr>
        <w:bidi/>
        <w:spacing w:after="120" w:line="240" w:lineRule="auto"/>
        <w:jc w:val="both"/>
        <w:rPr>
          <w:rFonts w:ascii="Simplified Arabic" w:hAnsi="Simplified Arabic" w:cs="Simplified Arabic"/>
          <w:szCs w:val="28"/>
        </w:rPr>
      </w:pPr>
    </w:p>
    <w:p w14:paraId="1DB6CF61" w14:textId="77777777" w:rsidR="00922EED" w:rsidRPr="009C4079" w:rsidRDefault="00B030D7" w:rsidP="009C4079">
      <w:pPr>
        <w:bidi/>
        <w:spacing w:after="120" w:line="240" w:lineRule="auto"/>
        <w:jc w:val="both"/>
        <w:rPr>
          <w:rFonts w:ascii="Simplified Arabic" w:hAnsi="Simplified Arabic" w:cs="Simplified Arabic"/>
          <w:bCs/>
          <w:szCs w:val="28"/>
        </w:rPr>
      </w:pPr>
      <w:r w:rsidRPr="009C4079">
        <w:rPr>
          <w:rFonts w:ascii="Simplified Arabic" w:hAnsi="Simplified Arabic" w:cs="Simplified Arabic"/>
          <w:bCs/>
          <w:szCs w:val="28"/>
          <w:rtl/>
        </w:rPr>
        <w:lastRenderedPageBreak/>
        <w:t>ثانيًا: الدراسات الأجنبية</w:t>
      </w:r>
    </w:p>
    <w:p w14:paraId="093E7364"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 xml:space="preserve">دراسة </w:t>
      </w:r>
      <w:proofErr w:type="spellStart"/>
      <w:r w:rsidRPr="009C4079">
        <w:rPr>
          <w:rFonts w:ascii="Simplified Arabic" w:hAnsi="Simplified Arabic" w:cs="Simplified Arabic"/>
          <w:szCs w:val="28"/>
          <w:rtl/>
        </w:rPr>
        <w:t>Pelssers</w:t>
      </w:r>
      <w:proofErr w:type="spellEnd"/>
      <w:r w:rsidRPr="009C4079">
        <w:rPr>
          <w:rFonts w:ascii="Simplified Arabic" w:hAnsi="Simplified Arabic" w:cs="Simplified Arabic"/>
          <w:szCs w:val="28"/>
          <w:rtl/>
        </w:rPr>
        <w:t xml:space="preserve"> &amp; </w:t>
      </w:r>
      <w:proofErr w:type="spellStart"/>
      <w:r w:rsidRPr="009C4079">
        <w:rPr>
          <w:rFonts w:ascii="Simplified Arabic" w:hAnsi="Simplified Arabic" w:cs="Simplified Arabic"/>
          <w:szCs w:val="28"/>
          <w:rtl/>
        </w:rPr>
        <w:t>Dubois</w:t>
      </w:r>
      <w:proofErr w:type="spellEnd"/>
      <w:r w:rsidRPr="009C4079">
        <w:rPr>
          <w:rFonts w:ascii="Simplified Arabic" w:hAnsi="Simplified Arabic" w:cs="Simplified Arabic"/>
          <w:szCs w:val="28"/>
          <w:rtl/>
        </w:rPr>
        <w:t xml:space="preserve"> (2022) بعنوان “</w:t>
      </w:r>
      <w:proofErr w:type="spellStart"/>
      <w:r w:rsidRPr="009C4079">
        <w:rPr>
          <w:rFonts w:ascii="Simplified Arabic" w:hAnsi="Simplified Arabic" w:cs="Simplified Arabic"/>
          <w:szCs w:val="28"/>
          <w:rtl/>
        </w:rPr>
        <w:t>Digitalization</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of</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Commercial</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Courts</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Promises</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and</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Pitfalls</w:t>
      </w:r>
      <w:proofErr w:type="spellEnd"/>
      <w:r w:rsidRPr="009C4079">
        <w:rPr>
          <w:rFonts w:ascii="Simplified Arabic" w:hAnsi="Simplified Arabic" w:cs="Simplified Arabic"/>
          <w:szCs w:val="28"/>
          <w:rtl/>
        </w:rPr>
        <w:t xml:space="preserve">”، هدفت الدراسة إلى بحث أثر </w:t>
      </w:r>
      <w:proofErr w:type="spellStart"/>
      <w:r w:rsidRPr="009C4079">
        <w:rPr>
          <w:rFonts w:ascii="Simplified Arabic" w:hAnsi="Simplified Arabic" w:cs="Simplified Arabic"/>
          <w:szCs w:val="28"/>
          <w:rtl/>
        </w:rPr>
        <w:t>رقمنة</w:t>
      </w:r>
      <w:proofErr w:type="spellEnd"/>
      <w:r w:rsidRPr="009C4079">
        <w:rPr>
          <w:rFonts w:ascii="Simplified Arabic" w:hAnsi="Simplified Arabic" w:cs="Simplified Arabic"/>
          <w:szCs w:val="28"/>
          <w:rtl/>
        </w:rPr>
        <w:t xml:space="preserve"> المحاكم التجارية في إدارة المعلومات والإجراءات، مع بيان ما توفره هذه </w:t>
      </w:r>
      <w:proofErr w:type="spellStart"/>
      <w:r w:rsidRPr="009C4079">
        <w:rPr>
          <w:rFonts w:ascii="Simplified Arabic" w:hAnsi="Simplified Arabic" w:cs="Simplified Arabic"/>
          <w:szCs w:val="28"/>
          <w:rtl/>
        </w:rPr>
        <w:t>الرقمنة</w:t>
      </w:r>
      <w:proofErr w:type="spellEnd"/>
      <w:r w:rsidRPr="009C4079">
        <w:rPr>
          <w:rFonts w:ascii="Simplified Arabic" w:hAnsi="Simplified Arabic" w:cs="Simplified Arabic"/>
          <w:szCs w:val="28"/>
          <w:rtl/>
        </w:rPr>
        <w:t xml:space="preserve"> من فرص وما قد تواجهه من تحديات. وتوصلت الدراسة إلى أن التحول الرقمي يمكن أن يسهم في مركزية المعلومات وتحسين التتبع ورفع الشفافية، إلا أن أثره على الكفاءة الفعلية يظل مرهونًا بحسن التصميم والتطبيق والتبني المؤسسي. وأوصت الدراسة بضرورة مراعاة الجوانب التنظيمية والتطبيقية عند تنفيذ التحول الرقمي، وعدم افتراض تحقق الكفاءة تلقائيًا بمجرد إدخال التقنية.</w:t>
      </w:r>
    </w:p>
    <w:p w14:paraId="3BDD6AD1"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وتضيف الدراسة إلى موضوع العدالة الرقمية من خلال إبرازها أن الشفافية قد تتحسن بسرعة أكبر من السرعة في بعض الحالات؛ لأن مجرد مركزية المعلومات وإتاحة التتبع قد تُحسن وضوح المسار، بينما تتحقق السرعة حين تتوافر شروط التبني الفعلي والتصميم الجيد وإعادة هندسة الإجراءات. وهذا الطرح يقدّم منظورًا نقديًا مهمًا للدراسة الحالية؛ إذ يوجهها إلى عدم افتراض أن جميع أبعاد الكفاءة تتحسن بالمقدار نفسه، بل قد يتفاوت الأثر بين السرعة والدقة والشفافية.</w:t>
      </w:r>
    </w:p>
    <w:p w14:paraId="3857A333"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وترتبط الدراسة الحالية بهذه الدراسة عبر منطق تفسير الأثر المشروط؛ فالدراسة الحالية تقيس أثر التحول الرقمي في محكمة التنفيذ على السرعة والدقة والشفافية، وتستلزم قراءة النتائج في ضوء أن التحول الرقمي قد يرفع الشفافية (مثل وضوح الحالة والتتبع) حتى قبل أن يحقق تسريعًا كبيرًا في الإنجاز، أو قد يحسن السرعة بينما يظل بُعد الدقة مرتبطًا بقدرة النظام على ضبط البيانات. ومن ثم تُعد هذه الدراسة مرجعًا مهمًا لتفسير الفروق بين الأبعاد.</w:t>
      </w:r>
    </w:p>
    <w:p w14:paraId="151CBC1D"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 xml:space="preserve">ومن حيث الاتفاق والاختلاف، تتفق الدراستان في الاهتمام بآثار </w:t>
      </w:r>
      <w:proofErr w:type="spellStart"/>
      <w:r w:rsidRPr="009C4079">
        <w:rPr>
          <w:rFonts w:ascii="Simplified Arabic" w:hAnsi="Simplified Arabic" w:cs="Simplified Arabic"/>
          <w:szCs w:val="28"/>
          <w:rtl/>
        </w:rPr>
        <w:t>رقمنة</w:t>
      </w:r>
      <w:proofErr w:type="spellEnd"/>
      <w:r w:rsidRPr="009C4079">
        <w:rPr>
          <w:rFonts w:ascii="Simplified Arabic" w:hAnsi="Simplified Arabic" w:cs="Simplified Arabic"/>
          <w:szCs w:val="28"/>
          <w:rtl/>
        </w:rPr>
        <w:t xml:space="preserve"> الإجراءات على الكفاءة والشفافية، وتختلفان في السياق المؤسسي (محاكم تجارية وسياق مختلف) وفي المرحلة (تقاضي/محاكم عامة مقابل تنفيذ). إلا أن جوهر الفكرة—وهو أن الأثر ليس آليًا وأن التصميم والتبني عوامل حاسمة—يتطابق مع فكرة الدراسة الحالية التي تتعامل مع التحول الرقمي في التنفيذ بوصفه عملية مؤسسية تتطلب الاستخدام الفعلي والتكامل.</w:t>
      </w:r>
    </w:p>
    <w:p w14:paraId="0A695D2F"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 xml:space="preserve">أما حدود الاستفادة فتتمثل في أن الدراسة لا تتناول محاكم التنفيذ تحديدًا، ولا تقدم بالضرورة إطارًا مباشرًا لقياس كفاءة الإنجاز في التنفيذ، لكنها تظل مفيدة لأنها تقدم منظورًا تحليليًا حول المفاضلة بين وعود السرعة ومكاسب الشفافية، وحول </w:t>
      </w:r>
      <w:proofErr w:type="spellStart"/>
      <w:r w:rsidRPr="009C4079">
        <w:rPr>
          <w:rFonts w:ascii="Simplified Arabic" w:hAnsi="Simplified Arabic" w:cs="Simplified Arabic"/>
          <w:szCs w:val="28"/>
          <w:rtl/>
        </w:rPr>
        <w:t>مشروطية</w:t>
      </w:r>
      <w:proofErr w:type="spellEnd"/>
      <w:r w:rsidRPr="009C4079">
        <w:rPr>
          <w:rFonts w:ascii="Simplified Arabic" w:hAnsi="Simplified Arabic" w:cs="Simplified Arabic"/>
          <w:szCs w:val="28"/>
          <w:rtl/>
        </w:rPr>
        <w:t xml:space="preserve"> الأثر بعوامل التبني والتصميم، وهو ما يمكن إسقاطه على التحول الرقمي في محكمة التنفيذ. (</w:t>
      </w:r>
      <w:proofErr w:type="spellStart"/>
      <w:r w:rsidRPr="009C4079">
        <w:rPr>
          <w:rFonts w:ascii="Simplified Arabic" w:hAnsi="Simplified Arabic" w:cs="Simplified Arabic"/>
          <w:szCs w:val="28"/>
          <w:rtl/>
        </w:rPr>
        <w:t>Pelssers</w:t>
      </w:r>
      <w:proofErr w:type="spellEnd"/>
      <w:r w:rsidRPr="009C4079">
        <w:rPr>
          <w:rFonts w:ascii="Simplified Arabic" w:hAnsi="Simplified Arabic" w:cs="Simplified Arabic"/>
          <w:szCs w:val="28"/>
          <w:rtl/>
        </w:rPr>
        <w:t xml:space="preserve"> &amp; </w:t>
      </w:r>
      <w:proofErr w:type="spellStart"/>
      <w:r w:rsidRPr="009C4079">
        <w:rPr>
          <w:rFonts w:ascii="Simplified Arabic" w:hAnsi="Simplified Arabic" w:cs="Simplified Arabic"/>
          <w:szCs w:val="28"/>
          <w:rtl/>
        </w:rPr>
        <w:t>Dubois</w:t>
      </w:r>
      <w:proofErr w:type="spellEnd"/>
      <w:r w:rsidRPr="009C4079">
        <w:rPr>
          <w:rFonts w:ascii="Simplified Arabic" w:hAnsi="Simplified Arabic" w:cs="Simplified Arabic"/>
          <w:szCs w:val="28"/>
          <w:rtl/>
        </w:rPr>
        <w:t>, 2022)</w:t>
      </w:r>
    </w:p>
    <w:p w14:paraId="072893D8"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 xml:space="preserve">دراسة </w:t>
      </w:r>
      <w:proofErr w:type="spellStart"/>
      <w:r w:rsidRPr="009C4079">
        <w:rPr>
          <w:rFonts w:ascii="Simplified Arabic" w:hAnsi="Simplified Arabic" w:cs="Simplified Arabic"/>
          <w:szCs w:val="28"/>
          <w:rtl/>
        </w:rPr>
        <w:t>Poshai</w:t>
      </w:r>
      <w:proofErr w:type="spellEnd"/>
      <w:r w:rsidRPr="009C4079">
        <w:rPr>
          <w:rFonts w:ascii="Simplified Arabic" w:hAnsi="Simplified Arabic" w:cs="Simplified Arabic"/>
          <w:szCs w:val="28"/>
          <w:rtl/>
        </w:rPr>
        <w:t xml:space="preserve"> &amp; </w:t>
      </w:r>
      <w:proofErr w:type="spellStart"/>
      <w:r w:rsidRPr="009C4079">
        <w:rPr>
          <w:rFonts w:ascii="Simplified Arabic" w:hAnsi="Simplified Arabic" w:cs="Simplified Arabic"/>
          <w:szCs w:val="28"/>
          <w:rtl/>
        </w:rPr>
        <w:t>Vyas-Doorgapersad</w:t>
      </w:r>
      <w:proofErr w:type="spellEnd"/>
      <w:r w:rsidRPr="009C4079">
        <w:rPr>
          <w:rFonts w:ascii="Simplified Arabic" w:hAnsi="Simplified Arabic" w:cs="Simplified Arabic"/>
          <w:szCs w:val="28"/>
          <w:rtl/>
        </w:rPr>
        <w:t xml:space="preserve"> (2023) بعنوان “</w:t>
      </w:r>
      <w:proofErr w:type="spellStart"/>
      <w:r w:rsidRPr="009C4079">
        <w:rPr>
          <w:rFonts w:ascii="Simplified Arabic" w:hAnsi="Simplified Arabic" w:cs="Simplified Arabic"/>
          <w:szCs w:val="28"/>
          <w:rtl/>
        </w:rPr>
        <w:t>Adoption</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of</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an</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Integrated</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Electronic</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Case</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Management</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System</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in</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Zimbabwe</w:t>
      </w:r>
      <w:proofErr w:type="spellEnd"/>
      <w:r w:rsidRPr="009C4079">
        <w:rPr>
          <w:rFonts w:ascii="Simplified Arabic" w:hAnsi="Simplified Arabic" w:cs="Simplified Arabic"/>
          <w:szCs w:val="28"/>
          <w:rtl/>
        </w:rPr>
        <w:t xml:space="preserve">”، هدفت الدراسة إلى التعرف على عوامل نجاح تبني نظام إدارة القضايا الإلكتروني في البيئة القضائية </w:t>
      </w:r>
      <w:proofErr w:type="spellStart"/>
      <w:r w:rsidRPr="009C4079">
        <w:rPr>
          <w:rFonts w:ascii="Simplified Arabic" w:hAnsi="Simplified Arabic" w:cs="Simplified Arabic"/>
          <w:szCs w:val="28"/>
          <w:rtl/>
        </w:rPr>
        <w:t>الزيمبابوية</w:t>
      </w:r>
      <w:proofErr w:type="spellEnd"/>
      <w:r w:rsidRPr="009C4079">
        <w:rPr>
          <w:rFonts w:ascii="Simplified Arabic" w:hAnsi="Simplified Arabic" w:cs="Simplified Arabic"/>
          <w:szCs w:val="28"/>
          <w:rtl/>
        </w:rPr>
        <w:t xml:space="preserve">، وبيان أثر الجاهزية المؤسسية والموارد والتدريب في تحقيق </w:t>
      </w:r>
      <w:r w:rsidRPr="009C4079">
        <w:rPr>
          <w:rFonts w:ascii="Simplified Arabic" w:hAnsi="Simplified Arabic" w:cs="Simplified Arabic"/>
          <w:szCs w:val="28"/>
          <w:rtl/>
        </w:rPr>
        <w:lastRenderedPageBreak/>
        <w:t>الكفاءة. وأظهرت الدراسة أن توافر النظام الإلكتروني لا يكفي وحده لتحقيق النتائج المرجوة، بل لا بد من دعم الاستخدام الفعلي من خلال التدريب، وتوفير الموارد، وتقليل مقاومة التغيير، وتعزيز الثقافة الرقمية. وأوصت الدراسة بضرورة دعم التحول الرقمي قضائيًا بمقومات بشرية ومؤسسية مستدامة تضمن نجاح التطبيق.</w:t>
      </w:r>
    </w:p>
    <w:p w14:paraId="3ABC68B0"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وتضيف الدراسة للأدبيات من حيث أنها تُبرز البعد السلوكي والمؤسسي للتحول الرقمي: أي أن الكفاءة المتوقعة (السرعة، التنظيم، تقليل التأخير) تتحقق عندما ينتقل المستخدمون—قضاة وموظفون ومستفيدون من مجرد “توفر التقنية” إلى “الاستخدام الفعلي”، وعندما تدعم المؤسسة هذا الاستخدام عبر تدريب وموارد وبنية اتصال مناسبة. وهذه الإضافة تتقاطع مع منظور نموذج قبول التكنولوجيا (TAM) الذي تُفعّله الدراسة الحالية في إطارها النظري.</w:t>
      </w:r>
    </w:p>
    <w:p w14:paraId="6908E9A6"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وترتبط الدراسة الحالية بهذه الدراسة عبر تفسير العلاقة بين التحول الرقمي وبين أبعاد الكفاءة الثلاثة؛ فالسرعة قد تتحسن عندما يقل الاعتماد على اليدوي وتتسع دائرة الاستخدام، والدقة قد تتحسن عندما تُضبط إجراءات الإدخال والتحقق، والشفافية قد ترتفع عندما يصبح تتبع الملف جزءًا من الممارسة اليومية. إلا أن الدراسة الأجنبية تنبه إلى أن مقاومة التغيير وضعف الجاهزية قد تحدّ من هذه المكاسب، وهو ما يجعل الدراسة الحالية أكثر حساسية في تفسير النتائج: فقد يظهر أن أثر التحول الرقمي قوي في بعد، وأضعف في آخر بسبب عوامل تبني أو جاهزية.</w:t>
      </w:r>
    </w:p>
    <w:p w14:paraId="15F86A9C"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ومن حيث الاتفاق والاختلاف، تتفق الدراستان في ربط التحول الرقمي بالكفاءة مع اشتراط الاستخدام الفعلي والتجهيز المؤسسي، وتختلفان في السياق الوطني (زيمبابوي مقابل السعودية) وفي طبيعة المرحلة (إدارة القضايا عمومًا مقابل التنفيذ). ومع ذلك، فإن العوامل التي تطرحها الدراسة—كالجاهزية ومقاومة التغيير—هي عوامل عامة يمكن أن تؤثر في أي تحول رقمي في العدالة، وبالتالي يمكن الاستفادة منها في بناء تفسير النتائج في محكمة التنفيذ.</w:t>
      </w:r>
    </w:p>
    <w:p w14:paraId="761EAC53"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أما حدود الاستفادة فتتمثل في أن الدراسة تقدم إطارًا عامًا لعوامل نجاح نظام إدارة القضايا، ولا تُخصص قياس الكفاءة بأبعاد السرعة والدقة والشفافية في التنفيذ، كما أنها تتناول سياقًا تنظيميًا مختلفًا. لذا تُستفاد في بناء المنطق التفسيري حول التبني والاستخدام والجاهزية، دون أن تحل محل الحاجة إلى قياس أثر التحول الرقمي في محكمة التنفيذ السعودية وفق أبعاد الدراسة الحالية. (</w:t>
      </w:r>
      <w:proofErr w:type="spellStart"/>
      <w:r w:rsidRPr="009C4079">
        <w:rPr>
          <w:rFonts w:ascii="Simplified Arabic" w:hAnsi="Simplified Arabic" w:cs="Simplified Arabic"/>
          <w:szCs w:val="28"/>
          <w:rtl/>
        </w:rPr>
        <w:t>Poshai</w:t>
      </w:r>
      <w:proofErr w:type="spellEnd"/>
      <w:r w:rsidRPr="009C4079">
        <w:rPr>
          <w:rFonts w:ascii="Simplified Arabic" w:hAnsi="Simplified Arabic" w:cs="Simplified Arabic"/>
          <w:szCs w:val="28"/>
          <w:rtl/>
        </w:rPr>
        <w:t xml:space="preserve"> &amp; </w:t>
      </w:r>
      <w:proofErr w:type="spellStart"/>
      <w:r w:rsidRPr="009C4079">
        <w:rPr>
          <w:rFonts w:ascii="Simplified Arabic" w:hAnsi="Simplified Arabic" w:cs="Simplified Arabic"/>
          <w:szCs w:val="28"/>
          <w:rtl/>
        </w:rPr>
        <w:t>Vyas-Doorgapersad</w:t>
      </w:r>
      <w:proofErr w:type="spellEnd"/>
      <w:r w:rsidRPr="009C4079">
        <w:rPr>
          <w:rFonts w:ascii="Simplified Arabic" w:hAnsi="Simplified Arabic" w:cs="Simplified Arabic"/>
          <w:szCs w:val="28"/>
          <w:rtl/>
        </w:rPr>
        <w:t>, 2023)</w:t>
      </w:r>
    </w:p>
    <w:p w14:paraId="11C5DB33"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 xml:space="preserve">دراسة </w:t>
      </w:r>
      <w:proofErr w:type="spellStart"/>
      <w:r w:rsidRPr="009C4079">
        <w:rPr>
          <w:rFonts w:ascii="Simplified Arabic" w:hAnsi="Simplified Arabic" w:cs="Simplified Arabic"/>
          <w:szCs w:val="28"/>
          <w:rtl/>
        </w:rPr>
        <w:t>Nuh</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et</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al</w:t>
      </w:r>
      <w:proofErr w:type="spellEnd"/>
      <w:r w:rsidRPr="009C4079">
        <w:rPr>
          <w:rFonts w:ascii="Simplified Arabic" w:hAnsi="Simplified Arabic" w:cs="Simplified Arabic"/>
          <w:szCs w:val="28"/>
          <w:rtl/>
        </w:rPr>
        <w:t>. (2022) بعنوان “</w:t>
      </w:r>
      <w:proofErr w:type="spellStart"/>
      <w:r w:rsidRPr="009C4079">
        <w:rPr>
          <w:rFonts w:ascii="Simplified Arabic" w:hAnsi="Simplified Arabic" w:cs="Simplified Arabic"/>
          <w:szCs w:val="28"/>
          <w:rtl/>
        </w:rPr>
        <w:t>The</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Implementation</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of</w:t>
      </w:r>
      <w:proofErr w:type="spellEnd"/>
      <w:r w:rsidRPr="009C4079">
        <w:rPr>
          <w:rFonts w:ascii="Simplified Arabic" w:hAnsi="Simplified Arabic" w:cs="Simplified Arabic"/>
          <w:szCs w:val="28"/>
          <w:rtl/>
        </w:rPr>
        <w:t xml:space="preserve"> e-</w:t>
      </w:r>
      <w:proofErr w:type="spellStart"/>
      <w:r w:rsidRPr="009C4079">
        <w:rPr>
          <w:rFonts w:ascii="Simplified Arabic" w:hAnsi="Simplified Arabic" w:cs="Simplified Arabic"/>
          <w:szCs w:val="28"/>
          <w:rtl/>
        </w:rPr>
        <w:t>Court</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in</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Civil</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Case</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Settlement</w:t>
      </w:r>
      <w:proofErr w:type="spellEnd"/>
      <w:r w:rsidRPr="009C4079">
        <w:rPr>
          <w:rFonts w:ascii="Simplified Arabic" w:hAnsi="Simplified Arabic" w:cs="Simplified Arabic"/>
          <w:szCs w:val="28"/>
          <w:rtl/>
        </w:rPr>
        <w:t xml:space="preserve">”، هدفت الدراسة إلى تناول أثر تطبيق نظام المحكمة الإلكترونية في </w:t>
      </w:r>
      <w:proofErr w:type="spellStart"/>
      <w:r w:rsidRPr="009C4079">
        <w:rPr>
          <w:rFonts w:ascii="Simplified Arabic" w:hAnsi="Simplified Arabic" w:cs="Simplified Arabic"/>
          <w:szCs w:val="28"/>
          <w:rtl/>
        </w:rPr>
        <w:t>رقمنة</w:t>
      </w:r>
      <w:proofErr w:type="spellEnd"/>
      <w:r w:rsidRPr="009C4079">
        <w:rPr>
          <w:rFonts w:ascii="Simplified Arabic" w:hAnsi="Simplified Arabic" w:cs="Simplified Arabic"/>
          <w:szCs w:val="28"/>
          <w:rtl/>
        </w:rPr>
        <w:t xml:space="preserve"> سلسلة الإجراءات المدنية، بما يشمل التسجيل، والدفع، والتبليغ، والجلسات. وتوصلت الدراسة إلى أن </w:t>
      </w:r>
      <w:proofErr w:type="spellStart"/>
      <w:r w:rsidRPr="009C4079">
        <w:rPr>
          <w:rFonts w:ascii="Simplified Arabic" w:hAnsi="Simplified Arabic" w:cs="Simplified Arabic"/>
          <w:szCs w:val="28"/>
          <w:rtl/>
        </w:rPr>
        <w:t>رقمنة</w:t>
      </w:r>
      <w:proofErr w:type="spellEnd"/>
      <w:r w:rsidRPr="009C4079">
        <w:rPr>
          <w:rFonts w:ascii="Simplified Arabic" w:hAnsi="Simplified Arabic" w:cs="Simplified Arabic"/>
          <w:szCs w:val="28"/>
          <w:rtl/>
        </w:rPr>
        <w:t xml:space="preserve"> السلسلة الإجرائية كاملة أكثر أثرًا من </w:t>
      </w:r>
      <w:proofErr w:type="spellStart"/>
      <w:r w:rsidRPr="009C4079">
        <w:rPr>
          <w:rFonts w:ascii="Simplified Arabic" w:hAnsi="Simplified Arabic" w:cs="Simplified Arabic"/>
          <w:szCs w:val="28"/>
          <w:rtl/>
        </w:rPr>
        <w:t>رقمنة</w:t>
      </w:r>
      <w:proofErr w:type="spellEnd"/>
      <w:r w:rsidRPr="009C4079">
        <w:rPr>
          <w:rFonts w:ascii="Simplified Arabic" w:hAnsi="Simplified Arabic" w:cs="Simplified Arabic"/>
          <w:szCs w:val="28"/>
          <w:rtl/>
        </w:rPr>
        <w:t xml:space="preserve"> خطوة واحدة فقط، لما يترتب عليها من تقليل زمن الانتقال بين المراحل، وتوحيد البيانات، وخفض الأخطاء، وتعزيز إمكانية تتبع حالة القضية. وأوصت الدراسة بضرورة تبني </w:t>
      </w:r>
      <w:proofErr w:type="spellStart"/>
      <w:r w:rsidRPr="009C4079">
        <w:rPr>
          <w:rFonts w:ascii="Simplified Arabic" w:hAnsi="Simplified Arabic" w:cs="Simplified Arabic"/>
          <w:szCs w:val="28"/>
          <w:rtl/>
        </w:rPr>
        <w:t>الرقمنة</w:t>
      </w:r>
      <w:proofErr w:type="spellEnd"/>
      <w:r w:rsidRPr="009C4079">
        <w:rPr>
          <w:rFonts w:ascii="Simplified Arabic" w:hAnsi="Simplified Arabic" w:cs="Simplified Arabic"/>
          <w:szCs w:val="28"/>
          <w:rtl/>
        </w:rPr>
        <w:t xml:space="preserve"> المتكاملة لمراحل التقاضي المختلفة، بما يحقق أعلى مستوى من الكفاءة والوضوح الإجرائي.</w:t>
      </w:r>
    </w:p>
    <w:p w14:paraId="6E76EE7E"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lastRenderedPageBreak/>
        <w:t>وتضيف الدراسة للأدبيات من خلال إبرازها لمفهوم “سلسلة الإجراءات” بوصفها وحدة التحليل الأساسية؛ إذ لا يكفي أن تُرقمن نقطة واحدة إذا ظلت بقية الحلقات يدوية أو غير متكاملة. وهذا الطرح يدعم الدراسة الحالية التي تتعامل مع التنفيذ بوصفه سلسلة تبدأ من تقديم الطلب وتمتد عبر إجراءات متعددة، ما يجعل التكامل والأتمتة عناصر حاسمة في تحقيق السرعة والدقة والشفافية.</w:t>
      </w:r>
    </w:p>
    <w:p w14:paraId="63A8561A"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 xml:space="preserve">وترتبط الدراسة الحالية بهذه الدراسة عبر بُعد السرعة بصورة مباشرة؛ لأن </w:t>
      </w:r>
      <w:proofErr w:type="spellStart"/>
      <w:r w:rsidRPr="009C4079">
        <w:rPr>
          <w:rFonts w:ascii="Simplified Arabic" w:hAnsi="Simplified Arabic" w:cs="Simplified Arabic"/>
          <w:szCs w:val="28"/>
          <w:rtl/>
        </w:rPr>
        <w:t>رقمنة</w:t>
      </w:r>
      <w:proofErr w:type="spellEnd"/>
      <w:r w:rsidRPr="009C4079">
        <w:rPr>
          <w:rFonts w:ascii="Simplified Arabic" w:hAnsi="Simplified Arabic" w:cs="Simplified Arabic"/>
          <w:szCs w:val="28"/>
          <w:rtl/>
        </w:rPr>
        <w:t xml:space="preserve"> التسجيل والتبليغ والدفع تُقلل عادة من زمن الانتقال بين المراحل. كما ترتبط بها عبر الدقة لأن </w:t>
      </w:r>
      <w:proofErr w:type="spellStart"/>
      <w:r w:rsidRPr="009C4079">
        <w:rPr>
          <w:rFonts w:ascii="Simplified Arabic" w:hAnsi="Simplified Arabic" w:cs="Simplified Arabic"/>
          <w:szCs w:val="28"/>
          <w:rtl/>
        </w:rPr>
        <w:t>الرقمنة</w:t>
      </w:r>
      <w:proofErr w:type="spellEnd"/>
      <w:r w:rsidRPr="009C4079">
        <w:rPr>
          <w:rFonts w:ascii="Simplified Arabic" w:hAnsi="Simplified Arabic" w:cs="Simplified Arabic"/>
          <w:szCs w:val="28"/>
          <w:rtl/>
        </w:rPr>
        <w:t xml:space="preserve"> المتكاملة تفرض معيارية البيانات وتوحيد النماذج وتقليل الأخطاء المرتبطة بالمدخلات. وترتبط بها عبر الشفافية لأن توحيد السلسلة في بيئة رقمية يعزز إمكانية تتبع الحالة والمرحلة وتوثيق الإجراءات بصورة أكثر انتظامًا.</w:t>
      </w:r>
    </w:p>
    <w:p w14:paraId="4BFC06E0"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 xml:space="preserve">ومن حيث الاتفاق والاختلاف، تتفق الدراستان في أن التحول الرقمي يتجسد في </w:t>
      </w:r>
      <w:proofErr w:type="spellStart"/>
      <w:r w:rsidRPr="009C4079">
        <w:rPr>
          <w:rFonts w:ascii="Simplified Arabic" w:hAnsi="Simplified Arabic" w:cs="Simplified Arabic"/>
          <w:szCs w:val="28"/>
          <w:rtl/>
        </w:rPr>
        <w:t>رقمنة</w:t>
      </w:r>
      <w:proofErr w:type="spellEnd"/>
      <w:r w:rsidRPr="009C4079">
        <w:rPr>
          <w:rFonts w:ascii="Simplified Arabic" w:hAnsi="Simplified Arabic" w:cs="Simplified Arabic"/>
          <w:szCs w:val="28"/>
          <w:rtl/>
        </w:rPr>
        <w:t xml:space="preserve"> سلسلة متكاملة ويُتوقع أن ينعكس على الكفاءة، وتختلفان في طبيعة المرحلة؛ فالدراسة الأجنبية تركز على تسوية القضايا المدنية، بينما تركز الدراسة الحالية على التنفيذ. إلا أن التنفيذ يشترك مع التقاضي في وجود سلسلة إجراءات متعددة، ما يجعل فكرة “</w:t>
      </w:r>
      <w:proofErr w:type="spellStart"/>
      <w:r w:rsidRPr="009C4079">
        <w:rPr>
          <w:rFonts w:ascii="Simplified Arabic" w:hAnsi="Simplified Arabic" w:cs="Simplified Arabic"/>
          <w:szCs w:val="28"/>
          <w:rtl/>
        </w:rPr>
        <w:t>الرقمنة</w:t>
      </w:r>
      <w:proofErr w:type="spellEnd"/>
      <w:r w:rsidRPr="009C4079">
        <w:rPr>
          <w:rFonts w:ascii="Simplified Arabic" w:hAnsi="Simplified Arabic" w:cs="Simplified Arabic"/>
          <w:szCs w:val="28"/>
          <w:rtl/>
        </w:rPr>
        <w:t xml:space="preserve"> المتكاملة” قابلة للتطبيق بقوة في سياق محكمة التنفيذ.</w:t>
      </w:r>
    </w:p>
    <w:p w14:paraId="1EA09AA4"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أما حدود الاستفادة فتتمثل في أن الدراسة ليست في سياق سعودي، ولا تتناول خصوصية التنفيذ بوصفه مرحلة إنفاذ حقوق ترتبط بجهات متعددة وعمليات متسلسلة قد تكون أشد حساسية للبيانات. ومع ذلك، تبقى الدراسة مفيدة في تعزيز منطق القياس على مستوى السلسلة، وفي دعم فرضية أن التحول الرقمي الأوسع نطاقًا قد ينعكس على أبعاد الكفاءة الثلاثة بصورة أكثر وضوحًا. (</w:t>
      </w:r>
      <w:proofErr w:type="spellStart"/>
      <w:r w:rsidRPr="009C4079">
        <w:rPr>
          <w:rFonts w:ascii="Simplified Arabic" w:hAnsi="Simplified Arabic" w:cs="Simplified Arabic"/>
          <w:szCs w:val="28"/>
          <w:rtl/>
        </w:rPr>
        <w:t>Nuh</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et</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al</w:t>
      </w:r>
      <w:proofErr w:type="spellEnd"/>
      <w:r w:rsidRPr="009C4079">
        <w:rPr>
          <w:rFonts w:ascii="Simplified Arabic" w:hAnsi="Simplified Arabic" w:cs="Simplified Arabic"/>
          <w:szCs w:val="28"/>
          <w:rtl/>
        </w:rPr>
        <w:t>., 2022)</w:t>
      </w:r>
    </w:p>
    <w:p w14:paraId="12594233"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 xml:space="preserve">دراسة </w:t>
      </w:r>
      <w:proofErr w:type="spellStart"/>
      <w:r w:rsidRPr="009C4079">
        <w:rPr>
          <w:rFonts w:ascii="Simplified Arabic" w:hAnsi="Simplified Arabic" w:cs="Simplified Arabic"/>
          <w:szCs w:val="28"/>
          <w:rtl/>
        </w:rPr>
        <w:t>Araújo</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et</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al</w:t>
      </w:r>
      <w:proofErr w:type="spellEnd"/>
      <w:r w:rsidRPr="009C4079">
        <w:rPr>
          <w:rFonts w:ascii="Simplified Arabic" w:hAnsi="Simplified Arabic" w:cs="Simplified Arabic"/>
          <w:szCs w:val="28"/>
          <w:rtl/>
        </w:rPr>
        <w:t xml:space="preserve">. (2025) بعنوان “A </w:t>
      </w:r>
      <w:proofErr w:type="spellStart"/>
      <w:r w:rsidRPr="009C4079">
        <w:rPr>
          <w:rFonts w:ascii="Simplified Arabic" w:hAnsi="Simplified Arabic" w:cs="Simplified Arabic"/>
          <w:szCs w:val="28"/>
          <w:rtl/>
        </w:rPr>
        <w:t>Systematic</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Review</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of</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Artificial</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Intelligence</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Applications</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in</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the</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Brazilian</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Judicial</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Sector</w:t>
      </w:r>
      <w:proofErr w:type="spellEnd"/>
      <w:r w:rsidRPr="009C4079">
        <w:rPr>
          <w:rFonts w:ascii="Simplified Arabic" w:hAnsi="Simplified Arabic" w:cs="Simplified Arabic"/>
          <w:szCs w:val="28"/>
          <w:rtl/>
        </w:rPr>
        <w:t>”، هدفت الدراسة إلى تحليل تطبيقات الذكاء الاصطناعي في القطاع القضائي البرازيلي، وبيان أثرها في دعم سير العمل ورفع الإنتاجية وتقليل الزمن الإجرائي. وأظهرت الدراسة أن تطبيقات الذكاء الاصطناعي تسهم في تسريع بعض المهام وتحسين كفاءة الأداء، إلا أن ضعف التوثيق والمعايير قد يحد من القدرة على تقييم الأثر ويؤثر في مستوى الشفافية المؤسسية. وأوصت الدراسة بضرورة وضع معايير واضحة للتوثيق والتقييم، بما يضمن التوازن بين الأتمتة وسلامة الإجراء وشفافيته.</w:t>
      </w:r>
    </w:p>
    <w:p w14:paraId="054D4FFC"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وتضيف هذه الدراسة للأدبيات من زاوية أنها تربط بين “التسريع” وبين “قابلية التقييم والشفافية”؛ فالذكاء الاصطناعي قد يرفع الإنتاجية ويُسرّع بعض الأعمال، لكنه قد يخلق تحديات تتعلق بإمكانية تفسير القرارات أو تتبع المنطق أو توحيد المعايير، وهو ما يجعل الشفافية عنصرًا جوهريًا في نجاح التحول وليس مجرد نتيجة ثانوية. وهذه الإضافة مهمة للدراسة الحالية لأن التنفيذ الرقمي قد يتضمن أتمتة في التحقق أو التوجيه أو إدارة الطلبات، ما يجعل الشفافية والتوثيق ضرورية لضمان الثقة.</w:t>
      </w:r>
    </w:p>
    <w:p w14:paraId="02022588"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lastRenderedPageBreak/>
        <w:t>وترتبط الدراسة الحالية بهذه الدراسة عبر تأكيدها على أن السرعة في البيئة الرقمية ينبغي أن تُبنى على توثيق ومعايير واضحة تتيح تقييم الأداء ومراجعته، وهو ما ينعكس على الشفافية وعلى مفهوم الدقة بوصفه سلامة الإجراء وموثوقية البيانات. وفي سياق محكمة التنفيذ، فإن وجود سجل واضح للإجراءات وإشعارات وتحديثات للحالة يُمثل تجسيدًا لهذه الفكرة، ويُعزز قدرة الأطراف على المتابعة ويحد من الغموض الإجرائي.</w:t>
      </w:r>
    </w:p>
    <w:p w14:paraId="2766819D"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ومن حيث الاتفاق والاختلاف، تتفق الدراستان في النظر إلى التقنيات المتقدمة بوصفها جزءًا من التحول الرقمي القضائي الذي يستهدف تحسين الأداء، وتختلفان في طبيعة التقنية (ذكاء اصطناعي في البرازيل مقابل تحول رقمي في التنفيذ السعودي)، وفي مستوى التحليل (مراجعة منهجية للتطبيقات مقابل دراسة أثر التحول في بيئة محددة). إلا أن الفكرة المشتركة حول ضرورة التوثيق والمعايير لضمان الشفافية تُعد مدخلًا تفسيرًا مهمًا للدراسة الحالية.</w:t>
      </w:r>
    </w:p>
    <w:p w14:paraId="22872826"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أما حدود الاستفادة فتتمثل في أن الدراسة لا تتناول محاكم التنفيذ ولا تتجه مباشرة إلى قياس كفاءة الإنجاز وفق أبعاد السرعة والدقة والشفافية في التنفيذ، لكنها تبقى مرجعًا مهمًا لفهم علاقة الأتمتة بالتسريع من جهة، وبالشفافية وقابلية التقييم من جهة أخرى. وهو ما يعزز منطق الدراسة الحالية في تضمين الشفافية ضمن قياس الكفاءة التنفيذية. (</w:t>
      </w:r>
      <w:proofErr w:type="spellStart"/>
      <w:r w:rsidRPr="009C4079">
        <w:rPr>
          <w:rFonts w:ascii="Simplified Arabic" w:hAnsi="Simplified Arabic" w:cs="Simplified Arabic"/>
          <w:szCs w:val="28"/>
          <w:rtl/>
        </w:rPr>
        <w:t>Araújo</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et</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al</w:t>
      </w:r>
      <w:proofErr w:type="spellEnd"/>
      <w:r w:rsidRPr="009C4079">
        <w:rPr>
          <w:rFonts w:ascii="Simplified Arabic" w:hAnsi="Simplified Arabic" w:cs="Simplified Arabic"/>
          <w:szCs w:val="28"/>
          <w:rtl/>
        </w:rPr>
        <w:t>., 2025)</w:t>
      </w:r>
    </w:p>
    <w:p w14:paraId="361C088E"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تقرير (2021) بعنوان “</w:t>
      </w:r>
      <w:proofErr w:type="spellStart"/>
      <w:r w:rsidRPr="009C4079">
        <w:rPr>
          <w:rFonts w:ascii="Simplified Arabic" w:hAnsi="Simplified Arabic" w:cs="Simplified Arabic"/>
          <w:szCs w:val="28"/>
          <w:rtl/>
        </w:rPr>
        <w:t>Evaluation</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of</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the</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eCourts</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System</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Implementation</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in</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the</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Philippines</w:t>
      </w:r>
      <w:proofErr w:type="spellEnd"/>
      <w:r w:rsidRPr="009C4079">
        <w:rPr>
          <w:rFonts w:ascii="Simplified Arabic" w:hAnsi="Simplified Arabic" w:cs="Simplified Arabic"/>
          <w:szCs w:val="28"/>
          <w:rtl/>
        </w:rPr>
        <w:t>”، هدف التقرير إلى تقييم أثر نظام المحاكم الإلكترونية في الفلبين من خلال مؤشرات تشغيلية تتعلق بتتبع القضايا، وتحسين المراقبة، وتسهيل الإدارة القضائية. وتوصل التقرير إلى أن النظام الإلكتروني أسهم في تحسين التتبع والقدرة على المراقبة والإدارة، إلا أن أثره على تقليل المدد الزمنية تأثر ببعض القيود التطبيقية. وأوصى التقرير بضرورة الاعتماد على المؤشرات التشغيلية العملية عند تقييم أثر التحول الرقمي، وعدم الاكتفاء بالتصورات العامة حول فوائده.</w:t>
      </w:r>
    </w:p>
    <w:p w14:paraId="6C8105C0"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 xml:space="preserve">وتضيف هذه الدراسة/التقرير للأدبيات من خلال إبرازها لقيمة “المؤشرات التشغيلية” في الحكم على أثر التحول الرقمي؛ فبدل الاكتفاء بالحديث عن </w:t>
      </w:r>
      <w:proofErr w:type="spellStart"/>
      <w:r w:rsidRPr="009C4079">
        <w:rPr>
          <w:rFonts w:ascii="Simplified Arabic" w:hAnsi="Simplified Arabic" w:cs="Simplified Arabic"/>
          <w:szCs w:val="28"/>
          <w:rtl/>
        </w:rPr>
        <w:t>الرقمنة</w:t>
      </w:r>
      <w:proofErr w:type="spellEnd"/>
      <w:r w:rsidRPr="009C4079">
        <w:rPr>
          <w:rFonts w:ascii="Simplified Arabic" w:hAnsi="Simplified Arabic" w:cs="Simplified Arabic"/>
          <w:szCs w:val="28"/>
          <w:rtl/>
        </w:rPr>
        <w:t xml:space="preserve"> كفكرة، يتجه التقرير إلى تفعيل مؤشرات تتعلق بالتتبع والمراقبة والإدارة. وهذه النقطة تتقاطع مع الدراسة الحالية لأنها تتبنى قياس الكفاءة عبر أبعاد قابلة للملاحظة: السرعة والدقة والشفافية. وتحديدًا، فإن تركيز التقرير على التتبع والمراقبة يعزز إدراج الشفافية بوصفها مؤشرًا محوريًا في الأنظمة الرقمية.</w:t>
      </w:r>
    </w:p>
    <w:p w14:paraId="2CC6929C"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وترتبط الدراسة الحالية بالتقرير عبر مفهوم الشفافية؛ إذ إن التتبع والمراقبة اللحظية تعني أن النظام يوفر بيانات مستمرة عن الحالة والمرحلة، ما يرفع وضوح المسار الإجرائي. كما ترتبط به عبر السرعة من زاوية أن تحسين الإدارة والتتبع قد يسهم في تقليل التأخير، وإن كان التقرير يشير إلى أن أثر الزمن قد يتأثر بقيود تطبيقية، وهو ما ينسجم مع فكرة الأثر المشروط كما في (</w:t>
      </w:r>
      <w:proofErr w:type="spellStart"/>
      <w:r w:rsidRPr="009C4079">
        <w:rPr>
          <w:rFonts w:ascii="Simplified Arabic" w:hAnsi="Simplified Arabic" w:cs="Simplified Arabic"/>
          <w:szCs w:val="28"/>
          <w:rtl/>
        </w:rPr>
        <w:t>Pelssers</w:t>
      </w:r>
      <w:proofErr w:type="spellEnd"/>
      <w:r w:rsidRPr="009C4079">
        <w:rPr>
          <w:rFonts w:ascii="Simplified Arabic" w:hAnsi="Simplified Arabic" w:cs="Simplified Arabic"/>
          <w:szCs w:val="28"/>
          <w:rtl/>
        </w:rPr>
        <w:t xml:space="preserve"> &amp; </w:t>
      </w:r>
      <w:proofErr w:type="spellStart"/>
      <w:r w:rsidRPr="009C4079">
        <w:rPr>
          <w:rFonts w:ascii="Simplified Arabic" w:hAnsi="Simplified Arabic" w:cs="Simplified Arabic"/>
          <w:szCs w:val="28"/>
          <w:rtl/>
        </w:rPr>
        <w:t>Dubois</w:t>
      </w:r>
      <w:proofErr w:type="spellEnd"/>
      <w:r w:rsidRPr="009C4079">
        <w:rPr>
          <w:rFonts w:ascii="Simplified Arabic" w:hAnsi="Simplified Arabic" w:cs="Simplified Arabic"/>
          <w:szCs w:val="28"/>
          <w:rtl/>
        </w:rPr>
        <w:t>, 2022). وترتبط به أيضًا عبر الدقة بصورة غير مباشرة، لأن وجود مؤشرات تشغيلية وتوثيق للمراحل يدعم سلامة البيانات ويقلل الالتباس.</w:t>
      </w:r>
    </w:p>
    <w:p w14:paraId="58F327E3"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lastRenderedPageBreak/>
        <w:t xml:space="preserve">ومن حيث الاتفاق والاختلاف، تتفق الدراسة الحالية مع التقرير في الاتجاه نحو القياس العملي لأثر </w:t>
      </w:r>
      <w:proofErr w:type="spellStart"/>
      <w:r w:rsidRPr="009C4079">
        <w:rPr>
          <w:rFonts w:ascii="Simplified Arabic" w:hAnsi="Simplified Arabic" w:cs="Simplified Arabic"/>
          <w:szCs w:val="28"/>
          <w:rtl/>
        </w:rPr>
        <w:t>الرقمنة</w:t>
      </w:r>
      <w:proofErr w:type="spellEnd"/>
      <w:r w:rsidRPr="009C4079">
        <w:rPr>
          <w:rFonts w:ascii="Simplified Arabic" w:hAnsi="Simplified Arabic" w:cs="Simplified Arabic"/>
          <w:szCs w:val="28"/>
          <w:rtl/>
        </w:rPr>
        <w:t xml:space="preserve"> عبر مؤشرات تشغيلية، وتختلفان في السياق المؤسسي والوطني؛ إذ يتناول التقرير تجربة الفلبين بينما تركز الدراسة الحالية على السعودية ومحكمة التنفيذ تحديدًا. إلا أن قيمة التقرير تكمن في ترسيخ فكرة أن التحول الرقمي ينبغي أن يُقاس عبر مؤشرات أداء وتتبّع، وهو ما ينسجم تمامًا مع اختيار الدراسة الحالية لأبعاد السرعة والدقة والشفافية.</w:t>
      </w:r>
    </w:p>
    <w:p w14:paraId="034E18AB"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 xml:space="preserve">أما حدود الاستفادة فتتمثل في أن التقرير يركّز على تقييم تجربة بعينها ضمن سياق مختلف، ولا يتناول خصوصية مسار التنفيذ السعودي أو منصاته. لذا تُستفاد منه فكرة “التقييم بالمؤشرات التشغيلية” وفكرة أن قيود التطبيق قد تحد من انعكاس </w:t>
      </w:r>
      <w:proofErr w:type="spellStart"/>
      <w:r w:rsidRPr="009C4079">
        <w:rPr>
          <w:rFonts w:ascii="Simplified Arabic" w:hAnsi="Simplified Arabic" w:cs="Simplified Arabic"/>
          <w:szCs w:val="28"/>
          <w:rtl/>
        </w:rPr>
        <w:t>الرقمنة</w:t>
      </w:r>
      <w:proofErr w:type="spellEnd"/>
      <w:r w:rsidRPr="009C4079">
        <w:rPr>
          <w:rFonts w:ascii="Simplified Arabic" w:hAnsi="Simplified Arabic" w:cs="Simplified Arabic"/>
          <w:szCs w:val="28"/>
          <w:rtl/>
        </w:rPr>
        <w:t xml:space="preserve"> على الزمن، دون نقل تفاصيل تطبيقية غير مرتبطة مباشرة بسياق الدراسة الحالية. (3ie, 2021)</w:t>
      </w:r>
    </w:p>
    <w:p w14:paraId="66150C7E" w14:textId="77777777" w:rsidR="00922EED" w:rsidRPr="009C4079" w:rsidRDefault="00B030D7" w:rsidP="009C4079">
      <w:pPr>
        <w:bidi/>
        <w:spacing w:after="160" w:line="240" w:lineRule="auto"/>
        <w:jc w:val="both"/>
        <w:rPr>
          <w:rFonts w:ascii="Simplified Arabic" w:hAnsi="Simplified Arabic" w:cs="Simplified Arabic"/>
          <w:bCs/>
          <w:sz w:val="32"/>
          <w:szCs w:val="32"/>
        </w:rPr>
      </w:pPr>
      <w:r w:rsidRPr="009C4079">
        <w:rPr>
          <w:rFonts w:ascii="Simplified Arabic" w:hAnsi="Simplified Arabic" w:cs="Simplified Arabic"/>
          <w:bCs/>
          <w:sz w:val="32"/>
          <w:szCs w:val="32"/>
          <w:rtl/>
        </w:rPr>
        <w:t>التعقيب على الدراسات السابقة</w:t>
      </w:r>
    </w:p>
    <w:p w14:paraId="508D3CB4"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 xml:space="preserve">تُظهر الدراسات العربية—على اختلاف موضوعاتها—اتجاهًا عامًا يُقر بأن التحول الرقمي في العدالة يرتبط بتحسين الأداء وتقليل الورقي وتبسيط الإجراءات، وهو ما يتضح في الدراسات ذات الطابع المؤسسي والتطبيقي مثل (حافظ، 2021) و(السلمي وآخرون، 2025)، والدراسات التي تربط </w:t>
      </w:r>
      <w:proofErr w:type="spellStart"/>
      <w:r w:rsidRPr="009C4079">
        <w:rPr>
          <w:rFonts w:ascii="Simplified Arabic" w:hAnsi="Simplified Arabic" w:cs="Simplified Arabic"/>
          <w:szCs w:val="28"/>
          <w:rtl/>
        </w:rPr>
        <w:t>الرقمنة</w:t>
      </w:r>
      <w:proofErr w:type="spellEnd"/>
      <w:r w:rsidRPr="009C4079">
        <w:rPr>
          <w:rFonts w:ascii="Simplified Arabic" w:hAnsi="Simplified Arabic" w:cs="Simplified Arabic"/>
          <w:szCs w:val="28"/>
          <w:rtl/>
        </w:rPr>
        <w:t xml:space="preserve"> بتحسين إدارة الدعوى والتنظيم الإجرائي مثل (الخطيب، 2024). وفي الوقت نفسه، تبيّن الدراسات ذات الطابع </w:t>
      </w:r>
      <w:proofErr w:type="spellStart"/>
      <w:r w:rsidRPr="009C4079">
        <w:rPr>
          <w:rFonts w:ascii="Simplified Arabic" w:hAnsi="Simplified Arabic" w:cs="Simplified Arabic"/>
          <w:szCs w:val="28"/>
          <w:rtl/>
        </w:rPr>
        <w:t>الضماني</w:t>
      </w:r>
      <w:proofErr w:type="spellEnd"/>
      <w:r w:rsidRPr="009C4079">
        <w:rPr>
          <w:rFonts w:ascii="Simplified Arabic" w:hAnsi="Simplified Arabic" w:cs="Simplified Arabic"/>
          <w:szCs w:val="28"/>
          <w:rtl/>
        </w:rPr>
        <w:t>/القانوني مثل (القثامي، 2021) و(العليان، 2025) و(قنديل، 2023) أن الكفاءة الرقمية ليست مفهومًا زمنيًا خالصًا، بل هي كفاءة منضبطة تتطلب حماية البيانات وسلامة الإجراء واستدامة الضمانات.</w:t>
      </w:r>
    </w:p>
    <w:p w14:paraId="555EAAB1"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كما تكشف الدراسات العربية عن تنوّع في “وحدة التحليل”: فبعضها يتناول التحول الرقمي كمنظومة (الأحمَدي، 2024)، وبعضها يفككه إلى حلقات إجرائية محددة ذات أثر على الزمن مثل الإعلان القضائي الإلكتروني (</w:t>
      </w:r>
      <w:proofErr w:type="spellStart"/>
      <w:r w:rsidRPr="009C4079">
        <w:rPr>
          <w:rFonts w:ascii="Simplified Arabic" w:hAnsi="Simplified Arabic" w:cs="Simplified Arabic"/>
          <w:szCs w:val="28"/>
          <w:rtl/>
        </w:rPr>
        <w:t>الهديفي</w:t>
      </w:r>
      <w:proofErr w:type="spellEnd"/>
      <w:r w:rsidRPr="009C4079">
        <w:rPr>
          <w:rFonts w:ascii="Simplified Arabic" w:hAnsi="Simplified Arabic" w:cs="Simplified Arabic"/>
          <w:szCs w:val="28"/>
          <w:rtl/>
        </w:rPr>
        <w:t>، 2021). وهذه النتيجة تدعم توجه الدراسة الحالية نحو التعامل مع مسار التنفيذ بوصفه سلسلة قابلة للتفكيك والقياس، بحيث يمكن فهم أثر التحول الرقمي على السرعة والدقة والشفافية عبر حلقات متعددة.</w:t>
      </w:r>
    </w:p>
    <w:p w14:paraId="2BC73852"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 xml:space="preserve">أما الدراسات الأجنبية فتضيف بعدًا نقديًا ومنهجيًا واضحًا: إذ تؤكد أن أثر </w:t>
      </w:r>
      <w:proofErr w:type="spellStart"/>
      <w:r w:rsidRPr="009C4079">
        <w:rPr>
          <w:rFonts w:ascii="Simplified Arabic" w:hAnsi="Simplified Arabic" w:cs="Simplified Arabic"/>
          <w:szCs w:val="28"/>
          <w:rtl/>
        </w:rPr>
        <w:t>الرقمنة</w:t>
      </w:r>
      <w:proofErr w:type="spellEnd"/>
      <w:r w:rsidRPr="009C4079">
        <w:rPr>
          <w:rFonts w:ascii="Simplified Arabic" w:hAnsi="Simplified Arabic" w:cs="Simplified Arabic"/>
          <w:szCs w:val="28"/>
          <w:rtl/>
        </w:rPr>
        <w:t xml:space="preserve"> على الكفاءة مشروط بجودة التصميم والتبني والموارد والجاهزية (</w:t>
      </w:r>
      <w:proofErr w:type="spellStart"/>
      <w:r w:rsidRPr="009C4079">
        <w:rPr>
          <w:rFonts w:ascii="Simplified Arabic" w:hAnsi="Simplified Arabic" w:cs="Simplified Arabic"/>
          <w:szCs w:val="28"/>
          <w:rtl/>
        </w:rPr>
        <w:t>Pelssers</w:t>
      </w:r>
      <w:proofErr w:type="spellEnd"/>
      <w:r w:rsidRPr="009C4079">
        <w:rPr>
          <w:rFonts w:ascii="Simplified Arabic" w:hAnsi="Simplified Arabic" w:cs="Simplified Arabic"/>
          <w:szCs w:val="28"/>
          <w:rtl/>
        </w:rPr>
        <w:t xml:space="preserve"> &amp; </w:t>
      </w:r>
      <w:proofErr w:type="spellStart"/>
      <w:r w:rsidRPr="009C4079">
        <w:rPr>
          <w:rFonts w:ascii="Simplified Arabic" w:hAnsi="Simplified Arabic" w:cs="Simplified Arabic"/>
          <w:szCs w:val="28"/>
          <w:rtl/>
        </w:rPr>
        <w:t>Dubois</w:t>
      </w:r>
      <w:proofErr w:type="spellEnd"/>
      <w:r w:rsidRPr="009C4079">
        <w:rPr>
          <w:rFonts w:ascii="Simplified Arabic" w:hAnsi="Simplified Arabic" w:cs="Simplified Arabic"/>
          <w:szCs w:val="28"/>
          <w:rtl/>
        </w:rPr>
        <w:t xml:space="preserve">, 2022؛ </w:t>
      </w:r>
      <w:proofErr w:type="spellStart"/>
      <w:r w:rsidRPr="009C4079">
        <w:rPr>
          <w:rFonts w:ascii="Simplified Arabic" w:hAnsi="Simplified Arabic" w:cs="Simplified Arabic"/>
          <w:szCs w:val="28"/>
          <w:rtl/>
        </w:rPr>
        <w:t>Poshai</w:t>
      </w:r>
      <w:proofErr w:type="spellEnd"/>
      <w:r w:rsidRPr="009C4079">
        <w:rPr>
          <w:rFonts w:ascii="Simplified Arabic" w:hAnsi="Simplified Arabic" w:cs="Simplified Arabic"/>
          <w:szCs w:val="28"/>
          <w:rtl/>
        </w:rPr>
        <w:t xml:space="preserve"> &amp; </w:t>
      </w:r>
      <w:proofErr w:type="spellStart"/>
      <w:r w:rsidRPr="009C4079">
        <w:rPr>
          <w:rFonts w:ascii="Simplified Arabic" w:hAnsi="Simplified Arabic" w:cs="Simplified Arabic"/>
          <w:szCs w:val="28"/>
          <w:rtl/>
        </w:rPr>
        <w:t>Vyas-Doorgapersad</w:t>
      </w:r>
      <w:proofErr w:type="spellEnd"/>
      <w:r w:rsidRPr="009C4079">
        <w:rPr>
          <w:rFonts w:ascii="Simplified Arabic" w:hAnsi="Simplified Arabic" w:cs="Simplified Arabic"/>
          <w:szCs w:val="28"/>
          <w:rtl/>
        </w:rPr>
        <w:t xml:space="preserve">, 2023)، وأن </w:t>
      </w:r>
      <w:proofErr w:type="spellStart"/>
      <w:r w:rsidRPr="009C4079">
        <w:rPr>
          <w:rFonts w:ascii="Simplified Arabic" w:hAnsi="Simplified Arabic" w:cs="Simplified Arabic"/>
          <w:szCs w:val="28"/>
          <w:rtl/>
        </w:rPr>
        <w:t>رقمنة</w:t>
      </w:r>
      <w:proofErr w:type="spellEnd"/>
      <w:r w:rsidRPr="009C4079">
        <w:rPr>
          <w:rFonts w:ascii="Simplified Arabic" w:hAnsi="Simplified Arabic" w:cs="Simplified Arabic"/>
          <w:szCs w:val="28"/>
          <w:rtl/>
        </w:rPr>
        <w:t xml:space="preserve"> السلسلة كاملة أكثر أثرًا من </w:t>
      </w:r>
      <w:proofErr w:type="spellStart"/>
      <w:r w:rsidRPr="009C4079">
        <w:rPr>
          <w:rFonts w:ascii="Simplified Arabic" w:hAnsi="Simplified Arabic" w:cs="Simplified Arabic"/>
          <w:szCs w:val="28"/>
          <w:rtl/>
        </w:rPr>
        <w:t>رقمنة</w:t>
      </w:r>
      <w:proofErr w:type="spellEnd"/>
      <w:r w:rsidRPr="009C4079">
        <w:rPr>
          <w:rFonts w:ascii="Simplified Arabic" w:hAnsi="Simplified Arabic" w:cs="Simplified Arabic"/>
          <w:szCs w:val="28"/>
          <w:rtl/>
        </w:rPr>
        <w:t xml:space="preserve"> خطوة واحدة (</w:t>
      </w:r>
      <w:proofErr w:type="spellStart"/>
      <w:r w:rsidRPr="009C4079">
        <w:rPr>
          <w:rFonts w:ascii="Simplified Arabic" w:hAnsi="Simplified Arabic" w:cs="Simplified Arabic"/>
          <w:szCs w:val="28"/>
          <w:rtl/>
        </w:rPr>
        <w:t>Nuh</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et</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al</w:t>
      </w:r>
      <w:proofErr w:type="spellEnd"/>
      <w:r w:rsidRPr="009C4079">
        <w:rPr>
          <w:rFonts w:ascii="Simplified Arabic" w:hAnsi="Simplified Arabic" w:cs="Simplified Arabic"/>
          <w:szCs w:val="28"/>
          <w:rtl/>
        </w:rPr>
        <w:t>., 2022). وتُبرز كذلك أن التسريع عبر الأتمتة أو التقنيات المتقدمة يحتاج توثيقًا ومعايير تضمن الشفافية وقابلية التقييم (</w:t>
      </w:r>
      <w:proofErr w:type="spellStart"/>
      <w:r w:rsidRPr="009C4079">
        <w:rPr>
          <w:rFonts w:ascii="Simplified Arabic" w:hAnsi="Simplified Arabic" w:cs="Simplified Arabic"/>
          <w:szCs w:val="28"/>
          <w:rtl/>
        </w:rPr>
        <w:t>Araújo</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et</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al</w:t>
      </w:r>
      <w:proofErr w:type="spellEnd"/>
      <w:r w:rsidRPr="009C4079">
        <w:rPr>
          <w:rFonts w:ascii="Simplified Arabic" w:hAnsi="Simplified Arabic" w:cs="Simplified Arabic"/>
          <w:szCs w:val="28"/>
          <w:rtl/>
        </w:rPr>
        <w:t>., 2025)، وأن القياس بالمؤشرات التشغيلية يعكس أثر التحول بدقة أكبر من الانطباعات العامة (3ie, 2021).</w:t>
      </w:r>
    </w:p>
    <w:p w14:paraId="14C86A79"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 xml:space="preserve">وبناءً على ذلك، يمكن القول إن الأدبيات السابقة تُجمع على منطق العلاقة بين التحول الرقمي وبين تحسين الأداء، لكنها تختلف في تحديد “متى” و“كيف” يتحقق الأثر، وفي إبراز أن السرعة قد تتحسن أحيانًا بوتيرة مختلفة عن </w:t>
      </w:r>
      <w:r w:rsidRPr="009C4079">
        <w:rPr>
          <w:rFonts w:ascii="Simplified Arabic" w:hAnsi="Simplified Arabic" w:cs="Simplified Arabic"/>
          <w:szCs w:val="28"/>
          <w:rtl/>
        </w:rPr>
        <w:lastRenderedPageBreak/>
        <w:t>الشفافية والدقة. ومن هنا تتعزز أهمية الدراسة الحالية في تبنّي أبعاد ثلاثية للكفاءة (سرعة/دقة/شفافية) وعدم اختزال الكفاءة في بعد واحد، مع قراءة الأثر في ضوء عوامل الاستخدام الفعلي والحوكمة والضمانات.</w:t>
      </w:r>
    </w:p>
    <w:p w14:paraId="67A95EC6" w14:textId="77777777" w:rsidR="00922EED" w:rsidRPr="009C4079" w:rsidRDefault="00B030D7" w:rsidP="009C4079">
      <w:pPr>
        <w:bidi/>
        <w:spacing w:after="160" w:line="240" w:lineRule="auto"/>
        <w:jc w:val="both"/>
        <w:rPr>
          <w:rFonts w:ascii="Simplified Arabic" w:hAnsi="Simplified Arabic" w:cs="Simplified Arabic"/>
          <w:bCs/>
          <w:sz w:val="32"/>
          <w:szCs w:val="32"/>
        </w:rPr>
      </w:pPr>
      <w:r w:rsidRPr="009C4079">
        <w:rPr>
          <w:rFonts w:ascii="Simplified Arabic" w:hAnsi="Simplified Arabic" w:cs="Simplified Arabic"/>
          <w:bCs/>
          <w:sz w:val="32"/>
          <w:szCs w:val="32"/>
          <w:rtl/>
        </w:rPr>
        <w:t>الفجوة البحثية</w:t>
      </w:r>
    </w:p>
    <w:p w14:paraId="67A5C252"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بالرغم من ثراء الأدبيات السابقة في موضوعات التقاضي الإلكتروني، والتقاضي عن بعد، وإدارة الدعوى إلكترونيًا، وتطبيق معايير التحول الرقمي في وزارة العدل، فإن القياس المنهجي لأثر التحول الرقمي على كفاءة إنجاز قضايا التنفيذ داخل محكمة التنفيذ في المملكة العربية السعودية ما يزال—وفق ما تعكسه هذه الدراسات—أقل حضورًا، خصوصًا إذا جرى تفكيك الكفاءة إلى أبعاد محددة وقابلة للاختبار مثل: السرعة والدقة والشفافية. فعدد من الدراسات يتناول التحول الرقمي في القضاء على مستوى عام، أو يركّز على مرحلة التقاضي، أو يعالج ضمانات التحول دون الدخول في قياسٍ متخصص لمرحلة التنفيذ. (حافظ، 2021؛ القثامي، 2021؛ الأحمَدي، 2024؛ العليان، 2025)</w:t>
      </w:r>
    </w:p>
    <w:p w14:paraId="5D1CAF4F" w14:textId="77777777" w:rsidR="00922EED" w:rsidRDefault="00B030D7" w:rsidP="009C4079">
      <w:pPr>
        <w:bidi/>
        <w:spacing w:after="120" w:line="240" w:lineRule="auto"/>
        <w:jc w:val="both"/>
        <w:rPr>
          <w:rFonts w:ascii="Simplified Arabic" w:hAnsi="Simplified Arabic" w:cs="Simplified Arabic"/>
          <w:szCs w:val="28"/>
          <w:rtl/>
        </w:rPr>
      </w:pPr>
      <w:r w:rsidRPr="009C4079">
        <w:rPr>
          <w:rFonts w:ascii="Simplified Arabic" w:hAnsi="Simplified Arabic" w:cs="Simplified Arabic"/>
          <w:szCs w:val="28"/>
          <w:rtl/>
        </w:rPr>
        <w:t xml:space="preserve">وتتمثل الفجوة كذلك في أن بعض الأدبيات تربط </w:t>
      </w:r>
      <w:proofErr w:type="spellStart"/>
      <w:r w:rsidRPr="009C4079">
        <w:rPr>
          <w:rFonts w:ascii="Simplified Arabic" w:hAnsi="Simplified Arabic" w:cs="Simplified Arabic"/>
          <w:szCs w:val="28"/>
          <w:rtl/>
        </w:rPr>
        <w:t>الرقمنة</w:t>
      </w:r>
      <w:proofErr w:type="spellEnd"/>
      <w:r w:rsidRPr="009C4079">
        <w:rPr>
          <w:rFonts w:ascii="Simplified Arabic" w:hAnsi="Simplified Arabic" w:cs="Simplified Arabic"/>
          <w:szCs w:val="28"/>
          <w:rtl/>
        </w:rPr>
        <w:t xml:space="preserve"> بتحسين الكفاءة دون بناء نموذج يدمج بين التبني والاستخدام من جهة، ونتائج الأداء من جهة أخرى. فالدراسات الأجنبية تُظهر أن الفاعلية مشروطة بالتبني والجاهزية (</w:t>
      </w:r>
      <w:proofErr w:type="spellStart"/>
      <w:r w:rsidRPr="009C4079">
        <w:rPr>
          <w:rFonts w:ascii="Simplified Arabic" w:hAnsi="Simplified Arabic" w:cs="Simplified Arabic"/>
          <w:szCs w:val="28"/>
          <w:rtl/>
        </w:rPr>
        <w:t>Poshai</w:t>
      </w:r>
      <w:proofErr w:type="spellEnd"/>
      <w:r w:rsidRPr="009C4079">
        <w:rPr>
          <w:rFonts w:ascii="Simplified Arabic" w:hAnsi="Simplified Arabic" w:cs="Simplified Arabic"/>
          <w:szCs w:val="28"/>
          <w:rtl/>
        </w:rPr>
        <w:t xml:space="preserve"> &amp; </w:t>
      </w:r>
      <w:proofErr w:type="spellStart"/>
      <w:r w:rsidRPr="009C4079">
        <w:rPr>
          <w:rFonts w:ascii="Simplified Arabic" w:hAnsi="Simplified Arabic" w:cs="Simplified Arabic"/>
          <w:szCs w:val="28"/>
          <w:rtl/>
        </w:rPr>
        <w:t>Vyas-Doorgapersad</w:t>
      </w:r>
      <w:proofErr w:type="spellEnd"/>
      <w:r w:rsidRPr="009C4079">
        <w:rPr>
          <w:rFonts w:ascii="Simplified Arabic" w:hAnsi="Simplified Arabic" w:cs="Simplified Arabic"/>
          <w:szCs w:val="28"/>
          <w:rtl/>
        </w:rPr>
        <w:t>, 2023)، وأن الأثر يختلف بين السرعة والشفافية (</w:t>
      </w:r>
      <w:proofErr w:type="spellStart"/>
      <w:r w:rsidRPr="009C4079">
        <w:rPr>
          <w:rFonts w:ascii="Simplified Arabic" w:hAnsi="Simplified Arabic" w:cs="Simplified Arabic"/>
          <w:szCs w:val="28"/>
          <w:rtl/>
        </w:rPr>
        <w:t>Pelssers</w:t>
      </w:r>
      <w:proofErr w:type="spellEnd"/>
      <w:r w:rsidRPr="009C4079">
        <w:rPr>
          <w:rFonts w:ascii="Simplified Arabic" w:hAnsi="Simplified Arabic" w:cs="Simplified Arabic"/>
          <w:szCs w:val="28"/>
          <w:rtl/>
        </w:rPr>
        <w:t xml:space="preserve"> &amp; </w:t>
      </w:r>
      <w:proofErr w:type="spellStart"/>
      <w:r w:rsidRPr="009C4079">
        <w:rPr>
          <w:rFonts w:ascii="Simplified Arabic" w:hAnsi="Simplified Arabic" w:cs="Simplified Arabic"/>
          <w:szCs w:val="28"/>
          <w:rtl/>
        </w:rPr>
        <w:t>Dubois</w:t>
      </w:r>
      <w:proofErr w:type="spellEnd"/>
      <w:r w:rsidRPr="009C4079">
        <w:rPr>
          <w:rFonts w:ascii="Simplified Arabic" w:hAnsi="Simplified Arabic" w:cs="Simplified Arabic"/>
          <w:szCs w:val="28"/>
          <w:rtl/>
        </w:rPr>
        <w:t>, 2022)، بينما تظل الحاجة قائمة إلى نموذج تفسيري يوضح كيف يتحول “وجود التحول الرقمي” إلى “تحسن في كفاءة الإنجاز” عبر آليات سلوكية وتنظيمية في بيئة محددة مثل محكمة التنفيذ.</w:t>
      </w:r>
    </w:p>
    <w:p w14:paraId="307E5CA4" w14:textId="77777777" w:rsidR="00922EED" w:rsidRPr="009C4079" w:rsidRDefault="00B030D7" w:rsidP="009C4079">
      <w:pPr>
        <w:bidi/>
        <w:spacing w:after="160" w:line="240" w:lineRule="auto"/>
        <w:jc w:val="both"/>
        <w:rPr>
          <w:rFonts w:ascii="Simplified Arabic" w:hAnsi="Simplified Arabic" w:cs="Simplified Arabic"/>
          <w:bCs/>
          <w:sz w:val="32"/>
          <w:szCs w:val="32"/>
        </w:rPr>
      </w:pPr>
      <w:r w:rsidRPr="009C4079">
        <w:rPr>
          <w:rFonts w:ascii="Simplified Arabic" w:hAnsi="Simplified Arabic" w:cs="Simplified Arabic"/>
          <w:bCs/>
          <w:sz w:val="32"/>
          <w:szCs w:val="32"/>
          <w:rtl/>
        </w:rPr>
        <w:t>ما يميز الدراسة الحالية</w:t>
      </w:r>
    </w:p>
    <w:p w14:paraId="7AB4CB7A" w14:textId="77777777" w:rsidR="00922EED" w:rsidRPr="009C4079" w:rsidRDefault="00B030D7" w:rsidP="009C4079">
      <w:pPr>
        <w:bidi/>
        <w:spacing w:after="120" w:line="240" w:lineRule="auto"/>
        <w:jc w:val="both"/>
        <w:rPr>
          <w:rFonts w:ascii="Simplified Arabic" w:hAnsi="Simplified Arabic" w:cs="Simplified Arabic"/>
          <w:szCs w:val="28"/>
        </w:rPr>
      </w:pPr>
      <w:r w:rsidRPr="009C4079">
        <w:rPr>
          <w:rFonts w:ascii="Simplified Arabic" w:hAnsi="Simplified Arabic" w:cs="Simplified Arabic"/>
          <w:szCs w:val="28"/>
          <w:rtl/>
        </w:rPr>
        <w:t xml:space="preserve">وتتميّز الدراسة الحالية بأنها تنتقل من المستوى العام </w:t>
      </w:r>
      <w:proofErr w:type="spellStart"/>
      <w:r w:rsidRPr="009C4079">
        <w:rPr>
          <w:rFonts w:ascii="Simplified Arabic" w:hAnsi="Simplified Arabic" w:cs="Simplified Arabic"/>
          <w:szCs w:val="28"/>
          <w:rtl/>
        </w:rPr>
        <w:t>لرقمنة</w:t>
      </w:r>
      <w:proofErr w:type="spellEnd"/>
      <w:r w:rsidRPr="009C4079">
        <w:rPr>
          <w:rFonts w:ascii="Simplified Arabic" w:hAnsi="Simplified Arabic" w:cs="Simplified Arabic"/>
          <w:szCs w:val="28"/>
          <w:rtl/>
        </w:rPr>
        <w:t xml:space="preserve"> القضاء إلى المستوى الإجرائي المتخصص لقضاء التنفيذ، وتتعامل مع التحول الرقمي بوصفه تحولًا في سلسلة تنفيذية كاملة، لا مجرد </w:t>
      </w:r>
      <w:proofErr w:type="spellStart"/>
      <w:r w:rsidRPr="009C4079">
        <w:rPr>
          <w:rFonts w:ascii="Simplified Arabic" w:hAnsi="Simplified Arabic" w:cs="Simplified Arabic"/>
          <w:szCs w:val="28"/>
          <w:rtl/>
        </w:rPr>
        <w:t>رقمنة</w:t>
      </w:r>
      <w:proofErr w:type="spellEnd"/>
      <w:r w:rsidRPr="009C4079">
        <w:rPr>
          <w:rFonts w:ascii="Simplified Arabic" w:hAnsi="Simplified Arabic" w:cs="Simplified Arabic"/>
          <w:szCs w:val="28"/>
          <w:rtl/>
        </w:rPr>
        <w:t xml:space="preserve"> قناة خدمة. كما تتميز باعتمادها قياس الكفاءة عبر أبعاد ثلاثية مترابطة (السرعة/الدقة/الشفافية)، وهو ما يسمح بالتقاط الفروق في الأثر وعدم اختزال النجاح في مؤشر واحد. علاوة على ذلك، تستند الدراسة إلى إطار نظري تكاملي يجمع بين تفسير التبني والاستخدام (TAM) وتفسير التحول إلى نتائج أداء في القطاع العام (NPM)، بما يعزز قدرتها على تفسير النتائج وربطها بسياق التحول الوطني والعدالة الرقمية في السعودية (</w:t>
      </w:r>
      <w:proofErr w:type="spellStart"/>
      <w:r w:rsidRPr="009C4079">
        <w:rPr>
          <w:rFonts w:ascii="Simplified Arabic" w:hAnsi="Simplified Arabic" w:cs="Simplified Arabic"/>
          <w:szCs w:val="28"/>
          <w:rtl/>
        </w:rPr>
        <w:t>United</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Nations</w:t>
      </w:r>
      <w:proofErr w:type="spellEnd"/>
      <w:r w:rsidRPr="009C4079">
        <w:rPr>
          <w:rFonts w:ascii="Simplified Arabic" w:hAnsi="Simplified Arabic" w:cs="Simplified Arabic"/>
          <w:szCs w:val="28"/>
          <w:rtl/>
        </w:rPr>
        <w:t xml:space="preserve">, 2024؛ </w:t>
      </w:r>
      <w:proofErr w:type="spellStart"/>
      <w:r w:rsidRPr="009C4079">
        <w:rPr>
          <w:rFonts w:ascii="Simplified Arabic" w:hAnsi="Simplified Arabic" w:cs="Simplified Arabic"/>
          <w:szCs w:val="28"/>
          <w:rtl/>
        </w:rPr>
        <w:t>World</w:t>
      </w:r>
      <w:proofErr w:type="spellEnd"/>
      <w:r w:rsidRPr="009C4079">
        <w:rPr>
          <w:rFonts w:ascii="Simplified Arabic" w:hAnsi="Simplified Arabic" w:cs="Simplified Arabic"/>
          <w:szCs w:val="28"/>
          <w:rtl/>
        </w:rPr>
        <w:t xml:space="preserve"> </w:t>
      </w:r>
      <w:proofErr w:type="spellStart"/>
      <w:r w:rsidRPr="009C4079">
        <w:rPr>
          <w:rFonts w:ascii="Simplified Arabic" w:hAnsi="Simplified Arabic" w:cs="Simplified Arabic"/>
          <w:szCs w:val="28"/>
          <w:rtl/>
        </w:rPr>
        <w:t>Bank</w:t>
      </w:r>
      <w:proofErr w:type="spellEnd"/>
      <w:r w:rsidRPr="009C4079">
        <w:rPr>
          <w:rFonts w:ascii="Simplified Arabic" w:hAnsi="Simplified Arabic" w:cs="Simplified Arabic"/>
          <w:szCs w:val="28"/>
          <w:rtl/>
        </w:rPr>
        <w:t>, 2025؛ برنامج التحول الوطني، 2022؛ برنامج التحول الوطني، 2023؛ هيئة الحكومة الرقمية، 2024؛ وزارة العدل السعودية، 2021؛ وزارة العدل السعودية، 2024).</w:t>
      </w:r>
    </w:p>
    <w:sectPr w:rsidR="00922EED" w:rsidRPr="009C4079" w:rsidSect="009014C5">
      <w:pgSz w:w="12240" w:h="15840"/>
      <w:pgMar w:top="1247" w:right="1247" w:bottom="1247" w:left="1247"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178C0DEF"/>
    <w:multiLevelType w:val="hybridMultilevel"/>
    <w:tmpl w:val="149C266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207BBD"/>
    <w:multiLevelType w:val="hybridMultilevel"/>
    <w:tmpl w:val="AE6E5A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97487F"/>
    <w:multiLevelType w:val="hybridMultilevel"/>
    <w:tmpl w:val="C428A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7BB4C32"/>
    <w:multiLevelType w:val="hybridMultilevel"/>
    <w:tmpl w:val="C2D62C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F86A01"/>
    <w:multiLevelType w:val="hybridMultilevel"/>
    <w:tmpl w:val="0486C2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C6708B1"/>
    <w:multiLevelType w:val="hybridMultilevel"/>
    <w:tmpl w:val="259062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95E6FF8"/>
    <w:multiLevelType w:val="hybridMultilevel"/>
    <w:tmpl w:val="97F2A0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9AF0217"/>
    <w:multiLevelType w:val="hybridMultilevel"/>
    <w:tmpl w:val="FC24B22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07756220">
    <w:abstractNumId w:val="8"/>
  </w:num>
  <w:num w:numId="2" w16cid:durableId="712005733">
    <w:abstractNumId w:val="6"/>
  </w:num>
  <w:num w:numId="3" w16cid:durableId="29192257">
    <w:abstractNumId w:val="5"/>
  </w:num>
  <w:num w:numId="4" w16cid:durableId="68814790">
    <w:abstractNumId w:val="4"/>
  </w:num>
  <w:num w:numId="5" w16cid:durableId="1953242695">
    <w:abstractNumId w:val="7"/>
  </w:num>
  <w:num w:numId="6" w16cid:durableId="302931652">
    <w:abstractNumId w:val="3"/>
  </w:num>
  <w:num w:numId="7" w16cid:durableId="1157451663">
    <w:abstractNumId w:val="2"/>
  </w:num>
  <w:num w:numId="8" w16cid:durableId="1464159088">
    <w:abstractNumId w:val="1"/>
  </w:num>
  <w:num w:numId="9" w16cid:durableId="1656372502">
    <w:abstractNumId w:val="0"/>
  </w:num>
  <w:num w:numId="10" w16cid:durableId="877275399">
    <w:abstractNumId w:val="12"/>
  </w:num>
  <w:num w:numId="11" w16cid:durableId="1318151417">
    <w:abstractNumId w:val="15"/>
  </w:num>
  <w:num w:numId="12" w16cid:durableId="2000423733">
    <w:abstractNumId w:val="9"/>
  </w:num>
  <w:num w:numId="13" w16cid:durableId="38632242">
    <w:abstractNumId w:val="16"/>
  </w:num>
  <w:num w:numId="14" w16cid:durableId="1022050742">
    <w:abstractNumId w:val="10"/>
  </w:num>
  <w:num w:numId="15" w16cid:durableId="1815757033">
    <w:abstractNumId w:val="14"/>
  </w:num>
  <w:num w:numId="16" w16cid:durableId="657195208">
    <w:abstractNumId w:val="11"/>
  </w:num>
  <w:num w:numId="17" w16cid:durableId="19883184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2F024C"/>
    <w:rsid w:val="00326F90"/>
    <w:rsid w:val="00480BFE"/>
    <w:rsid w:val="008465C6"/>
    <w:rsid w:val="00894B6C"/>
    <w:rsid w:val="008A4E2F"/>
    <w:rsid w:val="009014C5"/>
    <w:rsid w:val="00922EED"/>
    <w:rsid w:val="009C4079"/>
    <w:rsid w:val="00A93FAA"/>
    <w:rsid w:val="00AA1D8D"/>
    <w:rsid w:val="00B030D7"/>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B77616C"/>
  <w14:defaultImageDpi w14:val="300"/>
  <w15:docId w15:val="{C369CFD0-3802-45C8-9D34-3AE78816E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rPr>
      <w:rFonts w:ascii="Arial" w:hAnsi="Arial" w:cs="Arial"/>
      <w:sz w:val="28"/>
    </w:rPr>
  </w:style>
  <w:style w:type="paragraph" w:styleId="1">
    <w:name w:val="heading 1"/>
    <w:basedOn w:val="a1"/>
    <w:next w:val="a1"/>
    <w:link w:val="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21">
    <w:name w:val="heading 2"/>
    <w:basedOn w:val="a1"/>
    <w:next w:val="a1"/>
    <w:link w:val="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E618BF"/>
    <w:pPr>
      <w:tabs>
        <w:tab w:val="center" w:pos="4680"/>
        <w:tab w:val="right" w:pos="9360"/>
      </w:tabs>
      <w:spacing w:after="0" w:line="240" w:lineRule="auto"/>
    </w:pPr>
  </w:style>
  <w:style w:type="character" w:customStyle="1" w:styleId="Char">
    <w:name w:val="رأس الصفحة Char"/>
    <w:basedOn w:val="a2"/>
    <w:link w:val="a5"/>
    <w:uiPriority w:val="99"/>
    <w:rsid w:val="00E618BF"/>
  </w:style>
  <w:style w:type="paragraph" w:styleId="a6">
    <w:name w:val="footer"/>
    <w:basedOn w:val="a1"/>
    <w:link w:val="Char0"/>
    <w:uiPriority w:val="99"/>
    <w:unhideWhenUsed/>
    <w:rsid w:val="00E618BF"/>
    <w:pPr>
      <w:tabs>
        <w:tab w:val="center" w:pos="4680"/>
        <w:tab w:val="right" w:pos="9360"/>
      </w:tabs>
      <w:spacing w:after="0" w:line="240" w:lineRule="auto"/>
    </w:pPr>
  </w:style>
  <w:style w:type="character" w:customStyle="1" w:styleId="Char0">
    <w:name w:val="تذييل الصفحة Char"/>
    <w:basedOn w:val="a2"/>
    <w:link w:val="a6"/>
    <w:uiPriority w:val="99"/>
    <w:qFormat/>
    <w:rsid w:val="00E618BF"/>
  </w:style>
  <w:style w:type="paragraph" w:styleId="a7">
    <w:name w:val="No Spacing"/>
    <w:uiPriority w:val="1"/>
    <w:qFormat/>
    <w:rsid w:val="00FC693F"/>
    <w:pPr>
      <w:spacing w:after="0" w:line="240" w:lineRule="auto"/>
    </w:pPr>
  </w:style>
  <w:style w:type="character" w:customStyle="1" w:styleId="1Char">
    <w:name w:val="العنوان 1 Char"/>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Char">
    <w:name w:val="عنوان 3 Char"/>
    <w:basedOn w:val="a2"/>
    <w:link w:val="31"/>
    <w:uiPriority w:val="9"/>
    <w:rsid w:val="00FC693F"/>
    <w:rPr>
      <w:rFonts w:asciiTheme="majorHAnsi" w:eastAsiaTheme="majorEastAsia" w:hAnsiTheme="majorHAnsi" w:cstheme="majorBidi"/>
      <w:b/>
      <w:bCs/>
      <w:color w:val="4F81BD" w:themeColor="accent1"/>
    </w:rPr>
  </w:style>
  <w:style w:type="paragraph" w:styleId="a8">
    <w:name w:val="Title"/>
    <w:basedOn w:val="a1"/>
    <w:next w:val="a1"/>
    <w:link w:val="Char1"/>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1">
    <w:name w:val="العنوان Char"/>
    <w:basedOn w:val="a2"/>
    <w:link w:val="a8"/>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9">
    <w:name w:val="Subtitle"/>
    <w:basedOn w:val="a1"/>
    <w:next w:val="a1"/>
    <w:link w:val="Char2"/>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2">
    <w:name w:val="عنوان فرعي Char"/>
    <w:basedOn w:val="a2"/>
    <w:link w:val="a9"/>
    <w:uiPriority w:val="11"/>
    <w:rsid w:val="00FC693F"/>
    <w:rPr>
      <w:rFonts w:asciiTheme="majorHAnsi" w:eastAsiaTheme="majorEastAsia" w:hAnsiTheme="majorHAnsi" w:cstheme="majorBidi"/>
      <w:i/>
      <w:iCs/>
      <w:color w:val="4F81BD"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Char3"/>
    <w:uiPriority w:val="99"/>
    <w:unhideWhenUsed/>
    <w:rsid w:val="00AA1D8D"/>
    <w:pPr>
      <w:spacing w:after="120"/>
    </w:pPr>
  </w:style>
  <w:style w:type="character" w:customStyle="1" w:styleId="Char3">
    <w:name w:val="نص أساسي Char"/>
    <w:basedOn w:val="a2"/>
    <w:link w:val="ab"/>
    <w:uiPriority w:val="99"/>
    <w:rsid w:val="00AA1D8D"/>
  </w:style>
  <w:style w:type="paragraph" w:styleId="22">
    <w:name w:val="Body Text 2"/>
    <w:basedOn w:val="a1"/>
    <w:link w:val="2Char0"/>
    <w:uiPriority w:val="99"/>
    <w:unhideWhenUsed/>
    <w:rsid w:val="00AA1D8D"/>
    <w:pPr>
      <w:spacing w:after="120" w:line="480" w:lineRule="auto"/>
    </w:pPr>
  </w:style>
  <w:style w:type="character" w:customStyle="1" w:styleId="2Char0">
    <w:name w:val="نص أساسي 2 Char"/>
    <w:basedOn w:val="a2"/>
    <w:link w:val="22"/>
    <w:uiPriority w:val="99"/>
    <w:rsid w:val="00AA1D8D"/>
  </w:style>
  <w:style w:type="paragraph" w:styleId="32">
    <w:name w:val="Body Text 3"/>
    <w:basedOn w:val="a1"/>
    <w:link w:val="3Char0"/>
    <w:uiPriority w:val="99"/>
    <w:unhideWhenUsed/>
    <w:rsid w:val="00AA1D8D"/>
    <w:pPr>
      <w:spacing w:after="120"/>
    </w:pPr>
    <w:rPr>
      <w:sz w:val="16"/>
      <w:szCs w:val="16"/>
    </w:rPr>
  </w:style>
  <w:style w:type="character" w:customStyle="1" w:styleId="3Char0">
    <w:name w:val="نص أساسي 3 Char"/>
    <w:basedOn w:val="a2"/>
    <w:link w:val="32"/>
    <w:uiPriority w:val="99"/>
    <w:rsid w:val="00AA1D8D"/>
    <w:rPr>
      <w:sz w:val="16"/>
      <w:szCs w:val="16"/>
    </w:rPr>
  </w:style>
  <w:style w:type="paragraph" w:styleId="ac">
    <w:name w:val="List"/>
    <w:basedOn w:val="a1"/>
    <w:uiPriority w:val="99"/>
    <w:unhideWhenUsed/>
    <w:rsid w:val="00AA1D8D"/>
    <w:pPr>
      <w:ind w:left="360" w:hanging="360"/>
      <w:contextualSpacing/>
    </w:pPr>
  </w:style>
  <w:style w:type="paragraph" w:styleId="23">
    <w:name w:val="List 2"/>
    <w:basedOn w:val="a1"/>
    <w:uiPriority w:val="99"/>
    <w:unhideWhenUsed/>
    <w:rsid w:val="00326F90"/>
    <w:pPr>
      <w:ind w:left="720" w:hanging="360"/>
      <w:contextualSpacing/>
    </w:pPr>
  </w:style>
  <w:style w:type="paragraph" w:styleId="33">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d">
    <w:name w:val="List Continue"/>
    <w:basedOn w:val="a1"/>
    <w:uiPriority w:val="99"/>
    <w:unhideWhenUsed/>
    <w:rsid w:val="0029639D"/>
    <w:pPr>
      <w:spacing w:after="120"/>
      <w:ind w:left="360"/>
      <w:contextualSpacing/>
    </w:pPr>
  </w:style>
  <w:style w:type="paragraph" w:styleId="24">
    <w:name w:val="List Continue 2"/>
    <w:basedOn w:val="a1"/>
    <w:uiPriority w:val="99"/>
    <w:unhideWhenUsed/>
    <w:rsid w:val="0029639D"/>
    <w:pPr>
      <w:spacing w:after="120"/>
      <w:ind w:left="720"/>
      <w:contextualSpacing/>
    </w:pPr>
  </w:style>
  <w:style w:type="paragraph" w:styleId="34">
    <w:name w:val="List Continue 3"/>
    <w:basedOn w:val="a1"/>
    <w:uiPriority w:val="99"/>
    <w:unhideWhenUsed/>
    <w:rsid w:val="0029639D"/>
    <w:pPr>
      <w:spacing w:after="120"/>
      <w:ind w:left="1080"/>
      <w:contextualSpacing/>
    </w:pPr>
  </w:style>
  <w:style w:type="paragraph" w:styleId="ae">
    <w:name w:val="macro"/>
    <w:link w:val="Char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4">
    <w:name w:val="نص ماكرو Char"/>
    <w:basedOn w:val="a2"/>
    <w:link w:val="ae"/>
    <w:uiPriority w:val="99"/>
    <w:rsid w:val="0029639D"/>
    <w:rPr>
      <w:rFonts w:ascii="Courier" w:hAnsi="Courier"/>
      <w:sz w:val="20"/>
      <w:szCs w:val="20"/>
    </w:rPr>
  </w:style>
  <w:style w:type="paragraph" w:styleId="af">
    <w:name w:val="Quote"/>
    <w:basedOn w:val="a1"/>
    <w:next w:val="a1"/>
    <w:link w:val="Char5"/>
    <w:uiPriority w:val="29"/>
    <w:qFormat/>
    <w:rsid w:val="00FC693F"/>
    <w:rPr>
      <w:i/>
      <w:iCs/>
      <w:color w:val="000000" w:themeColor="text1"/>
    </w:rPr>
  </w:style>
  <w:style w:type="character" w:customStyle="1" w:styleId="Char5">
    <w:name w:val="اقتباس Char"/>
    <w:basedOn w:val="a2"/>
    <w:link w:val="af"/>
    <w:uiPriority w:val="29"/>
    <w:rsid w:val="00FC693F"/>
    <w:rPr>
      <w:i/>
      <w:iCs/>
      <w:color w:val="000000" w:themeColor="text1"/>
    </w:rPr>
  </w:style>
  <w:style w:type="character" w:customStyle="1" w:styleId="4Char">
    <w:name w:val="عنوان 4 Char"/>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Char">
    <w:name w:val="عنوان 5 Char"/>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Char">
    <w:name w:val="عنوان 6 Char"/>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Char">
    <w:name w:val="عنوان 7 Char"/>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Char">
    <w:name w:val="عنوان 8 Char"/>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Char">
    <w:name w:val="عنوان 9 Char"/>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0">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1">
    <w:name w:val="Strong"/>
    <w:basedOn w:val="a2"/>
    <w:uiPriority w:val="22"/>
    <w:qFormat/>
    <w:rsid w:val="00FC693F"/>
    <w:rPr>
      <w:b/>
      <w:bCs/>
    </w:rPr>
  </w:style>
  <w:style w:type="character" w:styleId="af2">
    <w:name w:val="Emphasis"/>
    <w:basedOn w:val="a2"/>
    <w:uiPriority w:val="20"/>
    <w:qFormat/>
    <w:rsid w:val="00FC693F"/>
    <w:rPr>
      <w:i/>
      <w:iCs/>
    </w:rPr>
  </w:style>
  <w:style w:type="paragraph" w:styleId="af3">
    <w:name w:val="Intense Quote"/>
    <w:basedOn w:val="a1"/>
    <w:next w:val="a1"/>
    <w:link w:val="Char6"/>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har6">
    <w:name w:val="اقتباس مكثف Char"/>
    <w:basedOn w:val="a2"/>
    <w:link w:val="af3"/>
    <w:uiPriority w:val="30"/>
    <w:rsid w:val="00FC693F"/>
    <w:rPr>
      <w:b/>
      <w:bCs/>
      <w:i/>
      <w:iCs/>
      <w:color w:val="4F81BD" w:themeColor="accent1"/>
    </w:rPr>
  </w:style>
  <w:style w:type="character" w:styleId="af4">
    <w:name w:val="Subtle Emphasis"/>
    <w:basedOn w:val="a2"/>
    <w:uiPriority w:val="19"/>
    <w:qFormat/>
    <w:rsid w:val="00FC693F"/>
    <w:rPr>
      <w:i/>
      <w:iCs/>
      <w:color w:val="808080" w:themeColor="text1" w:themeTint="7F"/>
    </w:rPr>
  </w:style>
  <w:style w:type="character" w:styleId="af5">
    <w:name w:val="Intense Emphasis"/>
    <w:basedOn w:val="a2"/>
    <w:uiPriority w:val="21"/>
    <w:qFormat/>
    <w:rsid w:val="00FC693F"/>
    <w:rPr>
      <w:b/>
      <w:bCs/>
      <w:i/>
      <w:iCs/>
      <w:color w:val="4F81BD" w:themeColor="accent1"/>
    </w:rPr>
  </w:style>
  <w:style w:type="character" w:styleId="af6">
    <w:name w:val="Subtle Reference"/>
    <w:basedOn w:val="a2"/>
    <w:uiPriority w:val="31"/>
    <w:qFormat/>
    <w:rsid w:val="00FC693F"/>
    <w:rPr>
      <w:smallCaps/>
      <w:color w:val="C0504D" w:themeColor="accent2"/>
      <w:u w:val="single"/>
    </w:rPr>
  </w:style>
  <w:style w:type="character" w:styleId="af7">
    <w:name w:val="Intense Reference"/>
    <w:basedOn w:val="a2"/>
    <w:uiPriority w:val="32"/>
    <w:qFormat/>
    <w:rsid w:val="00FC693F"/>
    <w:rPr>
      <w:b/>
      <w:bCs/>
      <w:smallCaps/>
      <w:color w:val="C0504D" w:themeColor="accent2"/>
      <w:spacing w:val="5"/>
      <w:u w:val="single"/>
    </w:rPr>
  </w:style>
  <w:style w:type="character" w:styleId="af8">
    <w:name w:val="Book Title"/>
    <w:basedOn w:val="a2"/>
    <w:uiPriority w:val="33"/>
    <w:qFormat/>
    <w:rsid w:val="00FC693F"/>
    <w:rPr>
      <w:b/>
      <w:bCs/>
      <w:smallCaps/>
      <w:spacing w:val="5"/>
    </w:rPr>
  </w:style>
  <w:style w:type="paragraph" w:styleId="af9">
    <w:name w:val="TOC Heading"/>
    <w:basedOn w:val="1"/>
    <w:next w:val="a1"/>
    <w:uiPriority w:val="39"/>
    <w:semiHidden/>
    <w:unhideWhenUsed/>
    <w:qFormat/>
    <w:rsid w:val="00FC693F"/>
    <w:pPr>
      <w:outlineLvl w:val="9"/>
    </w:pPr>
  </w:style>
  <w:style w:type="table" w:styleId="afa">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c">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d">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0">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6">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7">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e">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0">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1">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9159</Words>
  <Characters>52210</Characters>
  <Application>Microsoft Office Word</Application>
  <DocSecurity>0</DocSecurity>
  <Lines>435</Lines>
  <Paragraphs>122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61247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nasser saud</cp:lastModifiedBy>
  <cp:revision>2</cp:revision>
  <cp:lastPrinted>2026-04-23T23:15:00Z</cp:lastPrinted>
  <dcterms:created xsi:type="dcterms:W3CDTF">2026-04-27T19:45:00Z</dcterms:created>
  <dcterms:modified xsi:type="dcterms:W3CDTF">2026-04-27T19:45:00Z</dcterms:modified>
  <cp:category/>
</cp:coreProperties>
</file>