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57746" w14:textId="51BB63D9" w:rsidR="00F1616D" w:rsidRPr="001C5D93" w:rsidRDefault="00F1616D" w:rsidP="00A02194">
      <w:pPr>
        <w:bidi/>
        <w:spacing w:after="120" w:line="240" w:lineRule="auto"/>
        <w:jc w:val="both"/>
        <w:rPr>
          <w:rFonts w:ascii="Traditional Arabic" w:hAnsi="Traditional Arabic" w:cs="Traditional Arabic"/>
          <w:bCs/>
          <w:color w:val="00B0F0"/>
          <w:sz w:val="32"/>
          <w:szCs w:val="32"/>
          <w:u w:val="single"/>
          <w:rtl/>
        </w:rPr>
      </w:pPr>
      <w:bookmarkStart w:id="0" w:name="_Hlk223011904"/>
      <w:bookmarkEnd w:id="0"/>
      <w:r w:rsidRPr="001C5D93">
        <w:rPr>
          <w:rFonts w:ascii="Traditional Arabic" w:hAnsi="Traditional Arabic" w:cs="Traditional Arabic"/>
          <w:bCs/>
          <w:noProof/>
          <w:sz w:val="32"/>
          <w:szCs w:val="32"/>
        </w:rPr>
        <w:drawing>
          <wp:anchor distT="0" distB="0" distL="114300" distR="114300" simplePos="0" relativeHeight="251663360" behindDoc="0" locked="0" layoutInCell="1" allowOverlap="1" wp14:anchorId="6DCF2D4E" wp14:editId="2EF10F45">
            <wp:simplePos x="0" y="0"/>
            <wp:positionH relativeFrom="margin">
              <wp:posOffset>-241935</wp:posOffset>
            </wp:positionH>
            <wp:positionV relativeFrom="margin">
              <wp:posOffset>-422275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5E30F72" w14:textId="4817BD06" w:rsidR="00F1616D" w:rsidRPr="001C5D93" w:rsidRDefault="00F1616D" w:rsidP="00A02194">
      <w:pPr>
        <w:bidi/>
        <w:spacing w:after="120" w:line="240" w:lineRule="auto"/>
        <w:jc w:val="both"/>
        <w:rPr>
          <w:rFonts w:ascii="Traditional Arabic" w:hAnsi="Traditional Arabic" w:cs="Traditional Arabic"/>
          <w:bCs/>
          <w:color w:val="00B0F0"/>
          <w:sz w:val="32"/>
          <w:szCs w:val="32"/>
          <w:u w:val="single"/>
          <w:rtl/>
        </w:rPr>
      </w:pPr>
    </w:p>
    <w:p w14:paraId="4BD266F7" w14:textId="77777777" w:rsidR="00280594" w:rsidRPr="001C5D93" w:rsidRDefault="00280594" w:rsidP="00A02194">
      <w:pPr>
        <w:bidi/>
        <w:spacing w:after="120" w:line="240" w:lineRule="auto"/>
        <w:ind w:left="534"/>
        <w:jc w:val="center"/>
        <w:rPr>
          <w:rFonts w:ascii="Traditional Arabic" w:eastAsia="Times New Roman" w:hAnsi="Traditional Arabic" w:cs="Traditional Arabic"/>
          <w:bCs/>
          <w:sz w:val="32"/>
          <w:szCs w:val="32"/>
          <w:rtl/>
        </w:rPr>
      </w:pPr>
    </w:p>
    <w:p w14:paraId="5C59FD04" w14:textId="77777777" w:rsidR="00280594" w:rsidRPr="001C5D93" w:rsidRDefault="00280594" w:rsidP="00A02194">
      <w:pPr>
        <w:bidi/>
        <w:spacing w:after="120" w:line="240" w:lineRule="auto"/>
        <w:ind w:left="534"/>
        <w:jc w:val="center"/>
        <w:rPr>
          <w:rFonts w:ascii="Traditional Arabic" w:eastAsia="Times New Roman" w:hAnsi="Traditional Arabic" w:cs="Traditional Arabic"/>
          <w:bCs/>
          <w:sz w:val="32"/>
          <w:szCs w:val="32"/>
          <w:rtl/>
        </w:rPr>
      </w:pPr>
    </w:p>
    <w:p w14:paraId="281805E5" w14:textId="77777777" w:rsidR="00280594" w:rsidRPr="001C5D93" w:rsidRDefault="00280594" w:rsidP="00A02194">
      <w:pPr>
        <w:bidi/>
        <w:spacing w:after="120" w:line="240" w:lineRule="auto"/>
        <w:ind w:left="534"/>
        <w:jc w:val="center"/>
        <w:rPr>
          <w:rFonts w:ascii="Traditional Arabic" w:eastAsia="Times New Roman" w:hAnsi="Traditional Arabic" w:cs="Traditional Arabic"/>
          <w:bCs/>
          <w:sz w:val="32"/>
          <w:szCs w:val="32"/>
          <w:rtl/>
        </w:rPr>
      </w:pPr>
    </w:p>
    <w:p w14:paraId="6CCF2B33" w14:textId="77777777" w:rsidR="00280594" w:rsidRPr="001C5D93" w:rsidRDefault="00280594" w:rsidP="00A02194">
      <w:pPr>
        <w:bidi/>
        <w:spacing w:after="120" w:line="240" w:lineRule="auto"/>
        <w:ind w:left="534"/>
        <w:jc w:val="center"/>
        <w:rPr>
          <w:rFonts w:ascii="Traditional Arabic" w:eastAsia="Times New Roman" w:hAnsi="Traditional Arabic" w:cs="Traditional Arabic"/>
          <w:bCs/>
          <w:sz w:val="32"/>
          <w:szCs w:val="32"/>
          <w:rtl/>
        </w:rPr>
      </w:pPr>
    </w:p>
    <w:p w14:paraId="77069E82" w14:textId="77777777" w:rsidR="00280594" w:rsidRPr="001C5D93" w:rsidRDefault="00280594" w:rsidP="00A02194">
      <w:pPr>
        <w:bidi/>
        <w:spacing w:after="120" w:line="240" w:lineRule="auto"/>
        <w:ind w:left="534"/>
        <w:jc w:val="center"/>
        <w:rPr>
          <w:rFonts w:ascii="Traditional Arabic" w:eastAsia="Times New Roman" w:hAnsi="Traditional Arabic" w:cs="Traditional Arabic"/>
          <w:bCs/>
          <w:sz w:val="32"/>
          <w:szCs w:val="32"/>
          <w:rtl/>
        </w:rPr>
      </w:pPr>
    </w:p>
    <w:p w14:paraId="022C1D77" w14:textId="77777777" w:rsidR="00280594" w:rsidRPr="001C5D93" w:rsidRDefault="00280594" w:rsidP="00A02194">
      <w:pPr>
        <w:bidi/>
        <w:spacing w:after="120" w:line="240" w:lineRule="auto"/>
        <w:ind w:left="534"/>
        <w:jc w:val="center"/>
        <w:rPr>
          <w:rFonts w:ascii="Traditional Arabic" w:eastAsia="Times New Roman" w:hAnsi="Traditional Arabic" w:cs="Traditional Arabic"/>
          <w:bCs/>
          <w:sz w:val="32"/>
          <w:szCs w:val="32"/>
          <w:rtl/>
        </w:rPr>
      </w:pPr>
    </w:p>
    <w:p w14:paraId="16B47777" w14:textId="71731CB8" w:rsidR="00F1616D" w:rsidRPr="001C5D93" w:rsidRDefault="00F1616D" w:rsidP="00A02194">
      <w:pPr>
        <w:bidi/>
        <w:spacing w:after="120" w:line="240" w:lineRule="auto"/>
        <w:ind w:left="534"/>
        <w:jc w:val="center"/>
        <w:rPr>
          <w:rFonts w:ascii="Traditional Arabic" w:hAnsi="Traditional Arabic" w:cs="Traditional Arabic"/>
          <w:bCs/>
          <w:noProof/>
          <w:sz w:val="32"/>
          <w:szCs w:val="32"/>
          <w:rtl/>
        </w:rPr>
      </w:pPr>
      <w:r w:rsidRPr="001C5D93">
        <w:rPr>
          <w:rFonts w:ascii="Traditional Arabic" w:eastAsia="Times New Roman" w:hAnsi="Traditional Arabic" w:cs="Traditional Arabic"/>
          <w:bCs/>
          <w:sz w:val="32"/>
          <w:szCs w:val="32"/>
          <w:rtl/>
        </w:rPr>
        <w:t>أثر التطوير التنظيمي على إدارة المخاطر: الدور الوسيط للتكنولوجيا الذكية</w:t>
      </w:r>
      <w:r w:rsidR="00DA1AFC" w:rsidRPr="001C5D93">
        <w:rPr>
          <w:rFonts w:ascii="Traditional Arabic" w:eastAsia="Times New Roman" w:hAnsi="Traditional Arabic" w:cs="Traditional Arabic"/>
          <w:bCs/>
          <w:sz w:val="32"/>
          <w:szCs w:val="32"/>
          <w:rtl/>
        </w:rPr>
        <w:t xml:space="preserve"> - </w:t>
      </w:r>
      <w:r w:rsidRPr="001C5D93">
        <w:rPr>
          <w:rFonts w:ascii="Traditional Arabic" w:eastAsia="Times New Roman" w:hAnsi="Traditional Arabic" w:cs="Traditional Arabic"/>
          <w:bCs/>
          <w:sz w:val="32"/>
          <w:szCs w:val="32"/>
          <w:rtl/>
        </w:rPr>
        <w:t>دراسة تطبيقية على مستشفى الملك فهد المركزي بمنطقة الباحة أنموذجا.</w:t>
      </w:r>
    </w:p>
    <w:p w14:paraId="5A1ACFF7" w14:textId="77777777" w:rsidR="00F1616D" w:rsidRPr="001C5D93" w:rsidRDefault="00F1616D" w:rsidP="00A02194">
      <w:pPr>
        <w:bidi/>
        <w:spacing w:after="120" w:line="240" w:lineRule="auto"/>
        <w:jc w:val="center"/>
        <w:rPr>
          <w:rFonts w:ascii="Traditional Arabic" w:eastAsia="Times New Roman" w:hAnsi="Traditional Arabic" w:cs="Traditional Arabic"/>
          <w:bCs/>
          <w:sz w:val="32"/>
          <w:szCs w:val="32"/>
        </w:rPr>
      </w:pPr>
      <w:r w:rsidRPr="001C5D93">
        <w:rPr>
          <w:rFonts w:ascii="Traditional Arabic" w:eastAsia="Times New Roman" w:hAnsi="Traditional Arabic" w:cs="Traditional Arabic"/>
          <w:bCs/>
          <w:sz w:val="32"/>
          <w:szCs w:val="32"/>
        </w:rPr>
        <w:t>"The Effect of Organizational Development on Health Risk Management: The Mediating Role of Smart Technology — An Applied Study on King Fahad Central Hospital in the Al-Baha Region."</w:t>
      </w:r>
    </w:p>
    <w:p w14:paraId="51A91D28" w14:textId="77777777" w:rsidR="00F1616D" w:rsidRPr="001C5D93" w:rsidRDefault="00F1616D" w:rsidP="00A02194">
      <w:pPr>
        <w:bidi/>
        <w:spacing w:after="120" w:line="240" w:lineRule="auto"/>
        <w:jc w:val="center"/>
        <w:rPr>
          <w:rFonts w:ascii="Traditional Arabic" w:eastAsia="Times New Roman" w:hAnsi="Traditional Arabic" w:cs="Traditional Arabic"/>
          <w:bCs/>
          <w:color w:val="0070C0"/>
          <w:sz w:val="32"/>
          <w:szCs w:val="32"/>
        </w:rPr>
      </w:pPr>
    </w:p>
    <w:p w14:paraId="5FD06CFC" w14:textId="77777777" w:rsidR="00F1616D" w:rsidRPr="001C5D93" w:rsidRDefault="00F1616D" w:rsidP="00A02194">
      <w:pPr>
        <w:bidi/>
        <w:spacing w:after="120" w:line="240" w:lineRule="auto"/>
        <w:jc w:val="center"/>
        <w:rPr>
          <w:rFonts w:ascii="Traditional Arabic" w:eastAsia="Times New Roman" w:hAnsi="Traditional Arabic" w:cs="Traditional Arabic"/>
          <w:bCs/>
          <w:color w:val="0070C0"/>
          <w:sz w:val="32"/>
          <w:szCs w:val="32"/>
        </w:rPr>
      </w:pPr>
    </w:p>
    <w:p w14:paraId="59F1D723" w14:textId="77777777" w:rsidR="00F1616D" w:rsidRPr="001C5D93" w:rsidRDefault="00F1616D" w:rsidP="00A02194">
      <w:pPr>
        <w:bidi/>
        <w:spacing w:after="120" w:line="240" w:lineRule="auto"/>
        <w:jc w:val="center"/>
        <w:rPr>
          <w:rFonts w:ascii="Traditional Arabic" w:eastAsia="Times New Roman" w:hAnsi="Traditional Arabic" w:cs="Traditional Arabic"/>
          <w:bCs/>
          <w:color w:val="0070C0"/>
          <w:sz w:val="32"/>
          <w:szCs w:val="32"/>
          <w:rtl/>
        </w:rPr>
      </w:pPr>
    </w:p>
    <w:p w14:paraId="2DD74085" w14:textId="77777777" w:rsidR="00F1616D" w:rsidRPr="001C5D93" w:rsidRDefault="00F1616D" w:rsidP="00A02194">
      <w:pPr>
        <w:pStyle w:val="ab"/>
        <w:bidi/>
        <w:spacing w:before="0" w:beforeAutospacing="0" w:after="120" w:afterAutospacing="0"/>
        <w:ind w:right="-270"/>
        <w:jc w:val="both"/>
        <w:rPr>
          <w:rFonts w:ascii="Traditional Arabic" w:hAnsi="Traditional Arabic" w:cs="Traditional Arabic"/>
          <w:bCs/>
          <w:color w:val="0070C0"/>
          <w:sz w:val="32"/>
          <w:szCs w:val="32"/>
          <w:rtl/>
        </w:rPr>
      </w:pPr>
    </w:p>
    <w:p w14:paraId="3D9871EF" w14:textId="77777777" w:rsidR="00F1616D" w:rsidRPr="001C5D93" w:rsidRDefault="00F1616D" w:rsidP="00A02194">
      <w:pPr>
        <w:bidi/>
        <w:spacing w:after="120" w:line="240" w:lineRule="auto"/>
        <w:jc w:val="both"/>
        <w:rPr>
          <w:rFonts w:ascii="Traditional Arabic" w:hAnsi="Traditional Arabic" w:cs="Traditional Arabic"/>
          <w:bCs/>
          <w:color w:val="00B0F0"/>
          <w:sz w:val="32"/>
          <w:szCs w:val="32"/>
          <w:u w:val="single"/>
          <w:rtl/>
        </w:rPr>
      </w:pPr>
    </w:p>
    <w:p w14:paraId="6C3F05A7" w14:textId="77777777" w:rsidR="00F1616D" w:rsidRPr="001C5D93" w:rsidRDefault="00F1616D" w:rsidP="00A02194">
      <w:pPr>
        <w:bidi/>
        <w:spacing w:after="120" w:line="240" w:lineRule="auto"/>
        <w:jc w:val="both"/>
        <w:rPr>
          <w:rFonts w:ascii="Traditional Arabic" w:hAnsi="Traditional Arabic" w:cs="Traditional Arabic"/>
          <w:bCs/>
          <w:color w:val="00B0F0"/>
          <w:sz w:val="32"/>
          <w:szCs w:val="32"/>
          <w:u w:val="single"/>
          <w:rtl/>
        </w:rPr>
      </w:pPr>
    </w:p>
    <w:p w14:paraId="58488336" w14:textId="77777777" w:rsidR="00F1616D" w:rsidRPr="001C5D93" w:rsidRDefault="00F1616D" w:rsidP="00A02194">
      <w:pPr>
        <w:bidi/>
        <w:spacing w:after="120" w:line="240" w:lineRule="auto"/>
        <w:jc w:val="both"/>
        <w:rPr>
          <w:rFonts w:ascii="Traditional Arabic" w:hAnsi="Traditional Arabic" w:cs="Traditional Arabic"/>
          <w:bCs/>
          <w:color w:val="00B0F0"/>
          <w:sz w:val="32"/>
          <w:szCs w:val="32"/>
          <w:u w:val="single"/>
          <w:rtl/>
        </w:rPr>
      </w:pPr>
    </w:p>
    <w:p w14:paraId="34A7DF6A" w14:textId="77777777" w:rsidR="00042498" w:rsidRDefault="00042498" w:rsidP="00A02194">
      <w:pPr>
        <w:bidi/>
        <w:spacing w:after="120" w:line="240" w:lineRule="auto"/>
        <w:jc w:val="both"/>
        <w:rPr>
          <w:rFonts w:ascii="Traditional Arabic" w:hAnsi="Traditional Arabic" w:cs="Traditional Arabic"/>
          <w:bCs/>
          <w:color w:val="00B0F0"/>
          <w:sz w:val="32"/>
          <w:szCs w:val="32"/>
          <w:u w:val="single"/>
          <w:rtl/>
        </w:rPr>
      </w:pPr>
    </w:p>
    <w:p w14:paraId="11C5E348" w14:textId="77777777" w:rsidR="006D63D8" w:rsidRPr="001C5D93" w:rsidRDefault="006D63D8" w:rsidP="006D63D8">
      <w:pPr>
        <w:bidi/>
        <w:spacing w:after="120" w:line="240" w:lineRule="auto"/>
        <w:jc w:val="both"/>
        <w:rPr>
          <w:rFonts w:ascii="Traditional Arabic" w:hAnsi="Traditional Arabic" w:cs="Traditional Arabic"/>
          <w:b/>
          <w:sz w:val="32"/>
          <w:szCs w:val="32"/>
          <w:rtl/>
        </w:rPr>
      </w:pPr>
    </w:p>
    <w:p w14:paraId="2731A144" w14:textId="77777777" w:rsidR="00123AC6" w:rsidRPr="001C5D93" w:rsidRDefault="00123AC6" w:rsidP="00A02194">
      <w:pPr>
        <w:bidi/>
        <w:spacing w:after="120" w:line="240" w:lineRule="auto"/>
        <w:jc w:val="center"/>
        <w:rPr>
          <w:rFonts w:ascii="Traditional Arabic" w:hAnsi="Traditional Arabic" w:cs="Traditional Arabic"/>
          <w:bCs/>
          <w:sz w:val="36"/>
          <w:szCs w:val="36"/>
          <w:rtl/>
        </w:rPr>
      </w:pPr>
      <w:r w:rsidRPr="001C5D93">
        <w:rPr>
          <w:rFonts w:ascii="Traditional Arabic" w:hAnsi="Traditional Arabic" w:cs="Traditional Arabic" w:hint="cs"/>
          <w:bCs/>
          <w:sz w:val="36"/>
          <w:szCs w:val="36"/>
          <w:rtl/>
        </w:rPr>
        <w:lastRenderedPageBreak/>
        <w:t xml:space="preserve">الفصل الثاني: </w:t>
      </w:r>
    </w:p>
    <w:p w14:paraId="357D336A" w14:textId="0CFB7E86" w:rsidR="00123AC6" w:rsidRPr="001C5D93" w:rsidRDefault="00123AC6" w:rsidP="00A02194">
      <w:pPr>
        <w:bidi/>
        <w:spacing w:after="120" w:line="240" w:lineRule="auto"/>
        <w:jc w:val="center"/>
        <w:rPr>
          <w:rFonts w:ascii="Traditional Arabic" w:hAnsi="Traditional Arabic" w:cs="Traditional Arabic"/>
          <w:bCs/>
          <w:sz w:val="36"/>
          <w:szCs w:val="36"/>
          <w:rtl/>
        </w:rPr>
      </w:pPr>
      <w:r w:rsidRPr="001C5D93">
        <w:rPr>
          <w:rFonts w:ascii="Traditional Arabic" w:hAnsi="Traditional Arabic" w:cs="Traditional Arabic" w:hint="cs"/>
          <w:bCs/>
          <w:sz w:val="36"/>
          <w:szCs w:val="36"/>
          <w:rtl/>
        </w:rPr>
        <w:t>الإطار النظري والدراسات السابقة</w:t>
      </w:r>
    </w:p>
    <w:p w14:paraId="6B799CCD" w14:textId="69CBF5BF" w:rsidR="001C5D93" w:rsidRPr="006D63D8" w:rsidRDefault="001C5D93" w:rsidP="001C5D93">
      <w:pPr>
        <w:bidi/>
        <w:spacing w:after="120" w:line="240" w:lineRule="auto"/>
        <w:jc w:val="both"/>
        <w:rPr>
          <w:rFonts w:ascii="Traditional Arabic" w:hAnsi="Traditional Arabic" w:cs="Traditional Arabic"/>
          <w:bCs/>
          <w:sz w:val="36"/>
          <w:szCs w:val="36"/>
          <w:rtl/>
        </w:rPr>
      </w:pPr>
      <w:r w:rsidRPr="006D63D8">
        <w:rPr>
          <w:rFonts w:ascii="Traditional Arabic" w:hAnsi="Traditional Arabic" w:cs="Traditional Arabic" w:hint="cs"/>
          <w:bCs/>
          <w:sz w:val="36"/>
          <w:szCs w:val="36"/>
          <w:rtl/>
        </w:rPr>
        <w:t>تمهيد:</w:t>
      </w:r>
    </w:p>
    <w:p w14:paraId="76D5BE99" w14:textId="77777777" w:rsidR="00254B75" w:rsidRDefault="001C5D93" w:rsidP="001C5D93">
      <w:pPr>
        <w:bidi/>
        <w:spacing w:after="120" w:line="240" w:lineRule="auto"/>
        <w:jc w:val="both"/>
        <w:rPr>
          <w:rFonts w:ascii="Traditional Arabic" w:hAnsi="Traditional Arabic" w:cs="Traditional Arabic"/>
          <w:b/>
          <w:sz w:val="32"/>
          <w:szCs w:val="32"/>
          <w:rtl/>
        </w:rPr>
      </w:pPr>
      <w:r w:rsidRPr="001C5D93">
        <w:rPr>
          <w:rFonts w:ascii="Traditional Arabic" w:hAnsi="Traditional Arabic" w:cs="Traditional Arabic"/>
          <w:b/>
          <w:sz w:val="32"/>
          <w:szCs w:val="32"/>
          <w:rtl/>
        </w:rPr>
        <w:t xml:space="preserve">يهدف هذا الفصل إلى بناء الأساس النظري والتحليلي للدراسة الحالية من خلال مراجعة الأدبيات ذات الصلة بمتغيراتها الرئيسة، وهي: التطوير التنظيمي، والتكنولوجيا الذكية، وإدارة المخاطر في المؤسسات الصحية، تمهيدًا لتفسير العلاقات المفترضة بينها وصياغة الفجوة البحثية التي تنطلق منها الدراسة. </w:t>
      </w:r>
    </w:p>
    <w:p w14:paraId="319AA646" w14:textId="3770A0CE" w:rsidR="001C5D93" w:rsidRPr="001C5D93" w:rsidRDefault="001C5D93" w:rsidP="00254B75">
      <w:pPr>
        <w:bidi/>
        <w:spacing w:after="120" w:line="240" w:lineRule="auto"/>
        <w:jc w:val="both"/>
        <w:rPr>
          <w:rFonts w:ascii="Traditional Arabic" w:hAnsi="Traditional Arabic" w:cs="Traditional Arabic"/>
          <w:b/>
          <w:sz w:val="32"/>
          <w:szCs w:val="32"/>
          <w:rtl/>
        </w:rPr>
      </w:pPr>
      <w:r w:rsidRPr="001C5D93">
        <w:rPr>
          <w:rFonts w:ascii="Traditional Arabic" w:hAnsi="Traditional Arabic" w:cs="Traditional Arabic"/>
          <w:b/>
          <w:sz w:val="32"/>
          <w:szCs w:val="32"/>
          <w:rtl/>
        </w:rPr>
        <w:t>ولا يقتصر هذا الفصل على عرض المفاهيم والتعريفات، بل يسعى إلى تنظيم المعرفة السابقة وتحليلها بصورة نقدية تكشف كيف تناولت الأدبيات هذه المتغيرات منفردة ومجتمعة، وما الذي أضافته الدراسات السابقة، وما أوجه القصور التي ما تزال قائمة، ولا سيما في البيئة الصحية السعودية</w:t>
      </w:r>
      <w:r w:rsidRPr="001C5D93">
        <w:rPr>
          <w:rFonts w:ascii="Traditional Arabic" w:hAnsi="Traditional Arabic" w:cs="Traditional Arabic"/>
          <w:b/>
          <w:sz w:val="32"/>
          <w:szCs w:val="32"/>
        </w:rPr>
        <w:t>.</w:t>
      </w:r>
    </w:p>
    <w:p w14:paraId="61DDC097" w14:textId="7D2F5988" w:rsidR="001C5D93" w:rsidRPr="001C5D93" w:rsidRDefault="001C5D93" w:rsidP="001C5D93">
      <w:pPr>
        <w:bidi/>
        <w:spacing w:after="120" w:line="240" w:lineRule="auto"/>
        <w:jc w:val="both"/>
        <w:rPr>
          <w:rFonts w:ascii="Traditional Arabic" w:hAnsi="Traditional Arabic" w:cs="Traditional Arabic"/>
          <w:b/>
          <w:sz w:val="32"/>
          <w:szCs w:val="32"/>
          <w:rtl/>
        </w:rPr>
      </w:pPr>
      <w:r w:rsidRPr="001C5D93">
        <w:rPr>
          <w:rFonts w:ascii="Traditional Arabic" w:hAnsi="Traditional Arabic" w:cs="Traditional Arabic"/>
          <w:b/>
          <w:sz w:val="32"/>
          <w:szCs w:val="32"/>
          <w:rtl/>
        </w:rPr>
        <w:t>واعتمد الباحث في هذا الفصل على مراجعة الدراسات والنماذج النظرية الأكثر اتصالًا بمتغيرات الدراسة وعلاقاتها، مع التركيز على الأدبيات الحديثة ذات الصلة بالقطاع الصحي، دون إغفال بعض المراجع التأسيسية التي تُعد ضرورية لتأصيل المفاهيم وبناء الحجة النظرية. وقد تم اختيار الأدبيات وفق معايير رئيسة تتمثل في: الصلة المباشرة بمتغيرات الدراسة أو بالعلاقات بينها، والحداثة النسبية للمصدر، والارتباط بالسياق الصحي كلما أمكن، والقيمة التفسيرية أو المنهجية للدراسة في دعم بناء الفرضيات وتحديد الفجوة البحثية</w:t>
      </w:r>
      <w:r w:rsidRPr="001C5D93">
        <w:rPr>
          <w:rFonts w:ascii="Traditional Arabic" w:hAnsi="Traditional Arabic" w:cs="Traditional Arabic"/>
          <w:b/>
          <w:sz w:val="32"/>
          <w:szCs w:val="32"/>
        </w:rPr>
        <w:t>.</w:t>
      </w:r>
    </w:p>
    <w:p w14:paraId="0CEDC334" w14:textId="509F93A0" w:rsidR="001C5D93" w:rsidRPr="001C5D93" w:rsidRDefault="001C5D93" w:rsidP="001C5D93">
      <w:pPr>
        <w:bidi/>
        <w:spacing w:after="120" w:line="240" w:lineRule="auto"/>
        <w:jc w:val="both"/>
        <w:rPr>
          <w:rFonts w:ascii="Traditional Arabic" w:hAnsi="Traditional Arabic" w:cs="Traditional Arabic"/>
          <w:b/>
          <w:sz w:val="32"/>
          <w:szCs w:val="32"/>
          <w:rtl/>
        </w:rPr>
      </w:pPr>
      <w:r w:rsidRPr="001C5D93">
        <w:rPr>
          <w:rFonts w:ascii="Traditional Arabic" w:hAnsi="Traditional Arabic" w:cs="Traditional Arabic"/>
          <w:b/>
          <w:sz w:val="32"/>
          <w:szCs w:val="32"/>
          <w:rtl/>
        </w:rPr>
        <w:t>وتسترشد الدراسة الحالية بإطار نظري تكاملي واضح؛ إذ تعتمد على نظرية النظم المفتوحة بوصفها النظرية القائدة التي تفسر العلاقات المباشرة بين متغيرات الدراسة، من خلال النظر إلى المستشفى باعتباره نظامًا تنظيميًا مفتوحًا يتفاعل مع بيئته الداخلية والخارجية، وتتحدد كفاءته بمدى انسجام بنيته وعملياته وموارده البشرية وقدرته على معالجة المعلومات والاستجابة للتغيرات. كما تعتمد الدراسة على منطق الوساطة بوصفه الآلية التفسيرية التي توضح كيف يمكن أن ينتقل أثر التطوير التنظيمي إلى إدارة المخاطر عبر التكنولوجيا الذكية بوصفها المتغير الوسيط في النموذج؛ حيث أن الدراسة لا تختبر علاقة مباشرة بين التطوير التنظيمي وإدارة المخاطر فحسب، بل تفترض أيضًا أن هذا الأثر يزداد تفسيرًا عندما يُفهم من خلال الدور الذي تؤديه التكنولوجيا الذكية في دعم القرار، وتحسين الرصد، وتعزيز الاستجابة الوقائية</w:t>
      </w:r>
      <w:r w:rsidRPr="001C5D93">
        <w:rPr>
          <w:rFonts w:ascii="Traditional Arabic" w:hAnsi="Traditional Arabic" w:cs="Traditional Arabic"/>
          <w:b/>
          <w:sz w:val="32"/>
          <w:szCs w:val="32"/>
        </w:rPr>
        <w:t>.</w:t>
      </w:r>
    </w:p>
    <w:p w14:paraId="1866687A" w14:textId="28D33E2E" w:rsidR="001C5D93" w:rsidRDefault="001C5D93" w:rsidP="001C5D93">
      <w:pPr>
        <w:bidi/>
        <w:spacing w:after="120" w:line="240" w:lineRule="auto"/>
        <w:jc w:val="both"/>
        <w:rPr>
          <w:rFonts w:ascii="Traditional Arabic" w:hAnsi="Traditional Arabic" w:cs="Traditional Arabic"/>
          <w:b/>
          <w:sz w:val="32"/>
          <w:szCs w:val="32"/>
          <w:rtl/>
        </w:rPr>
      </w:pPr>
      <w:r w:rsidRPr="001C5D93">
        <w:rPr>
          <w:rFonts w:ascii="Traditional Arabic" w:hAnsi="Traditional Arabic" w:cs="Traditional Arabic"/>
          <w:b/>
          <w:sz w:val="32"/>
          <w:szCs w:val="32"/>
          <w:rtl/>
        </w:rPr>
        <w:t xml:space="preserve">وانطلاقًا </w:t>
      </w:r>
      <w:r>
        <w:rPr>
          <w:rFonts w:ascii="Traditional Arabic" w:hAnsi="Traditional Arabic" w:cs="Traditional Arabic" w:hint="cs"/>
          <w:b/>
          <w:sz w:val="32"/>
          <w:szCs w:val="32"/>
          <w:rtl/>
        </w:rPr>
        <w:t xml:space="preserve">مما سبق، فقد </w:t>
      </w:r>
      <w:r w:rsidRPr="001C5D93">
        <w:rPr>
          <w:rFonts w:ascii="Traditional Arabic" w:hAnsi="Traditional Arabic" w:cs="Traditional Arabic"/>
          <w:b/>
          <w:sz w:val="32"/>
          <w:szCs w:val="32"/>
          <w:rtl/>
        </w:rPr>
        <w:t>تم تنظيم الفصل على النحو التالي: يبدأ الفصل أولًا بعرض الإطار النظري المتمثل في نظرية النظم المفتوحة ونموذج الوساطة، اللذين يشكلان الأساس التفسيري للعلاقات بين المتغيرات</w:t>
      </w:r>
      <w:r>
        <w:rPr>
          <w:rFonts w:ascii="Traditional Arabic" w:hAnsi="Traditional Arabic" w:cs="Traditional Arabic" w:hint="cs"/>
          <w:b/>
          <w:sz w:val="32"/>
          <w:szCs w:val="32"/>
          <w:rtl/>
        </w:rPr>
        <w:t>، و</w:t>
      </w:r>
      <w:r w:rsidRPr="001C5D93">
        <w:rPr>
          <w:rFonts w:ascii="Traditional Arabic" w:hAnsi="Traditional Arabic" w:cs="Traditional Arabic"/>
          <w:b/>
          <w:sz w:val="32"/>
          <w:szCs w:val="32"/>
          <w:rtl/>
        </w:rPr>
        <w:t>ثانيًا، يُعرض نموذج الدراسة المفاهيمي الذي يترجم هذه النظريات إلى علاقات سببية مصورة بين المتغيرات</w:t>
      </w:r>
      <w:r>
        <w:rPr>
          <w:rFonts w:ascii="Traditional Arabic" w:hAnsi="Traditional Arabic" w:cs="Traditional Arabic" w:hint="cs"/>
          <w:b/>
          <w:sz w:val="32"/>
          <w:szCs w:val="32"/>
          <w:rtl/>
        </w:rPr>
        <w:t>،</w:t>
      </w:r>
      <w:r w:rsidRPr="001C5D93">
        <w:rPr>
          <w:rFonts w:ascii="Traditional Arabic" w:hAnsi="Traditional Arabic" w:cs="Traditional Arabic"/>
          <w:b/>
          <w:sz w:val="32"/>
          <w:szCs w:val="32"/>
          <w:rtl/>
        </w:rPr>
        <w:t xml:space="preserve"> </w:t>
      </w:r>
      <w:r>
        <w:rPr>
          <w:rFonts w:ascii="Traditional Arabic" w:hAnsi="Traditional Arabic" w:cs="Traditional Arabic" w:hint="cs"/>
          <w:b/>
          <w:sz w:val="32"/>
          <w:szCs w:val="32"/>
          <w:rtl/>
        </w:rPr>
        <w:t>و</w:t>
      </w:r>
      <w:r w:rsidRPr="001C5D93">
        <w:rPr>
          <w:rFonts w:ascii="Traditional Arabic" w:hAnsi="Traditional Arabic" w:cs="Traditional Arabic"/>
          <w:b/>
          <w:sz w:val="32"/>
          <w:szCs w:val="32"/>
          <w:rtl/>
        </w:rPr>
        <w:t xml:space="preserve">ثالثًا، يتناول الفصل الإطار المفاهيمي لمتغيرات الدراسة من خلال عرض التعريفات المعتمدة والأبعاد الرئيسة لكل من التطوير </w:t>
      </w:r>
      <w:r w:rsidRPr="001C5D93">
        <w:rPr>
          <w:rFonts w:ascii="Traditional Arabic" w:hAnsi="Traditional Arabic" w:cs="Traditional Arabic"/>
          <w:b/>
          <w:sz w:val="32"/>
          <w:szCs w:val="32"/>
          <w:rtl/>
        </w:rPr>
        <w:lastRenderedPageBreak/>
        <w:t>التنظيمي، والتكنولوجيا الذكية، وإدارة المخاطر، مع توضيح آلية تأثير كل متغير في النموذج</w:t>
      </w:r>
      <w:r>
        <w:rPr>
          <w:rFonts w:ascii="Traditional Arabic" w:hAnsi="Traditional Arabic" w:cs="Traditional Arabic" w:hint="cs"/>
          <w:b/>
          <w:sz w:val="32"/>
          <w:szCs w:val="32"/>
          <w:rtl/>
        </w:rPr>
        <w:t>، و</w:t>
      </w:r>
      <w:r w:rsidRPr="001C5D93">
        <w:rPr>
          <w:rFonts w:ascii="Traditional Arabic" w:hAnsi="Traditional Arabic" w:cs="Traditional Arabic"/>
          <w:b/>
          <w:sz w:val="32"/>
          <w:szCs w:val="32"/>
          <w:rtl/>
        </w:rPr>
        <w:t xml:space="preserve"> رابعًا، يستعرض الدراسات السابقة  تمهيدًا لاستخلاص أوجه الاتفاق والتعارض والحدود المنهجية والسياقية</w:t>
      </w:r>
      <w:r>
        <w:rPr>
          <w:rFonts w:ascii="Traditional Arabic" w:hAnsi="Traditional Arabic" w:cs="Traditional Arabic" w:hint="cs"/>
          <w:b/>
          <w:sz w:val="32"/>
          <w:szCs w:val="32"/>
          <w:rtl/>
        </w:rPr>
        <w:t>، و</w:t>
      </w:r>
      <w:r w:rsidRPr="001C5D93">
        <w:rPr>
          <w:rFonts w:ascii="Traditional Arabic" w:hAnsi="Traditional Arabic" w:cs="Traditional Arabic"/>
          <w:b/>
          <w:sz w:val="32"/>
          <w:szCs w:val="32"/>
          <w:rtl/>
        </w:rPr>
        <w:t>خامسًا، تحديد الفجوة البحثية وصياغة الفرضيات بناءً على ما سبق</w:t>
      </w:r>
      <w:r>
        <w:rPr>
          <w:rFonts w:ascii="Traditional Arabic" w:hAnsi="Traditional Arabic" w:cs="Traditional Arabic" w:hint="cs"/>
          <w:b/>
          <w:sz w:val="32"/>
          <w:szCs w:val="32"/>
          <w:rtl/>
        </w:rPr>
        <w:t>، و</w:t>
      </w:r>
      <w:r w:rsidRPr="001C5D93">
        <w:rPr>
          <w:rFonts w:ascii="Traditional Arabic" w:hAnsi="Traditional Arabic" w:cs="Traditional Arabic"/>
          <w:b/>
          <w:sz w:val="32"/>
          <w:szCs w:val="32"/>
          <w:rtl/>
        </w:rPr>
        <w:t>سادسًا وأخيرًا، يُلخص الفصل التعريفات الإجرائية المعتمدة ومواصفات القياس تمهيدًا لبناء أداة الدراسة في الفصل الثالث</w:t>
      </w:r>
      <w:r w:rsidRPr="001C5D93">
        <w:rPr>
          <w:rFonts w:ascii="Traditional Arabic" w:hAnsi="Traditional Arabic" w:cs="Traditional Arabic"/>
          <w:b/>
          <w:sz w:val="32"/>
          <w:szCs w:val="32"/>
        </w:rPr>
        <w:t>.</w:t>
      </w:r>
    </w:p>
    <w:p w14:paraId="5D08D1D3" w14:textId="77777777" w:rsidR="001C5D93" w:rsidRPr="001C5D93" w:rsidRDefault="001C5D93" w:rsidP="001C5D93">
      <w:pPr>
        <w:pStyle w:val="ab"/>
        <w:bidi/>
        <w:spacing w:before="0" w:beforeAutospacing="0" w:after="120" w:afterAutospacing="0"/>
        <w:jc w:val="both"/>
        <w:rPr>
          <w:rFonts w:ascii="Traditional Arabic" w:hAnsi="Traditional Arabic" w:cs="Traditional Arabic"/>
          <w:sz w:val="36"/>
          <w:szCs w:val="36"/>
          <w:rtl/>
        </w:rPr>
      </w:pPr>
      <w:r w:rsidRPr="001C5D93">
        <w:rPr>
          <w:rFonts w:ascii="Traditional Arabic" w:hAnsi="Traditional Arabic" w:cs="Traditional Arabic"/>
          <w:b/>
          <w:bCs/>
          <w:sz w:val="36"/>
          <w:szCs w:val="36"/>
          <w:rtl/>
        </w:rPr>
        <w:t>أولاً: الإطار النظري للدراسة</w:t>
      </w:r>
    </w:p>
    <w:p w14:paraId="4D8030AF" w14:textId="15DC0836" w:rsidR="001C5D93" w:rsidRPr="001C5D93" w:rsidRDefault="001C5D93" w:rsidP="001C5D93">
      <w:pPr>
        <w:pStyle w:val="ab"/>
        <w:bidi/>
        <w:spacing w:before="0" w:beforeAutospacing="0" w:after="120" w:afterAutospacing="0"/>
        <w:jc w:val="both"/>
        <w:rPr>
          <w:rFonts w:ascii="Traditional Arabic" w:hAnsi="Traditional Arabic" w:cs="Traditional Arabic"/>
          <w:sz w:val="32"/>
          <w:szCs w:val="32"/>
          <w:rtl/>
        </w:rPr>
      </w:pPr>
      <w:r w:rsidRPr="001C5D93">
        <w:rPr>
          <w:rFonts w:ascii="Traditional Arabic" w:hAnsi="Traditional Arabic" w:cs="Traditional Arabic"/>
          <w:sz w:val="32"/>
          <w:szCs w:val="32"/>
          <w:rtl/>
        </w:rPr>
        <w:t>يستعرض هذا الجزء أبرز النظريات والنماذج التي تفسر العلاقات السببية بين متغيرات الدراسة، وذلك بهدف تأصيل الإطار الفكري الذي يستند إليه النموذج المقترح</w:t>
      </w:r>
      <w:r>
        <w:rPr>
          <w:rFonts w:ascii="Traditional Arabic" w:hAnsi="Traditional Arabic" w:cs="Traditional Arabic" w:hint="cs"/>
          <w:sz w:val="32"/>
          <w:szCs w:val="32"/>
          <w:rtl/>
        </w:rPr>
        <w:t>،</w:t>
      </w:r>
      <w:r w:rsidRPr="001C5D93">
        <w:rPr>
          <w:rFonts w:ascii="Traditional Arabic" w:hAnsi="Traditional Arabic" w:cs="Traditional Arabic"/>
          <w:sz w:val="32"/>
          <w:szCs w:val="32"/>
          <w:rtl/>
        </w:rPr>
        <w:t xml:space="preserve"> ويُسهم هذا العرض في توضيح الأساس العلمي الذي يبرر الربط بين التطوير التنظيمي، والتكنولوجيا الذكية، وإدارة المخاطر في البيئة الصحية</w:t>
      </w:r>
      <w:r>
        <w:rPr>
          <w:rFonts w:ascii="Traditional Arabic" w:hAnsi="Traditional Arabic" w:cs="Traditional Arabic" w:hint="cs"/>
          <w:sz w:val="32"/>
          <w:szCs w:val="32"/>
          <w:rtl/>
        </w:rPr>
        <w:t xml:space="preserve"> كما يلي:</w:t>
      </w:r>
    </w:p>
    <w:p w14:paraId="49D879F9" w14:textId="48A020D9" w:rsidR="001C5D93" w:rsidRPr="001C5D93" w:rsidRDefault="001C5D93" w:rsidP="006D63D8">
      <w:pPr>
        <w:pStyle w:val="ab"/>
        <w:numPr>
          <w:ilvl w:val="0"/>
          <w:numId w:val="111"/>
        </w:numPr>
        <w:bidi/>
        <w:spacing w:before="0" w:beforeAutospacing="0" w:after="120" w:afterAutospacing="0"/>
        <w:jc w:val="both"/>
        <w:rPr>
          <w:rFonts w:ascii="Traditional Arabic" w:hAnsi="Traditional Arabic" w:cs="Traditional Arabic"/>
          <w:b/>
          <w:bCs/>
          <w:sz w:val="32"/>
          <w:szCs w:val="32"/>
        </w:rPr>
      </w:pPr>
      <w:r w:rsidRPr="001C5D93">
        <w:rPr>
          <w:rFonts w:ascii="Traditional Arabic" w:hAnsi="Traditional Arabic" w:cs="Traditional Arabic"/>
          <w:b/>
          <w:bCs/>
          <w:sz w:val="32"/>
          <w:szCs w:val="32"/>
          <w:rtl/>
        </w:rPr>
        <w:t>نظرية النظم المفتوحة</w:t>
      </w:r>
      <w:r w:rsidRPr="001C5D93">
        <w:rPr>
          <w:rFonts w:ascii="Traditional Arabic" w:hAnsi="Traditional Arabic" w:cs="Traditional Arabic" w:hint="cs"/>
          <w:b/>
          <w:bCs/>
          <w:sz w:val="32"/>
          <w:szCs w:val="32"/>
          <w:rtl/>
        </w:rPr>
        <w:t xml:space="preserve"> </w:t>
      </w:r>
    </w:p>
    <w:p w14:paraId="10CC1B7A" w14:textId="77777777" w:rsidR="001C5D93" w:rsidRPr="001C5D93" w:rsidRDefault="001C5D93" w:rsidP="001C5D93">
      <w:pPr>
        <w:pStyle w:val="ab"/>
        <w:bidi/>
        <w:spacing w:before="0" w:beforeAutospacing="0" w:after="120" w:afterAutospacing="0"/>
        <w:jc w:val="both"/>
        <w:rPr>
          <w:rFonts w:ascii="Traditional Arabic" w:hAnsi="Traditional Arabic" w:cs="Traditional Arabic"/>
          <w:sz w:val="32"/>
          <w:szCs w:val="32"/>
        </w:rPr>
      </w:pPr>
      <w:r w:rsidRPr="001C5D93">
        <w:rPr>
          <w:rFonts w:ascii="Traditional Arabic" w:hAnsi="Traditional Arabic" w:cs="Traditional Arabic"/>
          <w:sz w:val="32"/>
          <w:szCs w:val="32"/>
          <w:rtl/>
        </w:rPr>
        <w:t>تُعد نظرية النظم المفتوحة من النظريات الأساسية في الفكر التنظيمي الحديث، إذ تنظر إلى المنظمة باعتبارها نظامًا اجتماعيًا ديناميكيًا يتفاعل بصورة مستمرة مع البيئة الخارجية، ويتأثر بها ويؤثر فيها في الوقت ذاته. وترجع الجذور الفكرية لهذه النظرية إلى النظرية العامة للنظم التي طرحها بيرتالانفي</w:t>
      </w:r>
      <w:r w:rsidRPr="001C5D93">
        <w:rPr>
          <w:rFonts w:ascii="Traditional Arabic" w:hAnsi="Traditional Arabic" w:cs="Traditional Arabic"/>
          <w:sz w:val="32"/>
          <w:szCs w:val="32"/>
        </w:rPr>
        <w:t xml:space="preserve"> (Bertalanffy, 1968)</w:t>
      </w:r>
      <w:r w:rsidRPr="001C5D93">
        <w:rPr>
          <w:rFonts w:ascii="Traditional Arabic" w:hAnsi="Traditional Arabic" w:cs="Traditional Arabic"/>
          <w:sz w:val="32"/>
          <w:szCs w:val="32"/>
          <w:rtl/>
        </w:rPr>
        <w:t xml:space="preserve">، والتي أكدت أن الكيانات الحية والاجتماعية لا يمكن فهمها من خلال تحليل أجزائها بصورة منفصلة، بل من خلال دراسة العلاقات والتفاعلات المتبادلة بين مكوناتها. وقد قام كل </w:t>
      </w:r>
      <w:r w:rsidRPr="001C5D93">
        <w:rPr>
          <w:rFonts w:ascii="Traditional Arabic" w:hAnsi="Traditional Arabic" w:cs="Traditional Arabic"/>
          <w:sz w:val="32"/>
          <w:szCs w:val="32"/>
        </w:rPr>
        <w:t>Katz &amp; Kahn (1978)</w:t>
      </w:r>
      <w:r w:rsidRPr="001C5D93">
        <w:rPr>
          <w:rFonts w:ascii="Traditional Arabic" w:hAnsi="Traditional Arabic" w:cs="Traditional Arabic"/>
          <w:sz w:val="32"/>
          <w:szCs w:val="32"/>
          <w:rtl/>
        </w:rPr>
        <w:t xml:space="preserve"> بتطوير هذا الطرح في المجال التنظيمي، حيث أكدا أن المنظمات أنظمة مفتوحة تعتمد في بقائها واستمرارها على قدرتها على استيراد الموارد من البيئة، ومعالجتها، ثم إعادة تصديرها في صورة مخرجات</w:t>
      </w:r>
      <w:r w:rsidRPr="001C5D93">
        <w:rPr>
          <w:rFonts w:ascii="Traditional Arabic" w:hAnsi="Traditional Arabic" w:cs="Traditional Arabic"/>
          <w:sz w:val="32"/>
          <w:szCs w:val="32"/>
        </w:rPr>
        <w:t>.</w:t>
      </w:r>
    </w:p>
    <w:p w14:paraId="0146DEE2" w14:textId="77777777" w:rsidR="001C5D93" w:rsidRPr="001C5D93" w:rsidRDefault="001C5D93" w:rsidP="001C5D93">
      <w:pPr>
        <w:pStyle w:val="ab"/>
        <w:bidi/>
        <w:spacing w:before="0" w:beforeAutospacing="0" w:after="120" w:afterAutospacing="0"/>
        <w:jc w:val="both"/>
        <w:rPr>
          <w:rFonts w:ascii="Traditional Arabic" w:hAnsi="Traditional Arabic" w:cs="Traditional Arabic"/>
          <w:sz w:val="32"/>
          <w:szCs w:val="32"/>
        </w:rPr>
      </w:pPr>
      <w:r w:rsidRPr="001C5D93">
        <w:rPr>
          <w:rFonts w:ascii="Traditional Arabic" w:hAnsi="Traditional Arabic" w:cs="Traditional Arabic"/>
          <w:sz w:val="32"/>
          <w:szCs w:val="32"/>
          <w:rtl/>
        </w:rPr>
        <w:t xml:space="preserve">وتفترض النظرية أن المنظمة تتكون من </w:t>
      </w:r>
      <w:r w:rsidRPr="001C5D93">
        <w:rPr>
          <w:rFonts w:ascii="Traditional Arabic" w:hAnsi="Traditional Arabic" w:cs="Traditional Arabic" w:hint="cs"/>
          <w:sz w:val="32"/>
          <w:szCs w:val="32"/>
          <w:rtl/>
        </w:rPr>
        <w:t>أربع</w:t>
      </w:r>
      <w:r w:rsidRPr="001C5D93">
        <w:rPr>
          <w:rFonts w:ascii="Traditional Arabic" w:hAnsi="Traditional Arabic" w:cs="Traditional Arabic"/>
          <w:sz w:val="32"/>
          <w:szCs w:val="32"/>
          <w:rtl/>
        </w:rPr>
        <w:t xml:space="preserve"> مكونات رئيسة</w:t>
      </w:r>
      <w:r w:rsidRPr="001C5D93">
        <w:rPr>
          <w:rFonts w:ascii="Traditional Arabic" w:hAnsi="Traditional Arabic" w:cs="Traditional Arabic"/>
          <w:sz w:val="32"/>
          <w:szCs w:val="32"/>
        </w:rPr>
        <w:t xml:space="preserve">: </w:t>
      </w:r>
      <w:r w:rsidRPr="001C5D93">
        <w:rPr>
          <w:rFonts w:ascii="Traditional Arabic" w:eastAsiaTheme="majorEastAsia" w:hAnsi="Traditional Arabic" w:cs="Traditional Arabic"/>
          <w:sz w:val="32"/>
          <w:szCs w:val="32"/>
          <w:rtl/>
        </w:rPr>
        <w:t>المدخلات، وعمليات التحويل، والمخرجات، والتغذية الراجعة</w:t>
      </w:r>
      <w:r w:rsidRPr="001C5D93">
        <w:rPr>
          <w:rFonts w:ascii="Traditional Arabic" w:hAnsi="Traditional Arabic" w:cs="Traditional Arabic"/>
          <w:sz w:val="32"/>
          <w:szCs w:val="32"/>
        </w:rPr>
        <w:t xml:space="preserve">. </w:t>
      </w:r>
      <w:r w:rsidRPr="001C5D93">
        <w:rPr>
          <w:rFonts w:ascii="Traditional Arabic" w:hAnsi="Traditional Arabic" w:cs="Traditional Arabic"/>
          <w:sz w:val="32"/>
          <w:szCs w:val="32"/>
          <w:rtl/>
        </w:rPr>
        <w:t>فالمدخلات تشمل الموارد البشرية، والمعلومات، والتكنولوجيا، ورأس المال، في حين تمثل عمليات التحويل الأنشطة والإجراءات التي تُستخدم لتحويل هذه الموارد إلى منتجات أو خدمات. أما المخرجات فتتمثل في النتائج النهائية للنظام، بينما تؤدي التغذية الراجعة دورًا أساسيًا في تقييم الأداء وتصحيح الانحرافات بما يضمن استمرارية النظام وتحقيق التوازن الديناميكي</w:t>
      </w:r>
      <w:r w:rsidRPr="001C5D93">
        <w:rPr>
          <w:rFonts w:ascii="Traditional Arabic" w:hAnsi="Traditional Arabic" w:cs="Traditional Arabic"/>
          <w:sz w:val="32"/>
          <w:szCs w:val="32"/>
        </w:rPr>
        <w:t xml:space="preserve"> (Katz &amp; Kahn, 1978).</w:t>
      </w:r>
    </w:p>
    <w:p w14:paraId="16E12320" w14:textId="6442DB56" w:rsidR="001C5D93" w:rsidRPr="001C5D93" w:rsidRDefault="001C5D93" w:rsidP="001C5D93">
      <w:pPr>
        <w:pStyle w:val="ab"/>
        <w:bidi/>
        <w:spacing w:before="0" w:beforeAutospacing="0" w:after="120" w:afterAutospacing="0"/>
        <w:jc w:val="both"/>
        <w:rPr>
          <w:rFonts w:ascii="Traditional Arabic" w:hAnsi="Traditional Arabic" w:cs="Traditional Arabic" w:hint="cs"/>
          <w:sz w:val="32"/>
          <w:szCs w:val="32"/>
          <w:rtl/>
        </w:rPr>
      </w:pPr>
      <w:r w:rsidRPr="001C5D93">
        <w:rPr>
          <w:rFonts w:ascii="Traditional Arabic" w:hAnsi="Traditional Arabic" w:cs="Traditional Arabic"/>
          <w:sz w:val="32"/>
          <w:szCs w:val="32"/>
          <w:rtl/>
        </w:rPr>
        <w:t xml:space="preserve">كما تؤكد النظرية على مبدأ </w:t>
      </w:r>
      <w:r w:rsidRPr="001C5D93">
        <w:rPr>
          <w:rFonts w:ascii="Traditional Arabic" w:eastAsiaTheme="majorEastAsia" w:hAnsi="Traditional Arabic" w:cs="Traditional Arabic"/>
          <w:sz w:val="32"/>
          <w:szCs w:val="32"/>
          <w:rtl/>
        </w:rPr>
        <w:t>الاعتماد المتبادل</w:t>
      </w:r>
      <w:r w:rsidRPr="001C5D93">
        <w:rPr>
          <w:rFonts w:ascii="Traditional Arabic" w:hAnsi="Traditional Arabic" w:cs="Traditional Arabic"/>
          <w:sz w:val="32"/>
          <w:szCs w:val="32"/>
          <w:rtl/>
        </w:rPr>
        <w:t xml:space="preserve"> بين مكونات النظام، بحيث يؤثر أي خلل في أحد الأجزاء على بقية الأجزاء، الأمر الذي يستلزم وجود تنسيق وتكامل داخليين. وتشير كذلك إلى مفهوم </w:t>
      </w:r>
      <w:r w:rsidRPr="001C5D93">
        <w:rPr>
          <w:rFonts w:ascii="Traditional Arabic" w:eastAsiaTheme="majorEastAsia" w:hAnsi="Traditional Arabic" w:cs="Traditional Arabic"/>
          <w:sz w:val="32"/>
          <w:szCs w:val="32"/>
          <w:rtl/>
        </w:rPr>
        <w:t>التكيف التنظيمي</w:t>
      </w:r>
      <w:r w:rsidRPr="001C5D93">
        <w:rPr>
          <w:rFonts w:ascii="Traditional Arabic" w:hAnsi="Traditional Arabic" w:cs="Traditional Arabic"/>
          <w:sz w:val="32"/>
          <w:szCs w:val="32"/>
          <w:rtl/>
        </w:rPr>
        <w:t>، حيث إن استمرارية المنظمة لا تتحقق عبر الثبات، بل عبر القدرة على التكيف مع المتغيرات البيئية المتسارعة</w:t>
      </w:r>
      <w:r w:rsidRPr="001C5D93">
        <w:rPr>
          <w:rFonts w:ascii="Traditional Arabic" w:hAnsi="Traditional Arabic" w:cs="Traditional Arabic"/>
          <w:sz w:val="32"/>
          <w:szCs w:val="32"/>
        </w:rPr>
        <w:t xml:space="preserve"> </w:t>
      </w:r>
      <w:r w:rsidR="006D63D8">
        <w:rPr>
          <w:rFonts w:ascii="Traditional Arabic" w:hAnsi="Traditional Arabic" w:cs="Traditional Arabic"/>
          <w:sz w:val="32"/>
          <w:szCs w:val="32"/>
        </w:rPr>
        <w:t>.</w:t>
      </w:r>
      <w:r w:rsidRPr="001C5D93">
        <w:rPr>
          <w:rFonts w:ascii="Traditional Arabic" w:hAnsi="Traditional Arabic" w:cs="Traditional Arabic"/>
          <w:sz w:val="32"/>
          <w:szCs w:val="32"/>
        </w:rPr>
        <w:t>(Scott &amp; Davis, 2016)</w:t>
      </w:r>
      <w:r w:rsidR="006D63D8">
        <w:rPr>
          <w:rFonts w:ascii="Traditional Arabic" w:hAnsi="Traditional Arabic" w:cs="Traditional Arabic"/>
          <w:sz w:val="32"/>
          <w:szCs w:val="32"/>
        </w:rPr>
        <w:t xml:space="preserve"> </w:t>
      </w:r>
    </w:p>
    <w:p w14:paraId="560D3DBE" w14:textId="6B7E6165" w:rsidR="001C5D93" w:rsidRPr="001C5D93" w:rsidRDefault="001C5D93" w:rsidP="001C5D93">
      <w:pPr>
        <w:pStyle w:val="ab"/>
        <w:bidi/>
        <w:spacing w:before="0" w:beforeAutospacing="0" w:after="120" w:afterAutospacing="0"/>
        <w:jc w:val="both"/>
        <w:rPr>
          <w:rFonts w:ascii="Traditional Arabic" w:hAnsi="Traditional Arabic" w:cs="Traditional Arabic"/>
          <w:sz w:val="32"/>
          <w:szCs w:val="32"/>
        </w:rPr>
      </w:pPr>
      <w:r w:rsidRPr="001C5D93">
        <w:rPr>
          <w:rFonts w:ascii="Traditional Arabic" w:hAnsi="Traditional Arabic" w:cs="Traditional Arabic"/>
          <w:sz w:val="32"/>
          <w:szCs w:val="32"/>
          <w:rtl/>
        </w:rPr>
        <w:lastRenderedPageBreak/>
        <w:t>وفي سياق المؤسسات الصحية، يمكن النظر إلى المستشفى كنظام مفتوح يتعامل مع بيئة معقدة تشمل المرضى، والتطورات الطبية، والتشريعات الصحية، والتكنولوجيا الحديثة</w:t>
      </w:r>
      <w:r>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فالمستشفى يستقبل مدخلات متعددة مثل البيانات الصحية والكوادر الطبية والأجهزة، ويحولها عبر عمليات تشخيصية وعلاجية إلى خدمات صحية تمثل مخرجات النظام. وتُعد التغذية الراجعة، مثل تقارير الجودة وسلامة المرضى، أداة مهمة لتحسين الأداء وتقليل المخاطر</w:t>
      </w:r>
      <w:r w:rsidRPr="001C5D93">
        <w:rPr>
          <w:rFonts w:ascii="Traditional Arabic" w:hAnsi="Traditional Arabic" w:cs="Traditional Arabic"/>
          <w:sz w:val="32"/>
          <w:szCs w:val="32"/>
        </w:rPr>
        <w:t>.</w:t>
      </w:r>
    </w:p>
    <w:p w14:paraId="5506936D" w14:textId="77777777" w:rsidR="001C5D93" w:rsidRPr="001C5D93" w:rsidRDefault="001C5D93" w:rsidP="001C5D93">
      <w:pPr>
        <w:pStyle w:val="ab"/>
        <w:bidi/>
        <w:spacing w:before="0" w:beforeAutospacing="0" w:after="120" w:afterAutospacing="0"/>
        <w:jc w:val="both"/>
        <w:rPr>
          <w:rFonts w:ascii="Traditional Arabic" w:hAnsi="Traditional Arabic" w:cs="Traditional Arabic"/>
          <w:sz w:val="32"/>
          <w:szCs w:val="32"/>
          <w:rtl/>
        </w:rPr>
      </w:pPr>
      <w:r w:rsidRPr="001C5D93">
        <w:rPr>
          <w:rFonts w:ascii="Traditional Arabic" w:hAnsi="Traditional Arabic" w:cs="Traditional Arabic"/>
          <w:sz w:val="32"/>
          <w:szCs w:val="32"/>
          <w:rtl/>
        </w:rPr>
        <w:t>ومن هذا المنطلق، يُفسَّر التطوير التنظيمي بوصفه آلية لإعادة ضبط مكونات النظام الداخلي (الهيكل، العمليات، الموارد البشرية) بما يعزز قدرة النظام على التكيف</w:t>
      </w:r>
      <w:r w:rsidRPr="001C5D93">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 xml:space="preserve">كما تمثل التكنولوجيا الذكية أداة لرفع كفاءة معالجة المعلومات داخل النظام وتقليل الغموض، في حين تعكس إدارة المخاطر مستوى قدرة النظام على الحفاظ على استقراره وتحقيق أهدافه. </w:t>
      </w:r>
    </w:p>
    <w:p w14:paraId="7852A63E" w14:textId="77777777" w:rsidR="001C5D93" w:rsidRPr="001C5D93" w:rsidRDefault="001C5D93" w:rsidP="001C5D93">
      <w:pPr>
        <w:pStyle w:val="ab"/>
        <w:bidi/>
        <w:spacing w:before="0" w:beforeAutospacing="0" w:after="120" w:afterAutospacing="0"/>
        <w:jc w:val="both"/>
        <w:rPr>
          <w:rFonts w:ascii="Traditional Arabic" w:hAnsi="Traditional Arabic" w:cs="Traditional Arabic"/>
          <w:sz w:val="32"/>
          <w:szCs w:val="32"/>
          <w:rtl/>
        </w:rPr>
      </w:pPr>
      <w:r w:rsidRPr="001C5D93">
        <w:rPr>
          <w:rFonts w:ascii="Traditional Arabic" w:hAnsi="Traditional Arabic" w:cs="Traditional Arabic"/>
          <w:sz w:val="32"/>
          <w:szCs w:val="32"/>
          <w:rtl/>
        </w:rPr>
        <w:t>وعليه، توفر نظرية النظم المفتوحة إطارًا تفسيريًا ملائمًا لفهم العلاقات بين التطوير التنظيمي، والتكنولوجيا الذكية، وإدارة المخاطر داخل المستشفيات</w:t>
      </w:r>
      <w:r w:rsidRPr="001C5D93">
        <w:rPr>
          <w:rFonts w:ascii="Traditional Arabic" w:hAnsi="Traditional Arabic" w:cs="Traditional Arabic"/>
          <w:sz w:val="32"/>
          <w:szCs w:val="32"/>
        </w:rPr>
        <w:t>.</w:t>
      </w:r>
    </w:p>
    <w:p w14:paraId="15C09D13" w14:textId="3420D2BC" w:rsidR="001C5D93" w:rsidRPr="001C5D93" w:rsidRDefault="001C5D93" w:rsidP="006D63D8">
      <w:pPr>
        <w:pStyle w:val="ab"/>
        <w:numPr>
          <w:ilvl w:val="0"/>
          <w:numId w:val="111"/>
        </w:numPr>
        <w:bidi/>
        <w:spacing w:before="0" w:beforeAutospacing="0" w:after="120" w:afterAutospacing="0"/>
        <w:jc w:val="both"/>
        <w:rPr>
          <w:rFonts w:ascii="Traditional Arabic" w:hAnsi="Traditional Arabic" w:cs="Traditional Arabic"/>
          <w:b/>
          <w:bCs/>
          <w:sz w:val="32"/>
          <w:szCs w:val="32"/>
        </w:rPr>
      </w:pPr>
      <w:r w:rsidRPr="001C5D93">
        <w:rPr>
          <w:rFonts w:ascii="Traditional Arabic" w:hAnsi="Traditional Arabic" w:cs="Traditional Arabic" w:hint="cs"/>
          <w:b/>
          <w:bCs/>
          <w:sz w:val="32"/>
          <w:szCs w:val="32"/>
          <w:rtl/>
        </w:rPr>
        <w:t xml:space="preserve"> </w:t>
      </w:r>
      <w:r w:rsidRPr="001C5D93">
        <w:rPr>
          <w:rFonts w:ascii="Traditional Arabic" w:hAnsi="Traditional Arabic" w:cs="Traditional Arabic"/>
          <w:b/>
          <w:bCs/>
          <w:sz w:val="32"/>
          <w:szCs w:val="32"/>
          <w:rtl/>
        </w:rPr>
        <w:t>نموذج الوساطة</w:t>
      </w:r>
      <w:r w:rsidRPr="001C5D93">
        <w:rPr>
          <w:rFonts w:ascii="Traditional Arabic" w:hAnsi="Traditional Arabic" w:cs="Traditional Arabic" w:hint="cs"/>
          <w:b/>
          <w:bCs/>
          <w:sz w:val="32"/>
          <w:szCs w:val="32"/>
          <w:rtl/>
        </w:rPr>
        <w:t xml:space="preserve"> </w:t>
      </w:r>
      <w:r w:rsidRPr="001C5D93">
        <w:rPr>
          <w:rFonts w:ascii="Traditional Arabic" w:hAnsi="Traditional Arabic" w:cs="Traditional Arabic"/>
          <w:b/>
          <w:bCs/>
          <w:sz w:val="32"/>
          <w:szCs w:val="32"/>
        </w:rPr>
        <w:t xml:space="preserve"> (Mediation Model)</w:t>
      </w:r>
    </w:p>
    <w:p w14:paraId="1956A1D2" w14:textId="77777777" w:rsidR="001C5D93" w:rsidRPr="001C5D93" w:rsidRDefault="001C5D93" w:rsidP="001C5D93">
      <w:pPr>
        <w:pStyle w:val="ab"/>
        <w:bidi/>
        <w:spacing w:before="0" w:beforeAutospacing="0" w:after="120" w:afterAutospacing="0"/>
        <w:jc w:val="both"/>
        <w:rPr>
          <w:rFonts w:ascii="Traditional Arabic" w:hAnsi="Traditional Arabic" w:cs="Traditional Arabic"/>
          <w:sz w:val="32"/>
          <w:szCs w:val="32"/>
        </w:rPr>
      </w:pPr>
      <w:r w:rsidRPr="001C5D93">
        <w:rPr>
          <w:rFonts w:ascii="Traditional Arabic" w:hAnsi="Traditional Arabic" w:cs="Traditional Arabic"/>
          <w:sz w:val="32"/>
          <w:szCs w:val="32"/>
          <w:rtl/>
        </w:rPr>
        <w:t>يُعد نموذج الوساطة أحد النماذج التفسيرية المهمة في الدراسات السلوكية والإدارية، حيث يُستخدم لتوضيح الآلية التي ينتقل من خلالها تأثير متغير مستقل إلى متغير تابع عبر متغير ثالث يُعرف بالمتغير الوسيط. ويهدف هذا النموذج إلى تفسير ليس فقط ما إذا كان هناك تأثير بين المتغيرات، بل كيف ولماذا يحدث هذا التأثير</w:t>
      </w:r>
      <w:r w:rsidRPr="001C5D93">
        <w:rPr>
          <w:rFonts w:ascii="Traditional Arabic" w:hAnsi="Traditional Arabic" w:cs="Traditional Arabic"/>
          <w:sz w:val="32"/>
          <w:szCs w:val="32"/>
        </w:rPr>
        <w:t>.</w:t>
      </w:r>
    </w:p>
    <w:p w14:paraId="2B8AA672" w14:textId="77777777" w:rsidR="001C5D93" w:rsidRPr="001C5D93" w:rsidRDefault="001C5D93" w:rsidP="001C5D93">
      <w:pPr>
        <w:pStyle w:val="ab"/>
        <w:bidi/>
        <w:spacing w:before="0" w:beforeAutospacing="0" w:after="120" w:afterAutospacing="0"/>
        <w:jc w:val="both"/>
        <w:rPr>
          <w:rFonts w:ascii="Traditional Arabic" w:hAnsi="Traditional Arabic" w:cs="Traditional Arabic"/>
          <w:sz w:val="32"/>
          <w:szCs w:val="32"/>
        </w:rPr>
      </w:pPr>
      <w:r w:rsidRPr="001C5D93">
        <w:rPr>
          <w:rFonts w:ascii="Traditional Arabic" w:hAnsi="Traditional Arabic" w:cs="Traditional Arabic"/>
          <w:sz w:val="32"/>
          <w:szCs w:val="32"/>
          <w:rtl/>
        </w:rPr>
        <w:t>وقد قدم</w:t>
      </w:r>
      <w:r w:rsidRPr="001C5D93">
        <w:rPr>
          <w:rFonts w:ascii="Traditional Arabic" w:hAnsi="Traditional Arabic" w:cs="Traditional Arabic"/>
          <w:sz w:val="32"/>
          <w:szCs w:val="32"/>
        </w:rPr>
        <w:t xml:space="preserve"> Baron and Kenny (1986) </w:t>
      </w:r>
      <w:r w:rsidRPr="001C5D93">
        <w:rPr>
          <w:rFonts w:ascii="Traditional Arabic" w:hAnsi="Traditional Arabic" w:cs="Traditional Arabic"/>
          <w:sz w:val="32"/>
          <w:szCs w:val="32"/>
          <w:rtl/>
        </w:rPr>
        <w:t>الإطار الكلاسيكي لتحليل الوساطة، موضحين أن الوساطة تتحقق عندما يؤثر المتغير المستقل في المتغير الوسيط، والذي بدوره يؤثر في المتغير التابع. ووفقًا لهذا النموذج، يمكن أن يكون التأثير</w:t>
      </w:r>
      <w:r w:rsidRPr="001C5D93">
        <w:rPr>
          <w:rFonts w:ascii="Traditional Arabic" w:hAnsi="Traditional Arabic" w:cs="Traditional Arabic"/>
          <w:sz w:val="32"/>
          <w:szCs w:val="32"/>
        </w:rPr>
        <w:t>:</w:t>
      </w:r>
    </w:p>
    <w:p w14:paraId="01201CE3" w14:textId="77777777" w:rsidR="001C5D93" w:rsidRPr="001C5D93" w:rsidRDefault="001C5D93" w:rsidP="001C5D93">
      <w:pPr>
        <w:pStyle w:val="ab"/>
        <w:numPr>
          <w:ilvl w:val="0"/>
          <w:numId w:val="78"/>
        </w:numPr>
        <w:bidi/>
        <w:spacing w:before="0" w:beforeAutospacing="0" w:after="120" w:afterAutospacing="0"/>
        <w:jc w:val="both"/>
        <w:rPr>
          <w:rFonts w:ascii="Traditional Arabic" w:hAnsi="Traditional Arabic" w:cs="Traditional Arabic"/>
          <w:sz w:val="32"/>
          <w:szCs w:val="32"/>
        </w:rPr>
      </w:pPr>
      <w:r w:rsidRPr="001C5D93">
        <w:rPr>
          <w:rFonts w:ascii="Traditional Arabic" w:hAnsi="Traditional Arabic" w:cs="Traditional Arabic"/>
          <w:sz w:val="32"/>
          <w:szCs w:val="32"/>
          <w:rtl/>
        </w:rPr>
        <w:t>وساطة كاملة</w:t>
      </w:r>
      <w:r w:rsidRPr="001C5D93">
        <w:rPr>
          <w:rFonts w:ascii="Traditional Arabic" w:hAnsi="Traditional Arabic" w:cs="Traditional Arabic"/>
          <w:sz w:val="32"/>
          <w:szCs w:val="32"/>
        </w:rPr>
        <w:t xml:space="preserve"> (Full Mediation): </w:t>
      </w:r>
      <w:r w:rsidRPr="001C5D93">
        <w:rPr>
          <w:rFonts w:ascii="Traditional Arabic" w:hAnsi="Traditional Arabic" w:cs="Traditional Arabic"/>
          <w:sz w:val="32"/>
          <w:szCs w:val="32"/>
          <w:rtl/>
        </w:rPr>
        <w:t>عندما يختفي التأثير المباشر للمتغير المستقل على المتغير التابع بعد إدخال المتغير الوسيط</w:t>
      </w:r>
      <w:r w:rsidRPr="001C5D93">
        <w:rPr>
          <w:rFonts w:ascii="Traditional Arabic" w:hAnsi="Traditional Arabic" w:cs="Traditional Arabic"/>
          <w:sz w:val="32"/>
          <w:szCs w:val="32"/>
        </w:rPr>
        <w:t>.</w:t>
      </w:r>
    </w:p>
    <w:p w14:paraId="4800F027" w14:textId="77777777" w:rsidR="001C5D93" w:rsidRPr="001C5D93" w:rsidRDefault="001C5D93" w:rsidP="001C5D93">
      <w:pPr>
        <w:pStyle w:val="ab"/>
        <w:numPr>
          <w:ilvl w:val="0"/>
          <w:numId w:val="78"/>
        </w:numPr>
        <w:bidi/>
        <w:spacing w:before="0" w:beforeAutospacing="0" w:after="120" w:afterAutospacing="0"/>
        <w:jc w:val="both"/>
        <w:rPr>
          <w:rFonts w:ascii="Traditional Arabic" w:hAnsi="Traditional Arabic" w:cs="Traditional Arabic"/>
          <w:sz w:val="32"/>
          <w:szCs w:val="32"/>
        </w:rPr>
      </w:pPr>
      <w:r w:rsidRPr="001C5D93">
        <w:rPr>
          <w:rFonts w:ascii="Traditional Arabic" w:hAnsi="Traditional Arabic" w:cs="Traditional Arabic"/>
          <w:sz w:val="32"/>
          <w:szCs w:val="32"/>
          <w:rtl/>
        </w:rPr>
        <w:t>وساطة جزئية</w:t>
      </w:r>
      <w:r w:rsidRPr="001C5D93">
        <w:rPr>
          <w:rFonts w:ascii="Traditional Arabic" w:hAnsi="Traditional Arabic" w:cs="Traditional Arabic"/>
          <w:sz w:val="32"/>
          <w:szCs w:val="32"/>
        </w:rPr>
        <w:t xml:space="preserve"> (Partial Mediation): </w:t>
      </w:r>
      <w:r w:rsidRPr="001C5D93">
        <w:rPr>
          <w:rFonts w:ascii="Traditional Arabic" w:hAnsi="Traditional Arabic" w:cs="Traditional Arabic"/>
          <w:sz w:val="32"/>
          <w:szCs w:val="32"/>
          <w:rtl/>
        </w:rPr>
        <w:t>عندما يظل التأثير المباشر موجودًا، لكنه ينخفض في القوة بعد إدخال المتغير الوسيط</w:t>
      </w:r>
      <w:r w:rsidRPr="001C5D93">
        <w:rPr>
          <w:rFonts w:ascii="Traditional Arabic" w:hAnsi="Traditional Arabic" w:cs="Traditional Arabic"/>
          <w:sz w:val="32"/>
          <w:szCs w:val="32"/>
        </w:rPr>
        <w:t>.</w:t>
      </w:r>
    </w:p>
    <w:p w14:paraId="6709F124" w14:textId="77777777" w:rsidR="001C5D93" w:rsidRPr="001C5D93" w:rsidRDefault="001C5D93" w:rsidP="001C5D93">
      <w:pPr>
        <w:pStyle w:val="ab"/>
        <w:bidi/>
        <w:spacing w:before="0" w:beforeAutospacing="0" w:after="120" w:afterAutospacing="0"/>
        <w:jc w:val="both"/>
        <w:rPr>
          <w:rFonts w:ascii="Traditional Arabic" w:hAnsi="Traditional Arabic" w:cs="Traditional Arabic"/>
          <w:sz w:val="32"/>
          <w:szCs w:val="32"/>
        </w:rPr>
      </w:pPr>
      <w:r w:rsidRPr="001C5D93">
        <w:rPr>
          <w:rFonts w:ascii="Traditional Arabic" w:hAnsi="Traditional Arabic" w:cs="Traditional Arabic"/>
          <w:sz w:val="32"/>
          <w:szCs w:val="32"/>
          <w:rtl/>
        </w:rPr>
        <w:t>ويرتكز نموذج الوساطة على افتراض أن العلاقة بين المتغيرات لا تكون دائمًا مباشرة، بل قد تمر عبر آليات تنظيمية أو سلوكية أو تكنولوجية تفسر طبيعة التأثير. وفي الدراسات التنظيمية، يُستخدم هذا النموذج لفهم الكيفية التي تُترجم بها التغيرات الهيكلية أو الإدارية إلى نتائج تشغيلية ملموسة</w:t>
      </w:r>
      <w:r w:rsidRPr="001C5D93">
        <w:rPr>
          <w:rFonts w:ascii="Traditional Arabic" w:hAnsi="Traditional Arabic" w:cs="Traditional Arabic"/>
          <w:sz w:val="32"/>
          <w:szCs w:val="32"/>
        </w:rPr>
        <w:t>.</w:t>
      </w:r>
    </w:p>
    <w:p w14:paraId="0374E9BE" w14:textId="1C24F29F" w:rsidR="001C5D93" w:rsidRPr="001C5D93" w:rsidRDefault="001C5D93" w:rsidP="001C5D93">
      <w:pPr>
        <w:pStyle w:val="ab"/>
        <w:bidi/>
        <w:spacing w:before="0" w:beforeAutospacing="0" w:after="120" w:afterAutospacing="0"/>
        <w:jc w:val="both"/>
        <w:rPr>
          <w:rFonts w:ascii="Traditional Arabic" w:hAnsi="Traditional Arabic" w:cs="Traditional Arabic"/>
          <w:sz w:val="32"/>
          <w:szCs w:val="32"/>
        </w:rPr>
      </w:pPr>
      <w:r w:rsidRPr="001C5D93">
        <w:rPr>
          <w:rFonts w:ascii="Traditional Arabic" w:hAnsi="Traditional Arabic" w:cs="Traditional Arabic"/>
          <w:sz w:val="32"/>
          <w:szCs w:val="32"/>
          <w:rtl/>
        </w:rPr>
        <w:lastRenderedPageBreak/>
        <w:t>وفي سياق الدراسة الحالية، يمثل التطوير التنظيمي المتغير المستقل، وتمثل إدارة المخاطر المتغير التابع، في حين تمثل التكنولوجيا الذكية المتغير الوسيط الذي يفسر كيفية انتقال تأثير التطوير التنظيمي إلى تحسين إدارة المخاطر داخل المستشفى</w:t>
      </w:r>
      <w:r>
        <w:rPr>
          <w:rFonts w:ascii="Traditional Arabic" w:hAnsi="Traditional Arabic" w:cs="Traditional Arabic" w:hint="cs"/>
          <w:sz w:val="32"/>
          <w:szCs w:val="32"/>
          <w:rtl/>
        </w:rPr>
        <w:t>؛</w:t>
      </w:r>
      <w:r w:rsidRPr="001C5D93">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فالتطوير التنظيمي</w:t>
      </w:r>
      <w:r w:rsidRPr="001C5D93">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من خلال تحديث الهيكل التنظيمي وإعادة هندسة العمليات وتمكين العاملين، لا يؤدي مباشرة فقط إلى تحسين إدارة المخاطر</w:t>
      </w:r>
      <w:r>
        <w:rPr>
          <w:rFonts w:ascii="Traditional Arabic" w:hAnsi="Traditional Arabic" w:cs="Traditional Arabic" w:hint="cs"/>
          <w:sz w:val="32"/>
          <w:szCs w:val="32"/>
          <w:rtl/>
        </w:rPr>
        <w:t>؛</w:t>
      </w:r>
      <w:r w:rsidRPr="001C5D93">
        <w:rPr>
          <w:rFonts w:ascii="Traditional Arabic" w:hAnsi="Traditional Arabic" w:cs="Traditional Arabic"/>
          <w:sz w:val="32"/>
          <w:szCs w:val="32"/>
          <w:rtl/>
        </w:rPr>
        <w:t xml:space="preserve"> بل يعزز أولًا من مستوى تبني التكنولوجيا الذكية</w:t>
      </w:r>
      <w:r w:rsidRPr="001C5D93">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وهذه التكنولوجيا ممثلة في أنظمة دعم القرار السريري، وأنظمة الإنذار المبكر، وأنظمة التحليلات التنبؤية تسهم بدورها في تحسين التخطيط للمخاطر، وتعزيز الممارسات الوقائية، وتطوير الموقف التنظيمي تجاه المخاطر</w:t>
      </w:r>
      <w:r w:rsidRPr="001C5D93">
        <w:rPr>
          <w:rFonts w:ascii="Traditional Arabic" w:hAnsi="Traditional Arabic" w:cs="Traditional Arabic"/>
          <w:sz w:val="32"/>
          <w:szCs w:val="32"/>
        </w:rPr>
        <w:t>.</w:t>
      </w:r>
    </w:p>
    <w:p w14:paraId="3737D492" w14:textId="77777777" w:rsidR="001C5D93" w:rsidRPr="001C5D93" w:rsidRDefault="001C5D93" w:rsidP="001C5D93">
      <w:pPr>
        <w:pStyle w:val="ab"/>
        <w:bidi/>
        <w:spacing w:before="0" w:beforeAutospacing="0" w:after="120" w:afterAutospacing="0"/>
        <w:jc w:val="both"/>
        <w:rPr>
          <w:rFonts w:ascii="Traditional Arabic" w:hAnsi="Traditional Arabic" w:cs="Traditional Arabic"/>
          <w:sz w:val="32"/>
          <w:szCs w:val="32"/>
          <w:rtl/>
        </w:rPr>
      </w:pPr>
      <w:r w:rsidRPr="001C5D93">
        <w:rPr>
          <w:rFonts w:ascii="Traditional Arabic" w:hAnsi="Traditional Arabic" w:cs="Traditional Arabic"/>
          <w:sz w:val="32"/>
          <w:szCs w:val="32"/>
          <w:rtl/>
        </w:rPr>
        <w:t>وبذلك، فإن نموذج الوساطة يفسر العلاقة بين متغيرات الدراسة باعتبارها علاقة سببية غير مباشرة، تنتقل من خلال قناة تكنولوجية تسهم في تحويل الجهود التنظيمية إلى نتائج عملية في مجال إدارة المخاطر. ويُعد اعتماد هذا النموذج مناسبًا في البيئة الصحية، حيث إن التحسينات التنظيمية غالبًا ما تُترجم إلى نتائج تشغيلية عبر أدوات رقمية وتقنية تعزز جودة القرار وتقلل درجة عدم اليقين</w:t>
      </w:r>
      <w:r w:rsidRPr="001C5D93">
        <w:rPr>
          <w:rFonts w:ascii="Traditional Arabic" w:hAnsi="Traditional Arabic" w:cs="Traditional Arabic"/>
          <w:sz w:val="32"/>
          <w:szCs w:val="32"/>
        </w:rPr>
        <w:t>.</w:t>
      </w:r>
    </w:p>
    <w:p w14:paraId="73E2C7DE" w14:textId="03C84520" w:rsidR="001C5D93" w:rsidRPr="001C5D93" w:rsidRDefault="001C5D93" w:rsidP="001C5D93">
      <w:pPr>
        <w:pStyle w:val="ab"/>
        <w:bidi/>
        <w:spacing w:before="0" w:beforeAutospacing="0" w:after="120" w:afterAutospacing="0"/>
        <w:jc w:val="both"/>
        <w:rPr>
          <w:rFonts w:ascii="Traditional Arabic" w:hAnsi="Traditional Arabic" w:cs="Traditional Arabic"/>
          <w:b/>
          <w:bCs/>
          <w:sz w:val="36"/>
          <w:szCs w:val="36"/>
          <w:rtl/>
        </w:rPr>
      </w:pPr>
      <w:r w:rsidRPr="001C5D93">
        <w:rPr>
          <w:rFonts w:ascii="Traditional Arabic" w:hAnsi="Traditional Arabic" w:cs="Traditional Arabic" w:hint="cs"/>
          <w:b/>
          <w:bCs/>
          <w:sz w:val="36"/>
          <w:szCs w:val="36"/>
          <w:rtl/>
        </w:rPr>
        <w:t xml:space="preserve">ثانيًا: </w:t>
      </w:r>
      <w:r>
        <w:rPr>
          <w:rFonts w:ascii="Traditional Arabic" w:hAnsi="Traditional Arabic" w:cs="Traditional Arabic" w:hint="cs"/>
          <w:b/>
          <w:bCs/>
          <w:sz w:val="36"/>
          <w:szCs w:val="36"/>
          <w:rtl/>
        </w:rPr>
        <w:t>ال</w:t>
      </w:r>
      <w:r w:rsidRPr="001C5D93">
        <w:rPr>
          <w:rFonts w:ascii="Traditional Arabic" w:hAnsi="Traditional Arabic" w:cs="Traditional Arabic" w:hint="cs"/>
          <w:b/>
          <w:bCs/>
          <w:sz w:val="36"/>
          <w:szCs w:val="36"/>
          <w:rtl/>
        </w:rPr>
        <w:t>نموذج</w:t>
      </w:r>
      <w:r>
        <w:rPr>
          <w:rFonts w:ascii="Traditional Arabic" w:hAnsi="Traditional Arabic" w:cs="Traditional Arabic" w:hint="cs"/>
          <w:b/>
          <w:bCs/>
          <w:sz w:val="36"/>
          <w:szCs w:val="36"/>
          <w:rtl/>
        </w:rPr>
        <w:t xml:space="preserve"> المفاهيمي</w:t>
      </w:r>
      <w:r w:rsidRPr="001C5D93">
        <w:rPr>
          <w:rFonts w:ascii="Traditional Arabic" w:hAnsi="Traditional Arabic" w:cs="Traditional Arabic" w:hint="cs"/>
          <w:b/>
          <w:bCs/>
          <w:sz w:val="36"/>
          <w:szCs w:val="36"/>
          <w:rtl/>
        </w:rPr>
        <w:t xml:space="preserve"> </w:t>
      </w:r>
      <w:r>
        <w:rPr>
          <w:rFonts w:ascii="Traditional Arabic" w:hAnsi="Traditional Arabic" w:cs="Traditional Arabic" w:hint="cs"/>
          <w:b/>
          <w:bCs/>
          <w:sz w:val="36"/>
          <w:szCs w:val="36"/>
          <w:rtl/>
        </w:rPr>
        <w:t>لل</w:t>
      </w:r>
      <w:r w:rsidRPr="001C5D93">
        <w:rPr>
          <w:rFonts w:ascii="Traditional Arabic" w:hAnsi="Traditional Arabic" w:cs="Traditional Arabic" w:hint="cs"/>
          <w:b/>
          <w:bCs/>
          <w:sz w:val="36"/>
          <w:szCs w:val="36"/>
          <w:rtl/>
        </w:rPr>
        <w:t>دراسة</w:t>
      </w:r>
    </w:p>
    <w:p w14:paraId="5E1A7FE4" w14:textId="71D323CD" w:rsidR="001C5D93" w:rsidRDefault="001C5D93" w:rsidP="001C5D93">
      <w:pPr>
        <w:pStyle w:val="ab"/>
        <w:bidi/>
        <w:spacing w:before="0" w:beforeAutospacing="0" w:after="120" w:afterAutospacing="0"/>
        <w:jc w:val="both"/>
        <w:rPr>
          <w:rFonts w:ascii="Traditional Arabic" w:hAnsi="Traditional Arabic" w:cs="Traditional Arabic"/>
          <w:sz w:val="32"/>
          <w:szCs w:val="32"/>
          <w:rtl/>
        </w:rPr>
      </w:pPr>
      <w:r w:rsidRPr="001C5D93">
        <w:rPr>
          <w:rFonts w:ascii="Traditional Arabic" w:eastAsiaTheme="minorHAnsi" w:hAnsi="Traditional Arabic" w:cs="Traditional Arabic"/>
          <w:b/>
          <w:bCs/>
          <w:noProof/>
          <w:sz w:val="32"/>
          <w:szCs w:val="32"/>
          <w14:ligatures w14:val="standardContextual"/>
        </w:rPr>
        <mc:AlternateContent>
          <mc:Choice Requires="wps">
            <w:drawing>
              <wp:anchor distT="0" distB="0" distL="114300" distR="114300" simplePos="0" relativeHeight="251688960" behindDoc="0" locked="0" layoutInCell="1" allowOverlap="1" wp14:anchorId="41D2DCC6" wp14:editId="67DE5710">
                <wp:simplePos x="0" y="0"/>
                <wp:positionH relativeFrom="column">
                  <wp:posOffset>1907631</wp:posOffset>
                </wp:positionH>
                <wp:positionV relativeFrom="paragraph">
                  <wp:posOffset>466000</wp:posOffset>
                </wp:positionV>
                <wp:extent cx="2047875" cy="428625"/>
                <wp:effectExtent l="0" t="0" r="9525" b="9525"/>
                <wp:wrapNone/>
                <wp:docPr id="1194704761" name="مربع نص 9"/>
                <wp:cNvGraphicFramePr/>
                <a:graphic xmlns:a="http://schemas.openxmlformats.org/drawingml/2006/main">
                  <a:graphicData uri="http://schemas.microsoft.com/office/word/2010/wordprocessingShape">
                    <wps:wsp>
                      <wps:cNvSpPr txBox="1"/>
                      <wps:spPr>
                        <a:xfrm>
                          <a:off x="0" y="0"/>
                          <a:ext cx="2047875" cy="428625"/>
                        </a:xfrm>
                        <a:prstGeom prst="rect">
                          <a:avLst/>
                        </a:prstGeom>
                        <a:solidFill>
                          <a:schemeClr val="lt1"/>
                        </a:solidFill>
                        <a:ln w="6350">
                          <a:noFill/>
                        </a:ln>
                      </wps:spPr>
                      <wps:txbx>
                        <w:txbxContent>
                          <w:p w14:paraId="2F7AA333" w14:textId="77777777" w:rsidR="001C5D93" w:rsidRPr="00D9415E" w:rsidRDefault="001C5D93" w:rsidP="001C5D93">
                            <w:pPr>
                              <w:rPr>
                                <w:rFonts w:ascii="Agency FB" w:hAnsi="Agency FB" w:cs="Sakkal Majalla"/>
                                <w:b/>
                                <w:bCs/>
                                <w:color w:val="808080" w:themeColor="background1" w:themeShade="80"/>
                                <w:sz w:val="24"/>
                                <w:szCs w:val="24"/>
                                <w:rtl/>
                              </w:rPr>
                            </w:pPr>
                            <w:r w:rsidRPr="00D9415E">
                              <w:rPr>
                                <w:rFonts w:ascii="Agency FB" w:hAnsi="Agency FB" w:cs="Sakkal Majalla"/>
                                <w:b/>
                                <w:bCs/>
                                <w:color w:val="808080" w:themeColor="background1" w:themeShade="80"/>
                                <w:sz w:val="24"/>
                                <w:szCs w:val="24"/>
                              </w:rPr>
                              <w:t>H4 :(H2</w:t>
                            </w:r>
                            <w:r w:rsidRPr="00D9415E">
                              <w:rPr>
                                <w:rFonts w:hint="cs"/>
                                <w:b/>
                                <w:bCs/>
                                <w:rtl/>
                              </w:rPr>
                              <w:t>ت</w:t>
                            </w:r>
                            <w:r w:rsidRPr="00D9415E">
                              <w:rPr>
                                <w:rFonts w:hint="cs"/>
                                <w:b/>
                                <w:bCs/>
                                <w:color w:val="323E4F" w:themeColor="text2" w:themeShade="BF"/>
                                <w:rtl/>
                              </w:rPr>
                              <w:t>أثير الوساطة</w:t>
                            </w:r>
                            <w:r>
                              <w:rPr>
                                <w:rFonts w:hint="cs"/>
                                <w:b/>
                                <w:bCs/>
                                <w:color w:val="323E4F" w:themeColor="text2" w:themeShade="BF"/>
                                <w:rtl/>
                              </w:rPr>
                              <w:t xml:space="preserve">           </w:t>
                            </w:r>
                            <w:r>
                              <w:rPr>
                                <w:rFonts w:ascii="Agency FB" w:hAnsi="Agency FB" w:cs="Sakkal Majalla"/>
                                <w:b/>
                                <w:bCs/>
                                <w:color w:val="808080" w:themeColor="background1" w:themeShade="80"/>
                                <w:sz w:val="24"/>
                                <w:szCs w:val="24"/>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D2DCC6" id="_x0000_t202" coordsize="21600,21600" o:spt="202" path="m,l,21600r21600,l21600,xe">
                <v:stroke joinstyle="miter"/>
                <v:path gradientshapeok="t" o:connecttype="rect"/>
              </v:shapetype>
              <v:shape id="مربع نص 9" o:spid="_x0000_s1026" type="#_x0000_t202" style="position:absolute;left:0;text-align:left;margin-left:150.2pt;margin-top:36.7pt;width:161.25pt;height:33.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" fillcolor="white [3201]" stroked="f" strokeweight=".5pt">
                <v:textbox>
                  <w:txbxContent>
                    <w:p w14:paraId="2F7AA333" w14:textId="77777777" w:rsidR="001C5D93" w:rsidRPr="00D9415E" w:rsidRDefault="001C5D93" w:rsidP="001C5D93">
                      <w:pPr>
                        <w:rPr>
                          <w:rFonts w:ascii="Agency FB" w:hAnsi="Agency FB" w:cs="Sakkal Majalla"/>
                          <w:b/>
                          <w:bCs/>
                          <w:color w:val="808080" w:themeColor="background1" w:themeShade="80"/>
                          <w:sz w:val="24"/>
                          <w:szCs w:val="24"/>
                          <w:rtl/>
                        </w:rPr>
                      </w:pPr>
                      <w:r w:rsidRPr="00D9415E">
                        <w:rPr>
                          <w:rFonts w:ascii="Agency FB" w:hAnsi="Agency FB" w:cs="Sakkal Majalla"/>
                          <w:b/>
                          <w:bCs/>
                          <w:color w:val="808080" w:themeColor="background1" w:themeShade="80"/>
                          <w:sz w:val="24"/>
                          <w:szCs w:val="24"/>
                        </w:rPr>
                        <w:t>H4 :(H2</w:t>
                      </w:r>
                      <w:r w:rsidRPr="00D9415E">
                        <w:rPr>
                          <w:rFonts w:hint="cs"/>
                          <w:b/>
                          <w:bCs/>
                          <w:rtl/>
                        </w:rPr>
                        <w:t>ت</w:t>
                      </w:r>
                      <w:r w:rsidRPr="00D9415E">
                        <w:rPr>
                          <w:rFonts w:hint="cs"/>
                          <w:b/>
                          <w:bCs/>
                          <w:color w:val="323E4F" w:themeColor="text2" w:themeShade="BF"/>
                          <w:rtl/>
                        </w:rPr>
                        <w:t>أثير الوساطة</w:t>
                      </w:r>
                      <w:r>
                        <w:rPr>
                          <w:rFonts w:hint="cs"/>
                          <w:b/>
                          <w:bCs/>
                          <w:color w:val="323E4F" w:themeColor="text2" w:themeShade="BF"/>
                          <w:rtl/>
                        </w:rPr>
                        <w:t xml:space="preserve">           </w:t>
                      </w:r>
                      <w:r>
                        <w:rPr>
                          <w:rFonts w:ascii="Agency FB" w:hAnsi="Agency FB" w:cs="Sakkal Majalla"/>
                          <w:b/>
                          <w:bCs/>
                          <w:color w:val="808080" w:themeColor="background1" w:themeShade="80"/>
                          <w:sz w:val="24"/>
                          <w:szCs w:val="24"/>
                        </w:rPr>
                        <w:t>)</w:t>
                      </w:r>
                    </w:p>
                  </w:txbxContent>
                </v:textbox>
              </v:shape>
            </w:pict>
          </mc:Fallback>
        </mc:AlternateContent>
      </w:r>
      <w:r w:rsidRPr="001C5D93">
        <w:rPr>
          <w:rFonts w:ascii="Traditional Arabic" w:eastAsiaTheme="minorHAnsi" w:hAnsi="Traditional Arabic" w:cs="Traditional Arabic"/>
          <w:b/>
          <w:bCs/>
          <w:noProof/>
          <w:sz w:val="32"/>
          <w:szCs w:val="32"/>
          <w14:ligatures w14:val="standardContextual"/>
        </w:rPr>
        <mc:AlternateContent>
          <mc:Choice Requires="wps">
            <w:drawing>
              <wp:anchor distT="0" distB="0" distL="114300" distR="114300" simplePos="0" relativeHeight="251693056" behindDoc="0" locked="0" layoutInCell="1" allowOverlap="1" wp14:anchorId="23A90F92" wp14:editId="413E807C">
                <wp:simplePos x="0" y="0"/>
                <wp:positionH relativeFrom="column">
                  <wp:posOffset>2423795</wp:posOffset>
                </wp:positionH>
                <wp:positionV relativeFrom="paragraph">
                  <wp:posOffset>618490</wp:posOffset>
                </wp:positionV>
                <wp:extent cx="352425" cy="0"/>
                <wp:effectExtent l="0" t="0" r="0" b="0"/>
                <wp:wrapNone/>
                <wp:docPr id="1729087412" name="رابط مستقيم 12"/>
                <wp:cNvGraphicFramePr/>
                <a:graphic xmlns:a="http://schemas.openxmlformats.org/drawingml/2006/main">
                  <a:graphicData uri="http://schemas.microsoft.com/office/word/2010/wordprocessingShape">
                    <wps:wsp>
                      <wps:cNvCnPr/>
                      <wps:spPr>
                        <a:xfrm>
                          <a:off x="0" y="0"/>
                          <a:ext cx="352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8E765D" id="رابط مستقيم 12" o:spid="_x0000_s1026" style="position:absolute;left:0;text-align:left;z-index:251693056;visibility:visible;mso-wrap-style:square;mso-wrap-distance-left:9pt;mso-wrap-distance-top:0;mso-wrap-distance-right:9pt;mso-wrap-distance-bottom:0;mso-position-horizontal:absolute;mso-position-horizontal-relative:text;mso-position-vertical:absolute;mso-position-vertical-relative:text" from="190.85pt,48.7pt" to="218.6pt,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" strokecolor="#4472c4 [3204]" strokeweight=".5pt">
                <v:stroke joinstyle="miter"/>
              </v:line>
            </w:pict>
          </mc:Fallback>
        </mc:AlternateContent>
      </w:r>
      <w:r w:rsidRPr="001C5D93">
        <w:rPr>
          <w:rFonts w:ascii="Traditional Arabic" w:eastAsiaTheme="minorHAnsi" w:hAnsi="Traditional Arabic" w:cs="Traditional Arabic"/>
          <w:b/>
          <w:bCs/>
          <w:noProof/>
          <w:sz w:val="32"/>
          <w:szCs w:val="32"/>
          <w14:ligatures w14:val="standardContextual"/>
        </w:rPr>
        <mc:AlternateContent>
          <mc:Choice Requires="wps">
            <w:drawing>
              <wp:anchor distT="0" distB="0" distL="114300" distR="114300" simplePos="0" relativeHeight="251692032" behindDoc="0" locked="0" layoutInCell="1" allowOverlap="1" wp14:anchorId="1BE228D3" wp14:editId="2356BF1C">
                <wp:simplePos x="0" y="0"/>
                <wp:positionH relativeFrom="column">
                  <wp:posOffset>2385695</wp:posOffset>
                </wp:positionH>
                <wp:positionV relativeFrom="paragraph">
                  <wp:posOffset>618490</wp:posOffset>
                </wp:positionV>
                <wp:extent cx="0" cy="0"/>
                <wp:effectExtent l="0" t="0" r="0" b="0"/>
                <wp:wrapNone/>
                <wp:docPr id="1586037438" name="رابط مستقيم 11"/>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E938FD" id="رابط مستقيم 11" o:spid="_x0000_s1026" style="position:absolute;left:0;text-align:left;z-index:251692032;visibility:visible;mso-wrap-style:square;mso-wrap-distance-left:9pt;mso-wrap-distance-top:0;mso-wrap-distance-right:9pt;mso-wrap-distance-bottom:0;mso-position-horizontal:absolute;mso-position-horizontal-relative:text;mso-position-vertical:absolute;mso-position-vertical-relative:text" from="187.85pt,48.7pt" to="187.85pt,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" strokecolor="#4472c4 [3204]" strokeweight=".5pt">
                <v:stroke joinstyle="miter"/>
              </v:line>
            </w:pict>
          </mc:Fallback>
        </mc:AlternateContent>
      </w:r>
      <w:r w:rsidRPr="001C5D93">
        <w:rPr>
          <w:rFonts w:ascii="Traditional Arabic" w:hAnsi="Traditional Arabic" w:cs="Traditional Arabic"/>
          <w:sz w:val="32"/>
          <w:szCs w:val="32"/>
          <w:rtl/>
        </w:rPr>
        <w:t xml:space="preserve">في ضوء ما سبق عرضه من نظريات ونماذج تفسيرية، يتبلور الإطار المفاهيمي الذي تستند إليه الدراسة في صياغة نموذجها </w:t>
      </w:r>
      <w:r w:rsidRPr="001C5D93">
        <w:rPr>
          <w:rFonts w:ascii="Traditional Arabic" w:hAnsi="Traditional Arabic" w:cs="Traditional Arabic" w:hint="cs"/>
          <w:sz w:val="32"/>
          <w:szCs w:val="32"/>
          <w:rtl/>
        </w:rPr>
        <w:t>النظري كما يلي:</w:t>
      </w:r>
    </w:p>
    <w:p w14:paraId="39A92B90" w14:textId="77777777" w:rsidR="001C5D93" w:rsidRPr="001C5D93" w:rsidRDefault="001C5D93" w:rsidP="001C5D93">
      <w:pPr>
        <w:pStyle w:val="ab"/>
        <w:bidi/>
        <w:spacing w:before="0" w:beforeAutospacing="0" w:after="120" w:afterAutospacing="0"/>
        <w:ind w:left="360"/>
        <w:jc w:val="center"/>
        <w:rPr>
          <w:rFonts w:ascii="Traditional Arabic" w:hAnsi="Traditional Arabic" w:cs="Traditional Arabic"/>
          <w:b/>
          <w:bCs/>
          <w:sz w:val="32"/>
          <w:szCs w:val="32"/>
          <w:rtl/>
        </w:rPr>
      </w:pPr>
      <w:r w:rsidRPr="001C5D93">
        <w:rPr>
          <w:rFonts w:ascii="Traditional Arabic" w:hAnsi="Traditional Arabic" w:cs="Traditional Arabic" w:hint="cs"/>
          <w:noProof/>
          <w:sz w:val="32"/>
          <w:szCs w:val="32"/>
          <w14:ligatures w14:val="standardContextual"/>
        </w:rPr>
        <mc:AlternateContent>
          <mc:Choice Requires="wps">
            <w:drawing>
              <wp:anchor distT="0" distB="0" distL="114300" distR="114300" simplePos="0" relativeHeight="251691008" behindDoc="0" locked="0" layoutInCell="1" allowOverlap="1" wp14:anchorId="47BD0B18" wp14:editId="3A5F6558">
                <wp:simplePos x="0" y="0"/>
                <wp:positionH relativeFrom="column">
                  <wp:posOffset>2214245</wp:posOffset>
                </wp:positionH>
                <wp:positionV relativeFrom="paragraph">
                  <wp:posOffset>442595</wp:posOffset>
                </wp:positionV>
                <wp:extent cx="1323975" cy="1371600"/>
                <wp:effectExtent l="0" t="0" r="9525" b="0"/>
                <wp:wrapNone/>
                <wp:docPr id="1222539631" name="مستطيل 6"/>
                <wp:cNvGraphicFramePr/>
                <a:graphic xmlns:a="http://schemas.openxmlformats.org/drawingml/2006/main">
                  <a:graphicData uri="http://schemas.microsoft.com/office/word/2010/wordprocessingShape">
                    <wps:wsp>
                      <wps:cNvSpPr/>
                      <wps:spPr>
                        <a:xfrm>
                          <a:off x="0" y="0"/>
                          <a:ext cx="1323975" cy="1371600"/>
                        </a:xfrm>
                        <a:prstGeom prst="rect">
                          <a:avLst/>
                        </a:prstGeom>
                        <a:solidFill>
                          <a:srgbClr val="FFC000">
                            <a:lumMod val="75000"/>
                          </a:srgbClr>
                        </a:solidFill>
                        <a:ln w="12700" cap="flat" cmpd="sng" algn="ctr">
                          <a:noFill/>
                          <a:prstDash val="solid"/>
                          <a:miter lim="800000"/>
                        </a:ln>
                        <a:effectLst/>
                      </wps:spPr>
                      <wps:txbx>
                        <w:txbxContent>
                          <w:p w14:paraId="667ADB84" w14:textId="77777777" w:rsidR="001C5D93" w:rsidRPr="001B59C1" w:rsidRDefault="001C5D93" w:rsidP="001C5D93">
                            <w:pPr>
                              <w:jc w:val="center"/>
                              <w:rPr>
                                <w:b/>
                                <w:bCs/>
                                <w:color w:val="FFFFFF"/>
                                <w:rtl/>
                              </w:rPr>
                            </w:pPr>
                            <w:r w:rsidRPr="001B59C1">
                              <w:rPr>
                                <w:rFonts w:hint="cs"/>
                                <w:b/>
                                <w:bCs/>
                                <w:color w:val="FFFFFF"/>
                                <w:rtl/>
                              </w:rPr>
                              <w:t xml:space="preserve">المتغير الوسيط </w:t>
                            </w:r>
                          </w:p>
                          <w:p w14:paraId="1244348B" w14:textId="77777777" w:rsidR="001C5D93" w:rsidRPr="001B59C1" w:rsidRDefault="001C5D93" w:rsidP="001C5D93">
                            <w:pPr>
                              <w:jc w:val="center"/>
                              <w:rPr>
                                <w:b/>
                                <w:bCs/>
                                <w:color w:val="FFFFFF"/>
                                <w:rtl/>
                              </w:rPr>
                            </w:pPr>
                            <w:r w:rsidRPr="001B59C1">
                              <w:rPr>
                                <w:rFonts w:hint="cs"/>
                                <w:b/>
                                <w:bCs/>
                                <w:color w:val="FFFFFF"/>
                                <w:rtl/>
                              </w:rPr>
                              <w:t>التكنولوجيا الذكية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BD0B18" id="مستطيل 6" o:spid="_x0000_s1027" style="position:absolute;left:0;text-align:left;margin-left:174.35pt;margin-top:34.85pt;width:104.25pt;height:10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" fillcolor="#bf9000" stroked="f" strokeweight="1pt">
                <v:textbox>
                  <w:txbxContent>
                    <w:p w14:paraId="667ADB84" w14:textId="77777777" w:rsidR="001C5D93" w:rsidRPr="001B59C1" w:rsidRDefault="001C5D93" w:rsidP="001C5D93">
                      <w:pPr>
                        <w:jc w:val="center"/>
                        <w:rPr>
                          <w:b/>
                          <w:bCs/>
                          <w:color w:val="FFFFFF"/>
                          <w:rtl/>
                        </w:rPr>
                      </w:pPr>
                      <w:r w:rsidRPr="001B59C1">
                        <w:rPr>
                          <w:rFonts w:hint="cs"/>
                          <w:b/>
                          <w:bCs/>
                          <w:color w:val="FFFFFF"/>
                          <w:rtl/>
                        </w:rPr>
                        <w:t xml:space="preserve">المتغير الوسيط </w:t>
                      </w:r>
                    </w:p>
                    <w:p w14:paraId="1244348B" w14:textId="77777777" w:rsidR="001C5D93" w:rsidRPr="001B59C1" w:rsidRDefault="001C5D93" w:rsidP="001C5D93">
                      <w:pPr>
                        <w:jc w:val="center"/>
                        <w:rPr>
                          <w:b/>
                          <w:bCs/>
                          <w:color w:val="FFFFFF"/>
                          <w:rtl/>
                        </w:rPr>
                      </w:pPr>
                      <w:r w:rsidRPr="001B59C1">
                        <w:rPr>
                          <w:rFonts w:hint="cs"/>
                          <w:b/>
                          <w:bCs/>
                          <w:color w:val="FFFFFF"/>
                          <w:rtl/>
                        </w:rPr>
                        <w:t>التكنولوجيا الذكية</w:t>
                      </w:r>
                    </w:p>
                  </w:txbxContent>
                </v:textbox>
              </v:rect>
            </w:pict>
          </mc:Fallback>
        </mc:AlternateContent>
      </w:r>
      <w:r w:rsidRPr="001C5D93">
        <w:rPr>
          <w:rFonts w:ascii="Traditional Arabic" w:eastAsiaTheme="minorHAnsi" w:hAnsi="Traditional Arabic" w:cs="Traditional Arabic"/>
          <w:b/>
          <w:bCs/>
          <w:noProof/>
          <w:sz w:val="32"/>
          <w:szCs w:val="32"/>
        </w:rPr>
        <w:drawing>
          <wp:anchor distT="0" distB="0" distL="114300" distR="114300" simplePos="0" relativeHeight="251689984" behindDoc="1" locked="0" layoutInCell="1" allowOverlap="1" wp14:anchorId="78BFC1B3" wp14:editId="6F76DCF8">
            <wp:simplePos x="0" y="0"/>
            <wp:positionH relativeFrom="column">
              <wp:posOffset>1604645</wp:posOffset>
            </wp:positionH>
            <wp:positionV relativeFrom="paragraph">
              <wp:posOffset>185420</wp:posOffset>
            </wp:positionV>
            <wp:extent cx="2533650" cy="1943100"/>
            <wp:effectExtent l="0" t="0" r="0" b="0"/>
            <wp:wrapTight wrapText="bothSides">
              <wp:wrapPolygon edited="0">
                <wp:start x="0" y="0"/>
                <wp:lineTo x="0" y="21388"/>
                <wp:lineTo x="21438" y="21388"/>
                <wp:lineTo x="21438" y="0"/>
                <wp:lineTo x="0" y="0"/>
              </wp:wrapPolygon>
            </wp:wrapTight>
            <wp:docPr id="2028632396"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533650" cy="1943100"/>
                    </a:xfrm>
                    <a:prstGeom prst="rect">
                      <a:avLst/>
                    </a:prstGeom>
                    <a:noFill/>
                  </pic:spPr>
                </pic:pic>
              </a:graphicData>
            </a:graphic>
            <wp14:sizeRelH relativeFrom="page">
              <wp14:pctWidth>0</wp14:pctWidth>
            </wp14:sizeRelH>
            <wp14:sizeRelV relativeFrom="page">
              <wp14:pctHeight>0</wp14:pctHeight>
            </wp14:sizeRelV>
          </wp:anchor>
        </w:drawing>
      </w:r>
      <w:r w:rsidRPr="001C5D93">
        <w:rPr>
          <w:rFonts w:ascii="Traditional Arabic" w:hAnsi="Traditional Arabic" w:cs="Traditional Arabic" w:hint="cs"/>
          <w:noProof/>
          <w:sz w:val="32"/>
          <w:szCs w:val="32"/>
          <w14:ligatures w14:val="standardContextual"/>
        </w:rPr>
        <mc:AlternateContent>
          <mc:Choice Requires="wps">
            <w:drawing>
              <wp:anchor distT="0" distB="0" distL="114300" distR="114300" simplePos="0" relativeHeight="251686912" behindDoc="0" locked="0" layoutInCell="1" allowOverlap="1" wp14:anchorId="3E081A7E" wp14:editId="57ED2C1D">
                <wp:simplePos x="0" y="0"/>
                <wp:positionH relativeFrom="column">
                  <wp:posOffset>356870</wp:posOffset>
                </wp:positionH>
                <wp:positionV relativeFrom="paragraph">
                  <wp:posOffset>433070</wp:posOffset>
                </wp:positionV>
                <wp:extent cx="1247775" cy="1314450"/>
                <wp:effectExtent l="0" t="0" r="9525" b="0"/>
                <wp:wrapNone/>
                <wp:docPr id="399389913" name="مستطيل 6"/>
                <wp:cNvGraphicFramePr/>
                <a:graphic xmlns:a="http://schemas.openxmlformats.org/drawingml/2006/main">
                  <a:graphicData uri="http://schemas.microsoft.com/office/word/2010/wordprocessingShape">
                    <wps:wsp>
                      <wps:cNvSpPr/>
                      <wps:spPr>
                        <a:xfrm>
                          <a:off x="0" y="0"/>
                          <a:ext cx="1247775" cy="1314450"/>
                        </a:xfrm>
                        <a:prstGeom prst="rect">
                          <a:avLst/>
                        </a:prstGeom>
                        <a:solidFill>
                          <a:schemeClr val="accent6">
                            <a:lumMod val="60000"/>
                            <a:lumOff val="40000"/>
                          </a:schemeClr>
                        </a:solidFill>
                        <a:ln w="12700" cap="flat" cmpd="sng" algn="ctr">
                          <a:noFill/>
                          <a:prstDash val="solid"/>
                          <a:miter lim="800000"/>
                        </a:ln>
                        <a:effectLst/>
                      </wps:spPr>
                      <wps:txbx>
                        <w:txbxContent>
                          <w:p w14:paraId="6D9A69CB" w14:textId="77777777" w:rsidR="001C5D93" w:rsidRPr="001B59C1" w:rsidRDefault="001C5D93" w:rsidP="001C5D93">
                            <w:pPr>
                              <w:jc w:val="center"/>
                              <w:rPr>
                                <w:b/>
                                <w:bCs/>
                                <w:color w:val="FFFFFF"/>
                              </w:rPr>
                            </w:pPr>
                            <w:r w:rsidRPr="001B59C1">
                              <w:rPr>
                                <w:rFonts w:hint="cs"/>
                                <w:b/>
                                <w:bCs/>
                                <w:color w:val="FFFFFF"/>
                                <w:rtl/>
                              </w:rPr>
                              <w:t>المتغير التابع / إدارة المخاطر</w:t>
                            </w:r>
                          </w:p>
                          <w:p w14:paraId="57D971B4" w14:textId="77777777" w:rsidR="001C5D93" w:rsidRPr="001B59C1" w:rsidRDefault="001C5D93" w:rsidP="001C5D93">
                            <w:pPr>
                              <w:bidi/>
                              <w:jc w:val="center"/>
                              <w:rPr>
                                <w:color w:val="FFFFFF"/>
                                <w:rtl/>
                              </w:rPr>
                            </w:pPr>
                            <w:r w:rsidRPr="001B59C1">
                              <w:rPr>
                                <w:rFonts w:hint="cs"/>
                                <w:color w:val="FFFFFF"/>
                                <w:rtl/>
                              </w:rPr>
                              <w:t>الهيكل التنظيمي</w:t>
                            </w:r>
                          </w:p>
                          <w:p w14:paraId="4BEBE207" w14:textId="77777777" w:rsidR="001C5D93" w:rsidRPr="001B59C1" w:rsidRDefault="001C5D93" w:rsidP="001C5D93">
                            <w:pPr>
                              <w:bidi/>
                              <w:jc w:val="center"/>
                              <w:rPr>
                                <w:color w:val="FFFFFF"/>
                                <w:rtl/>
                              </w:rPr>
                            </w:pPr>
                            <w:r w:rsidRPr="001B59C1">
                              <w:rPr>
                                <w:rFonts w:hint="cs"/>
                                <w:color w:val="FFFFFF"/>
                                <w:rtl/>
                              </w:rPr>
                              <w:t>إعادة هندسة العمليات</w:t>
                            </w:r>
                          </w:p>
                          <w:p w14:paraId="334B0601" w14:textId="77777777" w:rsidR="001C5D93" w:rsidRPr="001B59C1" w:rsidRDefault="001C5D93" w:rsidP="001C5D93">
                            <w:pPr>
                              <w:bidi/>
                              <w:jc w:val="center"/>
                              <w:rPr>
                                <w:color w:val="FFFFFF"/>
                                <w:rtl/>
                              </w:rPr>
                            </w:pPr>
                            <w:r w:rsidRPr="001B59C1">
                              <w:rPr>
                                <w:rFonts w:hint="cs"/>
                                <w:color w:val="FFFFFF"/>
                                <w:rtl/>
                              </w:rPr>
                              <w:t xml:space="preserve">تمكين العاملين </w:t>
                            </w:r>
                          </w:p>
                          <w:p w14:paraId="60321793" w14:textId="77777777" w:rsidR="001C5D93" w:rsidRPr="001B59C1" w:rsidRDefault="001C5D93" w:rsidP="001C5D93">
                            <w:pPr>
                              <w:jc w:val="center"/>
                              <w:rPr>
                                <w:color w:val="FFFFFF"/>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081A7E" id="_x0000_s1028" style="position:absolute;left:0;text-align:left;margin-left:28.1pt;margin-top:34.1pt;width:98.25pt;height:10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" fillcolor="#a8d08d [1945]" stroked="f" strokeweight="1pt">
                <v:textbox>
                  <w:txbxContent>
                    <w:p w14:paraId="6D9A69CB" w14:textId="77777777" w:rsidR="001C5D93" w:rsidRPr="001B59C1" w:rsidRDefault="001C5D93" w:rsidP="001C5D93">
                      <w:pPr>
                        <w:jc w:val="center"/>
                        <w:rPr>
                          <w:b/>
                          <w:bCs/>
                          <w:color w:val="FFFFFF"/>
                        </w:rPr>
                      </w:pPr>
                      <w:r w:rsidRPr="001B59C1">
                        <w:rPr>
                          <w:rFonts w:hint="cs"/>
                          <w:b/>
                          <w:bCs/>
                          <w:color w:val="FFFFFF"/>
                          <w:rtl/>
                        </w:rPr>
                        <w:t>المتغير التابع / إدارة المخاطر</w:t>
                      </w:r>
                    </w:p>
                    <w:p w14:paraId="57D971B4" w14:textId="77777777" w:rsidR="001C5D93" w:rsidRPr="001B59C1" w:rsidRDefault="001C5D93" w:rsidP="001C5D93">
                      <w:pPr>
                        <w:bidi/>
                        <w:jc w:val="center"/>
                        <w:rPr>
                          <w:color w:val="FFFFFF"/>
                          <w:rtl/>
                        </w:rPr>
                      </w:pPr>
                      <w:r w:rsidRPr="001B59C1">
                        <w:rPr>
                          <w:rFonts w:hint="cs"/>
                          <w:color w:val="FFFFFF"/>
                          <w:rtl/>
                        </w:rPr>
                        <w:t>الهيكل التنظيمي</w:t>
                      </w:r>
                    </w:p>
                    <w:p w14:paraId="4BEBE207" w14:textId="77777777" w:rsidR="001C5D93" w:rsidRPr="001B59C1" w:rsidRDefault="001C5D93" w:rsidP="001C5D93">
                      <w:pPr>
                        <w:bidi/>
                        <w:jc w:val="center"/>
                        <w:rPr>
                          <w:color w:val="FFFFFF"/>
                          <w:rtl/>
                        </w:rPr>
                      </w:pPr>
                      <w:r w:rsidRPr="001B59C1">
                        <w:rPr>
                          <w:rFonts w:hint="cs"/>
                          <w:color w:val="FFFFFF"/>
                          <w:rtl/>
                        </w:rPr>
                        <w:t>إعادة هندسة العمليات</w:t>
                      </w:r>
                    </w:p>
                    <w:p w14:paraId="334B0601" w14:textId="77777777" w:rsidR="001C5D93" w:rsidRPr="001B59C1" w:rsidRDefault="001C5D93" w:rsidP="001C5D93">
                      <w:pPr>
                        <w:bidi/>
                        <w:jc w:val="center"/>
                        <w:rPr>
                          <w:color w:val="FFFFFF"/>
                          <w:rtl/>
                        </w:rPr>
                      </w:pPr>
                      <w:r w:rsidRPr="001B59C1">
                        <w:rPr>
                          <w:rFonts w:hint="cs"/>
                          <w:color w:val="FFFFFF"/>
                          <w:rtl/>
                        </w:rPr>
                        <w:t xml:space="preserve">تمكين العاملين </w:t>
                      </w:r>
                    </w:p>
                    <w:p w14:paraId="60321793" w14:textId="77777777" w:rsidR="001C5D93" w:rsidRPr="001B59C1" w:rsidRDefault="001C5D93" w:rsidP="001C5D93">
                      <w:pPr>
                        <w:jc w:val="center"/>
                        <w:rPr>
                          <w:color w:val="FFFFFF"/>
                        </w:rPr>
                      </w:pPr>
                    </w:p>
                  </w:txbxContent>
                </v:textbox>
              </v:rect>
            </w:pict>
          </mc:Fallback>
        </mc:AlternateContent>
      </w:r>
      <w:r w:rsidRPr="001C5D93">
        <w:rPr>
          <w:rFonts w:ascii="Traditional Arabic" w:hAnsi="Traditional Arabic" w:cs="Traditional Arabic" w:hint="cs"/>
          <w:noProof/>
          <w:sz w:val="32"/>
          <w:szCs w:val="32"/>
          <w14:ligatures w14:val="standardContextual"/>
        </w:rPr>
        <mc:AlternateContent>
          <mc:Choice Requires="wps">
            <w:drawing>
              <wp:anchor distT="0" distB="0" distL="114300" distR="114300" simplePos="0" relativeHeight="251685888" behindDoc="0" locked="0" layoutInCell="1" allowOverlap="1" wp14:anchorId="40C2344B" wp14:editId="755D0054">
                <wp:simplePos x="0" y="0"/>
                <wp:positionH relativeFrom="column">
                  <wp:posOffset>4138295</wp:posOffset>
                </wp:positionH>
                <wp:positionV relativeFrom="paragraph">
                  <wp:posOffset>433070</wp:posOffset>
                </wp:positionV>
                <wp:extent cx="1304925" cy="1304925"/>
                <wp:effectExtent l="0" t="0" r="9525" b="9525"/>
                <wp:wrapNone/>
                <wp:docPr id="930993584" name="مستطيل 6"/>
                <wp:cNvGraphicFramePr/>
                <a:graphic xmlns:a="http://schemas.openxmlformats.org/drawingml/2006/main">
                  <a:graphicData uri="http://schemas.microsoft.com/office/word/2010/wordprocessingShape">
                    <wps:wsp>
                      <wps:cNvSpPr/>
                      <wps:spPr>
                        <a:xfrm>
                          <a:off x="0" y="0"/>
                          <a:ext cx="1304925" cy="1304925"/>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F124CB9" w14:textId="77777777" w:rsidR="001C5D93" w:rsidRDefault="001C5D93" w:rsidP="001C5D93">
                            <w:pPr>
                              <w:jc w:val="center"/>
                              <w:rPr>
                                <w:b/>
                                <w:bCs/>
                              </w:rPr>
                            </w:pPr>
                            <w:r>
                              <w:rPr>
                                <w:rFonts w:hint="cs"/>
                                <w:b/>
                                <w:bCs/>
                                <w:rtl/>
                              </w:rPr>
                              <w:t xml:space="preserve">المتغير المستقل / </w:t>
                            </w:r>
                            <w:r w:rsidRPr="001954EF">
                              <w:rPr>
                                <w:rFonts w:hint="cs"/>
                                <w:b/>
                                <w:bCs/>
                                <w:rtl/>
                              </w:rPr>
                              <w:t>التطوير التنظيمي</w:t>
                            </w:r>
                          </w:p>
                          <w:p w14:paraId="0C162575" w14:textId="77777777" w:rsidR="001C5D93" w:rsidRDefault="001C5D93" w:rsidP="001C5D93">
                            <w:pPr>
                              <w:jc w:val="center"/>
                              <w:rPr>
                                <w:rtl/>
                              </w:rPr>
                            </w:pPr>
                            <w:r w:rsidRPr="00723A89">
                              <w:rPr>
                                <w:rFonts w:hint="cs"/>
                                <w:rtl/>
                              </w:rPr>
                              <w:t>الهيكل التنظيمي</w:t>
                            </w:r>
                          </w:p>
                          <w:p w14:paraId="48A7C196" w14:textId="77777777" w:rsidR="001C5D93" w:rsidRDefault="001C5D93" w:rsidP="001C5D93">
                            <w:pPr>
                              <w:jc w:val="center"/>
                              <w:rPr>
                                <w:rtl/>
                              </w:rPr>
                            </w:pPr>
                            <w:r w:rsidRPr="00723A89">
                              <w:rPr>
                                <w:rFonts w:hint="cs"/>
                                <w:rtl/>
                              </w:rPr>
                              <w:t>إعادة هندسة العمليات</w:t>
                            </w:r>
                          </w:p>
                          <w:p w14:paraId="66BA674A" w14:textId="77777777" w:rsidR="001C5D93" w:rsidRPr="00723A89" w:rsidRDefault="001C5D93" w:rsidP="001C5D93">
                            <w:pPr>
                              <w:jc w:val="center"/>
                              <w:rPr>
                                <w:rtl/>
                              </w:rPr>
                            </w:pPr>
                            <w:r>
                              <w:rPr>
                                <w:rFonts w:hint="cs"/>
                                <w:rtl/>
                              </w:rPr>
                              <w:t>تمكين العاملين</w:t>
                            </w:r>
                            <w:r w:rsidRPr="00723A89">
                              <w:rPr>
                                <w:rFonts w:hint="cs"/>
                                <w:rtl/>
                              </w:rPr>
                              <w:t xml:space="preserve"> </w:t>
                            </w:r>
                          </w:p>
                          <w:p w14:paraId="18196CE2" w14:textId="77777777" w:rsidR="001C5D93" w:rsidRPr="001954EF" w:rsidRDefault="001C5D93" w:rsidP="001C5D93">
                            <w:pPr>
                              <w:rPr>
                                <w:b/>
                                <w:bCs/>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C2344B" id="_x0000_s1029" style="position:absolute;left:0;text-align:left;margin-left:325.85pt;margin-top:34.1pt;width:102.75pt;height:102.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" fillcolor="#4472c4 [3204]" stroked="f" strokeweight="1pt">
                <v:textbox>
                  <w:txbxContent>
                    <w:p w14:paraId="4F124CB9" w14:textId="77777777" w:rsidR="001C5D93" w:rsidRDefault="001C5D93" w:rsidP="001C5D93">
                      <w:pPr>
                        <w:jc w:val="center"/>
                        <w:rPr>
                          <w:b/>
                          <w:bCs/>
                        </w:rPr>
                      </w:pPr>
                      <w:r>
                        <w:rPr>
                          <w:rFonts w:hint="cs"/>
                          <w:b/>
                          <w:bCs/>
                          <w:rtl/>
                        </w:rPr>
                        <w:t xml:space="preserve">المتغير المستقل / </w:t>
                      </w:r>
                      <w:r w:rsidRPr="001954EF">
                        <w:rPr>
                          <w:rFonts w:hint="cs"/>
                          <w:b/>
                          <w:bCs/>
                          <w:rtl/>
                        </w:rPr>
                        <w:t>التطوير التنظيمي</w:t>
                      </w:r>
                    </w:p>
                    <w:p w14:paraId="0C162575" w14:textId="77777777" w:rsidR="001C5D93" w:rsidRDefault="001C5D93" w:rsidP="001C5D93">
                      <w:pPr>
                        <w:jc w:val="center"/>
                        <w:rPr>
                          <w:rtl/>
                        </w:rPr>
                      </w:pPr>
                      <w:r w:rsidRPr="00723A89">
                        <w:rPr>
                          <w:rFonts w:hint="cs"/>
                          <w:rtl/>
                        </w:rPr>
                        <w:t>الهيكل التنظيمي</w:t>
                      </w:r>
                    </w:p>
                    <w:p w14:paraId="48A7C196" w14:textId="77777777" w:rsidR="001C5D93" w:rsidRDefault="001C5D93" w:rsidP="001C5D93">
                      <w:pPr>
                        <w:jc w:val="center"/>
                        <w:rPr>
                          <w:rtl/>
                        </w:rPr>
                      </w:pPr>
                      <w:r w:rsidRPr="00723A89">
                        <w:rPr>
                          <w:rFonts w:hint="cs"/>
                          <w:rtl/>
                        </w:rPr>
                        <w:t>إعادة هندسة العمليات</w:t>
                      </w:r>
                    </w:p>
                    <w:p w14:paraId="66BA674A" w14:textId="77777777" w:rsidR="001C5D93" w:rsidRPr="00723A89" w:rsidRDefault="001C5D93" w:rsidP="001C5D93">
                      <w:pPr>
                        <w:jc w:val="center"/>
                        <w:rPr>
                          <w:rtl/>
                        </w:rPr>
                      </w:pPr>
                      <w:r>
                        <w:rPr>
                          <w:rFonts w:hint="cs"/>
                          <w:rtl/>
                        </w:rPr>
                        <w:t>تمكين العاملين</w:t>
                      </w:r>
                      <w:r w:rsidRPr="00723A89">
                        <w:rPr>
                          <w:rFonts w:hint="cs"/>
                          <w:rtl/>
                        </w:rPr>
                        <w:t xml:space="preserve"> </w:t>
                      </w:r>
                    </w:p>
                    <w:p w14:paraId="18196CE2" w14:textId="77777777" w:rsidR="001C5D93" w:rsidRPr="001954EF" w:rsidRDefault="001C5D93" w:rsidP="001C5D93">
                      <w:pPr>
                        <w:rPr>
                          <w:b/>
                          <w:bCs/>
                          <w:rtl/>
                        </w:rPr>
                      </w:pPr>
                    </w:p>
                  </w:txbxContent>
                </v:textbox>
              </v:rect>
            </w:pict>
          </mc:Fallback>
        </mc:AlternateContent>
      </w:r>
    </w:p>
    <w:p w14:paraId="29F91612" w14:textId="77777777" w:rsidR="001C5D93" w:rsidRPr="001C5D93" w:rsidRDefault="001C5D93" w:rsidP="001C5D93">
      <w:pPr>
        <w:pStyle w:val="ab"/>
        <w:bidi/>
        <w:spacing w:before="0" w:beforeAutospacing="0" w:after="120" w:afterAutospacing="0"/>
        <w:jc w:val="center"/>
        <w:rPr>
          <w:rFonts w:ascii="Traditional Arabic" w:eastAsiaTheme="minorHAnsi" w:hAnsi="Traditional Arabic" w:cs="Traditional Arabic"/>
          <w:b/>
          <w:bCs/>
          <w:sz w:val="32"/>
          <w:szCs w:val="32"/>
        </w:rPr>
      </w:pPr>
    </w:p>
    <w:p w14:paraId="53D07373" w14:textId="77777777" w:rsidR="001C5D93" w:rsidRPr="001C5D93" w:rsidRDefault="001C5D93" w:rsidP="001C5D93">
      <w:pPr>
        <w:pStyle w:val="ab"/>
        <w:bidi/>
        <w:spacing w:before="0" w:beforeAutospacing="0" w:after="120" w:afterAutospacing="0"/>
        <w:jc w:val="center"/>
        <w:rPr>
          <w:rFonts w:ascii="Traditional Arabic" w:eastAsiaTheme="minorHAnsi" w:hAnsi="Traditional Arabic" w:cs="Traditional Arabic"/>
          <w:b/>
          <w:bCs/>
          <w:sz w:val="32"/>
          <w:szCs w:val="32"/>
        </w:rPr>
      </w:pPr>
    </w:p>
    <w:p w14:paraId="7EE9E47B" w14:textId="77777777" w:rsidR="001C5D93" w:rsidRPr="001C5D93" w:rsidRDefault="001C5D93" w:rsidP="001C5D93">
      <w:pPr>
        <w:pStyle w:val="ab"/>
        <w:bidi/>
        <w:spacing w:before="0" w:beforeAutospacing="0" w:after="120" w:afterAutospacing="0"/>
        <w:jc w:val="center"/>
        <w:rPr>
          <w:rFonts w:ascii="Traditional Arabic" w:eastAsiaTheme="minorHAnsi" w:hAnsi="Traditional Arabic" w:cs="Traditional Arabic"/>
          <w:b/>
          <w:bCs/>
          <w:sz w:val="32"/>
          <w:szCs w:val="32"/>
        </w:rPr>
      </w:pPr>
    </w:p>
    <w:p w14:paraId="6DEF3D7D" w14:textId="65E91C6D" w:rsidR="001C5D93" w:rsidRPr="001C5D93" w:rsidRDefault="001C5D93" w:rsidP="001C5D93">
      <w:pPr>
        <w:pStyle w:val="ab"/>
        <w:bidi/>
        <w:spacing w:before="0" w:beforeAutospacing="0" w:after="120" w:afterAutospacing="0"/>
        <w:jc w:val="center"/>
        <w:rPr>
          <w:rFonts w:ascii="Traditional Arabic" w:eastAsiaTheme="minorHAnsi" w:hAnsi="Traditional Arabic" w:cs="Traditional Arabic"/>
          <w:b/>
          <w:bCs/>
          <w:sz w:val="32"/>
          <w:szCs w:val="32"/>
          <w:rtl/>
        </w:rPr>
      </w:pPr>
    </w:p>
    <w:p w14:paraId="0E16D987" w14:textId="3AF46301" w:rsidR="001C5D93" w:rsidRPr="001C5D93" w:rsidRDefault="001C5D93" w:rsidP="001C5D93">
      <w:pPr>
        <w:pStyle w:val="ab"/>
        <w:bidi/>
        <w:spacing w:before="0" w:beforeAutospacing="0" w:after="120" w:afterAutospacing="0"/>
        <w:jc w:val="center"/>
        <w:rPr>
          <w:rFonts w:ascii="Traditional Arabic" w:eastAsiaTheme="minorHAnsi" w:hAnsi="Traditional Arabic" w:cs="Traditional Arabic"/>
          <w:b/>
          <w:bCs/>
          <w:sz w:val="32"/>
          <w:szCs w:val="32"/>
          <w:rtl/>
        </w:rPr>
      </w:pPr>
      <w:r w:rsidRPr="001C5D93">
        <w:rPr>
          <w:rFonts w:ascii="Traditional Arabic" w:hAnsi="Traditional Arabic" w:cs="Traditional Arabic" w:hint="cs"/>
          <w:noProof/>
          <w:sz w:val="32"/>
          <w:szCs w:val="32"/>
          <w14:ligatures w14:val="standardContextual"/>
        </w:rPr>
        <mc:AlternateContent>
          <mc:Choice Requires="wps">
            <w:drawing>
              <wp:anchor distT="0" distB="0" distL="114300" distR="114300" simplePos="0" relativeHeight="251684864" behindDoc="0" locked="0" layoutInCell="1" allowOverlap="1" wp14:anchorId="0BE2839D" wp14:editId="41DB4E58">
                <wp:simplePos x="0" y="0"/>
                <wp:positionH relativeFrom="column">
                  <wp:posOffset>1147445</wp:posOffset>
                </wp:positionH>
                <wp:positionV relativeFrom="paragraph">
                  <wp:posOffset>229326</wp:posOffset>
                </wp:positionV>
                <wp:extent cx="3495675" cy="552450"/>
                <wp:effectExtent l="0" t="0" r="28575" b="19050"/>
                <wp:wrapNone/>
                <wp:docPr id="563365407" name="مستطيل 5"/>
                <wp:cNvGraphicFramePr/>
                <a:graphic xmlns:a="http://schemas.openxmlformats.org/drawingml/2006/main">
                  <a:graphicData uri="http://schemas.microsoft.com/office/word/2010/wordprocessingShape">
                    <wps:wsp>
                      <wps:cNvSpPr/>
                      <wps:spPr>
                        <a:xfrm>
                          <a:off x="0" y="0"/>
                          <a:ext cx="3495675" cy="552450"/>
                        </a:xfrm>
                        <a:prstGeom prst="rect">
                          <a:avLst/>
                        </a:prstGeom>
                        <a:solidFill>
                          <a:schemeClr val="tx1">
                            <a:lumMod val="65000"/>
                            <a:lumOff val="3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B78DF17" w14:textId="77777777" w:rsidR="001C5D93" w:rsidRPr="0069194B" w:rsidRDefault="001C5D93" w:rsidP="001C5D93">
                            <w:pPr>
                              <w:spacing w:after="0" w:line="240" w:lineRule="auto"/>
                              <w:jc w:val="center"/>
                              <w:rPr>
                                <w:b/>
                                <w:bCs/>
                              </w:rPr>
                            </w:pPr>
                            <w:r w:rsidRPr="0069194B">
                              <w:rPr>
                                <w:rFonts w:hint="cs"/>
                                <w:b/>
                                <w:bCs/>
                                <w:rtl/>
                              </w:rPr>
                              <w:t xml:space="preserve">المتغيرات الضابطة </w:t>
                            </w:r>
                          </w:p>
                          <w:p w14:paraId="57134CA5" w14:textId="77777777" w:rsidR="001C5D93" w:rsidRDefault="001C5D93" w:rsidP="001C5D93">
                            <w:pPr>
                              <w:spacing w:after="0" w:line="240" w:lineRule="auto"/>
                              <w:jc w:val="center"/>
                              <w:rPr>
                                <w:rtl/>
                              </w:rPr>
                            </w:pPr>
                            <w:r>
                              <w:rPr>
                                <w:rFonts w:hint="cs"/>
                                <w:rtl/>
                              </w:rPr>
                              <w:t>الخبرة الوظيفية - المسمى الوظيفي- طبيعة المناوبة - المستوى الوظيفي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2839D" id="مستطيل 5" o:spid="_x0000_s1030" style="position:absolute;left:0;text-align:left;margin-left:90.35pt;margin-top:18.05pt;width:275.25pt;height:4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" fillcolor="#5a5a5a [2109]" strokecolor="#09101d [484]" strokeweight="1pt">
                <v:textbox>
                  <w:txbxContent>
                    <w:p w14:paraId="2B78DF17" w14:textId="77777777" w:rsidR="001C5D93" w:rsidRPr="0069194B" w:rsidRDefault="001C5D93" w:rsidP="001C5D93">
                      <w:pPr>
                        <w:spacing w:after="0" w:line="240" w:lineRule="auto"/>
                        <w:jc w:val="center"/>
                        <w:rPr>
                          <w:b/>
                          <w:bCs/>
                        </w:rPr>
                      </w:pPr>
                      <w:r w:rsidRPr="0069194B">
                        <w:rPr>
                          <w:rFonts w:hint="cs"/>
                          <w:b/>
                          <w:bCs/>
                          <w:rtl/>
                        </w:rPr>
                        <w:t xml:space="preserve">المتغيرات الضابطة </w:t>
                      </w:r>
                    </w:p>
                    <w:p w14:paraId="57134CA5" w14:textId="77777777" w:rsidR="001C5D93" w:rsidRDefault="001C5D93" w:rsidP="001C5D93">
                      <w:pPr>
                        <w:spacing w:after="0" w:line="240" w:lineRule="auto"/>
                        <w:jc w:val="center"/>
                        <w:rPr>
                          <w:rtl/>
                        </w:rPr>
                      </w:pPr>
                      <w:r>
                        <w:rPr>
                          <w:rFonts w:hint="cs"/>
                          <w:rtl/>
                        </w:rPr>
                        <w:t>الخبرة الوظيفية - المسمى الوظيفي- طبيعة المناوبة - المستوى الوظيفي</w:t>
                      </w:r>
                    </w:p>
                  </w:txbxContent>
                </v:textbox>
              </v:rect>
            </w:pict>
          </mc:Fallback>
        </mc:AlternateContent>
      </w:r>
    </w:p>
    <w:p w14:paraId="1DA3BFED" w14:textId="7E2B24D8" w:rsidR="001C5D93" w:rsidRPr="001C5D93" w:rsidRDefault="001C5D93" w:rsidP="001C5D93">
      <w:pPr>
        <w:pStyle w:val="ab"/>
        <w:bidi/>
        <w:spacing w:before="0" w:beforeAutospacing="0" w:after="120" w:afterAutospacing="0"/>
        <w:jc w:val="center"/>
        <w:rPr>
          <w:rFonts w:ascii="Traditional Arabic" w:eastAsiaTheme="minorHAnsi" w:hAnsi="Traditional Arabic" w:cs="Traditional Arabic"/>
          <w:b/>
          <w:bCs/>
          <w:sz w:val="32"/>
          <w:szCs w:val="32"/>
          <w:rtl/>
        </w:rPr>
      </w:pPr>
    </w:p>
    <w:p w14:paraId="2E069D33" w14:textId="58316D33" w:rsidR="001C5D93" w:rsidRPr="001C5D93" w:rsidRDefault="001C5D93" w:rsidP="001C5D93">
      <w:pPr>
        <w:pStyle w:val="ab"/>
        <w:bidi/>
        <w:spacing w:before="0" w:beforeAutospacing="0" w:after="120" w:afterAutospacing="0"/>
        <w:jc w:val="center"/>
        <w:rPr>
          <w:rFonts w:ascii="Traditional Arabic" w:eastAsiaTheme="minorHAnsi" w:hAnsi="Traditional Arabic" w:cs="Traditional Arabic"/>
          <w:b/>
          <w:bCs/>
          <w:sz w:val="32"/>
          <w:szCs w:val="32"/>
          <w:rtl/>
        </w:rPr>
      </w:pPr>
      <w:r w:rsidRPr="001C5D93">
        <w:rPr>
          <w:noProof/>
          <w:sz w:val="32"/>
          <w:szCs w:val="32"/>
          <w:rtl/>
        </w:rPr>
        <w:drawing>
          <wp:anchor distT="0" distB="0" distL="114300" distR="114300" simplePos="0" relativeHeight="251687936" behindDoc="1" locked="0" layoutInCell="1" allowOverlap="1" wp14:anchorId="2727413A" wp14:editId="41154947">
            <wp:simplePos x="0" y="0"/>
            <wp:positionH relativeFrom="column">
              <wp:posOffset>28938</wp:posOffset>
            </wp:positionH>
            <wp:positionV relativeFrom="paragraph">
              <wp:posOffset>213088</wp:posOffset>
            </wp:positionV>
            <wp:extent cx="5486400" cy="516255"/>
            <wp:effectExtent l="0" t="0" r="0" b="0"/>
            <wp:wrapTight wrapText="bothSides">
              <wp:wrapPolygon edited="0">
                <wp:start x="16650" y="0"/>
                <wp:lineTo x="15900" y="1594"/>
                <wp:lineTo x="14325" y="10362"/>
                <wp:lineTo x="14250" y="15941"/>
                <wp:lineTo x="14625" y="18332"/>
                <wp:lineTo x="15000" y="19926"/>
                <wp:lineTo x="20250" y="19926"/>
                <wp:lineTo x="21525" y="16738"/>
                <wp:lineTo x="21525" y="6376"/>
                <wp:lineTo x="21225" y="3188"/>
                <wp:lineTo x="20250" y="0"/>
                <wp:lineTo x="16650" y="0"/>
              </wp:wrapPolygon>
            </wp:wrapTight>
            <wp:docPr id="934616292"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t="60206"/>
                    <a:stretch>
                      <a:fillRect/>
                    </a:stretch>
                  </pic:blipFill>
                  <pic:spPr bwMode="auto">
                    <a:xfrm>
                      <a:off x="0" y="0"/>
                      <a:ext cx="5486400" cy="516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EBB0F1" w14:textId="77777777" w:rsidR="001C5D93" w:rsidRDefault="001C5D93" w:rsidP="001C5D93">
      <w:pPr>
        <w:pStyle w:val="ab"/>
        <w:bidi/>
        <w:spacing w:before="0" w:beforeAutospacing="0" w:after="0" w:afterAutospacing="0" w:line="144" w:lineRule="auto"/>
        <w:jc w:val="center"/>
        <w:rPr>
          <w:rFonts w:ascii="Traditional Arabic" w:eastAsiaTheme="minorHAnsi" w:hAnsi="Traditional Arabic" w:cs="Traditional Arabic"/>
          <w:b/>
          <w:bCs/>
          <w:sz w:val="32"/>
          <w:szCs w:val="32"/>
          <w:rtl/>
        </w:rPr>
      </w:pPr>
    </w:p>
    <w:p w14:paraId="28406941" w14:textId="77777777" w:rsidR="001C5D93" w:rsidRDefault="001C5D93" w:rsidP="001C5D93">
      <w:pPr>
        <w:pStyle w:val="ab"/>
        <w:bidi/>
        <w:spacing w:before="0" w:beforeAutospacing="0" w:after="120" w:afterAutospacing="0"/>
        <w:jc w:val="center"/>
        <w:rPr>
          <w:rFonts w:ascii="Traditional Arabic" w:eastAsiaTheme="minorHAnsi" w:hAnsi="Traditional Arabic" w:cs="Traditional Arabic"/>
          <w:b/>
          <w:bCs/>
          <w:sz w:val="28"/>
          <w:szCs w:val="28"/>
          <w:rtl/>
        </w:rPr>
      </w:pPr>
    </w:p>
    <w:p w14:paraId="4EC9668C" w14:textId="70668670" w:rsidR="001C5D93" w:rsidRPr="001C5D93" w:rsidRDefault="001C5D93" w:rsidP="001C5D93">
      <w:pPr>
        <w:pStyle w:val="ab"/>
        <w:bidi/>
        <w:spacing w:before="0" w:beforeAutospacing="0" w:after="120" w:afterAutospacing="0"/>
        <w:jc w:val="center"/>
        <w:rPr>
          <w:rFonts w:ascii="Traditional Arabic" w:eastAsiaTheme="minorHAnsi" w:hAnsi="Traditional Arabic" w:cs="Traditional Arabic"/>
          <w:b/>
          <w:bCs/>
          <w:sz w:val="28"/>
          <w:szCs w:val="28"/>
          <w:rtl/>
        </w:rPr>
      </w:pPr>
      <w:r w:rsidRPr="001C5D93">
        <w:rPr>
          <w:rFonts w:ascii="Traditional Arabic" w:eastAsiaTheme="minorHAnsi" w:hAnsi="Traditional Arabic" w:cs="Traditional Arabic" w:hint="cs"/>
          <w:b/>
          <w:bCs/>
          <w:sz w:val="28"/>
          <w:szCs w:val="28"/>
          <w:rtl/>
        </w:rPr>
        <w:t>شكل رقم (1): نموذج الدراسة</w:t>
      </w:r>
    </w:p>
    <w:p w14:paraId="7632968F" w14:textId="1E66C717" w:rsidR="001C5D93" w:rsidRPr="001C5D93" w:rsidRDefault="001C5D93" w:rsidP="006D63D8">
      <w:pPr>
        <w:pStyle w:val="ab"/>
        <w:bidi/>
        <w:spacing w:before="0" w:beforeAutospacing="0" w:after="120" w:afterAutospacing="0"/>
        <w:jc w:val="both"/>
        <w:rPr>
          <w:rFonts w:ascii="Traditional Arabic" w:eastAsiaTheme="minorHAnsi" w:hAnsi="Traditional Arabic" w:cs="Traditional Arabic"/>
          <w:sz w:val="32"/>
          <w:szCs w:val="32"/>
          <w:rtl/>
        </w:rPr>
      </w:pPr>
      <w:r w:rsidRPr="001C5D93">
        <w:rPr>
          <w:rFonts w:ascii="Traditional Arabic" w:eastAsiaTheme="minorHAnsi" w:hAnsi="Traditional Arabic" w:cs="Traditional Arabic" w:hint="cs"/>
          <w:b/>
          <w:bCs/>
          <w:sz w:val="32"/>
          <w:szCs w:val="32"/>
          <w:rtl/>
        </w:rPr>
        <w:t>المصدر:</w:t>
      </w:r>
      <w:r w:rsidRPr="001C5D93">
        <w:rPr>
          <w:rFonts w:ascii="Traditional Arabic" w:eastAsiaTheme="minorHAnsi" w:hAnsi="Traditional Arabic" w:cs="Traditional Arabic" w:hint="cs"/>
          <w:sz w:val="32"/>
          <w:szCs w:val="32"/>
          <w:rtl/>
        </w:rPr>
        <w:t xml:space="preserve"> من اعداد الباحث بالاستناد إلى الدراسات السابق</w:t>
      </w:r>
      <w:r w:rsidR="006D63D8">
        <w:rPr>
          <w:rFonts w:ascii="Traditional Arabic" w:eastAsiaTheme="minorHAnsi" w:hAnsi="Traditional Arabic" w:cs="Traditional Arabic" w:hint="cs"/>
          <w:sz w:val="32"/>
          <w:szCs w:val="32"/>
          <w:rtl/>
        </w:rPr>
        <w:t>ة.</w:t>
      </w:r>
    </w:p>
    <w:p w14:paraId="6EB9F9EA" w14:textId="2E7A7A13" w:rsidR="00280594" w:rsidRPr="001C5D93" w:rsidRDefault="001C5D93" w:rsidP="001C5D93">
      <w:pPr>
        <w:bidi/>
        <w:spacing w:after="120" w:line="240" w:lineRule="auto"/>
        <w:jc w:val="both"/>
        <w:rPr>
          <w:rFonts w:ascii="Traditional Arabic" w:hAnsi="Traditional Arabic" w:cs="Traditional Arabic"/>
          <w:bCs/>
          <w:sz w:val="36"/>
          <w:szCs w:val="36"/>
          <w:rtl/>
          <w:lang w:bidi="ar-EG"/>
        </w:rPr>
      </w:pPr>
      <w:r>
        <w:rPr>
          <w:rFonts w:ascii="Traditional Arabic" w:hAnsi="Traditional Arabic" w:cs="Traditional Arabic" w:hint="cs"/>
          <w:bCs/>
          <w:sz w:val="36"/>
          <w:szCs w:val="36"/>
          <w:rtl/>
          <w:lang w:bidi="ar-EG"/>
        </w:rPr>
        <w:lastRenderedPageBreak/>
        <w:t xml:space="preserve">ثالثًا: </w:t>
      </w:r>
      <w:r w:rsidR="0090086B" w:rsidRPr="001C5D93">
        <w:rPr>
          <w:rFonts w:ascii="Traditional Arabic" w:hAnsi="Traditional Arabic" w:cs="Traditional Arabic" w:hint="cs"/>
          <w:bCs/>
          <w:sz w:val="36"/>
          <w:szCs w:val="36"/>
          <w:rtl/>
          <w:lang w:bidi="ar-EG"/>
        </w:rPr>
        <w:t>الإط</w:t>
      </w:r>
      <w:r>
        <w:rPr>
          <w:rFonts w:ascii="Traditional Arabic" w:hAnsi="Traditional Arabic" w:cs="Traditional Arabic" w:hint="cs"/>
          <w:bCs/>
          <w:sz w:val="36"/>
          <w:szCs w:val="36"/>
          <w:rtl/>
          <w:lang w:bidi="ar-EG"/>
        </w:rPr>
        <w:t xml:space="preserve">ار </w:t>
      </w:r>
      <w:r w:rsidR="00280594" w:rsidRPr="001C5D93">
        <w:rPr>
          <w:rFonts w:ascii="Traditional Arabic" w:hAnsi="Traditional Arabic" w:cs="Traditional Arabic" w:hint="cs"/>
          <w:bCs/>
          <w:sz w:val="36"/>
          <w:szCs w:val="36"/>
          <w:rtl/>
          <w:lang w:bidi="ar-EG"/>
        </w:rPr>
        <w:t xml:space="preserve">المفاهيمي </w:t>
      </w:r>
      <w:r w:rsidR="0090086B" w:rsidRPr="001C5D93">
        <w:rPr>
          <w:rFonts w:ascii="Traditional Arabic" w:hAnsi="Traditional Arabic" w:cs="Traditional Arabic" w:hint="cs"/>
          <w:bCs/>
          <w:sz w:val="36"/>
          <w:szCs w:val="36"/>
          <w:rtl/>
          <w:lang w:bidi="ar-EG"/>
        </w:rPr>
        <w:t>لمتغيرات الدراسة</w:t>
      </w:r>
    </w:p>
    <w:p w14:paraId="5752608A" w14:textId="26240FC7" w:rsidR="00042498" w:rsidRPr="00E95A56" w:rsidRDefault="00E95A56" w:rsidP="00A02194">
      <w:pPr>
        <w:bidi/>
        <w:spacing w:after="120" w:line="240" w:lineRule="auto"/>
        <w:jc w:val="both"/>
        <w:rPr>
          <w:rFonts w:ascii="Traditional Arabic" w:hAnsi="Traditional Arabic" w:cs="Traditional Arabic"/>
          <w:bCs/>
          <w:sz w:val="36"/>
          <w:szCs w:val="36"/>
          <w:rtl/>
          <w:lang w:bidi="ar-EG"/>
        </w:rPr>
      </w:pPr>
      <w:bookmarkStart w:id="1" w:name="_Toc190043412"/>
      <w:r w:rsidRPr="00E95A56">
        <w:rPr>
          <w:rFonts w:ascii="Traditional Arabic" w:hAnsi="Traditional Arabic" w:cs="Traditional Arabic" w:hint="cs"/>
          <w:bCs/>
          <w:sz w:val="36"/>
          <w:szCs w:val="36"/>
          <w:rtl/>
          <w:lang w:bidi="ar-EG"/>
        </w:rPr>
        <w:t xml:space="preserve">المبحث الأول: </w:t>
      </w:r>
      <w:r w:rsidR="00042498" w:rsidRPr="00E95A56">
        <w:rPr>
          <w:rFonts w:ascii="Traditional Arabic" w:hAnsi="Traditional Arabic" w:cs="Traditional Arabic"/>
          <w:bCs/>
          <w:sz w:val="36"/>
          <w:szCs w:val="36"/>
          <w:rtl/>
          <w:lang w:bidi="ar-EG"/>
        </w:rPr>
        <w:t>التطوير التنظيمي</w:t>
      </w:r>
      <w:bookmarkEnd w:id="1"/>
    </w:p>
    <w:p w14:paraId="4A8494A6" w14:textId="77777777" w:rsidR="007C19C9" w:rsidRPr="001C5D93" w:rsidRDefault="007C19C9" w:rsidP="00A02194">
      <w:pPr>
        <w:bidi/>
        <w:spacing w:after="120" w:line="240" w:lineRule="auto"/>
        <w:jc w:val="both"/>
        <w:rPr>
          <w:rFonts w:ascii="Traditional Arabic" w:hAnsi="Traditional Arabic" w:cs="Traditional Arabic"/>
          <w:b/>
          <w:sz w:val="32"/>
          <w:szCs w:val="32"/>
          <w:rtl/>
        </w:rPr>
      </w:pPr>
      <w:bookmarkStart w:id="2" w:name="_Toc190043419"/>
      <w:r w:rsidRPr="001C5D93">
        <w:rPr>
          <w:rFonts w:ascii="Traditional Arabic" w:hAnsi="Traditional Arabic" w:cs="Traditional Arabic" w:hint="cs"/>
          <w:b/>
          <w:sz w:val="32"/>
          <w:szCs w:val="32"/>
          <w:rtl/>
        </w:rPr>
        <w:t xml:space="preserve">تشير الأدبيات المعاصرة </w:t>
      </w:r>
      <w:r w:rsidRPr="001C5D93">
        <w:rPr>
          <w:rFonts w:ascii="Traditional Arabic" w:hAnsi="Traditional Arabic" w:cs="Traditional Arabic"/>
          <w:b/>
          <w:sz w:val="32"/>
          <w:szCs w:val="32"/>
          <w:rtl/>
        </w:rPr>
        <w:t xml:space="preserve">إلى أن التطوير التنظيمي لم يعد خيارًا تحسينيا ثانويًا، بل أصبح مدخلًا استراتيجيًا ضروريًا لرفع قدرة المنظمات على التكيف مع التغيرات البيئية والتقنية والتشغيلية، خصوصًا في القطاعات الخدمية المعقدة مثل القطاع الصحي. وقد دعمت هذا الاتجاه أدبيات تناولت التطوير التنظيمي بوصفه جهدًا مخططًا لإعادة ترتيب المكونات الداخلية للمنظمة وتحسين فعاليتها وقدرتها على الاستجابة، مثل خضري وسفياني (2022)، وحسن وآخرون (2022)، ومعمر (2023). </w:t>
      </w:r>
    </w:p>
    <w:p w14:paraId="1E054BD2" w14:textId="3CC0C64F" w:rsidR="007C19C9" w:rsidRPr="001C5D93" w:rsidRDefault="007C19C9" w:rsidP="00A02194">
      <w:pPr>
        <w:bidi/>
        <w:spacing w:after="120" w:line="240" w:lineRule="auto"/>
        <w:jc w:val="both"/>
        <w:rPr>
          <w:rFonts w:ascii="Traditional Arabic" w:hAnsi="Traditional Arabic" w:cs="Traditional Arabic"/>
          <w:b/>
          <w:sz w:val="32"/>
          <w:szCs w:val="32"/>
          <w:rtl/>
        </w:rPr>
      </w:pPr>
      <w:r w:rsidRPr="001C5D93">
        <w:rPr>
          <w:rFonts w:ascii="Traditional Arabic" w:hAnsi="Traditional Arabic" w:cs="Traditional Arabic"/>
          <w:b/>
          <w:sz w:val="32"/>
          <w:szCs w:val="32"/>
          <w:rtl/>
        </w:rPr>
        <w:t>ويمكن تفسير هذا الاتفاق بأن المنظمات الصحية تعمل في بيئات عالية الحساسية، ما يجعل أي قصور في الهيكل أو العمليات أو الموارد البشرية ينعكس مباشرة على جودة الخدمة وسلامة المستفيدين. وبناءً على ذلك، يتناول هذا المبحث التطوير التنظيمي من الزاوية التي تخدم الدراسة الحالية مباشرة، من خلال حسم تعريفه المعتمد، وتحديد أبعاده، وبيان آلية تأثيره في التكنولوجيا الذكية وإدارة المخاطر</w:t>
      </w:r>
      <w:r w:rsidRPr="001C5D93">
        <w:rPr>
          <w:rFonts w:ascii="Traditional Arabic" w:hAnsi="Traditional Arabic" w:cs="Traditional Arabic"/>
          <w:b/>
          <w:sz w:val="32"/>
          <w:szCs w:val="32"/>
        </w:rPr>
        <w:t xml:space="preserve">. </w:t>
      </w:r>
    </w:p>
    <w:p w14:paraId="7E902322" w14:textId="1B21E64E" w:rsidR="007C19C9" w:rsidRPr="00E95A56" w:rsidRDefault="007C19C9" w:rsidP="00E95A56">
      <w:pPr>
        <w:pStyle w:val="a6"/>
        <w:numPr>
          <w:ilvl w:val="0"/>
          <w:numId w:val="101"/>
        </w:numPr>
        <w:bidi/>
        <w:spacing w:after="120" w:line="240" w:lineRule="auto"/>
        <w:jc w:val="both"/>
        <w:rPr>
          <w:rFonts w:ascii="Traditional Arabic" w:hAnsi="Traditional Arabic" w:cs="Traditional Arabic"/>
          <w:bCs/>
          <w:sz w:val="32"/>
          <w:szCs w:val="32"/>
          <w:rtl/>
        </w:rPr>
      </w:pPr>
      <w:r w:rsidRPr="00E95A56">
        <w:rPr>
          <w:rFonts w:ascii="Traditional Arabic" w:hAnsi="Traditional Arabic" w:cs="Traditional Arabic" w:hint="cs"/>
          <w:bCs/>
          <w:sz w:val="32"/>
          <w:szCs w:val="32"/>
          <w:rtl/>
        </w:rPr>
        <w:t>مفهوم التطوير التنظيمي:</w:t>
      </w:r>
    </w:p>
    <w:p w14:paraId="2E6C63FE" w14:textId="77777777" w:rsidR="00E95A56" w:rsidRDefault="007C19C9" w:rsidP="00A02194">
      <w:pPr>
        <w:bidi/>
        <w:spacing w:after="120" w:line="240" w:lineRule="auto"/>
        <w:jc w:val="both"/>
        <w:rPr>
          <w:rFonts w:ascii="Traditional Arabic" w:hAnsi="Traditional Arabic" w:cs="Traditional Arabic"/>
          <w:sz w:val="32"/>
          <w:szCs w:val="32"/>
          <w:rtl/>
        </w:rPr>
      </w:pPr>
      <w:r w:rsidRPr="001C5D93">
        <w:rPr>
          <w:rFonts w:ascii="Traditional Arabic" w:hAnsi="Traditional Arabic" w:cs="Traditional Arabic"/>
          <w:sz w:val="32"/>
          <w:szCs w:val="32"/>
          <w:rtl/>
        </w:rPr>
        <w:t>تشير الأدبيات إلى وجود تداخل شائع بين مفهوم التطوير التنظيمي ومفاهيم قريبة مثل التغيير التنظيمي، والإصلاح</w:t>
      </w:r>
      <w:r w:rsidRPr="001C5D93">
        <w:rPr>
          <w:rFonts w:ascii="Traditional Arabic" w:hAnsi="Traditional Arabic" w:cs="Traditional Arabic"/>
          <w:b/>
          <w:bCs/>
          <w:sz w:val="32"/>
          <w:szCs w:val="32"/>
          <w:rtl/>
        </w:rPr>
        <w:t xml:space="preserve"> </w:t>
      </w:r>
      <w:r w:rsidRPr="001C5D93">
        <w:rPr>
          <w:rFonts w:ascii="Traditional Arabic" w:hAnsi="Traditional Arabic" w:cs="Traditional Arabic"/>
          <w:sz w:val="32"/>
          <w:szCs w:val="32"/>
          <w:rtl/>
        </w:rPr>
        <w:t>الإداري، والتحسين المستمر، إلا أن الدراسة الحالية لا تستخدم التطوير التنظيمي بهذا المعنى الواسع أو الفضفاض</w:t>
      </w:r>
      <w:r w:rsidR="00E95A56">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 xml:space="preserve">فبينما قد يشير التغيير التنظيمي إلى أي تحول قد يطرأ على المنظمة، مخططًا كان أو </w:t>
      </w:r>
      <w:r w:rsidR="00E95A56">
        <w:rPr>
          <w:rFonts w:ascii="Traditional Arabic" w:hAnsi="Traditional Arabic" w:cs="Traditional Arabic" w:hint="cs"/>
          <w:sz w:val="32"/>
          <w:szCs w:val="32"/>
          <w:rtl/>
        </w:rPr>
        <w:t xml:space="preserve"> كاستجابة لأحداث طارئة في بيئة عمل المنظمة</w:t>
      </w:r>
      <w:r w:rsidRPr="001C5D93">
        <w:rPr>
          <w:rFonts w:ascii="Traditional Arabic" w:hAnsi="Traditional Arabic" w:cs="Traditional Arabic"/>
          <w:sz w:val="32"/>
          <w:szCs w:val="32"/>
          <w:rtl/>
        </w:rPr>
        <w:t xml:space="preserve">، فإن التطوير التنظيمي هنا يُفهم بوصفه تدخلًا مؤسسيًا مخططًا ومقصودًا يركز على إعادة مواءمة عناصر المنظمة الداخلية بما يرفع فعاليتها واستعدادها للتكيف. </w:t>
      </w:r>
    </w:p>
    <w:p w14:paraId="44DED3E0" w14:textId="0AC47941" w:rsidR="001E0356" w:rsidRPr="001C5D93" w:rsidRDefault="007C19C9" w:rsidP="00E95A56">
      <w:pPr>
        <w:bidi/>
        <w:spacing w:after="120" w:line="240" w:lineRule="auto"/>
        <w:jc w:val="both"/>
        <w:rPr>
          <w:rFonts w:ascii="Traditional Arabic" w:hAnsi="Traditional Arabic" w:cs="Traditional Arabic"/>
          <w:sz w:val="32"/>
          <w:szCs w:val="32"/>
          <w:rtl/>
        </w:rPr>
      </w:pPr>
      <w:r w:rsidRPr="001C5D93">
        <w:rPr>
          <w:rFonts w:ascii="Traditional Arabic" w:hAnsi="Traditional Arabic" w:cs="Traditional Arabic"/>
          <w:sz w:val="32"/>
          <w:szCs w:val="32"/>
          <w:rtl/>
        </w:rPr>
        <w:t>وتدعم هذا التمييز الأدبيات التي ربطت التطوير التنظيمي بالتدخلات المخططة على مستوى المنظمة ككل، وبالاعتماد على القيم والعلوم السلوكية وتحسين الهياكل والعمليات والثقافة التنظيمية، مثل</w:t>
      </w:r>
      <w:r w:rsidRPr="001C5D93">
        <w:rPr>
          <w:rFonts w:ascii="Traditional Arabic" w:hAnsi="Traditional Arabic" w:cs="Traditional Arabic"/>
          <w:sz w:val="32"/>
          <w:szCs w:val="32"/>
        </w:rPr>
        <w:t xml:space="preserve"> Burke (2022)</w:t>
      </w:r>
      <w:r w:rsidRPr="001C5D93">
        <w:rPr>
          <w:rFonts w:ascii="Traditional Arabic" w:hAnsi="Traditional Arabic" w:cs="Traditional Arabic"/>
          <w:sz w:val="32"/>
          <w:szCs w:val="32"/>
          <w:rtl/>
        </w:rPr>
        <w:t>، وبن عبد الله وضيف (2022)، و</w:t>
      </w:r>
      <w:r w:rsidRPr="001C5D93">
        <w:rPr>
          <w:rFonts w:ascii="Traditional Arabic" w:hAnsi="Traditional Arabic" w:cs="Traditional Arabic"/>
          <w:sz w:val="32"/>
          <w:szCs w:val="32"/>
        </w:rPr>
        <w:t>Schroeder (2023</w:t>
      </w:r>
      <w:r w:rsidR="001E0356" w:rsidRPr="001C5D93">
        <w:rPr>
          <w:rFonts w:ascii="Traditional Arabic" w:hAnsi="Traditional Arabic" w:cs="Traditional Arabic" w:hint="cs"/>
          <w:sz w:val="32"/>
          <w:szCs w:val="32"/>
          <w:rtl/>
        </w:rPr>
        <w:t xml:space="preserve">؛ حيث أن </w:t>
      </w:r>
      <w:r w:rsidRPr="001C5D93">
        <w:rPr>
          <w:rFonts w:ascii="Traditional Arabic" w:hAnsi="Traditional Arabic" w:cs="Traditional Arabic"/>
          <w:sz w:val="32"/>
          <w:szCs w:val="32"/>
          <w:rtl/>
        </w:rPr>
        <w:t>الدراسة الحالية لا تختبر مفهومًا عامًا للتحديث الإداري، بل تختبر ممارسات محددة قابلة للقياس في بيئة المستشفى، هي</w:t>
      </w:r>
      <w:r w:rsidRPr="001C5D93">
        <w:rPr>
          <w:rFonts w:ascii="Traditional Arabic" w:hAnsi="Traditional Arabic" w:cs="Traditional Arabic"/>
          <w:sz w:val="32"/>
          <w:szCs w:val="32"/>
        </w:rPr>
        <w:t xml:space="preserve">: </w:t>
      </w:r>
      <w:r w:rsidRPr="001C5D93">
        <w:rPr>
          <w:rFonts w:ascii="Traditional Arabic" w:hAnsi="Traditional Arabic" w:cs="Traditional Arabic"/>
          <w:sz w:val="32"/>
          <w:szCs w:val="32"/>
          <w:rtl/>
        </w:rPr>
        <w:t>الهيكل التنظيمي، وإعادة هندسة العمليات، وتمكين العاملين</w:t>
      </w:r>
      <w:r w:rsidRPr="001C5D93">
        <w:rPr>
          <w:rFonts w:ascii="Traditional Arabic" w:hAnsi="Traditional Arabic" w:cs="Traditional Arabic"/>
          <w:sz w:val="32"/>
          <w:szCs w:val="32"/>
        </w:rPr>
        <w:t xml:space="preserve">. </w:t>
      </w:r>
    </w:p>
    <w:p w14:paraId="73847C84" w14:textId="779FB48F" w:rsidR="007C19C9" w:rsidRPr="001C5D93" w:rsidRDefault="007C19C9" w:rsidP="00A02194">
      <w:pPr>
        <w:bidi/>
        <w:spacing w:after="120" w:line="240" w:lineRule="auto"/>
        <w:jc w:val="both"/>
        <w:rPr>
          <w:rFonts w:ascii="Traditional Arabic" w:hAnsi="Traditional Arabic" w:cs="Traditional Arabic"/>
          <w:sz w:val="32"/>
          <w:szCs w:val="32"/>
        </w:rPr>
      </w:pPr>
      <w:r w:rsidRPr="001C5D93">
        <w:rPr>
          <w:rFonts w:ascii="Traditional Arabic" w:hAnsi="Traditional Arabic" w:cs="Traditional Arabic"/>
          <w:sz w:val="32"/>
          <w:szCs w:val="32"/>
          <w:rtl/>
        </w:rPr>
        <w:t>ومن ثم، فإن التطوير التنظيمي في هذه الدراسة ليس مرادفًا عامًا للتغيير، بل متغير مستقل محدد البنية والأبعاد والوظيفة داخل النموذج المفاهيمي</w:t>
      </w:r>
      <w:r w:rsidRPr="001C5D93">
        <w:rPr>
          <w:rFonts w:ascii="Traditional Arabic" w:hAnsi="Traditional Arabic" w:cs="Traditional Arabic"/>
          <w:sz w:val="32"/>
          <w:szCs w:val="32"/>
        </w:rPr>
        <w:t>.</w:t>
      </w:r>
    </w:p>
    <w:p w14:paraId="3CA9CFA9" w14:textId="59FD504D" w:rsidR="007C19C9" w:rsidRPr="001C5D93" w:rsidRDefault="007C19C9" w:rsidP="00A02194">
      <w:pPr>
        <w:bidi/>
        <w:spacing w:after="120" w:line="240" w:lineRule="auto"/>
        <w:jc w:val="both"/>
        <w:rPr>
          <w:rFonts w:ascii="Traditional Arabic" w:hAnsi="Traditional Arabic" w:cs="Traditional Arabic"/>
          <w:sz w:val="32"/>
          <w:szCs w:val="32"/>
        </w:rPr>
      </w:pPr>
      <w:r w:rsidRPr="001C5D93">
        <w:rPr>
          <w:rFonts w:ascii="Traditional Arabic" w:hAnsi="Traditional Arabic" w:cs="Traditional Arabic"/>
          <w:sz w:val="32"/>
          <w:szCs w:val="32"/>
          <w:rtl/>
        </w:rPr>
        <w:t>وتتفق الأدبيات على أن التطوير التنظيمي هو عملية مخططة وشاملة وطويلة الأمد تستهدف تحسين فعالية المنظمة من خلال التدخل في هياكلها وعملياتها وسلوك أعضائها بما يعزز قدرتها على التكيف مع البيئة</w:t>
      </w:r>
      <w:r w:rsidR="00E95A56">
        <w:rPr>
          <w:rFonts w:ascii="Traditional Arabic" w:hAnsi="Traditional Arabic" w:cs="Traditional Arabic" w:hint="cs"/>
          <w:sz w:val="32"/>
          <w:szCs w:val="32"/>
          <w:rtl/>
        </w:rPr>
        <w:t>،</w:t>
      </w:r>
      <w:r w:rsidRPr="001C5D93">
        <w:rPr>
          <w:rFonts w:ascii="Traditional Arabic" w:hAnsi="Traditional Arabic" w:cs="Traditional Arabic"/>
          <w:sz w:val="32"/>
          <w:szCs w:val="32"/>
          <w:rtl/>
        </w:rPr>
        <w:t xml:space="preserve"> وقد </w:t>
      </w:r>
      <w:r w:rsidRPr="001C5D93">
        <w:rPr>
          <w:rFonts w:ascii="Traditional Arabic" w:hAnsi="Traditional Arabic" w:cs="Traditional Arabic"/>
          <w:sz w:val="32"/>
          <w:szCs w:val="32"/>
          <w:rtl/>
        </w:rPr>
        <w:lastRenderedPageBreak/>
        <w:t>دعمت هذا الفهم تعريفات متعددة؛ إذ عرفه عليق (2024) بوصفه عملية منظمة ومخططة لإحداث تعديلات على مستوى المنظمة لتحسين أداء العاملين والتكيف مع التغيرات، بينما نظر إليه هيشور (2021) باعتباره جهدًا منظمًا وشاملًا لتحسين جميع جوانب المنظمة، وأكد تونسي (2022) و</w:t>
      </w:r>
      <w:r w:rsidRPr="001C5D93">
        <w:rPr>
          <w:rFonts w:ascii="Traditional Arabic" w:hAnsi="Traditional Arabic" w:cs="Traditional Arabic"/>
          <w:sz w:val="32"/>
          <w:szCs w:val="32"/>
        </w:rPr>
        <w:t xml:space="preserve">Burke (2022) </w:t>
      </w:r>
      <w:r w:rsidR="001E0356" w:rsidRPr="001C5D93">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أنه</w:t>
      </w:r>
      <w:r w:rsidR="001E0356" w:rsidRPr="001C5D93">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تغيير مدروس وطويل الأمد يستند إلى العلوم السلوكية، في حين أبرز</w:t>
      </w:r>
      <w:r w:rsidRPr="001C5D93">
        <w:rPr>
          <w:rFonts w:ascii="Traditional Arabic" w:hAnsi="Traditional Arabic" w:cs="Traditional Arabic"/>
          <w:sz w:val="32"/>
          <w:szCs w:val="32"/>
        </w:rPr>
        <w:t xml:space="preserve"> Stevenson (2021) </w:t>
      </w:r>
      <w:r w:rsidR="001E0356" w:rsidRPr="001C5D93">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و</w:t>
      </w:r>
      <w:r w:rsidRPr="001C5D93">
        <w:rPr>
          <w:rFonts w:ascii="Traditional Arabic" w:hAnsi="Traditional Arabic" w:cs="Traditional Arabic"/>
          <w:sz w:val="32"/>
          <w:szCs w:val="32"/>
        </w:rPr>
        <w:t xml:space="preserve">van Vulpen (2024) </w:t>
      </w:r>
      <w:r w:rsidR="008E7428">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بعده العملي بوصفه مسارًا لتحسين العمليات والهياكل وتعظيم فعالية الأفراد والمنظمة</w:t>
      </w:r>
      <w:r w:rsidR="008E7428">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ويكشف هذا التوافق أن الاختلاف بين التعريفات ليس اختلافًا جوهريًا، بل اختلاف في زاوية التركيز؛ فبعضها يبرز البعد السلوكي، وبعضها يركز على التغيير الهيكلي أو المؤسسي، لكنها جميعًا تلتقي عند فكرة التغيير المخطط لتحسين الفاعلية والتكيف</w:t>
      </w:r>
      <w:r w:rsidRPr="001C5D93">
        <w:rPr>
          <w:rFonts w:ascii="Traditional Arabic" w:hAnsi="Traditional Arabic" w:cs="Traditional Arabic"/>
          <w:sz w:val="32"/>
          <w:szCs w:val="32"/>
        </w:rPr>
        <w:t>.</w:t>
      </w:r>
    </w:p>
    <w:p w14:paraId="19D2EA8A" w14:textId="65FE7768" w:rsidR="007C19C9" w:rsidRPr="001C5D93" w:rsidRDefault="007C19C9" w:rsidP="00A02194">
      <w:pPr>
        <w:bidi/>
        <w:spacing w:after="120" w:line="240" w:lineRule="auto"/>
        <w:jc w:val="both"/>
        <w:rPr>
          <w:rFonts w:ascii="Traditional Arabic" w:hAnsi="Traditional Arabic" w:cs="Traditional Arabic"/>
          <w:sz w:val="32"/>
          <w:szCs w:val="32"/>
        </w:rPr>
      </w:pPr>
      <w:r w:rsidRPr="001C5D93">
        <w:rPr>
          <w:rFonts w:ascii="Traditional Arabic" w:hAnsi="Traditional Arabic" w:cs="Traditional Arabic"/>
          <w:sz w:val="32"/>
          <w:szCs w:val="32"/>
          <w:rtl/>
        </w:rPr>
        <w:t>وعليه، يمكن تعريف التطوير التنظيمي في هذه الدراسة بوصفه</w:t>
      </w:r>
      <w:r w:rsidRPr="001C5D93">
        <w:rPr>
          <w:rFonts w:ascii="Traditional Arabic" w:hAnsi="Traditional Arabic" w:cs="Traditional Arabic"/>
          <w:sz w:val="32"/>
          <w:szCs w:val="32"/>
        </w:rPr>
        <w:t>: "</w:t>
      </w:r>
      <w:r w:rsidRPr="001C5D93">
        <w:rPr>
          <w:rFonts w:ascii="Traditional Arabic" w:hAnsi="Traditional Arabic" w:cs="Traditional Arabic"/>
          <w:sz w:val="32"/>
          <w:szCs w:val="32"/>
          <w:rtl/>
        </w:rPr>
        <w:t>عملية تنظيمية مخططة وشاملة تستهدف تحسين فعالية المستشفى وقدرته على التكيف والاستجابة من خلال تطوير الهيكل التنظيمي، وإعادة هندسة العمليات، وتمكين العاملين، بما يدعم تبني التكنولوجيا الذكية ويحسن إدارة المخاطر</w:t>
      </w:r>
      <w:r w:rsidRPr="001C5D93">
        <w:rPr>
          <w:rFonts w:ascii="Traditional Arabic" w:hAnsi="Traditional Arabic" w:cs="Traditional Arabic"/>
          <w:sz w:val="32"/>
          <w:szCs w:val="32"/>
        </w:rPr>
        <w:t>"</w:t>
      </w:r>
      <w:r w:rsidR="008E7428">
        <w:rPr>
          <w:rFonts w:ascii="Traditional Arabic" w:hAnsi="Traditional Arabic" w:cs="Traditional Arabic" w:hint="cs"/>
          <w:sz w:val="32"/>
          <w:szCs w:val="32"/>
          <w:rtl/>
        </w:rPr>
        <w:t>.</w:t>
      </w:r>
    </w:p>
    <w:p w14:paraId="2AA61C52" w14:textId="5BEBF37D" w:rsidR="007C19C9" w:rsidRPr="001C5D93" w:rsidRDefault="007C19C9" w:rsidP="00E95A56">
      <w:pPr>
        <w:pStyle w:val="a6"/>
        <w:numPr>
          <w:ilvl w:val="0"/>
          <w:numId w:val="101"/>
        </w:numPr>
        <w:bidi/>
        <w:spacing w:after="120" w:line="240" w:lineRule="auto"/>
        <w:jc w:val="both"/>
        <w:rPr>
          <w:rFonts w:ascii="Traditional Arabic" w:hAnsi="Traditional Arabic" w:cs="Traditional Arabic"/>
          <w:bCs/>
          <w:sz w:val="32"/>
          <w:szCs w:val="32"/>
        </w:rPr>
      </w:pPr>
      <w:r w:rsidRPr="001C5D93">
        <w:rPr>
          <w:rFonts w:ascii="Traditional Arabic" w:hAnsi="Traditional Arabic" w:cs="Traditional Arabic"/>
          <w:bCs/>
          <w:sz w:val="32"/>
          <w:szCs w:val="32"/>
          <w:rtl/>
        </w:rPr>
        <w:t>أبعاد التطوير التنظيمي في الدراسة الحالية</w:t>
      </w:r>
      <w:r w:rsidR="001E0356" w:rsidRPr="001C5D93">
        <w:rPr>
          <w:rFonts w:ascii="Traditional Arabic" w:hAnsi="Traditional Arabic" w:cs="Traditional Arabic" w:hint="cs"/>
          <w:bCs/>
          <w:sz w:val="32"/>
          <w:szCs w:val="32"/>
          <w:rtl/>
        </w:rPr>
        <w:t>:</w:t>
      </w:r>
    </w:p>
    <w:p w14:paraId="41993B19" w14:textId="1E9EA552" w:rsidR="007C19C9" w:rsidRPr="001C5D93" w:rsidRDefault="007C19C9" w:rsidP="00A02194">
      <w:pPr>
        <w:bidi/>
        <w:spacing w:after="120" w:line="240" w:lineRule="auto"/>
        <w:jc w:val="both"/>
        <w:rPr>
          <w:rFonts w:ascii="Traditional Arabic" w:hAnsi="Traditional Arabic" w:cs="Traditional Arabic"/>
          <w:b/>
          <w:sz w:val="32"/>
          <w:szCs w:val="32"/>
        </w:rPr>
      </w:pPr>
      <w:r w:rsidRPr="001C5D93">
        <w:rPr>
          <w:rFonts w:ascii="Traditional Arabic" w:hAnsi="Traditional Arabic" w:cs="Traditional Arabic"/>
          <w:b/>
          <w:sz w:val="32"/>
          <w:szCs w:val="32"/>
          <w:rtl/>
        </w:rPr>
        <w:t>تشير الأدبيات إلى أن التطوير التنظيمي مفهوم متعدد الأبعاد، إلا أن الدراسات تختلف في تحديد الأبعاد الأكثر تمثيلًا له تبعًا لطبيعة السياق وهدف الدراسة. وفي هذه الرسالة، جرى اعتماد ثلاثة أبعاد رئيسة هي</w:t>
      </w:r>
      <w:r w:rsidRPr="001C5D93">
        <w:rPr>
          <w:rFonts w:ascii="Traditional Arabic" w:hAnsi="Traditional Arabic" w:cs="Traditional Arabic"/>
          <w:b/>
          <w:sz w:val="32"/>
          <w:szCs w:val="32"/>
        </w:rPr>
        <w:t xml:space="preserve">: </w:t>
      </w:r>
      <w:r w:rsidRPr="001C5D93">
        <w:rPr>
          <w:rFonts w:ascii="Traditional Arabic" w:hAnsi="Traditional Arabic" w:cs="Traditional Arabic"/>
          <w:b/>
          <w:sz w:val="32"/>
          <w:szCs w:val="32"/>
          <w:rtl/>
        </w:rPr>
        <w:t>الهيكل التنظيمي، وإعادة هندسة العمليات، وتمكين العاملين</w:t>
      </w:r>
      <w:r w:rsidR="00AE23F5" w:rsidRPr="001C5D93">
        <w:rPr>
          <w:rFonts w:ascii="Traditional Arabic" w:hAnsi="Traditional Arabic" w:cs="Traditional Arabic" w:hint="cs"/>
          <w:b/>
          <w:sz w:val="32"/>
          <w:szCs w:val="32"/>
          <w:rtl/>
        </w:rPr>
        <w:t>؛ بما يتسق مع</w:t>
      </w:r>
      <w:r w:rsidRPr="001C5D93">
        <w:rPr>
          <w:rFonts w:ascii="Traditional Arabic" w:hAnsi="Traditional Arabic" w:cs="Traditional Arabic"/>
          <w:b/>
          <w:sz w:val="32"/>
          <w:szCs w:val="32"/>
          <w:rtl/>
        </w:rPr>
        <w:t xml:space="preserve"> أهداف الدراسة وأسئلتها وفرضياتها بُنيت على هذه الأبعاد تحديدًا، كما ينسجم مع العرض الحالي في الفصل الثاني الذي حدد هذه الأبعاد بوصفها الأبعاد التي تتناولها الدراسة فعليًا. ويمكن تفسير هذا الاختيار بأن هذه الأبعاد الثلاثة تمثل حلقات التغيير الأساسية داخل المستشفى</w:t>
      </w:r>
      <w:r w:rsidRPr="001C5D93">
        <w:rPr>
          <w:rFonts w:ascii="Traditional Arabic" w:hAnsi="Traditional Arabic" w:cs="Traditional Arabic"/>
          <w:b/>
          <w:sz w:val="32"/>
          <w:szCs w:val="32"/>
        </w:rPr>
        <w:t xml:space="preserve">: </w:t>
      </w:r>
      <w:r w:rsidRPr="001C5D93">
        <w:rPr>
          <w:rFonts w:ascii="Traditional Arabic" w:hAnsi="Traditional Arabic" w:cs="Traditional Arabic"/>
          <w:b/>
          <w:sz w:val="32"/>
          <w:szCs w:val="32"/>
          <w:rtl/>
        </w:rPr>
        <w:t>البنية الرسمية، والعمليات التشغيلية، والقدرة البشرية</w:t>
      </w:r>
      <w:r w:rsidRPr="001C5D93">
        <w:rPr>
          <w:rFonts w:ascii="Traditional Arabic" w:hAnsi="Traditional Arabic" w:cs="Traditional Arabic"/>
          <w:b/>
          <w:sz w:val="32"/>
          <w:szCs w:val="32"/>
        </w:rPr>
        <w:t xml:space="preserve">. </w:t>
      </w:r>
      <w:r w:rsidRPr="001C5D93">
        <w:rPr>
          <w:rFonts w:ascii="Traditional Arabic" w:hAnsi="Traditional Arabic" w:cs="Traditional Arabic"/>
          <w:b/>
          <w:sz w:val="32"/>
          <w:szCs w:val="32"/>
          <w:rtl/>
        </w:rPr>
        <w:t>وبذلك، يصبح قياس التطوير التنظيمي في الدراسة الحالية أكثر اتساقًا مع النموذج، وأكثر قدرة على تفسير علاقته بالتكنولوجيا الذكية وإدارة المخاطر</w:t>
      </w:r>
      <w:r w:rsidRPr="001C5D93">
        <w:rPr>
          <w:rFonts w:ascii="Traditional Arabic" w:hAnsi="Traditional Arabic" w:cs="Traditional Arabic"/>
          <w:b/>
          <w:sz w:val="32"/>
          <w:szCs w:val="32"/>
        </w:rPr>
        <w:t xml:space="preserve">. </w:t>
      </w:r>
    </w:p>
    <w:p w14:paraId="0A66BA31" w14:textId="5828CF43" w:rsidR="007C19C9" w:rsidRPr="001C5D93" w:rsidRDefault="007C19C9" w:rsidP="00A02194">
      <w:pPr>
        <w:pStyle w:val="a6"/>
        <w:numPr>
          <w:ilvl w:val="0"/>
          <w:numId w:val="100"/>
        </w:numPr>
        <w:bidi/>
        <w:spacing w:after="120" w:line="240" w:lineRule="auto"/>
        <w:jc w:val="both"/>
        <w:rPr>
          <w:rFonts w:ascii="Traditional Arabic" w:hAnsi="Traditional Arabic" w:cs="Traditional Arabic"/>
          <w:bCs/>
          <w:sz w:val="32"/>
          <w:szCs w:val="32"/>
        </w:rPr>
      </w:pPr>
      <w:r w:rsidRPr="001C5D93">
        <w:rPr>
          <w:rFonts w:ascii="Traditional Arabic" w:hAnsi="Traditional Arabic" w:cs="Traditional Arabic"/>
          <w:bCs/>
          <w:sz w:val="32"/>
          <w:szCs w:val="32"/>
          <w:rtl/>
        </w:rPr>
        <w:t>الهيكل التنظيمي</w:t>
      </w:r>
      <w:r w:rsidR="00AE23F5" w:rsidRPr="001C5D93">
        <w:rPr>
          <w:rFonts w:ascii="Traditional Arabic" w:hAnsi="Traditional Arabic" w:cs="Traditional Arabic" w:hint="cs"/>
          <w:bCs/>
          <w:sz w:val="32"/>
          <w:szCs w:val="32"/>
          <w:rtl/>
        </w:rPr>
        <w:t>:</w:t>
      </w:r>
    </w:p>
    <w:p w14:paraId="71C24E2C" w14:textId="22AAB2E7" w:rsidR="00AE23F5" w:rsidRPr="001C5D93" w:rsidRDefault="007C19C9" w:rsidP="00254B75">
      <w:pPr>
        <w:bidi/>
        <w:spacing w:after="120" w:line="240" w:lineRule="auto"/>
        <w:jc w:val="both"/>
        <w:rPr>
          <w:rFonts w:ascii="Traditional Arabic" w:hAnsi="Traditional Arabic" w:cs="Traditional Arabic"/>
          <w:b/>
          <w:sz w:val="32"/>
          <w:szCs w:val="32"/>
          <w:rtl/>
        </w:rPr>
      </w:pPr>
      <w:r w:rsidRPr="001C5D93">
        <w:rPr>
          <w:rFonts w:ascii="Traditional Arabic" w:hAnsi="Traditional Arabic" w:cs="Traditional Arabic"/>
          <w:b/>
          <w:sz w:val="32"/>
          <w:szCs w:val="32"/>
          <w:rtl/>
        </w:rPr>
        <w:t>تؤكد الأدبيات أن الهيكل التنظيمي يمثل أحد المدخلات الحاكمة لفعالية المنظمة، لأنه يحدد توزيع الأدوار والصلاحيات، وأنماط التنسيق، ومسارات تدفق المعلومات واتخاذ القرار. وقد دعمت هذا الاتجاه دراسات عدة؛ إذ أشار عبد اللاوي وقيزة (2020) إلى مركزية الهيكل التنظيمي في الفكر الإداري، ورأى</w:t>
      </w:r>
      <w:r w:rsidRPr="001C5D93">
        <w:rPr>
          <w:rFonts w:ascii="Traditional Arabic" w:hAnsi="Traditional Arabic" w:cs="Traditional Arabic"/>
          <w:bCs/>
          <w:sz w:val="32"/>
          <w:szCs w:val="32"/>
        </w:rPr>
        <w:t xml:space="preserve"> Kenton (2024) </w:t>
      </w:r>
      <w:r w:rsidR="008E7428">
        <w:rPr>
          <w:rFonts w:ascii="Traditional Arabic" w:hAnsi="Traditional Arabic" w:cs="Traditional Arabic" w:hint="cs"/>
          <w:b/>
          <w:sz w:val="32"/>
          <w:szCs w:val="32"/>
          <w:rtl/>
        </w:rPr>
        <w:t xml:space="preserve"> </w:t>
      </w:r>
      <w:r w:rsidRPr="001C5D93">
        <w:rPr>
          <w:rFonts w:ascii="Traditional Arabic" w:hAnsi="Traditional Arabic" w:cs="Traditional Arabic"/>
          <w:b/>
          <w:sz w:val="32"/>
          <w:szCs w:val="32"/>
          <w:rtl/>
        </w:rPr>
        <w:t>أنه الإطار الذي ينظم الأنشطة والأدوار وتدفق المعلومات، بينما بيّن</w:t>
      </w:r>
      <w:r w:rsidRPr="001C5D93">
        <w:rPr>
          <w:rFonts w:ascii="Traditional Arabic" w:hAnsi="Traditional Arabic" w:cs="Traditional Arabic"/>
          <w:b/>
          <w:sz w:val="32"/>
          <w:szCs w:val="32"/>
        </w:rPr>
        <w:t xml:space="preserve"> </w:t>
      </w:r>
      <w:r w:rsidRPr="001C5D93">
        <w:rPr>
          <w:rFonts w:ascii="Traditional Arabic" w:hAnsi="Traditional Arabic" w:cs="Traditional Arabic"/>
          <w:bCs/>
          <w:sz w:val="32"/>
          <w:szCs w:val="32"/>
        </w:rPr>
        <w:t xml:space="preserve">Robbins &amp; Judge (2017) </w:t>
      </w:r>
      <w:r w:rsidR="008E7428">
        <w:rPr>
          <w:rFonts w:ascii="Traditional Arabic" w:hAnsi="Traditional Arabic" w:cs="Traditional Arabic" w:hint="cs"/>
          <w:b/>
          <w:sz w:val="32"/>
          <w:szCs w:val="32"/>
          <w:rtl/>
        </w:rPr>
        <w:t xml:space="preserve"> </w:t>
      </w:r>
      <w:r w:rsidRPr="001C5D93">
        <w:rPr>
          <w:rFonts w:ascii="Traditional Arabic" w:hAnsi="Traditional Arabic" w:cs="Traditional Arabic"/>
          <w:b/>
          <w:sz w:val="32"/>
          <w:szCs w:val="32"/>
          <w:rtl/>
        </w:rPr>
        <w:t>و</w:t>
      </w:r>
      <w:r w:rsidRPr="001C5D93">
        <w:rPr>
          <w:rFonts w:ascii="Traditional Arabic" w:hAnsi="Traditional Arabic" w:cs="Traditional Arabic"/>
          <w:bCs/>
          <w:sz w:val="32"/>
          <w:szCs w:val="32"/>
        </w:rPr>
        <w:t xml:space="preserve">Cooks-Campbell (2022) </w:t>
      </w:r>
      <w:r w:rsidR="008E7428">
        <w:rPr>
          <w:rFonts w:ascii="Traditional Arabic" w:hAnsi="Traditional Arabic" w:cs="Traditional Arabic" w:hint="cs"/>
          <w:b/>
          <w:sz w:val="32"/>
          <w:szCs w:val="32"/>
          <w:rtl/>
        </w:rPr>
        <w:t xml:space="preserve"> </w:t>
      </w:r>
      <w:r w:rsidRPr="001C5D93">
        <w:rPr>
          <w:rFonts w:ascii="Traditional Arabic" w:hAnsi="Traditional Arabic" w:cs="Traditional Arabic"/>
          <w:b/>
          <w:sz w:val="32"/>
          <w:szCs w:val="32"/>
          <w:rtl/>
        </w:rPr>
        <w:t>أن وضوح الهيكل يدعم التنسيق واتخاذ القرار بفعالية أكبر، وأكد</w:t>
      </w:r>
      <w:r w:rsidRPr="001C5D93">
        <w:rPr>
          <w:rFonts w:ascii="Traditional Arabic" w:hAnsi="Traditional Arabic" w:cs="Traditional Arabic"/>
          <w:bCs/>
          <w:sz w:val="32"/>
          <w:szCs w:val="32"/>
        </w:rPr>
        <w:t xml:space="preserve"> Asbari (2024) </w:t>
      </w:r>
      <w:r w:rsidRPr="001C5D93">
        <w:rPr>
          <w:rFonts w:ascii="Traditional Arabic" w:hAnsi="Traditional Arabic" w:cs="Traditional Arabic"/>
          <w:b/>
          <w:sz w:val="32"/>
          <w:szCs w:val="32"/>
          <w:rtl/>
        </w:rPr>
        <w:t>و</w:t>
      </w:r>
      <w:r w:rsidRPr="001C5D93">
        <w:rPr>
          <w:rFonts w:ascii="Traditional Arabic" w:hAnsi="Traditional Arabic" w:cs="Traditional Arabic"/>
          <w:bCs/>
          <w:sz w:val="32"/>
          <w:szCs w:val="32"/>
        </w:rPr>
        <w:t>Sciulli (2024)</w:t>
      </w:r>
      <w:r w:rsidRPr="001C5D93">
        <w:rPr>
          <w:rFonts w:ascii="Traditional Arabic" w:hAnsi="Traditional Arabic" w:cs="Traditional Arabic"/>
          <w:b/>
          <w:sz w:val="32"/>
          <w:szCs w:val="32"/>
        </w:rPr>
        <w:t xml:space="preserve"> </w:t>
      </w:r>
      <w:r w:rsidR="00AE23F5" w:rsidRPr="001C5D93">
        <w:rPr>
          <w:rFonts w:ascii="Traditional Arabic" w:hAnsi="Traditional Arabic" w:cs="Traditional Arabic" w:hint="cs"/>
          <w:b/>
          <w:sz w:val="32"/>
          <w:szCs w:val="32"/>
          <w:rtl/>
        </w:rPr>
        <w:t xml:space="preserve"> </w:t>
      </w:r>
      <w:r w:rsidRPr="001C5D93">
        <w:rPr>
          <w:rFonts w:ascii="Traditional Arabic" w:hAnsi="Traditional Arabic" w:cs="Traditional Arabic"/>
          <w:b/>
          <w:sz w:val="32"/>
          <w:szCs w:val="32"/>
          <w:rtl/>
        </w:rPr>
        <w:t>أ</w:t>
      </w:r>
      <w:r w:rsidR="00AE23F5" w:rsidRPr="001C5D93">
        <w:rPr>
          <w:rFonts w:ascii="Traditional Arabic" w:hAnsi="Traditional Arabic" w:cs="Traditional Arabic" w:hint="cs"/>
          <w:b/>
          <w:sz w:val="32"/>
          <w:szCs w:val="32"/>
          <w:rtl/>
        </w:rPr>
        <w:t>ن</w:t>
      </w:r>
      <w:r w:rsidRPr="001C5D93">
        <w:rPr>
          <w:rFonts w:ascii="Traditional Arabic" w:hAnsi="Traditional Arabic" w:cs="Traditional Arabic"/>
          <w:b/>
          <w:sz w:val="32"/>
          <w:szCs w:val="32"/>
          <w:rtl/>
        </w:rPr>
        <w:t xml:space="preserve"> الهيكل الملائم يسهم في استثمار الموارد وتحسين الأداء </w:t>
      </w:r>
      <w:r w:rsidRPr="001C5D93">
        <w:rPr>
          <w:rFonts w:ascii="Traditional Arabic" w:hAnsi="Traditional Arabic" w:cs="Traditional Arabic"/>
          <w:b/>
          <w:sz w:val="32"/>
          <w:szCs w:val="32"/>
          <w:rtl/>
        </w:rPr>
        <w:lastRenderedPageBreak/>
        <w:t>المؤسسي</w:t>
      </w:r>
      <w:r w:rsidR="00AE23F5" w:rsidRPr="001C5D93">
        <w:rPr>
          <w:rFonts w:ascii="Traditional Arabic" w:hAnsi="Traditional Arabic" w:cs="Traditional Arabic" w:hint="cs"/>
          <w:b/>
          <w:sz w:val="32"/>
          <w:szCs w:val="32"/>
          <w:rtl/>
        </w:rPr>
        <w:t xml:space="preserve">، </w:t>
      </w:r>
      <w:r w:rsidRPr="001C5D93">
        <w:rPr>
          <w:rFonts w:ascii="Traditional Arabic" w:hAnsi="Traditional Arabic" w:cs="Traditional Arabic"/>
          <w:b/>
          <w:sz w:val="32"/>
          <w:szCs w:val="32"/>
          <w:rtl/>
        </w:rPr>
        <w:t xml:space="preserve">ويمكن تفسير هذا الاتفاق بأن الهيكل التنظيمي ليس مجرد رسم إداري، بل آلية تنظيمية تؤثر في سرعة الاستجابة، ووضوح المسؤوليات، ومرونة المؤسسة في التعامل مع التغيرات. </w:t>
      </w:r>
    </w:p>
    <w:p w14:paraId="22019509" w14:textId="6FB0EEB3" w:rsidR="007C19C9" w:rsidRPr="001C5D93" w:rsidRDefault="007C19C9" w:rsidP="00254B75">
      <w:pPr>
        <w:bidi/>
        <w:spacing w:after="120" w:line="240" w:lineRule="auto"/>
        <w:jc w:val="both"/>
        <w:rPr>
          <w:rFonts w:ascii="Traditional Arabic" w:hAnsi="Traditional Arabic" w:cs="Traditional Arabic"/>
          <w:b/>
          <w:sz w:val="32"/>
          <w:szCs w:val="32"/>
        </w:rPr>
      </w:pPr>
      <w:r w:rsidRPr="001C5D93">
        <w:rPr>
          <w:rFonts w:ascii="Traditional Arabic" w:hAnsi="Traditional Arabic" w:cs="Traditional Arabic"/>
          <w:b/>
          <w:sz w:val="32"/>
          <w:szCs w:val="32"/>
          <w:rtl/>
        </w:rPr>
        <w:t>وفي السياق الصحي تحديدًا، تكتسب هذه الخصائص أهمية مضاعفة؛ لأن ضعف التنسيق أو غموض الصلاحيات قد يؤدي إلى تأخر الاستجابة للمخاطر أو تكرار الأخطاء التشغيلية. وعليه، يُعد الهيكل التنظيمي في الدراسة الحالية بعدًا جوهريًا من أبعاد التطوير التنظيمي؛ لأنه يفسر كيف يمكن لإعادة تنظيم العلاقات الرسمية داخل المستشفى أن تدعم كلًا من تبني التكنولوجيا الذكية وتحسين إدارة المخاطر</w:t>
      </w:r>
      <w:r w:rsidRPr="001C5D93">
        <w:rPr>
          <w:rFonts w:ascii="Traditional Arabic" w:hAnsi="Traditional Arabic" w:cs="Traditional Arabic"/>
          <w:b/>
          <w:sz w:val="32"/>
          <w:szCs w:val="32"/>
        </w:rPr>
        <w:t xml:space="preserve">. </w:t>
      </w:r>
    </w:p>
    <w:p w14:paraId="12EDF4A6" w14:textId="5F314B5E" w:rsidR="007C19C9" w:rsidRPr="001C5D93" w:rsidRDefault="007C19C9" w:rsidP="00A02194">
      <w:pPr>
        <w:pStyle w:val="a6"/>
        <w:numPr>
          <w:ilvl w:val="0"/>
          <w:numId w:val="100"/>
        </w:numPr>
        <w:bidi/>
        <w:spacing w:after="120" w:line="240" w:lineRule="auto"/>
        <w:jc w:val="both"/>
        <w:rPr>
          <w:rFonts w:ascii="Traditional Arabic" w:hAnsi="Traditional Arabic" w:cs="Traditional Arabic"/>
          <w:bCs/>
          <w:sz w:val="32"/>
          <w:szCs w:val="32"/>
        </w:rPr>
      </w:pPr>
      <w:r w:rsidRPr="001C5D93">
        <w:rPr>
          <w:rFonts w:ascii="Traditional Arabic" w:hAnsi="Traditional Arabic" w:cs="Traditional Arabic"/>
          <w:bCs/>
          <w:sz w:val="32"/>
          <w:szCs w:val="32"/>
          <w:rtl/>
        </w:rPr>
        <w:t>إعادة هندسة العمليات</w:t>
      </w:r>
      <w:r w:rsidR="00AE23F5" w:rsidRPr="001C5D93">
        <w:rPr>
          <w:rFonts w:ascii="Traditional Arabic" w:hAnsi="Traditional Arabic" w:cs="Traditional Arabic" w:hint="cs"/>
          <w:bCs/>
          <w:sz w:val="32"/>
          <w:szCs w:val="32"/>
          <w:rtl/>
        </w:rPr>
        <w:t>:</w:t>
      </w:r>
    </w:p>
    <w:p w14:paraId="504EF8EF" w14:textId="14CAA882" w:rsidR="008E7428" w:rsidRDefault="007C19C9" w:rsidP="00254B75">
      <w:pPr>
        <w:bidi/>
        <w:spacing w:after="120" w:line="240" w:lineRule="auto"/>
        <w:jc w:val="both"/>
        <w:rPr>
          <w:rFonts w:ascii="Traditional Arabic" w:hAnsi="Traditional Arabic" w:cs="Traditional Arabic"/>
          <w:b/>
          <w:sz w:val="32"/>
          <w:szCs w:val="32"/>
          <w:rtl/>
        </w:rPr>
      </w:pPr>
      <w:r w:rsidRPr="001C5D93">
        <w:rPr>
          <w:rFonts w:ascii="Traditional Arabic" w:hAnsi="Traditional Arabic" w:cs="Traditional Arabic"/>
          <w:b/>
          <w:sz w:val="32"/>
          <w:szCs w:val="32"/>
          <w:rtl/>
        </w:rPr>
        <w:t>تشير الأدبيات إلى أن إعادة هندسة العمليات تمثل بُعدًا تحويليًا في التطوير التنظيمي، لأنها تستهدف إعادة التفكير الجذري في إجراءات العمل وتصميمها بما يحقق تحسينات جوهرية في الكلفة والسرعة والجودة والخدمة</w:t>
      </w:r>
      <w:r w:rsidR="008E7428">
        <w:rPr>
          <w:rFonts w:ascii="Traditional Arabic" w:hAnsi="Traditional Arabic" w:cs="Traditional Arabic" w:hint="cs"/>
          <w:b/>
          <w:sz w:val="32"/>
          <w:szCs w:val="32"/>
          <w:rtl/>
        </w:rPr>
        <w:t xml:space="preserve">، </w:t>
      </w:r>
      <w:r w:rsidRPr="001C5D93">
        <w:rPr>
          <w:rFonts w:ascii="Traditional Arabic" w:hAnsi="Traditional Arabic" w:cs="Traditional Arabic"/>
          <w:b/>
          <w:sz w:val="32"/>
          <w:szCs w:val="32"/>
          <w:rtl/>
        </w:rPr>
        <w:t xml:space="preserve">وقد دعمت هذا الفهم دراسات أوضحت أن الهندرة جاءت استجابة لقصور الأساليب التقليدية في مواجهة المتغيرات الحديثة، كما </w:t>
      </w:r>
      <w:r w:rsidR="008E7428">
        <w:rPr>
          <w:rFonts w:ascii="Traditional Arabic" w:hAnsi="Traditional Arabic" w:cs="Traditional Arabic" w:hint="cs"/>
          <w:b/>
          <w:sz w:val="32"/>
          <w:szCs w:val="32"/>
          <w:rtl/>
        </w:rPr>
        <w:t xml:space="preserve">جاء </w:t>
      </w:r>
      <w:r w:rsidRPr="001C5D93">
        <w:rPr>
          <w:rFonts w:ascii="Traditional Arabic" w:hAnsi="Traditional Arabic" w:cs="Traditional Arabic"/>
          <w:b/>
          <w:sz w:val="32"/>
          <w:szCs w:val="32"/>
          <w:rtl/>
        </w:rPr>
        <w:t>في عليش (2022)، وأنها تعني إعادة تصميم المهام والعمليات بصورة جذرية، كما في</w:t>
      </w:r>
      <w:r w:rsidRPr="001C5D93">
        <w:rPr>
          <w:rFonts w:ascii="Traditional Arabic" w:hAnsi="Traditional Arabic" w:cs="Traditional Arabic"/>
          <w:b/>
          <w:sz w:val="32"/>
          <w:szCs w:val="32"/>
        </w:rPr>
        <w:t xml:space="preserve"> </w:t>
      </w:r>
      <w:r w:rsidRPr="001C5D93">
        <w:rPr>
          <w:rFonts w:ascii="Traditional Arabic" w:hAnsi="Traditional Arabic" w:cs="Traditional Arabic"/>
          <w:bCs/>
          <w:sz w:val="32"/>
          <w:szCs w:val="32"/>
        </w:rPr>
        <w:t>Tucci (2022</w:t>
      </w:r>
      <w:r w:rsidRPr="001C5D93">
        <w:rPr>
          <w:rFonts w:ascii="Traditional Arabic" w:hAnsi="Traditional Arabic" w:cs="Traditional Arabic"/>
          <w:b/>
          <w:sz w:val="32"/>
          <w:szCs w:val="32"/>
        </w:rPr>
        <w:t xml:space="preserve">) </w:t>
      </w:r>
      <w:r w:rsidRPr="001C5D93">
        <w:rPr>
          <w:rFonts w:ascii="Traditional Arabic" w:hAnsi="Traditional Arabic" w:cs="Traditional Arabic"/>
          <w:b/>
          <w:sz w:val="32"/>
          <w:szCs w:val="32"/>
          <w:rtl/>
        </w:rPr>
        <w:t>و</w:t>
      </w:r>
      <w:r w:rsidRPr="001C5D93">
        <w:rPr>
          <w:rFonts w:ascii="Traditional Arabic" w:hAnsi="Traditional Arabic" w:cs="Traditional Arabic"/>
          <w:bCs/>
          <w:sz w:val="32"/>
          <w:szCs w:val="32"/>
        </w:rPr>
        <w:t>Kenebara (2016</w:t>
      </w:r>
      <w:r w:rsidRPr="001C5D93">
        <w:rPr>
          <w:rFonts w:ascii="Traditional Arabic" w:hAnsi="Traditional Arabic" w:cs="Traditional Arabic"/>
          <w:b/>
          <w:sz w:val="32"/>
          <w:szCs w:val="32"/>
        </w:rPr>
        <w:t>)</w:t>
      </w:r>
      <w:r w:rsidRPr="001C5D93">
        <w:rPr>
          <w:rFonts w:ascii="Traditional Arabic" w:hAnsi="Traditional Arabic" w:cs="Traditional Arabic"/>
          <w:b/>
          <w:sz w:val="32"/>
          <w:szCs w:val="32"/>
          <w:rtl/>
        </w:rPr>
        <w:t>، وأنها تسهم في رفع الكفاءة وتقليل التكرار وتحسين القيمة المضافة، كما في</w:t>
      </w:r>
      <w:r w:rsidRPr="001C5D93">
        <w:rPr>
          <w:rFonts w:ascii="Traditional Arabic" w:hAnsi="Traditional Arabic" w:cs="Traditional Arabic"/>
          <w:bCs/>
          <w:sz w:val="32"/>
          <w:szCs w:val="32"/>
        </w:rPr>
        <w:t xml:space="preserve"> Brun (2020)</w:t>
      </w:r>
      <w:r w:rsidRPr="001C5D93">
        <w:rPr>
          <w:rFonts w:ascii="Traditional Arabic" w:hAnsi="Traditional Arabic" w:cs="Traditional Arabic"/>
          <w:b/>
          <w:sz w:val="32"/>
          <w:szCs w:val="32"/>
        </w:rPr>
        <w:t xml:space="preserve"> </w:t>
      </w:r>
      <w:r w:rsidRPr="001C5D93">
        <w:rPr>
          <w:rFonts w:ascii="Traditional Arabic" w:hAnsi="Traditional Arabic" w:cs="Traditional Arabic"/>
          <w:bCs/>
          <w:sz w:val="32"/>
          <w:szCs w:val="32"/>
          <w:rtl/>
        </w:rPr>
        <w:t>و</w:t>
      </w:r>
      <w:r w:rsidRPr="001C5D93">
        <w:rPr>
          <w:rFonts w:ascii="Traditional Arabic" w:hAnsi="Traditional Arabic" w:cs="Traditional Arabic"/>
          <w:bCs/>
          <w:sz w:val="32"/>
          <w:szCs w:val="32"/>
        </w:rPr>
        <w:t>Abdellatif et al. (2018)</w:t>
      </w:r>
      <w:r w:rsidR="00AE23F5" w:rsidRPr="001C5D93">
        <w:rPr>
          <w:rFonts w:ascii="Traditional Arabic" w:hAnsi="Traditional Arabic" w:cs="Traditional Arabic" w:hint="cs"/>
          <w:b/>
          <w:sz w:val="32"/>
          <w:szCs w:val="32"/>
          <w:rtl/>
        </w:rPr>
        <w:t xml:space="preserve"> </w:t>
      </w:r>
      <w:r w:rsidR="006D63D8">
        <w:rPr>
          <w:rFonts w:ascii="Traditional Arabic" w:hAnsi="Traditional Arabic" w:cs="Traditional Arabic" w:hint="cs"/>
          <w:b/>
          <w:sz w:val="32"/>
          <w:szCs w:val="32"/>
          <w:rtl/>
        </w:rPr>
        <w:t xml:space="preserve">، </w:t>
      </w:r>
      <w:r w:rsidRPr="001C5D93">
        <w:rPr>
          <w:rFonts w:ascii="Traditional Arabic" w:hAnsi="Traditional Arabic" w:cs="Traditional Arabic"/>
          <w:b/>
          <w:sz w:val="32"/>
          <w:szCs w:val="32"/>
          <w:rtl/>
        </w:rPr>
        <w:t xml:space="preserve">ويمكن تفسير هذا التوافق بأن المنظمات المعاصرة، ولا سيما المستشفيات، لا تستطيع تحقيق قفزات في الأداء من خلال التحسينات الجزئية وحدها، بل تحتاج في بعض الأحيان إلى إعادة تصميم العمليات نفسها لتصبح أكثر انسيابًا وتكاملًا وقابلية للرقمنة. </w:t>
      </w:r>
    </w:p>
    <w:p w14:paraId="4DCF4FAF" w14:textId="2FCFC1EA" w:rsidR="007C19C9" w:rsidRPr="001C5D93" w:rsidRDefault="007C19C9" w:rsidP="00254B75">
      <w:pPr>
        <w:bidi/>
        <w:spacing w:after="120" w:line="240" w:lineRule="auto"/>
        <w:jc w:val="both"/>
        <w:rPr>
          <w:rFonts w:ascii="Traditional Arabic" w:hAnsi="Traditional Arabic" w:cs="Traditional Arabic"/>
          <w:b/>
          <w:sz w:val="32"/>
          <w:szCs w:val="32"/>
        </w:rPr>
      </w:pPr>
      <w:r w:rsidRPr="001C5D93">
        <w:rPr>
          <w:rFonts w:ascii="Traditional Arabic" w:hAnsi="Traditional Arabic" w:cs="Traditional Arabic"/>
          <w:b/>
          <w:sz w:val="32"/>
          <w:szCs w:val="32"/>
          <w:rtl/>
        </w:rPr>
        <w:t>ومن هذا المنطلق، فإن إعادة هندسة العمليات في الدراسة الحالية لا تُفهم بوصفها تحديثًا إجرائيًا محدودًا، بل بوصفها مسارًا تنظيميًا يهيئ المؤسسة لرفع كفاءة الأداء وتبني الحلول الذكية وتحسين قدرتها على إدارة المخاطر بصورة استباقية ومنهجية</w:t>
      </w:r>
      <w:r w:rsidRPr="001C5D93">
        <w:rPr>
          <w:rFonts w:ascii="Traditional Arabic" w:hAnsi="Traditional Arabic" w:cs="Traditional Arabic"/>
          <w:b/>
          <w:sz w:val="32"/>
          <w:szCs w:val="32"/>
        </w:rPr>
        <w:t xml:space="preserve">. </w:t>
      </w:r>
    </w:p>
    <w:p w14:paraId="710E474D" w14:textId="53A4CC21" w:rsidR="00AE23F5" w:rsidRPr="001C5D93" w:rsidRDefault="00AE23F5" w:rsidP="00A02194">
      <w:pPr>
        <w:pStyle w:val="a6"/>
        <w:numPr>
          <w:ilvl w:val="0"/>
          <w:numId w:val="100"/>
        </w:numPr>
        <w:bidi/>
        <w:spacing w:after="120" w:line="240" w:lineRule="auto"/>
        <w:jc w:val="both"/>
        <w:rPr>
          <w:rFonts w:ascii="Traditional Arabic" w:hAnsi="Traditional Arabic" w:cs="Traditional Arabic"/>
          <w:bCs/>
          <w:sz w:val="32"/>
          <w:szCs w:val="32"/>
          <w:rtl/>
        </w:rPr>
      </w:pPr>
      <w:r w:rsidRPr="001C5D93">
        <w:rPr>
          <w:rFonts w:ascii="Traditional Arabic" w:hAnsi="Traditional Arabic" w:cs="Traditional Arabic" w:hint="cs"/>
          <w:bCs/>
          <w:sz w:val="32"/>
          <w:szCs w:val="32"/>
          <w:rtl/>
        </w:rPr>
        <w:t>تمكين العاملين:</w:t>
      </w:r>
    </w:p>
    <w:p w14:paraId="23351A1E" w14:textId="6902CEA0" w:rsidR="00AE23F5" w:rsidRPr="001C5D93" w:rsidRDefault="007C19C9" w:rsidP="00254B75">
      <w:pPr>
        <w:bidi/>
        <w:spacing w:after="120" w:line="240" w:lineRule="auto"/>
        <w:jc w:val="both"/>
        <w:rPr>
          <w:rFonts w:ascii="Traditional Arabic" w:hAnsi="Traditional Arabic" w:cs="Traditional Arabic"/>
          <w:b/>
          <w:sz w:val="32"/>
          <w:szCs w:val="32"/>
          <w:rtl/>
        </w:rPr>
      </w:pPr>
      <w:r w:rsidRPr="001C5D93">
        <w:rPr>
          <w:rFonts w:ascii="Traditional Arabic" w:hAnsi="Traditional Arabic" w:cs="Traditional Arabic"/>
          <w:b/>
          <w:sz w:val="32"/>
          <w:szCs w:val="32"/>
          <w:rtl/>
        </w:rPr>
        <w:t>تذهب الأدبيات إلى أن تمكين العاملين يمثل البعد البشري الحاسم في التطوير التنظيمي؛ لأنه يعكس مدى انتقال المنظمة من التحكم الصارم إلى المشاركة والثقة وتفويض الصلاحيات. وقد دعمت هذا الاتجاه عدة دراسات؛ إذ بينت العنزي وآخرون (2024) أن التمكين يعكس اهتمام المؤسسة بالمورد البشري، ورأى</w:t>
      </w:r>
      <w:r w:rsidRPr="001C5D93">
        <w:rPr>
          <w:rFonts w:ascii="Traditional Arabic" w:hAnsi="Traditional Arabic" w:cs="Traditional Arabic"/>
          <w:b/>
          <w:sz w:val="32"/>
          <w:szCs w:val="32"/>
        </w:rPr>
        <w:t xml:space="preserve"> </w:t>
      </w:r>
      <w:r w:rsidRPr="001C5D93">
        <w:rPr>
          <w:rFonts w:ascii="Traditional Arabic" w:hAnsi="Traditional Arabic" w:cs="Traditional Arabic"/>
          <w:bCs/>
          <w:sz w:val="32"/>
          <w:szCs w:val="32"/>
        </w:rPr>
        <w:t>Wagner &amp; Hollenbeck (2020</w:t>
      </w:r>
      <w:r w:rsidRPr="001C5D93">
        <w:rPr>
          <w:rFonts w:ascii="Traditional Arabic" w:hAnsi="Traditional Arabic" w:cs="Traditional Arabic"/>
          <w:b/>
          <w:sz w:val="32"/>
          <w:szCs w:val="32"/>
        </w:rPr>
        <w:t xml:space="preserve">) </w:t>
      </w:r>
      <w:r w:rsidRPr="001C5D93">
        <w:rPr>
          <w:rFonts w:ascii="Traditional Arabic" w:hAnsi="Traditional Arabic" w:cs="Traditional Arabic"/>
          <w:b/>
          <w:sz w:val="32"/>
          <w:szCs w:val="32"/>
          <w:rtl/>
        </w:rPr>
        <w:t>أنه مؤشر على القدرة على النجاح في البيئات التنافسية، وأكد</w:t>
      </w:r>
      <w:r w:rsidRPr="001C5D93">
        <w:rPr>
          <w:rFonts w:ascii="Traditional Arabic" w:hAnsi="Traditional Arabic" w:cs="Traditional Arabic"/>
          <w:b/>
          <w:sz w:val="32"/>
          <w:szCs w:val="32"/>
        </w:rPr>
        <w:t xml:space="preserve"> </w:t>
      </w:r>
      <w:r w:rsidRPr="001C5D93">
        <w:rPr>
          <w:rFonts w:ascii="Traditional Arabic" w:hAnsi="Traditional Arabic" w:cs="Traditional Arabic"/>
          <w:bCs/>
          <w:sz w:val="32"/>
          <w:szCs w:val="32"/>
        </w:rPr>
        <w:t>Aboramadan &amp; Dahleez (2020)</w:t>
      </w:r>
      <w:r w:rsidRPr="001C5D93">
        <w:rPr>
          <w:rFonts w:ascii="Traditional Arabic" w:hAnsi="Traditional Arabic" w:cs="Traditional Arabic"/>
          <w:b/>
          <w:sz w:val="32"/>
          <w:szCs w:val="32"/>
        </w:rPr>
        <w:t xml:space="preserve"> </w:t>
      </w:r>
      <w:r w:rsidR="008E7428">
        <w:rPr>
          <w:rFonts w:ascii="Traditional Arabic" w:hAnsi="Traditional Arabic" w:cs="Traditional Arabic" w:hint="cs"/>
          <w:b/>
          <w:sz w:val="32"/>
          <w:szCs w:val="32"/>
          <w:rtl/>
        </w:rPr>
        <w:t xml:space="preserve"> </w:t>
      </w:r>
      <w:r w:rsidRPr="001C5D93">
        <w:rPr>
          <w:rFonts w:ascii="Traditional Arabic" w:hAnsi="Traditional Arabic" w:cs="Traditional Arabic"/>
          <w:b/>
          <w:sz w:val="32"/>
          <w:szCs w:val="32"/>
          <w:rtl/>
        </w:rPr>
        <w:t>أثره في الأداء الفردي والتنظيمي، في حين أبرزت علاوة وبن زرطيحة (2022) وأحمد (2022) وحسن (2021) علاقته بالمشاركة والمسؤولية وتقليل الأخطاء ورفع الرضا</w:t>
      </w:r>
      <w:r w:rsidR="00AE23F5" w:rsidRPr="001C5D93">
        <w:rPr>
          <w:rFonts w:ascii="Traditional Arabic" w:hAnsi="Traditional Arabic" w:cs="Traditional Arabic" w:hint="cs"/>
          <w:b/>
          <w:sz w:val="32"/>
          <w:szCs w:val="32"/>
          <w:rtl/>
        </w:rPr>
        <w:t xml:space="preserve">، </w:t>
      </w:r>
      <w:r w:rsidR="00AE23F5" w:rsidRPr="001C5D93">
        <w:rPr>
          <w:rFonts w:ascii="Traditional Arabic" w:hAnsi="Traditional Arabic" w:cs="Traditional Arabic" w:hint="cs"/>
          <w:b/>
          <w:sz w:val="32"/>
          <w:szCs w:val="32"/>
          <w:rtl/>
        </w:rPr>
        <w:lastRenderedPageBreak/>
        <w:t xml:space="preserve">وهو ما يمكن  تفسيره </w:t>
      </w:r>
      <w:r w:rsidRPr="001C5D93">
        <w:rPr>
          <w:rFonts w:ascii="Traditional Arabic" w:hAnsi="Traditional Arabic" w:cs="Traditional Arabic"/>
          <w:b/>
          <w:sz w:val="32"/>
          <w:szCs w:val="32"/>
          <w:rtl/>
        </w:rPr>
        <w:t xml:space="preserve">بأن أي تطوير تنظيمي يظل محدود الأثر إذا اقتصر على إعادة ترتيب الهيكل أو تعديل الإجراءات دون تمكين فعلي للعاملين القادرين على تنفيذ التغيير والتفاعل معه. </w:t>
      </w:r>
    </w:p>
    <w:p w14:paraId="34BD8331" w14:textId="7437FEC1" w:rsidR="007C19C9" w:rsidRPr="001C5D93" w:rsidRDefault="007C19C9" w:rsidP="00254B75">
      <w:pPr>
        <w:bidi/>
        <w:spacing w:after="120" w:line="240" w:lineRule="auto"/>
        <w:jc w:val="both"/>
        <w:rPr>
          <w:rFonts w:ascii="Traditional Arabic" w:hAnsi="Traditional Arabic" w:cs="Traditional Arabic"/>
          <w:b/>
          <w:sz w:val="32"/>
          <w:szCs w:val="32"/>
        </w:rPr>
      </w:pPr>
      <w:r w:rsidRPr="001C5D93">
        <w:rPr>
          <w:rFonts w:ascii="Traditional Arabic" w:hAnsi="Traditional Arabic" w:cs="Traditional Arabic"/>
          <w:b/>
          <w:sz w:val="32"/>
          <w:szCs w:val="32"/>
          <w:rtl/>
        </w:rPr>
        <w:t>وفي بيئة المستشفى، يصبح تمكين العاملين أكثر أهمية لأنه يرتبط بسرعة الإبلاغ عن المخاطر، والمبادرة في التعامل معها، واستخدام الأنظمة الذكية بفاعلية، وتحمل المسؤولية عن نتائج القرارات والإجراءات. لذلك، يُعد تمكين العاملين في هذه الدراسة بعدًا أساسيًا يربط بين التطوير التنظيمي وبين القدرة التشغيلية للمستشفى على الاستجابة للمخاطر وتبني التكنولوجيا الذكية</w:t>
      </w:r>
      <w:r w:rsidRPr="001C5D93">
        <w:rPr>
          <w:rFonts w:ascii="Traditional Arabic" w:hAnsi="Traditional Arabic" w:cs="Traditional Arabic"/>
          <w:b/>
          <w:sz w:val="32"/>
          <w:szCs w:val="32"/>
        </w:rPr>
        <w:t xml:space="preserve">. </w:t>
      </w:r>
    </w:p>
    <w:p w14:paraId="7C86D850" w14:textId="0299443D" w:rsidR="007C19C9" w:rsidRPr="001C5D93" w:rsidRDefault="007C19C9" w:rsidP="00E95A56">
      <w:pPr>
        <w:pStyle w:val="a6"/>
        <w:numPr>
          <w:ilvl w:val="0"/>
          <w:numId w:val="101"/>
        </w:numPr>
        <w:bidi/>
        <w:spacing w:after="120" w:line="240" w:lineRule="auto"/>
        <w:jc w:val="both"/>
        <w:rPr>
          <w:rFonts w:ascii="Traditional Arabic" w:hAnsi="Traditional Arabic" w:cs="Traditional Arabic"/>
          <w:bCs/>
          <w:sz w:val="32"/>
          <w:szCs w:val="32"/>
        </w:rPr>
      </w:pPr>
      <w:r w:rsidRPr="001C5D93">
        <w:rPr>
          <w:rFonts w:ascii="Traditional Arabic" w:hAnsi="Traditional Arabic" w:cs="Traditional Arabic"/>
          <w:bCs/>
          <w:sz w:val="32"/>
          <w:szCs w:val="32"/>
          <w:rtl/>
        </w:rPr>
        <w:t>آلية تأثير التطوير التنظيمي في نموذج الدراسة</w:t>
      </w:r>
      <w:r w:rsidR="00E95A56">
        <w:rPr>
          <w:rFonts w:ascii="Traditional Arabic" w:hAnsi="Traditional Arabic" w:cs="Traditional Arabic" w:hint="cs"/>
          <w:bCs/>
          <w:sz w:val="32"/>
          <w:szCs w:val="32"/>
          <w:rtl/>
        </w:rPr>
        <w:t>:</w:t>
      </w:r>
    </w:p>
    <w:p w14:paraId="7FCA03F4" w14:textId="0DE33580" w:rsidR="00E95A56" w:rsidRPr="00E95A56" w:rsidRDefault="00E95A56" w:rsidP="00E95A56">
      <w:pPr>
        <w:bidi/>
        <w:spacing w:after="120" w:line="240" w:lineRule="auto"/>
        <w:jc w:val="both"/>
        <w:rPr>
          <w:rFonts w:ascii="Traditional Arabic" w:hAnsi="Traditional Arabic" w:cs="Traditional Arabic"/>
          <w:b/>
          <w:sz w:val="32"/>
          <w:szCs w:val="32"/>
          <w:rtl/>
        </w:rPr>
      </w:pPr>
      <w:r>
        <w:rPr>
          <w:rFonts w:ascii="Traditional Arabic" w:hAnsi="Traditional Arabic" w:cs="Traditional Arabic" w:hint="cs"/>
          <w:b/>
          <w:sz w:val="32"/>
          <w:szCs w:val="32"/>
          <w:rtl/>
        </w:rPr>
        <w:t>ا</w:t>
      </w:r>
      <w:r w:rsidRPr="00E95A56">
        <w:rPr>
          <w:rFonts w:ascii="Traditional Arabic" w:hAnsi="Traditional Arabic" w:cs="Traditional Arabic"/>
          <w:b/>
          <w:sz w:val="32"/>
          <w:szCs w:val="32"/>
          <w:rtl/>
        </w:rPr>
        <w:t>نطلاقًا من الإطار النظري ونموذج الدراسة الذي سبق عرضهما، يمكن القول إن التطوير التنظيمي يُمارس تأثيره في نموذج الدراسة الحالية من خلال مسارين مترابطين: مسار مباشر، وآخر غير مباشر عبر التكنولوجيا الذكية</w:t>
      </w:r>
      <w:r w:rsidRPr="00E95A56">
        <w:rPr>
          <w:rFonts w:ascii="Traditional Arabic" w:hAnsi="Traditional Arabic" w:cs="Traditional Arabic"/>
          <w:b/>
          <w:sz w:val="32"/>
          <w:szCs w:val="32"/>
        </w:rPr>
        <w:t>.</w:t>
      </w:r>
    </w:p>
    <w:p w14:paraId="5CCC5730" w14:textId="36736E1C" w:rsidR="00E95A56" w:rsidRPr="00E95A56" w:rsidRDefault="00E95A56" w:rsidP="00E95A56">
      <w:pPr>
        <w:bidi/>
        <w:spacing w:after="120" w:line="240" w:lineRule="auto"/>
        <w:jc w:val="both"/>
        <w:rPr>
          <w:rFonts w:ascii="Traditional Arabic" w:hAnsi="Traditional Arabic" w:cs="Traditional Arabic" w:hint="cs"/>
          <w:b/>
          <w:sz w:val="32"/>
          <w:szCs w:val="32"/>
          <w:rtl/>
        </w:rPr>
      </w:pPr>
      <w:r w:rsidRPr="00E95A56">
        <w:rPr>
          <w:rFonts w:ascii="Traditional Arabic" w:hAnsi="Traditional Arabic" w:cs="Traditional Arabic"/>
          <w:b/>
          <w:sz w:val="32"/>
          <w:szCs w:val="32"/>
          <w:rtl/>
        </w:rPr>
        <w:t>فالتأثير المباشر يتمثل في قدرة التطوير التنظيمي  بأبعاده المتمثلة في تحديث الهيكل، وإعادة هندسة العمليات، وتمكين العاملين</w:t>
      </w:r>
      <w:r>
        <w:rPr>
          <w:rFonts w:ascii="Traditional Arabic" w:hAnsi="Traditional Arabic" w:cs="Traditional Arabic" w:hint="cs"/>
          <w:b/>
          <w:sz w:val="32"/>
          <w:szCs w:val="32"/>
          <w:rtl/>
        </w:rPr>
        <w:t xml:space="preserve"> </w:t>
      </w:r>
      <w:r w:rsidRPr="00E95A56">
        <w:rPr>
          <w:rFonts w:ascii="Traditional Arabic" w:hAnsi="Traditional Arabic" w:cs="Traditional Arabic"/>
          <w:b/>
          <w:sz w:val="32"/>
          <w:szCs w:val="32"/>
          <w:rtl/>
        </w:rPr>
        <w:t>على تحسين البيئة التنظيمية الداخلية للمستشفى، مما ينعكس إيجابًا على كفاءة التعامل مع المخاطر التشغيلية والسريرية بشكل مباشر</w:t>
      </w:r>
      <w:r w:rsidRPr="00E95A56">
        <w:rPr>
          <w:rFonts w:ascii="Traditional Arabic" w:hAnsi="Traditional Arabic" w:cs="Traditional Arabic"/>
          <w:b/>
          <w:sz w:val="32"/>
          <w:szCs w:val="32"/>
        </w:rPr>
        <w:t xml:space="preserve"> </w:t>
      </w:r>
      <w:r w:rsidRPr="00E95A56">
        <w:rPr>
          <w:rFonts w:ascii="Traditional Arabic" w:hAnsi="Traditional Arabic" w:cs="Traditional Arabic"/>
          <w:bCs/>
          <w:sz w:val="32"/>
          <w:szCs w:val="32"/>
        </w:rPr>
        <w:t>.</w:t>
      </w:r>
      <w:r w:rsidRPr="00E95A56">
        <w:rPr>
          <w:rFonts w:ascii="Traditional Arabic" w:hAnsi="Traditional Arabic" w:cs="Traditional Arabic"/>
          <w:bCs/>
          <w:sz w:val="32"/>
          <w:szCs w:val="32"/>
        </w:rPr>
        <w:t>(Awwad et al., 2022)</w:t>
      </w:r>
      <w:r>
        <w:rPr>
          <w:rFonts w:ascii="Traditional Arabic" w:hAnsi="Traditional Arabic" w:cs="Traditional Arabic" w:hint="cs"/>
          <w:b/>
          <w:sz w:val="32"/>
          <w:szCs w:val="32"/>
          <w:rtl/>
        </w:rPr>
        <w:t xml:space="preserve"> </w:t>
      </w:r>
    </w:p>
    <w:p w14:paraId="0B366E89" w14:textId="77777777" w:rsidR="00B074B7" w:rsidRDefault="00E95A56" w:rsidP="00B074B7">
      <w:pPr>
        <w:bidi/>
        <w:spacing w:after="120" w:line="240" w:lineRule="auto"/>
        <w:jc w:val="both"/>
        <w:rPr>
          <w:rFonts w:ascii="Traditional Arabic" w:hAnsi="Traditional Arabic" w:cs="Traditional Arabic"/>
          <w:b/>
          <w:sz w:val="32"/>
          <w:szCs w:val="32"/>
          <w:rtl/>
        </w:rPr>
      </w:pPr>
      <w:r w:rsidRPr="00E95A56">
        <w:rPr>
          <w:rFonts w:ascii="Traditional Arabic" w:hAnsi="Traditional Arabic" w:cs="Traditional Arabic"/>
          <w:b/>
          <w:sz w:val="32"/>
          <w:szCs w:val="32"/>
          <w:rtl/>
        </w:rPr>
        <w:t xml:space="preserve">أما التأثير غير المباشر، فيتمثل في أن التطوير التنظيمي يُهيئ المستشفى لتبني التكنولوجيا الذكية (أنظمة دعم القرار، الإنذار المبكر، والتحليلات التنبؤية)، وهذه التكنولوجيا بدورها تنقل هذا الأثر إلى تحسين إدارة المخاطر عبر دقة الرصد، وسرعة الاستجابة، وقوة التنبؤ. وبذلك، يؤدي التطوير التنظيمي وظيفة مزدوجة: تحسين مباشر لإدارة المخاطر، وتهيئة لتبني وسيط تكنولوجي يُعزز هذا التحسين </w:t>
      </w:r>
      <w:r w:rsidRPr="00E95A56">
        <w:rPr>
          <w:rFonts w:ascii="Traditional Arabic" w:hAnsi="Traditional Arabic" w:cs="Traditional Arabic"/>
          <w:bCs/>
          <w:sz w:val="32"/>
          <w:szCs w:val="32"/>
          <w:rtl/>
        </w:rPr>
        <w:t>(</w:t>
      </w:r>
      <w:r w:rsidRPr="00E95A56">
        <w:rPr>
          <w:rFonts w:ascii="Traditional Arabic" w:hAnsi="Traditional Arabic" w:cs="Traditional Arabic"/>
          <w:bCs/>
          <w:sz w:val="32"/>
          <w:szCs w:val="32"/>
        </w:rPr>
        <w:t>Somera &amp; Petrov, 2024</w:t>
      </w:r>
      <w:r w:rsidRPr="00E95A56">
        <w:rPr>
          <w:rFonts w:ascii="Traditional Arabic" w:hAnsi="Traditional Arabic" w:cs="Traditional Arabic"/>
          <w:b/>
          <w:sz w:val="32"/>
          <w:szCs w:val="32"/>
          <w:rtl/>
        </w:rPr>
        <w:t>).</w:t>
      </w:r>
    </w:p>
    <w:p w14:paraId="1AC5712C" w14:textId="77777777" w:rsidR="00B074B7" w:rsidRDefault="00B074B7" w:rsidP="00B074B7">
      <w:pPr>
        <w:bidi/>
        <w:spacing w:after="120" w:line="240" w:lineRule="auto"/>
        <w:jc w:val="both"/>
        <w:rPr>
          <w:rFonts w:ascii="Traditional Arabic" w:hAnsi="Traditional Arabic" w:cs="Traditional Arabic"/>
          <w:b/>
          <w:sz w:val="32"/>
          <w:szCs w:val="32"/>
          <w:rtl/>
        </w:rPr>
      </w:pPr>
    </w:p>
    <w:p w14:paraId="50BC10B6" w14:textId="77777777" w:rsidR="00B074B7" w:rsidRDefault="00B074B7" w:rsidP="00B074B7">
      <w:pPr>
        <w:bidi/>
        <w:spacing w:after="120" w:line="240" w:lineRule="auto"/>
        <w:jc w:val="both"/>
        <w:rPr>
          <w:rFonts w:ascii="Traditional Arabic" w:hAnsi="Traditional Arabic" w:cs="Traditional Arabic"/>
          <w:b/>
          <w:sz w:val="32"/>
          <w:szCs w:val="32"/>
          <w:rtl/>
        </w:rPr>
      </w:pPr>
    </w:p>
    <w:p w14:paraId="1FE5A648" w14:textId="77777777" w:rsidR="00B074B7" w:rsidRDefault="00B074B7" w:rsidP="00B074B7">
      <w:pPr>
        <w:bidi/>
        <w:spacing w:after="120" w:line="240" w:lineRule="auto"/>
        <w:jc w:val="both"/>
        <w:rPr>
          <w:rFonts w:ascii="Traditional Arabic" w:hAnsi="Traditional Arabic" w:cs="Traditional Arabic"/>
          <w:b/>
          <w:sz w:val="32"/>
          <w:szCs w:val="32"/>
          <w:rtl/>
        </w:rPr>
      </w:pPr>
    </w:p>
    <w:p w14:paraId="1A63C49F" w14:textId="77777777" w:rsidR="00B074B7" w:rsidRDefault="00B074B7" w:rsidP="00B074B7">
      <w:pPr>
        <w:bidi/>
        <w:spacing w:after="120" w:line="240" w:lineRule="auto"/>
        <w:jc w:val="both"/>
        <w:rPr>
          <w:rFonts w:ascii="Traditional Arabic" w:hAnsi="Traditional Arabic" w:cs="Traditional Arabic"/>
          <w:b/>
          <w:sz w:val="32"/>
          <w:szCs w:val="32"/>
          <w:rtl/>
        </w:rPr>
      </w:pPr>
    </w:p>
    <w:p w14:paraId="02DCE880" w14:textId="77777777" w:rsidR="00B074B7" w:rsidRDefault="00B074B7" w:rsidP="00B074B7">
      <w:pPr>
        <w:bidi/>
        <w:spacing w:after="120" w:line="240" w:lineRule="auto"/>
        <w:jc w:val="both"/>
        <w:rPr>
          <w:rFonts w:ascii="Traditional Arabic" w:hAnsi="Traditional Arabic" w:cs="Traditional Arabic"/>
          <w:b/>
          <w:sz w:val="32"/>
          <w:szCs w:val="32"/>
          <w:rtl/>
        </w:rPr>
      </w:pPr>
    </w:p>
    <w:p w14:paraId="64A3E57D" w14:textId="77777777" w:rsidR="00B074B7" w:rsidRDefault="00B074B7" w:rsidP="00B074B7">
      <w:pPr>
        <w:bidi/>
        <w:spacing w:after="120" w:line="240" w:lineRule="auto"/>
        <w:jc w:val="both"/>
        <w:rPr>
          <w:rFonts w:ascii="Traditional Arabic" w:hAnsi="Traditional Arabic" w:cs="Traditional Arabic"/>
          <w:b/>
          <w:sz w:val="32"/>
          <w:szCs w:val="32"/>
          <w:rtl/>
        </w:rPr>
      </w:pPr>
    </w:p>
    <w:p w14:paraId="43B7D8D8" w14:textId="77777777" w:rsidR="006D63D8" w:rsidRDefault="006D63D8" w:rsidP="006D63D8">
      <w:pPr>
        <w:bidi/>
        <w:spacing w:after="120" w:line="240" w:lineRule="auto"/>
        <w:jc w:val="both"/>
        <w:rPr>
          <w:rFonts w:ascii="Traditional Arabic" w:hAnsi="Traditional Arabic" w:cs="Traditional Arabic"/>
          <w:b/>
          <w:sz w:val="32"/>
          <w:szCs w:val="32"/>
          <w:rtl/>
        </w:rPr>
      </w:pPr>
    </w:p>
    <w:p w14:paraId="1640080E" w14:textId="77777777" w:rsidR="00B074B7" w:rsidRDefault="00B074B7" w:rsidP="00B074B7">
      <w:pPr>
        <w:bidi/>
        <w:spacing w:after="120" w:line="240" w:lineRule="auto"/>
        <w:jc w:val="both"/>
        <w:rPr>
          <w:rFonts w:ascii="Traditional Arabic" w:hAnsi="Traditional Arabic" w:cs="Traditional Arabic"/>
          <w:b/>
          <w:sz w:val="32"/>
          <w:szCs w:val="32"/>
          <w:rtl/>
        </w:rPr>
      </w:pPr>
    </w:p>
    <w:p w14:paraId="2ACC7008" w14:textId="74F5F883" w:rsidR="00A02194" w:rsidRPr="00B074B7" w:rsidRDefault="00042498" w:rsidP="00B074B7">
      <w:pPr>
        <w:bidi/>
        <w:spacing w:after="120" w:line="240" w:lineRule="auto"/>
        <w:jc w:val="both"/>
        <w:rPr>
          <w:rFonts w:ascii="Traditional Arabic" w:hAnsi="Traditional Arabic" w:cs="Traditional Arabic"/>
          <w:b/>
          <w:sz w:val="32"/>
          <w:szCs w:val="32"/>
          <w:rtl/>
        </w:rPr>
      </w:pPr>
      <w:r w:rsidRPr="00E95A56">
        <w:rPr>
          <w:rFonts w:ascii="Traditional Arabic" w:hAnsi="Traditional Arabic" w:cs="Traditional Arabic"/>
          <w:bCs/>
          <w:sz w:val="36"/>
          <w:szCs w:val="36"/>
          <w:rtl/>
          <w:lang w:bidi="ar-EG"/>
        </w:rPr>
        <w:lastRenderedPageBreak/>
        <w:t>المبحث الثاني</w:t>
      </w:r>
      <w:r w:rsidR="00B44F65" w:rsidRPr="00E95A56">
        <w:rPr>
          <w:rFonts w:ascii="Traditional Arabic" w:hAnsi="Traditional Arabic" w:cs="Traditional Arabic" w:hint="cs"/>
          <w:bCs/>
          <w:sz w:val="36"/>
          <w:szCs w:val="36"/>
          <w:rtl/>
          <w:lang w:bidi="ar-EG"/>
        </w:rPr>
        <w:t xml:space="preserve">: </w:t>
      </w:r>
      <w:r w:rsidRPr="00E95A56">
        <w:rPr>
          <w:rFonts w:ascii="Traditional Arabic" w:hAnsi="Traditional Arabic" w:cs="Traditional Arabic"/>
          <w:bCs/>
          <w:sz w:val="36"/>
          <w:szCs w:val="36"/>
          <w:rtl/>
          <w:lang w:bidi="ar-EG"/>
        </w:rPr>
        <w:t>التكنولوجيا الذكية</w:t>
      </w:r>
      <w:bookmarkEnd w:id="2"/>
    </w:p>
    <w:p w14:paraId="6DB8A855" w14:textId="72C1935B" w:rsidR="00A02194" w:rsidRPr="00A02194" w:rsidRDefault="00A02194" w:rsidP="00A02194">
      <w:pPr>
        <w:bidi/>
        <w:spacing w:after="120" w:line="240" w:lineRule="auto"/>
        <w:jc w:val="both"/>
        <w:rPr>
          <w:rFonts w:ascii="Traditional Arabic" w:hAnsi="Traditional Arabic" w:cs="Traditional Arabic"/>
          <w:sz w:val="32"/>
          <w:szCs w:val="32"/>
          <w:lang w:bidi="ar-EG"/>
        </w:rPr>
      </w:pPr>
      <w:r w:rsidRPr="00A02194">
        <w:rPr>
          <w:rFonts w:ascii="Traditional Arabic" w:hAnsi="Traditional Arabic" w:cs="Traditional Arabic"/>
          <w:sz w:val="32"/>
          <w:szCs w:val="32"/>
          <w:rtl/>
        </w:rPr>
        <w:t>شهد القطاع الصحي في العقد الأخير تحولًا جوهريًا في طريقة تقديم الرعاية، حيث لم تعد التكنولوجيا مجرد أدوات مساعدة بل أصبحت عنصرًا استراتيجيًا يُعيد تشكيل العلاقة بين مقدم الخدمة والمتلقي. وقد أسهمت تقنيات الثورة الصناعية الرابعة، مثل الذكاء الاصطناعي وإنترنت الأشياء، في تحسين كفاءة التشخيص وتقليل الأخطاء الطبية، مما جعلها محورًا رئيسًا في تطوير الأنظمة الصحية حول العالم</w:t>
      </w:r>
      <w:r w:rsidR="006D63D8">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lang w:bidi="ar-EG"/>
        </w:rPr>
        <w:t xml:space="preserve"> </w:t>
      </w:r>
      <w:r w:rsidR="006D63D8">
        <w:rPr>
          <w:rFonts w:ascii="Traditional Arabic" w:hAnsi="Traditional Arabic" w:cs="Traditional Arabic"/>
          <w:sz w:val="32"/>
          <w:szCs w:val="32"/>
          <w:lang w:bidi="ar-EG"/>
        </w:rPr>
        <w:t>.</w:t>
      </w:r>
      <w:r w:rsidRPr="00A02194">
        <w:rPr>
          <w:rFonts w:ascii="Traditional Arabic" w:hAnsi="Traditional Arabic" w:cs="Traditional Arabic"/>
          <w:sz w:val="32"/>
          <w:szCs w:val="32"/>
          <w:lang w:bidi="ar-EG"/>
        </w:rPr>
        <w:t>(Sinha, 2024)</w:t>
      </w:r>
      <w:r w:rsidR="006D63D8">
        <w:rPr>
          <w:rFonts w:ascii="Traditional Arabic" w:hAnsi="Traditional Arabic" w:cs="Traditional Arabic" w:hint="cs"/>
          <w:sz w:val="32"/>
          <w:szCs w:val="32"/>
          <w:rtl/>
          <w:lang w:bidi="ar-EG"/>
        </w:rPr>
        <w:t xml:space="preserve"> </w:t>
      </w:r>
    </w:p>
    <w:p w14:paraId="601EA65C" w14:textId="77777777" w:rsidR="00A02194" w:rsidRPr="00A02194" w:rsidRDefault="00A02194" w:rsidP="00A02194">
      <w:pPr>
        <w:bidi/>
        <w:spacing w:after="120" w:line="240" w:lineRule="auto"/>
        <w:jc w:val="both"/>
        <w:rPr>
          <w:rFonts w:ascii="Traditional Arabic" w:hAnsi="Traditional Arabic" w:cs="Traditional Arabic"/>
          <w:sz w:val="32"/>
          <w:szCs w:val="32"/>
          <w:lang w:bidi="ar-EG"/>
        </w:rPr>
      </w:pPr>
      <w:r w:rsidRPr="00A02194">
        <w:rPr>
          <w:rFonts w:ascii="Traditional Arabic" w:hAnsi="Traditional Arabic" w:cs="Traditional Arabic"/>
          <w:sz w:val="32"/>
          <w:szCs w:val="32"/>
          <w:rtl/>
        </w:rPr>
        <w:t>وفي سياق المؤسسات الصحية، تبرز التكنولوجيا الذكية بوصفها آلية تحويلية تعزز قدرة المستشفيات على الانتقال من رد الفعل إلى الاستباقية، خاصة في مجال التعامل مع المخاطر. فهي تتيح رصد المؤشرات الحيوية وتحليل البيانات في الوقت الفعلي، مما يسهم في تقليل زمن الاستجابة للأحداث الحرجة وتحسين نتائج المرضى</w:t>
      </w:r>
      <w:r w:rsidRPr="00A02194">
        <w:rPr>
          <w:rFonts w:ascii="Traditional Arabic" w:hAnsi="Traditional Arabic" w:cs="Traditional Arabic"/>
          <w:sz w:val="32"/>
          <w:szCs w:val="32"/>
          <w:lang w:bidi="ar-EG"/>
        </w:rPr>
        <w:t xml:space="preserve"> (Lowe et al., 2022).</w:t>
      </w:r>
    </w:p>
    <w:p w14:paraId="12E0FD67" w14:textId="77777777" w:rsidR="00A02194" w:rsidRPr="00A02194" w:rsidRDefault="00A02194" w:rsidP="00A02194">
      <w:pPr>
        <w:bidi/>
        <w:spacing w:after="120" w:line="240" w:lineRule="auto"/>
        <w:jc w:val="both"/>
        <w:rPr>
          <w:rFonts w:ascii="Traditional Arabic" w:hAnsi="Traditional Arabic" w:cs="Traditional Arabic"/>
          <w:sz w:val="32"/>
          <w:szCs w:val="32"/>
          <w:lang w:bidi="ar-EG"/>
        </w:rPr>
      </w:pPr>
      <w:r w:rsidRPr="00A02194">
        <w:rPr>
          <w:rFonts w:ascii="Traditional Arabic" w:hAnsi="Traditional Arabic" w:cs="Traditional Arabic"/>
          <w:sz w:val="32"/>
          <w:szCs w:val="32"/>
          <w:rtl/>
        </w:rPr>
        <w:t>وانطلاقًا من دورها المحوري، تُعالج هذه الدراسة التكنولوجيا الذكية كمتغير وسيط يفسر الآلية التي ينتقل من خلالها أثر التطوير التنظيمي إلى تحسين إدارة المخاطر. ولتحقيق ذلك، يقدم هذا المبحث تعريفًا معتمدًا للتكنولوجيا الذكية، ويحدد أبعادها الثلاثة الأكثر ارتباطًا بالبيئة الصحية، ثم يشرح الآلية النظرية التي تجعل منها وسيطًا فاعلًا في النموذج المقترح</w:t>
      </w:r>
      <w:r w:rsidRPr="00A02194">
        <w:rPr>
          <w:rFonts w:ascii="Traditional Arabic" w:hAnsi="Traditional Arabic" w:cs="Traditional Arabic"/>
          <w:sz w:val="32"/>
          <w:szCs w:val="32"/>
          <w:lang w:bidi="ar-EG"/>
        </w:rPr>
        <w:t>.</w:t>
      </w:r>
    </w:p>
    <w:p w14:paraId="5C66140F" w14:textId="25E9E86F" w:rsidR="00A02194" w:rsidRPr="00A02194" w:rsidRDefault="00A02194" w:rsidP="00E95A56">
      <w:pPr>
        <w:pStyle w:val="1"/>
        <w:numPr>
          <w:ilvl w:val="0"/>
          <w:numId w:val="101"/>
        </w:numPr>
        <w:bidi/>
        <w:spacing w:before="0" w:after="120" w:line="240" w:lineRule="auto"/>
        <w:jc w:val="both"/>
        <w:rPr>
          <w:rFonts w:ascii="Traditional Arabic" w:hAnsi="Traditional Arabic" w:cs="Traditional Arabic"/>
          <w:b/>
          <w:bCs/>
          <w:color w:val="auto"/>
          <w:sz w:val="32"/>
          <w:szCs w:val="32"/>
        </w:rPr>
      </w:pPr>
      <w:r w:rsidRPr="00A02194">
        <w:rPr>
          <w:rFonts w:ascii="Traditional Arabic" w:hAnsi="Traditional Arabic" w:cs="Traditional Arabic"/>
          <w:b/>
          <w:bCs/>
          <w:color w:val="auto"/>
          <w:sz w:val="32"/>
          <w:szCs w:val="32"/>
          <w:rtl/>
        </w:rPr>
        <w:t>مفهوم التكنولوجيا الذكية</w:t>
      </w:r>
      <w:r w:rsidR="00E95A56">
        <w:rPr>
          <w:rFonts w:ascii="Traditional Arabic" w:hAnsi="Traditional Arabic" w:cs="Traditional Arabic" w:hint="cs"/>
          <w:b/>
          <w:bCs/>
          <w:color w:val="auto"/>
          <w:sz w:val="32"/>
          <w:szCs w:val="32"/>
          <w:rtl/>
        </w:rPr>
        <w:t>:</w:t>
      </w:r>
    </w:p>
    <w:p w14:paraId="531C73C4" w14:textId="699D9BF5" w:rsidR="00A02194" w:rsidRPr="00A02194" w:rsidRDefault="00A02194" w:rsidP="00A02194">
      <w:pPr>
        <w:bidi/>
        <w:spacing w:after="120" w:line="240" w:lineRule="auto"/>
        <w:jc w:val="both"/>
        <w:rPr>
          <w:rFonts w:ascii="Traditional Arabic" w:hAnsi="Traditional Arabic" w:cs="Traditional Arabic"/>
          <w:sz w:val="32"/>
          <w:szCs w:val="32"/>
          <w:lang w:bidi="ar-EG"/>
        </w:rPr>
      </w:pPr>
      <w:r w:rsidRPr="00A02194">
        <w:rPr>
          <w:rFonts w:ascii="Traditional Arabic" w:hAnsi="Traditional Arabic" w:cs="Traditional Arabic"/>
          <w:sz w:val="32"/>
          <w:szCs w:val="32"/>
          <w:rtl/>
        </w:rPr>
        <w:t>تتعدد التعريفات التي تناولت التكنولوجيا في الكتابات الإدارية، إلا أن أغلبها يتفق على أنها التطبيق العملي للمعرفة العلمية بهدف تطوير الأدوات والعمليات التي تسهم في تحسين الأداء وحل المشكلات. وهذا الفهم الواسع يجعل من الضروري التمييز بين التكنولوجيا التقليدية التي تقتصر على الأتمتة، والتكنولوجيا الذكية التي تتميز بقدرتها على التعلم والتكيف</w:t>
      </w:r>
      <w:r w:rsidR="006D63D8">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lang w:bidi="ar-EG"/>
        </w:rPr>
        <w:t xml:space="preserve"> </w:t>
      </w:r>
      <w:r w:rsidR="006D63D8">
        <w:rPr>
          <w:rFonts w:ascii="Traditional Arabic" w:hAnsi="Traditional Arabic" w:cs="Traditional Arabic"/>
          <w:sz w:val="32"/>
          <w:szCs w:val="32"/>
          <w:lang w:bidi="ar-EG"/>
        </w:rPr>
        <w:t>.</w:t>
      </w:r>
      <w:r w:rsidRPr="00A02194">
        <w:rPr>
          <w:rFonts w:ascii="Traditional Arabic" w:hAnsi="Traditional Arabic" w:cs="Traditional Arabic"/>
          <w:sz w:val="32"/>
          <w:szCs w:val="32"/>
          <w:lang w:bidi="ar-EG"/>
        </w:rPr>
        <w:t>(Beldiq et al., 2024)</w:t>
      </w:r>
    </w:p>
    <w:p w14:paraId="05920AC3" w14:textId="1514D1A6" w:rsidR="00A02194" w:rsidRPr="00A02194" w:rsidRDefault="00A02194" w:rsidP="00A02194">
      <w:pPr>
        <w:bidi/>
        <w:spacing w:after="120" w:line="240" w:lineRule="auto"/>
        <w:jc w:val="both"/>
        <w:rPr>
          <w:rFonts w:ascii="Traditional Arabic" w:hAnsi="Traditional Arabic" w:cs="Traditional Arabic"/>
          <w:sz w:val="32"/>
          <w:szCs w:val="32"/>
          <w:lang w:bidi="ar-EG"/>
        </w:rPr>
      </w:pPr>
      <w:r w:rsidRPr="00A02194">
        <w:rPr>
          <w:rFonts w:ascii="Traditional Arabic" w:hAnsi="Traditional Arabic" w:cs="Traditional Arabic"/>
          <w:sz w:val="32"/>
          <w:szCs w:val="32"/>
          <w:rtl/>
        </w:rPr>
        <w:t>وفي المجال الصحي، تُعرَّف التكنولوجيا الذكية بأنها الأنظمة التقنية التي تستخدم الذكاء الاصطناعي، وتحليل البيانات الضخمة، وإنترنت الأشياء، لجمع البيانات السريرية والإدارية وتحليلها بشكل متزامن، بهدف تقديم توصيات داعمة للقرارات الطبية والإدارية. وهذا التعريف يفصلها عن مفاهيم أوسع مثل التحول الرقمي الذي يشمل الجوانب الثقافية والتنظيمية لتضمين التقنيات</w:t>
      </w:r>
      <w:r w:rsidR="006D63D8">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lang w:bidi="ar-EG"/>
        </w:rPr>
        <w:t xml:space="preserve"> </w:t>
      </w:r>
      <w:r w:rsidR="006D63D8">
        <w:rPr>
          <w:rFonts w:ascii="Traditional Arabic" w:hAnsi="Traditional Arabic" w:cs="Traditional Arabic"/>
          <w:sz w:val="32"/>
          <w:szCs w:val="32"/>
          <w:lang w:bidi="ar-EG"/>
        </w:rPr>
        <w:t>.</w:t>
      </w:r>
      <w:r w:rsidRPr="00A02194">
        <w:rPr>
          <w:rFonts w:ascii="Traditional Arabic" w:hAnsi="Traditional Arabic" w:cs="Traditional Arabic"/>
          <w:sz w:val="32"/>
          <w:szCs w:val="32"/>
          <w:lang w:bidi="ar-EG"/>
        </w:rPr>
        <w:t>(Elhaddad &amp; Hamam, 2024)</w:t>
      </w:r>
    </w:p>
    <w:p w14:paraId="4EB3852C" w14:textId="77777777" w:rsidR="00A02194" w:rsidRPr="00A02194" w:rsidRDefault="00A02194" w:rsidP="00A02194">
      <w:pPr>
        <w:bidi/>
        <w:spacing w:after="120" w:line="240" w:lineRule="auto"/>
        <w:jc w:val="both"/>
        <w:rPr>
          <w:rFonts w:ascii="Traditional Arabic" w:hAnsi="Traditional Arabic" w:cs="Traditional Arabic"/>
          <w:sz w:val="32"/>
          <w:szCs w:val="32"/>
          <w:lang w:bidi="ar-EG"/>
        </w:rPr>
      </w:pPr>
      <w:r w:rsidRPr="00A02194">
        <w:rPr>
          <w:rFonts w:ascii="Traditional Arabic" w:hAnsi="Traditional Arabic" w:cs="Traditional Arabic"/>
          <w:sz w:val="32"/>
          <w:szCs w:val="32"/>
          <w:rtl/>
        </w:rPr>
        <w:t>كما يبرز الباحثون أن التكنولوجيا الذكية تختلف عن الأنظمة التقليدية في كونها لا تخزن المعلومات فحسب، بل تُنتج رؤى تنبؤية من خلال خوارزميات التعلم الآلي، مما يمكن المؤسسات الصحية من توقع الأحداث قبل وقوعها. وهذه الخاصية تحديدًا تجعلها أداة حاسمة في إدارة المخاطر، حيث تتحول البيانات التاريخية إلى مؤشرات إنذار مبكر</w:t>
      </w:r>
      <w:r w:rsidRPr="00A02194">
        <w:rPr>
          <w:rFonts w:ascii="Traditional Arabic" w:hAnsi="Traditional Arabic" w:cs="Traditional Arabic"/>
          <w:sz w:val="32"/>
          <w:szCs w:val="32"/>
          <w:lang w:bidi="ar-EG"/>
        </w:rPr>
        <w:t xml:space="preserve"> (Yazdi et al., 2024).</w:t>
      </w:r>
    </w:p>
    <w:p w14:paraId="07027B7B" w14:textId="4B523F68" w:rsidR="00A02194" w:rsidRPr="001C5D93" w:rsidRDefault="00A02194" w:rsidP="00A02194">
      <w:pPr>
        <w:bidi/>
        <w:spacing w:after="120" w:line="240" w:lineRule="auto"/>
        <w:jc w:val="both"/>
        <w:rPr>
          <w:rFonts w:ascii="Traditional Arabic" w:hAnsi="Traditional Arabic" w:cs="Traditional Arabic"/>
          <w:sz w:val="32"/>
          <w:szCs w:val="32"/>
          <w:rtl/>
          <w:lang w:bidi="ar-EG"/>
        </w:rPr>
      </w:pPr>
      <w:r w:rsidRPr="00A02194">
        <w:rPr>
          <w:rFonts w:ascii="Traditional Arabic" w:hAnsi="Traditional Arabic" w:cs="Traditional Arabic"/>
          <w:sz w:val="32"/>
          <w:szCs w:val="32"/>
          <w:rtl/>
        </w:rPr>
        <w:lastRenderedPageBreak/>
        <w:t>وبناءً على ذلك، تتبنى هذه الدراسة تعريفًا إجرائيًا مفاده أن التكنولوجيا الذكية هي: مجموعة الأنظمة التقنية المتقدمة القائمة على الذكاء الاصطناعي وتحليل البيانات، والمطبقة في البيئة الصحية لدعم القرارات السريرية والإدارية، ورصد المخاطر بشكل مستمر، والتنبؤ بالأحداث الصحية الحرجة، بهدف رفع كفاءة الأداء وسلامة المرضى</w:t>
      </w:r>
      <w:r w:rsidRPr="00A02194">
        <w:rPr>
          <w:rFonts w:ascii="Traditional Arabic" w:hAnsi="Traditional Arabic" w:cs="Traditional Arabic"/>
          <w:sz w:val="32"/>
          <w:szCs w:val="32"/>
          <w:lang w:bidi="ar-EG"/>
        </w:rPr>
        <w:t>.</w:t>
      </w:r>
    </w:p>
    <w:p w14:paraId="66C1A0CF" w14:textId="0547D4AF" w:rsidR="00A02194" w:rsidRPr="00A02194" w:rsidRDefault="00A02194" w:rsidP="00E95A56">
      <w:pPr>
        <w:pStyle w:val="1"/>
        <w:numPr>
          <w:ilvl w:val="0"/>
          <w:numId w:val="101"/>
        </w:numPr>
        <w:bidi/>
        <w:spacing w:before="0" w:after="120" w:line="240" w:lineRule="auto"/>
        <w:jc w:val="both"/>
        <w:rPr>
          <w:rFonts w:ascii="Traditional Arabic" w:hAnsi="Traditional Arabic" w:cs="Traditional Arabic"/>
          <w:b/>
          <w:bCs/>
          <w:color w:val="auto"/>
          <w:sz w:val="32"/>
          <w:szCs w:val="32"/>
          <w:lang w:bidi="ar-EG"/>
        </w:rPr>
      </w:pPr>
      <w:r w:rsidRPr="00A02194">
        <w:rPr>
          <w:rFonts w:ascii="Traditional Arabic" w:hAnsi="Traditional Arabic" w:cs="Traditional Arabic"/>
          <w:b/>
          <w:bCs/>
          <w:color w:val="auto"/>
          <w:sz w:val="32"/>
          <w:szCs w:val="32"/>
          <w:rtl/>
        </w:rPr>
        <w:t>أبعاد التكنولوجيا الذكية في الدراسة الحالية</w:t>
      </w:r>
      <w:r w:rsidRPr="00E95A56">
        <w:rPr>
          <w:rFonts w:ascii="Traditional Arabic" w:hAnsi="Traditional Arabic" w:cs="Traditional Arabic" w:hint="cs"/>
          <w:b/>
          <w:bCs/>
          <w:color w:val="auto"/>
          <w:sz w:val="32"/>
          <w:szCs w:val="32"/>
          <w:rtl/>
          <w:lang w:bidi="ar-EG"/>
        </w:rPr>
        <w:t>:</w:t>
      </w:r>
    </w:p>
    <w:p w14:paraId="2D431272" w14:textId="30C94ADA" w:rsidR="00A02194" w:rsidRPr="00E95A56" w:rsidRDefault="00A02194" w:rsidP="00E95A56">
      <w:pPr>
        <w:pStyle w:val="a6"/>
        <w:numPr>
          <w:ilvl w:val="0"/>
          <w:numId w:val="102"/>
        </w:numPr>
        <w:bidi/>
        <w:spacing w:after="120" w:line="240" w:lineRule="auto"/>
        <w:jc w:val="both"/>
        <w:rPr>
          <w:rFonts w:ascii="Traditional Arabic" w:hAnsi="Traditional Arabic" w:cs="Traditional Arabic"/>
          <w:b/>
          <w:bCs/>
          <w:sz w:val="32"/>
          <w:szCs w:val="32"/>
          <w:lang w:bidi="ar-EG"/>
        </w:rPr>
      </w:pPr>
      <w:r w:rsidRPr="00E95A56">
        <w:rPr>
          <w:rFonts w:ascii="Traditional Arabic" w:hAnsi="Traditional Arabic" w:cs="Traditional Arabic"/>
          <w:b/>
          <w:bCs/>
          <w:sz w:val="32"/>
          <w:szCs w:val="32"/>
          <w:rtl/>
        </w:rPr>
        <w:t>أنظمة دعم القرار السريري</w:t>
      </w:r>
      <w:r w:rsidR="00E95A56">
        <w:rPr>
          <w:rFonts w:ascii="Traditional Arabic" w:hAnsi="Traditional Arabic" w:cs="Traditional Arabic" w:hint="cs"/>
          <w:b/>
          <w:bCs/>
          <w:sz w:val="32"/>
          <w:szCs w:val="32"/>
          <w:rtl/>
        </w:rPr>
        <w:t>:</w:t>
      </w:r>
    </w:p>
    <w:p w14:paraId="012772D0" w14:textId="1BB5635B" w:rsidR="00A02194" w:rsidRPr="00A02194" w:rsidRDefault="00A02194" w:rsidP="00A02194">
      <w:pPr>
        <w:bidi/>
        <w:spacing w:after="120" w:line="240" w:lineRule="auto"/>
        <w:jc w:val="both"/>
        <w:rPr>
          <w:rFonts w:ascii="Traditional Arabic" w:hAnsi="Traditional Arabic" w:cs="Traditional Arabic" w:hint="cs"/>
          <w:sz w:val="32"/>
          <w:szCs w:val="32"/>
          <w:rtl/>
        </w:rPr>
      </w:pPr>
      <w:r w:rsidRPr="00A02194">
        <w:rPr>
          <w:rFonts w:ascii="Traditional Arabic" w:hAnsi="Traditional Arabic" w:cs="Traditional Arabic"/>
          <w:sz w:val="32"/>
          <w:szCs w:val="32"/>
          <w:rtl/>
        </w:rPr>
        <w:t>تُعد أنظمة دعم القرار السريري من أكثر التطبيقات انتشارًا في المستشفيات الذكية، حيث تقدم توصيات قائمة على الأدلة للأطباء ومقدمي الرعاية في لحظة اتخاذ القرار. وتعتمد هذه الأنظمة على قواعد بيانات طبية متكاملة وخوارزميات ذكاء اصطناعي تحلل الأعراض والفحوصات لتقترح التشخيصات المحتملة والخطط العلاجية المناسبة</w:t>
      </w:r>
      <w:r w:rsidRPr="00A02194">
        <w:rPr>
          <w:rFonts w:ascii="Traditional Arabic" w:hAnsi="Traditional Arabic" w:cs="Traditional Arabic"/>
          <w:sz w:val="32"/>
          <w:szCs w:val="32"/>
          <w:lang w:bidi="ar-EG"/>
        </w:rPr>
        <w:t xml:space="preserve"> </w:t>
      </w:r>
      <w:r w:rsidRPr="001C5D93">
        <w:rPr>
          <w:rFonts w:ascii="Traditional Arabic" w:hAnsi="Traditional Arabic" w:cs="Traditional Arabic"/>
          <w:sz w:val="32"/>
          <w:szCs w:val="32"/>
          <w:lang w:bidi="ar-EG"/>
        </w:rPr>
        <w:t>.</w:t>
      </w:r>
      <w:r w:rsidRPr="00A02194">
        <w:rPr>
          <w:rFonts w:ascii="Traditional Arabic" w:hAnsi="Traditional Arabic" w:cs="Traditional Arabic"/>
          <w:sz w:val="32"/>
          <w:szCs w:val="32"/>
          <w:lang w:bidi="ar-EG"/>
        </w:rPr>
        <w:t>(Sutton et al., 2020)</w:t>
      </w:r>
    </w:p>
    <w:p w14:paraId="616C4F68" w14:textId="49B281B6" w:rsidR="00A02194" w:rsidRPr="00A02194" w:rsidRDefault="00A02194" w:rsidP="00A02194">
      <w:pPr>
        <w:bidi/>
        <w:spacing w:after="120" w:line="240" w:lineRule="auto"/>
        <w:jc w:val="both"/>
        <w:rPr>
          <w:rFonts w:ascii="Traditional Arabic" w:hAnsi="Traditional Arabic" w:cs="Traditional Arabic" w:hint="cs"/>
          <w:sz w:val="32"/>
          <w:szCs w:val="32"/>
          <w:rtl/>
        </w:rPr>
      </w:pPr>
      <w:r w:rsidRPr="00A02194">
        <w:rPr>
          <w:rFonts w:ascii="Traditional Arabic" w:hAnsi="Traditional Arabic" w:cs="Traditional Arabic"/>
          <w:sz w:val="32"/>
          <w:szCs w:val="32"/>
          <w:rtl/>
        </w:rPr>
        <w:t>وتشير الدراسات إلى أن استخدام هذه الأنظمة يؤدي إلى تقليل الأخطاء الطبية بنسبة ملحوظة، خاصة في مجالات وصف الأدوية وتشخيص الحالات الحرجة. كما أنها تدعم القرارات الإدارية المتعلقة بقبول المرضى وتوزيع الموارد في أوقات الطوارئ، مما يعزز سلامة المرضى ويقلل المخاطر التشغيلية</w:t>
      </w:r>
      <w:r w:rsidR="008E7428">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lang w:bidi="ar-EG"/>
        </w:rPr>
        <w:t xml:space="preserve"> </w:t>
      </w:r>
      <w:r w:rsidR="008E7428">
        <w:rPr>
          <w:rFonts w:ascii="Traditional Arabic" w:hAnsi="Traditional Arabic" w:cs="Traditional Arabic"/>
          <w:sz w:val="32"/>
          <w:szCs w:val="32"/>
          <w:lang w:bidi="ar-EG"/>
        </w:rPr>
        <w:t>.</w:t>
      </w:r>
      <w:r w:rsidRPr="00A02194">
        <w:rPr>
          <w:rFonts w:ascii="Traditional Arabic" w:hAnsi="Traditional Arabic" w:cs="Traditional Arabic"/>
          <w:sz w:val="32"/>
          <w:szCs w:val="32"/>
          <w:lang w:bidi="ar-EG"/>
        </w:rPr>
        <w:t>(Almadani et al., 2025)</w:t>
      </w:r>
    </w:p>
    <w:p w14:paraId="132F2B51" w14:textId="60270186" w:rsidR="00A02194" w:rsidRPr="00A02194" w:rsidRDefault="00A02194" w:rsidP="008E7428">
      <w:pPr>
        <w:pStyle w:val="a6"/>
        <w:numPr>
          <w:ilvl w:val="0"/>
          <w:numId w:val="102"/>
        </w:numPr>
        <w:bidi/>
        <w:spacing w:after="120" w:line="240" w:lineRule="auto"/>
        <w:jc w:val="both"/>
        <w:rPr>
          <w:rFonts w:ascii="Traditional Arabic" w:hAnsi="Traditional Arabic" w:cs="Traditional Arabic"/>
          <w:b/>
          <w:bCs/>
          <w:sz w:val="32"/>
          <w:szCs w:val="32"/>
        </w:rPr>
      </w:pPr>
      <w:r w:rsidRPr="00A02194">
        <w:rPr>
          <w:rFonts w:ascii="Traditional Arabic" w:hAnsi="Traditional Arabic" w:cs="Traditional Arabic"/>
          <w:b/>
          <w:bCs/>
          <w:sz w:val="32"/>
          <w:szCs w:val="32"/>
          <w:rtl/>
        </w:rPr>
        <w:t>أنظمة الإنذار المبكر والمراقبة</w:t>
      </w:r>
      <w:r w:rsidR="008E7428">
        <w:rPr>
          <w:rFonts w:ascii="Traditional Arabic" w:hAnsi="Traditional Arabic" w:cs="Traditional Arabic" w:hint="cs"/>
          <w:b/>
          <w:bCs/>
          <w:sz w:val="32"/>
          <w:szCs w:val="32"/>
          <w:rtl/>
        </w:rPr>
        <w:t>:</w:t>
      </w:r>
    </w:p>
    <w:p w14:paraId="139D7BE6" w14:textId="67C44591" w:rsidR="00A02194" w:rsidRPr="00A02194" w:rsidRDefault="00A02194" w:rsidP="00A02194">
      <w:pPr>
        <w:bidi/>
        <w:spacing w:after="120" w:line="240" w:lineRule="auto"/>
        <w:jc w:val="both"/>
        <w:rPr>
          <w:rFonts w:ascii="Traditional Arabic" w:hAnsi="Traditional Arabic" w:cs="Traditional Arabic" w:hint="cs"/>
          <w:sz w:val="32"/>
          <w:szCs w:val="32"/>
          <w:rtl/>
        </w:rPr>
      </w:pPr>
      <w:r w:rsidRPr="00A02194">
        <w:rPr>
          <w:rFonts w:ascii="Traditional Arabic" w:hAnsi="Traditional Arabic" w:cs="Traditional Arabic"/>
          <w:sz w:val="32"/>
          <w:szCs w:val="32"/>
          <w:rtl/>
        </w:rPr>
        <w:t>تعتمد أنظمة الإنذار المبكر على شبكات من أجهزة الاستشعار المتصلة التي تراقب العلامات الحيوية للمرضى بشكل مستمر، وتُصدر تنبيهات فورية عند رصد أي انحراف عن المعدلات الطبيعية. ويمكن لهذه الأنظمة أيضًا مراقبة البيئة المحيطة، مثل مستويات التلوث أو انتشار العدوى، مما يتيح التدخل المبكر قبل تحول الحالة إلى أزمة</w:t>
      </w:r>
      <w:r w:rsidRPr="00A02194">
        <w:rPr>
          <w:rFonts w:ascii="Traditional Arabic" w:hAnsi="Traditional Arabic" w:cs="Traditional Arabic"/>
          <w:sz w:val="32"/>
          <w:szCs w:val="32"/>
          <w:lang w:bidi="ar-EG"/>
        </w:rPr>
        <w:t xml:space="preserve"> (World Health Organization, 2022)</w:t>
      </w:r>
      <w:r w:rsidR="008E7428">
        <w:rPr>
          <w:rFonts w:ascii="Traditional Arabic" w:hAnsi="Traditional Arabic" w:cs="Traditional Arabic" w:hint="cs"/>
          <w:sz w:val="32"/>
          <w:szCs w:val="32"/>
          <w:rtl/>
          <w:lang w:bidi="ar-EG"/>
        </w:rPr>
        <w:t>.</w:t>
      </w:r>
    </w:p>
    <w:p w14:paraId="1BA6E63F" w14:textId="6216FD4C" w:rsidR="00A02194" w:rsidRPr="00A02194" w:rsidRDefault="00A02194" w:rsidP="00A02194">
      <w:pPr>
        <w:bidi/>
        <w:spacing w:after="120" w:line="240" w:lineRule="auto"/>
        <w:jc w:val="both"/>
        <w:rPr>
          <w:rFonts w:ascii="Traditional Arabic" w:hAnsi="Traditional Arabic" w:cs="Traditional Arabic" w:hint="cs"/>
          <w:sz w:val="32"/>
          <w:szCs w:val="32"/>
          <w:rtl/>
        </w:rPr>
      </w:pPr>
      <w:r w:rsidRPr="00A02194">
        <w:rPr>
          <w:rFonts w:ascii="Traditional Arabic" w:hAnsi="Traditional Arabic" w:cs="Traditional Arabic"/>
          <w:sz w:val="32"/>
          <w:szCs w:val="32"/>
          <w:rtl/>
        </w:rPr>
        <w:t>وقد أثبتت التجارب الميدانية أن تطبيق هذه الأنظمة في أقسام الطوارئ والعناية المركزة يقلل من معدلات الوفيات والمضاعفات، لأنها تمنح الفرق الطبية وقتًا أطول للاستعداد واتخاذ الإجراءات الوقائية. وبهذا المعنى، تمثل هذه الأنظمة جوهر الاستجابة الاستباقية للمخاطر في البيئة الصحية</w:t>
      </w:r>
      <w:r w:rsidR="006D63D8">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lang w:bidi="ar-EG"/>
        </w:rPr>
        <w:t xml:space="preserve"> </w:t>
      </w:r>
      <w:r w:rsidR="006D63D8">
        <w:rPr>
          <w:rFonts w:ascii="Traditional Arabic" w:hAnsi="Traditional Arabic" w:cs="Traditional Arabic"/>
          <w:sz w:val="32"/>
          <w:szCs w:val="32"/>
          <w:lang w:bidi="ar-EG"/>
        </w:rPr>
        <w:t>.</w:t>
      </w:r>
      <w:r w:rsidRPr="00A02194">
        <w:rPr>
          <w:rFonts w:ascii="Traditional Arabic" w:hAnsi="Traditional Arabic" w:cs="Traditional Arabic"/>
          <w:sz w:val="32"/>
          <w:szCs w:val="32"/>
          <w:lang w:bidi="ar-EG"/>
        </w:rPr>
        <w:t>(Hui Lian et al., 2022)</w:t>
      </w:r>
    </w:p>
    <w:p w14:paraId="6CDBC17F" w14:textId="49402997" w:rsidR="00A02194" w:rsidRPr="00A02194" w:rsidRDefault="00A02194" w:rsidP="008E7428">
      <w:pPr>
        <w:pStyle w:val="a6"/>
        <w:numPr>
          <w:ilvl w:val="0"/>
          <w:numId w:val="102"/>
        </w:numPr>
        <w:bidi/>
        <w:spacing w:after="120" w:line="240" w:lineRule="auto"/>
        <w:jc w:val="both"/>
        <w:rPr>
          <w:rFonts w:ascii="Traditional Arabic" w:hAnsi="Traditional Arabic" w:cs="Traditional Arabic"/>
          <w:b/>
          <w:bCs/>
          <w:sz w:val="32"/>
          <w:szCs w:val="32"/>
        </w:rPr>
      </w:pPr>
      <w:r w:rsidRPr="00A02194">
        <w:rPr>
          <w:rFonts w:ascii="Traditional Arabic" w:hAnsi="Traditional Arabic" w:cs="Traditional Arabic"/>
          <w:b/>
          <w:bCs/>
          <w:sz w:val="32"/>
          <w:szCs w:val="32"/>
          <w:rtl/>
        </w:rPr>
        <w:t>أنظمة التحليلات التنبؤية وتكامل البيانات</w:t>
      </w:r>
      <w:r w:rsidR="008E7428">
        <w:rPr>
          <w:rFonts w:ascii="Traditional Arabic" w:hAnsi="Traditional Arabic" w:cs="Traditional Arabic" w:hint="cs"/>
          <w:b/>
          <w:bCs/>
          <w:sz w:val="32"/>
          <w:szCs w:val="32"/>
          <w:rtl/>
        </w:rPr>
        <w:t>:</w:t>
      </w:r>
    </w:p>
    <w:p w14:paraId="459B1155" w14:textId="77777777" w:rsidR="00A02194" w:rsidRPr="00A02194" w:rsidRDefault="00A02194" w:rsidP="00A02194">
      <w:pPr>
        <w:bidi/>
        <w:spacing w:after="120" w:line="240" w:lineRule="auto"/>
        <w:jc w:val="both"/>
        <w:rPr>
          <w:rFonts w:ascii="Traditional Arabic" w:hAnsi="Traditional Arabic" w:cs="Traditional Arabic"/>
          <w:sz w:val="32"/>
          <w:szCs w:val="32"/>
          <w:lang w:bidi="ar-EG"/>
        </w:rPr>
      </w:pPr>
      <w:r w:rsidRPr="00A02194">
        <w:rPr>
          <w:rFonts w:ascii="Traditional Arabic" w:hAnsi="Traditional Arabic" w:cs="Traditional Arabic"/>
          <w:sz w:val="32"/>
          <w:szCs w:val="32"/>
          <w:rtl/>
        </w:rPr>
        <w:t xml:space="preserve">تتجاوز أنظمة التحليلات التنبؤية فكرة الرصد والإنذار إلى مستوى التخطيط الاستباقي، حيث تجمع البيانات من مصادر متعددة داخل المستشفى (السجلات الإلكترونية، المختبر، الأشعة، وإدارة الموارد) وتحللها باستخدام تقنيات التعلم الآلي للتنبؤ بالاتجاهات المستقبلية. فعلى سبيل المثال، يمكنها التنبؤ باحتمالية إعادة قبول المريض، </w:t>
      </w:r>
      <w:r w:rsidRPr="00A02194">
        <w:rPr>
          <w:rFonts w:ascii="Traditional Arabic" w:hAnsi="Traditional Arabic" w:cs="Traditional Arabic"/>
          <w:sz w:val="32"/>
          <w:szCs w:val="32"/>
          <w:rtl/>
        </w:rPr>
        <w:lastRenderedPageBreak/>
        <w:t>أو تفشي عدوى معينة، أو الطلب على الأسرة الحرجة خلال الأيام القادمة</w:t>
      </w:r>
      <w:r w:rsidRPr="00A02194">
        <w:rPr>
          <w:rFonts w:ascii="Traditional Arabic" w:hAnsi="Traditional Arabic" w:cs="Traditional Arabic"/>
          <w:sz w:val="32"/>
          <w:szCs w:val="32"/>
          <w:lang w:bidi="ar-EG"/>
        </w:rPr>
        <w:t xml:space="preserve"> (Myat Cho &amp; Thandar, 2022).</w:t>
      </w:r>
    </w:p>
    <w:p w14:paraId="68F4CECE" w14:textId="6397254F" w:rsidR="00A02194" w:rsidRPr="00A02194" w:rsidRDefault="00A02194" w:rsidP="00A02194">
      <w:pPr>
        <w:bidi/>
        <w:spacing w:after="120" w:line="240" w:lineRule="auto"/>
        <w:jc w:val="both"/>
        <w:rPr>
          <w:rFonts w:ascii="Traditional Arabic" w:hAnsi="Traditional Arabic" w:cs="Traditional Arabic" w:hint="cs"/>
          <w:sz w:val="32"/>
          <w:szCs w:val="32"/>
          <w:rtl/>
        </w:rPr>
      </w:pPr>
      <w:r w:rsidRPr="00A02194">
        <w:rPr>
          <w:rFonts w:ascii="Traditional Arabic" w:hAnsi="Traditional Arabic" w:cs="Traditional Arabic"/>
          <w:sz w:val="32"/>
          <w:szCs w:val="32"/>
          <w:rtl/>
        </w:rPr>
        <w:t>وتسهم هذه الأنظمة في تحسين كفاءة استخدام الموارد وتقليل الهدر، كما تدعم التخطيط الاستراتيجي للمستشفى من خلال توفير رؤية مستقبلية للتحديات المحتملة. وبذلك، فإنها تعكس مستوى نضج المستشفى في تحويل البيانات الضخمة إلى معرفة تنبؤية تخدم إدارة المخاطر</w:t>
      </w:r>
      <w:r w:rsidRPr="00A02194">
        <w:rPr>
          <w:rFonts w:ascii="Traditional Arabic" w:hAnsi="Traditional Arabic" w:cs="Traditional Arabic"/>
          <w:sz w:val="32"/>
          <w:szCs w:val="32"/>
          <w:lang w:bidi="ar-EG"/>
        </w:rPr>
        <w:t xml:space="preserve"> </w:t>
      </w:r>
      <w:r w:rsidR="00E95A56">
        <w:rPr>
          <w:rFonts w:ascii="Traditional Arabic" w:hAnsi="Traditional Arabic" w:cs="Traditional Arabic"/>
          <w:sz w:val="32"/>
          <w:szCs w:val="32"/>
          <w:lang w:bidi="ar-EG"/>
        </w:rPr>
        <w:t>.</w:t>
      </w:r>
      <w:r w:rsidRPr="00A02194">
        <w:rPr>
          <w:rFonts w:ascii="Traditional Arabic" w:hAnsi="Traditional Arabic" w:cs="Traditional Arabic"/>
          <w:sz w:val="32"/>
          <w:szCs w:val="32"/>
          <w:lang w:bidi="ar-EG"/>
        </w:rPr>
        <w:t>(Acharjya, 201</w:t>
      </w:r>
      <w:r w:rsidR="00E95A56">
        <w:rPr>
          <w:rFonts w:ascii="Traditional Arabic" w:hAnsi="Traditional Arabic" w:cs="Traditional Arabic"/>
          <w:sz w:val="32"/>
          <w:szCs w:val="32"/>
          <w:lang w:bidi="ar-EG"/>
        </w:rPr>
        <w:t>6)</w:t>
      </w:r>
    </w:p>
    <w:p w14:paraId="12AEA861" w14:textId="3CA89D9B" w:rsidR="00A02194" w:rsidRPr="00A02194" w:rsidRDefault="00A02194" w:rsidP="00A02194">
      <w:pPr>
        <w:bidi/>
        <w:spacing w:after="120" w:line="240" w:lineRule="auto"/>
        <w:jc w:val="both"/>
        <w:rPr>
          <w:rFonts w:ascii="Traditional Arabic" w:hAnsi="Traditional Arabic" w:cs="Traditional Arabic"/>
          <w:sz w:val="32"/>
          <w:szCs w:val="32"/>
          <w:lang w:bidi="ar-EG"/>
        </w:rPr>
      </w:pPr>
      <w:r w:rsidRPr="00A02194">
        <w:rPr>
          <w:rFonts w:ascii="Traditional Arabic" w:hAnsi="Traditional Arabic" w:cs="Traditional Arabic"/>
          <w:sz w:val="32"/>
          <w:szCs w:val="32"/>
          <w:rtl/>
        </w:rPr>
        <w:t xml:space="preserve">وقد تم اختيار هذه الأبعاد الثلاثة لأنها تمثل سلسلة متكاملة: دعم القرار </w:t>
      </w:r>
      <w:r w:rsidR="00E95A56">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rtl/>
        </w:rPr>
        <w:t xml:space="preserve">والإنذار المبكر </w:t>
      </w:r>
      <w:r w:rsidR="00E95A56">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rtl/>
        </w:rPr>
        <w:t>والتحليلات التنبؤية</w:t>
      </w:r>
      <w:r w:rsidR="00E95A56">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rtl/>
        </w:rPr>
        <w:t>وهي معًا تعكس قدرة التكنولوجيا الذكية على تحويل البيئة الصحية من نمط رد الفعل إلى نمط الاستباقية، وهو ما يجعلها وسيطًا فاعلًا بين التطوير التنظيمي وإدارة المخاطر</w:t>
      </w:r>
      <w:r w:rsidRPr="00A02194">
        <w:rPr>
          <w:rFonts w:ascii="Traditional Arabic" w:hAnsi="Traditional Arabic" w:cs="Traditional Arabic"/>
          <w:sz w:val="32"/>
          <w:szCs w:val="32"/>
          <w:lang w:bidi="ar-EG"/>
        </w:rPr>
        <w:t>.</w:t>
      </w:r>
    </w:p>
    <w:p w14:paraId="1E04B45C" w14:textId="77777777" w:rsidR="00E95A56" w:rsidRPr="008E7428" w:rsidRDefault="00A02194" w:rsidP="008E7428">
      <w:pPr>
        <w:pStyle w:val="1"/>
        <w:numPr>
          <w:ilvl w:val="0"/>
          <w:numId w:val="101"/>
        </w:numPr>
        <w:bidi/>
        <w:spacing w:before="0" w:after="120" w:line="240" w:lineRule="auto"/>
        <w:jc w:val="both"/>
        <w:rPr>
          <w:rFonts w:ascii="Traditional Arabic" w:hAnsi="Traditional Arabic" w:cs="Traditional Arabic"/>
          <w:b/>
          <w:bCs/>
          <w:color w:val="auto"/>
          <w:sz w:val="32"/>
          <w:szCs w:val="32"/>
          <w:rtl/>
          <w:lang w:bidi="ar-EG"/>
        </w:rPr>
      </w:pPr>
      <w:r w:rsidRPr="00A02194">
        <w:rPr>
          <w:rFonts w:ascii="Traditional Arabic" w:hAnsi="Traditional Arabic" w:cs="Traditional Arabic"/>
          <w:b/>
          <w:bCs/>
          <w:color w:val="auto"/>
          <w:sz w:val="32"/>
          <w:szCs w:val="32"/>
          <w:rtl/>
        </w:rPr>
        <w:t>آلية تأثير التكنولوجيا الذكية في نموذج الدراسة</w:t>
      </w:r>
      <w:r w:rsidRPr="008E7428">
        <w:rPr>
          <w:rFonts w:ascii="Traditional Arabic" w:hAnsi="Traditional Arabic" w:cs="Traditional Arabic" w:hint="cs"/>
          <w:b/>
          <w:bCs/>
          <w:color w:val="auto"/>
          <w:sz w:val="32"/>
          <w:szCs w:val="32"/>
          <w:rtl/>
          <w:lang w:bidi="ar-EG"/>
        </w:rPr>
        <w:t>:</w:t>
      </w:r>
    </w:p>
    <w:p w14:paraId="64A96763" w14:textId="061A4256" w:rsidR="00E95A56" w:rsidRPr="00E95A56" w:rsidRDefault="00E95A56" w:rsidP="00E95A56">
      <w:pPr>
        <w:bidi/>
        <w:spacing w:after="120" w:line="240" w:lineRule="auto"/>
        <w:jc w:val="both"/>
        <w:rPr>
          <w:rFonts w:ascii="Traditional Arabic" w:hAnsi="Traditional Arabic" w:cs="Traditional Arabic"/>
          <w:b/>
          <w:bCs/>
          <w:sz w:val="32"/>
          <w:szCs w:val="32"/>
          <w:lang w:bidi="ar-EG"/>
        </w:rPr>
      </w:pPr>
      <w:r w:rsidRPr="00E95A56">
        <w:rPr>
          <w:rFonts w:ascii="Traditional Arabic" w:hAnsi="Traditional Arabic" w:cs="Traditional Arabic"/>
          <w:sz w:val="32"/>
          <w:szCs w:val="32"/>
          <w:rtl/>
        </w:rPr>
        <w:t>انطلاقًا من الإطار النظري ونموذج الدراسة الذي سبق عرضهما (نظرية النظم المفتوحة ومنطق الوساطة)، يمكن تفسير دور التكنولوجيا الذكية كمتغير وسيط من خلال مسارين متكاملين</w:t>
      </w:r>
      <w:r w:rsidR="008E7428">
        <w:rPr>
          <w:rFonts w:ascii="Traditional Arabic" w:hAnsi="Traditional Arabic" w:cs="Traditional Arabic" w:hint="cs"/>
          <w:sz w:val="32"/>
          <w:szCs w:val="32"/>
          <w:rtl/>
        </w:rPr>
        <w:t xml:space="preserve"> كما يلي:</w:t>
      </w:r>
    </w:p>
    <w:p w14:paraId="51F03BFF" w14:textId="77777777" w:rsidR="00E95A56" w:rsidRPr="00E95A56" w:rsidRDefault="00E95A56" w:rsidP="00E95A56">
      <w:pPr>
        <w:bidi/>
        <w:spacing w:after="120" w:line="240" w:lineRule="auto"/>
        <w:jc w:val="both"/>
        <w:rPr>
          <w:rFonts w:ascii="Traditional Arabic" w:hAnsi="Traditional Arabic" w:cs="Traditional Arabic"/>
          <w:sz w:val="32"/>
          <w:szCs w:val="32"/>
        </w:rPr>
      </w:pPr>
      <w:r w:rsidRPr="00E95A56">
        <w:rPr>
          <w:rFonts w:ascii="Traditional Arabic" w:hAnsi="Traditional Arabic" w:cs="Traditional Arabic"/>
          <w:b/>
          <w:bCs/>
          <w:sz w:val="32"/>
          <w:szCs w:val="32"/>
          <w:rtl/>
        </w:rPr>
        <w:t>أولاً:</w:t>
      </w:r>
      <w:r w:rsidRPr="00E95A56">
        <w:rPr>
          <w:rFonts w:ascii="Traditional Arabic" w:hAnsi="Traditional Arabic" w:cs="Traditional Arabic"/>
          <w:sz w:val="32"/>
          <w:szCs w:val="32"/>
          <w:rtl/>
        </w:rPr>
        <w:t xml:space="preserve"> من منظور نظرية النظم المفتوحة، تمثل التكنولوجيا الذكية أداة تحويل رئيسة داخل النظام الصحي، حيث تعزز كفاءة معالجة المعلومات وتحويل المدخلات (البيانات السريرية والإدارية) إلى مخرجات أكثر دقة (قرارات، تنبيهات، خطط استباقية)، مما يزيد من قدرة المستشفى على التكيف مع المخاطر</w:t>
      </w:r>
      <w:r w:rsidRPr="00E95A56">
        <w:rPr>
          <w:rFonts w:ascii="Traditional Arabic" w:hAnsi="Traditional Arabic" w:cs="Traditional Arabic"/>
          <w:sz w:val="32"/>
          <w:szCs w:val="32"/>
        </w:rPr>
        <w:t xml:space="preserve"> (Scott &amp; Davis, 2016).</w:t>
      </w:r>
    </w:p>
    <w:p w14:paraId="083A8938" w14:textId="22182598" w:rsidR="00E95A56" w:rsidRPr="00E95A56" w:rsidRDefault="00E95A56" w:rsidP="00E95A56">
      <w:pPr>
        <w:bidi/>
        <w:spacing w:after="120" w:line="240" w:lineRule="auto"/>
        <w:jc w:val="both"/>
        <w:rPr>
          <w:rFonts w:ascii="Traditional Arabic" w:hAnsi="Traditional Arabic" w:cs="Traditional Arabic"/>
          <w:sz w:val="32"/>
          <w:szCs w:val="32"/>
        </w:rPr>
      </w:pPr>
      <w:r w:rsidRPr="00E95A56">
        <w:rPr>
          <w:rFonts w:ascii="Traditional Arabic" w:hAnsi="Traditional Arabic" w:cs="Traditional Arabic"/>
          <w:b/>
          <w:bCs/>
          <w:sz w:val="32"/>
          <w:szCs w:val="32"/>
          <w:rtl/>
        </w:rPr>
        <w:t>ثانيًا:</w:t>
      </w:r>
      <w:r w:rsidRPr="00E95A56">
        <w:rPr>
          <w:rFonts w:ascii="Traditional Arabic" w:hAnsi="Traditional Arabic" w:cs="Traditional Arabic"/>
          <w:sz w:val="32"/>
          <w:szCs w:val="32"/>
          <w:rtl/>
        </w:rPr>
        <w:t xml:space="preserve"> من منظور منطق الوساطة، تفترض الدراسة أن التطوير التنظيمي لا يؤثر في إدارة المخاطر بشكل مباشر فقط، بل يؤثر أيضًا عبر التكنولوجيا الذكية كقناة وسيطة. فالتطوير التنظيمي يُهيئ المستشفى (بهيكل واضح، وعمليات مرنة، وعاملين متمكنين) لتبني الأنظمة الذكية، وهذه الأنظمة بدورها تحسن إدارة المخاطر عبر دقة التنبؤ، وسرعة الإنذار، وفعالية دعم القرار</w:t>
      </w:r>
      <w:r w:rsidRPr="00E95A56">
        <w:rPr>
          <w:rFonts w:ascii="Traditional Arabic" w:hAnsi="Traditional Arabic" w:cs="Traditional Arabic"/>
          <w:sz w:val="32"/>
          <w:szCs w:val="32"/>
        </w:rPr>
        <w:t xml:space="preserve"> </w:t>
      </w:r>
      <w:r w:rsidR="006D63D8">
        <w:rPr>
          <w:rFonts w:ascii="Traditional Arabic" w:hAnsi="Traditional Arabic" w:cs="Traditional Arabic"/>
          <w:sz w:val="32"/>
          <w:szCs w:val="32"/>
        </w:rPr>
        <w:t>.</w:t>
      </w:r>
      <w:r w:rsidRPr="00E95A56">
        <w:rPr>
          <w:rFonts w:ascii="Traditional Arabic" w:hAnsi="Traditional Arabic" w:cs="Traditional Arabic"/>
          <w:sz w:val="32"/>
          <w:szCs w:val="32"/>
        </w:rPr>
        <w:t>(Baron &amp; Kenny, 1986; Awwad et al., 2022)</w:t>
      </w:r>
    </w:p>
    <w:p w14:paraId="48AEEC2E" w14:textId="77777777" w:rsidR="00E95A56" w:rsidRPr="00E95A56" w:rsidRDefault="00E95A56" w:rsidP="00E95A56">
      <w:pPr>
        <w:bidi/>
        <w:spacing w:after="120" w:line="240" w:lineRule="auto"/>
        <w:jc w:val="both"/>
        <w:rPr>
          <w:rFonts w:ascii="Traditional Arabic" w:hAnsi="Traditional Arabic" w:cs="Traditional Arabic"/>
          <w:sz w:val="32"/>
          <w:szCs w:val="32"/>
        </w:rPr>
      </w:pPr>
      <w:r w:rsidRPr="00E95A56">
        <w:rPr>
          <w:rFonts w:ascii="Traditional Arabic" w:hAnsi="Traditional Arabic" w:cs="Traditional Arabic"/>
          <w:sz w:val="32"/>
          <w:szCs w:val="32"/>
          <w:rtl/>
        </w:rPr>
        <w:t>وقد أظهرت أدبيات سابقة أن المستشفيات التي تستثمر في تحديث هياكلها وتمكين كوادرها تصبح أكثر قدرة على تشغيل أنظمة الإنذار المبكر والتحليلات التنبؤية، مما ينعكس إيجابًا على خفض معدلات الأخطاء والمخاطر</w:t>
      </w:r>
      <w:r w:rsidRPr="00E95A56">
        <w:rPr>
          <w:rFonts w:ascii="Traditional Arabic" w:hAnsi="Traditional Arabic" w:cs="Traditional Arabic"/>
          <w:sz w:val="32"/>
          <w:szCs w:val="32"/>
        </w:rPr>
        <w:t xml:space="preserve"> (Kwateng et al., 2022).</w:t>
      </w:r>
    </w:p>
    <w:p w14:paraId="097A2D26" w14:textId="48437A88" w:rsidR="008E7428" w:rsidRPr="00B074B7" w:rsidRDefault="00E95A56" w:rsidP="00B074B7">
      <w:pPr>
        <w:bidi/>
        <w:spacing w:after="120" w:line="240" w:lineRule="auto"/>
        <w:jc w:val="both"/>
        <w:rPr>
          <w:rFonts w:ascii="Traditional Arabic" w:hAnsi="Traditional Arabic" w:cs="Traditional Arabic"/>
          <w:sz w:val="32"/>
          <w:szCs w:val="32"/>
          <w:rtl/>
        </w:rPr>
      </w:pPr>
      <w:r w:rsidRPr="00E95A56">
        <w:rPr>
          <w:rFonts w:ascii="Traditional Arabic" w:hAnsi="Traditional Arabic" w:cs="Traditional Arabic"/>
          <w:sz w:val="32"/>
          <w:szCs w:val="32"/>
          <w:rtl/>
        </w:rPr>
        <w:t>وبذلك، تؤدي التكنولوجيا الذكية وظيفة وسيطة تفسر كيف تتحول الجهود التنظيمية إلى نتائج ملموسة في مجال سلامة المرضى واستمرارية الخدمة، مما يبرر فرضية الدور الوسيط في النموذج المقترح</w:t>
      </w:r>
      <w:r w:rsidR="00B074B7">
        <w:rPr>
          <w:rFonts w:ascii="Traditional Arabic" w:hAnsi="Traditional Arabic" w:cs="Traditional Arabic" w:hint="cs"/>
          <w:sz w:val="32"/>
          <w:szCs w:val="32"/>
          <w:rtl/>
        </w:rPr>
        <w:t>.</w:t>
      </w:r>
    </w:p>
    <w:p w14:paraId="258ECD75" w14:textId="77777777" w:rsidR="008E7428" w:rsidRDefault="008E7428" w:rsidP="008E7428">
      <w:pPr>
        <w:bidi/>
        <w:spacing w:after="120" w:line="240" w:lineRule="auto"/>
        <w:jc w:val="both"/>
        <w:rPr>
          <w:rFonts w:ascii="Traditional Arabic" w:hAnsi="Traditional Arabic" w:cs="Traditional Arabic"/>
          <w:b/>
          <w:bCs/>
          <w:sz w:val="36"/>
          <w:szCs w:val="36"/>
          <w:rtl/>
          <w:lang w:bidi="ar-EG"/>
        </w:rPr>
      </w:pPr>
    </w:p>
    <w:p w14:paraId="2F7A6807" w14:textId="645ED7EF" w:rsidR="00A02194" w:rsidRPr="008E7428" w:rsidRDefault="005A291C" w:rsidP="008E7428">
      <w:pPr>
        <w:bidi/>
        <w:spacing w:after="120" w:line="240" w:lineRule="auto"/>
        <w:jc w:val="both"/>
        <w:rPr>
          <w:rFonts w:ascii="Traditional Arabic" w:hAnsi="Traditional Arabic" w:cs="Traditional Arabic"/>
          <w:b/>
          <w:bCs/>
          <w:sz w:val="36"/>
          <w:szCs w:val="36"/>
          <w:rtl/>
          <w:lang w:bidi="ar-EG"/>
        </w:rPr>
      </w:pPr>
      <w:r w:rsidRPr="008E7428">
        <w:rPr>
          <w:rFonts w:ascii="Traditional Arabic" w:hAnsi="Traditional Arabic" w:cs="Traditional Arabic" w:hint="cs"/>
          <w:b/>
          <w:bCs/>
          <w:sz w:val="36"/>
          <w:szCs w:val="36"/>
          <w:rtl/>
          <w:lang w:bidi="ar-EG"/>
        </w:rPr>
        <w:lastRenderedPageBreak/>
        <w:t xml:space="preserve">المبحث الثالث: </w:t>
      </w:r>
      <w:bookmarkStart w:id="3" w:name="_Toc190043429"/>
      <w:r w:rsidRPr="008E7428">
        <w:rPr>
          <w:rFonts w:ascii="Traditional Arabic" w:hAnsi="Traditional Arabic" w:cs="Traditional Arabic" w:hint="cs"/>
          <w:b/>
          <w:bCs/>
          <w:sz w:val="36"/>
          <w:szCs w:val="36"/>
          <w:rtl/>
          <w:lang w:bidi="ar-EG"/>
        </w:rPr>
        <w:t xml:space="preserve">إدارة المخاطر </w:t>
      </w:r>
      <w:bookmarkEnd w:id="3"/>
    </w:p>
    <w:p w14:paraId="42CD580A" w14:textId="11A4F1BA" w:rsidR="00A02194" w:rsidRPr="00A02194" w:rsidRDefault="00A02194" w:rsidP="00A02194">
      <w:pPr>
        <w:pStyle w:val="ab"/>
        <w:bidi/>
        <w:spacing w:before="0" w:after="120"/>
        <w:jc w:val="both"/>
        <w:rPr>
          <w:rFonts w:ascii="Traditional Arabic" w:hAnsi="Traditional Arabic" w:cs="Traditional Arabic" w:hint="cs"/>
          <w:sz w:val="32"/>
          <w:szCs w:val="32"/>
          <w:rtl/>
        </w:rPr>
      </w:pPr>
      <w:r w:rsidRPr="00A02194">
        <w:rPr>
          <w:rFonts w:ascii="Traditional Arabic" w:hAnsi="Traditional Arabic" w:cs="Traditional Arabic"/>
          <w:sz w:val="32"/>
          <w:szCs w:val="32"/>
          <w:rtl/>
        </w:rPr>
        <w:t>تعد إدارة المخاطر في المؤسسات الصحية من الوظائف الحيوية التي تحدد مدى قدرة المستشفى على حماية سلامة المرضى والعاملين، وضمان استمرارية الخدمات في بيئة تتسم بالتغير السريع والتعقيد التشغيلي. فالمستشفيات تتعامل يوميًا مع مخاطر متعددة تتراوح بين الأخطاء الطبية، ومخاطر العدوى، والتهديدات التقنية، مما يجعل وجود نظام منهجي لإدارة هذه المخاطر ضرورة استراتيجية وليس خيارًا تحسينيًا</w:t>
      </w:r>
      <w:r w:rsidRPr="00A02194">
        <w:rPr>
          <w:rFonts w:ascii="Traditional Arabic" w:hAnsi="Traditional Arabic" w:cs="Traditional Arabic"/>
          <w:sz w:val="32"/>
          <w:szCs w:val="32"/>
        </w:rPr>
        <w:t xml:space="preserve"> </w:t>
      </w:r>
      <w:r w:rsidR="008E7428">
        <w:rPr>
          <w:rFonts w:ascii="Traditional Arabic" w:hAnsi="Traditional Arabic" w:cs="Traditional Arabic"/>
          <w:sz w:val="32"/>
          <w:szCs w:val="32"/>
        </w:rPr>
        <w:t>.</w:t>
      </w:r>
      <w:r w:rsidRPr="00A02194">
        <w:rPr>
          <w:rFonts w:ascii="Traditional Arabic" w:hAnsi="Traditional Arabic" w:cs="Traditional Arabic"/>
          <w:sz w:val="32"/>
          <w:szCs w:val="32"/>
        </w:rPr>
        <w:t>(Jaber, 2020)</w:t>
      </w:r>
      <w:r w:rsidR="008E7428">
        <w:rPr>
          <w:rFonts w:ascii="Traditional Arabic" w:hAnsi="Traditional Arabic" w:cs="Traditional Arabic"/>
          <w:sz w:val="32"/>
          <w:szCs w:val="32"/>
        </w:rPr>
        <w:t xml:space="preserve"> </w:t>
      </w:r>
      <w:r w:rsidR="008E7428">
        <w:rPr>
          <w:rFonts w:ascii="Traditional Arabic" w:hAnsi="Traditional Arabic" w:cs="Traditional Arabic" w:hint="cs"/>
          <w:sz w:val="32"/>
          <w:szCs w:val="32"/>
          <w:rtl/>
        </w:rPr>
        <w:t xml:space="preserve"> </w:t>
      </w:r>
    </w:p>
    <w:p w14:paraId="5AB73EBD" w14:textId="6324BE7E" w:rsidR="00A02194" w:rsidRPr="00A02194" w:rsidRDefault="00A02194" w:rsidP="00A02194">
      <w:pPr>
        <w:pStyle w:val="ab"/>
        <w:bidi/>
        <w:spacing w:before="0" w:after="120"/>
        <w:jc w:val="both"/>
        <w:rPr>
          <w:rFonts w:ascii="Traditional Arabic" w:hAnsi="Traditional Arabic" w:cs="Traditional Arabic" w:hint="cs"/>
          <w:sz w:val="32"/>
          <w:szCs w:val="32"/>
          <w:rtl/>
        </w:rPr>
      </w:pPr>
      <w:r w:rsidRPr="00A02194">
        <w:rPr>
          <w:rFonts w:ascii="Traditional Arabic" w:hAnsi="Traditional Arabic" w:cs="Traditional Arabic"/>
          <w:sz w:val="32"/>
          <w:szCs w:val="32"/>
          <w:rtl/>
        </w:rPr>
        <w:t>وتشير الأدبيات إلى أن نجاح المؤسسات الصحية في تحقيق أهدافها يرتبط ارتباطًا وثيقًا بفعالية ممارساتها في إدارة المخاطر، حيث تسهم هذه الممارسات في تقليل الخسائر البشرية والمادية، وتعزيز ثقة المرضى، وتحسين السمعة المؤسسية. وقد ازدادت أهمية هذا الدور في ظل التحولات التكنولوجية المتسارعة التي فرضت أنماطًا جديدة من المخاطر المرتبطة بأمن المعلومات وسلامة الأجهزة الطبية</w:t>
      </w:r>
      <w:r w:rsidRPr="00A02194">
        <w:rPr>
          <w:rFonts w:ascii="Traditional Arabic" w:hAnsi="Traditional Arabic" w:cs="Traditional Arabic"/>
          <w:sz w:val="32"/>
          <w:szCs w:val="32"/>
        </w:rPr>
        <w:t xml:space="preserve"> </w:t>
      </w:r>
      <w:r w:rsidR="008E7428">
        <w:rPr>
          <w:rFonts w:ascii="Traditional Arabic" w:hAnsi="Traditional Arabic" w:cs="Traditional Arabic"/>
          <w:sz w:val="32"/>
          <w:szCs w:val="32"/>
        </w:rPr>
        <w:t>.</w:t>
      </w:r>
      <w:r w:rsidRPr="00A02194">
        <w:rPr>
          <w:rFonts w:ascii="Traditional Arabic" w:hAnsi="Traditional Arabic" w:cs="Traditional Arabic"/>
          <w:sz w:val="32"/>
          <w:szCs w:val="32"/>
        </w:rPr>
        <w:t>(Fink et al., 2022)</w:t>
      </w:r>
      <w:r w:rsidR="008E7428">
        <w:rPr>
          <w:rFonts w:ascii="Traditional Arabic" w:hAnsi="Traditional Arabic" w:cs="Traditional Arabic"/>
          <w:sz w:val="32"/>
          <w:szCs w:val="32"/>
        </w:rPr>
        <w:t xml:space="preserve"> </w:t>
      </w:r>
      <w:r w:rsidR="008E7428">
        <w:rPr>
          <w:rFonts w:ascii="Traditional Arabic" w:hAnsi="Traditional Arabic" w:cs="Traditional Arabic" w:hint="cs"/>
          <w:sz w:val="32"/>
          <w:szCs w:val="32"/>
          <w:rtl/>
        </w:rPr>
        <w:t xml:space="preserve"> </w:t>
      </w:r>
    </w:p>
    <w:p w14:paraId="42EEC0F6" w14:textId="77777777" w:rsidR="00A02194" w:rsidRPr="00A02194" w:rsidRDefault="00A02194" w:rsidP="00A02194">
      <w:pPr>
        <w:pStyle w:val="ab"/>
        <w:bidi/>
        <w:spacing w:before="0" w:after="120"/>
        <w:jc w:val="both"/>
        <w:rPr>
          <w:rFonts w:ascii="Traditional Arabic" w:hAnsi="Traditional Arabic" w:cs="Traditional Arabic"/>
          <w:sz w:val="32"/>
          <w:szCs w:val="32"/>
        </w:rPr>
      </w:pPr>
      <w:r w:rsidRPr="00A02194">
        <w:rPr>
          <w:rFonts w:ascii="Traditional Arabic" w:hAnsi="Traditional Arabic" w:cs="Traditional Arabic"/>
          <w:sz w:val="32"/>
          <w:szCs w:val="32"/>
          <w:rtl/>
        </w:rPr>
        <w:t>وفي سياق الدراسة الحالية، تُعالج إدارة المخاطر كمتغير تابع يتأثر مباشرة بالتطوير التنظيمي، ويتأثر أيضًا بشكل غير مباشر عبر التكنولوجيا الذكية كمتغير وسيط. ولذلك، يهدف هذا المبحث إلى تقديم إطار مفاهيمي محدد لإدارة المخاطر في البيئة الصحية، مع التركيز على الأبعاد الثلاثة الأكثر ارتباطًا بنموذج الدراسة، ثم شرح الآلية التي تجعلها قابلة للتأثر بالمتغيرين المستقل والوسيط</w:t>
      </w:r>
      <w:r w:rsidRPr="00A02194">
        <w:rPr>
          <w:rFonts w:ascii="Traditional Arabic" w:hAnsi="Traditional Arabic" w:cs="Traditional Arabic"/>
          <w:sz w:val="32"/>
          <w:szCs w:val="32"/>
        </w:rPr>
        <w:t>.</w:t>
      </w:r>
    </w:p>
    <w:p w14:paraId="5C6D7136" w14:textId="13ACD579" w:rsidR="00A02194" w:rsidRPr="00A02194" w:rsidRDefault="00A02194" w:rsidP="008E7428">
      <w:pPr>
        <w:pStyle w:val="ab"/>
        <w:numPr>
          <w:ilvl w:val="0"/>
          <w:numId w:val="101"/>
        </w:numPr>
        <w:bidi/>
        <w:spacing w:before="0" w:after="120"/>
        <w:jc w:val="both"/>
        <w:rPr>
          <w:rFonts w:ascii="Traditional Arabic" w:hAnsi="Traditional Arabic" w:cs="Traditional Arabic"/>
          <w:b/>
          <w:bCs/>
          <w:sz w:val="32"/>
          <w:szCs w:val="32"/>
        </w:rPr>
      </w:pPr>
      <w:r w:rsidRPr="00A02194">
        <w:rPr>
          <w:rFonts w:ascii="Traditional Arabic" w:hAnsi="Traditional Arabic" w:cs="Traditional Arabic"/>
          <w:b/>
          <w:bCs/>
          <w:sz w:val="32"/>
          <w:szCs w:val="32"/>
          <w:rtl/>
        </w:rPr>
        <w:t>مفهوم إدارة المخاطر</w:t>
      </w:r>
      <w:r w:rsidR="008E7428">
        <w:rPr>
          <w:rFonts w:ascii="Traditional Arabic" w:hAnsi="Traditional Arabic" w:cs="Traditional Arabic" w:hint="cs"/>
          <w:b/>
          <w:bCs/>
          <w:sz w:val="32"/>
          <w:szCs w:val="32"/>
          <w:rtl/>
        </w:rPr>
        <w:t>:</w:t>
      </w:r>
    </w:p>
    <w:p w14:paraId="6D9D0845" w14:textId="36B2098C" w:rsidR="00A02194" w:rsidRPr="00A02194" w:rsidRDefault="00A02194" w:rsidP="00A02194">
      <w:pPr>
        <w:pStyle w:val="ab"/>
        <w:bidi/>
        <w:spacing w:before="0" w:after="120"/>
        <w:jc w:val="both"/>
        <w:rPr>
          <w:rFonts w:ascii="Traditional Arabic" w:hAnsi="Traditional Arabic" w:cs="Traditional Arabic"/>
          <w:sz w:val="32"/>
          <w:szCs w:val="32"/>
        </w:rPr>
      </w:pPr>
      <w:r w:rsidRPr="00A02194">
        <w:rPr>
          <w:rFonts w:ascii="Traditional Arabic" w:hAnsi="Traditional Arabic" w:cs="Traditional Arabic"/>
          <w:sz w:val="32"/>
          <w:szCs w:val="32"/>
          <w:rtl/>
        </w:rPr>
        <w:t>تتعدد التعريفات التي تناولت مفهوم إدارة المخاطر في الأدبيات الإدارية، إلا أن أغلبها يتفق على أنها عملية منهجية تهدف إلى تحديد المخاطر المحتملة التي قد تواجه المنظمة، وتحليلها، وتقييمها، ثم اتخاذ الإجراءات المناسبة للتعامل معها بأقل تكلفة ممكنة. وهذا الفهم الواسع يميز إدارة المخاطر عن ردود الفعل العشوائية أو الإجراءات المؤقتة التي قد تُتخذ عند وقوع الأزمة</w:t>
      </w:r>
      <w:r w:rsidRPr="00A02194">
        <w:rPr>
          <w:rFonts w:ascii="Traditional Arabic" w:hAnsi="Traditional Arabic" w:cs="Traditional Arabic"/>
          <w:sz w:val="32"/>
          <w:szCs w:val="32"/>
        </w:rPr>
        <w:t xml:space="preserve"> </w:t>
      </w:r>
      <w:r w:rsidR="008E7428">
        <w:rPr>
          <w:rFonts w:ascii="Traditional Arabic" w:hAnsi="Traditional Arabic" w:cs="Traditional Arabic"/>
          <w:sz w:val="32"/>
          <w:szCs w:val="32"/>
        </w:rPr>
        <w:t>.</w:t>
      </w:r>
      <w:r w:rsidRPr="00A02194">
        <w:rPr>
          <w:rFonts w:ascii="Traditional Arabic" w:hAnsi="Traditional Arabic" w:cs="Traditional Arabic"/>
          <w:sz w:val="32"/>
          <w:szCs w:val="32"/>
        </w:rPr>
        <w:t>(Dvorsky et al., 2021</w:t>
      </w:r>
      <w:r w:rsidR="008E7428">
        <w:rPr>
          <w:rFonts w:ascii="Traditional Arabic" w:hAnsi="Traditional Arabic" w:cs="Traditional Arabic"/>
          <w:sz w:val="32"/>
          <w:szCs w:val="32"/>
        </w:rPr>
        <w:t>)</w:t>
      </w:r>
      <w:r w:rsidRPr="00A02194">
        <w:rPr>
          <w:rFonts w:ascii="Traditional Arabic" w:hAnsi="Traditional Arabic" w:cs="Traditional Arabic"/>
          <w:sz w:val="32"/>
          <w:szCs w:val="32"/>
        </w:rPr>
        <w:t>.</w:t>
      </w:r>
    </w:p>
    <w:p w14:paraId="3C532F3C" w14:textId="2180F67D" w:rsidR="00A02194" w:rsidRPr="00A02194" w:rsidRDefault="00A02194" w:rsidP="00A02194">
      <w:pPr>
        <w:pStyle w:val="ab"/>
        <w:bidi/>
        <w:spacing w:before="0" w:after="120"/>
        <w:jc w:val="both"/>
        <w:rPr>
          <w:rFonts w:ascii="Traditional Arabic" w:hAnsi="Traditional Arabic" w:cs="Traditional Arabic" w:hint="cs"/>
          <w:sz w:val="32"/>
          <w:szCs w:val="32"/>
          <w:rtl/>
        </w:rPr>
      </w:pPr>
      <w:r w:rsidRPr="00A02194">
        <w:rPr>
          <w:rFonts w:ascii="Traditional Arabic" w:hAnsi="Traditional Arabic" w:cs="Traditional Arabic"/>
          <w:sz w:val="32"/>
          <w:szCs w:val="32"/>
          <w:rtl/>
        </w:rPr>
        <w:t>وفي المجال الصحي، تتخذ إدارة المخاطر طابعًا خاصًا نظرًا لارتباطها المباشر بحياة المرضى وسلامتهم، حيث تُعرَّف بأنها الإطار التنظيمي الذي يعمل على حماية المرضى والعاملين والممتلكات من خلال تحديد مصادر الخطر، وتقييم احتمالية حدوثها، وتصميم استراتيجيات للوقاية منها أو التخفيف من آثارها. وهذا المفهوم يتجاوز مجرد التأمين أو التعويض إلى جوهر الجودة والسلامة</w:t>
      </w:r>
      <w:r w:rsidR="00F01D30">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rPr>
        <w:t xml:space="preserve"> </w:t>
      </w:r>
      <w:r w:rsidR="00F01D30">
        <w:rPr>
          <w:rFonts w:ascii="Traditional Arabic" w:hAnsi="Traditional Arabic" w:cs="Traditional Arabic"/>
          <w:sz w:val="32"/>
          <w:szCs w:val="32"/>
        </w:rPr>
        <w:t>.</w:t>
      </w:r>
      <w:r w:rsidRPr="00A02194">
        <w:rPr>
          <w:rFonts w:ascii="Traditional Arabic" w:hAnsi="Traditional Arabic" w:cs="Traditional Arabic"/>
          <w:sz w:val="32"/>
          <w:szCs w:val="32"/>
        </w:rPr>
        <w:t>(Muayad &amp; Abumandil, 2021)</w:t>
      </w:r>
    </w:p>
    <w:p w14:paraId="5E47E77D" w14:textId="0C6107C6" w:rsidR="00A02194" w:rsidRPr="00A02194" w:rsidRDefault="00A02194" w:rsidP="00A02194">
      <w:pPr>
        <w:pStyle w:val="ab"/>
        <w:bidi/>
        <w:spacing w:before="0" w:after="120"/>
        <w:jc w:val="both"/>
        <w:rPr>
          <w:rFonts w:ascii="Traditional Arabic" w:hAnsi="Traditional Arabic" w:cs="Traditional Arabic" w:hint="cs"/>
          <w:sz w:val="32"/>
          <w:szCs w:val="32"/>
          <w:rtl/>
        </w:rPr>
      </w:pPr>
      <w:r w:rsidRPr="00A02194">
        <w:rPr>
          <w:rFonts w:ascii="Traditional Arabic" w:hAnsi="Traditional Arabic" w:cs="Traditional Arabic"/>
          <w:sz w:val="32"/>
          <w:szCs w:val="32"/>
          <w:rtl/>
        </w:rPr>
        <w:lastRenderedPageBreak/>
        <w:t>كما يبرز الباحثون أن إدارة المخاطر في المستشفيات لا تقتصر على الجوانب السريرية فقط، بل تشمل المخاطر التشغيلية والإدارية والتقنية والقانونية. وتتطلب هذه الشمولية وجود ثقافة تنظيمية واعية بالمخاطر، ونظامًا متكاملاً يجمع بين التخطيط الاستباقي، والاستجابة السريعة، والتقييم المستمر للفعالي</w:t>
      </w:r>
      <w:r w:rsidR="00F01D30">
        <w:rPr>
          <w:rFonts w:ascii="Traditional Arabic" w:hAnsi="Traditional Arabic" w:cs="Traditional Arabic" w:hint="cs"/>
          <w:sz w:val="32"/>
          <w:szCs w:val="32"/>
          <w:rtl/>
        </w:rPr>
        <w:t xml:space="preserve">ة </w:t>
      </w:r>
      <w:r w:rsidRPr="00A02194">
        <w:rPr>
          <w:rFonts w:ascii="Traditional Arabic" w:hAnsi="Traditional Arabic" w:cs="Traditional Arabic"/>
          <w:sz w:val="32"/>
          <w:szCs w:val="32"/>
        </w:rPr>
        <w:t xml:space="preserve"> </w:t>
      </w:r>
      <w:r w:rsidR="00F01D30">
        <w:rPr>
          <w:rFonts w:ascii="Traditional Arabic" w:hAnsi="Traditional Arabic" w:cs="Traditional Arabic"/>
          <w:sz w:val="32"/>
          <w:szCs w:val="32"/>
        </w:rPr>
        <w:t>.</w:t>
      </w:r>
      <w:r w:rsidRPr="00A02194">
        <w:rPr>
          <w:rFonts w:ascii="Traditional Arabic" w:hAnsi="Traditional Arabic" w:cs="Traditional Arabic"/>
          <w:sz w:val="32"/>
          <w:szCs w:val="32"/>
        </w:rPr>
        <w:t>(Kamiya et al., 2021)</w:t>
      </w:r>
    </w:p>
    <w:p w14:paraId="07888652" w14:textId="77777777" w:rsidR="00A02194" w:rsidRPr="00A02194" w:rsidRDefault="00A02194" w:rsidP="00A02194">
      <w:pPr>
        <w:pStyle w:val="ab"/>
        <w:bidi/>
        <w:spacing w:before="0" w:after="120"/>
        <w:jc w:val="both"/>
        <w:rPr>
          <w:rFonts w:ascii="Traditional Arabic" w:hAnsi="Traditional Arabic" w:cs="Traditional Arabic"/>
          <w:sz w:val="32"/>
          <w:szCs w:val="32"/>
        </w:rPr>
      </w:pPr>
      <w:r w:rsidRPr="00A02194">
        <w:rPr>
          <w:rFonts w:ascii="Traditional Arabic" w:hAnsi="Traditional Arabic" w:cs="Traditional Arabic"/>
          <w:sz w:val="32"/>
          <w:szCs w:val="32"/>
          <w:rtl/>
        </w:rPr>
        <w:t>وبناءً على ذلك، تتبنى هذه الدراسة تعريفًا إجرائيًا لإدارة المخاطر بأنها: العملية المنظمة التي تهدف إلى تحديد وتحليل وتقييم المخاطر المحتملة في المستشفى، وتصميم وتنفيذ خطط استباقية للتعامل معها، مع متابعة فعالية هذه الإجراءات بشكل دوري، وذلك بهدف ضمان سلامة المرضى والعاملين واستمرارية الخدمات الصحية</w:t>
      </w:r>
      <w:r w:rsidRPr="00A02194">
        <w:rPr>
          <w:rFonts w:ascii="Traditional Arabic" w:hAnsi="Traditional Arabic" w:cs="Traditional Arabic"/>
          <w:sz w:val="32"/>
          <w:szCs w:val="32"/>
        </w:rPr>
        <w:t>.</w:t>
      </w:r>
    </w:p>
    <w:p w14:paraId="1B95BE73" w14:textId="2F8029A1" w:rsidR="00A02194" w:rsidRPr="00A02194" w:rsidRDefault="00A02194" w:rsidP="00F01D30">
      <w:pPr>
        <w:pStyle w:val="ab"/>
        <w:numPr>
          <w:ilvl w:val="0"/>
          <w:numId w:val="101"/>
        </w:numPr>
        <w:bidi/>
        <w:spacing w:before="0" w:after="120"/>
        <w:jc w:val="both"/>
        <w:rPr>
          <w:rFonts w:ascii="Traditional Arabic" w:hAnsi="Traditional Arabic" w:cs="Traditional Arabic"/>
          <w:b/>
          <w:bCs/>
          <w:sz w:val="32"/>
          <w:szCs w:val="32"/>
        </w:rPr>
      </w:pPr>
      <w:r w:rsidRPr="00A02194">
        <w:rPr>
          <w:rFonts w:ascii="Traditional Arabic" w:hAnsi="Traditional Arabic" w:cs="Traditional Arabic"/>
          <w:b/>
          <w:bCs/>
          <w:sz w:val="32"/>
          <w:szCs w:val="32"/>
          <w:rtl/>
        </w:rPr>
        <w:t>أبعاد إدارة المخاطر في الدراسة الحالية</w:t>
      </w:r>
      <w:r w:rsidR="00F01D30">
        <w:rPr>
          <w:rFonts w:ascii="Traditional Arabic" w:hAnsi="Traditional Arabic" w:cs="Traditional Arabic" w:hint="cs"/>
          <w:b/>
          <w:bCs/>
          <w:sz w:val="32"/>
          <w:szCs w:val="32"/>
          <w:rtl/>
        </w:rPr>
        <w:t>:</w:t>
      </w:r>
    </w:p>
    <w:p w14:paraId="5AB80044" w14:textId="219D8518" w:rsidR="00A02194" w:rsidRPr="00A02194" w:rsidRDefault="00A02194" w:rsidP="00F01D30">
      <w:pPr>
        <w:pStyle w:val="ab"/>
        <w:numPr>
          <w:ilvl w:val="0"/>
          <w:numId w:val="103"/>
        </w:numPr>
        <w:bidi/>
        <w:spacing w:before="0" w:after="120"/>
        <w:jc w:val="both"/>
        <w:rPr>
          <w:rFonts w:ascii="Traditional Arabic" w:hAnsi="Traditional Arabic" w:cs="Traditional Arabic"/>
          <w:sz w:val="32"/>
          <w:szCs w:val="32"/>
        </w:rPr>
      </w:pPr>
      <w:r w:rsidRPr="00A02194">
        <w:rPr>
          <w:rFonts w:ascii="Traditional Arabic" w:eastAsiaTheme="majorEastAsia" w:hAnsi="Traditional Arabic" w:cs="Traditional Arabic"/>
          <w:b/>
          <w:bCs/>
          <w:sz w:val="32"/>
          <w:szCs w:val="32"/>
          <w:rtl/>
        </w:rPr>
        <w:t>التخطيط للمخاطر</w:t>
      </w:r>
      <w:r w:rsidR="00F01D30">
        <w:rPr>
          <w:rFonts w:ascii="Traditional Arabic" w:hAnsi="Traditional Arabic" w:cs="Traditional Arabic" w:hint="cs"/>
          <w:sz w:val="32"/>
          <w:szCs w:val="32"/>
          <w:rtl/>
        </w:rPr>
        <w:t>:</w:t>
      </w:r>
    </w:p>
    <w:p w14:paraId="5FEF1D46" w14:textId="3133B801" w:rsidR="00A02194" w:rsidRPr="00A02194" w:rsidRDefault="00A02194" w:rsidP="00A02194">
      <w:pPr>
        <w:pStyle w:val="ab"/>
        <w:bidi/>
        <w:spacing w:before="0" w:after="120"/>
        <w:jc w:val="both"/>
        <w:rPr>
          <w:rFonts w:ascii="Traditional Arabic" w:hAnsi="Traditional Arabic" w:cs="Traditional Arabic" w:hint="cs"/>
          <w:sz w:val="32"/>
          <w:szCs w:val="32"/>
          <w:rtl/>
        </w:rPr>
      </w:pPr>
      <w:r w:rsidRPr="00A02194">
        <w:rPr>
          <w:rFonts w:ascii="Traditional Arabic" w:hAnsi="Traditional Arabic" w:cs="Traditional Arabic"/>
          <w:sz w:val="32"/>
          <w:szCs w:val="32"/>
          <w:rtl/>
        </w:rPr>
        <w:t>يُعد التخطيط للمخاطر المرحلة الأساسية التي تحدد مدى استعداد المستشفى لمواجهة الأحداث غير المتوقعة، حيث يتضمن وضع إرشادات واضحة للكوادر الصحية والإدارية تحدد الإجراءات الواجب اتباعها عند حدوث الخطر، وتوقيت تنفيذها، والموارد البشرية والمادية اللازمة</w:t>
      </w:r>
      <w:r w:rsidR="006D63D8">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rtl/>
        </w:rPr>
        <w:t>وتشير الدراسات إلى أن المستويات العالية من التخطيط ترتبط بانخفاض كبير في حجم الخسائر عند وقوع الأزمات</w:t>
      </w:r>
      <w:r w:rsidR="00F01D30">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rPr>
        <w:t xml:space="preserve"> </w:t>
      </w:r>
      <w:r w:rsidR="00F01D30">
        <w:rPr>
          <w:rFonts w:ascii="Traditional Arabic" w:hAnsi="Traditional Arabic" w:cs="Traditional Arabic"/>
          <w:sz w:val="32"/>
          <w:szCs w:val="32"/>
        </w:rPr>
        <w:t>.</w:t>
      </w:r>
      <w:r w:rsidRPr="00A02194">
        <w:rPr>
          <w:rFonts w:ascii="Traditional Arabic" w:hAnsi="Traditional Arabic" w:cs="Traditional Arabic"/>
          <w:sz w:val="32"/>
          <w:szCs w:val="32"/>
        </w:rPr>
        <w:t>(Zwikael &amp; Ahn, 2011)</w:t>
      </w:r>
    </w:p>
    <w:p w14:paraId="7342E7D5" w14:textId="79DE5646" w:rsidR="00A02194" w:rsidRPr="00A02194" w:rsidRDefault="00A02194" w:rsidP="00A02194">
      <w:pPr>
        <w:pStyle w:val="ab"/>
        <w:bidi/>
        <w:spacing w:before="0" w:after="120"/>
        <w:jc w:val="both"/>
        <w:rPr>
          <w:rFonts w:ascii="Traditional Arabic" w:hAnsi="Traditional Arabic" w:cs="Traditional Arabic" w:hint="cs"/>
          <w:sz w:val="32"/>
          <w:szCs w:val="32"/>
          <w:rtl/>
        </w:rPr>
      </w:pPr>
      <w:r w:rsidRPr="00A02194">
        <w:rPr>
          <w:rFonts w:ascii="Traditional Arabic" w:hAnsi="Traditional Arabic" w:cs="Traditional Arabic"/>
          <w:sz w:val="32"/>
          <w:szCs w:val="32"/>
          <w:rtl/>
        </w:rPr>
        <w:t>ويتضمن هذا البعد أيضًا ترجمة السياسات الصحية إلى خطط تنفيذية قابلة للتطبيق، مع تحديد الجوانب التشغيلية والتنظيمية وآليات توزيع الأدوار والمسؤوليات بما يضمن التكامل بين الأقسام المختلفة. ففي البيئات عالية المخاطر مثل المستشفيات، يزداد الاهتمام بالتخطيط الاستباقي الذي يعتمد على تحليل السيناريوهات المحتملة والاستعداد لها مسبقًا</w:t>
      </w:r>
      <w:r w:rsidR="00F01D30">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rPr>
        <w:t xml:space="preserve"> </w:t>
      </w:r>
      <w:r w:rsidR="00F01D30">
        <w:rPr>
          <w:rFonts w:ascii="Traditional Arabic" w:hAnsi="Traditional Arabic" w:cs="Traditional Arabic"/>
          <w:sz w:val="32"/>
          <w:szCs w:val="32"/>
        </w:rPr>
        <w:t>.</w:t>
      </w:r>
      <w:r w:rsidRPr="00A02194">
        <w:rPr>
          <w:rFonts w:ascii="Traditional Arabic" w:hAnsi="Traditional Arabic" w:cs="Traditional Arabic"/>
          <w:sz w:val="32"/>
          <w:szCs w:val="32"/>
        </w:rPr>
        <w:t>(Laroche, 2024)</w:t>
      </w:r>
    </w:p>
    <w:p w14:paraId="68C4DBAD" w14:textId="3D3C63E8" w:rsidR="00A02194" w:rsidRPr="00A02194" w:rsidRDefault="00A02194" w:rsidP="00F01D30">
      <w:pPr>
        <w:pStyle w:val="ab"/>
        <w:numPr>
          <w:ilvl w:val="0"/>
          <w:numId w:val="103"/>
        </w:numPr>
        <w:bidi/>
        <w:spacing w:before="0" w:after="120"/>
        <w:jc w:val="both"/>
        <w:rPr>
          <w:rFonts w:ascii="Traditional Arabic" w:eastAsiaTheme="majorEastAsia" w:hAnsi="Traditional Arabic" w:cs="Traditional Arabic"/>
          <w:b/>
          <w:bCs/>
          <w:sz w:val="32"/>
          <w:szCs w:val="32"/>
        </w:rPr>
      </w:pPr>
      <w:r w:rsidRPr="00A02194">
        <w:rPr>
          <w:rFonts w:ascii="Traditional Arabic" w:eastAsiaTheme="majorEastAsia" w:hAnsi="Traditional Arabic" w:cs="Traditional Arabic"/>
          <w:b/>
          <w:bCs/>
          <w:sz w:val="32"/>
          <w:szCs w:val="32"/>
          <w:rtl/>
        </w:rPr>
        <w:t>الموقف من المخاطر</w:t>
      </w:r>
      <w:r w:rsidR="00F01D30">
        <w:rPr>
          <w:rFonts w:ascii="Traditional Arabic" w:eastAsiaTheme="majorEastAsia" w:hAnsi="Traditional Arabic" w:cs="Traditional Arabic" w:hint="cs"/>
          <w:b/>
          <w:bCs/>
          <w:sz w:val="32"/>
          <w:szCs w:val="32"/>
          <w:rtl/>
        </w:rPr>
        <w:t>:</w:t>
      </w:r>
    </w:p>
    <w:p w14:paraId="632C5B14" w14:textId="77777777" w:rsidR="00A02194" w:rsidRPr="00A02194" w:rsidRDefault="00A02194" w:rsidP="00A02194">
      <w:pPr>
        <w:pStyle w:val="ab"/>
        <w:bidi/>
        <w:spacing w:before="0" w:after="120"/>
        <w:jc w:val="both"/>
        <w:rPr>
          <w:rFonts w:ascii="Traditional Arabic" w:hAnsi="Traditional Arabic" w:cs="Traditional Arabic"/>
          <w:sz w:val="32"/>
          <w:szCs w:val="32"/>
        </w:rPr>
      </w:pPr>
      <w:r w:rsidRPr="00A02194">
        <w:rPr>
          <w:rFonts w:ascii="Traditional Arabic" w:hAnsi="Traditional Arabic" w:cs="Traditional Arabic"/>
          <w:sz w:val="32"/>
          <w:szCs w:val="32"/>
          <w:rtl/>
        </w:rPr>
        <w:t>يعبر الموقف من المخاطر عن الاتجاه العام الذي تتبناه المؤسسة في التعامل مع التهديدات المحتملة، وهو يشير إلى مدى الاستعداد لقبول هذه المخاطر أو تجنبها أو إدارتها. وتتحدد طبيعة هذا الموقف بعوامل متعددة مثل الثقافة التنظيمية، والأهداف الاستراتيجية، والموارد المتاحة، وهو ما يؤثر في القرارات المتخذة عند مواجهة الخطر (أسعد ويعقوب، 2023)</w:t>
      </w:r>
      <w:r w:rsidRPr="00A02194">
        <w:rPr>
          <w:rFonts w:ascii="Traditional Arabic" w:hAnsi="Traditional Arabic" w:cs="Traditional Arabic"/>
          <w:sz w:val="32"/>
          <w:szCs w:val="32"/>
        </w:rPr>
        <w:t>.</w:t>
      </w:r>
    </w:p>
    <w:p w14:paraId="37AF094C" w14:textId="2334272A" w:rsidR="00A02194" w:rsidRPr="00A02194" w:rsidRDefault="00A02194" w:rsidP="00A02194">
      <w:pPr>
        <w:pStyle w:val="ab"/>
        <w:bidi/>
        <w:spacing w:before="0" w:after="120"/>
        <w:jc w:val="both"/>
        <w:rPr>
          <w:rFonts w:ascii="Traditional Arabic" w:hAnsi="Traditional Arabic" w:cs="Traditional Arabic"/>
          <w:sz w:val="32"/>
          <w:szCs w:val="32"/>
        </w:rPr>
      </w:pPr>
      <w:r w:rsidRPr="00A02194">
        <w:rPr>
          <w:rFonts w:ascii="Traditional Arabic" w:hAnsi="Traditional Arabic" w:cs="Traditional Arabic"/>
          <w:sz w:val="32"/>
          <w:szCs w:val="32"/>
          <w:rtl/>
        </w:rPr>
        <w:t xml:space="preserve">وتتعدد أنماط المواقف من المخاطر لتشمل موقف التجنب الذي تسعى من خلاله المنظمة إلى الابتعاد عن الأنشطة ذات المخاطر العالية، وموقف القبول الذي يعترف بوجود المخاطر ضمن حدود معينة، وموقف التحويل </w:t>
      </w:r>
      <w:r w:rsidRPr="00A02194">
        <w:rPr>
          <w:rFonts w:ascii="Traditional Arabic" w:hAnsi="Traditional Arabic" w:cs="Traditional Arabic"/>
          <w:sz w:val="32"/>
          <w:szCs w:val="32"/>
          <w:rtl/>
        </w:rPr>
        <w:lastRenderedPageBreak/>
        <w:t>الذي ينقل عبء المخاطر إلى طرف آخر مثل التأمين، وأخيرًا موقف التخفيف الذي يعتمد على إجراءات وقائية استباقية</w:t>
      </w:r>
      <w:r w:rsidR="00F01D30">
        <w:rPr>
          <w:rFonts w:ascii="Traditional Arabic" w:hAnsi="Traditional Arabic" w:cs="Traditional Arabic" w:hint="cs"/>
          <w:sz w:val="32"/>
          <w:szCs w:val="32"/>
          <w:rtl/>
        </w:rPr>
        <w:t>،</w:t>
      </w:r>
      <w:r w:rsidRPr="00A02194">
        <w:rPr>
          <w:rFonts w:ascii="Traditional Arabic" w:hAnsi="Traditional Arabic" w:cs="Traditional Arabic"/>
          <w:sz w:val="32"/>
          <w:szCs w:val="32"/>
          <w:rtl/>
        </w:rPr>
        <w:t xml:space="preserve"> وفي البيئة الصحية، غالبًا ما يتم الجمع بين هذه الأنماط حسب طبيعة الخطر (المهدي، 2013)</w:t>
      </w:r>
      <w:r w:rsidRPr="00A02194">
        <w:rPr>
          <w:rFonts w:ascii="Traditional Arabic" w:hAnsi="Traditional Arabic" w:cs="Traditional Arabic"/>
          <w:sz w:val="32"/>
          <w:szCs w:val="32"/>
        </w:rPr>
        <w:t>.</w:t>
      </w:r>
    </w:p>
    <w:p w14:paraId="51048C30" w14:textId="34D3D4A8" w:rsidR="00A02194" w:rsidRPr="00A02194" w:rsidRDefault="00A02194" w:rsidP="00F01D30">
      <w:pPr>
        <w:pStyle w:val="ab"/>
        <w:numPr>
          <w:ilvl w:val="0"/>
          <w:numId w:val="103"/>
        </w:numPr>
        <w:bidi/>
        <w:spacing w:before="0" w:after="120"/>
        <w:jc w:val="both"/>
        <w:rPr>
          <w:rFonts w:ascii="Traditional Arabic" w:hAnsi="Traditional Arabic" w:cs="Traditional Arabic"/>
          <w:sz w:val="32"/>
          <w:szCs w:val="32"/>
        </w:rPr>
      </w:pPr>
      <w:r w:rsidRPr="00A02194">
        <w:rPr>
          <w:rFonts w:ascii="Traditional Arabic" w:eastAsiaTheme="majorEastAsia" w:hAnsi="Traditional Arabic" w:cs="Traditional Arabic"/>
          <w:b/>
          <w:bCs/>
          <w:sz w:val="32"/>
          <w:szCs w:val="32"/>
          <w:rtl/>
        </w:rPr>
        <w:t>الممارسات الوقائية</w:t>
      </w:r>
      <w:r w:rsidR="00F01D30">
        <w:rPr>
          <w:rFonts w:ascii="Traditional Arabic" w:hAnsi="Traditional Arabic" w:cs="Traditional Arabic" w:hint="cs"/>
          <w:sz w:val="32"/>
          <w:szCs w:val="32"/>
          <w:rtl/>
        </w:rPr>
        <w:t>:</w:t>
      </w:r>
    </w:p>
    <w:p w14:paraId="3682F6A3" w14:textId="77777777" w:rsidR="00A02194" w:rsidRPr="00A02194" w:rsidRDefault="00A02194" w:rsidP="00A02194">
      <w:pPr>
        <w:pStyle w:val="ab"/>
        <w:bidi/>
        <w:spacing w:before="0" w:after="120"/>
        <w:jc w:val="both"/>
        <w:rPr>
          <w:rFonts w:ascii="Traditional Arabic" w:hAnsi="Traditional Arabic" w:cs="Traditional Arabic"/>
          <w:sz w:val="32"/>
          <w:szCs w:val="32"/>
        </w:rPr>
      </w:pPr>
      <w:r w:rsidRPr="00A02194">
        <w:rPr>
          <w:rFonts w:ascii="Traditional Arabic" w:hAnsi="Traditional Arabic" w:cs="Traditional Arabic"/>
          <w:sz w:val="32"/>
          <w:szCs w:val="32"/>
          <w:rtl/>
        </w:rPr>
        <w:t>تمثل الممارسات الوقائية الجانب التطبيقي لاستراتيجية إدارة المخاطر، حيث تتضمن مجموعة الإجراءات والسياسات التي تنفذها المؤسسة لتقليل احتمالية حدوث المخاطر أو الحد من آثارها قبل أن تتحول إلى تهديد فعلي. وتشمل هذه الممارسات تطبيق أنظمة الرقابة الداخلية، وتدريب العاملين، واستخدام أدوات تحليلية مساعدة مثل التقييم الدوري للمخاطر (هيئة الوقاية والسلامة، 2021)</w:t>
      </w:r>
      <w:r w:rsidRPr="00A02194">
        <w:rPr>
          <w:rFonts w:ascii="Traditional Arabic" w:hAnsi="Traditional Arabic" w:cs="Traditional Arabic"/>
          <w:sz w:val="32"/>
          <w:szCs w:val="32"/>
        </w:rPr>
        <w:t>.</w:t>
      </w:r>
    </w:p>
    <w:p w14:paraId="593CA5F4" w14:textId="77777777" w:rsidR="00A02194" w:rsidRPr="00A02194" w:rsidRDefault="00A02194" w:rsidP="00A02194">
      <w:pPr>
        <w:pStyle w:val="ab"/>
        <w:bidi/>
        <w:spacing w:before="0" w:after="120"/>
        <w:jc w:val="both"/>
        <w:rPr>
          <w:rFonts w:ascii="Traditional Arabic" w:hAnsi="Traditional Arabic" w:cs="Traditional Arabic"/>
          <w:sz w:val="32"/>
          <w:szCs w:val="32"/>
        </w:rPr>
      </w:pPr>
      <w:r w:rsidRPr="00A02194">
        <w:rPr>
          <w:rFonts w:ascii="Traditional Arabic" w:hAnsi="Traditional Arabic" w:cs="Traditional Arabic"/>
          <w:sz w:val="32"/>
          <w:szCs w:val="32"/>
          <w:rtl/>
        </w:rPr>
        <w:t>وفي المؤسسات الصحية، تتضمن الممارسات الوقائية بروتوكولات صارمة لمكافحة العدوى، وفحوصات دورية للأجهزة الطبية، وتدريب الكوادر على إجراءات التعامل مع الحالات الطارئة، بالإضافة إلى استخدام سجلات مخاطر محدثة تحتوي على وصف الخطر وطرق التعامل معه والدروس المستفادة. وهذه الإجراءات تسهم في بناء منظومة استباقية تقلل من تأثير المخاطر المحتملة (مركز إدارة المخاطر، 2024)</w:t>
      </w:r>
      <w:r w:rsidRPr="00A02194">
        <w:rPr>
          <w:rFonts w:ascii="Traditional Arabic" w:hAnsi="Traditional Arabic" w:cs="Traditional Arabic"/>
          <w:sz w:val="32"/>
          <w:szCs w:val="32"/>
        </w:rPr>
        <w:t>.</w:t>
      </w:r>
    </w:p>
    <w:p w14:paraId="06B75A36" w14:textId="77777777" w:rsidR="00A02194" w:rsidRPr="00A02194" w:rsidRDefault="00A02194" w:rsidP="00A02194">
      <w:pPr>
        <w:pStyle w:val="ab"/>
        <w:bidi/>
        <w:spacing w:before="0" w:after="120"/>
        <w:jc w:val="both"/>
        <w:rPr>
          <w:rFonts w:ascii="Traditional Arabic" w:hAnsi="Traditional Arabic" w:cs="Traditional Arabic"/>
          <w:sz w:val="32"/>
          <w:szCs w:val="32"/>
        </w:rPr>
      </w:pPr>
      <w:r w:rsidRPr="00A02194">
        <w:rPr>
          <w:rFonts w:ascii="Traditional Arabic" w:hAnsi="Traditional Arabic" w:cs="Traditional Arabic"/>
          <w:sz w:val="32"/>
          <w:szCs w:val="32"/>
          <w:rtl/>
        </w:rPr>
        <w:t>وقد تم اختيار هذه الأبعاد الثلاثة لأنها تمثل دورة متكاملة لإدارة المخاطر: التخطيط (الاستعداد المسبق)، والموقف (التوجه الاستراتيجي)، والممارسات (التنفيذ الفعلي). وهي معًا تعكس قدرة المستشفى على الانتقال من رد الفعل إلى الاستباقية في التعامل مع المخاطر، وهو ما يجعلها متغيرًا تابعًا مناسبًا لقياس تأثير التطوير التنظيمي والتكنولوجيا الذكية</w:t>
      </w:r>
      <w:r w:rsidRPr="00A02194">
        <w:rPr>
          <w:rFonts w:ascii="Traditional Arabic" w:hAnsi="Traditional Arabic" w:cs="Traditional Arabic"/>
          <w:sz w:val="32"/>
          <w:szCs w:val="32"/>
        </w:rPr>
        <w:t>.</w:t>
      </w:r>
    </w:p>
    <w:p w14:paraId="308D7B98" w14:textId="79C739B7" w:rsidR="00A02194" w:rsidRDefault="00A02194" w:rsidP="00F01D30">
      <w:pPr>
        <w:pStyle w:val="ab"/>
        <w:numPr>
          <w:ilvl w:val="0"/>
          <w:numId w:val="101"/>
        </w:numPr>
        <w:bidi/>
        <w:spacing w:before="0" w:after="120"/>
        <w:jc w:val="both"/>
        <w:rPr>
          <w:rFonts w:ascii="Traditional Arabic" w:hAnsi="Traditional Arabic" w:cs="Traditional Arabic"/>
          <w:b/>
          <w:bCs/>
          <w:sz w:val="32"/>
          <w:szCs w:val="32"/>
        </w:rPr>
      </w:pPr>
      <w:r w:rsidRPr="00A02194">
        <w:rPr>
          <w:rFonts w:ascii="Traditional Arabic" w:hAnsi="Traditional Arabic" w:cs="Traditional Arabic"/>
          <w:b/>
          <w:bCs/>
          <w:sz w:val="32"/>
          <w:szCs w:val="32"/>
          <w:rtl/>
        </w:rPr>
        <w:t>آلية تأثير التطوير التنظيمي والتكنولوجيا الذكية في إدارة المخاطر</w:t>
      </w:r>
      <w:r w:rsidR="00F01D30">
        <w:rPr>
          <w:rFonts w:ascii="Traditional Arabic" w:hAnsi="Traditional Arabic" w:cs="Traditional Arabic" w:hint="cs"/>
          <w:b/>
          <w:bCs/>
          <w:sz w:val="32"/>
          <w:szCs w:val="32"/>
          <w:rtl/>
        </w:rPr>
        <w:t>:</w:t>
      </w:r>
    </w:p>
    <w:p w14:paraId="7EC05ECF" w14:textId="44979DD0" w:rsidR="00B074B7" w:rsidRPr="00B074B7" w:rsidRDefault="00B074B7" w:rsidP="00B074B7">
      <w:pPr>
        <w:pStyle w:val="ab"/>
        <w:bidi/>
        <w:spacing w:before="0" w:after="120"/>
        <w:jc w:val="both"/>
        <w:rPr>
          <w:rFonts w:ascii="Traditional Arabic" w:hAnsi="Traditional Arabic" w:cs="Traditional Arabic"/>
          <w:sz w:val="32"/>
          <w:szCs w:val="32"/>
        </w:rPr>
      </w:pPr>
      <w:r w:rsidRPr="00B074B7">
        <w:rPr>
          <w:rFonts w:ascii="Traditional Arabic" w:hAnsi="Traditional Arabic" w:cs="Traditional Arabic"/>
          <w:sz w:val="32"/>
          <w:szCs w:val="32"/>
          <w:rtl/>
        </w:rPr>
        <w:t>انطلاقًا من الإطار النظري ونموذج الدراسة الذي سبق عرضهما، تتأثر إدارة المخاطر في هذه الدراسة بمسارين رئيسين: مسار مباشر من التطوير التنظيمي، ومسار غير مباشر عبر التكنولوجيا الذكية كمتغير وسيط</w:t>
      </w:r>
      <w:r>
        <w:rPr>
          <w:rFonts w:ascii="Traditional Arabic" w:hAnsi="Traditional Arabic" w:cs="Traditional Arabic" w:hint="cs"/>
          <w:sz w:val="32"/>
          <w:szCs w:val="32"/>
          <w:rtl/>
        </w:rPr>
        <w:t xml:space="preserve">؛ </w:t>
      </w:r>
      <w:r w:rsidRPr="00B074B7">
        <w:rPr>
          <w:rFonts w:ascii="Traditional Arabic" w:hAnsi="Traditional Arabic" w:cs="Traditional Arabic"/>
          <w:sz w:val="32"/>
          <w:szCs w:val="32"/>
          <w:rtl/>
        </w:rPr>
        <w:t>فالتأثير المباشر للتطوير التنظيمي ينبع من قدرته على تحسين الهيكل، وتبسيط العمليات، وتمكين العاملين، مما يعزز قدرة المستشفى على تحديد المخاطر مبكرًا والاستجابة لها بسرعة</w:t>
      </w:r>
      <w:r w:rsidRPr="00B074B7">
        <w:rPr>
          <w:rFonts w:ascii="Traditional Arabic" w:hAnsi="Traditional Arabic" w:cs="Traditional Arabic"/>
          <w:sz w:val="32"/>
          <w:szCs w:val="32"/>
        </w:rPr>
        <w:t xml:space="preserve"> </w:t>
      </w:r>
      <w:r>
        <w:rPr>
          <w:rFonts w:ascii="Traditional Arabic" w:hAnsi="Traditional Arabic" w:cs="Traditional Arabic"/>
          <w:sz w:val="32"/>
          <w:szCs w:val="32"/>
        </w:rPr>
        <w:t>.</w:t>
      </w:r>
      <w:r w:rsidRPr="00B074B7">
        <w:rPr>
          <w:rFonts w:ascii="Traditional Arabic" w:hAnsi="Traditional Arabic" w:cs="Traditional Arabic"/>
          <w:sz w:val="32"/>
          <w:szCs w:val="32"/>
        </w:rPr>
        <w:t>(Awwad et al., 2022)</w:t>
      </w:r>
      <w:r>
        <w:rPr>
          <w:rFonts w:ascii="Traditional Arabic" w:hAnsi="Traditional Arabic" w:cs="Traditional Arabic"/>
          <w:sz w:val="32"/>
          <w:szCs w:val="32"/>
        </w:rPr>
        <w:t xml:space="preserve"> </w:t>
      </w:r>
    </w:p>
    <w:p w14:paraId="35022DA6" w14:textId="77777777" w:rsidR="00B074B7" w:rsidRPr="00B074B7" w:rsidRDefault="00B074B7" w:rsidP="00B074B7">
      <w:pPr>
        <w:pStyle w:val="ab"/>
        <w:bidi/>
        <w:spacing w:before="0" w:after="120"/>
        <w:jc w:val="both"/>
        <w:rPr>
          <w:rFonts w:ascii="Traditional Arabic" w:hAnsi="Traditional Arabic" w:cs="Traditional Arabic"/>
          <w:sz w:val="32"/>
          <w:szCs w:val="32"/>
        </w:rPr>
      </w:pPr>
      <w:r w:rsidRPr="00B074B7">
        <w:rPr>
          <w:rFonts w:ascii="Traditional Arabic" w:hAnsi="Traditional Arabic" w:cs="Traditional Arabic"/>
          <w:sz w:val="32"/>
          <w:szCs w:val="32"/>
          <w:rtl/>
        </w:rPr>
        <w:t>أما التأثير المباشر للتكنولوجيا الذكية، فيتمثل في توفير معلومات دقيقة وفي الوقت المناسب عبر أنظمة دعم القرار، والإنذار المبكر، والتحليلات التنبؤية، مما يقلل عدم اليقين ويحسن الاستجابة للمخاطر</w:t>
      </w:r>
      <w:r w:rsidRPr="00B074B7">
        <w:rPr>
          <w:rFonts w:ascii="Traditional Arabic" w:hAnsi="Traditional Arabic" w:cs="Traditional Arabic"/>
          <w:sz w:val="32"/>
          <w:szCs w:val="32"/>
        </w:rPr>
        <w:t xml:space="preserve"> (Sutton et al., 2020).</w:t>
      </w:r>
    </w:p>
    <w:p w14:paraId="10D36D1D" w14:textId="5B53281D" w:rsidR="00B074B7" w:rsidRDefault="00B074B7" w:rsidP="00B074B7">
      <w:pPr>
        <w:pStyle w:val="ab"/>
        <w:bidi/>
        <w:spacing w:before="0" w:after="120"/>
        <w:jc w:val="both"/>
        <w:rPr>
          <w:rFonts w:ascii="Traditional Arabic" w:hAnsi="Traditional Arabic" w:cs="Traditional Arabic"/>
          <w:sz w:val="32"/>
          <w:szCs w:val="32"/>
          <w:rtl/>
        </w:rPr>
      </w:pPr>
      <w:r w:rsidRPr="00B074B7">
        <w:rPr>
          <w:rFonts w:ascii="Traditional Arabic" w:hAnsi="Traditional Arabic" w:cs="Traditional Arabic"/>
          <w:sz w:val="32"/>
          <w:szCs w:val="32"/>
          <w:rtl/>
        </w:rPr>
        <w:lastRenderedPageBreak/>
        <w:t>أما الدور الوسيط للتكنولوجيا الذكية، فيعني أن التطوير التنظيمي يُهيئ البيئة المناسبة لتبني الأنظمة الذكية، وهذه الأنظمة بدورها تنقل هذا الأثر إلى تحسين إدارة المخاطر، مما يزيد القوة التفسيرية للنموذج مقارنة بالعلاقة المباشرة فقط</w:t>
      </w:r>
      <w:r>
        <w:rPr>
          <w:rFonts w:ascii="Traditional Arabic" w:hAnsi="Traditional Arabic" w:cs="Traditional Arabic" w:hint="cs"/>
          <w:sz w:val="32"/>
          <w:szCs w:val="32"/>
          <w:rtl/>
        </w:rPr>
        <w:t xml:space="preserve"> </w:t>
      </w:r>
      <w:r w:rsidRPr="00B074B7">
        <w:rPr>
          <w:rFonts w:ascii="Traditional Arabic" w:hAnsi="Traditional Arabic" w:cs="Traditional Arabic"/>
          <w:sz w:val="32"/>
          <w:szCs w:val="32"/>
        </w:rPr>
        <w:t xml:space="preserve"> </w:t>
      </w:r>
      <w:r>
        <w:rPr>
          <w:rFonts w:ascii="Traditional Arabic" w:hAnsi="Traditional Arabic" w:cs="Traditional Arabic"/>
          <w:sz w:val="32"/>
          <w:szCs w:val="32"/>
        </w:rPr>
        <w:t>.</w:t>
      </w:r>
      <w:r w:rsidRPr="00B074B7">
        <w:rPr>
          <w:rFonts w:ascii="Traditional Arabic" w:hAnsi="Traditional Arabic" w:cs="Traditional Arabic"/>
          <w:sz w:val="32"/>
          <w:szCs w:val="32"/>
        </w:rPr>
        <w:t>(Baron &amp; Kenny, 1986; Kwateng et al., 2022)</w:t>
      </w:r>
      <w:r>
        <w:rPr>
          <w:rFonts w:ascii="Traditional Arabic" w:hAnsi="Traditional Arabic" w:cs="Traditional Arabic" w:hint="cs"/>
          <w:sz w:val="32"/>
          <w:szCs w:val="32"/>
          <w:rtl/>
        </w:rPr>
        <w:t xml:space="preserve"> </w:t>
      </w:r>
    </w:p>
    <w:p w14:paraId="4D99F3A7" w14:textId="5A014725" w:rsidR="005C5B95" w:rsidRDefault="00B074B7" w:rsidP="005C5B95">
      <w:pPr>
        <w:pStyle w:val="ab"/>
        <w:bidi/>
        <w:spacing w:before="0" w:beforeAutospacing="0" w:after="120" w:afterAutospacing="0"/>
        <w:jc w:val="both"/>
        <w:rPr>
          <w:rFonts w:ascii="Traditional Arabic" w:hAnsi="Traditional Arabic" w:cs="Traditional Arabic"/>
          <w:b/>
          <w:bCs/>
          <w:sz w:val="36"/>
          <w:szCs w:val="36"/>
        </w:rPr>
      </w:pPr>
      <w:r w:rsidRPr="00B074B7">
        <w:rPr>
          <w:rFonts w:ascii="Traditional Arabic" w:hAnsi="Traditional Arabic" w:cs="Traditional Arabic"/>
          <w:b/>
          <w:bCs/>
          <w:sz w:val="36"/>
          <w:szCs w:val="36"/>
          <w:rtl/>
        </w:rPr>
        <w:t>رابعاً: الدراسات السابقة</w:t>
      </w:r>
      <w:r>
        <w:rPr>
          <w:rFonts w:ascii="Traditional Arabic" w:hAnsi="Traditional Arabic" w:cs="Traditional Arabic" w:hint="cs"/>
          <w:b/>
          <w:bCs/>
          <w:sz w:val="36"/>
          <w:szCs w:val="36"/>
          <w:rtl/>
        </w:rPr>
        <w:t xml:space="preserve"> </w:t>
      </w:r>
      <w:r w:rsidR="00EA6969">
        <w:rPr>
          <w:rFonts w:ascii="Traditional Arabic" w:hAnsi="Traditional Arabic" w:cs="Traditional Arabic" w:hint="cs"/>
          <w:b/>
          <w:bCs/>
          <w:sz w:val="36"/>
          <w:szCs w:val="36"/>
          <w:rtl/>
        </w:rPr>
        <w:t>والفجوة البحثية</w:t>
      </w:r>
    </w:p>
    <w:p w14:paraId="359211D0" w14:textId="1F64DF0B" w:rsidR="005C5B95" w:rsidRDefault="005C5B95" w:rsidP="007958E2">
      <w:pPr>
        <w:pStyle w:val="ab"/>
        <w:bidi/>
        <w:spacing w:before="0" w:beforeAutospacing="0" w:after="120" w:afterAutospacing="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يستعرض الباحث فيما يلي </w:t>
      </w:r>
      <w:r w:rsidRPr="005C5B95">
        <w:rPr>
          <w:rFonts w:ascii="Traditional Arabic" w:hAnsi="Traditional Arabic" w:cs="Traditional Arabic"/>
          <w:sz w:val="32"/>
          <w:szCs w:val="32"/>
          <w:rtl/>
        </w:rPr>
        <w:t>الأدبيات ذات الصلة بمتغيرات الدراسة، وذلك وفق على النحو التالي: (1)</w:t>
      </w:r>
      <w:r w:rsidR="00B34478">
        <w:rPr>
          <w:rFonts w:ascii="Traditional Arabic" w:hAnsi="Traditional Arabic" w:cs="Traditional Arabic" w:hint="cs"/>
          <w:sz w:val="32"/>
          <w:szCs w:val="32"/>
          <w:rtl/>
        </w:rPr>
        <w:t xml:space="preserve"> </w:t>
      </w:r>
      <w:r w:rsidR="00B34478" w:rsidRPr="00B34478">
        <w:rPr>
          <w:rFonts w:ascii="Traditional Arabic" w:hAnsi="Traditional Arabic" w:cs="Traditional Arabic"/>
          <w:sz w:val="32"/>
          <w:szCs w:val="32"/>
          <w:rtl/>
        </w:rPr>
        <w:t>الدراسات التي تناولت العلاقة بين التطوير التنظيمي وإدارة المخاطر</w:t>
      </w:r>
      <w:r w:rsidRPr="005C5B95">
        <w:rPr>
          <w:rFonts w:ascii="Traditional Arabic" w:hAnsi="Traditional Arabic" w:cs="Traditional Arabic"/>
          <w:sz w:val="32"/>
          <w:szCs w:val="32"/>
          <w:rtl/>
        </w:rPr>
        <w:t>، (</w:t>
      </w:r>
      <w:r w:rsidR="00B34478" w:rsidRPr="00B34478">
        <w:rPr>
          <w:rFonts w:ascii="Traditional Arabic" w:hAnsi="Traditional Arabic" w:cs="Traditional Arabic"/>
          <w:sz w:val="32"/>
          <w:szCs w:val="32"/>
          <w:rtl/>
        </w:rPr>
        <w:t>2)</w:t>
      </w:r>
      <w:r w:rsidR="00B34478" w:rsidRPr="00B34478">
        <w:rPr>
          <w:rFonts w:ascii="Traditional Arabic" w:hAnsi="Traditional Arabic" w:cs="Traditional Arabic"/>
          <w:sz w:val="32"/>
          <w:szCs w:val="32"/>
          <w:rtl/>
        </w:rPr>
        <w:tab/>
        <w:t>الدراسات التي تناولت العلاقة بين التطوير التنظيمي والتكنولوجيا الذكية</w:t>
      </w:r>
      <w:r w:rsidRPr="005C5B95">
        <w:rPr>
          <w:rFonts w:ascii="Traditional Arabic" w:hAnsi="Traditional Arabic" w:cs="Traditional Arabic"/>
          <w:sz w:val="32"/>
          <w:szCs w:val="32"/>
          <w:rtl/>
        </w:rPr>
        <w:t xml:space="preserve">، (3) </w:t>
      </w:r>
      <w:r w:rsidR="00B34478" w:rsidRPr="00B34478">
        <w:rPr>
          <w:rFonts w:ascii="Traditional Arabic" w:hAnsi="Traditional Arabic" w:cs="Traditional Arabic"/>
          <w:sz w:val="32"/>
          <w:szCs w:val="32"/>
          <w:rtl/>
        </w:rPr>
        <w:t>الدراسات التي تناولت العلاقة بين التكنولوجيا الذكية وإدارة المخاطر</w:t>
      </w:r>
      <w:r>
        <w:rPr>
          <w:rFonts w:ascii="Traditional Arabic" w:hAnsi="Traditional Arabic" w:cs="Traditional Arabic" w:hint="cs"/>
          <w:sz w:val="32"/>
          <w:szCs w:val="32"/>
          <w:rtl/>
        </w:rPr>
        <w:t>،</w:t>
      </w:r>
      <w:r w:rsidR="007958E2">
        <w:rPr>
          <w:rFonts w:ascii="Traditional Arabic" w:hAnsi="Traditional Arabic" w:cs="Traditional Arabic" w:hint="cs"/>
          <w:sz w:val="32"/>
          <w:szCs w:val="32"/>
          <w:rtl/>
        </w:rPr>
        <w:t xml:space="preserve"> (4) </w:t>
      </w:r>
      <w:r w:rsidR="007958E2" w:rsidRPr="005C5B95">
        <w:rPr>
          <w:rFonts w:ascii="Traditional Arabic" w:hAnsi="Traditional Arabic" w:cs="Traditional Arabic"/>
          <w:sz w:val="32"/>
          <w:szCs w:val="32"/>
          <w:rtl/>
        </w:rPr>
        <w:t>الدراسات التي تناولت المتغيرات منفردة</w:t>
      </w:r>
      <w:r w:rsidR="007958E2">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مع </w:t>
      </w:r>
      <w:r w:rsidRPr="005C5B95">
        <w:rPr>
          <w:rFonts w:ascii="Traditional Arabic" w:hAnsi="Traditional Arabic" w:cs="Traditional Arabic"/>
          <w:sz w:val="32"/>
          <w:szCs w:val="32"/>
          <w:rtl/>
        </w:rPr>
        <w:t>إبراز أوجه الاتفاق والتعارض بين الدراسات وتحديد حدوده</w:t>
      </w:r>
      <w:r>
        <w:rPr>
          <w:rFonts w:ascii="Traditional Arabic" w:hAnsi="Traditional Arabic" w:cs="Traditional Arabic" w:hint="cs"/>
          <w:sz w:val="32"/>
          <w:szCs w:val="32"/>
          <w:rtl/>
        </w:rPr>
        <w:t xml:space="preserve">ا </w:t>
      </w:r>
      <w:r w:rsidRPr="005C5B95">
        <w:rPr>
          <w:rFonts w:ascii="Traditional Arabic" w:hAnsi="Traditional Arabic" w:cs="Traditional Arabic"/>
          <w:sz w:val="32"/>
          <w:szCs w:val="32"/>
          <w:rtl/>
        </w:rPr>
        <w:t>تمهيدًا لتحديد الفجوة البحثية التي تنطلق منها الدراسة الحالية</w:t>
      </w:r>
      <w:r w:rsidR="00B34478">
        <w:rPr>
          <w:rFonts w:ascii="Traditional Arabic" w:hAnsi="Traditional Arabic" w:cs="Traditional Arabic" w:hint="cs"/>
          <w:sz w:val="32"/>
          <w:szCs w:val="32"/>
          <w:rtl/>
        </w:rPr>
        <w:t>، وقد روعي في تنظيم محاور الدراسات السابقة الاتساق مع فرضيات  الدراسة.</w:t>
      </w:r>
    </w:p>
    <w:p w14:paraId="29325985" w14:textId="77777777" w:rsidR="00B34478" w:rsidRPr="005C5B95" w:rsidRDefault="00B34478" w:rsidP="00B34478">
      <w:pPr>
        <w:pStyle w:val="ab"/>
        <w:numPr>
          <w:ilvl w:val="0"/>
          <w:numId w:val="108"/>
        </w:numPr>
        <w:bidi/>
        <w:spacing w:before="0" w:beforeAutospacing="0" w:after="120" w:afterAutospacing="0"/>
        <w:jc w:val="both"/>
        <w:rPr>
          <w:rFonts w:ascii="Traditional Arabic" w:hAnsi="Traditional Arabic" w:cs="Traditional Arabic"/>
          <w:b/>
          <w:bCs/>
          <w:sz w:val="32"/>
          <w:szCs w:val="32"/>
        </w:rPr>
      </w:pPr>
      <w:r w:rsidRPr="005C5B95">
        <w:rPr>
          <w:rFonts w:ascii="Traditional Arabic" w:hAnsi="Traditional Arabic" w:cs="Traditional Arabic"/>
          <w:b/>
          <w:bCs/>
          <w:sz w:val="32"/>
          <w:szCs w:val="32"/>
          <w:rtl/>
        </w:rPr>
        <w:t>الدراسات التي تناولت العلاقة بين التطوير التنظيمي وإدارة المخاطر</w:t>
      </w:r>
      <w:r>
        <w:rPr>
          <w:rFonts w:ascii="Traditional Arabic" w:hAnsi="Traditional Arabic" w:cs="Traditional Arabic" w:hint="cs"/>
          <w:b/>
          <w:bCs/>
          <w:sz w:val="32"/>
          <w:szCs w:val="32"/>
          <w:rtl/>
        </w:rPr>
        <w:t>:</w:t>
      </w:r>
    </w:p>
    <w:p w14:paraId="0BA1087B" w14:textId="77777777" w:rsidR="00B34478" w:rsidRPr="005C5B95" w:rsidRDefault="00B34478" w:rsidP="00B34478">
      <w:pPr>
        <w:pStyle w:val="ab"/>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sz w:val="32"/>
          <w:szCs w:val="32"/>
          <w:rtl/>
        </w:rPr>
        <w:t>تناولت بعض الدراسات العلاقة المباشرة بين التطوير التنظيمي وإدارة المخاطر، وإن كانت أقل من المجموعتين السابقتين</w:t>
      </w:r>
      <w:r>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فدراسة السبيعي (2019) هدفت إلى قياس أثر ممارسات إدارة المخاطر الاستراتيجية على نجاح التطوير التنظيمي في وزارة الداخلية الكويتية، وتوصلت إلى وجود تأثير ذي دلالة إحصائية لممارسات إدارة المخاطر (مخاطر الوثائق والمعلومات، مخاطر السمعة التنظيمية، مخاطر الثقافة التنظيمية، مخاطر الموارد البشرية) في نجاح التطوير التنظيمي</w:t>
      </w:r>
      <w:r w:rsidRPr="005C5B95">
        <w:rPr>
          <w:rFonts w:ascii="Traditional Arabic" w:hAnsi="Traditional Arabic" w:cs="Traditional Arabic"/>
          <w:sz w:val="32"/>
          <w:szCs w:val="32"/>
        </w:rPr>
        <w:t>.</w:t>
      </w:r>
    </w:p>
    <w:p w14:paraId="3BCEFCE6" w14:textId="77777777" w:rsidR="00B34478" w:rsidRPr="005C5B95" w:rsidRDefault="00B34478" w:rsidP="00B34478">
      <w:pPr>
        <w:pStyle w:val="ab"/>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sz w:val="32"/>
          <w:szCs w:val="32"/>
          <w:rtl/>
        </w:rPr>
        <w:t>كما أشارت دراسة</w:t>
      </w:r>
      <w:r w:rsidRPr="005C5B95">
        <w:rPr>
          <w:rFonts w:ascii="Traditional Arabic" w:hAnsi="Traditional Arabic" w:cs="Traditional Arabic"/>
          <w:sz w:val="32"/>
          <w:szCs w:val="32"/>
        </w:rPr>
        <w:t xml:space="preserve"> Rosita et al. (2023) </w:t>
      </w:r>
      <w:r w:rsidRPr="005C5B95">
        <w:rPr>
          <w:rFonts w:ascii="Traditional Arabic" w:hAnsi="Traditional Arabic" w:cs="Traditional Arabic"/>
          <w:sz w:val="32"/>
          <w:szCs w:val="32"/>
          <w:rtl/>
        </w:rPr>
        <w:t>إلى أن اتخاذ القرار يتوسط جزئيًا العلاقة بين قوة القائد والتطوير التنظيمي، وأن التأثيرات المباشرة لسلطة القائد وصنع القرار على التطوير التنظيمي أكثر أهمية. وفي سياق مشابه، توصلت دراسة صحراوي ومسعودي (2023) إلى وجود علاقة ارتباط معنوية متوسطة بين القيادة التحويلية والتطوير التنظيمي</w:t>
      </w:r>
      <w:r>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كما أظهرت دراسة</w:t>
      </w:r>
      <w:r w:rsidRPr="005C5B95">
        <w:rPr>
          <w:rFonts w:ascii="Traditional Arabic" w:hAnsi="Traditional Arabic" w:cs="Traditional Arabic"/>
          <w:sz w:val="32"/>
          <w:szCs w:val="32"/>
        </w:rPr>
        <w:t xml:space="preserve"> Le &amp; Phong (2021) </w:t>
      </w:r>
      <w:r w:rsidRPr="005C5B95">
        <w:rPr>
          <w:rFonts w:ascii="Traditional Arabic" w:hAnsi="Traditional Arabic" w:cs="Traditional Arabic"/>
          <w:sz w:val="32"/>
          <w:szCs w:val="32"/>
          <w:rtl/>
        </w:rPr>
        <w:t>أن القدرة على التغيير تتوسط بشكل كبير تأثير قائد الفريق على الأداء التشغيلي والمالي، مع وجود تأثير إيجابي للقيادة التحويلية على التطوير التنظيمي وتحسين الأداء</w:t>
      </w:r>
      <w:r w:rsidRPr="005C5B95">
        <w:rPr>
          <w:rFonts w:ascii="Traditional Arabic" w:hAnsi="Traditional Arabic" w:cs="Traditional Arabic"/>
          <w:sz w:val="32"/>
          <w:szCs w:val="32"/>
        </w:rPr>
        <w:t>.</w:t>
      </w:r>
    </w:p>
    <w:p w14:paraId="1AAE3BA1" w14:textId="43CF42CF" w:rsidR="00B34478" w:rsidRPr="005C5B95" w:rsidRDefault="00B34478" w:rsidP="00B34478">
      <w:pPr>
        <w:pStyle w:val="ab"/>
        <w:bidi/>
        <w:spacing w:before="0" w:beforeAutospacing="0" w:after="120" w:afterAutospacing="0"/>
        <w:jc w:val="both"/>
        <w:rPr>
          <w:rFonts w:ascii="Traditional Arabic" w:hAnsi="Traditional Arabic" w:cs="Traditional Arabic"/>
          <w:sz w:val="32"/>
          <w:szCs w:val="32"/>
        </w:rPr>
      </w:pPr>
      <w:r>
        <w:rPr>
          <w:rFonts w:ascii="Traditional Arabic" w:hAnsi="Traditional Arabic" w:cs="Traditional Arabic" w:hint="cs"/>
          <w:b/>
          <w:bCs/>
          <w:sz w:val="32"/>
          <w:szCs w:val="32"/>
          <w:rtl/>
        </w:rPr>
        <w:t>و</w:t>
      </w:r>
      <w:r w:rsidRPr="005C5B95">
        <w:rPr>
          <w:rFonts w:ascii="Traditional Arabic" w:hAnsi="Traditional Arabic" w:cs="Traditional Arabic"/>
          <w:sz w:val="32"/>
          <w:szCs w:val="32"/>
          <w:rtl/>
        </w:rPr>
        <w:t>تتجه الدراسات في هذا المحور إلى اختبار أثر إدارة المخاطر أو القيادة أو القدرة على التغيير في التطوير التنظيمي، مما يعني أن معظمها نظر إلى إدارة المخاطر كمتغير مستقل أو وسيط، وليس كمتغير تابع كما هو الحال في الدراسة الحالية</w:t>
      </w:r>
      <w:r>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وهذا يشكل فارقًا جوهريًا، حيث أن الدراسة الحالية تختبر أثر التطوير التنظيمي في إدارة المخاطر وليس العكس</w:t>
      </w:r>
      <w:r>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 xml:space="preserve">كما أن هذه الدراسات </w:t>
      </w:r>
      <w:r>
        <w:rPr>
          <w:rFonts w:ascii="Traditional Arabic" w:hAnsi="Traditional Arabic" w:cs="Traditional Arabic" w:hint="cs"/>
          <w:sz w:val="32"/>
          <w:szCs w:val="32"/>
          <w:rtl/>
        </w:rPr>
        <w:t>أجريت في سياقات مختلفة</w:t>
      </w:r>
      <w:r w:rsidRPr="005C5B95">
        <w:rPr>
          <w:rFonts w:ascii="Traditional Arabic" w:hAnsi="Traditional Arabic" w:cs="Traditional Arabic"/>
          <w:sz w:val="32"/>
          <w:szCs w:val="32"/>
          <w:rtl/>
        </w:rPr>
        <w:t xml:space="preserve"> تتنوع بين الوزارات (الكويت)، والشركات </w:t>
      </w:r>
      <w:r w:rsidRPr="005C5B95">
        <w:rPr>
          <w:rFonts w:ascii="Traditional Arabic" w:hAnsi="Traditional Arabic" w:cs="Traditional Arabic"/>
          <w:sz w:val="32"/>
          <w:szCs w:val="32"/>
          <w:rtl/>
        </w:rPr>
        <w:lastRenderedPageBreak/>
        <w:t>(فيتنام)، والمؤسسات الرياضية (بغداد)، والصناعات المساهمة (الأردن)، مما يجعل تطبيقها على القطاع الصحي السعودي محدودًا</w:t>
      </w:r>
      <w:r>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إضافة إلى ذلك، لم تختبر أي من هذه الدراسات الدور الوسيط للتكنولوجيا الذكية في هذه العلاقة</w:t>
      </w:r>
      <w:r w:rsidRPr="005C5B95">
        <w:rPr>
          <w:rFonts w:ascii="Traditional Arabic" w:hAnsi="Traditional Arabic" w:cs="Traditional Arabic"/>
          <w:sz w:val="32"/>
          <w:szCs w:val="32"/>
        </w:rPr>
        <w:t>.</w:t>
      </w:r>
    </w:p>
    <w:p w14:paraId="3FC22BCF" w14:textId="268D9860" w:rsidR="005C5B95" w:rsidRPr="005C5B95" w:rsidRDefault="005C5B95" w:rsidP="005C5B95">
      <w:pPr>
        <w:pStyle w:val="ab"/>
        <w:numPr>
          <w:ilvl w:val="0"/>
          <w:numId w:val="108"/>
        </w:numPr>
        <w:bidi/>
        <w:spacing w:before="0" w:beforeAutospacing="0" w:after="120" w:afterAutospacing="0"/>
        <w:jc w:val="both"/>
        <w:rPr>
          <w:rFonts w:ascii="Traditional Arabic" w:hAnsi="Traditional Arabic" w:cs="Traditional Arabic"/>
          <w:b/>
          <w:bCs/>
          <w:sz w:val="32"/>
          <w:szCs w:val="32"/>
        </w:rPr>
      </w:pPr>
      <w:bookmarkStart w:id="4" w:name="_Hlk225849291"/>
      <w:r w:rsidRPr="005C5B95">
        <w:rPr>
          <w:rFonts w:ascii="Traditional Arabic" w:hAnsi="Traditional Arabic" w:cs="Traditional Arabic"/>
          <w:b/>
          <w:bCs/>
          <w:sz w:val="32"/>
          <w:szCs w:val="32"/>
          <w:rtl/>
        </w:rPr>
        <w:t>الدراسات التي تناولت العلاقة بين التطوير التنظيمي والتكنولوجيا الذكية</w:t>
      </w:r>
      <w:r>
        <w:rPr>
          <w:rFonts w:ascii="Traditional Arabic" w:hAnsi="Traditional Arabic" w:cs="Traditional Arabic" w:hint="cs"/>
          <w:b/>
          <w:bCs/>
          <w:sz w:val="32"/>
          <w:szCs w:val="32"/>
          <w:rtl/>
        </w:rPr>
        <w:t>:</w:t>
      </w:r>
    </w:p>
    <w:bookmarkEnd w:id="4"/>
    <w:p w14:paraId="17177679" w14:textId="43D90590" w:rsidR="005C5B95" w:rsidRPr="005C5B95" w:rsidRDefault="005C5B95" w:rsidP="005C5B95">
      <w:pPr>
        <w:pStyle w:val="ab"/>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sz w:val="32"/>
          <w:szCs w:val="32"/>
          <w:rtl/>
        </w:rPr>
        <w:t>تشير الأدبيات إلى وجود اهتمام متزايد بدراسة العلاقة بين التطوير التنظيمي والتكنولوجيا الحديثة، حيث أكدت دراسة جنيدي (2024) أن ضعف تطبيقات الذكاء الاصطناعي يؤدي إلى قصور في التطوير التنظيمي في شركة مصر للتأمين، وذلك نتيجة لضعف الإمكانيات البشرية والمادية والتقنيات الفنية</w:t>
      </w:r>
      <w:r>
        <w:rPr>
          <w:rFonts w:ascii="Traditional Arabic" w:hAnsi="Traditional Arabic" w:cs="Traditional Arabic" w:hint="cs"/>
          <w:sz w:val="32"/>
          <w:szCs w:val="32"/>
          <w:rtl/>
        </w:rPr>
        <w:t>،</w:t>
      </w:r>
      <w:r w:rsidRPr="005C5B95">
        <w:rPr>
          <w:rFonts w:ascii="Traditional Arabic" w:hAnsi="Traditional Arabic" w:cs="Traditional Arabic"/>
          <w:sz w:val="32"/>
          <w:szCs w:val="32"/>
          <w:rtl/>
        </w:rPr>
        <w:t xml:space="preserve"> كما توصلت دراسة</w:t>
      </w:r>
      <w:r w:rsidRPr="005C5B95">
        <w:rPr>
          <w:rFonts w:ascii="Traditional Arabic" w:hAnsi="Traditional Arabic" w:cs="Traditional Arabic"/>
          <w:sz w:val="32"/>
          <w:szCs w:val="32"/>
        </w:rPr>
        <w:t xml:space="preserve"> Mazur &amp; Partacz (2023) </w:t>
      </w:r>
      <w:r>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إلى وجود تأثير إيجابي قوي للتطورات التكنولوجية الذكية في إحداث التطوير التنظيمي وتحقيق الميزة التنافسية وتحسين الكفاءة</w:t>
      </w:r>
      <w:r w:rsidRPr="005C5B95">
        <w:rPr>
          <w:rFonts w:ascii="Traditional Arabic" w:hAnsi="Traditional Arabic" w:cs="Traditional Arabic"/>
          <w:sz w:val="32"/>
          <w:szCs w:val="32"/>
        </w:rPr>
        <w:t>.</w:t>
      </w:r>
    </w:p>
    <w:p w14:paraId="7A28C45D" w14:textId="77777777" w:rsidR="005C5B95" w:rsidRPr="005C5B95" w:rsidRDefault="005C5B95" w:rsidP="005C5B95">
      <w:pPr>
        <w:pStyle w:val="ab"/>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sz w:val="32"/>
          <w:szCs w:val="32"/>
          <w:rtl/>
        </w:rPr>
        <w:t>ومن جهة أخرى، أظهرت دراسة</w:t>
      </w:r>
      <w:r w:rsidRPr="005C5B95">
        <w:rPr>
          <w:rFonts w:ascii="Traditional Arabic" w:hAnsi="Traditional Arabic" w:cs="Traditional Arabic"/>
          <w:sz w:val="32"/>
          <w:szCs w:val="32"/>
        </w:rPr>
        <w:t xml:space="preserve"> Zeebaree et al. (2020) </w:t>
      </w:r>
      <w:r w:rsidRPr="005C5B95">
        <w:rPr>
          <w:rFonts w:ascii="Traditional Arabic" w:hAnsi="Traditional Arabic" w:cs="Traditional Arabic"/>
          <w:sz w:val="32"/>
          <w:szCs w:val="32"/>
          <w:rtl/>
        </w:rPr>
        <w:t>أن التطبيقات الحديثة (مثل الذكاء الاصطناعي، وإنترنت الأشياء، وذكاء الأعمال) تعزز القدرات الابتكارية وتؤثر إيجابًا في أساليب الكفاءة وعملية صنع القرار داخل المنظمات. كما توصلت دراسة</w:t>
      </w:r>
      <w:r w:rsidRPr="005C5B95">
        <w:rPr>
          <w:rFonts w:ascii="Traditional Arabic" w:hAnsi="Traditional Arabic" w:cs="Traditional Arabic"/>
          <w:sz w:val="32"/>
          <w:szCs w:val="32"/>
        </w:rPr>
        <w:t xml:space="preserve"> Husna (2017) </w:t>
      </w:r>
      <w:r w:rsidRPr="005C5B95">
        <w:rPr>
          <w:rFonts w:ascii="Traditional Arabic" w:hAnsi="Traditional Arabic" w:cs="Traditional Arabic"/>
          <w:sz w:val="32"/>
          <w:szCs w:val="32"/>
          <w:rtl/>
        </w:rPr>
        <w:t>إلى وجود علاقة إيجابية قوية ذات دلالة إحصائية بين الاستخدام الصحيح للتقنيات الحديثة المكتبية والتطوير التنظيمي والتغيير الإيجابي في الأداء الإداري</w:t>
      </w:r>
      <w:r w:rsidRPr="005C5B95">
        <w:rPr>
          <w:rFonts w:ascii="Traditional Arabic" w:hAnsi="Traditional Arabic" w:cs="Traditional Arabic"/>
          <w:sz w:val="32"/>
          <w:szCs w:val="32"/>
        </w:rPr>
        <w:t>.</w:t>
      </w:r>
    </w:p>
    <w:p w14:paraId="09021DC6" w14:textId="00CC3FF6" w:rsidR="005C5B95" w:rsidRPr="005C5B95" w:rsidRDefault="005C5B95" w:rsidP="005C5B95">
      <w:pPr>
        <w:pStyle w:val="ab"/>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hint="cs"/>
          <w:sz w:val="32"/>
          <w:szCs w:val="32"/>
          <w:rtl/>
        </w:rPr>
        <w:t>و</w:t>
      </w:r>
      <w:r w:rsidRPr="005C5B95">
        <w:rPr>
          <w:rFonts w:ascii="Traditional Arabic" w:hAnsi="Traditional Arabic" w:cs="Traditional Arabic"/>
          <w:sz w:val="32"/>
          <w:szCs w:val="32"/>
          <w:rtl/>
        </w:rPr>
        <w:t>تتفق هذه الدراسات على وجود علاقة إيجابية بين التكنولوجيا الحديثة (بما فيها الذكية) والتطوير التنظيمي، إلا أنها تختلف في اتجاه العلاقة؛ فبعضها نظر إلى التكنولوجيا كمؤثر في التطوير التنظيمي</w:t>
      </w:r>
      <w:r w:rsidRPr="005C5B95">
        <w:rPr>
          <w:rFonts w:ascii="Traditional Arabic" w:hAnsi="Traditional Arabic" w:cs="Traditional Arabic"/>
          <w:sz w:val="32"/>
          <w:szCs w:val="32"/>
        </w:rPr>
        <w:t xml:space="preserve"> (Mazur &amp; Partacz, 2023; Zeebaree et al., 2020; Husna, 2017)</w:t>
      </w:r>
      <w:r w:rsidRPr="005C5B95">
        <w:rPr>
          <w:rFonts w:ascii="Traditional Arabic" w:hAnsi="Traditional Arabic" w:cs="Traditional Arabic"/>
          <w:sz w:val="32"/>
          <w:szCs w:val="32"/>
          <w:rtl/>
        </w:rPr>
        <w:t xml:space="preserve">، بينما </w:t>
      </w:r>
      <w:r w:rsidR="006D63D8">
        <w:rPr>
          <w:rFonts w:ascii="Traditional Arabic" w:hAnsi="Traditional Arabic" w:cs="Traditional Arabic" w:hint="cs"/>
          <w:sz w:val="32"/>
          <w:szCs w:val="32"/>
          <w:rtl/>
        </w:rPr>
        <w:t>ركزت</w:t>
      </w:r>
      <w:r w:rsidRPr="005C5B95">
        <w:rPr>
          <w:rFonts w:ascii="Traditional Arabic" w:hAnsi="Traditional Arabic" w:cs="Traditional Arabic"/>
          <w:sz w:val="32"/>
          <w:szCs w:val="32"/>
          <w:rtl/>
        </w:rPr>
        <w:t xml:space="preserve"> دراسة جنيدي (2024) إلى أثر الذكاء الاصطناعي في التطوير التنظيمي</w:t>
      </w:r>
      <w:r w:rsidR="006D63D8">
        <w:rPr>
          <w:rFonts w:ascii="Traditional Arabic" w:hAnsi="Traditional Arabic" w:cs="Traditional Arabic" w:hint="cs"/>
          <w:sz w:val="32"/>
          <w:szCs w:val="32"/>
          <w:rtl/>
        </w:rPr>
        <w:t>،</w:t>
      </w:r>
      <w:r w:rsidRPr="005C5B95">
        <w:rPr>
          <w:rFonts w:ascii="Traditional Arabic" w:hAnsi="Traditional Arabic" w:cs="Traditional Arabic"/>
          <w:sz w:val="32"/>
          <w:szCs w:val="32"/>
          <w:rtl/>
        </w:rPr>
        <w:t xml:space="preserve"> كما تتباين هذه الدراسات في سياقاتها التطبيقية (شركة تأمين، شركات عامة، مؤسسات تعليمية، إدارة أعمال)</w:t>
      </w:r>
      <w:r w:rsidR="006D63D8">
        <w:rPr>
          <w:rFonts w:ascii="Traditional Arabic" w:hAnsi="Traditional Arabic" w:cs="Traditional Arabic" w:hint="cs"/>
          <w:sz w:val="32"/>
          <w:szCs w:val="32"/>
          <w:rtl/>
        </w:rPr>
        <w:t>،</w:t>
      </w:r>
      <w:r w:rsidRPr="005C5B95">
        <w:rPr>
          <w:rFonts w:ascii="Traditional Arabic" w:hAnsi="Traditional Arabic" w:cs="Traditional Arabic"/>
          <w:sz w:val="32"/>
          <w:szCs w:val="32"/>
          <w:rtl/>
        </w:rPr>
        <w:t xml:space="preserve"> وفي منهجياتها (بعضها وصفي تحليلي، وبعضها استقرائي)</w:t>
      </w:r>
      <w:r>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 xml:space="preserve"> ومع ذلك، فإن أبرز حدود هذه الدراسات هو أنها لم تتناول الدور الوسيط لأي من المتغيرات، كما أنها لم تطبق في القطاع الصحي السعودي، مما يشير إلى وجود فجوة بحثية يمكن للدراسة الحالية معالجتها</w:t>
      </w:r>
      <w:r w:rsidRPr="005C5B95">
        <w:rPr>
          <w:rFonts w:ascii="Traditional Arabic" w:hAnsi="Traditional Arabic" w:cs="Traditional Arabic"/>
          <w:sz w:val="32"/>
          <w:szCs w:val="32"/>
        </w:rPr>
        <w:t>.</w:t>
      </w:r>
    </w:p>
    <w:p w14:paraId="313CDD51" w14:textId="328CC9B8" w:rsidR="005C5B95" w:rsidRPr="005C5B95" w:rsidRDefault="005C5B95" w:rsidP="007958E2">
      <w:pPr>
        <w:pStyle w:val="ab"/>
        <w:numPr>
          <w:ilvl w:val="0"/>
          <w:numId w:val="108"/>
        </w:numPr>
        <w:bidi/>
        <w:spacing w:before="0" w:beforeAutospacing="0" w:after="120" w:afterAutospacing="0"/>
        <w:jc w:val="both"/>
        <w:rPr>
          <w:rFonts w:ascii="Traditional Arabic" w:hAnsi="Traditional Arabic" w:cs="Traditional Arabic"/>
          <w:b/>
          <w:bCs/>
          <w:sz w:val="32"/>
          <w:szCs w:val="32"/>
        </w:rPr>
      </w:pPr>
      <w:bookmarkStart w:id="5" w:name="_Hlk225849331"/>
      <w:r w:rsidRPr="005C5B95">
        <w:rPr>
          <w:rFonts w:ascii="Traditional Arabic" w:hAnsi="Traditional Arabic" w:cs="Traditional Arabic"/>
          <w:b/>
          <w:bCs/>
          <w:sz w:val="32"/>
          <w:szCs w:val="32"/>
          <w:rtl/>
        </w:rPr>
        <w:t>الدراسات التي تناولت العلاقة بين التكنولوجيا الذكية وإدارة المخاطر</w:t>
      </w:r>
      <w:r w:rsidR="007958E2">
        <w:rPr>
          <w:rFonts w:ascii="Traditional Arabic" w:hAnsi="Traditional Arabic" w:cs="Traditional Arabic" w:hint="cs"/>
          <w:b/>
          <w:bCs/>
          <w:sz w:val="32"/>
          <w:szCs w:val="32"/>
          <w:rtl/>
        </w:rPr>
        <w:t>:</w:t>
      </w:r>
    </w:p>
    <w:bookmarkEnd w:id="5"/>
    <w:p w14:paraId="07034299" w14:textId="1D767A60" w:rsidR="005C5B95" w:rsidRPr="005C5B95" w:rsidRDefault="005C5B95" w:rsidP="005C5B95">
      <w:pPr>
        <w:pStyle w:val="ab"/>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sz w:val="32"/>
          <w:szCs w:val="32"/>
          <w:rtl/>
        </w:rPr>
        <w:t>ركزت مجموعة من الدراسات على اختبار تأثير التكنولوجيا في إدارة المخاطر، خاصة في القطاعين المالي والصحي</w:t>
      </w:r>
      <w:r>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فدراسة</w:t>
      </w:r>
      <w:r w:rsidRPr="005C5B95">
        <w:rPr>
          <w:rFonts w:ascii="Traditional Arabic" w:hAnsi="Traditional Arabic" w:cs="Traditional Arabic"/>
          <w:sz w:val="32"/>
          <w:szCs w:val="32"/>
        </w:rPr>
        <w:t xml:space="preserve"> Kwateng et al. (2022) </w:t>
      </w:r>
      <w:r w:rsidRPr="005C5B95">
        <w:rPr>
          <w:rFonts w:ascii="Traditional Arabic" w:hAnsi="Traditional Arabic" w:cs="Traditional Arabic"/>
          <w:sz w:val="32"/>
          <w:szCs w:val="32"/>
          <w:rtl/>
        </w:rPr>
        <w:t>أظهرت أن إدارة مخاطر المؤسسات لها تأثير كبير وإيجابي على أمن تكنولوجيا المعلومات داخل المؤسسات المالية، وأن المخاطر التي تُدار بشكل جيد تساعد في القضاء على التكنولوجيا غير الفعالة</w:t>
      </w:r>
      <w:r>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كما توصلت دراسة وزانب وحاج (2021) إلى وجود علاقة ارتباطية بين استخدام تكنولوجيا المعلومات والاتصال في البنوك التجارية والمخاطر التشغيلية، مع وجود أثر إيجابي لهذه التكنولوجيا على المخاطر التشغيلية</w:t>
      </w:r>
      <w:r w:rsidRPr="005C5B95">
        <w:rPr>
          <w:rFonts w:ascii="Traditional Arabic" w:hAnsi="Traditional Arabic" w:cs="Traditional Arabic"/>
          <w:sz w:val="32"/>
          <w:szCs w:val="32"/>
        </w:rPr>
        <w:t>.</w:t>
      </w:r>
    </w:p>
    <w:p w14:paraId="231E96B7" w14:textId="07A7471C" w:rsidR="005C5B95" w:rsidRPr="005C5B95" w:rsidRDefault="005C5B95" w:rsidP="005C5B95">
      <w:pPr>
        <w:pStyle w:val="ab"/>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sz w:val="32"/>
          <w:szCs w:val="32"/>
          <w:rtl/>
        </w:rPr>
        <w:lastRenderedPageBreak/>
        <w:t>وفي السياق الصحي، أظهرت دراسة</w:t>
      </w:r>
      <w:r w:rsidRPr="005C5B95">
        <w:rPr>
          <w:rFonts w:ascii="Traditional Arabic" w:hAnsi="Traditional Arabic" w:cs="Traditional Arabic"/>
          <w:sz w:val="32"/>
          <w:szCs w:val="32"/>
        </w:rPr>
        <w:t xml:space="preserve"> Lumb et al. (2023) </w:t>
      </w:r>
      <w:r w:rsidRPr="005C5B95">
        <w:rPr>
          <w:rFonts w:ascii="Traditional Arabic" w:hAnsi="Traditional Arabic" w:cs="Traditional Arabic"/>
          <w:sz w:val="32"/>
          <w:szCs w:val="32"/>
          <w:rtl/>
        </w:rPr>
        <w:t>وجود تأثير إيجابي ذي دلالة إحصائية لاستخدام التكنولوجيا الذكية في دعم رعاية جيدة لمرضى السكري داخل المستشفى، وإحداث تحسينات في سلامة وفعالية الرعاية</w:t>
      </w:r>
      <w:r>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كما توصلت دراسة</w:t>
      </w:r>
      <w:r w:rsidRPr="005C5B95">
        <w:rPr>
          <w:rFonts w:ascii="Traditional Arabic" w:hAnsi="Traditional Arabic" w:cs="Traditional Arabic"/>
          <w:sz w:val="32"/>
          <w:szCs w:val="32"/>
        </w:rPr>
        <w:t xml:space="preserve"> Sabra et al. (2023) </w:t>
      </w:r>
      <w:r w:rsidRPr="005C5B95">
        <w:rPr>
          <w:rFonts w:ascii="Traditional Arabic" w:hAnsi="Traditional Arabic" w:cs="Traditional Arabic"/>
          <w:sz w:val="32"/>
          <w:szCs w:val="32"/>
          <w:rtl/>
        </w:rPr>
        <w:t>إلى أن 92% من المشاركين لديهم تصور معتدل تجاه استخدام تطبيقات الذكاء الاصطناعي في الرعاية الصحية، وأن 64% منهم لهم موقف إيجابي تجاه استخدامها</w:t>
      </w:r>
      <w:r w:rsidR="006D63D8">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كذلك أشارت دراسة</w:t>
      </w:r>
      <w:r w:rsidRPr="005C5B95">
        <w:rPr>
          <w:rFonts w:ascii="Traditional Arabic" w:hAnsi="Traditional Arabic" w:cs="Traditional Arabic"/>
          <w:sz w:val="32"/>
          <w:szCs w:val="32"/>
        </w:rPr>
        <w:t xml:space="preserve"> Lee &amp; Yoon (2021) </w:t>
      </w:r>
      <w:r w:rsidRPr="005C5B95">
        <w:rPr>
          <w:rFonts w:ascii="Traditional Arabic" w:hAnsi="Traditional Arabic" w:cs="Traditional Arabic"/>
          <w:sz w:val="32"/>
          <w:szCs w:val="32"/>
          <w:rtl/>
        </w:rPr>
        <w:t>إلى وجود علاقة إيجابية بين استخدام التكنولوجيا الذكية وزيادة قدرة الطاقم الطبي على التشخيص والعلاج، وتحسين كفاءة الأنشطة التمريضية والإدارية</w:t>
      </w:r>
      <w:r>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كما أوضحت دراسة</w:t>
      </w:r>
      <w:r w:rsidRPr="005C5B95">
        <w:rPr>
          <w:rFonts w:ascii="Traditional Arabic" w:hAnsi="Traditional Arabic" w:cs="Traditional Arabic"/>
          <w:sz w:val="32"/>
          <w:szCs w:val="32"/>
        </w:rPr>
        <w:t xml:space="preserve"> Haleem et al. (2021) </w:t>
      </w:r>
      <w:r w:rsidRPr="005C5B95">
        <w:rPr>
          <w:rFonts w:ascii="Traditional Arabic" w:hAnsi="Traditional Arabic" w:cs="Traditional Arabic"/>
          <w:sz w:val="32"/>
          <w:szCs w:val="32"/>
          <w:rtl/>
        </w:rPr>
        <w:t xml:space="preserve">أن استخدام التطبيقات الصحية عن بعد </w:t>
      </w:r>
      <w:r>
        <w:rPr>
          <w:rFonts w:ascii="Traditional Arabic" w:hAnsi="Traditional Arabic" w:cs="Traditional Arabic" w:hint="cs"/>
          <w:sz w:val="32"/>
          <w:szCs w:val="32"/>
          <w:rtl/>
        </w:rPr>
        <w:t xml:space="preserve">يحسن فعالية أداء </w:t>
      </w:r>
      <w:r w:rsidRPr="005C5B95">
        <w:rPr>
          <w:rFonts w:ascii="Traditional Arabic" w:hAnsi="Traditional Arabic" w:cs="Traditional Arabic"/>
          <w:sz w:val="32"/>
          <w:szCs w:val="32"/>
          <w:rtl/>
        </w:rPr>
        <w:t>الأطباء والمرضى</w:t>
      </w:r>
      <w:r>
        <w:rPr>
          <w:rFonts w:ascii="Traditional Arabic" w:hAnsi="Traditional Arabic" w:cs="Traditional Arabic" w:hint="cs"/>
          <w:sz w:val="32"/>
          <w:szCs w:val="32"/>
          <w:rtl/>
        </w:rPr>
        <w:t xml:space="preserve">، كما يرفع </w:t>
      </w:r>
      <w:r w:rsidRPr="005C5B95">
        <w:rPr>
          <w:rFonts w:ascii="Traditional Arabic" w:hAnsi="Traditional Arabic" w:cs="Traditional Arabic"/>
          <w:sz w:val="32"/>
          <w:szCs w:val="32"/>
          <w:rtl/>
        </w:rPr>
        <w:t>احتمالية المتابعة</w:t>
      </w:r>
      <w:r>
        <w:rPr>
          <w:rFonts w:ascii="Traditional Arabic" w:hAnsi="Traditional Arabic" w:cs="Traditional Arabic" w:hint="cs"/>
          <w:sz w:val="32"/>
          <w:szCs w:val="32"/>
          <w:rtl/>
        </w:rPr>
        <w:t>،</w:t>
      </w:r>
      <w:r w:rsidRPr="005C5B95">
        <w:rPr>
          <w:rFonts w:ascii="Traditional Arabic" w:hAnsi="Traditional Arabic" w:cs="Traditional Arabic"/>
          <w:sz w:val="32"/>
          <w:szCs w:val="32"/>
          <w:rtl/>
        </w:rPr>
        <w:t xml:space="preserve"> ويقلل المواعيد المفقودة</w:t>
      </w:r>
      <w:r w:rsidRPr="005C5B95">
        <w:rPr>
          <w:rFonts w:ascii="Traditional Arabic" w:hAnsi="Traditional Arabic" w:cs="Traditional Arabic"/>
          <w:sz w:val="32"/>
          <w:szCs w:val="32"/>
        </w:rPr>
        <w:t>.</w:t>
      </w:r>
    </w:p>
    <w:p w14:paraId="6788A79F" w14:textId="77777777" w:rsidR="005C5B95" w:rsidRPr="005C5B95" w:rsidRDefault="005C5B95" w:rsidP="005C5B95">
      <w:pPr>
        <w:pStyle w:val="ab"/>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sz w:val="32"/>
          <w:szCs w:val="32"/>
          <w:rtl/>
        </w:rPr>
        <w:t>ومن الدراسات التي تناولت العوامل المؤثرة في تبني التكنولوجيا، توصلت دراسة</w:t>
      </w:r>
      <w:r w:rsidRPr="005C5B95">
        <w:rPr>
          <w:rFonts w:ascii="Traditional Arabic" w:hAnsi="Traditional Arabic" w:cs="Traditional Arabic"/>
          <w:sz w:val="32"/>
          <w:szCs w:val="32"/>
        </w:rPr>
        <w:t xml:space="preserve"> Chau et al. (2019) </w:t>
      </w:r>
      <w:r w:rsidRPr="005C5B95">
        <w:rPr>
          <w:rFonts w:ascii="Traditional Arabic" w:hAnsi="Traditional Arabic" w:cs="Traditional Arabic"/>
          <w:sz w:val="32"/>
          <w:szCs w:val="32"/>
          <w:rtl/>
        </w:rPr>
        <w:t>إلى أن الراحة الملموسة وعدم إمكانية الاستبدال هي مؤشرات رئيسية للفائدة الملموسة، والتي تعزز بدورها نية تبني التكنولوجيا الذكية في الخدمة الصحية</w:t>
      </w:r>
      <w:r w:rsidRPr="005C5B95">
        <w:rPr>
          <w:rFonts w:ascii="Traditional Arabic" w:hAnsi="Traditional Arabic" w:cs="Traditional Arabic"/>
          <w:sz w:val="32"/>
          <w:szCs w:val="32"/>
        </w:rPr>
        <w:t>.</w:t>
      </w:r>
    </w:p>
    <w:p w14:paraId="01ED0F1B" w14:textId="1624589F" w:rsidR="007958E2" w:rsidRPr="00B34478" w:rsidRDefault="00A45E46" w:rsidP="00B34478">
      <w:pPr>
        <w:pStyle w:val="ab"/>
        <w:bidi/>
        <w:spacing w:before="0" w:beforeAutospacing="0" w:after="120" w:afterAutospacing="0"/>
        <w:jc w:val="both"/>
        <w:rPr>
          <w:rFonts w:ascii="Traditional Arabic" w:hAnsi="Traditional Arabic" w:cs="Traditional Arabic"/>
          <w:sz w:val="32"/>
          <w:szCs w:val="32"/>
          <w:rtl/>
        </w:rPr>
      </w:pPr>
      <w:r w:rsidRPr="007958E2">
        <w:rPr>
          <w:rFonts w:ascii="Traditional Arabic" w:hAnsi="Traditional Arabic" w:cs="Traditional Arabic" w:hint="cs"/>
          <w:sz w:val="32"/>
          <w:szCs w:val="32"/>
          <w:rtl/>
        </w:rPr>
        <w:t>و</w:t>
      </w:r>
      <w:r w:rsidR="005C5B95" w:rsidRPr="005C5B95">
        <w:rPr>
          <w:rFonts w:ascii="Traditional Arabic" w:hAnsi="Traditional Arabic" w:cs="Traditional Arabic"/>
          <w:sz w:val="32"/>
          <w:szCs w:val="32"/>
          <w:rtl/>
        </w:rPr>
        <w:t>تتفق الدراسات السابقة على وجود تأثير إيجابي للتكنولوجيا سواء كانت معلوماتية، ذكية، أو تطبيقات صحية في تحسين إدارة المخاطر أو تقليلها، سواء في القطاع المالي أو الصحي. ومع ذلك، تظهر بعض الاختلافات</w:t>
      </w:r>
      <w:r>
        <w:rPr>
          <w:rFonts w:ascii="Traditional Arabic" w:hAnsi="Traditional Arabic" w:cs="Traditional Arabic" w:hint="cs"/>
          <w:sz w:val="32"/>
          <w:szCs w:val="32"/>
          <w:rtl/>
        </w:rPr>
        <w:t>؛</w:t>
      </w:r>
      <w:r w:rsidR="005C5B95" w:rsidRPr="005C5B95">
        <w:rPr>
          <w:rFonts w:ascii="Traditional Arabic" w:hAnsi="Traditional Arabic" w:cs="Traditional Arabic"/>
          <w:sz w:val="32"/>
          <w:szCs w:val="32"/>
          <w:rtl/>
        </w:rPr>
        <w:t xml:space="preserve"> فبعض الدراسات ركزت على التكنولوجيا كمتغير مستقل يؤثر في المخاطر</w:t>
      </w:r>
      <w:r w:rsidR="005C5B95" w:rsidRPr="005C5B95">
        <w:rPr>
          <w:rFonts w:ascii="Traditional Arabic" w:hAnsi="Traditional Arabic" w:cs="Traditional Arabic"/>
          <w:sz w:val="32"/>
          <w:szCs w:val="32"/>
        </w:rPr>
        <w:t xml:space="preserve"> (Kwateng et al., 2022; </w:t>
      </w:r>
      <w:r w:rsidR="005C5B95" w:rsidRPr="005C5B95">
        <w:rPr>
          <w:rFonts w:ascii="Traditional Arabic" w:hAnsi="Traditional Arabic" w:cs="Traditional Arabic"/>
          <w:sz w:val="32"/>
          <w:szCs w:val="32"/>
          <w:rtl/>
        </w:rPr>
        <w:t>وزانب وحاج، 2021</w:t>
      </w:r>
      <w:r w:rsidR="006D63D8">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w:t>
      </w:r>
      <w:r w:rsidR="005C5B95" w:rsidRPr="005C5B95">
        <w:rPr>
          <w:rFonts w:ascii="Traditional Arabic" w:hAnsi="Traditional Arabic" w:cs="Traditional Arabic"/>
          <w:sz w:val="32"/>
          <w:szCs w:val="32"/>
          <w:rtl/>
        </w:rPr>
        <w:t>، بينما ركزت أخرى على دور التكنولوجيا في تحسين الرعاية الصحية كمدخل لتقليل المخاطر</w:t>
      </w:r>
      <w:r w:rsidR="005C5B95" w:rsidRPr="005C5B95">
        <w:rPr>
          <w:rFonts w:ascii="Traditional Arabic" w:hAnsi="Traditional Arabic" w:cs="Traditional Arabic"/>
          <w:sz w:val="32"/>
          <w:szCs w:val="32"/>
        </w:rPr>
        <w:t xml:space="preserve"> (Lumb et al., 2023; Lee &amp; Yoon, 2021)</w:t>
      </w:r>
      <w:r>
        <w:rPr>
          <w:rFonts w:ascii="Traditional Arabic" w:hAnsi="Traditional Arabic" w:cs="Traditional Arabic" w:hint="cs"/>
          <w:sz w:val="32"/>
          <w:szCs w:val="32"/>
          <w:rtl/>
        </w:rPr>
        <w:t xml:space="preserve">، </w:t>
      </w:r>
      <w:r w:rsidR="005C5B95" w:rsidRPr="005C5B95">
        <w:rPr>
          <w:rFonts w:ascii="Traditional Arabic" w:hAnsi="Traditional Arabic" w:cs="Traditional Arabic"/>
          <w:sz w:val="32"/>
          <w:szCs w:val="32"/>
          <w:rtl/>
        </w:rPr>
        <w:t>كما أن معظم هذه الدراسات طبقت في سياقات غير سعودية (المملكة المتحدة، غانا، الجزائر، هونغ كونغ، كوريا)، مما يحد من تعميم نتائجها على البيئة الصحية السعودية</w:t>
      </w:r>
      <w:r>
        <w:rPr>
          <w:rFonts w:ascii="Traditional Arabic" w:hAnsi="Traditional Arabic" w:cs="Traditional Arabic" w:hint="cs"/>
          <w:sz w:val="32"/>
          <w:szCs w:val="32"/>
          <w:rtl/>
        </w:rPr>
        <w:t xml:space="preserve">، </w:t>
      </w:r>
      <w:r w:rsidR="005C5B95" w:rsidRPr="005C5B95">
        <w:rPr>
          <w:rFonts w:ascii="Traditional Arabic" w:hAnsi="Traditional Arabic" w:cs="Traditional Arabic"/>
          <w:sz w:val="32"/>
          <w:szCs w:val="32"/>
          <w:rtl/>
        </w:rPr>
        <w:t>إضافة إلى ذلك، لم تختبر أي من هذه الدراسات الدور الوسيط للتكنولوجيا الذكية بين التطوير التنظيمي وإدارة المخاطر، بل اقتصرت على العلاقات المباشرة</w:t>
      </w:r>
      <w:r w:rsidR="005C5B95" w:rsidRPr="005C5B95">
        <w:rPr>
          <w:rFonts w:ascii="Traditional Arabic" w:hAnsi="Traditional Arabic" w:cs="Traditional Arabic"/>
          <w:sz w:val="32"/>
          <w:szCs w:val="32"/>
        </w:rPr>
        <w:t>.</w:t>
      </w:r>
    </w:p>
    <w:p w14:paraId="39794740" w14:textId="3D971F57" w:rsidR="005C5B95" w:rsidRPr="005C5B95" w:rsidRDefault="005C5B95" w:rsidP="007958E2">
      <w:pPr>
        <w:pStyle w:val="ab"/>
        <w:numPr>
          <w:ilvl w:val="0"/>
          <w:numId w:val="108"/>
        </w:numPr>
        <w:bidi/>
        <w:spacing w:before="0" w:beforeAutospacing="0" w:after="120" w:afterAutospacing="0"/>
        <w:jc w:val="both"/>
        <w:rPr>
          <w:rFonts w:ascii="Traditional Arabic" w:hAnsi="Traditional Arabic" w:cs="Traditional Arabic"/>
          <w:b/>
          <w:bCs/>
          <w:sz w:val="32"/>
          <w:szCs w:val="32"/>
        </w:rPr>
      </w:pPr>
      <w:r w:rsidRPr="005C5B95">
        <w:rPr>
          <w:rFonts w:ascii="Traditional Arabic" w:hAnsi="Traditional Arabic" w:cs="Traditional Arabic"/>
          <w:b/>
          <w:bCs/>
          <w:sz w:val="32"/>
          <w:szCs w:val="32"/>
          <w:rtl/>
        </w:rPr>
        <w:t>الدراسات التي تناولت المتغيرات منفردة</w:t>
      </w:r>
      <w:r w:rsidR="007958E2">
        <w:rPr>
          <w:rFonts w:ascii="Traditional Arabic" w:hAnsi="Traditional Arabic" w:cs="Traditional Arabic" w:hint="cs"/>
          <w:b/>
          <w:bCs/>
          <w:sz w:val="32"/>
          <w:szCs w:val="32"/>
          <w:rtl/>
        </w:rPr>
        <w:t>:</w:t>
      </w:r>
    </w:p>
    <w:p w14:paraId="7CAF2CA7" w14:textId="77777777" w:rsidR="005C5B95" w:rsidRPr="005C5B95" w:rsidRDefault="005C5B95" w:rsidP="005C5B95">
      <w:pPr>
        <w:pStyle w:val="ab"/>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sz w:val="32"/>
          <w:szCs w:val="32"/>
          <w:rtl/>
        </w:rPr>
        <w:t>إلى جانب الدراسات التي تناولت العلاقات الثنائية، هناك دراسات اهتمت بتحليل المتغيرات بشكل منفرد، أو في سياقات مختلفة، منها</w:t>
      </w:r>
      <w:r w:rsidRPr="005C5B95">
        <w:rPr>
          <w:rFonts w:ascii="Traditional Arabic" w:hAnsi="Traditional Arabic" w:cs="Traditional Arabic"/>
          <w:sz w:val="32"/>
          <w:szCs w:val="32"/>
        </w:rPr>
        <w:t>:</w:t>
      </w:r>
    </w:p>
    <w:p w14:paraId="6750EAAB" w14:textId="77777777" w:rsidR="005C5B95" w:rsidRPr="005C5B95" w:rsidRDefault="005C5B95" w:rsidP="005C5B95">
      <w:pPr>
        <w:pStyle w:val="ab"/>
        <w:numPr>
          <w:ilvl w:val="0"/>
          <w:numId w:val="106"/>
        </w:numPr>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b/>
          <w:bCs/>
          <w:sz w:val="32"/>
          <w:szCs w:val="32"/>
          <w:rtl/>
        </w:rPr>
        <w:t>دراسات التطوير التنظيمي</w:t>
      </w:r>
      <w:r w:rsidRPr="005C5B95">
        <w:rPr>
          <w:rFonts w:ascii="Traditional Arabic" w:hAnsi="Traditional Arabic" w:cs="Traditional Arabic"/>
          <w:b/>
          <w:bCs/>
          <w:sz w:val="32"/>
          <w:szCs w:val="32"/>
        </w:rPr>
        <w:t>:</w:t>
      </w:r>
      <w:r w:rsidRPr="005C5B95">
        <w:rPr>
          <w:rFonts w:ascii="Traditional Arabic" w:hAnsi="Traditional Arabic" w:cs="Traditional Arabic"/>
          <w:sz w:val="32"/>
          <w:szCs w:val="32"/>
        </w:rPr>
        <w:t> </w:t>
      </w:r>
      <w:r w:rsidRPr="005C5B95">
        <w:rPr>
          <w:rFonts w:ascii="Traditional Arabic" w:hAnsi="Traditional Arabic" w:cs="Traditional Arabic"/>
          <w:sz w:val="32"/>
          <w:szCs w:val="32"/>
          <w:rtl/>
        </w:rPr>
        <w:t>دراسة</w:t>
      </w:r>
      <w:r w:rsidRPr="005C5B95">
        <w:rPr>
          <w:rFonts w:ascii="Traditional Arabic" w:hAnsi="Traditional Arabic" w:cs="Traditional Arabic"/>
          <w:sz w:val="32"/>
          <w:szCs w:val="32"/>
        </w:rPr>
        <w:t xml:space="preserve"> Rija et al. (2023) </w:t>
      </w:r>
      <w:r w:rsidRPr="005C5B95">
        <w:rPr>
          <w:rFonts w:ascii="Traditional Arabic" w:hAnsi="Traditional Arabic" w:cs="Traditional Arabic"/>
          <w:sz w:val="32"/>
          <w:szCs w:val="32"/>
          <w:rtl/>
        </w:rPr>
        <w:t>التي أظهرت دورًا إيجابيًا قويًا للتطوير التنظيمي في تحسين أداء إدارة الأندية الرياضية في بغداد، ودراسة</w:t>
      </w:r>
      <w:r w:rsidRPr="005C5B95">
        <w:rPr>
          <w:rFonts w:ascii="Traditional Arabic" w:hAnsi="Traditional Arabic" w:cs="Traditional Arabic"/>
          <w:sz w:val="32"/>
          <w:szCs w:val="32"/>
        </w:rPr>
        <w:t xml:space="preserve"> Alabaddi (2019) </w:t>
      </w:r>
      <w:r w:rsidRPr="005C5B95">
        <w:rPr>
          <w:rFonts w:ascii="Traditional Arabic" w:hAnsi="Traditional Arabic" w:cs="Traditional Arabic"/>
          <w:sz w:val="32"/>
          <w:szCs w:val="32"/>
          <w:rtl/>
        </w:rPr>
        <w:t>التي وجدت أثرًا ذا دلالة إحصائية للتطوير التنظيمي في تعظيم ذكاء الأعمال في الشركات الأردنية</w:t>
      </w:r>
      <w:r w:rsidRPr="005C5B95">
        <w:rPr>
          <w:rFonts w:ascii="Traditional Arabic" w:hAnsi="Traditional Arabic" w:cs="Traditional Arabic"/>
          <w:sz w:val="32"/>
          <w:szCs w:val="32"/>
        </w:rPr>
        <w:t>.</w:t>
      </w:r>
    </w:p>
    <w:p w14:paraId="26478075" w14:textId="24843D27" w:rsidR="005C5B95" w:rsidRPr="005C5B95" w:rsidRDefault="005C5B95" w:rsidP="005C5B95">
      <w:pPr>
        <w:pStyle w:val="ab"/>
        <w:numPr>
          <w:ilvl w:val="0"/>
          <w:numId w:val="106"/>
        </w:numPr>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b/>
          <w:bCs/>
          <w:sz w:val="32"/>
          <w:szCs w:val="32"/>
          <w:rtl/>
        </w:rPr>
        <w:t>دراسات التكنولوجيا الذكية</w:t>
      </w:r>
      <w:r w:rsidRPr="005C5B95">
        <w:rPr>
          <w:rFonts w:ascii="Traditional Arabic" w:hAnsi="Traditional Arabic" w:cs="Traditional Arabic"/>
          <w:b/>
          <w:bCs/>
          <w:sz w:val="32"/>
          <w:szCs w:val="32"/>
        </w:rPr>
        <w:t>:</w:t>
      </w:r>
      <w:r w:rsidRPr="005C5B95">
        <w:rPr>
          <w:rFonts w:ascii="Traditional Arabic" w:hAnsi="Traditional Arabic" w:cs="Traditional Arabic"/>
          <w:sz w:val="32"/>
          <w:szCs w:val="32"/>
        </w:rPr>
        <w:t> </w:t>
      </w:r>
      <w:r w:rsidRPr="005C5B95">
        <w:rPr>
          <w:rFonts w:ascii="Traditional Arabic" w:hAnsi="Traditional Arabic" w:cs="Traditional Arabic"/>
          <w:sz w:val="32"/>
          <w:szCs w:val="32"/>
          <w:rtl/>
        </w:rPr>
        <w:t>دراسة هادي (2024) التي أظهرت وجود علاقة إيجابية بين استخدام التكنولوجيا الحديثة وتعزيز التجديد الحضري المستدام، ودراسة</w:t>
      </w:r>
      <w:r w:rsidRPr="005C5B95">
        <w:rPr>
          <w:rFonts w:ascii="Traditional Arabic" w:hAnsi="Traditional Arabic" w:cs="Traditional Arabic"/>
          <w:sz w:val="32"/>
          <w:szCs w:val="32"/>
        </w:rPr>
        <w:t xml:space="preserve"> Ghory &amp; Ghafory (2021) </w:t>
      </w:r>
      <w:r w:rsidRPr="005C5B95">
        <w:rPr>
          <w:rFonts w:ascii="Traditional Arabic" w:hAnsi="Traditional Arabic" w:cs="Traditional Arabic"/>
          <w:sz w:val="32"/>
          <w:szCs w:val="32"/>
          <w:rtl/>
        </w:rPr>
        <w:lastRenderedPageBreak/>
        <w:t>التي أكدت أن إتقان التكنولوجيا الذكية له دور إيجابي في تحقيق الفعالية التعليمية، ودراسة</w:t>
      </w:r>
      <w:r w:rsidRPr="005C5B95">
        <w:rPr>
          <w:rFonts w:ascii="Traditional Arabic" w:hAnsi="Traditional Arabic" w:cs="Traditional Arabic"/>
          <w:sz w:val="32"/>
          <w:szCs w:val="32"/>
        </w:rPr>
        <w:t xml:space="preserve"> Mohammed &amp; Abdullah (2021) </w:t>
      </w:r>
      <w:r w:rsidR="006D63D8">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التي أشارت إلى أن استخدام تقنيات الذكاء الاصطناعي في تطوير برامج إعداد المعلمين جاء بدرجة متوسطة مع وجود عقبات مادية وإدارية</w:t>
      </w:r>
      <w:r w:rsidRPr="005C5B95">
        <w:rPr>
          <w:rFonts w:ascii="Traditional Arabic" w:hAnsi="Traditional Arabic" w:cs="Traditional Arabic"/>
          <w:sz w:val="32"/>
          <w:szCs w:val="32"/>
        </w:rPr>
        <w:t>.</w:t>
      </w:r>
    </w:p>
    <w:p w14:paraId="2017D648" w14:textId="4BF28FC3" w:rsidR="005C5B95" w:rsidRPr="005C5B95" w:rsidRDefault="005C5B95" w:rsidP="005C5B95">
      <w:pPr>
        <w:pStyle w:val="ab"/>
        <w:numPr>
          <w:ilvl w:val="0"/>
          <w:numId w:val="106"/>
        </w:numPr>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b/>
          <w:bCs/>
          <w:sz w:val="32"/>
          <w:szCs w:val="32"/>
          <w:rtl/>
        </w:rPr>
        <w:t>دراسات إدارة المخاطر</w:t>
      </w:r>
      <w:r w:rsidRPr="005C5B95">
        <w:rPr>
          <w:rFonts w:ascii="Traditional Arabic" w:hAnsi="Traditional Arabic" w:cs="Traditional Arabic"/>
          <w:b/>
          <w:bCs/>
          <w:sz w:val="32"/>
          <w:szCs w:val="32"/>
        </w:rPr>
        <w:t>:</w:t>
      </w:r>
      <w:r w:rsidRPr="005C5B95">
        <w:rPr>
          <w:rFonts w:ascii="Traditional Arabic" w:hAnsi="Traditional Arabic" w:cs="Traditional Arabic"/>
          <w:sz w:val="32"/>
          <w:szCs w:val="32"/>
        </w:rPr>
        <w:t> </w:t>
      </w:r>
      <w:r w:rsidRPr="005C5B95">
        <w:rPr>
          <w:rFonts w:ascii="Traditional Arabic" w:hAnsi="Traditional Arabic" w:cs="Traditional Arabic"/>
          <w:sz w:val="32"/>
          <w:szCs w:val="32"/>
          <w:rtl/>
        </w:rPr>
        <w:t>دراسة</w:t>
      </w:r>
      <w:r w:rsidRPr="005C5B95">
        <w:rPr>
          <w:rFonts w:ascii="Traditional Arabic" w:hAnsi="Traditional Arabic" w:cs="Traditional Arabic"/>
          <w:sz w:val="32"/>
          <w:szCs w:val="32"/>
        </w:rPr>
        <w:t xml:space="preserve"> Getenet et al. (2023) </w:t>
      </w:r>
      <w:r w:rsidRPr="005C5B95">
        <w:rPr>
          <w:rFonts w:ascii="Traditional Arabic" w:hAnsi="Traditional Arabic" w:cs="Traditional Arabic"/>
          <w:sz w:val="32"/>
          <w:szCs w:val="32"/>
          <w:rtl/>
        </w:rPr>
        <w:t>التي أظهرت أن 64% من العاملين في الرعاية الصحية لديهم مستوى ضعيف من المعرفة بإدارة المخاطر، و89% لديهم مستوى ضعيف من الممارسة، بينما 93.6% لديهم موقف إيجابي</w:t>
      </w:r>
      <w:r w:rsidR="006D63D8">
        <w:rPr>
          <w:rFonts w:ascii="Traditional Arabic" w:hAnsi="Traditional Arabic" w:cs="Traditional Arabic" w:hint="cs"/>
          <w:sz w:val="32"/>
          <w:szCs w:val="32"/>
          <w:rtl/>
        </w:rPr>
        <w:t>،</w:t>
      </w:r>
      <w:r w:rsidRPr="005C5B95">
        <w:rPr>
          <w:rFonts w:ascii="Traditional Arabic" w:hAnsi="Traditional Arabic" w:cs="Traditional Arabic"/>
          <w:sz w:val="32"/>
          <w:szCs w:val="32"/>
          <w:rtl/>
        </w:rPr>
        <w:t xml:space="preserve"> ودراسة رقطي وكركار (2022) التي أشارت إلى افتقار المؤسسة الصحية الجزائرية إلى قسم لإدارة المخاطر وعدم وجود تقنيات حديثة لمواجهتها</w:t>
      </w:r>
      <w:r w:rsidR="006D63D8">
        <w:rPr>
          <w:rFonts w:ascii="Traditional Arabic" w:hAnsi="Traditional Arabic" w:cs="Traditional Arabic" w:hint="cs"/>
          <w:sz w:val="32"/>
          <w:szCs w:val="32"/>
          <w:rtl/>
        </w:rPr>
        <w:t>،</w:t>
      </w:r>
      <w:r w:rsidRPr="005C5B95">
        <w:rPr>
          <w:rFonts w:ascii="Traditional Arabic" w:hAnsi="Traditional Arabic" w:cs="Traditional Arabic"/>
          <w:sz w:val="32"/>
          <w:szCs w:val="32"/>
          <w:rtl/>
        </w:rPr>
        <w:t>كما أظهرت دراسة</w:t>
      </w:r>
      <w:r w:rsidRPr="005C5B95">
        <w:rPr>
          <w:rFonts w:ascii="Traditional Arabic" w:hAnsi="Traditional Arabic" w:cs="Traditional Arabic"/>
          <w:sz w:val="32"/>
          <w:szCs w:val="32"/>
        </w:rPr>
        <w:t xml:space="preserve"> Damayanty &amp; Hipta (2022) </w:t>
      </w:r>
      <w:r w:rsidRPr="005C5B95">
        <w:rPr>
          <w:rFonts w:ascii="Traditional Arabic" w:hAnsi="Traditional Arabic" w:cs="Traditional Arabic"/>
          <w:sz w:val="32"/>
          <w:szCs w:val="32"/>
          <w:rtl/>
        </w:rPr>
        <w:t>وجود مخاطر محتملة في المستشفيات تتعلق بالافتقار إلى تجهيزات السلامة والصحة المهنية</w:t>
      </w:r>
      <w:r w:rsidRPr="005C5B95">
        <w:rPr>
          <w:rFonts w:ascii="Traditional Arabic" w:hAnsi="Traditional Arabic" w:cs="Traditional Arabic"/>
          <w:sz w:val="32"/>
          <w:szCs w:val="32"/>
        </w:rPr>
        <w:t>.</w:t>
      </w:r>
    </w:p>
    <w:p w14:paraId="28CF001D" w14:textId="77777777" w:rsidR="00EA6969" w:rsidRDefault="007958E2" w:rsidP="00EA6969">
      <w:pPr>
        <w:pStyle w:val="ab"/>
        <w:bidi/>
        <w:spacing w:before="0" w:beforeAutospacing="0" w:after="120" w:afterAutospacing="0"/>
        <w:jc w:val="both"/>
        <w:rPr>
          <w:rFonts w:ascii="Traditional Arabic" w:hAnsi="Traditional Arabic" w:cs="Traditional Arabic"/>
          <w:sz w:val="32"/>
          <w:szCs w:val="32"/>
          <w:rtl/>
        </w:rPr>
      </w:pPr>
      <w:r w:rsidRPr="007958E2">
        <w:rPr>
          <w:rFonts w:ascii="Traditional Arabic" w:hAnsi="Traditional Arabic" w:cs="Traditional Arabic" w:hint="cs"/>
          <w:sz w:val="32"/>
          <w:szCs w:val="32"/>
          <w:rtl/>
        </w:rPr>
        <w:t>و</w:t>
      </w:r>
      <w:r w:rsidR="005C5B95" w:rsidRPr="005C5B95">
        <w:rPr>
          <w:rFonts w:ascii="Traditional Arabic" w:hAnsi="Traditional Arabic" w:cs="Traditional Arabic"/>
          <w:sz w:val="32"/>
          <w:szCs w:val="32"/>
          <w:rtl/>
        </w:rPr>
        <w:t>هذه الدراسات، رغم قيمتها العلمية في تأصيل المفاهيم، إلا أنها لم تختبر علاقات سببية بين المتغيرات، مما يحد من قدرتها على تفسير كيفية تأثير التطوير التنظيمي في إدارة المخاطر عبر التكنولوجيا الذكية</w:t>
      </w:r>
      <w:r>
        <w:rPr>
          <w:rFonts w:ascii="Traditional Arabic" w:hAnsi="Traditional Arabic" w:cs="Traditional Arabic" w:hint="cs"/>
          <w:sz w:val="32"/>
          <w:szCs w:val="32"/>
          <w:rtl/>
        </w:rPr>
        <w:t xml:space="preserve">، </w:t>
      </w:r>
      <w:r w:rsidR="005C5B95" w:rsidRPr="005C5B95">
        <w:rPr>
          <w:rFonts w:ascii="Traditional Arabic" w:hAnsi="Traditional Arabic" w:cs="Traditional Arabic"/>
          <w:sz w:val="32"/>
          <w:szCs w:val="32"/>
          <w:rtl/>
        </w:rPr>
        <w:t>كما أن معظمها في دول غير</w:t>
      </w:r>
      <w:r>
        <w:rPr>
          <w:rFonts w:ascii="Traditional Arabic" w:hAnsi="Traditional Arabic" w:cs="Traditional Arabic" w:hint="cs"/>
          <w:sz w:val="32"/>
          <w:szCs w:val="32"/>
          <w:rtl/>
        </w:rPr>
        <w:t xml:space="preserve"> المملكة العربية</w:t>
      </w:r>
      <w:r w:rsidR="005C5B95" w:rsidRPr="005C5B95">
        <w:rPr>
          <w:rFonts w:ascii="Traditional Arabic" w:hAnsi="Traditional Arabic" w:cs="Traditional Arabic"/>
          <w:sz w:val="32"/>
          <w:szCs w:val="32"/>
          <w:rtl/>
        </w:rPr>
        <w:t xml:space="preserve"> السعودية، </w:t>
      </w:r>
      <w:r w:rsidR="00EA6969">
        <w:rPr>
          <w:rFonts w:ascii="Traditional Arabic" w:hAnsi="Traditional Arabic" w:cs="Traditional Arabic" w:hint="cs"/>
          <w:sz w:val="32"/>
          <w:szCs w:val="32"/>
          <w:rtl/>
        </w:rPr>
        <w:t xml:space="preserve">وفي </w:t>
      </w:r>
      <w:r w:rsidR="00EA6969" w:rsidRPr="005C5B95">
        <w:rPr>
          <w:rFonts w:ascii="Traditional Arabic" w:hAnsi="Traditional Arabic" w:cs="Traditional Arabic"/>
          <w:sz w:val="32"/>
          <w:szCs w:val="32"/>
          <w:rtl/>
        </w:rPr>
        <w:t xml:space="preserve">ي قطاعات غير صحية </w:t>
      </w:r>
      <w:r w:rsidR="00EA6969">
        <w:rPr>
          <w:rFonts w:ascii="Traditional Arabic" w:hAnsi="Traditional Arabic" w:cs="Traditional Arabic" w:hint="cs"/>
          <w:sz w:val="32"/>
          <w:szCs w:val="32"/>
          <w:rtl/>
        </w:rPr>
        <w:t xml:space="preserve"> مثل: ال</w:t>
      </w:r>
      <w:r w:rsidR="00EA6969" w:rsidRPr="005C5B95">
        <w:rPr>
          <w:rFonts w:ascii="Traditional Arabic" w:hAnsi="Traditional Arabic" w:cs="Traditional Arabic"/>
          <w:sz w:val="32"/>
          <w:szCs w:val="32"/>
          <w:rtl/>
        </w:rPr>
        <w:t xml:space="preserve">تعليم، </w:t>
      </w:r>
      <w:r w:rsidR="00EA6969">
        <w:rPr>
          <w:rFonts w:ascii="Traditional Arabic" w:hAnsi="Traditional Arabic" w:cs="Traditional Arabic" w:hint="cs"/>
          <w:sz w:val="32"/>
          <w:szCs w:val="32"/>
          <w:rtl/>
        </w:rPr>
        <w:t>ال</w:t>
      </w:r>
      <w:r w:rsidR="00EA6969" w:rsidRPr="005C5B95">
        <w:rPr>
          <w:rFonts w:ascii="Traditional Arabic" w:hAnsi="Traditional Arabic" w:cs="Traditional Arabic"/>
          <w:sz w:val="32"/>
          <w:szCs w:val="32"/>
          <w:rtl/>
        </w:rPr>
        <w:t xml:space="preserve">رياضة، </w:t>
      </w:r>
      <w:r w:rsidR="00EA6969">
        <w:rPr>
          <w:rFonts w:ascii="Traditional Arabic" w:hAnsi="Traditional Arabic" w:cs="Traditional Arabic" w:hint="cs"/>
          <w:sz w:val="32"/>
          <w:szCs w:val="32"/>
          <w:rtl/>
        </w:rPr>
        <w:t>ال</w:t>
      </w:r>
      <w:r w:rsidR="00EA6969" w:rsidRPr="005C5B95">
        <w:rPr>
          <w:rFonts w:ascii="Traditional Arabic" w:hAnsi="Traditional Arabic" w:cs="Traditional Arabic"/>
          <w:sz w:val="32"/>
          <w:szCs w:val="32"/>
          <w:rtl/>
        </w:rPr>
        <w:t xml:space="preserve">صناعة، </w:t>
      </w:r>
      <w:r w:rsidR="00EA6969">
        <w:rPr>
          <w:rFonts w:ascii="Traditional Arabic" w:hAnsi="Traditional Arabic" w:cs="Traditional Arabic" w:hint="cs"/>
          <w:sz w:val="32"/>
          <w:szCs w:val="32"/>
          <w:rtl/>
        </w:rPr>
        <w:t xml:space="preserve"> والت</w:t>
      </w:r>
      <w:r w:rsidR="00EA6969" w:rsidRPr="005C5B95">
        <w:rPr>
          <w:rFonts w:ascii="Traditional Arabic" w:hAnsi="Traditional Arabic" w:cs="Traditional Arabic"/>
          <w:sz w:val="32"/>
          <w:szCs w:val="32"/>
          <w:rtl/>
        </w:rPr>
        <w:t>خطيط حضري</w:t>
      </w:r>
      <w:r w:rsidR="00EA6969">
        <w:rPr>
          <w:rFonts w:ascii="Traditional Arabic" w:hAnsi="Traditional Arabic" w:cs="Traditional Arabic" w:hint="cs"/>
          <w:sz w:val="32"/>
          <w:szCs w:val="32"/>
          <w:rtl/>
        </w:rPr>
        <w:t>،</w:t>
      </w:r>
      <w:r w:rsidR="00EA6969" w:rsidRPr="005C5B95">
        <w:rPr>
          <w:rFonts w:ascii="Traditional Arabic" w:hAnsi="Traditional Arabic" w:cs="Traditional Arabic"/>
          <w:sz w:val="32"/>
          <w:szCs w:val="32"/>
          <w:rtl/>
        </w:rPr>
        <w:t xml:space="preserve"> </w:t>
      </w:r>
      <w:r w:rsidR="005C5B95" w:rsidRPr="005C5B95">
        <w:rPr>
          <w:rFonts w:ascii="Traditional Arabic" w:hAnsi="Traditional Arabic" w:cs="Traditional Arabic"/>
          <w:sz w:val="32"/>
          <w:szCs w:val="32"/>
          <w:rtl/>
        </w:rPr>
        <w:t xml:space="preserve">مما يعزز الحاجة إلى دراسة تجمع المتغيرات الثلاثة في سياق </w:t>
      </w:r>
      <w:r>
        <w:rPr>
          <w:rFonts w:ascii="Traditional Arabic" w:hAnsi="Traditional Arabic" w:cs="Traditional Arabic" w:hint="cs"/>
          <w:sz w:val="32"/>
          <w:szCs w:val="32"/>
          <w:rtl/>
        </w:rPr>
        <w:t>المؤسسات ال</w:t>
      </w:r>
      <w:r w:rsidR="005C5B95" w:rsidRPr="005C5B95">
        <w:rPr>
          <w:rFonts w:ascii="Traditional Arabic" w:hAnsi="Traditional Arabic" w:cs="Traditional Arabic"/>
          <w:sz w:val="32"/>
          <w:szCs w:val="32"/>
          <w:rtl/>
        </w:rPr>
        <w:t xml:space="preserve">صحي </w:t>
      </w:r>
      <w:r>
        <w:rPr>
          <w:rFonts w:ascii="Traditional Arabic" w:hAnsi="Traditional Arabic" w:cs="Traditional Arabic" w:hint="cs"/>
          <w:sz w:val="32"/>
          <w:szCs w:val="32"/>
          <w:rtl/>
        </w:rPr>
        <w:t>الس</w:t>
      </w:r>
      <w:r w:rsidR="005C5B95" w:rsidRPr="005C5B95">
        <w:rPr>
          <w:rFonts w:ascii="Traditional Arabic" w:hAnsi="Traditional Arabic" w:cs="Traditional Arabic"/>
          <w:sz w:val="32"/>
          <w:szCs w:val="32"/>
          <w:rtl/>
        </w:rPr>
        <w:t>عودي</w:t>
      </w:r>
      <w:r>
        <w:rPr>
          <w:rFonts w:ascii="Traditional Arabic" w:hAnsi="Traditional Arabic" w:cs="Traditional Arabic" w:hint="cs"/>
          <w:sz w:val="32"/>
          <w:szCs w:val="32"/>
          <w:rtl/>
        </w:rPr>
        <w:t>ة</w:t>
      </w:r>
      <w:r w:rsidR="00EA6969">
        <w:rPr>
          <w:rFonts w:ascii="Traditional Arabic" w:hAnsi="Traditional Arabic" w:cs="Traditional Arabic" w:hint="cs"/>
          <w:sz w:val="32"/>
          <w:szCs w:val="32"/>
          <w:rtl/>
        </w:rPr>
        <w:t xml:space="preserve">. </w:t>
      </w:r>
    </w:p>
    <w:p w14:paraId="3B02F6AD" w14:textId="03B0984A" w:rsidR="005C5B95" w:rsidRDefault="007958E2" w:rsidP="00EA6969">
      <w:pPr>
        <w:pStyle w:val="ab"/>
        <w:bidi/>
        <w:spacing w:before="0" w:beforeAutospacing="0" w:after="120" w:afterAutospacing="0"/>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005C5B95" w:rsidRPr="005C5B95">
        <w:rPr>
          <w:rFonts w:ascii="Traditional Arabic" w:hAnsi="Traditional Arabic" w:cs="Traditional Arabic"/>
          <w:sz w:val="32"/>
          <w:szCs w:val="32"/>
          <w:rtl/>
        </w:rPr>
        <w:t>من خلال استعراض الدراسات السابقة وتحليلها في محاورها الأربعة، يمكن استخلاص ما يلي</w:t>
      </w:r>
      <w:r w:rsidR="005C5B95" w:rsidRPr="005C5B95">
        <w:rPr>
          <w:rFonts w:ascii="Traditional Arabic" w:hAnsi="Traditional Arabic" w:cs="Traditional Arabic"/>
          <w:sz w:val="32"/>
          <w:szCs w:val="32"/>
        </w:rPr>
        <w:t>:</w:t>
      </w:r>
    </w:p>
    <w:p w14:paraId="42F42B40" w14:textId="3EF4A7E3" w:rsidR="00EA6969" w:rsidRPr="00EA6969" w:rsidRDefault="00EA6969" w:rsidP="00EA6969">
      <w:pPr>
        <w:pStyle w:val="ab"/>
        <w:bidi/>
        <w:spacing w:before="0" w:after="120"/>
        <w:jc w:val="center"/>
        <w:rPr>
          <w:rFonts w:ascii="Traditional Arabic" w:hAnsi="Traditional Arabic" w:cs="Traditional Arabic"/>
          <w:b/>
          <w:bCs/>
          <w:sz w:val="28"/>
          <w:szCs w:val="28"/>
        </w:rPr>
      </w:pPr>
      <w:r w:rsidRPr="00EA6969">
        <w:rPr>
          <w:rFonts w:ascii="Traditional Arabic" w:hAnsi="Traditional Arabic" w:cs="Traditional Arabic"/>
          <w:b/>
          <w:bCs/>
          <w:sz w:val="28"/>
          <w:szCs w:val="28"/>
          <w:rtl/>
        </w:rPr>
        <w:t>جدول (</w:t>
      </w:r>
      <w:r w:rsidR="00B34478">
        <w:rPr>
          <w:rFonts w:ascii="Traditional Arabic" w:hAnsi="Traditional Arabic" w:cs="Traditional Arabic" w:hint="cs"/>
          <w:b/>
          <w:bCs/>
          <w:sz w:val="28"/>
          <w:szCs w:val="28"/>
          <w:rtl/>
        </w:rPr>
        <w:t>2</w:t>
      </w:r>
      <w:r w:rsidRPr="00EA6969">
        <w:rPr>
          <w:rFonts w:ascii="Traditional Arabic" w:hAnsi="Traditional Arabic" w:cs="Traditional Arabic"/>
          <w:b/>
          <w:bCs/>
          <w:sz w:val="28"/>
          <w:szCs w:val="28"/>
          <w:rtl/>
        </w:rPr>
        <w:t>.</w:t>
      </w:r>
      <w:r w:rsidR="006D63D8">
        <w:rPr>
          <w:rFonts w:ascii="Traditional Arabic" w:hAnsi="Traditional Arabic" w:cs="Traditional Arabic" w:hint="cs"/>
          <w:b/>
          <w:bCs/>
          <w:sz w:val="28"/>
          <w:szCs w:val="28"/>
          <w:rtl/>
        </w:rPr>
        <w:t>1</w:t>
      </w:r>
      <w:r w:rsidRPr="00EA6969">
        <w:rPr>
          <w:rFonts w:ascii="Traditional Arabic" w:hAnsi="Traditional Arabic" w:cs="Traditional Arabic"/>
          <w:b/>
          <w:bCs/>
          <w:sz w:val="28"/>
          <w:szCs w:val="28"/>
          <w:rtl/>
        </w:rPr>
        <w:t>): خلاصة تحليلية للدراسات السابقة حسب محاور العلاقة</w:t>
      </w:r>
    </w:p>
    <w:tbl>
      <w:tblPr>
        <w:tblStyle w:val="TableGrid1"/>
        <w:tblW w:w="0" w:type="auto"/>
        <w:tblLook w:val="04A0" w:firstRow="1" w:lastRow="0" w:firstColumn="1" w:lastColumn="0" w:noHBand="0" w:noVBand="1"/>
      </w:tblPr>
      <w:tblGrid>
        <w:gridCol w:w="2432"/>
        <w:gridCol w:w="2572"/>
        <w:gridCol w:w="2111"/>
        <w:gridCol w:w="1662"/>
      </w:tblGrid>
      <w:tr w:rsidR="00EA6969" w:rsidRPr="00EA6969" w14:paraId="161D24B0" w14:textId="77777777" w:rsidTr="00EA6969">
        <w:tc>
          <w:tcPr>
            <w:tcW w:w="0" w:type="auto"/>
            <w:hideMark/>
          </w:tcPr>
          <w:p w14:paraId="5E251CF6" w14:textId="77777777" w:rsidR="00EA6969" w:rsidRPr="00EA6969" w:rsidRDefault="00EA6969" w:rsidP="00EA6969">
            <w:pPr>
              <w:pStyle w:val="ab"/>
              <w:bidi/>
              <w:spacing w:after="120"/>
              <w:jc w:val="center"/>
              <w:rPr>
                <w:rFonts w:ascii="Traditional Arabic" w:hAnsi="Traditional Arabic" w:cs="Traditional Arabic"/>
                <w:b/>
                <w:bCs/>
                <w:sz w:val="28"/>
                <w:szCs w:val="28"/>
              </w:rPr>
            </w:pPr>
            <w:r w:rsidRPr="00EA6969">
              <w:rPr>
                <w:rFonts w:ascii="Traditional Arabic" w:hAnsi="Traditional Arabic" w:cs="Traditional Arabic"/>
                <w:b/>
                <w:bCs/>
                <w:sz w:val="28"/>
                <w:szCs w:val="28"/>
                <w:rtl/>
              </w:rPr>
              <w:t>الحدود المنهجية والسياقية</w:t>
            </w:r>
          </w:p>
        </w:tc>
        <w:tc>
          <w:tcPr>
            <w:tcW w:w="0" w:type="auto"/>
            <w:hideMark/>
          </w:tcPr>
          <w:p w14:paraId="50D4EF6B" w14:textId="77777777" w:rsidR="00EA6969" w:rsidRPr="00EA6969" w:rsidRDefault="00EA6969" w:rsidP="00EA6969">
            <w:pPr>
              <w:pStyle w:val="ab"/>
              <w:bidi/>
              <w:spacing w:after="120"/>
              <w:jc w:val="center"/>
              <w:rPr>
                <w:rFonts w:ascii="Traditional Arabic" w:hAnsi="Traditional Arabic" w:cs="Traditional Arabic"/>
                <w:b/>
                <w:bCs/>
                <w:sz w:val="28"/>
                <w:szCs w:val="28"/>
              </w:rPr>
            </w:pPr>
            <w:r w:rsidRPr="00EA6969">
              <w:rPr>
                <w:rFonts w:ascii="Traditional Arabic" w:hAnsi="Traditional Arabic" w:cs="Traditional Arabic"/>
                <w:b/>
                <w:bCs/>
                <w:sz w:val="28"/>
                <w:szCs w:val="28"/>
                <w:rtl/>
              </w:rPr>
              <w:t>أوجه التعارض</w:t>
            </w:r>
          </w:p>
        </w:tc>
        <w:tc>
          <w:tcPr>
            <w:tcW w:w="0" w:type="auto"/>
            <w:hideMark/>
          </w:tcPr>
          <w:p w14:paraId="13F1C4D9" w14:textId="77777777" w:rsidR="00EA6969" w:rsidRPr="00EA6969" w:rsidRDefault="00EA6969" w:rsidP="00EA6969">
            <w:pPr>
              <w:pStyle w:val="ab"/>
              <w:bidi/>
              <w:spacing w:after="120"/>
              <w:jc w:val="center"/>
              <w:rPr>
                <w:rFonts w:ascii="Traditional Arabic" w:hAnsi="Traditional Arabic" w:cs="Traditional Arabic"/>
                <w:b/>
                <w:bCs/>
                <w:sz w:val="28"/>
                <w:szCs w:val="28"/>
              </w:rPr>
            </w:pPr>
            <w:r w:rsidRPr="00EA6969">
              <w:rPr>
                <w:rFonts w:ascii="Traditional Arabic" w:hAnsi="Traditional Arabic" w:cs="Traditional Arabic"/>
                <w:b/>
                <w:bCs/>
                <w:sz w:val="28"/>
                <w:szCs w:val="28"/>
                <w:rtl/>
              </w:rPr>
              <w:t>أوجه الاتفاق</w:t>
            </w:r>
          </w:p>
        </w:tc>
        <w:tc>
          <w:tcPr>
            <w:tcW w:w="0" w:type="auto"/>
            <w:hideMark/>
          </w:tcPr>
          <w:p w14:paraId="3D197EAA" w14:textId="77777777" w:rsidR="00EA6969" w:rsidRPr="00EA6969" w:rsidRDefault="00EA6969" w:rsidP="00EA6969">
            <w:pPr>
              <w:pStyle w:val="ab"/>
              <w:bidi/>
              <w:spacing w:after="120"/>
              <w:jc w:val="center"/>
              <w:rPr>
                <w:rFonts w:ascii="Traditional Arabic" w:hAnsi="Traditional Arabic" w:cs="Traditional Arabic"/>
                <w:b/>
                <w:bCs/>
                <w:sz w:val="28"/>
                <w:szCs w:val="28"/>
              </w:rPr>
            </w:pPr>
            <w:r w:rsidRPr="00EA6969">
              <w:rPr>
                <w:rFonts w:ascii="Traditional Arabic" w:hAnsi="Traditional Arabic" w:cs="Traditional Arabic"/>
                <w:b/>
                <w:bCs/>
                <w:sz w:val="28"/>
                <w:szCs w:val="28"/>
                <w:rtl/>
              </w:rPr>
              <w:t>المحور</w:t>
            </w:r>
          </w:p>
        </w:tc>
      </w:tr>
      <w:tr w:rsidR="00B34478" w:rsidRPr="00EA6969" w14:paraId="089EF186" w14:textId="77777777" w:rsidTr="00EA6969">
        <w:tc>
          <w:tcPr>
            <w:tcW w:w="0" w:type="auto"/>
          </w:tcPr>
          <w:p w14:paraId="1A47B3AA" w14:textId="1A7BF6E6" w:rsidR="00B34478" w:rsidRPr="00EA6969" w:rsidRDefault="00B34478" w:rsidP="00B34478">
            <w:pPr>
              <w:pStyle w:val="ab"/>
              <w:bidi/>
              <w:spacing w:after="120"/>
              <w:rPr>
                <w:rFonts w:ascii="Traditional Arabic" w:hAnsi="Traditional Arabic" w:cs="Traditional Arabic"/>
                <w:b/>
                <w:bCs/>
                <w:sz w:val="28"/>
                <w:szCs w:val="28"/>
                <w:rtl/>
              </w:rPr>
            </w:pPr>
            <w:r w:rsidRPr="00EA6969">
              <w:rPr>
                <w:rFonts w:ascii="Traditional Arabic" w:hAnsi="Traditional Arabic" w:cs="Traditional Arabic"/>
                <w:sz w:val="28"/>
                <w:szCs w:val="28"/>
                <w:rtl/>
              </w:rPr>
              <w:t>تنوع سياقات غير صحية،</w:t>
            </w:r>
            <w:r>
              <w:rPr>
                <w:rFonts w:ascii="Traditional Arabic" w:hAnsi="Traditional Arabic" w:cs="Traditional Arabic" w:hint="cs"/>
                <w:sz w:val="28"/>
                <w:szCs w:val="28"/>
                <w:rtl/>
              </w:rPr>
              <w:t xml:space="preserve"> </w:t>
            </w:r>
            <w:r w:rsidRPr="00EA6969">
              <w:rPr>
                <w:rFonts w:ascii="Traditional Arabic" w:hAnsi="Traditional Arabic" w:cs="Traditional Arabic"/>
                <w:sz w:val="28"/>
                <w:szCs w:val="28"/>
                <w:rtl/>
              </w:rPr>
              <w:t>وعدم وجود متغير وسيط</w:t>
            </w:r>
          </w:p>
        </w:tc>
        <w:tc>
          <w:tcPr>
            <w:tcW w:w="0" w:type="auto"/>
          </w:tcPr>
          <w:p w14:paraId="4BC44791" w14:textId="5F50E4D8" w:rsidR="00B34478" w:rsidRPr="00EA6969" w:rsidRDefault="00B34478" w:rsidP="00B34478">
            <w:pPr>
              <w:pStyle w:val="ab"/>
              <w:bidi/>
              <w:spacing w:after="120"/>
              <w:rPr>
                <w:rFonts w:ascii="Traditional Arabic" w:hAnsi="Traditional Arabic" w:cs="Traditional Arabic"/>
                <w:b/>
                <w:bCs/>
                <w:sz w:val="28"/>
                <w:szCs w:val="28"/>
                <w:rtl/>
              </w:rPr>
            </w:pPr>
            <w:r w:rsidRPr="00EA6969">
              <w:rPr>
                <w:rFonts w:ascii="Traditional Arabic" w:hAnsi="Traditional Arabic" w:cs="Traditional Arabic"/>
                <w:sz w:val="28"/>
                <w:szCs w:val="28"/>
                <w:rtl/>
              </w:rPr>
              <w:t>معظم الدراسات نظرت إلى إدارة المخاطر كمؤثر في التطوير، وليس العكس</w:t>
            </w:r>
          </w:p>
        </w:tc>
        <w:tc>
          <w:tcPr>
            <w:tcW w:w="0" w:type="auto"/>
          </w:tcPr>
          <w:p w14:paraId="43FA691B" w14:textId="3D682615" w:rsidR="00B34478" w:rsidRPr="00EA6969" w:rsidRDefault="00B34478" w:rsidP="00B34478">
            <w:pPr>
              <w:pStyle w:val="ab"/>
              <w:bidi/>
              <w:spacing w:after="120"/>
              <w:jc w:val="center"/>
              <w:rPr>
                <w:rFonts w:ascii="Traditional Arabic" w:hAnsi="Traditional Arabic" w:cs="Traditional Arabic"/>
                <w:b/>
                <w:bCs/>
                <w:sz w:val="28"/>
                <w:szCs w:val="28"/>
                <w:rtl/>
              </w:rPr>
            </w:pPr>
            <w:r w:rsidRPr="00EA6969">
              <w:rPr>
                <w:rFonts w:ascii="Traditional Arabic" w:hAnsi="Traditional Arabic" w:cs="Traditional Arabic"/>
                <w:sz w:val="28"/>
                <w:szCs w:val="28"/>
                <w:rtl/>
              </w:rPr>
              <w:t>وجود تأثير ذي دلالة</w:t>
            </w:r>
          </w:p>
        </w:tc>
        <w:tc>
          <w:tcPr>
            <w:tcW w:w="0" w:type="auto"/>
          </w:tcPr>
          <w:p w14:paraId="789F0C11" w14:textId="5F89D7E2" w:rsidR="00B34478" w:rsidRPr="00EA6969" w:rsidRDefault="00B34478" w:rsidP="00B34478">
            <w:pPr>
              <w:pStyle w:val="ab"/>
              <w:bidi/>
              <w:spacing w:after="120"/>
              <w:jc w:val="center"/>
              <w:rPr>
                <w:rFonts w:ascii="Traditional Arabic" w:hAnsi="Traditional Arabic" w:cs="Traditional Arabic"/>
                <w:b/>
                <w:bCs/>
                <w:sz w:val="28"/>
                <w:szCs w:val="28"/>
                <w:rtl/>
              </w:rPr>
            </w:pPr>
            <w:r w:rsidRPr="00EA6969">
              <w:rPr>
                <w:rFonts w:ascii="Traditional Arabic" w:hAnsi="Traditional Arabic" w:cs="Traditional Arabic"/>
                <w:sz w:val="28"/>
                <w:szCs w:val="28"/>
                <w:rtl/>
              </w:rPr>
              <w:t>التطوير التنظيمي وإدارة المخاطر</w:t>
            </w:r>
          </w:p>
        </w:tc>
      </w:tr>
      <w:tr w:rsidR="00EA6969" w:rsidRPr="00EA6969" w14:paraId="3D7C1BB2" w14:textId="77777777" w:rsidTr="00EA6969">
        <w:tc>
          <w:tcPr>
            <w:tcW w:w="0" w:type="auto"/>
            <w:hideMark/>
          </w:tcPr>
          <w:p w14:paraId="7715411C" w14:textId="77777777" w:rsidR="00EA6969" w:rsidRPr="00EA6969" w:rsidRDefault="00EA6969" w:rsidP="00EA6969">
            <w:pPr>
              <w:pStyle w:val="ab"/>
              <w:bidi/>
              <w:spacing w:after="120"/>
              <w:jc w:val="both"/>
              <w:rPr>
                <w:rFonts w:ascii="Traditional Arabic" w:hAnsi="Traditional Arabic" w:cs="Traditional Arabic"/>
                <w:sz w:val="28"/>
                <w:szCs w:val="28"/>
              </w:rPr>
            </w:pPr>
            <w:r w:rsidRPr="00EA6969">
              <w:rPr>
                <w:rFonts w:ascii="Traditional Arabic" w:hAnsi="Traditional Arabic" w:cs="Traditional Arabic"/>
                <w:sz w:val="28"/>
                <w:szCs w:val="28"/>
                <w:rtl/>
              </w:rPr>
              <w:t>معظمها في قطاعات غير صحية، وخارج السعودية، ولم تختبر الوساطة</w:t>
            </w:r>
          </w:p>
        </w:tc>
        <w:tc>
          <w:tcPr>
            <w:tcW w:w="0" w:type="auto"/>
            <w:hideMark/>
          </w:tcPr>
          <w:p w14:paraId="056FD2D3" w14:textId="77777777" w:rsidR="00EA6969" w:rsidRPr="00EA6969" w:rsidRDefault="00EA6969" w:rsidP="00EA6969">
            <w:pPr>
              <w:pStyle w:val="ab"/>
              <w:bidi/>
              <w:spacing w:after="120"/>
              <w:jc w:val="both"/>
              <w:rPr>
                <w:rFonts w:ascii="Traditional Arabic" w:hAnsi="Traditional Arabic" w:cs="Traditional Arabic"/>
                <w:sz w:val="28"/>
                <w:szCs w:val="28"/>
              </w:rPr>
            </w:pPr>
            <w:r w:rsidRPr="00EA6969">
              <w:rPr>
                <w:rFonts w:ascii="Traditional Arabic" w:hAnsi="Traditional Arabic" w:cs="Traditional Arabic"/>
                <w:sz w:val="28"/>
                <w:szCs w:val="28"/>
                <w:rtl/>
              </w:rPr>
              <w:t xml:space="preserve">اختلاف في اتجاه العلاقة (تكنولوجيا </w:t>
            </w:r>
            <w:r w:rsidRPr="00EA6969">
              <w:rPr>
                <w:rFonts w:hint="cs"/>
                <w:sz w:val="28"/>
                <w:szCs w:val="28"/>
                <w:rtl/>
              </w:rPr>
              <w:t>←</w:t>
            </w:r>
            <w:r w:rsidRPr="00EA6969">
              <w:rPr>
                <w:rFonts w:ascii="Traditional Arabic" w:hAnsi="Traditional Arabic" w:cs="Traditional Arabic"/>
                <w:sz w:val="28"/>
                <w:szCs w:val="28"/>
                <w:rtl/>
              </w:rPr>
              <w:t xml:space="preserve"> </w:t>
            </w:r>
            <w:r w:rsidRPr="00EA6969">
              <w:rPr>
                <w:rFonts w:ascii="Traditional Arabic" w:hAnsi="Traditional Arabic" w:cs="Traditional Arabic" w:hint="cs"/>
                <w:sz w:val="28"/>
                <w:szCs w:val="28"/>
                <w:rtl/>
              </w:rPr>
              <w:t>تطوير،</w:t>
            </w:r>
            <w:r w:rsidRPr="00EA6969">
              <w:rPr>
                <w:rFonts w:ascii="Traditional Arabic" w:hAnsi="Traditional Arabic" w:cs="Traditional Arabic"/>
                <w:sz w:val="28"/>
                <w:szCs w:val="28"/>
                <w:rtl/>
              </w:rPr>
              <w:t xml:space="preserve"> </w:t>
            </w:r>
            <w:r w:rsidRPr="00EA6969">
              <w:rPr>
                <w:rFonts w:ascii="Traditional Arabic" w:hAnsi="Traditional Arabic" w:cs="Traditional Arabic" w:hint="cs"/>
                <w:sz w:val="28"/>
                <w:szCs w:val="28"/>
                <w:rtl/>
              </w:rPr>
              <w:t>أم</w:t>
            </w:r>
            <w:r w:rsidRPr="00EA6969">
              <w:rPr>
                <w:rFonts w:ascii="Traditional Arabic" w:hAnsi="Traditional Arabic" w:cs="Traditional Arabic"/>
                <w:sz w:val="28"/>
                <w:szCs w:val="28"/>
                <w:rtl/>
              </w:rPr>
              <w:t xml:space="preserve"> </w:t>
            </w:r>
            <w:r w:rsidRPr="00EA6969">
              <w:rPr>
                <w:rFonts w:ascii="Traditional Arabic" w:hAnsi="Traditional Arabic" w:cs="Traditional Arabic" w:hint="cs"/>
                <w:sz w:val="28"/>
                <w:szCs w:val="28"/>
                <w:rtl/>
              </w:rPr>
              <w:t>تطوير</w:t>
            </w:r>
            <w:r w:rsidRPr="00EA6969">
              <w:rPr>
                <w:rFonts w:ascii="Traditional Arabic" w:hAnsi="Traditional Arabic" w:cs="Traditional Arabic"/>
                <w:sz w:val="28"/>
                <w:szCs w:val="28"/>
                <w:rtl/>
              </w:rPr>
              <w:t xml:space="preserve"> </w:t>
            </w:r>
            <w:r w:rsidRPr="00EA6969">
              <w:rPr>
                <w:rFonts w:hint="cs"/>
                <w:sz w:val="28"/>
                <w:szCs w:val="28"/>
                <w:rtl/>
              </w:rPr>
              <w:t>←</w:t>
            </w:r>
            <w:r w:rsidRPr="00EA6969">
              <w:rPr>
                <w:rFonts w:ascii="Traditional Arabic" w:hAnsi="Traditional Arabic" w:cs="Traditional Arabic"/>
                <w:sz w:val="28"/>
                <w:szCs w:val="28"/>
                <w:rtl/>
              </w:rPr>
              <w:t xml:space="preserve"> </w:t>
            </w:r>
            <w:r w:rsidRPr="00EA6969">
              <w:rPr>
                <w:rFonts w:ascii="Traditional Arabic" w:hAnsi="Traditional Arabic" w:cs="Traditional Arabic" w:hint="cs"/>
                <w:sz w:val="28"/>
                <w:szCs w:val="28"/>
                <w:rtl/>
              </w:rPr>
              <w:t>تكنولوجيا</w:t>
            </w:r>
            <w:r w:rsidRPr="00EA6969">
              <w:rPr>
                <w:rFonts w:ascii="Traditional Arabic" w:hAnsi="Traditional Arabic" w:cs="Traditional Arabic"/>
                <w:sz w:val="28"/>
                <w:szCs w:val="28"/>
                <w:rtl/>
              </w:rPr>
              <w:t>)</w:t>
            </w:r>
          </w:p>
        </w:tc>
        <w:tc>
          <w:tcPr>
            <w:tcW w:w="0" w:type="auto"/>
            <w:hideMark/>
          </w:tcPr>
          <w:p w14:paraId="2DF7A1AD" w14:textId="77777777" w:rsidR="00EA6969" w:rsidRPr="00EA6969" w:rsidRDefault="00EA6969" w:rsidP="00EA6969">
            <w:pPr>
              <w:pStyle w:val="ab"/>
              <w:bidi/>
              <w:spacing w:after="120"/>
              <w:jc w:val="both"/>
              <w:rPr>
                <w:rFonts w:ascii="Traditional Arabic" w:hAnsi="Traditional Arabic" w:cs="Traditional Arabic"/>
                <w:sz w:val="28"/>
                <w:szCs w:val="28"/>
              </w:rPr>
            </w:pPr>
            <w:r w:rsidRPr="00EA6969">
              <w:rPr>
                <w:rFonts w:ascii="Traditional Arabic" w:hAnsi="Traditional Arabic" w:cs="Traditional Arabic"/>
                <w:sz w:val="28"/>
                <w:szCs w:val="28"/>
                <w:rtl/>
              </w:rPr>
              <w:t>اتفاق على وجود علاقة إيجابية بين المتغيرين</w:t>
            </w:r>
          </w:p>
        </w:tc>
        <w:tc>
          <w:tcPr>
            <w:tcW w:w="0" w:type="auto"/>
            <w:hideMark/>
          </w:tcPr>
          <w:p w14:paraId="10022618" w14:textId="77777777" w:rsidR="00EA6969" w:rsidRPr="00EA6969" w:rsidRDefault="00EA6969" w:rsidP="00EA6969">
            <w:pPr>
              <w:pStyle w:val="ab"/>
              <w:bidi/>
              <w:spacing w:after="120"/>
              <w:jc w:val="both"/>
              <w:rPr>
                <w:rFonts w:ascii="Traditional Arabic" w:hAnsi="Traditional Arabic" w:cs="Traditional Arabic"/>
                <w:sz w:val="28"/>
                <w:szCs w:val="28"/>
              </w:rPr>
            </w:pPr>
            <w:r w:rsidRPr="00EA6969">
              <w:rPr>
                <w:rFonts w:ascii="Traditional Arabic" w:hAnsi="Traditional Arabic" w:cs="Traditional Arabic"/>
                <w:sz w:val="28"/>
                <w:szCs w:val="28"/>
                <w:rtl/>
              </w:rPr>
              <w:t>التطوير التنظيمي والتكنولوجيا الذكية</w:t>
            </w:r>
          </w:p>
        </w:tc>
      </w:tr>
      <w:tr w:rsidR="00EA6969" w:rsidRPr="00EA6969" w14:paraId="1476276D" w14:textId="77777777" w:rsidTr="00EA6969">
        <w:tc>
          <w:tcPr>
            <w:tcW w:w="0" w:type="auto"/>
            <w:hideMark/>
          </w:tcPr>
          <w:p w14:paraId="5D3F3F3F" w14:textId="77777777" w:rsidR="00EA6969" w:rsidRPr="00EA6969" w:rsidRDefault="00EA6969" w:rsidP="00EA6969">
            <w:pPr>
              <w:pStyle w:val="ab"/>
              <w:bidi/>
              <w:spacing w:after="120"/>
              <w:jc w:val="both"/>
              <w:rPr>
                <w:rFonts w:ascii="Traditional Arabic" w:hAnsi="Traditional Arabic" w:cs="Traditional Arabic"/>
                <w:sz w:val="28"/>
                <w:szCs w:val="28"/>
              </w:rPr>
            </w:pPr>
            <w:r w:rsidRPr="00EA6969">
              <w:rPr>
                <w:rFonts w:ascii="Traditional Arabic" w:hAnsi="Traditional Arabic" w:cs="Traditional Arabic"/>
                <w:sz w:val="28"/>
                <w:szCs w:val="28"/>
                <w:rtl/>
              </w:rPr>
              <w:t>غياب السياق السعودي، وعدم اختبار التكنولوجيا كوسيط</w:t>
            </w:r>
          </w:p>
        </w:tc>
        <w:tc>
          <w:tcPr>
            <w:tcW w:w="0" w:type="auto"/>
            <w:hideMark/>
          </w:tcPr>
          <w:p w14:paraId="5E6A4DF2" w14:textId="77777777" w:rsidR="00EA6969" w:rsidRPr="00EA6969" w:rsidRDefault="00EA6969" w:rsidP="00EA6969">
            <w:pPr>
              <w:pStyle w:val="ab"/>
              <w:bidi/>
              <w:spacing w:after="120"/>
              <w:jc w:val="both"/>
              <w:rPr>
                <w:rFonts w:ascii="Traditional Arabic" w:hAnsi="Traditional Arabic" w:cs="Traditional Arabic"/>
                <w:sz w:val="28"/>
                <w:szCs w:val="28"/>
              </w:rPr>
            </w:pPr>
            <w:r w:rsidRPr="00EA6969">
              <w:rPr>
                <w:rFonts w:ascii="Traditional Arabic" w:hAnsi="Traditional Arabic" w:cs="Traditional Arabic"/>
                <w:sz w:val="28"/>
                <w:szCs w:val="28"/>
                <w:rtl/>
              </w:rPr>
              <w:t>بعضها ركز على المخاطر المالية، وبعضها على المخاطر الصحية</w:t>
            </w:r>
          </w:p>
        </w:tc>
        <w:tc>
          <w:tcPr>
            <w:tcW w:w="0" w:type="auto"/>
            <w:hideMark/>
          </w:tcPr>
          <w:p w14:paraId="2F3D12A2" w14:textId="77777777" w:rsidR="00EA6969" w:rsidRPr="00EA6969" w:rsidRDefault="00EA6969" w:rsidP="00EA6969">
            <w:pPr>
              <w:pStyle w:val="ab"/>
              <w:bidi/>
              <w:spacing w:after="120"/>
              <w:jc w:val="both"/>
              <w:rPr>
                <w:rFonts w:ascii="Traditional Arabic" w:hAnsi="Traditional Arabic" w:cs="Traditional Arabic"/>
                <w:sz w:val="28"/>
                <w:szCs w:val="28"/>
              </w:rPr>
            </w:pPr>
            <w:r w:rsidRPr="00EA6969">
              <w:rPr>
                <w:rFonts w:ascii="Traditional Arabic" w:hAnsi="Traditional Arabic" w:cs="Traditional Arabic"/>
                <w:sz w:val="28"/>
                <w:szCs w:val="28"/>
                <w:rtl/>
              </w:rPr>
              <w:t>اتفاق على أن التكنولوجيا تحسن إدارة المخاطر أو تقللها</w:t>
            </w:r>
          </w:p>
        </w:tc>
        <w:tc>
          <w:tcPr>
            <w:tcW w:w="0" w:type="auto"/>
            <w:hideMark/>
          </w:tcPr>
          <w:p w14:paraId="5500A2E6" w14:textId="77777777" w:rsidR="00EA6969" w:rsidRPr="00EA6969" w:rsidRDefault="00EA6969" w:rsidP="00EA6969">
            <w:pPr>
              <w:pStyle w:val="ab"/>
              <w:bidi/>
              <w:spacing w:after="120"/>
              <w:jc w:val="both"/>
              <w:rPr>
                <w:rFonts w:ascii="Traditional Arabic" w:hAnsi="Traditional Arabic" w:cs="Traditional Arabic"/>
                <w:sz w:val="28"/>
                <w:szCs w:val="28"/>
              </w:rPr>
            </w:pPr>
            <w:r w:rsidRPr="00EA6969">
              <w:rPr>
                <w:rFonts w:ascii="Traditional Arabic" w:hAnsi="Traditional Arabic" w:cs="Traditional Arabic"/>
                <w:sz w:val="28"/>
                <w:szCs w:val="28"/>
                <w:rtl/>
              </w:rPr>
              <w:t>التكنولوجيا الذكية وإدارة المخاطر</w:t>
            </w:r>
          </w:p>
        </w:tc>
      </w:tr>
      <w:tr w:rsidR="00EA6969" w:rsidRPr="00EA6969" w14:paraId="45A288F0" w14:textId="77777777" w:rsidTr="00EA6969">
        <w:tc>
          <w:tcPr>
            <w:tcW w:w="0" w:type="auto"/>
            <w:hideMark/>
          </w:tcPr>
          <w:p w14:paraId="3ACC8CEC" w14:textId="77777777" w:rsidR="00EA6969" w:rsidRPr="00EA6969" w:rsidRDefault="00EA6969" w:rsidP="00EA6969">
            <w:pPr>
              <w:pStyle w:val="ab"/>
              <w:bidi/>
              <w:spacing w:after="120"/>
              <w:jc w:val="both"/>
              <w:rPr>
                <w:rFonts w:ascii="Traditional Arabic" w:hAnsi="Traditional Arabic" w:cs="Traditional Arabic"/>
                <w:sz w:val="28"/>
                <w:szCs w:val="28"/>
              </w:rPr>
            </w:pPr>
            <w:r w:rsidRPr="00EA6969">
              <w:rPr>
                <w:rFonts w:ascii="Traditional Arabic" w:hAnsi="Traditional Arabic" w:cs="Traditional Arabic"/>
                <w:sz w:val="28"/>
                <w:szCs w:val="28"/>
                <w:rtl/>
              </w:rPr>
              <w:t>قطاعات متعددة، منهجيات وصفية في الغالب</w:t>
            </w:r>
          </w:p>
        </w:tc>
        <w:tc>
          <w:tcPr>
            <w:tcW w:w="0" w:type="auto"/>
            <w:hideMark/>
          </w:tcPr>
          <w:p w14:paraId="54471AC4" w14:textId="77777777" w:rsidR="00EA6969" w:rsidRPr="00EA6969" w:rsidRDefault="00EA6969" w:rsidP="00EA6969">
            <w:pPr>
              <w:pStyle w:val="ab"/>
              <w:bidi/>
              <w:spacing w:after="120"/>
              <w:jc w:val="both"/>
              <w:rPr>
                <w:rFonts w:ascii="Traditional Arabic" w:hAnsi="Traditional Arabic" w:cs="Traditional Arabic"/>
                <w:sz w:val="28"/>
                <w:szCs w:val="28"/>
              </w:rPr>
            </w:pPr>
            <w:r w:rsidRPr="00EA6969">
              <w:rPr>
                <w:rFonts w:ascii="Traditional Arabic" w:hAnsi="Traditional Arabic" w:cs="Traditional Arabic"/>
                <w:sz w:val="28"/>
                <w:szCs w:val="28"/>
                <w:rtl/>
              </w:rPr>
              <w:t>لم تختبر علاقات سببية بين المتغيرات</w:t>
            </w:r>
          </w:p>
        </w:tc>
        <w:tc>
          <w:tcPr>
            <w:tcW w:w="0" w:type="auto"/>
            <w:hideMark/>
          </w:tcPr>
          <w:p w14:paraId="46DAB3A9" w14:textId="77777777" w:rsidR="00EA6969" w:rsidRPr="00EA6969" w:rsidRDefault="00EA6969" w:rsidP="00EA6969">
            <w:pPr>
              <w:pStyle w:val="ab"/>
              <w:bidi/>
              <w:spacing w:after="120"/>
              <w:jc w:val="both"/>
              <w:rPr>
                <w:rFonts w:ascii="Traditional Arabic" w:hAnsi="Traditional Arabic" w:cs="Traditional Arabic"/>
                <w:sz w:val="28"/>
                <w:szCs w:val="28"/>
              </w:rPr>
            </w:pPr>
            <w:r w:rsidRPr="00EA6969">
              <w:rPr>
                <w:rFonts w:ascii="Traditional Arabic" w:hAnsi="Traditional Arabic" w:cs="Traditional Arabic"/>
                <w:sz w:val="28"/>
                <w:szCs w:val="28"/>
                <w:rtl/>
              </w:rPr>
              <w:t>قدمت تأصيلاً مفاهيميًا جيدًا</w:t>
            </w:r>
          </w:p>
        </w:tc>
        <w:tc>
          <w:tcPr>
            <w:tcW w:w="0" w:type="auto"/>
            <w:hideMark/>
          </w:tcPr>
          <w:p w14:paraId="4F2B27CB" w14:textId="77777777" w:rsidR="00EA6969" w:rsidRPr="00EA6969" w:rsidRDefault="00EA6969" w:rsidP="00EA6969">
            <w:pPr>
              <w:pStyle w:val="ab"/>
              <w:bidi/>
              <w:spacing w:after="120"/>
              <w:jc w:val="both"/>
              <w:rPr>
                <w:rFonts w:ascii="Traditional Arabic" w:hAnsi="Traditional Arabic" w:cs="Traditional Arabic"/>
                <w:sz w:val="28"/>
                <w:szCs w:val="28"/>
              </w:rPr>
            </w:pPr>
            <w:r w:rsidRPr="00EA6969">
              <w:rPr>
                <w:rFonts w:ascii="Traditional Arabic" w:hAnsi="Traditional Arabic" w:cs="Traditional Arabic"/>
                <w:sz w:val="28"/>
                <w:szCs w:val="28"/>
                <w:rtl/>
              </w:rPr>
              <w:t>الدراسات المنفردة</w:t>
            </w:r>
          </w:p>
        </w:tc>
      </w:tr>
    </w:tbl>
    <w:p w14:paraId="250DAA0C" w14:textId="0E888DE7" w:rsidR="005C5B95" w:rsidRPr="005C5B95" w:rsidRDefault="005C5B95" w:rsidP="005C5B95">
      <w:pPr>
        <w:pStyle w:val="ab"/>
        <w:bidi/>
        <w:spacing w:before="0" w:after="120"/>
        <w:jc w:val="both"/>
        <w:rPr>
          <w:rFonts w:ascii="Traditional Arabic" w:hAnsi="Traditional Arabic" w:cs="Traditional Arabic"/>
          <w:b/>
          <w:bCs/>
          <w:sz w:val="32"/>
          <w:szCs w:val="32"/>
        </w:rPr>
      </w:pPr>
      <w:r w:rsidRPr="005C5B95">
        <w:rPr>
          <w:rFonts w:ascii="Traditional Arabic" w:hAnsi="Traditional Arabic" w:cs="Traditional Arabic"/>
          <w:b/>
          <w:bCs/>
          <w:sz w:val="32"/>
          <w:szCs w:val="32"/>
          <w:rtl/>
        </w:rPr>
        <w:lastRenderedPageBreak/>
        <w:t>الفجوة البحثية المستخلصة من الدراسات السابقة</w:t>
      </w:r>
      <w:r w:rsidR="00EA6969">
        <w:rPr>
          <w:rFonts w:ascii="Traditional Arabic" w:hAnsi="Traditional Arabic" w:cs="Traditional Arabic" w:hint="cs"/>
          <w:b/>
          <w:bCs/>
          <w:sz w:val="32"/>
          <w:szCs w:val="32"/>
          <w:rtl/>
        </w:rPr>
        <w:t>:</w:t>
      </w:r>
    </w:p>
    <w:p w14:paraId="184160C9" w14:textId="77777777" w:rsidR="005C5B95" w:rsidRPr="005C5B95" w:rsidRDefault="005C5B95" w:rsidP="005C5B95">
      <w:pPr>
        <w:pStyle w:val="ab"/>
        <w:bidi/>
        <w:spacing w:before="0" w:after="120"/>
        <w:jc w:val="both"/>
        <w:rPr>
          <w:rFonts w:ascii="Traditional Arabic" w:hAnsi="Traditional Arabic" w:cs="Traditional Arabic"/>
          <w:sz w:val="32"/>
          <w:szCs w:val="32"/>
        </w:rPr>
      </w:pPr>
      <w:r w:rsidRPr="005C5B95">
        <w:rPr>
          <w:rFonts w:ascii="Traditional Arabic" w:hAnsi="Traditional Arabic" w:cs="Traditional Arabic"/>
          <w:sz w:val="32"/>
          <w:szCs w:val="32"/>
          <w:rtl/>
        </w:rPr>
        <w:t>بناءً على التحليل السابق، يمكن تحديد الفجوة البحثية في النقاط التالية</w:t>
      </w:r>
      <w:r w:rsidRPr="005C5B95">
        <w:rPr>
          <w:rFonts w:ascii="Traditional Arabic" w:hAnsi="Traditional Arabic" w:cs="Traditional Arabic"/>
          <w:sz w:val="32"/>
          <w:szCs w:val="32"/>
        </w:rPr>
        <w:t>:</w:t>
      </w:r>
    </w:p>
    <w:p w14:paraId="1F2AAB01" w14:textId="77777777" w:rsidR="005C5B95" w:rsidRPr="005C5B95" w:rsidRDefault="005C5B95" w:rsidP="005C5B95">
      <w:pPr>
        <w:pStyle w:val="ab"/>
        <w:numPr>
          <w:ilvl w:val="0"/>
          <w:numId w:val="107"/>
        </w:numPr>
        <w:bidi/>
        <w:spacing w:after="120"/>
        <w:jc w:val="both"/>
        <w:rPr>
          <w:rFonts w:ascii="Traditional Arabic" w:hAnsi="Traditional Arabic" w:cs="Traditional Arabic"/>
          <w:sz w:val="32"/>
          <w:szCs w:val="32"/>
        </w:rPr>
      </w:pPr>
      <w:r w:rsidRPr="005C5B95">
        <w:rPr>
          <w:rFonts w:ascii="Traditional Arabic" w:hAnsi="Traditional Arabic" w:cs="Traditional Arabic"/>
          <w:sz w:val="32"/>
          <w:szCs w:val="32"/>
          <w:rtl/>
        </w:rPr>
        <w:t>ندرة الدراسات التي جمعت المتغيرات الثلاثة معًا (التطوير التنظيمي، التكنولوجيا الذكية، إدارة المخاطر) في نموذج سببي واحد يختبر العلاقات المباشرة وغير المباشرة</w:t>
      </w:r>
      <w:r w:rsidRPr="005C5B95">
        <w:rPr>
          <w:rFonts w:ascii="Traditional Arabic" w:hAnsi="Traditional Arabic" w:cs="Traditional Arabic"/>
          <w:sz w:val="32"/>
          <w:szCs w:val="32"/>
        </w:rPr>
        <w:t>.</w:t>
      </w:r>
    </w:p>
    <w:p w14:paraId="42EF10BE" w14:textId="5C71AE4E" w:rsidR="005C5B95" w:rsidRPr="005C5B95" w:rsidRDefault="005C5B95" w:rsidP="005C5B95">
      <w:pPr>
        <w:pStyle w:val="ab"/>
        <w:numPr>
          <w:ilvl w:val="0"/>
          <w:numId w:val="107"/>
        </w:numPr>
        <w:bidi/>
        <w:spacing w:after="120"/>
        <w:jc w:val="both"/>
        <w:rPr>
          <w:rFonts w:ascii="Traditional Arabic" w:hAnsi="Traditional Arabic" w:cs="Traditional Arabic"/>
          <w:sz w:val="32"/>
          <w:szCs w:val="32"/>
        </w:rPr>
      </w:pPr>
      <w:r w:rsidRPr="005C5B95">
        <w:rPr>
          <w:rFonts w:ascii="Traditional Arabic" w:hAnsi="Traditional Arabic" w:cs="Traditional Arabic"/>
          <w:sz w:val="32"/>
          <w:szCs w:val="32"/>
          <w:rtl/>
        </w:rPr>
        <w:t>رغم أن الأدبيات النظرية</w:t>
      </w:r>
      <w:r w:rsidR="00EA6969">
        <w:rPr>
          <w:rFonts w:ascii="Traditional Arabic" w:hAnsi="Traditional Arabic" w:cs="Traditional Arabic" w:hint="cs"/>
          <w:sz w:val="32"/>
          <w:szCs w:val="32"/>
          <w:rtl/>
        </w:rPr>
        <w:t xml:space="preserve"> المستندة إلى </w:t>
      </w:r>
      <w:r w:rsidRPr="005C5B95">
        <w:rPr>
          <w:rFonts w:ascii="Traditional Arabic" w:hAnsi="Traditional Arabic" w:cs="Traditional Arabic"/>
          <w:sz w:val="32"/>
          <w:szCs w:val="32"/>
          <w:rtl/>
        </w:rPr>
        <w:t>نظرية النظم المفتوحة ومنطق الوساطة</w:t>
      </w:r>
      <w:r w:rsidR="00EA6969">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 xml:space="preserve">توحي </w:t>
      </w:r>
      <w:r w:rsidR="00EA6969">
        <w:rPr>
          <w:rFonts w:ascii="Traditional Arabic" w:hAnsi="Traditional Arabic" w:cs="Traditional Arabic" w:hint="cs"/>
          <w:sz w:val="32"/>
          <w:szCs w:val="32"/>
          <w:rtl/>
        </w:rPr>
        <w:t xml:space="preserve">بوجود </w:t>
      </w:r>
      <w:r w:rsidR="00EA6969" w:rsidRPr="005C5B95">
        <w:rPr>
          <w:rFonts w:ascii="Traditional Arabic" w:hAnsi="Traditional Arabic" w:cs="Traditional Arabic"/>
          <w:sz w:val="32"/>
          <w:szCs w:val="32"/>
          <w:rtl/>
        </w:rPr>
        <w:t>دور وسيط للتكنولوجيا الذكية في العلاقة بين التطوير التنظيمي وإدارة المخاطر،</w:t>
      </w:r>
      <w:r w:rsidR="00EA6969">
        <w:rPr>
          <w:rFonts w:ascii="Traditional Arabic" w:hAnsi="Traditional Arabic" w:cs="Traditional Arabic" w:hint="cs"/>
          <w:sz w:val="32"/>
          <w:szCs w:val="32"/>
          <w:rtl/>
        </w:rPr>
        <w:t xml:space="preserve"> إلا أنها لم تتناول هذا الدور بشكل واضح وصريح.</w:t>
      </w:r>
    </w:p>
    <w:p w14:paraId="68621885" w14:textId="1C56B03A" w:rsidR="005C5B95" w:rsidRPr="005C5B95" w:rsidRDefault="005C5B95" w:rsidP="005C5B95">
      <w:pPr>
        <w:pStyle w:val="ab"/>
        <w:numPr>
          <w:ilvl w:val="0"/>
          <w:numId w:val="107"/>
        </w:numPr>
        <w:bidi/>
        <w:spacing w:after="120"/>
        <w:jc w:val="both"/>
        <w:rPr>
          <w:rFonts w:ascii="Traditional Arabic" w:hAnsi="Traditional Arabic" w:cs="Traditional Arabic"/>
          <w:sz w:val="32"/>
          <w:szCs w:val="32"/>
        </w:rPr>
      </w:pPr>
      <w:r w:rsidRPr="005C5B95">
        <w:rPr>
          <w:rFonts w:ascii="Traditional Arabic" w:hAnsi="Traditional Arabic" w:cs="Traditional Arabic"/>
          <w:sz w:val="32"/>
          <w:szCs w:val="32"/>
          <w:rtl/>
        </w:rPr>
        <w:t xml:space="preserve">قلة الدراسات </w:t>
      </w:r>
      <w:r w:rsidR="00EA6969">
        <w:rPr>
          <w:rFonts w:ascii="Traditional Arabic" w:hAnsi="Traditional Arabic" w:cs="Traditional Arabic" w:hint="cs"/>
          <w:sz w:val="32"/>
          <w:szCs w:val="32"/>
          <w:rtl/>
        </w:rPr>
        <w:t xml:space="preserve">الميدانية التي طٌبقت على </w:t>
      </w:r>
      <w:r w:rsidRPr="005C5B95">
        <w:rPr>
          <w:rFonts w:ascii="Traditional Arabic" w:hAnsi="Traditional Arabic" w:cs="Traditional Arabic"/>
          <w:sz w:val="32"/>
          <w:szCs w:val="32"/>
          <w:rtl/>
        </w:rPr>
        <w:t>القطاع الصحي السعودي، خاصة في مستشفيات</w:t>
      </w:r>
      <w:r w:rsidR="00EA6969">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 xml:space="preserve">منطقة الباحة، مما يحد من فهم واقع هذه المتغيرات في سياق </w:t>
      </w:r>
      <w:r w:rsidR="00EA6969">
        <w:rPr>
          <w:rFonts w:ascii="Traditional Arabic" w:hAnsi="Traditional Arabic" w:cs="Traditional Arabic" w:hint="cs"/>
          <w:sz w:val="32"/>
          <w:szCs w:val="32"/>
          <w:rtl/>
        </w:rPr>
        <w:t>ال</w:t>
      </w:r>
      <w:r w:rsidRPr="005C5B95">
        <w:rPr>
          <w:rFonts w:ascii="Traditional Arabic" w:hAnsi="Traditional Arabic" w:cs="Traditional Arabic"/>
          <w:sz w:val="32"/>
          <w:szCs w:val="32"/>
          <w:rtl/>
        </w:rPr>
        <w:t>محلي</w:t>
      </w:r>
      <w:r w:rsidR="00EA6969">
        <w:rPr>
          <w:rFonts w:ascii="Traditional Arabic" w:hAnsi="Traditional Arabic" w:cs="Traditional Arabic" w:hint="cs"/>
          <w:sz w:val="32"/>
          <w:szCs w:val="32"/>
          <w:rtl/>
        </w:rPr>
        <w:t>، الذي ينفرد بخصائص مميزة.</w:t>
      </w:r>
    </w:p>
    <w:p w14:paraId="16539BCF" w14:textId="7629B227" w:rsidR="005C5B95" w:rsidRPr="005C5B95" w:rsidRDefault="005C5B95" w:rsidP="005C5B95">
      <w:pPr>
        <w:pStyle w:val="ab"/>
        <w:numPr>
          <w:ilvl w:val="0"/>
          <w:numId w:val="107"/>
        </w:numPr>
        <w:bidi/>
        <w:spacing w:after="120"/>
        <w:jc w:val="both"/>
        <w:rPr>
          <w:rFonts w:ascii="Traditional Arabic" w:hAnsi="Traditional Arabic" w:cs="Traditional Arabic"/>
          <w:sz w:val="32"/>
          <w:szCs w:val="32"/>
        </w:rPr>
      </w:pPr>
      <w:r w:rsidRPr="005C5B95">
        <w:rPr>
          <w:rFonts w:ascii="Traditional Arabic" w:hAnsi="Traditional Arabic" w:cs="Traditional Arabic"/>
          <w:sz w:val="32"/>
          <w:szCs w:val="32"/>
          <w:rtl/>
        </w:rPr>
        <w:t>ركزت معظم الدراسات السابقة على العلاقات المباشرة فقط</w:t>
      </w:r>
      <w:r w:rsidR="00EA6969">
        <w:rPr>
          <w:rFonts w:ascii="Traditional Arabic" w:hAnsi="Traditional Arabic" w:cs="Traditional Arabic" w:hint="cs"/>
          <w:sz w:val="32"/>
          <w:szCs w:val="32"/>
          <w:rtl/>
        </w:rPr>
        <w:t>،</w:t>
      </w:r>
      <w:r w:rsidR="00EA6969" w:rsidRPr="00EA6969">
        <w:rPr>
          <w:rFonts w:ascii="Traditional Arabic" w:hAnsi="Traditional Arabic" w:cs="Traditional Arabic"/>
          <w:sz w:val="32"/>
          <w:szCs w:val="32"/>
          <w:rtl/>
        </w:rPr>
        <w:t xml:space="preserve"> </w:t>
      </w:r>
      <w:r w:rsidR="00EA6969">
        <w:rPr>
          <w:rFonts w:ascii="Traditional Arabic" w:hAnsi="Traditional Arabic" w:cs="Traditional Arabic" w:hint="cs"/>
          <w:sz w:val="32"/>
          <w:szCs w:val="32"/>
          <w:rtl/>
        </w:rPr>
        <w:t xml:space="preserve">وبالتالي افتقرت إلى </w:t>
      </w:r>
      <w:r w:rsidR="00EA6969" w:rsidRPr="005C5B95">
        <w:rPr>
          <w:rFonts w:ascii="Traditional Arabic" w:hAnsi="Traditional Arabic" w:cs="Traditional Arabic"/>
          <w:sz w:val="32"/>
          <w:szCs w:val="32"/>
          <w:rtl/>
        </w:rPr>
        <w:t>نموذج يقيس التأثير غير المباشر بين المتغيرات</w:t>
      </w:r>
      <w:r w:rsidR="00EA6969" w:rsidRPr="00EA6969">
        <w:rPr>
          <w:rFonts w:ascii="Traditional Arabic" w:hAnsi="Traditional Arabic" w:cs="Traditional Arabic" w:hint="cs"/>
          <w:sz w:val="32"/>
          <w:szCs w:val="32"/>
          <w:rtl/>
        </w:rPr>
        <w:t>.</w:t>
      </w:r>
    </w:p>
    <w:p w14:paraId="208D007C" w14:textId="2A8E0EB7" w:rsidR="005C5B95" w:rsidRDefault="005C5B95" w:rsidP="005C5B95">
      <w:pPr>
        <w:pStyle w:val="ab"/>
        <w:bidi/>
        <w:spacing w:before="0" w:after="120"/>
        <w:jc w:val="both"/>
        <w:rPr>
          <w:rFonts w:ascii="Traditional Arabic" w:hAnsi="Traditional Arabic" w:cs="Traditional Arabic"/>
          <w:sz w:val="32"/>
          <w:szCs w:val="32"/>
          <w:rtl/>
        </w:rPr>
      </w:pPr>
      <w:r w:rsidRPr="005C5B95">
        <w:rPr>
          <w:rFonts w:ascii="Traditional Arabic" w:hAnsi="Traditional Arabic" w:cs="Traditional Arabic"/>
          <w:sz w:val="32"/>
          <w:szCs w:val="32"/>
          <w:rtl/>
        </w:rPr>
        <w:t xml:space="preserve">وانطلاقًا من هذه الفجوة، تأتي الدراسة الحالية لتقدم </w:t>
      </w:r>
      <w:r w:rsidR="00EA6969">
        <w:rPr>
          <w:rFonts w:ascii="Traditional Arabic" w:hAnsi="Traditional Arabic" w:cs="Traditional Arabic" w:hint="cs"/>
          <w:sz w:val="32"/>
          <w:szCs w:val="32"/>
          <w:rtl/>
        </w:rPr>
        <w:t xml:space="preserve">نموذجًا كميًا لاختبار </w:t>
      </w:r>
      <w:r w:rsidRPr="005C5B95">
        <w:rPr>
          <w:rFonts w:ascii="Traditional Arabic" w:hAnsi="Traditional Arabic" w:cs="Traditional Arabic"/>
          <w:sz w:val="32"/>
          <w:szCs w:val="32"/>
          <w:rtl/>
        </w:rPr>
        <w:t>أثر التطوير التنظيمي على إدارة المخاطر من خلال الدور الوسيط للتكنولوجيا الذكية، في مستشفى الملك فهد المركزي بالباحة</w:t>
      </w:r>
      <w:r w:rsidR="00FC1F7D">
        <w:rPr>
          <w:rFonts w:ascii="Traditional Arabic" w:hAnsi="Traditional Arabic" w:cs="Traditional Arabic" w:hint="cs"/>
          <w:sz w:val="32"/>
          <w:szCs w:val="32"/>
          <w:rtl/>
        </w:rPr>
        <w:t>، وهو ما ي</w:t>
      </w:r>
      <w:r w:rsidRPr="005C5B95">
        <w:rPr>
          <w:rFonts w:ascii="Traditional Arabic" w:hAnsi="Traditional Arabic" w:cs="Traditional Arabic"/>
          <w:sz w:val="32"/>
          <w:szCs w:val="32"/>
          <w:rtl/>
        </w:rPr>
        <w:t>سمح باختبار العلاقات السببية بين المتغيرات الرئيسة وأبعادها</w:t>
      </w:r>
      <w:r w:rsidRPr="005C5B95">
        <w:rPr>
          <w:rFonts w:ascii="Traditional Arabic" w:hAnsi="Traditional Arabic" w:cs="Traditional Arabic"/>
          <w:sz w:val="32"/>
          <w:szCs w:val="32"/>
        </w:rPr>
        <w:t>.</w:t>
      </w:r>
    </w:p>
    <w:p w14:paraId="1AB50370" w14:textId="77777777" w:rsidR="00FC1F7D" w:rsidRDefault="00FC1F7D" w:rsidP="00FC1F7D">
      <w:pPr>
        <w:pStyle w:val="ab"/>
        <w:bidi/>
        <w:spacing w:before="0" w:after="120"/>
        <w:jc w:val="both"/>
        <w:rPr>
          <w:rFonts w:ascii="Traditional Arabic" w:hAnsi="Traditional Arabic" w:cs="Traditional Arabic"/>
          <w:b/>
          <w:bCs/>
          <w:sz w:val="36"/>
          <w:szCs w:val="36"/>
          <w:rtl/>
        </w:rPr>
      </w:pPr>
      <w:r w:rsidRPr="00FC1F7D">
        <w:rPr>
          <w:rFonts w:ascii="Traditional Arabic" w:hAnsi="Traditional Arabic" w:cs="Traditional Arabic" w:hint="cs"/>
          <w:b/>
          <w:bCs/>
          <w:sz w:val="36"/>
          <w:szCs w:val="36"/>
          <w:rtl/>
        </w:rPr>
        <w:t>خامسًا: فرضيات الدراسة</w:t>
      </w:r>
    </w:p>
    <w:p w14:paraId="1CA8F860" w14:textId="2B3CB0AF" w:rsidR="00FC1F7D" w:rsidRDefault="00FC1F7D" w:rsidP="00FC1F7D">
      <w:pPr>
        <w:pStyle w:val="ab"/>
        <w:bidi/>
        <w:spacing w:before="0" w:after="120"/>
        <w:jc w:val="both"/>
        <w:rPr>
          <w:rFonts w:ascii="Traditional Arabic" w:hAnsi="Traditional Arabic" w:cs="Traditional Arabic"/>
          <w:sz w:val="32"/>
          <w:szCs w:val="32"/>
          <w:rtl/>
        </w:rPr>
      </w:pPr>
      <w:r w:rsidRPr="00FC1F7D">
        <w:rPr>
          <w:rFonts w:ascii="Traditional Arabic" w:hAnsi="Traditional Arabic" w:cs="Traditional Arabic"/>
          <w:sz w:val="32"/>
          <w:szCs w:val="32"/>
          <w:rtl/>
        </w:rPr>
        <w:t>انطلاقًا من الإطار النظري الذي استند إلى نظرية النظم المفتوحة ومنطق الوساطة، ومن نموذج الدراسة المفاهيمي الذي حدد العلاقات السببية بين المتغيرات، ومن الفجوة البحثية التي كشفت عن ندرة الدراسات التي جمعت المتغيرات الثلاثة معًا في سياق صحي سعودي، تم صياغة الفرضيات التالية لاختبارها ميدانيًا</w:t>
      </w:r>
      <w:r>
        <w:rPr>
          <w:rFonts w:ascii="Traditional Arabic" w:hAnsi="Traditional Arabic" w:cs="Traditional Arabic" w:hint="cs"/>
          <w:sz w:val="32"/>
          <w:szCs w:val="32"/>
          <w:rtl/>
        </w:rPr>
        <w:t>:</w:t>
      </w:r>
    </w:p>
    <w:p w14:paraId="632B7988" w14:textId="55D8A9E2" w:rsidR="00FC1F7D" w:rsidRPr="00B34478" w:rsidRDefault="00FC1F7D" w:rsidP="00B34478">
      <w:pPr>
        <w:pStyle w:val="a6"/>
        <w:numPr>
          <w:ilvl w:val="1"/>
          <w:numId w:val="110"/>
        </w:numPr>
        <w:bidi/>
        <w:spacing w:after="0" w:line="276" w:lineRule="auto"/>
        <w:jc w:val="both"/>
        <w:rPr>
          <w:rFonts w:ascii="Traditional Arabic" w:hAnsi="Traditional Arabic" w:cs="Traditional Arabic"/>
          <w:color w:val="000000" w:themeColor="text1"/>
          <w:sz w:val="28"/>
          <w:szCs w:val="28"/>
          <w:rtl/>
        </w:rPr>
      </w:pPr>
      <w:r w:rsidRPr="00B34478">
        <w:rPr>
          <w:rFonts w:ascii="Traditional Arabic" w:hAnsi="Traditional Arabic" w:cs="Traditional Arabic"/>
          <w:b/>
          <w:bCs/>
          <w:color w:val="000000" w:themeColor="text1"/>
          <w:sz w:val="32"/>
          <w:szCs w:val="32"/>
          <w:rtl/>
        </w:rPr>
        <w:t>الفرضية الرئيسية</w:t>
      </w:r>
      <w:r w:rsidRPr="00B34478">
        <w:rPr>
          <w:rFonts w:ascii="Traditional Arabic" w:hAnsi="Traditional Arabic" w:cs="Traditional Arabic"/>
          <w:b/>
          <w:bCs/>
          <w:color w:val="000000" w:themeColor="text1"/>
          <w:sz w:val="32"/>
          <w:szCs w:val="32"/>
        </w:rPr>
        <w:t xml:space="preserve"> H</w:t>
      </w:r>
      <w:r w:rsidRPr="00B34478">
        <w:rPr>
          <w:rFonts w:ascii="Cambria Math" w:hAnsi="Cambria Math" w:cs="Cambria Math"/>
          <w:b/>
          <w:bCs/>
          <w:color w:val="000000" w:themeColor="text1"/>
          <w:sz w:val="32"/>
          <w:szCs w:val="32"/>
        </w:rPr>
        <w:t>₁</w:t>
      </w:r>
      <w:r w:rsidRPr="00B34478">
        <w:rPr>
          <w:rFonts w:ascii="Traditional Arabic" w:hAnsi="Traditional Arabic" w:cs="Traditional Arabic"/>
          <w:b/>
          <w:bCs/>
          <w:color w:val="000000" w:themeColor="text1"/>
          <w:sz w:val="32"/>
          <w:szCs w:val="32"/>
        </w:rPr>
        <w:t> </w:t>
      </w:r>
      <w:r w:rsidRPr="00B34478">
        <w:rPr>
          <w:rFonts w:ascii="Traditional Arabic" w:hAnsi="Traditional Arabic" w:cs="Traditional Arabic" w:hint="cs"/>
          <w:b/>
          <w:bCs/>
          <w:color w:val="000000" w:themeColor="text1"/>
          <w:sz w:val="32"/>
          <w:szCs w:val="32"/>
          <w:rtl/>
        </w:rPr>
        <w:t xml:space="preserve">: </w:t>
      </w:r>
      <w:r w:rsidRPr="00B34478">
        <w:rPr>
          <w:rFonts w:ascii="Traditional Arabic" w:hAnsi="Traditional Arabic" w:cs="Traditional Arabic"/>
          <w:b/>
          <w:bCs/>
          <w:color w:val="000000" w:themeColor="text1"/>
          <w:sz w:val="32"/>
          <w:szCs w:val="32"/>
          <w:rtl/>
        </w:rPr>
        <w:t>يؤثر التطوير التنظيمي إيجابيًا في إدارة المخاطر</w:t>
      </w:r>
      <w:r w:rsidRPr="00B34478">
        <w:rPr>
          <w:rFonts w:ascii="Traditional Arabic" w:hAnsi="Traditional Arabic" w:cs="Traditional Arabic" w:hint="cs"/>
          <w:b/>
          <w:bCs/>
          <w:color w:val="000000" w:themeColor="text1"/>
          <w:sz w:val="32"/>
          <w:szCs w:val="32"/>
          <w:rtl/>
        </w:rPr>
        <w:t xml:space="preserve"> في مستشفى الملك فهد المركزي بالباحة.</w:t>
      </w:r>
      <w:r w:rsidRPr="00B34478">
        <w:rPr>
          <w:rFonts w:ascii="Traditional Arabic" w:hAnsi="Traditional Arabic" w:cs="Traditional Arabic" w:hint="cs"/>
          <w:color w:val="000000" w:themeColor="text1"/>
          <w:sz w:val="28"/>
          <w:szCs w:val="28"/>
          <w:rtl/>
        </w:rPr>
        <w:t xml:space="preserve"> ويتفرع عنها الفرضيات التالية:</w:t>
      </w:r>
    </w:p>
    <w:tbl>
      <w:tblPr>
        <w:tblStyle w:val="aa"/>
        <w:tblW w:w="0" w:type="auto"/>
        <w:tblLook w:val="04A0" w:firstRow="1" w:lastRow="0" w:firstColumn="1" w:lastColumn="0" w:noHBand="0" w:noVBand="1"/>
      </w:tblPr>
      <w:tblGrid>
        <w:gridCol w:w="4106"/>
        <w:gridCol w:w="1985"/>
        <w:gridCol w:w="1988"/>
        <w:gridCol w:w="698"/>
      </w:tblGrid>
      <w:tr w:rsidR="00FC1F7D" w:rsidRPr="00833BCD" w14:paraId="00C7BA9E" w14:textId="77777777" w:rsidTr="00CC1EA7">
        <w:tc>
          <w:tcPr>
            <w:tcW w:w="4106" w:type="dxa"/>
            <w:hideMark/>
          </w:tcPr>
          <w:p w14:paraId="15E23E8F" w14:textId="77777777" w:rsidR="00FC1F7D" w:rsidRPr="00833BCD" w:rsidRDefault="00FC1F7D" w:rsidP="00CC1EA7">
            <w:pPr>
              <w:bidi/>
              <w:spacing w:line="276" w:lineRule="auto"/>
              <w:jc w:val="center"/>
              <w:rPr>
                <w:rFonts w:ascii="Traditional Arabic" w:eastAsia="Times New Roman" w:hAnsi="Traditional Arabic" w:cs="Traditional Arabic"/>
                <w:b/>
                <w:bCs/>
                <w:sz w:val="28"/>
                <w:szCs w:val="28"/>
              </w:rPr>
            </w:pPr>
            <w:bookmarkStart w:id="6" w:name="_Hlk215938589"/>
            <w:r w:rsidRPr="00833BCD">
              <w:rPr>
                <w:rFonts w:ascii="Traditional Arabic" w:eastAsia="Times New Roman" w:hAnsi="Traditional Arabic" w:cs="Traditional Arabic"/>
                <w:b/>
                <w:bCs/>
                <w:sz w:val="28"/>
                <w:szCs w:val="28"/>
                <w:rtl/>
              </w:rPr>
              <w:t>الفرضية الفرعية</w:t>
            </w:r>
          </w:p>
        </w:tc>
        <w:tc>
          <w:tcPr>
            <w:tcW w:w="1985" w:type="dxa"/>
            <w:hideMark/>
          </w:tcPr>
          <w:p w14:paraId="2386B9DC" w14:textId="77777777" w:rsidR="00FC1F7D" w:rsidRPr="00833BCD" w:rsidRDefault="00FC1F7D" w:rsidP="00CC1EA7">
            <w:pPr>
              <w:bidi/>
              <w:spacing w:line="276" w:lineRule="auto"/>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w:t>
            </w:r>
            <w:r>
              <w:rPr>
                <w:rFonts w:ascii="Traditional Arabic" w:eastAsia="Times New Roman" w:hAnsi="Traditional Arabic" w:cs="Traditional Arabic" w:hint="cs"/>
                <w:b/>
                <w:bCs/>
                <w:sz w:val="28"/>
                <w:szCs w:val="28"/>
                <w:rtl/>
              </w:rPr>
              <w:t>متغير الفرعي</w:t>
            </w:r>
            <w:r w:rsidRPr="00833BCD">
              <w:rPr>
                <w:rFonts w:ascii="Traditional Arabic" w:eastAsia="Times New Roman" w:hAnsi="Traditional Arabic" w:cs="Traditional Arabic"/>
                <w:b/>
                <w:bCs/>
                <w:sz w:val="28"/>
                <w:szCs w:val="28"/>
                <w:rtl/>
              </w:rPr>
              <w:t xml:space="preserve"> التابع </w:t>
            </w:r>
          </w:p>
        </w:tc>
        <w:tc>
          <w:tcPr>
            <w:tcW w:w="1988" w:type="dxa"/>
            <w:hideMark/>
          </w:tcPr>
          <w:p w14:paraId="0294F276" w14:textId="77777777" w:rsidR="00FC1F7D" w:rsidRPr="00833BCD" w:rsidRDefault="00FC1F7D" w:rsidP="00CC1EA7">
            <w:pPr>
              <w:bidi/>
              <w:spacing w:line="276" w:lineRule="auto"/>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w:t>
            </w:r>
            <w:r>
              <w:rPr>
                <w:rFonts w:ascii="Traditional Arabic" w:eastAsia="Times New Roman" w:hAnsi="Traditional Arabic" w:cs="Traditional Arabic" w:hint="cs"/>
                <w:b/>
                <w:bCs/>
                <w:sz w:val="28"/>
                <w:szCs w:val="28"/>
                <w:rtl/>
              </w:rPr>
              <w:t>متغير الفرعي</w:t>
            </w:r>
            <w:r w:rsidRPr="00833BCD">
              <w:rPr>
                <w:rFonts w:ascii="Traditional Arabic" w:eastAsia="Times New Roman" w:hAnsi="Traditional Arabic" w:cs="Traditional Arabic"/>
                <w:b/>
                <w:bCs/>
                <w:sz w:val="28"/>
                <w:szCs w:val="28"/>
                <w:rtl/>
              </w:rPr>
              <w:t xml:space="preserve"> المستقل</w:t>
            </w:r>
          </w:p>
        </w:tc>
        <w:tc>
          <w:tcPr>
            <w:tcW w:w="0" w:type="auto"/>
            <w:hideMark/>
          </w:tcPr>
          <w:p w14:paraId="27263B90" w14:textId="77777777" w:rsidR="00FC1F7D" w:rsidRPr="00833BCD" w:rsidRDefault="00FC1F7D" w:rsidP="00CC1EA7">
            <w:pPr>
              <w:bidi/>
              <w:spacing w:line="276" w:lineRule="auto"/>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الرقم</w:t>
            </w:r>
          </w:p>
        </w:tc>
      </w:tr>
      <w:tr w:rsidR="00FC1F7D" w:rsidRPr="00833BCD" w14:paraId="46429EC7" w14:textId="77777777" w:rsidTr="00CC1EA7">
        <w:tc>
          <w:tcPr>
            <w:tcW w:w="4106" w:type="dxa"/>
            <w:hideMark/>
          </w:tcPr>
          <w:p w14:paraId="094EE577"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يؤثر ا</w:t>
            </w:r>
            <w:r w:rsidRPr="00833BCD">
              <w:rPr>
                <w:rFonts w:ascii="Traditional Arabic" w:eastAsia="Times New Roman" w:hAnsi="Traditional Arabic" w:cs="Traditional Arabic"/>
                <w:sz w:val="28"/>
                <w:szCs w:val="28"/>
                <w:rtl/>
              </w:rPr>
              <w:t xml:space="preserve">لهيكل التنظيمي </w:t>
            </w:r>
            <w:r>
              <w:rPr>
                <w:rFonts w:ascii="Traditional Arabic" w:eastAsia="Times New Roman" w:hAnsi="Traditional Arabic" w:cs="Traditional Arabic" w:hint="cs"/>
                <w:sz w:val="28"/>
                <w:szCs w:val="28"/>
                <w:rtl/>
              </w:rPr>
              <w:t xml:space="preserve">إيجابيًا </w:t>
            </w:r>
            <w:r w:rsidRPr="00833BCD">
              <w:rPr>
                <w:rFonts w:ascii="Traditional Arabic" w:eastAsia="Times New Roman" w:hAnsi="Traditional Arabic" w:cs="Traditional Arabic"/>
                <w:sz w:val="28"/>
                <w:szCs w:val="28"/>
                <w:rtl/>
              </w:rPr>
              <w:t>في التخطيط للمخاطر</w:t>
            </w:r>
            <w:r w:rsidRPr="00833BCD">
              <w:rPr>
                <w:rFonts w:ascii="Traditional Arabic" w:eastAsia="Times New Roman" w:hAnsi="Traditional Arabic" w:cs="Traditional Arabic"/>
                <w:sz w:val="28"/>
                <w:szCs w:val="28"/>
              </w:rPr>
              <w:t>.</w:t>
            </w:r>
          </w:p>
        </w:tc>
        <w:tc>
          <w:tcPr>
            <w:tcW w:w="1985" w:type="dxa"/>
            <w:hideMark/>
          </w:tcPr>
          <w:p w14:paraId="32C5C433"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التخطيط للمخاطر</w:t>
            </w:r>
          </w:p>
        </w:tc>
        <w:tc>
          <w:tcPr>
            <w:tcW w:w="1988" w:type="dxa"/>
            <w:hideMark/>
          </w:tcPr>
          <w:p w14:paraId="68049FD2"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الهيكل التنظيمي</w:t>
            </w:r>
          </w:p>
        </w:tc>
        <w:tc>
          <w:tcPr>
            <w:tcW w:w="0" w:type="auto"/>
            <w:hideMark/>
          </w:tcPr>
          <w:p w14:paraId="147421D5"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a</w:t>
            </w:r>
          </w:p>
        </w:tc>
      </w:tr>
      <w:tr w:rsidR="00FC1F7D" w:rsidRPr="00833BCD" w14:paraId="64E94440" w14:textId="77777777" w:rsidTr="00CC1EA7">
        <w:tc>
          <w:tcPr>
            <w:tcW w:w="4106" w:type="dxa"/>
            <w:hideMark/>
          </w:tcPr>
          <w:p w14:paraId="04D20D31" w14:textId="77777777" w:rsidR="00FC1F7D" w:rsidRPr="00833BCD" w:rsidRDefault="00FC1F7D" w:rsidP="00CC1EA7">
            <w:pPr>
              <w:bidi/>
              <w:spacing w:line="276" w:lineRule="auto"/>
              <w:jc w:val="both"/>
              <w:rPr>
                <w:rFonts w:ascii="Traditional Arabic" w:eastAsia="Times New Roman" w:hAnsi="Traditional Arabic" w:cs="Traditional Arabic"/>
                <w:sz w:val="28"/>
                <w:szCs w:val="28"/>
              </w:rPr>
            </w:pPr>
            <w:r w:rsidRPr="003B7621">
              <w:rPr>
                <w:rFonts w:ascii="Traditional Arabic" w:eastAsia="Times New Roman" w:hAnsi="Traditional Arabic" w:cs="Traditional Arabic"/>
                <w:sz w:val="28"/>
                <w:szCs w:val="28"/>
                <w:rtl/>
              </w:rPr>
              <w:t xml:space="preserve">يؤثر الهيكل التنظيمي </w:t>
            </w:r>
            <w:r>
              <w:rPr>
                <w:rFonts w:ascii="Traditional Arabic" w:eastAsia="Times New Roman" w:hAnsi="Traditional Arabic" w:cs="Traditional Arabic" w:hint="cs"/>
                <w:sz w:val="28"/>
                <w:szCs w:val="28"/>
                <w:rtl/>
              </w:rPr>
              <w:t>إيجابيًا</w:t>
            </w:r>
            <w:r w:rsidRPr="00833BCD">
              <w:rPr>
                <w:rFonts w:ascii="Traditional Arabic" w:eastAsia="Times New Roman" w:hAnsi="Traditional Arabic" w:cs="Traditional Arabic"/>
                <w:sz w:val="28"/>
                <w:szCs w:val="28"/>
                <w:rtl/>
              </w:rPr>
              <w:t xml:space="preserve"> في الموقف من المخاطر</w:t>
            </w:r>
            <w:r w:rsidRPr="00833BCD">
              <w:rPr>
                <w:rFonts w:ascii="Traditional Arabic" w:eastAsia="Times New Roman" w:hAnsi="Traditional Arabic" w:cs="Traditional Arabic"/>
                <w:sz w:val="28"/>
                <w:szCs w:val="28"/>
              </w:rPr>
              <w:t>.</w:t>
            </w:r>
          </w:p>
        </w:tc>
        <w:tc>
          <w:tcPr>
            <w:tcW w:w="1985" w:type="dxa"/>
            <w:hideMark/>
          </w:tcPr>
          <w:p w14:paraId="0950BC90"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الموقف من المخاطر</w:t>
            </w:r>
          </w:p>
        </w:tc>
        <w:tc>
          <w:tcPr>
            <w:tcW w:w="1988" w:type="dxa"/>
            <w:hideMark/>
          </w:tcPr>
          <w:p w14:paraId="795E96C8"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الهيكل التنظيمي</w:t>
            </w:r>
          </w:p>
        </w:tc>
        <w:tc>
          <w:tcPr>
            <w:tcW w:w="0" w:type="auto"/>
            <w:hideMark/>
          </w:tcPr>
          <w:p w14:paraId="3CCB78E2"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b</w:t>
            </w:r>
          </w:p>
        </w:tc>
      </w:tr>
      <w:tr w:rsidR="00FC1F7D" w:rsidRPr="00833BCD" w14:paraId="088D2DB8" w14:textId="77777777" w:rsidTr="00CC1EA7">
        <w:tc>
          <w:tcPr>
            <w:tcW w:w="4106" w:type="dxa"/>
            <w:hideMark/>
          </w:tcPr>
          <w:p w14:paraId="63EC3665" w14:textId="77777777" w:rsidR="00FC1F7D" w:rsidRPr="00833BCD" w:rsidRDefault="00FC1F7D" w:rsidP="00CC1EA7">
            <w:pPr>
              <w:bidi/>
              <w:spacing w:line="276" w:lineRule="auto"/>
              <w:jc w:val="both"/>
              <w:rPr>
                <w:rFonts w:ascii="Traditional Arabic" w:eastAsia="Times New Roman" w:hAnsi="Traditional Arabic" w:cs="Traditional Arabic"/>
                <w:sz w:val="28"/>
                <w:szCs w:val="28"/>
              </w:rPr>
            </w:pPr>
            <w:r w:rsidRPr="003B7621">
              <w:rPr>
                <w:rFonts w:ascii="Traditional Arabic" w:eastAsia="Times New Roman" w:hAnsi="Traditional Arabic" w:cs="Traditional Arabic"/>
                <w:sz w:val="28"/>
                <w:szCs w:val="28"/>
                <w:rtl/>
              </w:rPr>
              <w:t xml:space="preserve">يؤثر الهيكل التنظيمي </w:t>
            </w:r>
            <w:r>
              <w:rPr>
                <w:rFonts w:ascii="Traditional Arabic" w:eastAsia="Times New Roman" w:hAnsi="Traditional Arabic" w:cs="Traditional Arabic" w:hint="cs"/>
                <w:sz w:val="28"/>
                <w:szCs w:val="28"/>
                <w:rtl/>
              </w:rPr>
              <w:t>إيجابيًا</w:t>
            </w:r>
            <w:r w:rsidRPr="00833BCD">
              <w:rPr>
                <w:rFonts w:ascii="Traditional Arabic" w:eastAsia="Times New Roman" w:hAnsi="Traditional Arabic" w:cs="Traditional Arabic"/>
                <w:sz w:val="28"/>
                <w:szCs w:val="28"/>
                <w:rtl/>
              </w:rPr>
              <w:t xml:space="preserve"> في الممارسات الوقائية</w:t>
            </w:r>
            <w:r w:rsidRPr="00833BCD">
              <w:rPr>
                <w:rFonts w:ascii="Traditional Arabic" w:eastAsia="Times New Roman" w:hAnsi="Traditional Arabic" w:cs="Traditional Arabic"/>
                <w:sz w:val="28"/>
                <w:szCs w:val="28"/>
              </w:rPr>
              <w:t>.</w:t>
            </w:r>
          </w:p>
        </w:tc>
        <w:tc>
          <w:tcPr>
            <w:tcW w:w="1985" w:type="dxa"/>
            <w:hideMark/>
          </w:tcPr>
          <w:p w14:paraId="77EFB726"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الممارسات الوقائية</w:t>
            </w:r>
          </w:p>
        </w:tc>
        <w:tc>
          <w:tcPr>
            <w:tcW w:w="1988" w:type="dxa"/>
            <w:hideMark/>
          </w:tcPr>
          <w:p w14:paraId="425233AD"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الهيكل التنظيمي</w:t>
            </w:r>
          </w:p>
        </w:tc>
        <w:tc>
          <w:tcPr>
            <w:tcW w:w="0" w:type="auto"/>
            <w:hideMark/>
          </w:tcPr>
          <w:p w14:paraId="66954BE3"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c</w:t>
            </w:r>
          </w:p>
        </w:tc>
      </w:tr>
      <w:tr w:rsidR="00FC1F7D" w:rsidRPr="00833BCD" w14:paraId="12077A9A" w14:textId="77777777" w:rsidTr="00CC1EA7">
        <w:tc>
          <w:tcPr>
            <w:tcW w:w="4106" w:type="dxa"/>
            <w:hideMark/>
          </w:tcPr>
          <w:p w14:paraId="2B1F8EB0" w14:textId="77777777" w:rsidR="00FC1F7D" w:rsidRPr="00833BCD" w:rsidRDefault="00FC1F7D" w:rsidP="00CC1EA7">
            <w:pPr>
              <w:bidi/>
              <w:spacing w:line="276" w:lineRule="auto"/>
              <w:jc w:val="both"/>
              <w:rPr>
                <w:rFonts w:ascii="Traditional Arabic" w:eastAsia="Times New Roman" w:hAnsi="Traditional Arabic" w:cs="Traditional Arabic"/>
                <w:sz w:val="28"/>
                <w:szCs w:val="28"/>
              </w:rPr>
            </w:pPr>
            <w:r w:rsidRPr="003B7621">
              <w:rPr>
                <w:rFonts w:ascii="Traditional Arabic" w:eastAsia="Times New Roman" w:hAnsi="Traditional Arabic" w:cs="Traditional Arabic"/>
                <w:sz w:val="28"/>
                <w:szCs w:val="28"/>
                <w:rtl/>
              </w:rPr>
              <w:lastRenderedPageBreak/>
              <w:t xml:space="preserve">تؤثر إعادة هندسة العمليات </w:t>
            </w:r>
            <w:r>
              <w:rPr>
                <w:rFonts w:ascii="Traditional Arabic" w:eastAsia="Times New Roman" w:hAnsi="Traditional Arabic" w:cs="Traditional Arabic" w:hint="cs"/>
                <w:sz w:val="28"/>
                <w:szCs w:val="28"/>
                <w:rtl/>
              </w:rPr>
              <w:t>إيجابيًا</w:t>
            </w:r>
            <w:r w:rsidRPr="00833BCD">
              <w:rPr>
                <w:rFonts w:ascii="Traditional Arabic" w:eastAsia="Times New Roman" w:hAnsi="Traditional Arabic" w:cs="Traditional Arabic"/>
                <w:sz w:val="28"/>
                <w:szCs w:val="28"/>
                <w:rtl/>
              </w:rPr>
              <w:t xml:space="preserve"> في التخطيط للمخاطر</w:t>
            </w:r>
            <w:r w:rsidRPr="00833BCD">
              <w:rPr>
                <w:rFonts w:ascii="Traditional Arabic" w:eastAsia="Times New Roman" w:hAnsi="Traditional Arabic" w:cs="Traditional Arabic"/>
                <w:sz w:val="28"/>
                <w:szCs w:val="28"/>
              </w:rPr>
              <w:t>.</w:t>
            </w:r>
          </w:p>
        </w:tc>
        <w:tc>
          <w:tcPr>
            <w:tcW w:w="1985" w:type="dxa"/>
            <w:hideMark/>
          </w:tcPr>
          <w:p w14:paraId="74B1BB2B"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التخطيط للمخاطر</w:t>
            </w:r>
          </w:p>
        </w:tc>
        <w:tc>
          <w:tcPr>
            <w:tcW w:w="1988" w:type="dxa"/>
            <w:hideMark/>
          </w:tcPr>
          <w:p w14:paraId="61665A87"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إعادة هندسة العمليات</w:t>
            </w:r>
          </w:p>
        </w:tc>
        <w:tc>
          <w:tcPr>
            <w:tcW w:w="0" w:type="auto"/>
            <w:hideMark/>
          </w:tcPr>
          <w:p w14:paraId="2EABDB44"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d</w:t>
            </w:r>
          </w:p>
        </w:tc>
      </w:tr>
      <w:tr w:rsidR="00FC1F7D" w:rsidRPr="00833BCD" w14:paraId="7DAA1E32" w14:textId="77777777" w:rsidTr="00CC1EA7">
        <w:tc>
          <w:tcPr>
            <w:tcW w:w="4106" w:type="dxa"/>
            <w:hideMark/>
          </w:tcPr>
          <w:p w14:paraId="43F71094" w14:textId="77777777" w:rsidR="00FC1F7D" w:rsidRPr="00833BCD" w:rsidRDefault="00FC1F7D" w:rsidP="00CC1EA7">
            <w:pPr>
              <w:bidi/>
              <w:spacing w:line="276"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تؤثر إ</w:t>
            </w:r>
            <w:r w:rsidRPr="00833BCD">
              <w:rPr>
                <w:rFonts w:ascii="Traditional Arabic" w:eastAsia="Times New Roman" w:hAnsi="Traditional Arabic" w:cs="Traditional Arabic"/>
                <w:sz w:val="28"/>
                <w:szCs w:val="28"/>
                <w:rtl/>
              </w:rPr>
              <w:t>عادة هندسة العمليات</w:t>
            </w:r>
            <w:r>
              <w:rPr>
                <w:rFonts w:ascii="Traditional Arabic" w:eastAsia="Times New Roman" w:hAnsi="Traditional Arabic" w:cs="Traditional Arabic" w:hint="cs"/>
                <w:sz w:val="28"/>
                <w:szCs w:val="28"/>
                <w:rtl/>
              </w:rPr>
              <w:t xml:space="preserve"> إيجابيًا</w:t>
            </w:r>
            <w:r w:rsidRPr="00833BCD">
              <w:rPr>
                <w:rFonts w:ascii="Traditional Arabic" w:eastAsia="Times New Roman" w:hAnsi="Traditional Arabic" w:cs="Traditional Arabic"/>
                <w:sz w:val="28"/>
                <w:szCs w:val="28"/>
                <w:rtl/>
              </w:rPr>
              <w:t xml:space="preserve"> في الموقف من المخاطر</w:t>
            </w:r>
            <w:r w:rsidRPr="00833BCD">
              <w:rPr>
                <w:rFonts w:ascii="Traditional Arabic" w:eastAsia="Times New Roman" w:hAnsi="Traditional Arabic" w:cs="Traditional Arabic"/>
                <w:sz w:val="28"/>
                <w:szCs w:val="28"/>
              </w:rPr>
              <w:t>.</w:t>
            </w:r>
          </w:p>
        </w:tc>
        <w:tc>
          <w:tcPr>
            <w:tcW w:w="1985" w:type="dxa"/>
            <w:hideMark/>
          </w:tcPr>
          <w:p w14:paraId="7843E52A"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الموقف من المخاطر</w:t>
            </w:r>
          </w:p>
        </w:tc>
        <w:tc>
          <w:tcPr>
            <w:tcW w:w="1988" w:type="dxa"/>
            <w:hideMark/>
          </w:tcPr>
          <w:p w14:paraId="5FBB6F92"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إعادة هندسة العمليات</w:t>
            </w:r>
          </w:p>
        </w:tc>
        <w:tc>
          <w:tcPr>
            <w:tcW w:w="0" w:type="auto"/>
            <w:hideMark/>
          </w:tcPr>
          <w:p w14:paraId="34B422DC"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e</w:t>
            </w:r>
          </w:p>
        </w:tc>
      </w:tr>
      <w:tr w:rsidR="00FC1F7D" w:rsidRPr="00833BCD" w14:paraId="440526F7" w14:textId="77777777" w:rsidTr="00CC1EA7">
        <w:tc>
          <w:tcPr>
            <w:tcW w:w="4106" w:type="dxa"/>
            <w:hideMark/>
          </w:tcPr>
          <w:p w14:paraId="025560EC" w14:textId="77777777" w:rsidR="00FC1F7D" w:rsidRPr="00833BCD" w:rsidRDefault="00FC1F7D" w:rsidP="00CC1EA7">
            <w:pPr>
              <w:bidi/>
              <w:spacing w:line="276" w:lineRule="auto"/>
              <w:jc w:val="both"/>
              <w:rPr>
                <w:rFonts w:ascii="Traditional Arabic" w:eastAsia="Times New Roman" w:hAnsi="Traditional Arabic" w:cs="Traditional Arabic"/>
                <w:sz w:val="28"/>
                <w:szCs w:val="28"/>
              </w:rPr>
            </w:pPr>
            <w:r w:rsidRPr="003B7621">
              <w:rPr>
                <w:rFonts w:ascii="Traditional Arabic" w:eastAsia="Times New Roman" w:hAnsi="Traditional Arabic" w:cs="Traditional Arabic"/>
                <w:sz w:val="28"/>
                <w:szCs w:val="28"/>
                <w:rtl/>
              </w:rPr>
              <w:t xml:space="preserve">تؤثر إعادة هندسة العمليات </w:t>
            </w:r>
            <w:r>
              <w:rPr>
                <w:rFonts w:ascii="Traditional Arabic" w:eastAsia="Times New Roman" w:hAnsi="Traditional Arabic" w:cs="Traditional Arabic" w:hint="cs"/>
                <w:sz w:val="28"/>
                <w:szCs w:val="28"/>
                <w:rtl/>
              </w:rPr>
              <w:t>إيجابيًا</w:t>
            </w:r>
            <w:r w:rsidRPr="00833BCD">
              <w:rPr>
                <w:rFonts w:ascii="Traditional Arabic" w:eastAsia="Times New Roman" w:hAnsi="Traditional Arabic" w:cs="Traditional Arabic"/>
                <w:sz w:val="28"/>
                <w:szCs w:val="28"/>
                <w:rtl/>
              </w:rPr>
              <w:t xml:space="preserve"> في الممارسات الوقائية</w:t>
            </w:r>
            <w:r w:rsidRPr="00833BCD">
              <w:rPr>
                <w:rFonts w:ascii="Traditional Arabic" w:eastAsia="Times New Roman" w:hAnsi="Traditional Arabic" w:cs="Traditional Arabic"/>
                <w:sz w:val="28"/>
                <w:szCs w:val="28"/>
              </w:rPr>
              <w:t>.</w:t>
            </w:r>
          </w:p>
        </w:tc>
        <w:tc>
          <w:tcPr>
            <w:tcW w:w="1985" w:type="dxa"/>
            <w:hideMark/>
          </w:tcPr>
          <w:p w14:paraId="207401D9"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الممارسات الوقائية</w:t>
            </w:r>
          </w:p>
        </w:tc>
        <w:tc>
          <w:tcPr>
            <w:tcW w:w="1988" w:type="dxa"/>
            <w:hideMark/>
          </w:tcPr>
          <w:p w14:paraId="1D779995"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إعادة هندسة العمليات</w:t>
            </w:r>
          </w:p>
        </w:tc>
        <w:tc>
          <w:tcPr>
            <w:tcW w:w="0" w:type="auto"/>
            <w:hideMark/>
          </w:tcPr>
          <w:p w14:paraId="104BB901"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f</w:t>
            </w:r>
          </w:p>
        </w:tc>
      </w:tr>
      <w:tr w:rsidR="00FC1F7D" w:rsidRPr="00833BCD" w14:paraId="4AB87DAA" w14:textId="77777777" w:rsidTr="00CC1EA7">
        <w:tc>
          <w:tcPr>
            <w:tcW w:w="4106" w:type="dxa"/>
            <w:hideMark/>
          </w:tcPr>
          <w:p w14:paraId="14B4B623" w14:textId="77777777" w:rsidR="00FC1F7D" w:rsidRPr="00833BCD" w:rsidRDefault="00FC1F7D" w:rsidP="00CC1EA7">
            <w:pPr>
              <w:bidi/>
              <w:spacing w:line="276"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 xml:space="preserve">يؤثر </w:t>
            </w:r>
            <w:r w:rsidRPr="00833BCD">
              <w:rPr>
                <w:rFonts w:ascii="Traditional Arabic" w:eastAsia="Times New Roman" w:hAnsi="Traditional Arabic" w:cs="Traditional Arabic"/>
                <w:sz w:val="28"/>
                <w:szCs w:val="28"/>
                <w:rtl/>
              </w:rPr>
              <w:t xml:space="preserve">تمكين </w:t>
            </w:r>
            <w:r w:rsidRPr="00833BCD">
              <w:rPr>
                <w:rFonts w:ascii="Traditional Arabic" w:eastAsia="Times New Roman" w:hAnsi="Traditional Arabic" w:cs="Traditional Arabic" w:hint="cs"/>
                <w:sz w:val="28"/>
                <w:szCs w:val="28"/>
                <w:rtl/>
              </w:rPr>
              <w:t xml:space="preserve">العاملين </w:t>
            </w:r>
            <w:r>
              <w:rPr>
                <w:rFonts w:ascii="Traditional Arabic" w:eastAsia="Times New Roman" w:hAnsi="Traditional Arabic" w:cs="Traditional Arabic" w:hint="cs"/>
                <w:sz w:val="28"/>
                <w:szCs w:val="28"/>
                <w:rtl/>
              </w:rPr>
              <w:t>إيجابيًا</w:t>
            </w:r>
            <w:r w:rsidRPr="00833BCD">
              <w:rPr>
                <w:rFonts w:ascii="Traditional Arabic" w:eastAsia="Times New Roman" w:hAnsi="Traditional Arabic" w:cs="Traditional Arabic"/>
                <w:sz w:val="28"/>
                <w:szCs w:val="28"/>
                <w:rtl/>
              </w:rPr>
              <w:t xml:space="preserve"> في التخطيط للمخاطر</w:t>
            </w:r>
            <w:r w:rsidRPr="00833BCD">
              <w:rPr>
                <w:rFonts w:ascii="Traditional Arabic" w:eastAsia="Times New Roman" w:hAnsi="Traditional Arabic" w:cs="Traditional Arabic"/>
                <w:sz w:val="28"/>
                <w:szCs w:val="28"/>
              </w:rPr>
              <w:t>.</w:t>
            </w:r>
          </w:p>
        </w:tc>
        <w:tc>
          <w:tcPr>
            <w:tcW w:w="1985" w:type="dxa"/>
            <w:hideMark/>
          </w:tcPr>
          <w:p w14:paraId="73BC1F79"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التخطيط للمخاطر</w:t>
            </w:r>
          </w:p>
        </w:tc>
        <w:tc>
          <w:tcPr>
            <w:tcW w:w="1988" w:type="dxa"/>
            <w:hideMark/>
          </w:tcPr>
          <w:p w14:paraId="13105F18"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تمكين العاملين</w:t>
            </w:r>
          </w:p>
        </w:tc>
        <w:tc>
          <w:tcPr>
            <w:tcW w:w="0" w:type="auto"/>
            <w:hideMark/>
          </w:tcPr>
          <w:p w14:paraId="761CD230"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g</w:t>
            </w:r>
          </w:p>
        </w:tc>
      </w:tr>
      <w:tr w:rsidR="00FC1F7D" w:rsidRPr="00833BCD" w14:paraId="6275990B" w14:textId="77777777" w:rsidTr="00CC1EA7">
        <w:tc>
          <w:tcPr>
            <w:tcW w:w="4106" w:type="dxa"/>
            <w:hideMark/>
          </w:tcPr>
          <w:p w14:paraId="22B9B0E9" w14:textId="77777777" w:rsidR="00FC1F7D" w:rsidRPr="00833BCD" w:rsidRDefault="00FC1F7D" w:rsidP="00CC1EA7">
            <w:pPr>
              <w:bidi/>
              <w:spacing w:line="276" w:lineRule="auto"/>
              <w:jc w:val="both"/>
              <w:rPr>
                <w:rFonts w:ascii="Traditional Arabic" w:eastAsia="Times New Roman" w:hAnsi="Traditional Arabic" w:cs="Traditional Arabic"/>
                <w:sz w:val="28"/>
                <w:szCs w:val="28"/>
              </w:rPr>
            </w:pPr>
            <w:r w:rsidRPr="00AD4A91">
              <w:rPr>
                <w:rFonts w:ascii="Traditional Arabic" w:eastAsia="Times New Roman" w:hAnsi="Traditional Arabic" w:cs="Traditional Arabic"/>
                <w:sz w:val="28"/>
                <w:szCs w:val="28"/>
                <w:rtl/>
              </w:rPr>
              <w:t>يؤثر تمكين العاملين إيجابيًا</w:t>
            </w:r>
            <w:r w:rsidRPr="00833BCD">
              <w:rPr>
                <w:rFonts w:ascii="Traditional Arabic" w:eastAsia="Times New Roman" w:hAnsi="Traditional Arabic" w:cs="Traditional Arabic"/>
                <w:sz w:val="28"/>
                <w:szCs w:val="28"/>
                <w:rtl/>
              </w:rPr>
              <w:t xml:space="preserve"> في الموقف من المخاطر</w:t>
            </w:r>
            <w:r w:rsidRPr="00833BCD">
              <w:rPr>
                <w:rFonts w:ascii="Traditional Arabic" w:eastAsia="Times New Roman" w:hAnsi="Traditional Arabic" w:cs="Traditional Arabic"/>
                <w:sz w:val="28"/>
                <w:szCs w:val="28"/>
              </w:rPr>
              <w:t>.</w:t>
            </w:r>
          </w:p>
        </w:tc>
        <w:tc>
          <w:tcPr>
            <w:tcW w:w="1985" w:type="dxa"/>
            <w:hideMark/>
          </w:tcPr>
          <w:p w14:paraId="48C49F6E"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الموقف من المخاطر</w:t>
            </w:r>
          </w:p>
        </w:tc>
        <w:tc>
          <w:tcPr>
            <w:tcW w:w="1988" w:type="dxa"/>
            <w:hideMark/>
          </w:tcPr>
          <w:p w14:paraId="3A250F0F"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تمكين العاملين</w:t>
            </w:r>
          </w:p>
        </w:tc>
        <w:tc>
          <w:tcPr>
            <w:tcW w:w="0" w:type="auto"/>
            <w:hideMark/>
          </w:tcPr>
          <w:p w14:paraId="3ABF92F5"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h</w:t>
            </w:r>
          </w:p>
        </w:tc>
      </w:tr>
      <w:tr w:rsidR="00FC1F7D" w:rsidRPr="00833BCD" w14:paraId="2F2CA938" w14:textId="77777777" w:rsidTr="00CC1EA7">
        <w:tc>
          <w:tcPr>
            <w:tcW w:w="4106" w:type="dxa"/>
            <w:hideMark/>
          </w:tcPr>
          <w:p w14:paraId="547D253E" w14:textId="77777777" w:rsidR="00FC1F7D" w:rsidRPr="00833BCD" w:rsidRDefault="00FC1F7D" w:rsidP="00CC1EA7">
            <w:pPr>
              <w:bidi/>
              <w:spacing w:line="276" w:lineRule="auto"/>
              <w:jc w:val="both"/>
              <w:rPr>
                <w:rFonts w:ascii="Traditional Arabic" w:eastAsia="Times New Roman" w:hAnsi="Traditional Arabic" w:cs="Traditional Arabic"/>
                <w:sz w:val="28"/>
                <w:szCs w:val="28"/>
              </w:rPr>
            </w:pPr>
            <w:r w:rsidRPr="00AD4A91">
              <w:rPr>
                <w:rFonts w:ascii="Traditional Arabic" w:eastAsia="Times New Roman" w:hAnsi="Traditional Arabic" w:cs="Traditional Arabic"/>
                <w:sz w:val="28"/>
                <w:szCs w:val="28"/>
                <w:rtl/>
              </w:rPr>
              <w:t xml:space="preserve">يؤثر تمكين العاملين </w:t>
            </w:r>
            <w:r>
              <w:rPr>
                <w:rFonts w:ascii="Traditional Arabic" w:eastAsia="Times New Roman" w:hAnsi="Traditional Arabic" w:cs="Traditional Arabic" w:hint="cs"/>
                <w:sz w:val="28"/>
                <w:szCs w:val="28"/>
                <w:rtl/>
              </w:rPr>
              <w:t>إيجابيًا</w:t>
            </w:r>
            <w:r w:rsidRPr="00833BCD">
              <w:rPr>
                <w:rFonts w:ascii="Traditional Arabic" w:eastAsia="Times New Roman" w:hAnsi="Traditional Arabic" w:cs="Traditional Arabic"/>
                <w:sz w:val="28"/>
                <w:szCs w:val="28"/>
                <w:rtl/>
              </w:rPr>
              <w:t xml:space="preserve"> في الممارسات الوقائية</w:t>
            </w:r>
            <w:r w:rsidRPr="00833BCD">
              <w:rPr>
                <w:rFonts w:ascii="Traditional Arabic" w:eastAsia="Times New Roman" w:hAnsi="Traditional Arabic" w:cs="Traditional Arabic"/>
                <w:sz w:val="28"/>
                <w:szCs w:val="28"/>
              </w:rPr>
              <w:t>.</w:t>
            </w:r>
          </w:p>
        </w:tc>
        <w:tc>
          <w:tcPr>
            <w:tcW w:w="1985" w:type="dxa"/>
            <w:hideMark/>
          </w:tcPr>
          <w:p w14:paraId="600AAB17"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الممارسات الوقائية</w:t>
            </w:r>
          </w:p>
        </w:tc>
        <w:tc>
          <w:tcPr>
            <w:tcW w:w="1988" w:type="dxa"/>
            <w:hideMark/>
          </w:tcPr>
          <w:p w14:paraId="14527CF5"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تمكين العاملين</w:t>
            </w:r>
          </w:p>
        </w:tc>
        <w:tc>
          <w:tcPr>
            <w:tcW w:w="0" w:type="auto"/>
            <w:hideMark/>
          </w:tcPr>
          <w:p w14:paraId="3B907030"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i</w:t>
            </w:r>
          </w:p>
        </w:tc>
      </w:tr>
      <w:bookmarkEnd w:id="6"/>
    </w:tbl>
    <w:p w14:paraId="5F64A3A1" w14:textId="77777777" w:rsidR="00FC1F7D" w:rsidRDefault="00FC1F7D" w:rsidP="00B34478">
      <w:pPr>
        <w:bidi/>
        <w:spacing w:after="0" w:line="120" w:lineRule="auto"/>
        <w:jc w:val="both"/>
        <w:rPr>
          <w:rFonts w:ascii="Traditional Arabic" w:hAnsi="Traditional Arabic" w:cs="Traditional Arabic"/>
          <w:b/>
          <w:bCs/>
          <w:color w:val="000000" w:themeColor="text1"/>
          <w:sz w:val="28"/>
          <w:szCs w:val="28"/>
          <w:rtl/>
        </w:rPr>
      </w:pPr>
    </w:p>
    <w:p w14:paraId="32E652F9" w14:textId="18518F5E" w:rsidR="00FC1F7D" w:rsidRPr="00B34478" w:rsidRDefault="00FC1F7D" w:rsidP="00B34478">
      <w:pPr>
        <w:pStyle w:val="a6"/>
        <w:numPr>
          <w:ilvl w:val="0"/>
          <w:numId w:val="110"/>
        </w:numPr>
        <w:bidi/>
        <w:spacing w:after="0" w:line="276" w:lineRule="auto"/>
        <w:jc w:val="both"/>
        <w:rPr>
          <w:rFonts w:ascii="Traditional Arabic" w:hAnsi="Traditional Arabic" w:cs="Traditional Arabic"/>
          <w:b/>
          <w:bCs/>
          <w:color w:val="000000" w:themeColor="text1"/>
          <w:sz w:val="28"/>
          <w:szCs w:val="28"/>
          <w:rtl/>
        </w:rPr>
      </w:pPr>
      <w:r w:rsidRPr="00B34478">
        <w:rPr>
          <w:rFonts w:ascii="Traditional Arabic" w:hAnsi="Traditional Arabic" w:cs="Traditional Arabic"/>
          <w:b/>
          <w:bCs/>
          <w:color w:val="000000" w:themeColor="text1"/>
          <w:sz w:val="32"/>
          <w:szCs w:val="32"/>
          <w:rtl/>
        </w:rPr>
        <w:t>الفرضية الرئيسية</w:t>
      </w:r>
      <w:r w:rsidRPr="00B34478">
        <w:rPr>
          <w:rFonts w:ascii="Traditional Arabic" w:hAnsi="Traditional Arabic" w:cs="Traditional Arabic"/>
          <w:b/>
          <w:bCs/>
          <w:color w:val="000000" w:themeColor="text1"/>
          <w:sz w:val="32"/>
          <w:szCs w:val="32"/>
        </w:rPr>
        <w:t xml:space="preserve"> H</w:t>
      </w:r>
      <w:r w:rsidRPr="00B34478">
        <w:rPr>
          <w:rFonts w:ascii="Cambria Math" w:hAnsi="Cambria Math" w:cs="Cambria Math"/>
          <w:b/>
          <w:bCs/>
          <w:color w:val="000000" w:themeColor="text1"/>
          <w:sz w:val="32"/>
          <w:szCs w:val="32"/>
        </w:rPr>
        <w:t>₂</w:t>
      </w:r>
      <w:r w:rsidRPr="00B34478">
        <w:rPr>
          <w:rFonts w:ascii="Traditional Arabic" w:hAnsi="Traditional Arabic" w:cs="Traditional Arabic"/>
          <w:b/>
          <w:bCs/>
          <w:color w:val="000000" w:themeColor="text1"/>
          <w:sz w:val="32"/>
          <w:szCs w:val="32"/>
        </w:rPr>
        <w:t> </w:t>
      </w:r>
      <w:r w:rsidRPr="00B34478">
        <w:rPr>
          <w:rFonts w:ascii="Traditional Arabic" w:hAnsi="Traditional Arabic" w:cs="Traditional Arabic" w:hint="cs"/>
          <w:b/>
          <w:bCs/>
          <w:color w:val="000000" w:themeColor="text1"/>
          <w:sz w:val="32"/>
          <w:szCs w:val="32"/>
          <w:rtl/>
        </w:rPr>
        <w:t xml:space="preserve">: </w:t>
      </w:r>
      <w:r w:rsidRPr="00B34478">
        <w:rPr>
          <w:rFonts w:ascii="Traditional Arabic" w:hAnsi="Traditional Arabic" w:cs="Traditional Arabic"/>
          <w:b/>
          <w:bCs/>
          <w:color w:val="000000" w:themeColor="text1"/>
          <w:sz w:val="32"/>
          <w:szCs w:val="32"/>
          <w:rtl/>
        </w:rPr>
        <w:t xml:space="preserve">يؤثر التطوير التنظيمي إيجابيًا </w:t>
      </w:r>
      <w:r w:rsidRPr="00B34478">
        <w:rPr>
          <w:rFonts w:ascii="Traditional Arabic" w:hAnsi="Traditional Arabic" w:cs="Traditional Arabic" w:hint="cs"/>
          <w:b/>
          <w:bCs/>
          <w:color w:val="000000" w:themeColor="text1"/>
          <w:sz w:val="32"/>
          <w:szCs w:val="32"/>
          <w:rtl/>
        </w:rPr>
        <w:t xml:space="preserve">في </w:t>
      </w:r>
      <w:r w:rsidRPr="00B34478">
        <w:rPr>
          <w:rFonts w:ascii="Traditional Arabic" w:hAnsi="Traditional Arabic" w:cs="Traditional Arabic"/>
          <w:b/>
          <w:bCs/>
          <w:color w:val="000000" w:themeColor="text1"/>
          <w:sz w:val="32"/>
          <w:szCs w:val="32"/>
          <w:rtl/>
        </w:rPr>
        <w:t>تبني التكنولوجيا الذكية في مستشفى الملك فهد المركزي</w:t>
      </w:r>
      <w:r w:rsidRPr="00B34478">
        <w:rPr>
          <w:rFonts w:ascii="Traditional Arabic" w:hAnsi="Traditional Arabic" w:cs="Traditional Arabic"/>
          <w:b/>
          <w:bCs/>
          <w:color w:val="000000" w:themeColor="text1"/>
          <w:sz w:val="28"/>
          <w:szCs w:val="28"/>
          <w:rtl/>
        </w:rPr>
        <w:t xml:space="preserve"> بالباحة</w:t>
      </w:r>
      <w:r w:rsidRPr="00B34478">
        <w:rPr>
          <w:rFonts w:ascii="Traditional Arabic" w:hAnsi="Traditional Arabic" w:cs="Traditional Arabic"/>
          <w:b/>
          <w:bCs/>
          <w:color w:val="000000" w:themeColor="text1"/>
          <w:sz w:val="28"/>
          <w:szCs w:val="28"/>
        </w:rPr>
        <w:t>.</w:t>
      </w:r>
      <w:r w:rsidRPr="00B34478">
        <w:rPr>
          <w:rFonts w:ascii="Traditional Arabic" w:hAnsi="Traditional Arabic" w:cs="Traditional Arabic" w:hint="cs"/>
          <w:b/>
          <w:bCs/>
          <w:color w:val="000000" w:themeColor="text1"/>
          <w:sz w:val="28"/>
          <w:szCs w:val="28"/>
          <w:rtl/>
        </w:rPr>
        <w:t xml:space="preserve"> </w:t>
      </w:r>
      <w:r w:rsidRPr="00B34478">
        <w:rPr>
          <w:rFonts w:ascii="Traditional Arabic" w:hAnsi="Traditional Arabic" w:cs="Traditional Arabic" w:hint="cs"/>
          <w:color w:val="000000" w:themeColor="text1"/>
          <w:sz w:val="28"/>
          <w:szCs w:val="28"/>
          <w:rtl/>
        </w:rPr>
        <w:t>ويتفرع عنها الفرضيات التالية:</w:t>
      </w:r>
    </w:p>
    <w:tbl>
      <w:tblPr>
        <w:tblStyle w:val="aa"/>
        <w:tblW w:w="0" w:type="auto"/>
        <w:tblLook w:val="04A0" w:firstRow="1" w:lastRow="0" w:firstColumn="1" w:lastColumn="0" w:noHBand="0" w:noVBand="1"/>
      </w:tblPr>
      <w:tblGrid>
        <w:gridCol w:w="4106"/>
        <w:gridCol w:w="1985"/>
        <w:gridCol w:w="1988"/>
        <w:gridCol w:w="698"/>
      </w:tblGrid>
      <w:tr w:rsidR="00FC1F7D" w:rsidRPr="00833BCD" w14:paraId="5F24A8C3" w14:textId="77777777" w:rsidTr="00CC1EA7">
        <w:tc>
          <w:tcPr>
            <w:tcW w:w="4106" w:type="dxa"/>
            <w:hideMark/>
          </w:tcPr>
          <w:p w14:paraId="4909DB1F" w14:textId="77777777" w:rsidR="00FC1F7D" w:rsidRPr="00833BCD" w:rsidRDefault="00FC1F7D" w:rsidP="00CC1EA7">
            <w:pPr>
              <w:bidi/>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الفرضية الفرعية</w:t>
            </w:r>
          </w:p>
        </w:tc>
        <w:tc>
          <w:tcPr>
            <w:tcW w:w="1985" w:type="dxa"/>
            <w:hideMark/>
          </w:tcPr>
          <w:p w14:paraId="1A2804BD" w14:textId="77777777" w:rsidR="00FC1F7D" w:rsidRPr="00833BCD" w:rsidRDefault="00FC1F7D" w:rsidP="00CC1EA7">
            <w:pPr>
              <w:bidi/>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w:t>
            </w:r>
            <w:r>
              <w:rPr>
                <w:rFonts w:ascii="Traditional Arabic" w:eastAsia="Times New Roman" w:hAnsi="Traditional Arabic" w:cs="Traditional Arabic" w:hint="cs"/>
                <w:b/>
                <w:bCs/>
                <w:sz w:val="28"/>
                <w:szCs w:val="28"/>
                <w:rtl/>
              </w:rPr>
              <w:t>متغير الفرعي</w:t>
            </w:r>
            <w:r w:rsidRPr="00833BCD">
              <w:rPr>
                <w:rFonts w:ascii="Traditional Arabic" w:eastAsia="Times New Roman" w:hAnsi="Traditional Arabic" w:cs="Traditional Arabic"/>
                <w:b/>
                <w:bCs/>
                <w:sz w:val="28"/>
                <w:szCs w:val="28"/>
                <w:rtl/>
              </w:rPr>
              <w:t xml:space="preserve"> التابع </w:t>
            </w:r>
          </w:p>
        </w:tc>
        <w:tc>
          <w:tcPr>
            <w:tcW w:w="1988" w:type="dxa"/>
            <w:hideMark/>
          </w:tcPr>
          <w:p w14:paraId="0C4A7D49" w14:textId="77777777" w:rsidR="00FC1F7D" w:rsidRPr="00833BCD" w:rsidRDefault="00FC1F7D" w:rsidP="00CC1EA7">
            <w:pPr>
              <w:bidi/>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w:t>
            </w:r>
            <w:r>
              <w:rPr>
                <w:rFonts w:ascii="Traditional Arabic" w:eastAsia="Times New Roman" w:hAnsi="Traditional Arabic" w:cs="Traditional Arabic" w:hint="cs"/>
                <w:b/>
                <w:bCs/>
                <w:sz w:val="28"/>
                <w:szCs w:val="28"/>
                <w:rtl/>
              </w:rPr>
              <w:t>متغير الفرعي</w:t>
            </w:r>
            <w:r w:rsidRPr="00833BCD">
              <w:rPr>
                <w:rFonts w:ascii="Traditional Arabic" w:eastAsia="Times New Roman" w:hAnsi="Traditional Arabic" w:cs="Traditional Arabic"/>
                <w:b/>
                <w:bCs/>
                <w:sz w:val="28"/>
                <w:szCs w:val="28"/>
                <w:rtl/>
              </w:rPr>
              <w:t xml:space="preserve"> المستقل</w:t>
            </w:r>
          </w:p>
        </w:tc>
        <w:tc>
          <w:tcPr>
            <w:tcW w:w="0" w:type="auto"/>
            <w:hideMark/>
          </w:tcPr>
          <w:p w14:paraId="20B51CF5" w14:textId="77777777" w:rsidR="00FC1F7D" w:rsidRPr="00833BCD" w:rsidRDefault="00FC1F7D" w:rsidP="00CC1EA7">
            <w:pPr>
              <w:bidi/>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الرقم</w:t>
            </w:r>
          </w:p>
        </w:tc>
      </w:tr>
      <w:tr w:rsidR="00FC1F7D" w:rsidRPr="00833BCD" w14:paraId="54CF5E0C" w14:textId="77777777" w:rsidTr="00CC1EA7">
        <w:tc>
          <w:tcPr>
            <w:tcW w:w="4106" w:type="dxa"/>
            <w:hideMark/>
          </w:tcPr>
          <w:p w14:paraId="1C6B1ECD" w14:textId="77777777" w:rsidR="00FC1F7D" w:rsidRPr="00833BCD" w:rsidRDefault="00FC1F7D" w:rsidP="00CC1EA7">
            <w:pPr>
              <w:bidi/>
              <w:rPr>
                <w:rFonts w:ascii="Traditional Arabic" w:eastAsia="Times New Roman" w:hAnsi="Traditional Arabic" w:cs="Traditional Arabic"/>
                <w:sz w:val="28"/>
                <w:szCs w:val="28"/>
                <w:rtl/>
              </w:rPr>
            </w:pPr>
            <w:r w:rsidRPr="00CD1986">
              <w:rPr>
                <w:rFonts w:ascii="Traditional Arabic" w:eastAsia="Times New Roman" w:hAnsi="Traditional Arabic" w:cs="Traditional Arabic"/>
                <w:sz w:val="28"/>
                <w:szCs w:val="28"/>
                <w:rtl/>
              </w:rPr>
              <w:t>يؤثر الهيكل التنظيمي إيجابيًا في تبني أنظمة دعم القرار السريري</w:t>
            </w:r>
            <w:r w:rsidRPr="00CD1986">
              <w:rPr>
                <w:rFonts w:ascii="Traditional Arabic" w:eastAsia="Times New Roman" w:hAnsi="Traditional Arabic" w:cs="Traditional Arabic"/>
                <w:sz w:val="28"/>
                <w:szCs w:val="28"/>
              </w:rPr>
              <w:t>.</w:t>
            </w:r>
          </w:p>
        </w:tc>
        <w:tc>
          <w:tcPr>
            <w:tcW w:w="1985" w:type="dxa"/>
            <w:hideMark/>
          </w:tcPr>
          <w:p w14:paraId="54896FC5" w14:textId="77777777" w:rsidR="00FC1F7D" w:rsidRPr="00833BCD" w:rsidRDefault="00FC1F7D" w:rsidP="00CC1EA7">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دعم القرار السريري</w:t>
            </w:r>
          </w:p>
        </w:tc>
        <w:tc>
          <w:tcPr>
            <w:tcW w:w="1988" w:type="dxa"/>
            <w:hideMark/>
          </w:tcPr>
          <w:p w14:paraId="3791B57A" w14:textId="77777777" w:rsidR="00FC1F7D" w:rsidRPr="00833BCD" w:rsidRDefault="00FC1F7D" w:rsidP="00CC1EA7">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الهيكل التنظيمي</w:t>
            </w:r>
          </w:p>
        </w:tc>
        <w:tc>
          <w:tcPr>
            <w:tcW w:w="0" w:type="auto"/>
            <w:hideMark/>
          </w:tcPr>
          <w:p w14:paraId="6BEBEC26" w14:textId="77777777" w:rsidR="00FC1F7D" w:rsidRPr="00833BCD" w:rsidRDefault="00FC1F7D" w:rsidP="00CC1EA7">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a</w:t>
            </w:r>
          </w:p>
        </w:tc>
      </w:tr>
      <w:tr w:rsidR="00FC1F7D" w:rsidRPr="00833BCD" w14:paraId="4DB92878" w14:textId="77777777" w:rsidTr="00CC1EA7">
        <w:tc>
          <w:tcPr>
            <w:tcW w:w="4106" w:type="dxa"/>
            <w:hideMark/>
          </w:tcPr>
          <w:p w14:paraId="3257D019" w14:textId="77777777" w:rsidR="00FC1F7D" w:rsidRPr="00833BCD" w:rsidRDefault="00FC1F7D" w:rsidP="00CC1EA7">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الهيكل التنظيمي إيجابيًا في تبني أنظمة الإنذار المبكر والمراقبة</w:t>
            </w:r>
            <w:r w:rsidRPr="00CD1986">
              <w:rPr>
                <w:rFonts w:ascii="Traditional Arabic" w:eastAsia="Times New Roman" w:hAnsi="Traditional Arabic" w:cs="Traditional Arabic"/>
                <w:sz w:val="28"/>
                <w:szCs w:val="28"/>
              </w:rPr>
              <w:t>.</w:t>
            </w:r>
          </w:p>
        </w:tc>
        <w:tc>
          <w:tcPr>
            <w:tcW w:w="1985" w:type="dxa"/>
            <w:hideMark/>
          </w:tcPr>
          <w:p w14:paraId="6DD70B79" w14:textId="77777777" w:rsidR="00FC1F7D" w:rsidRPr="00833BCD" w:rsidRDefault="00FC1F7D" w:rsidP="00CC1EA7">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الإنذار المبكر والمراقبة</w:t>
            </w:r>
          </w:p>
        </w:tc>
        <w:tc>
          <w:tcPr>
            <w:tcW w:w="1988" w:type="dxa"/>
            <w:hideMark/>
          </w:tcPr>
          <w:p w14:paraId="6DE00A3B" w14:textId="77777777" w:rsidR="00FC1F7D" w:rsidRPr="00833BCD" w:rsidRDefault="00FC1F7D" w:rsidP="00CC1EA7">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الهيكل التنظيمي</w:t>
            </w:r>
          </w:p>
        </w:tc>
        <w:tc>
          <w:tcPr>
            <w:tcW w:w="0" w:type="auto"/>
            <w:hideMark/>
          </w:tcPr>
          <w:p w14:paraId="46F55B37" w14:textId="77777777" w:rsidR="00FC1F7D" w:rsidRPr="00833BCD" w:rsidRDefault="00FC1F7D" w:rsidP="00CC1EA7">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b</w:t>
            </w:r>
          </w:p>
        </w:tc>
      </w:tr>
      <w:tr w:rsidR="00FC1F7D" w:rsidRPr="00833BCD" w14:paraId="37CCDD5C" w14:textId="77777777" w:rsidTr="00CC1EA7">
        <w:tc>
          <w:tcPr>
            <w:tcW w:w="4106" w:type="dxa"/>
            <w:hideMark/>
          </w:tcPr>
          <w:p w14:paraId="5352551D" w14:textId="77777777" w:rsidR="00FC1F7D" w:rsidRPr="00833BCD" w:rsidRDefault="00FC1F7D" w:rsidP="00CC1EA7">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الهيكل التنظيمي إيجابيًا في تبني أنظمة التحليلات التنبؤية وتكامل البيانات</w:t>
            </w:r>
            <w:r w:rsidRPr="00CD1986">
              <w:rPr>
                <w:rFonts w:ascii="Traditional Arabic" w:eastAsia="Times New Roman" w:hAnsi="Traditional Arabic" w:cs="Traditional Arabic"/>
                <w:sz w:val="28"/>
                <w:szCs w:val="28"/>
              </w:rPr>
              <w:t>.</w:t>
            </w:r>
          </w:p>
        </w:tc>
        <w:tc>
          <w:tcPr>
            <w:tcW w:w="1985" w:type="dxa"/>
            <w:hideMark/>
          </w:tcPr>
          <w:p w14:paraId="18982B5B" w14:textId="77777777" w:rsidR="00FC1F7D" w:rsidRPr="00833BCD" w:rsidRDefault="00FC1F7D" w:rsidP="00CC1EA7">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التحليلات التنبؤية وتكامل البيانات</w:t>
            </w:r>
          </w:p>
        </w:tc>
        <w:tc>
          <w:tcPr>
            <w:tcW w:w="1988" w:type="dxa"/>
            <w:hideMark/>
          </w:tcPr>
          <w:p w14:paraId="20C3F22A" w14:textId="77777777" w:rsidR="00FC1F7D" w:rsidRPr="00833BCD" w:rsidRDefault="00FC1F7D" w:rsidP="00CC1EA7">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الهيكل التنظيمي</w:t>
            </w:r>
          </w:p>
        </w:tc>
        <w:tc>
          <w:tcPr>
            <w:tcW w:w="0" w:type="auto"/>
            <w:hideMark/>
          </w:tcPr>
          <w:p w14:paraId="182E0044" w14:textId="77777777" w:rsidR="00FC1F7D" w:rsidRPr="00833BCD" w:rsidRDefault="00FC1F7D" w:rsidP="00CC1EA7">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c</w:t>
            </w:r>
          </w:p>
        </w:tc>
      </w:tr>
      <w:tr w:rsidR="00FC1F7D" w:rsidRPr="00833BCD" w14:paraId="0687331C" w14:textId="77777777" w:rsidTr="00CC1EA7">
        <w:tc>
          <w:tcPr>
            <w:tcW w:w="4106" w:type="dxa"/>
            <w:hideMark/>
          </w:tcPr>
          <w:p w14:paraId="4954F627" w14:textId="77777777" w:rsidR="00FC1F7D" w:rsidRPr="00833BCD" w:rsidRDefault="00FC1F7D" w:rsidP="00CC1EA7">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تؤثر إعادة هندسة العمليات إيجابيًا في تبني أنظمة دعم القرار السريري</w:t>
            </w:r>
            <w:r w:rsidRPr="00CD1986">
              <w:rPr>
                <w:rFonts w:ascii="Traditional Arabic" w:eastAsia="Times New Roman" w:hAnsi="Traditional Arabic" w:cs="Traditional Arabic"/>
                <w:sz w:val="28"/>
                <w:szCs w:val="28"/>
              </w:rPr>
              <w:t>.</w:t>
            </w:r>
          </w:p>
        </w:tc>
        <w:tc>
          <w:tcPr>
            <w:tcW w:w="1985" w:type="dxa"/>
            <w:hideMark/>
          </w:tcPr>
          <w:p w14:paraId="5B7406F0" w14:textId="77777777" w:rsidR="00FC1F7D" w:rsidRPr="00833BCD" w:rsidRDefault="00FC1F7D" w:rsidP="00CC1EA7">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دعم القرار السريري</w:t>
            </w:r>
          </w:p>
        </w:tc>
        <w:tc>
          <w:tcPr>
            <w:tcW w:w="1988" w:type="dxa"/>
            <w:hideMark/>
          </w:tcPr>
          <w:p w14:paraId="0D3B1E0D" w14:textId="77777777" w:rsidR="00FC1F7D" w:rsidRPr="00833BCD" w:rsidRDefault="00FC1F7D" w:rsidP="00CC1EA7">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إعادة هندسة العمليات</w:t>
            </w:r>
          </w:p>
        </w:tc>
        <w:tc>
          <w:tcPr>
            <w:tcW w:w="0" w:type="auto"/>
            <w:hideMark/>
          </w:tcPr>
          <w:p w14:paraId="2FFC8BAD" w14:textId="77777777" w:rsidR="00FC1F7D" w:rsidRPr="00833BCD" w:rsidRDefault="00FC1F7D" w:rsidP="00CC1EA7">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d</w:t>
            </w:r>
          </w:p>
        </w:tc>
      </w:tr>
      <w:tr w:rsidR="00FC1F7D" w:rsidRPr="00833BCD" w14:paraId="2A53E825" w14:textId="77777777" w:rsidTr="00CC1EA7">
        <w:tc>
          <w:tcPr>
            <w:tcW w:w="4106" w:type="dxa"/>
            <w:hideMark/>
          </w:tcPr>
          <w:p w14:paraId="0BC062B0" w14:textId="77777777" w:rsidR="00FC1F7D" w:rsidRPr="00833BCD" w:rsidRDefault="00FC1F7D" w:rsidP="00CC1EA7">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تؤثر إعادة هندسة العمليات إيجابيًا في تبني أنظمة الإنذار المبكر والمراقبة</w:t>
            </w:r>
            <w:r w:rsidRPr="00CD1986">
              <w:rPr>
                <w:rFonts w:ascii="Traditional Arabic" w:eastAsia="Times New Roman" w:hAnsi="Traditional Arabic" w:cs="Traditional Arabic"/>
                <w:sz w:val="28"/>
                <w:szCs w:val="28"/>
              </w:rPr>
              <w:t>.</w:t>
            </w:r>
          </w:p>
        </w:tc>
        <w:tc>
          <w:tcPr>
            <w:tcW w:w="1985" w:type="dxa"/>
            <w:hideMark/>
          </w:tcPr>
          <w:p w14:paraId="6E969F2D" w14:textId="77777777" w:rsidR="00FC1F7D" w:rsidRPr="00833BCD" w:rsidRDefault="00FC1F7D" w:rsidP="00CC1EA7">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الإنذار المبكر والمراقبة</w:t>
            </w:r>
          </w:p>
        </w:tc>
        <w:tc>
          <w:tcPr>
            <w:tcW w:w="1988" w:type="dxa"/>
            <w:hideMark/>
          </w:tcPr>
          <w:p w14:paraId="236565C1" w14:textId="77777777" w:rsidR="00FC1F7D" w:rsidRPr="00833BCD" w:rsidRDefault="00FC1F7D" w:rsidP="00CC1EA7">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إعادة هندسة العمليات</w:t>
            </w:r>
          </w:p>
        </w:tc>
        <w:tc>
          <w:tcPr>
            <w:tcW w:w="0" w:type="auto"/>
            <w:hideMark/>
          </w:tcPr>
          <w:p w14:paraId="03FD5FE1" w14:textId="77777777" w:rsidR="00FC1F7D" w:rsidRPr="00833BCD" w:rsidRDefault="00FC1F7D" w:rsidP="00CC1EA7">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e</w:t>
            </w:r>
          </w:p>
        </w:tc>
      </w:tr>
      <w:tr w:rsidR="00FC1F7D" w:rsidRPr="00833BCD" w14:paraId="28099660" w14:textId="77777777" w:rsidTr="00CC1EA7">
        <w:tc>
          <w:tcPr>
            <w:tcW w:w="4106" w:type="dxa"/>
            <w:hideMark/>
          </w:tcPr>
          <w:p w14:paraId="6FFDB020" w14:textId="77777777" w:rsidR="00FC1F7D" w:rsidRPr="00833BCD" w:rsidRDefault="00FC1F7D" w:rsidP="00CC1EA7">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تؤثر إعادة هندسة العمليات إيجابيًا في تبني أنظمة التحليلات التنبؤية وتكامل البيانات</w:t>
            </w:r>
            <w:r w:rsidRPr="00CD1986">
              <w:rPr>
                <w:rFonts w:ascii="Traditional Arabic" w:eastAsia="Times New Roman" w:hAnsi="Traditional Arabic" w:cs="Traditional Arabic"/>
                <w:sz w:val="28"/>
                <w:szCs w:val="28"/>
              </w:rPr>
              <w:t>.</w:t>
            </w:r>
          </w:p>
        </w:tc>
        <w:tc>
          <w:tcPr>
            <w:tcW w:w="1985" w:type="dxa"/>
            <w:hideMark/>
          </w:tcPr>
          <w:p w14:paraId="725AAFE9" w14:textId="77777777" w:rsidR="00FC1F7D" w:rsidRPr="00833BCD" w:rsidRDefault="00FC1F7D" w:rsidP="00CC1EA7">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التحليلات التنبؤية وتكامل البيانات</w:t>
            </w:r>
          </w:p>
        </w:tc>
        <w:tc>
          <w:tcPr>
            <w:tcW w:w="1988" w:type="dxa"/>
            <w:hideMark/>
          </w:tcPr>
          <w:p w14:paraId="1C1B7A41" w14:textId="77777777" w:rsidR="00FC1F7D" w:rsidRPr="00833BCD" w:rsidRDefault="00FC1F7D" w:rsidP="00CC1EA7">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إعادة هندسة العمليات</w:t>
            </w:r>
          </w:p>
        </w:tc>
        <w:tc>
          <w:tcPr>
            <w:tcW w:w="0" w:type="auto"/>
            <w:hideMark/>
          </w:tcPr>
          <w:p w14:paraId="652DC5C9" w14:textId="77777777" w:rsidR="00FC1F7D" w:rsidRPr="00833BCD" w:rsidRDefault="00FC1F7D" w:rsidP="00CC1EA7">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f</w:t>
            </w:r>
          </w:p>
        </w:tc>
      </w:tr>
      <w:tr w:rsidR="00FC1F7D" w:rsidRPr="00833BCD" w14:paraId="39ABCB0E" w14:textId="77777777" w:rsidTr="00CC1EA7">
        <w:tc>
          <w:tcPr>
            <w:tcW w:w="4106" w:type="dxa"/>
            <w:hideMark/>
          </w:tcPr>
          <w:p w14:paraId="12DA9900" w14:textId="77777777" w:rsidR="00FC1F7D" w:rsidRPr="00833BCD" w:rsidRDefault="00FC1F7D" w:rsidP="00CC1EA7">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تمكين العاملين إيجابيًا في تبني أنظمة دعم القرار السريري</w:t>
            </w:r>
            <w:r w:rsidRPr="00CD1986">
              <w:rPr>
                <w:rFonts w:ascii="Traditional Arabic" w:eastAsia="Times New Roman" w:hAnsi="Traditional Arabic" w:cs="Traditional Arabic"/>
                <w:sz w:val="28"/>
                <w:szCs w:val="28"/>
              </w:rPr>
              <w:t>.</w:t>
            </w:r>
          </w:p>
        </w:tc>
        <w:tc>
          <w:tcPr>
            <w:tcW w:w="1985" w:type="dxa"/>
            <w:hideMark/>
          </w:tcPr>
          <w:p w14:paraId="672C4A59" w14:textId="77777777" w:rsidR="00FC1F7D" w:rsidRPr="00833BCD" w:rsidRDefault="00FC1F7D" w:rsidP="00CC1EA7">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دعم القرار السريري</w:t>
            </w:r>
          </w:p>
        </w:tc>
        <w:tc>
          <w:tcPr>
            <w:tcW w:w="1988" w:type="dxa"/>
            <w:hideMark/>
          </w:tcPr>
          <w:p w14:paraId="292D1EC3" w14:textId="77777777" w:rsidR="00FC1F7D" w:rsidRPr="00833BCD" w:rsidRDefault="00FC1F7D" w:rsidP="00CC1EA7">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تمكين العاملين</w:t>
            </w:r>
          </w:p>
        </w:tc>
        <w:tc>
          <w:tcPr>
            <w:tcW w:w="0" w:type="auto"/>
            <w:hideMark/>
          </w:tcPr>
          <w:p w14:paraId="4301DDEE" w14:textId="77777777" w:rsidR="00FC1F7D" w:rsidRPr="00833BCD" w:rsidRDefault="00FC1F7D" w:rsidP="00CC1EA7">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g</w:t>
            </w:r>
          </w:p>
        </w:tc>
      </w:tr>
      <w:tr w:rsidR="00FC1F7D" w:rsidRPr="00833BCD" w14:paraId="0787BA1A" w14:textId="77777777" w:rsidTr="00CC1EA7">
        <w:tc>
          <w:tcPr>
            <w:tcW w:w="4106" w:type="dxa"/>
            <w:hideMark/>
          </w:tcPr>
          <w:p w14:paraId="0E999887" w14:textId="77777777" w:rsidR="00FC1F7D" w:rsidRPr="00833BCD" w:rsidRDefault="00FC1F7D" w:rsidP="00CC1EA7">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تمكين العاملين إيجابيًا في تبني أنظمة الإنذار المبكر والمراقبة</w:t>
            </w:r>
            <w:r w:rsidRPr="00CD1986">
              <w:rPr>
                <w:rFonts w:ascii="Traditional Arabic" w:eastAsia="Times New Roman" w:hAnsi="Traditional Arabic" w:cs="Traditional Arabic"/>
                <w:sz w:val="28"/>
                <w:szCs w:val="28"/>
              </w:rPr>
              <w:t>.</w:t>
            </w:r>
          </w:p>
        </w:tc>
        <w:tc>
          <w:tcPr>
            <w:tcW w:w="1985" w:type="dxa"/>
            <w:hideMark/>
          </w:tcPr>
          <w:p w14:paraId="357D2E9D" w14:textId="77777777" w:rsidR="00FC1F7D" w:rsidRPr="00833BCD" w:rsidRDefault="00FC1F7D" w:rsidP="00CC1EA7">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الإنذار المبكر والمراقبة</w:t>
            </w:r>
          </w:p>
        </w:tc>
        <w:tc>
          <w:tcPr>
            <w:tcW w:w="1988" w:type="dxa"/>
            <w:hideMark/>
          </w:tcPr>
          <w:p w14:paraId="1E720006" w14:textId="77777777" w:rsidR="00FC1F7D" w:rsidRPr="00833BCD" w:rsidRDefault="00FC1F7D" w:rsidP="00CC1EA7">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تمكين العاملين</w:t>
            </w:r>
          </w:p>
        </w:tc>
        <w:tc>
          <w:tcPr>
            <w:tcW w:w="0" w:type="auto"/>
            <w:hideMark/>
          </w:tcPr>
          <w:p w14:paraId="1677A87E" w14:textId="77777777" w:rsidR="00FC1F7D" w:rsidRPr="00833BCD" w:rsidRDefault="00FC1F7D" w:rsidP="00CC1EA7">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h</w:t>
            </w:r>
          </w:p>
        </w:tc>
      </w:tr>
      <w:tr w:rsidR="00FC1F7D" w:rsidRPr="00833BCD" w14:paraId="4D3AFC04" w14:textId="77777777" w:rsidTr="00CC1EA7">
        <w:tc>
          <w:tcPr>
            <w:tcW w:w="4106" w:type="dxa"/>
            <w:hideMark/>
          </w:tcPr>
          <w:p w14:paraId="7CFB2021" w14:textId="77777777" w:rsidR="00FC1F7D" w:rsidRPr="00833BCD" w:rsidRDefault="00FC1F7D" w:rsidP="00CC1EA7">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lastRenderedPageBreak/>
              <w:t>يؤثر تمكين العاملين إيجابيًا في تبني أنظمة التحليلات التنبؤية وتكامل البيانات</w:t>
            </w:r>
            <w:r w:rsidRPr="00CD1986">
              <w:rPr>
                <w:rFonts w:ascii="Traditional Arabic" w:eastAsia="Times New Roman" w:hAnsi="Traditional Arabic" w:cs="Traditional Arabic"/>
                <w:sz w:val="28"/>
                <w:szCs w:val="28"/>
              </w:rPr>
              <w:t>.</w:t>
            </w:r>
          </w:p>
        </w:tc>
        <w:tc>
          <w:tcPr>
            <w:tcW w:w="1985" w:type="dxa"/>
            <w:hideMark/>
          </w:tcPr>
          <w:p w14:paraId="490C8407" w14:textId="77777777" w:rsidR="00FC1F7D" w:rsidRPr="00833BCD" w:rsidRDefault="00FC1F7D" w:rsidP="00CC1EA7">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التحليلات التنبؤية وتكامل البيانات</w:t>
            </w:r>
          </w:p>
        </w:tc>
        <w:tc>
          <w:tcPr>
            <w:tcW w:w="1988" w:type="dxa"/>
            <w:hideMark/>
          </w:tcPr>
          <w:p w14:paraId="0031EC12" w14:textId="77777777" w:rsidR="00FC1F7D" w:rsidRPr="00833BCD" w:rsidRDefault="00FC1F7D" w:rsidP="00CC1EA7">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تمكين العاملين</w:t>
            </w:r>
          </w:p>
        </w:tc>
        <w:tc>
          <w:tcPr>
            <w:tcW w:w="0" w:type="auto"/>
            <w:hideMark/>
          </w:tcPr>
          <w:p w14:paraId="163A14C1" w14:textId="77777777" w:rsidR="00FC1F7D" w:rsidRPr="00833BCD" w:rsidRDefault="00FC1F7D" w:rsidP="00CC1EA7">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i</w:t>
            </w:r>
          </w:p>
        </w:tc>
      </w:tr>
    </w:tbl>
    <w:p w14:paraId="6AE30DBB" w14:textId="77777777" w:rsidR="00FC1F7D" w:rsidRPr="00833BCD" w:rsidRDefault="00FC1F7D" w:rsidP="00FC1F7D">
      <w:pPr>
        <w:bidi/>
        <w:spacing w:after="0" w:line="120" w:lineRule="auto"/>
        <w:jc w:val="both"/>
        <w:rPr>
          <w:rFonts w:ascii="Traditional Arabic" w:hAnsi="Traditional Arabic" w:cs="Traditional Arabic"/>
          <w:b/>
          <w:bCs/>
          <w:color w:val="000000" w:themeColor="text1"/>
          <w:sz w:val="28"/>
          <w:szCs w:val="28"/>
        </w:rPr>
      </w:pPr>
    </w:p>
    <w:p w14:paraId="2392C103" w14:textId="1CD55103" w:rsidR="00FC1F7D" w:rsidRPr="00B34478" w:rsidRDefault="00FC1F7D" w:rsidP="00B34478">
      <w:pPr>
        <w:pStyle w:val="a6"/>
        <w:numPr>
          <w:ilvl w:val="0"/>
          <w:numId w:val="110"/>
        </w:numPr>
        <w:bidi/>
        <w:spacing w:after="0" w:line="276" w:lineRule="auto"/>
        <w:rPr>
          <w:rFonts w:ascii="Traditional Arabic" w:hAnsi="Traditional Arabic" w:cs="Traditional Arabic"/>
          <w:b/>
          <w:bCs/>
          <w:color w:val="000000" w:themeColor="text1"/>
          <w:sz w:val="28"/>
          <w:szCs w:val="28"/>
          <w:rtl/>
        </w:rPr>
      </w:pPr>
      <w:r w:rsidRPr="00B34478">
        <w:rPr>
          <w:rFonts w:ascii="Traditional Arabic" w:hAnsi="Traditional Arabic" w:cs="Traditional Arabic"/>
          <w:b/>
          <w:bCs/>
          <w:color w:val="000000" w:themeColor="text1"/>
          <w:sz w:val="32"/>
          <w:szCs w:val="32"/>
          <w:rtl/>
        </w:rPr>
        <w:t>الفرضية الرئيسية</w:t>
      </w:r>
      <w:r w:rsidRPr="00B34478">
        <w:rPr>
          <w:rFonts w:ascii="Traditional Arabic" w:hAnsi="Traditional Arabic" w:cs="Traditional Arabic"/>
          <w:b/>
          <w:bCs/>
          <w:color w:val="000000" w:themeColor="text1"/>
          <w:sz w:val="32"/>
          <w:szCs w:val="32"/>
        </w:rPr>
        <w:t xml:space="preserve"> H</w:t>
      </w:r>
      <w:r w:rsidRPr="00B34478">
        <w:rPr>
          <w:rFonts w:ascii="Cambria Math" w:hAnsi="Cambria Math" w:cs="Cambria Math"/>
          <w:b/>
          <w:bCs/>
          <w:color w:val="000000" w:themeColor="text1"/>
          <w:sz w:val="32"/>
          <w:szCs w:val="32"/>
        </w:rPr>
        <w:t>₃</w:t>
      </w:r>
      <w:r w:rsidRPr="00B34478">
        <w:rPr>
          <w:rFonts w:ascii="Traditional Arabic" w:hAnsi="Traditional Arabic" w:cs="Traditional Arabic"/>
          <w:b/>
          <w:bCs/>
          <w:color w:val="000000" w:themeColor="text1"/>
          <w:sz w:val="32"/>
          <w:szCs w:val="32"/>
        </w:rPr>
        <w:t> </w:t>
      </w:r>
      <w:r w:rsidRPr="00B34478">
        <w:rPr>
          <w:rFonts w:ascii="Traditional Arabic" w:hAnsi="Traditional Arabic" w:cs="Traditional Arabic" w:hint="cs"/>
          <w:b/>
          <w:bCs/>
          <w:color w:val="000000" w:themeColor="text1"/>
          <w:sz w:val="32"/>
          <w:szCs w:val="32"/>
          <w:rtl/>
        </w:rPr>
        <w:t xml:space="preserve">: </w:t>
      </w:r>
      <w:r w:rsidRPr="00B34478">
        <w:rPr>
          <w:rFonts w:ascii="Traditional Arabic" w:hAnsi="Traditional Arabic" w:cs="Traditional Arabic"/>
          <w:b/>
          <w:bCs/>
          <w:color w:val="000000" w:themeColor="text1"/>
          <w:sz w:val="32"/>
          <w:szCs w:val="32"/>
          <w:rtl/>
        </w:rPr>
        <w:t>تؤثر التكنولوجيا الذكية إيجابيًا في</w:t>
      </w:r>
      <w:r w:rsidRPr="00B34478">
        <w:rPr>
          <w:rFonts w:ascii="Traditional Arabic" w:hAnsi="Traditional Arabic" w:cs="Traditional Arabic" w:hint="cs"/>
          <w:b/>
          <w:bCs/>
          <w:color w:val="000000" w:themeColor="text1"/>
          <w:sz w:val="32"/>
          <w:szCs w:val="32"/>
          <w:rtl/>
        </w:rPr>
        <w:t xml:space="preserve"> </w:t>
      </w:r>
      <w:r w:rsidRPr="00B34478">
        <w:rPr>
          <w:rFonts w:ascii="Traditional Arabic" w:hAnsi="Traditional Arabic" w:cs="Traditional Arabic"/>
          <w:b/>
          <w:bCs/>
          <w:color w:val="000000" w:themeColor="text1"/>
          <w:sz w:val="32"/>
          <w:szCs w:val="32"/>
          <w:rtl/>
        </w:rPr>
        <w:t>إدارة المخاطر في مستشفى الملك فهد المركزي بالباحة</w:t>
      </w:r>
      <w:r w:rsidRPr="00B34478">
        <w:rPr>
          <w:rFonts w:ascii="Traditional Arabic" w:hAnsi="Traditional Arabic" w:cs="Traditional Arabic" w:hint="cs"/>
          <w:b/>
          <w:bCs/>
          <w:color w:val="000000" w:themeColor="text1"/>
          <w:sz w:val="32"/>
          <w:szCs w:val="32"/>
          <w:rtl/>
        </w:rPr>
        <w:t>.</w:t>
      </w:r>
      <w:r w:rsidRPr="00B34478">
        <w:rPr>
          <w:rFonts w:ascii="Traditional Arabic" w:hAnsi="Traditional Arabic" w:cs="Traditional Arabic"/>
          <w:b/>
          <w:bCs/>
          <w:color w:val="000000" w:themeColor="text1"/>
          <w:sz w:val="28"/>
          <w:szCs w:val="28"/>
        </w:rPr>
        <w:t xml:space="preserve"> </w:t>
      </w:r>
      <w:r w:rsidRPr="00B34478">
        <w:rPr>
          <w:rFonts w:ascii="Traditional Arabic" w:hAnsi="Traditional Arabic" w:cs="Traditional Arabic" w:hint="cs"/>
          <w:color w:val="000000" w:themeColor="text1"/>
          <w:sz w:val="28"/>
          <w:szCs w:val="28"/>
          <w:rtl/>
        </w:rPr>
        <w:t>ويتفرع عنها الفرضيات التالية:</w:t>
      </w:r>
    </w:p>
    <w:tbl>
      <w:tblPr>
        <w:tblStyle w:val="aa"/>
        <w:tblW w:w="0" w:type="auto"/>
        <w:jc w:val="center"/>
        <w:tblLook w:val="04A0" w:firstRow="1" w:lastRow="0" w:firstColumn="1" w:lastColumn="0" w:noHBand="0" w:noVBand="1"/>
      </w:tblPr>
      <w:tblGrid>
        <w:gridCol w:w="4106"/>
        <w:gridCol w:w="1985"/>
        <w:gridCol w:w="1962"/>
        <w:gridCol w:w="698"/>
      </w:tblGrid>
      <w:tr w:rsidR="00FC1F7D" w:rsidRPr="00833BCD" w14:paraId="6F5B2511" w14:textId="77777777" w:rsidTr="00CC1EA7">
        <w:trPr>
          <w:jc w:val="center"/>
        </w:trPr>
        <w:tc>
          <w:tcPr>
            <w:tcW w:w="4106" w:type="dxa"/>
            <w:hideMark/>
          </w:tcPr>
          <w:p w14:paraId="50035027" w14:textId="77777777" w:rsidR="00FC1F7D" w:rsidRPr="00833BCD" w:rsidRDefault="00FC1F7D" w:rsidP="00CC1EA7">
            <w:pPr>
              <w:bidi/>
              <w:spacing w:line="276" w:lineRule="auto"/>
              <w:jc w:val="center"/>
              <w:rPr>
                <w:rFonts w:ascii="Traditional Arabic" w:hAnsi="Traditional Arabic" w:cs="Traditional Arabic"/>
                <w:b/>
                <w:bCs/>
                <w:color w:val="000000" w:themeColor="text1"/>
                <w:sz w:val="28"/>
                <w:szCs w:val="28"/>
              </w:rPr>
            </w:pPr>
            <w:r w:rsidRPr="00833BCD">
              <w:rPr>
                <w:rFonts w:ascii="Traditional Arabic" w:eastAsia="Times New Roman" w:hAnsi="Traditional Arabic" w:cs="Traditional Arabic"/>
                <w:b/>
                <w:bCs/>
                <w:sz w:val="28"/>
                <w:szCs w:val="28"/>
                <w:rtl/>
              </w:rPr>
              <w:t>الفرضية الفرعية</w:t>
            </w:r>
          </w:p>
        </w:tc>
        <w:tc>
          <w:tcPr>
            <w:tcW w:w="1985" w:type="dxa"/>
            <w:hideMark/>
          </w:tcPr>
          <w:p w14:paraId="2A26CD9F" w14:textId="77777777" w:rsidR="00FC1F7D" w:rsidRPr="00833BCD" w:rsidRDefault="00FC1F7D" w:rsidP="00CC1EA7">
            <w:pPr>
              <w:bidi/>
              <w:spacing w:line="276" w:lineRule="auto"/>
              <w:jc w:val="center"/>
              <w:rPr>
                <w:rFonts w:ascii="Traditional Arabic" w:hAnsi="Traditional Arabic" w:cs="Traditional Arabic"/>
                <w:b/>
                <w:bCs/>
                <w:color w:val="000000" w:themeColor="text1"/>
                <w:sz w:val="28"/>
                <w:szCs w:val="28"/>
              </w:rPr>
            </w:pPr>
            <w:r w:rsidRPr="00833BCD">
              <w:rPr>
                <w:rFonts w:ascii="Traditional Arabic" w:eastAsia="Times New Roman" w:hAnsi="Traditional Arabic" w:cs="Traditional Arabic"/>
                <w:b/>
                <w:bCs/>
                <w:sz w:val="28"/>
                <w:szCs w:val="28"/>
                <w:rtl/>
              </w:rPr>
              <w:t>ال</w:t>
            </w:r>
            <w:r>
              <w:rPr>
                <w:rFonts w:ascii="Traditional Arabic" w:eastAsia="Times New Roman" w:hAnsi="Traditional Arabic" w:cs="Traditional Arabic" w:hint="cs"/>
                <w:b/>
                <w:bCs/>
                <w:sz w:val="28"/>
                <w:szCs w:val="28"/>
                <w:rtl/>
              </w:rPr>
              <w:t>متغير الفرعي</w:t>
            </w:r>
            <w:r w:rsidRPr="00833BCD">
              <w:rPr>
                <w:rFonts w:ascii="Traditional Arabic" w:eastAsia="Times New Roman" w:hAnsi="Traditional Arabic" w:cs="Traditional Arabic"/>
                <w:b/>
                <w:bCs/>
                <w:sz w:val="28"/>
                <w:szCs w:val="28"/>
                <w:rtl/>
              </w:rPr>
              <w:t xml:space="preserve"> التابع </w:t>
            </w:r>
          </w:p>
        </w:tc>
        <w:tc>
          <w:tcPr>
            <w:tcW w:w="1962" w:type="dxa"/>
            <w:hideMark/>
          </w:tcPr>
          <w:p w14:paraId="2DAB245B" w14:textId="77777777" w:rsidR="00FC1F7D" w:rsidRPr="00833BCD" w:rsidRDefault="00FC1F7D" w:rsidP="00CC1EA7">
            <w:pPr>
              <w:bidi/>
              <w:spacing w:line="276" w:lineRule="auto"/>
              <w:jc w:val="center"/>
              <w:rPr>
                <w:rFonts w:ascii="Traditional Arabic" w:hAnsi="Traditional Arabic" w:cs="Traditional Arabic"/>
                <w:b/>
                <w:bCs/>
                <w:color w:val="000000" w:themeColor="text1"/>
                <w:sz w:val="28"/>
                <w:szCs w:val="28"/>
              </w:rPr>
            </w:pPr>
            <w:r w:rsidRPr="00833BCD">
              <w:rPr>
                <w:rFonts w:ascii="Traditional Arabic" w:eastAsia="Times New Roman" w:hAnsi="Traditional Arabic" w:cs="Traditional Arabic"/>
                <w:b/>
                <w:bCs/>
                <w:sz w:val="28"/>
                <w:szCs w:val="28"/>
                <w:rtl/>
              </w:rPr>
              <w:t>ال</w:t>
            </w:r>
            <w:r>
              <w:rPr>
                <w:rFonts w:ascii="Traditional Arabic" w:eastAsia="Times New Roman" w:hAnsi="Traditional Arabic" w:cs="Traditional Arabic" w:hint="cs"/>
                <w:b/>
                <w:bCs/>
                <w:sz w:val="28"/>
                <w:szCs w:val="28"/>
                <w:rtl/>
              </w:rPr>
              <w:t>متغير الفرعي</w:t>
            </w:r>
            <w:r w:rsidRPr="00833BCD">
              <w:rPr>
                <w:rFonts w:ascii="Traditional Arabic" w:eastAsia="Times New Roman" w:hAnsi="Traditional Arabic" w:cs="Traditional Arabic"/>
                <w:b/>
                <w:bCs/>
                <w:sz w:val="28"/>
                <w:szCs w:val="28"/>
                <w:rtl/>
              </w:rPr>
              <w:t xml:space="preserve"> المستقل</w:t>
            </w:r>
          </w:p>
        </w:tc>
        <w:tc>
          <w:tcPr>
            <w:tcW w:w="0" w:type="auto"/>
            <w:hideMark/>
          </w:tcPr>
          <w:p w14:paraId="199E7780" w14:textId="77777777" w:rsidR="00FC1F7D" w:rsidRPr="00833BCD" w:rsidRDefault="00FC1F7D" w:rsidP="00CC1EA7">
            <w:pPr>
              <w:bidi/>
              <w:spacing w:line="276" w:lineRule="auto"/>
              <w:jc w:val="center"/>
              <w:rPr>
                <w:rFonts w:ascii="Traditional Arabic" w:hAnsi="Traditional Arabic" w:cs="Traditional Arabic"/>
                <w:b/>
                <w:bCs/>
                <w:color w:val="000000" w:themeColor="text1"/>
                <w:sz w:val="28"/>
                <w:szCs w:val="28"/>
              </w:rPr>
            </w:pPr>
            <w:r w:rsidRPr="00833BCD">
              <w:rPr>
                <w:rFonts w:ascii="Traditional Arabic" w:eastAsia="Times New Roman" w:hAnsi="Traditional Arabic" w:cs="Traditional Arabic"/>
                <w:b/>
                <w:bCs/>
                <w:sz w:val="28"/>
                <w:szCs w:val="28"/>
                <w:rtl/>
              </w:rPr>
              <w:t>الرقم</w:t>
            </w:r>
          </w:p>
        </w:tc>
      </w:tr>
      <w:tr w:rsidR="00FC1F7D" w:rsidRPr="00833BCD" w14:paraId="1BA63AC1" w14:textId="77777777" w:rsidTr="00CC1EA7">
        <w:trPr>
          <w:jc w:val="center"/>
        </w:trPr>
        <w:tc>
          <w:tcPr>
            <w:tcW w:w="4106" w:type="dxa"/>
            <w:hideMark/>
          </w:tcPr>
          <w:p w14:paraId="16A9E687" w14:textId="77777777" w:rsidR="00FC1F7D" w:rsidRPr="00833BCD" w:rsidRDefault="00FC1F7D" w:rsidP="00CC1EA7">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دعم القرار السريري إيجابيًا في التخطيط للمخاطر</w:t>
            </w:r>
            <w:r w:rsidRPr="00CE265E">
              <w:rPr>
                <w:rFonts w:ascii="Traditional Arabic" w:hAnsi="Traditional Arabic" w:cs="Traditional Arabic"/>
                <w:color w:val="000000" w:themeColor="text1"/>
                <w:sz w:val="28"/>
                <w:szCs w:val="28"/>
              </w:rPr>
              <w:t>.</w:t>
            </w:r>
          </w:p>
        </w:tc>
        <w:tc>
          <w:tcPr>
            <w:tcW w:w="1985" w:type="dxa"/>
            <w:hideMark/>
          </w:tcPr>
          <w:p w14:paraId="0EFD8B82"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التخطيط للمخاطر</w:t>
            </w:r>
          </w:p>
        </w:tc>
        <w:tc>
          <w:tcPr>
            <w:tcW w:w="1962" w:type="dxa"/>
            <w:hideMark/>
          </w:tcPr>
          <w:p w14:paraId="2FDDB220"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دعم القرار السريري</w:t>
            </w:r>
          </w:p>
        </w:tc>
        <w:tc>
          <w:tcPr>
            <w:tcW w:w="0" w:type="auto"/>
            <w:hideMark/>
          </w:tcPr>
          <w:p w14:paraId="67073C6E" w14:textId="77777777" w:rsidR="00FC1F7D" w:rsidRPr="0034470A" w:rsidRDefault="00FC1F7D" w:rsidP="00CC1EA7">
            <w:pPr>
              <w:bidi/>
              <w:spacing w:line="276" w:lineRule="auto"/>
              <w:jc w:val="both"/>
              <w:rPr>
                <w:rFonts w:ascii="Traditional Arabic" w:hAnsi="Traditional Arabic" w:cs="Traditional Arabic"/>
                <w:color w:val="000000" w:themeColor="text1"/>
                <w:sz w:val="28"/>
                <w:szCs w:val="28"/>
              </w:rPr>
            </w:pPr>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a</w:t>
            </w:r>
          </w:p>
        </w:tc>
      </w:tr>
      <w:tr w:rsidR="00FC1F7D" w:rsidRPr="00833BCD" w14:paraId="2A56D3A3" w14:textId="77777777" w:rsidTr="00CC1EA7">
        <w:trPr>
          <w:jc w:val="center"/>
        </w:trPr>
        <w:tc>
          <w:tcPr>
            <w:tcW w:w="4106" w:type="dxa"/>
            <w:hideMark/>
          </w:tcPr>
          <w:p w14:paraId="5328BC14" w14:textId="77777777" w:rsidR="00FC1F7D" w:rsidRPr="00833BCD" w:rsidRDefault="00FC1F7D" w:rsidP="00CC1EA7">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دعم القرار السريري إيجابيًا في الموقف من المخاطر</w:t>
            </w:r>
            <w:r w:rsidRPr="00CE265E">
              <w:rPr>
                <w:rFonts w:ascii="Traditional Arabic" w:hAnsi="Traditional Arabic" w:cs="Traditional Arabic"/>
                <w:color w:val="000000" w:themeColor="text1"/>
                <w:sz w:val="28"/>
                <w:szCs w:val="28"/>
              </w:rPr>
              <w:t>.</w:t>
            </w:r>
          </w:p>
        </w:tc>
        <w:tc>
          <w:tcPr>
            <w:tcW w:w="1985" w:type="dxa"/>
            <w:hideMark/>
          </w:tcPr>
          <w:p w14:paraId="5CC42D6C"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الموقف من المخاطر</w:t>
            </w:r>
          </w:p>
        </w:tc>
        <w:tc>
          <w:tcPr>
            <w:tcW w:w="1962" w:type="dxa"/>
            <w:hideMark/>
          </w:tcPr>
          <w:p w14:paraId="6D0F601F"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دعم القرار السريري</w:t>
            </w:r>
          </w:p>
        </w:tc>
        <w:tc>
          <w:tcPr>
            <w:tcW w:w="0" w:type="auto"/>
            <w:hideMark/>
          </w:tcPr>
          <w:p w14:paraId="01E787F1" w14:textId="77777777" w:rsidR="00FC1F7D" w:rsidRPr="0034470A" w:rsidRDefault="00FC1F7D" w:rsidP="00CC1EA7">
            <w:pPr>
              <w:bidi/>
              <w:spacing w:line="276" w:lineRule="auto"/>
              <w:jc w:val="both"/>
              <w:rPr>
                <w:rFonts w:ascii="Traditional Arabic" w:hAnsi="Traditional Arabic" w:cs="Traditional Arabic"/>
                <w:color w:val="000000" w:themeColor="text1"/>
                <w:sz w:val="28"/>
                <w:szCs w:val="28"/>
              </w:rPr>
            </w:pPr>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b</w:t>
            </w:r>
          </w:p>
        </w:tc>
      </w:tr>
      <w:tr w:rsidR="00FC1F7D" w:rsidRPr="00833BCD" w14:paraId="74E3B436" w14:textId="77777777" w:rsidTr="00CC1EA7">
        <w:trPr>
          <w:jc w:val="center"/>
        </w:trPr>
        <w:tc>
          <w:tcPr>
            <w:tcW w:w="4106" w:type="dxa"/>
            <w:hideMark/>
          </w:tcPr>
          <w:p w14:paraId="6001D8B3" w14:textId="77777777" w:rsidR="00FC1F7D" w:rsidRPr="00833BCD" w:rsidRDefault="00FC1F7D" w:rsidP="00CC1EA7">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دعم القرار السريري إيجابيًا في الممارسات الوقائية</w:t>
            </w:r>
            <w:r w:rsidRPr="00CE265E">
              <w:rPr>
                <w:rFonts w:ascii="Traditional Arabic" w:hAnsi="Traditional Arabic" w:cs="Traditional Arabic"/>
                <w:color w:val="000000" w:themeColor="text1"/>
                <w:sz w:val="28"/>
                <w:szCs w:val="28"/>
              </w:rPr>
              <w:t>.</w:t>
            </w:r>
          </w:p>
        </w:tc>
        <w:tc>
          <w:tcPr>
            <w:tcW w:w="1985" w:type="dxa"/>
            <w:hideMark/>
          </w:tcPr>
          <w:p w14:paraId="41E33C9E"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الممارسات الوقائية</w:t>
            </w:r>
          </w:p>
        </w:tc>
        <w:tc>
          <w:tcPr>
            <w:tcW w:w="1962" w:type="dxa"/>
            <w:hideMark/>
          </w:tcPr>
          <w:p w14:paraId="45996153"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دعم القرار السريري</w:t>
            </w:r>
          </w:p>
        </w:tc>
        <w:tc>
          <w:tcPr>
            <w:tcW w:w="0" w:type="auto"/>
            <w:hideMark/>
          </w:tcPr>
          <w:p w14:paraId="28378485" w14:textId="77777777" w:rsidR="00FC1F7D" w:rsidRPr="0034470A" w:rsidRDefault="00FC1F7D" w:rsidP="00CC1EA7">
            <w:pPr>
              <w:bidi/>
              <w:spacing w:line="276" w:lineRule="auto"/>
              <w:jc w:val="both"/>
              <w:rPr>
                <w:rFonts w:ascii="Traditional Arabic" w:hAnsi="Traditional Arabic" w:cs="Traditional Arabic"/>
                <w:color w:val="000000" w:themeColor="text1"/>
                <w:sz w:val="28"/>
                <w:szCs w:val="28"/>
              </w:rPr>
            </w:pPr>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c</w:t>
            </w:r>
          </w:p>
        </w:tc>
      </w:tr>
      <w:tr w:rsidR="00FC1F7D" w:rsidRPr="00833BCD" w14:paraId="6336D1F4" w14:textId="77777777" w:rsidTr="00CC1EA7">
        <w:trPr>
          <w:jc w:val="center"/>
        </w:trPr>
        <w:tc>
          <w:tcPr>
            <w:tcW w:w="4106" w:type="dxa"/>
            <w:hideMark/>
          </w:tcPr>
          <w:p w14:paraId="5E8569E9" w14:textId="77777777" w:rsidR="00FC1F7D" w:rsidRPr="00833BCD" w:rsidRDefault="00FC1F7D" w:rsidP="00CC1EA7">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الإنذار المبكر والمراقبة إيجابيًا في التخطيط للمخاطر</w:t>
            </w:r>
            <w:r w:rsidRPr="00CE265E">
              <w:rPr>
                <w:rFonts w:ascii="Traditional Arabic" w:hAnsi="Traditional Arabic" w:cs="Traditional Arabic"/>
                <w:color w:val="000000" w:themeColor="text1"/>
                <w:sz w:val="28"/>
                <w:szCs w:val="28"/>
              </w:rPr>
              <w:t>.</w:t>
            </w:r>
          </w:p>
        </w:tc>
        <w:tc>
          <w:tcPr>
            <w:tcW w:w="1985" w:type="dxa"/>
            <w:hideMark/>
          </w:tcPr>
          <w:p w14:paraId="3F3CF7DF"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التخطيط للمخاطر</w:t>
            </w:r>
          </w:p>
        </w:tc>
        <w:tc>
          <w:tcPr>
            <w:tcW w:w="1962" w:type="dxa"/>
            <w:hideMark/>
          </w:tcPr>
          <w:p w14:paraId="20FDF2E4"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الإنذار المبكر والمراقبة</w:t>
            </w:r>
          </w:p>
        </w:tc>
        <w:tc>
          <w:tcPr>
            <w:tcW w:w="0" w:type="auto"/>
            <w:hideMark/>
          </w:tcPr>
          <w:p w14:paraId="495BD63E" w14:textId="77777777" w:rsidR="00FC1F7D" w:rsidRPr="0034470A" w:rsidRDefault="00FC1F7D" w:rsidP="00CC1EA7">
            <w:pPr>
              <w:bidi/>
              <w:spacing w:line="276" w:lineRule="auto"/>
              <w:jc w:val="both"/>
              <w:rPr>
                <w:rFonts w:ascii="Traditional Arabic" w:hAnsi="Traditional Arabic" w:cs="Traditional Arabic"/>
                <w:color w:val="000000" w:themeColor="text1"/>
                <w:sz w:val="28"/>
                <w:szCs w:val="28"/>
              </w:rPr>
            </w:pPr>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d</w:t>
            </w:r>
          </w:p>
        </w:tc>
      </w:tr>
      <w:tr w:rsidR="00FC1F7D" w:rsidRPr="00833BCD" w14:paraId="0E229498" w14:textId="77777777" w:rsidTr="00CC1EA7">
        <w:trPr>
          <w:jc w:val="center"/>
        </w:trPr>
        <w:tc>
          <w:tcPr>
            <w:tcW w:w="4106" w:type="dxa"/>
            <w:hideMark/>
          </w:tcPr>
          <w:p w14:paraId="492157C7" w14:textId="77777777" w:rsidR="00FC1F7D" w:rsidRPr="00833BCD" w:rsidRDefault="00FC1F7D" w:rsidP="00CC1EA7">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الإنذار المبكر والمراقبة إيجابيًا في الموقف من المخاطر</w:t>
            </w:r>
            <w:r w:rsidRPr="00CE265E">
              <w:rPr>
                <w:rFonts w:ascii="Traditional Arabic" w:hAnsi="Traditional Arabic" w:cs="Traditional Arabic"/>
                <w:color w:val="000000" w:themeColor="text1"/>
                <w:sz w:val="28"/>
                <w:szCs w:val="28"/>
              </w:rPr>
              <w:t>.</w:t>
            </w:r>
          </w:p>
        </w:tc>
        <w:tc>
          <w:tcPr>
            <w:tcW w:w="1985" w:type="dxa"/>
            <w:hideMark/>
          </w:tcPr>
          <w:p w14:paraId="1F315AD7"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الموقف من المخاطر</w:t>
            </w:r>
          </w:p>
        </w:tc>
        <w:tc>
          <w:tcPr>
            <w:tcW w:w="1962" w:type="dxa"/>
            <w:hideMark/>
          </w:tcPr>
          <w:p w14:paraId="4376B303"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الإنذار المبكر والمراقبة</w:t>
            </w:r>
          </w:p>
        </w:tc>
        <w:tc>
          <w:tcPr>
            <w:tcW w:w="0" w:type="auto"/>
            <w:hideMark/>
          </w:tcPr>
          <w:p w14:paraId="3BBE49D0" w14:textId="77777777" w:rsidR="00FC1F7D" w:rsidRPr="0034470A" w:rsidRDefault="00FC1F7D" w:rsidP="00CC1EA7">
            <w:pPr>
              <w:bidi/>
              <w:spacing w:line="276" w:lineRule="auto"/>
              <w:jc w:val="both"/>
              <w:rPr>
                <w:rFonts w:ascii="Traditional Arabic" w:hAnsi="Traditional Arabic" w:cs="Traditional Arabic"/>
                <w:color w:val="000000" w:themeColor="text1"/>
                <w:sz w:val="28"/>
                <w:szCs w:val="28"/>
              </w:rPr>
            </w:pPr>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e</w:t>
            </w:r>
          </w:p>
        </w:tc>
      </w:tr>
      <w:tr w:rsidR="00FC1F7D" w:rsidRPr="00833BCD" w14:paraId="004F45A4" w14:textId="77777777" w:rsidTr="00CC1EA7">
        <w:trPr>
          <w:jc w:val="center"/>
        </w:trPr>
        <w:tc>
          <w:tcPr>
            <w:tcW w:w="4106" w:type="dxa"/>
            <w:hideMark/>
          </w:tcPr>
          <w:p w14:paraId="5FAB5180" w14:textId="77777777" w:rsidR="00FC1F7D" w:rsidRPr="00833BCD" w:rsidRDefault="00FC1F7D" w:rsidP="00CC1EA7">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الإنذار المبكر والمراقبة إيجابيًا في الممارسات الوقائية</w:t>
            </w:r>
            <w:r w:rsidRPr="00CE265E">
              <w:rPr>
                <w:rFonts w:ascii="Traditional Arabic" w:hAnsi="Traditional Arabic" w:cs="Traditional Arabic"/>
                <w:color w:val="000000" w:themeColor="text1"/>
                <w:sz w:val="28"/>
                <w:szCs w:val="28"/>
              </w:rPr>
              <w:t>.</w:t>
            </w:r>
          </w:p>
        </w:tc>
        <w:tc>
          <w:tcPr>
            <w:tcW w:w="1985" w:type="dxa"/>
            <w:hideMark/>
          </w:tcPr>
          <w:p w14:paraId="4A6283E0"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الممارسات الوقائية</w:t>
            </w:r>
          </w:p>
        </w:tc>
        <w:tc>
          <w:tcPr>
            <w:tcW w:w="1962" w:type="dxa"/>
            <w:hideMark/>
          </w:tcPr>
          <w:p w14:paraId="406A0330"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الإنذار المبكر والمراقبة</w:t>
            </w:r>
          </w:p>
        </w:tc>
        <w:tc>
          <w:tcPr>
            <w:tcW w:w="0" w:type="auto"/>
            <w:hideMark/>
          </w:tcPr>
          <w:p w14:paraId="3E0927F9" w14:textId="77777777" w:rsidR="00FC1F7D" w:rsidRPr="0034470A" w:rsidRDefault="00FC1F7D" w:rsidP="00CC1EA7">
            <w:pPr>
              <w:bidi/>
              <w:spacing w:line="276" w:lineRule="auto"/>
              <w:jc w:val="both"/>
              <w:rPr>
                <w:rFonts w:ascii="Traditional Arabic" w:hAnsi="Traditional Arabic" w:cs="Traditional Arabic"/>
                <w:color w:val="000000" w:themeColor="text1"/>
                <w:sz w:val="28"/>
                <w:szCs w:val="28"/>
              </w:rPr>
            </w:pPr>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f</w:t>
            </w:r>
          </w:p>
        </w:tc>
      </w:tr>
      <w:tr w:rsidR="00FC1F7D" w:rsidRPr="00833BCD" w14:paraId="486C8813" w14:textId="77777777" w:rsidTr="00CC1EA7">
        <w:trPr>
          <w:jc w:val="center"/>
        </w:trPr>
        <w:tc>
          <w:tcPr>
            <w:tcW w:w="4106" w:type="dxa"/>
            <w:hideMark/>
          </w:tcPr>
          <w:p w14:paraId="7C2F514F" w14:textId="77777777" w:rsidR="00FC1F7D" w:rsidRPr="00833BCD" w:rsidRDefault="00FC1F7D" w:rsidP="00CC1EA7">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التحليلات التنبؤية وتكامل البيانات إيجابيًا في التخطيط للمخاطر</w:t>
            </w:r>
            <w:r w:rsidRPr="00CE265E">
              <w:rPr>
                <w:rFonts w:ascii="Traditional Arabic" w:hAnsi="Traditional Arabic" w:cs="Traditional Arabic"/>
                <w:color w:val="000000" w:themeColor="text1"/>
                <w:sz w:val="28"/>
                <w:szCs w:val="28"/>
              </w:rPr>
              <w:t>.</w:t>
            </w:r>
          </w:p>
        </w:tc>
        <w:tc>
          <w:tcPr>
            <w:tcW w:w="1985" w:type="dxa"/>
            <w:hideMark/>
          </w:tcPr>
          <w:p w14:paraId="3E4F2E66"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التخطيط للمخاطر</w:t>
            </w:r>
          </w:p>
        </w:tc>
        <w:tc>
          <w:tcPr>
            <w:tcW w:w="1962" w:type="dxa"/>
            <w:hideMark/>
          </w:tcPr>
          <w:p w14:paraId="7EB3DA17"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التحليلات التنبؤية وتكامل البيانات</w:t>
            </w:r>
          </w:p>
        </w:tc>
        <w:tc>
          <w:tcPr>
            <w:tcW w:w="0" w:type="auto"/>
            <w:hideMark/>
          </w:tcPr>
          <w:p w14:paraId="54C298CB" w14:textId="77777777" w:rsidR="00FC1F7D" w:rsidRPr="0034470A" w:rsidRDefault="00FC1F7D" w:rsidP="00CC1EA7">
            <w:pPr>
              <w:bidi/>
              <w:spacing w:line="276" w:lineRule="auto"/>
              <w:jc w:val="both"/>
              <w:rPr>
                <w:rFonts w:ascii="Traditional Arabic" w:hAnsi="Traditional Arabic" w:cs="Traditional Arabic"/>
                <w:color w:val="000000" w:themeColor="text1"/>
                <w:sz w:val="28"/>
                <w:szCs w:val="28"/>
              </w:rPr>
            </w:pPr>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g</w:t>
            </w:r>
          </w:p>
        </w:tc>
      </w:tr>
      <w:tr w:rsidR="00FC1F7D" w:rsidRPr="00833BCD" w14:paraId="1FE6F7C7" w14:textId="77777777" w:rsidTr="00CC1EA7">
        <w:trPr>
          <w:jc w:val="center"/>
        </w:trPr>
        <w:tc>
          <w:tcPr>
            <w:tcW w:w="4106" w:type="dxa"/>
            <w:hideMark/>
          </w:tcPr>
          <w:p w14:paraId="06AD2310" w14:textId="77777777" w:rsidR="00FC1F7D" w:rsidRPr="00833BCD" w:rsidRDefault="00FC1F7D" w:rsidP="00CC1EA7">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التحليلات التنبؤية وتكامل البيانات إيجابيًا في الموقف من المخاطر</w:t>
            </w:r>
            <w:r w:rsidRPr="00CE265E">
              <w:rPr>
                <w:rFonts w:ascii="Traditional Arabic" w:hAnsi="Traditional Arabic" w:cs="Traditional Arabic"/>
                <w:color w:val="000000" w:themeColor="text1"/>
                <w:sz w:val="28"/>
                <w:szCs w:val="28"/>
              </w:rPr>
              <w:t>.</w:t>
            </w:r>
          </w:p>
        </w:tc>
        <w:tc>
          <w:tcPr>
            <w:tcW w:w="1985" w:type="dxa"/>
            <w:hideMark/>
          </w:tcPr>
          <w:p w14:paraId="3B26CE57"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الموقف من المخاطر</w:t>
            </w:r>
          </w:p>
        </w:tc>
        <w:tc>
          <w:tcPr>
            <w:tcW w:w="1962" w:type="dxa"/>
            <w:hideMark/>
          </w:tcPr>
          <w:p w14:paraId="5AC6BBEA"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التحليلات التنبؤية وتكامل البيانات</w:t>
            </w:r>
          </w:p>
        </w:tc>
        <w:tc>
          <w:tcPr>
            <w:tcW w:w="0" w:type="auto"/>
            <w:hideMark/>
          </w:tcPr>
          <w:p w14:paraId="1523F7D2" w14:textId="77777777" w:rsidR="00FC1F7D" w:rsidRPr="0034470A" w:rsidRDefault="00FC1F7D" w:rsidP="00CC1EA7">
            <w:pPr>
              <w:bidi/>
              <w:spacing w:line="276" w:lineRule="auto"/>
              <w:jc w:val="both"/>
              <w:rPr>
                <w:rFonts w:ascii="Traditional Arabic" w:hAnsi="Traditional Arabic" w:cs="Traditional Arabic"/>
                <w:color w:val="000000" w:themeColor="text1"/>
                <w:sz w:val="28"/>
                <w:szCs w:val="28"/>
              </w:rPr>
            </w:pPr>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h</w:t>
            </w:r>
          </w:p>
        </w:tc>
      </w:tr>
      <w:tr w:rsidR="00FC1F7D" w:rsidRPr="00833BCD" w14:paraId="477CDC38" w14:textId="77777777" w:rsidTr="00CC1EA7">
        <w:trPr>
          <w:jc w:val="center"/>
        </w:trPr>
        <w:tc>
          <w:tcPr>
            <w:tcW w:w="4106" w:type="dxa"/>
            <w:hideMark/>
          </w:tcPr>
          <w:p w14:paraId="7ABC4184" w14:textId="77777777" w:rsidR="00FC1F7D" w:rsidRPr="00833BCD" w:rsidRDefault="00FC1F7D" w:rsidP="00CC1EA7">
            <w:pPr>
              <w:bidi/>
              <w:spacing w:line="276" w:lineRule="auto"/>
              <w:jc w:val="both"/>
              <w:rPr>
                <w:rFonts w:ascii="Traditional Arabic" w:hAnsi="Traditional Arabic" w:cs="Traditional Arabic"/>
                <w:color w:val="000000" w:themeColor="text1"/>
                <w:sz w:val="28"/>
                <w:szCs w:val="28"/>
                <w:rtl/>
              </w:rPr>
            </w:pPr>
            <w:r w:rsidRPr="00CE265E">
              <w:rPr>
                <w:rFonts w:ascii="Traditional Arabic" w:hAnsi="Traditional Arabic" w:cs="Traditional Arabic"/>
                <w:color w:val="000000" w:themeColor="text1"/>
                <w:sz w:val="28"/>
                <w:szCs w:val="28"/>
                <w:rtl/>
              </w:rPr>
              <w:t>تؤثر </w:t>
            </w:r>
            <w:r w:rsidRPr="00BF56C4">
              <w:rPr>
                <w:rFonts w:ascii="Traditional Arabic" w:hAnsi="Traditional Arabic" w:cs="Traditional Arabic"/>
                <w:color w:val="000000" w:themeColor="text1"/>
                <w:sz w:val="28"/>
                <w:szCs w:val="28"/>
                <w:rtl/>
              </w:rPr>
              <w:t>أنظمة التحليلات التنبؤية وتكامل البيانات</w:t>
            </w:r>
            <w:r w:rsidRPr="00CE265E">
              <w:rPr>
                <w:rFonts w:ascii="Traditional Arabic" w:hAnsi="Traditional Arabic" w:cs="Traditional Arabic"/>
                <w:color w:val="000000" w:themeColor="text1"/>
                <w:sz w:val="28"/>
                <w:szCs w:val="28"/>
                <w:rtl/>
              </w:rPr>
              <w:t xml:space="preserve"> </w:t>
            </w:r>
            <w:r w:rsidRPr="00BF56C4">
              <w:rPr>
                <w:rFonts w:ascii="Traditional Arabic" w:hAnsi="Traditional Arabic" w:cs="Traditional Arabic"/>
                <w:color w:val="000000" w:themeColor="text1"/>
                <w:sz w:val="28"/>
                <w:szCs w:val="28"/>
                <w:rtl/>
              </w:rPr>
              <w:t>إيجابيًا في الممارسات الوقائية.</w:t>
            </w:r>
          </w:p>
        </w:tc>
        <w:tc>
          <w:tcPr>
            <w:tcW w:w="1985" w:type="dxa"/>
            <w:hideMark/>
          </w:tcPr>
          <w:p w14:paraId="232A55F2"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الممارسات الوقائية</w:t>
            </w:r>
          </w:p>
        </w:tc>
        <w:tc>
          <w:tcPr>
            <w:tcW w:w="1962" w:type="dxa"/>
            <w:hideMark/>
          </w:tcPr>
          <w:p w14:paraId="2A2FFB75"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BF56C4">
              <w:rPr>
                <w:rFonts w:ascii="Traditional Arabic" w:hAnsi="Traditional Arabic" w:cs="Traditional Arabic"/>
                <w:color w:val="000000" w:themeColor="text1"/>
                <w:sz w:val="28"/>
                <w:szCs w:val="28"/>
                <w:rtl/>
              </w:rPr>
              <w:t>أنظمة التحليلات التنبؤية وتكامل البيانات</w:t>
            </w:r>
          </w:p>
        </w:tc>
        <w:tc>
          <w:tcPr>
            <w:tcW w:w="0" w:type="auto"/>
            <w:hideMark/>
          </w:tcPr>
          <w:p w14:paraId="0DCE897B" w14:textId="77777777" w:rsidR="00FC1F7D" w:rsidRPr="0034470A" w:rsidRDefault="00FC1F7D" w:rsidP="00CC1EA7">
            <w:pPr>
              <w:bidi/>
              <w:spacing w:line="276" w:lineRule="auto"/>
              <w:jc w:val="both"/>
              <w:rPr>
                <w:rFonts w:ascii="Traditional Arabic" w:hAnsi="Traditional Arabic" w:cs="Traditional Arabic"/>
                <w:color w:val="000000" w:themeColor="text1"/>
                <w:sz w:val="28"/>
                <w:szCs w:val="28"/>
              </w:rPr>
            </w:pPr>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i</w:t>
            </w:r>
          </w:p>
        </w:tc>
      </w:tr>
    </w:tbl>
    <w:p w14:paraId="1C193473" w14:textId="77777777" w:rsidR="00FC1F7D" w:rsidRDefault="00FC1F7D" w:rsidP="00FC1F7D">
      <w:pPr>
        <w:bidi/>
        <w:spacing w:after="0" w:line="120" w:lineRule="auto"/>
        <w:jc w:val="both"/>
        <w:rPr>
          <w:rFonts w:ascii="Traditional Arabic" w:hAnsi="Traditional Arabic" w:cs="Traditional Arabic"/>
          <w:b/>
          <w:bCs/>
          <w:color w:val="000000" w:themeColor="text1"/>
          <w:sz w:val="28"/>
          <w:szCs w:val="28"/>
          <w:rtl/>
        </w:rPr>
      </w:pPr>
    </w:p>
    <w:p w14:paraId="0DFDED08" w14:textId="5B286A35" w:rsidR="00FC1F7D" w:rsidRPr="00B34478" w:rsidRDefault="00FC1F7D" w:rsidP="00B34478">
      <w:pPr>
        <w:pStyle w:val="a6"/>
        <w:numPr>
          <w:ilvl w:val="0"/>
          <w:numId w:val="110"/>
        </w:numPr>
        <w:bidi/>
        <w:spacing w:after="0" w:line="276" w:lineRule="auto"/>
        <w:jc w:val="both"/>
        <w:rPr>
          <w:rFonts w:ascii="Traditional Arabic" w:hAnsi="Traditional Arabic" w:cs="Traditional Arabic"/>
          <w:b/>
          <w:bCs/>
          <w:color w:val="000000" w:themeColor="text1"/>
          <w:sz w:val="32"/>
          <w:szCs w:val="32"/>
          <w:rtl/>
        </w:rPr>
      </w:pPr>
      <w:r w:rsidRPr="00B34478">
        <w:rPr>
          <w:rFonts w:ascii="Traditional Arabic" w:hAnsi="Traditional Arabic" w:cs="Traditional Arabic" w:hint="cs"/>
          <w:b/>
          <w:bCs/>
          <w:color w:val="000000" w:themeColor="text1"/>
          <w:sz w:val="32"/>
          <w:szCs w:val="32"/>
          <w:rtl/>
        </w:rPr>
        <w:t xml:space="preserve">الفرضية الرئيسية الرابعة </w:t>
      </w:r>
      <w:r w:rsidRPr="00B34478">
        <w:rPr>
          <w:rFonts w:ascii="Traditional Arabic" w:hAnsi="Traditional Arabic" w:cs="Traditional Arabic"/>
          <w:b/>
          <w:bCs/>
          <w:color w:val="000000" w:themeColor="text1"/>
          <w:sz w:val="32"/>
          <w:szCs w:val="32"/>
        </w:rPr>
        <w:t>H4 </w:t>
      </w:r>
      <w:r w:rsidRPr="00B34478">
        <w:rPr>
          <w:rFonts w:ascii="Traditional Arabic" w:hAnsi="Traditional Arabic" w:cs="Traditional Arabic" w:hint="cs"/>
          <w:b/>
          <w:bCs/>
          <w:color w:val="000000" w:themeColor="text1"/>
          <w:sz w:val="32"/>
          <w:szCs w:val="32"/>
          <w:rtl/>
        </w:rPr>
        <w:t xml:space="preserve">: </w:t>
      </w:r>
      <w:r w:rsidRPr="00B34478">
        <w:rPr>
          <w:rFonts w:ascii="Traditional Arabic" w:hAnsi="Traditional Arabic" w:cs="Traditional Arabic"/>
          <w:b/>
          <w:bCs/>
          <w:color w:val="000000" w:themeColor="text1"/>
          <w:sz w:val="32"/>
          <w:szCs w:val="32"/>
          <w:rtl/>
        </w:rPr>
        <w:t xml:space="preserve">تتوسط التكنولوجيا </w:t>
      </w:r>
      <w:r w:rsidRPr="00B34478">
        <w:rPr>
          <w:rFonts w:ascii="Traditional Arabic" w:hAnsi="Traditional Arabic" w:cs="Traditional Arabic" w:hint="cs"/>
          <w:b/>
          <w:bCs/>
          <w:color w:val="000000" w:themeColor="text1"/>
          <w:sz w:val="32"/>
          <w:szCs w:val="32"/>
          <w:rtl/>
        </w:rPr>
        <w:t xml:space="preserve">الذكية جزئيًا </w:t>
      </w:r>
      <w:r w:rsidRPr="00B34478">
        <w:rPr>
          <w:rFonts w:ascii="Traditional Arabic" w:hAnsi="Traditional Arabic" w:cs="Traditional Arabic"/>
          <w:b/>
          <w:bCs/>
          <w:color w:val="000000" w:themeColor="text1"/>
          <w:sz w:val="32"/>
          <w:szCs w:val="32"/>
          <w:rtl/>
        </w:rPr>
        <w:t xml:space="preserve">العلاقة بين التطوير التنظيمي </w:t>
      </w:r>
      <w:r w:rsidRPr="00B34478">
        <w:rPr>
          <w:rFonts w:ascii="Traditional Arabic" w:hAnsi="Traditional Arabic" w:cs="Traditional Arabic" w:hint="cs"/>
          <w:b/>
          <w:bCs/>
          <w:color w:val="000000" w:themeColor="text1"/>
          <w:sz w:val="32"/>
          <w:szCs w:val="32"/>
          <w:rtl/>
        </w:rPr>
        <w:t>وإدارة</w:t>
      </w:r>
      <w:r w:rsidRPr="00B34478">
        <w:rPr>
          <w:rFonts w:ascii="Traditional Arabic" w:hAnsi="Traditional Arabic" w:cs="Traditional Arabic"/>
          <w:b/>
          <w:bCs/>
          <w:color w:val="000000" w:themeColor="text1"/>
          <w:sz w:val="32"/>
          <w:szCs w:val="32"/>
          <w:rtl/>
        </w:rPr>
        <w:t xml:space="preserve"> المخاطر </w:t>
      </w:r>
      <w:r w:rsidRPr="00B34478">
        <w:rPr>
          <w:rFonts w:ascii="Traditional Arabic" w:hAnsi="Traditional Arabic" w:cs="Traditional Arabic" w:hint="cs"/>
          <w:b/>
          <w:bCs/>
          <w:color w:val="000000" w:themeColor="text1"/>
          <w:sz w:val="32"/>
          <w:szCs w:val="32"/>
          <w:rtl/>
        </w:rPr>
        <w:t xml:space="preserve">في مستشفى الملك فهد المركزي بالباحة. </w:t>
      </w:r>
    </w:p>
    <w:p w14:paraId="617B09CC" w14:textId="77777777" w:rsidR="00FC1F7D" w:rsidRPr="00B34478" w:rsidRDefault="00FC1F7D" w:rsidP="00FC1F7D">
      <w:pPr>
        <w:bidi/>
        <w:spacing w:after="0" w:line="276" w:lineRule="auto"/>
        <w:jc w:val="both"/>
        <w:rPr>
          <w:rFonts w:ascii="Traditional Arabic" w:hAnsi="Traditional Arabic" w:cs="Traditional Arabic"/>
          <w:b/>
          <w:bCs/>
          <w:color w:val="000000" w:themeColor="text1"/>
          <w:sz w:val="32"/>
          <w:szCs w:val="32"/>
        </w:rPr>
      </w:pPr>
      <w:r w:rsidRPr="00B34478">
        <w:rPr>
          <w:rFonts w:ascii="Traditional Arabic" w:hAnsi="Traditional Arabic" w:cs="Traditional Arabic" w:hint="cs"/>
          <w:color w:val="000000" w:themeColor="text1"/>
          <w:sz w:val="32"/>
          <w:szCs w:val="32"/>
          <w:rtl/>
        </w:rPr>
        <w:lastRenderedPageBreak/>
        <w:t>و</w:t>
      </w:r>
      <w:r w:rsidRPr="00B34478">
        <w:rPr>
          <w:rFonts w:ascii="Traditional Arabic" w:hAnsi="Traditional Arabic" w:cs="Traditional Arabic"/>
          <w:color w:val="000000" w:themeColor="text1"/>
          <w:sz w:val="32"/>
          <w:szCs w:val="32"/>
          <w:rtl/>
        </w:rPr>
        <w:t xml:space="preserve">لضبط مصادر التباين الخارجية غير المرغوب فيها وزيادة الصرامة الإحصائية لاختبار الفرضيات، سيتم التحكم إحصائياً في مجموعة من المتغيرات التي قد تؤثر على تصورات الأفراد أو سلوكياتهم تجاه المتغيرات الرئيسية للدراسة. </w:t>
      </w:r>
      <w:r w:rsidRPr="00B34478">
        <w:rPr>
          <w:rFonts w:ascii="Traditional Arabic" w:hAnsi="Traditional Arabic" w:cs="Traditional Arabic" w:hint="cs"/>
          <w:color w:val="000000" w:themeColor="text1"/>
          <w:sz w:val="32"/>
          <w:szCs w:val="32"/>
          <w:rtl/>
        </w:rPr>
        <w:t>و</w:t>
      </w:r>
      <w:r w:rsidRPr="00B34478">
        <w:rPr>
          <w:rFonts w:ascii="Traditional Arabic" w:hAnsi="Traditional Arabic" w:cs="Traditional Arabic"/>
          <w:color w:val="000000" w:themeColor="text1"/>
          <w:sz w:val="32"/>
          <w:szCs w:val="32"/>
          <w:rtl/>
        </w:rPr>
        <w:t>سيتم التعامل مع هذه المتغيرات كـ متغيرات ضابطة في نماذج التحليل الإحصائي، وخاصة عند اختبار الفرضيات المتعلقة بالعلاقات المباشرة</w:t>
      </w:r>
      <w:r w:rsidRPr="00B34478">
        <w:rPr>
          <w:rFonts w:ascii="Traditional Arabic" w:hAnsi="Traditional Arabic" w:cs="Traditional Arabic"/>
          <w:color w:val="000000" w:themeColor="text1"/>
          <w:sz w:val="32"/>
          <w:szCs w:val="32"/>
        </w:rPr>
        <w:t xml:space="preserve"> (H</w:t>
      </w:r>
      <w:r w:rsidRPr="00B34478">
        <w:rPr>
          <w:rFonts w:ascii="Cambria Math" w:hAnsi="Cambria Math" w:cs="Cambria Math"/>
          <w:color w:val="000000" w:themeColor="text1"/>
          <w:sz w:val="32"/>
          <w:szCs w:val="32"/>
        </w:rPr>
        <w:t>₁</w:t>
      </w:r>
      <w:r w:rsidRPr="00B34478">
        <w:rPr>
          <w:rFonts w:ascii="Traditional Arabic" w:hAnsi="Traditional Arabic" w:cs="Traditional Arabic"/>
          <w:color w:val="000000" w:themeColor="text1"/>
          <w:sz w:val="32"/>
          <w:szCs w:val="32"/>
        </w:rPr>
        <w:t>, H</w:t>
      </w:r>
      <w:r w:rsidRPr="00B34478">
        <w:rPr>
          <w:rFonts w:ascii="Cambria Math" w:hAnsi="Cambria Math" w:cs="Cambria Math"/>
          <w:color w:val="000000" w:themeColor="text1"/>
          <w:sz w:val="32"/>
          <w:szCs w:val="32"/>
        </w:rPr>
        <w:t>₂</w:t>
      </w:r>
      <w:r w:rsidRPr="00B34478">
        <w:rPr>
          <w:rFonts w:ascii="Traditional Arabic" w:hAnsi="Traditional Arabic" w:cs="Traditional Arabic"/>
          <w:color w:val="000000" w:themeColor="text1"/>
          <w:sz w:val="32"/>
          <w:szCs w:val="32"/>
        </w:rPr>
        <w:t>, H</w:t>
      </w:r>
      <w:r w:rsidRPr="00B34478">
        <w:rPr>
          <w:rFonts w:ascii="Cambria Math" w:hAnsi="Cambria Math" w:cs="Cambria Math"/>
          <w:color w:val="000000" w:themeColor="text1"/>
          <w:sz w:val="32"/>
          <w:szCs w:val="32"/>
        </w:rPr>
        <w:t>₃</w:t>
      </w:r>
      <w:r w:rsidRPr="00B34478">
        <w:rPr>
          <w:rFonts w:ascii="Traditional Arabic" w:hAnsi="Traditional Arabic" w:cs="Traditional Arabic"/>
          <w:color w:val="000000" w:themeColor="text1"/>
          <w:sz w:val="32"/>
          <w:szCs w:val="32"/>
        </w:rPr>
        <w:t>)</w:t>
      </w:r>
      <w:r w:rsidRPr="00B34478">
        <w:rPr>
          <w:rFonts w:ascii="Traditional Arabic" w:hAnsi="Traditional Arabic" w:cs="Traditional Arabic" w:hint="cs"/>
          <w:b/>
          <w:bCs/>
          <w:color w:val="000000" w:themeColor="text1"/>
          <w:sz w:val="32"/>
          <w:szCs w:val="32"/>
          <w:rtl/>
        </w:rPr>
        <w:t>.</w:t>
      </w:r>
    </w:p>
    <w:p w14:paraId="4833B24C" w14:textId="77777777" w:rsidR="00FC1F7D" w:rsidRPr="00B34478" w:rsidRDefault="00FC1F7D" w:rsidP="00FC1F7D">
      <w:pPr>
        <w:bidi/>
        <w:spacing w:after="0" w:line="276" w:lineRule="auto"/>
        <w:jc w:val="both"/>
        <w:rPr>
          <w:rFonts w:ascii="Traditional Arabic" w:hAnsi="Traditional Arabic" w:cs="Traditional Arabic"/>
          <w:color w:val="000000" w:themeColor="text1"/>
          <w:sz w:val="32"/>
          <w:szCs w:val="32"/>
        </w:rPr>
      </w:pPr>
      <w:r w:rsidRPr="00B34478">
        <w:rPr>
          <w:rFonts w:ascii="Traditional Arabic" w:hAnsi="Traditional Arabic" w:cs="Traditional Arabic" w:hint="cs"/>
          <w:color w:val="000000" w:themeColor="text1"/>
          <w:sz w:val="32"/>
          <w:szCs w:val="32"/>
          <w:rtl/>
        </w:rPr>
        <w:t>و</w:t>
      </w:r>
      <w:r w:rsidRPr="00B34478">
        <w:rPr>
          <w:rFonts w:ascii="Traditional Arabic" w:hAnsi="Traditional Arabic" w:cs="Traditional Arabic"/>
          <w:color w:val="000000" w:themeColor="text1"/>
          <w:sz w:val="32"/>
          <w:szCs w:val="32"/>
          <w:rtl/>
        </w:rPr>
        <w:t>تشمل هذه المتغيرات الضابطة ما يلي</w:t>
      </w:r>
      <w:r w:rsidRPr="00B34478">
        <w:rPr>
          <w:rFonts w:ascii="Traditional Arabic" w:hAnsi="Traditional Arabic" w:cs="Traditional Arabic"/>
          <w:color w:val="000000" w:themeColor="text1"/>
          <w:sz w:val="32"/>
          <w:szCs w:val="32"/>
        </w:rPr>
        <w:t>:</w:t>
      </w:r>
    </w:p>
    <w:p w14:paraId="024BE9A0" w14:textId="77777777" w:rsidR="00FC1F7D" w:rsidRPr="00B34478" w:rsidRDefault="00FC1F7D" w:rsidP="00FC1F7D">
      <w:pPr>
        <w:numPr>
          <w:ilvl w:val="0"/>
          <w:numId w:val="15"/>
        </w:numPr>
        <w:bidi/>
        <w:spacing w:after="0" w:line="276" w:lineRule="auto"/>
        <w:jc w:val="both"/>
        <w:rPr>
          <w:rFonts w:ascii="Traditional Arabic" w:hAnsi="Traditional Arabic" w:cs="Traditional Arabic"/>
          <w:color w:val="000000" w:themeColor="text1"/>
          <w:sz w:val="32"/>
          <w:szCs w:val="32"/>
        </w:rPr>
      </w:pPr>
      <w:r w:rsidRPr="00B34478">
        <w:rPr>
          <w:rFonts w:ascii="Traditional Arabic" w:hAnsi="Traditional Arabic" w:cs="Traditional Arabic"/>
          <w:color w:val="000000" w:themeColor="text1"/>
          <w:sz w:val="32"/>
          <w:szCs w:val="32"/>
          <w:rtl/>
        </w:rPr>
        <w:t>الخبرة الوظيفية</w:t>
      </w:r>
      <w:r w:rsidRPr="00B34478">
        <w:rPr>
          <w:rFonts w:ascii="Traditional Arabic" w:hAnsi="Traditional Arabic" w:cs="Traditional Arabic"/>
          <w:color w:val="000000" w:themeColor="text1"/>
          <w:sz w:val="32"/>
          <w:szCs w:val="32"/>
        </w:rPr>
        <w:t xml:space="preserve">: </w:t>
      </w:r>
      <w:r w:rsidRPr="00B34478">
        <w:rPr>
          <w:rFonts w:ascii="Traditional Arabic" w:hAnsi="Traditional Arabic" w:cs="Traditional Arabic"/>
          <w:color w:val="000000" w:themeColor="text1"/>
          <w:sz w:val="32"/>
          <w:szCs w:val="32"/>
          <w:rtl/>
        </w:rPr>
        <w:t>يُقاس بعدد سنوات العمل في القطاع الصحي أو في المستشفى مباشرة</w:t>
      </w:r>
      <w:r w:rsidRPr="00B34478">
        <w:rPr>
          <w:rFonts w:ascii="Traditional Arabic" w:hAnsi="Traditional Arabic" w:cs="Traditional Arabic" w:hint="cs"/>
          <w:color w:val="000000" w:themeColor="text1"/>
          <w:sz w:val="32"/>
          <w:szCs w:val="32"/>
          <w:rtl/>
        </w:rPr>
        <w:t>، حيث ي</w:t>
      </w:r>
      <w:r w:rsidRPr="00B34478">
        <w:rPr>
          <w:rFonts w:ascii="Traditional Arabic" w:hAnsi="Traditional Arabic" w:cs="Traditional Arabic"/>
          <w:color w:val="000000" w:themeColor="text1"/>
          <w:sz w:val="32"/>
          <w:szCs w:val="32"/>
          <w:rtl/>
        </w:rPr>
        <w:t>ُفترض أن الخبرة الأطول قد ترتبط بفهم أعمق لإجراءات المستشفى وبروتوكولات إدارة المخاطر، أو قد تؤثر على تقبل التقنيات الجديدة</w:t>
      </w:r>
      <w:r w:rsidRPr="00B34478">
        <w:rPr>
          <w:rFonts w:ascii="Traditional Arabic" w:hAnsi="Traditional Arabic" w:cs="Traditional Arabic"/>
          <w:color w:val="000000" w:themeColor="text1"/>
          <w:sz w:val="32"/>
          <w:szCs w:val="32"/>
        </w:rPr>
        <w:t>.</w:t>
      </w:r>
    </w:p>
    <w:p w14:paraId="354E54B3" w14:textId="77777777" w:rsidR="00FC1F7D" w:rsidRPr="00B34478" w:rsidRDefault="00FC1F7D" w:rsidP="00FC1F7D">
      <w:pPr>
        <w:numPr>
          <w:ilvl w:val="0"/>
          <w:numId w:val="15"/>
        </w:numPr>
        <w:bidi/>
        <w:spacing w:after="0" w:line="276" w:lineRule="auto"/>
        <w:jc w:val="both"/>
        <w:rPr>
          <w:rFonts w:ascii="Traditional Arabic" w:hAnsi="Traditional Arabic" w:cs="Traditional Arabic"/>
          <w:color w:val="000000" w:themeColor="text1"/>
          <w:sz w:val="32"/>
          <w:szCs w:val="32"/>
        </w:rPr>
      </w:pPr>
      <w:r w:rsidRPr="00B34478">
        <w:rPr>
          <w:rFonts w:ascii="Traditional Arabic" w:hAnsi="Traditional Arabic" w:cs="Traditional Arabic"/>
          <w:color w:val="000000" w:themeColor="text1"/>
          <w:sz w:val="32"/>
          <w:szCs w:val="32"/>
          <w:rtl/>
        </w:rPr>
        <w:t>المسمى الوظيفي/القسم الإداري</w:t>
      </w:r>
      <w:r w:rsidRPr="00B34478">
        <w:rPr>
          <w:rFonts w:ascii="Traditional Arabic" w:hAnsi="Traditional Arabic" w:cs="Traditional Arabic"/>
          <w:color w:val="000000" w:themeColor="text1"/>
          <w:sz w:val="32"/>
          <w:szCs w:val="32"/>
        </w:rPr>
        <w:t xml:space="preserve">: </w:t>
      </w:r>
      <w:r w:rsidRPr="00B34478">
        <w:rPr>
          <w:rFonts w:ascii="Traditional Arabic" w:hAnsi="Traditional Arabic" w:cs="Traditional Arabic"/>
          <w:color w:val="000000" w:themeColor="text1"/>
          <w:sz w:val="32"/>
          <w:szCs w:val="32"/>
          <w:rtl/>
        </w:rPr>
        <w:t>يُصنف إلى فئات رئيسية (طبي، تمريض، إداري، فني). نظرًا لاختلاف طبيعة المهام والتعرض للمخاطر ودرجة التفاعل مع الأنظمة التكنولوجية بين هذه الفئات بشكل جوهري</w:t>
      </w:r>
      <w:r w:rsidRPr="00B34478">
        <w:rPr>
          <w:rFonts w:ascii="Traditional Arabic" w:hAnsi="Traditional Arabic" w:cs="Traditional Arabic"/>
          <w:color w:val="000000" w:themeColor="text1"/>
          <w:sz w:val="32"/>
          <w:szCs w:val="32"/>
        </w:rPr>
        <w:t>.</w:t>
      </w:r>
    </w:p>
    <w:p w14:paraId="19142C00" w14:textId="77777777" w:rsidR="00FC1F7D" w:rsidRPr="00B34478" w:rsidRDefault="00FC1F7D" w:rsidP="00FC1F7D">
      <w:pPr>
        <w:numPr>
          <w:ilvl w:val="0"/>
          <w:numId w:val="15"/>
        </w:numPr>
        <w:bidi/>
        <w:spacing w:after="0" w:line="276" w:lineRule="auto"/>
        <w:jc w:val="both"/>
        <w:rPr>
          <w:rFonts w:ascii="Traditional Arabic" w:hAnsi="Traditional Arabic" w:cs="Traditional Arabic"/>
          <w:color w:val="000000" w:themeColor="text1"/>
          <w:sz w:val="32"/>
          <w:szCs w:val="32"/>
        </w:rPr>
      </w:pPr>
      <w:r w:rsidRPr="00B34478">
        <w:rPr>
          <w:rFonts w:ascii="Traditional Arabic" w:hAnsi="Traditional Arabic" w:cs="Traditional Arabic"/>
          <w:color w:val="000000" w:themeColor="text1"/>
          <w:sz w:val="32"/>
          <w:szCs w:val="32"/>
          <w:rtl/>
        </w:rPr>
        <w:t>طبيعة المناوبة</w:t>
      </w:r>
      <w:r w:rsidRPr="00B34478">
        <w:rPr>
          <w:rFonts w:ascii="Traditional Arabic" w:hAnsi="Traditional Arabic" w:cs="Traditional Arabic"/>
          <w:color w:val="000000" w:themeColor="text1"/>
          <w:sz w:val="32"/>
          <w:szCs w:val="32"/>
        </w:rPr>
        <w:t xml:space="preserve">: </w:t>
      </w:r>
      <w:r w:rsidRPr="00B34478">
        <w:rPr>
          <w:rFonts w:ascii="Traditional Arabic" w:hAnsi="Traditional Arabic" w:cs="Traditional Arabic"/>
          <w:color w:val="000000" w:themeColor="text1"/>
          <w:sz w:val="32"/>
          <w:szCs w:val="32"/>
          <w:rtl/>
        </w:rPr>
        <w:t>(صباحية، مسائية، ليلية). قد تختلف وتيرة العمل وتوفر الدعم الإداري أو التقني وكثافة المهام بين المناوبات، مما يمكن أن يؤثر على تطبيق إجراءات السلامة وتبني التكنولوجيا</w:t>
      </w:r>
      <w:r w:rsidRPr="00B34478">
        <w:rPr>
          <w:rFonts w:ascii="Traditional Arabic" w:hAnsi="Traditional Arabic" w:cs="Traditional Arabic"/>
          <w:color w:val="000000" w:themeColor="text1"/>
          <w:sz w:val="32"/>
          <w:szCs w:val="32"/>
        </w:rPr>
        <w:t>.</w:t>
      </w:r>
    </w:p>
    <w:p w14:paraId="3E54B508" w14:textId="766DF758" w:rsidR="00FC1F7D" w:rsidRDefault="00FC1F7D" w:rsidP="00B34478">
      <w:pPr>
        <w:numPr>
          <w:ilvl w:val="0"/>
          <w:numId w:val="15"/>
        </w:numPr>
        <w:bidi/>
        <w:spacing w:after="0" w:line="276" w:lineRule="auto"/>
        <w:jc w:val="both"/>
        <w:rPr>
          <w:rFonts w:ascii="Traditional Arabic" w:hAnsi="Traditional Arabic" w:cs="Traditional Arabic"/>
          <w:color w:val="000000" w:themeColor="text1"/>
          <w:sz w:val="32"/>
          <w:szCs w:val="32"/>
        </w:rPr>
      </w:pPr>
      <w:r w:rsidRPr="00B34478">
        <w:rPr>
          <w:rFonts w:ascii="Traditional Arabic" w:hAnsi="Traditional Arabic" w:cs="Traditional Arabic"/>
          <w:color w:val="000000" w:themeColor="text1"/>
          <w:sz w:val="32"/>
          <w:szCs w:val="32"/>
          <w:rtl/>
        </w:rPr>
        <w:t>المستوى التعليمي</w:t>
      </w:r>
      <w:r w:rsidRPr="00B34478">
        <w:rPr>
          <w:rFonts w:ascii="Traditional Arabic" w:hAnsi="Traditional Arabic" w:cs="Traditional Arabic"/>
          <w:color w:val="000000" w:themeColor="text1"/>
          <w:sz w:val="32"/>
          <w:szCs w:val="32"/>
        </w:rPr>
        <w:t xml:space="preserve">: </w:t>
      </w:r>
      <w:r w:rsidRPr="00B34478">
        <w:rPr>
          <w:rFonts w:ascii="Traditional Arabic" w:hAnsi="Traditional Arabic" w:cs="Traditional Arabic"/>
          <w:color w:val="000000" w:themeColor="text1"/>
          <w:sz w:val="32"/>
          <w:szCs w:val="32"/>
          <w:rtl/>
        </w:rPr>
        <w:t>قد يؤثر مستوى المؤهل العلمي على القدرة على التعامل مع الأنظمة التكنولوجية المعقدة أو على الفهم النظري لمبادئ إدارة المخاطر</w:t>
      </w:r>
      <w:r w:rsidRPr="00B34478">
        <w:rPr>
          <w:rFonts w:ascii="Traditional Arabic" w:hAnsi="Traditional Arabic" w:cs="Traditional Arabic"/>
          <w:color w:val="000000" w:themeColor="text1"/>
          <w:sz w:val="32"/>
          <w:szCs w:val="32"/>
        </w:rPr>
        <w:t>.</w:t>
      </w:r>
    </w:p>
    <w:p w14:paraId="2653A2C9" w14:textId="42314ED8" w:rsidR="006D63D8" w:rsidRPr="006D63D8" w:rsidRDefault="006D63D8" w:rsidP="006D63D8">
      <w:pPr>
        <w:pStyle w:val="ab"/>
        <w:bidi/>
        <w:spacing w:before="0" w:after="120"/>
        <w:jc w:val="both"/>
        <w:rPr>
          <w:rFonts w:ascii="Traditional Arabic" w:hAnsi="Traditional Arabic" w:cs="Traditional Arabic"/>
          <w:b/>
          <w:bCs/>
          <w:sz w:val="36"/>
          <w:szCs w:val="36"/>
        </w:rPr>
      </w:pPr>
      <w:r w:rsidRPr="006D63D8">
        <w:rPr>
          <w:rFonts w:ascii="Traditional Arabic" w:hAnsi="Traditional Arabic" w:cs="Traditional Arabic"/>
          <w:b/>
          <w:bCs/>
          <w:sz w:val="36"/>
          <w:szCs w:val="36"/>
          <w:rtl/>
        </w:rPr>
        <w:t>سادساً: ملخص التعريفات الإجرائية والقياس</w:t>
      </w:r>
      <w:r>
        <w:rPr>
          <w:rFonts w:ascii="Traditional Arabic" w:hAnsi="Traditional Arabic" w:cs="Traditional Arabic" w:hint="cs"/>
          <w:b/>
          <w:bCs/>
          <w:sz w:val="36"/>
          <w:szCs w:val="36"/>
          <w:rtl/>
        </w:rPr>
        <w:t>:</w:t>
      </w:r>
    </w:p>
    <w:p w14:paraId="45C10542" w14:textId="6A7D422F" w:rsidR="00B34478" w:rsidRDefault="006D63D8" w:rsidP="006D63D8">
      <w:pPr>
        <w:bidi/>
        <w:spacing w:after="0" w:line="276" w:lineRule="auto"/>
        <w:jc w:val="both"/>
        <w:rPr>
          <w:rFonts w:ascii="Traditional Arabic" w:hAnsi="Traditional Arabic" w:cs="Traditional Arabic"/>
          <w:color w:val="000000" w:themeColor="text1"/>
          <w:sz w:val="32"/>
          <w:szCs w:val="32"/>
          <w:rtl/>
        </w:rPr>
      </w:pPr>
      <w:r w:rsidRPr="006D63D8">
        <w:rPr>
          <w:rFonts w:ascii="Traditional Arabic" w:hAnsi="Traditional Arabic" w:cs="Traditional Arabic"/>
          <w:color w:val="000000" w:themeColor="text1"/>
          <w:sz w:val="32"/>
          <w:szCs w:val="32"/>
          <w:rtl/>
        </w:rPr>
        <w:t>بعد استعراض الإطار النظري والمفاهيمي للمتغيرات الثلاثة (التطوير التنظيمي، التكنولوجيا الذكية، إدارة المخاطر)، يُلخص الجدولان التاليان التعريفات الإجرائية المعتمدة لكل متغير وأبعاده وحدوده المفاهيمية، إلى جانب مواصفات أداة القياس التي ستُستخدم في جمع البيانات الميدانية</w:t>
      </w:r>
      <w:r>
        <w:rPr>
          <w:rFonts w:ascii="Traditional Arabic" w:hAnsi="Traditional Arabic" w:cs="Traditional Arabic" w:hint="cs"/>
          <w:color w:val="000000" w:themeColor="text1"/>
          <w:sz w:val="32"/>
          <w:szCs w:val="32"/>
          <w:rtl/>
        </w:rPr>
        <w:t xml:space="preserve">، </w:t>
      </w:r>
      <w:r w:rsidRPr="006D63D8">
        <w:rPr>
          <w:rFonts w:ascii="Traditional Arabic" w:hAnsi="Traditional Arabic" w:cs="Traditional Arabic"/>
          <w:color w:val="000000" w:themeColor="text1"/>
          <w:sz w:val="32"/>
          <w:szCs w:val="32"/>
          <w:rtl/>
        </w:rPr>
        <w:t>تمهيدًا لبناء الاستبانة</w:t>
      </w:r>
      <w:r>
        <w:rPr>
          <w:rFonts w:ascii="Traditional Arabic" w:hAnsi="Traditional Arabic" w:cs="Traditional Arabic" w:hint="cs"/>
          <w:color w:val="000000" w:themeColor="text1"/>
          <w:sz w:val="32"/>
          <w:szCs w:val="32"/>
          <w:rtl/>
        </w:rPr>
        <w:t xml:space="preserve"> في</w:t>
      </w:r>
      <w:r w:rsidRPr="006D63D8">
        <w:rPr>
          <w:rFonts w:ascii="Traditional Arabic" w:hAnsi="Traditional Arabic" w:cs="Traditional Arabic"/>
          <w:color w:val="000000" w:themeColor="text1"/>
          <w:sz w:val="32"/>
          <w:szCs w:val="32"/>
          <w:rtl/>
        </w:rPr>
        <w:t xml:space="preserve"> الفصل الثالث</w:t>
      </w:r>
      <w:r>
        <w:rPr>
          <w:rFonts w:ascii="Traditional Arabic" w:hAnsi="Traditional Arabic" w:cs="Traditional Arabic" w:hint="cs"/>
          <w:color w:val="000000" w:themeColor="text1"/>
          <w:sz w:val="32"/>
          <w:szCs w:val="32"/>
          <w:rtl/>
        </w:rPr>
        <w:t xml:space="preserve">، </w:t>
      </w:r>
      <w:r w:rsidRPr="006D63D8">
        <w:rPr>
          <w:rFonts w:ascii="Traditional Arabic" w:hAnsi="Traditional Arabic" w:cs="Traditional Arabic"/>
          <w:color w:val="000000" w:themeColor="text1"/>
          <w:sz w:val="32"/>
          <w:szCs w:val="32"/>
          <w:rtl/>
        </w:rPr>
        <w:t>وتطبيقها في</w:t>
      </w:r>
      <w:r>
        <w:rPr>
          <w:rFonts w:ascii="Traditional Arabic" w:hAnsi="Traditional Arabic" w:cs="Traditional Arabic" w:hint="cs"/>
          <w:color w:val="000000" w:themeColor="text1"/>
          <w:sz w:val="32"/>
          <w:szCs w:val="32"/>
          <w:rtl/>
        </w:rPr>
        <w:t xml:space="preserve"> الرابع من الدراسة.</w:t>
      </w:r>
    </w:p>
    <w:p w14:paraId="176F5BC2" w14:textId="77777777" w:rsidR="006D63D8" w:rsidRDefault="006D63D8" w:rsidP="006D63D8">
      <w:pPr>
        <w:bidi/>
        <w:spacing w:after="0" w:line="276" w:lineRule="auto"/>
        <w:jc w:val="both"/>
        <w:rPr>
          <w:rFonts w:ascii="Traditional Arabic" w:hAnsi="Traditional Arabic" w:cs="Traditional Arabic"/>
          <w:color w:val="000000" w:themeColor="text1"/>
          <w:sz w:val="32"/>
          <w:szCs w:val="32"/>
          <w:rtl/>
        </w:rPr>
      </w:pPr>
    </w:p>
    <w:p w14:paraId="31EB1BC4" w14:textId="77777777" w:rsidR="006D63D8" w:rsidRDefault="006D63D8" w:rsidP="006D63D8">
      <w:pPr>
        <w:bidi/>
        <w:spacing w:after="0" w:line="276" w:lineRule="auto"/>
        <w:jc w:val="both"/>
        <w:rPr>
          <w:rFonts w:ascii="Traditional Arabic" w:hAnsi="Traditional Arabic" w:cs="Traditional Arabic"/>
          <w:color w:val="000000" w:themeColor="text1"/>
          <w:sz w:val="32"/>
          <w:szCs w:val="32"/>
          <w:rtl/>
        </w:rPr>
      </w:pPr>
    </w:p>
    <w:p w14:paraId="255A1714" w14:textId="77777777" w:rsidR="006D63D8" w:rsidRDefault="006D63D8" w:rsidP="006D63D8">
      <w:pPr>
        <w:bidi/>
        <w:spacing w:after="0" w:line="276" w:lineRule="auto"/>
        <w:jc w:val="both"/>
        <w:rPr>
          <w:rFonts w:ascii="Traditional Arabic" w:hAnsi="Traditional Arabic" w:cs="Traditional Arabic"/>
          <w:color w:val="000000" w:themeColor="text1"/>
          <w:sz w:val="32"/>
          <w:szCs w:val="32"/>
        </w:rPr>
      </w:pPr>
    </w:p>
    <w:p w14:paraId="43657FE9" w14:textId="467B471D" w:rsidR="0013680C" w:rsidRPr="0013680C" w:rsidRDefault="00A02194" w:rsidP="0013680C">
      <w:pPr>
        <w:pStyle w:val="ab"/>
        <w:bidi/>
        <w:spacing w:before="0" w:after="120"/>
        <w:jc w:val="center"/>
        <w:rPr>
          <w:rFonts w:ascii="Traditional Arabic" w:eastAsiaTheme="majorEastAsia" w:hAnsi="Traditional Arabic" w:cs="Traditional Arabic"/>
          <w:b/>
          <w:bCs/>
          <w:sz w:val="28"/>
          <w:szCs w:val="28"/>
        </w:rPr>
      </w:pPr>
      <w:r w:rsidRPr="00A02194">
        <w:rPr>
          <w:rFonts w:ascii="Traditional Arabic" w:eastAsiaTheme="majorEastAsia" w:hAnsi="Traditional Arabic" w:cs="Traditional Arabic"/>
          <w:b/>
          <w:bCs/>
          <w:sz w:val="28"/>
          <w:szCs w:val="28"/>
          <w:rtl/>
        </w:rPr>
        <w:lastRenderedPageBreak/>
        <w:t>الجدول (</w:t>
      </w:r>
      <w:r w:rsidRPr="00B074B7">
        <w:rPr>
          <w:rFonts w:ascii="Traditional Arabic" w:eastAsiaTheme="majorEastAsia" w:hAnsi="Traditional Arabic" w:cs="Traditional Arabic" w:hint="cs"/>
          <w:b/>
          <w:bCs/>
          <w:sz w:val="28"/>
          <w:szCs w:val="28"/>
          <w:rtl/>
        </w:rPr>
        <w:t>2</w:t>
      </w:r>
      <w:r w:rsidRPr="00A02194">
        <w:rPr>
          <w:rFonts w:ascii="Traditional Arabic" w:eastAsiaTheme="majorEastAsia" w:hAnsi="Traditional Arabic" w:cs="Traditional Arabic"/>
          <w:b/>
          <w:bCs/>
          <w:sz w:val="28"/>
          <w:szCs w:val="28"/>
          <w:rtl/>
        </w:rPr>
        <w:t>.</w:t>
      </w:r>
      <w:r w:rsidR="006D63D8">
        <w:rPr>
          <w:rFonts w:ascii="Traditional Arabic" w:eastAsiaTheme="majorEastAsia" w:hAnsi="Traditional Arabic" w:cs="Traditional Arabic" w:hint="cs"/>
          <w:b/>
          <w:bCs/>
          <w:sz w:val="28"/>
          <w:szCs w:val="28"/>
          <w:rtl/>
        </w:rPr>
        <w:t>2</w:t>
      </w:r>
      <w:r w:rsidRPr="00A02194">
        <w:rPr>
          <w:rFonts w:ascii="Traditional Arabic" w:eastAsiaTheme="majorEastAsia" w:hAnsi="Traditional Arabic" w:cs="Traditional Arabic"/>
          <w:b/>
          <w:bCs/>
          <w:sz w:val="28"/>
          <w:szCs w:val="28"/>
          <w:rtl/>
        </w:rPr>
        <w:t>): تعريفات المتغيرات المعتمدة وأبعادها وحدودها المفاهيمية</w:t>
      </w:r>
    </w:p>
    <w:tbl>
      <w:tblPr>
        <w:tblStyle w:val="TableGrid1"/>
        <w:tblW w:w="0" w:type="auto"/>
        <w:tblLook w:val="04A0" w:firstRow="1" w:lastRow="0" w:firstColumn="1" w:lastColumn="0" w:noHBand="0" w:noVBand="1"/>
      </w:tblPr>
      <w:tblGrid>
        <w:gridCol w:w="2547"/>
        <w:gridCol w:w="1843"/>
        <w:gridCol w:w="2772"/>
        <w:gridCol w:w="1532"/>
      </w:tblGrid>
      <w:tr w:rsidR="00B074B7" w:rsidRPr="0013680C" w14:paraId="333E852C" w14:textId="77777777" w:rsidTr="00B074B7">
        <w:tc>
          <w:tcPr>
            <w:tcW w:w="2547" w:type="dxa"/>
            <w:hideMark/>
          </w:tcPr>
          <w:p w14:paraId="27E8F8CB" w14:textId="77777777" w:rsidR="0013680C" w:rsidRPr="0013680C" w:rsidRDefault="0013680C" w:rsidP="0013680C">
            <w:pPr>
              <w:pStyle w:val="ab"/>
              <w:bidi/>
              <w:spacing w:after="120"/>
              <w:jc w:val="both"/>
              <w:rPr>
                <w:rFonts w:ascii="Traditional Arabic" w:eastAsiaTheme="majorEastAsia" w:hAnsi="Traditional Arabic" w:cs="Traditional Arabic"/>
                <w:b/>
                <w:bCs/>
                <w:sz w:val="28"/>
                <w:szCs w:val="28"/>
              </w:rPr>
            </w:pPr>
            <w:r w:rsidRPr="0013680C">
              <w:rPr>
                <w:rFonts w:ascii="Traditional Arabic" w:eastAsiaTheme="majorEastAsia" w:hAnsi="Traditional Arabic" w:cs="Traditional Arabic"/>
                <w:b/>
                <w:bCs/>
                <w:sz w:val="28"/>
                <w:szCs w:val="28"/>
                <w:rtl/>
              </w:rPr>
              <w:t>التمييز عن المفاهيم القريبة (الحدود المفاهيمية)</w:t>
            </w:r>
          </w:p>
        </w:tc>
        <w:tc>
          <w:tcPr>
            <w:tcW w:w="1843" w:type="dxa"/>
            <w:hideMark/>
          </w:tcPr>
          <w:p w14:paraId="2F9D53D9" w14:textId="77777777" w:rsidR="0013680C" w:rsidRPr="0013680C" w:rsidRDefault="0013680C" w:rsidP="00B074B7">
            <w:pPr>
              <w:pStyle w:val="ab"/>
              <w:bidi/>
              <w:spacing w:after="120"/>
              <w:jc w:val="center"/>
              <w:rPr>
                <w:rFonts w:ascii="Traditional Arabic" w:eastAsiaTheme="majorEastAsia" w:hAnsi="Traditional Arabic" w:cs="Traditional Arabic"/>
                <w:b/>
                <w:bCs/>
                <w:sz w:val="28"/>
                <w:szCs w:val="28"/>
              </w:rPr>
            </w:pPr>
            <w:r w:rsidRPr="0013680C">
              <w:rPr>
                <w:rFonts w:ascii="Traditional Arabic" w:eastAsiaTheme="majorEastAsia" w:hAnsi="Traditional Arabic" w:cs="Traditional Arabic"/>
                <w:b/>
                <w:bCs/>
                <w:sz w:val="28"/>
                <w:szCs w:val="28"/>
                <w:rtl/>
              </w:rPr>
              <w:t>الأبعاد</w:t>
            </w:r>
          </w:p>
        </w:tc>
        <w:tc>
          <w:tcPr>
            <w:tcW w:w="2772" w:type="dxa"/>
            <w:hideMark/>
          </w:tcPr>
          <w:p w14:paraId="41A665FA" w14:textId="45D3A826" w:rsidR="0013680C" w:rsidRPr="0013680C" w:rsidRDefault="0013680C" w:rsidP="00B074B7">
            <w:pPr>
              <w:pStyle w:val="ab"/>
              <w:bidi/>
              <w:spacing w:after="120"/>
              <w:jc w:val="center"/>
              <w:rPr>
                <w:rFonts w:ascii="Traditional Arabic" w:eastAsiaTheme="majorEastAsia" w:hAnsi="Traditional Arabic" w:cs="Traditional Arabic"/>
                <w:b/>
                <w:bCs/>
                <w:sz w:val="28"/>
                <w:szCs w:val="28"/>
              </w:rPr>
            </w:pPr>
            <w:r w:rsidRPr="0013680C">
              <w:rPr>
                <w:rFonts w:ascii="Traditional Arabic" w:eastAsiaTheme="majorEastAsia" w:hAnsi="Traditional Arabic" w:cs="Traditional Arabic"/>
                <w:b/>
                <w:bCs/>
                <w:sz w:val="28"/>
                <w:szCs w:val="28"/>
                <w:rtl/>
              </w:rPr>
              <w:t>التعريف الإجرائي</w:t>
            </w:r>
          </w:p>
        </w:tc>
        <w:tc>
          <w:tcPr>
            <w:tcW w:w="0" w:type="auto"/>
            <w:hideMark/>
          </w:tcPr>
          <w:p w14:paraId="27A2FFDD" w14:textId="77777777" w:rsidR="0013680C" w:rsidRPr="0013680C" w:rsidRDefault="0013680C" w:rsidP="00B074B7">
            <w:pPr>
              <w:pStyle w:val="ab"/>
              <w:bidi/>
              <w:spacing w:after="120"/>
              <w:jc w:val="center"/>
              <w:rPr>
                <w:rFonts w:ascii="Traditional Arabic" w:eastAsiaTheme="majorEastAsia" w:hAnsi="Traditional Arabic" w:cs="Traditional Arabic"/>
                <w:b/>
                <w:bCs/>
                <w:sz w:val="28"/>
                <w:szCs w:val="28"/>
              </w:rPr>
            </w:pPr>
            <w:r w:rsidRPr="0013680C">
              <w:rPr>
                <w:rFonts w:ascii="Traditional Arabic" w:eastAsiaTheme="majorEastAsia" w:hAnsi="Traditional Arabic" w:cs="Traditional Arabic"/>
                <w:b/>
                <w:bCs/>
                <w:sz w:val="28"/>
                <w:szCs w:val="28"/>
                <w:rtl/>
              </w:rPr>
              <w:t>المتغير</w:t>
            </w:r>
          </w:p>
        </w:tc>
      </w:tr>
      <w:tr w:rsidR="00B074B7" w:rsidRPr="0013680C" w14:paraId="7CB009FE" w14:textId="77777777" w:rsidTr="00B074B7">
        <w:tc>
          <w:tcPr>
            <w:tcW w:w="2547" w:type="dxa"/>
            <w:hideMark/>
          </w:tcPr>
          <w:p w14:paraId="0087B232"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يختلف عن التغيير التنظيمي العشوائي أو الاستجابي، وعن الإصلاح الإداري الفضفاض؛ فهو تدخل مؤسسي مخطط ومقصود يركز على إعادة مواءمة العناصر الداخلية (الهيكل، العمليات، البشر) وليس مجرد تحديث إداري عام. كما أنه ليس مرادفًا للتحسين المستمر البسيط، بل يتضمن إعادة تصميم جذرية</w:t>
            </w:r>
            <w:r w:rsidRPr="0013680C">
              <w:rPr>
                <w:rFonts w:ascii="Traditional Arabic" w:eastAsiaTheme="majorEastAsia" w:hAnsi="Traditional Arabic" w:cs="Traditional Arabic"/>
                <w:sz w:val="28"/>
                <w:szCs w:val="28"/>
              </w:rPr>
              <w:t>.</w:t>
            </w:r>
          </w:p>
        </w:tc>
        <w:tc>
          <w:tcPr>
            <w:tcW w:w="1843" w:type="dxa"/>
            <w:hideMark/>
          </w:tcPr>
          <w:p w14:paraId="1EADEABF" w14:textId="77777777" w:rsidR="00B074B7" w:rsidRPr="00B074B7" w:rsidRDefault="00B074B7" w:rsidP="00B074B7">
            <w:pPr>
              <w:pStyle w:val="ab"/>
              <w:bidi/>
              <w:spacing w:before="0" w:beforeAutospacing="0" w:after="0" w:afterAutospacing="0"/>
              <w:jc w:val="both"/>
              <w:rPr>
                <w:rFonts w:ascii="Traditional Arabic" w:eastAsiaTheme="majorEastAsia" w:hAnsi="Traditional Arabic" w:cs="Traditional Arabic"/>
                <w:sz w:val="28"/>
                <w:szCs w:val="28"/>
                <w:rtl/>
              </w:rPr>
            </w:pPr>
            <w:r w:rsidRPr="00B074B7">
              <w:rPr>
                <w:rFonts w:ascii="Traditional Arabic" w:eastAsiaTheme="majorEastAsia" w:hAnsi="Traditional Arabic" w:cs="Traditional Arabic" w:hint="cs"/>
                <w:sz w:val="28"/>
                <w:szCs w:val="28"/>
                <w:rtl/>
              </w:rPr>
              <w:t xml:space="preserve">1. </w:t>
            </w:r>
            <w:r w:rsidR="0013680C" w:rsidRPr="0013680C">
              <w:rPr>
                <w:rFonts w:ascii="Traditional Arabic" w:eastAsiaTheme="majorEastAsia" w:hAnsi="Traditional Arabic" w:cs="Traditional Arabic"/>
                <w:sz w:val="28"/>
                <w:szCs w:val="28"/>
                <w:rtl/>
              </w:rPr>
              <w:t>الهيكل التنظيمي</w:t>
            </w:r>
          </w:p>
          <w:p w14:paraId="66251925" w14:textId="5704AF1E" w:rsidR="00B074B7" w:rsidRPr="00B074B7" w:rsidRDefault="00B074B7" w:rsidP="00B074B7">
            <w:pPr>
              <w:pStyle w:val="ab"/>
              <w:bidi/>
              <w:spacing w:before="0" w:beforeAutospacing="0" w:after="0" w:afterAutospacing="0"/>
              <w:jc w:val="both"/>
              <w:rPr>
                <w:rFonts w:ascii="Traditional Arabic" w:eastAsiaTheme="majorEastAsia" w:hAnsi="Traditional Arabic" w:cs="Traditional Arabic"/>
                <w:sz w:val="28"/>
                <w:szCs w:val="28"/>
                <w:rtl/>
              </w:rPr>
            </w:pPr>
            <w:r w:rsidRPr="00B074B7">
              <w:rPr>
                <w:rFonts w:ascii="Traditional Arabic" w:eastAsiaTheme="majorEastAsia" w:hAnsi="Traditional Arabic" w:cs="Traditional Arabic" w:hint="cs"/>
                <w:sz w:val="28"/>
                <w:szCs w:val="28"/>
                <w:rtl/>
              </w:rPr>
              <w:t xml:space="preserve">2. </w:t>
            </w:r>
            <w:r w:rsidR="0013680C" w:rsidRPr="0013680C">
              <w:rPr>
                <w:rFonts w:ascii="Traditional Arabic" w:eastAsiaTheme="majorEastAsia" w:hAnsi="Traditional Arabic" w:cs="Traditional Arabic"/>
                <w:sz w:val="28"/>
                <w:szCs w:val="28"/>
                <w:rtl/>
              </w:rPr>
              <w:t>إعادة هندسة العمليات</w:t>
            </w:r>
          </w:p>
          <w:p w14:paraId="70CBC708" w14:textId="1A2D4EA4" w:rsidR="0013680C" w:rsidRPr="0013680C" w:rsidRDefault="00B074B7" w:rsidP="00B074B7">
            <w:pPr>
              <w:pStyle w:val="ab"/>
              <w:bidi/>
              <w:spacing w:before="0" w:beforeAutospacing="0" w:after="0" w:afterAutospacing="0"/>
              <w:jc w:val="both"/>
              <w:rPr>
                <w:rFonts w:ascii="Traditional Arabic" w:eastAsiaTheme="majorEastAsia" w:hAnsi="Traditional Arabic" w:cs="Traditional Arabic"/>
                <w:sz w:val="28"/>
                <w:szCs w:val="28"/>
              </w:rPr>
            </w:pPr>
            <w:r w:rsidRPr="00B074B7">
              <w:rPr>
                <w:rFonts w:ascii="Traditional Arabic" w:eastAsiaTheme="majorEastAsia" w:hAnsi="Traditional Arabic" w:cs="Traditional Arabic" w:hint="cs"/>
                <w:sz w:val="28"/>
                <w:szCs w:val="28"/>
                <w:rtl/>
              </w:rPr>
              <w:t xml:space="preserve">3. </w:t>
            </w:r>
            <w:r w:rsidR="0013680C" w:rsidRPr="0013680C">
              <w:rPr>
                <w:rFonts w:ascii="Traditional Arabic" w:eastAsiaTheme="majorEastAsia" w:hAnsi="Traditional Arabic" w:cs="Traditional Arabic"/>
                <w:sz w:val="28"/>
                <w:szCs w:val="28"/>
                <w:rtl/>
              </w:rPr>
              <w:t>تمكين العاملين</w:t>
            </w:r>
          </w:p>
        </w:tc>
        <w:tc>
          <w:tcPr>
            <w:tcW w:w="2772" w:type="dxa"/>
            <w:hideMark/>
          </w:tcPr>
          <w:p w14:paraId="549F77D1"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w:t>
            </w:r>
            <w:r w:rsidRPr="0013680C">
              <w:rPr>
                <w:rFonts w:ascii="Traditional Arabic" w:eastAsiaTheme="majorEastAsia" w:hAnsi="Traditional Arabic" w:cs="Traditional Arabic"/>
                <w:sz w:val="28"/>
                <w:szCs w:val="28"/>
                <w:rtl/>
              </w:rPr>
              <w:t>عملية تنظيمية مخططة وشاملة تستهدف تحسين فعالية المستشفى وقدرته على التكيف والاستجابة من خلال تطوير الهيكل التنظيمي، وإعادة هندسة العمليات، وتمكين العاملين، بما يدعم تبني التكنولوجيا الذكية ويحسن إدارة المخاطر</w:t>
            </w:r>
            <w:r w:rsidRPr="0013680C">
              <w:rPr>
                <w:rFonts w:ascii="Traditional Arabic" w:eastAsiaTheme="majorEastAsia" w:hAnsi="Traditional Arabic" w:cs="Traditional Arabic"/>
                <w:sz w:val="28"/>
                <w:szCs w:val="28"/>
              </w:rPr>
              <w:t>."</w:t>
            </w:r>
          </w:p>
        </w:tc>
        <w:tc>
          <w:tcPr>
            <w:tcW w:w="0" w:type="auto"/>
            <w:hideMark/>
          </w:tcPr>
          <w:p w14:paraId="72D08684" w14:textId="77777777" w:rsidR="00B074B7" w:rsidRDefault="0013680C" w:rsidP="00B074B7">
            <w:pPr>
              <w:pStyle w:val="ab"/>
              <w:bidi/>
              <w:spacing w:before="0" w:beforeAutospacing="0" w:after="0" w:afterAutospacing="0"/>
              <w:jc w:val="center"/>
              <w:rPr>
                <w:rFonts w:ascii="Traditional Arabic" w:eastAsiaTheme="majorEastAsia" w:hAnsi="Traditional Arabic" w:cs="Traditional Arabic"/>
                <w:sz w:val="28"/>
                <w:szCs w:val="28"/>
                <w:rtl/>
              </w:rPr>
            </w:pPr>
            <w:r w:rsidRPr="0013680C">
              <w:rPr>
                <w:rFonts w:ascii="Traditional Arabic" w:eastAsiaTheme="majorEastAsia" w:hAnsi="Traditional Arabic" w:cs="Traditional Arabic"/>
                <w:sz w:val="28"/>
                <w:szCs w:val="28"/>
                <w:rtl/>
              </w:rPr>
              <w:t>التطوير التنظيمي </w:t>
            </w:r>
          </w:p>
          <w:p w14:paraId="04C46053" w14:textId="5CE25B2C" w:rsidR="0013680C" w:rsidRPr="0013680C" w:rsidRDefault="0013680C" w:rsidP="00B074B7">
            <w:pPr>
              <w:pStyle w:val="ab"/>
              <w:bidi/>
              <w:spacing w:before="0" w:beforeAutospacing="0" w:after="0" w:afterAutospacing="0"/>
              <w:jc w:val="center"/>
              <w:rPr>
                <w:rFonts w:ascii="Traditional Arabic" w:eastAsiaTheme="majorEastAsia" w:hAnsi="Traditional Arabic" w:cs="Traditional Arabic"/>
                <w:sz w:val="28"/>
                <w:szCs w:val="28"/>
              </w:rPr>
            </w:pPr>
            <w:r w:rsidRPr="00B074B7">
              <w:rPr>
                <w:rFonts w:ascii="Traditional Arabic" w:eastAsiaTheme="majorEastAsia" w:hAnsi="Traditional Arabic" w:cs="Traditional Arabic" w:hint="cs"/>
                <w:sz w:val="28"/>
                <w:szCs w:val="28"/>
                <w:rtl/>
              </w:rPr>
              <w:t>(</w:t>
            </w:r>
            <w:r w:rsidRPr="0013680C">
              <w:rPr>
                <w:rFonts w:ascii="Traditional Arabic" w:eastAsiaTheme="majorEastAsia" w:hAnsi="Traditional Arabic" w:cs="Traditional Arabic"/>
                <w:sz w:val="28"/>
                <w:szCs w:val="28"/>
                <w:rtl/>
              </w:rPr>
              <w:t>المتغير المستقل</w:t>
            </w:r>
            <w:r w:rsidRPr="00B074B7">
              <w:rPr>
                <w:rFonts w:ascii="Traditional Arabic" w:eastAsiaTheme="majorEastAsia" w:hAnsi="Traditional Arabic" w:cs="Traditional Arabic" w:hint="cs"/>
                <w:sz w:val="28"/>
                <w:szCs w:val="28"/>
                <w:rtl/>
              </w:rPr>
              <w:t>)</w:t>
            </w:r>
          </w:p>
        </w:tc>
      </w:tr>
      <w:tr w:rsidR="00B074B7" w:rsidRPr="0013680C" w14:paraId="74A8144E" w14:textId="77777777" w:rsidTr="00B074B7">
        <w:tc>
          <w:tcPr>
            <w:tcW w:w="2547" w:type="dxa"/>
            <w:hideMark/>
          </w:tcPr>
          <w:p w14:paraId="087C5E2C"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تختلف عن التكنولوجيا التقليدية التي تقتصر على الأتمتة والتخزين (مثل السجلات الإلكترونية البسيطة)، وعن مفهوم "التحول الرقمي" الأوسع الذي يشمل الجوانب الثقافية والتنظيمية والاستراتيجية؛ فهي تركز تحديدًا على الأنظمة ذات القدرات التحليلية والتنبؤية والتعلم الآلي</w:t>
            </w:r>
            <w:r w:rsidRPr="0013680C">
              <w:rPr>
                <w:rFonts w:ascii="Traditional Arabic" w:eastAsiaTheme="majorEastAsia" w:hAnsi="Traditional Arabic" w:cs="Traditional Arabic"/>
                <w:sz w:val="28"/>
                <w:szCs w:val="28"/>
              </w:rPr>
              <w:t>.</w:t>
            </w:r>
          </w:p>
        </w:tc>
        <w:tc>
          <w:tcPr>
            <w:tcW w:w="1843" w:type="dxa"/>
            <w:hideMark/>
          </w:tcPr>
          <w:p w14:paraId="2B497564" w14:textId="3C2940FD" w:rsidR="00B074B7" w:rsidRPr="00B074B7" w:rsidRDefault="0013680C" w:rsidP="00B074B7">
            <w:pPr>
              <w:pStyle w:val="ab"/>
              <w:numPr>
                <w:ilvl w:val="0"/>
                <w:numId w:val="105"/>
              </w:numPr>
              <w:bidi/>
              <w:spacing w:after="120"/>
              <w:rPr>
                <w:rFonts w:ascii="Traditional Arabic" w:eastAsiaTheme="majorEastAsia" w:hAnsi="Traditional Arabic" w:cs="Traditional Arabic"/>
                <w:sz w:val="28"/>
                <w:szCs w:val="28"/>
                <w:rtl/>
              </w:rPr>
            </w:pPr>
            <w:r w:rsidRPr="0013680C">
              <w:rPr>
                <w:rFonts w:ascii="Traditional Arabic" w:eastAsiaTheme="majorEastAsia" w:hAnsi="Traditional Arabic" w:cs="Traditional Arabic"/>
                <w:sz w:val="28"/>
                <w:szCs w:val="28"/>
                <w:rtl/>
              </w:rPr>
              <w:t>أنظمة دعم القرار السرير</w:t>
            </w:r>
          </w:p>
          <w:p w14:paraId="0E4C2A3F" w14:textId="77777777" w:rsidR="00B074B7" w:rsidRPr="00B074B7" w:rsidRDefault="0013680C" w:rsidP="00B074B7">
            <w:pPr>
              <w:pStyle w:val="ab"/>
              <w:numPr>
                <w:ilvl w:val="0"/>
                <w:numId w:val="105"/>
              </w:numPr>
              <w:bidi/>
              <w:spacing w:after="120"/>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أنظمة الإنذار المبكر والمراقبة</w:t>
            </w:r>
          </w:p>
          <w:p w14:paraId="26356C11" w14:textId="649DA191" w:rsidR="0013680C" w:rsidRPr="0013680C" w:rsidRDefault="0013680C" w:rsidP="00B074B7">
            <w:pPr>
              <w:pStyle w:val="ab"/>
              <w:numPr>
                <w:ilvl w:val="0"/>
                <w:numId w:val="105"/>
              </w:numPr>
              <w:bidi/>
              <w:spacing w:after="120"/>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أنظمة التحليلات التنبؤية وتكامل البيانات</w:t>
            </w:r>
          </w:p>
        </w:tc>
        <w:tc>
          <w:tcPr>
            <w:tcW w:w="2772" w:type="dxa"/>
            <w:hideMark/>
          </w:tcPr>
          <w:p w14:paraId="6A7F96D9"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w:t>
            </w:r>
            <w:r w:rsidRPr="0013680C">
              <w:rPr>
                <w:rFonts w:ascii="Traditional Arabic" w:eastAsiaTheme="majorEastAsia" w:hAnsi="Traditional Arabic" w:cs="Traditional Arabic"/>
                <w:sz w:val="28"/>
                <w:szCs w:val="28"/>
                <w:rtl/>
              </w:rPr>
              <w:t>مجموعة الأنظمة التقنية المتقدمة، القائمة على الذكاء الاصطناعي، وتحليل البيانات الضخمة، وإنترنت الأشياء، والمطبقة في البيئة الصحية لدعم القرارات السريرية والإدارية، ورصد المخاطر بشكل مستمر، والتنبؤ بالأحداث الصحية الحرجة، بهدف رفع كفاءة الأداء، وجودة الرعاية، وسلامة المرضى</w:t>
            </w:r>
            <w:r w:rsidRPr="0013680C">
              <w:rPr>
                <w:rFonts w:ascii="Traditional Arabic" w:eastAsiaTheme="majorEastAsia" w:hAnsi="Traditional Arabic" w:cs="Traditional Arabic"/>
                <w:sz w:val="28"/>
                <w:szCs w:val="28"/>
              </w:rPr>
              <w:t>."</w:t>
            </w:r>
          </w:p>
        </w:tc>
        <w:tc>
          <w:tcPr>
            <w:tcW w:w="0" w:type="auto"/>
            <w:hideMark/>
          </w:tcPr>
          <w:p w14:paraId="153A5353" w14:textId="77777777" w:rsidR="00B074B7" w:rsidRDefault="0013680C" w:rsidP="00B074B7">
            <w:pPr>
              <w:pStyle w:val="ab"/>
              <w:bidi/>
              <w:spacing w:before="0" w:beforeAutospacing="0" w:after="0" w:afterAutospacing="0"/>
              <w:jc w:val="center"/>
              <w:rPr>
                <w:rFonts w:ascii="Traditional Arabic" w:eastAsiaTheme="majorEastAsia" w:hAnsi="Traditional Arabic" w:cs="Traditional Arabic"/>
                <w:sz w:val="28"/>
                <w:szCs w:val="28"/>
                <w:rtl/>
              </w:rPr>
            </w:pPr>
            <w:r w:rsidRPr="0013680C">
              <w:rPr>
                <w:rFonts w:ascii="Traditional Arabic" w:eastAsiaTheme="majorEastAsia" w:hAnsi="Traditional Arabic" w:cs="Traditional Arabic"/>
                <w:sz w:val="28"/>
                <w:szCs w:val="28"/>
                <w:rtl/>
              </w:rPr>
              <w:t>التكنولوجيا الذكية </w:t>
            </w:r>
          </w:p>
          <w:p w14:paraId="3BCAF865" w14:textId="70129DBD" w:rsidR="0013680C" w:rsidRPr="0013680C" w:rsidRDefault="00B074B7" w:rsidP="00B074B7">
            <w:pPr>
              <w:pStyle w:val="ab"/>
              <w:bidi/>
              <w:spacing w:before="0" w:beforeAutospacing="0" w:after="0" w:afterAutospacing="0"/>
              <w:jc w:val="center"/>
              <w:rPr>
                <w:rFonts w:ascii="Traditional Arabic" w:eastAsiaTheme="majorEastAsia" w:hAnsi="Traditional Arabic" w:cs="Traditional Arabic"/>
                <w:sz w:val="28"/>
                <w:szCs w:val="28"/>
              </w:rPr>
            </w:pPr>
            <w:r w:rsidRPr="00B074B7">
              <w:rPr>
                <w:rFonts w:ascii="Traditional Arabic" w:eastAsiaTheme="majorEastAsia" w:hAnsi="Traditional Arabic" w:cs="Traditional Arabic" w:hint="cs"/>
                <w:sz w:val="28"/>
                <w:szCs w:val="28"/>
                <w:rtl/>
              </w:rPr>
              <w:t>(</w:t>
            </w:r>
            <w:r w:rsidR="0013680C" w:rsidRPr="0013680C">
              <w:rPr>
                <w:rFonts w:ascii="Traditional Arabic" w:eastAsiaTheme="majorEastAsia" w:hAnsi="Traditional Arabic" w:cs="Traditional Arabic"/>
                <w:sz w:val="28"/>
                <w:szCs w:val="28"/>
                <w:rtl/>
              </w:rPr>
              <w:t>المتغير الوسيط</w:t>
            </w:r>
            <w:r w:rsidRPr="00B074B7">
              <w:rPr>
                <w:rFonts w:ascii="Traditional Arabic" w:eastAsiaTheme="majorEastAsia" w:hAnsi="Traditional Arabic" w:cs="Traditional Arabic" w:hint="cs"/>
                <w:sz w:val="28"/>
                <w:szCs w:val="28"/>
                <w:rtl/>
              </w:rPr>
              <w:t>)</w:t>
            </w:r>
          </w:p>
        </w:tc>
      </w:tr>
      <w:tr w:rsidR="00B074B7" w:rsidRPr="0013680C" w14:paraId="60DAC849" w14:textId="77777777" w:rsidTr="00B074B7">
        <w:tc>
          <w:tcPr>
            <w:tcW w:w="2547" w:type="dxa"/>
            <w:hideMark/>
          </w:tcPr>
          <w:p w14:paraId="6F1FD777"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تختلف عن إدارة الأزمات التي تركز على الاستجابة بعد وقوع الحدث (رد الفعل)، وعن التأمين الذي ينقل المخاطر فقط؛ فهذا المفهوم يشمل الاستباقية والوقاية والتخطيط المسبق والتحليل المنهجي، ويمتد إلى جوهر الجودة والسلامة في البيئة الصحية</w:t>
            </w:r>
            <w:r w:rsidRPr="0013680C">
              <w:rPr>
                <w:rFonts w:ascii="Traditional Arabic" w:eastAsiaTheme="majorEastAsia" w:hAnsi="Traditional Arabic" w:cs="Traditional Arabic"/>
                <w:sz w:val="28"/>
                <w:szCs w:val="28"/>
              </w:rPr>
              <w:t>.</w:t>
            </w:r>
          </w:p>
        </w:tc>
        <w:tc>
          <w:tcPr>
            <w:tcW w:w="1843" w:type="dxa"/>
            <w:hideMark/>
          </w:tcPr>
          <w:p w14:paraId="3399D60F" w14:textId="055E0367" w:rsidR="0013680C" w:rsidRPr="0013680C" w:rsidRDefault="00B074B7" w:rsidP="00B074B7">
            <w:pPr>
              <w:pStyle w:val="ab"/>
              <w:bidi/>
              <w:spacing w:after="120"/>
              <w:rPr>
                <w:rFonts w:ascii="Traditional Arabic" w:eastAsiaTheme="majorEastAsia" w:hAnsi="Traditional Arabic" w:cs="Traditional Arabic"/>
                <w:sz w:val="28"/>
                <w:szCs w:val="28"/>
              </w:rPr>
            </w:pPr>
            <w:r w:rsidRPr="00B074B7">
              <w:rPr>
                <w:rFonts w:ascii="Traditional Arabic" w:eastAsiaTheme="majorEastAsia" w:hAnsi="Traditional Arabic" w:cs="Traditional Arabic" w:hint="cs"/>
                <w:sz w:val="28"/>
                <w:szCs w:val="28"/>
                <w:rtl/>
              </w:rPr>
              <w:t xml:space="preserve">1. </w:t>
            </w:r>
            <w:r w:rsidR="0013680C" w:rsidRPr="0013680C">
              <w:rPr>
                <w:rFonts w:ascii="Traditional Arabic" w:eastAsiaTheme="majorEastAsia" w:hAnsi="Traditional Arabic" w:cs="Traditional Arabic"/>
                <w:sz w:val="28"/>
                <w:szCs w:val="28"/>
                <w:rtl/>
              </w:rPr>
              <w:t>التخطيط للمخاطر</w:t>
            </w:r>
            <w:r w:rsidR="0013680C" w:rsidRPr="0013680C">
              <w:rPr>
                <w:rFonts w:ascii="Traditional Arabic" w:eastAsiaTheme="majorEastAsia" w:hAnsi="Traditional Arabic" w:cs="Traditional Arabic"/>
                <w:sz w:val="28"/>
                <w:szCs w:val="28"/>
              </w:rPr>
              <w:br/>
            </w:r>
            <w:r w:rsidRPr="00B074B7">
              <w:rPr>
                <w:rFonts w:ascii="Traditional Arabic" w:eastAsiaTheme="majorEastAsia" w:hAnsi="Traditional Arabic" w:cs="Traditional Arabic" w:hint="cs"/>
                <w:sz w:val="28"/>
                <w:szCs w:val="28"/>
                <w:rtl/>
              </w:rPr>
              <w:t xml:space="preserve">2. </w:t>
            </w:r>
            <w:r w:rsidR="0013680C" w:rsidRPr="0013680C">
              <w:rPr>
                <w:rFonts w:ascii="Traditional Arabic" w:eastAsiaTheme="majorEastAsia" w:hAnsi="Traditional Arabic" w:cs="Traditional Arabic"/>
                <w:sz w:val="28"/>
                <w:szCs w:val="28"/>
                <w:rtl/>
              </w:rPr>
              <w:t>الموقف من المخاطر</w:t>
            </w:r>
            <w:r w:rsidR="0013680C" w:rsidRPr="0013680C">
              <w:rPr>
                <w:rFonts w:ascii="Traditional Arabic" w:eastAsiaTheme="majorEastAsia" w:hAnsi="Traditional Arabic" w:cs="Traditional Arabic"/>
                <w:sz w:val="28"/>
                <w:szCs w:val="28"/>
              </w:rPr>
              <w:br/>
            </w:r>
            <w:r w:rsidRPr="00B074B7">
              <w:rPr>
                <w:rFonts w:ascii="Traditional Arabic" w:eastAsiaTheme="majorEastAsia" w:hAnsi="Traditional Arabic" w:cs="Traditional Arabic" w:hint="cs"/>
                <w:sz w:val="28"/>
                <w:szCs w:val="28"/>
                <w:rtl/>
              </w:rPr>
              <w:t xml:space="preserve">3. </w:t>
            </w:r>
            <w:r w:rsidR="0013680C" w:rsidRPr="0013680C">
              <w:rPr>
                <w:rFonts w:ascii="Traditional Arabic" w:eastAsiaTheme="majorEastAsia" w:hAnsi="Traditional Arabic" w:cs="Traditional Arabic"/>
                <w:sz w:val="28"/>
                <w:szCs w:val="28"/>
                <w:rtl/>
              </w:rPr>
              <w:t>الممارسات الوقائية</w:t>
            </w:r>
          </w:p>
        </w:tc>
        <w:tc>
          <w:tcPr>
            <w:tcW w:w="2772" w:type="dxa"/>
            <w:hideMark/>
          </w:tcPr>
          <w:p w14:paraId="2FB5D198"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w:t>
            </w:r>
            <w:r w:rsidRPr="0013680C">
              <w:rPr>
                <w:rFonts w:ascii="Traditional Arabic" w:eastAsiaTheme="majorEastAsia" w:hAnsi="Traditional Arabic" w:cs="Traditional Arabic"/>
                <w:sz w:val="28"/>
                <w:szCs w:val="28"/>
                <w:rtl/>
              </w:rPr>
              <w:t>العملية المنظمة التي تهدف إلى تحديد وتحليل وتقييم المخاطر المحتملة في المستشفى، وتصميم وتنفيذ خطط استباقية للتعامل معها، مع متابعة فعالية هذه الإجراءات بشكل دوري، وذلك بهدف ضمان سلامة المرضى والعاملين واستمرارية الخدمات الصحية</w:t>
            </w:r>
            <w:r w:rsidRPr="0013680C">
              <w:rPr>
                <w:rFonts w:ascii="Traditional Arabic" w:eastAsiaTheme="majorEastAsia" w:hAnsi="Traditional Arabic" w:cs="Traditional Arabic"/>
                <w:sz w:val="28"/>
                <w:szCs w:val="28"/>
              </w:rPr>
              <w:t>."</w:t>
            </w:r>
          </w:p>
        </w:tc>
        <w:tc>
          <w:tcPr>
            <w:tcW w:w="0" w:type="auto"/>
            <w:hideMark/>
          </w:tcPr>
          <w:p w14:paraId="75FF440B" w14:textId="77777777" w:rsidR="00B074B7" w:rsidRDefault="0013680C" w:rsidP="00B074B7">
            <w:pPr>
              <w:pStyle w:val="ab"/>
              <w:bidi/>
              <w:spacing w:before="0" w:beforeAutospacing="0" w:after="0" w:afterAutospacing="0"/>
              <w:jc w:val="center"/>
              <w:rPr>
                <w:rFonts w:ascii="Traditional Arabic" w:eastAsiaTheme="majorEastAsia" w:hAnsi="Traditional Arabic" w:cs="Traditional Arabic"/>
                <w:sz w:val="28"/>
                <w:szCs w:val="28"/>
                <w:rtl/>
              </w:rPr>
            </w:pPr>
            <w:r w:rsidRPr="0013680C">
              <w:rPr>
                <w:rFonts w:ascii="Traditional Arabic" w:eastAsiaTheme="majorEastAsia" w:hAnsi="Traditional Arabic" w:cs="Traditional Arabic"/>
                <w:sz w:val="28"/>
                <w:szCs w:val="28"/>
                <w:rtl/>
              </w:rPr>
              <w:t>إدارة المخاطر </w:t>
            </w:r>
          </w:p>
          <w:p w14:paraId="6D368D62" w14:textId="1941379D" w:rsidR="0013680C" w:rsidRPr="0013680C" w:rsidRDefault="00B074B7" w:rsidP="00B074B7">
            <w:pPr>
              <w:pStyle w:val="ab"/>
              <w:bidi/>
              <w:spacing w:before="0" w:beforeAutospacing="0" w:after="0" w:afterAutospacing="0"/>
              <w:jc w:val="center"/>
              <w:rPr>
                <w:rFonts w:ascii="Traditional Arabic" w:eastAsiaTheme="majorEastAsia" w:hAnsi="Traditional Arabic" w:cs="Traditional Arabic"/>
                <w:sz w:val="28"/>
                <w:szCs w:val="28"/>
              </w:rPr>
            </w:pPr>
            <w:r w:rsidRPr="00B074B7">
              <w:rPr>
                <w:rFonts w:ascii="Traditional Arabic" w:eastAsiaTheme="majorEastAsia" w:hAnsi="Traditional Arabic" w:cs="Traditional Arabic" w:hint="cs"/>
                <w:sz w:val="28"/>
                <w:szCs w:val="28"/>
                <w:rtl/>
              </w:rPr>
              <w:t>(</w:t>
            </w:r>
            <w:r w:rsidR="0013680C" w:rsidRPr="0013680C">
              <w:rPr>
                <w:rFonts w:ascii="Traditional Arabic" w:eastAsiaTheme="majorEastAsia" w:hAnsi="Traditional Arabic" w:cs="Traditional Arabic"/>
                <w:sz w:val="28"/>
                <w:szCs w:val="28"/>
                <w:rtl/>
              </w:rPr>
              <w:t>المتغير التابع</w:t>
            </w:r>
            <w:r w:rsidRPr="00B074B7">
              <w:rPr>
                <w:rFonts w:ascii="Traditional Arabic" w:eastAsiaTheme="majorEastAsia" w:hAnsi="Traditional Arabic" w:cs="Traditional Arabic" w:hint="cs"/>
                <w:sz w:val="28"/>
                <w:szCs w:val="28"/>
                <w:rtl/>
              </w:rPr>
              <w:t>)</w:t>
            </w:r>
          </w:p>
        </w:tc>
      </w:tr>
    </w:tbl>
    <w:p w14:paraId="52692D1F" w14:textId="77777777" w:rsidR="006D63D8" w:rsidRDefault="006D63D8" w:rsidP="0013680C">
      <w:pPr>
        <w:pStyle w:val="ab"/>
        <w:bidi/>
        <w:spacing w:before="0" w:after="120"/>
        <w:jc w:val="center"/>
        <w:rPr>
          <w:rFonts w:ascii="Traditional Arabic" w:eastAsiaTheme="majorEastAsia" w:hAnsi="Traditional Arabic" w:cs="Traditional Arabic"/>
          <w:b/>
          <w:bCs/>
          <w:sz w:val="32"/>
          <w:szCs w:val="32"/>
          <w:rtl/>
        </w:rPr>
      </w:pPr>
    </w:p>
    <w:p w14:paraId="7E9B59FB" w14:textId="705C13EA" w:rsidR="0013680C" w:rsidRPr="0013680C" w:rsidRDefault="0013680C" w:rsidP="006D63D8">
      <w:pPr>
        <w:pStyle w:val="ab"/>
        <w:bidi/>
        <w:spacing w:before="0" w:after="120"/>
        <w:jc w:val="center"/>
        <w:rPr>
          <w:rFonts w:ascii="Traditional Arabic" w:eastAsiaTheme="majorEastAsia" w:hAnsi="Traditional Arabic" w:cs="Traditional Arabic" w:hint="cs"/>
          <w:b/>
          <w:bCs/>
          <w:sz w:val="28"/>
          <w:szCs w:val="28"/>
        </w:rPr>
      </w:pPr>
      <w:r w:rsidRPr="0013680C">
        <w:rPr>
          <w:rFonts w:ascii="Traditional Arabic" w:eastAsiaTheme="majorEastAsia" w:hAnsi="Traditional Arabic" w:cs="Traditional Arabic"/>
          <w:b/>
          <w:bCs/>
          <w:sz w:val="28"/>
          <w:szCs w:val="28"/>
          <w:rtl/>
        </w:rPr>
        <w:lastRenderedPageBreak/>
        <w:t>جدول (</w:t>
      </w:r>
      <w:r w:rsidR="006D63D8">
        <w:rPr>
          <w:rFonts w:ascii="Traditional Arabic" w:eastAsiaTheme="majorEastAsia" w:hAnsi="Traditional Arabic" w:cs="Traditional Arabic" w:hint="cs"/>
          <w:b/>
          <w:bCs/>
          <w:sz w:val="28"/>
          <w:szCs w:val="28"/>
          <w:rtl/>
        </w:rPr>
        <w:t>2</w:t>
      </w:r>
      <w:r w:rsidRPr="0013680C">
        <w:rPr>
          <w:rFonts w:ascii="Traditional Arabic" w:eastAsiaTheme="majorEastAsia" w:hAnsi="Traditional Arabic" w:cs="Traditional Arabic"/>
          <w:b/>
          <w:bCs/>
          <w:sz w:val="28"/>
          <w:szCs w:val="28"/>
          <w:rtl/>
        </w:rPr>
        <w:t>.</w:t>
      </w:r>
      <w:r w:rsidR="006D63D8">
        <w:rPr>
          <w:rFonts w:ascii="Traditional Arabic" w:eastAsiaTheme="majorEastAsia" w:hAnsi="Traditional Arabic" w:cs="Traditional Arabic" w:hint="cs"/>
          <w:b/>
          <w:bCs/>
          <w:sz w:val="28"/>
          <w:szCs w:val="28"/>
          <w:rtl/>
        </w:rPr>
        <w:t>3</w:t>
      </w:r>
      <w:r w:rsidRPr="0013680C">
        <w:rPr>
          <w:rFonts w:ascii="Traditional Arabic" w:eastAsiaTheme="majorEastAsia" w:hAnsi="Traditional Arabic" w:cs="Traditional Arabic"/>
          <w:b/>
          <w:bCs/>
          <w:sz w:val="28"/>
          <w:szCs w:val="28"/>
          <w:rtl/>
        </w:rPr>
        <w:t xml:space="preserve">): </w:t>
      </w:r>
      <w:r w:rsidR="006D63D8">
        <w:rPr>
          <w:rFonts w:ascii="Traditional Arabic" w:eastAsiaTheme="majorEastAsia" w:hAnsi="Traditional Arabic" w:cs="Traditional Arabic" w:hint="cs"/>
          <w:b/>
          <w:bCs/>
          <w:sz w:val="28"/>
          <w:szCs w:val="28"/>
          <w:rtl/>
        </w:rPr>
        <w:t xml:space="preserve">خطة </w:t>
      </w:r>
      <w:r w:rsidRPr="006D63D8">
        <w:rPr>
          <w:rFonts w:ascii="Traditional Arabic" w:eastAsiaTheme="majorEastAsia" w:hAnsi="Traditional Arabic" w:cs="Traditional Arabic"/>
          <w:b/>
          <w:bCs/>
          <w:sz w:val="28"/>
          <w:szCs w:val="28"/>
          <w:rtl/>
        </w:rPr>
        <w:t>القياس الإجرائية</w:t>
      </w:r>
      <w:r w:rsidRPr="006D63D8">
        <w:rPr>
          <w:rFonts w:ascii="Traditional Arabic" w:eastAsiaTheme="majorEastAsia" w:hAnsi="Traditional Arabic" w:cs="Traditional Arabic" w:hint="cs"/>
          <w:b/>
          <w:bCs/>
          <w:sz w:val="28"/>
          <w:szCs w:val="28"/>
          <w:rtl/>
        </w:rPr>
        <w:t xml:space="preserve"> للمتغيرات وأبعادها</w:t>
      </w:r>
    </w:p>
    <w:tbl>
      <w:tblPr>
        <w:tblStyle w:val="TableGrid1"/>
        <w:tblW w:w="0" w:type="auto"/>
        <w:tblLook w:val="04A0" w:firstRow="1" w:lastRow="0" w:firstColumn="1" w:lastColumn="0" w:noHBand="0" w:noVBand="1"/>
      </w:tblPr>
      <w:tblGrid>
        <w:gridCol w:w="3277"/>
        <w:gridCol w:w="1363"/>
        <w:gridCol w:w="1192"/>
        <w:gridCol w:w="1722"/>
        <w:gridCol w:w="1223"/>
      </w:tblGrid>
      <w:tr w:rsidR="0013680C" w:rsidRPr="001C5D93" w14:paraId="0F18CEDB" w14:textId="77777777" w:rsidTr="0013680C">
        <w:tc>
          <w:tcPr>
            <w:tcW w:w="0" w:type="auto"/>
            <w:hideMark/>
          </w:tcPr>
          <w:p w14:paraId="28D7E1D4" w14:textId="77777777" w:rsidR="0013680C" w:rsidRPr="0013680C" w:rsidRDefault="0013680C" w:rsidP="0013680C">
            <w:pPr>
              <w:pStyle w:val="ab"/>
              <w:bidi/>
              <w:spacing w:after="120"/>
              <w:jc w:val="center"/>
              <w:rPr>
                <w:rFonts w:ascii="Traditional Arabic" w:eastAsiaTheme="majorEastAsia" w:hAnsi="Traditional Arabic" w:cs="Traditional Arabic"/>
                <w:b/>
                <w:bCs/>
                <w:sz w:val="28"/>
                <w:szCs w:val="28"/>
              </w:rPr>
            </w:pPr>
            <w:r w:rsidRPr="0013680C">
              <w:rPr>
                <w:rFonts w:ascii="Traditional Arabic" w:eastAsiaTheme="majorEastAsia" w:hAnsi="Traditional Arabic" w:cs="Traditional Arabic"/>
                <w:b/>
                <w:bCs/>
                <w:sz w:val="28"/>
                <w:szCs w:val="28"/>
                <w:rtl/>
              </w:rPr>
              <w:t>ملاحظات التكييف للسياق السعودي</w:t>
            </w:r>
          </w:p>
        </w:tc>
        <w:tc>
          <w:tcPr>
            <w:tcW w:w="1363" w:type="dxa"/>
            <w:hideMark/>
          </w:tcPr>
          <w:p w14:paraId="7CFF4E5D" w14:textId="79446BFF" w:rsidR="0013680C" w:rsidRPr="0013680C" w:rsidRDefault="0013680C" w:rsidP="0013680C">
            <w:pPr>
              <w:pStyle w:val="ab"/>
              <w:bidi/>
              <w:spacing w:after="120"/>
              <w:jc w:val="center"/>
              <w:rPr>
                <w:rFonts w:ascii="Traditional Arabic" w:eastAsiaTheme="majorEastAsia" w:hAnsi="Traditional Arabic" w:cs="Traditional Arabic"/>
                <w:b/>
                <w:bCs/>
                <w:sz w:val="28"/>
                <w:szCs w:val="28"/>
              </w:rPr>
            </w:pPr>
            <w:r w:rsidRPr="006D63D8">
              <w:rPr>
                <w:rFonts w:ascii="Traditional Arabic" w:eastAsiaTheme="majorEastAsia" w:hAnsi="Traditional Arabic" w:cs="Traditional Arabic" w:hint="cs"/>
                <w:b/>
                <w:bCs/>
                <w:sz w:val="28"/>
                <w:szCs w:val="28"/>
                <w:rtl/>
              </w:rPr>
              <w:t>مصدر القياس</w:t>
            </w:r>
          </w:p>
        </w:tc>
        <w:tc>
          <w:tcPr>
            <w:tcW w:w="1192" w:type="dxa"/>
            <w:hideMark/>
          </w:tcPr>
          <w:p w14:paraId="696E4982" w14:textId="7FEE1963" w:rsidR="0013680C" w:rsidRPr="0013680C" w:rsidRDefault="0013680C" w:rsidP="0013680C">
            <w:pPr>
              <w:pStyle w:val="ab"/>
              <w:bidi/>
              <w:spacing w:after="120"/>
              <w:jc w:val="center"/>
              <w:rPr>
                <w:rFonts w:ascii="Traditional Arabic" w:eastAsiaTheme="majorEastAsia" w:hAnsi="Traditional Arabic" w:cs="Traditional Arabic" w:hint="cs"/>
                <w:b/>
                <w:bCs/>
                <w:sz w:val="28"/>
                <w:szCs w:val="28"/>
                <w:rtl/>
              </w:rPr>
            </w:pPr>
            <w:r w:rsidRPr="0013680C">
              <w:rPr>
                <w:rFonts w:ascii="Traditional Arabic" w:eastAsiaTheme="majorEastAsia" w:hAnsi="Traditional Arabic" w:cs="Traditional Arabic"/>
                <w:b/>
                <w:bCs/>
                <w:sz w:val="28"/>
                <w:szCs w:val="28"/>
                <w:rtl/>
              </w:rPr>
              <w:t xml:space="preserve">عدد العبارات </w:t>
            </w:r>
          </w:p>
        </w:tc>
        <w:tc>
          <w:tcPr>
            <w:tcW w:w="1722" w:type="dxa"/>
            <w:hideMark/>
          </w:tcPr>
          <w:p w14:paraId="4706E6A7" w14:textId="77777777" w:rsidR="0013680C" w:rsidRPr="0013680C" w:rsidRDefault="0013680C" w:rsidP="0013680C">
            <w:pPr>
              <w:pStyle w:val="ab"/>
              <w:bidi/>
              <w:spacing w:after="120"/>
              <w:jc w:val="center"/>
              <w:rPr>
                <w:rFonts w:ascii="Traditional Arabic" w:eastAsiaTheme="majorEastAsia" w:hAnsi="Traditional Arabic" w:cs="Traditional Arabic"/>
                <w:b/>
                <w:bCs/>
                <w:sz w:val="28"/>
                <w:szCs w:val="28"/>
              </w:rPr>
            </w:pPr>
            <w:r w:rsidRPr="0013680C">
              <w:rPr>
                <w:rFonts w:ascii="Traditional Arabic" w:eastAsiaTheme="majorEastAsia" w:hAnsi="Traditional Arabic" w:cs="Traditional Arabic"/>
                <w:b/>
                <w:bCs/>
                <w:sz w:val="28"/>
                <w:szCs w:val="28"/>
                <w:rtl/>
              </w:rPr>
              <w:t>البُعد</w:t>
            </w:r>
          </w:p>
        </w:tc>
        <w:tc>
          <w:tcPr>
            <w:tcW w:w="0" w:type="auto"/>
            <w:hideMark/>
          </w:tcPr>
          <w:p w14:paraId="6ECB7A1E" w14:textId="77777777" w:rsidR="0013680C" w:rsidRPr="0013680C" w:rsidRDefault="0013680C" w:rsidP="0013680C">
            <w:pPr>
              <w:pStyle w:val="ab"/>
              <w:bidi/>
              <w:spacing w:after="120"/>
              <w:jc w:val="center"/>
              <w:rPr>
                <w:rFonts w:ascii="Traditional Arabic" w:eastAsiaTheme="majorEastAsia" w:hAnsi="Traditional Arabic" w:cs="Traditional Arabic"/>
                <w:b/>
                <w:bCs/>
                <w:sz w:val="32"/>
                <w:szCs w:val="32"/>
              </w:rPr>
            </w:pPr>
            <w:r w:rsidRPr="0013680C">
              <w:rPr>
                <w:rFonts w:ascii="Traditional Arabic" w:eastAsiaTheme="majorEastAsia" w:hAnsi="Traditional Arabic" w:cs="Traditional Arabic"/>
                <w:b/>
                <w:bCs/>
                <w:sz w:val="32"/>
                <w:szCs w:val="32"/>
                <w:rtl/>
              </w:rPr>
              <w:t>المتغير</w:t>
            </w:r>
          </w:p>
        </w:tc>
      </w:tr>
      <w:tr w:rsidR="0013680C" w:rsidRPr="001C5D93" w14:paraId="059E5210" w14:textId="77777777" w:rsidTr="0013680C">
        <w:tc>
          <w:tcPr>
            <w:tcW w:w="0" w:type="auto"/>
            <w:hideMark/>
          </w:tcPr>
          <w:p w14:paraId="45C46812"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تم تعديل صياغات العبارات لتناسب الهيكل الإداري في مستشفيات وزارة الصحة السعودية، مع التركيز على وضوح التدرج الوظيفي وآليات التنسيق بين الأقسام في مستشفى الملك فهد المركزي بالباحة</w:t>
            </w:r>
            <w:r w:rsidRPr="0013680C">
              <w:rPr>
                <w:rFonts w:ascii="Traditional Arabic" w:eastAsiaTheme="majorEastAsia" w:hAnsi="Traditional Arabic" w:cs="Traditional Arabic"/>
                <w:sz w:val="28"/>
                <w:szCs w:val="28"/>
              </w:rPr>
              <w:t>.</w:t>
            </w:r>
          </w:p>
        </w:tc>
        <w:tc>
          <w:tcPr>
            <w:tcW w:w="1363" w:type="dxa"/>
            <w:hideMark/>
          </w:tcPr>
          <w:p w14:paraId="1AD96371" w14:textId="77777777" w:rsidR="0013680C" w:rsidRPr="0013680C" w:rsidRDefault="0013680C" w:rsidP="0013680C">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سليمان</w:t>
            </w:r>
            <w:r w:rsidRPr="0013680C">
              <w:rPr>
                <w:rFonts w:ascii="Traditional Arabic" w:eastAsiaTheme="majorEastAsia" w:hAnsi="Traditional Arabic" w:cs="Traditional Arabic"/>
                <w:sz w:val="28"/>
                <w:szCs w:val="28"/>
              </w:rPr>
              <w:t xml:space="preserve"> (2021)</w:t>
            </w:r>
          </w:p>
        </w:tc>
        <w:tc>
          <w:tcPr>
            <w:tcW w:w="1192" w:type="dxa"/>
            <w:hideMark/>
          </w:tcPr>
          <w:p w14:paraId="20C8A4EB" w14:textId="77777777" w:rsidR="0013680C" w:rsidRPr="0013680C" w:rsidRDefault="0013680C" w:rsidP="00254B75">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6</w:t>
            </w:r>
          </w:p>
        </w:tc>
        <w:tc>
          <w:tcPr>
            <w:tcW w:w="1722" w:type="dxa"/>
            <w:hideMark/>
          </w:tcPr>
          <w:p w14:paraId="4C6B8E0F" w14:textId="4EECCB31"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الهيكل التنظيمي</w:t>
            </w:r>
          </w:p>
        </w:tc>
        <w:tc>
          <w:tcPr>
            <w:tcW w:w="0" w:type="auto"/>
            <w:vMerge w:val="restart"/>
            <w:hideMark/>
          </w:tcPr>
          <w:p w14:paraId="0A3BBA43" w14:textId="77777777" w:rsidR="0013680C" w:rsidRPr="001C5D93" w:rsidRDefault="0013680C" w:rsidP="0013680C">
            <w:pPr>
              <w:pStyle w:val="ab"/>
              <w:bidi/>
              <w:spacing w:after="120"/>
              <w:jc w:val="center"/>
              <w:rPr>
                <w:rFonts w:ascii="Traditional Arabic" w:eastAsiaTheme="majorEastAsia" w:hAnsi="Traditional Arabic" w:cs="Traditional Arabic"/>
                <w:b/>
                <w:bCs/>
                <w:sz w:val="32"/>
                <w:szCs w:val="32"/>
              </w:rPr>
            </w:pPr>
            <w:r w:rsidRPr="0013680C">
              <w:rPr>
                <w:rFonts w:ascii="Traditional Arabic" w:eastAsiaTheme="majorEastAsia" w:hAnsi="Traditional Arabic" w:cs="Traditional Arabic"/>
                <w:b/>
                <w:bCs/>
                <w:sz w:val="32"/>
                <w:szCs w:val="32"/>
                <w:rtl/>
              </w:rPr>
              <w:t>التطوير التنظيمي</w:t>
            </w:r>
          </w:p>
          <w:p w14:paraId="5535A240" w14:textId="6757B0AC" w:rsidR="0013680C" w:rsidRPr="0013680C" w:rsidRDefault="0013680C" w:rsidP="0013680C">
            <w:pPr>
              <w:pStyle w:val="ab"/>
              <w:bidi/>
              <w:spacing w:after="120"/>
              <w:jc w:val="both"/>
              <w:rPr>
                <w:rFonts w:ascii="Traditional Arabic" w:eastAsiaTheme="majorEastAsia" w:hAnsi="Traditional Arabic" w:cs="Traditional Arabic"/>
                <w:sz w:val="32"/>
                <w:szCs w:val="32"/>
              </w:rPr>
            </w:pPr>
          </w:p>
        </w:tc>
      </w:tr>
      <w:tr w:rsidR="0013680C" w:rsidRPr="001C5D93" w14:paraId="62C7DBDB" w14:textId="77777777" w:rsidTr="0013680C">
        <w:tc>
          <w:tcPr>
            <w:tcW w:w="0" w:type="auto"/>
            <w:hideMark/>
          </w:tcPr>
          <w:p w14:paraId="25BED700"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تم تكييف العبارات لتعكس إجراءات تحسين العمليات في المستشفيات السعودية، مثل تبسيط مسار المريض، وتقليل الإجراءات الورقية، ورقمنة الموافقات الإدارية بما يتوافق مع رؤية السعودية 2030</w:t>
            </w:r>
            <w:r w:rsidRPr="0013680C">
              <w:rPr>
                <w:rFonts w:ascii="Traditional Arabic" w:eastAsiaTheme="majorEastAsia" w:hAnsi="Traditional Arabic" w:cs="Traditional Arabic"/>
                <w:sz w:val="28"/>
                <w:szCs w:val="28"/>
              </w:rPr>
              <w:t>.</w:t>
            </w:r>
          </w:p>
        </w:tc>
        <w:tc>
          <w:tcPr>
            <w:tcW w:w="1363" w:type="dxa"/>
            <w:hideMark/>
          </w:tcPr>
          <w:p w14:paraId="254AF4C4" w14:textId="77777777" w:rsidR="0013680C" w:rsidRPr="0013680C" w:rsidRDefault="0013680C" w:rsidP="0013680C">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إبراهيم والمحمدي</w:t>
            </w:r>
            <w:r w:rsidRPr="0013680C">
              <w:rPr>
                <w:rFonts w:ascii="Traditional Arabic" w:eastAsiaTheme="majorEastAsia" w:hAnsi="Traditional Arabic" w:cs="Traditional Arabic"/>
                <w:sz w:val="28"/>
                <w:szCs w:val="28"/>
              </w:rPr>
              <w:t xml:space="preserve"> (2024)</w:t>
            </w:r>
          </w:p>
        </w:tc>
        <w:tc>
          <w:tcPr>
            <w:tcW w:w="1192" w:type="dxa"/>
            <w:hideMark/>
          </w:tcPr>
          <w:p w14:paraId="479CCDE8" w14:textId="77777777" w:rsidR="0013680C" w:rsidRPr="0013680C" w:rsidRDefault="0013680C" w:rsidP="00254B75">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6</w:t>
            </w:r>
          </w:p>
        </w:tc>
        <w:tc>
          <w:tcPr>
            <w:tcW w:w="1722" w:type="dxa"/>
            <w:hideMark/>
          </w:tcPr>
          <w:p w14:paraId="65941ACA" w14:textId="50F0061A"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إعادة هندسة العمليات</w:t>
            </w:r>
          </w:p>
        </w:tc>
        <w:tc>
          <w:tcPr>
            <w:tcW w:w="0" w:type="auto"/>
            <w:vMerge/>
            <w:hideMark/>
          </w:tcPr>
          <w:p w14:paraId="7DD4AB98" w14:textId="41CDAB91" w:rsidR="0013680C" w:rsidRPr="0013680C" w:rsidRDefault="0013680C" w:rsidP="0013680C">
            <w:pPr>
              <w:pStyle w:val="ab"/>
              <w:bidi/>
              <w:spacing w:after="120"/>
              <w:jc w:val="both"/>
              <w:rPr>
                <w:rFonts w:ascii="Traditional Arabic" w:eastAsiaTheme="majorEastAsia" w:hAnsi="Traditional Arabic" w:cs="Traditional Arabic"/>
                <w:sz w:val="32"/>
                <w:szCs w:val="32"/>
              </w:rPr>
            </w:pPr>
          </w:p>
        </w:tc>
      </w:tr>
      <w:tr w:rsidR="0013680C" w:rsidRPr="001C5D93" w14:paraId="490AF8D4" w14:textId="77777777" w:rsidTr="0013680C">
        <w:tc>
          <w:tcPr>
            <w:tcW w:w="0" w:type="auto"/>
            <w:hideMark/>
          </w:tcPr>
          <w:p w14:paraId="284A414B"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تم تعديل العبارات لتناسب الثقافة التنظيمية السعودية في القطاع الصحي، مع مراعاة الخصوصية الدينية والاجتماعية، والتركيز على تفويض الصلاحيات للممرضين والأطباء السعوديين في حدود الأوصاف الوظيفية</w:t>
            </w:r>
            <w:r w:rsidRPr="0013680C">
              <w:rPr>
                <w:rFonts w:ascii="Traditional Arabic" w:eastAsiaTheme="majorEastAsia" w:hAnsi="Traditional Arabic" w:cs="Traditional Arabic"/>
                <w:sz w:val="28"/>
                <w:szCs w:val="28"/>
              </w:rPr>
              <w:t>.</w:t>
            </w:r>
          </w:p>
        </w:tc>
        <w:tc>
          <w:tcPr>
            <w:tcW w:w="1363" w:type="dxa"/>
            <w:hideMark/>
          </w:tcPr>
          <w:p w14:paraId="43B7A0D4"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Spreitzer (1995)</w:t>
            </w:r>
          </w:p>
        </w:tc>
        <w:tc>
          <w:tcPr>
            <w:tcW w:w="1192" w:type="dxa"/>
            <w:hideMark/>
          </w:tcPr>
          <w:p w14:paraId="76A1C2E6" w14:textId="77777777" w:rsidR="0013680C" w:rsidRPr="0013680C" w:rsidRDefault="0013680C" w:rsidP="00254B75">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6</w:t>
            </w:r>
          </w:p>
        </w:tc>
        <w:tc>
          <w:tcPr>
            <w:tcW w:w="1722" w:type="dxa"/>
            <w:hideMark/>
          </w:tcPr>
          <w:p w14:paraId="36BEE23F" w14:textId="7BEBF4F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6D63D8">
              <w:rPr>
                <w:rFonts w:ascii="Traditional Arabic" w:eastAsiaTheme="majorEastAsia" w:hAnsi="Traditional Arabic" w:cs="Traditional Arabic" w:hint="cs"/>
                <w:sz w:val="28"/>
                <w:szCs w:val="28"/>
                <w:rtl/>
              </w:rPr>
              <w:t>ت</w:t>
            </w:r>
            <w:r w:rsidRPr="0013680C">
              <w:rPr>
                <w:rFonts w:ascii="Traditional Arabic" w:eastAsiaTheme="majorEastAsia" w:hAnsi="Traditional Arabic" w:cs="Traditional Arabic"/>
                <w:sz w:val="28"/>
                <w:szCs w:val="28"/>
                <w:rtl/>
              </w:rPr>
              <w:t>مكين العاملين</w:t>
            </w:r>
          </w:p>
        </w:tc>
        <w:tc>
          <w:tcPr>
            <w:tcW w:w="0" w:type="auto"/>
            <w:vMerge/>
            <w:hideMark/>
          </w:tcPr>
          <w:p w14:paraId="53FA6BEB" w14:textId="183C1E35" w:rsidR="0013680C" w:rsidRPr="0013680C" w:rsidRDefault="0013680C" w:rsidP="0013680C">
            <w:pPr>
              <w:pStyle w:val="ab"/>
              <w:bidi/>
              <w:spacing w:after="120"/>
              <w:jc w:val="both"/>
              <w:rPr>
                <w:rFonts w:ascii="Traditional Arabic" w:eastAsiaTheme="majorEastAsia" w:hAnsi="Traditional Arabic" w:cs="Traditional Arabic"/>
                <w:b/>
                <w:bCs/>
                <w:sz w:val="32"/>
                <w:szCs w:val="32"/>
              </w:rPr>
            </w:pPr>
          </w:p>
        </w:tc>
      </w:tr>
      <w:tr w:rsidR="0013680C" w:rsidRPr="001C5D93" w14:paraId="4F70AF48" w14:textId="77777777" w:rsidTr="0013680C">
        <w:tc>
          <w:tcPr>
            <w:tcW w:w="0" w:type="auto"/>
            <w:hideMark/>
          </w:tcPr>
          <w:p w14:paraId="44F8AA6B"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تم تكييف العبارات لقياس مدى توفر واستخدام أنظمة دعم القرار (مثل تنبيهات التفاعلات الدوائية، والتذكيرات السريرية) في مستشفى الملك فهد المركزي، مع الأخذ في الاعتبار محدودية بعض الأنظمة في المستشفيات الحكومية السعودية</w:t>
            </w:r>
            <w:r w:rsidRPr="0013680C">
              <w:rPr>
                <w:rFonts w:ascii="Traditional Arabic" w:eastAsiaTheme="majorEastAsia" w:hAnsi="Traditional Arabic" w:cs="Traditional Arabic"/>
                <w:sz w:val="28"/>
                <w:szCs w:val="28"/>
              </w:rPr>
              <w:t>.</w:t>
            </w:r>
          </w:p>
        </w:tc>
        <w:tc>
          <w:tcPr>
            <w:tcW w:w="1363" w:type="dxa"/>
            <w:hideMark/>
          </w:tcPr>
          <w:p w14:paraId="12AE96B4" w14:textId="77777777" w:rsidR="0013680C" w:rsidRPr="0013680C" w:rsidRDefault="0013680C" w:rsidP="0013680C">
            <w:pPr>
              <w:pStyle w:val="ab"/>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Holden &amp; Karsh (2010)</w:t>
            </w:r>
          </w:p>
        </w:tc>
        <w:tc>
          <w:tcPr>
            <w:tcW w:w="1192" w:type="dxa"/>
            <w:hideMark/>
          </w:tcPr>
          <w:p w14:paraId="4ED823F9" w14:textId="77777777" w:rsidR="0013680C" w:rsidRPr="0013680C" w:rsidRDefault="0013680C" w:rsidP="00254B75">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5</w:t>
            </w:r>
          </w:p>
        </w:tc>
        <w:tc>
          <w:tcPr>
            <w:tcW w:w="1722" w:type="dxa"/>
            <w:hideMark/>
          </w:tcPr>
          <w:p w14:paraId="54E8E438" w14:textId="26219F18" w:rsidR="0013680C" w:rsidRPr="0013680C" w:rsidRDefault="0013680C" w:rsidP="0013680C">
            <w:pPr>
              <w:pStyle w:val="ab"/>
              <w:bidi/>
              <w:spacing w:after="120"/>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أنظمة دعم القرار السريري</w:t>
            </w:r>
          </w:p>
        </w:tc>
        <w:tc>
          <w:tcPr>
            <w:tcW w:w="0" w:type="auto"/>
            <w:vMerge w:val="restart"/>
            <w:hideMark/>
          </w:tcPr>
          <w:p w14:paraId="59DDE084" w14:textId="77777777" w:rsidR="0013680C" w:rsidRPr="001C5D93" w:rsidRDefault="0013680C" w:rsidP="0013680C">
            <w:pPr>
              <w:pStyle w:val="ab"/>
              <w:bidi/>
              <w:spacing w:after="120"/>
              <w:jc w:val="center"/>
              <w:rPr>
                <w:rFonts w:ascii="Traditional Arabic" w:eastAsiaTheme="majorEastAsia" w:hAnsi="Traditional Arabic" w:cs="Traditional Arabic"/>
                <w:b/>
                <w:bCs/>
                <w:sz w:val="32"/>
                <w:szCs w:val="32"/>
              </w:rPr>
            </w:pPr>
            <w:r w:rsidRPr="0013680C">
              <w:rPr>
                <w:rFonts w:ascii="Traditional Arabic" w:eastAsiaTheme="majorEastAsia" w:hAnsi="Traditional Arabic" w:cs="Traditional Arabic"/>
                <w:b/>
                <w:bCs/>
                <w:sz w:val="32"/>
                <w:szCs w:val="32"/>
                <w:rtl/>
              </w:rPr>
              <w:t>التكنولوجيا الذكية</w:t>
            </w:r>
          </w:p>
          <w:p w14:paraId="05880D3E" w14:textId="2B12B9B6" w:rsidR="0013680C" w:rsidRPr="0013680C" w:rsidRDefault="0013680C" w:rsidP="0013680C">
            <w:pPr>
              <w:pStyle w:val="ab"/>
              <w:bidi/>
              <w:spacing w:after="120"/>
              <w:jc w:val="both"/>
              <w:rPr>
                <w:rFonts w:ascii="Traditional Arabic" w:eastAsiaTheme="majorEastAsia" w:hAnsi="Traditional Arabic" w:cs="Traditional Arabic"/>
                <w:b/>
                <w:bCs/>
                <w:sz w:val="32"/>
                <w:szCs w:val="32"/>
              </w:rPr>
            </w:pPr>
          </w:p>
        </w:tc>
      </w:tr>
      <w:tr w:rsidR="0013680C" w:rsidRPr="001C5D93" w14:paraId="102B9757" w14:textId="77777777" w:rsidTr="0013680C">
        <w:tc>
          <w:tcPr>
            <w:tcW w:w="0" w:type="auto"/>
            <w:hideMark/>
          </w:tcPr>
          <w:p w14:paraId="310139FE"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تم تعديل العبارات لتناسب أنظمة المراقبة المستخدمة في أقسام الطوارئ والعناية المركزة بالمستشفى، مثل أنظمة مراقبة العلامات الحيوية، وأنظمة الإنذار المبكر لتفشي العدوى</w:t>
            </w:r>
            <w:r w:rsidRPr="0013680C">
              <w:rPr>
                <w:rFonts w:ascii="Traditional Arabic" w:eastAsiaTheme="majorEastAsia" w:hAnsi="Traditional Arabic" w:cs="Traditional Arabic"/>
                <w:sz w:val="28"/>
                <w:szCs w:val="28"/>
              </w:rPr>
              <w:t>.</w:t>
            </w:r>
          </w:p>
        </w:tc>
        <w:tc>
          <w:tcPr>
            <w:tcW w:w="1363" w:type="dxa"/>
            <w:hideMark/>
          </w:tcPr>
          <w:p w14:paraId="171AA123" w14:textId="77777777" w:rsidR="0013680C" w:rsidRPr="0013680C" w:rsidRDefault="0013680C" w:rsidP="0013680C">
            <w:pPr>
              <w:pStyle w:val="ab"/>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Venkatesh et al. (2003)</w:t>
            </w:r>
          </w:p>
        </w:tc>
        <w:tc>
          <w:tcPr>
            <w:tcW w:w="1192" w:type="dxa"/>
            <w:hideMark/>
          </w:tcPr>
          <w:p w14:paraId="73A489B6" w14:textId="77777777" w:rsidR="0013680C" w:rsidRPr="0013680C" w:rsidRDefault="0013680C" w:rsidP="00254B75">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5</w:t>
            </w:r>
          </w:p>
        </w:tc>
        <w:tc>
          <w:tcPr>
            <w:tcW w:w="1722" w:type="dxa"/>
            <w:hideMark/>
          </w:tcPr>
          <w:p w14:paraId="0A440EB2" w14:textId="271705D9" w:rsidR="0013680C" w:rsidRPr="0013680C" w:rsidRDefault="0013680C" w:rsidP="0013680C">
            <w:pPr>
              <w:pStyle w:val="ab"/>
              <w:bidi/>
              <w:spacing w:after="120"/>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أنظمة الإنذار المبكر والمراقبة</w:t>
            </w:r>
          </w:p>
        </w:tc>
        <w:tc>
          <w:tcPr>
            <w:tcW w:w="0" w:type="auto"/>
            <w:vMerge/>
            <w:hideMark/>
          </w:tcPr>
          <w:p w14:paraId="6FF474A3" w14:textId="387ACB81" w:rsidR="0013680C" w:rsidRPr="0013680C" w:rsidRDefault="0013680C" w:rsidP="0013680C">
            <w:pPr>
              <w:pStyle w:val="ab"/>
              <w:bidi/>
              <w:spacing w:after="120"/>
              <w:jc w:val="both"/>
              <w:rPr>
                <w:rFonts w:ascii="Traditional Arabic" w:eastAsiaTheme="majorEastAsia" w:hAnsi="Traditional Arabic" w:cs="Traditional Arabic"/>
                <w:sz w:val="32"/>
                <w:szCs w:val="32"/>
              </w:rPr>
            </w:pPr>
          </w:p>
        </w:tc>
      </w:tr>
      <w:tr w:rsidR="0013680C" w:rsidRPr="001C5D93" w14:paraId="09A45DDC" w14:textId="77777777" w:rsidTr="0013680C">
        <w:tc>
          <w:tcPr>
            <w:tcW w:w="0" w:type="auto"/>
            <w:hideMark/>
          </w:tcPr>
          <w:p w14:paraId="73599D79"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lastRenderedPageBreak/>
              <w:t>تم تكييف العبارات لقياس مدى تكامل البيانات بين السجلات الإلكترونية والأقسام المختلفة في المستشفى، وقدرة النظام على إنتاج تقارير تنبؤية (مثل توقع أعداد المراجعين)، مع مراعاة واقع التحول الرقمي في القطاع الصحي السعودي</w:t>
            </w:r>
            <w:r w:rsidRPr="0013680C">
              <w:rPr>
                <w:rFonts w:ascii="Traditional Arabic" w:eastAsiaTheme="majorEastAsia" w:hAnsi="Traditional Arabic" w:cs="Traditional Arabic"/>
                <w:sz w:val="28"/>
                <w:szCs w:val="28"/>
              </w:rPr>
              <w:t>.</w:t>
            </w:r>
          </w:p>
        </w:tc>
        <w:tc>
          <w:tcPr>
            <w:tcW w:w="1363" w:type="dxa"/>
            <w:hideMark/>
          </w:tcPr>
          <w:p w14:paraId="4FFB25FD" w14:textId="77777777" w:rsidR="0013680C" w:rsidRPr="0013680C" w:rsidRDefault="0013680C" w:rsidP="0013680C">
            <w:pPr>
              <w:pStyle w:val="ab"/>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DeLone &amp; McLean (2003)</w:t>
            </w:r>
          </w:p>
        </w:tc>
        <w:tc>
          <w:tcPr>
            <w:tcW w:w="1192" w:type="dxa"/>
            <w:hideMark/>
          </w:tcPr>
          <w:p w14:paraId="70ED3EA3" w14:textId="77777777" w:rsidR="0013680C" w:rsidRPr="0013680C" w:rsidRDefault="0013680C" w:rsidP="00254B75">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5</w:t>
            </w:r>
          </w:p>
        </w:tc>
        <w:tc>
          <w:tcPr>
            <w:tcW w:w="1722" w:type="dxa"/>
            <w:hideMark/>
          </w:tcPr>
          <w:p w14:paraId="5888EA5A" w14:textId="1AB4D9DF" w:rsidR="0013680C" w:rsidRPr="0013680C" w:rsidRDefault="0013680C" w:rsidP="0013680C">
            <w:pPr>
              <w:pStyle w:val="ab"/>
              <w:bidi/>
              <w:spacing w:after="120"/>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أنظمة التحليلات التنبؤية وتكامل البيانات</w:t>
            </w:r>
          </w:p>
        </w:tc>
        <w:tc>
          <w:tcPr>
            <w:tcW w:w="0" w:type="auto"/>
            <w:vMerge/>
            <w:hideMark/>
          </w:tcPr>
          <w:p w14:paraId="17935158" w14:textId="023B1861" w:rsidR="0013680C" w:rsidRPr="0013680C" w:rsidRDefault="0013680C" w:rsidP="0013680C">
            <w:pPr>
              <w:pStyle w:val="ab"/>
              <w:bidi/>
              <w:spacing w:after="120"/>
              <w:jc w:val="both"/>
              <w:rPr>
                <w:rFonts w:ascii="Traditional Arabic" w:eastAsiaTheme="majorEastAsia" w:hAnsi="Traditional Arabic" w:cs="Traditional Arabic"/>
                <w:sz w:val="32"/>
                <w:szCs w:val="32"/>
              </w:rPr>
            </w:pPr>
          </w:p>
        </w:tc>
      </w:tr>
      <w:tr w:rsidR="0013680C" w:rsidRPr="001C5D93" w14:paraId="0F68DB77" w14:textId="77777777" w:rsidTr="0013680C">
        <w:tc>
          <w:tcPr>
            <w:tcW w:w="0" w:type="auto"/>
            <w:hideMark/>
          </w:tcPr>
          <w:p w14:paraId="01B17FF1" w14:textId="7B4E0A3E"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تم تعديل العبارات لتعكس خطط الطوارئ وإدارة الأزمات المعتمدة في مستشفيات المملكة، مثل خطط مواجهة الجوائح، والكوارث، وأخطاء الأدوية، بما يتوافق مع معايير المركز السعودي لاعتماد المنشآت الصحي</w:t>
            </w:r>
            <w:r w:rsidRPr="0013680C">
              <w:rPr>
                <w:rFonts w:ascii="Traditional Arabic" w:eastAsiaTheme="majorEastAsia" w:hAnsi="Traditional Arabic" w:cs="Traditional Arabic"/>
                <w:sz w:val="28"/>
                <w:szCs w:val="28"/>
              </w:rPr>
              <w:t xml:space="preserve"> </w:t>
            </w:r>
            <w:r w:rsidRPr="006D63D8">
              <w:rPr>
                <w:rFonts w:ascii="Traditional Arabic" w:eastAsiaTheme="majorEastAsia" w:hAnsi="Traditional Arabic" w:cs="Traditional Arabic"/>
                <w:sz w:val="28"/>
                <w:szCs w:val="28"/>
              </w:rPr>
              <w:t>.</w:t>
            </w:r>
            <w:r w:rsidRPr="0013680C">
              <w:rPr>
                <w:rFonts w:ascii="Traditional Arabic" w:eastAsiaTheme="majorEastAsia" w:hAnsi="Traditional Arabic" w:cs="Traditional Arabic"/>
                <w:sz w:val="28"/>
                <w:szCs w:val="28"/>
              </w:rPr>
              <w:t>(CBAHI)</w:t>
            </w:r>
            <w:r w:rsidRPr="006D63D8">
              <w:rPr>
                <w:rFonts w:ascii="Traditional Arabic" w:eastAsiaTheme="majorEastAsia" w:hAnsi="Traditional Arabic" w:cs="Traditional Arabic" w:hint="cs"/>
                <w:sz w:val="28"/>
                <w:szCs w:val="28"/>
                <w:rtl/>
              </w:rPr>
              <w:t xml:space="preserve"> </w:t>
            </w:r>
          </w:p>
        </w:tc>
        <w:tc>
          <w:tcPr>
            <w:tcW w:w="1363" w:type="dxa"/>
            <w:hideMark/>
          </w:tcPr>
          <w:p w14:paraId="1185EAD0" w14:textId="77777777" w:rsidR="0013680C" w:rsidRPr="0013680C" w:rsidRDefault="0013680C" w:rsidP="0013680C">
            <w:pPr>
              <w:pStyle w:val="ab"/>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ISO 31000 (2018)</w:t>
            </w:r>
          </w:p>
        </w:tc>
        <w:tc>
          <w:tcPr>
            <w:tcW w:w="1192" w:type="dxa"/>
            <w:hideMark/>
          </w:tcPr>
          <w:p w14:paraId="598DF21F" w14:textId="77777777" w:rsidR="0013680C" w:rsidRPr="0013680C" w:rsidRDefault="0013680C" w:rsidP="00254B75">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6</w:t>
            </w:r>
          </w:p>
        </w:tc>
        <w:tc>
          <w:tcPr>
            <w:tcW w:w="1722" w:type="dxa"/>
            <w:hideMark/>
          </w:tcPr>
          <w:p w14:paraId="358E87D3" w14:textId="39481466"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التخطيط للمخاطر</w:t>
            </w:r>
          </w:p>
        </w:tc>
        <w:tc>
          <w:tcPr>
            <w:tcW w:w="0" w:type="auto"/>
            <w:vMerge w:val="restart"/>
            <w:hideMark/>
          </w:tcPr>
          <w:p w14:paraId="523129E4" w14:textId="77777777" w:rsidR="0013680C" w:rsidRPr="001C5D93" w:rsidRDefault="0013680C" w:rsidP="0013680C">
            <w:pPr>
              <w:pStyle w:val="ab"/>
              <w:bidi/>
              <w:spacing w:after="120"/>
              <w:jc w:val="center"/>
              <w:rPr>
                <w:rFonts w:ascii="Traditional Arabic" w:eastAsiaTheme="majorEastAsia" w:hAnsi="Traditional Arabic" w:cs="Traditional Arabic"/>
                <w:b/>
                <w:bCs/>
                <w:sz w:val="32"/>
                <w:szCs w:val="32"/>
              </w:rPr>
            </w:pPr>
            <w:r w:rsidRPr="0013680C">
              <w:rPr>
                <w:rFonts w:ascii="Traditional Arabic" w:eastAsiaTheme="majorEastAsia" w:hAnsi="Traditional Arabic" w:cs="Traditional Arabic"/>
                <w:b/>
                <w:bCs/>
                <w:sz w:val="32"/>
                <w:szCs w:val="32"/>
                <w:rtl/>
              </w:rPr>
              <w:t>إدارة المخاطر</w:t>
            </w:r>
          </w:p>
          <w:p w14:paraId="37FD6718" w14:textId="20F95D87" w:rsidR="0013680C" w:rsidRPr="0013680C" w:rsidRDefault="0013680C" w:rsidP="0013680C">
            <w:pPr>
              <w:pStyle w:val="ab"/>
              <w:bidi/>
              <w:spacing w:after="120"/>
              <w:jc w:val="both"/>
              <w:rPr>
                <w:rFonts w:ascii="Traditional Arabic" w:eastAsiaTheme="majorEastAsia" w:hAnsi="Traditional Arabic" w:cs="Traditional Arabic"/>
                <w:b/>
                <w:bCs/>
                <w:sz w:val="32"/>
                <w:szCs w:val="32"/>
              </w:rPr>
            </w:pPr>
          </w:p>
        </w:tc>
      </w:tr>
      <w:tr w:rsidR="0013680C" w:rsidRPr="001C5D93" w14:paraId="7A1AD6E2" w14:textId="77777777" w:rsidTr="0013680C">
        <w:tc>
          <w:tcPr>
            <w:tcW w:w="0" w:type="auto"/>
            <w:hideMark/>
          </w:tcPr>
          <w:p w14:paraId="44B80C3E"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تم تكييف العبارات لقياس اتجاهات الإدارة والعاملين في المستشفى تجاه المخاطر (هل يميلون إلى التجنب أم القبول أم التخفيف)، مع مراعاة ثقافة الإبلاغ عن الأخطاء الطبية في البيئة السعودية</w:t>
            </w:r>
            <w:r w:rsidRPr="0013680C">
              <w:rPr>
                <w:rFonts w:ascii="Traditional Arabic" w:eastAsiaTheme="majorEastAsia" w:hAnsi="Traditional Arabic" w:cs="Traditional Arabic"/>
                <w:sz w:val="28"/>
                <w:szCs w:val="28"/>
              </w:rPr>
              <w:t>.</w:t>
            </w:r>
          </w:p>
        </w:tc>
        <w:tc>
          <w:tcPr>
            <w:tcW w:w="1363" w:type="dxa"/>
            <w:hideMark/>
          </w:tcPr>
          <w:p w14:paraId="63BA8036" w14:textId="77777777" w:rsidR="0013680C" w:rsidRPr="0013680C" w:rsidRDefault="0013680C" w:rsidP="0013680C">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ISO 31000 (2018)</w:t>
            </w:r>
          </w:p>
        </w:tc>
        <w:tc>
          <w:tcPr>
            <w:tcW w:w="1192" w:type="dxa"/>
            <w:hideMark/>
          </w:tcPr>
          <w:p w14:paraId="04D581B8" w14:textId="77777777" w:rsidR="0013680C" w:rsidRPr="0013680C" w:rsidRDefault="0013680C" w:rsidP="00254B75">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5</w:t>
            </w:r>
          </w:p>
        </w:tc>
        <w:tc>
          <w:tcPr>
            <w:tcW w:w="1722" w:type="dxa"/>
            <w:hideMark/>
          </w:tcPr>
          <w:p w14:paraId="0DDE2B1E" w14:textId="1D435A3C"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الموقف من المخاطر</w:t>
            </w:r>
          </w:p>
        </w:tc>
        <w:tc>
          <w:tcPr>
            <w:tcW w:w="0" w:type="auto"/>
            <w:vMerge/>
            <w:hideMark/>
          </w:tcPr>
          <w:p w14:paraId="1F28C503" w14:textId="2CABB450" w:rsidR="0013680C" w:rsidRPr="0013680C" w:rsidRDefault="0013680C" w:rsidP="0013680C">
            <w:pPr>
              <w:pStyle w:val="ab"/>
              <w:bidi/>
              <w:spacing w:after="120"/>
              <w:jc w:val="both"/>
              <w:rPr>
                <w:rFonts w:ascii="Traditional Arabic" w:eastAsiaTheme="majorEastAsia" w:hAnsi="Traditional Arabic" w:cs="Traditional Arabic"/>
                <w:sz w:val="32"/>
                <w:szCs w:val="32"/>
              </w:rPr>
            </w:pPr>
          </w:p>
        </w:tc>
      </w:tr>
      <w:tr w:rsidR="0013680C" w:rsidRPr="001C5D93" w14:paraId="3317D62C" w14:textId="77777777" w:rsidTr="0013680C">
        <w:tc>
          <w:tcPr>
            <w:tcW w:w="0" w:type="auto"/>
            <w:hideMark/>
          </w:tcPr>
          <w:p w14:paraId="72B29149" w14:textId="77777777" w:rsidR="0013680C" w:rsidRPr="0013680C" w:rsidRDefault="0013680C" w:rsidP="0013680C">
            <w:pPr>
              <w:pStyle w:val="ab"/>
              <w:bidi/>
              <w:spacing w:after="120"/>
              <w:jc w:val="both"/>
              <w:rPr>
                <w:rFonts w:ascii="Traditional Arabic" w:eastAsiaTheme="majorEastAsia" w:hAnsi="Traditional Arabic" w:cs="Traditional Arabic"/>
                <w:sz w:val="32"/>
                <w:szCs w:val="32"/>
              </w:rPr>
            </w:pPr>
            <w:r w:rsidRPr="0013680C">
              <w:rPr>
                <w:rFonts w:ascii="Traditional Arabic" w:eastAsiaTheme="majorEastAsia" w:hAnsi="Traditional Arabic" w:cs="Traditional Arabic"/>
                <w:sz w:val="32"/>
                <w:szCs w:val="32"/>
                <w:rtl/>
              </w:rPr>
              <w:t>تم تعديل العبارات لتشمل الممارسات الوقائية الفعلية المطبقة في مستشفى الملك فهد المركزي، مثل بروتوكولات مكافحة العدوى، والصيانة الدورية للأجهزة، وتدريب الكوادر على السلامة، وفق معايير وزارة الصحة السعودية</w:t>
            </w:r>
            <w:r w:rsidRPr="0013680C">
              <w:rPr>
                <w:rFonts w:ascii="Traditional Arabic" w:eastAsiaTheme="majorEastAsia" w:hAnsi="Traditional Arabic" w:cs="Traditional Arabic"/>
                <w:sz w:val="32"/>
                <w:szCs w:val="32"/>
              </w:rPr>
              <w:t>.</w:t>
            </w:r>
          </w:p>
        </w:tc>
        <w:tc>
          <w:tcPr>
            <w:tcW w:w="1363" w:type="dxa"/>
            <w:hideMark/>
          </w:tcPr>
          <w:p w14:paraId="477CA105" w14:textId="77777777" w:rsidR="0013680C" w:rsidRPr="0013680C" w:rsidRDefault="0013680C" w:rsidP="0013680C">
            <w:pPr>
              <w:pStyle w:val="ab"/>
              <w:bidi/>
              <w:spacing w:after="120"/>
              <w:jc w:val="center"/>
              <w:rPr>
                <w:rFonts w:ascii="Traditional Arabic" w:eastAsiaTheme="majorEastAsia" w:hAnsi="Traditional Arabic" w:cs="Traditional Arabic"/>
                <w:sz w:val="32"/>
                <w:szCs w:val="32"/>
              </w:rPr>
            </w:pPr>
            <w:r w:rsidRPr="0013680C">
              <w:rPr>
                <w:rFonts w:ascii="Traditional Arabic" w:eastAsiaTheme="majorEastAsia" w:hAnsi="Traditional Arabic" w:cs="Traditional Arabic"/>
                <w:sz w:val="32"/>
                <w:szCs w:val="32"/>
              </w:rPr>
              <w:t>ISO 31000 (2018)</w:t>
            </w:r>
          </w:p>
        </w:tc>
        <w:tc>
          <w:tcPr>
            <w:tcW w:w="1192" w:type="dxa"/>
            <w:hideMark/>
          </w:tcPr>
          <w:p w14:paraId="133A0E44" w14:textId="77777777" w:rsidR="0013680C" w:rsidRPr="0013680C" w:rsidRDefault="0013680C" w:rsidP="00254B75">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6</w:t>
            </w:r>
          </w:p>
        </w:tc>
        <w:tc>
          <w:tcPr>
            <w:tcW w:w="1722" w:type="dxa"/>
            <w:hideMark/>
          </w:tcPr>
          <w:p w14:paraId="35420B30" w14:textId="1985CD1A" w:rsidR="0013680C" w:rsidRPr="0013680C" w:rsidRDefault="0013680C" w:rsidP="0013680C">
            <w:pPr>
              <w:pStyle w:val="ab"/>
              <w:bidi/>
              <w:spacing w:after="120"/>
              <w:jc w:val="both"/>
              <w:rPr>
                <w:rFonts w:ascii="Traditional Arabic" w:eastAsiaTheme="majorEastAsia" w:hAnsi="Traditional Arabic" w:cs="Traditional Arabic"/>
                <w:sz w:val="32"/>
                <w:szCs w:val="32"/>
              </w:rPr>
            </w:pPr>
            <w:r w:rsidRPr="0013680C">
              <w:rPr>
                <w:rFonts w:ascii="Traditional Arabic" w:eastAsiaTheme="majorEastAsia" w:hAnsi="Traditional Arabic" w:cs="Traditional Arabic"/>
                <w:sz w:val="32"/>
                <w:szCs w:val="32"/>
                <w:rtl/>
              </w:rPr>
              <w:t>الممارسات الوقائية</w:t>
            </w:r>
          </w:p>
        </w:tc>
        <w:tc>
          <w:tcPr>
            <w:tcW w:w="0" w:type="auto"/>
            <w:vMerge/>
            <w:hideMark/>
          </w:tcPr>
          <w:p w14:paraId="41B40B07" w14:textId="1FD60D84" w:rsidR="0013680C" w:rsidRPr="0013680C" w:rsidRDefault="0013680C" w:rsidP="0013680C">
            <w:pPr>
              <w:pStyle w:val="ab"/>
              <w:bidi/>
              <w:spacing w:after="120"/>
              <w:jc w:val="both"/>
              <w:rPr>
                <w:rFonts w:ascii="Traditional Arabic" w:eastAsiaTheme="majorEastAsia" w:hAnsi="Traditional Arabic" w:cs="Traditional Arabic"/>
                <w:sz w:val="32"/>
                <w:szCs w:val="32"/>
              </w:rPr>
            </w:pPr>
          </w:p>
        </w:tc>
      </w:tr>
    </w:tbl>
    <w:p w14:paraId="177E9E9B" w14:textId="77777777" w:rsidR="008A0FFA" w:rsidRDefault="008A0FFA" w:rsidP="00A02194">
      <w:pPr>
        <w:bidi/>
        <w:spacing w:after="120" w:line="240" w:lineRule="auto"/>
        <w:jc w:val="both"/>
        <w:rPr>
          <w:rFonts w:ascii="Traditional Arabic" w:hAnsi="Traditional Arabic" w:cs="Traditional Arabic"/>
          <w:b/>
          <w:bCs/>
          <w:sz w:val="32"/>
          <w:szCs w:val="32"/>
          <w:rtl/>
          <w:lang w:bidi="ar-JO"/>
        </w:rPr>
      </w:pPr>
    </w:p>
    <w:p w14:paraId="00D66C07" w14:textId="77777777" w:rsidR="00EB2FAA" w:rsidRPr="001C5D93" w:rsidRDefault="00EB2FAA" w:rsidP="00EB2FAA">
      <w:pPr>
        <w:bidi/>
        <w:spacing w:after="120" w:line="240" w:lineRule="auto"/>
        <w:jc w:val="both"/>
        <w:rPr>
          <w:rFonts w:ascii="Traditional Arabic" w:hAnsi="Traditional Arabic" w:cs="Traditional Arabic"/>
          <w:bCs/>
          <w:sz w:val="32"/>
          <w:szCs w:val="32"/>
          <w:rtl/>
        </w:rPr>
      </w:pPr>
    </w:p>
    <w:p w14:paraId="1C05D13A" w14:textId="77777777" w:rsidR="008A0FFA" w:rsidRPr="001C5D93" w:rsidRDefault="008A0FFA" w:rsidP="00A02194">
      <w:pPr>
        <w:bidi/>
        <w:spacing w:after="120" w:line="240" w:lineRule="auto"/>
        <w:jc w:val="both"/>
        <w:rPr>
          <w:rFonts w:ascii="Traditional Arabic" w:hAnsi="Traditional Arabic" w:cs="Traditional Arabic"/>
          <w:bCs/>
          <w:sz w:val="32"/>
          <w:szCs w:val="32"/>
          <w:rtl/>
        </w:rPr>
      </w:pPr>
    </w:p>
    <w:p w14:paraId="3A5699AA" w14:textId="77777777" w:rsidR="005F666E" w:rsidRPr="001C5D93" w:rsidRDefault="005F666E" w:rsidP="00A02194">
      <w:pPr>
        <w:bidi/>
        <w:spacing w:after="120" w:line="240" w:lineRule="auto"/>
        <w:jc w:val="both"/>
        <w:rPr>
          <w:rFonts w:ascii="Traditional Arabic" w:hAnsi="Traditional Arabic" w:cs="Traditional Arabic"/>
          <w:bCs/>
          <w:sz w:val="32"/>
          <w:szCs w:val="32"/>
          <w:highlight w:val="cyan"/>
          <w:rtl/>
        </w:rPr>
      </w:pPr>
    </w:p>
    <w:p w14:paraId="5A395D23" w14:textId="77777777" w:rsidR="00AF0FE9" w:rsidRPr="001C5D93" w:rsidRDefault="00AF0FE9" w:rsidP="00A02194">
      <w:pPr>
        <w:bidi/>
        <w:spacing w:after="120" w:line="240" w:lineRule="auto"/>
        <w:jc w:val="both"/>
        <w:rPr>
          <w:rFonts w:ascii="Traditional Arabic" w:hAnsi="Traditional Arabic" w:cs="Traditional Arabic"/>
          <w:bCs/>
          <w:sz w:val="32"/>
          <w:szCs w:val="32"/>
          <w:rtl/>
        </w:rPr>
      </w:pPr>
    </w:p>
    <w:p w14:paraId="5D2990AA" w14:textId="77777777" w:rsidR="008A0FFA" w:rsidRPr="00254B75" w:rsidRDefault="00AF0FE9" w:rsidP="00A02194">
      <w:pPr>
        <w:bidi/>
        <w:spacing w:after="120" w:line="240" w:lineRule="auto"/>
        <w:jc w:val="center"/>
        <w:rPr>
          <w:rFonts w:ascii="Traditional Arabic" w:hAnsi="Traditional Arabic" w:cs="Traditional Arabic"/>
          <w:bCs/>
          <w:sz w:val="36"/>
          <w:szCs w:val="36"/>
          <w:rtl/>
        </w:rPr>
      </w:pPr>
      <w:r w:rsidRPr="00254B75">
        <w:rPr>
          <w:rFonts w:ascii="Traditional Arabic" w:hAnsi="Traditional Arabic" w:cs="Traditional Arabic"/>
          <w:bCs/>
          <w:sz w:val="36"/>
          <w:szCs w:val="36"/>
          <w:rtl/>
        </w:rPr>
        <w:lastRenderedPageBreak/>
        <w:t>المراجع والمصادر:</w:t>
      </w:r>
    </w:p>
    <w:p w14:paraId="39E99008" w14:textId="14678657" w:rsidR="001B6BE0" w:rsidRPr="001C5D93" w:rsidRDefault="008A0FFA" w:rsidP="00A02194">
      <w:pPr>
        <w:bidi/>
        <w:spacing w:after="120" w:line="240" w:lineRule="auto"/>
        <w:rPr>
          <w:sz w:val="32"/>
          <w:szCs w:val="32"/>
          <w:rtl/>
        </w:rPr>
      </w:pPr>
      <w:r w:rsidRPr="001C5D93">
        <w:rPr>
          <w:rFonts w:ascii="Traditional Arabic" w:hAnsi="Traditional Arabic" w:cs="Traditional Arabic" w:hint="cs"/>
          <w:bCs/>
          <w:sz w:val="32"/>
          <w:szCs w:val="32"/>
          <w:rtl/>
        </w:rPr>
        <w:t xml:space="preserve">أولًا: </w:t>
      </w:r>
      <w:r w:rsidR="00AF0FE9" w:rsidRPr="001C5D93">
        <w:rPr>
          <w:rFonts w:ascii="Traditional Arabic" w:hAnsi="Traditional Arabic" w:cs="Traditional Arabic"/>
          <w:bCs/>
          <w:sz w:val="32"/>
          <w:szCs w:val="32"/>
          <w:rtl/>
        </w:rPr>
        <w:t>المراجع العربية</w:t>
      </w:r>
    </w:p>
    <w:p w14:paraId="3189BED7" w14:textId="65B8CA4C" w:rsidR="00254B7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tl/>
        </w:rPr>
      </w:pPr>
      <w:r w:rsidRPr="00254B75">
        <w:rPr>
          <w:rFonts w:ascii="Traditional Arabic" w:hAnsi="Traditional Arabic" w:cs="Traditional Arabic"/>
          <w:sz w:val="32"/>
          <w:szCs w:val="32"/>
          <w:rtl/>
        </w:rPr>
        <w:t xml:space="preserve">إبراهيم، </w:t>
      </w:r>
      <w:r w:rsidR="001D37F8" w:rsidRPr="00254B75">
        <w:rPr>
          <w:rFonts w:ascii="Traditional Arabic" w:hAnsi="Traditional Arabic" w:cs="Traditional Arabic" w:hint="cs"/>
          <w:sz w:val="32"/>
          <w:szCs w:val="32"/>
          <w:rtl/>
        </w:rPr>
        <w:t xml:space="preserve">أحمد، </w:t>
      </w:r>
      <w:r w:rsidR="001D37F8" w:rsidRPr="00254B75">
        <w:rPr>
          <w:rFonts w:ascii="Traditional Arabic" w:hAnsi="Traditional Arabic" w:cs="Traditional Arabic"/>
          <w:sz w:val="32"/>
          <w:szCs w:val="32"/>
          <w:rtl/>
        </w:rPr>
        <w:t>المحمدي</w:t>
      </w:r>
      <w:r w:rsidRPr="00254B75">
        <w:rPr>
          <w:rFonts w:ascii="Traditional Arabic" w:hAnsi="Traditional Arabic" w:cs="Traditional Arabic"/>
          <w:sz w:val="32"/>
          <w:szCs w:val="32"/>
          <w:rtl/>
        </w:rPr>
        <w:t>، سامي. (2024). دور إعادة هندسة العمليات الإدارية في تحقيق رؤى</w:t>
      </w:r>
      <w:r w:rsidR="00254B75" w:rsidRPr="00254B75">
        <w:rPr>
          <w:rFonts w:ascii="Traditional Arabic" w:hAnsi="Traditional Arabic" w:cs="Traditional Arabic" w:hint="cs"/>
          <w:sz w:val="32"/>
          <w:szCs w:val="32"/>
          <w:rtl/>
        </w:rPr>
        <w:t xml:space="preserve"> </w:t>
      </w:r>
      <w:r w:rsidRPr="00254B75">
        <w:rPr>
          <w:rFonts w:ascii="Traditional Arabic" w:hAnsi="Traditional Arabic" w:cs="Traditional Arabic"/>
          <w:sz w:val="32"/>
          <w:szCs w:val="32"/>
          <w:rtl/>
        </w:rPr>
        <w:t>الجامعات السعودية في ظل رؤية 2030: دراسة تطبيقية على جامعة الملك خالد</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المجلة العلمية للدراسات والبحوث المالية والإدارية، 16</w:t>
      </w:r>
      <w:r w:rsidRPr="00254B75">
        <w:rPr>
          <w:rFonts w:ascii="Traditional Arabic" w:hAnsi="Traditional Arabic" w:cs="Traditional Arabic"/>
          <w:sz w:val="32"/>
          <w:szCs w:val="32"/>
        </w:rPr>
        <w:t>(1)</w:t>
      </w:r>
      <w:r w:rsidRPr="00254B75">
        <w:rPr>
          <w:rFonts w:ascii="Traditional Arabic" w:hAnsi="Traditional Arabic" w:cs="Traditional Arabic"/>
          <w:sz w:val="32"/>
          <w:szCs w:val="32"/>
          <w:rtl/>
        </w:rPr>
        <w:t xml:space="preserve">، </w:t>
      </w:r>
      <w:r w:rsidR="00254B75" w:rsidRPr="00254B75">
        <w:rPr>
          <w:rFonts w:ascii="Traditional Arabic" w:hAnsi="Traditional Arabic" w:cs="Traditional Arabic"/>
          <w:sz w:val="32"/>
          <w:szCs w:val="32"/>
          <w:rtl/>
        </w:rPr>
        <w:t>335</w:t>
      </w:r>
      <w:hyperlink r:id="rId11" w:tgtFrame="_new" w:history="1">
        <w:r w:rsidR="00254B75" w:rsidRPr="00254B75">
          <w:rPr>
            <w:rStyle w:val="Hyperlink"/>
            <w:rFonts w:ascii="Traditional Arabic" w:hAnsi="Traditional Arabic" w:cs="Traditional Arabic"/>
            <w:sz w:val="32"/>
            <w:szCs w:val="32"/>
          </w:rPr>
          <w:t>https://doi.org/10.21608/masf.2023.211396.1052</w:t>
        </w:r>
      </w:hyperlink>
      <w:r w:rsidR="00254B75" w:rsidRPr="00254B75">
        <w:rPr>
          <w:rFonts w:ascii="Traditional Arabic" w:hAnsi="Traditional Arabic" w:cs="Traditional Arabic"/>
          <w:sz w:val="32"/>
          <w:szCs w:val="32"/>
        </w:rPr>
        <w:t xml:space="preserve">  .368-</w:t>
      </w:r>
    </w:p>
    <w:p w14:paraId="186486AB" w14:textId="736998C5"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إبراهيم، حنا،</w:t>
      </w:r>
      <w:r w:rsidR="001D37F8" w:rsidRPr="00254B75">
        <w:rPr>
          <w:rFonts w:ascii="Traditional Arabic" w:hAnsi="Traditional Arabic" w:cs="Traditional Arabic" w:hint="cs"/>
          <w:sz w:val="32"/>
          <w:szCs w:val="32"/>
          <w:rtl/>
        </w:rPr>
        <w:t xml:space="preserve"> </w:t>
      </w:r>
      <w:proofErr w:type="gramStart"/>
      <w:r w:rsidR="001D37F8" w:rsidRPr="00254B75">
        <w:rPr>
          <w:rFonts w:ascii="Traditional Arabic" w:hAnsi="Traditional Arabic" w:cs="Traditional Arabic" w:hint="cs"/>
          <w:sz w:val="32"/>
          <w:szCs w:val="32"/>
          <w:rtl/>
        </w:rPr>
        <w:t xml:space="preserve">و </w:t>
      </w:r>
      <w:r w:rsidRPr="00254B75">
        <w:rPr>
          <w:rFonts w:ascii="Traditional Arabic" w:hAnsi="Traditional Arabic" w:cs="Traditional Arabic"/>
          <w:sz w:val="32"/>
          <w:szCs w:val="32"/>
          <w:rtl/>
        </w:rPr>
        <w:t>بيطار</w:t>
      </w:r>
      <w:proofErr w:type="gramEnd"/>
      <w:r w:rsidRPr="00254B75">
        <w:rPr>
          <w:rFonts w:ascii="Traditional Arabic" w:hAnsi="Traditional Arabic" w:cs="Traditional Arabic"/>
          <w:sz w:val="32"/>
          <w:szCs w:val="32"/>
          <w:rtl/>
        </w:rPr>
        <w:t>، منى. (2019). أثر تكنولوجيا المعلومات والاتصالات في الأداء المالي للمصارف التجارية الخاصة في سوريا</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جامعة حماة، 2</w:t>
      </w:r>
      <w:r w:rsidRPr="00254B75">
        <w:rPr>
          <w:rFonts w:ascii="Traditional Arabic" w:hAnsi="Traditional Arabic" w:cs="Traditional Arabic"/>
          <w:sz w:val="32"/>
          <w:szCs w:val="32"/>
        </w:rPr>
        <w:t>(11)</w:t>
      </w:r>
      <w:r w:rsidRPr="00254B75">
        <w:rPr>
          <w:rFonts w:ascii="Traditional Arabic" w:hAnsi="Traditional Arabic" w:cs="Traditional Arabic"/>
          <w:sz w:val="32"/>
          <w:szCs w:val="32"/>
          <w:rtl/>
        </w:rPr>
        <w:t>، 125</w:t>
      </w:r>
      <w:r w:rsidR="001D37F8" w:rsidRPr="00254B75">
        <w:rPr>
          <w:rFonts w:ascii="Traditional Arabic" w:hAnsi="Traditional Arabic" w:cs="Traditional Arabic" w:hint="cs"/>
          <w:sz w:val="32"/>
          <w:szCs w:val="32"/>
          <w:rtl/>
        </w:rPr>
        <w:t>-146.</w:t>
      </w:r>
    </w:p>
    <w:p w14:paraId="638F1873"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أبو حميده، أفنان. (2021). ما هي تكنولوجيا المعلومات؟ </w:t>
      </w:r>
      <w:hyperlink r:id="rId12" w:tgtFrame="_new" w:history="1">
        <w:r w:rsidRPr="00254B75">
          <w:rPr>
            <w:rStyle w:val="Hyperlink"/>
            <w:rFonts w:ascii="Traditional Arabic" w:hAnsi="Traditional Arabic" w:cs="Traditional Arabic"/>
            <w:sz w:val="32"/>
            <w:szCs w:val="32"/>
          </w:rPr>
          <w:t>https://sotor.com/</w:t>
        </w:r>
      </w:hyperlink>
    </w:p>
    <w:p w14:paraId="03A9D4D0" w14:textId="263C5E16"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أحمد، أحمد. (2022). اللامركزية وتحقيق التمكين الإداري في الأجهزة الإدارية بالمحليات</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المجلة العلمية للخدمة الاجتماعية، 20</w:t>
      </w:r>
      <w:r w:rsidRPr="00254B75">
        <w:rPr>
          <w:rFonts w:ascii="Traditional Arabic" w:hAnsi="Traditional Arabic" w:cs="Traditional Arabic"/>
          <w:sz w:val="32"/>
          <w:szCs w:val="32"/>
        </w:rPr>
        <w:t>(1)</w:t>
      </w:r>
      <w:r w:rsidR="001D37F8" w:rsidRPr="00254B75">
        <w:rPr>
          <w:rFonts w:ascii="Traditional Arabic" w:hAnsi="Traditional Arabic" w:cs="Traditional Arabic" w:hint="cs"/>
          <w:sz w:val="32"/>
          <w:szCs w:val="32"/>
          <w:rtl/>
        </w:rPr>
        <w:t xml:space="preserve"> ،22-53.</w:t>
      </w:r>
    </w:p>
    <w:p w14:paraId="2555EBA8"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أحمد، جوليا عثمان. (2020). تطوير نموذج باستخدام الشبكات العصبية لتشخيص حصاوى الكلى (رسالة ماجستير غير منشورة). جامعة إفريقيا العالمية</w:t>
      </w:r>
      <w:r w:rsidRPr="00254B75">
        <w:rPr>
          <w:rFonts w:ascii="Traditional Arabic" w:hAnsi="Traditional Arabic" w:cs="Traditional Arabic"/>
          <w:sz w:val="32"/>
          <w:szCs w:val="32"/>
        </w:rPr>
        <w:t>.</w:t>
      </w:r>
    </w:p>
    <w:p w14:paraId="6C3E596E" w14:textId="62900C4B"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أحمد، محمد فتحي. (2020). استراتيجية مقترحة لتحويل جامعة المنيا إلى جامعة ذكية في ضوء توجهات التحول الرقمي والنموذج الإماراتي لجامعة حمدان بن محمد الذكية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جامعة الفيوم للعلوم التربوية والنفسية</w:t>
      </w:r>
      <w:r w:rsidR="005D5DA2" w:rsidRPr="00254B75">
        <w:rPr>
          <w:rFonts w:ascii="Traditional Arabic" w:hAnsi="Traditional Arabic" w:cs="Traditional Arabic" w:hint="cs"/>
          <w:i/>
          <w:iCs/>
          <w:sz w:val="32"/>
          <w:szCs w:val="32"/>
          <w:rtl/>
        </w:rPr>
        <w:t>،6</w:t>
      </w:r>
      <w:r w:rsidR="005D5DA2" w:rsidRPr="00254B75">
        <w:rPr>
          <w:rFonts w:ascii="Traditional Arabic" w:hAnsi="Traditional Arabic" w:cs="Traditional Arabic" w:hint="cs"/>
          <w:sz w:val="32"/>
          <w:szCs w:val="32"/>
          <w:rtl/>
        </w:rPr>
        <w:t xml:space="preserve"> (14)،403-628.</w:t>
      </w:r>
    </w:p>
    <w:p w14:paraId="2EF9C327"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أحمد، هبة. (2008). تصنيف وإدارة المخاطر بالمنشآت الصحية: دراسة لأنظمة إنذار الحرائق. ورقة مقدمة في مؤتمر الإسكان، المملكة العربية السعودية</w:t>
      </w:r>
      <w:r w:rsidRPr="00254B75">
        <w:rPr>
          <w:rFonts w:ascii="Traditional Arabic" w:hAnsi="Traditional Arabic" w:cs="Traditional Arabic"/>
          <w:sz w:val="32"/>
          <w:szCs w:val="32"/>
        </w:rPr>
        <w:t>.</w:t>
      </w:r>
    </w:p>
    <w:p w14:paraId="7A4C6F4B" w14:textId="4744C1F8"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ادم، زبيدة عبد الرحمن. (2019). دور تكنولوجيا المعلومات والاتصالات في توفير فرص العمل: دراسة تطبيقية (رسالة ماجستير غير منشورة). جامعة السودان للعلوم والتكنولوجيا</w:t>
      </w:r>
      <w:r w:rsidR="005D5DA2" w:rsidRPr="00254B75">
        <w:rPr>
          <w:rFonts w:ascii="Traditional Arabic" w:hAnsi="Traditional Arabic" w:cs="Traditional Arabic" w:hint="cs"/>
          <w:sz w:val="32"/>
          <w:szCs w:val="32"/>
          <w:rtl/>
        </w:rPr>
        <w:t>، السودان.</w:t>
      </w:r>
    </w:p>
    <w:p w14:paraId="61568B80" w14:textId="08253CE5"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أسعد، زينب أسعد،</w:t>
      </w:r>
      <w:r w:rsidR="008A0FFA" w:rsidRPr="00254B75">
        <w:rPr>
          <w:rFonts w:ascii="Traditional Arabic" w:hAnsi="Traditional Arabic" w:cs="Traditional Arabic" w:hint="cs"/>
          <w:sz w:val="32"/>
          <w:szCs w:val="32"/>
          <w:rtl/>
        </w:rPr>
        <w:t xml:space="preserve"> و</w:t>
      </w:r>
      <w:r w:rsidRPr="00254B75">
        <w:rPr>
          <w:rFonts w:ascii="Traditional Arabic" w:hAnsi="Traditional Arabic" w:cs="Traditional Arabic"/>
          <w:sz w:val="32"/>
          <w:szCs w:val="32"/>
          <w:rtl/>
        </w:rPr>
        <w:t>يعقوب، عمر السيد. (2023). مدخل إدارة المخاطر كآلية للحد من المخاطر المالية التي تواجه المنشآت المالية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 xml:space="preserve">المجلة الأكاديمية للعلوم الاجتماعية، </w:t>
      </w:r>
      <w:r w:rsidR="00A2218F" w:rsidRPr="00254B75">
        <w:rPr>
          <w:rFonts w:ascii="Traditional Arabic" w:hAnsi="Traditional Arabic" w:cs="Traditional Arabic" w:hint="cs"/>
          <w:i/>
          <w:iCs/>
          <w:sz w:val="32"/>
          <w:szCs w:val="32"/>
          <w:rtl/>
        </w:rPr>
        <w:t>1</w:t>
      </w:r>
      <w:r w:rsidR="00A2218F" w:rsidRPr="00254B75">
        <w:rPr>
          <w:rFonts w:ascii="Traditional Arabic" w:hAnsi="Traditional Arabic" w:cs="Traditional Arabic" w:hint="cs"/>
          <w:sz w:val="32"/>
          <w:szCs w:val="32"/>
          <w:rtl/>
        </w:rPr>
        <w:t>(2)،214-254</w:t>
      </w:r>
      <w:r w:rsidR="00A2218F" w:rsidRPr="00254B75">
        <w:rPr>
          <w:rFonts w:ascii="Traditional Arabic" w:hAnsi="Traditional Arabic" w:cs="Traditional Arabic" w:hint="cs"/>
          <w:i/>
          <w:iCs/>
          <w:sz w:val="32"/>
          <w:szCs w:val="32"/>
          <w:rtl/>
        </w:rPr>
        <w:t>.</w:t>
      </w:r>
    </w:p>
    <w:p w14:paraId="5032A60F"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الأسمري، مانع بن محمد. (2019). نظم المعلومات الصحية المحوسبة وتأثيرها على القرارات الإدارية والطبية. ورقة مقدمة في الملتقى العلمي الدولي المعاصر للعلوم التربوية والاجتماعية والإنسانية والإدارية والطبيعية، إسطنبول، تركيا</w:t>
      </w:r>
      <w:r w:rsidRPr="00254B75">
        <w:rPr>
          <w:rFonts w:ascii="Traditional Arabic" w:hAnsi="Traditional Arabic" w:cs="Traditional Arabic"/>
          <w:sz w:val="32"/>
          <w:szCs w:val="32"/>
        </w:rPr>
        <w:t>.</w:t>
      </w:r>
    </w:p>
    <w:p w14:paraId="42197141"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آل عباس، محمد. (2021). إدارة المخاطر: كيف تطور المفهوم؟ </w:t>
      </w:r>
      <w:hyperlink r:id="rId13" w:tgtFrame="_new" w:history="1">
        <w:r w:rsidRPr="00254B75">
          <w:rPr>
            <w:rStyle w:val="Hyperlink"/>
            <w:rFonts w:ascii="Traditional Arabic" w:hAnsi="Traditional Arabic" w:cs="Traditional Arabic"/>
            <w:sz w:val="32"/>
            <w:szCs w:val="32"/>
          </w:rPr>
          <w:t>https://www.aleqt.com/</w:t>
        </w:r>
      </w:hyperlink>
    </w:p>
    <w:p w14:paraId="651AA25A" w14:textId="20C20AEA"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أوشاح، فتحي</w:t>
      </w:r>
      <w:r w:rsidR="008A0FFA" w:rsidRPr="00254B75">
        <w:rPr>
          <w:rFonts w:ascii="Traditional Arabic" w:hAnsi="Traditional Arabic" w:cs="Traditional Arabic" w:hint="cs"/>
          <w:sz w:val="32"/>
          <w:szCs w:val="32"/>
          <w:rtl/>
        </w:rPr>
        <w:t xml:space="preserve">، </w:t>
      </w:r>
      <w:proofErr w:type="gramStart"/>
      <w:r w:rsidR="008A0FFA" w:rsidRPr="00254B75">
        <w:rPr>
          <w:rFonts w:ascii="Traditional Arabic" w:hAnsi="Traditional Arabic" w:cs="Traditional Arabic" w:hint="cs"/>
          <w:sz w:val="32"/>
          <w:szCs w:val="32"/>
          <w:rtl/>
        </w:rPr>
        <w:t>و</w:t>
      </w:r>
      <w:r w:rsidRPr="00254B75">
        <w:rPr>
          <w:rFonts w:ascii="Traditional Arabic" w:hAnsi="Traditional Arabic" w:cs="Traditional Arabic"/>
          <w:sz w:val="32"/>
          <w:szCs w:val="32"/>
        </w:rPr>
        <w:t xml:space="preserve"> </w:t>
      </w:r>
      <w:r w:rsidRPr="00254B75">
        <w:rPr>
          <w:rFonts w:ascii="Traditional Arabic" w:hAnsi="Traditional Arabic" w:cs="Traditional Arabic"/>
          <w:sz w:val="32"/>
          <w:szCs w:val="32"/>
          <w:rtl/>
        </w:rPr>
        <w:t>عمار</w:t>
      </w:r>
      <w:proofErr w:type="gramEnd"/>
      <w:r w:rsidRPr="00254B75">
        <w:rPr>
          <w:rFonts w:ascii="Traditional Arabic" w:hAnsi="Traditional Arabic" w:cs="Traditional Arabic"/>
          <w:sz w:val="32"/>
          <w:szCs w:val="32"/>
          <w:rtl/>
        </w:rPr>
        <w:t>، عزة. (2021). إجراءات السلامة والصحة المهنية في أقسام التصوير الطبي بالمستشفيات الحكومية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المجلة الدولية متعددة اللغات للعلوم والتكنولوجيا، 6</w:t>
      </w:r>
      <w:r w:rsidRPr="00254B75">
        <w:rPr>
          <w:rFonts w:ascii="Traditional Arabic" w:hAnsi="Traditional Arabic" w:cs="Traditional Arabic"/>
          <w:sz w:val="32"/>
          <w:szCs w:val="32"/>
        </w:rPr>
        <w:t>(12).</w:t>
      </w:r>
    </w:p>
    <w:p w14:paraId="49D34B6F" w14:textId="7C20678D"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lastRenderedPageBreak/>
        <w:t>بخيت، محمد سعيد. (2023). أثر تطبيقات الذكاء الاصطناعي في تطوير خدمات المرافق العامة (الإدارة الذكية نموذجاً)</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البحوث الفقهية والقانونية، 2</w:t>
      </w:r>
      <w:r w:rsidRPr="00254B75">
        <w:rPr>
          <w:rFonts w:ascii="Traditional Arabic" w:hAnsi="Traditional Arabic" w:cs="Traditional Arabic"/>
          <w:sz w:val="32"/>
          <w:szCs w:val="32"/>
        </w:rPr>
        <w:t>(43)</w:t>
      </w:r>
      <w:r w:rsidRPr="00254B75">
        <w:rPr>
          <w:rFonts w:ascii="Traditional Arabic" w:hAnsi="Traditional Arabic" w:cs="Traditional Arabic"/>
          <w:sz w:val="32"/>
          <w:szCs w:val="32"/>
          <w:rtl/>
        </w:rPr>
        <w:t>، 3403</w:t>
      </w:r>
      <w:r w:rsidR="008A0FFA" w:rsidRPr="00254B75">
        <w:rPr>
          <w:rFonts w:ascii="Traditional Arabic" w:hAnsi="Traditional Arabic" w:cs="Traditional Arabic" w:hint="cs"/>
          <w:sz w:val="32"/>
          <w:szCs w:val="32"/>
          <w:rtl/>
        </w:rPr>
        <w:t>-3497.</w:t>
      </w:r>
    </w:p>
    <w:p w14:paraId="4A01BB03"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بركاني، منير. (2019). مفهوم وخصائص تكنولوجيا المعلومات والاتصالات</w:t>
      </w:r>
      <w:r w:rsidRPr="00254B75">
        <w:rPr>
          <w:rFonts w:ascii="Traditional Arabic" w:hAnsi="Traditional Arabic" w:cs="Traditional Arabic"/>
          <w:sz w:val="32"/>
          <w:szCs w:val="32"/>
        </w:rPr>
        <w:t xml:space="preserve">. </w:t>
      </w:r>
      <w:hyperlink r:id="rId14" w:tgtFrame="_new" w:history="1">
        <w:r w:rsidRPr="00254B75">
          <w:rPr>
            <w:rStyle w:val="Hyperlink"/>
            <w:rFonts w:ascii="Traditional Arabic" w:hAnsi="Traditional Arabic" w:cs="Traditional Arabic"/>
            <w:sz w:val="32"/>
            <w:szCs w:val="32"/>
          </w:rPr>
          <w:t>https://www.tadwiina.com/</w:t>
        </w:r>
      </w:hyperlink>
    </w:p>
    <w:p w14:paraId="3F704C30" w14:textId="4F99CB68"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البطنيجي، عمر، محمد، خلدون، الشكري، عبد، الأشقر، نظام، </w:t>
      </w:r>
      <w:r w:rsidRPr="00254B75">
        <w:rPr>
          <w:rFonts w:ascii="Traditional Arabic" w:hAnsi="Traditional Arabic" w:cs="Traditional Arabic"/>
          <w:sz w:val="32"/>
          <w:szCs w:val="32"/>
        </w:rPr>
        <w:t xml:space="preserve">&amp; </w:t>
      </w:r>
      <w:r w:rsidRPr="00254B75">
        <w:rPr>
          <w:rFonts w:ascii="Traditional Arabic" w:hAnsi="Traditional Arabic" w:cs="Traditional Arabic"/>
          <w:sz w:val="32"/>
          <w:szCs w:val="32"/>
          <w:rtl/>
        </w:rPr>
        <w:t>الآغا، محمد. (2019). أثر النفايات الطبية على صحة وسلامة العاملين في المستشفيات الحكومية في ظل أحداث مسيرات العودة 2018م</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 xml:space="preserve">المجلة العربية للعلوم ونشر الأبحاث – مجلة إدارة المخاطر والأزمات، </w:t>
      </w:r>
      <w:r w:rsidR="008A0FFA" w:rsidRPr="00254B75">
        <w:rPr>
          <w:rFonts w:ascii="Traditional Arabic" w:hAnsi="Traditional Arabic" w:cs="Traditional Arabic" w:hint="cs"/>
          <w:i/>
          <w:iCs/>
          <w:sz w:val="32"/>
          <w:szCs w:val="32"/>
          <w:rtl/>
        </w:rPr>
        <w:t>1</w:t>
      </w:r>
      <w:r w:rsidR="008A0FFA" w:rsidRPr="00254B75">
        <w:rPr>
          <w:rFonts w:ascii="Traditional Arabic" w:hAnsi="Traditional Arabic" w:cs="Traditional Arabic" w:hint="cs"/>
          <w:sz w:val="32"/>
          <w:szCs w:val="32"/>
          <w:rtl/>
        </w:rPr>
        <w:t>(3)،44-60.</w:t>
      </w:r>
    </w:p>
    <w:p w14:paraId="5227AF11"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بغو، ألفة. (2013). دور إدارة المخاطر في تحقيق جودة خدمات المؤسسات الاستشفائية: دراسة حالة (رسالة ماجستير غير منشورة). جامعة تبسة، الجزائر</w:t>
      </w:r>
      <w:r w:rsidRPr="00254B75">
        <w:rPr>
          <w:rFonts w:ascii="Traditional Arabic" w:hAnsi="Traditional Arabic" w:cs="Traditional Arabic"/>
          <w:sz w:val="32"/>
          <w:szCs w:val="32"/>
        </w:rPr>
        <w:t>.</w:t>
      </w:r>
    </w:p>
    <w:p w14:paraId="57741304" w14:textId="5A1D22C8"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البلداوي، علاء عبد </w:t>
      </w:r>
      <w:r w:rsidR="008A0FFA" w:rsidRPr="00254B75">
        <w:rPr>
          <w:rFonts w:ascii="Traditional Arabic" w:hAnsi="Traditional Arabic" w:cs="Traditional Arabic" w:hint="cs"/>
          <w:sz w:val="32"/>
          <w:szCs w:val="32"/>
          <w:rtl/>
        </w:rPr>
        <w:t xml:space="preserve">الكريم، </w:t>
      </w:r>
      <w:proofErr w:type="gramStart"/>
      <w:r w:rsidR="008A0FFA" w:rsidRPr="00254B75">
        <w:rPr>
          <w:rFonts w:ascii="Traditional Arabic" w:hAnsi="Traditional Arabic" w:cs="Traditional Arabic"/>
          <w:sz w:val="32"/>
          <w:szCs w:val="32"/>
          <w:rtl/>
        </w:rPr>
        <w:t>و</w:t>
      </w:r>
      <w:r w:rsidR="008A0FFA" w:rsidRPr="00254B75">
        <w:rPr>
          <w:rFonts w:ascii="Traditional Arabic" w:hAnsi="Traditional Arabic" w:cs="Traditional Arabic" w:hint="cs"/>
          <w:sz w:val="32"/>
          <w:szCs w:val="32"/>
          <w:rtl/>
        </w:rPr>
        <w:t xml:space="preserve"> </w:t>
      </w:r>
      <w:r w:rsidRPr="00254B75">
        <w:rPr>
          <w:rFonts w:ascii="Traditional Arabic" w:hAnsi="Traditional Arabic" w:cs="Traditional Arabic"/>
          <w:sz w:val="32"/>
          <w:szCs w:val="32"/>
          <w:rtl/>
        </w:rPr>
        <w:t>العزاوي</w:t>
      </w:r>
      <w:proofErr w:type="gramEnd"/>
      <w:r w:rsidRPr="00254B75">
        <w:rPr>
          <w:rFonts w:ascii="Traditional Arabic" w:hAnsi="Traditional Arabic" w:cs="Traditional Arabic"/>
          <w:sz w:val="32"/>
          <w:szCs w:val="32"/>
          <w:rtl/>
        </w:rPr>
        <w:t>، رسل فليح. (2018). دور برامج إدارة المخاطر في مواجهة المخاطر بالمطارات الدولية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دراسات محاسبية ومالية، 13</w:t>
      </w:r>
      <w:r w:rsidRPr="00254B75">
        <w:rPr>
          <w:rFonts w:ascii="Traditional Arabic" w:hAnsi="Traditional Arabic" w:cs="Traditional Arabic"/>
          <w:sz w:val="32"/>
          <w:szCs w:val="32"/>
        </w:rPr>
        <w:t>(44)</w:t>
      </w:r>
      <w:r w:rsidRPr="00254B75">
        <w:rPr>
          <w:rFonts w:ascii="Traditional Arabic" w:hAnsi="Traditional Arabic" w:cs="Traditional Arabic"/>
          <w:sz w:val="32"/>
          <w:szCs w:val="32"/>
          <w:rtl/>
        </w:rPr>
        <w:t>،</w:t>
      </w:r>
      <w:r w:rsidR="008A0FFA" w:rsidRPr="00254B75">
        <w:rPr>
          <w:rFonts w:ascii="Traditional Arabic" w:hAnsi="Traditional Arabic" w:cs="Traditional Arabic"/>
          <w:sz w:val="32"/>
          <w:szCs w:val="32"/>
        </w:rPr>
        <w:t>71-94</w:t>
      </w:r>
      <w:r w:rsidR="008A0FFA" w:rsidRPr="00254B75">
        <w:rPr>
          <w:rFonts w:ascii="Traditional Arabic" w:hAnsi="Traditional Arabic" w:cs="Traditional Arabic" w:hint="cs"/>
          <w:sz w:val="32"/>
          <w:szCs w:val="32"/>
          <w:rtl/>
        </w:rPr>
        <w:t>.</w:t>
      </w:r>
    </w:p>
    <w:p w14:paraId="1B0A5340" w14:textId="534AC035"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بلفخار، دلال، </w:t>
      </w:r>
      <w:proofErr w:type="gramStart"/>
      <w:r w:rsidR="008A0FFA" w:rsidRPr="00254B75">
        <w:rPr>
          <w:rFonts w:ascii="Traditional Arabic" w:hAnsi="Traditional Arabic" w:cs="Traditional Arabic" w:hint="cs"/>
          <w:sz w:val="32"/>
          <w:szCs w:val="32"/>
          <w:rtl/>
        </w:rPr>
        <w:t xml:space="preserve">و </w:t>
      </w:r>
      <w:r w:rsidRPr="00254B75">
        <w:rPr>
          <w:rFonts w:ascii="Traditional Arabic" w:hAnsi="Traditional Arabic" w:cs="Traditional Arabic"/>
          <w:sz w:val="32"/>
          <w:szCs w:val="32"/>
          <w:rtl/>
        </w:rPr>
        <w:t>بارش</w:t>
      </w:r>
      <w:proofErr w:type="gramEnd"/>
      <w:r w:rsidRPr="00254B75">
        <w:rPr>
          <w:rFonts w:ascii="Traditional Arabic" w:hAnsi="Traditional Arabic" w:cs="Traditional Arabic"/>
          <w:sz w:val="32"/>
          <w:szCs w:val="32"/>
          <w:rtl/>
        </w:rPr>
        <w:t>، يسرا. (2021). إدارة المخاطر في شركات التأمين: دراسة حالة (أطروحة دكتوراه غير منشورة). جامعة ميلة، الجزائر</w:t>
      </w:r>
      <w:r w:rsidRPr="00254B75">
        <w:rPr>
          <w:rFonts w:ascii="Traditional Arabic" w:hAnsi="Traditional Arabic" w:cs="Traditional Arabic"/>
          <w:sz w:val="32"/>
          <w:szCs w:val="32"/>
        </w:rPr>
        <w:t>.</w:t>
      </w:r>
    </w:p>
    <w:p w14:paraId="76288D12" w14:textId="3ED8A3DD"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بلمختار، سعاد. (2022). الطبيعة القانونية للمسؤولية المدنية عن الأخطاء الطبية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الحقوق والعلوم الإنسانية، 15</w:t>
      </w:r>
      <w:r w:rsidRPr="00254B75">
        <w:rPr>
          <w:rFonts w:ascii="Traditional Arabic" w:hAnsi="Traditional Arabic" w:cs="Traditional Arabic"/>
          <w:sz w:val="32"/>
          <w:szCs w:val="32"/>
        </w:rPr>
        <w:t>(1</w:t>
      </w:r>
      <w:r w:rsidR="008A0FFA" w:rsidRPr="00254B75">
        <w:rPr>
          <w:rFonts w:ascii="Traditional Arabic" w:hAnsi="Traditional Arabic" w:cs="Traditional Arabic"/>
          <w:sz w:val="32"/>
          <w:szCs w:val="32"/>
        </w:rPr>
        <w:t>)</w:t>
      </w:r>
      <w:r w:rsidR="008A0FFA" w:rsidRPr="00254B75">
        <w:rPr>
          <w:rFonts w:ascii="Traditional Arabic" w:hAnsi="Traditional Arabic" w:cs="Traditional Arabic" w:hint="cs"/>
          <w:sz w:val="32"/>
          <w:szCs w:val="32"/>
          <w:rtl/>
        </w:rPr>
        <w:t>،766-784.</w:t>
      </w:r>
    </w:p>
    <w:p w14:paraId="0CB8EF0B"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بن جودي، </w:t>
      </w:r>
      <w:proofErr w:type="gramStart"/>
      <w:r w:rsidRPr="00254B75">
        <w:rPr>
          <w:rFonts w:ascii="Traditional Arabic" w:hAnsi="Traditional Arabic" w:cs="Traditional Arabic"/>
          <w:sz w:val="32"/>
          <w:szCs w:val="32"/>
          <w:rtl/>
        </w:rPr>
        <w:t>هجيرة</w:t>
      </w:r>
      <w:proofErr w:type="gramEnd"/>
      <w:r w:rsidRPr="00254B75">
        <w:rPr>
          <w:rFonts w:ascii="Traditional Arabic" w:hAnsi="Traditional Arabic" w:cs="Traditional Arabic"/>
          <w:sz w:val="32"/>
          <w:szCs w:val="32"/>
          <w:rtl/>
        </w:rPr>
        <w:t>. (2020). إدارة المخاطر في البنوك التجارية وفق بازل 3 (رسالة ماجستير غير منشورة). جامعة المسيلة، الجزائر</w:t>
      </w:r>
      <w:r w:rsidRPr="00254B75">
        <w:rPr>
          <w:rFonts w:ascii="Traditional Arabic" w:hAnsi="Traditional Arabic" w:cs="Traditional Arabic"/>
          <w:sz w:val="32"/>
          <w:szCs w:val="32"/>
        </w:rPr>
        <w:t>.</w:t>
      </w:r>
    </w:p>
    <w:p w14:paraId="2DB72415" w14:textId="6ACDF2D6"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بن عبد الله، بوبكر، </w:t>
      </w:r>
      <w:proofErr w:type="gramStart"/>
      <w:r w:rsidR="008A0FFA" w:rsidRPr="00254B75">
        <w:rPr>
          <w:rFonts w:ascii="Traditional Arabic" w:hAnsi="Traditional Arabic" w:cs="Traditional Arabic" w:hint="cs"/>
          <w:sz w:val="32"/>
          <w:szCs w:val="32"/>
          <w:rtl/>
        </w:rPr>
        <w:t xml:space="preserve">و </w:t>
      </w:r>
      <w:r w:rsidRPr="00254B75">
        <w:rPr>
          <w:rFonts w:ascii="Traditional Arabic" w:hAnsi="Traditional Arabic" w:cs="Traditional Arabic"/>
          <w:sz w:val="32"/>
          <w:szCs w:val="32"/>
          <w:rtl/>
        </w:rPr>
        <w:t>ضيف</w:t>
      </w:r>
      <w:proofErr w:type="gramEnd"/>
      <w:r w:rsidRPr="00254B75">
        <w:rPr>
          <w:rFonts w:ascii="Traditional Arabic" w:hAnsi="Traditional Arabic" w:cs="Traditional Arabic"/>
          <w:sz w:val="32"/>
          <w:szCs w:val="32"/>
          <w:rtl/>
        </w:rPr>
        <w:t>، لامية. (2022). الإبداع الإداري ودوره في تحقيق التطوير التنظيمي: دراسة ميدانية (رسالة ماجستير غير منشورة). جامعة الوادي، الجزائر</w:t>
      </w:r>
      <w:r w:rsidRPr="00254B75">
        <w:rPr>
          <w:rFonts w:ascii="Traditional Arabic" w:hAnsi="Traditional Arabic" w:cs="Traditional Arabic"/>
          <w:sz w:val="32"/>
          <w:szCs w:val="32"/>
        </w:rPr>
        <w:t>.</w:t>
      </w:r>
    </w:p>
    <w:p w14:paraId="65EFFE1D" w14:textId="2EE0C81F"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بوجردة، أمال، </w:t>
      </w:r>
      <w:proofErr w:type="gramStart"/>
      <w:r w:rsidR="008A0FFA" w:rsidRPr="00254B75">
        <w:rPr>
          <w:rFonts w:ascii="Traditional Arabic" w:hAnsi="Traditional Arabic" w:cs="Traditional Arabic" w:hint="cs"/>
          <w:sz w:val="32"/>
          <w:szCs w:val="32"/>
          <w:rtl/>
        </w:rPr>
        <w:t xml:space="preserve">و </w:t>
      </w:r>
      <w:r w:rsidRPr="00254B75">
        <w:rPr>
          <w:rFonts w:ascii="Traditional Arabic" w:hAnsi="Traditional Arabic" w:cs="Traditional Arabic"/>
          <w:sz w:val="32"/>
          <w:szCs w:val="32"/>
          <w:rtl/>
        </w:rPr>
        <w:t>لحمر</w:t>
      </w:r>
      <w:proofErr w:type="gramEnd"/>
      <w:r w:rsidRPr="00254B75">
        <w:rPr>
          <w:rFonts w:ascii="Traditional Arabic" w:hAnsi="Traditional Arabic" w:cs="Traditional Arabic"/>
          <w:sz w:val="32"/>
          <w:szCs w:val="32"/>
          <w:rtl/>
        </w:rPr>
        <w:t>، إيمان. (2019). دور القيادة في إدارة المخاطر: دراسة ميدانية (رسالة ماجستير غير منشورة). جامعة جيجل، الجزائر</w:t>
      </w:r>
      <w:r w:rsidRPr="00254B75">
        <w:rPr>
          <w:rFonts w:ascii="Traditional Arabic" w:hAnsi="Traditional Arabic" w:cs="Traditional Arabic"/>
          <w:sz w:val="32"/>
          <w:szCs w:val="32"/>
        </w:rPr>
        <w:t>.</w:t>
      </w:r>
    </w:p>
    <w:p w14:paraId="42F47920" w14:textId="19A7F52C"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بوزانة، أيمن،</w:t>
      </w:r>
      <w:r w:rsidR="008A0FFA" w:rsidRPr="00254B75">
        <w:rPr>
          <w:rFonts w:ascii="Traditional Arabic" w:hAnsi="Traditional Arabic" w:cs="Traditional Arabic" w:hint="cs"/>
          <w:sz w:val="32"/>
          <w:szCs w:val="32"/>
          <w:rtl/>
        </w:rPr>
        <w:t xml:space="preserve"> </w:t>
      </w:r>
      <w:proofErr w:type="gramStart"/>
      <w:r w:rsidR="008A0FFA" w:rsidRPr="00254B75">
        <w:rPr>
          <w:rFonts w:ascii="Traditional Arabic" w:hAnsi="Traditional Arabic" w:cs="Traditional Arabic" w:hint="cs"/>
          <w:sz w:val="32"/>
          <w:szCs w:val="32"/>
          <w:rtl/>
        </w:rPr>
        <w:t xml:space="preserve">و </w:t>
      </w:r>
      <w:r w:rsidRPr="00254B75">
        <w:rPr>
          <w:rFonts w:ascii="Traditional Arabic" w:hAnsi="Traditional Arabic" w:cs="Traditional Arabic"/>
          <w:sz w:val="32"/>
          <w:szCs w:val="32"/>
          <w:rtl/>
        </w:rPr>
        <w:t>حمدوش</w:t>
      </w:r>
      <w:proofErr w:type="gramEnd"/>
      <w:r w:rsidRPr="00254B75">
        <w:rPr>
          <w:rFonts w:ascii="Traditional Arabic" w:hAnsi="Traditional Arabic" w:cs="Traditional Arabic"/>
          <w:sz w:val="32"/>
          <w:szCs w:val="32"/>
          <w:rtl/>
        </w:rPr>
        <w:t>، وفاء. (2022). التحول نحو استخدام تطبيقات الصحة الرقمية المستجدة كآلية لمواجهة فيروس كورونا</w:t>
      </w:r>
      <w:r w:rsidRPr="00254B75">
        <w:rPr>
          <w:rFonts w:ascii="Traditional Arabic" w:hAnsi="Traditional Arabic" w:cs="Traditional Arabic"/>
          <w:sz w:val="32"/>
          <w:szCs w:val="32"/>
        </w:rPr>
        <w:t xml:space="preserve"> (COVID-19). </w:t>
      </w:r>
      <w:r w:rsidRPr="00254B75">
        <w:rPr>
          <w:rFonts w:ascii="Traditional Arabic" w:hAnsi="Traditional Arabic" w:cs="Traditional Arabic"/>
          <w:i/>
          <w:iCs/>
          <w:sz w:val="32"/>
          <w:szCs w:val="32"/>
          <w:rtl/>
        </w:rPr>
        <w:t>مجلة وحدة البحث في تنمية الموارد البشرية،</w:t>
      </w:r>
      <w:r w:rsidR="008A0FFA" w:rsidRPr="00254B75">
        <w:rPr>
          <w:rFonts w:ascii="Traditional Arabic" w:hAnsi="Traditional Arabic" w:cs="Traditional Arabic" w:hint="cs"/>
          <w:i/>
          <w:iCs/>
          <w:sz w:val="32"/>
          <w:szCs w:val="32"/>
          <w:rtl/>
        </w:rPr>
        <w:t>17</w:t>
      </w:r>
      <w:r w:rsidR="008A0FFA" w:rsidRPr="00254B75">
        <w:rPr>
          <w:rFonts w:ascii="Traditional Arabic" w:hAnsi="Traditional Arabic" w:cs="Traditional Arabic" w:hint="cs"/>
          <w:sz w:val="32"/>
          <w:szCs w:val="32"/>
          <w:rtl/>
        </w:rPr>
        <w:t>(1)،</w:t>
      </w:r>
      <w:r w:rsidRPr="00254B75">
        <w:rPr>
          <w:rFonts w:ascii="Traditional Arabic" w:hAnsi="Traditional Arabic" w:cs="Traditional Arabic"/>
          <w:i/>
          <w:iCs/>
          <w:sz w:val="32"/>
          <w:szCs w:val="32"/>
          <w:rtl/>
        </w:rPr>
        <w:t xml:space="preserve"> </w:t>
      </w:r>
      <w:r w:rsidR="008A0FFA" w:rsidRPr="00254B75">
        <w:rPr>
          <w:rFonts w:ascii="Traditional Arabic" w:hAnsi="Traditional Arabic" w:cs="Traditional Arabic" w:hint="cs"/>
          <w:sz w:val="32"/>
          <w:szCs w:val="32"/>
          <w:rtl/>
        </w:rPr>
        <w:t>171-197.</w:t>
      </w:r>
    </w:p>
    <w:p w14:paraId="37D78B41"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بوصلاح، سهام. (2022). التطوير التنظيمي وعلاقته بالحوكمة العمومية المحلية: دراسة حالة (رسالة ماجستير غير منشورة). جامعة المسيلة، الجزائر</w:t>
      </w:r>
      <w:r w:rsidRPr="00254B75">
        <w:rPr>
          <w:rFonts w:ascii="Traditional Arabic" w:hAnsi="Traditional Arabic" w:cs="Traditional Arabic"/>
          <w:sz w:val="32"/>
          <w:szCs w:val="32"/>
        </w:rPr>
        <w:t>.</w:t>
      </w:r>
    </w:p>
    <w:p w14:paraId="63061327" w14:textId="0FC015AB"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بوغنجيوة، أمينة، </w:t>
      </w:r>
      <w:proofErr w:type="gramStart"/>
      <w:r w:rsidR="008A0FFA" w:rsidRPr="00254B75">
        <w:rPr>
          <w:rFonts w:ascii="Traditional Arabic" w:hAnsi="Traditional Arabic" w:cs="Traditional Arabic" w:hint="cs"/>
          <w:sz w:val="32"/>
          <w:szCs w:val="32"/>
          <w:rtl/>
        </w:rPr>
        <w:t>و</w:t>
      </w:r>
      <w:r w:rsidRPr="00254B75">
        <w:rPr>
          <w:rFonts w:ascii="Traditional Arabic" w:hAnsi="Traditional Arabic" w:cs="Traditional Arabic"/>
          <w:sz w:val="32"/>
          <w:szCs w:val="32"/>
        </w:rPr>
        <w:t xml:space="preserve"> </w:t>
      </w:r>
      <w:r w:rsidRPr="00254B75">
        <w:rPr>
          <w:rFonts w:ascii="Traditional Arabic" w:hAnsi="Traditional Arabic" w:cs="Traditional Arabic"/>
          <w:sz w:val="32"/>
          <w:szCs w:val="32"/>
          <w:rtl/>
        </w:rPr>
        <w:t>شاوي</w:t>
      </w:r>
      <w:proofErr w:type="gramEnd"/>
      <w:r w:rsidRPr="00254B75">
        <w:rPr>
          <w:rFonts w:ascii="Traditional Arabic" w:hAnsi="Traditional Arabic" w:cs="Traditional Arabic"/>
          <w:sz w:val="32"/>
          <w:szCs w:val="32"/>
          <w:rtl/>
        </w:rPr>
        <w:t>، شافية. (2018). الأخطاء الطبية: أزمة كفاءة أم أزمة أخلاق أم أزمة قانون؟ ورقة مقدمة في الملتقى الوطني الأول حول التسيير الصحي، الجزائر</w:t>
      </w:r>
      <w:r w:rsidRPr="00254B75">
        <w:rPr>
          <w:rFonts w:ascii="Traditional Arabic" w:hAnsi="Traditional Arabic" w:cs="Traditional Arabic"/>
          <w:sz w:val="32"/>
          <w:szCs w:val="32"/>
        </w:rPr>
        <w:t>.</w:t>
      </w:r>
    </w:p>
    <w:p w14:paraId="7B19B780"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lastRenderedPageBreak/>
        <w:t>توامي، يعقوب. (2013). أثر استخدام تكنولوجيا المعلومات والاتصال على الأداء المالي للمؤسسة الاقتصادية: دراسة حالة (رسالة ماجستير غير منشورة). جامعة ورقلة، الجزائر</w:t>
      </w:r>
      <w:r w:rsidRPr="00254B75">
        <w:rPr>
          <w:rFonts w:ascii="Traditional Arabic" w:hAnsi="Traditional Arabic" w:cs="Traditional Arabic"/>
          <w:sz w:val="32"/>
          <w:szCs w:val="32"/>
        </w:rPr>
        <w:t>.</w:t>
      </w:r>
    </w:p>
    <w:p w14:paraId="24A19EC4" w14:textId="610A3E72"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جامعة آل البيت</w:t>
      </w:r>
      <w:r w:rsidRPr="00254B75">
        <w:rPr>
          <w:rFonts w:ascii="Traditional Arabic" w:hAnsi="Traditional Arabic" w:cs="Traditional Arabic"/>
          <w:sz w:val="32"/>
          <w:szCs w:val="32"/>
        </w:rPr>
        <w:t xml:space="preserve">. (2024). </w:t>
      </w:r>
      <w:r w:rsidRPr="00254B75">
        <w:rPr>
          <w:rFonts w:ascii="Traditional Arabic" w:hAnsi="Traditional Arabic" w:cs="Traditional Arabic"/>
          <w:i/>
          <w:iCs/>
          <w:sz w:val="32"/>
          <w:szCs w:val="32"/>
          <w:rtl/>
        </w:rPr>
        <w:t xml:space="preserve">خطة إدارة المخاطر وإجراءات مواجهتها </w:t>
      </w:r>
      <w:r w:rsidR="008D6DE5" w:rsidRPr="00254B75">
        <w:rPr>
          <w:rFonts w:ascii="Traditional Arabic" w:hAnsi="Traditional Arabic" w:cs="Traditional Arabic" w:hint="cs"/>
          <w:sz w:val="32"/>
          <w:szCs w:val="32"/>
          <w:rtl/>
        </w:rPr>
        <w:t>في</w:t>
      </w:r>
      <w:r w:rsidR="008D6DE5" w:rsidRPr="00254B75">
        <w:rPr>
          <w:rFonts w:ascii="Traditional Arabic" w:hAnsi="Traditional Arabic" w:cs="Traditional Arabic"/>
          <w:sz w:val="32"/>
          <w:szCs w:val="32"/>
          <w:rtl/>
        </w:rPr>
        <w:t xml:space="preserve"> كلية اللغات </w:t>
      </w:r>
      <w:r w:rsidR="008D6DE5" w:rsidRPr="00254B75">
        <w:rPr>
          <w:rFonts w:ascii="Traditional Arabic" w:hAnsi="Traditional Arabic" w:cs="Traditional Arabic" w:hint="cs"/>
          <w:sz w:val="32"/>
          <w:szCs w:val="32"/>
          <w:rtl/>
        </w:rPr>
        <w:t>الأجنبية</w:t>
      </w:r>
      <w:r w:rsidR="008D6DE5" w:rsidRPr="00254B75">
        <w:rPr>
          <w:rFonts w:ascii="Traditional Arabic" w:hAnsi="Traditional Arabic" w:cs="Traditional Arabic"/>
          <w:sz w:val="32"/>
          <w:szCs w:val="32"/>
          <w:rtl/>
        </w:rPr>
        <w:t xml:space="preserve"> </w:t>
      </w:r>
      <w:r w:rsidR="008D6DE5" w:rsidRPr="00254B75">
        <w:rPr>
          <w:rFonts w:ascii="Traditional Arabic" w:hAnsi="Traditional Arabic" w:cs="Traditional Arabic"/>
          <w:sz w:val="32"/>
          <w:szCs w:val="32"/>
        </w:rPr>
        <w:t>2025-2024</w:t>
      </w:r>
      <w:r w:rsidR="008D6DE5" w:rsidRPr="00254B75">
        <w:rPr>
          <w:rFonts w:ascii="Traditional Arabic" w:hAnsi="Traditional Arabic" w:cs="Traditional Arabic" w:hint="cs"/>
          <w:sz w:val="32"/>
          <w:szCs w:val="32"/>
          <w:rtl/>
        </w:rPr>
        <w:t>.</w:t>
      </w:r>
      <w:r w:rsidR="008D6DE5" w:rsidRPr="00254B75">
        <w:rPr>
          <w:sz w:val="32"/>
          <w:szCs w:val="32"/>
        </w:rPr>
        <w:t xml:space="preserve"> </w:t>
      </w:r>
      <w:hyperlink r:id="rId15" w:history="1">
        <w:r w:rsidR="008D6DE5" w:rsidRPr="00254B75">
          <w:rPr>
            <w:rStyle w:val="Hyperlink"/>
            <w:rFonts w:ascii="Traditional Arabic" w:hAnsi="Traditional Arabic" w:cs="Traditional Arabic"/>
            <w:sz w:val="32"/>
            <w:szCs w:val="32"/>
          </w:rPr>
          <w:t>https://aabu.edu.jo</w:t>
        </w:r>
      </w:hyperlink>
    </w:p>
    <w:p w14:paraId="67548304" w14:textId="60BA7C79"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جبر، ندى، </w:t>
      </w:r>
      <w:proofErr w:type="gramStart"/>
      <w:r w:rsidR="008D6DE5" w:rsidRPr="00254B75">
        <w:rPr>
          <w:rFonts w:ascii="Traditional Arabic" w:hAnsi="Traditional Arabic" w:cs="Traditional Arabic" w:hint="cs"/>
          <w:sz w:val="32"/>
          <w:szCs w:val="32"/>
          <w:rtl/>
        </w:rPr>
        <w:t xml:space="preserve">و </w:t>
      </w:r>
      <w:r w:rsidRPr="00254B75">
        <w:rPr>
          <w:rFonts w:ascii="Traditional Arabic" w:hAnsi="Traditional Arabic" w:cs="Traditional Arabic"/>
          <w:sz w:val="32"/>
          <w:szCs w:val="32"/>
          <w:rtl/>
        </w:rPr>
        <w:t>جبار</w:t>
      </w:r>
      <w:proofErr w:type="gramEnd"/>
      <w:r w:rsidRPr="00254B75">
        <w:rPr>
          <w:rFonts w:ascii="Traditional Arabic" w:hAnsi="Traditional Arabic" w:cs="Traditional Arabic"/>
          <w:sz w:val="32"/>
          <w:szCs w:val="32"/>
          <w:rtl/>
        </w:rPr>
        <w:t>، فاضل شعلان. (2021). أهمية التخطيط الاستراتيجي ودوره في إدارة الأزمات (بحث تخرج غير منشور). كلية الإدارة والاقتصاد، جامعة القادسية، العراق</w:t>
      </w:r>
      <w:r w:rsidRPr="00254B75">
        <w:rPr>
          <w:rFonts w:ascii="Traditional Arabic" w:hAnsi="Traditional Arabic" w:cs="Traditional Arabic"/>
          <w:sz w:val="32"/>
          <w:szCs w:val="32"/>
        </w:rPr>
        <w:t>.</w:t>
      </w:r>
    </w:p>
    <w:p w14:paraId="30332B09" w14:textId="136113F1"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جديد، سراج، حويجة، بسام،</w:t>
      </w:r>
      <w:r w:rsidR="008D6DE5" w:rsidRPr="00254B75">
        <w:rPr>
          <w:rFonts w:ascii="Traditional Arabic" w:hAnsi="Traditional Arabic" w:cs="Traditional Arabic" w:hint="cs"/>
          <w:sz w:val="32"/>
          <w:szCs w:val="32"/>
          <w:rtl/>
        </w:rPr>
        <w:t xml:space="preserve"> </w:t>
      </w:r>
      <w:proofErr w:type="gramStart"/>
      <w:r w:rsidR="008D6DE5" w:rsidRPr="00254B75">
        <w:rPr>
          <w:rFonts w:ascii="Traditional Arabic" w:hAnsi="Traditional Arabic" w:cs="Traditional Arabic" w:hint="cs"/>
          <w:sz w:val="32"/>
          <w:szCs w:val="32"/>
          <w:rtl/>
        </w:rPr>
        <w:t>و</w:t>
      </w:r>
      <w:r w:rsidRPr="00254B75">
        <w:rPr>
          <w:rFonts w:ascii="Traditional Arabic" w:hAnsi="Traditional Arabic" w:cs="Traditional Arabic"/>
          <w:sz w:val="32"/>
          <w:szCs w:val="32"/>
        </w:rPr>
        <w:t xml:space="preserve"> </w:t>
      </w:r>
      <w:r w:rsidRPr="00254B75">
        <w:rPr>
          <w:rFonts w:ascii="Traditional Arabic" w:hAnsi="Traditional Arabic" w:cs="Traditional Arabic"/>
          <w:sz w:val="32"/>
          <w:szCs w:val="32"/>
          <w:rtl/>
        </w:rPr>
        <w:t>حسن</w:t>
      </w:r>
      <w:proofErr w:type="gramEnd"/>
      <w:r w:rsidRPr="00254B75">
        <w:rPr>
          <w:rFonts w:ascii="Traditional Arabic" w:hAnsi="Traditional Arabic" w:cs="Traditional Arabic"/>
          <w:sz w:val="32"/>
          <w:szCs w:val="32"/>
          <w:rtl/>
        </w:rPr>
        <w:t>، نايل. (2017). تقييس السجلات الزلزالية الحقيقية لملائمة طيف الاستجابة التصميمي السوري باستخدام الخوارزمية الجينية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جامعة القدس المفتوحة للبحوث الإنسانية والاجتماعية، 2</w:t>
      </w:r>
      <w:r w:rsidRPr="00254B75">
        <w:rPr>
          <w:rFonts w:ascii="Traditional Arabic" w:hAnsi="Traditional Arabic" w:cs="Traditional Arabic"/>
          <w:sz w:val="32"/>
          <w:szCs w:val="32"/>
        </w:rPr>
        <w:t>(42)</w:t>
      </w:r>
      <w:r w:rsidRPr="00254B75">
        <w:rPr>
          <w:rFonts w:ascii="Traditional Arabic" w:hAnsi="Traditional Arabic" w:cs="Traditional Arabic"/>
          <w:sz w:val="32"/>
          <w:szCs w:val="32"/>
          <w:rtl/>
        </w:rPr>
        <w:t xml:space="preserve">، </w:t>
      </w:r>
      <w:r w:rsidR="008D6DE5" w:rsidRPr="00254B75">
        <w:rPr>
          <w:rFonts w:ascii="Traditional Arabic" w:hAnsi="Traditional Arabic" w:cs="Traditional Arabic" w:hint="cs"/>
          <w:sz w:val="32"/>
          <w:szCs w:val="32"/>
          <w:rtl/>
        </w:rPr>
        <w:t>171-189.</w:t>
      </w:r>
    </w:p>
    <w:p w14:paraId="3606D867" w14:textId="2C33FD2D"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الجزار، محمد، المغير، محمد،</w:t>
      </w:r>
      <w:r w:rsidR="008D6DE5" w:rsidRPr="00254B75">
        <w:rPr>
          <w:rFonts w:ascii="Traditional Arabic" w:hAnsi="Traditional Arabic" w:cs="Traditional Arabic" w:hint="cs"/>
          <w:sz w:val="32"/>
          <w:szCs w:val="32"/>
          <w:rtl/>
        </w:rPr>
        <w:t xml:space="preserve"> </w:t>
      </w:r>
      <w:proofErr w:type="gramStart"/>
      <w:r w:rsidR="008D6DE5" w:rsidRPr="00254B75">
        <w:rPr>
          <w:rFonts w:ascii="Traditional Arabic" w:hAnsi="Traditional Arabic" w:cs="Traditional Arabic" w:hint="cs"/>
          <w:sz w:val="32"/>
          <w:szCs w:val="32"/>
          <w:rtl/>
        </w:rPr>
        <w:t>و</w:t>
      </w:r>
      <w:r w:rsidRPr="00254B75">
        <w:rPr>
          <w:rFonts w:ascii="Traditional Arabic" w:hAnsi="Traditional Arabic" w:cs="Traditional Arabic"/>
          <w:sz w:val="32"/>
          <w:szCs w:val="32"/>
        </w:rPr>
        <w:t xml:space="preserve"> </w:t>
      </w:r>
      <w:r w:rsidRPr="00254B75">
        <w:rPr>
          <w:rFonts w:ascii="Traditional Arabic" w:hAnsi="Traditional Arabic" w:cs="Traditional Arabic"/>
          <w:sz w:val="32"/>
          <w:szCs w:val="32"/>
          <w:rtl/>
        </w:rPr>
        <w:t>الأغا</w:t>
      </w:r>
      <w:proofErr w:type="gramEnd"/>
      <w:r w:rsidRPr="00254B75">
        <w:rPr>
          <w:rFonts w:ascii="Traditional Arabic" w:hAnsi="Traditional Arabic" w:cs="Traditional Arabic"/>
          <w:sz w:val="32"/>
          <w:szCs w:val="32"/>
          <w:rtl/>
        </w:rPr>
        <w:t>، محمد. (2019). إدارة الأزمات في مستشفى الشهيد محمد يوسف النجار من وجهة نظر العاملين فيها</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إدارة المخاطر والأزمات، 1</w:t>
      </w:r>
      <w:r w:rsidRPr="00254B75">
        <w:rPr>
          <w:rFonts w:ascii="Traditional Arabic" w:hAnsi="Traditional Arabic" w:cs="Traditional Arabic"/>
          <w:sz w:val="32"/>
          <w:szCs w:val="32"/>
        </w:rPr>
        <w:t>(1)</w:t>
      </w:r>
      <w:r w:rsidRPr="00254B75">
        <w:rPr>
          <w:rFonts w:ascii="Traditional Arabic" w:hAnsi="Traditional Arabic" w:cs="Traditional Arabic"/>
          <w:sz w:val="32"/>
          <w:szCs w:val="32"/>
          <w:rtl/>
        </w:rPr>
        <w:t xml:space="preserve">، </w:t>
      </w:r>
      <w:r w:rsidR="008D6DE5" w:rsidRPr="00254B75">
        <w:rPr>
          <w:rFonts w:ascii="Traditional Arabic" w:hAnsi="Traditional Arabic" w:cs="Traditional Arabic" w:hint="cs"/>
          <w:sz w:val="32"/>
          <w:szCs w:val="32"/>
          <w:rtl/>
        </w:rPr>
        <w:t>1-20.</w:t>
      </w:r>
    </w:p>
    <w:p w14:paraId="3FA8C2FB" w14:textId="5B28FA01"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جنيدي، أحمد. (2024). أثر الذكاء الاصطناعي على التطوير التنظيمي: دراسة ميدانية على شركة مصر للتأمين</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البحوث المالية والتجارية، 25</w:t>
      </w:r>
      <w:r w:rsidRPr="00254B75">
        <w:rPr>
          <w:rFonts w:ascii="Traditional Arabic" w:hAnsi="Traditional Arabic" w:cs="Traditional Arabic"/>
          <w:sz w:val="32"/>
          <w:szCs w:val="32"/>
        </w:rPr>
        <w:t>(2)</w:t>
      </w:r>
      <w:r w:rsidRPr="00254B75">
        <w:rPr>
          <w:rFonts w:ascii="Traditional Arabic" w:hAnsi="Traditional Arabic" w:cs="Traditional Arabic"/>
          <w:sz w:val="32"/>
          <w:szCs w:val="32"/>
          <w:rtl/>
        </w:rPr>
        <w:t>، 511</w:t>
      </w:r>
      <w:r w:rsidR="008D6DE5" w:rsidRPr="00254B75">
        <w:rPr>
          <w:rFonts w:ascii="Traditional Arabic" w:hAnsi="Traditional Arabic" w:cs="Traditional Arabic" w:hint="cs"/>
          <w:sz w:val="32"/>
          <w:szCs w:val="32"/>
          <w:rtl/>
        </w:rPr>
        <w:t>-545.</w:t>
      </w:r>
    </w:p>
    <w:p w14:paraId="484CEFAC" w14:textId="00826ED0"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الجهني، أمل. (2022). معوقات التحول الرقمي في القطاع الصحي السعودي: دراسة تحليلية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المجلة العربية للإدارة، 42</w:t>
      </w:r>
      <w:r w:rsidRPr="00254B75">
        <w:rPr>
          <w:rFonts w:ascii="Traditional Arabic" w:hAnsi="Traditional Arabic" w:cs="Traditional Arabic"/>
          <w:sz w:val="32"/>
          <w:szCs w:val="32"/>
        </w:rPr>
        <w:t>(4)</w:t>
      </w:r>
      <w:r w:rsidRPr="00254B75">
        <w:rPr>
          <w:rFonts w:ascii="Traditional Arabic" w:hAnsi="Traditional Arabic" w:cs="Traditional Arabic"/>
          <w:sz w:val="32"/>
          <w:szCs w:val="32"/>
          <w:rtl/>
        </w:rPr>
        <w:t>، 89</w:t>
      </w:r>
      <w:r w:rsidR="008D6DE5" w:rsidRPr="00254B75">
        <w:rPr>
          <w:rFonts w:ascii="Traditional Arabic" w:hAnsi="Traditional Arabic" w:cs="Traditional Arabic" w:hint="cs"/>
          <w:sz w:val="32"/>
          <w:szCs w:val="32"/>
          <w:rtl/>
        </w:rPr>
        <w:t>-112.</w:t>
      </w:r>
    </w:p>
    <w:p w14:paraId="4A93872E" w14:textId="0CFB6F10"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جواد، ندى عبد الحسن. (2023). أثر استخدام تكنولوجيا المعلومات على الإبداع الإداري: دراسة ميدانية على القطاع المصرفي العراقي</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البحوث القانونية والاقتصادية، 6</w:t>
      </w:r>
      <w:r w:rsidRPr="00254B75">
        <w:rPr>
          <w:rFonts w:ascii="Traditional Arabic" w:hAnsi="Traditional Arabic" w:cs="Traditional Arabic"/>
          <w:sz w:val="32"/>
          <w:szCs w:val="32"/>
        </w:rPr>
        <w:t>(1)</w:t>
      </w:r>
      <w:r w:rsidRPr="00254B75">
        <w:rPr>
          <w:rFonts w:ascii="Traditional Arabic" w:hAnsi="Traditional Arabic" w:cs="Traditional Arabic"/>
          <w:sz w:val="32"/>
          <w:szCs w:val="32"/>
          <w:rtl/>
        </w:rPr>
        <w:t>،</w:t>
      </w:r>
      <w:r w:rsidR="008D6DE5" w:rsidRPr="00254B75">
        <w:rPr>
          <w:rFonts w:ascii="Traditional Arabic" w:hAnsi="Traditional Arabic" w:cs="Traditional Arabic" w:hint="cs"/>
          <w:sz w:val="32"/>
          <w:szCs w:val="32"/>
          <w:rtl/>
        </w:rPr>
        <w:t>1-16.</w:t>
      </w:r>
    </w:p>
    <w:p w14:paraId="18B5C68E"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جوارنه، محمد. (2021). ما هو مجال تقنية المعلومات؟ </w:t>
      </w:r>
      <w:hyperlink r:id="rId16" w:tgtFrame="_new" w:history="1">
        <w:r w:rsidRPr="00254B75">
          <w:rPr>
            <w:rStyle w:val="Hyperlink"/>
            <w:rFonts w:ascii="Traditional Arabic" w:hAnsi="Traditional Arabic" w:cs="Traditional Arabic"/>
            <w:sz w:val="32"/>
            <w:szCs w:val="32"/>
          </w:rPr>
          <w:t>https://mawdoo3.com/</w:t>
        </w:r>
      </w:hyperlink>
    </w:p>
    <w:p w14:paraId="108EFD12" w14:textId="1A32D5BE"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حاج لعروسي، مارية، منوني، حورية، </w:t>
      </w:r>
      <w:r w:rsidR="008D6DE5" w:rsidRPr="00254B75">
        <w:rPr>
          <w:rFonts w:ascii="Traditional Arabic" w:hAnsi="Traditional Arabic" w:cs="Traditional Arabic" w:hint="cs"/>
          <w:sz w:val="32"/>
          <w:szCs w:val="32"/>
          <w:rtl/>
        </w:rPr>
        <w:t>وعباسي</w:t>
      </w:r>
      <w:r w:rsidRPr="00254B75">
        <w:rPr>
          <w:rFonts w:ascii="Traditional Arabic" w:hAnsi="Traditional Arabic" w:cs="Traditional Arabic"/>
          <w:sz w:val="32"/>
          <w:szCs w:val="32"/>
          <w:rtl/>
        </w:rPr>
        <w:t>، موسى. (2022). التطوير التنظيمي وعلاقته بالالتزام التنظيمي من وجهة نظر العاملين بمؤسسة سونلغاز (رسالة ماجستير غير منشورة). جامعة المسيلة، الجزائر</w:t>
      </w:r>
      <w:r w:rsidRPr="00254B75">
        <w:rPr>
          <w:rFonts w:ascii="Traditional Arabic" w:hAnsi="Traditional Arabic" w:cs="Traditional Arabic"/>
          <w:sz w:val="32"/>
          <w:szCs w:val="32"/>
        </w:rPr>
        <w:t>.</w:t>
      </w:r>
    </w:p>
    <w:p w14:paraId="588F59F4" w14:textId="6F346900"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الحبابي، سالم. (2024). أثر الرقابة الاستراتيجية في تحسين كفاءة إدارة الأزمات في الشركات الصناعية الأردنية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إدارة المخاطر والأزمات، 5</w:t>
      </w:r>
      <w:r w:rsidRPr="00254B75">
        <w:rPr>
          <w:rFonts w:ascii="Traditional Arabic" w:hAnsi="Traditional Arabic" w:cs="Traditional Arabic"/>
          <w:sz w:val="32"/>
          <w:szCs w:val="32"/>
        </w:rPr>
        <w:t>(2)</w:t>
      </w:r>
      <w:r w:rsidRPr="00254B75">
        <w:rPr>
          <w:rFonts w:ascii="Traditional Arabic" w:hAnsi="Traditional Arabic" w:cs="Traditional Arabic"/>
          <w:sz w:val="32"/>
          <w:szCs w:val="32"/>
          <w:rtl/>
        </w:rPr>
        <w:t xml:space="preserve">، </w:t>
      </w:r>
      <w:r w:rsidR="008D6DE5" w:rsidRPr="00254B75">
        <w:rPr>
          <w:rFonts w:ascii="Traditional Arabic" w:hAnsi="Traditional Arabic" w:cs="Traditional Arabic" w:hint="cs"/>
          <w:sz w:val="32"/>
          <w:szCs w:val="32"/>
          <w:rtl/>
        </w:rPr>
        <w:t>1-16.</w:t>
      </w:r>
    </w:p>
    <w:p w14:paraId="0E7ACB3F" w14:textId="383B2EB9"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حبيشي، نهى. (2021). تقييم استخدام إدارة المخاطر في المحاسبة الإدارية الحديثة بهدف إدارة تكلفة سلسلة القيمة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البحوث المالية والتجارية، 22</w:t>
      </w:r>
      <w:r w:rsidRPr="00254B75">
        <w:rPr>
          <w:rFonts w:ascii="Traditional Arabic" w:hAnsi="Traditional Arabic" w:cs="Traditional Arabic"/>
          <w:sz w:val="32"/>
          <w:szCs w:val="32"/>
        </w:rPr>
        <w:t>(3)</w:t>
      </w:r>
      <w:r w:rsidRPr="00254B75">
        <w:rPr>
          <w:rFonts w:ascii="Traditional Arabic" w:hAnsi="Traditional Arabic" w:cs="Traditional Arabic"/>
          <w:sz w:val="32"/>
          <w:szCs w:val="32"/>
          <w:rtl/>
        </w:rPr>
        <w:t xml:space="preserve">، </w:t>
      </w:r>
      <w:r w:rsidR="008D6DE5" w:rsidRPr="00254B75">
        <w:rPr>
          <w:rFonts w:ascii="Traditional Arabic" w:hAnsi="Traditional Arabic" w:cs="Traditional Arabic" w:hint="cs"/>
          <w:sz w:val="32"/>
          <w:szCs w:val="32"/>
          <w:rtl/>
        </w:rPr>
        <w:t>1240-</w:t>
      </w:r>
      <w:r w:rsidRPr="00254B75">
        <w:rPr>
          <w:rFonts w:ascii="Traditional Arabic" w:hAnsi="Traditional Arabic" w:cs="Traditional Arabic"/>
          <w:sz w:val="32"/>
          <w:szCs w:val="32"/>
          <w:rtl/>
        </w:rPr>
        <w:t>12</w:t>
      </w:r>
      <w:r w:rsidR="008D6DE5" w:rsidRPr="00254B75">
        <w:rPr>
          <w:rFonts w:ascii="Traditional Arabic" w:hAnsi="Traditional Arabic" w:cs="Traditional Arabic" w:hint="cs"/>
          <w:sz w:val="32"/>
          <w:szCs w:val="32"/>
          <w:rtl/>
        </w:rPr>
        <w:t>65</w:t>
      </w:r>
      <w:r w:rsidRPr="00254B75">
        <w:rPr>
          <w:rFonts w:ascii="Traditional Arabic" w:hAnsi="Traditional Arabic" w:cs="Traditional Arabic"/>
          <w:sz w:val="32"/>
          <w:szCs w:val="32"/>
        </w:rPr>
        <w:t>.</w:t>
      </w:r>
    </w:p>
    <w:p w14:paraId="17D3EF0E" w14:textId="6E908C9C"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الحربي، عبد العزيز بن مصلح شتيان. (2019). تأثير العوامل البيئية الداخلية على تحقيق أهداف المنظمة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المجلة الدولية لنشر البحوث والدراسات،</w:t>
      </w:r>
      <w:r w:rsidRPr="00254B75">
        <w:rPr>
          <w:rFonts w:ascii="Traditional Arabic" w:hAnsi="Traditional Arabic" w:cs="Traditional Arabic"/>
          <w:sz w:val="32"/>
          <w:szCs w:val="32"/>
          <w:rtl/>
        </w:rPr>
        <w:t xml:space="preserve"> </w:t>
      </w:r>
      <w:r w:rsidRPr="00254B75">
        <w:rPr>
          <w:rFonts w:ascii="Traditional Arabic" w:hAnsi="Traditional Arabic" w:cs="Traditional Arabic"/>
          <w:sz w:val="32"/>
          <w:szCs w:val="32"/>
        </w:rPr>
        <w:t>(67)</w:t>
      </w:r>
      <w:r w:rsidRPr="00254B75">
        <w:rPr>
          <w:rFonts w:ascii="Traditional Arabic" w:hAnsi="Traditional Arabic" w:cs="Traditional Arabic"/>
          <w:sz w:val="32"/>
          <w:szCs w:val="32"/>
          <w:rtl/>
        </w:rPr>
        <w:t xml:space="preserve">، </w:t>
      </w:r>
      <w:r w:rsidR="008D6DE5" w:rsidRPr="00254B75">
        <w:rPr>
          <w:rFonts w:ascii="Traditional Arabic" w:hAnsi="Traditional Arabic" w:cs="Traditional Arabic" w:hint="cs"/>
          <w:sz w:val="32"/>
          <w:szCs w:val="32"/>
          <w:rtl/>
        </w:rPr>
        <w:t>212- 251.</w:t>
      </w:r>
    </w:p>
    <w:p w14:paraId="3886A448" w14:textId="534B5CEC"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lastRenderedPageBreak/>
        <w:t>الحربي، محمد، بالخيور، منصور،</w:t>
      </w:r>
      <w:r w:rsidR="008D6DE5" w:rsidRPr="00254B75">
        <w:rPr>
          <w:rFonts w:ascii="Traditional Arabic" w:hAnsi="Traditional Arabic" w:cs="Traditional Arabic" w:hint="cs"/>
          <w:sz w:val="32"/>
          <w:szCs w:val="32"/>
          <w:rtl/>
        </w:rPr>
        <w:t xml:space="preserve"> و</w:t>
      </w:r>
      <w:r w:rsidRPr="00254B75">
        <w:rPr>
          <w:rFonts w:ascii="Traditional Arabic" w:hAnsi="Traditional Arabic" w:cs="Traditional Arabic"/>
          <w:sz w:val="32"/>
          <w:szCs w:val="32"/>
          <w:rtl/>
        </w:rPr>
        <w:t>مدكور، محمد. (2020). مستوى وعي العاملين في مجال الرعاية الصحية تجاه التعرض المهني الميكروبي</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المجلة العربية للعلوم ونشر الأبحاث – مجلة إدارة المخاطر والأزمات، 2</w:t>
      </w:r>
      <w:r w:rsidRPr="00254B75">
        <w:rPr>
          <w:rFonts w:ascii="Traditional Arabic" w:hAnsi="Traditional Arabic" w:cs="Traditional Arabic"/>
          <w:sz w:val="32"/>
          <w:szCs w:val="32"/>
        </w:rPr>
        <w:t>(1</w:t>
      </w:r>
      <w:r w:rsidR="008D6DE5" w:rsidRPr="00254B75">
        <w:rPr>
          <w:rFonts w:ascii="Traditional Arabic" w:hAnsi="Traditional Arabic" w:cs="Traditional Arabic"/>
          <w:sz w:val="32"/>
          <w:szCs w:val="32"/>
        </w:rPr>
        <w:t>)</w:t>
      </w:r>
      <w:r w:rsidR="008D6DE5" w:rsidRPr="00254B75">
        <w:rPr>
          <w:rFonts w:ascii="Traditional Arabic" w:hAnsi="Traditional Arabic" w:cs="Traditional Arabic" w:hint="cs"/>
          <w:sz w:val="32"/>
          <w:szCs w:val="32"/>
          <w:rtl/>
        </w:rPr>
        <w:t>، 1-26.</w:t>
      </w:r>
    </w:p>
    <w:p w14:paraId="205940D7" w14:textId="188F2271"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حسن، رضوه فؤاد، مصطفى، يوسف عبد المعطي، </w:t>
      </w:r>
      <w:proofErr w:type="gramStart"/>
      <w:r w:rsidR="008D6DE5" w:rsidRPr="00254B75">
        <w:rPr>
          <w:rFonts w:ascii="Traditional Arabic" w:hAnsi="Traditional Arabic" w:cs="Traditional Arabic" w:hint="cs"/>
          <w:sz w:val="32"/>
          <w:szCs w:val="32"/>
          <w:rtl/>
        </w:rPr>
        <w:t xml:space="preserve">و </w:t>
      </w:r>
      <w:r w:rsidRPr="00254B75">
        <w:rPr>
          <w:rFonts w:ascii="Traditional Arabic" w:hAnsi="Traditional Arabic" w:cs="Traditional Arabic"/>
          <w:sz w:val="32"/>
          <w:szCs w:val="32"/>
          <w:rtl/>
        </w:rPr>
        <w:t>مخلوف</w:t>
      </w:r>
      <w:proofErr w:type="gramEnd"/>
      <w:r w:rsidRPr="00254B75">
        <w:rPr>
          <w:rFonts w:ascii="Traditional Arabic" w:hAnsi="Traditional Arabic" w:cs="Traditional Arabic"/>
          <w:sz w:val="32"/>
          <w:szCs w:val="32"/>
          <w:rtl/>
        </w:rPr>
        <w:t>، سميحة علي. (2022). دور التطوير التنظيمي في تحسين أداء العاملين</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جامعة الفيوم للعلوم التربوية والنفسية، 16</w:t>
      </w:r>
      <w:r w:rsidRPr="00254B75">
        <w:rPr>
          <w:rFonts w:ascii="Traditional Arabic" w:hAnsi="Traditional Arabic" w:cs="Traditional Arabic"/>
          <w:sz w:val="32"/>
          <w:szCs w:val="32"/>
        </w:rPr>
        <w:t>(9)</w:t>
      </w:r>
      <w:r w:rsidRPr="00254B75">
        <w:rPr>
          <w:rFonts w:ascii="Traditional Arabic" w:hAnsi="Traditional Arabic" w:cs="Traditional Arabic"/>
          <w:sz w:val="32"/>
          <w:szCs w:val="32"/>
          <w:rtl/>
        </w:rPr>
        <w:t>، 178</w:t>
      </w:r>
      <w:r w:rsidR="008D6DE5" w:rsidRPr="00254B75">
        <w:rPr>
          <w:rFonts w:ascii="Traditional Arabic" w:hAnsi="Traditional Arabic" w:cs="Traditional Arabic" w:hint="cs"/>
          <w:sz w:val="32"/>
          <w:szCs w:val="32"/>
          <w:rtl/>
        </w:rPr>
        <w:t>- 245.</w:t>
      </w:r>
    </w:p>
    <w:p w14:paraId="1B19340D"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حسن، يوسف. (2021). أثر التمكين الإداري في المؤسسة الأمنية الفلسطينية على تحقيق التنمية المستدامة (رسالة ماجستير غير منشورة). جامعة القدس المفتوحة، فلسطين</w:t>
      </w:r>
      <w:r w:rsidRPr="00254B75">
        <w:rPr>
          <w:rFonts w:ascii="Traditional Arabic" w:hAnsi="Traditional Arabic" w:cs="Traditional Arabic"/>
          <w:sz w:val="32"/>
          <w:szCs w:val="32"/>
        </w:rPr>
        <w:t>.</w:t>
      </w:r>
    </w:p>
    <w:p w14:paraId="30EE9630" w14:textId="505F8AF0"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حسنين، منال سيد. (2022). التطوير التنظيمي للمدارس المصرية اليابانية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كلية التربية في العلوم التربوية، 46</w:t>
      </w:r>
      <w:r w:rsidRPr="00254B75">
        <w:rPr>
          <w:rFonts w:ascii="Traditional Arabic" w:hAnsi="Traditional Arabic" w:cs="Traditional Arabic"/>
          <w:sz w:val="32"/>
          <w:szCs w:val="32"/>
        </w:rPr>
        <w:t>(1)</w:t>
      </w:r>
      <w:r w:rsidRPr="00254B75">
        <w:rPr>
          <w:rFonts w:ascii="Traditional Arabic" w:hAnsi="Traditional Arabic" w:cs="Traditional Arabic"/>
          <w:sz w:val="32"/>
          <w:szCs w:val="32"/>
          <w:rtl/>
        </w:rPr>
        <w:t>، 177</w:t>
      </w:r>
      <w:r w:rsidR="009F3FF9" w:rsidRPr="00254B75">
        <w:rPr>
          <w:rFonts w:ascii="Traditional Arabic" w:hAnsi="Traditional Arabic" w:cs="Traditional Arabic" w:hint="cs"/>
          <w:sz w:val="32"/>
          <w:szCs w:val="32"/>
          <w:rtl/>
        </w:rPr>
        <w:t>-326.</w:t>
      </w:r>
    </w:p>
    <w:p w14:paraId="4C048382" w14:textId="30BF3DF9"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حسين، سارة محمود،</w:t>
      </w:r>
      <w:r w:rsidR="009F3FF9" w:rsidRPr="00254B75">
        <w:rPr>
          <w:rFonts w:ascii="Traditional Arabic" w:hAnsi="Traditional Arabic" w:cs="Traditional Arabic" w:hint="cs"/>
          <w:sz w:val="32"/>
          <w:szCs w:val="32"/>
          <w:rtl/>
        </w:rPr>
        <w:t xml:space="preserve"> و</w:t>
      </w:r>
      <w:r w:rsidR="009F3FF9" w:rsidRPr="00254B75">
        <w:rPr>
          <w:rFonts w:ascii="Traditional Arabic" w:hAnsi="Traditional Arabic" w:cs="Traditional Arabic"/>
          <w:sz w:val="32"/>
          <w:szCs w:val="32"/>
          <w:rtl/>
        </w:rPr>
        <w:t>أحمد</w:t>
      </w:r>
      <w:r w:rsidRPr="00254B75">
        <w:rPr>
          <w:rFonts w:ascii="Traditional Arabic" w:hAnsi="Traditional Arabic" w:cs="Traditional Arabic"/>
          <w:sz w:val="32"/>
          <w:szCs w:val="32"/>
          <w:rtl/>
        </w:rPr>
        <w:t>، نضال رؤوف. (2020). استخدام تكنولوجيا المعلومات والاتصالات في أرشفة البيانات</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دراسات محاسبية ومالية، 15</w:t>
      </w:r>
      <w:r w:rsidRPr="00254B75">
        <w:rPr>
          <w:rFonts w:ascii="Traditional Arabic" w:hAnsi="Traditional Arabic" w:cs="Traditional Arabic"/>
          <w:sz w:val="32"/>
          <w:szCs w:val="32"/>
        </w:rPr>
        <w:t>(50)</w:t>
      </w:r>
      <w:r w:rsidRPr="00254B75">
        <w:rPr>
          <w:rFonts w:ascii="Traditional Arabic" w:hAnsi="Traditional Arabic" w:cs="Traditional Arabic"/>
          <w:sz w:val="32"/>
          <w:szCs w:val="32"/>
          <w:rtl/>
        </w:rPr>
        <w:t xml:space="preserve">، </w:t>
      </w:r>
      <w:r w:rsidRPr="00254B75">
        <w:rPr>
          <w:rFonts w:ascii="Traditional Arabic" w:hAnsi="Traditional Arabic" w:cs="Traditional Arabic" w:hint="cs"/>
          <w:sz w:val="32"/>
          <w:szCs w:val="32"/>
          <w:rtl/>
        </w:rPr>
        <w:t>1-9.</w:t>
      </w:r>
    </w:p>
    <w:p w14:paraId="0288E70B" w14:textId="04E4F78C"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حليبية، كندة يحيى. (2020). متطلبات فعالية إجراءات إدارة المخاطر في القطاع المصرفي السوري</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جامعة تشرين للبحوث والدراسات العلمية – سلسلة العلوم الاقتصادية والقانونية، 42</w:t>
      </w:r>
      <w:r w:rsidRPr="00254B75">
        <w:rPr>
          <w:rFonts w:ascii="Traditional Arabic" w:hAnsi="Traditional Arabic" w:cs="Traditional Arabic"/>
          <w:sz w:val="32"/>
          <w:szCs w:val="32"/>
        </w:rPr>
        <w:t>(5)</w:t>
      </w:r>
      <w:r w:rsidRPr="00254B75">
        <w:rPr>
          <w:rFonts w:ascii="Traditional Arabic" w:hAnsi="Traditional Arabic" w:cs="Traditional Arabic"/>
          <w:sz w:val="32"/>
          <w:szCs w:val="32"/>
          <w:rtl/>
        </w:rPr>
        <w:t xml:space="preserve">، </w:t>
      </w:r>
      <w:r w:rsidRPr="00254B75">
        <w:rPr>
          <w:rFonts w:ascii="Traditional Arabic" w:hAnsi="Traditional Arabic" w:cs="Traditional Arabic" w:hint="cs"/>
          <w:sz w:val="32"/>
          <w:szCs w:val="32"/>
          <w:rtl/>
        </w:rPr>
        <w:t>431-447</w:t>
      </w:r>
    </w:p>
    <w:p w14:paraId="5914425F"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حميدي، عيسى. (2020). أثر استخدام التكنولوجيا الحديثة على الهوية الثقافية لدى الطلبة الجامعيين (رسالة ماجستير غير منشورة). جامعة المسيلة، الجزائر</w:t>
      </w:r>
      <w:r w:rsidRPr="00254B75">
        <w:rPr>
          <w:rFonts w:ascii="Traditional Arabic" w:hAnsi="Traditional Arabic" w:cs="Traditional Arabic"/>
          <w:sz w:val="32"/>
          <w:szCs w:val="32"/>
        </w:rPr>
        <w:t>.</w:t>
      </w:r>
    </w:p>
    <w:p w14:paraId="79432B40"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حميمش، نرجس. (2017). دور تدقيق أنظمة تكنولوجيا المعلومات في الحد من مخاطر المعاملات المصرفية الإلكترونية (رسالة ماجستير غير منشورة). جامعة أدرار، الجزائر</w:t>
      </w:r>
      <w:r w:rsidRPr="00254B75">
        <w:rPr>
          <w:rFonts w:ascii="Traditional Arabic" w:hAnsi="Traditional Arabic" w:cs="Traditional Arabic"/>
          <w:sz w:val="32"/>
          <w:szCs w:val="32"/>
        </w:rPr>
        <w:t>.</w:t>
      </w:r>
    </w:p>
    <w:p w14:paraId="20DF26F2" w14:textId="237DC90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حواطي، أمال، </w:t>
      </w:r>
      <w:proofErr w:type="gramStart"/>
      <w:r w:rsidR="009F3FF9" w:rsidRPr="00254B75">
        <w:rPr>
          <w:rFonts w:ascii="Traditional Arabic" w:hAnsi="Traditional Arabic" w:cs="Traditional Arabic" w:hint="cs"/>
          <w:sz w:val="32"/>
          <w:szCs w:val="32"/>
          <w:rtl/>
        </w:rPr>
        <w:t>و</w:t>
      </w:r>
      <w:r w:rsidRPr="00254B75">
        <w:rPr>
          <w:rFonts w:ascii="Traditional Arabic" w:hAnsi="Traditional Arabic" w:cs="Traditional Arabic"/>
          <w:sz w:val="32"/>
          <w:szCs w:val="32"/>
        </w:rPr>
        <w:t xml:space="preserve"> </w:t>
      </w:r>
      <w:r w:rsidRPr="00254B75">
        <w:rPr>
          <w:rFonts w:ascii="Traditional Arabic" w:hAnsi="Traditional Arabic" w:cs="Traditional Arabic"/>
          <w:sz w:val="32"/>
          <w:szCs w:val="32"/>
          <w:rtl/>
        </w:rPr>
        <w:t>بارود</w:t>
      </w:r>
      <w:proofErr w:type="gramEnd"/>
      <w:r w:rsidRPr="00254B75">
        <w:rPr>
          <w:rFonts w:ascii="Traditional Arabic" w:hAnsi="Traditional Arabic" w:cs="Traditional Arabic"/>
          <w:sz w:val="32"/>
          <w:szCs w:val="32"/>
          <w:rtl/>
        </w:rPr>
        <w:t>، أسامة. (2022). دور تكنولوجيا المعلومات في دعم إدارة المعرفة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رقمنة: مجلة الدراسات الإعلامية والاتصالية، 2</w:t>
      </w:r>
      <w:r w:rsidRPr="00254B75">
        <w:rPr>
          <w:rFonts w:ascii="Traditional Arabic" w:hAnsi="Traditional Arabic" w:cs="Traditional Arabic"/>
          <w:sz w:val="32"/>
          <w:szCs w:val="32"/>
        </w:rPr>
        <w:t>(2)</w:t>
      </w:r>
      <w:r w:rsidRPr="00254B75">
        <w:rPr>
          <w:rFonts w:ascii="Traditional Arabic" w:hAnsi="Traditional Arabic" w:cs="Traditional Arabic"/>
          <w:sz w:val="32"/>
          <w:szCs w:val="32"/>
          <w:rtl/>
        </w:rPr>
        <w:t xml:space="preserve">، </w:t>
      </w:r>
      <w:r w:rsidRPr="00254B75">
        <w:rPr>
          <w:rFonts w:ascii="Traditional Arabic" w:hAnsi="Traditional Arabic" w:cs="Traditional Arabic" w:hint="cs"/>
          <w:sz w:val="32"/>
          <w:szCs w:val="32"/>
          <w:rtl/>
        </w:rPr>
        <w:t>98-110.</w:t>
      </w:r>
    </w:p>
    <w:p w14:paraId="2BE5CC96"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proofErr w:type="gramStart"/>
      <w:r w:rsidRPr="00254B75">
        <w:rPr>
          <w:rFonts w:ascii="Traditional Arabic" w:hAnsi="Traditional Arabic" w:cs="Traditional Arabic"/>
          <w:sz w:val="32"/>
          <w:szCs w:val="32"/>
          <w:rtl/>
        </w:rPr>
        <w:t>الحياري</w:t>
      </w:r>
      <w:proofErr w:type="gramEnd"/>
      <w:r w:rsidRPr="00254B75">
        <w:rPr>
          <w:rFonts w:ascii="Traditional Arabic" w:hAnsi="Traditional Arabic" w:cs="Traditional Arabic"/>
          <w:sz w:val="32"/>
          <w:szCs w:val="32"/>
          <w:rtl/>
        </w:rPr>
        <w:t>، إيمان. (2023). استخدامات وتطبيقات الذكاء الاصطناعي في التعليم</w:t>
      </w:r>
      <w:r w:rsidRPr="00254B75">
        <w:rPr>
          <w:rFonts w:ascii="Traditional Arabic" w:hAnsi="Traditional Arabic" w:cs="Traditional Arabic"/>
          <w:sz w:val="32"/>
          <w:szCs w:val="32"/>
        </w:rPr>
        <w:t xml:space="preserve">. </w:t>
      </w:r>
      <w:hyperlink r:id="rId17" w:tgtFrame="_new" w:history="1">
        <w:r w:rsidRPr="00254B75">
          <w:rPr>
            <w:rStyle w:val="Hyperlink"/>
            <w:rFonts w:ascii="Traditional Arabic" w:hAnsi="Traditional Arabic" w:cs="Traditional Arabic"/>
            <w:sz w:val="32"/>
            <w:szCs w:val="32"/>
          </w:rPr>
          <w:t>https://www.mah6at.net/</w:t>
        </w:r>
      </w:hyperlink>
    </w:p>
    <w:p w14:paraId="29E65296"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خليل، نجلاء سيد</w:t>
      </w:r>
      <w:r w:rsidRPr="00254B75">
        <w:rPr>
          <w:rFonts w:ascii="Traditional Arabic" w:hAnsi="Traditional Arabic" w:cs="Traditional Arabic"/>
          <w:sz w:val="32"/>
          <w:szCs w:val="32"/>
        </w:rPr>
        <w:t xml:space="preserve">. (2015). </w:t>
      </w:r>
      <w:r w:rsidRPr="00254B75">
        <w:rPr>
          <w:rFonts w:ascii="Traditional Arabic" w:hAnsi="Traditional Arabic" w:cs="Traditional Arabic"/>
          <w:i/>
          <w:iCs/>
          <w:sz w:val="32"/>
          <w:szCs w:val="32"/>
          <w:rtl/>
        </w:rPr>
        <w:t>مداخل حديثة في إدارة المؤسسات التعليمية</w:t>
      </w:r>
      <w:r w:rsidRPr="00254B75">
        <w:rPr>
          <w:rFonts w:ascii="Traditional Arabic" w:hAnsi="Traditional Arabic" w:cs="Traditional Arabic"/>
          <w:sz w:val="32"/>
          <w:szCs w:val="32"/>
        </w:rPr>
        <w:t xml:space="preserve">. </w:t>
      </w:r>
      <w:r w:rsidRPr="00254B75">
        <w:rPr>
          <w:rFonts w:ascii="Traditional Arabic" w:hAnsi="Traditional Arabic" w:cs="Traditional Arabic"/>
          <w:sz w:val="32"/>
          <w:szCs w:val="32"/>
          <w:rtl/>
        </w:rPr>
        <w:t>دار الفجر للنشر والتوزيع</w:t>
      </w:r>
      <w:r w:rsidRPr="00254B75">
        <w:rPr>
          <w:rFonts w:ascii="Traditional Arabic" w:hAnsi="Traditional Arabic" w:cs="Traditional Arabic"/>
          <w:sz w:val="32"/>
          <w:szCs w:val="32"/>
        </w:rPr>
        <w:t>.</w:t>
      </w:r>
    </w:p>
    <w:p w14:paraId="03FB11E6" w14:textId="46645804"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رقطي، بسمة، </w:t>
      </w:r>
      <w:r w:rsidR="009F3FF9" w:rsidRPr="00254B75">
        <w:rPr>
          <w:rFonts w:ascii="Traditional Arabic" w:hAnsi="Traditional Arabic" w:cs="Traditional Arabic" w:hint="cs"/>
          <w:sz w:val="32"/>
          <w:szCs w:val="32"/>
          <w:rtl/>
        </w:rPr>
        <w:t>و</w:t>
      </w:r>
      <w:r w:rsidR="009F3FF9" w:rsidRPr="00254B75">
        <w:rPr>
          <w:rFonts w:ascii="Traditional Arabic" w:hAnsi="Traditional Arabic" w:cs="Traditional Arabic"/>
          <w:sz w:val="32"/>
          <w:szCs w:val="32"/>
          <w:rtl/>
        </w:rPr>
        <w:t>كركار</w:t>
      </w:r>
      <w:r w:rsidRPr="00254B75">
        <w:rPr>
          <w:rFonts w:ascii="Traditional Arabic" w:hAnsi="Traditional Arabic" w:cs="Traditional Arabic"/>
          <w:sz w:val="32"/>
          <w:szCs w:val="32"/>
          <w:rtl/>
        </w:rPr>
        <w:t>، إيمان. (2022). إدارة المخاطر في المؤسسة الصحية الجزائرية (رسالة ماجستير غير منشورة). جامعة 8 ماي 1945، الجزائر</w:t>
      </w:r>
      <w:r w:rsidRPr="00254B75">
        <w:rPr>
          <w:rFonts w:ascii="Traditional Arabic" w:hAnsi="Traditional Arabic" w:cs="Traditional Arabic"/>
          <w:sz w:val="32"/>
          <w:szCs w:val="32"/>
        </w:rPr>
        <w:t>.</w:t>
      </w:r>
    </w:p>
    <w:p w14:paraId="51EA4A05"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السبيعي، عبد العزيز بدر سعود. (2019). أثر ممارسات إدارة المخاطر الاستراتيجية على نجاح التطوير التنظيمي (رسالة ماجستير غير منشورة). جامعة آل البيت، الأردن</w:t>
      </w:r>
      <w:r w:rsidRPr="00254B75">
        <w:rPr>
          <w:rFonts w:ascii="Traditional Arabic" w:hAnsi="Traditional Arabic" w:cs="Traditional Arabic"/>
          <w:sz w:val="32"/>
          <w:szCs w:val="32"/>
        </w:rPr>
        <w:t>.</w:t>
      </w:r>
    </w:p>
    <w:p w14:paraId="242674C4"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سليمان، إبراهيم عوض. (2021). الدور الوسيط للهيكل التقليدي في العلاقة بين التوجه الاستراتيجي والأداء المؤسسي (أطروحة دكتوراه غير منشورة). جامعة النيلين، السودان</w:t>
      </w:r>
      <w:r w:rsidRPr="00254B75">
        <w:rPr>
          <w:rFonts w:ascii="Traditional Arabic" w:hAnsi="Traditional Arabic" w:cs="Traditional Arabic"/>
          <w:sz w:val="32"/>
          <w:szCs w:val="32"/>
        </w:rPr>
        <w:t>.</w:t>
      </w:r>
    </w:p>
    <w:p w14:paraId="725A3999" w14:textId="5B27290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lastRenderedPageBreak/>
        <w:t>السياري، نورة. (2024). إدارة المخاطر في المدارس الثانوية بالمملكة العربية السعودية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البحث العلمي في التربية، 25</w:t>
      </w:r>
      <w:r w:rsidRPr="00254B75">
        <w:rPr>
          <w:rFonts w:ascii="Traditional Arabic" w:hAnsi="Traditional Arabic" w:cs="Traditional Arabic"/>
          <w:sz w:val="32"/>
          <w:szCs w:val="32"/>
        </w:rPr>
        <w:t>(1)</w:t>
      </w:r>
      <w:r w:rsidRPr="00254B75">
        <w:rPr>
          <w:rFonts w:ascii="Traditional Arabic" w:hAnsi="Traditional Arabic" w:cs="Traditional Arabic"/>
          <w:sz w:val="32"/>
          <w:szCs w:val="32"/>
          <w:rtl/>
        </w:rPr>
        <w:t>، 1</w:t>
      </w:r>
      <w:r w:rsidRPr="00254B75">
        <w:rPr>
          <w:rFonts w:ascii="Traditional Arabic" w:hAnsi="Traditional Arabic" w:cs="Traditional Arabic"/>
          <w:sz w:val="32"/>
          <w:szCs w:val="32"/>
        </w:rPr>
        <w:t>–</w:t>
      </w:r>
      <w:r w:rsidR="009F3FF9" w:rsidRPr="00254B75">
        <w:rPr>
          <w:rFonts w:ascii="Traditional Arabic" w:hAnsi="Traditional Arabic" w:cs="Traditional Arabic" w:hint="cs"/>
          <w:sz w:val="32"/>
          <w:szCs w:val="32"/>
          <w:rtl/>
        </w:rPr>
        <w:t>31.</w:t>
      </w:r>
    </w:p>
    <w:p w14:paraId="0A609DD8" w14:textId="1806E52C"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صحراوي، مروة،</w:t>
      </w:r>
      <w:r w:rsidR="009F3FF9" w:rsidRPr="00254B75">
        <w:rPr>
          <w:rFonts w:ascii="Traditional Arabic" w:hAnsi="Traditional Arabic" w:cs="Traditional Arabic" w:hint="cs"/>
          <w:sz w:val="32"/>
          <w:szCs w:val="32"/>
          <w:rtl/>
        </w:rPr>
        <w:t xml:space="preserve"> و</w:t>
      </w:r>
      <w:r w:rsidRPr="00254B75">
        <w:rPr>
          <w:rFonts w:ascii="Traditional Arabic" w:hAnsi="Traditional Arabic" w:cs="Traditional Arabic"/>
          <w:sz w:val="32"/>
          <w:szCs w:val="32"/>
          <w:rtl/>
        </w:rPr>
        <w:t>مسعودي، زينب. (2023). دور القيادة التحويلية في إحداث التطوير التنظيمي</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المجتمع والرياضة، 6</w:t>
      </w:r>
      <w:r w:rsidRPr="00254B75">
        <w:rPr>
          <w:rFonts w:ascii="Traditional Arabic" w:hAnsi="Traditional Arabic" w:cs="Traditional Arabic"/>
          <w:sz w:val="32"/>
          <w:szCs w:val="32"/>
        </w:rPr>
        <w:t>(1)</w:t>
      </w:r>
      <w:r w:rsidRPr="00254B75">
        <w:rPr>
          <w:rFonts w:ascii="Traditional Arabic" w:hAnsi="Traditional Arabic" w:cs="Traditional Arabic"/>
          <w:sz w:val="32"/>
          <w:szCs w:val="32"/>
          <w:rtl/>
        </w:rPr>
        <w:t>، 1</w:t>
      </w:r>
      <w:r w:rsidR="009F3FF9" w:rsidRPr="00254B75">
        <w:rPr>
          <w:rFonts w:ascii="Traditional Arabic" w:hAnsi="Traditional Arabic" w:cs="Traditional Arabic" w:hint="cs"/>
          <w:sz w:val="32"/>
          <w:szCs w:val="32"/>
          <w:rtl/>
        </w:rPr>
        <w:t>-26.</w:t>
      </w:r>
    </w:p>
    <w:p w14:paraId="35F61FD4" w14:textId="77777777" w:rsidR="001D37F8"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طنوسي، نور الهدى. (2022). دور تكنولوجيا المعلومات والاتصال في التطوير التنظيمي (رسالة ماجستير غير منشورة). جامعة أم البواقي، الجزائر</w:t>
      </w:r>
      <w:r w:rsidRPr="00254B75">
        <w:rPr>
          <w:rFonts w:ascii="Traditional Arabic" w:hAnsi="Traditional Arabic" w:cs="Traditional Arabic"/>
          <w:sz w:val="32"/>
          <w:szCs w:val="32"/>
        </w:rPr>
        <w:t>.</w:t>
      </w:r>
    </w:p>
    <w:p w14:paraId="46B554C7" w14:textId="0B2217C2" w:rsidR="00C671F5" w:rsidRPr="00254B75" w:rsidRDefault="00C671F5" w:rsidP="00254B75">
      <w:pPr>
        <w:pStyle w:val="a6"/>
        <w:numPr>
          <w:ilvl w:val="0"/>
          <w:numId w:val="113"/>
        </w:numPr>
        <w:bidi/>
        <w:spacing w:after="120" w:line="240" w:lineRule="auto"/>
        <w:ind w:left="360"/>
        <w:jc w:val="both"/>
        <w:rPr>
          <w:rStyle w:val="Hyperlink"/>
          <w:rFonts w:ascii="Traditional Arabic" w:hAnsi="Traditional Arabic" w:cs="Traditional Arabic"/>
          <w:color w:val="auto"/>
          <w:sz w:val="32"/>
          <w:szCs w:val="32"/>
          <w:u w:val="none"/>
        </w:rPr>
      </w:pPr>
      <w:r w:rsidRPr="00254B75">
        <w:rPr>
          <w:rFonts w:ascii="Traditional Arabic" w:hAnsi="Traditional Arabic" w:cs="Traditional Arabic"/>
          <w:sz w:val="32"/>
          <w:szCs w:val="32"/>
          <w:rtl/>
        </w:rPr>
        <w:t>عبد الجواد، هيثم عبد العال. (2025). أثر التحول الرقمي على حقوق المواطنين في مواجهة الإدارة العامة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البحوث الفقهية والقانونية،</w:t>
      </w:r>
      <w:r w:rsidR="009F3FF9" w:rsidRPr="00254B75">
        <w:rPr>
          <w:rFonts w:ascii="Traditional Arabic" w:hAnsi="Traditional Arabic" w:cs="Traditional Arabic" w:hint="cs"/>
          <w:sz w:val="32"/>
          <w:szCs w:val="32"/>
          <w:rtl/>
        </w:rPr>
        <w:t xml:space="preserve"> 50(50)،4977،</w:t>
      </w:r>
      <w:r w:rsidRPr="00254B75">
        <w:rPr>
          <w:rFonts w:ascii="Traditional Arabic" w:hAnsi="Traditional Arabic" w:cs="Traditional Arabic"/>
          <w:sz w:val="32"/>
          <w:szCs w:val="32"/>
          <w:rtl/>
        </w:rPr>
        <w:t xml:space="preserve"> </w:t>
      </w:r>
      <w:r w:rsidR="009F3FF9" w:rsidRPr="00254B75">
        <w:rPr>
          <w:rFonts w:ascii="Traditional Arabic" w:hAnsi="Traditional Arabic" w:cs="Traditional Arabic" w:hint="cs"/>
          <w:sz w:val="32"/>
          <w:szCs w:val="32"/>
          <w:rtl/>
        </w:rPr>
        <w:t>5071.</w:t>
      </w:r>
      <w:r w:rsidR="001D37F8" w:rsidRPr="00254B75">
        <w:rPr>
          <w:rFonts w:ascii="Traditional Arabic" w:hAnsi="Traditional Arabic" w:cs="Traditional Arabic" w:hint="cs"/>
          <w:sz w:val="32"/>
          <w:szCs w:val="32"/>
          <w:rtl/>
        </w:rPr>
        <w:t xml:space="preserve"> </w:t>
      </w:r>
      <w:r w:rsidR="001D37F8" w:rsidRPr="00254B75">
        <w:rPr>
          <w:rStyle w:val="Hyperlink"/>
          <w:rFonts w:ascii="Traditional Arabic" w:hAnsi="Traditional Arabic" w:cs="Traditional Arabic"/>
          <w:sz w:val="32"/>
          <w:szCs w:val="32"/>
        </w:rPr>
        <w:t>DOI:</w:t>
      </w:r>
      <w:hyperlink r:id="rId18" w:tgtFrame="_blank" w:history="1">
        <w:r w:rsidR="001D37F8" w:rsidRPr="00254B75">
          <w:rPr>
            <w:rStyle w:val="Hyperlink"/>
            <w:rFonts w:ascii="Traditional Arabic" w:hAnsi="Traditional Arabic" w:cs="Traditional Arabic"/>
            <w:sz w:val="32"/>
            <w:szCs w:val="32"/>
          </w:rPr>
          <w:t>10.21608/jlr.2025.397416.1774</w:t>
        </w:r>
      </w:hyperlink>
    </w:p>
    <w:p w14:paraId="35822E09" w14:textId="65DD509C"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عبد العاطي، عادل السيد. (2022). مداخل التطوير التنظيمي للإدارة المدرسية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البحث في التربية وعلم النفس، 37</w:t>
      </w:r>
      <w:r w:rsidRPr="00254B75">
        <w:rPr>
          <w:rFonts w:ascii="Traditional Arabic" w:hAnsi="Traditional Arabic" w:cs="Traditional Arabic"/>
          <w:sz w:val="32"/>
          <w:szCs w:val="32"/>
        </w:rPr>
        <w:t>(1)</w:t>
      </w:r>
      <w:r w:rsidRPr="00254B75">
        <w:rPr>
          <w:rFonts w:ascii="Traditional Arabic" w:hAnsi="Traditional Arabic" w:cs="Traditional Arabic"/>
          <w:sz w:val="32"/>
          <w:szCs w:val="32"/>
          <w:rtl/>
        </w:rPr>
        <w:t>، 653</w:t>
      </w:r>
      <w:r w:rsidR="009F3FF9" w:rsidRPr="00254B75">
        <w:rPr>
          <w:rFonts w:ascii="Traditional Arabic" w:hAnsi="Traditional Arabic" w:cs="Traditional Arabic" w:hint="cs"/>
          <w:sz w:val="32"/>
          <w:szCs w:val="32"/>
          <w:rtl/>
        </w:rPr>
        <w:t>- 674.</w:t>
      </w:r>
    </w:p>
    <w:p w14:paraId="5E2CDDA5" w14:textId="60F843C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عبد القادر، عادل،</w:t>
      </w:r>
      <w:r w:rsidR="009F3FF9" w:rsidRPr="00254B75">
        <w:rPr>
          <w:rFonts w:ascii="Traditional Arabic" w:hAnsi="Traditional Arabic" w:cs="Traditional Arabic" w:hint="cs"/>
          <w:sz w:val="32"/>
          <w:szCs w:val="32"/>
          <w:rtl/>
        </w:rPr>
        <w:t xml:space="preserve"> </w:t>
      </w:r>
      <w:proofErr w:type="gramStart"/>
      <w:r w:rsidR="009F3FF9" w:rsidRPr="00254B75">
        <w:rPr>
          <w:rFonts w:ascii="Traditional Arabic" w:hAnsi="Traditional Arabic" w:cs="Traditional Arabic" w:hint="cs"/>
          <w:sz w:val="32"/>
          <w:szCs w:val="32"/>
          <w:rtl/>
        </w:rPr>
        <w:t>و</w:t>
      </w:r>
      <w:r w:rsidRPr="00254B75">
        <w:rPr>
          <w:rFonts w:ascii="Traditional Arabic" w:hAnsi="Traditional Arabic" w:cs="Traditional Arabic"/>
          <w:sz w:val="32"/>
          <w:szCs w:val="32"/>
        </w:rPr>
        <w:t xml:space="preserve"> </w:t>
      </w:r>
      <w:r w:rsidRPr="00254B75">
        <w:rPr>
          <w:rFonts w:ascii="Traditional Arabic" w:hAnsi="Traditional Arabic" w:cs="Traditional Arabic"/>
          <w:sz w:val="32"/>
          <w:szCs w:val="32"/>
          <w:rtl/>
        </w:rPr>
        <w:t>أبو</w:t>
      </w:r>
      <w:proofErr w:type="gramEnd"/>
      <w:r w:rsidRPr="00254B75">
        <w:rPr>
          <w:rFonts w:ascii="Traditional Arabic" w:hAnsi="Traditional Arabic" w:cs="Traditional Arabic"/>
          <w:sz w:val="32"/>
          <w:szCs w:val="32"/>
          <w:rtl/>
        </w:rPr>
        <w:t xml:space="preserve"> النصر، مدحت. (2019). بناء مقياس لإدارة المخاطر المؤسسية في المستشفيات المصرية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الدراسات المالية والتجارية، 50</w:t>
      </w:r>
      <w:r w:rsidRPr="00254B75">
        <w:rPr>
          <w:rFonts w:ascii="Traditional Arabic" w:hAnsi="Traditional Arabic" w:cs="Traditional Arabic"/>
          <w:sz w:val="32"/>
          <w:szCs w:val="32"/>
        </w:rPr>
        <w:t>(1)</w:t>
      </w:r>
      <w:r w:rsidRPr="00254B75">
        <w:rPr>
          <w:rFonts w:ascii="Traditional Arabic" w:hAnsi="Traditional Arabic" w:cs="Traditional Arabic"/>
          <w:sz w:val="32"/>
          <w:szCs w:val="32"/>
          <w:rtl/>
        </w:rPr>
        <w:t xml:space="preserve">، </w:t>
      </w:r>
      <w:r w:rsidR="009F3FF9" w:rsidRPr="00254B75">
        <w:rPr>
          <w:rFonts w:ascii="Traditional Arabic" w:hAnsi="Traditional Arabic" w:cs="Traditional Arabic" w:hint="cs"/>
          <w:sz w:val="32"/>
          <w:szCs w:val="32"/>
          <w:rtl/>
        </w:rPr>
        <w:t>550-588.</w:t>
      </w:r>
    </w:p>
    <w:p w14:paraId="7A3FDCA1" w14:textId="7A1775DC"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عبد الهادي، أسماء،</w:t>
      </w:r>
      <w:r w:rsidR="009F3FF9" w:rsidRPr="00254B75">
        <w:rPr>
          <w:rFonts w:ascii="Traditional Arabic" w:hAnsi="Traditional Arabic" w:cs="Traditional Arabic" w:hint="cs"/>
          <w:sz w:val="32"/>
          <w:szCs w:val="32"/>
          <w:rtl/>
        </w:rPr>
        <w:t xml:space="preserve"> </w:t>
      </w:r>
      <w:proofErr w:type="gramStart"/>
      <w:r w:rsidR="009F3FF9" w:rsidRPr="00254B75">
        <w:rPr>
          <w:rFonts w:ascii="Traditional Arabic" w:hAnsi="Traditional Arabic" w:cs="Traditional Arabic" w:hint="cs"/>
          <w:sz w:val="32"/>
          <w:szCs w:val="32"/>
          <w:rtl/>
        </w:rPr>
        <w:t>و</w:t>
      </w:r>
      <w:r w:rsidRPr="00254B75">
        <w:rPr>
          <w:rFonts w:ascii="Traditional Arabic" w:hAnsi="Traditional Arabic" w:cs="Traditional Arabic"/>
          <w:sz w:val="32"/>
          <w:szCs w:val="32"/>
        </w:rPr>
        <w:t xml:space="preserve"> </w:t>
      </w:r>
      <w:r w:rsidRPr="00254B75">
        <w:rPr>
          <w:rFonts w:ascii="Traditional Arabic" w:hAnsi="Traditional Arabic" w:cs="Traditional Arabic"/>
          <w:sz w:val="32"/>
          <w:szCs w:val="32"/>
          <w:rtl/>
        </w:rPr>
        <w:t>قادري</w:t>
      </w:r>
      <w:proofErr w:type="gramEnd"/>
      <w:r w:rsidRPr="00254B75">
        <w:rPr>
          <w:rFonts w:ascii="Traditional Arabic" w:hAnsi="Traditional Arabic" w:cs="Traditional Arabic"/>
          <w:sz w:val="32"/>
          <w:szCs w:val="32"/>
          <w:rtl/>
        </w:rPr>
        <w:t>، محمد. (2022). دور التقنيات الذكية في إدارة المخاطر الصحية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الإدارة والاقتصاد الصحي، 15</w:t>
      </w:r>
      <w:r w:rsidRPr="00254B75">
        <w:rPr>
          <w:rFonts w:ascii="Traditional Arabic" w:hAnsi="Traditional Arabic" w:cs="Traditional Arabic"/>
          <w:sz w:val="32"/>
          <w:szCs w:val="32"/>
        </w:rPr>
        <w:t>(3)</w:t>
      </w:r>
      <w:r w:rsidRPr="00254B75">
        <w:rPr>
          <w:rFonts w:ascii="Traditional Arabic" w:hAnsi="Traditional Arabic" w:cs="Traditional Arabic"/>
          <w:sz w:val="32"/>
          <w:szCs w:val="32"/>
          <w:rtl/>
        </w:rPr>
        <w:t xml:space="preserve">، </w:t>
      </w:r>
      <w:r w:rsidR="001D37F8" w:rsidRPr="00254B75">
        <w:rPr>
          <w:rFonts w:ascii="Traditional Arabic" w:hAnsi="Traditional Arabic" w:cs="Traditional Arabic" w:hint="cs"/>
          <w:sz w:val="32"/>
          <w:szCs w:val="32"/>
          <w:rtl/>
        </w:rPr>
        <w:t>45-67.</w:t>
      </w:r>
    </w:p>
    <w:p w14:paraId="65C69BAA" w14:textId="25B33C78" w:rsidR="001D37F8"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مركز إدارة المخاطر</w:t>
      </w:r>
      <w:r w:rsidRPr="00254B75">
        <w:rPr>
          <w:rFonts w:ascii="Traditional Arabic" w:hAnsi="Traditional Arabic" w:cs="Traditional Arabic"/>
          <w:sz w:val="32"/>
          <w:szCs w:val="32"/>
        </w:rPr>
        <w:t xml:space="preserve">. (2024). </w:t>
      </w:r>
      <w:r w:rsidRPr="00254B75">
        <w:rPr>
          <w:rFonts w:ascii="Traditional Arabic" w:hAnsi="Traditional Arabic" w:cs="Traditional Arabic"/>
          <w:i/>
          <w:iCs/>
          <w:sz w:val="32"/>
          <w:szCs w:val="32"/>
          <w:rtl/>
        </w:rPr>
        <w:t>دليل التعامل مع المخاطر</w:t>
      </w:r>
      <w:r w:rsidRPr="00254B75">
        <w:rPr>
          <w:rFonts w:ascii="Traditional Arabic" w:hAnsi="Traditional Arabic" w:cs="Traditional Arabic"/>
          <w:sz w:val="32"/>
          <w:szCs w:val="32"/>
        </w:rPr>
        <w:t xml:space="preserve">. </w:t>
      </w:r>
      <w:r w:rsidRPr="00254B75">
        <w:rPr>
          <w:rFonts w:ascii="Traditional Arabic" w:hAnsi="Traditional Arabic" w:cs="Traditional Arabic"/>
          <w:sz w:val="32"/>
          <w:szCs w:val="32"/>
          <w:rtl/>
        </w:rPr>
        <w:t>الجامعة الهاشمية</w:t>
      </w:r>
      <w:r w:rsidRPr="00254B75">
        <w:rPr>
          <w:rFonts w:ascii="Traditional Arabic" w:hAnsi="Traditional Arabic" w:cs="Traditional Arabic"/>
          <w:sz w:val="32"/>
          <w:szCs w:val="32"/>
        </w:rPr>
        <w:t>.</w:t>
      </w:r>
      <w:r w:rsidR="001D37F8" w:rsidRPr="00254B75">
        <w:rPr>
          <w:sz w:val="32"/>
          <w:szCs w:val="32"/>
        </w:rPr>
        <w:t xml:space="preserve"> </w:t>
      </w:r>
      <w:hyperlink r:id="rId19" w:history="1">
        <w:r w:rsidR="001D37F8" w:rsidRPr="00254B75">
          <w:rPr>
            <w:rStyle w:val="Hyperlink"/>
            <w:rFonts w:ascii="Traditional Arabic" w:hAnsi="Traditional Arabic" w:cs="Traditional Arabic"/>
            <w:sz w:val="32"/>
            <w:szCs w:val="32"/>
          </w:rPr>
          <w:t>https://hu.edu.jo/Risk_management.pdf</w:t>
        </w:r>
      </w:hyperlink>
    </w:p>
    <w:p w14:paraId="3CA3BA20" w14:textId="7DD8B4B2" w:rsidR="00C671F5" w:rsidRPr="00254B75" w:rsidRDefault="00C671F5" w:rsidP="00254B75">
      <w:pPr>
        <w:pStyle w:val="a6"/>
        <w:numPr>
          <w:ilvl w:val="0"/>
          <w:numId w:val="113"/>
        </w:numPr>
        <w:bidi/>
        <w:spacing w:after="120" w:line="240" w:lineRule="auto"/>
        <w:ind w:left="360"/>
        <w:jc w:val="both"/>
        <w:rPr>
          <w:rStyle w:val="Hyperlink"/>
          <w:rFonts w:ascii="Traditional Arabic" w:hAnsi="Traditional Arabic" w:cs="Traditional Arabic"/>
          <w:color w:val="auto"/>
          <w:sz w:val="32"/>
          <w:szCs w:val="32"/>
          <w:u w:val="none"/>
          <w:rtl/>
        </w:rPr>
      </w:pPr>
      <w:r w:rsidRPr="00254B75">
        <w:rPr>
          <w:rFonts w:ascii="Traditional Arabic" w:hAnsi="Traditional Arabic" w:cs="Traditional Arabic"/>
          <w:sz w:val="32"/>
          <w:szCs w:val="32"/>
          <w:rtl/>
        </w:rPr>
        <w:t>منظمة الصحة العالمية – المكتب الإقليمي لشرق المتوسط</w:t>
      </w:r>
      <w:r w:rsidRPr="00254B75">
        <w:rPr>
          <w:rFonts w:ascii="Traditional Arabic" w:hAnsi="Traditional Arabic" w:cs="Traditional Arabic"/>
          <w:sz w:val="32"/>
          <w:szCs w:val="32"/>
        </w:rPr>
        <w:t xml:space="preserve">. (2024). </w:t>
      </w:r>
      <w:r w:rsidRPr="00254B75">
        <w:rPr>
          <w:rFonts w:ascii="Traditional Arabic" w:hAnsi="Traditional Arabic" w:cs="Traditional Arabic"/>
          <w:sz w:val="32"/>
          <w:szCs w:val="32"/>
          <w:rtl/>
        </w:rPr>
        <w:t>التحول الرقمي في النظم الصحية ومبادرات</w:t>
      </w:r>
      <w:r w:rsidRPr="00254B75">
        <w:rPr>
          <w:rFonts w:ascii="Traditional Arabic" w:hAnsi="Traditional Arabic" w:cs="Traditional Arabic"/>
          <w:i/>
          <w:iCs/>
          <w:sz w:val="32"/>
          <w:szCs w:val="32"/>
          <w:rtl/>
        </w:rPr>
        <w:t xml:space="preserve"> الصحة الرقمية</w:t>
      </w:r>
      <w:r w:rsidRPr="00254B75">
        <w:rPr>
          <w:rFonts w:ascii="Traditional Arabic" w:hAnsi="Traditional Arabic" w:cs="Traditional Arabic" w:hint="cs"/>
          <w:sz w:val="32"/>
          <w:szCs w:val="32"/>
          <w:rtl/>
        </w:rPr>
        <w:t xml:space="preserve"> </w:t>
      </w:r>
      <w:r w:rsidRPr="00254B75">
        <w:rPr>
          <w:rFonts w:ascii="Traditional Arabic" w:hAnsi="Traditional Arabic" w:cs="Traditional Arabic"/>
          <w:sz w:val="32"/>
          <w:szCs w:val="32"/>
        </w:rPr>
        <w:t>.</w:t>
      </w:r>
      <w:r w:rsidRPr="00254B75">
        <w:rPr>
          <w:rStyle w:val="Hyperlink"/>
          <w:sz w:val="32"/>
          <w:szCs w:val="32"/>
        </w:rPr>
        <w:t xml:space="preserve"> </w:t>
      </w:r>
      <w:hyperlink r:id="rId20" w:tgtFrame="_new" w:history="1">
        <w:r w:rsidRPr="00254B75">
          <w:rPr>
            <w:rStyle w:val="Hyperlink"/>
            <w:rFonts w:ascii="Traditional Arabic" w:hAnsi="Traditional Arabic" w:cs="Traditional Arabic"/>
            <w:sz w:val="32"/>
            <w:szCs w:val="32"/>
          </w:rPr>
          <w:t>https://www.emro.who.int</w:t>
        </w:r>
      </w:hyperlink>
    </w:p>
    <w:p w14:paraId="70282B2C"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المهدي، ناصر. (2013). الأهمية الاقتصادية لأساليب إدارة الخطر في المؤسسة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الاقتصاد الجديد،</w:t>
      </w:r>
      <w:r w:rsidRPr="00254B75">
        <w:rPr>
          <w:rFonts w:ascii="Traditional Arabic" w:hAnsi="Traditional Arabic" w:cs="Traditional Arabic"/>
          <w:sz w:val="32"/>
          <w:szCs w:val="32"/>
          <w:rtl/>
        </w:rPr>
        <w:t xml:space="preserve"> </w:t>
      </w:r>
      <w:r w:rsidRPr="00254B75">
        <w:rPr>
          <w:rFonts w:ascii="Traditional Arabic" w:hAnsi="Traditional Arabic" w:cs="Traditional Arabic"/>
          <w:sz w:val="32"/>
          <w:szCs w:val="32"/>
        </w:rPr>
        <w:t>(8)</w:t>
      </w:r>
      <w:r w:rsidRPr="00254B75">
        <w:rPr>
          <w:rFonts w:ascii="Traditional Arabic" w:hAnsi="Traditional Arabic" w:cs="Traditional Arabic"/>
          <w:sz w:val="32"/>
          <w:szCs w:val="32"/>
          <w:rtl/>
        </w:rPr>
        <w:t>، 89</w:t>
      </w:r>
      <w:r w:rsidRPr="00254B75">
        <w:rPr>
          <w:rFonts w:ascii="Traditional Arabic" w:hAnsi="Traditional Arabic" w:cs="Traditional Arabic"/>
          <w:sz w:val="32"/>
          <w:szCs w:val="32"/>
        </w:rPr>
        <w:t>–104.</w:t>
      </w:r>
    </w:p>
    <w:p w14:paraId="500D371C" w14:textId="51CF25BD"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نصر الله، خالد، </w:t>
      </w:r>
      <w:r w:rsidRPr="00254B75">
        <w:rPr>
          <w:rFonts w:ascii="Traditional Arabic" w:hAnsi="Traditional Arabic" w:cs="Traditional Arabic"/>
          <w:sz w:val="32"/>
          <w:szCs w:val="32"/>
        </w:rPr>
        <w:t xml:space="preserve">&amp; </w:t>
      </w:r>
      <w:r w:rsidRPr="00254B75">
        <w:rPr>
          <w:rFonts w:ascii="Traditional Arabic" w:hAnsi="Traditional Arabic" w:cs="Traditional Arabic"/>
          <w:sz w:val="32"/>
          <w:szCs w:val="32"/>
          <w:rtl/>
        </w:rPr>
        <w:t>عباس، أمل. (2020). فاعلية إدارة المخاطر في المنظمات الصحية: مقياس مقترح</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العلوم الإدارية والمالية، 15</w:t>
      </w:r>
      <w:r w:rsidRPr="00254B75">
        <w:rPr>
          <w:rFonts w:ascii="Traditional Arabic" w:hAnsi="Traditional Arabic" w:cs="Traditional Arabic"/>
          <w:sz w:val="32"/>
          <w:szCs w:val="32"/>
        </w:rPr>
        <w:t>(2)</w:t>
      </w:r>
      <w:r w:rsidRPr="00254B75">
        <w:rPr>
          <w:rFonts w:ascii="Traditional Arabic" w:hAnsi="Traditional Arabic" w:cs="Traditional Arabic"/>
          <w:sz w:val="32"/>
          <w:szCs w:val="32"/>
          <w:rtl/>
        </w:rPr>
        <w:t xml:space="preserve">، </w:t>
      </w:r>
      <w:r w:rsidR="001D37F8" w:rsidRPr="00254B75">
        <w:rPr>
          <w:rFonts w:ascii="Traditional Arabic" w:hAnsi="Traditional Arabic" w:cs="Traditional Arabic" w:hint="cs"/>
          <w:sz w:val="32"/>
          <w:szCs w:val="32"/>
          <w:rtl/>
        </w:rPr>
        <w:t>189-215.</w:t>
      </w:r>
    </w:p>
    <w:p w14:paraId="7414A57F" w14:textId="19BF7E95" w:rsidR="001D37F8"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هيئة الوقاية والسلامة – حكومة الشارقة</w:t>
      </w:r>
      <w:r w:rsidRPr="00254B75">
        <w:rPr>
          <w:rFonts w:ascii="Traditional Arabic" w:hAnsi="Traditional Arabic" w:cs="Traditional Arabic"/>
          <w:sz w:val="32"/>
          <w:szCs w:val="32"/>
        </w:rPr>
        <w:t xml:space="preserve">. (2021). </w:t>
      </w:r>
      <w:r w:rsidRPr="00254B75">
        <w:rPr>
          <w:rFonts w:ascii="Traditional Arabic" w:hAnsi="Traditional Arabic" w:cs="Traditional Arabic"/>
          <w:i/>
          <w:iCs/>
          <w:sz w:val="32"/>
          <w:szCs w:val="32"/>
          <w:rtl/>
        </w:rPr>
        <w:t>نظام الشارقة للسلامة والصحة المهنية: دليل الممارسة المهنية – إدارة المخاطر والتحكم فيها</w:t>
      </w:r>
      <w:r w:rsidRPr="00254B75">
        <w:rPr>
          <w:rFonts w:ascii="Traditional Arabic" w:hAnsi="Traditional Arabic" w:cs="Traditional Arabic"/>
          <w:sz w:val="32"/>
          <w:szCs w:val="32"/>
        </w:rPr>
        <w:t>.</w:t>
      </w:r>
      <w:r w:rsidR="001D37F8" w:rsidRPr="00254B75">
        <w:rPr>
          <w:sz w:val="32"/>
          <w:szCs w:val="32"/>
        </w:rPr>
        <w:t xml:space="preserve"> </w:t>
      </w:r>
      <w:hyperlink r:id="rId21" w:history="1">
        <w:r w:rsidR="001D37F8" w:rsidRPr="00254B75">
          <w:rPr>
            <w:rStyle w:val="Hyperlink"/>
            <w:rFonts w:ascii="Traditional Arabic" w:hAnsi="Traditional Arabic" w:cs="Traditional Arabic"/>
            <w:sz w:val="32"/>
            <w:szCs w:val="32"/>
          </w:rPr>
          <w:t>https://mc.spsa.shj.ae</w:t>
        </w:r>
      </w:hyperlink>
    </w:p>
    <w:p w14:paraId="2082A76A"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وزارة الصحة السعودية</w:t>
      </w:r>
      <w:r w:rsidRPr="00254B75">
        <w:rPr>
          <w:rFonts w:ascii="Traditional Arabic" w:hAnsi="Traditional Arabic" w:cs="Traditional Arabic"/>
          <w:sz w:val="32"/>
          <w:szCs w:val="32"/>
        </w:rPr>
        <w:t xml:space="preserve">. (2023). </w:t>
      </w:r>
      <w:r w:rsidRPr="00254B75">
        <w:rPr>
          <w:rFonts w:ascii="Traditional Arabic" w:hAnsi="Traditional Arabic" w:cs="Traditional Arabic"/>
          <w:i/>
          <w:iCs/>
          <w:sz w:val="32"/>
          <w:szCs w:val="32"/>
          <w:rtl/>
        </w:rPr>
        <w:t>الكتاب الإحصائي السنوي للقطاع الصحي 2022</w:t>
      </w:r>
      <w:r w:rsidRPr="00254B75">
        <w:rPr>
          <w:rFonts w:ascii="Traditional Arabic" w:hAnsi="Traditional Arabic" w:cs="Traditional Arabic"/>
          <w:sz w:val="32"/>
          <w:szCs w:val="32"/>
        </w:rPr>
        <w:t xml:space="preserve">. </w:t>
      </w:r>
      <w:hyperlink r:id="rId22" w:tgtFrame="_new" w:history="1">
        <w:r w:rsidRPr="00254B75">
          <w:rPr>
            <w:rStyle w:val="Hyperlink"/>
            <w:rFonts w:ascii="Traditional Arabic" w:hAnsi="Traditional Arabic" w:cs="Traditional Arabic"/>
            <w:sz w:val="32"/>
            <w:szCs w:val="32"/>
          </w:rPr>
          <w:t>https://www.moh.gov.sa/Ministry/Statistics/book/Documents/Statistical-Yearbook-2022.pdf</w:t>
        </w:r>
      </w:hyperlink>
    </w:p>
    <w:p w14:paraId="33ABE3A8" w14:textId="3D1C6C3E" w:rsidR="0090435B" w:rsidRPr="001C5D93" w:rsidRDefault="0090435B" w:rsidP="00A02194">
      <w:pPr>
        <w:pStyle w:val="a6"/>
        <w:bidi/>
        <w:spacing w:after="120" w:line="240" w:lineRule="auto"/>
        <w:ind w:left="0"/>
        <w:jc w:val="both"/>
        <w:rPr>
          <w:rFonts w:ascii="Traditional Arabic" w:hAnsi="Traditional Arabic" w:cs="Traditional Arabic"/>
          <w:bCs/>
          <w:sz w:val="32"/>
          <w:szCs w:val="32"/>
          <w:rtl/>
        </w:rPr>
      </w:pPr>
      <w:r w:rsidRPr="001C5D93">
        <w:rPr>
          <w:rFonts w:ascii="Traditional Arabic" w:hAnsi="Traditional Arabic" w:cs="Traditional Arabic" w:hint="cs"/>
          <w:bCs/>
          <w:sz w:val="32"/>
          <w:szCs w:val="32"/>
          <w:rtl/>
        </w:rPr>
        <w:lastRenderedPageBreak/>
        <w:t xml:space="preserve">ثانيًا: المراجع الأجنبية </w:t>
      </w:r>
    </w:p>
    <w:p w14:paraId="0DFFC8F4"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Abd Elaal, H., Sobhy, K., &amp; Bakr, M. (2023). Utilization of artificial intelligence in health care: Nurses’ perspectives and attitudes. </w:t>
      </w:r>
      <w:r w:rsidRPr="001C5D93">
        <w:rPr>
          <w:rFonts w:asciiTheme="majorHAnsi" w:hAnsiTheme="majorHAnsi" w:cstheme="majorHAnsi"/>
          <w:bCs/>
          <w:i/>
          <w:iCs/>
          <w:sz w:val="32"/>
          <w:szCs w:val="32"/>
        </w:rPr>
        <w:t>Menoufia Nursing Journal, 8</w:t>
      </w:r>
      <w:r w:rsidRPr="001C5D93">
        <w:rPr>
          <w:rFonts w:asciiTheme="majorHAnsi" w:hAnsiTheme="majorHAnsi" w:cstheme="majorHAnsi"/>
          <w:bCs/>
          <w:sz w:val="32"/>
          <w:szCs w:val="32"/>
        </w:rPr>
        <w:t>(1), 253–268.</w:t>
      </w:r>
    </w:p>
    <w:p w14:paraId="28CCF69C"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Abdel-Latif, M. M. (2016). Knowledge of healthcare professionals about medication errors in hospitals. </w:t>
      </w:r>
      <w:r w:rsidRPr="001C5D93">
        <w:rPr>
          <w:rFonts w:asciiTheme="majorHAnsi" w:hAnsiTheme="majorHAnsi" w:cstheme="majorHAnsi"/>
          <w:bCs/>
          <w:i/>
          <w:iCs/>
          <w:sz w:val="32"/>
          <w:szCs w:val="32"/>
        </w:rPr>
        <w:t>Journal of Basic and Clinical Pharmacy, 7</w:t>
      </w:r>
      <w:r w:rsidRPr="001C5D93">
        <w:rPr>
          <w:rFonts w:asciiTheme="majorHAnsi" w:hAnsiTheme="majorHAnsi" w:cstheme="majorHAnsi"/>
          <w:bCs/>
          <w:sz w:val="32"/>
          <w:szCs w:val="32"/>
        </w:rPr>
        <w:t xml:space="preserve">(3), 87–92. </w:t>
      </w:r>
      <w:hyperlink r:id="rId23" w:history="1">
        <w:r w:rsidRPr="001C5D93">
          <w:rPr>
            <w:rStyle w:val="Hyperlink"/>
            <w:rFonts w:asciiTheme="majorHAnsi" w:hAnsiTheme="majorHAnsi" w:cstheme="majorHAnsi"/>
            <w:bCs/>
            <w:sz w:val="32"/>
            <w:szCs w:val="32"/>
          </w:rPr>
          <w:t>https://doi.org/10.4103/0976-0105.183265</w:t>
        </w:r>
      </w:hyperlink>
    </w:p>
    <w:p w14:paraId="5A1D7A77"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Abdellatif, M., Farhan, M. S., &amp; Shehata, N. S. (2018). Overcoming business process reengineering obstacles using ontology-based knowledge map methodology. </w:t>
      </w:r>
      <w:r w:rsidRPr="001C5D93">
        <w:rPr>
          <w:rFonts w:asciiTheme="majorHAnsi" w:hAnsiTheme="majorHAnsi" w:cstheme="majorHAnsi"/>
          <w:bCs/>
          <w:i/>
          <w:iCs/>
          <w:sz w:val="32"/>
          <w:szCs w:val="32"/>
        </w:rPr>
        <w:t>Future Computing and Informatics Journal, 3</w:t>
      </w:r>
      <w:r w:rsidRPr="001C5D93">
        <w:rPr>
          <w:rFonts w:asciiTheme="majorHAnsi" w:hAnsiTheme="majorHAnsi" w:cstheme="majorHAnsi"/>
          <w:bCs/>
          <w:sz w:val="32"/>
          <w:szCs w:val="32"/>
        </w:rPr>
        <w:t xml:space="preserve">(1), 7–28. </w:t>
      </w:r>
      <w:hyperlink r:id="rId24" w:history="1">
        <w:r w:rsidRPr="001C5D93">
          <w:rPr>
            <w:rStyle w:val="Hyperlink"/>
            <w:rFonts w:asciiTheme="majorHAnsi" w:hAnsiTheme="majorHAnsi" w:cstheme="majorHAnsi"/>
            <w:bCs/>
            <w:sz w:val="32"/>
            <w:szCs w:val="32"/>
          </w:rPr>
          <w:t>https://doi.org/10.1016/j.fcij.2017.11.001</w:t>
        </w:r>
      </w:hyperlink>
    </w:p>
    <w:p w14:paraId="37EFFF1F"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Aboramadan, M., &amp; Dahleez, K. A. (2020). Leadership styles and employees’ work outcomes in nonprofit organizations: The role of work engagement. </w:t>
      </w:r>
      <w:r w:rsidRPr="001C5D93">
        <w:rPr>
          <w:rFonts w:asciiTheme="majorHAnsi" w:hAnsiTheme="majorHAnsi" w:cstheme="majorHAnsi"/>
          <w:bCs/>
          <w:i/>
          <w:iCs/>
          <w:sz w:val="32"/>
          <w:szCs w:val="32"/>
        </w:rPr>
        <w:t>Journal of Management Development, 39</w:t>
      </w:r>
      <w:r w:rsidRPr="001C5D93">
        <w:rPr>
          <w:rFonts w:asciiTheme="majorHAnsi" w:hAnsiTheme="majorHAnsi" w:cstheme="majorHAnsi"/>
          <w:bCs/>
          <w:sz w:val="32"/>
          <w:szCs w:val="32"/>
        </w:rPr>
        <w:t xml:space="preserve">(7/8), 869–893. </w:t>
      </w:r>
      <w:hyperlink r:id="rId25" w:history="1">
        <w:r w:rsidRPr="001C5D93">
          <w:rPr>
            <w:rStyle w:val="Hyperlink"/>
            <w:rFonts w:asciiTheme="majorHAnsi" w:hAnsiTheme="majorHAnsi" w:cstheme="majorHAnsi"/>
            <w:bCs/>
            <w:sz w:val="32"/>
            <w:szCs w:val="32"/>
          </w:rPr>
          <w:t>https://doi.org/10.1108/JMD-02-2020-0062</w:t>
        </w:r>
      </w:hyperlink>
    </w:p>
    <w:p w14:paraId="0D1B2494" w14:textId="0D82268C" w:rsidR="00692F26" w:rsidRPr="001C5D93" w:rsidRDefault="00692F26" w:rsidP="00254B75">
      <w:pPr>
        <w:pStyle w:val="ab"/>
        <w:numPr>
          <w:ilvl w:val="0"/>
          <w:numId w:val="112"/>
        </w:numPr>
        <w:spacing w:before="0" w:beforeAutospacing="0" w:after="120" w:afterAutospacing="0"/>
        <w:rPr>
          <w:rFonts w:asciiTheme="majorHAnsi" w:hAnsiTheme="majorHAnsi" w:cstheme="majorHAnsi"/>
          <w:sz w:val="32"/>
          <w:szCs w:val="32"/>
        </w:rPr>
      </w:pPr>
      <w:r w:rsidRPr="001C5D93">
        <w:rPr>
          <w:rFonts w:asciiTheme="majorHAnsi" w:hAnsiTheme="majorHAnsi" w:cstheme="majorHAnsi"/>
          <w:sz w:val="32"/>
          <w:szCs w:val="32"/>
        </w:rPr>
        <w:t xml:space="preserve">Acharjya, D. P., &amp; Ahmed, K. P. (2016). A survey on big data analytics: Challenges, open research issues and tools. </w:t>
      </w:r>
      <w:r w:rsidRPr="001C5D93">
        <w:rPr>
          <w:rStyle w:val="ae"/>
          <w:rFonts w:asciiTheme="majorHAnsi" w:eastAsiaTheme="majorEastAsia" w:hAnsiTheme="majorHAnsi" w:cstheme="majorHAnsi"/>
          <w:sz w:val="32"/>
          <w:szCs w:val="32"/>
        </w:rPr>
        <w:t>International Journal of Advanced Computer Science and Applications, 7</w:t>
      </w:r>
      <w:r w:rsidRPr="001C5D93">
        <w:rPr>
          <w:rFonts w:asciiTheme="majorHAnsi" w:hAnsiTheme="majorHAnsi" w:cstheme="majorHAnsi"/>
          <w:sz w:val="32"/>
          <w:szCs w:val="32"/>
        </w:rPr>
        <w:t xml:space="preserve">(2), 511–518. </w:t>
      </w:r>
    </w:p>
    <w:p w14:paraId="6556ECD9"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Akdağ, S., &amp; Çetin, M. (2022). The role of organizational development in the effect of intra-organizational entrepreneurship on innovativeness: A mixed-method study in higher education institutions. </w:t>
      </w:r>
      <w:r w:rsidRPr="001C5D93">
        <w:rPr>
          <w:rFonts w:asciiTheme="majorHAnsi" w:hAnsiTheme="majorHAnsi" w:cstheme="majorHAnsi"/>
          <w:bCs/>
          <w:i/>
          <w:iCs/>
          <w:sz w:val="32"/>
          <w:szCs w:val="32"/>
        </w:rPr>
        <w:t>Journal of Education and Learning, 11</w:t>
      </w:r>
      <w:r w:rsidRPr="001C5D93">
        <w:rPr>
          <w:rFonts w:asciiTheme="majorHAnsi" w:hAnsiTheme="majorHAnsi" w:cstheme="majorHAnsi"/>
          <w:bCs/>
          <w:sz w:val="32"/>
          <w:szCs w:val="32"/>
        </w:rPr>
        <w:t xml:space="preserve">(4), 200–219. </w:t>
      </w:r>
      <w:hyperlink r:id="rId26" w:tgtFrame="_new" w:history="1">
        <w:r w:rsidRPr="001C5D93">
          <w:rPr>
            <w:rStyle w:val="Hyperlink"/>
            <w:rFonts w:asciiTheme="majorHAnsi" w:hAnsiTheme="majorHAnsi" w:cstheme="majorHAnsi"/>
            <w:bCs/>
            <w:sz w:val="32"/>
            <w:szCs w:val="32"/>
          </w:rPr>
          <w:t>https://doi.org/10.5539/jel.v11n4p200</w:t>
        </w:r>
      </w:hyperlink>
    </w:p>
    <w:p w14:paraId="52C92BAE"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Alabdullah, T. T. Y., Ahmed, E. R., Almashhadani, M., Yousif, S. K., Almashhadani, H. A., Almashhadani, R., &amp; Putri, E. (2021). How significantly do emerging economies benefit from board attributes and risk management in enhancing firm profitability? </w:t>
      </w:r>
      <w:r w:rsidRPr="001C5D93">
        <w:rPr>
          <w:rFonts w:asciiTheme="majorHAnsi" w:hAnsiTheme="majorHAnsi" w:cstheme="majorHAnsi"/>
          <w:bCs/>
          <w:i/>
          <w:iCs/>
          <w:sz w:val="32"/>
          <w:szCs w:val="32"/>
        </w:rPr>
        <w:t>Journal of Accounting Science, 5</w:t>
      </w:r>
      <w:r w:rsidRPr="001C5D93">
        <w:rPr>
          <w:rFonts w:asciiTheme="majorHAnsi" w:hAnsiTheme="majorHAnsi" w:cstheme="majorHAnsi"/>
          <w:bCs/>
          <w:sz w:val="32"/>
          <w:szCs w:val="32"/>
        </w:rPr>
        <w:t xml:space="preserve">(2), 100–109. </w:t>
      </w:r>
      <w:hyperlink r:id="rId27" w:history="1">
        <w:r w:rsidRPr="001C5D93">
          <w:rPr>
            <w:rStyle w:val="Hyperlink"/>
            <w:rFonts w:asciiTheme="majorHAnsi" w:hAnsiTheme="majorHAnsi" w:cstheme="majorHAnsi"/>
            <w:bCs/>
            <w:sz w:val="32"/>
            <w:szCs w:val="32"/>
          </w:rPr>
          <w:t>https://doi.org/10.21070/jas.v5i2.1313</w:t>
        </w:r>
      </w:hyperlink>
    </w:p>
    <w:p w14:paraId="0A9D8CCE" w14:textId="77777777" w:rsidR="00692F26" w:rsidRPr="001C5D93" w:rsidRDefault="00692F26" w:rsidP="00254B75">
      <w:pPr>
        <w:pStyle w:val="ab"/>
        <w:numPr>
          <w:ilvl w:val="0"/>
          <w:numId w:val="112"/>
        </w:numPr>
        <w:spacing w:before="0" w:beforeAutospacing="0" w:after="120" w:afterAutospacing="0"/>
        <w:rPr>
          <w:rFonts w:asciiTheme="majorHAnsi" w:hAnsiTheme="majorHAnsi" w:cstheme="majorHAnsi"/>
          <w:sz w:val="32"/>
          <w:szCs w:val="32"/>
        </w:rPr>
      </w:pPr>
      <w:r w:rsidRPr="001C5D93">
        <w:rPr>
          <w:rFonts w:asciiTheme="majorHAnsi" w:hAnsiTheme="majorHAnsi" w:cstheme="majorHAnsi"/>
          <w:sz w:val="32"/>
          <w:szCs w:val="32"/>
        </w:rPr>
        <w:lastRenderedPageBreak/>
        <w:t xml:space="preserve">Almadani, B., Kaisar, H., Thoker, I. R., &amp; Aliyu, F. (2025). A systematic survey of distributed decision support systems in healthcare. </w:t>
      </w:r>
      <w:r w:rsidRPr="001C5D93">
        <w:rPr>
          <w:rStyle w:val="ae"/>
          <w:rFonts w:asciiTheme="majorHAnsi" w:eastAsiaTheme="majorEastAsia" w:hAnsiTheme="majorHAnsi" w:cstheme="majorHAnsi"/>
          <w:sz w:val="32"/>
          <w:szCs w:val="32"/>
        </w:rPr>
        <w:t>Systems, 13</w:t>
      </w:r>
      <w:r w:rsidRPr="001C5D93">
        <w:rPr>
          <w:rFonts w:asciiTheme="majorHAnsi" w:hAnsiTheme="majorHAnsi" w:cstheme="majorHAnsi"/>
          <w:sz w:val="32"/>
          <w:szCs w:val="32"/>
        </w:rPr>
        <w:t xml:space="preserve">(3), 157. https://doi.org/10.3390/systems13030157 </w:t>
      </w:r>
    </w:p>
    <w:p w14:paraId="592F5F1A"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Arifjanov, A., Atakulov, D., Akhmedov, I., &amp; Hoshimov, A. (2022). Modern technologies in the study of processes in channels. </w:t>
      </w:r>
      <w:r w:rsidRPr="001C5D93">
        <w:rPr>
          <w:rFonts w:asciiTheme="majorHAnsi" w:hAnsiTheme="majorHAnsi" w:cstheme="majorHAnsi"/>
          <w:bCs/>
          <w:i/>
          <w:iCs/>
          <w:sz w:val="32"/>
          <w:szCs w:val="32"/>
        </w:rPr>
        <w:t>IOP Conference Series: Earth and Environmental Science, 1101</w:t>
      </w:r>
      <w:r w:rsidRPr="001C5D93">
        <w:rPr>
          <w:rFonts w:asciiTheme="majorHAnsi" w:hAnsiTheme="majorHAnsi" w:cstheme="majorHAnsi"/>
          <w:bCs/>
          <w:sz w:val="32"/>
          <w:szCs w:val="32"/>
        </w:rPr>
        <w:t xml:space="preserve">, 012017. </w:t>
      </w:r>
      <w:hyperlink r:id="rId28" w:history="1">
        <w:r w:rsidRPr="001C5D93">
          <w:rPr>
            <w:rStyle w:val="Hyperlink"/>
            <w:rFonts w:asciiTheme="majorHAnsi" w:hAnsiTheme="majorHAnsi" w:cstheme="majorHAnsi"/>
            <w:bCs/>
            <w:sz w:val="32"/>
            <w:szCs w:val="32"/>
          </w:rPr>
          <w:t>https://doi.org/10.1088/1755-1315/1101/1/012017</w:t>
        </w:r>
      </w:hyperlink>
    </w:p>
    <w:p w14:paraId="09603EFE"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Asbari, M. (2024). The effect of transformational leadership, organizational structure and learning culture on school innovation capacity. </w:t>
      </w:r>
      <w:r w:rsidRPr="001C5D93">
        <w:rPr>
          <w:rFonts w:asciiTheme="majorHAnsi" w:hAnsiTheme="majorHAnsi" w:cstheme="majorHAnsi"/>
          <w:bCs/>
          <w:i/>
          <w:iCs/>
          <w:sz w:val="32"/>
          <w:szCs w:val="32"/>
        </w:rPr>
        <w:t>PROFESOR: Professional Education Studies and Operations Research, 1</w:t>
      </w:r>
      <w:r w:rsidRPr="001C5D93">
        <w:rPr>
          <w:rFonts w:asciiTheme="majorHAnsi" w:hAnsiTheme="majorHAnsi" w:cstheme="majorHAnsi"/>
          <w:bCs/>
          <w:sz w:val="32"/>
          <w:szCs w:val="32"/>
        </w:rPr>
        <w:t>(2), 22–32.</w:t>
      </w:r>
    </w:p>
    <w:p w14:paraId="4C5D41E2"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Awwad, A., Obeidat, B., &amp; Ali, H. (2022). The impact of organizational development on technological innovation: The mediating role of knowledge management. </w:t>
      </w:r>
      <w:r w:rsidRPr="001C5D93">
        <w:rPr>
          <w:rFonts w:asciiTheme="majorHAnsi" w:hAnsiTheme="majorHAnsi" w:cstheme="majorHAnsi"/>
          <w:bCs/>
          <w:i/>
          <w:iCs/>
          <w:sz w:val="32"/>
          <w:szCs w:val="32"/>
        </w:rPr>
        <w:t>Journal of Innovation &amp; Knowledge, 7</w:t>
      </w:r>
      <w:r w:rsidRPr="001C5D93">
        <w:rPr>
          <w:rFonts w:asciiTheme="majorHAnsi" w:hAnsiTheme="majorHAnsi" w:cstheme="majorHAnsi"/>
          <w:bCs/>
          <w:sz w:val="32"/>
          <w:szCs w:val="32"/>
        </w:rPr>
        <w:t xml:space="preserve">(3), 100215. </w:t>
      </w:r>
      <w:hyperlink r:id="rId29" w:tgtFrame="_new" w:history="1">
        <w:r w:rsidRPr="001C5D93">
          <w:rPr>
            <w:rStyle w:val="Hyperlink"/>
            <w:rFonts w:asciiTheme="majorHAnsi" w:hAnsiTheme="majorHAnsi" w:cstheme="majorHAnsi"/>
            <w:bCs/>
            <w:sz w:val="32"/>
            <w:szCs w:val="32"/>
          </w:rPr>
          <w:t>https://doi.org/10.1016/j.jik.2022.100215</w:t>
        </w:r>
      </w:hyperlink>
    </w:p>
    <w:p w14:paraId="30B54A01"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Barati Jozan, M. M., Ghorbani, B. D., Khalid, M. S., Lotfata, A., &amp; Tabesh, H. (2023). Impact assessment of e-trainings in occupational safety and health: A literature review. </w:t>
      </w:r>
      <w:r w:rsidRPr="001C5D93">
        <w:rPr>
          <w:rFonts w:asciiTheme="majorHAnsi" w:hAnsiTheme="majorHAnsi" w:cstheme="majorHAnsi"/>
          <w:bCs/>
          <w:i/>
          <w:iCs/>
          <w:sz w:val="32"/>
          <w:szCs w:val="32"/>
        </w:rPr>
        <w:t>BMC Public Health, 23</w:t>
      </w:r>
      <w:r w:rsidRPr="001C5D93">
        <w:rPr>
          <w:rFonts w:asciiTheme="majorHAnsi" w:hAnsiTheme="majorHAnsi" w:cstheme="majorHAnsi"/>
          <w:bCs/>
          <w:sz w:val="32"/>
          <w:szCs w:val="32"/>
        </w:rPr>
        <w:t xml:space="preserve">, Article 16114. </w:t>
      </w:r>
      <w:hyperlink r:id="rId30" w:tgtFrame="_new" w:history="1">
        <w:r w:rsidRPr="001C5D93">
          <w:rPr>
            <w:rStyle w:val="Hyperlink"/>
            <w:rFonts w:asciiTheme="majorHAnsi" w:hAnsiTheme="majorHAnsi" w:cstheme="majorHAnsi"/>
            <w:bCs/>
            <w:sz w:val="32"/>
            <w:szCs w:val="32"/>
          </w:rPr>
          <w:t>https://doi.org/10.1186/s12889-023-16114-8</w:t>
        </w:r>
      </w:hyperlink>
    </w:p>
    <w:p w14:paraId="35E4C61B"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Baron, R. M., &amp; Kenny, D. A. (1986). The moderator–mediator variable distinction in social psychological research: Conceptual, strategic, and statistical considerations. </w:t>
      </w:r>
      <w:r w:rsidRPr="001C5D93">
        <w:rPr>
          <w:rFonts w:asciiTheme="majorHAnsi" w:hAnsiTheme="majorHAnsi" w:cstheme="majorHAnsi"/>
          <w:bCs/>
          <w:i/>
          <w:iCs/>
          <w:sz w:val="32"/>
          <w:szCs w:val="32"/>
        </w:rPr>
        <w:t>Journal of Personality and Social Psychology, 51</w:t>
      </w:r>
      <w:r w:rsidRPr="001C5D93">
        <w:rPr>
          <w:rFonts w:asciiTheme="majorHAnsi" w:hAnsiTheme="majorHAnsi" w:cstheme="majorHAnsi"/>
          <w:bCs/>
          <w:sz w:val="32"/>
          <w:szCs w:val="32"/>
        </w:rPr>
        <w:t xml:space="preserve">(6), 1173–1182. </w:t>
      </w:r>
      <w:hyperlink r:id="rId31" w:tgtFrame="_new" w:history="1">
        <w:r w:rsidRPr="001C5D93">
          <w:rPr>
            <w:rStyle w:val="Hyperlink"/>
            <w:rFonts w:asciiTheme="majorHAnsi" w:hAnsiTheme="majorHAnsi" w:cstheme="majorHAnsi"/>
            <w:bCs/>
            <w:sz w:val="32"/>
            <w:szCs w:val="32"/>
          </w:rPr>
          <w:t>https://doi.org/10.1037/0022-3514.51.6.1173</w:t>
        </w:r>
      </w:hyperlink>
    </w:p>
    <w:p w14:paraId="2490C710"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Beldiq, E. A., Callula, B., Yusuf, N. A., &amp; Zahra, A. R. A. (2024). Unlocking organizational potential: Assessing the impact of technology through SmartPLS in advancing management excellence. </w:t>
      </w:r>
      <w:r w:rsidRPr="001C5D93">
        <w:rPr>
          <w:rFonts w:asciiTheme="majorHAnsi" w:hAnsiTheme="majorHAnsi" w:cstheme="majorHAnsi"/>
          <w:bCs/>
          <w:i/>
          <w:iCs/>
          <w:sz w:val="32"/>
          <w:szCs w:val="32"/>
        </w:rPr>
        <w:t>APTISI Transactions on Management, 8</w:t>
      </w:r>
      <w:r w:rsidRPr="001C5D93">
        <w:rPr>
          <w:rFonts w:asciiTheme="majorHAnsi" w:hAnsiTheme="majorHAnsi" w:cstheme="majorHAnsi"/>
          <w:bCs/>
          <w:sz w:val="32"/>
          <w:szCs w:val="32"/>
        </w:rPr>
        <w:t xml:space="preserve">(1), 40–48. </w:t>
      </w:r>
      <w:hyperlink r:id="rId32" w:history="1">
        <w:r w:rsidRPr="001C5D93">
          <w:rPr>
            <w:rStyle w:val="Hyperlink"/>
            <w:rFonts w:asciiTheme="majorHAnsi" w:hAnsiTheme="majorHAnsi" w:cstheme="majorHAnsi"/>
            <w:bCs/>
            <w:sz w:val="32"/>
            <w:szCs w:val="32"/>
          </w:rPr>
          <w:t>https://doi.org/10.34306/atm.v8i1.632</w:t>
        </w:r>
      </w:hyperlink>
    </w:p>
    <w:p w14:paraId="61316EB4"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lastRenderedPageBreak/>
        <w:t xml:space="preserve">Brun, G. (2020). Conceptual re-engineering: From explication to reflective equilibrium. </w:t>
      </w:r>
      <w:r w:rsidRPr="001C5D93">
        <w:rPr>
          <w:rFonts w:asciiTheme="majorHAnsi" w:hAnsiTheme="majorHAnsi" w:cstheme="majorHAnsi"/>
          <w:bCs/>
          <w:i/>
          <w:iCs/>
          <w:sz w:val="32"/>
          <w:szCs w:val="32"/>
        </w:rPr>
        <w:t>Synthese, 197</w:t>
      </w:r>
      <w:r w:rsidRPr="001C5D93">
        <w:rPr>
          <w:rFonts w:asciiTheme="majorHAnsi" w:hAnsiTheme="majorHAnsi" w:cstheme="majorHAnsi"/>
          <w:bCs/>
          <w:sz w:val="32"/>
          <w:szCs w:val="32"/>
        </w:rPr>
        <w:t xml:space="preserve">(3), 925–954. </w:t>
      </w:r>
      <w:hyperlink r:id="rId33" w:history="1">
        <w:r w:rsidRPr="001C5D93">
          <w:rPr>
            <w:rStyle w:val="Hyperlink"/>
            <w:rFonts w:asciiTheme="majorHAnsi" w:hAnsiTheme="majorHAnsi" w:cstheme="majorHAnsi"/>
            <w:bCs/>
            <w:sz w:val="32"/>
            <w:szCs w:val="32"/>
          </w:rPr>
          <w:t>https://doi.org/10.1007/s11229-018-01936-5</w:t>
        </w:r>
      </w:hyperlink>
    </w:p>
    <w:p w14:paraId="4070CA94"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Bussu, S., &amp; Marshall, M. (2020). Organizational development to support integrated care in East London: The perspective of clinicians and social workers on the ground. </w:t>
      </w:r>
      <w:r w:rsidRPr="001C5D93">
        <w:rPr>
          <w:rFonts w:asciiTheme="majorHAnsi" w:hAnsiTheme="majorHAnsi" w:cstheme="majorHAnsi"/>
          <w:bCs/>
          <w:i/>
          <w:iCs/>
          <w:sz w:val="32"/>
          <w:szCs w:val="32"/>
        </w:rPr>
        <w:t>Journal of Health Organization and Management, 34</w:t>
      </w:r>
      <w:r w:rsidRPr="001C5D93">
        <w:rPr>
          <w:rFonts w:asciiTheme="majorHAnsi" w:hAnsiTheme="majorHAnsi" w:cstheme="majorHAnsi"/>
          <w:bCs/>
          <w:sz w:val="32"/>
          <w:szCs w:val="32"/>
        </w:rPr>
        <w:t>(5), 603–619. https://doi.org/10.1108/JHOM-01-2020-0014</w:t>
      </w:r>
    </w:p>
    <w:p w14:paraId="42186BC7"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Cagliano, A. C., Grimaldi, S., &amp; Rafele, C. (2015). Choosing project risk management techniques: A theoretical framework. </w:t>
      </w:r>
      <w:r w:rsidRPr="001C5D93">
        <w:rPr>
          <w:rFonts w:asciiTheme="majorHAnsi" w:hAnsiTheme="majorHAnsi" w:cstheme="majorHAnsi"/>
          <w:bCs/>
          <w:i/>
          <w:iCs/>
          <w:sz w:val="32"/>
          <w:szCs w:val="32"/>
        </w:rPr>
        <w:t>Journal of Risk Research, 18</w:t>
      </w:r>
      <w:r w:rsidRPr="001C5D93">
        <w:rPr>
          <w:rFonts w:asciiTheme="majorHAnsi" w:hAnsiTheme="majorHAnsi" w:cstheme="majorHAnsi"/>
          <w:bCs/>
          <w:sz w:val="32"/>
          <w:szCs w:val="32"/>
        </w:rPr>
        <w:t xml:space="preserve">(2), 232–248. </w:t>
      </w:r>
      <w:hyperlink r:id="rId34" w:history="1">
        <w:r w:rsidRPr="001C5D93">
          <w:rPr>
            <w:rStyle w:val="Hyperlink"/>
            <w:rFonts w:asciiTheme="majorHAnsi" w:hAnsiTheme="majorHAnsi" w:cstheme="majorHAnsi"/>
            <w:bCs/>
            <w:sz w:val="32"/>
            <w:szCs w:val="32"/>
          </w:rPr>
          <w:t>https://doi.org/10.1080/13669877.2014.910685</w:t>
        </w:r>
      </w:hyperlink>
    </w:p>
    <w:p w14:paraId="3DEB8D3B"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Carayon, P., &amp; Hoonakker, P. (2019). Human factors and usability for health information technology: Old and new challenges. </w:t>
      </w:r>
      <w:r w:rsidRPr="001C5D93">
        <w:rPr>
          <w:rFonts w:asciiTheme="majorHAnsi" w:hAnsiTheme="majorHAnsi" w:cstheme="majorHAnsi"/>
          <w:bCs/>
          <w:i/>
          <w:iCs/>
          <w:sz w:val="32"/>
          <w:szCs w:val="32"/>
        </w:rPr>
        <w:t>Yearbook of Medical Informatics, 28</w:t>
      </w:r>
      <w:r w:rsidRPr="001C5D93">
        <w:rPr>
          <w:rFonts w:asciiTheme="majorHAnsi" w:hAnsiTheme="majorHAnsi" w:cstheme="majorHAnsi"/>
          <w:bCs/>
          <w:sz w:val="32"/>
          <w:szCs w:val="32"/>
        </w:rPr>
        <w:t xml:space="preserve">(1), 71–77. </w:t>
      </w:r>
      <w:hyperlink r:id="rId35" w:history="1">
        <w:r w:rsidRPr="001C5D93">
          <w:rPr>
            <w:rStyle w:val="Hyperlink"/>
            <w:rFonts w:asciiTheme="majorHAnsi" w:hAnsiTheme="majorHAnsi" w:cstheme="majorHAnsi"/>
            <w:bCs/>
            <w:sz w:val="32"/>
            <w:szCs w:val="32"/>
          </w:rPr>
          <w:t>https://doi.org/10.1055/s-0039-1677907</w:t>
        </w:r>
      </w:hyperlink>
    </w:p>
    <w:p w14:paraId="1095E568"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Cebeci, F., Karazeybek, E., Sucu, G., &amp; Kahveci, R. (2020). Nursing students' medication errors and their opinions on the reasons of errors: A cross-sectional survey. </w:t>
      </w:r>
      <w:r w:rsidRPr="001C5D93">
        <w:rPr>
          <w:rFonts w:asciiTheme="majorHAnsi" w:hAnsiTheme="majorHAnsi" w:cstheme="majorHAnsi"/>
          <w:bCs/>
          <w:i/>
          <w:iCs/>
          <w:sz w:val="32"/>
          <w:szCs w:val="32"/>
        </w:rPr>
        <w:t>Journal of the Pakistan Medical Association, 70</w:t>
      </w:r>
      <w:r w:rsidRPr="001C5D93">
        <w:rPr>
          <w:rFonts w:asciiTheme="majorHAnsi" w:hAnsiTheme="majorHAnsi" w:cstheme="majorHAnsi"/>
          <w:bCs/>
          <w:sz w:val="32"/>
          <w:szCs w:val="32"/>
        </w:rPr>
        <w:t xml:space="preserve">(5), 457–462. </w:t>
      </w:r>
      <w:hyperlink r:id="rId36" w:history="1">
        <w:r w:rsidRPr="001C5D93">
          <w:rPr>
            <w:rStyle w:val="Hyperlink"/>
            <w:rFonts w:asciiTheme="majorHAnsi" w:hAnsiTheme="majorHAnsi" w:cstheme="majorHAnsi"/>
            <w:bCs/>
            <w:sz w:val="32"/>
            <w:szCs w:val="32"/>
          </w:rPr>
          <w:t>https://doi.org/10.47391/JPMA.70.5.457</w:t>
        </w:r>
      </w:hyperlink>
    </w:p>
    <w:p w14:paraId="618E7982"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Chernobai, A., Ozdagli, A., &amp; Wang, J. (2021). Business complexity and risk management: Evidence from operational risk events in U.S. bank holding companies. </w:t>
      </w:r>
      <w:r w:rsidRPr="001C5D93">
        <w:rPr>
          <w:rFonts w:asciiTheme="majorHAnsi" w:hAnsiTheme="majorHAnsi" w:cstheme="majorHAnsi"/>
          <w:bCs/>
          <w:i/>
          <w:iCs/>
          <w:sz w:val="32"/>
          <w:szCs w:val="32"/>
        </w:rPr>
        <w:t>Journal of Monetary Economics, 117</w:t>
      </w:r>
      <w:r w:rsidRPr="001C5D93">
        <w:rPr>
          <w:rFonts w:asciiTheme="majorHAnsi" w:hAnsiTheme="majorHAnsi" w:cstheme="majorHAnsi"/>
          <w:bCs/>
          <w:sz w:val="32"/>
          <w:szCs w:val="32"/>
        </w:rPr>
        <w:t xml:space="preserve">, 418–440. </w:t>
      </w:r>
      <w:hyperlink r:id="rId37" w:history="1">
        <w:r w:rsidRPr="001C5D93">
          <w:rPr>
            <w:rStyle w:val="Hyperlink"/>
            <w:rFonts w:asciiTheme="majorHAnsi" w:hAnsiTheme="majorHAnsi" w:cstheme="majorHAnsi"/>
            <w:bCs/>
            <w:sz w:val="32"/>
            <w:szCs w:val="32"/>
          </w:rPr>
          <w:t>https://doi.org/10.1016/j.jmoneco.2020.08.003</w:t>
        </w:r>
      </w:hyperlink>
    </w:p>
    <w:p w14:paraId="31D848F1"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Damayanty, S., Susanto, A., &amp; Fajriana, W. H. (2022). Implementation of hospital occupational health and safety standards at general hospitals in Kendari City. </w:t>
      </w:r>
      <w:r w:rsidRPr="001C5D93">
        <w:rPr>
          <w:rFonts w:asciiTheme="majorHAnsi" w:hAnsiTheme="majorHAnsi" w:cstheme="majorHAnsi"/>
          <w:bCs/>
          <w:i/>
          <w:iCs/>
          <w:sz w:val="32"/>
          <w:szCs w:val="32"/>
        </w:rPr>
        <w:t>Jurnal Kesehatan Masyarakat, 18</w:t>
      </w:r>
      <w:r w:rsidRPr="001C5D93">
        <w:rPr>
          <w:rFonts w:asciiTheme="majorHAnsi" w:hAnsiTheme="majorHAnsi" w:cstheme="majorHAnsi"/>
          <w:bCs/>
          <w:sz w:val="32"/>
          <w:szCs w:val="32"/>
        </w:rPr>
        <w:t>(1), 10–19.</w:t>
      </w:r>
    </w:p>
    <w:p w14:paraId="517321C9"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DeLone, W. H., &amp; McLean, E. R. (2003). The DeLone and McLean model of information systems success: A ten-year update. </w:t>
      </w:r>
      <w:r w:rsidRPr="001C5D93">
        <w:rPr>
          <w:rFonts w:asciiTheme="majorHAnsi" w:hAnsiTheme="majorHAnsi" w:cstheme="majorHAnsi"/>
          <w:bCs/>
          <w:i/>
          <w:iCs/>
          <w:sz w:val="32"/>
          <w:szCs w:val="32"/>
        </w:rPr>
        <w:t>Journal of Management Information Systems, 19</w:t>
      </w:r>
      <w:r w:rsidRPr="001C5D93">
        <w:rPr>
          <w:rFonts w:asciiTheme="majorHAnsi" w:hAnsiTheme="majorHAnsi" w:cstheme="majorHAnsi"/>
          <w:bCs/>
          <w:sz w:val="32"/>
          <w:szCs w:val="32"/>
        </w:rPr>
        <w:t xml:space="preserve">(4), 9–30. </w:t>
      </w:r>
      <w:hyperlink r:id="rId38" w:tgtFrame="_new" w:history="1">
        <w:r w:rsidRPr="001C5D93">
          <w:rPr>
            <w:rStyle w:val="Hyperlink"/>
            <w:rFonts w:asciiTheme="majorHAnsi" w:hAnsiTheme="majorHAnsi" w:cstheme="majorHAnsi"/>
            <w:bCs/>
            <w:sz w:val="32"/>
            <w:szCs w:val="32"/>
          </w:rPr>
          <w:t>https://doi.org/10.1080/07421222.2003.11045748</w:t>
        </w:r>
      </w:hyperlink>
    </w:p>
    <w:p w14:paraId="48E40CDC"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lastRenderedPageBreak/>
        <w:t xml:space="preserve">Dietzmann, C., &amp; Duan, Y. (2022). Artificial intelligence for managerial information processing and decision-making in the era of information overload. In </w:t>
      </w:r>
      <w:r w:rsidRPr="001C5D93">
        <w:rPr>
          <w:rFonts w:asciiTheme="majorHAnsi" w:hAnsiTheme="majorHAnsi" w:cstheme="majorHAnsi"/>
          <w:bCs/>
          <w:i/>
          <w:iCs/>
          <w:sz w:val="32"/>
          <w:szCs w:val="32"/>
        </w:rPr>
        <w:t>Proceedings of the 55th Hawaii International Conference on System Sciences</w:t>
      </w:r>
      <w:r w:rsidRPr="001C5D93">
        <w:rPr>
          <w:rFonts w:asciiTheme="majorHAnsi" w:hAnsiTheme="majorHAnsi" w:cstheme="majorHAnsi"/>
          <w:bCs/>
          <w:sz w:val="32"/>
          <w:szCs w:val="32"/>
        </w:rPr>
        <w:t xml:space="preserve"> (pp. 5386–5395). </w:t>
      </w:r>
      <w:hyperlink r:id="rId39" w:history="1">
        <w:r w:rsidRPr="001C5D93">
          <w:rPr>
            <w:rStyle w:val="Hyperlink"/>
            <w:rFonts w:asciiTheme="majorHAnsi" w:hAnsiTheme="majorHAnsi" w:cstheme="majorHAnsi"/>
            <w:bCs/>
            <w:sz w:val="32"/>
            <w:szCs w:val="32"/>
          </w:rPr>
          <w:t>https://doi.org/10.24251/HICSS.2022.655</w:t>
        </w:r>
      </w:hyperlink>
    </w:p>
    <w:p w14:paraId="6FCE42E3"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Dvorsky, J., Belas, J., Gavurova, B., &amp; Brabenec, T. (2021). Business risk management in the context of small and medium-sized enterprises. </w:t>
      </w:r>
      <w:r w:rsidRPr="001C5D93">
        <w:rPr>
          <w:rFonts w:asciiTheme="majorHAnsi" w:hAnsiTheme="majorHAnsi" w:cstheme="majorHAnsi"/>
          <w:bCs/>
          <w:i/>
          <w:iCs/>
          <w:sz w:val="32"/>
          <w:szCs w:val="32"/>
        </w:rPr>
        <w:t>Economic Research-Ekonomska Istraživanja, 34</w:t>
      </w:r>
      <w:r w:rsidRPr="001C5D93">
        <w:rPr>
          <w:rFonts w:asciiTheme="majorHAnsi" w:hAnsiTheme="majorHAnsi" w:cstheme="majorHAnsi"/>
          <w:bCs/>
          <w:sz w:val="32"/>
          <w:szCs w:val="32"/>
        </w:rPr>
        <w:t xml:space="preserve">(1), 1690–1708. </w:t>
      </w:r>
      <w:hyperlink r:id="rId40" w:tgtFrame="_new" w:history="1">
        <w:r w:rsidRPr="001C5D93">
          <w:rPr>
            <w:rStyle w:val="Hyperlink"/>
            <w:rFonts w:asciiTheme="majorHAnsi" w:hAnsiTheme="majorHAnsi" w:cstheme="majorHAnsi"/>
            <w:bCs/>
            <w:sz w:val="32"/>
            <w:szCs w:val="32"/>
          </w:rPr>
          <w:t>https://doi.org/10.1080/1331677X.2020.1844582</w:t>
        </w:r>
      </w:hyperlink>
    </w:p>
    <w:p w14:paraId="56E8FF0A" w14:textId="77777777" w:rsidR="00692F26" w:rsidRPr="001C5D93" w:rsidRDefault="00692F26" w:rsidP="00254B75">
      <w:pPr>
        <w:pStyle w:val="ab"/>
        <w:numPr>
          <w:ilvl w:val="0"/>
          <w:numId w:val="112"/>
        </w:numPr>
        <w:spacing w:before="0" w:beforeAutospacing="0" w:after="120" w:afterAutospacing="0"/>
        <w:rPr>
          <w:rFonts w:asciiTheme="majorHAnsi" w:hAnsiTheme="majorHAnsi" w:cstheme="majorHAnsi"/>
          <w:sz w:val="32"/>
          <w:szCs w:val="32"/>
        </w:rPr>
      </w:pPr>
      <w:r w:rsidRPr="001C5D93">
        <w:rPr>
          <w:rFonts w:asciiTheme="majorHAnsi" w:hAnsiTheme="majorHAnsi" w:cstheme="majorHAnsi"/>
          <w:sz w:val="32"/>
          <w:szCs w:val="32"/>
        </w:rPr>
        <w:t xml:space="preserve">Elhaddad, M., &amp; Hamam, S. (2024). AI-driven clinical decision support systems: An ongoing pursuit of potential. </w:t>
      </w:r>
      <w:r w:rsidRPr="001C5D93">
        <w:rPr>
          <w:rStyle w:val="ae"/>
          <w:rFonts w:asciiTheme="majorHAnsi" w:eastAsiaTheme="majorEastAsia" w:hAnsiTheme="majorHAnsi" w:cstheme="majorHAnsi"/>
          <w:sz w:val="32"/>
          <w:szCs w:val="32"/>
        </w:rPr>
        <w:t>Cureus, 16</w:t>
      </w:r>
      <w:r w:rsidRPr="001C5D93">
        <w:rPr>
          <w:rFonts w:asciiTheme="majorHAnsi" w:hAnsiTheme="majorHAnsi" w:cstheme="majorHAnsi"/>
          <w:sz w:val="32"/>
          <w:szCs w:val="32"/>
        </w:rPr>
        <w:t xml:space="preserve">(4), e57728. https://doi.org/10.7759/cureus.57728 </w:t>
      </w:r>
    </w:p>
    <w:p w14:paraId="438D1725"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Etges, A. P. B. D. S., de Souza, J. S., Kliemann Neto, F. J., &amp; Felix, E. A. (2019). A proposed enterprise risk management model for health organizations. </w:t>
      </w:r>
      <w:r w:rsidRPr="001C5D93">
        <w:rPr>
          <w:rFonts w:asciiTheme="majorHAnsi" w:hAnsiTheme="majorHAnsi" w:cstheme="majorHAnsi"/>
          <w:bCs/>
          <w:i/>
          <w:iCs/>
          <w:sz w:val="32"/>
          <w:szCs w:val="32"/>
        </w:rPr>
        <w:t>Journal of Risk Research, 22</w:t>
      </w:r>
      <w:r w:rsidRPr="001C5D93">
        <w:rPr>
          <w:rFonts w:asciiTheme="majorHAnsi" w:hAnsiTheme="majorHAnsi" w:cstheme="majorHAnsi"/>
          <w:bCs/>
          <w:sz w:val="32"/>
          <w:szCs w:val="32"/>
        </w:rPr>
        <w:t xml:space="preserve">(4), 513–531. </w:t>
      </w:r>
      <w:hyperlink r:id="rId41" w:history="1">
        <w:r w:rsidRPr="001C5D93">
          <w:rPr>
            <w:rStyle w:val="Hyperlink"/>
            <w:rFonts w:asciiTheme="majorHAnsi" w:hAnsiTheme="majorHAnsi" w:cstheme="majorHAnsi"/>
            <w:bCs/>
            <w:sz w:val="32"/>
            <w:szCs w:val="32"/>
          </w:rPr>
          <w:t>https://doi.org/10.1080/13669877.2017.1351470</w:t>
        </w:r>
      </w:hyperlink>
    </w:p>
    <w:p w14:paraId="16BDD197"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Fink, G., Kandpal, E., &amp; Shapira, G. (2022). Inequality in the quality of health services: Wealth, content of care, and the price of antenatal consultations in the Democratic Republic of Congo. </w:t>
      </w:r>
      <w:r w:rsidRPr="001C5D93">
        <w:rPr>
          <w:rFonts w:asciiTheme="majorHAnsi" w:hAnsiTheme="majorHAnsi" w:cstheme="majorHAnsi"/>
          <w:bCs/>
          <w:i/>
          <w:iCs/>
          <w:sz w:val="32"/>
          <w:szCs w:val="32"/>
        </w:rPr>
        <w:t>Economic Development and Cultural Change, 70</w:t>
      </w:r>
      <w:r w:rsidRPr="001C5D93">
        <w:rPr>
          <w:rFonts w:asciiTheme="majorHAnsi" w:hAnsiTheme="majorHAnsi" w:cstheme="majorHAnsi"/>
          <w:bCs/>
          <w:sz w:val="32"/>
          <w:szCs w:val="32"/>
        </w:rPr>
        <w:t xml:space="preserve">(3), 1345–1382. </w:t>
      </w:r>
      <w:hyperlink r:id="rId42" w:history="1">
        <w:r w:rsidRPr="001C5D93">
          <w:rPr>
            <w:rStyle w:val="Hyperlink"/>
            <w:rFonts w:asciiTheme="majorHAnsi" w:hAnsiTheme="majorHAnsi" w:cstheme="majorHAnsi"/>
            <w:bCs/>
            <w:sz w:val="32"/>
            <w:szCs w:val="32"/>
          </w:rPr>
          <w:t>https://doi.org/10.1086/714339</w:t>
        </w:r>
      </w:hyperlink>
    </w:p>
    <w:p w14:paraId="0B1E5DF5"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Gbadago, P., Amedome, S., &amp; Honyenuga, B. (2017). The impact of occupational health and safety measures on employee performance at the South Tongu District Hospital. </w:t>
      </w:r>
      <w:r w:rsidRPr="001C5D93">
        <w:rPr>
          <w:rFonts w:asciiTheme="majorHAnsi" w:hAnsiTheme="majorHAnsi" w:cstheme="majorHAnsi"/>
          <w:bCs/>
          <w:i/>
          <w:iCs/>
          <w:sz w:val="32"/>
          <w:szCs w:val="32"/>
        </w:rPr>
        <w:t>Global Journal of Medical Research: K Interdisciplinary, 17</w:t>
      </w:r>
      <w:r w:rsidRPr="001C5D93">
        <w:rPr>
          <w:rFonts w:asciiTheme="majorHAnsi" w:hAnsiTheme="majorHAnsi" w:cstheme="majorHAnsi"/>
          <w:bCs/>
          <w:sz w:val="32"/>
          <w:szCs w:val="32"/>
        </w:rPr>
        <w:t>(5), 1–8.</w:t>
      </w:r>
    </w:p>
    <w:p w14:paraId="27073A26"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Getenet, B., Waganew, W., Keney, D., &amp; Yesuf, A. (2023). Knowledge, attitude and practices of frontline health care workers to disaster risk management in private general hospitals in Addis Ababa, Ethiopia. </w:t>
      </w:r>
      <w:r w:rsidRPr="001C5D93">
        <w:rPr>
          <w:rFonts w:asciiTheme="majorHAnsi" w:hAnsiTheme="majorHAnsi" w:cstheme="majorHAnsi"/>
          <w:bCs/>
          <w:i/>
          <w:iCs/>
          <w:sz w:val="32"/>
          <w:szCs w:val="32"/>
        </w:rPr>
        <w:t>Ethiopian Journal of Health Sciences, 33</w:t>
      </w:r>
      <w:r w:rsidRPr="001C5D93">
        <w:rPr>
          <w:rFonts w:asciiTheme="majorHAnsi" w:hAnsiTheme="majorHAnsi" w:cstheme="majorHAnsi"/>
          <w:bCs/>
          <w:sz w:val="32"/>
          <w:szCs w:val="32"/>
        </w:rPr>
        <w:t xml:space="preserve">(5), 795–804. </w:t>
      </w:r>
      <w:hyperlink r:id="rId43" w:history="1">
        <w:r w:rsidRPr="001C5D93">
          <w:rPr>
            <w:rStyle w:val="Hyperlink"/>
            <w:rFonts w:asciiTheme="majorHAnsi" w:hAnsiTheme="majorHAnsi" w:cstheme="majorHAnsi"/>
            <w:bCs/>
            <w:sz w:val="32"/>
            <w:szCs w:val="32"/>
          </w:rPr>
          <w:t>https://doi.org/10.4314/ejhs.v33i5.8</w:t>
        </w:r>
      </w:hyperlink>
    </w:p>
    <w:p w14:paraId="5B4E9BD8"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Ghory, S., &amp; Ghafory, H. (2021). The impact of modern technology in the teaching and learning process. </w:t>
      </w:r>
      <w:r w:rsidRPr="001C5D93">
        <w:rPr>
          <w:rFonts w:asciiTheme="majorHAnsi" w:hAnsiTheme="majorHAnsi" w:cstheme="majorHAnsi"/>
          <w:bCs/>
          <w:i/>
          <w:iCs/>
          <w:sz w:val="32"/>
          <w:szCs w:val="32"/>
        </w:rPr>
        <w:t xml:space="preserve">International </w:t>
      </w:r>
      <w:r w:rsidRPr="001C5D93">
        <w:rPr>
          <w:rFonts w:asciiTheme="majorHAnsi" w:hAnsiTheme="majorHAnsi" w:cstheme="majorHAnsi"/>
          <w:bCs/>
          <w:i/>
          <w:iCs/>
          <w:sz w:val="32"/>
          <w:szCs w:val="32"/>
        </w:rPr>
        <w:lastRenderedPageBreak/>
        <w:t>Journal of Innovative Research and Scientific Studies, 4</w:t>
      </w:r>
      <w:r w:rsidRPr="001C5D93">
        <w:rPr>
          <w:rFonts w:asciiTheme="majorHAnsi" w:hAnsiTheme="majorHAnsi" w:cstheme="majorHAnsi"/>
          <w:bCs/>
          <w:sz w:val="32"/>
          <w:szCs w:val="32"/>
        </w:rPr>
        <w:t xml:space="preserve">(3), 168–173. </w:t>
      </w:r>
      <w:hyperlink r:id="rId44" w:tgtFrame="_new" w:history="1">
        <w:r w:rsidRPr="001C5D93">
          <w:rPr>
            <w:rStyle w:val="Hyperlink"/>
            <w:rFonts w:asciiTheme="majorHAnsi" w:hAnsiTheme="majorHAnsi" w:cstheme="majorHAnsi"/>
            <w:bCs/>
            <w:sz w:val="32"/>
            <w:szCs w:val="32"/>
          </w:rPr>
          <w:t>https://doi.org/10.53894/ijirss.v4i3.73</w:t>
        </w:r>
      </w:hyperlink>
    </w:p>
    <w:p w14:paraId="71BD97B7"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Haleem, A., Javaid, M., Singh, R. P., &amp; Suman, R. (2021). Telemedicine for healthcare: Capabilities, features, barriers, and applications. </w:t>
      </w:r>
      <w:r w:rsidRPr="001C5D93">
        <w:rPr>
          <w:rFonts w:asciiTheme="majorHAnsi" w:hAnsiTheme="majorHAnsi" w:cstheme="majorHAnsi"/>
          <w:bCs/>
          <w:i/>
          <w:iCs/>
          <w:sz w:val="32"/>
          <w:szCs w:val="32"/>
        </w:rPr>
        <w:t>Sensors International, 2</w:t>
      </w:r>
      <w:r w:rsidRPr="001C5D93">
        <w:rPr>
          <w:rFonts w:asciiTheme="majorHAnsi" w:hAnsiTheme="majorHAnsi" w:cstheme="majorHAnsi"/>
          <w:bCs/>
          <w:sz w:val="32"/>
          <w:szCs w:val="32"/>
        </w:rPr>
        <w:t xml:space="preserve">, 100117. </w:t>
      </w:r>
      <w:hyperlink r:id="rId45" w:tgtFrame="_new" w:history="1">
        <w:r w:rsidRPr="001C5D93">
          <w:rPr>
            <w:rStyle w:val="Hyperlink"/>
            <w:rFonts w:asciiTheme="majorHAnsi" w:hAnsiTheme="majorHAnsi" w:cstheme="majorHAnsi"/>
            <w:bCs/>
            <w:sz w:val="32"/>
            <w:szCs w:val="32"/>
          </w:rPr>
          <w:t>https://doi.org/10.1016/j.sintl.2021.100117</w:t>
        </w:r>
      </w:hyperlink>
    </w:p>
    <w:p w14:paraId="1172370D"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Haleem, A., Javaid, M., Singh, R. P., &amp; Suman, R. (2021). Telemedicine for healthcare: Capabilities, features, barriers, and applications. </w:t>
      </w:r>
      <w:r w:rsidRPr="001C5D93">
        <w:rPr>
          <w:rFonts w:asciiTheme="majorHAnsi" w:hAnsiTheme="majorHAnsi" w:cstheme="majorHAnsi"/>
          <w:bCs/>
          <w:i/>
          <w:iCs/>
          <w:sz w:val="32"/>
          <w:szCs w:val="32"/>
        </w:rPr>
        <w:t>Sensors International, 2</w:t>
      </w:r>
      <w:r w:rsidRPr="001C5D93">
        <w:rPr>
          <w:rFonts w:asciiTheme="majorHAnsi" w:hAnsiTheme="majorHAnsi" w:cstheme="majorHAnsi"/>
          <w:bCs/>
          <w:sz w:val="32"/>
          <w:szCs w:val="32"/>
        </w:rPr>
        <w:t xml:space="preserve">, 100117. </w:t>
      </w:r>
      <w:hyperlink r:id="rId46" w:tgtFrame="_new" w:history="1">
        <w:r w:rsidRPr="001C5D93">
          <w:rPr>
            <w:rStyle w:val="Hyperlink"/>
            <w:rFonts w:asciiTheme="majorHAnsi" w:hAnsiTheme="majorHAnsi" w:cstheme="majorHAnsi"/>
            <w:bCs/>
            <w:sz w:val="32"/>
            <w:szCs w:val="32"/>
          </w:rPr>
          <w:t>https://doi.org/10.1016/j.sintl.2021.100117</w:t>
        </w:r>
      </w:hyperlink>
    </w:p>
    <w:p w14:paraId="65B6B308"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Hammer, M., &amp; Champy, J. (1993). </w:t>
      </w:r>
      <w:r w:rsidRPr="001C5D93">
        <w:rPr>
          <w:rFonts w:asciiTheme="majorHAnsi" w:hAnsiTheme="majorHAnsi" w:cstheme="majorHAnsi"/>
          <w:bCs/>
          <w:i/>
          <w:iCs/>
          <w:sz w:val="32"/>
          <w:szCs w:val="32"/>
        </w:rPr>
        <w:t>Reengineering the corporation: A manifesto for business revolution</w:t>
      </w:r>
      <w:r w:rsidRPr="001C5D93">
        <w:rPr>
          <w:rFonts w:asciiTheme="majorHAnsi" w:hAnsiTheme="majorHAnsi" w:cstheme="majorHAnsi"/>
          <w:bCs/>
          <w:sz w:val="32"/>
          <w:szCs w:val="32"/>
        </w:rPr>
        <w:t>. Harper Business.</w:t>
      </w:r>
    </w:p>
    <w:p w14:paraId="2CFF146C"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Holden, R. J., &amp; Karsh, B.-T. (2010). The technology acceptance model: Its past and its future in health care. </w:t>
      </w:r>
      <w:r w:rsidRPr="001C5D93">
        <w:rPr>
          <w:rFonts w:asciiTheme="majorHAnsi" w:hAnsiTheme="majorHAnsi" w:cstheme="majorHAnsi"/>
          <w:bCs/>
          <w:i/>
          <w:iCs/>
          <w:sz w:val="32"/>
          <w:szCs w:val="32"/>
        </w:rPr>
        <w:t>Journal of Biomedical Informatics, 43</w:t>
      </w:r>
      <w:r w:rsidRPr="001C5D93">
        <w:rPr>
          <w:rFonts w:asciiTheme="majorHAnsi" w:hAnsiTheme="majorHAnsi" w:cstheme="majorHAnsi"/>
          <w:bCs/>
          <w:sz w:val="32"/>
          <w:szCs w:val="32"/>
        </w:rPr>
        <w:t xml:space="preserve">(1), 159–172. </w:t>
      </w:r>
      <w:hyperlink r:id="rId47" w:tgtFrame="_new" w:history="1">
        <w:r w:rsidRPr="001C5D93">
          <w:rPr>
            <w:rStyle w:val="Hyperlink"/>
            <w:rFonts w:asciiTheme="majorHAnsi" w:hAnsiTheme="majorHAnsi" w:cstheme="majorHAnsi"/>
            <w:bCs/>
            <w:sz w:val="32"/>
            <w:szCs w:val="32"/>
          </w:rPr>
          <w:t>https://doi.org/10.1016/j.jbi.2009.07.002</w:t>
        </w:r>
      </w:hyperlink>
    </w:p>
    <w:p w14:paraId="50BF36E5"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Husna, N. (2017). The effect of modern office technology on management performance. </w:t>
      </w:r>
      <w:r w:rsidRPr="001C5D93">
        <w:rPr>
          <w:rFonts w:asciiTheme="majorHAnsi" w:hAnsiTheme="majorHAnsi" w:cstheme="majorHAnsi"/>
          <w:bCs/>
          <w:i/>
          <w:iCs/>
          <w:sz w:val="32"/>
          <w:szCs w:val="32"/>
        </w:rPr>
        <w:t>Problems and Perspectives in Management, 15</w:t>
      </w:r>
      <w:r w:rsidRPr="001C5D93">
        <w:rPr>
          <w:rFonts w:asciiTheme="majorHAnsi" w:hAnsiTheme="majorHAnsi" w:cstheme="majorHAnsi"/>
          <w:bCs/>
          <w:sz w:val="32"/>
          <w:szCs w:val="32"/>
        </w:rPr>
        <w:t xml:space="preserve">(2), 376–384. </w:t>
      </w:r>
      <w:hyperlink r:id="rId48" w:history="1">
        <w:r w:rsidRPr="001C5D93">
          <w:rPr>
            <w:rStyle w:val="Hyperlink"/>
            <w:rFonts w:asciiTheme="majorHAnsi" w:hAnsiTheme="majorHAnsi" w:cstheme="majorHAnsi"/>
            <w:bCs/>
            <w:sz w:val="32"/>
            <w:szCs w:val="32"/>
          </w:rPr>
          <w:t>https://doi.org/10.21511/ppm.15(2-2).2017.05</w:t>
        </w:r>
      </w:hyperlink>
    </w:p>
    <w:p w14:paraId="52A9C9DB"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Ibrar, M., Khan, M., Khan, H., Shah, M., Khan, A., &amp; Khan, M. T. (2021). Impact of occupational health and safety measures on employees’ productivity. </w:t>
      </w:r>
      <w:r w:rsidRPr="001C5D93">
        <w:rPr>
          <w:rFonts w:asciiTheme="majorHAnsi" w:hAnsiTheme="majorHAnsi" w:cstheme="majorHAnsi"/>
          <w:bCs/>
          <w:i/>
          <w:iCs/>
          <w:sz w:val="32"/>
          <w:szCs w:val="32"/>
        </w:rPr>
        <w:t>PalArch’s Journal of Archaeology of Egypt/Egyptology, 18</w:t>
      </w:r>
      <w:r w:rsidRPr="001C5D93">
        <w:rPr>
          <w:rFonts w:asciiTheme="majorHAnsi" w:hAnsiTheme="majorHAnsi" w:cstheme="majorHAnsi"/>
          <w:bCs/>
          <w:sz w:val="32"/>
          <w:szCs w:val="32"/>
        </w:rPr>
        <w:t>(10), 1875–1885.</w:t>
      </w:r>
    </w:p>
    <w:p w14:paraId="56B1A828"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International Organization for Standardization. (2018). </w:t>
      </w:r>
      <w:r w:rsidRPr="001C5D93">
        <w:rPr>
          <w:rFonts w:asciiTheme="majorHAnsi" w:hAnsiTheme="majorHAnsi" w:cstheme="majorHAnsi"/>
          <w:bCs/>
          <w:i/>
          <w:iCs/>
          <w:sz w:val="32"/>
          <w:szCs w:val="32"/>
        </w:rPr>
        <w:t>ISO 31000:2018 Risk management — Guidelines</w:t>
      </w:r>
      <w:r w:rsidRPr="001C5D93">
        <w:rPr>
          <w:rFonts w:asciiTheme="majorHAnsi" w:hAnsiTheme="majorHAnsi" w:cstheme="majorHAnsi"/>
          <w:bCs/>
          <w:sz w:val="32"/>
          <w:szCs w:val="32"/>
        </w:rPr>
        <w:t xml:space="preserve">. ISO. </w:t>
      </w:r>
      <w:hyperlink r:id="rId49" w:tgtFrame="_new" w:history="1">
        <w:r w:rsidRPr="001C5D93">
          <w:rPr>
            <w:rStyle w:val="Hyperlink"/>
            <w:rFonts w:asciiTheme="majorHAnsi" w:hAnsiTheme="majorHAnsi" w:cstheme="majorHAnsi"/>
            <w:bCs/>
            <w:sz w:val="32"/>
            <w:szCs w:val="32"/>
          </w:rPr>
          <w:t>https://www.iso.org/standard/65694.html</w:t>
        </w:r>
      </w:hyperlink>
    </w:p>
    <w:p w14:paraId="788CD8F3"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Jabber, A. (2020). </w:t>
      </w:r>
      <w:r w:rsidRPr="001C5D93">
        <w:rPr>
          <w:rFonts w:asciiTheme="majorHAnsi" w:hAnsiTheme="majorHAnsi" w:cstheme="majorHAnsi"/>
          <w:bCs/>
          <w:i/>
          <w:iCs/>
          <w:sz w:val="32"/>
          <w:szCs w:val="32"/>
        </w:rPr>
        <w:t>The impact of risk management practices on organizational performance: A field study at Jordanian insurance companies</w:t>
      </w:r>
      <w:r w:rsidRPr="001C5D93">
        <w:rPr>
          <w:rFonts w:asciiTheme="majorHAnsi" w:hAnsiTheme="majorHAnsi" w:cstheme="majorHAnsi"/>
          <w:bCs/>
          <w:sz w:val="32"/>
          <w:szCs w:val="32"/>
        </w:rPr>
        <w:t xml:space="preserve"> (Master’s thesis). Middle East University, Jordan.</w:t>
      </w:r>
    </w:p>
    <w:p w14:paraId="4E6BDAFC"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Jonathan, G., &amp; Mbogo, R. (2016). Maintaining health and safety at workplace: Employee and employer’s role in ensuring </w:t>
      </w:r>
      <w:r w:rsidRPr="001C5D93">
        <w:rPr>
          <w:rFonts w:asciiTheme="majorHAnsi" w:hAnsiTheme="majorHAnsi" w:cstheme="majorHAnsi"/>
          <w:bCs/>
          <w:sz w:val="32"/>
          <w:szCs w:val="32"/>
        </w:rPr>
        <w:lastRenderedPageBreak/>
        <w:t xml:space="preserve">a safe working environment. </w:t>
      </w:r>
      <w:r w:rsidRPr="001C5D93">
        <w:rPr>
          <w:rFonts w:asciiTheme="majorHAnsi" w:hAnsiTheme="majorHAnsi" w:cstheme="majorHAnsi"/>
          <w:bCs/>
          <w:i/>
          <w:iCs/>
          <w:sz w:val="32"/>
          <w:szCs w:val="32"/>
        </w:rPr>
        <w:t>Journal of Education and Practice, 7</w:t>
      </w:r>
      <w:r w:rsidRPr="001C5D93">
        <w:rPr>
          <w:rFonts w:asciiTheme="majorHAnsi" w:hAnsiTheme="majorHAnsi" w:cstheme="majorHAnsi"/>
          <w:bCs/>
          <w:sz w:val="32"/>
          <w:szCs w:val="32"/>
        </w:rPr>
        <w:t>(29), 1–7.</w:t>
      </w:r>
    </w:p>
    <w:p w14:paraId="1ABCE75E"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Kamiya, S., Kang, J. K., Kim, J., Milidonis, A., &amp; Stulz, R. M. (2021). Risk management, firm reputation, and the impact of successful cyberattacks on target firms. </w:t>
      </w:r>
      <w:r w:rsidRPr="001C5D93">
        <w:rPr>
          <w:rFonts w:asciiTheme="majorHAnsi" w:hAnsiTheme="majorHAnsi" w:cstheme="majorHAnsi"/>
          <w:bCs/>
          <w:i/>
          <w:iCs/>
          <w:sz w:val="32"/>
          <w:szCs w:val="32"/>
        </w:rPr>
        <w:t>Journal of Financial Economics, 139</w:t>
      </w:r>
      <w:r w:rsidRPr="001C5D93">
        <w:rPr>
          <w:rFonts w:asciiTheme="majorHAnsi" w:hAnsiTheme="majorHAnsi" w:cstheme="majorHAnsi"/>
          <w:bCs/>
          <w:sz w:val="32"/>
          <w:szCs w:val="32"/>
        </w:rPr>
        <w:t xml:space="preserve">(3), 719–749. </w:t>
      </w:r>
      <w:hyperlink r:id="rId50" w:history="1">
        <w:r w:rsidRPr="001C5D93">
          <w:rPr>
            <w:rStyle w:val="Hyperlink"/>
            <w:rFonts w:asciiTheme="majorHAnsi" w:hAnsiTheme="majorHAnsi" w:cstheme="majorHAnsi"/>
            <w:bCs/>
            <w:sz w:val="32"/>
            <w:szCs w:val="32"/>
          </w:rPr>
          <w:t>https://doi.org/10.1016/j.jfineco.2020.09.008</w:t>
        </w:r>
      </w:hyperlink>
    </w:p>
    <w:p w14:paraId="5C04B140" w14:textId="77777777" w:rsidR="00692F26" w:rsidRPr="001C5D93" w:rsidRDefault="00692F26" w:rsidP="00254B75">
      <w:pPr>
        <w:pStyle w:val="ab"/>
        <w:numPr>
          <w:ilvl w:val="0"/>
          <w:numId w:val="112"/>
        </w:numPr>
        <w:spacing w:before="0" w:beforeAutospacing="0" w:after="120" w:afterAutospacing="0"/>
        <w:rPr>
          <w:rFonts w:asciiTheme="majorHAnsi" w:hAnsiTheme="majorHAnsi" w:cstheme="majorHAnsi"/>
          <w:sz w:val="32"/>
          <w:szCs w:val="32"/>
        </w:rPr>
      </w:pPr>
      <w:r w:rsidRPr="001C5D93">
        <w:rPr>
          <w:rFonts w:asciiTheme="majorHAnsi" w:hAnsiTheme="majorHAnsi" w:cstheme="majorHAnsi"/>
          <w:sz w:val="32"/>
          <w:szCs w:val="32"/>
        </w:rPr>
        <w:t xml:space="preserve">Kaur, M., &amp; Aslam, A. M. (2018). Big data analytics on IoT: Challenges, open research issues and tools. </w:t>
      </w:r>
      <w:r w:rsidRPr="001C5D93">
        <w:rPr>
          <w:rStyle w:val="ae"/>
          <w:rFonts w:asciiTheme="majorHAnsi" w:eastAsiaTheme="majorEastAsia" w:hAnsiTheme="majorHAnsi" w:cstheme="majorHAnsi"/>
          <w:sz w:val="32"/>
          <w:szCs w:val="32"/>
        </w:rPr>
        <w:t>International Journal of Scientific Research in Computer Science and Engineering, 6</w:t>
      </w:r>
      <w:r w:rsidRPr="001C5D93">
        <w:rPr>
          <w:rFonts w:asciiTheme="majorHAnsi" w:hAnsiTheme="majorHAnsi" w:cstheme="majorHAnsi"/>
          <w:sz w:val="32"/>
          <w:szCs w:val="32"/>
        </w:rPr>
        <w:t xml:space="preserve">(3), 81–85. </w:t>
      </w:r>
    </w:p>
    <w:p w14:paraId="3B10D59E"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Kenton, W. (2024). Organizational structure for companies: Examples and benefits. </w:t>
      </w:r>
      <w:r w:rsidRPr="001C5D93">
        <w:rPr>
          <w:rFonts w:asciiTheme="majorHAnsi" w:hAnsiTheme="majorHAnsi" w:cstheme="majorHAnsi"/>
          <w:bCs/>
          <w:i/>
          <w:iCs/>
          <w:sz w:val="32"/>
          <w:szCs w:val="32"/>
        </w:rPr>
        <w:t>Investopedia</w:t>
      </w:r>
      <w:r w:rsidRPr="001C5D93">
        <w:rPr>
          <w:rFonts w:asciiTheme="majorHAnsi" w:hAnsiTheme="majorHAnsi" w:cstheme="majorHAnsi"/>
          <w:bCs/>
          <w:sz w:val="32"/>
          <w:szCs w:val="32"/>
        </w:rPr>
        <w:t xml:space="preserve">. Retrieved Februruy 20, 2026, from </w:t>
      </w:r>
      <w:hyperlink r:id="rId51" w:tgtFrame="_new" w:history="1">
        <w:r w:rsidRPr="001C5D93">
          <w:rPr>
            <w:rStyle w:val="Hyperlink"/>
            <w:rFonts w:asciiTheme="majorHAnsi" w:hAnsiTheme="majorHAnsi" w:cstheme="majorHAnsi"/>
            <w:bCs/>
            <w:sz w:val="32"/>
            <w:szCs w:val="32"/>
          </w:rPr>
          <w:t>https://www.investopedia.com/</w:t>
        </w:r>
      </w:hyperlink>
    </w:p>
    <w:p w14:paraId="0FDFE16C"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Khatib, E., Al-Nakeeb, A., &amp; ZM, R. (2021). The effect of AI on project and risk management in health care industry projects in the United Arab Emirates (UAE). </w:t>
      </w:r>
      <w:r w:rsidRPr="001C5D93">
        <w:rPr>
          <w:rFonts w:asciiTheme="majorHAnsi" w:hAnsiTheme="majorHAnsi" w:cstheme="majorHAnsi"/>
          <w:bCs/>
          <w:i/>
          <w:iCs/>
          <w:sz w:val="32"/>
          <w:szCs w:val="32"/>
        </w:rPr>
        <w:t>International Journal of Applied Engineering Research, 16</w:t>
      </w:r>
      <w:r w:rsidRPr="001C5D93">
        <w:rPr>
          <w:rFonts w:asciiTheme="majorHAnsi" w:hAnsiTheme="majorHAnsi" w:cstheme="majorHAnsi"/>
          <w:bCs/>
          <w:sz w:val="32"/>
          <w:szCs w:val="32"/>
        </w:rPr>
        <w:t>(1), 45–52.</w:t>
      </w:r>
    </w:p>
    <w:p w14:paraId="1AD7A99A"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Klimova, E. V., Semeykin, A. Y., &amp; Nosatova, E. A. (2018). Improvement of processes of professional risk assessment and management in occupational health and safety system. </w:t>
      </w:r>
      <w:r w:rsidRPr="001C5D93">
        <w:rPr>
          <w:rFonts w:asciiTheme="majorHAnsi" w:hAnsiTheme="majorHAnsi" w:cstheme="majorHAnsi"/>
          <w:bCs/>
          <w:i/>
          <w:iCs/>
          <w:sz w:val="32"/>
          <w:szCs w:val="32"/>
        </w:rPr>
        <w:t>IOP Conference Series: Materials Science and Engineering, 451</w:t>
      </w:r>
      <w:r w:rsidRPr="001C5D93">
        <w:rPr>
          <w:rFonts w:asciiTheme="majorHAnsi" w:hAnsiTheme="majorHAnsi" w:cstheme="majorHAnsi"/>
          <w:bCs/>
          <w:sz w:val="32"/>
          <w:szCs w:val="32"/>
        </w:rPr>
        <w:t xml:space="preserve">, 012198. </w:t>
      </w:r>
      <w:hyperlink r:id="rId52" w:history="1">
        <w:r w:rsidRPr="001C5D93">
          <w:rPr>
            <w:rStyle w:val="Hyperlink"/>
            <w:rFonts w:asciiTheme="majorHAnsi" w:hAnsiTheme="majorHAnsi" w:cstheme="majorHAnsi"/>
            <w:bCs/>
            <w:sz w:val="32"/>
            <w:szCs w:val="32"/>
          </w:rPr>
          <w:t>https://doi.org/10.1088/1757-899X/451/1/012198</w:t>
        </w:r>
      </w:hyperlink>
    </w:p>
    <w:p w14:paraId="5E9249B7"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Kline, R. B. (2023). </w:t>
      </w:r>
      <w:r w:rsidRPr="001C5D93">
        <w:rPr>
          <w:rFonts w:asciiTheme="majorHAnsi" w:hAnsiTheme="majorHAnsi" w:cstheme="majorHAnsi"/>
          <w:bCs/>
          <w:i/>
          <w:iCs/>
          <w:sz w:val="32"/>
          <w:szCs w:val="32"/>
        </w:rPr>
        <w:t>Principles and practice of structural equation modeling</w:t>
      </w:r>
      <w:r w:rsidRPr="001C5D93">
        <w:rPr>
          <w:rFonts w:asciiTheme="majorHAnsi" w:hAnsiTheme="majorHAnsi" w:cstheme="majorHAnsi"/>
          <w:bCs/>
          <w:sz w:val="32"/>
          <w:szCs w:val="32"/>
        </w:rPr>
        <w:t xml:space="preserve"> (5th ed.). Guilford Press.</w:t>
      </w:r>
    </w:p>
    <w:p w14:paraId="2D22EA57"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Kumar, A., Gupta, P. K., &amp; Srivastava, A. (2020). A review of modern technologies for tackling COVID-19 pandemic. </w:t>
      </w:r>
      <w:r w:rsidRPr="001C5D93">
        <w:rPr>
          <w:rFonts w:asciiTheme="majorHAnsi" w:hAnsiTheme="majorHAnsi" w:cstheme="majorHAnsi"/>
          <w:bCs/>
          <w:i/>
          <w:iCs/>
          <w:sz w:val="32"/>
          <w:szCs w:val="32"/>
        </w:rPr>
        <w:t>Diabetes &amp; Metabolic Syndrome: Clinical Research &amp; Reviews, 14</w:t>
      </w:r>
      <w:r w:rsidRPr="001C5D93">
        <w:rPr>
          <w:rFonts w:asciiTheme="majorHAnsi" w:hAnsiTheme="majorHAnsi" w:cstheme="majorHAnsi"/>
          <w:bCs/>
          <w:sz w:val="32"/>
          <w:szCs w:val="32"/>
        </w:rPr>
        <w:t xml:space="preserve">(4), 569–573. </w:t>
      </w:r>
      <w:hyperlink r:id="rId53" w:tgtFrame="_new" w:history="1">
        <w:r w:rsidRPr="001C5D93">
          <w:rPr>
            <w:rStyle w:val="Hyperlink"/>
            <w:rFonts w:asciiTheme="majorHAnsi" w:hAnsiTheme="majorHAnsi" w:cstheme="majorHAnsi"/>
            <w:bCs/>
            <w:sz w:val="32"/>
            <w:szCs w:val="32"/>
          </w:rPr>
          <w:t>https://doi.org/10.1016/j.dsx.2020.04.041</w:t>
        </w:r>
      </w:hyperlink>
    </w:p>
    <w:p w14:paraId="2F84E4EC"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Laroche, E. (2024). Management practices that promote preventive measures compliance: A comparative analysis between hospital healthcare workers and teachers. </w:t>
      </w:r>
      <w:r w:rsidRPr="001C5D93">
        <w:rPr>
          <w:rFonts w:asciiTheme="majorHAnsi" w:hAnsiTheme="majorHAnsi" w:cstheme="majorHAnsi"/>
          <w:bCs/>
          <w:i/>
          <w:iCs/>
          <w:sz w:val="32"/>
          <w:szCs w:val="32"/>
        </w:rPr>
        <w:t>Safety Science, 177</w:t>
      </w:r>
      <w:r w:rsidRPr="001C5D93">
        <w:rPr>
          <w:rFonts w:asciiTheme="majorHAnsi" w:hAnsiTheme="majorHAnsi" w:cstheme="majorHAnsi"/>
          <w:bCs/>
          <w:sz w:val="32"/>
          <w:szCs w:val="32"/>
        </w:rPr>
        <w:t xml:space="preserve">, 106591. </w:t>
      </w:r>
      <w:hyperlink r:id="rId54" w:tgtFrame="_new" w:history="1">
        <w:r w:rsidRPr="001C5D93">
          <w:rPr>
            <w:rStyle w:val="Hyperlink"/>
            <w:rFonts w:asciiTheme="majorHAnsi" w:hAnsiTheme="majorHAnsi" w:cstheme="majorHAnsi"/>
            <w:bCs/>
            <w:sz w:val="32"/>
            <w:szCs w:val="32"/>
          </w:rPr>
          <w:t>https://doi.org/10.1016/j.ssci.2024.106591</w:t>
        </w:r>
      </w:hyperlink>
    </w:p>
    <w:p w14:paraId="184EF8FE"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lastRenderedPageBreak/>
        <w:t xml:space="preserve">Lassri, D., &amp; Desatnik, A. (2020). Losing and regaining reflective functioning in the times of COVID-19: Clinical risks and opportunities from a mentalizing approach. </w:t>
      </w:r>
      <w:r w:rsidRPr="001C5D93">
        <w:rPr>
          <w:rFonts w:asciiTheme="majorHAnsi" w:hAnsiTheme="majorHAnsi" w:cstheme="majorHAnsi"/>
          <w:bCs/>
          <w:i/>
          <w:iCs/>
          <w:sz w:val="32"/>
          <w:szCs w:val="32"/>
        </w:rPr>
        <w:t>Psychological Trauma: Theory, Research, Practice, and Policy, 12</w:t>
      </w:r>
      <w:r w:rsidRPr="001C5D93">
        <w:rPr>
          <w:rFonts w:asciiTheme="majorHAnsi" w:hAnsiTheme="majorHAnsi" w:cstheme="majorHAnsi"/>
          <w:bCs/>
          <w:sz w:val="32"/>
          <w:szCs w:val="32"/>
        </w:rPr>
        <w:t xml:space="preserve">(S1), S44–S46. </w:t>
      </w:r>
      <w:hyperlink r:id="rId55" w:history="1">
        <w:r w:rsidRPr="001C5D93">
          <w:rPr>
            <w:rStyle w:val="Hyperlink"/>
            <w:rFonts w:asciiTheme="majorHAnsi" w:hAnsiTheme="majorHAnsi" w:cstheme="majorHAnsi"/>
            <w:bCs/>
            <w:sz w:val="32"/>
            <w:szCs w:val="32"/>
          </w:rPr>
          <w:t>https://doi.org/10.1037/tra0000768</w:t>
        </w:r>
      </w:hyperlink>
    </w:p>
    <w:p w14:paraId="28B2F826"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Lee, D., &amp; Yoon, S. N. (2021). Application of artificial intelligence-based technologies in the healthcare industry: Opportunities and challenges. </w:t>
      </w:r>
      <w:r w:rsidRPr="001C5D93">
        <w:rPr>
          <w:rFonts w:asciiTheme="majorHAnsi" w:hAnsiTheme="majorHAnsi" w:cstheme="majorHAnsi"/>
          <w:bCs/>
          <w:i/>
          <w:iCs/>
          <w:sz w:val="32"/>
          <w:szCs w:val="32"/>
        </w:rPr>
        <w:t>International Journal of Environmental Research and Public Health, 18</w:t>
      </w:r>
      <w:r w:rsidRPr="001C5D93">
        <w:rPr>
          <w:rFonts w:asciiTheme="majorHAnsi" w:hAnsiTheme="majorHAnsi" w:cstheme="majorHAnsi"/>
          <w:bCs/>
          <w:sz w:val="32"/>
          <w:szCs w:val="32"/>
        </w:rPr>
        <w:t xml:space="preserve">(1), 271. </w:t>
      </w:r>
      <w:hyperlink r:id="rId56" w:tgtFrame="_new" w:history="1">
        <w:r w:rsidRPr="001C5D93">
          <w:rPr>
            <w:rStyle w:val="Hyperlink"/>
            <w:rFonts w:asciiTheme="majorHAnsi" w:hAnsiTheme="majorHAnsi" w:cstheme="majorHAnsi"/>
            <w:bCs/>
            <w:sz w:val="32"/>
            <w:szCs w:val="32"/>
          </w:rPr>
          <w:t>https://doi.org/10.3390/ijerph18010271</w:t>
        </w:r>
      </w:hyperlink>
    </w:p>
    <w:p w14:paraId="74E69568"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Liu, Y., Zhang, X., &amp; Shen, Y. (2024). Technology-driven carbon reduction: Analyzing the impact of digital technology on China's carbon emission and its mechanism. </w:t>
      </w:r>
      <w:r w:rsidRPr="001C5D93">
        <w:rPr>
          <w:rFonts w:asciiTheme="majorHAnsi" w:hAnsiTheme="majorHAnsi" w:cstheme="majorHAnsi"/>
          <w:bCs/>
          <w:i/>
          <w:iCs/>
          <w:sz w:val="32"/>
          <w:szCs w:val="32"/>
        </w:rPr>
        <w:t>Technological Forecasting and Social Change, 200</w:t>
      </w:r>
      <w:r w:rsidRPr="001C5D93">
        <w:rPr>
          <w:rFonts w:asciiTheme="majorHAnsi" w:hAnsiTheme="majorHAnsi" w:cstheme="majorHAnsi"/>
          <w:bCs/>
          <w:sz w:val="32"/>
          <w:szCs w:val="32"/>
        </w:rPr>
        <w:t xml:space="preserve">, 123124. </w:t>
      </w:r>
      <w:hyperlink r:id="rId57" w:history="1">
        <w:r w:rsidRPr="001C5D93">
          <w:rPr>
            <w:rStyle w:val="Hyperlink"/>
            <w:rFonts w:asciiTheme="majorHAnsi" w:hAnsiTheme="majorHAnsi" w:cstheme="majorHAnsi"/>
            <w:bCs/>
            <w:sz w:val="32"/>
            <w:szCs w:val="32"/>
          </w:rPr>
          <w:t>https://doi.org/10.1016/j.techfore.2023.123124</w:t>
        </w:r>
      </w:hyperlink>
    </w:p>
    <w:p w14:paraId="4CFE9B2F"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Lowe, M., Qin, R., &amp; Mao, X. (2022). A review on machine learning, artificial intelligence, and smart technology in water treatment and monitoring. </w:t>
      </w:r>
      <w:r w:rsidRPr="001C5D93">
        <w:rPr>
          <w:rFonts w:asciiTheme="majorHAnsi" w:hAnsiTheme="majorHAnsi" w:cstheme="majorHAnsi"/>
          <w:bCs/>
          <w:i/>
          <w:iCs/>
          <w:sz w:val="32"/>
          <w:szCs w:val="32"/>
        </w:rPr>
        <w:t>Water, 14</w:t>
      </w:r>
      <w:r w:rsidRPr="001C5D93">
        <w:rPr>
          <w:rFonts w:asciiTheme="majorHAnsi" w:hAnsiTheme="majorHAnsi" w:cstheme="majorHAnsi"/>
          <w:bCs/>
          <w:sz w:val="32"/>
          <w:szCs w:val="32"/>
        </w:rPr>
        <w:t xml:space="preserve">(9), 1384. </w:t>
      </w:r>
      <w:hyperlink r:id="rId58" w:history="1">
        <w:r w:rsidRPr="001C5D93">
          <w:rPr>
            <w:rStyle w:val="Hyperlink"/>
            <w:rFonts w:asciiTheme="majorHAnsi" w:hAnsiTheme="majorHAnsi" w:cstheme="majorHAnsi"/>
            <w:bCs/>
            <w:sz w:val="32"/>
            <w:szCs w:val="32"/>
          </w:rPr>
          <w:t>https://doi.org/10.3390/w14091384</w:t>
        </w:r>
      </w:hyperlink>
    </w:p>
    <w:p w14:paraId="5E944332"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Malik, P. (2021). 5 phases of organizational development (Goals &amp; interventions). </w:t>
      </w:r>
      <w:r w:rsidRPr="001C5D93">
        <w:rPr>
          <w:rFonts w:asciiTheme="majorHAnsi" w:hAnsiTheme="majorHAnsi" w:cstheme="majorHAnsi"/>
          <w:bCs/>
          <w:i/>
          <w:iCs/>
          <w:sz w:val="32"/>
          <w:szCs w:val="32"/>
        </w:rPr>
        <w:t>Whatfix Blog</w:t>
      </w:r>
      <w:r w:rsidRPr="001C5D93">
        <w:rPr>
          <w:rFonts w:asciiTheme="majorHAnsi" w:hAnsiTheme="majorHAnsi" w:cstheme="majorHAnsi"/>
          <w:bCs/>
          <w:sz w:val="32"/>
          <w:szCs w:val="32"/>
        </w:rPr>
        <w:t xml:space="preserve">. Retrieved February 14, 2026, from </w:t>
      </w:r>
      <w:hyperlink r:id="rId59" w:tgtFrame="_new" w:history="1">
        <w:r w:rsidRPr="001C5D93">
          <w:rPr>
            <w:rStyle w:val="Hyperlink"/>
            <w:rFonts w:asciiTheme="majorHAnsi" w:hAnsiTheme="majorHAnsi" w:cstheme="majorHAnsi"/>
            <w:bCs/>
            <w:sz w:val="32"/>
            <w:szCs w:val="32"/>
          </w:rPr>
          <w:t>https://whatfix.com/blog/organizational-development</w:t>
        </w:r>
      </w:hyperlink>
    </w:p>
    <w:p w14:paraId="78E2CF4B"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Malik, P. (2024). 5 phases of organizational development (Goals &amp; interventions). </w:t>
      </w:r>
      <w:r w:rsidRPr="001C5D93">
        <w:rPr>
          <w:rFonts w:asciiTheme="majorHAnsi" w:hAnsiTheme="majorHAnsi" w:cstheme="majorHAnsi"/>
          <w:bCs/>
          <w:i/>
          <w:iCs/>
          <w:sz w:val="32"/>
          <w:szCs w:val="32"/>
        </w:rPr>
        <w:t>Whatfix</w:t>
      </w:r>
      <w:r w:rsidRPr="001C5D93">
        <w:rPr>
          <w:rFonts w:asciiTheme="majorHAnsi" w:hAnsiTheme="majorHAnsi" w:cstheme="majorHAnsi"/>
          <w:bCs/>
          <w:sz w:val="32"/>
          <w:szCs w:val="32"/>
        </w:rPr>
        <w:t xml:space="preserve">. Retrieved February 14, 2026, from </w:t>
      </w:r>
      <w:hyperlink r:id="rId60" w:tgtFrame="_new" w:history="1">
        <w:r w:rsidRPr="001C5D93">
          <w:rPr>
            <w:rStyle w:val="Hyperlink"/>
            <w:rFonts w:asciiTheme="majorHAnsi" w:hAnsiTheme="majorHAnsi" w:cstheme="majorHAnsi"/>
            <w:bCs/>
            <w:sz w:val="32"/>
            <w:szCs w:val="32"/>
          </w:rPr>
          <w:t>https://whatfix.com/</w:t>
        </w:r>
      </w:hyperlink>
    </w:p>
    <w:p w14:paraId="3037734C"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Mohamed, D. A., Elsayed, W. A., &amp; Ahmed, G. M. (2018). Organizational development by using electronic medical record at Mansoura Health Insurance Hospital. </w:t>
      </w:r>
      <w:r w:rsidRPr="001C5D93">
        <w:rPr>
          <w:rFonts w:asciiTheme="majorHAnsi" w:hAnsiTheme="majorHAnsi" w:cstheme="majorHAnsi"/>
          <w:bCs/>
          <w:i/>
          <w:iCs/>
          <w:sz w:val="32"/>
          <w:szCs w:val="32"/>
        </w:rPr>
        <w:t>International Journal of Novel Research in Healthcare and Nursing, 5</w:t>
      </w:r>
      <w:r w:rsidRPr="001C5D93">
        <w:rPr>
          <w:rFonts w:asciiTheme="majorHAnsi" w:hAnsiTheme="majorHAnsi" w:cstheme="majorHAnsi"/>
          <w:bCs/>
          <w:sz w:val="32"/>
          <w:szCs w:val="32"/>
        </w:rPr>
        <w:t>(2), 176–185.</w:t>
      </w:r>
    </w:p>
    <w:p w14:paraId="5A4EF89C"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Mohammed, A., Ali, R., &amp; Abdullah, A. (2021). The reality of using artificial intelligence techniques in teacher preparation programs in light of faculty opinions: A case study in Saudi Qassim University. </w:t>
      </w:r>
      <w:r w:rsidRPr="001C5D93">
        <w:rPr>
          <w:rFonts w:asciiTheme="majorHAnsi" w:hAnsiTheme="majorHAnsi" w:cstheme="majorHAnsi"/>
          <w:bCs/>
          <w:i/>
          <w:iCs/>
          <w:sz w:val="32"/>
          <w:szCs w:val="32"/>
        </w:rPr>
        <w:t>Multicultural Education, 7</w:t>
      </w:r>
      <w:r w:rsidRPr="001C5D93">
        <w:rPr>
          <w:rFonts w:asciiTheme="majorHAnsi" w:hAnsiTheme="majorHAnsi" w:cstheme="majorHAnsi"/>
          <w:bCs/>
          <w:sz w:val="32"/>
          <w:szCs w:val="32"/>
        </w:rPr>
        <w:t>(1), 5–16.</w:t>
      </w:r>
    </w:p>
    <w:p w14:paraId="22A455E3"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lastRenderedPageBreak/>
        <w:t xml:space="preserve">Muayad, A., &amp; Abumandil, M. (2021). The impact of agile risk management utilization in small and medium enterprises. </w:t>
      </w:r>
      <w:r w:rsidRPr="001C5D93">
        <w:rPr>
          <w:rFonts w:asciiTheme="majorHAnsi" w:hAnsiTheme="majorHAnsi" w:cstheme="majorHAnsi"/>
          <w:bCs/>
          <w:i/>
          <w:iCs/>
          <w:sz w:val="32"/>
          <w:szCs w:val="32"/>
        </w:rPr>
        <w:t>International Journal of Scientific Research and Engineering Development, 4</w:t>
      </w:r>
      <w:r w:rsidRPr="001C5D93">
        <w:rPr>
          <w:rFonts w:asciiTheme="majorHAnsi" w:hAnsiTheme="majorHAnsi" w:cstheme="majorHAnsi"/>
          <w:bCs/>
          <w:sz w:val="32"/>
          <w:szCs w:val="32"/>
        </w:rPr>
        <w:t>(3), 1124–1132.</w:t>
      </w:r>
    </w:p>
    <w:p w14:paraId="157F9772"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Myat Cho Mon Oo, &amp; Thein, T. (2022). An efficient predictive analytics system for high dimensional big data. </w:t>
      </w:r>
      <w:r w:rsidRPr="001C5D93">
        <w:rPr>
          <w:rFonts w:asciiTheme="majorHAnsi" w:hAnsiTheme="majorHAnsi" w:cstheme="majorHAnsi"/>
          <w:bCs/>
          <w:i/>
          <w:iCs/>
          <w:sz w:val="32"/>
          <w:szCs w:val="32"/>
        </w:rPr>
        <w:t>Journal of King Saud University—Computer and Information Sciences, 34</w:t>
      </w:r>
      <w:r w:rsidRPr="001C5D93">
        <w:rPr>
          <w:rFonts w:asciiTheme="majorHAnsi" w:hAnsiTheme="majorHAnsi" w:cstheme="majorHAnsi"/>
          <w:bCs/>
          <w:sz w:val="32"/>
          <w:szCs w:val="32"/>
        </w:rPr>
        <w:t xml:space="preserve">(1), 1521–1532. </w:t>
      </w:r>
      <w:hyperlink r:id="rId61" w:history="1">
        <w:r w:rsidRPr="001C5D93">
          <w:rPr>
            <w:rStyle w:val="Hyperlink"/>
            <w:rFonts w:asciiTheme="majorHAnsi" w:hAnsiTheme="majorHAnsi" w:cstheme="majorHAnsi"/>
            <w:bCs/>
            <w:sz w:val="32"/>
            <w:szCs w:val="32"/>
          </w:rPr>
          <w:t>https://doi.org/10.1016/j.jksuci.2019.09.001</w:t>
        </w:r>
      </w:hyperlink>
    </w:p>
    <w:p w14:paraId="5AE1A9CF" w14:textId="77777777" w:rsidR="00692F26" w:rsidRPr="001C5D93" w:rsidRDefault="00692F26" w:rsidP="00254B75">
      <w:pPr>
        <w:pStyle w:val="ab"/>
        <w:numPr>
          <w:ilvl w:val="0"/>
          <w:numId w:val="112"/>
        </w:numPr>
        <w:spacing w:before="0" w:beforeAutospacing="0" w:after="120" w:afterAutospacing="0"/>
        <w:rPr>
          <w:rFonts w:asciiTheme="majorHAnsi" w:hAnsiTheme="majorHAnsi" w:cstheme="majorHAnsi"/>
          <w:sz w:val="32"/>
          <w:szCs w:val="32"/>
        </w:rPr>
      </w:pPr>
      <w:r w:rsidRPr="001C5D93">
        <w:rPr>
          <w:rFonts w:asciiTheme="majorHAnsi" w:hAnsiTheme="majorHAnsi" w:cstheme="majorHAnsi"/>
          <w:sz w:val="32"/>
          <w:szCs w:val="32"/>
        </w:rPr>
        <w:t xml:space="preserve">Myat Cho Mon Oo, &amp; Thein, T. (2022). An efficient predictive analytics system for high dimensional big data. </w:t>
      </w:r>
      <w:r w:rsidRPr="001C5D93">
        <w:rPr>
          <w:rStyle w:val="ae"/>
          <w:rFonts w:asciiTheme="majorHAnsi" w:eastAsiaTheme="majorEastAsia" w:hAnsiTheme="majorHAnsi" w:cstheme="majorHAnsi"/>
          <w:sz w:val="32"/>
          <w:szCs w:val="32"/>
        </w:rPr>
        <w:t>Journal of King Saud University—Computer and Information Sciences, 34</w:t>
      </w:r>
      <w:r w:rsidRPr="001C5D93">
        <w:rPr>
          <w:rFonts w:asciiTheme="majorHAnsi" w:hAnsiTheme="majorHAnsi" w:cstheme="majorHAnsi"/>
          <w:sz w:val="32"/>
          <w:szCs w:val="32"/>
        </w:rPr>
        <w:t xml:space="preserve">(1), 1521–1532. https://doi.org/10.1016/j.jksuci.2019.09.001 </w:t>
      </w:r>
    </w:p>
    <w:p w14:paraId="1E3C4949"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Nezamodini, Z. S., Khodamoradi, F., Malekzadeh, M., &amp; Vaziri, H. (2020). Nursing errors in intensive care unit by human error identification in systems tool: A case study. </w:t>
      </w:r>
      <w:r w:rsidRPr="001C5D93">
        <w:rPr>
          <w:rFonts w:asciiTheme="majorHAnsi" w:hAnsiTheme="majorHAnsi" w:cstheme="majorHAnsi"/>
          <w:bCs/>
          <w:i/>
          <w:iCs/>
          <w:sz w:val="32"/>
          <w:szCs w:val="32"/>
        </w:rPr>
        <w:t>Jundishapur Journal of Health Sciences, 12</w:t>
      </w:r>
      <w:r w:rsidRPr="001C5D93">
        <w:rPr>
          <w:rFonts w:asciiTheme="majorHAnsi" w:hAnsiTheme="majorHAnsi" w:cstheme="majorHAnsi"/>
          <w:bCs/>
          <w:sz w:val="32"/>
          <w:szCs w:val="32"/>
        </w:rPr>
        <w:t xml:space="preserve">(3), e104560. </w:t>
      </w:r>
      <w:hyperlink r:id="rId62" w:history="1">
        <w:r w:rsidRPr="001C5D93">
          <w:rPr>
            <w:rStyle w:val="Hyperlink"/>
            <w:rFonts w:asciiTheme="majorHAnsi" w:hAnsiTheme="majorHAnsi" w:cstheme="majorHAnsi"/>
            <w:bCs/>
            <w:sz w:val="32"/>
            <w:szCs w:val="32"/>
          </w:rPr>
          <w:t>https://doi.org/10.5812/jjhs.104560</w:t>
        </w:r>
      </w:hyperlink>
    </w:p>
    <w:p w14:paraId="09D43C41"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Njoku, P. O., Edokpayi, J. N., &amp; Odiyo, J. O. (2019). Health and environmental risks of residents living close to a landfill: A case study of Thohoyandou Landfill, Limpopo Province, South Africa. </w:t>
      </w:r>
      <w:r w:rsidRPr="001C5D93">
        <w:rPr>
          <w:rFonts w:asciiTheme="majorHAnsi" w:hAnsiTheme="majorHAnsi" w:cstheme="majorHAnsi"/>
          <w:bCs/>
          <w:i/>
          <w:iCs/>
          <w:sz w:val="32"/>
          <w:szCs w:val="32"/>
        </w:rPr>
        <w:t>International Journal of Environmental Research and Public Health, 16</w:t>
      </w:r>
      <w:r w:rsidRPr="001C5D93">
        <w:rPr>
          <w:rFonts w:asciiTheme="majorHAnsi" w:hAnsiTheme="majorHAnsi" w:cstheme="majorHAnsi"/>
          <w:bCs/>
          <w:sz w:val="32"/>
          <w:szCs w:val="32"/>
        </w:rPr>
        <w:t xml:space="preserve">(12), 2125. </w:t>
      </w:r>
      <w:hyperlink r:id="rId63" w:history="1">
        <w:r w:rsidRPr="001C5D93">
          <w:rPr>
            <w:rStyle w:val="Hyperlink"/>
            <w:rFonts w:asciiTheme="majorHAnsi" w:hAnsiTheme="majorHAnsi" w:cstheme="majorHAnsi"/>
            <w:bCs/>
            <w:sz w:val="32"/>
            <w:szCs w:val="32"/>
          </w:rPr>
          <w:t>https://doi.org/10.3390/ijerph16122125</w:t>
        </w:r>
      </w:hyperlink>
    </w:p>
    <w:p w14:paraId="2E184F13"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Olechowski, A., Oehmen, J., Seering, W., &amp; Ben-Daya, M. (2016). The professionalization of risk management: What role can the ISO 31000 risk management principles play? </w:t>
      </w:r>
      <w:r w:rsidRPr="001C5D93">
        <w:rPr>
          <w:rFonts w:asciiTheme="majorHAnsi" w:hAnsiTheme="majorHAnsi" w:cstheme="majorHAnsi"/>
          <w:bCs/>
          <w:i/>
          <w:iCs/>
          <w:sz w:val="32"/>
          <w:szCs w:val="32"/>
        </w:rPr>
        <w:t>International Journal of Project Management, 34</w:t>
      </w:r>
      <w:r w:rsidRPr="001C5D93">
        <w:rPr>
          <w:rFonts w:asciiTheme="majorHAnsi" w:hAnsiTheme="majorHAnsi" w:cstheme="majorHAnsi"/>
          <w:bCs/>
          <w:sz w:val="32"/>
          <w:szCs w:val="32"/>
        </w:rPr>
        <w:t xml:space="preserve">(8), 1568–1578. </w:t>
      </w:r>
      <w:hyperlink r:id="rId64" w:history="1">
        <w:r w:rsidRPr="001C5D93">
          <w:rPr>
            <w:rStyle w:val="Hyperlink"/>
            <w:rFonts w:asciiTheme="majorHAnsi" w:hAnsiTheme="majorHAnsi" w:cstheme="majorHAnsi"/>
            <w:bCs/>
            <w:sz w:val="32"/>
            <w:szCs w:val="32"/>
          </w:rPr>
          <w:t>https://doi.org/10.1016/j.ijproman.2016.08.002</w:t>
        </w:r>
      </w:hyperlink>
    </w:p>
    <w:p w14:paraId="759E4DFC"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Pinnington, A., Aldabbas, H., Mirshahi, F., &amp; Pirie, T. (2022). Organisational development programmes and employees’ career development: The moderating role of gender. </w:t>
      </w:r>
      <w:r w:rsidRPr="001C5D93">
        <w:rPr>
          <w:rFonts w:asciiTheme="majorHAnsi" w:hAnsiTheme="majorHAnsi" w:cstheme="majorHAnsi"/>
          <w:bCs/>
          <w:i/>
          <w:iCs/>
          <w:sz w:val="32"/>
          <w:szCs w:val="32"/>
        </w:rPr>
        <w:t>Journal of Workplace Learning, 34</w:t>
      </w:r>
      <w:r w:rsidRPr="001C5D93">
        <w:rPr>
          <w:rFonts w:asciiTheme="majorHAnsi" w:hAnsiTheme="majorHAnsi" w:cstheme="majorHAnsi"/>
          <w:bCs/>
          <w:sz w:val="32"/>
          <w:szCs w:val="32"/>
        </w:rPr>
        <w:t xml:space="preserve">(5), 466–496. </w:t>
      </w:r>
      <w:hyperlink r:id="rId65" w:history="1">
        <w:r w:rsidRPr="001C5D93">
          <w:rPr>
            <w:rStyle w:val="Hyperlink"/>
            <w:rFonts w:asciiTheme="majorHAnsi" w:hAnsiTheme="majorHAnsi" w:cstheme="majorHAnsi"/>
            <w:bCs/>
            <w:sz w:val="32"/>
            <w:szCs w:val="32"/>
          </w:rPr>
          <w:t>https://doi.org/10.1108/JWL-05-2021-0063</w:t>
        </w:r>
      </w:hyperlink>
    </w:p>
    <w:p w14:paraId="5522C4B1"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lastRenderedPageBreak/>
        <w:t xml:space="preserve">Plastino, E., &amp; Purdy, M. (2017). Game-changing value from artificial intelligence: Eight strategies. </w:t>
      </w:r>
      <w:r w:rsidRPr="001C5D93">
        <w:rPr>
          <w:rFonts w:asciiTheme="majorHAnsi" w:hAnsiTheme="majorHAnsi" w:cstheme="majorHAnsi"/>
          <w:bCs/>
          <w:i/>
          <w:iCs/>
          <w:sz w:val="32"/>
          <w:szCs w:val="32"/>
        </w:rPr>
        <w:t>Strategy &amp; Leadership, 46</w:t>
      </w:r>
      <w:r w:rsidRPr="001C5D93">
        <w:rPr>
          <w:rFonts w:asciiTheme="majorHAnsi" w:hAnsiTheme="majorHAnsi" w:cstheme="majorHAnsi"/>
          <w:bCs/>
          <w:sz w:val="32"/>
          <w:szCs w:val="32"/>
        </w:rPr>
        <w:t xml:space="preserve">(1), 16–22. </w:t>
      </w:r>
      <w:hyperlink r:id="rId66" w:history="1">
        <w:r w:rsidRPr="001C5D93">
          <w:rPr>
            <w:rStyle w:val="Hyperlink"/>
            <w:rFonts w:asciiTheme="majorHAnsi" w:hAnsiTheme="majorHAnsi" w:cstheme="majorHAnsi"/>
            <w:bCs/>
            <w:sz w:val="32"/>
            <w:szCs w:val="32"/>
          </w:rPr>
          <w:t>https://doi.org/10.1108/SL-10-2017-0096</w:t>
        </w:r>
      </w:hyperlink>
    </w:p>
    <w:p w14:paraId="31E095CA"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Robbins, S. P., &amp; Judge, T. A. (2017). </w:t>
      </w:r>
      <w:r w:rsidRPr="001C5D93">
        <w:rPr>
          <w:rFonts w:asciiTheme="majorHAnsi" w:hAnsiTheme="majorHAnsi" w:cstheme="majorHAnsi"/>
          <w:bCs/>
          <w:i/>
          <w:iCs/>
          <w:sz w:val="32"/>
          <w:szCs w:val="32"/>
        </w:rPr>
        <w:t>Organizational behavior</w:t>
      </w:r>
      <w:r w:rsidRPr="001C5D93">
        <w:rPr>
          <w:rFonts w:asciiTheme="majorHAnsi" w:hAnsiTheme="majorHAnsi" w:cstheme="majorHAnsi"/>
          <w:bCs/>
          <w:sz w:val="32"/>
          <w:szCs w:val="32"/>
        </w:rPr>
        <w:t xml:space="preserve"> (17th ed.). Pearson.</w:t>
      </w:r>
    </w:p>
    <w:p w14:paraId="0FDF37E8"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Rosa, A., Santangelo, A., &amp; Tondelli, S. (2021). Investigating the integration of cultural heritage disaster risk management into urban planning tools: The Ravenna case study. </w:t>
      </w:r>
      <w:r w:rsidRPr="001C5D93">
        <w:rPr>
          <w:rFonts w:asciiTheme="majorHAnsi" w:hAnsiTheme="majorHAnsi" w:cstheme="majorHAnsi"/>
          <w:bCs/>
          <w:i/>
          <w:iCs/>
          <w:sz w:val="32"/>
          <w:szCs w:val="32"/>
        </w:rPr>
        <w:t>Sustainability, 13</w:t>
      </w:r>
      <w:r w:rsidRPr="001C5D93">
        <w:rPr>
          <w:rFonts w:asciiTheme="majorHAnsi" w:hAnsiTheme="majorHAnsi" w:cstheme="majorHAnsi"/>
          <w:bCs/>
          <w:sz w:val="32"/>
          <w:szCs w:val="32"/>
        </w:rPr>
        <w:t xml:space="preserve">(2), 872. </w:t>
      </w:r>
      <w:hyperlink r:id="rId67" w:history="1">
        <w:r w:rsidRPr="001C5D93">
          <w:rPr>
            <w:rStyle w:val="Hyperlink"/>
            <w:rFonts w:asciiTheme="majorHAnsi" w:hAnsiTheme="majorHAnsi" w:cstheme="majorHAnsi"/>
            <w:bCs/>
            <w:sz w:val="32"/>
            <w:szCs w:val="32"/>
          </w:rPr>
          <w:t>https://doi.org/10.3390/su13020872</w:t>
        </w:r>
      </w:hyperlink>
    </w:p>
    <w:p w14:paraId="01708ABD"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Russell, S., &amp; Norvig, P. (2016). </w:t>
      </w:r>
      <w:r w:rsidRPr="001C5D93">
        <w:rPr>
          <w:rFonts w:asciiTheme="majorHAnsi" w:hAnsiTheme="majorHAnsi" w:cstheme="majorHAnsi"/>
          <w:bCs/>
          <w:i/>
          <w:iCs/>
          <w:sz w:val="32"/>
          <w:szCs w:val="32"/>
        </w:rPr>
        <w:t>Artificial intelligence: A modern approach</w:t>
      </w:r>
      <w:r w:rsidRPr="001C5D93">
        <w:rPr>
          <w:rFonts w:asciiTheme="majorHAnsi" w:hAnsiTheme="majorHAnsi" w:cstheme="majorHAnsi"/>
          <w:bCs/>
          <w:sz w:val="32"/>
          <w:szCs w:val="32"/>
        </w:rPr>
        <w:t xml:space="preserve"> (3rd ed.). Pearson Education.</w:t>
      </w:r>
    </w:p>
    <w:p w14:paraId="558724C3"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Schroeder, C. (2023). Coming in from the margins: Faculty development’s emerging organizational development role in institutional change. </w:t>
      </w:r>
      <w:r w:rsidRPr="001C5D93">
        <w:rPr>
          <w:rFonts w:asciiTheme="majorHAnsi" w:hAnsiTheme="majorHAnsi" w:cstheme="majorHAnsi"/>
          <w:bCs/>
          <w:i/>
          <w:iCs/>
          <w:sz w:val="32"/>
          <w:szCs w:val="32"/>
        </w:rPr>
        <w:t>Journal of Faculty Development, 37</w:t>
      </w:r>
      <w:r w:rsidRPr="001C5D93">
        <w:rPr>
          <w:rFonts w:asciiTheme="majorHAnsi" w:hAnsiTheme="majorHAnsi" w:cstheme="majorHAnsi"/>
          <w:bCs/>
          <w:sz w:val="32"/>
          <w:szCs w:val="32"/>
        </w:rPr>
        <w:t>(2), 5–14.</w:t>
      </w:r>
    </w:p>
    <w:p w14:paraId="3C9A3E35"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Schroer, A. (2023). What is artificial intelligence? </w:t>
      </w:r>
      <w:r w:rsidRPr="001C5D93">
        <w:rPr>
          <w:rFonts w:asciiTheme="majorHAnsi" w:hAnsiTheme="majorHAnsi" w:cstheme="majorHAnsi"/>
          <w:bCs/>
          <w:i/>
          <w:iCs/>
          <w:sz w:val="32"/>
          <w:szCs w:val="32"/>
        </w:rPr>
        <w:t>Built In</w:t>
      </w:r>
      <w:r w:rsidRPr="001C5D93">
        <w:rPr>
          <w:rFonts w:asciiTheme="majorHAnsi" w:hAnsiTheme="majorHAnsi" w:cstheme="majorHAnsi"/>
          <w:bCs/>
          <w:sz w:val="32"/>
          <w:szCs w:val="32"/>
        </w:rPr>
        <w:t xml:space="preserve">. Retrieved February 21, 2026, from </w:t>
      </w:r>
      <w:hyperlink r:id="rId68" w:tgtFrame="_new" w:history="1">
        <w:r w:rsidRPr="001C5D93">
          <w:rPr>
            <w:rStyle w:val="Hyperlink"/>
            <w:rFonts w:asciiTheme="majorHAnsi" w:hAnsiTheme="majorHAnsi" w:cstheme="majorHAnsi"/>
            <w:bCs/>
            <w:sz w:val="32"/>
            <w:szCs w:val="32"/>
          </w:rPr>
          <w:t>https://builtin.com/artificial-intelligence</w:t>
        </w:r>
      </w:hyperlink>
    </w:p>
    <w:p w14:paraId="045155BE"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Sciulli, L. M. (2024). Innovations in the retail banking industry: The impact of organizational structure and environment on the adoption process. </w:t>
      </w:r>
      <w:r w:rsidRPr="001C5D93">
        <w:rPr>
          <w:rFonts w:asciiTheme="majorHAnsi" w:hAnsiTheme="majorHAnsi" w:cstheme="majorHAnsi"/>
          <w:bCs/>
          <w:i/>
          <w:iCs/>
          <w:sz w:val="32"/>
          <w:szCs w:val="32"/>
        </w:rPr>
        <w:t>Journal of Organizational Change Management, 37</w:t>
      </w:r>
      <w:r w:rsidRPr="001C5D93">
        <w:rPr>
          <w:rFonts w:asciiTheme="majorHAnsi" w:hAnsiTheme="majorHAnsi" w:cstheme="majorHAnsi"/>
          <w:bCs/>
          <w:sz w:val="32"/>
          <w:szCs w:val="32"/>
        </w:rPr>
        <w:t xml:space="preserve">(4), 601–618. </w:t>
      </w:r>
      <w:hyperlink r:id="rId69" w:history="1">
        <w:r w:rsidRPr="001C5D93">
          <w:rPr>
            <w:rStyle w:val="Hyperlink"/>
            <w:rFonts w:asciiTheme="majorHAnsi" w:hAnsiTheme="majorHAnsi" w:cstheme="majorHAnsi"/>
            <w:bCs/>
            <w:sz w:val="32"/>
            <w:szCs w:val="32"/>
          </w:rPr>
          <w:t>https://doi.org/10.1108/JOCM-01-2024-0021</w:t>
        </w:r>
      </w:hyperlink>
    </w:p>
    <w:p w14:paraId="3F530F5F"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Scott, W. R., &amp; Davis, G. F. (2016). </w:t>
      </w:r>
      <w:r w:rsidRPr="001C5D93">
        <w:rPr>
          <w:rFonts w:asciiTheme="majorHAnsi" w:hAnsiTheme="majorHAnsi" w:cstheme="majorHAnsi"/>
          <w:bCs/>
          <w:i/>
          <w:iCs/>
          <w:sz w:val="32"/>
          <w:szCs w:val="32"/>
        </w:rPr>
        <w:t>Organizations and organizing: Rational, natural, and open systems perspectives</w:t>
      </w:r>
      <w:r w:rsidRPr="001C5D93">
        <w:rPr>
          <w:rFonts w:asciiTheme="majorHAnsi" w:hAnsiTheme="majorHAnsi" w:cstheme="majorHAnsi"/>
          <w:bCs/>
          <w:sz w:val="32"/>
          <w:szCs w:val="32"/>
        </w:rPr>
        <w:t xml:space="preserve"> (2nd ed.). Routledge.</w:t>
      </w:r>
    </w:p>
    <w:p w14:paraId="708195F0"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Sinha, R. (2024). The role and impact of new technologies on healthcare systems. </w:t>
      </w:r>
      <w:r w:rsidRPr="001C5D93">
        <w:rPr>
          <w:rFonts w:asciiTheme="majorHAnsi" w:hAnsiTheme="majorHAnsi" w:cstheme="majorHAnsi"/>
          <w:bCs/>
          <w:i/>
          <w:iCs/>
          <w:sz w:val="32"/>
          <w:szCs w:val="32"/>
        </w:rPr>
        <w:t>Discover Health Systems, 3</w:t>
      </w:r>
      <w:r w:rsidRPr="001C5D93">
        <w:rPr>
          <w:rFonts w:asciiTheme="majorHAnsi" w:hAnsiTheme="majorHAnsi" w:cstheme="majorHAnsi"/>
          <w:bCs/>
          <w:sz w:val="32"/>
          <w:szCs w:val="32"/>
        </w:rPr>
        <w:t xml:space="preserve">, Article 96. </w:t>
      </w:r>
      <w:hyperlink r:id="rId70" w:tgtFrame="_new" w:history="1">
        <w:r w:rsidRPr="001C5D93">
          <w:rPr>
            <w:rStyle w:val="Hyperlink"/>
            <w:rFonts w:asciiTheme="majorHAnsi" w:hAnsiTheme="majorHAnsi" w:cstheme="majorHAnsi"/>
            <w:bCs/>
            <w:sz w:val="32"/>
            <w:szCs w:val="32"/>
          </w:rPr>
          <w:t>https://doi.org/10.1007/s44250-024-00163-w</w:t>
        </w:r>
      </w:hyperlink>
    </w:p>
    <w:p w14:paraId="3661FDA4"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Smith, P. G., &amp; Merritt, G. M. (2020). </w:t>
      </w:r>
      <w:r w:rsidRPr="001C5D93">
        <w:rPr>
          <w:rFonts w:asciiTheme="majorHAnsi" w:hAnsiTheme="majorHAnsi" w:cstheme="majorHAnsi"/>
          <w:bCs/>
          <w:i/>
          <w:iCs/>
          <w:sz w:val="32"/>
          <w:szCs w:val="32"/>
        </w:rPr>
        <w:t>Proactive risk management: Controlling uncertainty in product development</w:t>
      </w:r>
      <w:r w:rsidRPr="001C5D93">
        <w:rPr>
          <w:rFonts w:asciiTheme="majorHAnsi" w:hAnsiTheme="majorHAnsi" w:cstheme="majorHAnsi"/>
          <w:bCs/>
          <w:sz w:val="32"/>
          <w:szCs w:val="32"/>
        </w:rPr>
        <w:t xml:space="preserve"> (2nd ed.). Productivity Press.</w:t>
      </w:r>
    </w:p>
    <w:p w14:paraId="684C5451"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Somera, S. L., &amp; Petrov, V. (2024). Organizational agility in the age of digital transformation: A systems theory perspective. </w:t>
      </w:r>
      <w:r w:rsidRPr="001C5D93">
        <w:rPr>
          <w:rFonts w:asciiTheme="majorHAnsi" w:hAnsiTheme="majorHAnsi" w:cstheme="majorHAnsi"/>
          <w:bCs/>
          <w:i/>
          <w:iCs/>
          <w:sz w:val="32"/>
          <w:szCs w:val="32"/>
        </w:rPr>
        <w:lastRenderedPageBreak/>
        <w:t>Journal of Organizational Change Management, 37</w:t>
      </w:r>
      <w:r w:rsidRPr="001C5D93">
        <w:rPr>
          <w:rFonts w:asciiTheme="majorHAnsi" w:hAnsiTheme="majorHAnsi" w:cstheme="majorHAnsi"/>
          <w:bCs/>
          <w:sz w:val="32"/>
          <w:szCs w:val="32"/>
        </w:rPr>
        <w:t xml:space="preserve">(2), 245–261. </w:t>
      </w:r>
      <w:hyperlink r:id="rId71" w:tgtFrame="_new" w:history="1">
        <w:r w:rsidRPr="001C5D93">
          <w:rPr>
            <w:rStyle w:val="Hyperlink"/>
            <w:rFonts w:asciiTheme="majorHAnsi" w:hAnsiTheme="majorHAnsi" w:cstheme="majorHAnsi"/>
            <w:bCs/>
            <w:sz w:val="32"/>
            <w:szCs w:val="32"/>
          </w:rPr>
          <w:t>https://doi.org/10.1108/JOCM-07-2023-0254</w:t>
        </w:r>
      </w:hyperlink>
    </w:p>
    <w:p w14:paraId="534B9C2A"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Soyal, H., Sarihan, M., &amp; Yarar, O. (2020). Occupational health safety effect on hospital safety. </w:t>
      </w:r>
      <w:r w:rsidRPr="001C5D93">
        <w:rPr>
          <w:rFonts w:asciiTheme="majorHAnsi" w:hAnsiTheme="majorHAnsi" w:cstheme="majorHAnsi"/>
          <w:bCs/>
          <w:i/>
          <w:iCs/>
          <w:sz w:val="32"/>
          <w:szCs w:val="32"/>
        </w:rPr>
        <w:t>International Journal of Occupational Safety and Ergonomics, 26</w:t>
      </w:r>
      <w:r w:rsidRPr="001C5D93">
        <w:rPr>
          <w:rFonts w:asciiTheme="majorHAnsi" w:hAnsiTheme="majorHAnsi" w:cstheme="majorHAnsi"/>
          <w:bCs/>
          <w:sz w:val="32"/>
          <w:szCs w:val="32"/>
        </w:rPr>
        <w:t xml:space="preserve">(4), 742–748. </w:t>
      </w:r>
      <w:hyperlink r:id="rId72" w:history="1">
        <w:r w:rsidRPr="001C5D93">
          <w:rPr>
            <w:rStyle w:val="Hyperlink"/>
            <w:rFonts w:asciiTheme="majorHAnsi" w:hAnsiTheme="majorHAnsi" w:cstheme="majorHAnsi"/>
            <w:bCs/>
            <w:sz w:val="32"/>
            <w:szCs w:val="32"/>
          </w:rPr>
          <w:t>https://doi.org/10.1080/10803548.2018.1534416</w:t>
        </w:r>
      </w:hyperlink>
    </w:p>
    <w:p w14:paraId="16B2D0F3"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Spreitzer, G. M. (1995). Psychological empowerment in the workplace: Dimensions, measurement, and validation. </w:t>
      </w:r>
      <w:r w:rsidRPr="001C5D93">
        <w:rPr>
          <w:rFonts w:asciiTheme="majorHAnsi" w:hAnsiTheme="majorHAnsi" w:cstheme="majorHAnsi"/>
          <w:bCs/>
          <w:i/>
          <w:iCs/>
          <w:sz w:val="32"/>
          <w:szCs w:val="32"/>
        </w:rPr>
        <w:t>Academy of Management Journal, 38</w:t>
      </w:r>
      <w:r w:rsidRPr="001C5D93">
        <w:rPr>
          <w:rFonts w:asciiTheme="majorHAnsi" w:hAnsiTheme="majorHAnsi" w:cstheme="majorHAnsi"/>
          <w:bCs/>
          <w:sz w:val="32"/>
          <w:szCs w:val="32"/>
        </w:rPr>
        <w:t xml:space="preserve">(5), 1442–1465. </w:t>
      </w:r>
      <w:hyperlink r:id="rId73" w:tgtFrame="_new" w:history="1">
        <w:r w:rsidRPr="001C5D93">
          <w:rPr>
            <w:rStyle w:val="Hyperlink"/>
            <w:rFonts w:asciiTheme="majorHAnsi" w:hAnsiTheme="majorHAnsi" w:cstheme="majorHAnsi"/>
            <w:bCs/>
            <w:sz w:val="32"/>
            <w:szCs w:val="32"/>
          </w:rPr>
          <w:t>https://doi.org/10.2307/256865</w:t>
        </w:r>
      </w:hyperlink>
    </w:p>
    <w:p w14:paraId="6506BE03"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Srinivas, E. S. (2020). Future of organizational development. </w:t>
      </w:r>
      <w:r w:rsidRPr="001C5D93">
        <w:rPr>
          <w:rFonts w:asciiTheme="majorHAnsi" w:hAnsiTheme="majorHAnsi" w:cstheme="majorHAnsi"/>
          <w:bCs/>
          <w:i/>
          <w:iCs/>
          <w:sz w:val="32"/>
          <w:szCs w:val="32"/>
        </w:rPr>
        <w:t>NHRD Network Journal, 13</w:t>
      </w:r>
      <w:r w:rsidRPr="001C5D93">
        <w:rPr>
          <w:rFonts w:asciiTheme="majorHAnsi" w:hAnsiTheme="majorHAnsi" w:cstheme="majorHAnsi"/>
          <w:bCs/>
          <w:sz w:val="32"/>
          <w:szCs w:val="32"/>
        </w:rPr>
        <w:t xml:space="preserve">(2), 246–250. </w:t>
      </w:r>
      <w:hyperlink r:id="rId74" w:history="1">
        <w:r w:rsidRPr="001C5D93">
          <w:rPr>
            <w:rStyle w:val="Hyperlink"/>
            <w:rFonts w:asciiTheme="majorHAnsi" w:hAnsiTheme="majorHAnsi" w:cstheme="majorHAnsi"/>
            <w:bCs/>
            <w:sz w:val="32"/>
            <w:szCs w:val="32"/>
          </w:rPr>
          <w:t>https://doi.org/10.1177/2631454120913211</w:t>
        </w:r>
      </w:hyperlink>
    </w:p>
    <w:p w14:paraId="4EB45AB9"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Sundara, W. C., Haryati, R. A., Rachmat, S. A., Putra, A. S., &amp; Aisyah, N. (2021). Effect of human resources and budget in project risk management for enterprise resource planning systems. </w:t>
      </w:r>
      <w:r w:rsidRPr="001C5D93">
        <w:rPr>
          <w:rFonts w:asciiTheme="majorHAnsi" w:hAnsiTheme="majorHAnsi" w:cstheme="majorHAnsi"/>
          <w:bCs/>
          <w:i/>
          <w:iCs/>
          <w:sz w:val="32"/>
          <w:szCs w:val="32"/>
        </w:rPr>
        <w:t>Journal of Innovation Research and Knowledge, 1</w:t>
      </w:r>
      <w:r w:rsidRPr="001C5D93">
        <w:rPr>
          <w:rFonts w:asciiTheme="majorHAnsi" w:hAnsiTheme="majorHAnsi" w:cstheme="majorHAnsi"/>
          <w:bCs/>
          <w:sz w:val="32"/>
          <w:szCs w:val="32"/>
        </w:rPr>
        <w:t>(2), 125–130.</w:t>
      </w:r>
    </w:p>
    <w:p w14:paraId="780938AE"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Sutton, R. T., Pincock, D., Baumgart, D. C., Sadowski, D. C., Fedorak, R. N., &amp; Kroeker, K. I. (2020). An overview of clinical decision support systems: Benefits, risks, and strategies for success. </w:t>
      </w:r>
      <w:r w:rsidRPr="001C5D93">
        <w:rPr>
          <w:rFonts w:asciiTheme="majorHAnsi" w:hAnsiTheme="majorHAnsi" w:cstheme="majorHAnsi"/>
          <w:bCs/>
          <w:i/>
          <w:iCs/>
          <w:sz w:val="32"/>
          <w:szCs w:val="32"/>
        </w:rPr>
        <w:t>npj Digital Medicine, 3</w:t>
      </w:r>
      <w:r w:rsidRPr="001C5D93">
        <w:rPr>
          <w:rFonts w:asciiTheme="majorHAnsi" w:hAnsiTheme="majorHAnsi" w:cstheme="majorHAnsi"/>
          <w:bCs/>
          <w:sz w:val="32"/>
          <w:szCs w:val="32"/>
        </w:rPr>
        <w:t xml:space="preserve">, Article 17. </w:t>
      </w:r>
      <w:hyperlink r:id="rId75" w:tgtFrame="_new" w:history="1">
        <w:r w:rsidRPr="001C5D93">
          <w:rPr>
            <w:rStyle w:val="Hyperlink"/>
            <w:rFonts w:asciiTheme="majorHAnsi" w:hAnsiTheme="majorHAnsi" w:cstheme="majorHAnsi"/>
            <w:bCs/>
            <w:sz w:val="32"/>
            <w:szCs w:val="32"/>
          </w:rPr>
          <w:t>https://doi.org/10.1038/s41746-020-0221-y</w:t>
        </w:r>
      </w:hyperlink>
    </w:p>
    <w:p w14:paraId="14D0645F"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Taiwo, J. N. (2016). Effect of ICT on accounting information system and organisational performance. </w:t>
      </w:r>
      <w:r w:rsidRPr="001C5D93">
        <w:rPr>
          <w:rFonts w:asciiTheme="majorHAnsi" w:hAnsiTheme="majorHAnsi" w:cstheme="majorHAnsi"/>
          <w:bCs/>
          <w:i/>
          <w:iCs/>
          <w:sz w:val="32"/>
          <w:szCs w:val="32"/>
        </w:rPr>
        <w:t>European Journal of Business and Social Sciences, 5</w:t>
      </w:r>
      <w:r w:rsidRPr="001C5D93">
        <w:rPr>
          <w:rFonts w:asciiTheme="majorHAnsi" w:hAnsiTheme="majorHAnsi" w:cstheme="majorHAnsi"/>
          <w:bCs/>
          <w:sz w:val="32"/>
          <w:szCs w:val="32"/>
        </w:rPr>
        <w:t>(2), 1–15.</w:t>
      </w:r>
    </w:p>
    <w:p w14:paraId="19A75F6A"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Teymouri, M., &amp; Ashoori, M. (2011). The impact of information technology on risk management. </w:t>
      </w:r>
      <w:r w:rsidRPr="001C5D93">
        <w:rPr>
          <w:rFonts w:asciiTheme="majorHAnsi" w:hAnsiTheme="majorHAnsi" w:cstheme="majorHAnsi"/>
          <w:bCs/>
          <w:i/>
          <w:iCs/>
          <w:sz w:val="32"/>
          <w:szCs w:val="32"/>
        </w:rPr>
        <w:t>Procedia Computer Science, 3</w:t>
      </w:r>
      <w:r w:rsidRPr="001C5D93">
        <w:rPr>
          <w:rFonts w:asciiTheme="majorHAnsi" w:hAnsiTheme="majorHAnsi" w:cstheme="majorHAnsi"/>
          <w:bCs/>
          <w:sz w:val="32"/>
          <w:szCs w:val="32"/>
        </w:rPr>
        <w:t xml:space="preserve">, 1602–1608. </w:t>
      </w:r>
      <w:hyperlink r:id="rId76" w:history="1">
        <w:r w:rsidRPr="001C5D93">
          <w:rPr>
            <w:rStyle w:val="Hyperlink"/>
            <w:rFonts w:asciiTheme="majorHAnsi" w:hAnsiTheme="majorHAnsi" w:cstheme="majorHAnsi"/>
            <w:bCs/>
            <w:sz w:val="32"/>
            <w:szCs w:val="32"/>
          </w:rPr>
          <w:t>https://doi.org/10.1016/j.procs.2010.12.033</w:t>
        </w:r>
      </w:hyperlink>
    </w:p>
    <w:p w14:paraId="45042340"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Tucci, L. (2022). Business process reengineering (BPR). </w:t>
      </w:r>
      <w:r w:rsidRPr="001C5D93">
        <w:rPr>
          <w:rFonts w:asciiTheme="majorHAnsi" w:hAnsiTheme="majorHAnsi" w:cstheme="majorHAnsi"/>
          <w:bCs/>
          <w:i/>
          <w:iCs/>
          <w:sz w:val="32"/>
          <w:szCs w:val="32"/>
        </w:rPr>
        <w:t>TechTarget</w:t>
      </w:r>
      <w:r w:rsidRPr="001C5D93">
        <w:rPr>
          <w:rFonts w:asciiTheme="majorHAnsi" w:hAnsiTheme="majorHAnsi" w:cstheme="majorHAnsi"/>
          <w:bCs/>
          <w:sz w:val="32"/>
          <w:szCs w:val="32"/>
        </w:rPr>
        <w:t xml:space="preserve">. Retrieved Febuary16, 2026, from </w:t>
      </w:r>
      <w:hyperlink r:id="rId77" w:tgtFrame="_new" w:history="1">
        <w:r w:rsidRPr="001C5D93">
          <w:rPr>
            <w:rStyle w:val="Hyperlink"/>
            <w:rFonts w:asciiTheme="majorHAnsi" w:hAnsiTheme="majorHAnsi" w:cstheme="majorHAnsi"/>
            <w:bCs/>
            <w:sz w:val="32"/>
            <w:szCs w:val="32"/>
          </w:rPr>
          <w:t>https://www.techtarget.com/</w:t>
        </w:r>
      </w:hyperlink>
    </w:p>
    <w:p w14:paraId="4AC91B80"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Tupa, J., Simota, J., &amp; Steiner, F. (2017). Aspects of risk management implementation for Industry 4.0. </w:t>
      </w:r>
      <w:r w:rsidRPr="001C5D93">
        <w:rPr>
          <w:rFonts w:asciiTheme="majorHAnsi" w:hAnsiTheme="majorHAnsi" w:cstheme="majorHAnsi"/>
          <w:bCs/>
          <w:i/>
          <w:iCs/>
          <w:sz w:val="32"/>
          <w:szCs w:val="32"/>
        </w:rPr>
        <w:t xml:space="preserve">Procedia </w:t>
      </w:r>
      <w:r w:rsidRPr="001C5D93">
        <w:rPr>
          <w:rFonts w:asciiTheme="majorHAnsi" w:hAnsiTheme="majorHAnsi" w:cstheme="majorHAnsi"/>
          <w:bCs/>
          <w:i/>
          <w:iCs/>
          <w:sz w:val="32"/>
          <w:szCs w:val="32"/>
        </w:rPr>
        <w:lastRenderedPageBreak/>
        <w:t>Manufacturing, 11</w:t>
      </w:r>
      <w:r w:rsidRPr="001C5D93">
        <w:rPr>
          <w:rFonts w:asciiTheme="majorHAnsi" w:hAnsiTheme="majorHAnsi" w:cstheme="majorHAnsi"/>
          <w:bCs/>
          <w:sz w:val="32"/>
          <w:szCs w:val="32"/>
        </w:rPr>
        <w:t xml:space="preserve">, 1223–1230. </w:t>
      </w:r>
      <w:hyperlink r:id="rId78" w:history="1">
        <w:r w:rsidRPr="001C5D93">
          <w:rPr>
            <w:rStyle w:val="Hyperlink"/>
            <w:rFonts w:asciiTheme="majorHAnsi" w:hAnsiTheme="majorHAnsi" w:cstheme="majorHAnsi"/>
            <w:bCs/>
            <w:sz w:val="32"/>
            <w:szCs w:val="32"/>
          </w:rPr>
          <w:t>https://doi.org/10.1016/j.promfg.2017.07.248</w:t>
        </w:r>
      </w:hyperlink>
    </w:p>
    <w:p w14:paraId="2030E1C2"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Van Dyk, J. (2020). The modern technology of radiation oncology: A compendium for medical physicists and radiation oncologists. </w:t>
      </w:r>
      <w:r w:rsidRPr="001C5D93">
        <w:rPr>
          <w:rFonts w:asciiTheme="majorHAnsi" w:hAnsiTheme="majorHAnsi" w:cstheme="majorHAnsi"/>
          <w:bCs/>
          <w:i/>
          <w:iCs/>
          <w:sz w:val="32"/>
          <w:szCs w:val="32"/>
        </w:rPr>
        <w:t>Medical Physics, 47</w:t>
      </w:r>
      <w:r w:rsidRPr="001C5D93">
        <w:rPr>
          <w:rFonts w:asciiTheme="majorHAnsi" w:hAnsiTheme="majorHAnsi" w:cstheme="majorHAnsi"/>
          <w:bCs/>
          <w:sz w:val="32"/>
          <w:szCs w:val="32"/>
        </w:rPr>
        <w:t>(8), 1–3. https://doi.org/10.1002/mp.14215</w:t>
      </w:r>
    </w:p>
    <w:p w14:paraId="0E51844E"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Venkatesh, V., Morris, M. G., Davis, G. B., &amp; Davis, F. D. (2003). User acceptance of information technology: Toward a unified view. </w:t>
      </w:r>
      <w:r w:rsidRPr="001C5D93">
        <w:rPr>
          <w:rFonts w:asciiTheme="majorHAnsi" w:hAnsiTheme="majorHAnsi" w:cstheme="majorHAnsi"/>
          <w:bCs/>
          <w:i/>
          <w:iCs/>
          <w:sz w:val="32"/>
          <w:szCs w:val="32"/>
        </w:rPr>
        <w:t>MIS Quarterly, 27</w:t>
      </w:r>
      <w:r w:rsidRPr="001C5D93">
        <w:rPr>
          <w:rFonts w:asciiTheme="majorHAnsi" w:hAnsiTheme="majorHAnsi" w:cstheme="majorHAnsi"/>
          <w:bCs/>
          <w:sz w:val="32"/>
          <w:szCs w:val="32"/>
        </w:rPr>
        <w:t xml:space="preserve">(3), 425–478. </w:t>
      </w:r>
      <w:hyperlink r:id="rId79" w:tgtFrame="_new" w:history="1">
        <w:r w:rsidRPr="001C5D93">
          <w:rPr>
            <w:rStyle w:val="Hyperlink"/>
            <w:rFonts w:asciiTheme="majorHAnsi" w:hAnsiTheme="majorHAnsi" w:cstheme="majorHAnsi"/>
            <w:bCs/>
            <w:sz w:val="32"/>
            <w:szCs w:val="32"/>
          </w:rPr>
          <w:t>https://doi.org/10.2307/30036540</w:t>
        </w:r>
      </w:hyperlink>
    </w:p>
    <w:p w14:paraId="684D59FC"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Wagner, J. A., &amp; Hollenbeck, J. R. (2020). </w:t>
      </w:r>
      <w:r w:rsidRPr="001C5D93">
        <w:rPr>
          <w:rFonts w:asciiTheme="majorHAnsi" w:hAnsiTheme="majorHAnsi" w:cstheme="majorHAnsi"/>
          <w:bCs/>
          <w:i/>
          <w:iCs/>
          <w:sz w:val="32"/>
          <w:szCs w:val="32"/>
        </w:rPr>
        <w:t>Organizational behavior: Securing competitive advantage</w:t>
      </w:r>
      <w:r w:rsidRPr="001C5D93">
        <w:rPr>
          <w:rFonts w:asciiTheme="majorHAnsi" w:hAnsiTheme="majorHAnsi" w:cstheme="majorHAnsi"/>
          <w:bCs/>
          <w:sz w:val="32"/>
          <w:szCs w:val="32"/>
        </w:rPr>
        <w:t xml:space="preserve"> (2nd ed.). Routledge.</w:t>
      </w:r>
    </w:p>
    <w:p w14:paraId="7A81F47B" w14:textId="11A096A5"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Willard, J. (2020). What is risk management in healthcare? </w:t>
      </w:r>
      <w:r w:rsidRPr="001C5D93">
        <w:rPr>
          <w:rFonts w:asciiTheme="majorHAnsi" w:hAnsiTheme="majorHAnsi" w:cstheme="majorHAnsi"/>
          <w:bCs/>
          <w:i/>
          <w:iCs/>
          <w:sz w:val="32"/>
          <w:szCs w:val="32"/>
        </w:rPr>
        <w:t>Verisys Blog</w:t>
      </w:r>
      <w:r w:rsidRPr="001C5D93">
        <w:rPr>
          <w:rFonts w:asciiTheme="majorHAnsi" w:hAnsiTheme="majorHAnsi" w:cstheme="majorHAnsi"/>
          <w:bCs/>
          <w:sz w:val="32"/>
          <w:szCs w:val="32"/>
        </w:rPr>
        <w:t xml:space="preserve">. Retrieved February 16, 2026, from </w:t>
      </w:r>
      <w:hyperlink r:id="rId80" w:tgtFrame="_new" w:history="1">
        <w:r w:rsidRPr="001C5D93">
          <w:rPr>
            <w:rStyle w:val="Hyperlink"/>
            <w:rFonts w:asciiTheme="majorHAnsi" w:hAnsiTheme="majorHAnsi" w:cstheme="majorHAnsi"/>
            <w:bCs/>
            <w:sz w:val="32"/>
            <w:szCs w:val="32"/>
          </w:rPr>
          <w:t>https://verisys.com/</w:t>
        </w:r>
      </w:hyperlink>
    </w:p>
    <w:p w14:paraId="080BD4F5" w14:textId="7808FEC1" w:rsidR="00692F26" w:rsidRPr="001C5D93" w:rsidRDefault="00692F26" w:rsidP="00254B75">
      <w:pPr>
        <w:pStyle w:val="ab"/>
        <w:numPr>
          <w:ilvl w:val="0"/>
          <w:numId w:val="112"/>
        </w:numPr>
        <w:spacing w:before="0" w:beforeAutospacing="0" w:after="120" w:afterAutospacing="0"/>
        <w:rPr>
          <w:rFonts w:asciiTheme="majorHAnsi" w:hAnsiTheme="majorHAnsi" w:cstheme="majorHAnsi"/>
          <w:sz w:val="32"/>
          <w:szCs w:val="32"/>
        </w:rPr>
      </w:pPr>
      <w:r w:rsidRPr="001C5D93">
        <w:rPr>
          <w:rFonts w:asciiTheme="majorHAnsi" w:hAnsiTheme="majorHAnsi" w:cstheme="majorHAnsi"/>
          <w:sz w:val="32"/>
          <w:szCs w:val="32"/>
        </w:rPr>
        <w:t xml:space="preserve">World Health Organization. (2022). </w:t>
      </w:r>
      <w:r w:rsidRPr="001C5D93">
        <w:rPr>
          <w:rStyle w:val="ae"/>
          <w:rFonts w:asciiTheme="majorHAnsi" w:eastAsiaTheme="majorEastAsia" w:hAnsiTheme="majorHAnsi" w:cstheme="majorHAnsi"/>
          <w:sz w:val="32"/>
          <w:szCs w:val="32"/>
        </w:rPr>
        <w:t>EWARS in a box: Quick start guide</w:t>
      </w:r>
      <w:r w:rsidRPr="001C5D93">
        <w:rPr>
          <w:rFonts w:asciiTheme="majorHAnsi" w:hAnsiTheme="majorHAnsi" w:cstheme="majorHAnsi"/>
          <w:sz w:val="32"/>
          <w:szCs w:val="32"/>
        </w:rPr>
        <w:t xml:space="preserve">. Retrieved February 21, 2026, from </w:t>
      </w:r>
      <w:hyperlink r:id="rId81" w:history="1">
        <w:r w:rsidRPr="001C5D93">
          <w:rPr>
            <w:rStyle w:val="Hyperlink"/>
            <w:rFonts w:asciiTheme="majorHAnsi" w:eastAsiaTheme="majorEastAsia" w:hAnsiTheme="majorHAnsi" w:cstheme="majorHAnsi"/>
            <w:sz w:val="32"/>
            <w:szCs w:val="32"/>
          </w:rPr>
          <w:t>https://www.who.int/publications/i/item/9789240066762</w:t>
        </w:r>
      </w:hyperlink>
      <w:r w:rsidRPr="001C5D93">
        <w:rPr>
          <w:rFonts w:asciiTheme="majorHAnsi" w:hAnsiTheme="majorHAnsi" w:cstheme="majorHAnsi"/>
          <w:sz w:val="32"/>
          <w:szCs w:val="32"/>
        </w:rPr>
        <w:t xml:space="preserve">  </w:t>
      </w:r>
    </w:p>
    <w:p w14:paraId="48F568A3" w14:textId="70C86059" w:rsidR="00692F26" w:rsidRPr="001C5D93" w:rsidRDefault="00692F26" w:rsidP="00254B75">
      <w:pPr>
        <w:pStyle w:val="ab"/>
        <w:numPr>
          <w:ilvl w:val="0"/>
          <w:numId w:val="112"/>
        </w:numPr>
        <w:spacing w:before="0" w:beforeAutospacing="0" w:after="120" w:afterAutospacing="0"/>
        <w:rPr>
          <w:rFonts w:asciiTheme="majorHAnsi" w:hAnsiTheme="majorHAnsi" w:cstheme="majorHAnsi"/>
          <w:sz w:val="32"/>
          <w:szCs w:val="32"/>
        </w:rPr>
      </w:pPr>
      <w:r w:rsidRPr="001C5D93">
        <w:rPr>
          <w:rFonts w:asciiTheme="majorHAnsi" w:hAnsiTheme="majorHAnsi" w:cstheme="majorHAnsi"/>
          <w:sz w:val="32"/>
          <w:szCs w:val="32"/>
        </w:rPr>
        <w:t xml:space="preserve">World Health Organization. (n.d.). </w:t>
      </w:r>
      <w:r w:rsidRPr="001C5D93">
        <w:rPr>
          <w:rStyle w:val="ae"/>
          <w:rFonts w:asciiTheme="majorHAnsi" w:eastAsiaTheme="majorEastAsia" w:hAnsiTheme="majorHAnsi" w:cstheme="majorHAnsi"/>
          <w:sz w:val="32"/>
          <w:szCs w:val="32"/>
        </w:rPr>
        <w:t>Early Warning, Alert and Response System (EWARS).</w:t>
      </w:r>
      <w:r w:rsidRPr="001C5D93">
        <w:rPr>
          <w:rFonts w:asciiTheme="majorHAnsi" w:hAnsiTheme="majorHAnsi" w:cstheme="majorHAnsi"/>
          <w:sz w:val="32"/>
          <w:szCs w:val="32"/>
        </w:rPr>
        <w:t xml:space="preserve"> Retrieved February 21, 2026, from </w:t>
      </w:r>
      <w:hyperlink r:id="rId82" w:tgtFrame="_new" w:history="1">
        <w:r w:rsidRPr="001C5D93">
          <w:rPr>
            <w:rStyle w:val="Hyperlink"/>
            <w:rFonts w:asciiTheme="majorHAnsi" w:eastAsiaTheme="majorEastAsia" w:hAnsiTheme="majorHAnsi" w:cstheme="majorHAnsi"/>
            <w:sz w:val="32"/>
            <w:szCs w:val="32"/>
          </w:rPr>
          <w:t>https://www.who.int/emergencies/surveillance/early-warning-alert-and-response-system-ewars/</w:t>
        </w:r>
      </w:hyperlink>
      <w:r w:rsidRPr="001C5D93">
        <w:rPr>
          <w:rFonts w:asciiTheme="majorHAnsi" w:hAnsiTheme="majorHAnsi" w:cstheme="majorHAnsi"/>
          <w:sz w:val="32"/>
          <w:szCs w:val="32"/>
        </w:rPr>
        <w:t xml:space="preserve"> </w:t>
      </w:r>
    </w:p>
    <w:p w14:paraId="09BC0072"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Yazdi, M., Khan, F., &amp; Abbassi, R. (2024). Risk analysis of dynamic systems using artificial neural networks: A comprehensive review. </w:t>
      </w:r>
      <w:r w:rsidRPr="001C5D93">
        <w:rPr>
          <w:rFonts w:asciiTheme="majorHAnsi" w:hAnsiTheme="majorHAnsi" w:cstheme="majorHAnsi"/>
          <w:bCs/>
          <w:i/>
          <w:iCs/>
          <w:sz w:val="32"/>
          <w:szCs w:val="32"/>
        </w:rPr>
        <w:t>Reliability Engineering &amp; System Safety, 241</w:t>
      </w:r>
      <w:r w:rsidRPr="001C5D93">
        <w:rPr>
          <w:rFonts w:asciiTheme="majorHAnsi" w:hAnsiTheme="majorHAnsi" w:cstheme="majorHAnsi"/>
          <w:bCs/>
          <w:sz w:val="32"/>
          <w:szCs w:val="32"/>
        </w:rPr>
        <w:t xml:space="preserve">, 109712. </w:t>
      </w:r>
      <w:hyperlink r:id="rId83" w:tgtFrame="_new" w:history="1">
        <w:r w:rsidRPr="001C5D93">
          <w:rPr>
            <w:rStyle w:val="Hyperlink"/>
            <w:rFonts w:asciiTheme="majorHAnsi" w:hAnsiTheme="majorHAnsi" w:cstheme="majorHAnsi"/>
            <w:bCs/>
            <w:sz w:val="32"/>
            <w:szCs w:val="32"/>
          </w:rPr>
          <w:t>https://doi.org/10.1016/j.ress.2023.109712</w:t>
        </w:r>
      </w:hyperlink>
    </w:p>
    <w:p w14:paraId="0C69D6FB" w14:textId="77777777"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Zeebaree, M., Saleh, S., Aqel, M., &amp; Qader, A. (2020). Impact of innovation technology in enhancing organizational management. </w:t>
      </w:r>
      <w:r w:rsidRPr="001C5D93">
        <w:rPr>
          <w:rFonts w:asciiTheme="majorHAnsi" w:hAnsiTheme="majorHAnsi" w:cstheme="majorHAnsi"/>
          <w:bCs/>
          <w:i/>
          <w:iCs/>
          <w:sz w:val="32"/>
          <w:szCs w:val="32"/>
        </w:rPr>
        <w:t>International Journal of Supply Chain Management, 9</w:t>
      </w:r>
      <w:r w:rsidRPr="001C5D93">
        <w:rPr>
          <w:rFonts w:asciiTheme="majorHAnsi" w:hAnsiTheme="majorHAnsi" w:cstheme="majorHAnsi"/>
          <w:bCs/>
          <w:sz w:val="32"/>
          <w:szCs w:val="32"/>
        </w:rPr>
        <w:t>(5), 2050–2069.</w:t>
      </w:r>
    </w:p>
    <w:p w14:paraId="53690C30" w14:textId="513A7A94" w:rsidR="00692F26" w:rsidRPr="001C5D93" w:rsidRDefault="00692F26"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Zwikael, O., &amp; Ahn, M. (2011). The effectiveness of risk management: An analysis of project risk planning across </w:t>
      </w:r>
      <w:r w:rsidRPr="001C5D93">
        <w:rPr>
          <w:rFonts w:asciiTheme="majorHAnsi" w:hAnsiTheme="majorHAnsi" w:cstheme="majorHAnsi"/>
          <w:bCs/>
          <w:sz w:val="32"/>
          <w:szCs w:val="32"/>
        </w:rPr>
        <w:lastRenderedPageBreak/>
        <w:t xml:space="preserve">industries and countries. </w:t>
      </w:r>
      <w:r w:rsidRPr="001C5D93">
        <w:rPr>
          <w:rFonts w:asciiTheme="majorHAnsi" w:hAnsiTheme="majorHAnsi" w:cstheme="majorHAnsi"/>
          <w:bCs/>
          <w:i/>
          <w:iCs/>
          <w:sz w:val="32"/>
          <w:szCs w:val="32"/>
        </w:rPr>
        <w:t>Risk Analysis, 31</w:t>
      </w:r>
      <w:r w:rsidRPr="001C5D93">
        <w:rPr>
          <w:rFonts w:asciiTheme="majorHAnsi" w:hAnsiTheme="majorHAnsi" w:cstheme="majorHAnsi"/>
          <w:bCs/>
          <w:sz w:val="32"/>
          <w:szCs w:val="32"/>
        </w:rPr>
        <w:t xml:space="preserve">(1), 25–37. </w:t>
      </w:r>
      <w:hyperlink r:id="rId84" w:history="1">
        <w:r w:rsidRPr="001C5D93">
          <w:rPr>
            <w:rStyle w:val="Hyperlink"/>
            <w:rFonts w:asciiTheme="majorHAnsi" w:hAnsiTheme="majorHAnsi" w:cstheme="majorHAnsi"/>
            <w:bCs/>
            <w:sz w:val="32"/>
            <w:szCs w:val="32"/>
          </w:rPr>
          <w:t>https://doi.org/10.1111/j.1539-6924.2010.01470.x</w:t>
        </w:r>
      </w:hyperlink>
    </w:p>
    <w:p w14:paraId="43534A33" w14:textId="72C165B0" w:rsidR="00A76005" w:rsidRPr="001C5D93" w:rsidRDefault="00A76005"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Zhichkin, K. A., Nosov, V. V., Zhichkina, L. N., Dibrova, Z. H., &amp; Cherepova, T. (2019). Development of evaluation model effectiveness of modern technologies in crop production. </w:t>
      </w:r>
      <w:r w:rsidRPr="001C5D93">
        <w:rPr>
          <w:rFonts w:asciiTheme="majorHAnsi" w:hAnsiTheme="majorHAnsi" w:cstheme="majorHAnsi"/>
          <w:bCs/>
          <w:i/>
          <w:iCs/>
          <w:sz w:val="32"/>
          <w:szCs w:val="32"/>
        </w:rPr>
        <w:t>IOP Conference Series: Earth and Environmental Science, 315</w:t>
      </w:r>
      <w:r w:rsidRPr="001C5D93">
        <w:rPr>
          <w:rFonts w:asciiTheme="majorHAnsi" w:hAnsiTheme="majorHAnsi" w:cstheme="majorHAnsi"/>
          <w:bCs/>
          <w:sz w:val="32"/>
          <w:szCs w:val="32"/>
        </w:rPr>
        <w:t xml:space="preserve">(2), 022023. </w:t>
      </w:r>
      <w:hyperlink r:id="rId85" w:history="1">
        <w:r w:rsidRPr="001C5D93">
          <w:rPr>
            <w:rStyle w:val="Hyperlink"/>
            <w:rFonts w:asciiTheme="majorHAnsi" w:hAnsiTheme="majorHAnsi" w:cstheme="majorHAnsi"/>
            <w:bCs/>
            <w:sz w:val="32"/>
            <w:szCs w:val="32"/>
          </w:rPr>
          <w:t>https://doi.org/10.1088/1755-1315/315/2/022023</w:t>
        </w:r>
      </w:hyperlink>
    </w:p>
    <w:p w14:paraId="6AA46CDA" w14:textId="179DE294" w:rsidR="00A76005" w:rsidRPr="001C5D93" w:rsidRDefault="00A76005" w:rsidP="00A02194">
      <w:pPr>
        <w:spacing w:after="120" w:line="240" w:lineRule="auto"/>
        <w:ind w:left="360"/>
        <w:jc w:val="both"/>
        <w:rPr>
          <w:rFonts w:asciiTheme="majorHAnsi" w:hAnsiTheme="majorHAnsi" w:cstheme="majorHAnsi"/>
          <w:bCs/>
          <w:sz w:val="32"/>
          <w:szCs w:val="32"/>
        </w:rPr>
      </w:pPr>
    </w:p>
    <w:p w14:paraId="6FA5E261" w14:textId="77777777" w:rsidR="00A76005" w:rsidRPr="001C5D93" w:rsidRDefault="00A76005" w:rsidP="00A02194">
      <w:pPr>
        <w:spacing w:after="120" w:line="240" w:lineRule="auto"/>
        <w:ind w:left="360"/>
        <w:jc w:val="both"/>
        <w:rPr>
          <w:rFonts w:asciiTheme="majorHAnsi" w:hAnsiTheme="majorHAnsi" w:cstheme="majorHAnsi"/>
          <w:bCs/>
          <w:sz w:val="32"/>
          <w:szCs w:val="32"/>
        </w:rPr>
      </w:pPr>
    </w:p>
    <w:p w14:paraId="69272E2C" w14:textId="77777777" w:rsidR="00692F26" w:rsidRPr="001C5D93" w:rsidRDefault="00692F26" w:rsidP="00A02194">
      <w:pPr>
        <w:pStyle w:val="a6"/>
        <w:spacing w:after="120" w:line="240" w:lineRule="auto"/>
        <w:jc w:val="both"/>
        <w:rPr>
          <w:rFonts w:asciiTheme="majorHAnsi" w:hAnsiTheme="majorHAnsi" w:cstheme="majorHAnsi"/>
          <w:bCs/>
          <w:sz w:val="32"/>
          <w:szCs w:val="32"/>
        </w:rPr>
      </w:pPr>
    </w:p>
    <w:sectPr w:rsidR="00692F26" w:rsidRPr="001C5D93" w:rsidSect="003928E8">
      <w:footerReference w:type="default" r:id="rId86"/>
      <w:pgSz w:w="11906" w:h="16838"/>
      <w:pgMar w:top="1418" w:right="1701" w:bottom="1418"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2EB71" w14:textId="77777777" w:rsidR="00905CDB" w:rsidRDefault="00905CDB" w:rsidP="00EB2FAA">
      <w:pPr>
        <w:spacing w:after="0" w:line="240" w:lineRule="auto"/>
      </w:pPr>
      <w:r>
        <w:separator/>
      </w:r>
    </w:p>
  </w:endnote>
  <w:endnote w:type="continuationSeparator" w:id="0">
    <w:p w14:paraId="75CFC1E1" w14:textId="77777777" w:rsidR="00905CDB" w:rsidRDefault="00905CDB" w:rsidP="00EB2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10000000000000000"/>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raditional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gency FB">
    <w:panose1 w:val="020B0503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36738052"/>
      <w:docPartObj>
        <w:docPartGallery w:val="Page Numbers (Bottom of Page)"/>
        <w:docPartUnique/>
      </w:docPartObj>
    </w:sdtPr>
    <w:sdtContent>
      <w:p w14:paraId="3F7BAB19" w14:textId="28783D5E" w:rsidR="00EB2FAA" w:rsidRDefault="00EB2FAA">
        <w:pPr>
          <w:pStyle w:val="af4"/>
          <w:jc w:val="center"/>
        </w:pPr>
        <w:r>
          <w:fldChar w:fldCharType="begin"/>
        </w:r>
        <w:r>
          <w:instrText>PAGE   \* MERGEFORMAT</w:instrText>
        </w:r>
        <w:r>
          <w:fldChar w:fldCharType="separate"/>
        </w:r>
        <w:r>
          <w:rPr>
            <w:rtl/>
            <w:lang w:val="ar-SA" w:bidi="ar-SA"/>
          </w:rPr>
          <w:t>2</w:t>
        </w:r>
        <w:r>
          <w:fldChar w:fldCharType="end"/>
        </w:r>
      </w:p>
    </w:sdtContent>
  </w:sdt>
  <w:p w14:paraId="2DB563B0" w14:textId="77777777" w:rsidR="00EB2FAA" w:rsidRDefault="00EB2FAA">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24EDA" w14:textId="77777777" w:rsidR="00905CDB" w:rsidRDefault="00905CDB" w:rsidP="00EB2FAA">
      <w:pPr>
        <w:spacing w:after="0" w:line="240" w:lineRule="auto"/>
      </w:pPr>
      <w:r>
        <w:separator/>
      </w:r>
    </w:p>
  </w:footnote>
  <w:footnote w:type="continuationSeparator" w:id="0">
    <w:p w14:paraId="70D6CC81" w14:textId="77777777" w:rsidR="00905CDB" w:rsidRDefault="00905CDB" w:rsidP="00EB2F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36B5"/>
    <w:multiLevelType w:val="hybridMultilevel"/>
    <w:tmpl w:val="B4801F7A"/>
    <w:lvl w:ilvl="0" w:tplc="0409000F">
      <w:start w:val="1"/>
      <w:numFmt w:val="decimal"/>
      <w:lvlText w:val="%1."/>
      <w:lvlJc w:val="left"/>
      <w:pPr>
        <w:ind w:left="1222" w:hanging="360"/>
      </w:pPr>
      <w:rPr>
        <w:rFonts w:hint="default"/>
      </w:rPr>
    </w:lvl>
    <w:lvl w:ilvl="1" w:tplc="FFFFFFFF">
      <w:start w:val="1"/>
      <w:numFmt w:val="bullet"/>
      <w:lvlText w:val="o"/>
      <w:lvlJc w:val="left"/>
      <w:pPr>
        <w:ind w:left="1942" w:hanging="360"/>
      </w:pPr>
      <w:rPr>
        <w:rFonts w:ascii="Courier New" w:hAnsi="Courier New" w:cs="Courier New" w:hint="default"/>
      </w:rPr>
    </w:lvl>
    <w:lvl w:ilvl="2" w:tplc="FFFFFFFF">
      <w:start w:val="1"/>
      <w:numFmt w:val="bullet"/>
      <w:lvlText w:val=""/>
      <w:lvlJc w:val="left"/>
      <w:pPr>
        <w:ind w:left="2662" w:hanging="360"/>
      </w:pPr>
      <w:rPr>
        <w:rFonts w:ascii="Wingdings" w:hAnsi="Wingdings" w:hint="default"/>
      </w:rPr>
    </w:lvl>
    <w:lvl w:ilvl="3" w:tplc="FFFFFFFF">
      <w:start w:val="1"/>
      <w:numFmt w:val="bullet"/>
      <w:lvlText w:val=""/>
      <w:lvlJc w:val="left"/>
      <w:pPr>
        <w:ind w:left="3382" w:hanging="360"/>
      </w:pPr>
      <w:rPr>
        <w:rFonts w:ascii="Symbol" w:hAnsi="Symbol" w:hint="default"/>
      </w:rPr>
    </w:lvl>
    <w:lvl w:ilvl="4" w:tplc="FFFFFFFF">
      <w:start w:val="1"/>
      <w:numFmt w:val="bullet"/>
      <w:lvlText w:val="o"/>
      <w:lvlJc w:val="left"/>
      <w:pPr>
        <w:ind w:left="4102" w:hanging="360"/>
      </w:pPr>
      <w:rPr>
        <w:rFonts w:ascii="Courier New" w:hAnsi="Courier New" w:cs="Courier New" w:hint="default"/>
      </w:rPr>
    </w:lvl>
    <w:lvl w:ilvl="5" w:tplc="FFFFFFFF">
      <w:start w:val="1"/>
      <w:numFmt w:val="bullet"/>
      <w:lvlText w:val=""/>
      <w:lvlJc w:val="left"/>
      <w:pPr>
        <w:ind w:left="4822" w:hanging="360"/>
      </w:pPr>
      <w:rPr>
        <w:rFonts w:ascii="Wingdings" w:hAnsi="Wingdings" w:hint="default"/>
      </w:rPr>
    </w:lvl>
    <w:lvl w:ilvl="6" w:tplc="FFFFFFFF">
      <w:start w:val="1"/>
      <w:numFmt w:val="bullet"/>
      <w:lvlText w:val=""/>
      <w:lvlJc w:val="left"/>
      <w:pPr>
        <w:ind w:left="5542" w:hanging="360"/>
      </w:pPr>
      <w:rPr>
        <w:rFonts w:ascii="Symbol" w:hAnsi="Symbol" w:hint="default"/>
      </w:rPr>
    </w:lvl>
    <w:lvl w:ilvl="7" w:tplc="FFFFFFFF">
      <w:start w:val="1"/>
      <w:numFmt w:val="bullet"/>
      <w:lvlText w:val="o"/>
      <w:lvlJc w:val="left"/>
      <w:pPr>
        <w:ind w:left="6262" w:hanging="360"/>
      </w:pPr>
      <w:rPr>
        <w:rFonts w:ascii="Courier New" w:hAnsi="Courier New" w:cs="Courier New" w:hint="default"/>
      </w:rPr>
    </w:lvl>
    <w:lvl w:ilvl="8" w:tplc="FFFFFFFF">
      <w:start w:val="1"/>
      <w:numFmt w:val="bullet"/>
      <w:lvlText w:val=""/>
      <w:lvlJc w:val="left"/>
      <w:pPr>
        <w:ind w:left="6982" w:hanging="360"/>
      </w:pPr>
      <w:rPr>
        <w:rFonts w:ascii="Wingdings" w:hAnsi="Wingdings" w:hint="default"/>
      </w:rPr>
    </w:lvl>
  </w:abstractNum>
  <w:abstractNum w:abstractNumId="1" w15:restartNumberingAfterBreak="0">
    <w:nsid w:val="01B10AD8"/>
    <w:multiLevelType w:val="hybridMultilevel"/>
    <w:tmpl w:val="BFBE517C"/>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2C73149"/>
    <w:multiLevelType w:val="hybridMultilevel"/>
    <w:tmpl w:val="D94CF8E6"/>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02E07B06"/>
    <w:multiLevelType w:val="hybridMultilevel"/>
    <w:tmpl w:val="32F41312"/>
    <w:lvl w:ilvl="0" w:tplc="AB8A4B0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040F7252"/>
    <w:multiLevelType w:val="multilevel"/>
    <w:tmpl w:val="782CC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0F46F2"/>
    <w:multiLevelType w:val="hybridMultilevel"/>
    <w:tmpl w:val="E39EE456"/>
    <w:lvl w:ilvl="0" w:tplc="3C781CB0">
      <w:numFmt w:val="bullet"/>
      <w:lvlText w:val=""/>
      <w:lvlJc w:val="left"/>
      <w:pPr>
        <w:ind w:left="360" w:hanging="360"/>
      </w:pPr>
      <w:rPr>
        <w:rFonts w:ascii="Symbol" w:eastAsiaTheme="minorHAnsi" w:hAnsi="Symbol"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76C6528"/>
    <w:multiLevelType w:val="multilevel"/>
    <w:tmpl w:val="0C6AB4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0E3128"/>
    <w:multiLevelType w:val="hybridMultilevel"/>
    <w:tmpl w:val="FB2C6656"/>
    <w:lvl w:ilvl="0" w:tplc="D2D840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9A2201"/>
    <w:multiLevelType w:val="multilevel"/>
    <w:tmpl w:val="4CA007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455FD0"/>
    <w:multiLevelType w:val="hybridMultilevel"/>
    <w:tmpl w:val="088C1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96C2BE1"/>
    <w:multiLevelType w:val="multilevel"/>
    <w:tmpl w:val="45FC26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744A0E"/>
    <w:multiLevelType w:val="multilevel"/>
    <w:tmpl w:val="782CC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A5E6BF1"/>
    <w:multiLevelType w:val="multilevel"/>
    <w:tmpl w:val="7652925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A7C6098"/>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E7306B0"/>
    <w:multiLevelType w:val="hybridMultilevel"/>
    <w:tmpl w:val="7CD43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F321D7"/>
    <w:multiLevelType w:val="hybridMultilevel"/>
    <w:tmpl w:val="F1FA9368"/>
    <w:lvl w:ilvl="0" w:tplc="379228B4">
      <w:start w:val="1"/>
      <w:numFmt w:val="decimal"/>
      <w:lvlText w:val="%1)"/>
      <w:lvlJc w:val="left"/>
      <w:pPr>
        <w:ind w:left="720" w:hanging="360"/>
      </w:pPr>
      <w:rPr>
        <w:rFonts w:eastAsiaTheme="majorEastAsia"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0012BA"/>
    <w:multiLevelType w:val="multilevel"/>
    <w:tmpl w:val="899EEF1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F432BF9"/>
    <w:multiLevelType w:val="multilevel"/>
    <w:tmpl w:val="774E6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0182EA8"/>
    <w:multiLevelType w:val="hybridMultilevel"/>
    <w:tmpl w:val="25162240"/>
    <w:lvl w:ilvl="0" w:tplc="021E906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135730F4"/>
    <w:multiLevelType w:val="hybridMultilevel"/>
    <w:tmpl w:val="BC7ECDA2"/>
    <w:lvl w:ilvl="0" w:tplc="0409001B">
      <w:start w:val="1"/>
      <w:numFmt w:val="lowerRoman"/>
      <w:lvlText w:val="%1."/>
      <w:lvlJc w:val="right"/>
      <w:pPr>
        <w:ind w:left="1080" w:hanging="360"/>
      </w:p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0" w15:restartNumberingAfterBreak="0">
    <w:nsid w:val="13D040E8"/>
    <w:multiLevelType w:val="hybridMultilevel"/>
    <w:tmpl w:val="494EB1EA"/>
    <w:lvl w:ilvl="0" w:tplc="0409001B">
      <w:start w:val="1"/>
      <w:numFmt w:val="lowerRoman"/>
      <w:lvlText w:val="%1."/>
      <w:lvlJc w:val="right"/>
      <w:pPr>
        <w:ind w:left="1170" w:hanging="360"/>
      </w:pPr>
    </w:lvl>
    <w:lvl w:ilvl="1" w:tplc="FFFFFFFF">
      <w:start w:val="1"/>
      <w:numFmt w:val="bullet"/>
      <w:lvlText w:val="o"/>
      <w:lvlJc w:val="left"/>
      <w:pPr>
        <w:ind w:left="1890" w:hanging="360"/>
      </w:pPr>
      <w:rPr>
        <w:rFonts w:ascii="Courier New" w:hAnsi="Courier New" w:cs="Courier New" w:hint="default"/>
      </w:rPr>
    </w:lvl>
    <w:lvl w:ilvl="2" w:tplc="FFFFFFFF">
      <w:start w:val="1"/>
      <w:numFmt w:val="bullet"/>
      <w:lvlText w:val=""/>
      <w:lvlJc w:val="left"/>
      <w:pPr>
        <w:ind w:left="2610" w:hanging="360"/>
      </w:pPr>
      <w:rPr>
        <w:rFonts w:ascii="Wingdings" w:hAnsi="Wingdings" w:hint="default"/>
      </w:rPr>
    </w:lvl>
    <w:lvl w:ilvl="3" w:tplc="FFFFFFFF">
      <w:start w:val="1"/>
      <w:numFmt w:val="bullet"/>
      <w:lvlText w:val=""/>
      <w:lvlJc w:val="left"/>
      <w:pPr>
        <w:ind w:left="3330" w:hanging="360"/>
      </w:pPr>
      <w:rPr>
        <w:rFonts w:ascii="Symbol" w:hAnsi="Symbol" w:hint="default"/>
      </w:rPr>
    </w:lvl>
    <w:lvl w:ilvl="4" w:tplc="FFFFFFFF">
      <w:start w:val="1"/>
      <w:numFmt w:val="bullet"/>
      <w:lvlText w:val="o"/>
      <w:lvlJc w:val="left"/>
      <w:pPr>
        <w:ind w:left="4050" w:hanging="360"/>
      </w:pPr>
      <w:rPr>
        <w:rFonts w:ascii="Courier New" w:hAnsi="Courier New" w:cs="Courier New" w:hint="default"/>
      </w:rPr>
    </w:lvl>
    <w:lvl w:ilvl="5" w:tplc="FFFFFFFF">
      <w:start w:val="1"/>
      <w:numFmt w:val="bullet"/>
      <w:lvlText w:val=""/>
      <w:lvlJc w:val="left"/>
      <w:pPr>
        <w:ind w:left="4770" w:hanging="360"/>
      </w:pPr>
      <w:rPr>
        <w:rFonts w:ascii="Wingdings" w:hAnsi="Wingdings" w:hint="default"/>
      </w:rPr>
    </w:lvl>
    <w:lvl w:ilvl="6" w:tplc="FFFFFFFF">
      <w:start w:val="1"/>
      <w:numFmt w:val="bullet"/>
      <w:lvlText w:val=""/>
      <w:lvlJc w:val="left"/>
      <w:pPr>
        <w:ind w:left="5490" w:hanging="360"/>
      </w:pPr>
      <w:rPr>
        <w:rFonts w:ascii="Symbol" w:hAnsi="Symbol" w:hint="default"/>
      </w:rPr>
    </w:lvl>
    <w:lvl w:ilvl="7" w:tplc="FFFFFFFF">
      <w:start w:val="1"/>
      <w:numFmt w:val="bullet"/>
      <w:lvlText w:val="o"/>
      <w:lvlJc w:val="left"/>
      <w:pPr>
        <w:ind w:left="6210" w:hanging="360"/>
      </w:pPr>
      <w:rPr>
        <w:rFonts w:ascii="Courier New" w:hAnsi="Courier New" w:cs="Courier New" w:hint="default"/>
      </w:rPr>
    </w:lvl>
    <w:lvl w:ilvl="8" w:tplc="FFFFFFFF">
      <w:start w:val="1"/>
      <w:numFmt w:val="bullet"/>
      <w:lvlText w:val=""/>
      <w:lvlJc w:val="left"/>
      <w:pPr>
        <w:ind w:left="6930" w:hanging="360"/>
      </w:pPr>
      <w:rPr>
        <w:rFonts w:ascii="Wingdings" w:hAnsi="Wingdings" w:hint="default"/>
      </w:rPr>
    </w:lvl>
  </w:abstractNum>
  <w:abstractNum w:abstractNumId="21" w15:restartNumberingAfterBreak="0">
    <w:nsid w:val="13E14FA4"/>
    <w:multiLevelType w:val="hybridMultilevel"/>
    <w:tmpl w:val="212A968A"/>
    <w:lvl w:ilvl="0" w:tplc="04090013">
      <w:start w:val="1"/>
      <w:numFmt w:val="upperRoman"/>
      <w:lvlText w:val="%1."/>
      <w:lvlJc w:val="right"/>
      <w:pPr>
        <w:ind w:left="1080" w:hanging="360"/>
      </w:p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2" w15:restartNumberingAfterBreak="0">
    <w:nsid w:val="152C724F"/>
    <w:multiLevelType w:val="hybridMultilevel"/>
    <w:tmpl w:val="025270D0"/>
    <w:lvl w:ilvl="0" w:tplc="958E145C">
      <w:start w:val="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6C24892"/>
    <w:multiLevelType w:val="multilevel"/>
    <w:tmpl w:val="94C0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6D94AD2"/>
    <w:multiLevelType w:val="hybridMultilevel"/>
    <w:tmpl w:val="B44A23A6"/>
    <w:lvl w:ilvl="0" w:tplc="DFFA10B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91A34A9"/>
    <w:multiLevelType w:val="hybridMultilevel"/>
    <w:tmpl w:val="D1BA7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CC3096E"/>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D2B2C7E"/>
    <w:multiLevelType w:val="hybridMultilevel"/>
    <w:tmpl w:val="2A44E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D3353E3"/>
    <w:multiLevelType w:val="multilevel"/>
    <w:tmpl w:val="FDE258B4"/>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F3A1A47"/>
    <w:multiLevelType w:val="hybridMultilevel"/>
    <w:tmpl w:val="3BA2292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214D31BD"/>
    <w:multiLevelType w:val="hybridMultilevel"/>
    <w:tmpl w:val="CBD09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2427BA2"/>
    <w:multiLevelType w:val="hybridMultilevel"/>
    <w:tmpl w:val="A526476C"/>
    <w:lvl w:ilvl="0" w:tplc="958E145C">
      <w:start w:val="4"/>
      <w:numFmt w:val="bullet"/>
      <w:lvlText w:val="-"/>
      <w:lvlJc w:val="left"/>
      <w:pPr>
        <w:ind w:left="1222" w:hanging="360"/>
      </w:pPr>
      <w:rPr>
        <w:rFonts w:ascii="Simplified Arabic" w:eastAsia="Times New Roman" w:hAnsi="Simplified Arabic" w:cs="Simplified Arabic" w:hint="default"/>
      </w:rPr>
    </w:lvl>
    <w:lvl w:ilvl="1" w:tplc="0409000B">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hint="default"/>
      </w:rPr>
    </w:lvl>
    <w:lvl w:ilvl="3" w:tplc="04090001">
      <w:start w:val="1"/>
      <w:numFmt w:val="bullet"/>
      <w:lvlText w:val=""/>
      <w:lvlJc w:val="left"/>
      <w:pPr>
        <w:ind w:left="3382" w:hanging="360"/>
      </w:pPr>
      <w:rPr>
        <w:rFonts w:ascii="Symbol" w:hAnsi="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hint="default"/>
      </w:rPr>
    </w:lvl>
    <w:lvl w:ilvl="6" w:tplc="04090001">
      <w:start w:val="1"/>
      <w:numFmt w:val="bullet"/>
      <w:lvlText w:val=""/>
      <w:lvlJc w:val="left"/>
      <w:pPr>
        <w:ind w:left="5542" w:hanging="360"/>
      </w:pPr>
      <w:rPr>
        <w:rFonts w:ascii="Symbol" w:hAnsi="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hint="default"/>
      </w:rPr>
    </w:lvl>
  </w:abstractNum>
  <w:abstractNum w:abstractNumId="32" w15:restartNumberingAfterBreak="0">
    <w:nsid w:val="23146753"/>
    <w:multiLevelType w:val="multilevel"/>
    <w:tmpl w:val="3A3ED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3B45D6C"/>
    <w:multiLevelType w:val="hybridMultilevel"/>
    <w:tmpl w:val="768A0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9D45CA"/>
    <w:multiLevelType w:val="hybridMultilevel"/>
    <w:tmpl w:val="17BCD434"/>
    <w:lvl w:ilvl="0" w:tplc="88440872">
      <w:start w:val="1"/>
      <w:numFmt w:val="arabicAbjad"/>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15:restartNumberingAfterBreak="0">
    <w:nsid w:val="258C1386"/>
    <w:multiLevelType w:val="multilevel"/>
    <w:tmpl w:val="899EEF1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59B7139"/>
    <w:multiLevelType w:val="hybridMultilevel"/>
    <w:tmpl w:val="BCFA5C8E"/>
    <w:lvl w:ilvl="0" w:tplc="38B49FB8">
      <w:numFmt w:val="bullet"/>
      <w:lvlText w:val=""/>
      <w:lvlJc w:val="left"/>
      <w:pPr>
        <w:ind w:left="720" w:hanging="360"/>
      </w:pPr>
      <w:rPr>
        <w:rFonts w:ascii="Simplified Arabic" w:eastAsia="Arial"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6665AE2"/>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6B40DAC"/>
    <w:multiLevelType w:val="multilevel"/>
    <w:tmpl w:val="5CCEB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6C57D6D"/>
    <w:multiLevelType w:val="hybridMultilevel"/>
    <w:tmpl w:val="58E6EA70"/>
    <w:lvl w:ilvl="0" w:tplc="7174EB7A">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28167F2F"/>
    <w:multiLevelType w:val="multilevel"/>
    <w:tmpl w:val="19369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8311B6B"/>
    <w:multiLevelType w:val="hybridMultilevel"/>
    <w:tmpl w:val="0B562394"/>
    <w:lvl w:ilvl="0" w:tplc="EA4E3A8A">
      <w:start w:val="11"/>
      <w:numFmt w:val="bullet"/>
      <w:lvlText w:val="-"/>
      <w:lvlJc w:val="left"/>
      <w:pPr>
        <w:ind w:left="1106" w:hanging="360"/>
      </w:pPr>
      <w:rPr>
        <w:rFonts w:ascii="Times New Roman" w:eastAsia="Traditional Arabic" w:hAnsi="Times New Roman" w:cs="Times New Roman" w:hint="default"/>
      </w:rPr>
    </w:lvl>
    <w:lvl w:ilvl="1" w:tplc="04090003" w:tentative="1">
      <w:start w:val="1"/>
      <w:numFmt w:val="bullet"/>
      <w:lvlText w:val="o"/>
      <w:lvlJc w:val="left"/>
      <w:pPr>
        <w:ind w:left="1826" w:hanging="360"/>
      </w:pPr>
      <w:rPr>
        <w:rFonts w:ascii="Courier New" w:hAnsi="Courier New" w:cs="Courier New" w:hint="default"/>
      </w:rPr>
    </w:lvl>
    <w:lvl w:ilvl="2" w:tplc="04090005" w:tentative="1">
      <w:start w:val="1"/>
      <w:numFmt w:val="bullet"/>
      <w:lvlText w:val=""/>
      <w:lvlJc w:val="left"/>
      <w:pPr>
        <w:ind w:left="2546" w:hanging="360"/>
      </w:pPr>
      <w:rPr>
        <w:rFonts w:ascii="Wingdings" w:hAnsi="Wingdings" w:hint="default"/>
      </w:rPr>
    </w:lvl>
    <w:lvl w:ilvl="3" w:tplc="04090001" w:tentative="1">
      <w:start w:val="1"/>
      <w:numFmt w:val="bullet"/>
      <w:lvlText w:val=""/>
      <w:lvlJc w:val="left"/>
      <w:pPr>
        <w:ind w:left="3266" w:hanging="360"/>
      </w:pPr>
      <w:rPr>
        <w:rFonts w:ascii="Symbol" w:hAnsi="Symbol" w:hint="default"/>
      </w:rPr>
    </w:lvl>
    <w:lvl w:ilvl="4" w:tplc="04090003" w:tentative="1">
      <w:start w:val="1"/>
      <w:numFmt w:val="bullet"/>
      <w:lvlText w:val="o"/>
      <w:lvlJc w:val="left"/>
      <w:pPr>
        <w:ind w:left="3986" w:hanging="360"/>
      </w:pPr>
      <w:rPr>
        <w:rFonts w:ascii="Courier New" w:hAnsi="Courier New" w:cs="Courier New" w:hint="default"/>
      </w:rPr>
    </w:lvl>
    <w:lvl w:ilvl="5" w:tplc="04090005" w:tentative="1">
      <w:start w:val="1"/>
      <w:numFmt w:val="bullet"/>
      <w:lvlText w:val=""/>
      <w:lvlJc w:val="left"/>
      <w:pPr>
        <w:ind w:left="4706" w:hanging="360"/>
      </w:pPr>
      <w:rPr>
        <w:rFonts w:ascii="Wingdings" w:hAnsi="Wingdings" w:hint="default"/>
      </w:rPr>
    </w:lvl>
    <w:lvl w:ilvl="6" w:tplc="04090001" w:tentative="1">
      <w:start w:val="1"/>
      <w:numFmt w:val="bullet"/>
      <w:lvlText w:val=""/>
      <w:lvlJc w:val="left"/>
      <w:pPr>
        <w:ind w:left="5426" w:hanging="360"/>
      </w:pPr>
      <w:rPr>
        <w:rFonts w:ascii="Symbol" w:hAnsi="Symbol" w:hint="default"/>
      </w:rPr>
    </w:lvl>
    <w:lvl w:ilvl="7" w:tplc="04090003" w:tentative="1">
      <w:start w:val="1"/>
      <w:numFmt w:val="bullet"/>
      <w:lvlText w:val="o"/>
      <w:lvlJc w:val="left"/>
      <w:pPr>
        <w:ind w:left="6146" w:hanging="360"/>
      </w:pPr>
      <w:rPr>
        <w:rFonts w:ascii="Courier New" w:hAnsi="Courier New" w:cs="Courier New" w:hint="default"/>
      </w:rPr>
    </w:lvl>
    <w:lvl w:ilvl="8" w:tplc="04090005" w:tentative="1">
      <w:start w:val="1"/>
      <w:numFmt w:val="bullet"/>
      <w:lvlText w:val=""/>
      <w:lvlJc w:val="left"/>
      <w:pPr>
        <w:ind w:left="6866" w:hanging="360"/>
      </w:pPr>
      <w:rPr>
        <w:rFonts w:ascii="Wingdings" w:hAnsi="Wingdings" w:hint="default"/>
      </w:rPr>
    </w:lvl>
  </w:abstractNum>
  <w:abstractNum w:abstractNumId="42" w15:restartNumberingAfterBreak="0">
    <w:nsid w:val="2834075F"/>
    <w:multiLevelType w:val="hybridMultilevel"/>
    <w:tmpl w:val="F6C0E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9A96EA6"/>
    <w:multiLevelType w:val="hybridMultilevel"/>
    <w:tmpl w:val="44362ED6"/>
    <w:lvl w:ilvl="0" w:tplc="1B2CD4D4">
      <w:start w:val="1"/>
      <w:numFmt w:val="arabicAbjad"/>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4" w15:restartNumberingAfterBreak="0">
    <w:nsid w:val="2D431A9A"/>
    <w:multiLevelType w:val="hybridMultilevel"/>
    <w:tmpl w:val="202A606A"/>
    <w:lvl w:ilvl="0" w:tplc="EA4E3A8A">
      <w:start w:val="11"/>
      <w:numFmt w:val="bullet"/>
      <w:lvlText w:val="-"/>
      <w:lvlJc w:val="left"/>
      <w:pPr>
        <w:ind w:left="1106" w:hanging="360"/>
      </w:pPr>
      <w:rPr>
        <w:rFonts w:ascii="Times New Roman" w:eastAsia="Traditional Arabic" w:hAnsi="Times New Roman" w:cs="Times New Roman" w:hint="default"/>
      </w:rPr>
    </w:lvl>
    <w:lvl w:ilvl="1" w:tplc="04090003" w:tentative="1">
      <w:start w:val="1"/>
      <w:numFmt w:val="bullet"/>
      <w:lvlText w:val="o"/>
      <w:lvlJc w:val="left"/>
      <w:pPr>
        <w:ind w:left="1826" w:hanging="360"/>
      </w:pPr>
      <w:rPr>
        <w:rFonts w:ascii="Courier New" w:hAnsi="Courier New" w:cs="Courier New" w:hint="default"/>
      </w:rPr>
    </w:lvl>
    <w:lvl w:ilvl="2" w:tplc="04090005" w:tentative="1">
      <w:start w:val="1"/>
      <w:numFmt w:val="bullet"/>
      <w:lvlText w:val=""/>
      <w:lvlJc w:val="left"/>
      <w:pPr>
        <w:ind w:left="2546" w:hanging="360"/>
      </w:pPr>
      <w:rPr>
        <w:rFonts w:ascii="Wingdings" w:hAnsi="Wingdings" w:hint="default"/>
      </w:rPr>
    </w:lvl>
    <w:lvl w:ilvl="3" w:tplc="04090001" w:tentative="1">
      <w:start w:val="1"/>
      <w:numFmt w:val="bullet"/>
      <w:lvlText w:val=""/>
      <w:lvlJc w:val="left"/>
      <w:pPr>
        <w:ind w:left="3266" w:hanging="360"/>
      </w:pPr>
      <w:rPr>
        <w:rFonts w:ascii="Symbol" w:hAnsi="Symbol" w:hint="default"/>
      </w:rPr>
    </w:lvl>
    <w:lvl w:ilvl="4" w:tplc="04090003" w:tentative="1">
      <w:start w:val="1"/>
      <w:numFmt w:val="bullet"/>
      <w:lvlText w:val="o"/>
      <w:lvlJc w:val="left"/>
      <w:pPr>
        <w:ind w:left="3986" w:hanging="360"/>
      </w:pPr>
      <w:rPr>
        <w:rFonts w:ascii="Courier New" w:hAnsi="Courier New" w:cs="Courier New" w:hint="default"/>
      </w:rPr>
    </w:lvl>
    <w:lvl w:ilvl="5" w:tplc="04090005" w:tentative="1">
      <w:start w:val="1"/>
      <w:numFmt w:val="bullet"/>
      <w:lvlText w:val=""/>
      <w:lvlJc w:val="left"/>
      <w:pPr>
        <w:ind w:left="4706" w:hanging="360"/>
      </w:pPr>
      <w:rPr>
        <w:rFonts w:ascii="Wingdings" w:hAnsi="Wingdings" w:hint="default"/>
      </w:rPr>
    </w:lvl>
    <w:lvl w:ilvl="6" w:tplc="04090001" w:tentative="1">
      <w:start w:val="1"/>
      <w:numFmt w:val="bullet"/>
      <w:lvlText w:val=""/>
      <w:lvlJc w:val="left"/>
      <w:pPr>
        <w:ind w:left="5426" w:hanging="360"/>
      </w:pPr>
      <w:rPr>
        <w:rFonts w:ascii="Symbol" w:hAnsi="Symbol" w:hint="default"/>
      </w:rPr>
    </w:lvl>
    <w:lvl w:ilvl="7" w:tplc="04090003" w:tentative="1">
      <w:start w:val="1"/>
      <w:numFmt w:val="bullet"/>
      <w:lvlText w:val="o"/>
      <w:lvlJc w:val="left"/>
      <w:pPr>
        <w:ind w:left="6146" w:hanging="360"/>
      </w:pPr>
      <w:rPr>
        <w:rFonts w:ascii="Courier New" w:hAnsi="Courier New" w:cs="Courier New" w:hint="default"/>
      </w:rPr>
    </w:lvl>
    <w:lvl w:ilvl="8" w:tplc="04090005" w:tentative="1">
      <w:start w:val="1"/>
      <w:numFmt w:val="bullet"/>
      <w:lvlText w:val=""/>
      <w:lvlJc w:val="left"/>
      <w:pPr>
        <w:ind w:left="6866" w:hanging="360"/>
      </w:pPr>
      <w:rPr>
        <w:rFonts w:ascii="Wingdings" w:hAnsi="Wingdings" w:hint="default"/>
      </w:rPr>
    </w:lvl>
  </w:abstractNum>
  <w:abstractNum w:abstractNumId="45" w15:restartNumberingAfterBreak="0">
    <w:nsid w:val="2ED13608"/>
    <w:multiLevelType w:val="hybridMultilevel"/>
    <w:tmpl w:val="0EB0C6EC"/>
    <w:lvl w:ilvl="0" w:tplc="0409000F">
      <w:start w:val="1"/>
      <w:numFmt w:val="decimal"/>
      <w:lvlText w:val="%1."/>
      <w:lvlJc w:val="left"/>
      <w:pPr>
        <w:ind w:left="405" w:hanging="360"/>
      </w:p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6" w15:restartNumberingAfterBreak="0">
    <w:nsid w:val="326F1255"/>
    <w:multiLevelType w:val="multilevel"/>
    <w:tmpl w:val="EAEAC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30508DC"/>
    <w:multiLevelType w:val="hybridMultilevel"/>
    <w:tmpl w:val="36F0E7EE"/>
    <w:lvl w:ilvl="0" w:tplc="E932BC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33837A6"/>
    <w:multiLevelType w:val="multilevel"/>
    <w:tmpl w:val="2D78C0D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6D37B56"/>
    <w:multiLevelType w:val="hybridMultilevel"/>
    <w:tmpl w:val="B3788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6EE1382"/>
    <w:multiLevelType w:val="multilevel"/>
    <w:tmpl w:val="4738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71A3014"/>
    <w:multiLevelType w:val="hybridMultilevel"/>
    <w:tmpl w:val="B5145C4A"/>
    <w:lvl w:ilvl="0" w:tplc="6A48C370">
      <w:start w:val="1"/>
      <w:numFmt w:val="decimal"/>
      <w:lvlText w:val="%1)"/>
      <w:lvlJc w:val="left"/>
      <w:pPr>
        <w:ind w:left="720" w:hanging="360"/>
      </w:pPr>
      <w:rPr>
        <w:rFonts w:hint="default"/>
      </w:rPr>
    </w:lvl>
    <w:lvl w:ilvl="1" w:tplc="FC1C5F20">
      <w:start w:val="1"/>
      <w:numFmt w:val="decimal"/>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80857AD"/>
    <w:multiLevelType w:val="multilevel"/>
    <w:tmpl w:val="A058E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8F837D7"/>
    <w:multiLevelType w:val="hybridMultilevel"/>
    <w:tmpl w:val="F9F25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9565261"/>
    <w:multiLevelType w:val="hybridMultilevel"/>
    <w:tmpl w:val="33DE22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3A3A0A7E"/>
    <w:multiLevelType w:val="hybridMultilevel"/>
    <w:tmpl w:val="74BCD664"/>
    <w:lvl w:ilvl="0" w:tplc="0409000F">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56" w15:restartNumberingAfterBreak="0">
    <w:nsid w:val="3C775E21"/>
    <w:multiLevelType w:val="multilevel"/>
    <w:tmpl w:val="19B455F6"/>
    <w:lvl w:ilvl="0">
      <w:start w:val="1"/>
      <w:numFmt w:val="none"/>
      <w:lvlText w:val=""/>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7" w15:restartNumberingAfterBreak="0">
    <w:nsid w:val="3E4C3239"/>
    <w:multiLevelType w:val="hybridMultilevel"/>
    <w:tmpl w:val="FF4A558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3E632652"/>
    <w:multiLevelType w:val="hybridMultilevel"/>
    <w:tmpl w:val="717E5012"/>
    <w:lvl w:ilvl="0" w:tplc="379228B4">
      <w:start w:val="1"/>
      <w:numFmt w:val="decimal"/>
      <w:lvlText w:val="%1)"/>
      <w:lvlJc w:val="left"/>
      <w:pPr>
        <w:ind w:left="785" w:hanging="360"/>
      </w:pPr>
      <w:rPr>
        <w:rFonts w:eastAsiaTheme="majorEastAsia"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EFA2C7C"/>
    <w:multiLevelType w:val="multilevel"/>
    <w:tmpl w:val="7B643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FEF0251"/>
    <w:multiLevelType w:val="hybridMultilevel"/>
    <w:tmpl w:val="33DA8D1E"/>
    <w:lvl w:ilvl="0" w:tplc="F440FF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0BD656A"/>
    <w:multiLevelType w:val="hybridMultilevel"/>
    <w:tmpl w:val="CD78E88A"/>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2" w15:restartNumberingAfterBreak="0">
    <w:nsid w:val="418A79F9"/>
    <w:multiLevelType w:val="hybridMultilevel"/>
    <w:tmpl w:val="9A16CC42"/>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3" w15:restartNumberingAfterBreak="0">
    <w:nsid w:val="42475E02"/>
    <w:multiLevelType w:val="hybridMultilevel"/>
    <w:tmpl w:val="6360CF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42C13825"/>
    <w:multiLevelType w:val="hybridMultilevel"/>
    <w:tmpl w:val="26C49FD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5" w15:restartNumberingAfterBreak="0">
    <w:nsid w:val="43392725"/>
    <w:multiLevelType w:val="hybridMultilevel"/>
    <w:tmpl w:val="9A7292DE"/>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6" w15:restartNumberingAfterBreak="0">
    <w:nsid w:val="45C14F8C"/>
    <w:multiLevelType w:val="hybridMultilevel"/>
    <w:tmpl w:val="DDFC9804"/>
    <w:lvl w:ilvl="0" w:tplc="79927304">
      <w:start w:val="1"/>
      <w:numFmt w:val="bullet"/>
      <w:lvlText w:val="-"/>
      <w:lvlJc w:val="left"/>
      <w:pPr>
        <w:ind w:left="360" w:hanging="360"/>
      </w:pPr>
      <w:rPr>
        <w:rFonts w:ascii="Simplified Arabic" w:eastAsia="Calibr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471D7578"/>
    <w:multiLevelType w:val="hybridMultilevel"/>
    <w:tmpl w:val="BE929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8DF63F0"/>
    <w:multiLevelType w:val="hybridMultilevel"/>
    <w:tmpl w:val="77183D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F827B46"/>
    <w:multiLevelType w:val="multilevel"/>
    <w:tmpl w:val="16CCD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2625169"/>
    <w:multiLevelType w:val="hybridMultilevel"/>
    <w:tmpl w:val="5AB65C1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52BE052B"/>
    <w:multiLevelType w:val="multilevel"/>
    <w:tmpl w:val="FC6C5B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2C2159F"/>
    <w:multiLevelType w:val="hybridMultilevel"/>
    <w:tmpl w:val="DC1C9C0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539246C1"/>
    <w:multiLevelType w:val="hybridMultilevel"/>
    <w:tmpl w:val="D2BAB980"/>
    <w:lvl w:ilvl="0" w:tplc="81285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5B95CC7"/>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6C05CA9"/>
    <w:multiLevelType w:val="hybridMultilevel"/>
    <w:tmpl w:val="F6665254"/>
    <w:lvl w:ilvl="0" w:tplc="04090005">
      <w:start w:val="1"/>
      <w:numFmt w:val="bullet"/>
      <w:lvlText w:val=""/>
      <w:lvlJc w:val="left"/>
      <w:pPr>
        <w:ind w:left="1826" w:hanging="360"/>
      </w:pPr>
      <w:rPr>
        <w:rFonts w:ascii="Wingdings" w:hAnsi="Wingdings" w:hint="default"/>
      </w:rPr>
    </w:lvl>
    <w:lvl w:ilvl="1" w:tplc="04090003" w:tentative="1">
      <w:start w:val="1"/>
      <w:numFmt w:val="bullet"/>
      <w:lvlText w:val="o"/>
      <w:lvlJc w:val="left"/>
      <w:pPr>
        <w:ind w:left="2546" w:hanging="360"/>
      </w:pPr>
      <w:rPr>
        <w:rFonts w:ascii="Courier New" w:hAnsi="Courier New" w:cs="Courier New" w:hint="default"/>
      </w:rPr>
    </w:lvl>
    <w:lvl w:ilvl="2" w:tplc="04090005" w:tentative="1">
      <w:start w:val="1"/>
      <w:numFmt w:val="bullet"/>
      <w:lvlText w:val=""/>
      <w:lvlJc w:val="left"/>
      <w:pPr>
        <w:ind w:left="3266" w:hanging="360"/>
      </w:pPr>
      <w:rPr>
        <w:rFonts w:ascii="Wingdings" w:hAnsi="Wingdings" w:hint="default"/>
      </w:rPr>
    </w:lvl>
    <w:lvl w:ilvl="3" w:tplc="04090001" w:tentative="1">
      <w:start w:val="1"/>
      <w:numFmt w:val="bullet"/>
      <w:lvlText w:val=""/>
      <w:lvlJc w:val="left"/>
      <w:pPr>
        <w:ind w:left="3986" w:hanging="360"/>
      </w:pPr>
      <w:rPr>
        <w:rFonts w:ascii="Symbol" w:hAnsi="Symbol" w:hint="default"/>
      </w:rPr>
    </w:lvl>
    <w:lvl w:ilvl="4" w:tplc="04090003" w:tentative="1">
      <w:start w:val="1"/>
      <w:numFmt w:val="bullet"/>
      <w:lvlText w:val="o"/>
      <w:lvlJc w:val="left"/>
      <w:pPr>
        <w:ind w:left="4706" w:hanging="360"/>
      </w:pPr>
      <w:rPr>
        <w:rFonts w:ascii="Courier New" w:hAnsi="Courier New" w:cs="Courier New" w:hint="default"/>
      </w:rPr>
    </w:lvl>
    <w:lvl w:ilvl="5" w:tplc="04090005" w:tentative="1">
      <w:start w:val="1"/>
      <w:numFmt w:val="bullet"/>
      <w:lvlText w:val=""/>
      <w:lvlJc w:val="left"/>
      <w:pPr>
        <w:ind w:left="5426" w:hanging="360"/>
      </w:pPr>
      <w:rPr>
        <w:rFonts w:ascii="Wingdings" w:hAnsi="Wingdings" w:hint="default"/>
      </w:rPr>
    </w:lvl>
    <w:lvl w:ilvl="6" w:tplc="04090001" w:tentative="1">
      <w:start w:val="1"/>
      <w:numFmt w:val="bullet"/>
      <w:lvlText w:val=""/>
      <w:lvlJc w:val="left"/>
      <w:pPr>
        <w:ind w:left="6146" w:hanging="360"/>
      </w:pPr>
      <w:rPr>
        <w:rFonts w:ascii="Symbol" w:hAnsi="Symbol" w:hint="default"/>
      </w:rPr>
    </w:lvl>
    <w:lvl w:ilvl="7" w:tplc="04090003" w:tentative="1">
      <w:start w:val="1"/>
      <w:numFmt w:val="bullet"/>
      <w:lvlText w:val="o"/>
      <w:lvlJc w:val="left"/>
      <w:pPr>
        <w:ind w:left="6866" w:hanging="360"/>
      </w:pPr>
      <w:rPr>
        <w:rFonts w:ascii="Courier New" w:hAnsi="Courier New" w:cs="Courier New" w:hint="default"/>
      </w:rPr>
    </w:lvl>
    <w:lvl w:ilvl="8" w:tplc="04090005" w:tentative="1">
      <w:start w:val="1"/>
      <w:numFmt w:val="bullet"/>
      <w:lvlText w:val=""/>
      <w:lvlJc w:val="left"/>
      <w:pPr>
        <w:ind w:left="7586" w:hanging="360"/>
      </w:pPr>
      <w:rPr>
        <w:rFonts w:ascii="Wingdings" w:hAnsi="Wingdings" w:hint="default"/>
      </w:rPr>
    </w:lvl>
  </w:abstractNum>
  <w:abstractNum w:abstractNumId="76" w15:restartNumberingAfterBreak="0">
    <w:nsid w:val="57760D4D"/>
    <w:multiLevelType w:val="multilevel"/>
    <w:tmpl w:val="782CC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78C6DDD"/>
    <w:multiLevelType w:val="hybridMultilevel"/>
    <w:tmpl w:val="021082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57FC2222"/>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92941B0"/>
    <w:multiLevelType w:val="hybridMultilevel"/>
    <w:tmpl w:val="8F148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9FD01E2"/>
    <w:multiLevelType w:val="hybridMultilevel"/>
    <w:tmpl w:val="F4DA10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A0C58E3"/>
    <w:multiLevelType w:val="hybridMultilevel"/>
    <w:tmpl w:val="7A988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B4A6D4F"/>
    <w:multiLevelType w:val="hybridMultilevel"/>
    <w:tmpl w:val="441C66C0"/>
    <w:lvl w:ilvl="0" w:tplc="A42E2210">
      <w:start w:val="1"/>
      <w:numFmt w:val="decimal"/>
      <w:lvlText w:val="%1-"/>
      <w:lvlJc w:val="left"/>
      <w:pPr>
        <w:ind w:left="0" w:hanging="360"/>
      </w:pPr>
      <w:rPr>
        <w:rFonts w:hint="default"/>
      </w:rPr>
    </w:lvl>
    <w:lvl w:ilvl="1" w:tplc="04090019" w:tentative="1">
      <w:start w:val="1"/>
      <w:numFmt w:val="lowerLetter"/>
      <w:lvlText w:val="%2."/>
      <w:lvlJc w:val="left"/>
      <w:pPr>
        <w:ind w:left="681" w:hanging="360"/>
      </w:pPr>
    </w:lvl>
    <w:lvl w:ilvl="2" w:tplc="0409001B" w:tentative="1">
      <w:start w:val="1"/>
      <w:numFmt w:val="lowerRoman"/>
      <w:lvlText w:val="%3."/>
      <w:lvlJc w:val="right"/>
      <w:pPr>
        <w:ind w:left="1401" w:hanging="180"/>
      </w:pPr>
    </w:lvl>
    <w:lvl w:ilvl="3" w:tplc="0409000F" w:tentative="1">
      <w:start w:val="1"/>
      <w:numFmt w:val="decimal"/>
      <w:lvlText w:val="%4."/>
      <w:lvlJc w:val="left"/>
      <w:pPr>
        <w:ind w:left="2121" w:hanging="360"/>
      </w:pPr>
    </w:lvl>
    <w:lvl w:ilvl="4" w:tplc="04090019" w:tentative="1">
      <w:start w:val="1"/>
      <w:numFmt w:val="lowerLetter"/>
      <w:lvlText w:val="%5."/>
      <w:lvlJc w:val="left"/>
      <w:pPr>
        <w:ind w:left="2841" w:hanging="360"/>
      </w:pPr>
    </w:lvl>
    <w:lvl w:ilvl="5" w:tplc="0409001B" w:tentative="1">
      <w:start w:val="1"/>
      <w:numFmt w:val="lowerRoman"/>
      <w:lvlText w:val="%6."/>
      <w:lvlJc w:val="right"/>
      <w:pPr>
        <w:ind w:left="3561" w:hanging="180"/>
      </w:pPr>
    </w:lvl>
    <w:lvl w:ilvl="6" w:tplc="0409000F" w:tentative="1">
      <w:start w:val="1"/>
      <w:numFmt w:val="decimal"/>
      <w:lvlText w:val="%7."/>
      <w:lvlJc w:val="left"/>
      <w:pPr>
        <w:ind w:left="4281" w:hanging="360"/>
      </w:pPr>
    </w:lvl>
    <w:lvl w:ilvl="7" w:tplc="04090019" w:tentative="1">
      <w:start w:val="1"/>
      <w:numFmt w:val="lowerLetter"/>
      <w:lvlText w:val="%8."/>
      <w:lvlJc w:val="left"/>
      <w:pPr>
        <w:ind w:left="5001" w:hanging="360"/>
      </w:pPr>
    </w:lvl>
    <w:lvl w:ilvl="8" w:tplc="0409001B" w:tentative="1">
      <w:start w:val="1"/>
      <w:numFmt w:val="lowerRoman"/>
      <w:lvlText w:val="%9."/>
      <w:lvlJc w:val="right"/>
      <w:pPr>
        <w:ind w:left="5721" w:hanging="180"/>
      </w:pPr>
    </w:lvl>
  </w:abstractNum>
  <w:abstractNum w:abstractNumId="83" w15:restartNumberingAfterBreak="0">
    <w:nsid w:val="5BAB7020"/>
    <w:multiLevelType w:val="hybridMultilevel"/>
    <w:tmpl w:val="EC9A6AA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4" w15:restartNumberingAfterBreak="0">
    <w:nsid w:val="5CC37C54"/>
    <w:multiLevelType w:val="hybridMultilevel"/>
    <w:tmpl w:val="E92A8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D4D124B"/>
    <w:multiLevelType w:val="hybridMultilevel"/>
    <w:tmpl w:val="0C101B08"/>
    <w:lvl w:ilvl="0" w:tplc="0409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6" w15:restartNumberingAfterBreak="0">
    <w:nsid w:val="5DBA6387"/>
    <w:multiLevelType w:val="hybridMultilevel"/>
    <w:tmpl w:val="F760B0E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E2902FF"/>
    <w:multiLevelType w:val="multilevel"/>
    <w:tmpl w:val="1B88B44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F290102"/>
    <w:multiLevelType w:val="hybridMultilevel"/>
    <w:tmpl w:val="B358DE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15:restartNumberingAfterBreak="0">
    <w:nsid w:val="5FDE1110"/>
    <w:multiLevelType w:val="hybridMultilevel"/>
    <w:tmpl w:val="0290AEF6"/>
    <w:lvl w:ilvl="0" w:tplc="1B2CD4D4">
      <w:start w:val="1"/>
      <w:numFmt w:val="arabicAbjad"/>
      <w:lvlText w:val="%1)"/>
      <w:lvlJc w:val="left"/>
      <w:pPr>
        <w:ind w:left="1080" w:hanging="360"/>
      </w:p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90" w15:restartNumberingAfterBreak="0">
    <w:nsid w:val="620C4197"/>
    <w:multiLevelType w:val="hybridMultilevel"/>
    <w:tmpl w:val="3E7A4868"/>
    <w:lvl w:ilvl="0" w:tplc="4528960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B352221"/>
    <w:multiLevelType w:val="multilevel"/>
    <w:tmpl w:val="F1527482"/>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BA56968"/>
    <w:multiLevelType w:val="multilevel"/>
    <w:tmpl w:val="782CC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C87341D"/>
    <w:multiLevelType w:val="hybridMultilevel"/>
    <w:tmpl w:val="BD9EC748"/>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4" w15:restartNumberingAfterBreak="0">
    <w:nsid w:val="6D064AE9"/>
    <w:multiLevelType w:val="hybridMultilevel"/>
    <w:tmpl w:val="B3BCB802"/>
    <w:lvl w:ilvl="0" w:tplc="958E145C">
      <w:start w:val="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D6A3DFE"/>
    <w:multiLevelType w:val="multilevel"/>
    <w:tmpl w:val="FEACB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E4475EF"/>
    <w:multiLevelType w:val="hybridMultilevel"/>
    <w:tmpl w:val="0D609B76"/>
    <w:lvl w:ilvl="0" w:tplc="0409001B">
      <w:start w:val="1"/>
      <w:numFmt w:val="lowerRoman"/>
      <w:lvlText w:val="%1."/>
      <w:lvlJc w:val="right"/>
      <w:pPr>
        <w:ind w:left="1080" w:hanging="360"/>
      </w:p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97" w15:restartNumberingAfterBreak="0">
    <w:nsid w:val="70495F78"/>
    <w:multiLevelType w:val="hybridMultilevel"/>
    <w:tmpl w:val="8DF81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1C90772"/>
    <w:multiLevelType w:val="multilevel"/>
    <w:tmpl w:val="BADACD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2573E2E"/>
    <w:multiLevelType w:val="multilevel"/>
    <w:tmpl w:val="63A2C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2B4407C"/>
    <w:multiLevelType w:val="multilevel"/>
    <w:tmpl w:val="48845EB0"/>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2E91926"/>
    <w:multiLevelType w:val="hybridMultilevel"/>
    <w:tmpl w:val="F2B829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3D916B9"/>
    <w:multiLevelType w:val="hybridMultilevel"/>
    <w:tmpl w:val="CEC62FE0"/>
    <w:lvl w:ilvl="0" w:tplc="04090009">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3" w15:restartNumberingAfterBreak="0">
    <w:nsid w:val="768E06E7"/>
    <w:multiLevelType w:val="multilevel"/>
    <w:tmpl w:val="F932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6E44C17"/>
    <w:multiLevelType w:val="hybridMultilevel"/>
    <w:tmpl w:val="A04C0474"/>
    <w:lvl w:ilvl="0" w:tplc="A7944F92">
      <w:start w:val="1"/>
      <w:numFmt w:val="arabicAbjad"/>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05" w15:restartNumberingAfterBreak="0">
    <w:nsid w:val="7751265B"/>
    <w:multiLevelType w:val="hybridMultilevel"/>
    <w:tmpl w:val="6916E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77A5801"/>
    <w:multiLevelType w:val="hybridMultilevel"/>
    <w:tmpl w:val="CEC29828"/>
    <w:lvl w:ilvl="0" w:tplc="6598136A">
      <w:start w:val="1"/>
      <w:numFmt w:val="decimal"/>
      <w:lvlText w:val="%1-"/>
      <w:lvlJc w:val="left"/>
      <w:pPr>
        <w:ind w:left="360" w:hanging="36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77960201"/>
    <w:multiLevelType w:val="hybridMultilevel"/>
    <w:tmpl w:val="278EE90C"/>
    <w:lvl w:ilvl="0" w:tplc="0409000F">
      <w:start w:val="1"/>
      <w:numFmt w:val="decimal"/>
      <w:lvlText w:val="%1."/>
      <w:lvlJc w:val="left"/>
      <w:pPr>
        <w:ind w:left="1106" w:hanging="360"/>
      </w:p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108" w15:restartNumberingAfterBreak="0">
    <w:nsid w:val="79B73DC1"/>
    <w:multiLevelType w:val="multilevel"/>
    <w:tmpl w:val="B5784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D71193D"/>
    <w:multiLevelType w:val="hybridMultilevel"/>
    <w:tmpl w:val="C6F0704A"/>
    <w:lvl w:ilvl="0" w:tplc="4E1C1B02">
      <w:start w:val="1"/>
      <w:numFmt w:val="decimal"/>
      <w:lvlText w:val="%1)"/>
      <w:lvlJc w:val="left"/>
      <w:pPr>
        <w:ind w:left="720" w:hanging="360"/>
      </w:pPr>
      <w:rPr>
        <w:rFonts w:eastAsiaTheme="majorEastAsia" w:hint="default"/>
        <w:b w:val="0"/>
        <w:bCs/>
        <w:sz w:val="32"/>
        <w:szCs w:val="32"/>
      </w:rPr>
    </w:lvl>
    <w:lvl w:ilvl="1" w:tplc="379228B4">
      <w:start w:val="1"/>
      <w:numFmt w:val="decimal"/>
      <w:lvlText w:val="%2)"/>
      <w:lvlJc w:val="left"/>
      <w:pPr>
        <w:ind w:left="785" w:hanging="360"/>
      </w:pPr>
      <w:rPr>
        <w:rFonts w:eastAsiaTheme="majorEastAsia" w:hint="default"/>
        <w:b w:val="0"/>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7FAB20C2"/>
    <w:multiLevelType w:val="multilevel"/>
    <w:tmpl w:val="4516C4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FB50E83"/>
    <w:multiLevelType w:val="hybridMultilevel"/>
    <w:tmpl w:val="D31464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16826678">
    <w:abstractNumId w:val="5"/>
  </w:num>
  <w:num w:numId="2" w16cid:durableId="1351881297">
    <w:abstractNumId w:val="63"/>
  </w:num>
  <w:num w:numId="3" w16cid:durableId="1107116010">
    <w:abstractNumId w:val="8"/>
  </w:num>
  <w:num w:numId="4" w16cid:durableId="44572101">
    <w:abstractNumId w:val="67"/>
  </w:num>
  <w:num w:numId="5" w16cid:durableId="1999577724">
    <w:abstractNumId w:val="71"/>
  </w:num>
  <w:num w:numId="6" w16cid:durableId="730277617">
    <w:abstractNumId w:val="48"/>
  </w:num>
  <w:num w:numId="7" w16cid:durableId="686634900">
    <w:abstractNumId w:val="28"/>
  </w:num>
  <w:num w:numId="8" w16cid:durableId="489566864">
    <w:abstractNumId w:val="91"/>
  </w:num>
  <w:num w:numId="9" w16cid:durableId="152840107">
    <w:abstractNumId w:val="100"/>
  </w:num>
  <w:num w:numId="10" w16cid:durableId="906499823">
    <w:abstractNumId w:val="12"/>
  </w:num>
  <w:num w:numId="11" w16cid:durableId="1157301439">
    <w:abstractNumId w:val="40"/>
  </w:num>
  <w:num w:numId="12" w16cid:durableId="564030565">
    <w:abstractNumId w:val="30"/>
  </w:num>
  <w:num w:numId="13" w16cid:durableId="1864393913">
    <w:abstractNumId w:val="26"/>
  </w:num>
  <w:num w:numId="14" w16cid:durableId="602498165">
    <w:abstractNumId w:val="78"/>
  </w:num>
  <w:num w:numId="15" w16cid:durableId="1688365601">
    <w:abstractNumId w:val="37"/>
  </w:num>
  <w:num w:numId="16" w16cid:durableId="255944570">
    <w:abstractNumId w:val="87"/>
  </w:num>
  <w:num w:numId="17" w16cid:durableId="87234457">
    <w:abstractNumId w:val="13"/>
  </w:num>
  <w:num w:numId="18" w16cid:durableId="2025281478">
    <w:abstractNumId w:val="111"/>
  </w:num>
  <w:num w:numId="19" w16cid:durableId="2014986248">
    <w:abstractNumId w:val="110"/>
  </w:num>
  <w:num w:numId="20" w16cid:durableId="325061349">
    <w:abstractNumId w:val="52"/>
  </w:num>
  <w:num w:numId="21" w16cid:durableId="369914212">
    <w:abstractNumId w:val="16"/>
  </w:num>
  <w:num w:numId="22" w16cid:durableId="2059696854">
    <w:abstractNumId w:val="74"/>
  </w:num>
  <w:num w:numId="23" w16cid:durableId="1738236351">
    <w:abstractNumId w:val="49"/>
  </w:num>
  <w:num w:numId="24" w16cid:durableId="1016079239">
    <w:abstractNumId w:val="35"/>
  </w:num>
  <w:num w:numId="25" w16cid:durableId="889413532">
    <w:abstractNumId w:val="53"/>
  </w:num>
  <w:num w:numId="26" w16cid:durableId="722680063">
    <w:abstractNumId w:val="24"/>
  </w:num>
  <w:num w:numId="27" w16cid:durableId="675035868">
    <w:abstractNumId w:val="99"/>
  </w:num>
  <w:num w:numId="28" w16cid:durableId="1452171080">
    <w:abstractNumId w:val="39"/>
  </w:num>
  <w:num w:numId="29" w16cid:durableId="1068579071">
    <w:abstractNumId w:val="32"/>
  </w:num>
  <w:num w:numId="30" w16cid:durableId="978341576">
    <w:abstractNumId w:val="25"/>
  </w:num>
  <w:num w:numId="31" w16cid:durableId="1123772088">
    <w:abstractNumId w:val="90"/>
  </w:num>
  <w:num w:numId="32" w16cid:durableId="1240365166">
    <w:abstractNumId w:val="77"/>
  </w:num>
  <w:num w:numId="33" w16cid:durableId="1350528428">
    <w:abstractNumId w:val="54"/>
  </w:num>
  <w:num w:numId="34" w16cid:durableId="903415578">
    <w:abstractNumId w:val="45"/>
  </w:num>
  <w:num w:numId="35" w16cid:durableId="693194906">
    <w:abstractNumId w:val="84"/>
  </w:num>
  <w:num w:numId="36" w16cid:durableId="1261715043">
    <w:abstractNumId w:val="33"/>
  </w:num>
  <w:num w:numId="37" w16cid:durableId="1618945508">
    <w:abstractNumId w:val="80"/>
  </w:num>
  <w:num w:numId="38" w16cid:durableId="1176530175">
    <w:abstractNumId w:val="43"/>
  </w:num>
  <w:num w:numId="39" w16cid:durableId="1190605102">
    <w:abstractNumId w:val="2"/>
  </w:num>
  <w:num w:numId="40" w16cid:durableId="1817795115">
    <w:abstractNumId w:val="88"/>
  </w:num>
  <w:num w:numId="41" w16cid:durableId="1611624301">
    <w:abstractNumId w:val="102"/>
  </w:num>
  <w:num w:numId="42" w16cid:durableId="2122140510">
    <w:abstractNumId w:val="104"/>
  </w:num>
  <w:num w:numId="43" w16cid:durableId="688483136">
    <w:abstractNumId w:val="20"/>
  </w:num>
  <w:num w:numId="44" w16cid:durableId="1416710779">
    <w:abstractNumId w:val="89"/>
  </w:num>
  <w:num w:numId="45" w16cid:durableId="1653484579">
    <w:abstractNumId w:val="31"/>
  </w:num>
  <w:num w:numId="46" w16cid:durableId="864828121">
    <w:abstractNumId w:val="64"/>
  </w:num>
  <w:num w:numId="47" w16cid:durableId="309603093">
    <w:abstractNumId w:val="18"/>
  </w:num>
  <w:num w:numId="48" w16cid:durableId="1915427871">
    <w:abstractNumId w:val="96"/>
  </w:num>
  <w:num w:numId="49" w16cid:durableId="887303496">
    <w:abstractNumId w:val="19"/>
  </w:num>
  <w:num w:numId="50" w16cid:durableId="687633349">
    <w:abstractNumId w:val="34"/>
  </w:num>
  <w:num w:numId="51" w16cid:durableId="897016019">
    <w:abstractNumId w:val="7"/>
  </w:num>
  <w:num w:numId="52" w16cid:durableId="662978299">
    <w:abstractNumId w:val="3"/>
  </w:num>
  <w:num w:numId="53" w16cid:durableId="230193445">
    <w:abstractNumId w:val="105"/>
  </w:num>
  <w:num w:numId="54" w16cid:durableId="697658962">
    <w:abstractNumId w:val="82"/>
  </w:num>
  <w:num w:numId="55" w16cid:durableId="1240486069">
    <w:abstractNumId w:val="41"/>
  </w:num>
  <w:num w:numId="56" w16cid:durableId="2054040037">
    <w:abstractNumId w:val="44"/>
  </w:num>
  <w:num w:numId="57" w16cid:durableId="1338072965">
    <w:abstractNumId w:val="66"/>
  </w:num>
  <w:num w:numId="58" w16cid:durableId="1064447596">
    <w:abstractNumId w:val="106"/>
  </w:num>
  <w:num w:numId="59" w16cid:durableId="1979605987">
    <w:abstractNumId w:val="29"/>
  </w:num>
  <w:num w:numId="60" w16cid:durableId="854658881">
    <w:abstractNumId w:val="86"/>
  </w:num>
  <w:num w:numId="61" w16cid:durableId="1786734293">
    <w:abstractNumId w:val="57"/>
  </w:num>
  <w:num w:numId="62" w16cid:durableId="221605662">
    <w:abstractNumId w:val="68"/>
  </w:num>
  <w:num w:numId="63" w16cid:durableId="185677144">
    <w:abstractNumId w:val="107"/>
  </w:num>
  <w:num w:numId="64" w16cid:durableId="946930131">
    <w:abstractNumId w:val="21"/>
    <w:lvlOverride w:ilvl="0">
      <w:startOverride w:val="1"/>
    </w:lvlOverride>
    <w:lvlOverride w:ilvl="1"/>
    <w:lvlOverride w:ilvl="2"/>
    <w:lvlOverride w:ilvl="3"/>
    <w:lvlOverride w:ilvl="4"/>
    <w:lvlOverride w:ilvl="5"/>
    <w:lvlOverride w:ilvl="6"/>
    <w:lvlOverride w:ilvl="7"/>
    <w:lvlOverride w:ilvl="8"/>
  </w:num>
  <w:num w:numId="65" w16cid:durableId="48043452">
    <w:abstractNumId w:val="21"/>
  </w:num>
  <w:num w:numId="66" w16cid:durableId="1617441891">
    <w:abstractNumId w:val="61"/>
  </w:num>
  <w:num w:numId="67" w16cid:durableId="1876579178">
    <w:abstractNumId w:val="65"/>
  </w:num>
  <w:num w:numId="68" w16cid:durableId="2015375147">
    <w:abstractNumId w:val="85"/>
  </w:num>
  <w:num w:numId="69" w16cid:durableId="1056781041">
    <w:abstractNumId w:val="9"/>
  </w:num>
  <w:num w:numId="70" w16cid:durableId="1295451979">
    <w:abstractNumId w:val="83"/>
  </w:num>
  <w:num w:numId="71" w16cid:durableId="41447526">
    <w:abstractNumId w:val="55"/>
  </w:num>
  <w:num w:numId="72" w16cid:durableId="422460175">
    <w:abstractNumId w:val="72"/>
  </w:num>
  <w:num w:numId="73" w16cid:durableId="653728855">
    <w:abstractNumId w:val="1"/>
  </w:num>
  <w:num w:numId="74" w16cid:durableId="2068988570">
    <w:abstractNumId w:val="0"/>
  </w:num>
  <w:num w:numId="75" w16cid:durableId="1735619814">
    <w:abstractNumId w:val="93"/>
  </w:num>
  <w:num w:numId="76" w16cid:durableId="141699810">
    <w:abstractNumId w:val="81"/>
  </w:num>
  <w:num w:numId="77" w16cid:durableId="1068919561">
    <w:abstractNumId w:val="14"/>
  </w:num>
  <w:num w:numId="78" w16cid:durableId="976179191">
    <w:abstractNumId w:val="11"/>
  </w:num>
  <w:num w:numId="79" w16cid:durableId="1852136901">
    <w:abstractNumId w:val="46"/>
  </w:num>
  <w:num w:numId="80" w16cid:durableId="154343851">
    <w:abstractNumId w:val="6"/>
  </w:num>
  <w:num w:numId="81" w16cid:durableId="995380395">
    <w:abstractNumId w:val="10"/>
  </w:num>
  <w:num w:numId="82" w16cid:durableId="596450728">
    <w:abstractNumId w:val="98"/>
  </w:num>
  <w:num w:numId="83" w16cid:durableId="956065542">
    <w:abstractNumId w:val="36"/>
  </w:num>
  <w:num w:numId="84" w16cid:durableId="1397050655">
    <w:abstractNumId w:val="75"/>
  </w:num>
  <w:num w:numId="85" w16cid:durableId="464082864">
    <w:abstractNumId w:val="62"/>
  </w:num>
  <w:num w:numId="86" w16cid:durableId="2132236268">
    <w:abstractNumId w:val="79"/>
  </w:num>
  <w:num w:numId="87" w16cid:durableId="1696078653">
    <w:abstractNumId w:val="97"/>
  </w:num>
  <w:num w:numId="88" w16cid:durableId="1497264772">
    <w:abstractNumId w:val="101"/>
  </w:num>
  <w:num w:numId="89" w16cid:durableId="1222015974">
    <w:abstractNumId w:val="4"/>
  </w:num>
  <w:num w:numId="90" w16cid:durableId="545682614">
    <w:abstractNumId w:val="59"/>
  </w:num>
  <w:num w:numId="91" w16cid:durableId="1580485485">
    <w:abstractNumId w:val="50"/>
  </w:num>
  <w:num w:numId="92" w16cid:durableId="2121489541">
    <w:abstractNumId w:val="69"/>
  </w:num>
  <w:num w:numId="93" w16cid:durableId="528301035">
    <w:abstractNumId w:val="23"/>
  </w:num>
  <w:num w:numId="94" w16cid:durableId="1933854281">
    <w:abstractNumId w:val="108"/>
  </w:num>
  <w:num w:numId="95" w16cid:durableId="747849394">
    <w:abstractNumId w:val="38"/>
  </w:num>
  <w:num w:numId="96" w16cid:durableId="1792046654">
    <w:abstractNumId w:val="95"/>
  </w:num>
  <w:num w:numId="97" w16cid:durableId="1845780869">
    <w:abstractNumId w:val="92"/>
  </w:num>
  <w:num w:numId="98" w16cid:durableId="977030741">
    <w:abstractNumId w:val="76"/>
  </w:num>
  <w:num w:numId="99" w16cid:durableId="751397162">
    <w:abstractNumId w:val="56"/>
  </w:num>
  <w:num w:numId="100" w16cid:durableId="1977099741">
    <w:abstractNumId w:val="73"/>
  </w:num>
  <w:num w:numId="101" w16cid:durableId="1909419514">
    <w:abstractNumId w:val="94"/>
  </w:num>
  <w:num w:numId="102" w16cid:durableId="376123014">
    <w:abstractNumId w:val="60"/>
  </w:num>
  <w:num w:numId="103" w16cid:durableId="580480319">
    <w:abstractNumId w:val="58"/>
  </w:num>
  <w:num w:numId="104" w16cid:durableId="485561238">
    <w:abstractNumId w:val="22"/>
  </w:num>
  <w:num w:numId="105" w16cid:durableId="538593562">
    <w:abstractNumId w:val="70"/>
  </w:num>
  <w:num w:numId="106" w16cid:durableId="1372460224">
    <w:abstractNumId w:val="103"/>
  </w:num>
  <w:num w:numId="107" w16cid:durableId="1371225150">
    <w:abstractNumId w:val="17"/>
  </w:num>
  <w:num w:numId="108" w16cid:durableId="482628187">
    <w:abstractNumId w:val="51"/>
  </w:num>
  <w:num w:numId="109" w16cid:durableId="1830242435">
    <w:abstractNumId w:val="15"/>
  </w:num>
  <w:num w:numId="110" w16cid:durableId="1759061971">
    <w:abstractNumId w:val="109"/>
  </w:num>
  <w:num w:numId="111" w16cid:durableId="1997104050">
    <w:abstractNumId w:val="47"/>
  </w:num>
  <w:num w:numId="112" w16cid:durableId="529682901">
    <w:abstractNumId w:val="42"/>
  </w:num>
  <w:num w:numId="113" w16cid:durableId="98824417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0CB"/>
    <w:rsid w:val="00004292"/>
    <w:rsid w:val="00021536"/>
    <w:rsid w:val="0003501F"/>
    <w:rsid w:val="00042498"/>
    <w:rsid w:val="00044F32"/>
    <w:rsid w:val="00045F69"/>
    <w:rsid w:val="00054753"/>
    <w:rsid w:val="0007237C"/>
    <w:rsid w:val="000A2B03"/>
    <w:rsid w:val="000B5AB0"/>
    <w:rsid w:val="000C183B"/>
    <w:rsid w:val="000D34DA"/>
    <w:rsid w:val="000D4102"/>
    <w:rsid w:val="000E5565"/>
    <w:rsid w:val="000F32A9"/>
    <w:rsid w:val="00112CE3"/>
    <w:rsid w:val="00123AC6"/>
    <w:rsid w:val="0013374E"/>
    <w:rsid w:val="00134AD8"/>
    <w:rsid w:val="0013680C"/>
    <w:rsid w:val="00141484"/>
    <w:rsid w:val="001421CB"/>
    <w:rsid w:val="001473D6"/>
    <w:rsid w:val="001954EF"/>
    <w:rsid w:val="001A002F"/>
    <w:rsid w:val="001B3C88"/>
    <w:rsid w:val="001B4C76"/>
    <w:rsid w:val="001B59C1"/>
    <w:rsid w:val="001B6BE0"/>
    <w:rsid w:val="001C5D93"/>
    <w:rsid w:val="001D37F8"/>
    <w:rsid w:val="001E0356"/>
    <w:rsid w:val="001E61F8"/>
    <w:rsid w:val="001F42E5"/>
    <w:rsid w:val="00213FCC"/>
    <w:rsid w:val="00221CD9"/>
    <w:rsid w:val="00223134"/>
    <w:rsid w:val="00226608"/>
    <w:rsid w:val="002312AF"/>
    <w:rsid w:val="002367A0"/>
    <w:rsid w:val="00254B75"/>
    <w:rsid w:val="00260EE9"/>
    <w:rsid w:val="00267F3D"/>
    <w:rsid w:val="00270EC6"/>
    <w:rsid w:val="00280594"/>
    <w:rsid w:val="002A338F"/>
    <w:rsid w:val="002B023C"/>
    <w:rsid w:val="002E30C2"/>
    <w:rsid w:val="002F06F0"/>
    <w:rsid w:val="00301613"/>
    <w:rsid w:val="00304A55"/>
    <w:rsid w:val="00316EC7"/>
    <w:rsid w:val="003279CF"/>
    <w:rsid w:val="00331420"/>
    <w:rsid w:val="00341B1E"/>
    <w:rsid w:val="003928E8"/>
    <w:rsid w:val="00394F6D"/>
    <w:rsid w:val="003B7621"/>
    <w:rsid w:val="003C2682"/>
    <w:rsid w:val="00422B52"/>
    <w:rsid w:val="004236C6"/>
    <w:rsid w:val="004520C1"/>
    <w:rsid w:val="00455284"/>
    <w:rsid w:val="004A7EDB"/>
    <w:rsid w:val="004C27C2"/>
    <w:rsid w:val="004E5E21"/>
    <w:rsid w:val="004E7192"/>
    <w:rsid w:val="005253A7"/>
    <w:rsid w:val="0053528C"/>
    <w:rsid w:val="00535B22"/>
    <w:rsid w:val="005510D1"/>
    <w:rsid w:val="00561B63"/>
    <w:rsid w:val="00562E51"/>
    <w:rsid w:val="00577466"/>
    <w:rsid w:val="00581C45"/>
    <w:rsid w:val="0059131B"/>
    <w:rsid w:val="00591E90"/>
    <w:rsid w:val="005A291C"/>
    <w:rsid w:val="005A3CA0"/>
    <w:rsid w:val="005B7C30"/>
    <w:rsid w:val="005C5B95"/>
    <w:rsid w:val="005D5DA2"/>
    <w:rsid w:val="005D64DD"/>
    <w:rsid w:val="005D64E4"/>
    <w:rsid w:val="005D6680"/>
    <w:rsid w:val="005D7327"/>
    <w:rsid w:val="005E0899"/>
    <w:rsid w:val="005F666E"/>
    <w:rsid w:val="006160CB"/>
    <w:rsid w:val="00616D40"/>
    <w:rsid w:val="00636197"/>
    <w:rsid w:val="006455ED"/>
    <w:rsid w:val="0068182D"/>
    <w:rsid w:val="0069194B"/>
    <w:rsid w:val="00692F26"/>
    <w:rsid w:val="006A481F"/>
    <w:rsid w:val="006D63D8"/>
    <w:rsid w:val="00723A89"/>
    <w:rsid w:val="007251F2"/>
    <w:rsid w:val="00764D08"/>
    <w:rsid w:val="00766152"/>
    <w:rsid w:val="00786D48"/>
    <w:rsid w:val="007958E2"/>
    <w:rsid w:val="007A369F"/>
    <w:rsid w:val="007A67C2"/>
    <w:rsid w:val="007B350F"/>
    <w:rsid w:val="007C19C9"/>
    <w:rsid w:val="007C371F"/>
    <w:rsid w:val="007C4BEE"/>
    <w:rsid w:val="007C694D"/>
    <w:rsid w:val="007C7914"/>
    <w:rsid w:val="00820FB1"/>
    <w:rsid w:val="00833BCD"/>
    <w:rsid w:val="00855E4E"/>
    <w:rsid w:val="00861775"/>
    <w:rsid w:val="00874296"/>
    <w:rsid w:val="008802CE"/>
    <w:rsid w:val="008813EF"/>
    <w:rsid w:val="00883BD3"/>
    <w:rsid w:val="008A0FFA"/>
    <w:rsid w:val="008B1EB6"/>
    <w:rsid w:val="008B3D66"/>
    <w:rsid w:val="008D6DE5"/>
    <w:rsid w:val="008E7428"/>
    <w:rsid w:val="008F6533"/>
    <w:rsid w:val="0090086B"/>
    <w:rsid w:val="0090435B"/>
    <w:rsid w:val="00905CDB"/>
    <w:rsid w:val="00914F7F"/>
    <w:rsid w:val="009221B0"/>
    <w:rsid w:val="00945293"/>
    <w:rsid w:val="009B4B6D"/>
    <w:rsid w:val="009D01BD"/>
    <w:rsid w:val="009D043A"/>
    <w:rsid w:val="009D7BA0"/>
    <w:rsid w:val="009E4182"/>
    <w:rsid w:val="009F193B"/>
    <w:rsid w:val="009F3FF9"/>
    <w:rsid w:val="00A02194"/>
    <w:rsid w:val="00A03957"/>
    <w:rsid w:val="00A072D3"/>
    <w:rsid w:val="00A1229A"/>
    <w:rsid w:val="00A2218F"/>
    <w:rsid w:val="00A258B7"/>
    <w:rsid w:val="00A45E46"/>
    <w:rsid w:val="00A47731"/>
    <w:rsid w:val="00A7365E"/>
    <w:rsid w:val="00A73FDA"/>
    <w:rsid w:val="00A74497"/>
    <w:rsid w:val="00A76005"/>
    <w:rsid w:val="00A768AA"/>
    <w:rsid w:val="00A77A00"/>
    <w:rsid w:val="00A85AB3"/>
    <w:rsid w:val="00A90631"/>
    <w:rsid w:val="00A93BFF"/>
    <w:rsid w:val="00AA0AF8"/>
    <w:rsid w:val="00AA79FC"/>
    <w:rsid w:val="00AD17AB"/>
    <w:rsid w:val="00AD4A91"/>
    <w:rsid w:val="00AE23F5"/>
    <w:rsid w:val="00AF0FE9"/>
    <w:rsid w:val="00B074B7"/>
    <w:rsid w:val="00B20E88"/>
    <w:rsid w:val="00B3343F"/>
    <w:rsid w:val="00B343B0"/>
    <w:rsid w:val="00B34478"/>
    <w:rsid w:val="00B37564"/>
    <w:rsid w:val="00B44F65"/>
    <w:rsid w:val="00B93E0D"/>
    <w:rsid w:val="00B96727"/>
    <w:rsid w:val="00BA60C5"/>
    <w:rsid w:val="00BB6B3F"/>
    <w:rsid w:val="00BC74DA"/>
    <w:rsid w:val="00BE1083"/>
    <w:rsid w:val="00BE1F0F"/>
    <w:rsid w:val="00BF56C4"/>
    <w:rsid w:val="00BF6650"/>
    <w:rsid w:val="00C11D81"/>
    <w:rsid w:val="00C127EA"/>
    <w:rsid w:val="00C163C1"/>
    <w:rsid w:val="00C4276B"/>
    <w:rsid w:val="00C43618"/>
    <w:rsid w:val="00C43EA2"/>
    <w:rsid w:val="00C574B4"/>
    <w:rsid w:val="00C671F5"/>
    <w:rsid w:val="00C80FBF"/>
    <w:rsid w:val="00C90053"/>
    <w:rsid w:val="00C97AF4"/>
    <w:rsid w:val="00CA0718"/>
    <w:rsid w:val="00CC0DCB"/>
    <w:rsid w:val="00CC2A37"/>
    <w:rsid w:val="00CD1986"/>
    <w:rsid w:val="00CE265E"/>
    <w:rsid w:val="00CF2795"/>
    <w:rsid w:val="00D264B9"/>
    <w:rsid w:val="00D46337"/>
    <w:rsid w:val="00D47A78"/>
    <w:rsid w:val="00D641B3"/>
    <w:rsid w:val="00D643CC"/>
    <w:rsid w:val="00D6634B"/>
    <w:rsid w:val="00D9415E"/>
    <w:rsid w:val="00DA1AFC"/>
    <w:rsid w:val="00DD72B4"/>
    <w:rsid w:val="00DE46EC"/>
    <w:rsid w:val="00DF0323"/>
    <w:rsid w:val="00E1240C"/>
    <w:rsid w:val="00E12DD9"/>
    <w:rsid w:val="00E33700"/>
    <w:rsid w:val="00E45046"/>
    <w:rsid w:val="00E56647"/>
    <w:rsid w:val="00E676E3"/>
    <w:rsid w:val="00E70E87"/>
    <w:rsid w:val="00E92B10"/>
    <w:rsid w:val="00E94011"/>
    <w:rsid w:val="00E95A56"/>
    <w:rsid w:val="00EA6969"/>
    <w:rsid w:val="00EB2FAA"/>
    <w:rsid w:val="00EB4994"/>
    <w:rsid w:val="00EC519F"/>
    <w:rsid w:val="00EF6158"/>
    <w:rsid w:val="00F01D30"/>
    <w:rsid w:val="00F02ECD"/>
    <w:rsid w:val="00F042C2"/>
    <w:rsid w:val="00F1616D"/>
    <w:rsid w:val="00F44E94"/>
    <w:rsid w:val="00F702A1"/>
    <w:rsid w:val="00F72A67"/>
    <w:rsid w:val="00F84D93"/>
    <w:rsid w:val="00FA3322"/>
    <w:rsid w:val="00FC1F7D"/>
    <w:rsid w:val="00FF02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1DE09"/>
  <w15:chartTrackingRefBased/>
  <w15:docId w15:val="{24C4A845-72BA-46EA-BDF4-F00560714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60CB"/>
    <w:rPr>
      <w:kern w:val="0"/>
      <w14:ligatures w14:val="none"/>
    </w:rPr>
  </w:style>
  <w:style w:type="paragraph" w:styleId="1">
    <w:name w:val="heading 1"/>
    <w:basedOn w:val="a"/>
    <w:next w:val="a"/>
    <w:link w:val="1Char"/>
    <w:uiPriority w:val="9"/>
    <w:qFormat/>
    <w:rsid w:val="006160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6160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6160C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6160C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6160C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160C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160C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160C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160C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160C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6160C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6160CB"/>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6160CB"/>
    <w:rPr>
      <w:rFonts w:eastAsiaTheme="majorEastAsia" w:cstheme="majorBidi"/>
      <w:i/>
      <w:iCs/>
      <w:color w:val="2F5496" w:themeColor="accent1" w:themeShade="BF"/>
    </w:rPr>
  </w:style>
  <w:style w:type="character" w:customStyle="1" w:styleId="5Char">
    <w:name w:val="عنوان 5 Char"/>
    <w:basedOn w:val="a0"/>
    <w:link w:val="5"/>
    <w:uiPriority w:val="9"/>
    <w:rsid w:val="006160CB"/>
    <w:rPr>
      <w:rFonts w:eastAsiaTheme="majorEastAsia" w:cstheme="majorBidi"/>
      <w:color w:val="2F5496" w:themeColor="accent1" w:themeShade="BF"/>
    </w:rPr>
  </w:style>
  <w:style w:type="character" w:customStyle="1" w:styleId="6Char">
    <w:name w:val="عنوان 6 Char"/>
    <w:basedOn w:val="a0"/>
    <w:link w:val="6"/>
    <w:uiPriority w:val="9"/>
    <w:semiHidden/>
    <w:rsid w:val="006160CB"/>
    <w:rPr>
      <w:rFonts w:eastAsiaTheme="majorEastAsia" w:cstheme="majorBidi"/>
      <w:i/>
      <w:iCs/>
      <w:color w:val="595959" w:themeColor="text1" w:themeTint="A6"/>
    </w:rPr>
  </w:style>
  <w:style w:type="character" w:customStyle="1" w:styleId="7Char">
    <w:name w:val="عنوان 7 Char"/>
    <w:basedOn w:val="a0"/>
    <w:link w:val="7"/>
    <w:uiPriority w:val="9"/>
    <w:semiHidden/>
    <w:rsid w:val="006160CB"/>
    <w:rPr>
      <w:rFonts w:eastAsiaTheme="majorEastAsia" w:cstheme="majorBidi"/>
      <w:color w:val="595959" w:themeColor="text1" w:themeTint="A6"/>
    </w:rPr>
  </w:style>
  <w:style w:type="character" w:customStyle="1" w:styleId="8Char">
    <w:name w:val="عنوان 8 Char"/>
    <w:basedOn w:val="a0"/>
    <w:link w:val="8"/>
    <w:uiPriority w:val="9"/>
    <w:semiHidden/>
    <w:rsid w:val="006160CB"/>
    <w:rPr>
      <w:rFonts w:eastAsiaTheme="majorEastAsia" w:cstheme="majorBidi"/>
      <w:i/>
      <w:iCs/>
      <w:color w:val="272727" w:themeColor="text1" w:themeTint="D8"/>
    </w:rPr>
  </w:style>
  <w:style w:type="character" w:customStyle="1" w:styleId="9Char">
    <w:name w:val="عنوان 9 Char"/>
    <w:basedOn w:val="a0"/>
    <w:link w:val="9"/>
    <w:uiPriority w:val="9"/>
    <w:semiHidden/>
    <w:rsid w:val="006160CB"/>
    <w:rPr>
      <w:rFonts w:eastAsiaTheme="majorEastAsia" w:cstheme="majorBidi"/>
      <w:color w:val="272727" w:themeColor="text1" w:themeTint="D8"/>
    </w:rPr>
  </w:style>
  <w:style w:type="paragraph" w:styleId="a3">
    <w:name w:val="Title"/>
    <w:basedOn w:val="a"/>
    <w:next w:val="a"/>
    <w:link w:val="Char"/>
    <w:uiPriority w:val="10"/>
    <w:qFormat/>
    <w:rsid w:val="006160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160C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160C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160C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160CB"/>
    <w:pPr>
      <w:spacing w:before="160"/>
      <w:jc w:val="center"/>
    </w:pPr>
    <w:rPr>
      <w:i/>
      <w:iCs/>
      <w:color w:val="404040" w:themeColor="text1" w:themeTint="BF"/>
    </w:rPr>
  </w:style>
  <w:style w:type="character" w:customStyle="1" w:styleId="Char1">
    <w:name w:val="اقتباس Char"/>
    <w:basedOn w:val="a0"/>
    <w:link w:val="a5"/>
    <w:uiPriority w:val="29"/>
    <w:rsid w:val="006160CB"/>
    <w:rPr>
      <w:i/>
      <w:iCs/>
      <w:color w:val="404040" w:themeColor="text1" w:themeTint="BF"/>
    </w:rPr>
  </w:style>
  <w:style w:type="paragraph" w:styleId="a6">
    <w:name w:val="List Paragraph"/>
    <w:aliases w:val="List Paragraph1,NumberedList,Use Case List Paragraph Char,Use Case List Paragraph,Bulletted,lp1,lp11,lp1CxSpLast,YC Bulet,Primus H 3,Bullet List,FooterText,numbered,Paragraphe de liste1,Bulletr List Paragraph,列出段落,列出段落1,عنوان رئيسي"/>
    <w:basedOn w:val="a"/>
    <w:link w:val="Char2"/>
    <w:uiPriority w:val="34"/>
    <w:qFormat/>
    <w:rsid w:val="006160CB"/>
    <w:pPr>
      <w:ind w:left="720"/>
      <w:contextualSpacing/>
    </w:pPr>
  </w:style>
  <w:style w:type="character" w:styleId="a7">
    <w:name w:val="Intense Emphasis"/>
    <w:basedOn w:val="a0"/>
    <w:uiPriority w:val="21"/>
    <w:qFormat/>
    <w:rsid w:val="006160CB"/>
    <w:rPr>
      <w:i/>
      <w:iCs/>
      <w:color w:val="2F5496" w:themeColor="accent1" w:themeShade="BF"/>
    </w:rPr>
  </w:style>
  <w:style w:type="paragraph" w:styleId="a8">
    <w:name w:val="Intense Quote"/>
    <w:basedOn w:val="a"/>
    <w:next w:val="a"/>
    <w:link w:val="Char3"/>
    <w:uiPriority w:val="30"/>
    <w:qFormat/>
    <w:rsid w:val="006160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6160CB"/>
    <w:rPr>
      <w:i/>
      <w:iCs/>
      <w:color w:val="2F5496" w:themeColor="accent1" w:themeShade="BF"/>
    </w:rPr>
  </w:style>
  <w:style w:type="character" w:styleId="a9">
    <w:name w:val="Intense Reference"/>
    <w:basedOn w:val="a0"/>
    <w:uiPriority w:val="32"/>
    <w:qFormat/>
    <w:rsid w:val="006160CB"/>
    <w:rPr>
      <w:b/>
      <w:bCs/>
      <w:smallCaps/>
      <w:color w:val="2F5496" w:themeColor="accent1" w:themeShade="BF"/>
      <w:spacing w:val="5"/>
    </w:rPr>
  </w:style>
  <w:style w:type="table" w:styleId="aa">
    <w:name w:val="Table Grid"/>
    <w:basedOn w:val="a1"/>
    <w:uiPriority w:val="39"/>
    <w:rsid w:val="006160C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List Paragraph1 Char,NumberedList Char,Use Case List Paragraph Char Char,Use Case List Paragraph Char1,Bulletted Char,lp1 Char,lp11 Char,lp1CxSpLast Char,YC Bulet Char,Primus H 3 Char,Bullet List Char,FooterText Char,numbered Char"/>
    <w:link w:val="a6"/>
    <w:uiPriority w:val="34"/>
    <w:qFormat/>
    <w:locked/>
    <w:rsid w:val="006160CB"/>
  </w:style>
  <w:style w:type="paragraph" w:styleId="ab">
    <w:name w:val="Normal (Web)"/>
    <w:basedOn w:val="a"/>
    <w:uiPriority w:val="99"/>
    <w:unhideWhenUsed/>
    <w:rsid w:val="00F161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s-markdown-paragraph">
    <w:name w:val="ds-markdown-paragraph"/>
    <w:basedOn w:val="a"/>
    <w:rsid w:val="007251F2"/>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7251F2"/>
    <w:rPr>
      <w:b/>
      <w:bCs/>
    </w:rPr>
  </w:style>
  <w:style w:type="character" w:styleId="Hyperlink">
    <w:name w:val="Hyperlink"/>
    <w:basedOn w:val="a0"/>
    <w:uiPriority w:val="99"/>
    <w:unhideWhenUsed/>
    <w:rsid w:val="00B20E88"/>
    <w:rPr>
      <w:color w:val="0563C1" w:themeColor="hyperlink"/>
      <w:u w:val="single"/>
    </w:rPr>
  </w:style>
  <w:style w:type="character" w:styleId="ad">
    <w:name w:val="Unresolved Mention"/>
    <w:basedOn w:val="a0"/>
    <w:uiPriority w:val="99"/>
    <w:semiHidden/>
    <w:unhideWhenUsed/>
    <w:rsid w:val="00B20E88"/>
    <w:rPr>
      <w:color w:val="605E5C"/>
      <w:shd w:val="clear" w:color="auto" w:fill="E1DFDD"/>
    </w:rPr>
  </w:style>
  <w:style w:type="character" w:styleId="HTMLCode">
    <w:name w:val="HTML Code"/>
    <w:basedOn w:val="a0"/>
    <w:uiPriority w:val="99"/>
    <w:semiHidden/>
    <w:unhideWhenUsed/>
    <w:rsid w:val="00B20E88"/>
    <w:rPr>
      <w:rFonts w:ascii="Courier New" w:eastAsia="Times New Roman" w:hAnsi="Courier New" w:cs="Courier New"/>
      <w:sz w:val="20"/>
      <w:szCs w:val="20"/>
    </w:rPr>
  </w:style>
  <w:style w:type="character" w:styleId="ae">
    <w:name w:val="Emphasis"/>
    <w:basedOn w:val="a0"/>
    <w:uiPriority w:val="20"/>
    <w:qFormat/>
    <w:rsid w:val="005D64DD"/>
    <w:rPr>
      <w:i/>
      <w:iCs/>
    </w:rPr>
  </w:style>
  <w:style w:type="character" w:styleId="af">
    <w:name w:val="annotation reference"/>
    <w:basedOn w:val="a0"/>
    <w:uiPriority w:val="99"/>
    <w:semiHidden/>
    <w:unhideWhenUsed/>
    <w:rsid w:val="00535B22"/>
    <w:rPr>
      <w:sz w:val="16"/>
      <w:szCs w:val="16"/>
    </w:rPr>
  </w:style>
  <w:style w:type="paragraph" w:styleId="af0">
    <w:name w:val="annotation text"/>
    <w:basedOn w:val="a"/>
    <w:link w:val="Char4"/>
    <w:uiPriority w:val="99"/>
    <w:semiHidden/>
    <w:unhideWhenUsed/>
    <w:rsid w:val="00535B22"/>
    <w:pPr>
      <w:spacing w:line="240" w:lineRule="auto"/>
    </w:pPr>
    <w:rPr>
      <w:sz w:val="20"/>
      <w:szCs w:val="20"/>
    </w:rPr>
  </w:style>
  <w:style w:type="character" w:customStyle="1" w:styleId="Char4">
    <w:name w:val="نص تعليق Char"/>
    <w:basedOn w:val="a0"/>
    <w:link w:val="af0"/>
    <w:uiPriority w:val="99"/>
    <w:semiHidden/>
    <w:rsid w:val="00535B22"/>
    <w:rPr>
      <w:kern w:val="0"/>
      <w:sz w:val="20"/>
      <w:szCs w:val="20"/>
      <w14:ligatures w14:val="none"/>
    </w:rPr>
  </w:style>
  <w:style w:type="paragraph" w:styleId="af1">
    <w:name w:val="annotation subject"/>
    <w:basedOn w:val="af0"/>
    <w:next w:val="af0"/>
    <w:link w:val="Char5"/>
    <w:uiPriority w:val="99"/>
    <w:semiHidden/>
    <w:unhideWhenUsed/>
    <w:rsid w:val="00535B22"/>
    <w:rPr>
      <w:b/>
      <w:bCs/>
    </w:rPr>
  </w:style>
  <w:style w:type="character" w:customStyle="1" w:styleId="Char5">
    <w:name w:val="موضوع تعليق Char"/>
    <w:basedOn w:val="Char4"/>
    <w:link w:val="af1"/>
    <w:uiPriority w:val="99"/>
    <w:semiHidden/>
    <w:rsid w:val="00535B22"/>
    <w:rPr>
      <w:b/>
      <w:bCs/>
      <w:kern w:val="0"/>
      <w:sz w:val="20"/>
      <w:szCs w:val="20"/>
      <w14:ligatures w14:val="none"/>
    </w:rPr>
  </w:style>
  <w:style w:type="character" w:styleId="af2">
    <w:name w:val="FollowedHyperlink"/>
    <w:basedOn w:val="a0"/>
    <w:uiPriority w:val="99"/>
    <w:semiHidden/>
    <w:unhideWhenUsed/>
    <w:rsid w:val="00581C45"/>
    <w:rPr>
      <w:color w:val="954F72" w:themeColor="followedHyperlink"/>
      <w:u w:val="single"/>
    </w:rPr>
  </w:style>
  <w:style w:type="paragraph" w:styleId="af3">
    <w:name w:val="header"/>
    <w:basedOn w:val="a"/>
    <w:link w:val="Char6"/>
    <w:uiPriority w:val="99"/>
    <w:unhideWhenUsed/>
    <w:rsid w:val="00581C45"/>
    <w:pPr>
      <w:tabs>
        <w:tab w:val="center" w:pos="4153"/>
        <w:tab w:val="right" w:pos="8306"/>
      </w:tabs>
      <w:bidi/>
      <w:spacing w:after="0" w:line="240" w:lineRule="auto"/>
      <w:ind w:firstLine="386"/>
      <w:jc w:val="both"/>
    </w:pPr>
    <w:rPr>
      <w:rFonts w:ascii="Simplified Arabic" w:hAnsi="Simplified Arabic" w:cs="Simplified Arabic"/>
      <w:kern w:val="2"/>
      <w:sz w:val="28"/>
      <w:szCs w:val="28"/>
      <w:lang w:bidi="ar-JO"/>
      <w14:ligatures w14:val="standardContextual"/>
    </w:rPr>
  </w:style>
  <w:style w:type="character" w:customStyle="1" w:styleId="Char6">
    <w:name w:val="رأس الصفحة Char"/>
    <w:basedOn w:val="a0"/>
    <w:link w:val="af3"/>
    <w:uiPriority w:val="99"/>
    <w:rsid w:val="00581C45"/>
    <w:rPr>
      <w:rFonts w:ascii="Simplified Arabic" w:hAnsi="Simplified Arabic" w:cs="Simplified Arabic"/>
      <w:sz w:val="28"/>
      <w:szCs w:val="28"/>
      <w:lang w:bidi="ar-JO"/>
    </w:rPr>
  </w:style>
  <w:style w:type="paragraph" w:styleId="af4">
    <w:name w:val="footer"/>
    <w:basedOn w:val="a"/>
    <w:link w:val="Char7"/>
    <w:uiPriority w:val="99"/>
    <w:unhideWhenUsed/>
    <w:rsid w:val="00581C45"/>
    <w:pPr>
      <w:tabs>
        <w:tab w:val="center" w:pos="4153"/>
        <w:tab w:val="right" w:pos="8306"/>
      </w:tabs>
      <w:bidi/>
      <w:spacing w:after="0" w:line="240" w:lineRule="auto"/>
      <w:ind w:firstLine="386"/>
      <w:jc w:val="both"/>
    </w:pPr>
    <w:rPr>
      <w:rFonts w:ascii="Simplified Arabic" w:hAnsi="Simplified Arabic" w:cs="Simplified Arabic"/>
      <w:kern w:val="2"/>
      <w:sz w:val="28"/>
      <w:szCs w:val="28"/>
      <w:lang w:bidi="ar-JO"/>
      <w14:ligatures w14:val="standardContextual"/>
    </w:rPr>
  </w:style>
  <w:style w:type="character" w:customStyle="1" w:styleId="Char7">
    <w:name w:val="تذييل الصفحة Char"/>
    <w:basedOn w:val="a0"/>
    <w:link w:val="af4"/>
    <w:uiPriority w:val="99"/>
    <w:rsid w:val="00581C45"/>
    <w:rPr>
      <w:rFonts w:ascii="Simplified Arabic" w:hAnsi="Simplified Arabic" w:cs="Simplified Arabic"/>
      <w:sz w:val="28"/>
      <w:szCs w:val="28"/>
      <w:lang w:bidi="ar-JO"/>
    </w:rPr>
  </w:style>
  <w:style w:type="paragraph" w:styleId="HTML">
    <w:name w:val="HTML Preformatted"/>
    <w:basedOn w:val="a"/>
    <w:link w:val="HTMLChar"/>
    <w:uiPriority w:val="99"/>
    <w:semiHidden/>
    <w:unhideWhenUsed/>
    <w:rsid w:val="00581C45"/>
    <w:pPr>
      <w:bidi/>
      <w:spacing w:after="0" w:line="240" w:lineRule="auto"/>
      <w:ind w:firstLine="386"/>
      <w:jc w:val="both"/>
    </w:pPr>
    <w:rPr>
      <w:rFonts w:ascii="Consolas" w:hAnsi="Consolas" w:cs="Simplified Arabic"/>
      <w:kern w:val="2"/>
      <w:sz w:val="20"/>
      <w:szCs w:val="20"/>
      <w:lang w:bidi="ar-JO"/>
      <w14:ligatures w14:val="standardContextual"/>
    </w:rPr>
  </w:style>
  <w:style w:type="character" w:customStyle="1" w:styleId="HTMLChar">
    <w:name w:val="بتنسيق HTML مسبق Char"/>
    <w:basedOn w:val="a0"/>
    <w:link w:val="HTML"/>
    <w:uiPriority w:val="99"/>
    <w:semiHidden/>
    <w:rsid w:val="00581C45"/>
    <w:rPr>
      <w:rFonts w:ascii="Consolas" w:hAnsi="Consolas" w:cs="Simplified Arabic"/>
      <w:sz w:val="20"/>
      <w:szCs w:val="20"/>
      <w:lang w:bidi="ar-JO"/>
    </w:rPr>
  </w:style>
  <w:style w:type="paragraph" w:styleId="af5">
    <w:name w:val="TOC Heading"/>
    <w:basedOn w:val="1"/>
    <w:next w:val="a"/>
    <w:uiPriority w:val="39"/>
    <w:unhideWhenUsed/>
    <w:rsid w:val="00581C45"/>
    <w:pPr>
      <w:spacing w:before="0" w:after="0"/>
      <w:outlineLvl w:val="9"/>
    </w:pPr>
    <w:rPr>
      <w:rFonts w:ascii="Simplified Arabic" w:hAnsi="Simplified Arabic" w:cs="Simplified Arabic"/>
      <w:b/>
      <w:bCs/>
      <w:color w:val="auto"/>
      <w:sz w:val="36"/>
      <w:szCs w:val="36"/>
    </w:rPr>
  </w:style>
  <w:style w:type="paragraph" w:styleId="20">
    <w:name w:val="toc 2"/>
    <w:basedOn w:val="a"/>
    <w:next w:val="a"/>
    <w:autoRedefine/>
    <w:uiPriority w:val="39"/>
    <w:unhideWhenUsed/>
    <w:rsid w:val="00581C45"/>
    <w:pPr>
      <w:tabs>
        <w:tab w:val="right" w:leader="dot" w:pos="8777"/>
      </w:tabs>
      <w:bidi/>
      <w:spacing w:after="100" w:line="240" w:lineRule="auto"/>
      <w:ind w:left="280" w:firstLine="386"/>
      <w:jc w:val="both"/>
    </w:pPr>
    <w:rPr>
      <w:rFonts w:ascii="Simplified Arabic" w:hAnsi="Simplified Arabic" w:cs="Simplified Arabic"/>
      <w:noProof/>
      <w:kern w:val="2"/>
      <w:sz w:val="28"/>
      <w:szCs w:val="28"/>
      <w:lang w:bidi="ar-EG"/>
      <w14:ligatures w14:val="standardContextual"/>
    </w:rPr>
  </w:style>
  <w:style w:type="paragraph" w:styleId="10">
    <w:name w:val="toc 1"/>
    <w:basedOn w:val="a"/>
    <w:next w:val="a"/>
    <w:autoRedefine/>
    <w:uiPriority w:val="39"/>
    <w:unhideWhenUsed/>
    <w:rsid w:val="00581C45"/>
    <w:pPr>
      <w:bidi/>
      <w:spacing w:after="100" w:line="360" w:lineRule="auto"/>
      <w:ind w:firstLine="386"/>
      <w:jc w:val="both"/>
    </w:pPr>
    <w:rPr>
      <w:rFonts w:ascii="Simplified Arabic" w:hAnsi="Simplified Arabic" w:cs="Simplified Arabic"/>
      <w:kern w:val="2"/>
      <w:sz w:val="28"/>
      <w:szCs w:val="28"/>
      <w:lang w:bidi="ar-JO"/>
      <w14:ligatures w14:val="standardContextual"/>
    </w:rPr>
  </w:style>
  <w:style w:type="paragraph" w:styleId="30">
    <w:name w:val="toc 3"/>
    <w:basedOn w:val="a"/>
    <w:next w:val="a"/>
    <w:autoRedefine/>
    <w:uiPriority w:val="39"/>
    <w:unhideWhenUsed/>
    <w:rsid w:val="00581C45"/>
    <w:pPr>
      <w:bidi/>
      <w:spacing w:after="100" w:line="360" w:lineRule="auto"/>
      <w:ind w:left="560" w:firstLine="386"/>
      <w:jc w:val="both"/>
    </w:pPr>
    <w:rPr>
      <w:rFonts w:ascii="Simplified Arabic" w:hAnsi="Simplified Arabic" w:cs="Simplified Arabic"/>
      <w:kern w:val="2"/>
      <w:sz w:val="28"/>
      <w:szCs w:val="28"/>
      <w:lang w:bidi="ar-JO"/>
      <w14:ligatures w14:val="standardContextual"/>
    </w:rPr>
  </w:style>
  <w:style w:type="numbering" w:customStyle="1" w:styleId="NoList1">
    <w:name w:val="No List1"/>
    <w:next w:val="a2"/>
    <w:uiPriority w:val="99"/>
    <w:semiHidden/>
    <w:unhideWhenUsed/>
    <w:rsid w:val="00581C45"/>
  </w:style>
  <w:style w:type="paragraph" w:styleId="af6">
    <w:name w:val="No Spacing"/>
    <w:basedOn w:val="1"/>
    <w:uiPriority w:val="1"/>
    <w:qFormat/>
    <w:rsid w:val="00581C45"/>
    <w:pPr>
      <w:keepNext w:val="0"/>
      <w:keepLines w:val="0"/>
      <w:spacing w:before="0" w:after="200" w:line="240" w:lineRule="auto"/>
      <w:jc w:val="both"/>
    </w:pPr>
    <w:rPr>
      <w:rFonts w:asciiTheme="majorBidi" w:eastAsiaTheme="minorEastAsia" w:hAnsiTheme="majorBidi"/>
      <w:color w:val="auto"/>
      <w:sz w:val="24"/>
      <w:szCs w:val="24"/>
      <w:lang w:bidi="ar-JO"/>
    </w:rPr>
  </w:style>
  <w:style w:type="character" w:customStyle="1" w:styleId="UnresolvedMention1">
    <w:name w:val="Unresolved Mention1"/>
    <w:basedOn w:val="a0"/>
    <w:uiPriority w:val="99"/>
    <w:semiHidden/>
    <w:unhideWhenUsed/>
    <w:rsid w:val="00581C45"/>
    <w:rPr>
      <w:color w:val="605E5C"/>
      <w:shd w:val="clear" w:color="auto" w:fill="E1DFDD"/>
    </w:rPr>
  </w:style>
  <w:style w:type="table" w:customStyle="1" w:styleId="TableGrid1">
    <w:name w:val="Table Grid1"/>
    <w:basedOn w:val="a1"/>
    <w:next w:val="aa"/>
    <w:uiPriority w:val="59"/>
    <w:rsid w:val="00581C45"/>
    <w:pPr>
      <w:spacing w:after="0" w:line="240" w:lineRule="auto"/>
    </w:pPr>
    <w:rPr>
      <w:rFonts w:eastAsiaTheme="minorEastAsia"/>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7">
    <w:name w:val="footnote text"/>
    <w:aliases w:val="Char,نص حاشية سفلية Char Char,نص حاشية سفلية Char Char Char Char Char Char Char Char,نص حاشية سفلية Char Char Char Char Char Char Char,نص حاشية سفلية Char Char Char Char Char Char"/>
    <w:basedOn w:val="a"/>
    <w:link w:val="Char8"/>
    <w:uiPriority w:val="99"/>
    <w:unhideWhenUsed/>
    <w:rsid w:val="00581C45"/>
    <w:pPr>
      <w:bidi/>
      <w:spacing w:after="0" w:line="240" w:lineRule="auto"/>
      <w:ind w:firstLine="142"/>
      <w:jc w:val="both"/>
    </w:pPr>
    <w:rPr>
      <w:rFonts w:ascii="Simplified Arabic" w:eastAsiaTheme="minorEastAsia" w:hAnsi="Simplified Arabic" w:cs="Simplified Arabic"/>
      <w:sz w:val="20"/>
      <w:szCs w:val="20"/>
    </w:rPr>
  </w:style>
  <w:style w:type="character" w:customStyle="1" w:styleId="Char8">
    <w:name w:val="نص حاشية سفلية Char"/>
    <w:aliases w:val="Char Char,نص حاشية سفلية Char Char Char,نص حاشية سفلية Char Char Char Char Char Char Char Char Char,نص حاشية سفلية Char Char Char Char Char Char Char Char1,نص حاشية سفلية Char Char Char Char Char Char Char1"/>
    <w:basedOn w:val="a0"/>
    <w:link w:val="af7"/>
    <w:uiPriority w:val="99"/>
    <w:rsid w:val="00581C45"/>
    <w:rPr>
      <w:rFonts w:ascii="Simplified Arabic" w:eastAsiaTheme="minorEastAsia" w:hAnsi="Simplified Arabic" w:cs="Simplified Arabic"/>
      <w:kern w:val="0"/>
      <w:sz w:val="20"/>
      <w:szCs w:val="20"/>
      <w14:ligatures w14:val="none"/>
    </w:rPr>
  </w:style>
  <w:style w:type="character" w:styleId="af8">
    <w:name w:val="footnote reference"/>
    <w:aliases w:val="(Footnote Reference)"/>
    <w:basedOn w:val="a0"/>
    <w:uiPriority w:val="99"/>
    <w:semiHidden/>
    <w:unhideWhenUsed/>
    <w:rsid w:val="00581C45"/>
    <w:rPr>
      <w:vertAlign w:val="superscript"/>
    </w:rPr>
  </w:style>
  <w:style w:type="character" w:customStyle="1" w:styleId="given-name">
    <w:name w:val="given-name"/>
    <w:basedOn w:val="a0"/>
    <w:rsid w:val="00591E90"/>
  </w:style>
  <w:style w:type="character" w:customStyle="1" w:styleId="text">
    <w:name w:val="text"/>
    <w:basedOn w:val="a0"/>
    <w:rsid w:val="00591E90"/>
  </w:style>
  <w:style w:type="paragraph" w:customStyle="1" w:styleId="msonormal0">
    <w:name w:val="msonormal"/>
    <w:basedOn w:val="a"/>
    <w:rsid w:val="000B5A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s-05">
    <w:name w:val="ms-0.5"/>
    <w:basedOn w:val="a0"/>
    <w:rsid w:val="000B5A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5539/jel.v11n4p200" TargetMode="External"/><Relationship Id="rId21" Type="http://schemas.openxmlformats.org/officeDocument/2006/relationships/hyperlink" Target="https://mc.spsa.shj.ae" TargetMode="External"/><Relationship Id="rId42" Type="http://schemas.openxmlformats.org/officeDocument/2006/relationships/hyperlink" Target="https://doi.org/10.1086/714339" TargetMode="External"/><Relationship Id="rId47" Type="http://schemas.openxmlformats.org/officeDocument/2006/relationships/hyperlink" Target="https://doi.org/10.1016/j.jbi.2009.07.002" TargetMode="External"/><Relationship Id="rId63" Type="http://schemas.openxmlformats.org/officeDocument/2006/relationships/hyperlink" Target="https://doi.org/10.3390/ijerph16122125" TargetMode="External"/><Relationship Id="rId68" Type="http://schemas.openxmlformats.org/officeDocument/2006/relationships/hyperlink" Target="https://builtin.com/artificial-intelligence" TargetMode="External"/><Relationship Id="rId84" Type="http://schemas.openxmlformats.org/officeDocument/2006/relationships/hyperlink" Target="https://doi.org/10.1111/j.1539-6924.2010.01470.x" TargetMode="External"/><Relationship Id="rId16" Type="http://schemas.openxmlformats.org/officeDocument/2006/relationships/hyperlink" Target="https://mawdoo3.com/" TargetMode="External"/><Relationship Id="rId11" Type="http://schemas.openxmlformats.org/officeDocument/2006/relationships/hyperlink" Target="https://doi.org/10.21608/masf.2023.211396.1052" TargetMode="External"/><Relationship Id="rId32" Type="http://schemas.openxmlformats.org/officeDocument/2006/relationships/hyperlink" Target="https://doi.org/10.34306/atm.v8i1.632" TargetMode="External"/><Relationship Id="rId37" Type="http://schemas.openxmlformats.org/officeDocument/2006/relationships/hyperlink" Target="https://doi.org/10.1016/j.jmoneco.2020.08.003" TargetMode="External"/><Relationship Id="rId53" Type="http://schemas.openxmlformats.org/officeDocument/2006/relationships/hyperlink" Target="https://doi.org/10.1016/j.dsx.2020.04.041" TargetMode="External"/><Relationship Id="rId58" Type="http://schemas.openxmlformats.org/officeDocument/2006/relationships/hyperlink" Target="https://doi.org/10.3390/w14091384" TargetMode="External"/><Relationship Id="rId74" Type="http://schemas.openxmlformats.org/officeDocument/2006/relationships/hyperlink" Target="https://doi.org/10.1177/2631454120913211" TargetMode="External"/><Relationship Id="rId79" Type="http://schemas.openxmlformats.org/officeDocument/2006/relationships/hyperlink" Target="https://doi.org/10.2307/30036540" TargetMode="External"/><Relationship Id="rId5" Type="http://schemas.openxmlformats.org/officeDocument/2006/relationships/footnotes" Target="footnotes.xml"/><Relationship Id="rId19" Type="http://schemas.openxmlformats.org/officeDocument/2006/relationships/hyperlink" Target="https://hu.edu.jo/Risk_management.pdf" TargetMode="External"/><Relationship Id="rId14" Type="http://schemas.openxmlformats.org/officeDocument/2006/relationships/hyperlink" Target="https://www.tadwiina.com/" TargetMode="External"/><Relationship Id="rId22" Type="http://schemas.openxmlformats.org/officeDocument/2006/relationships/hyperlink" Target="https://www.moh.gov.sa/Ministry/Statistics/book/Documents/Statistical-Yearbook-2022.pdf" TargetMode="External"/><Relationship Id="rId27" Type="http://schemas.openxmlformats.org/officeDocument/2006/relationships/hyperlink" Target="https://doi.org/10.21070/jas.v5i2.1313" TargetMode="External"/><Relationship Id="rId30" Type="http://schemas.openxmlformats.org/officeDocument/2006/relationships/hyperlink" Target="https://doi.org/10.1186/s12889-023-16114-8" TargetMode="External"/><Relationship Id="rId35" Type="http://schemas.openxmlformats.org/officeDocument/2006/relationships/hyperlink" Target="https://doi.org/10.1055/s-0039-1677907" TargetMode="External"/><Relationship Id="rId43" Type="http://schemas.openxmlformats.org/officeDocument/2006/relationships/hyperlink" Target="https://doi.org/10.4314/ejhs.v33i5.8" TargetMode="External"/><Relationship Id="rId48" Type="http://schemas.openxmlformats.org/officeDocument/2006/relationships/hyperlink" Target="https://doi.org/10.21511/ppm.15(2-2).2017.05" TargetMode="External"/><Relationship Id="rId56" Type="http://schemas.openxmlformats.org/officeDocument/2006/relationships/hyperlink" Target="https://doi.org/10.3390/ijerph18010271" TargetMode="External"/><Relationship Id="rId64" Type="http://schemas.openxmlformats.org/officeDocument/2006/relationships/hyperlink" Target="https://doi.org/10.1016/j.ijproman.2016.08.002" TargetMode="External"/><Relationship Id="rId69" Type="http://schemas.openxmlformats.org/officeDocument/2006/relationships/hyperlink" Target="https://doi.org/10.1108/JOCM-01-2024-0021" TargetMode="External"/><Relationship Id="rId77" Type="http://schemas.openxmlformats.org/officeDocument/2006/relationships/hyperlink" Target="https://www.techtarget.com/" TargetMode="External"/><Relationship Id="rId8" Type="http://schemas.openxmlformats.org/officeDocument/2006/relationships/image" Target="media/image2.png"/><Relationship Id="rId51" Type="http://schemas.openxmlformats.org/officeDocument/2006/relationships/hyperlink" Target="https://www.investopedia.com/" TargetMode="External"/><Relationship Id="rId72" Type="http://schemas.openxmlformats.org/officeDocument/2006/relationships/hyperlink" Target="https://doi.org/10.1080/10803548.2018.1534416" TargetMode="External"/><Relationship Id="rId80" Type="http://schemas.openxmlformats.org/officeDocument/2006/relationships/hyperlink" Target="https://verisys.com/" TargetMode="External"/><Relationship Id="rId85" Type="http://schemas.openxmlformats.org/officeDocument/2006/relationships/hyperlink" Target="https://doi.org/10.1088/1755-1315/315/2/022023" TargetMode="External"/><Relationship Id="rId3" Type="http://schemas.openxmlformats.org/officeDocument/2006/relationships/settings" Target="settings.xml"/><Relationship Id="rId12" Type="http://schemas.openxmlformats.org/officeDocument/2006/relationships/hyperlink" Target="https://sotor.com/" TargetMode="External"/><Relationship Id="rId17" Type="http://schemas.openxmlformats.org/officeDocument/2006/relationships/hyperlink" Target="https://www.mah6at.net/" TargetMode="External"/><Relationship Id="rId25" Type="http://schemas.openxmlformats.org/officeDocument/2006/relationships/hyperlink" Target="https://doi.org/10.1108/JMD-02-2020-0062" TargetMode="External"/><Relationship Id="rId33" Type="http://schemas.openxmlformats.org/officeDocument/2006/relationships/hyperlink" Target="https://doi.org/10.1007/s11229-018-01936-5" TargetMode="External"/><Relationship Id="rId38" Type="http://schemas.openxmlformats.org/officeDocument/2006/relationships/hyperlink" Target="https://doi.org/10.1080/07421222.2003.11045748" TargetMode="External"/><Relationship Id="rId46" Type="http://schemas.openxmlformats.org/officeDocument/2006/relationships/hyperlink" Target="https://doi.org/10.1016/j.sintl.2021.100117" TargetMode="External"/><Relationship Id="rId59" Type="http://schemas.openxmlformats.org/officeDocument/2006/relationships/hyperlink" Target="https://whatfix.com/blog/organizational-development" TargetMode="External"/><Relationship Id="rId67" Type="http://schemas.openxmlformats.org/officeDocument/2006/relationships/hyperlink" Target="https://doi.org/10.3390/su13020872" TargetMode="External"/><Relationship Id="rId20" Type="http://schemas.openxmlformats.org/officeDocument/2006/relationships/hyperlink" Target="https://www.emro.who.int" TargetMode="External"/><Relationship Id="rId41" Type="http://schemas.openxmlformats.org/officeDocument/2006/relationships/hyperlink" Target="https://doi.org/10.1080/13669877.2017.1351470" TargetMode="External"/><Relationship Id="rId54" Type="http://schemas.openxmlformats.org/officeDocument/2006/relationships/hyperlink" Target="https://doi.org/10.1016/j.ssci.2024.106591" TargetMode="External"/><Relationship Id="rId62" Type="http://schemas.openxmlformats.org/officeDocument/2006/relationships/hyperlink" Target="https://doi.org/10.5812/jjhs.104560" TargetMode="External"/><Relationship Id="rId70" Type="http://schemas.openxmlformats.org/officeDocument/2006/relationships/hyperlink" Target="https://doi.org/10.1007/s44250-024-00163-w" TargetMode="External"/><Relationship Id="rId75" Type="http://schemas.openxmlformats.org/officeDocument/2006/relationships/hyperlink" Target="https://doi.org/10.1038/s41746-020-0221-y" TargetMode="External"/><Relationship Id="rId83" Type="http://schemas.openxmlformats.org/officeDocument/2006/relationships/hyperlink" Target="https://doi.org/10.1016/j.ress.2023.109712"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aabu.edu.jo" TargetMode="External"/><Relationship Id="rId23" Type="http://schemas.openxmlformats.org/officeDocument/2006/relationships/hyperlink" Target="https://doi.org/10.4103/0976-0105.183265" TargetMode="External"/><Relationship Id="rId28" Type="http://schemas.openxmlformats.org/officeDocument/2006/relationships/hyperlink" Target="https://doi.org/10.1088/1755-1315/1101/1/012017" TargetMode="External"/><Relationship Id="rId36" Type="http://schemas.openxmlformats.org/officeDocument/2006/relationships/hyperlink" Target="https://doi.org/10.47391/JPMA.70.5.457" TargetMode="External"/><Relationship Id="rId49" Type="http://schemas.openxmlformats.org/officeDocument/2006/relationships/hyperlink" Target="https://www.iso.org/standard/65694.html" TargetMode="External"/><Relationship Id="rId57" Type="http://schemas.openxmlformats.org/officeDocument/2006/relationships/hyperlink" Target="https://doi.org/10.1016/j.techfore.2023.123124" TargetMode="External"/><Relationship Id="rId10" Type="http://schemas.openxmlformats.org/officeDocument/2006/relationships/image" Target="media/image3.emf"/><Relationship Id="rId31" Type="http://schemas.openxmlformats.org/officeDocument/2006/relationships/hyperlink" Target="https://doi.org/10.1037/0022-3514.51.6.1173" TargetMode="External"/><Relationship Id="rId44" Type="http://schemas.openxmlformats.org/officeDocument/2006/relationships/hyperlink" Target="https://doi.org/10.53894/ijirss.v4i3.73" TargetMode="External"/><Relationship Id="rId52" Type="http://schemas.openxmlformats.org/officeDocument/2006/relationships/hyperlink" Target="https://doi.org/10.1088/1757-899X/451/1/012198" TargetMode="External"/><Relationship Id="rId60" Type="http://schemas.openxmlformats.org/officeDocument/2006/relationships/hyperlink" Target="https://whatfix.com/" TargetMode="External"/><Relationship Id="rId65" Type="http://schemas.openxmlformats.org/officeDocument/2006/relationships/hyperlink" Target="https://doi.org/10.1108/JWL-05-2021-0063" TargetMode="External"/><Relationship Id="rId73" Type="http://schemas.openxmlformats.org/officeDocument/2006/relationships/hyperlink" Target="https://doi.org/10.2307/256865" TargetMode="External"/><Relationship Id="rId78" Type="http://schemas.openxmlformats.org/officeDocument/2006/relationships/hyperlink" Target="https://doi.org/10.1016/j.promfg.2017.07.248" TargetMode="External"/><Relationship Id="rId81" Type="http://schemas.openxmlformats.org/officeDocument/2006/relationships/hyperlink" Target="https://www.who.int/publications/i/item/9789240066762" TargetMode="External"/><Relationship Id="rId86" Type="http://schemas.openxmlformats.org/officeDocument/2006/relationships/footer" Target="footer1.xml"/><Relationship Id="rId4" Type="http://schemas.openxmlformats.org/officeDocument/2006/relationships/webSettings" Target="webSettings.xml"/><Relationship Id="rId9" Type="http://schemas.microsoft.com/office/2007/relationships/hdphoto" Target="media/hdphoto1.wdp"/><Relationship Id="rId13" Type="http://schemas.openxmlformats.org/officeDocument/2006/relationships/hyperlink" Target="https://www.aleqt.com/" TargetMode="External"/><Relationship Id="rId18" Type="http://schemas.openxmlformats.org/officeDocument/2006/relationships/hyperlink" Target="https://doi.org/10.21608/jlr.2025.397416.1774" TargetMode="External"/><Relationship Id="rId39" Type="http://schemas.openxmlformats.org/officeDocument/2006/relationships/hyperlink" Target="https://doi.org/10.24251/HICSS.2022.655" TargetMode="External"/><Relationship Id="rId34" Type="http://schemas.openxmlformats.org/officeDocument/2006/relationships/hyperlink" Target="https://doi.org/10.1080/13669877.2014.910685" TargetMode="External"/><Relationship Id="rId50" Type="http://schemas.openxmlformats.org/officeDocument/2006/relationships/hyperlink" Target="https://doi.org/10.1016/j.jfineco.2020.09.008" TargetMode="External"/><Relationship Id="rId55" Type="http://schemas.openxmlformats.org/officeDocument/2006/relationships/hyperlink" Target="https://doi.org/10.1037/tra0000768" TargetMode="External"/><Relationship Id="rId76" Type="http://schemas.openxmlformats.org/officeDocument/2006/relationships/hyperlink" Target="https://doi.org/10.1016/j.procs.2010.12.033" TargetMode="External"/><Relationship Id="rId7" Type="http://schemas.openxmlformats.org/officeDocument/2006/relationships/image" Target="media/image1.png"/><Relationship Id="rId71" Type="http://schemas.openxmlformats.org/officeDocument/2006/relationships/hyperlink" Target="https://doi.org/10.1108/JOCM-07-2023-0254" TargetMode="External"/><Relationship Id="rId2" Type="http://schemas.openxmlformats.org/officeDocument/2006/relationships/styles" Target="styles.xml"/><Relationship Id="rId29" Type="http://schemas.openxmlformats.org/officeDocument/2006/relationships/hyperlink" Target="https://doi.org/10.1016/j.jik.2022.100215" TargetMode="External"/><Relationship Id="rId24" Type="http://schemas.openxmlformats.org/officeDocument/2006/relationships/hyperlink" Target="https://doi.org/10.1016/j.fcij.2017.11.001" TargetMode="External"/><Relationship Id="rId40" Type="http://schemas.openxmlformats.org/officeDocument/2006/relationships/hyperlink" Target="https://doi.org/10.1080/1331677X.2020.1844582" TargetMode="External"/><Relationship Id="rId45" Type="http://schemas.openxmlformats.org/officeDocument/2006/relationships/hyperlink" Target="https://doi.org/10.1016/j.sintl.2021.100117" TargetMode="External"/><Relationship Id="rId66" Type="http://schemas.openxmlformats.org/officeDocument/2006/relationships/hyperlink" Target="https://doi.org/10.1108/SL-10-2017-0096" TargetMode="External"/><Relationship Id="rId87" Type="http://schemas.openxmlformats.org/officeDocument/2006/relationships/fontTable" Target="fontTable.xml"/><Relationship Id="rId61" Type="http://schemas.openxmlformats.org/officeDocument/2006/relationships/hyperlink" Target="https://doi.org/10.1016/j.jksuci.2019.09.001" TargetMode="External"/><Relationship Id="rId82" Type="http://schemas.openxmlformats.org/officeDocument/2006/relationships/hyperlink" Target="https://www.who.int/emergencies/surveillance/early-warning-alert-and-response-system-ewars/?utm_source=chatgpt.com"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3537</TotalTime>
  <Pages>43</Pages>
  <Words>12237</Words>
  <Characters>69757</Characters>
  <Application>Microsoft Office Word</Application>
  <DocSecurity>0</DocSecurity>
  <Lines>581</Lines>
  <Paragraphs>163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31</cp:revision>
  <dcterms:created xsi:type="dcterms:W3CDTF">2026-02-24T18:11:00Z</dcterms:created>
  <dcterms:modified xsi:type="dcterms:W3CDTF">2026-03-31T10:57:00Z</dcterms:modified>
</cp:coreProperties>
</file>