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0" w:type="auto"/>
        <w:tblLook w:val="0000" w:firstRow="0" w:lastRow="0" w:firstColumn="0" w:lastColumn="0" w:noHBand="0" w:noVBand="0"/>
      </w:tblPr>
      <w:tblGrid>
        <w:gridCol w:w="2268"/>
        <w:gridCol w:w="6236"/>
      </w:tblGrid>
      <w:tr w:rsidR="004A04FB" w:rsidRPr="00BC50C9" w14:paraId="06B68A2C" w14:textId="77777777" w:rsidTr="008730DE">
        <w:tc>
          <w:tcPr>
            <w:tcW w:w="2268" w:type="dxa"/>
            <w:vAlign w:val="center"/>
          </w:tcPr>
          <w:p w14:paraId="49A5BB8A" w14:textId="079F724D" w:rsidR="004A04FB" w:rsidRPr="00BC50C9" w:rsidRDefault="004A04FB" w:rsidP="00BC50C9">
            <w:pPr>
              <w:bidi/>
              <w:spacing w:before="120" w:after="120" w:line="240" w:lineRule="auto"/>
              <w:jc w:val="center"/>
              <w:rPr>
                <w:rFonts w:ascii="Times New Roman" w:hAnsi="Times New Roman" w:cs="Simplified Arabic"/>
                <w:b/>
                <w:bCs/>
                <w:kern w:val="2"/>
                <w:sz w:val="24"/>
                <w:szCs w:val="28"/>
                <w:lang w:bidi="ar-EG"/>
                <w14:ligatures w14:val="standardContextual"/>
              </w:rPr>
            </w:pPr>
            <w:r w:rsidRPr="00BC50C9">
              <w:rPr>
                <w:rFonts w:ascii="Times New Roman" w:hAnsi="Times New Roman" w:cs="Simplified Arabic"/>
                <w:b/>
                <w:bCs/>
                <w:kern w:val="2"/>
                <w:sz w:val="24"/>
                <w:szCs w:val="28"/>
                <w:rtl/>
                <w:lang w:bidi="ar-EG"/>
                <w14:ligatures w14:val="standardContextual"/>
              </w:rPr>
              <w:t xml:space="preserve">جامعة </w:t>
            </w:r>
            <w:proofErr w:type="spellStart"/>
            <w:r w:rsidRPr="00BC50C9">
              <w:rPr>
                <w:rFonts w:ascii="Times New Roman" w:hAnsi="Times New Roman" w:cs="Simplified Arabic"/>
                <w:b/>
                <w:bCs/>
                <w:kern w:val="2"/>
                <w:sz w:val="24"/>
                <w:szCs w:val="28"/>
                <w:rtl/>
                <w:lang w:bidi="ar-EG"/>
                <w14:ligatures w14:val="standardContextual"/>
              </w:rPr>
              <w:t>ميدأوشن</w:t>
            </w:r>
            <w:proofErr w:type="spellEnd"/>
          </w:p>
          <w:p w14:paraId="76187E76" w14:textId="0AF0AC9F" w:rsidR="004A04FB" w:rsidRPr="00BC50C9" w:rsidRDefault="004A04FB" w:rsidP="00BC50C9">
            <w:pPr>
              <w:bidi/>
              <w:spacing w:before="120" w:after="120" w:line="240" w:lineRule="auto"/>
              <w:jc w:val="center"/>
              <w:rPr>
                <w:rFonts w:ascii="Times New Roman" w:hAnsi="Times New Roman" w:cs="Simplified Arabic"/>
                <w:b/>
                <w:bCs/>
                <w:kern w:val="2"/>
                <w:sz w:val="24"/>
                <w:szCs w:val="28"/>
                <w:lang w:bidi="ar-EG"/>
                <w14:ligatures w14:val="standardContextual"/>
              </w:rPr>
            </w:pPr>
            <w:r w:rsidRPr="00BC50C9">
              <w:rPr>
                <w:rFonts w:ascii="Times New Roman" w:hAnsi="Times New Roman" w:cs="Simplified Arabic"/>
                <w:b/>
                <w:bCs/>
                <w:kern w:val="2"/>
                <w:sz w:val="24"/>
                <w:szCs w:val="28"/>
                <w:rtl/>
                <w:lang w:bidi="ar-EG"/>
                <w14:ligatures w14:val="standardContextual"/>
              </w:rPr>
              <w:t>كلية الريادة</w:t>
            </w:r>
          </w:p>
          <w:p w14:paraId="66C466C3" w14:textId="6C3154FD" w:rsidR="004A04FB" w:rsidRPr="00BC50C9" w:rsidRDefault="004A04FB" w:rsidP="00BC50C9">
            <w:pPr>
              <w:bidi/>
              <w:spacing w:before="120" w:after="120" w:line="240" w:lineRule="auto"/>
              <w:jc w:val="center"/>
              <w:rPr>
                <w:rFonts w:ascii="Times New Roman" w:hAnsi="Times New Roman" w:cs="Simplified Arabic"/>
                <w:b/>
                <w:bCs/>
                <w:sz w:val="24"/>
                <w:szCs w:val="28"/>
                <w:rtl/>
              </w:rPr>
            </w:pPr>
            <w:r w:rsidRPr="00BC50C9">
              <w:rPr>
                <w:rFonts w:ascii="Times New Roman" w:hAnsi="Times New Roman" w:cs="Simplified Arabic"/>
                <w:b/>
                <w:bCs/>
                <w:kern w:val="2"/>
                <w:sz w:val="24"/>
                <w:szCs w:val="28"/>
                <w:rtl/>
                <w:lang w:bidi="ar-EG"/>
                <w14:ligatures w14:val="standardContextual"/>
              </w:rPr>
              <w:t xml:space="preserve">ماجستير ريادة </w:t>
            </w:r>
            <w:r w:rsidR="00310F00">
              <w:rPr>
                <w:rFonts w:ascii="Times New Roman" w:hAnsi="Times New Roman" w:cs="Simplified Arabic" w:hint="cs"/>
                <w:b/>
                <w:bCs/>
                <w:kern w:val="2"/>
                <w:sz w:val="24"/>
                <w:szCs w:val="28"/>
                <w:rtl/>
                <w:lang w:bidi="ar-EG"/>
                <w14:ligatures w14:val="standardContextual"/>
              </w:rPr>
              <w:t>الا</w:t>
            </w:r>
            <w:r w:rsidRPr="00BC50C9">
              <w:rPr>
                <w:rFonts w:ascii="Times New Roman" w:hAnsi="Times New Roman" w:cs="Simplified Arabic"/>
                <w:b/>
                <w:bCs/>
                <w:kern w:val="2"/>
                <w:sz w:val="24"/>
                <w:szCs w:val="28"/>
                <w:rtl/>
                <w:lang w:bidi="ar-EG"/>
                <w14:ligatures w14:val="standardContextual"/>
              </w:rPr>
              <w:t>عمال</w:t>
            </w:r>
          </w:p>
        </w:tc>
        <w:tc>
          <w:tcPr>
            <w:tcW w:w="6236" w:type="dxa"/>
          </w:tcPr>
          <w:p w14:paraId="17A742B3" w14:textId="3F4CBD96" w:rsidR="004A04FB" w:rsidRPr="00BC50C9" w:rsidRDefault="004A04FB" w:rsidP="00BC50C9">
            <w:pPr>
              <w:bidi/>
              <w:spacing w:before="120" w:after="120" w:line="240" w:lineRule="auto"/>
              <w:jc w:val="right"/>
              <w:rPr>
                <w:rFonts w:ascii="Times New Roman" w:hAnsi="Times New Roman" w:cs="Simplified Arabic"/>
                <w:b/>
                <w:bCs/>
                <w:sz w:val="24"/>
                <w:szCs w:val="28"/>
                <w:rtl/>
              </w:rPr>
            </w:pPr>
            <w:r w:rsidRPr="00BC50C9">
              <w:rPr>
                <w:rFonts w:ascii="Times New Roman" w:hAnsi="Times New Roman" w:cs="Simplified Arabic"/>
                <w:noProof/>
                <w:sz w:val="24"/>
                <w:szCs w:val="28"/>
              </w:rPr>
              <w:drawing>
                <wp:inline distT="0" distB="0" distL="0" distR="0" wp14:anchorId="7E11E86C" wp14:editId="439015C7">
                  <wp:extent cx="2352675" cy="952500"/>
                  <wp:effectExtent l="0" t="0" r="9525" b="0"/>
                  <wp:docPr id="16461398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39823" name=""/>
                          <pic:cNvPicPr/>
                        </pic:nvPicPr>
                        <pic:blipFill>
                          <a:blip r:embed="rId8"/>
                          <a:stretch>
                            <a:fillRect/>
                          </a:stretch>
                        </pic:blipFill>
                        <pic:spPr>
                          <a:xfrm>
                            <a:off x="0" y="0"/>
                            <a:ext cx="2352675" cy="952500"/>
                          </a:xfrm>
                          <a:prstGeom prst="rect">
                            <a:avLst/>
                          </a:prstGeom>
                        </pic:spPr>
                      </pic:pic>
                    </a:graphicData>
                  </a:graphic>
                </wp:inline>
              </w:drawing>
            </w:r>
          </w:p>
        </w:tc>
      </w:tr>
    </w:tbl>
    <w:p w14:paraId="3C29F633" w14:textId="77777777" w:rsidR="004A04FB" w:rsidRPr="00BC50C9" w:rsidRDefault="004A04FB" w:rsidP="00BC50C9">
      <w:pPr>
        <w:bidi/>
        <w:spacing w:before="120" w:after="120" w:line="240" w:lineRule="auto"/>
        <w:rPr>
          <w:rFonts w:ascii="Times New Roman" w:hAnsi="Times New Roman" w:cs="Simplified Arabic"/>
          <w:b/>
          <w:bCs/>
          <w:sz w:val="24"/>
          <w:szCs w:val="28"/>
          <w:rtl/>
        </w:rPr>
      </w:pPr>
    </w:p>
    <w:p w14:paraId="00DA792E" w14:textId="77777777" w:rsidR="00225550" w:rsidRPr="00BC50C9" w:rsidRDefault="00225550" w:rsidP="00BC50C9">
      <w:pPr>
        <w:bidi/>
        <w:spacing w:before="120" w:after="120" w:line="240" w:lineRule="auto"/>
        <w:jc w:val="center"/>
        <w:rPr>
          <w:rFonts w:ascii="Times New Roman" w:hAnsi="Times New Roman" w:cs="Simplified Arabic"/>
          <w:b/>
          <w:bCs/>
          <w:sz w:val="24"/>
          <w:szCs w:val="28"/>
          <w:rtl/>
        </w:rPr>
      </w:pPr>
    </w:p>
    <w:p w14:paraId="3BD90E39" w14:textId="0B4C1551" w:rsidR="001224C2" w:rsidRDefault="00C60855" w:rsidP="00BC50C9">
      <w:pPr>
        <w:bidi/>
        <w:spacing w:before="120" w:after="120" w:line="240" w:lineRule="auto"/>
        <w:jc w:val="center"/>
        <w:rPr>
          <w:rFonts w:ascii="Times New Roman" w:hAnsi="Times New Roman" w:cs="Simplified Arabic"/>
          <w:b/>
          <w:bCs/>
          <w:kern w:val="2"/>
          <w:sz w:val="32"/>
          <w:szCs w:val="36"/>
          <w:rtl/>
          <w:lang w:bidi="ar-EG"/>
          <w14:ligatures w14:val="standardContextual"/>
        </w:rPr>
      </w:pPr>
      <w:r w:rsidRPr="00140C49">
        <w:rPr>
          <w:rFonts w:ascii="Times New Roman" w:hAnsi="Times New Roman" w:cs="Simplified Arabic"/>
          <w:b/>
          <w:bCs/>
          <w:kern w:val="2"/>
          <w:sz w:val="32"/>
          <w:szCs w:val="36"/>
          <w:rtl/>
          <w:lang w:bidi="ar-EG"/>
          <w14:ligatures w14:val="standardContextual"/>
        </w:rPr>
        <w:t xml:space="preserve">استراتيجيه مقترحه لتطوير منصة الكترونية معتمدة على التمويل التشاركي لدعم المشاريع الريادية </w:t>
      </w:r>
      <w:r w:rsidRPr="00140C49">
        <w:rPr>
          <w:rFonts w:ascii="Times New Roman" w:hAnsi="Times New Roman" w:cs="Simplified Arabic" w:hint="cs"/>
          <w:b/>
          <w:bCs/>
          <w:kern w:val="2"/>
          <w:sz w:val="32"/>
          <w:szCs w:val="36"/>
          <w:rtl/>
          <w:lang w:bidi="ar-EG"/>
          <w14:ligatures w14:val="standardContextual"/>
        </w:rPr>
        <w:t>وتعزيز</w:t>
      </w:r>
      <w:r w:rsidRPr="00140C49">
        <w:rPr>
          <w:rFonts w:ascii="Times New Roman" w:hAnsi="Times New Roman" w:cs="Simplified Arabic"/>
          <w:b/>
          <w:bCs/>
          <w:kern w:val="2"/>
          <w:sz w:val="32"/>
          <w:szCs w:val="36"/>
          <w:rtl/>
          <w:lang w:bidi="ar-EG"/>
          <w14:ligatures w14:val="standardContextual"/>
        </w:rPr>
        <w:t xml:space="preserve"> </w:t>
      </w:r>
      <w:r w:rsidRPr="00140C49">
        <w:rPr>
          <w:rFonts w:ascii="Times New Roman" w:hAnsi="Times New Roman" w:cs="Simplified Arabic" w:hint="cs"/>
          <w:b/>
          <w:bCs/>
          <w:kern w:val="2"/>
          <w:sz w:val="32"/>
          <w:szCs w:val="36"/>
          <w:rtl/>
          <w:lang w:bidi="ar-EG"/>
          <w14:ligatures w14:val="standardContextual"/>
        </w:rPr>
        <w:t>الاستدامة</w:t>
      </w:r>
      <w:r w:rsidRPr="00140C49">
        <w:rPr>
          <w:rFonts w:ascii="Times New Roman" w:hAnsi="Times New Roman" w:cs="Simplified Arabic"/>
          <w:b/>
          <w:bCs/>
          <w:kern w:val="2"/>
          <w:sz w:val="32"/>
          <w:szCs w:val="36"/>
          <w:rtl/>
          <w:lang w:bidi="ar-EG"/>
          <w14:ligatures w14:val="standardContextual"/>
        </w:rPr>
        <w:t xml:space="preserve"> </w:t>
      </w:r>
      <w:r w:rsidRPr="00140C49">
        <w:rPr>
          <w:rFonts w:ascii="Times New Roman" w:hAnsi="Times New Roman" w:cs="Simplified Arabic" w:hint="cs"/>
          <w:b/>
          <w:bCs/>
          <w:kern w:val="2"/>
          <w:sz w:val="32"/>
          <w:szCs w:val="36"/>
          <w:rtl/>
          <w:lang w:bidi="ar-EG"/>
          <w14:ligatures w14:val="standardContextual"/>
        </w:rPr>
        <w:t>المالية</w:t>
      </w:r>
    </w:p>
    <w:p w14:paraId="45AF089D" w14:textId="77777777" w:rsidR="002F1B79" w:rsidRPr="00140C49" w:rsidRDefault="002F1B79" w:rsidP="002F1B79">
      <w:pPr>
        <w:bidi/>
        <w:spacing w:before="120" w:after="120" w:line="240" w:lineRule="auto"/>
        <w:jc w:val="center"/>
        <w:rPr>
          <w:rFonts w:ascii="Times New Roman" w:hAnsi="Times New Roman" w:cs="Simplified Arabic"/>
          <w:b/>
          <w:bCs/>
          <w:kern w:val="2"/>
          <w:sz w:val="32"/>
          <w:szCs w:val="36"/>
          <w:lang w:bidi="ar-EG"/>
          <w14:ligatures w14:val="standardContextual"/>
        </w:rPr>
      </w:pPr>
    </w:p>
    <w:p w14:paraId="524C7DEB" w14:textId="26FA393F" w:rsidR="00C23FA6" w:rsidRPr="00140C49" w:rsidRDefault="00C23FA6" w:rsidP="00BC50C9">
      <w:pPr>
        <w:bidi/>
        <w:spacing w:before="120" w:after="120" w:line="240" w:lineRule="auto"/>
        <w:jc w:val="center"/>
        <w:rPr>
          <w:rFonts w:ascii="Times New Roman" w:hAnsi="Times New Roman" w:cs="Simplified Arabic"/>
          <w:b/>
          <w:bCs/>
          <w:sz w:val="28"/>
          <w:szCs w:val="32"/>
          <w:rtl/>
          <w:lang w:bidi="ar-EG"/>
        </w:rPr>
      </w:pPr>
      <w:r w:rsidRPr="00140C49">
        <w:rPr>
          <w:rFonts w:ascii="Times New Roman" w:hAnsi="Times New Roman" w:cs="Simplified Arabic"/>
          <w:b/>
          <w:bCs/>
          <w:sz w:val="28"/>
          <w:szCs w:val="32"/>
          <w:lang w:bidi="ar-EG"/>
        </w:rPr>
        <w:t>A Proposed Strategy for Developing an Electronic Platform Based on Participatory Financing to Support Entrepreneurial Projects and Enhance Financial Sustainability</w:t>
      </w:r>
    </w:p>
    <w:p w14:paraId="0EC6A8C4" w14:textId="77777777" w:rsidR="002175EE" w:rsidRDefault="002175EE" w:rsidP="00BC50C9">
      <w:pPr>
        <w:bidi/>
        <w:spacing w:before="120" w:after="120" w:line="240" w:lineRule="auto"/>
        <w:jc w:val="both"/>
        <w:rPr>
          <w:rFonts w:ascii="Times New Roman" w:hAnsi="Times New Roman" w:cs="Simplified Arabic"/>
          <w:b/>
          <w:bCs/>
          <w:sz w:val="24"/>
          <w:szCs w:val="28"/>
          <w:rtl/>
          <w:lang w:bidi="ar-EG"/>
        </w:rPr>
      </w:pPr>
      <w:bookmarkStart w:id="0" w:name="_Hlk190694099"/>
    </w:p>
    <w:p w14:paraId="6E639DBF" w14:textId="77777777" w:rsidR="00140C49" w:rsidRPr="00BC50C9" w:rsidRDefault="00140C49" w:rsidP="00140C49">
      <w:pPr>
        <w:bidi/>
        <w:spacing w:before="120" w:after="120" w:line="240" w:lineRule="auto"/>
        <w:jc w:val="both"/>
        <w:rPr>
          <w:rFonts w:ascii="Times New Roman" w:hAnsi="Times New Roman" w:cs="Simplified Arabic"/>
          <w:b/>
          <w:bCs/>
          <w:sz w:val="24"/>
          <w:szCs w:val="28"/>
          <w:rtl/>
          <w:lang w:bidi="ar-EG"/>
        </w:rPr>
      </w:pPr>
    </w:p>
    <w:p w14:paraId="13315FD1" w14:textId="48C84BAE" w:rsidR="00317BC8" w:rsidRPr="00BC50C9" w:rsidRDefault="00317BC8" w:rsidP="00BC50C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الطالبة/</w:t>
      </w:r>
    </w:p>
    <w:p w14:paraId="7BD5D5F2" w14:textId="70CD6890" w:rsidR="007D7BF5" w:rsidRPr="00BC50C9" w:rsidRDefault="00225550" w:rsidP="00BC50C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امجاد يحيى القرشي</w:t>
      </w:r>
    </w:p>
    <w:p w14:paraId="51217CFF" w14:textId="0A056DAE" w:rsidR="00225550" w:rsidRPr="00BC50C9" w:rsidRDefault="00225550" w:rsidP="00BC50C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242000948</w:t>
      </w:r>
    </w:p>
    <w:p w14:paraId="6D6248D7" w14:textId="77777777" w:rsidR="00225550" w:rsidRDefault="00225550" w:rsidP="00BC50C9">
      <w:pPr>
        <w:bidi/>
        <w:spacing w:before="120" w:after="120" w:line="240" w:lineRule="auto"/>
        <w:jc w:val="center"/>
        <w:rPr>
          <w:rFonts w:ascii="Times New Roman" w:hAnsi="Times New Roman" w:cs="Simplified Arabic"/>
          <w:b/>
          <w:bCs/>
          <w:sz w:val="24"/>
          <w:szCs w:val="28"/>
          <w:rtl/>
          <w:lang w:bidi="ar-EG"/>
        </w:rPr>
      </w:pPr>
    </w:p>
    <w:p w14:paraId="33144F49" w14:textId="77777777" w:rsidR="002F1B79" w:rsidRPr="00BC50C9" w:rsidRDefault="002F1B79" w:rsidP="002F1B79">
      <w:pPr>
        <w:bidi/>
        <w:spacing w:before="120" w:after="120" w:line="240" w:lineRule="auto"/>
        <w:jc w:val="center"/>
        <w:rPr>
          <w:rFonts w:ascii="Times New Roman" w:hAnsi="Times New Roman" w:cs="Simplified Arabic"/>
          <w:b/>
          <w:bCs/>
          <w:sz w:val="24"/>
          <w:szCs w:val="28"/>
          <w:rtl/>
          <w:lang w:bidi="ar-EG"/>
        </w:rPr>
      </w:pPr>
    </w:p>
    <w:p w14:paraId="6A2BCF5A" w14:textId="2417C98C" w:rsidR="00225550" w:rsidRPr="00BC50C9" w:rsidRDefault="00225550" w:rsidP="00BC50C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المشرف</w:t>
      </w:r>
    </w:p>
    <w:p w14:paraId="4D6774B8" w14:textId="7A95B416" w:rsidR="00225550" w:rsidRPr="00BC50C9" w:rsidRDefault="00225550" w:rsidP="002F1B7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b/>
          <w:bCs/>
          <w:sz w:val="24"/>
          <w:szCs w:val="28"/>
          <w:rtl/>
          <w:lang w:bidi="ar-EG"/>
        </w:rPr>
        <w:t xml:space="preserve"> د /احمد راجح</w:t>
      </w:r>
    </w:p>
    <w:p w14:paraId="05DC6E56" w14:textId="470C3531" w:rsidR="00225550" w:rsidRDefault="00225550" w:rsidP="00BC50C9">
      <w:pPr>
        <w:bidi/>
        <w:spacing w:before="120" w:after="120" w:line="240" w:lineRule="auto"/>
        <w:rPr>
          <w:rFonts w:ascii="Times New Roman" w:hAnsi="Times New Roman" w:cs="Simplified Arabic"/>
          <w:b/>
          <w:bCs/>
          <w:sz w:val="24"/>
          <w:szCs w:val="28"/>
          <w:rtl/>
          <w:lang w:bidi="ar-EG"/>
        </w:rPr>
      </w:pPr>
    </w:p>
    <w:p w14:paraId="6C9F40F1" w14:textId="77777777" w:rsidR="002F1B79" w:rsidRPr="00BC50C9" w:rsidRDefault="002F1B79" w:rsidP="002F1B79">
      <w:pPr>
        <w:bidi/>
        <w:spacing w:before="120" w:after="120" w:line="240" w:lineRule="auto"/>
        <w:rPr>
          <w:rFonts w:ascii="Times New Roman" w:hAnsi="Times New Roman" w:cs="Simplified Arabic"/>
          <w:b/>
          <w:bCs/>
          <w:sz w:val="24"/>
          <w:szCs w:val="28"/>
          <w:rtl/>
          <w:lang w:bidi="ar-EG"/>
        </w:rPr>
      </w:pPr>
    </w:p>
    <w:p w14:paraId="3A61709E" w14:textId="2B3FED9D" w:rsidR="00317BC8" w:rsidRPr="00BC50C9" w:rsidRDefault="00317BC8" w:rsidP="00BC50C9">
      <w:pPr>
        <w:bidi/>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b/>
          <w:bCs/>
          <w:sz w:val="24"/>
          <w:szCs w:val="28"/>
          <w:lang w:bidi="ar-EG"/>
        </w:rPr>
        <w:t>1446</w:t>
      </w:r>
      <w:r w:rsidRPr="00BC50C9">
        <w:rPr>
          <w:rFonts w:ascii="Times New Roman" w:hAnsi="Times New Roman" w:cs="Simplified Arabic" w:hint="cs"/>
          <w:b/>
          <w:bCs/>
          <w:sz w:val="24"/>
          <w:szCs w:val="28"/>
          <w:rtl/>
          <w:lang w:bidi="ar-EG"/>
        </w:rPr>
        <w:t xml:space="preserve">ه/ </w:t>
      </w:r>
      <w:r w:rsidRPr="00BC50C9">
        <w:rPr>
          <w:rFonts w:ascii="Times New Roman" w:hAnsi="Times New Roman" w:cs="Simplified Arabic"/>
          <w:b/>
          <w:bCs/>
          <w:sz w:val="24"/>
          <w:szCs w:val="28"/>
          <w:lang w:bidi="ar-EG"/>
        </w:rPr>
        <w:t>2025</w:t>
      </w:r>
      <w:r w:rsidRPr="00BC50C9">
        <w:rPr>
          <w:rFonts w:ascii="Times New Roman" w:hAnsi="Times New Roman" w:cs="Simplified Arabic" w:hint="cs"/>
          <w:b/>
          <w:bCs/>
          <w:sz w:val="24"/>
          <w:szCs w:val="28"/>
          <w:rtl/>
          <w:lang w:bidi="ar-EG"/>
        </w:rPr>
        <w:t>م</w:t>
      </w:r>
    </w:p>
    <w:p w14:paraId="29287EB5" w14:textId="77777777" w:rsidR="00225550" w:rsidRPr="00BC50C9" w:rsidRDefault="00225550" w:rsidP="00BC50C9">
      <w:pPr>
        <w:bidi/>
        <w:spacing w:before="120" w:after="120" w:line="240" w:lineRule="auto"/>
        <w:jc w:val="center"/>
        <w:rPr>
          <w:rFonts w:ascii="Times New Roman" w:hAnsi="Times New Roman" w:cs="Simplified Arabic"/>
          <w:b/>
          <w:bCs/>
          <w:sz w:val="24"/>
          <w:szCs w:val="28"/>
          <w:rtl/>
          <w:lang w:bidi="ar-EG"/>
        </w:rPr>
      </w:pPr>
    </w:p>
    <w:p w14:paraId="3F0B060B" w14:textId="77777777" w:rsidR="00B73570" w:rsidRPr="00BC50C9" w:rsidRDefault="00B73570" w:rsidP="00BC50C9">
      <w:pPr>
        <w:bidi/>
        <w:spacing w:before="120" w:after="120" w:line="240" w:lineRule="auto"/>
        <w:jc w:val="both"/>
        <w:rPr>
          <w:rFonts w:ascii="Times New Roman" w:hAnsi="Times New Roman" w:cs="Simplified Arabic"/>
          <w:b/>
          <w:bCs/>
          <w:sz w:val="24"/>
          <w:szCs w:val="28"/>
          <w:rtl/>
          <w:lang w:bidi="ar-EG"/>
        </w:rPr>
      </w:pPr>
    </w:p>
    <w:p w14:paraId="5B7CA344"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57905625"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5745BF9A"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r w:rsidRPr="00BC50C9">
        <w:rPr>
          <w:rFonts w:ascii="Times New Roman" w:hAnsi="Times New Roman" w:cs="Simplified Arabic"/>
          <w:b/>
          <w:bCs/>
          <w:noProof/>
          <w:sz w:val="24"/>
          <w:szCs w:val="28"/>
          <w:rtl/>
          <w:lang w:val="ar-EG" w:bidi="ar-EG"/>
        </w:rPr>
        <w:drawing>
          <wp:anchor distT="0" distB="0" distL="114300" distR="114300" simplePos="0" relativeHeight="251671552" behindDoc="0" locked="0" layoutInCell="1" allowOverlap="1" wp14:anchorId="466B652F" wp14:editId="21158B0D">
            <wp:simplePos x="1133475" y="1466850"/>
            <wp:positionH relativeFrom="margin">
              <wp:align>center</wp:align>
            </wp:positionH>
            <wp:positionV relativeFrom="margin">
              <wp:align>center</wp:align>
            </wp:positionV>
            <wp:extent cx="4924425" cy="3095625"/>
            <wp:effectExtent l="0" t="0" r="9525" b="9525"/>
            <wp:wrapSquare wrapText="bothSides"/>
            <wp:docPr id="1036920004" name="صورة 1" descr="صورة تحتوي على رسم, قصاصة فنية, فن الخط,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20004" name="صورة 1" descr="صورة تحتوي على رسم, قصاصة فنية, فن الخط, توضيح&#10;&#10;تم إنشاء الوصف تلقائياً"/>
                    <pic:cNvPicPr/>
                  </pic:nvPicPr>
                  <pic:blipFill rotWithShape="1">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b="3865"/>
                    <a:stretch/>
                  </pic:blipFill>
                  <pic:spPr bwMode="auto">
                    <a:xfrm>
                      <a:off x="0" y="0"/>
                      <a:ext cx="4924425" cy="30956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9D461F2"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53BE4313"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452018A7"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7B5E95F5"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76ABC94B"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375634AA"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012F1F53"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07D16429"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06FC246F"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120E6366"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4D07EA34"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43B09A2E"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6917AB3A"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4C10CC14"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3B71E658"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1B9E97F6" w14:textId="77777777" w:rsidR="00FA6718" w:rsidRDefault="00FA6718" w:rsidP="00BC50C9">
      <w:pPr>
        <w:spacing w:before="120" w:after="120" w:line="240" w:lineRule="auto"/>
        <w:jc w:val="center"/>
        <w:rPr>
          <w:rFonts w:ascii="Times New Roman" w:hAnsi="Times New Roman" w:cs="Simplified Arabic"/>
          <w:b/>
          <w:bCs/>
          <w:sz w:val="24"/>
          <w:szCs w:val="28"/>
          <w:rtl/>
          <w:lang w:bidi="ar-EG"/>
        </w:rPr>
      </w:pPr>
    </w:p>
    <w:p w14:paraId="18991DE4"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6D551146"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63A823A8"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42E0BA3C"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1FC6015E"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7C1F759F" w14:textId="77777777" w:rsidR="009F0D73" w:rsidRDefault="009F0D73" w:rsidP="00BC50C9">
      <w:pPr>
        <w:spacing w:before="120" w:after="120" w:line="240" w:lineRule="auto"/>
        <w:jc w:val="center"/>
        <w:rPr>
          <w:rFonts w:ascii="Times New Roman" w:hAnsi="Times New Roman" w:cs="Simplified Arabic"/>
          <w:b/>
          <w:bCs/>
          <w:sz w:val="24"/>
          <w:szCs w:val="28"/>
          <w:rtl/>
          <w:lang w:bidi="ar-EG"/>
        </w:rPr>
      </w:pPr>
    </w:p>
    <w:p w14:paraId="2E38719D" w14:textId="0C347C72" w:rsidR="00FA6718" w:rsidRPr="00BC50C9" w:rsidRDefault="00FA6718" w:rsidP="002D4119">
      <w:pPr>
        <w:pStyle w:val="11110"/>
        <w:rPr>
          <w:rtl/>
        </w:rPr>
      </w:pPr>
      <w:bookmarkStart w:id="1" w:name="_Toc180208920"/>
      <w:bookmarkStart w:id="2" w:name="_Toc180209051"/>
      <w:bookmarkStart w:id="3" w:name="_Toc182049919"/>
      <w:bookmarkStart w:id="4" w:name="_Toc195456476"/>
      <w:bookmarkStart w:id="5" w:name="_Hlk195432102"/>
      <w:r w:rsidRPr="00BC50C9">
        <w:rPr>
          <w:rFonts w:hint="cs"/>
          <w:rtl/>
        </w:rPr>
        <w:lastRenderedPageBreak/>
        <w:t>المستخلص</w:t>
      </w:r>
      <w:bookmarkEnd w:id="1"/>
      <w:bookmarkEnd w:id="2"/>
      <w:bookmarkEnd w:id="3"/>
      <w:bookmarkEnd w:id="4"/>
    </w:p>
    <w:p w14:paraId="0CC379E5" w14:textId="77777777" w:rsidR="00A13EF8" w:rsidRPr="00BC50C9" w:rsidRDefault="00A13EF8" w:rsidP="00A13EF8">
      <w:pPr>
        <w:bidi/>
        <w:spacing w:before="120" w:after="120" w:line="240" w:lineRule="auto"/>
        <w:jc w:val="center"/>
        <w:rPr>
          <w:rFonts w:ascii="Times New Roman" w:hAnsi="Times New Roman" w:cs="Simplified Arabic"/>
          <w:b/>
          <w:bCs/>
          <w:kern w:val="2"/>
          <w:sz w:val="24"/>
          <w:szCs w:val="28"/>
          <w:lang w:bidi="ar-EG"/>
          <w14:ligatures w14:val="standardContextual"/>
        </w:rPr>
      </w:pPr>
      <w:r w:rsidRPr="00BC50C9">
        <w:rPr>
          <w:rFonts w:ascii="Times New Roman" w:hAnsi="Times New Roman" w:cs="Simplified Arabic"/>
          <w:b/>
          <w:bCs/>
          <w:kern w:val="2"/>
          <w:sz w:val="24"/>
          <w:szCs w:val="28"/>
          <w:rtl/>
          <w:lang w:bidi="ar-EG"/>
          <w14:ligatures w14:val="standardContextual"/>
        </w:rPr>
        <w:t xml:space="preserve">استراتيجيه مقترحه لتطوير منصة الكترونية معتمدة على التمويل التشاركي لدعم المشاريع الريادية </w:t>
      </w:r>
      <w:r w:rsidRPr="00BC50C9">
        <w:rPr>
          <w:rFonts w:ascii="Times New Roman" w:hAnsi="Times New Roman" w:cs="Simplified Arabic" w:hint="cs"/>
          <w:b/>
          <w:bCs/>
          <w:kern w:val="2"/>
          <w:sz w:val="24"/>
          <w:szCs w:val="28"/>
          <w:rtl/>
          <w:lang w:bidi="ar-EG"/>
          <w14:ligatures w14:val="standardContextual"/>
        </w:rPr>
        <w:t>وتعزيز</w:t>
      </w:r>
      <w:r w:rsidRPr="00BC50C9">
        <w:rPr>
          <w:rFonts w:ascii="Times New Roman" w:hAnsi="Times New Roman" w:cs="Simplified Arabic"/>
          <w:b/>
          <w:bCs/>
          <w:kern w:val="2"/>
          <w:sz w:val="24"/>
          <w:szCs w:val="28"/>
          <w:rtl/>
          <w:lang w:bidi="ar-EG"/>
          <w14:ligatures w14:val="standardContextual"/>
        </w:rPr>
        <w:t xml:space="preserve"> </w:t>
      </w:r>
      <w:r w:rsidRPr="00BC50C9">
        <w:rPr>
          <w:rFonts w:ascii="Times New Roman" w:hAnsi="Times New Roman" w:cs="Simplified Arabic" w:hint="cs"/>
          <w:b/>
          <w:bCs/>
          <w:kern w:val="2"/>
          <w:sz w:val="24"/>
          <w:szCs w:val="28"/>
          <w:rtl/>
          <w:lang w:bidi="ar-EG"/>
          <w14:ligatures w14:val="standardContextual"/>
        </w:rPr>
        <w:t>الاستدامة</w:t>
      </w:r>
      <w:r w:rsidRPr="00BC50C9">
        <w:rPr>
          <w:rFonts w:ascii="Times New Roman" w:hAnsi="Times New Roman" w:cs="Simplified Arabic"/>
          <w:b/>
          <w:bCs/>
          <w:kern w:val="2"/>
          <w:sz w:val="24"/>
          <w:szCs w:val="28"/>
          <w:rtl/>
          <w:lang w:bidi="ar-EG"/>
          <w14:ligatures w14:val="standardContextual"/>
        </w:rPr>
        <w:t xml:space="preserve"> </w:t>
      </w:r>
      <w:r w:rsidRPr="00BC50C9">
        <w:rPr>
          <w:rFonts w:ascii="Times New Roman" w:hAnsi="Times New Roman" w:cs="Simplified Arabic" w:hint="cs"/>
          <w:b/>
          <w:bCs/>
          <w:kern w:val="2"/>
          <w:sz w:val="24"/>
          <w:szCs w:val="28"/>
          <w:rtl/>
          <w:lang w:bidi="ar-EG"/>
          <w14:ligatures w14:val="standardContextual"/>
        </w:rPr>
        <w:t>المالية</w:t>
      </w:r>
    </w:p>
    <w:p w14:paraId="029C126E" w14:textId="796899F4" w:rsidR="00532257" w:rsidRPr="00A13EF8" w:rsidRDefault="008F7C3B" w:rsidP="00A13EF8">
      <w:pPr>
        <w:pStyle w:val="00000"/>
      </w:pPr>
      <w:r w:rsidRPr="00A13EF8">
        <w:rPr>
          <w:rtl/>
        </w:rPr>
        <w:t xml:space="preserve">هدفت الدراسة إلى التعرف على </w:t>
      </w:r>
      <w:r w:rsidR="00532257" w:rsidRPr="00532257">
        <w:rPr>
          <w:rtl/>
        </w:rPr>
        <w:t>واقع استخدام التمويل التشاركي في المنصات الالكترونية بالمملكة العربية السعودية</w:t>
      </w:r>
      <w:r w:rsidRPr="00A13EF8">
        <w:rPr>
          <w:rtl/>
        </w:rPr>
        <w:t xml:space="preserve">، </w:t>
      </w:r>
      <w:r w:rsidR="00780BA2" w:rsidRPr="00A13EF8">
        <w:rPr>
          <w:rFonts w:hint="cs"/>
          <w:rtl/>
        </w:rPr>
        <w:t xml:space="preserve">والتعرف على </w:t>
      </w:r>
      <w:r w:rsidR="00780BA2" w:rsidRPr="00532257">
        <w:rPr>
          <w:rtl/>
        </w:rPr>
        <w:t>الأهمية النسبية لدعم المشاريع الريادية بالمملكة العربية السعودية</w:t>
      </w:r>
      <w:r w:rsidR="00780BA2" w:rsidRPr="00A13EF8">
        <w:rPr>
          <w:rFonts w:hint="cs"/>
          <w:rtl/>
        </w:rPr>
        <w:t xml:space="preserve"> </w:t>
      </w:r>
      <w:r w:rsidRPr="00A13EF8">
        <w:rPr>
          <w:rtl/>
        </w:rPr>
        <w:t xml:space="preserve">والكشف عن </w:t>
      </w:r>
      <w:r w:rsidR="00780BA2" w:rsidRPr="00A13EF8">
        <w:rPr>
          <w:rFonts w:hint="cs"/>
          <w:rtl/>
        </w:rPr>
        <w:t>وجود تأثير</w:t>
      </w:r>
      <w:r w:rsidR="00780BA2" w:rsidRPr="00A13EF8">
        <w:rPr>
          <w:rtl/>
        </w:rPr>
        <w:t xml:space="preserve"> للتمويل القائم على المكافآت على الاستدامة المالية بالمملكة العربية السعودية</w:t>
      </w:r>
      <w:r w:rsidRPr="00A13EF8">
        <w:rPr>
          <w:rFonts w:hint="cs"/>
          <w:rtl/>
        </w:rPr>
        <w:t>،</w:t>
      </w:r>
      <w:r w:rsidRPr="00A13EF8">
        <w:rPr>
          <w:rtl/>
        </w:rPr>
        <w:t xml:space="preserve"> وقد تكون مجتمع الدراسة </w:t>
      </w:r>
      <w:r w:rsidRPr="00A13EF8">
        <w:rPr>
          <w:rtl/>
          <w:lang w:bidi="ar-SA"/>
        </w:rPr>
        <w:t>من جميع الأطراف المعنية بالتمويل التشاركي والمشاريع الريادية في المملكة العربية السعودية، والتي يمكن تقسيمها إلى فئات مختلفة مثل المستثمرين، والمشاريع الريادية، والخبراء، والمؤسسات الداعمة</w:t>
      </w:r>
      <w:r w:rsidRPr="00A13EF8">
        <w:rPr>
          <w:rtl/>
        </w:rPr>
        <w:t xml:space="preserve">، واشتملت عينة الدراسة على </w:t>
      </w:r>
      <w:r w:rsidRPr="00A13EF8">
        <w:rPr>
          <w:rFonts w:hint="cs"/>
          <w:rtl/>
        </w:rPr>
        <w:t>(384) مفردة،</w:t>
      </w:r>
      <w:r w:rsidRPr="00A13EF8">
        <w:rPr>
          <w:rtl/>
        </w:rPr>
        <w:t xml:space="preserve"> </w:t>
      </w:r>
      <w:r w:rsidRPr="00A13EF8">
        <w:rPr>
          <w:rFonts w:hint="cs"/>
          <w:rtl/>
        </w:rPr>
        <w:t>و</w:t>
      </w:r>
      <w:r w:rsidRPr="00A13EF8">
        <w:rPr>
          <w:rtl/>
        </w:rPr>
        <w:t xml:space="preserve">استخدم الباحث </w:t>
      </w:r>
      <w:r w:rsidRPr="00A13EF8">
        <w:rPr>
          <w:rtl/>
          <w:lang w:bidi="ar-SA"/>
        </w:rPr>
        <w:t xml:space="preserve">المنهج الوصفي </w:t>
      </w:r>
      <w:r w:rsidRPr="00A13EF8">
        <w:rPr>
          <w:rtl/>
        </w:rPr>
        <w:t xml:space="preserve">كمنهج للدراسة، واعتمد على </w:t>
      </w:r>
      <w:r w:rsidR="005E179E" w:rsidRPr="00A13EF8">
        <w:rPr>
          <w:rFonts w:hint="cs"/>
          <w:rtl/>
        </w:rPr>
        <w:t xml:space="preserve">الاستبانة </w:t>
      </w:r>
      <w:r w:rsidRPr="00A13EF8">
        <w:rPr>
          <w:rtl/>
        </w:rPr>
        <w:t>كأداة لجمع البيانات</w:t>
      </w:r>
      <w:r w:rsidRPr="00A13EF8">
        <w:rPr>
          <w:rFonts w:hint="cs"/>
          <w:rtl/>
        </w:rPr>
        <w:t xml:space="preserve">، </w:t>
      </w:r>
      <w:r w:rsidRPr="00A13EF8">
        <w:rPr>
          <w:rtl/>
        </w:rPr>
        <w:t>وقد توصلت الدراسة إلى عدد من النتائج، أهمها</w:t>
      </w:r>
      <w:r w:rsidR="00A13EF8" w:rsidRPr="00A13EF8">
        <w:rPr>
          <w:rFonts w:hint="cs"/>
          <w:rtl/>
        </w:rPr>
        <w:t xml:space="preserve"> </w:t>
      </w:r>
      <w:r w:rsidR="00532257" w:rsidRPr="00A13EF8">
        <w:rPr>
          <w:rFonts w:hint="cs"/>
          <w:rtl/>
        </w:rPr>
        <w:t xml:space="preserve">جاء مستوى </w:t>
      </w:r>
      <w:r w:rsidR="00532257" w:rsidRPr="00532257">
        <w:rPr>
          <w:rtl/>
        </w:rPr>
        <w:t>استخدام التمويل التشاركي في المنصات الالكترونية بالمملكة العربية السعودية</w:t>
      </w:r>
      <w:r w:rsidR="00532257" w:rsidRPr="00A13EF8">
        <w:rPr>
          <w:rFonts w:hint="cs"/>
          <w:rtl/>
        </w:rPr>
        <w:t xml:space="preserve"> </w:t>
      </w:r>
      <w:r w:rsidR="00532257" w:rsidRPr="00A13EF8">
        <w:rPr>
          <w:rtl/>
          <w:lang w:bidi="ar-SA"/>
        </w:rPr>
        <w:t xml:space="preserve">بدرجة استجابة (عالية)، وجاء في الترتيب الأول (البعد الأول: التمويل </w:t>
      </w:r>
      <w:proofErr w:type="spellStart"/>
      <w:r w:rsidR="00532257" w:rsidRPr="00A13EF8">
        <w:rPr>
          <w:rtl/>
          <w:lang w:bidi="ar-SA"/>
        </w:rPr>
        <w:t>التبرعي</w:t>
      </w:r>
      <w:proofErr w:type="spellEnd"/>
      <w:r w:rsidR="00532257" w:rsidRPr="00A13EF8">
        <w:rPr>
          <w:rtl/>
          <w:lang w:bidi="ar-SA"/>
        </w:rPr>
        <w:t>)، ويليه في الترتيب الثاني (البعد الثالث: التمويل التشاركي المختلط)</w:t>
      </w:r>
      <w:r w:rsidR="004E7F59" w:rsidRPr="00A13EF8">
        <w:rPr>
          <w:rFonts w:hint="cs"/>
          <w:rtl/>
          <w:lang w:bidi="ar-SA"/>
        </w:rPr>
        <w:t xml:space="preserve">، </w:t>
      </w:r>
      <w:r w:rsidR="00532257" w:rsidRPr="00A13EF8">
        <w:rPr>
          <w:rtl/>
          <w:lang w:bidi="ar-SA"/>
        </w:rPr>
        <w:t>بينما جاء في الترتيب الأخير (البعد الثاني: التمويل القائم على المكافآت) وجاءت جميع أبعاد المحور الأول بدرجة استجابة (عالية)</w:t>
      </w:r>
      <w:r w:rsidR="00A13EF8" w:rsidRPr="00A13EF8">
        <w:rPr>
          <w:rFonts w:hint="cs"/>
          <w:rtl/>
          <w:lang w:bidi="ar-SA"/>
        </w:rPr>
        <w:t>، و</w:t>
      </w:r>
      <w:r w:rsidR="00780BA2" w:rsidRPr="00A13EF8">
        <w:rPr>
          <w:rFonts w:hint="cs"/>
          <w:rtl/>
        </w:rPr>
        <w:t xml:space="preserve">إن </w:t>
      </w:r>
      <w:r w:rsidR="00532257" w:rsidRPr="00532257">
        <w:rPr>
          <w:rtl/>
        </w:rPr>
        <w:t>الأهمية النسبية لدعم المشاريع الريادية بالمملكة العربية السعودية</w:t>
      </w:r>
      <w:r w:rsidR="004E7F59" w:rsidRPr="00A13EF8">
        <w:rPr>
          <w:rFonts w:hint="cs"/>
          <w:rtl/>
        </w:rPr>
        <w:t xml:space="preserve"> </w:t>
      </w:r>
      <w:r w:rsidR="00780BA2" w:rsidRPr="00A13EF8">
        <w:rPr>
          <w:rFonts w:hint="cs"/>
          <w:rtl/>
        </w:rPr>
        <w:t xml:space="preserve">جاءت </w:t>
      </w:r>
      <w:r w:rsidR="00532257" w:rsidRPr="00532257">
        <w:rPr>
          <w:rtl/>
        </w:rPr>
        <w:t>بدرجة استجابة (عالية)</w:t>
      </w:r>
      <w:r w:rsidR="004E7F59" w:rsidRPr="00A13EF8">
        <w:rPr>
          <w:rFonts w:hint="cs"/>
          <w:rtl/>
        </w:rPr>
        <w:t xml:space="preserve">، </w:t>
      </w:r>
      <w:r w:rsidR="00A13EF8" w:rsidRPr="00A13EF8">
        <w:rPr>
          <w:rFonts w:hint="cs"/>
          <w:rtl/>
        </w:rPr>
        <w:t>بينما تبين</w:t>
      </w:r>
      <w:r w:rsidR="004E7F59" w:rsidRPr="00A13EF8">
        <w:rPr>
          <w:rFonts w:hint="cs"/>
          <w:rtl/>
        </w:rPr>
        <w:t xml:space="preserve"> </w:t>
      </w:r>
      <w:r w:rsidR="00532257" w:rsidRPr="00A13EF8">
        <w:rPr>
          <w:rtl/>
        </w:rPr>
        <w:t>وجود أثر إيجابي ذو دلالة إحصائية للتمويل القائم على المكافآت على الاستدامة المالية بالمملكة العربية السعودية؛ حيث جاءت قيمة (</w:t>
      </w:r>
      <w:r w:rsidR="00532257" w:rsidRPr="00A13EF8">
        <w:t>R</w:t>
      </w:r>
      <w:r w:rsidR="00532257" w:rsidRPr="00A13EF8">
        <w:rPr>
          <w:rtl/>
        </w:rPr>
        <w:t>) (</w:t>
      </w:r>
      <w:r w:rsidR="00532257" w:rsidRPr="00A13EF8">
        <w:t>.682a</w:t>
      </w:r>
      <w:r w:rsidR="00532257" w:rsidRPr="00A13EF8">
        <w:rPr>
          <w:rtl/>
        </w:rPr>
        <w:t>) بمستوى دلالة (</w:t>
      </w:r>
      <w:r w:rsidR="00532257" w:rsidRPr="00A13EF8">
        <w:t xml:space="preserve">.000b </w:t>
      </w:r>
      <w:r w:rsidR="00532257" w:rsidRPr="00A13EF8">
        <w:rPr>
          <w:rtl/>
        </w:rPr>
        <w:t>)؛ وبذلك تم التحقق من خطأ الفرضية حيث أن يتيح هذا النوع من التمويل لرواد الأعمال الحصول على الدعم المالي من خلال تقديم مزايا ملموسة للمستثمرين، وهو ما يشجع على زيادة المشاركة من قبل الأفراد والمستثمرين، وبالتالي يوفر موارد مالية ضرورية لتطوير المشاريع.</w:t>
      </w:r>
    </w:p>
    <w:p w14:paraId="68A4E9B9" w14:textId="4D7BA09E" w:rsidR="00532257" w:rsidRPr="00532257" w:rsidRDefault="004C5843" w:rsidP="004C5843">
      <w:pPr>
        <w:pStyle w:val="00000"/>
      </w:pPr>
      <w:r>
        <w:rPr>
          <w:rFonts w:hint="cs"/>
          <w:rtl/>
        </w:rPr>
        <w:t xml:space="preserve">وقد أوصت الدراسة بالعديد من التوصيات أهمها ضرورة </w:t>
      </w:r>
      <w:r w:rsidR="00532257" w:rsidRPr="00532257">
        <w:rPr>
          <w:rtl/>
          <w:lang w:bidi="ar-SA"/>
        </w:rPr>
        <w:t>تنظيم ورش عمل وندوات عبر الإنترنت؛ لتعزيز المعرفة حول التمويل التشاركي</w:t>
      </w:r>
      <w:r>
        <w:rPr>
          <w:rFonts w:hint="cs"/>
          <w:rtl/>
        </w:rPr>
        <w:t xml:space="preserve">، وضرورة </w:t>
      </w:r>
      <w:r w:rsidR="00532257" w:rsidRPr="00532257">
        <w:rPr>
          <w:rtl/>
          <w:lang w:bidi="ar-SA"/>
        </w:rPr>
        <w:t>وضع آليات واضحة لمراقبة وتقييم المشاريع؛ مما يزيد من ثقة المستثمرين.</w:t>
      </w:r>
    </w:p>
    <w:p w14:paraId="1CD33A3A" w14:textId="67EB83A3" w:rsidR="008F7C3B" w:rsidRPr="004C5843" w:rsidRDefault="008F7C3B" w:rsidP="004C5843">
      <w:pPr>
        <w:bidi/>
        <w:jc w:val="both"/>
        <w:rPr>
          <w:rFonts w:ascii="Times New Roman" w:hAnsi="Times New Roman" w:cs="Simplified Arabic"/>
          <w:sz w:val="28"/>
          <w:szCs w:val="28"/>
        </w:rPr>
      </w:pPr>
      <w:r w:rsidRPr="00233D91">
        <w:rPr>
          <w:rFonts w:ascii="Times New Roman" w:hAnsi="Times New Roman" w:cs="Simplified Arabic"/>
          <w:b/>
          <w:bCs/>
          <w:sz w:val="28"/>
          <w:szCs w:val="28"/>
          <w:rtl/>
        </w:rPr>
        <w:t>كلمات مفتاحية</w:t>
      </w:r>
      <w:r>
        <w:rPr>
          <w:rFonts w:ascii="Times New Roman" w:hAnsi="Times New Roman" w:cs="Simplified Arabic" w:hint="cs"/>
          <w:sz w:val="28"/>
          <w:szCs w:val="28"/>
          <w:rtl/>
        </w:rPr>
        <w:t>:</w:t>
      </w:r>
      <w:r w:rsidR="004C5843" w:rsidRPr="004C5843">
        <w:rPr>
          <w:rtl/>
        </w:rPr>
        <w:t xml:space="preserve"> </w:t>
      </w:r>
      <w:r w:rsidR="004C5843" w:rsidRPr="004C5843">
        <w:rPr>
          <w:rFonts w:ascii="Times New Roman" w:hAnsi="Times New Roman" w:cs="Simplified Arabic"/>
          <w:sz w:val="28"/>
          <w:szCs w:val="28"/>
          <w:rtl/>
        </w:rPr>
        <w:t>استراتيجيه مقترحه</w:t>
      </w:r>
      <w:r w:rsidR="004C5843">
        <w:rPr>
          <w:rFonts w:ascii="Times New Roman" w:hAnsi="Times New Roman" w:cs="Simplified Arabic" w:hint="cs"/>
          <w:sz w:val="28"/>
          <w:szCs w:val="28"/>
          <w:rtl/>
        </w:rPr>
        <w:t xml:space="preserve">، </w:t>
      </w:r>
      <w:r w:rsidR="004C5843" w:rsidRPr="004C5843">
        <w:rPr>
          <w:rFonts w:ascii="Times New Roman" w:hAnsi="Times New Roman" w:cs="Simplified Arabic"/>
          <w:sz w:val="28"/>
          <w:szCs w:val="28"/>
          <w:rtl/>
        </w:rPr>
        <w:t>منصة الكترونية</w:t>
      </w:r>
      <w:r w:rsidR="004C5843">
        <w:rPr>
          <w:rFonts w:ascii="Times New Roman" w:hAnsi="Times New Roman" w:cs="Simplified Arabic" w:hint="cs"/>
          <w:sz w:val="28"/>
          <w:szCs w:val="28"/>
          <w:rtl/>
        </w:rPr>
        <w:t xml:space="preserve">، </w:t>
      </w:r>
      <w:r w:rsidR="004C5843" w:rsidRPr="004C5843">
        <w:rPr>
          <w:rFonts w:ascii="Times New Roman" w:hAnsi="Times New Roman" w:cs="Simplified Arabic"/>
          <w:sz w:val="28"/>
          <w:szCs w:val="28"/>
          <w:rtl/>
        </w:rPr>
        <w:t>التمويل التشاركي</w:t>
      </w:r>
      <w:r w:rsidR="004C5843">
        <w:rPr>
          <w:rFonts w:ascii="Times New Roman" w:hAnsi="Times New Roman" w:cs="Simplified Arabic" w:hint="cs"/>
          <w:sz w:val="28"/>
          <w:szCs w:val="28"/>
          <w:rtl/>
        </w:rPr>
        <w:t>،</w:t>
      </w:r>
      <w:r w:rsidR="004C5843" w:rsidRPr="004C5843">
        <w:rPr>
          <w:rFonts w:ascii="Times New Roman" w:hAnsi="Times New Roman" w:cs="Simplified Arabic"/>
          <w:sz w:val="28"/>
          <w:szCs w:val="28"/>
          <w:rtl/>
        </w:rPr>
        <w:t xml:space="preserve"> المشاريع الريادية</w:t>
      </w:r>
      <w:r w:rsidR="004C5843">
        <w:rPr>
          <w:rFonts w:ascii="Times New Roman" w:hAnsi="Times New Roman" w:cs="Simplified Arabic" w:hint="cs"/>
          <w:sz w:val="28"/>
          <w:szCs w:val="28"/>
          <w:rtl/>
        </w:rPr>
        <w:t>،</w:t>
      </w:r>
      <w:r w:rsidR="004C5843" w:rsidRPr="004C5843">
        <w:rPr>
          <w:rFonts w:ascii="Times New Roman" w:hAnsi="Times New Roman" w:cs="Simplified Arabic"/>
          <w:sz w:val="28"/>
          <w:szCs w:val="28"/>
          <w:rtl/>
        </w:rPr>
        <w:t xml:space="preserve"> الاستدامة المالية</w:t>
      </w:r>
      <w:r w:rsidR="004C5843">
        <w:rPr>
          <w:rFonts w:ascii="Times New Roman" w:hAnsi="Times New Roman" w:cs="Simplified Arabic" w:hint="cs"/>
          <w:sz w:val="28"/>
          <w:szCs w:val="28"/>
          <w:rtl/>
        </w:rPr>
        <w:t>.</w:t>
      </w:r>
    </w:p>
    <w:p w14:paraId="4E0127B9" w14:textId="77777777" w:rsidR="00FA6718" w:rsidRPr="00BC50C9" w:rsidRDefault="00FA6718" w:rsidP="00BC50C9">
      <w:pPr>
        <w:bidi/>
        <w:spacing w:before="120" w:after="120" w:line="240" w:lineRule="auto"/>
        <w:jc w:val="both"/>
        <w:rPr>
          <w:rFonts w:ascii="Times New Roman" w:hAnsi="Times New Roman" w:cs="Simplified Arabic"/>
          <w:b/>
          <w:bCs/>
          <w:sz w:val="24"/>
          <w:szCs w:val="28"/>
          <w:rtl/>
          <w:lang w:bidi="ar-EG"/>
        </w:rPr>
      </w:pPr>
    </w:p>
    <w:bookmarkEnd w:id="5"/>
    <w:p w14:paraId="31843632" w14:textId="77777777" w:rsidR="00FA6718" w:rsidRDefault="00FA6718" w:rsidP="00BC50C9">
      <w:pPr>
        <w:bidi/>
        <w:spacing w:before="120" w:after="120" w:line="240" w:lineRule="auto"/>
        <w:jc w:val="both"/>
        <w:rPr>
          <w:rFonts w:ascii="Times New Roman" w:hAnsi="Times New Roman" w:cs="Simplified Arabic"/>
          <w:b/>
          <w:bCs/>
          <w:sz w:val="24"/>
          <w:szCs w:val="28"/>
          <w:rtl/>
          <w:lang w:bidi="ar-EG"/>
        </w:rPr>
      </w:pPr>
    </w:p>
    <w:p w14:paraId="7E9EA140" w14:textId="77777777" w:rsidR="00140C49" w:rsidRPr="00BC50C9" w:rsidRDefault="00140C49" w:rsidP="00140C49">
      <w:pPr>
        <w:bidi/>
        <w:spacing w:before="120" w:after="120" w:line="240" w:lineRule="auto"/>
        <w:jc w:val="both"/>
        <w:rPr>
          <w:rFonts w:ascii="Times New Roman" w:hAnsi="Times New Roman" w:cs="Simplified Arabic"/>
          <w:b/>
          <w:bCs/>
          <w:sz w:val="24"/>
          <w:szCs w:val="28"/>
          <w:rtl/>
          <w:lang w:bidi="ar-EG"/>
        </w:rPr>
      </w:pPr>
    </w:p>
    <w:p w14:paraId="3A44D788" w14:textId="77777777" w:rsidR="00FA6718" w:rsidRPr="00BC50C9" w:rsidRDefault="00FA6718" w:rsidP="00BC50C9">
      <w:pPr>
        <w:bidi/>
        <w:spacing w:before="120" w:after="120" w:line="240" w:lineRule="auto"/>
        <w:jc w:val="both"/>
        <w:rPr>
          <w:rFonts w:ascii="Times New Roman" w:hAnsi="Times New Roman" w:cs="Simplified Arabic"/>
          <w:b/>
          <w:bCs/>
          <w:sz w:val="24"/>
          <w:szCs w:val="28"/>
          <w:rtl/>
          <w:lang w:bidi="ar-EG"/>
        </w:rPr>
      </w:pPr>
    </w:p>
    <w:p w14:paraId="72478B82" w14:textId="77777777" w:rsidR="00FA6718" w:rsidRPr="00BC50C9" w:rsidRDefault="00FA6718" w:rsidP="002D4119">
      <w:pPr>
        <w:pStyle w:val="11110"/>
        <w:rPr>
          <w:rtl/>
        </w:rPr>
      </w:pPr>
      <w:bookmarkStart w:id="6" w:name="_Toc180208921"/>
      <w:bookmarkStart w:id="7" w:name="_Toc180209052"/>
      <w:bookmarkStart w:id="8" w:name="_Toc182049920"/>
      <w:bookmarkStart w:id="9" w:name="_Toc195456477"/>
      <w:r w:rsidRPr="00BC50C9">
        <w:rPr>
          <w:rFonts w:hint="cs"/>
          <w:rtl/>
        </w:rPr>
        <w:lastRenderedPageBreak/>
        <w:t>الشكر والتقدير</w:t>
      </w:r>
      <w:bookmarkEnd w:id="6"/>
      <w:bookmarkEnd w:id="7"/>
      <w:bookmarkEnd w:id="8"/>
      <w:bookmarkEnd w:id="9"/>
    </w:p>
    <w:p w14:paraId="7E31DAA0" w14:textId="77777777" w:rsidR="00BC50C9" w:rsidRPr="00BC50C9" w:rsidRDefault="00BC50C9" w:rsidP="00BC50C9">
      <w:pPr>
        <w:pStyle w:val="00000"/>
      </w:pPr>
      <w:r w:rsidRPr="00BC50C9">
        <w:rPr>
          <w:rtl/>
        </w:rPr>
        <w:t>بمشاعر يغمرها الامتنان، وبلسان يعجز عن الوفاء بكل من وقف إلى جانبي، أبدأ كلمتي بشكر الله عز وجل على توفيقه وفضله، فما كان لهذا الجهد أن يكتمل لولا عونه ورعايته</w:t>
      </w:r>
      <w:r w:rsidRPr="00BC50C9">
        <w:t>.</w:t>
      </w:r>
      <w:r w:rsidRPr="00BC50C9">
        <w:br/>
      </w:r>
      <w:r w:rsidRPr="00BC50C9">
        <w:rPr>
          <w:rtl/>
        </w:rPr>
        <w:t>لقد كانت رحلة البحث مليئة بالتحديات، لكنها أيضًا زاخرة بالدروس والدعم الذي تلقيته من أشخاص تركوا في نفسي أثرًا لا يُنسى</w:t>
      </w:r>
      <w:r w:rsidRPr="00BC50C9">
        <w:t>.</w:t>
      </w:r>
    </w:p>
    <w:p w14:paraId="599D1F70" w14:textId="11D1123B" w:rsidR="00BC50C9" w:rsidRPr="00BC50C9" w:rsidRDefault="00BC50C9" w:rsidP="00AD23A7">
      <w:pPr>
        <w:pStyle w:val="00000"/>
      </w:pPr>
      <w:r w:rsidRPr="00BC50C9">
        <w:rPr>
          <w:rtl/>
        </w:rPr>
        <w:t>أتقدم ببالغ التقدير إلى كل من أسهم بكلمة أو رأي أو دعم في هذه الرحلة العلمية، وأخص بالشكر أعضاء لجنة المناقشة الأفاضل</w:t>
      </w:r>
      <w:r w:rsidR="00AD23A7">
        <w:rPr>
          <w:rFonts w:hint="cs"/>
          <w:rtl/>
        </w:rPr>
        <w:t xml:space="preserve">، وعلى وجه الخصوص </w:t>
      </w:r>
      <w:r w:rsidR="00AD23A7" w:rsidRPr="00AD23A7">
        <w:rPr>
          <w:rFonts w:hint="cs"/>
          <w:b/>
          <w:bCs/>
          <w:rtl/>
        </w:rPr>
        <w:t>سعادة الدكتورة/</w:t>
      </w:r>
      <w:r w:rsidR="00AD23A7" w:rsidRPr="00AD23A7">
        <w:rPr>
          <w:b/>
          <w:bCs/>
          <w:rtl/>
        </w:rPr>
        <w:t xml:space="preserve"> بثينة محمود</w:t>
      </w:r>
      <w:r w:rsidR="00AD23A7" w:rsidRPr="00AD23A7">
        <w:rPr>
          <w:rtl/>
        </w:rPr>
        <w:t xml:space="preserve"> </w:t>
      </w:r>
      <w:r w:rsidR="00AD23A7">
        <w:rPr>
          <w:rFonts w:hint="cs"/>
          <w:rtl/>
        </w:rPr>
        <w:t>لما تكرمت به من وقت وجهد و</w:t>
      </w:r>
      <w:r w:rsidR="001A2558">
        <w:rPr>
          <w:rFonts w:hint="cs"/>
          <w:rtl/>
        </w:rPr>
        <w:t>إ</w:t>
      </w:r>
      <w:r w:rsidR="00AD23A7">
        <w:rPr>
          <w:rFonts w:hint="cs"/>
          <w:rtl/>
        </w:rPr>
        <w:t xml:space="preserve">ثراء علمي. </w:t>
      </w:r>
    </w:p>
    <w:p w14:paraId="7BCBFA81" w14:textId="2BB23A7F" w:rsidR="00BC50C9" w:rsidRPr="00BC50C9" w:rsidRDefault="00BC50C9" w:rsidP="00BC50C9">
      <w:pPr>
        <w:pStyle w:val="00000"/>
      </w:pPr>
      <w:r w:rsidRPr="00BC50C9">
        <w:rPr>
          <w:rtl/>
        </w:rPr>
        <w:t xml:space="preserve">كما أرفع أسمى عبارات التقدير والعرفان لأستاذي المشرف، الأستاذ </w:t>
      </w:r>
      <w:r w:rsidRPr="00151F97">
        <w:rPr>
          <w:b/>
          <w:bCs/>
          <w:rtl/>
        </w:rPr>
        <w:t>الدكتور/</w:t>
      </w:r>
      <w:r w:rsidR="00151F97" w:rsidRPr="00151F97">
        <w:rPr>
          <w:b/>
          <w:bCs/>
          <w:rtl/>
        </w:rPr>
        <w:t xml:space="preserve"> احمد راجح</w:t>
      </w:r>
      <w:r w:rsidRPr="00151F97">
        <w:rPr>
          <w:b/>
          <w:bCs/>
          <w:rtl/>
        </w:rPr>
        <w:t>،</w:t>
      </w:r>
      <w:r w:rsidRPr="00BC50C9">
        <w:rPr>
          <w:rtl/>
        </w:rPr>
        <w:t xml:space="preserve"> الذي لم يكن فقط مشرفًا على هذا العمل، بل كان مثالاً يُحتذى في العلم والأخلاق والحرص على التوجيه الدقيق</w:t>
      </w:r>
      <w:r w:rsidR="00151F97">
        <w:rPr>
          <w:rFonts w:hint="cs"/>
          <w:rtl/>
        </w:rPr>
        <w:t>،</w:t>
      </w:r>
      <w:r w:rsidRPr="00BC50C9">
        <w:rPr>
          <w:rtl/>
        </w:rPr>
        <w:t xml:space="preserve"> لقد تعلمت منه الكثير، وكان لعطائه الهادئ ودعمه الصادق بالغ الأثر في تشكيل هذه الرسالة</w:t>
      </w:r>
      <w:r w:rsidRPr="00BC50C9">
        <w:t>.</w:t>
      </w:r>
    </w:p>
    <w:p w14:paraId="1BFDDDE0"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75358CB9"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226497CF"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0820AAC2"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68437DAF"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00399F09"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3D96C46E"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5BFA9796"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379645BC"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1AFE1AE3"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215A24EC"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1A473CE4" w14:textId="77777777" w:rsidR="00FA6718" w:rsidRDefault="00FA6718" w:rsidP="00BC50C9">
      <w:pPr>
        <w:spacing w:before="120" w:after="120" w:line="240" w:lineRule="auto"/>
        <w:jc w:val="center"/>
        <w:rPr>
          <w:rFonts w:ascii="Times New Roman" w:hAnsi="Times New Roman" w:cs="Simplified Arabic"/>
          <w:b/>
          <w:bCs/>
          <w:sz w:val="24"/>
          <w:szCs w:val="28"/>
          <w:rtl/>
          <w:lang w:bidi="ar-EG"/>
        </w:rPr>
      </w:pPr>
    </w:p>
    <w:p w14:paraId="204ED7DA" w14:textId="77777777" w:rsidR="00E851F9" w:rsidRDefault="00E851F9" w:rsidP="00BC50C9">
      <w:pPr>
        <w:spacing w:before="120" w:after="120" w:line="240" w:lineRule="auto"/>
        <w:jc w:val="center"/>
        <w:rPr>
          <w:rFonts w:ascii="Times New Roman" w:hAnsi="Times New Roman" w:cs="Simplified Arabic"/>
          <w:b/>
          <w:bCs/>
          <w:sz w:val="24"/>
          <w:szCs w:val="28"/>
          <w:rtl/>
          <w:lang w:bidi="ar-EG"/>
        </w:rPr>
      </w:pPr>
    </w:p>
    <w:p w14:paraId="3CFEA6EA" w14:textId="77777777" w:rsidR="00C17932" w:rsidRPr="00BC50C9" w:rsidRDefault="00C17932" w:rsidP="00BC50C9">
      <w:pPr>
        <w:spacing w:before="120" w:after="120" w:line="240" w:lineRule="auto"/>
        <w:jc w:val="center"/>
        <w:rPr>
          <w:rFonts w:ascii="Times New Roman" w:hAnsi="Times New Roman" w:cs="Simplified Arabic"/>
          <w:b/>
          <w:bCs/>
          <w:sz w:val="24"/>
          <w:szCs w:val="28"/>
          <w:rtl/>
          <w:lang w:bidi="ar-EG"/>
        </w:rPr>
      </w:pPr>
    </w:p>
    <w:p w14:paraId="39F7B16C" w14:textId="77777777" w:rsidR="00FA6718" w:rsidRPr="00BC50C9" w:rsidRDefault="00FA6718" w:rsidP="00BC50C9">
      <w:pPr>
        <w:spacing w:before="120" w:after="120" w:line="240" w:lineRule="auto"/>
        <w:jc w:val="center"/>
        <w:rPr>
          <w:rFonts w:ascii="Times New Roman" w:hAnsi="Times New Roman" w:cs="Simplified Arabic"/>
          <w:b/>
          <w:bCs/>
          <w:sz w:val="24"/>
          <w:szCs w:val="28"/>
          <w:rtl/>
          <w:lang w:bidi="ar-EG"/>
        </w:rPr>
      </w:pPr>
    </w:p>
    <w:p w14:paraId="4F7BA66E" w14:textId="77777777" w:rsidR="00FA6718" w:rsidRPr="00BC50C9" w:rsidRDefault="00FA6718" w:rsidP="002D4119">
      <w:pPr>
        <w:pStyle w:val="11110"/>
        <w:rPr>
          <w:rtl/>
          <w:lang w:bidi="ar-EG"/>
        </w:rPr>
      </w:pPr>
      <w:bookmarkStart w:id="10" w:name="_Toc180208922"/>
      <w:bookmarkStart w:id="11" w:name="_Toc180209053"/>
      <w:bookmarkStart w:id="12" w:name="_Toc182049921"/>
      <w:bookmarkStart w:id="13" w:name="_Toc195456478"/>
      <w:r w:rsidRPr="00BC50C9">
        <w:rPr>
          <w:rFonts w:hint="cs"/>
          <w:rtl/>
          <w:lang w:bidi="ar-EG"/>
        </w:rPr>
        <w:lastRenderedPageBreak/>
        <w:t>فهرس المحتويات</w:t>
      </w:r>
      <w:bookmarkEnd w:id="10"/>
      <w:bookmarkEnd w:id="11"/>
      <w:bookmarkEnd w:id="12"/>
      <w:bookmarkEnd w:id="13"/>
    </w:p>
    <w:p w14:paraId="284D2377" w14:textId="7A55BF09" w:rsidR="002F1B79" w:rsidRPr="002D4119" w:rsidRDefault="002F1B79" w:rsidP="00103CD9">
      <w:pPr>
        <w:pStyle w:val="22"/>
        <w:rPr>
          <w:rFonts w:eastAsiaTheme="minorEastAsia"/>
          <w:b/>
          <w:bCs/>
          <w:kern w:val="2"/>
          <w:sz w:val="24"/>
          <w:szCs w:val="24"/>
          <w14:ligatures w14:val="standardContextual"/>
        </w:rPr>
      </w:pPr>
      <w:r w:rsidRPr="0027679E">
        <w:rPr>
          <w:b/>
          <w:bCs/>
          <w:rtl/>
          <w:lang w:bidi="ar-EG"/>
        </w:rPr>
        <w:fldChar w:fldCharType="begin"/>
      </w:r>
      <w:r w:rsidRPr="0027679E">
        <w:rPr>
          <w:b/>
          <w:bCs/>
          <w:rtl/>
          <w:lang w:bidi="ar-EG"/>
        </w:rPr>
        <w:instrText xml:space="preserve"> </w:instrText>
      </w:r>
      <w:r w:rsidRPr="0027679E">
        <w:rPr>
          <w:b/>
          <w:bCs/>
          <w:lang w:bidi="ar-EG"/>
        </w:rPr>
        <w:instrText>TOC</w:instrText>
      </w:r>
      <w:r w:rsidRPr="0027679E">
        <w:rPr>
          <w:b/>
          <w:bCs/>
          <w:rtl/>
          <w:lang w:bidi="ar-EG"/>
        </w:rPr>
        <w:instrText xml:space="preserve"> \</w:instrText>
      </w:r>
      <w:r w:rsidRPr="0027679E">
        <w:rPr>
          <w:b/>
          <w:bCs/>
          <w:lang w:bidi="ar-EG"/>
        </w:rPr>
        <w:instrText>o "1-3" \h \z \u</w:instrText>
      </w:r>
      <w:r w:rsidRPr="0027679E">
        <w:rPr>
          <w:b/>
          <w:bCs/>
          <w:rtl/>
          <w:lang w:bidi="ar-EG"/>
        </w:rPr>
        <w:instrText xml:space="preserve"> </w:instrText>
      </w:r>
      <w:r w:rsidRPr="0027679E">
        <w:rPr>
          <w:b/>
          <w:bCs/>
          <w:rtl/>
          <w:lang w:bidi="ar-EG"/>
        </w:rPr>
        <w:fldChar w:fldCharType="separate"/>
      </w:r>
      <w:hyperlink w:anchor="_Toc195456476" w:history="1">
        <w:r w:rsidRPr="002D4119">
          <w:rPr>
            <w:rStyle w:val="Hyperlink"/>
            <w:b/>
            <w:bCs/>
            <w:sz w:val="24"/>
            <w:szCs w:val="24"/>
            <w:rtl/>
          </w:rPr>
          <w:t>المستخلص</w:t>
        </w:r>
        <w:r w:rsidRPr="002D4119">
          <w:rPr>
            <w:b/>
            <w:bCs/>
            <w:webHidden/>
            <w:sz w:val="24"/>
            <w:szCs w:val="24"/>
          </w:rPr>
          <w:tab/>
        </w:r>
        <w:r w:rsidRPr="002D4119">
          <w:rPr>
            <w:b/>
            <w:bCs/>
            <w:webHidden/>
            <w:sz w:val="24"/>
            <w:szCs w:val="24"/>
          </w:rPr>
          <w:fldChar w:fldCharType="begin"/>
        </w:r>
        <w:r w:rsidRPr="002D4119">
          <w:rPr>
            <w:b/>
            <w:bCs/>
            <w:webHidden/>
            <w:sz w:val="24"/>
            <w:szCs w:val="24"/>
          </w:rPr>
          <w:instrText xml:space="preserve"> PAGEREF _Toc195456476 \h </w:instrText>
        </w:r>
        <w:r w:rsidRPr="002D4119">
          <w:rPr>
            <w:b/>
            <w:bCs/>
            <w:webHidden/>
            <w:sz w:val="24"/>
            <w:szCs w:val="24"/>
          </w:rPr>
        </w:r>
        <w:r w:rsidRPr="002D4119">
          <w:rPr>
            <w:b/>
            <w:bCs/>
            <w:webHidden/>
            <w:sz w:val="24"/>
            <w:szCs w:val="24"/>
          </w:rPr>
          <w:fldChar w:fldCharType="separate"/>
        </w:r>
        <w:r w:rsidR="00E77DA0">
          <w:rPr>
            <w:rFonts w:hint="eastAsia"/>
            <w:b/>
            <w:bCs/>
            <w:webHidden/>
            <w:sz w:val="24"/>
            <w:szCs w:val="24"/>
            <w:rtl/>
          </w:rPr>
          <w:t>‌ج</w:t>
        </w:r>
        <w:r w:rsidRPr="002D4119">
          <w:rPr>
            <w:b/>
            <w:bCs/>
            <w:webHidden/>
            <w:sz w:val="24"/>
            <w:szCs w:val="24"/>
          </w:rPr>
          <w:fldChar w:fldCharType="end"/>
        </w:r>
      </w:hyperlink>
    </w:p>
    <w:p w14:paraId="325642EE" w14:textId="7CC44CE8" w:rsidR="002F1B79" w:rsidRPr="002D4119" w:rsidRDefault="002F1B79" w:rsidP="00103CD9">
      <w:pPr>
        <w:pStyle w:val="22"/>
        <w:rPr>
          <w:rFonts w:eastAsiaTheme="minorEastAsia"/>
          <w:b/>
          <w:bCs/>
          <w:kern w:val="2"/>
          <w:sz w:val="24"/>
          <w:szCs w:val="24"/>
          <w14:ligatures w14:val="standardContextual"/>
        </w:rPr>
      </w:pPr>
      <w:hyperlink w:anchor="_Toc195456477" w:history="1">
        <w:r w:rsidRPr="002D4119">
          <w:rPr>
            <w:rStyle w:val="Hyperlink"/>
            <w:b/>
            <w:bCs/>
            <w:sz w:val="24"/>
            <w:szCs w:val="24"/>
            <w:rtl/>
          </w:rPr>
          <w:t>الشكر والتقدير</w:t>
        </w:r>
        <w:r w:rsidRPr="002D4119">
          <w:rPr>
            <w:b/>
            <w:bCs/>
            <w:webHidden/>
            <w:sz w:val="24"/>
            <w:szCs w:val="24"/>
          </w:rPr>
          <w:tab/>
        </w:r>
        <w:r w:rsidRPr="002D4119">
          <w:rPr>
            <w:b/>
            <w:bCs/>
            <w:webHidden/>
            <w:sz w:val="24"/>
            <w:szCs w:val="24"/>
          </w:rPr>
          <w:fldChar w:fldCharType="begin"/>
        </w:r>
        <w:r w:rsidRPr="002D4119">
          <w:rPr>
            <w:b/>
            <w:bCs/>
            <w:webHidden/>
            <w:sz w:val="24"/>
            <w:szCs w:val="24"/>
          </w:rPr>
          <w:instrText xml:space="preserve"> PAGEREF _Toc195456477 \h </w:instrText>
        </w:r>
        <w:r w:rsidRPr="002D4119">
          <w:rPr>
            <w:b/>
            <w:bCs/>
            <w:webHidden/>
            <w:sz w:val="24"/>
            <w:szCs w:val="24"/>
          </w:rPr>
        </w:r>
        <w:r w:rsidRPr="002D4119">
          <w:rPr>
            <w:b/>
            <w:bCs/>
            <w:webHidden/>
            <w:sz w:val="24"/>
            <w:szCs w:val="24"/>
          </w:rPr>
          <w:fldChar w:fldCharType="separate"/>
        </w:r>
        <w:r w:rsidR="00E77DA0">
          <w:rPr>
            <w:rFonts w:hint="eastAsia"/>
            <w:b/>
            <w:bCs/>
            <w:webHidden/>
            <w:sz w:val="24"/>
            <w:szCs w:val="24"/>
            <w:rtl/>
          </w:rPr>
          <w:t>‌د</w:t>
        </w:r>
        <w:r w:rsidRPr="002D4119">
          <w:rPr>
            <w:b/>
            <w:bCs/>
            <w:webHidden/>
            <w:sz w:val="24"/>
            <w:szCs w:val="24"/>
          </w:rPr>
          <w:fldChar w:fldCharType="end"/>
        </w:r>
      </w:hyperlink>
    </w:p>
    <w:p w14:paraId="4C0FE0D4" w14:textId="25636E1C" w:rsidR="002D4119" w:rsidRPr="002D4119" w:rsidRDefault="002D4119" w:rsidP="002D4119">
      <w:pPr>
        <w:pStyle w:val="22"/>
        <w:rPr>
          <w:rFonts w:eastAsiaTheme="minorEastAsia"/>
          <w:b/>
          <w:bCs/>
          <w:kern w:val="2"/>
          <w:sz w:val="24"/>
          <w:szCs w:val="24"/>
          <w14:ligatures w14:val="standardContextual"/>
        </w:rPr>
      </w:pPr>
      <w:hyperlink w:anchor="_Toc195456478" w:history="1">
        <w:r w:rsidRPr="002D4119">
          <w:rPr>
            <w:rStyle w:val="Hyperlink"/>
            <w:b/>
            <w:bCs/>
            <w:sz w:val="24"/>
            <w:szCs w:val="24"/>
            <w:rtl/>
            <w:lang w:bidi="ar-EG"/>
          </w:rPr>
          <w:t>فهرس المحتويات</w:t>
        </w:r>
        <w:r w:rsidRPr="002D4119">
          <w:rPr>
            <w:b/>
            <w:bCs/>
            <w:webHidden/>
            <w:sz w:val="24"/>
            <w:szCs w:val="24"/>
          </w:rPr>
          <w:tab/>
        </w:r>
        <w:r w:rsidRPr="002D4119">
          <w:rPr>
            <w:b/>
            <w:bCs/>
            <w:webHidden/>
            <w:sz w:val="24"/>
            <w:szCs w:val="24"/>
          </w:rPr>
          <w:fldChar w:fldCharType="begin"/>
        </w:r>
        <w:r w:rsidRPr="002D4119">
          <w:rPr>
            <w:b/>
            <w:bCs/>
            <w:webHidden/>
            <w:sz w:val="24"/>
            <w:szCs w:val="24"/>
          </w:rPr>
          <w:instrText xml:space="preserve"> PAGEREF _Toc195456478 \h </w:instrText>
        </w:r>
        <w:r w:rsidRPr="002D4119">
          <w:rPr>
            <w:b/>
            <w:bCs/>
            <w:webHidden/>
            <w:sz w:val="24"/>
            <w:szCs w:val="24"/>
          </w:rPr>
        </w:r>
        <w:r w:rsidRPr="002D4119">
          <w:rPr>
            <w:b/>
            <w:bCs/>
            <w:webHidden/>
            <w:sz w:val="24"/>
            <w:szCs w:val="24"/>
          </w:rPr>
          <w:fldChar w:fldCharType="separate"/>
        </w:r>
        <w:r w:rsidR="00E77DA0">
          <w:rPr>
            <w:rFonts w:hint="eastAsia"/>
            <w:b/>
            <w:bCs/>
            <w:webHidden/>
            <w:sz w:val="24"/>
            <w:szCs w:val="24"/>
            <w:rtl/>
          </w:rPr>
          <w:t>‌ه</w:t>
        </w:r>
        <w:r w:rsidRPr="002D4119">
          <w:rPr>
            <w:b/>
            <w:bCs/>
            <w:webHidden/>
            <w:sz w:val="24"/>
            <w:szCs w:val="24"/>
          </w:rPr>
          <w:fldChar w:fldCharType="end"/>
        </w:r>
      </w:hyperlink>
    </w:p>
    <w:p w14:paraId="72EC0F53" w14:textId="0A9C6988" w:rsidR="002D4119" w:rsidRPr="002D4119" w:rsidRDefault="002D4119" w:rsidP="002D4119">
      <w:pPr>
        <w:pStyle w:val="22"/>
        <w:rPr>
          <w:rFonts w:eastAsiaTheme="minorEastAsia"/>
          <w:b/>
          <w:bCs/>
          <w:kern w:val="2"/>
          <w:sz w:val="24"/>
          <w:szCs w:val="24"/>
          <w14:ligatures w14:val="standardContextual"/>
        </w:rPr>
      </w:pPr>
      <w:hyperlink w:anchor="_Toc195456478" w:history="1">
        <w:r w:rsidRPr="002D4119">
          <w:rPr>
            <w:rStyle w:val="Hyperlink"/>
            <w:b/>
            <w:bCs/>
            <w:sz w:val="24"/>
            <w:szCs w:val="24"/>
            <w:rtl/>
            <w:lang w:bidi="ar-EG"/>
          </w:rPr>
          <w:t xml:space="preserve">فهرس </w:t>
        </w:r>
        <w:r w:rsidRPr="002D4119">
          <w:rPr>
            <w:rStyle w:val="Hyperlink"/>
            <w:rFonts w:hint="cs"/>
            <w:b/>
            <w:bCs/>
            <w:sz w:val="24"/>
            <w:szCs w:val="24"/>
            <w:rtl/>
            <w:lang w:bidi="ar-EG"/>
          </w:rPr>
          <w:t>الجداول</w:t>
        </w:r>
        <w:r w:rsidRPr="002D4119">
          <w:rPr>
            <w:b/>
            <w:bCs/>
            <w:webHidden/>
            <w:sz w:val="24"/>
            <w:szCs w:val="24"/>
          </w:rPr>
          <w:tab/>
        </w:r>
        <w:r w:rsidRPr="002D4119">
          <w:rPr>
            <w:rFonts w:hint="cs"/>
            <w:b/>
            <w:bCs/>
            <w:webHidden/>
            <w:sz w:val="24"/>
            <w:szCs w:val="24"/>
            <w:rtl/>
          </w:rPr>
          <w:t>ح</w:t>
        </w:r>
      </w:hyperlink>
    </w:p>
    <w:p w14:paraId="32526EDE" w14:textId="07C5BF04" w:rsidR="002F1B79" w:rsidRPr="002D4119" w:rsidRDefault="002F1B79" w:rsidP="00103CD9">
      <w:pPr>
        <w:pStyle w:val="22"/>
        <w:rPr>
          <w:rFonts w:eastAsiaTheme="minorEastAsia"/>
          <w:b/>
          <w:bCs/>
          <w:kern w:val="2"/>
          <w:sz w:val="24"/>
          <w:szCs w:val="24"/>
          <w14:ligatures w14:val="standardContextual"/>
        </w:rPr>
      </w:pPr>
      <w:hyperlink w:anchor="_Toc195456478" w:history="1">
        <w:r w:rsidRPr="002D4119">
          <w:rPr>
            <w:rStyle w:val="Hyperlink"/>
            <w:b/>
            <w:bCs/>
            <w:sz w:val="24"/>
            <w:szCs w:val="24"/>
            <w:rtl/>
            <w:lang w:bidi="ar-EG"/>
          </w:rPr>
          <w:t xml:space="preserve">فهرس </w:t>
        </w:r>
        <w:r w:rsidR="002D4119" w:rsidRPr="002D4119">
          <w:rPr>
            <w:rStyle w:val="Hyperlink"/>
            <w:rFonts w:hint="cs"/>
            <w:b/>
            <w:bCs/>
            <w:sz w:val="24"/>
            <w:szCs w:val="24"/>
            <w:rtl/>
            <w:lang w:bidi="ar-EG"/>
          </w:rPr>
          <w:t>الأشكال</w:t>
        </w:r>
        <w:r w:rsidRPr="002D4119">
          <w:rPr>
            <w:b/>
            <w:bCs/>
            <w:webHidden/>
            <w:sz w:val="24"/>
            <w:szCs w:val="24"/>
          </w:rPr>
          <w:tab/>
        </w:r>
        <w:r w:rsidR="002D4119" w:rsidRPr="002D4119">
          <w:rPr>
            <w:rFonts w:hint="cs"/>
            <w:b/>
            <w:bCs/>
            <w:webHidden/>
            <w:sz w:val="24"/>
            <w:szCs w:val="24"/>
            <w:rtl/>
          </w:rPr>
          <w:t>ط</w:t>
        </w:r>
      </w:hyperlink>
    </w:p>
    <w:p w14:paraId="1F73FC4A" w14:textId="4C4E2A45"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479" w:history="1">
        <w:r w:rsidRPr="002D4119">
          <w:rPr>
            <w:rStyle w:val="Hyperlink"/>
            <w:rFonts w:ascii="Simplified Arabic" w:hAnsi="Simplified Arabic" w:cs="Simplified Arabic"/>
            <w:b/>
            <w:bCs/>
            <w:noProof/>
            <w:sz w:val="24"/>
            <w:szCs w:val="24"/>
            <w:rtl/>
          </w:rPr>
          <w:t>الفصل الأول: المقدمة والإطار النظري</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_Toc195456479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1</w:t>
        </w:r>
        <w:r w:rsidRPr="002D4119">
          <w:rPr>
            <w:rFonts w:ascii="Simplified Arabic" w:hAnsi="Simplified Arabic" w:cs="Simplified Arabic"/>
            <w:b/>
            <w:bCs/>
            <w:noProof/>
            <w:webHidden/>
            <w:sz w:val="24"/>
            <w:szCs w:val="24"/>
          </w:rPr>
          <w:fldChar w:fldCharType="end"/>
        </w:r>
      </w:hyperlink>
    </w:p>
    <w:p w14:paraId="3FA25ADB" w14:textId="5B479B7B" w:rsidR="002F1B79" w:rsidRPr="002D4119" w:rsidRDefault="002F1B79" w:rsidP="00103CD9">
      <w:pPr>
        <w:pStyle w:val="22"/>
        <w:rPr>
          <w:rFonts w:eastAsiaTheme="minorEastAsia"/>
          <w:kern w:val="2"/>
          <w:sz w:val="24"/>
          <w:szCs w:val="24"/>
          <w14:ligatures w14:val="standardContextual"/>
        </w:rPr>
      </w:pPr>
      <w:hyperlink w:anchor="_Toc195456480" w:history="1">
        <w:r w:rsidRPr="002D4119">
          <w:rPr>
            <w:rStyle w:val="Hyperlink"/>
            <w:sz w:val="24"/>
            <w:szCs w:val="24"/>
            <w:rtl/>
            <w:lang w:bidi="ar-EG"/>
          </w:rPr>
          <w:t>1.1 مقدمة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_Toc195456480 \h </w:instrText>
        </w:r>
        <w:r w:rsidRPr="002D4119">
          <w:rPr>
            <w:webHidden/>
            <w:sz w:val="24"/>
            <w:szCs w:val="24"/>
          </w:rPr>
        </w:r>
        <w:r w:rsidRPr="002D4119">
          <w:rPr>
            <w:webHidden/>
            <w:sz w:val="24"/>
            <w:szCs w:val="24"/>
          </w:rPr>
          <w:fldChar w:fldCharType="separate"/>
        </w:r>
        <w:r w:rsidR="00E77DA0">
          <w:rPr>
            <w:webHidden/>
            <w:sz w:val="24"/>
            <w:szCs w:val="24"/>
            <w:rtl/>
          </w:rPr>
          <w:t>1</w:t>
        </w:r>
        <w:r w:rsidRPr="002D4119">
          <w:rPr>
            <w:webHidden/>
            <w:sz w:val="24"/>
            <w:szCs w:val="24"/>
          </w:rPr>
          <w:fldChar w:fldCharType="end"/>
        </w:r>
      </w:hyperlink>
    </w:p>
    <w:p w14:paraId="52845155" w14:textId="4BD51350" w:rsidR="002F1B79" w:rsidRPr="002D4119" w:rsidRDefault="002F1B79" w:rsidP="00103CD9">
      <w:pPr>
        <w:pStyle w:val="22"/>
        <w:rPr>
          <w:rFonts w:eastAsiaTheme="minorEastAsia"/>
          <w:kern w:val="2"/>
          <w:sz w:val="24"/>
          <w:szCs w:val="24"/>
          <w14:ligatures w14:val="standardContextual"/>
        </w:rPr>
      </w:pPr>
      <w:hyperlink w:anchor="_Toc195456481" w:history="1">
        <w:r w:rsidRPr="002D4119">
          <w:rPr>
            <w:rStyle w:val="Hyperlink"/>
            <w:sz w:val="24"/>
            <w:szCs w:val="24"/>
            <w:rtl/>
            <w:lang w:bidi="ar-EG"/>
          </w:rPr>
          <w:t>2.1 المنطلقات النظرية للدراسة: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_Toc195456481 \h </w:instrText>
        </w:r>
        <w:r w:rsidRPr="002D4119">
          <w:rPr>
            <w:webHidden/>
            <w:sz w:val="24"/>
            <w:szCs w:val="24"/>
          </w:rPr>
        </w:r>
        <w:r w:rsidRPr="002D4119">
          <w:rPr>
            <w:webHidden/>
            <w:sz w:val="24"/>
            <w:szCs w:val="24"/>
          </w:rPr>
          <w:fldChar w:fldCharType="separate"/>
        </w:r>
        <w:r w:rsidR="00E77DA0">
          <w:rPr>
            <w:webHidden/>
            <w:sz w:val="24"/>
            <w:szCs w:val="24"/>
            <w:rtl/>
          </w:rPr>
          <w:t>4</w:t>
        </w:r>
        <w:r w:rsidRPr="002D4119">
          <w:rPr>
            <w:webHidden/>
            <w:sz w:val="24"/>
            <w:szCs w:val="24"/>
          </w:rPr>
          <w:fldChar w:fldCharType="end"/>
        </w:r>
      </w:hyperlink>
    </w:p>
    <w:p w14:paraId="3931188C" w14:textId="27D66967" w:rsidR="002F1B79" w:rsidRPr="002D4119" w:rsidRDefault="002F1B79" w:rsidP="00103CD9">
      <w:pPr>
        <w:pStyle w:val="22"/>
        <w:rPr>
          <w:rFonts w:eastAsiaTheme="minorEastAsia"/>
          <w:kern w:val="2"/>
          <w:sz w:val="24"/>
          <w:szCs w:val="24"/>
          <w14:ligatures w14:val="standardContextual"/>
        </w:rPr>
      </w:pPr>
      <w:hyperlink w:anchor="_Toc195456482" w:history="1">
        <w:r w:rsidRPr="002D4119">
          <w:rPr>
            <w:rStyle w:val="Hyperlink"/>
            <w:sz w:val="24"/>
            <w:szCs w:val="24"/>
            <w:rtl/>
            <w:lang w:bidi="ar-EG"/>
          </w:rPr>
          <w:t>3.1 المبحث الأول: المنصات الإلكترونية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_Toc195456482 \h </w:instrText>
        </w:r>
        <w:r w:rsidRPr="002D4119">
          <w:rPr>
            <w:webHidden/>
            <w:sz w:val="24"/>
            <w:szCs w:val="24"/>
          </w:rPr>
        </w:r>
        <w:r w:rsidRPr="002D4119">
          <w:rPr>
            <w:webHidden/>
            <w:sz w:val="24"/>
            <w:szCs w:val="24"/>
          </w:rPr>
          <w:fldChar w:fldCharType="separate"/>
        </w:r>
        <w:r w:rsidR="00E77DA0">
          <w:rPr>
            <w:webHidden/>
            <w:sz w:val="24"/>
            <w:szCs w:val="24"/>
            <w:rtl/>
          </w:rPr>
          <w:t>6</w:t>
        </w:r>
        <w:r w:rsidRPr="002D4119">
          <w:rPr>
            <w:webHidden/>
            <w:sz w:val="24"/>
            <w:szCs w:val="24"/>
          </w:rPr>
          <w:fldChar w:fldCharType="end"/>
        </w:r>
      </w:hyperlink>
    </w:p>
    <w:p w14:paraId="2B879791" w14:textId="10CBAEC1"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3" w:history="1">
        <w:r w:rsidRPr="002D4119">
          <w:rPr>
            <w:rStyle w:val="Hyperlink"/>
            <w:rFonts w:ascii="Simplified Arabic" w:hAnsi="Simplified Arabic" w:cs="Simplified Arabic"/>
            <w:noProof/>
            <w:sz w:val="24"/>
            <w:szCs w:val="24"/>
            <w:rtl/>
          </w:rPr>
          <w:t>1.3.1 مقدمة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6</w:t>
        </w:r>
        <w:r w:rsidRPr="002D4119">
          <w:rPr>
            <w:rFonts w:ascii="Simplified Arabic" w:hAnsi="Simplified Arabic" w:cs="Simplified Arabic"/>
            <w:noProof/>
            <w:webHidden/>
            <w:sz w:val="24"/>
            <w:szCs w:val="24"/>
          </w:rPr>
          <w:fldChar w:fldCharType="end"/>
        </w:r>
      </w:hyperlink>
    </w:p>
    <w:p w14:paraId="0BCE4DF3" w14:textId="0B7F6E07"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4" w:history="1">
        <w:r w:rsidRPr="002D4119">
          <w:rPr>
            <w:rStyle w:val="Hyperlink"/>
            <w:rFonts w:ascii="Simplified Arabic" w:hAnsi="Simplified Arabic" w:cs="Simplified Arabic"/>
            <w:noProof/>
            <w:sz w:val="24"/>
            <w:szCs w:val="24"/>
            <w:rtl/>
          </w:rPr>
          <w:t>2.3.1 مفهوم المنصات الإلكترونية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7</w:t>
        </w:r>
        <w:r w:rsidRPr="002D4119">
          <w:rPr>
            <w:rFonts w:ascii="Simplified Arabic" w:hAnsi="Simplified Arabic" w:cs="Simplified Arabic"/>
            <w:noProof/>
            <w:webHidden/>
            <w:sz w:val="24"/>
            <w:szCs w:val="24"/>
          </w:rPr>
          <w:fldChar w:fldCharType="end"/>
        </w:r>
      </w:hyperlink>
    </w:p>
    <w:p w14:paraId="04912691" w14:textId="25DE3A5B"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5" w:history="1">
        <w:r w:rsidRPr="002D4119">
          <w:rPr>
            <w:rStyle w:val="Hyperlink"/>
            <w:rFonts w:ascii="Simplified Arabic" w:hAnsi="Simplified Arabic" w:cs="Simplified Arabic"/>
            <w:noProof/>
            <w:sz w:val="24"/>
            <w:szCs w:val="24"/>
            <w:rtl/>
          </w:rPr>
          <w:t>3.3.1 أهداف المنصات الإلكترونية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w:t>
        </w:r>
        <w:r w:rsidRPr="002D4119">
          <w:rPr>
            <w:rFonts w:ascii="Simplified Arabic" w:hAnsi="Simplified Arabic" w:cs="Simplified Arabic"/>
            <w:noProof/>
            <w:webHidden/>
            <w:sz w:val="24"/>
            <w:szCs w:val="24"/>
          </w:rPr>
          <w:fldChar w:fldCharType="end"/>
        </w:r>
      </w:hyperlink>
    </w:p>
    <w:p w14:paraId="4F81407F" w14:textId="6ED560AA"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6" w:history="1">
        <w:r w:rsidRPr="002D4119">
          <w:rPr>
            <w:rStyle w:val="Hyperlink"/>
            <w:rFonts w:ascii="Simplified Arabic" w:hAnsi="Simplified Arabic" w:cs="Simplified Arabic"/>
            <w:noProof/>
            <w:sz w:val="24"/>
            <w:szCs w:val="24"/>
            <w:rtl/>
          </w:rPr>
          <w:t>4.3.1 أهمية استخدام المنصات الإلكترونية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12</w:t>
        </w:r>
        <w:r w:rsidRPr="002D4119">
          <w:rPr>
            <w:rFonts w:ascii="Simplified Arabic" w:hAnsi="Simplified Arabic" w:cs="Simplified Arabic"/>
            <w:noProof/>
            <w:webHidden/>
            <w:sz w:val="24"/>
            <w:szCs w:val="24"/>
          </w:rPr>
          <w:fldChar w:fldCharType="end"/>
        </w:r>
      </w:hyperlink>
    </w:p>
    <w:p w14:paraId="2C942E57" w14:textId="57C42F91"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7" w:history="1">
        <w:r w:rsidRPr="002D4119">
          <w:rPr>
            <w:rStyle w:val="Hyperlink"/>
            <w:rFonts w:ascii="Simplified Arabic" w:hAnsi="Simplified Arabic" w:cs="Simplified Arabic"/>
            <w:noProof/>
            <w:sz w:val="24"/>
            <w:szCs w:val="24"/>
            <w:rtl/>
          </w:rPr>
          <w:t>5.3.1 أنواع المنصات الإلكترونية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_Toc195456487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14</w:t>
        </w:r>
        <w:r w:rsidRPr="002D4119">
          <w:rPr>
            <w:rFonts w:ascii="Simplified Arabic" w:hAnsi="Simplified Arabic" w:cs="Simplified Arabic"/>
            <w:noProof/>
            <w:webHidden/>
            <w:sz w:val="24"/>
            <w:szCs w:val="24"/>
          </w:rPr>
          <w:fldChar w:fldCharType="end"/>
        </w:r>
      </w:hyperlink>
    </w:p>
    <w:p w14:paraId="02210C20" w14:textId="6AE8532A"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89" w:history="1">
        <w:r w:rsidRPr="002D4119">
          <w:rPr>
            <w:rStyle w:val="Hyperlink"/>
            <w:rFonts w:ascii="Simplified Arabic" w:hAnsi="Simplified Arabic" w:cs="Simplified Arabic"/>
            <w:noProof/>
            <w:sz w:val="24"/>
            <w:szCs w:val="24"/>
            <w:rtl/>
          </w:rPr>
          <w:t>6.3.1 مزايا المنصات الإلكترونية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_Toc195456489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17</w:t>
        </w:r>
        <w:r w:rsidRPr="002D4119">
          <w:rPr>
            <w:rFonts w:ascii="Simplified Arabic" w:hAnsi="Simplified Arabic" w:cs="Simplified Arabic"/>
            <w:noProof/>
            <w:webHidden/>
            <w:sz w:val="24"/>
            <w:szCs w:val="24"/>
          </w:rPr>
          <w:fldChar w:fldCharType="end"/>
        </w:r>
      </w:hyperlink>
    </w:p>
    <w:p w14:paraId="48DAE6F0" w14:textId="2DFEEC8E"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0" w:history="1">
        <w:r w:rsidRPr="002D4119">
          <w:rPr>
            <w:rStyle w:val="Hyperlink"/>
            <w:rFonts w:ascii="Simplified Arabic" w:hAnsi="Simplified Arabic" w:cs="Simplified Arabic"/>
            <w:noProof/>
            <w:sz w:val="24"/>
            <w:szCs w:val="24"/>
            <w:rtl/>
            <w:lang w:bidi="ar-EG"/>
          </w:rPr>
          <w:t>7.3.1 تحديات تطوير المنصات الالكترونية في ريادة الأعمال الرقمية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_Toc195456490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19</w:t>
        </w:r>
        <w:r w:rsidRPr="002D4119">
          <w:rPr>
            <w:rFonts w:ascii="Simplified Arabic" w:hAnsi="Simplified Arabic" w:cs="Simplified Arabic"/>
            <w:noProof/>
            <w:webHidden/>
            <w:sz w:val="24"/>
            <w:szCs w:val="24"/>
          </w:rPr>
          <w:fldChar w:fldCharType="end"/>
        </w:r>
      </w:hyperlink>
    </w:p>
    <w:p w14:paraId="10DA71B0" w14:textId="68712272"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1" w:history="1">
        <w:r w:rsidRPr="002D4119">
          <w:rPr>
            <w:rStyle w:val="Hyperlink"/>
            <w:rFonts w:ascii="Simplified Arabic" w:hAnsi="Simplified Arabic" w:cs="Simplified Arabic"/>
            <w:noProof/>
            <w:sz w:val="24"/>
            <w:szCs w:val="24"/>
            <w:rtl/>
          </w:rPr>
          <w:t>8.3.1 دور المنصات الالكترونية في دعم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_Toc195456491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22</w:t>
        </w:r>
        <w:r w:rsidRPr="002D4119">
          <w:rPr>
            <w:rFonts w:ascii="Simplified Arabic" w:hAnsi="Simplified Arabic" w:cs="Simplified Arabic"/>
            <w:noProof/>
            <w:webHidden/>
            <w:sz w:val="24"/>
            <w:szCs w:val="24"/>
          </w:rPr>
          <w:fldChar w:fldCharType="end"/>
        </w:r>
      </w:hyperlink>
    </w:p>
    <w:p w14:paraId="27483804" w14:textId="4F35280E" w:rsidR="002F1B79" w:rsidRPr="002D4119" w:rsidRDefault="002F1B79" w:rsidP="00103CD9">
      <w:pPr>
        <w:pStyle w:val="22"/>
        <w:rPr>
          <w:rFonts w:eastAsiaTheme="minorEastAsia"/>
          <w:kern w:val="2"/>
          <w:sz w:val="24"/>
          <w:szCs w:val="24"/>
          <w14:ligatures w14:val="standardContextual"/>
        </w:rPr>
      </w:pPr>
      <w:hyperlink w:anchor="_Toc195456492" w:history="1">
        <w:r w:rsidRPr="002D4119">
          <w:rPr>
            <w:rStyle w:val="Hyperlink"/>
            <w:sz w:val="24"/>
            <w:szCs w:val="24"/>
            <w:rtl/>
            <w:lang w:bidi="ar-EG"/>
          </w:rPr>
          <w:t>4.1 المبحث الثاني: التمويل التشاركي</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_Toc195456492 \h </w:instrText>
        </w:r>
        <w:r w:rsidRPr="002D4119">
          <w:rPr>
            <w:webHidden/>
            <w:sz w:val="24"/>
            <w:szCs w:val="24"/>
          </w:rPr>
        </w:r>
        <w:r w:rsidRPr="002D4119">
          <w:rPr>
            <w:webHidden/>
            <w:sz w:val="24"/>
            <w:szCs w:val="24"/>
          </w:rPr>
          <w:fldChar w:fldCharType="separate"/>
        </w:r>
        <w:r w:rsidR="00E77DA0">
          <w:rPr>
            <w:webHidden/>
            <w:sz w:val="24"/>
            <w:szCs w:val="24"/>
            <w:rtl/>
          </w:rPr>
          <w:t>24</w:t>
        </w:r>
        <w:r w:rsidRPr="002D4119">
          <w:rPr>
            <w:webHidden/>
            <w:sz w:val="24"/>
            <w:szCs w:val="24"/>
          </w:rPr>
          <w:fldChar w:fldCharType="end"/>
        </w:r>
      </w:hyperlink>
    </w:p>
    <w:p w14:paraId="1899CB72" w14:textId="703E9737"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3" w:history="1">
        <w:r w:rsidRPr="002D4119">
          <w:rPr>
            <w:rStyle w:val="Hyperlink"/>
            <w:rFonts w:ascii="Simplified Arabic" w:hAnsi="Simplified Arabic" w:cs="Simplified Arabic"/>
            <w:noProof/>
            <w:sz w:val="24"/>
            <w:szCs w:val="24"/>
            <w:rtl/>
          </w:rPr>
          <w:t>1.4.1 مقدمة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24</w:t>
        </w:r>
        <w:r w:rsidRPr="002D4119">
          <w:rPr>
            <w:rFonts w:ascii="Simplified Arabic" w:hAnsi="Simplified Arabic" w:cs="Simplified Arabic"/>
            <w:noProof/>
            <w:webHidden/>
            <w:sz w:val="24"/>
            <w:szCs w:val="24"/>
          </w:rPr>
          <w:fldChar w:fldCharType="end"/>
        </w:r>
      </w:hyperlink>
    </w:p>
    <w:p w14:paraId="5F1E8DA8" w14:textId="143DE443"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4" w:history="1">
        <w:r w:rsidRPr="002D4119">
          <w:rPr>
            <w:rStyle w:val="Hyperlink"/>
            <w:rFonts w:ascii="Simplified Arabic" w:hAnsi="Simplified Arabic" w:cs="Simplified Arabic"/>
            <w:noProof/>
            <w:sz w:val="24"/>
            <w:szCs w:val="24"/>
            <w:rtl/>
          </w:rPr>
          <w:t>2.4.1 مفهوم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25</w:t>
        </w:r>
        <w:r w:rsidRPr="002D4119">
          <w:rPr>
            <w:rFonts w:ascii="Simplified Arabic" w:hAnsi="Simplified Arabic" w:cs="Simplified Arabic"/>
            <w:noProof/>
            <w:webHidden/>
            <w:sz w:val="24"/>
            <w:szCs w:val="24"/>
          </w:rPr>
          <w:fldChar w:fldCharType="end"/>
        </w:r>
      </w:hyperlink>
    </w:p>
    <w:p w14:paraId="322D5D8B" w14:textId="04C7AC55"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5" w:history="1">
        <w:r w:rsidRPr="002D4119">
          <w:rPr>
            <w:rStyle w:val="Hyperlink"/>
            <w:rFonts w:ascii="Simplified Arabic" w:hAnsi="Simplified Arabic" w:cs="Simplified Arabic"/>
            <w:noProof/>
            <w:sz w:val="24"/>
            <w:szCs w:val="24"/>
            <w:rtl/>
          </w:rPr>
          <w:t>3.4.1 خصائص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27</w:t>
        </w:r>
        <w:r w:rsidRPr="002D4119">
          <w:rPr>
            <w:rFonts w:ascii="Simplified Arabic" w:hAnsi="Simplified Arabic" w:cs="Simplified Arabic"/>
            <w:noProof/>
            <w:webHidden/>
            <w:sz w:val="24"/>
            <w:szCs w:val="24"/>
          </w:rPr>
          <w:fldChar w:fldCharType="end"/>
        </w:r>
      </w:hyperlink>
    </w:p>
    <w:p w14:paraId="116A6C79" w14:textId="3B46B360"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6" w:history="1">
        <w:r w:rsidRPr="002D4119">
          <w:rPr>
            <w:rStyle w:val="Hyperlink"/>
            <w:rFonts w:ascii="Simplified Arabic" w:hAnsi="Simplified Arabic" w:cs="Simplified Arabic"/>
            <w:noProof/>
            <w:sz w:val="24"/>
            <w:szCs w:val="24"/>
            <w:rtl/>
          </w:rPr>
          <w:t>4.4.1 أهمية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28</w:t>
        </w:r>
        <w:r w:rsidRPr="002D4119">
          <w:rPr>
            <w:rFonts w:ascii="Simplified Arabic" w:hAnsi="Simplified Arabic" w:cs="Simplified Arabic"/>
            <w:noProof/>
            <w:webHidden/>
            <w:sz w:val="24"/>
            <w:szCs w:val="24"/>
          </w:rPr>
          <w:fldChar w:fldCharType="end"/>
        </w:r>
      </w:hyperlink>
    </w:p>
    <w:p w14:paraId="3AD022AB" w14:textId="4659EF47"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7" w:history="1">
        <w:r w:rsidRPr="002D4119">
          <w:rPr>
            <w:rStyle w:val="Hyperlink"/>
            <w:rFonts w:ascii="Simplified Arabic" w:hAnsi="Simplified Arabic" w:cs="Simplified Arabic"/>
            <w:noProof/>
            <w:sz w:val="24"/>
            <w:szCs w:val="24"/>
            <w:rtl/>
          </w:rPr>
          <w:t>5.4.1 مبادئ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_Toc195456497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30</w:t>
        </w:r>
        <w:r w:rsidRPr="002D4119">
          <w:rPr>
            <w:rFonts w:ascii="Simplified Arabic" w:hAnsi="Simplified Arabic" w:cs="Simplified Arabic"/>
            <w:noProof/>
            <w:webHidden/>
            <w:sz w:val="24"/>
            <w:szCs w:val="24"/>
          </w:rPr>
          <w:fldChar w:fldCharType="end"/>
        </w:r>
      </w:hyperlink>
    </w:p>
    <w:p w14:paraId="5DCEC340" w14:textId="607F3D37"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8" w:history="1">
        <w:r w:rsidRPr="002D4119">
          <w:rPr>
            <w:rStyle w:val="Hyperlink"/>
            <w:rFonts w:ascii="Simplified Arabic" w:hAnsi="Simplified Arabic" w:cs="Simplified Arabic"/>
            <w:noProof/>
            <w:sz w:val="24"/>
            <w:szCs w:val="24"/>
            <w:rtl/>
          </w:rPr>
          <w:t>6.4.1 نماذج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_Toc195456498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31</w:t>
        </w:r>
        <w:r w:rsidRPr="002D4119">
          <w:rPr>
            <w:rFonts w:ascii="Simplified Arabic" w:hAnsi="Simplified Arabic" w:cs="Simplified Arabic"/>
            <w:noProof/>
            <w:webHidden/>
            <w:sz w:val="24"/>
            <w:szCs w:val="24"/>
          </w:rPr>
          <w:fldChar w:fldCharType="end"/>
        </w:r>
      </w:hyperlink>
    </w:p>
    <w:p w14:paraId="602552E1" w14:textId="4B325553"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499" w:history="1">
        <w:r w:rsidRPr="002D4119">
          <w:rPr>
            <w:rStyle w:val="Hyperlink"/>
            <w:rFonts w:ascii="Simplified Arabic" w:hAnsi="Simplified Arabic" w:cs="Simplified Arabic"/>
            <w:noProof/>
            <w:sz w:val="24"/>
            <w:szCs w:val="24"/>
            <w:rtl/>
          </w:rPr>
          <w:t>7.4.1 مخاطر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_Toc195456499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34</w:t>
        </w:r>
        <w:r w:rsidRPr="002D4119">
          <w:rPr>
            <w:rFonts w:ascii="Simplified Arabic" w:hAnsi="Simplified Arabic" w:cs="Simplified Arabic"/>
            <w:noProof/>
            <w:webHidden/>
            <w:sz w:val="24"/>
            <w:szCs w:val="24"/>
          </w:rPr>
          <w:fldChar w:fldCharType="end"/>
        </w:r>
      </w:hyperlink>
    </w:p>
    <w:p w14:paraId="12E95968" w14:textId="52F9BE62"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0" w:history="1">
        <w:r w:rsidRPr="002D4119">
          <w:rPr>
            <w:rStyle w:val="Hyperlink"/>
            <w:rFonts w:ascii="Simplified Arabic" w:hAnsi="Simplified Arabic" w:cs="Simplified Arabic"/>
            <w:noProof/>
            <w:sz w:val="24"/>
            <w:szCs w:val="24"/>
            <w:rtl/>
            <w:lang w:bidi="ar-EG"/>
          </w:rPr>
          <w:t xml:space="preserve">8.4.1 </w:t>
        </w:r>
        <w:r w:rsidRPr="002D4119">
          <w:rPr>
            <w:rStyle w:val="Hyperlink"/>
            <w:rFonts w:ascii="Simplified Arabic" w:hAnsi="Simplified Arabic" w:cs="Simplified Arabic"/>
            <w:noProof/>
            <w:sz w:val="24"/>
            <w:szCs w:val="24"/>
            <w:rtl/>
          </w:rPr>
          <w:t>أهمية التمويل التشاركي في تعزيز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_Toc195456500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38</w:t>
        </w:r>
        <w:r w:rsidRPr="002D4119">
          <w:rPr>
            <w:rFonts w:ascii="Simplified Arabic" w:hAnsi="Simplified Arabic" w:cs="Simplified Arabic"/>
            <w:noProof/>
            <w:webHidden/>
            <w:sz w:val="24"/>
            <w:szCs w:val="24"/>
          </w:rPr>
          <w:fldChar w:fldCharType="end"/>
        </w:r>
      </w:hyperlink>
    </w:p>
    <w:p w14:paraId="1D17B231" w14:textId="55EFFB47" w:rsidR="002F1B79" w:rsidRPr="002D4119" w:rsidRDefault="002F1B79" w:rsidP="00103CD9">
      <w:pPr>
        <w:pStyle w:val="22"/>
        <w:rPr>
          <w:rFonts w:eastAsiaTheme="minorEastAsia"/>
          <w:kern w:val="2"/>
          <w:sz w:val="24"/>
          <w:szCs w:val="24"/>
          <w14:ligatures w14:val="standardContextual"/>
        </w:rPr>
      </w:pPr>
      <w:hyperlink w:anchor="_Toc195456501" w:history="1">
        <w:r w:rsidRPr="002D4119">
          <w:rPr>
            <w:rStyle w:val="Hyperlink"/>
            <w:sz w:val="24"/>
            <w:szCs w:val="24"/>
            <w:rtl/>
            <w:lang w:bidi="ar-EG"/>
          </w:rPr>
          <w:t>5.1 المبحث الثالث: المشاريع الريادية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_Toc195456501 \h </w:instrText>
        </w:r>
        <w:r w:rsidRPr="002D4119">
          <w:rPr>
            <w:webHidden/>
            <w:sz w:val="24"/>
            <w:szCs w:val="24"/>
          </w:rPr>
        </w:r>
        <w:r w:rsidRPr="002D4119">
          <w:rPr>
            <w:webHidden/>
            <w:sz w:val="24"/>
            <w:szCs w:val="24"/>
          </w:rPr>
          <w:fldChar w:fldCharType="separate"/>
        </w:r>
        <w:r w:rsidR="00E77DA0">
          <w:rPr>
            <w:webHidden/>
            <w:sz w:val="24"/>
            <w:szCs w:val="24"/>
            <w:rtl/>
          </w:rPr>
          <w:t>40</w:t>
        </w:r>
        <w:r w:rsidRPr="002D4119">
          <w:rPr>
            <w:webHidden/>
            <w:sz w:val="24"/>
            <w:szCs w:val="24"/>
          </w:rPr>
          <w:fldChar w:fldCharType="end"/>
        </w:r>
      </w:hyperlink>
    </w:p>
    <w:p w14:paraId="311BB940" w14:textId="5DE78721"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2" w:history="1">
        <w:r w:rsidRPr="002D4119">
          <w:rPr>
            <w:rStyle w:val="Hyperlink"/>
            <w:rFonts w:ascii="Simplified Arabic" w:hAnsi="Simplified Arabic" w:cs="Simplified Arabic"/>
            <w:noProof/>
            <w:sz w:val="24"/>
            <w:szCs w:val="24"/>
            <w:rtl/>
          </w:rPr>
          <w:t>1.5.1 مقدمة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_Toc195456502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40</w:t>
        </w:r>
        <w:r w:rsidRPr="002D4119">
          <w:rPr>
            <w:rFonts w:ascii="Simplified Arabic" w:hAnsi="Simplified Arabic" w:cs="Simplified Arabic"/>
            <w:noProof/>
            <w:webHidden/>
            <w:sz w:val="24"/>
            <w:szCs w:val="24"/>
          </w:rPr>
          <w:fldChar w:fldCharType="end"/>
        </w:r>
      </w:hyperlink>
    </w:p>
    <w:p w14:paraId="0F9E8F9D" w14:textId="78DD01CE"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3" w:history="1">
        <w:r w:rsidRPr="002D4119">
          <w:rPr>
            <w:rStyle w:val="Hyperlink"/>
            <w:rFonts w:ascii="Simplified Arabic" w:hAnsi="Simplified Arabic" w:cs="Simplified Arabic"/>
            <w:noProof/>
            <w:sz w:val="24"/>
            <w:szCs w:val="24"/>
            <w:rtl/>
          </w:rPr>
          <w:t>2.5.1 مفهوم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41</w:t>
        </w:r>
        <w:r w:rsidRPr="002D4119">
          <w:rPr>
            <w:rFonts w:ascii="Simplified Arabic" w:hAnsi="Simplified Arabic" w:cs="Simplified Arabic"/>
            <w:noProof/>
            <w:webHidden/>
            <w:sz w:val="24"/>
            <w:szCs w:val="24"/>
          </w:rPr>
          <w:fldChar w:fldCharType="end"/>
        </w:r>
      </w:hyperlink>
    </w:p>
    <w:p w14:paraId="50F838D3" w14:textId="475BCB6B"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4" w:history="1">
        <w:r w:rsidRPr="002D4119">
          <w:rPr>
            <w:rStyle w:val="Hyperlink"/>
            <w:rFonts w:ascii="Simplified Arabic" w:hAnsi="Simplified Arabic" w:cs="Simplified Arabic"/>
            <w:noProof/>
            <w:sz w:val="24"/>
            <w:szCs w:val="24"/>
            <w:rtl/>
          </w:rPr>
          <w:t>3.5.1 خصائص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42</w:t>
        </w:r>
        <w:r w:rsidRPr="002D4119">
          <w:rPr>
            <w:rFonts w:ascii="Simplified Arabic" w:hAnsi="Simplified Arabic" w:cs="Simplified Arabic"/>
            <w:noProof/>
            <w:webHidden/>
            <w:sz w:val="24"/>
            <w:szCs w:val="24"/>
          </w:rPr>
          <w:fldChar w:fldCharType="end"/>
        </w:r>
      </w:hyperlink>
    </w:p>
    <w:p w14:paraId="5DA8D8BB" w14:textId="01821981"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5" w:history="1">
        <w:r w:rsidRPr="002D4119">
          <w:rPr>
            <w:rStyle w:val="Hyperlink"/>
            <w:rFonts w:ascii="Simplified Arabic" w:hAnsi="Simplified Arabic" w:cs="Simplified Arabic"/>
            <w:noProof/>
            <w:sz w:val="24"/>
            <w:szCs w:val="24"/>
            <w:rtl/>
          </w:rPr>
          <w:t>4.5.1 أهمية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44</w:t>
        </w:r>
        <w:r w:rsidRPr="002D4119">
          <w:rPr>
            <w:rFonts w:ascii="Simplified Arabic" w:hAnsi="Simplified Arabic" w:cs="Simplified Arabic"/>
            <w:noProof/>
            <w:webHidden/>
            <w:sz w:val="24"/>
            <w:szCs w:val="24"/>
          </w:rPr>
          <w:fldChar w:fldCharType="end"/>
        </w:r>
      </w:hyperlink>
    </w:p>
    <w:p w14:paraId="318F7538" w14:textId="1B61AEF1"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6" w:history="1">
        <w:r w:rsidRPr="002D4119">
          <w:rPr>
            <w:rStyle w:val="Hyperlink"/>
            <w:rFonts w:ascii="Simplified Arabic" w:hAnsi="Simplified Arabic" w:cs="Simplified Arabic"/>
            <w:noProof/>
            <w:sz w:val="24"/>
            <w:szCs w:val="24"/>
            <w:rtl/>
          </w:rPr>
          <w:t>5.5.1 أنواع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46</w:t>
        </w:r>
        <w:r w:rsidRPr="002D4119">
          <w:rPr>
            <w:rFonts w:ascii="Simplified Arabic" w:hAnsi="Simplified Arabic" w:cs="Simplified Arabic"/>
            <w:noProof/>
            <w:webHidden/>
            <w:sz w:val="24"/>
            <w:szCs w:val="24"/>
          </w:rPr>
          <w:fldChar w:fldCharType="end"/>
        </w:r>
      </w:hyperlink>
    </w:p>
    <w:p w14:paraId="6790C5C6" w14:textId="2D3903B6"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7" w:history="1">
        <w:r w:rsidRPr="002D4119">
          <w:rPr>
            <w:rStyle w:val="Hyperlink"/>
            <w:rFonts w:ascii="Simplified Arabic" w:hAnsi="Simplified Arabic" w:cs="Simplified Arabic"/>
            <w:noProof/>
            <w:sz w:val="24"/>
            <w:szCs w:val="24"/>
            <w:rtl/>
          </w:rPr>
          <w:t>6.5.1 خصائص الشخص الريادي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_Toc195456507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48</w:t>
        </w:r>
        <w:r w:rsidRPr="002D4119">
          <w:rPr>
            <w:rFonts w:ascii="Simplified Arabic" w:hAnsi="Simplified Arabic" w:cs="Simplified Arabic"/>
            <w:noProof/>
            <w:webHidden/>
            <w:sz w:val="24"/>
            <w:szCs w:val="24"/>
          </w:rPr>
          <w:fldChar w:fldCharType="end"/>
        </w:r>
      </w:hyperlink>
    </w:p>
    <w:p w14:paraId="3800345E" w14:textId="4267B18A"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08" w:history="1">
        <w:r w:rsidRPr="002D4119">
          <w:rPr>
            <w:rStyle w:val="Hyperlink"/>
            <w:rFonts w:ascii="Simplified Arabic" w:hAnsi="Simplified Arabic" w:cs="Simplified Arabic"/>
            <w:noProof/>
            <w:sz w:val="24"/>
            <w:szCs w:val="24"/>
            <w:rtl/>
          </w:rPr>
          <w:t>7.5.1 العوامل المؤثرة في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_Toc195456508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51</w:t>
        </w:r>
        <w:r w:rsidRPr="002D4119">
          <w:rPr>
            <w:rFonts w:ascii="Simplified Arabic" w:hAnsi="Simplified Arabic" w:cs="Simplified Arabic"/>
            <w:noProof/>
            <w:webHidden/>
            <w:sz w:val="24"/>
            <w:szCs w:val="24"/>
          </w:rPr>
          <w:fldChar w:fldCharType="end"/>
        </w:r>
      </w:hyperlink>
    </w:p>
    <w:p w14:paraId="7AE5C227" w14:textId="30982518" w:rsidR="002F1B79" w:rsidRPr="002D4119" w:rsidRDefault="002F1B79" w:rsidP="00103CD9">
      <w:pPr>
        <w:pStyle w:val="22"/>
        <w:rPr>
          <w:rFonts w:eastAsiaTheme="minorEastAsia"/>
          <w:kern w:val="2"/>
          <w:sz w:val="24"/>
          <w:szCs w:val="24"/>
          <w14:ligatures w14:val="standardContextual"/>
        </w:rPr>
      </w:pPr>
      <w:hyperlink w:anchor="_Toc195456509" w:history="1">
        <w:r w:rsidRPr="002D4119">
          <w:rPr>
            <w:rStyle w:val="Hyperlink"/>
            <w:sz w:val="24"/>
            <w:szCs w:val="24"/>
            <w:rtl/>
            <w:lang w:bidi="ar-EG"/>
          </w:rPr>
          <w:t>6.1 المبحث الرابع: الاستدامة المالية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_Toc195456509 \h </w:instrText>
        </w:r>
        <w:r w:rsidRPr="002D4119">
          <w:rPr>
            <w:webHidden/>
            <w:sz w:val="24"/>
            <w:szCs w:val="24"/>
          </w:rPr>
        </w:r>
        <w:r w:rsidRPr="002D4119">
          <w:rPr>
            <w:webHidden/>
            <w:sz w:val="24"/>
            <w:szCs w:val="24"/>
          </w:rPr>
          <w:fldChar w:fldCharType="separate"/>
        </w:r>
        <w:r w:rsidR="00E77DA0">
          <w:rPr>
            <w:webHidden/>
            <w:sz w:val="24"/>
            <w:szCs w:val="24"/>
            <w:rtl/>
          </w:rPr>
          <w:t>53</w:t>
        </w:r>
        <w:r w:rsidRPr="002D4119">
          <w:rPr>
            <w:webHidden/>
            <w:sz w:val="24"/>
            <w:szCs w:val="24"/>
          </w:rPr>
          <w:fldChar w:fldCharType="end"/>
        </w:r>
      </w:hyperlink>
    </w:p>
    <w:p w14:paraId="5B56415C" w14:textId="778B6E15"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0" w:history="1">
        <w:r w:rsidRPr="002D4119">
          <w:rPr>
            <w:rStyle w:val="Hyperlink"/>
            <w:rFonts w:ascii="Simplified Arabic" w:hAnsi="Simplified Arabic" w:cs="Simplified Arabic"/>
            <w:noProof/>
            <w:sz w:val="24"/>
            <w:szCs w:val="24"/>
            <w:rtl/>
            <w:lang w:bidi="ar-EG"/>
          </w:rPr>
          <w:t>1.6.1 مقدمة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_Toc195456510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53</w:t>
        </w:r>
        <w:r w:rsidRPr="002D4119">
          <w:rPr>
            <w:rFonts w:ascii="Simplified Arabic" w:hAnsi="Simplified Arabic" w:cs="Simplified Arabic"/>
            <w:noProof/>
            <w:webHidden/>
            <w:sz w:val="24"/>
            <w:szCs w:val="24"/>
          </w:rPr>
          <w:fldChar w:fldCharType="end"/>
        </w:r>
      </w:hyperlink>
    </w:p>
    <w:p w14:paraId="1716558B" w14:textId="33A212DA"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1" w:history="1">
        <w:r w:rsidRPr="002D4119">
          <w:rPr>
            <w:rStyle w:val="Hyperlink"/>
            <w:rFonts w:ascii="Simplified Arabic" w:hAnsi="Simplified Arabic" w:cs="Simplified Arabic"/>
            <w:noProof/>
            <w:sz w:val="24"/>
            <w:szCs w:val="24"/>
            <w:rtl/>
            <w:lang w:bidi="ar-EG"/>
          </w:rPr>
          <w:t>2.6.1 مفهوم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_Toc195456511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55</w:t>
        </w:r>
        <w:r w:rsidRPr="002D4119">
          <w:rPr>
            <w:rFonts w:ascii="Simplified Arabic" w:hAnsi="Simplified Arabic" w:cs="Simplified Arabic"/>
            <w:noProof/>
            <w:webHidden/>
            <w:sz w:val="24"/>
            <w:szCs w:val="24"/>
          </w:rPr>
          <w:fldChar w:fldCharType="end"/>
        </w:r>
      </w:hyperlink>
    </w:p>
    <w:p w14:paraId="4EDC7748" w14:textId="5A784E1B"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2" w:history="1">
        <w:r w:rsidRPr="002D4119">
          <w:rPr>
            <w:rStyle w:val="Hyperlink"/>
            <w:rFonts w:ascii="Simplified Arabic" w:hAnsi="Simplified Arabic" w:cs="Simplified Arabic"/>
            <w:noProof/>
            <w:sz w:val="24"/>
            <w:szCs w:val="24"/>
            <w:rtl/>
            <w:lang w:bidi="ar-EG"/>
          </w:rPr>
          <w:t>3.6.1 أهمية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_Toc195456512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57</w:t>
        </w:r>
        <w:r w:rsidRPr="002D4119">
          <w:rPr>
            <w:rFonts w:ascii="Simplified Arabic" w:hAnsi="Simplified Arabic" w:cs="Simplified Arabic"/>
            <w:noProof/>
            <w:webHidden/>
            <w:sz w:val="24"/>
            <w:szCs w:val="24"/>
          </w:rPr>
          <w:fldChar w:fldCharType="end"/>
        </w:r>
      </w:hyperlink>
    </w:p>
    <w:p w14:paraId="7AD8F16D" w14:textId="00B9454E"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3" w:history="1">
        <w:r w:rsidRPr="002D4119">
          <w:rPr>
            <w:rStyle w:val="Hyperlink"/>
            <w:rFonts w:ascii="Simplified Arabic" w:hAnsi="Simplified Arabic" w:cs="Simplified Arabic"/>
            <w:noProof/>
            <w:sz w:val="24"/>
            <w:szCs w:val="24"/>
            <w:rtl/>
            <w:lang w:bidi="ar-EG"/>
          </w:rPr>
          <w:t>4.6.1 مؤشرات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60</w:t>
        </w:r>
        <w:r w:rsidRPr="002D4119">
          <w:rPr>
            <w:rFonts w:ascii="Simplified Arabic" w:hAnsi="Simplified Arabic" w:cs="Simplified Arabic"/>
            <w:noProof/>
            <w:webHidden/>
            <w:sz w:val="24"/>
            <w:szCs w:val="24"/>
          </w:rPr>
          <w:fldChar w:fldCharType="end"/>
        </w:r>
      </w:hyperlink>
    </w:p>
    <w:p w14:paraId="6FB2CE7E" w14:textId="6622213C"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4" w:history="1">
        <w:r w:rsidRPr="002D4119">
          <w:rPr>
            <w:rStyle w:val="Hyperlink"/>
            <w:rFonts w:ascii="Simplified Arabic" w:hAnsi="Simplified Arabic" w:cs="Simplified Arabic"/>
            <w:noProof/>
            <w:sz w:val="24"/>
            <w:szCs w:val="24"/>
            <w:rtl/>
            <w:lang w:bidi="ar-EG"/>
          </w:rPr>
          <w:t>5.6.1 قواعد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63</w:t>
        </w:r>
        <w:r w:rsidRPr="002D4119">
          <w:rPr>
            <w:rFonts w:ascii="Simplified Arabic" w:hAnsi="Simplified Arabic" w:cs="Simplified Arabic"/>
            <w:noProof/>
            <w:webHidden/>
            <w:sz w:val="24"/>
            <w:szCs w:val="24"/>
          </w:rPr>
          <w:fldChar w:fldCharType="end"/>
        </w:r>
      </w:hyperlink>
    </w:p>
    <w:p w14:paraId="39A8A731" w14:textId="33CDCFE0"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5" w:history="1">
        <w:r w:rsidRPr="002D4119">
          <w:rPr>
            <w:rStyle w:val="Hyperlink"/>
            <w:rFonts w:ascii="Simplified Arabic" w:hAnsi="Simplified Arabic" w:cs="Simplified Arabic"/>
            <w:noProof/>
            <w:sz w:val="24"/>
            <w:szCs w:val="24"/>
            <w:rtl/>
            <w:lang w:bidi="ar-EG"/>
          </w:rPr>
          <w:t>6.6.1 متطلبات تفعيل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64</w:t>
        </w:r>
        <w:r w:rsidRPr="002D4119">
          <w:rPr>
            <w:rFonts w:ascii="Simplified Arabic" w:hAnsi="Simplified Arabic" w:cs="Simplified Arabic"/>
            <w:noProof/>
            <w:webHidden/>
            <w:sz w:val="24"/>
            <w:szCs w:val="24"/>
          </w:rPr>
          <w:fldChar w:fldCharType="end"/>
        </w:r>
      </w:hyperlink>
    </w:p>
    <w:p w14:paraId="1622E08A" w14:textId="6F60C896"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16" w:history="1">
        <w:r w:rsidRPr="002D4119">
          <w:rPr>
            <w:rStyle w:val="Hyperlink"/>
            <w:rFonts w:ascii="Simplified Arabic" w:hAnsi="Simplified Arabic" w:cs="Simplified Arabic"/>
            <w:noProof/>
            <w:sz w:val="24"/>
            <w:szCs w:val="24"/>
            <w:rtl/>
            <w:lang w:bidi="ar-EG"/>
          </w:rPr>
          <w:t>7.6.1 معوقات تنفيذ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_Toc195456516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66</w:t>
        </w:r>
        <w:r w:rsidRPr="002D4119">
          <w:rPr>
            <w:rFonts w:ascii="Simplified Arabic" w:hAnsi="Simplified Arabic" w:cs="Simplified Arabic"/>
            <w:noProof/>
            <w:webHidden/>
            <w:sz w:val="24"/>
            <w:szCs w:val="24"/>
          </w:rPr>
          <w:fldChar w:fldCharType="end"/>
        </w:r>
      </w:hyperlink>
    </w:p>
    <w:p w14:paraId="530CCA86" w14:textId="5A9ACF19" w:rsidR="002F1B79" w:rsidRPr="002D4119" w:rsidRDefault="002F1B79" w:rsidP="00103CD9">
      <w:pPr>
        <w:pStyle w:val="22"/>
        <w:rPr>
          <w:rFonts w:eastAsiaTheme="minorEastAsia"/>
          <w:kern w:val="2"/>
          <w:sz w:val="24"/>
          <w:szCs w:val="24"/>
          <w14:ligatures w14:val="standardContextual"/>
        </w:rPr>
      </w:pPr>
      <w:hyperlink w:anchor="_Toc195456517" w:history="1">
        <w:r w:rsidRPr="002D4119">
          <w:rPr>
            <w:rStyle w:val="Hyperlink"/>
            <w:sz w:val="24"/>
            <w:szCs w:val="24"/>
            <w:rtl/>
            <w:lang w:bidi="ar-EG"/>
          </w:rPr>
          <w:t>7.1 أسباب اختيار الموضوع:</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_Toc195456517 \h </w:instrText>
        </w:r>
        <w:r w:rsidRPr="002D4119">
          <w:rPr>
            <w:webHidden/>
            <w:sz w:val="24"/>
            <w:szCs w:val="24"/>
          </w:rPr>
        </w:r>
        <w:r w:rsidRPr="002D4119">
          <w:rPr>
            <w:webHidden/>
            <w:sz w:val="24"/>
            <w:szCs w:val="24"/>
          </w:rPr>
          <w:fldChar w:fldCharType="separate"/>
        </w:r>
        <w:r w:rsidR="00E77DA0">
          <w:rPr>
            <w:webHidden/>
            <w:sz w:val="24"/>
            <w:szCs w:val="24"/>
            <w:rtl/>
          </w:rPr>
          <w:t>68</w:t>
        </w:r>
        <w:r w:rsidRPr="002D4119">
          <w:rPr>
            <w:webHidden/>
            <w:sz w:val="24"/>
            <w:szCs w:val="24"/>
          </w:rPr>
          <w:fldChar w:fldCharType="end"/>
        </w:r>
      </w:hyperlink>
    </w:p>
    <w:p w14:paraId="2CC25FF5" w14:textId="48AAD170" w:rsidR="002F1B79" w:rsidRPr="002D4119" w:rsidRDefault="002F1B79" w:rsidP="00103CD9">
      <w:pPr>
        <w:pStyle w:val="22"/>
        <w:rPr>
          <w:rFonts w:eastAsiaTheme="minorEastAsia"/>
          <w:kern w:val="2"/>
          <w:sz w:val="24"/>
          <w:szCs w:val="24"/>
          <w14:ligatures w14:val="standardContextual"/>
        </w:rPr>
      </w:pPr>
      <w:hyperlink w:anchor="_Toc195456518" w:history="1">
        <w:r w:rsidRPr="002D4119">
          <w:rPr>
            <w:rStyle w:val="Hyperlink"/>
            <w:sz w:val="24"/>
            <w:szCs w:val="24"/>
            <w:rtl/>
            <w:lang w:bidi="ar-EG"/>
          </w:rPr>
          <w:t>8.1 مشكلة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_Toc195456518 \h </w:instrText>
        </w:r>
        <w:r w:rsidRPr="002D4119">
          <w:rPr>
            <w:webHidden/>
            <w:sz w:val="24"/>
            <w:szCs w:val="24"/>
          </w:rPr>
        </w:r>
        <w:r w:rsidRPr="002D4119">
          <w:rPr>
            <w:webHidden/>
            <w:sz w:val="24"/>
            <w:szCs w:val="24"/>
          </w:rPr>
          <w:fldChar w:fldCharType="separate"/>
        </w:r>
        <w:r w:rsidR="00E77DA0">
          <w:rPr>
            <w:webHidden/>
            <w:sz w:val="24"/>
            <w:szCs w:val="24"/>
            <w:rtl/>
          </w:rPr>
          <w:t>68</w:t>
        </w:r>
        <w:r w:rsidRPr="002D4119">
          <w:rPr>
            <w:webHidden/>
            <w:sz w:val="24"/>
            <w:szCs w:val="24"/>
          </w:rPr>
          <w:fldChar w:fldCharType="end"/>
        </w:r>
      </w:hyperlink>
    </w:p>
    <w:p w14:paraId="37E7F559" w14:textId="73EED243" w:rsidR="002F1B79" w:rsidRPr="002D4119" w:rsidRDefault="002F1B79" w:rsidP="00103CD9">
      <w:pPr>
        <w:pStyle w:val="22"/>
        <w:rPr>
          <w:rFonts w:eastAsiaTheme="minorEastAsia"/>
          <w:kern w:val="2"/>
          <w:sz w:val="24"/>
          <w:szCs w:val="24"/>
          <w14:ligatures w14:val="standardContextual"/>
        </w:rPr>
      </w:pPr>
      <w:hyperlink w:anchor="_Toc195456519" w:history="1">
        <w:r w:rsidRPr="002D4119">
          <w:rPr>
            <w:rStyle w:val="Hyperlink"/>
            <w:sz w:val="24"/>
            <w:szCs w:val="24"/>
            <w:rtl/>
            <w:lang w:bidi="ar-EG"/>
          </w:rPr>
          <w:t>9.1 أهمية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_Toc195456519 \h </w:instrText>
        </w:r>
        <w:r w:rsidRPr="002D4119">
          <w:rPr>
            <w:webHidden/>
            <w:sz w:val="24"/>
            <w:szCs w:val="24"/>
          </w:rPr>
        </w:r>
        <w:r w:rsidRPr="002D4119">
          <w:rPr>
            <w:webHidden/>
            <w:sz w:val="24"/>
            <w:szCs w:val="24"/>
          </w:rPr>
          <w:fldChar w:fldCharType="separate"/>
        </w:r>
        <w:r w:rsidR="00E77DA0">
          <w:rPr>
            <w:webHidden/>
            <w:sz w:val="24"/>
            <w:szCs w:val="24"/>
            <w:rtl/>
          </w:rPr>
          <w:t>70</w:t>
        </w:r>
        <w:r w:rsidRPr="002D4119">
          <w:rPr>
            <w:webHidden/>
            <w:sz w:val="24"/>
            <w:szCs w:val="24"/>
          </w:rPr>
          <w:fldChar w:fldCharType="end"/>
        </w:r>
      </w:hyperlink>
    </w:p>
    <w:p w14:paraId="58BC2BC6" w14:textId="6446E1B5" w:rsidR="002F1B79" w:rsidRPr="002D4119" w:rsidRDefault="002F1B79" w:rsidP="00103CD9">
      <w:pPr>
        <w:pStyle w:val="22"/>
        <w:rPr>
          <w:rFonts w:eastAsiaTheme="minorEastAsia"/>
          <w:kern w:val="2"/>
          <w:sz w:val="24"/>
          <w:szCs w:val="24"/>
          <w14:ligatures w14:val="standardContextual"/>
        </w:rPr>
      </w:pPr>
      <w:hyperlink w:anchor="_Toc195456520" w:history="1">
        <w:r w:rsidRPr="002D4119">
          <w:rPr>
            <w:rStyle w:val="Hyperlink"/>
            <w:sz w:val="24"/>
            <w:szCs w:val="24"/>
            <w:rtl/>
            <w:lang w:bidi="ar-EG"/>
          </w:rPr>
          <w:t>10.1 أهداف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_Toc195456520 \h </w:instrText>
        </w:r>
        <w:r w:rsidRPr="002D4119">
          <w:rPr>
            <w:webHidden/>
            <w:sz w:val="24"/>
            <w:szCs w:val="24"/>
          </w:rPr>
        </w:r>
        <w:r w:rsidRPr="002D4119">
          <w:rPr>
            <w:webHidden/>
            <w:sz w:val="24"/>
            <w:szCs w:val="24"/>
          </w:rPr>
          <w:fldChar w:fldCharType="separate"/>
        </w:r>
        <w:r w:rsidR="00E77DA0">
          <w:rPr>
            <w:webHidden/>
            <w:sz w:val="24"/>
            <w:szCs w:val="24"/>
            <w:rtl/>
          </w:rPr>
          <w:t>71</w:t>
        </w:r>
        <w:r w:rsidRPr="002D4119">
          <w:rPr>
            <w:webHidden/>
            <w:sz w:val="24"/>
            <w:szCs w:val="24"/>
          </w:rPr>
          <w:fldChar w:fldCharType="end"/>
        </w:r>
      </w:hyperlink>
    </w:p>
    <w:p w14:paraId="45E83FF8" w14:textId="56D89196" w:rsidR="002F1B79" w:rsidRPr="002D4119" w:rsidRDefault="002F1B79" w:rsidP="00103CD9">
      <w:pPr>
        <w:pStyle w:val="22"/>
        <w:rPr>
          <w:rFonts w:eastAsiaTheme="minorEastAsia"/>
          <w:kern w:val="2"/>
          <w:sz w:val="24"/>
          <w:szCs w:val="24"/>
          <w14:ligatures w14:val="standardContextual"/>
        </w:rPr>
      </w:pPr>
      <w:hyperlink w:anchor="_Toc195456521" w:history="1">
        <w:r w:rsidRPr="002D4119">
          <w:rPr>
            <w:rStyle w:val="Hyperlink"/>
            <w:sz w:val="24"/>
            <w:szCs w:val="24"/>
            <w:rtl/>
            <w:lang w:bidi="ar-EG"/>
          </w:rPr>
          <w:t>11.1 أسئلة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_Toc195456521 \h </w:instrText>
        </w:r>
        <w:r w:rsidRPr="002D4119">
          <w:rPr>
            <w:webHidden/>
            <w:sz w:val="24"/>
            <w:szCs w:val="24"/>
          </w:rPr>
        </w:r>
        <w:r w:rsidRPr="002D4119">
          <w:rPr>
            <w:webHidden/>
            <w:sz w:val="24"/>
            <w:szCs w:val="24"/>
          </w:rPr>
          <w:fldChar w:fldCharType="separate"/>
        </w:r>
        <w:r w:rsidR="00E77DA0">
          <w:rPr>
            <w:webHidden/>
            <w:sz w:val="24"/>
            <w:szCs w:val="24"/>
            <w:rtl/>
          </w:rPr>
          <w:t>71</w:t>
        </w:r>
        <w:r w:rsidRPr="002D4119">
          <w:rPr>
            <w:webHidden/>
            <w:sz w:val="24"/>
            <w:szCs w:val="24"/>
          </w:rPr>
          <w:fldChar w:fldCharType="end"/>
        </w:r>
      </w:hyperlink>
    </w:p>
    <w:p w14:paraId="79EADC4A" w14:textId="7AD964E1" w:rsidR="002F1B79" w:rsidRPr="002D4119" w:rsidRDefault="002F1B79" w:rsidP="00103CD9">
      <w:pPr>
        <w:pStyle w:val="22"/>
        <w:rPr>
          <w:rFonts w:eastAsiaTheme="minorEastAsia"/>
          <w:kern w:val="2"/>
          <w:sz w:val="24"/>
          <w:szCs w:val="24"/>
          <w14:ligatures w14:val="standardContextual"/>
        </w:rPr>
      </w:pPr>
      <w:hyperlink w:anchor="_Toc195456522" w:history="1">
        <w:r w:rsidRPr="002D4119">
          <w:rPr>
            <w:rStyle w:val="Hyperlink"/>
            <w:sz w:val="24"/>
            <w:szCs w:val="24"/>
            <w:rtl/>
            <w:lang w:bidi="ar-EG"/>
          </w:rPr>
          <w:t>12.1 حدود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_Toc195456522 \h </w:instrText>
        </w:r>
        <w:r w:rsidRPr="002D4119">
          <w:rPr>
            <w:webHidden/>
            <w:sz w:val="24"/>
            <w:szCs w:val="24"/>
          </w:rPr>
        </w:r>
        <w:r w:rsidRPr="002D4119">
          <w:rPr>
            <w:webHidden/>
            <w:sz w:val="24"/>
            <w:szCs w:val="24"/>
          </w:rPr>
          <w:fldChar w:fldCharType="separate"/>
        </w:r>
        <w:r w:rsidR="00E77DA0">
          <w:rPr>
            <w:webHidden/>
            <w:sz w:val="24"/>
            <w:szCs w:val="24"/>
            <w:rtl/>
          </w:rPr>
          <w:t>71</w:t>
        </w:r>
        <w:r w:rsidRPr="002D4119">
          <w:rPr>
            <w:webHidden/>
            <w:sz w:val="24"/>
            <w:szCs w:val="24"/>
          </w:rPr>
          <w:fldChar w:fldCharType="end"/>
        </w:r>
      </w:hyperlink>
    </w:p>
    <w:p w14:paraId="421202DC" w14:textId="791656E2" w:rsidR="002F1B79" w:rsidRPr="002D4119" w:rsidRDefault="002F1B79" w:rsidP="00103CD9">
      <w:pPr>
        <w:pStyle w:val="22"/>
        <w:rPr>
          <w:rFonts w:eastAsiaTheme="minorEastAsia"/>
          <w:kern w:val="2"/>
          <w:sz w:val="24"/>
          <w:szCs w:val="24"/>
          <w14:ligatures w14:val="standardContextual"/>
        </w:rPr>
      </w:pPr>
      <w:hyperlink w:anchor="_Toc195456523" w:history="1">
        <w:r w:rsidRPr="002D4119">
          <w:rPr>
            <w:rStyle w:val="Hyperlink"/>
            <w:sz w:val="24"/>
            <w:szCs w:val="24"/>
            <w:rtl/>
            <w:lang w:bidi="ar-EG"/>
          </w:rPr>
          <w:t>13.1 مصطلحات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_Toc195456523 \h </w:instrText>
        </w:r>
        <w:r w:rsidRPr="002D4119">
          <w:rPr>
            <w:webHidden/>
            <w:sz w:val="24"/>
            <w:szCs w:val="24"/>
          </w:rPr>
        </w:r>
        <w:r w:rsidRPr="002D4119">
          <w:rPr>
            <w:webHidden/>
            <w:sz w:val="24"/>
            <w:szCs w:val="24"/>
          </w:rPr>
          <w:fldChar w:fldCharType="separate"/>
        </w:r>
        <w:r w:rsidR="00E77DA0">
          <w:rPr>
            <w:webHidden/>
            <w:sz w:val="24"/>
            <w:szCs w:val="24"/>
            <w:rtl/>
          </w:rPr>
          <w:t>72</w:t>
        </w:r>
        <w:r w:rsidRPr="002D4119">
          <w:rPr>
            <w:webHidden/>
            <w:sz w:val="24"/>
            <w:szCs w:val="24"/>
          </w:rPr>
          <w:fldChar w:fldCharType="end"/>
        </w:r>
      </w:hyperlink>
    </w:p>
    <w:p w14:paraId="4804950D" w14:textId="2B2BCD43" w:rsidR="002F1B79" w:rsidRPr="002D4119" w:rsidRDefault="002F1B79" w:rsidP="00103CD9">
      <w:pPr>
        <w:pStyle w:val="22"/>
        <w:rPr>
          <w:rFonts w:eastAsiaTheme="minorEastAsia"/>
          <w:kern w:val="2"/>
          <w:sz w:val="24"/>
          <w:szCs w:val="24"/>
          <w14:ligatures w14:val="standardContextual"/>
        </w:rPr>
      </w:pPr>
      <w:hyperlink w:anchor="_Toc195456524" w:history="1">
        <w:r w:rsidRPr="002D4119">
          <w:rPr>
            <w:rStyle w:val="Hyperlink"/>
            <w:sz w:val="24"/>
            <w:szCs w:val="24"/>
            <w:rtl/>
            <w:lang w:bidi="ar-EG"/>
          </w:rPr>
          <w:t>14.1 فرضيات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_Toc195456524 \h </w:instrText>
        </w:r>
        <w:r w:rsidRPr="002D4119">
          <w:rPr>
            <w:webHidden/>
            <w:sz w:val="24"/>
            <w:szCs w:val="24"/>
          </w:rPr>
        </w:r>
        <w:r w:rsidRPr="002D4119">
          <w:rPr>
            <w:webHidden/>
            <w:sz w:val="24"/>
            <w:szCs w:val="24"/>
          </w:rPr>
          <w:fldChar w:fldCharType="separate"/>
        </w:r>
        <w:r w:rsidR="00E77DA0">
          <w:rPr>
            <w:webHidden/>
            <w:sz w:val="24"/>
            <w:szCs w:val="24"/>
            <w:rtl/>
          </w:rPr>
          <w:t>73</w:t>
        </w:r>
        <w:r w:rsidRPr="002D4119">
          <w:rPr>
            <w:webHidden/>
            <w:sz w:val="24"/>
            <w:szCs w:val="24"/>
          </w:rPr>
          <w:fldChar w:fldCharType="end"/>
        </w:r>
      </w:hyperlink>
    </w:p>
    <w:p w14:paraId="72D6F979" w14:textId="05922F8D" w:rsidR="002F1B79" w:rsidRPr="002D4119" w:rsidRDefault="002F1B79" w:rsidP="00103CD9">
      <w:pPr>
        <w:pStyle w:val="22"/>
        <w:rPr>
          <w:rFonts w:eastAsiaTheme="minorEastAsia"/>
          <w:kern w:val="2"/>
          <w:sz w:val="24"/>
          <w:szCs w:val="24"/>
          <w14:ligatures w14:val="standardContextual"/>
        </w:rPr>
      </w:pPr>
      <w:hyperlink w:anchor="_Toc195456525" w:history="1">
        <w:r w:rsidRPr="002D4119">
          <w:rPr>
            <w:rStyle w:val="Hyperlink"/>
            <w:sz w:val="24"/>
            <w:szCs w:val="24"/>
            <w:rtl/>
            <w:lang w:bidi="ar-EG"/>
          </w:rPr>
          <w:t>15.1 نموذج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_Toc195456525 \h </w:instrText>
        </w:r>
        <w:r w:rsidRPr="002D4119">
          <w:rPr>
            <w:webHidden/>
            <w:sz w:val="24"/>
            <w:szCs w:val="24"/>
          </w:rPr>
        </w:r>
        <w:r w:rsidRPr="002D4119">
          <w:rPr>
            <w:webHidden/>
            <w:sz w:val="24"/>
            <w:szCs w:val="24"/>
          </w:rPr>
          <w:fldChar w:fldCharType="separate"/>
        </w:r>
        <w:r w:rsidR="00E77DA0">
          <w:rPr>
            <w:webHidden/>
            <w:sz w:val="24"/>
            <w:szCs w:val="24"/>
            <w:rtl/>
          </w:rPr>
          <w:t>74</w:t>
        </w:r>
        <w:r w:rsidRPr="002D4119">
          <w:rPr>
            <w:webHidden/>
            <w:sz w:val="24"/>
            <w:szCs w:val="24"/>
          </w:rPr>
          <w:fldChar w:fldCharType="end"/>
        </w:r>
      </w:hyperlink>
    </w:p>
    <w:p w14:paraId="3A2427A1" w14:textId="5BC7D427"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527" w:history="1">
        <w:r w:rsidRPr="002D4119">
          <w:rPr>
            <w:rStyle w:val="Hyperlink"/>
            <w:rFonts w:ascii="Simplified Arabic" w:hAnsi="Simplified Arabic" w:cs="Simplified Arabic"/>
            <w:b/>
            <w:bCs/>
            <w:noProof/>
            <w:sz w:val="24"/>
            <w:szCs w:val="24"/>
            <w:rtl/>
            <w:lang w:bidi="ar-EG"/>
          </w:rPr>
          <w:t>الفصل الثاني: الدراسات السابقة</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_Toc195456527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75</w:t>
        </w:r>
        <w:r w:rsidRPr="002D4119">
          <w:rPr>
            <w:rFonts w:ascii="Simplified Arabic" w:hAnsi="Simplified Arabic" w:cs="Simplified Arabic"/>
            <w:b/>
            <w:bCs/>
            <w:noProof/>
            <w:webHidden/>
            <w:sz w:val="24"/>
            <w:szCs w:val="24"/>
          </w:rPr>
          <w:fldChar w:fldCharType="end"/>
        </w:r>
      </w:hyperlink>
    </w:p>
    <w:p w14:paraId="18110F87" w14:textId="7B4B5548" w:rsidR="002F1B79" w:rsidRPr="002D4119" w:rsidRDefault="002F1B79" w:rsidP="00103CD9">
      <w:pPr>
        <w:pStyle w:val="22"/>
        <w:rPr>
          <w:rFonts w:eastAsiaTheme="minorEastAsia"/>
          <w:kern w:val="2"/>
          <w:sz w:val="24"/>
          <w:szCs w:val="24"/>
          <w14:ligatures w14:val="standardContextual"/>
        </w:rPr>
      </w:pPr>
      <w:hyperlink w:anchor="_Toc195456528" w:history="1">
        <w:r w:rsidRPr="002D4119">
          <w:rPr>
            <w:rStyle w:val="Hyperlink"/>
            <w:sz w:val="24"/>
            <w:szCs w:val="24"/>
            <w:rtl/>
            <w:lang w:bidi="ar-EG"/>
          </w:rPr>
          <w:t>1.2 الدراسات السابقة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_Toc195456528 \h </w:instrText>
        </w:r>
        <w:r w:rsidRPr="002D4119">
          <w:rPr>
            <w:webHidden/>
            <w:sz w:val="24"/>
            <w:szCs w:val="24"/>
          </w:rPr>
        </w:r>
        <w:r w:rsidRPr="002D4119">
          <w:rPr>
            <w:webHidden/>
            <w:sz w:val="24"/>
            <w:szCs w:val="24"/>
          </w:rPr>
          <w:fldChar w:fldCharType="separate"/>
        </w:r>
        <w:r w:rsidR="00E77DA0">
          <w:rPr>
            <w:webHidden/>
            <w:sz w:val="24"/>
            <w:szCs w:val="24"/>
            <w:rtl/>
          </w:rPr>
          <w:t>75</w:t>
        </w:r>
        <w:r w:rsidRPr="002D4119">
          <w:rPr>
            <w:webHidden/>
            <w:sz w:val="24"/>
            <w:szCs w:val="24"/>
          </w:rPr>
          <w:fldChar w:fldCharType="end"/>
        </w:r>
      </w:hyperlink>
    </w:p>
    <w:p w14:paraId="618D5ED2" w14:textId="521794CA"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29" w:history="1">
        <w:r w:rsidRPr="002D4119">
          <w:rPr>
            <w:rStyle w:val="Hyperlink"/>
            <w:rFonts w:ascii="Simplified Arabic" w:hAnsi="Simplified Arabic" w:cs="Simplified Arabic"/>
            <w:noProof/>
            <w:sz w:val="24"/>
            <w:szCs w:val="24"/>
            <w:rtl/>
          </w:rPr>
          <w:t>1.1.2 أولاً: الدراسات العربية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_Toc195456529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75</w:t>
        </w:r>
        <w:r w:rsidRPr="002D4119">
          <w:rPr>
            <w:rFonts w:ascii="Simplified Arabic" w:hAnsi="Simplified Arabic" w:cs="Simplified Arabic"/>
            <w:noProof/>
            <w:webHidden/>
            <w:sz w:val="24"/>
            <w:szCs w:val="24"/>
          </w:rPr>
          <w:fldChar w:fldCharType="end"/>
        </w:r>
      </w:hyperlink>
    </w:p>
    <w:p w14:paraId="077B81A6" w14:textId="2C7C4CB6" w:rsidR="002F1B79" w:rsidRPr="002D4119" w:rsidRDefault="002F1B79" w:rsidP="00103CD9">
      <w:pPr>
        <w:pStyle w:val="30"/>
        <w:tabs>
          <w:tab w:val="right" w:leader="dot" w:pos="9062"/>
        </w:tabs>
        <w:bidi/>
        <w:rPr>
          <w:rFonts w:ascii="Simplified Arabic" w:hAnsi="Simplified Arabic" w:cs="Simplified Arabic"/>
          <w:noProof/>
          <w:sz w:val="24"/>
          <w:szCs w:val="24"/>
        </w:rPr>
      </w:pPr>
      <w:hyperlink w:anchor="_Toc195456530" w:history="1">
        <w:r w:rsidRPr="002D4119">
          <w:rPr>
            <w:rStyle w:val="Hyperlink"/>
            <w:rFonts w:ascii="Simplified Arabic" w:hAnsi="Simplified Arabic" w:cs="Simplified Arabic"/>
            <w:noProof/>
            <w:sz w:val="24"/>
            <w:szCs w:val="24"/>
            <w:rtl/>
            <w:lang w:bidi="ar-EG"/>
          </w:rPr>
          <w:t>2.1.2 ثانيًا: الدراسات الأجنبية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_Toc195456530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80</w:t>
        </w:r>
        <w:r w:rsidRPr="002D4119">
          <w:rPr>
            <w:rFonts w:ascii="Simplified Arabic" w:hAnsi="Simplified Arabic" w:cs="Simplified Arabic"/>
            <w:noProof/>
            <w:webHidden/>
            <w:sz w:val="24"/>
            <w:szCs w:val="24"/>
          </w:rPr>
          <w:fldChar w:fldCharType="end"/>
        </w:r>
      </w:hyperlink>
    </w:p>
    <w:p w14:paraId="28296B3D" w14:textId="5254C036" w:rsidR="002F1B79" w:rsidRPr="002D4119" w:rsidRDefault="002F1B79" w:rsidP="00103CD9">
      <w:pPr>
        <w:pStyle w:val="22"/>
        <w:rPr>
          <w:rFonts w:eastAsiaTheme="minorEastAsia"/>
          <w:kern w:val="2"/>
          <w:sz w:val="24"/>
          <w:szCs w:val="24"/>
          <w14:ligatures w14:val="standardContextual"/>
        </w:rPr>
      </w:pPr>
      <w:hyperlink w:anchor="_Toc195456531" w:history="1">
        <w:r w:rsidRPr="002D4119">
          <w:rPr>
            <w:rStyle w:val="Hyperlink"/>
            <w:sz w:val="24"/>
            <w:szCs w:val="24"/>
            <w:rtl/>
            <w:lang w:bidi="ar-EG"/>
          </w:rPr>
          <w:t>2.2 التعليق النقدي على الدراسات السابقة: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_Toc195456531 \h </w:instrText>
        </w:r>
        <w:r w:rsidRPr="002D4119">
          <w:rPr>
            <w:webHidden/>
            <w:sz w:val="24"/>
            <w:szCs w:val="24"/>
          </w:rPr>
        </w:r>
        <w:r w:rsidRPr="002D4119">
          <w:rPr>
            <w:webHidden/>
            <w:sz w:val="24"/>
            <w:szCs w:val="24"/>
          </w:rPr>
          <w:fldChar w:fldCharType="separate"/>
        </w:r>
        <w:r w:rsidR="00E77DA0">
          <w:rPr>
            <w:webHidden/>
            <w:sz w:val="24"/>
            <w:szCs w:val="24"/>
            <w:rtl/>
          </w:rPr>
          <w:t>83</w:t>
        </w:r>
        <w:r w:rsidRPr="002D4119">
          <w:rPr>
            <w:webHidden/>
            <w:sz w:val="24"/>
            <w:szCs w:val="24"/>
          </w:rPr>
          <w:fldChar w:fldCharType="end"/>
        </w:r>
      </w:hyperlink>
    </w:p>
    <w:p w14:paraId="5803C3E6" w14:textId="043DA202" w:rsidR="002F1B79" w:rsidRPr="002D4119" w:rsidRDefault="002F1B79" w:rsidP="00103CD9">
      <w:pPr>
        <w:pStyle w:val="22"/>
        <w:rPr>
          <w:rFonts w:eastAsiaTheme="minorEastAsia"/>
          <w:kern w:val="2"/>
          <w:sz w:val="24"/>
          <w:szCs w:val="24"/>
          <w14:ligatures w14:val="standardContextual"/>
        </w:rPr>
      </w:pPr>
      <w:hyperlink w:anchor="_Toc195456532" w:history="1">
        <w:r w:rsidRPr="002D4119">
          <w:rPr>
            <w:rStyle w:val="Hyperlink"/>
            <w:sz w:val="24"/>
            <w:szCs w:val="24"/>
            <w:rtl/>
            <w:lang w:bidi="ar-EG"/>
          </w:rPr>
          <w:t>3.2 الفجوة البحثية: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_Toc195456532 \h </w:instrText>
        </w:r>
        <w:r w:rsidRPr="002D4119">
          <w:rPr>
            <w:webHidden/>
            <w:sz w:val="24"/>
            <w:szCs w:val="24"/>
          </w:rPr>
        </w:r>
        <w:r w:rsidRPr="002D4119">
          <w:rPr>
            <w:webHidden/>
            <w:sz w:val="24"/>
            <w:szCs w:val="24"/>
          </w:rPr>
          <w:fldChar w:fldCharType="separate"/>
        </w:r>
        <w:r w:rsidR="00E77DA0">
          <w:rPr>
            <w:webHidden/>
            <w:sz w:val="24"/>
            <w:szCs w:val="24"/>
            <w:rtl/>
          </w:rPr>
          <w:t>83</w:t>
        </w:r>
        <w:r w:rsidRPr="002D4119">
          <w:rPr>
            <w:webHidden/>
            <w:sz w:val="24"/>
            <w:szCs w:val="24"/>
          </w:rPr>
          <w:fldChar w:fldCharType="end"/>
        </w:r>
      </w:hyperlink>
    </w:p>
    <w:p w14:paraId="237F2600" w14:textId="0E05A300"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533" w:history="1">
        <w:r w:rsidRPr="002D4119">
          <w:rPr>
            <w:rStyle w:val="Hyperlink"/>
            <w:rFonts w:ascii="Simplified Arabic" w:hAnsi="Simplified Arabic" w:cs="Simplified Arabic"/>
            <w:b/>
            <w:bCs/>
            <w:noProof/>
            <w:sz w:val="24"/>
            <w:szCs w:val="24"/>
            <w:rtl/>
          </w:rPr>
          <w:t>الفصل الثالث: الإجراءات المنهجية للدراسة</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_Toc195456533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84</w:t>
        </w:r>
        <w:r w:rsidRPr="002D4119">
          <w:rPr>
            <w:rFonts w:ascii="Simplified Arabic" w:hAnsi="Simplified Arabic" w:cs="Simplified Arabic"/>
            <w:b/>
            <w:bCs/>
            <w:noProof/>
            <w:webHidden/>
            <w:sz w:val="24"/>
            <w:szCs w:val="24"/>
          </w:rPr>
          <w:fldChar w:fldCharType="end"/>
        </w:r>
      </w:hyperlink>
    </w:p>
    <w:p w14:paraId="5FE18080" w14:textId="19D89E95" w:rsidR="002F1B79" w:rsidRPr="002D4119" w:rsidRDefault="002F1B79" w:rsidP="00103CD9">
      <w:pPr>
        <w:pStyle w:val="22"/>
        <w:rPr>
          <w:rFonts w:eastAsiaTheme="minorEastAsia"/>
          <w:kern w:val="2"/>
          <w:sz w:val="24"/>
          <w:szCs w:val="24"/>
          <w14:ligatures w14:val="standardContextual"/>
        </w:rPr>
      </w:pPr>
      <w:hyperlink w:anchor="_Toc195456534" w:history="1">
        <w:r w:rsidRPr="002D4119">
          <w:rPr>
            <w:rStyle w:val="Hyperlink"/>
            <w:sz w:val="24"/>
            <w:szCs w:val="24"/>
            <w:rtl/>
            <w:lang w:bidi="ar-EG"/>
          </w:rPr>
          <w:t>1.3 تمهيد:</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_Toc195456534 \h </w:instrText>
        </w:r>
        <w:r w:rsidRPr="002D4119">
          <w:rPr>
            <w:webHidden/>
            <w:sz w:val="24"/>
            <w:szCs w:val="24"/>
          </w:rPr>
        </w:r>
        <w:r w:rsidRPr="002D4119">
          <w:rPr>
            <w:webHidden/>
            <w:sz w:val="24"/>
            <w:szCs w:val="24"/>
          </w:rPr>
          <w:fldChar w:fldCharType="separate"/>
        </w:r>
        <w:r w:rsidR="00E77DA0">
          <w:rPr>
            <w:webHidden/>
            <w:sz w:val="24"/>
            <w:szCs w:val="24"/>
            <w:rtl/>
          </w:rPr>
          <w:t>84</w:t>
        </w:r>
        <w:r w:rsidRPr="002D4119">
          <w:rPr>
            <w:webHidden/>
            <w:sz w:val="24"/>
            <w:szCs w:val="24"/>
          </w:rPr>
          <w:fldChar w:fldCharType="end"/>
        </w:r>
      </w:hyperlink>
    </w:p>
    <w:p w14:paraId="690B98AC" w14:textId="446ADBED" w:rsidR="002F1B79" w:rsidRPr="002D4119" w:rsidRDefault="002F1B79" w:rsidP="00103CD9">
      <w:pPr>
        <w:pStyle w:val="22"/>
        <w:rPr>
          <w:rFonts w:eastAsiaTheme="minorEastAsia"/>
          <w:kern w:val="2"/>
          <w:sz w:val="24"/>
          <w:szCs w:val="24"/>
          <w14:ligatures w14:val="standardContextual"/>
        </w:rPr>
      </w:pPr>
      <w:hyperlink w:anchor="_Toc195456535" w:history="1">
        <w:r w:rsidRPr="002D4119">
          <w:rPr>
            <w:rStyle w:val="Hyperlink"/>
            <w:sz w:val="24"/>
            <w:szCs w:val="24"/>
            <w:rtl/>
            <w:lang w:bidi="ar-EG"/>
          </w:rPr>
          <w:t>2.3 منهج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_Toc195456535 \h </w:instrText>
        </w:r>
        <w:r w:rsidRPr="002D4119">
          <w:rPr>
            <w:webHidden/>
            <w:sz w:val="24"/>
            <w:szCs w:val="24"/>
          </w:rPr>
        </w:r>
        <w:r w:rsidRPr="002D4119">
          <w:rPr>
            <w:webHidden/>
            <w:sz w:val="24"/>
            <w:szCs w:val="24"/>
          </w:rPr>
          <w:fldChar w:fldCharType="separate"/>
        </w:r>
        <w:r w:rsidR="00E77DA0">
          <w:rPr>
            <w:webHidden/>
            <w:sz w:val="24"/>
            <w:szCs w:val="24"/>
            <w:rtl/>
          </w:rPr>
          <w:t>84</w:t>
        </w:r>
        <w:r w:rsidRPr="002D4119">
          <w:rPr>
            <w:webHidden/>
            <w:sz w:val="24"/>
            <w:szCs w:val="24"/>
          </w:rPr>
          <w:fldChar w:fldCharType="end"/>
        </w:r>
      </w:hyperlink>
    </w:p>
    <w:p w14:paraId="7CECE715" w14:textId="2CD765D3" w:rsidR="002F1B79" w:rsidRPr="002D4119" w:rsidRDefault="002F1B79" w:rsidP="00103CD9">
      <w:pPr>
        <w:pStyle w:val="22"/>
        <w:rPr>
          <w:rFonts w:eastAsiaTheme="minorEastAsia"/>
          <w:kern w:val="2"/>
          <w:sz w:val="24"/>
          <w:szCs w:val="24"/>
          <w14:ligatures w14:val="standardContextual"/>
        </w:rPr>
      </w:pPr>
      <w:hyperlink w:anchor="_Toc195456536" w:history="1">
        <w:r w:rsidRPr="002D4119">
          <w:rPr>
            <w:rStyle w:val="Hyperlink"/>
            <w:sz w:val="24"/>
            <w:szCs w:val="24"/>
            <w:rtl/>
            <w:lang w:bidi="ar-EG"/>
          </w:rPr>
          <w:t>3.3 مجتمع وعينة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_Toc195456536 \h </w:instrText>
        </w:r>
        <w:r w:rsidRPr="002D4119">
          <w:rPr>
            <w:webHidden/>
            <w:sz w:val="24"/>
            <w:szCs w:val="24"/>
          </w:rPr>
        </w:r>
        <w:r w:rsidRPr="002D4119">
          <w:rPr>
            <w:webHidden/>
            <w:sz w:val="24"/>
            <w:szCs w:val="24"/>
          </w:rPr>
          <w:fldChar w:fldCharType="separate"/>
        </w:r>
        <w:r w:rsidR="00E77DA0">
          <w:rPr>
            <w:webHidden/>
            <w:sz w:val="24"/>
            <w:szCs w:val="24"/>
            <w:rtl/>
          </w:rPr>
          <w:t>84</w:t>
        </w:r>
        <w:r w:rsidRPr="002D4119">
          <w:rPr>
            <w:webHidden/>
            <w:sz w:val="24"/>
            <w:szCs w:val="24"/>
          </w:rPr>
          <w:fldChar w:fldCharType="end"/>
        </w:r>
      </w:hyperlink>
    </w:p>
    <w:p w14:paraId="276A0059" w14:textId="25378CF4" w:rsidR="002F1B79" w:rsidRPr="002D4119" w:rsidRDefault="002F1B79" w:rsidP="00103CD9">
      <w:pPr>
        <w:pStyle w:val="22"/>
        <w:rPr>
          <w:rFonts w:eastAsiaTheme="minorEastAsia"/>
          <w:kern w:val="2"/>
          <w:sz w:val="24"/>
          <w:szCs w:val="24"/>
          <w14:ligatures w14:val="standardContextual"/>
        </w:rPr>
      </w:pPr>
      <w:hyperlink w:anchor="_Toc195456537" w:history="1">
        <w:r w:rsidRPr="002D4119">
          <w:rPr>
            <w:rStyle w:val="Hyperlink"/>
            <w:sz w:val="24"/>
            <w:szCs w:val="24"/>
            <w:rtl/>
            <w:lang w:bidi="ar-EG"/>
          </w:rPr>
          <w:t>4.3 أداة الدراسة وإجراءات التأكد من خصائصها السيكومترية: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_Toc195456537 \h </w:instrText>
        </w:r>
        <w:r w:rsidRPr="002D4119">
          <w:rPr>
            <w:webHidden/>
            <w:sz w:val="24"/>
            <w:szCs w:val="24"/>
          </w:rPr>
        </w:r>
        <w:r w:rsidRPr="002D4119">
          <w:rPr>
            <w:webHidden/>
            <w:sz w:val="24"/>
            <w:szCs w:val="24"/>
          </w:rPr>
          <w:fldChar w:fldCharType="separate"/>
        </w:r>
        <w:r w:rsidR="00E77DA0">
          <w:rPr>
            <w:webHidden/>
            <w:sz w:val="24"/>
            <w:szCs w:val="24"/>
            <w:rtl/>
          </w:rPr>
          <w:t>85</w:t>
        </w:r>
        <w:r w:rsidRPr="002D4119">
          <w:rPr>
            <w:webHidden/>
            <w:sz w:val="24"/>
            <w:szCs w:val="24"/>
          </w:rPr>
          <w:fldChar w:fldCharType="end"/>
        </w:r>
      </w:hyperlink>
    </w:p>
    <w:p w14:paraId="744731E2" w14:textId="7E7D48BC" w:rsidR="002F1B79" w:rsidRPr="002D4119" w:rsidRDefault="002F1B79" w:rsidP="00103CD9">
      <w:pPr>
        <w:pStyle w:val="22"/>
        <w:rPr>
          <w:rFonts w:eastAsiaTheme="minorEastAsia"/>
          <w:kern w:val="2"/>
          <w:sz w:val="24"/>
          <w:szCs w:val="24"/>
          <w14:ligatures w14:val="standardContextual"/>
        </w:rPr>
      </w:pPr>
      <w:hyperlink w:anchor="_Toc195456546" w:history="1">
        <w:r w:rsidRPr="002D4119">
          <w:rPr>
            <w:rStyle w:val="Hyperlink"/>
            <w:rFonts w:eastAsia="Calibri"/>
            <w:sz w:val="24"/>
            <w:szCs w:val="24"/>
            <w:rtl/>
            <w:lang w:bidi="ar-EG"/>
          </w:rPr>
          <w:t>5.3 الأساليب الإحصائية: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_Toc195456546 \h </w:instrText>
        </w:r>
        <w:r w:rsidRPr="002D4119">
          <w:rPr>
            <w:webHidden/>
            <w:sz w:val="24"/>
            <w:szCs w:val="24"/>
          </w:rPr>
        </w:r>
        <w:r w:rsidRPr="002D4119">
          <w:rPr>
            <w:webHidden/>
            <w:sz w:val="24"/>
            <w:szCs w:val="24"/>
          </w:rPr>
          <w:fldChar w:fldCharType="separate"/>
        </w:r>
        <w:r w:rsidR="00E77DA0">
          <w:rPr>
            <w:webHidden/>
            <w:sz w:val="24"/>
            <w:szCs w:val="24"/>
            <w:rtl/>
          </w:rPr>
          <w:t>92</w:t>
        </w:r>
        <w:r w:rsidRPr="002D4119">
          <w:rPr>
            <w:webHidden/>
            <w:sz w:val="24"/>
            <w:szCs w:val="24"/>
          </w:rPr>
          <w:fldChar w:fldCharType="end"/>
        </w:r>
      </w:hyperlink>
    </w:p>
    <w:p w14:paraId="6A51B052" w14:textId="1B92CAB7" w:rsidR="002F1B79" w:rsidRPr="002D4119" w:rsidRDefault="002F1B79" w:rsidP="00103CD9">
      <w:pPr>
        <w:pStyle w:val="22"/>
        <w:rPr>
          <w:rFonts w:eastAsiaTheme="minorEastAsia"/>
          <w:kern w:val="2"/>
          <w:sz w:val="24"/>
          <w:szCs w:val="24"/>
          <w14:ligatures w14:val="standardContextual"/>
        </w:rPr>
      </w:pPr>
      <w:hyperlink w:anchor="_Toc195456547" w:history="1">
        <w:r w:rsidRPr="002D4119">
          <w:rPr>
            <w:rStyle w:val="Hyperlink"/>
            <w:sz w:val="24"/>
            <w:szCs w:val="24"/>
            <w:rtl/>
            <w:lang w:bidi="ar-EG"/>
          </w:rPr>
          <w:t>6.3 الخاتمة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_Toc195456547 \h </w:instrText>
        </w:r>
        <w:r w:rsidRPr="002D4119">
          <w:rPr>
            <w:webHidden/>
            <w:sz w:val="24"/>
            <w:szCs w:val="24"/>
          </w:rPr>
        </w:r>
        <w:r w:rsidRPr="002D4119">
          <w:rPr>
            <w:webHidden/>
            <w:sz w:val="24"/>
            <w:szCs w:val="24"/>
          </w:rPr>
          <w:fldChar w:fldCharType="separate"/>
        </w:r>
        <w:r w:rsidR="00E77DA0">
          <w:rPr>
            <w:webHidden/>
            <w:sz w:val="24"/>
            <w:szCs w:val="24"/>
            <w:rtl/>
          </w:rPr>
          <w:t>93</w:t>
        </w:r>
        <w:r w:rsidRPr="002D4119">
          <w:rPr>
            <w:webHidden/>
            <w:sz w:val="24"/>
            <w:szCs w:val="24"/>
          </w:rPr>
          <w:fldChar w:fldCharType="end"/>
        </w:r>
      </w:hyperlink>
    </w:p>
    <w:p w14:paraId="5AE6387E" w14:textId="2BDDA1DB"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548" w:history="1">
        <w:r w:rsidRPr="002D4119">
          <w:rPr>
            <w:rStyle w:val="Hyperlink"/>
            <w:rFonts w:ascii="Simplified Arabic" w:hAnsi="Simplified Arabic" w:cs="Simplified Arabic"/>
            <w:b/>
            <w:bCs/>
            <w:noProof/>
            <w:sz w:val="24"/>
            <w:szCs w:val="24"/>
            <w:rtl/>
            <w:lang w:bidi="ar-EG"/>
          </w:rPr>
          <w:t>الفصل الرابع: نتائج الدراسة ومناقشتها</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_Toc195456548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94</w:t>
        </w:r>
        <w:r w:rsidRPr="002D4119">
          <w:rPr>
            <w:rFonts w:ascii="Simplified Arabic" w:hAnsi="Simplified Arabic" w:cs="Simplified Arabic"/>
            <w:b/>
            <w:bCs/>
            <w:noProof/>
            <w:webHidden/>
            <w:sz w:val="24"/>
            <w:szCs w:val="24"/>
          </w:rPr>
          <w:fldChar w:fldCharType="end"/>
        </w:r>
      </w:hyperlink>
    </w:p>
    <w:p w14:paraId="4D121988" w14:textId="6D8BF58D" w:rsidR="002F1B79" w:rsidRPr="002D4119" w:rsidRDefault="002F1B79" w:rsidP="00103CD9">
      <w:pPr>
        <w:pStyle w:val="22"/>
        <w:rPr>
          <w:rFonts w:eastAsiaTheme="minorEastAsia"/>
          <w:kern w:val="2"/>
          <w:sz w:val="24"/>
          <w:szCs w:val="24"/>
          <w14:ligatures w14:val="standardContextual"/>
        </w:rPr>
      </w:pPr>
      <w:hyperlink w:anchor="_Toc195456549" w:history="1">
        <w:r w:rsidRPr="002D4119">
          <w:rPr>
            <w:rStyle w:val="Hyperlink"/>
            <w:color w:val="auto"/>
            <w:sz w:val="24"/>
            <w:szCs w:val="24"/>
            <w:u w:val="none"/>
            <w:rtl/>
            <w:lang w:bidi="ar-EG"/>
          </w:rPr>
          <w:t>1.4 تمهيد</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_Toc195456549 \h </w:instrText>
        </w:r>
        <w:r w:rsidRPr="002D4119">
          <w:rPr>
            <w:webHidden/>
            <w:sz w:val="24"/>
            <w:szCs w:val="24"/>
          </w:rPr>
        </w:r>
        <w:r w:rsidRPr="002D4119">
          <w:rPr>
            <w:webHidden/>
            <w:sz w:val="24"/>
            <w:szCs w:val="24"/>
          </w:rPr>
          <w:fldChar w:fldCharType="separate"/>
        </w:r>
        <w:r w:rsidR="00E77DA0">
          <w:rPr>
            <w:webHidden/>
            <w:sz w:val="24"/>
            <w:szCs w:val="24"/>
            <w:rtl/>
          </w:rPr>
          <w:t>94</w:t>
        </w:r>
        <w:r w:rsidRPr="002D4119">
          <w:rPr>
            <w:webHidden/>
            <w:sz w:val="24"/>
            <w:szCs w:val="24"/>
          </w:rPr>
          <w:fldChar w:fldCharType="end"/>
        </w:r>
      </w:hyperlink>
    </w:p>
    <w:p w14:paraId="4A6A557D" w14:textId="249E75DA" w:rsidR="002F1B79" w:rsidRPr="002D4119" w:rsidRDefault="002F1B79" w:rsidP="00103CD9">
      <w:pPr>
        <w:pStyle w:val="22"/>
        <w:rPr>
          <w:rFonts w:eastAsiaTheme="minorEastAsia"/>
          <w:kern w:val="2"/>
          <w:sz w:val="24"/>
          <w:szCs w:val="24"/>
          <w14:ligatures w14:val="standardContextual"/>
        </w:rPr>
      </w:pPr>
      <w:hyperlink w:anchor="_Toc195456550" w:history="1">
        <w:r w:rsidRPr="002D4119">
          <w:rPr>
            <w:rStyle w:val="Hyperlink"/>
            <w:color w:val="auto"/>
            <w:sz w:val="24"/>
            <w:szCs w:val="24"/>
            <w:u w:val="none"/>
            <w:rtl/>
            <w:lang w:bidi="ar-EG"/>
          </w:rPr>
          <w:t>2.4 القسم الأول: أسئلة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_Toc195456550 \h </w:instrText>
        </w:r>
        <w:r w:rsidRPr="002D4119">
          <w:rPr>
            <w:webHidden/>
            <w:sz w:val="24"/>
            <w:szCs w:val="24"/>
          </w:rPr>
        </w:r>
        <w:r w:rsidRPr="002D4119">
          <w:rPr>
            <w:webHidden/>
            <w:sz w:val="24"/>
            <w:szCs w:val="24"/>
          </w:rPr>
          <w:fldChar w:fldCharType="separate"/>
        </w:r>
        <w:r w:rsidR="00E77DA0">
          <w:rPr>
            <w:webHidden/>
            <w:sz w:val="24"/>
            <w:szCs w:val="24"/>
            <w:rtl/>
          </w:rPr>
          <w:t>94</w:t>
        </w:r>
        <w:r w:rsidRPr="002D4119">
          <w:rPr>
            <w:webHidden/>
            <w:sz w:val="24"/>
            <w:szCs w:val="24"/>
          </w:rPr>
          <w:fldChar w:fldCharType="end"/>
        </w:r>
      </w:hyperlink>
    </w:p>
    <w:p w14:paraId="5BD4AB0C" w14:textId="42E1474C" w:rsidR="002F1B79" w:rsidRPr="002D4119" w:rsidRDefault="005E4B54" w:rsidP="00103CD9">
      <w:pPr>
        <w:pStyle w:val="22"/>
        <w:rPr>
          <w:rFonts w:eastAsiaTheme="minorEastAsia"/>
          <w:kern w:val="2"/>
          <w:sz w:val="24"/>
          <w:szCs w:val="24"/>
          <w14:ligatures w14:val="standardContextual"/>
        </w:rPr>
      </w:pPr>
      <w:r w:rsidRPr="002D4119">
        <w:rPr>
          <w:rStyle w:val="Hyperlink"/>
          <w:rFonts w:hint="cs"/>
          <w:color w:val="auto"/>
          <w:sz w:val="24"/>
          <w:szCs w:val="24"/>
          <w:u w:val="none"/>
          <w:rtl/>
        </w:rPr>
        <w:t xml:space="preserve">3.4 </w:t>
      </w:r>
      <w:hyperlink w:anchor="_Toc195456558" w:history="1">
        <w:r w:rsidR="002F1B79" w:rsidRPr="002D4119">
          <w:rPr>
            <w:rStyle w:val="Hyperlink"/>
            <w:color w:val="auto"/>
            <w:sz w:val="24"/>
            <w:szCs w:val="24"/>
            <w:u w:val="none"/>
            <w:rtl/>
            <w:lang w:bidi="ar-EG"/>
          </w:rPr>
          <w:t>القسم الثاني: فرضيات الدراسة:</w:t>
        </w:r>
        <w:r w:rsidR="002F1B79" w:rsidRPr="002D4119">
          <w:rPr>
            <w:webHidden/>
            <w:sz w:val="24"/>
            <w:szCs w:val="24"/>
          </w:rPr>
          <w:tab/>
        </w:r>
        <w:r w:rsidR="002F1B79" w:rsidRPr="002D4119">
          <w:rPr>
            <w:webHidden/>
            <w:sz w:val="24"/>
            <w:szCs w:val="24"/>
          </w:rPr>
          <w:fldChar w:fldCharType="begin"/>
        </w:r>
        <w:r w:rsidR="002F1B79" w:rsidRPr="002D4119">
          <w:rPr>
            <w:webHidden/>
            <w:sz w:val="24"/>
            <w:szCs w:val="24"/>
          </w:rPr>
          <w:instrText xml:space="preserve"> PAGEREF _Toc195456558 \h </w:instrText>
        </w:r>
        <w:r w:rsidR="002F1B79" w:rsidRPr="002D4119">
          <w:rPr>
            <w:webHidden/>
            <w:sz w:val="24"/>
            <w:szCs w:val="24"/>
          </w:rPr>
        </w:r>
        <w:r w:rsidR="002F1B79" w:rsidRPr="002D4119">
          <w:rPr>
            <w:webHidden/>
            <w:sz w:val="24"/>
            <w:szCs w:val="24"/>
          </w:rPr>
          <w:fldChar w:fldCharType="separate"/>
        </w:r>
        <w:r w:rsidR="00E77DA0">
          <w:rPr>
            <w:webHidden/>
            <w:sz w:val="24"/>
            <w:szCs w:val="24"/>
            <w:rtl/>
          </w:rPr>
          <w:t>105</w:t>
        </w:r>
        <w:r w:rsidR="002F1B79" w:rsidRPr="002D4119">
          <w:rPr>
            <w:webHidden/>
            <w:sz w:val="24"/>
            <w:szCs w:val="24"/>
          </w:rPr>
          <w:fldChar w:fldCharType="end"/>
        </w:r>
      </w:hyperlink>
    </w:p>
    <w:p w14:paraId="795933B5" w14:textId="58C77B23"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637" w:history="1">
        <w:r w:rsidRPr="002D4119">
          <w:rPr>
            <w:rStyle w:val="Hyperlink"/>
            <w:rFonts w:ascii="Simplified Arabic" w:hAnsi="Simplified Arabic" w:cs="Simplified Arabic"/>
            <w:b/>
            <w:bCs/>
            <w:noProof/>
            <w:sz w:val="24"/>
            <w:szCs w:val="24"/>
            <w:rtl/>
          </w:rPr>
          <w:t>الفصل الخامس: ملخص نتائج الدراسة والتوصيات والمقترحات</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_Toc195456637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110</w:t>
        </w:r>
        <w:r w:rsidRPr="002D4119">
          <w:rPr>
            <w:rFonts w:ascii="Simplified Arabic" w:hAnsi="Simplified Arabic" w:cs="Simplified Arabic"/>
            <w:b/>
            <w:bCs/>
            <w:noProof/>
            <w:webHidden/>
            <w:sz w:val="24"/>
            <w:szCs w:val="24"/>
          </w:rPr>
          <w:fldChar w:fldCharType="end"/>
        </w:r>
      </w:hyperlink>
    </w:p>
    <w:p w14:paraId="6E21A767" w14:textId="63CF74EC" w:rsidR="002F1B79" w:rsidRPr="002D4119" w:rsidRDefault="002F1B79" w:rsidP="00103CD9">
      <w:pPr>
        <w:pStyle w:val="22"/>
        <w:rPr>
          <w:rFonts w:eastAsiaTheme="minorEastAsia"/>
          <w:kern w:val="2"/>
          <w:sz w:val="24"/>
          <w:szCs w:val="24"/>
          <w14:ligatures w14:val="standardContextual"/>
        </w:rPr>
      </w:pPr>
      <w:hyperlink w:anchor="_Toc195456638" w:history="1">
        <w:r w:rsidRPr="002D4119">
          <w:rPr>
            <w:rStyle w:val="Hyperlink"/>
            <w:sz w:val="24"/>
            <w:szCs w:val="24"/>
            <w:rtl/>
            <w:lang w:bidi="ar-EG"/>
          </w:rPr>
          <w:t>1.5 ملخص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_Toc195456638 \h </w:instrText>
        </w:r>
        <w:r w:rsidRPr="002D4119">
          <w:rPr>
            <w:webHidden/>
            <w:sz w:val="24"/>
            <w:szCs w:val="24"/>
          </w:rPr>
        </w:r>
        <w:r w:rsidRPr="002D4119">
          <w:rPr>
            <w:webHidden/>
            <w:sz w:val="24"/>
            <w:szCs w:val="24"/>
          </w:rPr>
          <w:fldChar w:fldCharType="separate"/>
        </w:r>
        <w:r w:rsidR="00E77DA0">
          <w:rPr>
            <w:webHidden/>
            <w:sz w:val="24"/>
            <w:szCs w:val="24"/>
            <w:rtl/>
          </w:rPr>
          <w:t>110</w:t>
        </w:r>
        <w:r w:rsidRPr="002D4119">
          <w:rPr>
            <w:webHidden/>
            <w:sz w:val="24"/>
            <w:szCs w:val="24"/>
          </w:rPr>
          <w:fldChar w:fldCharType="end"/>
        </w:r>
      </w:hyperlink>
    </w:p>
    <w:p w14:paraId="1C2015FA" w14:textId="3A33BB96" w:rsidR="002F1B79" w:rsidRPr="002D4119" w:rsidRDefault="002F1B79" w:rsidP="00103CD9">
      <w:pPr>
        <w:pStyle w:val="22"/>
        <w:rPr>
          <w:rFonts w:eastAsiaTheme="minorEastAsia"/>
          <w:kern w:val="2"/>
          <w:sz w:val="24"/>
          <w:szCs w:val="24"/>
          <w14:ligatures w14:val="standardContextual"/>
        </w:rPr>
      </w:pPr>
      <w:hyperlink w:anchor="_Toc195456639" w:history="1">
        <w:r w:rsidRPr="002D4119">
          <w:rPr>
            <w:rStyle w:val="Hyperlink"/>
            <w:sz w:val="24"/>
            <w:szCs w:val="24"/>
            <w:rtl/>
            <w:lang w:bidi="ar-EG"/>
          </w:rPr>
          <w:t>2.5 توصيات الدراسة: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_Toc195456639 \h </w:instrText>
        </w:r>
        <w:r w:rsidRPr="002D4119">
          <w:rPr>
            <w:webHidden/>
            <w:sz w:val="24"/>
            <w:szCs w:val="24"/>
          </w:rPr>
        </w:r>
        <w:r w:rsidRPr="002D4119">
          <w:rPr>
            <w:webHidden/>
            <w:sz w:val="24"/>
            <w:szCs w:val="24"/>
          </w:rPr>
          <w:fldChar w:fldCharType="separate"/>
        </w:r>
        <w:r w:rsidR="00E77DA0">
          <w:rPr>
            <w:webHidden/>
            <w:sz w:val="24"/>
            <w:szCs w:val="24"/>
            <w:rtl/>
          </w:rPr>
          <w:t>112</w:t>
        </w:r>
        <w:r w:rsidRPr="002D4119">
          <w:rPr>
            <w:webHidden/>
            <w:sz w:val="24"/>
            <w:szCs w:val="24"/>
          </w:rPr>
          <w:fldChar w:fldCharType="end"/>
        </w:r>
      </w:hyperlink>
    </w:p>
    <w:p w14:paraId="15F7DF88" w14:textId="1E47A33A" w:rsidR="002F1B79" w:rsidRPr="002D4119" w:rsidRDefault="002F1B79" w:rsidP="00103CD9">
      <w:pPr>
        <w:pStyle w:val="22"/>
        <w:rPr>
          <w:rFonts w:eastAsiaTheme="minorEastAsia"/>
          <w:kern w:val="2"/>
          <w:sz w:val="24"/>
          <w:szCs w:val="24"/>
          <w14:ligatures w14:val="standardContextual"/>
        </w:rPr>
      </w:pPr>
      <w:hyperlink w:anchor="_Toc195456640" w:history="1">
        <w:r w:rsidRPr="002D4119">
          <w:rPr>
            <w:rStyle w:val="Hyperlink"/>
            <w:sz w:val="24"/>
            <w:szCs w:val="24"/>
            <w:rtl/>
            <w:lang w:bidi="ar-EG"/>
          </w:rPr>
          <w:t>3.5 مقترحات الدراسة: عمل دراسات مستقبلية: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_Toc195456640 \h </w:instrText>
        </w:r>
        <w:r w:rsidRPr="002D4119">
          <w:rPr>
            <w:webHidden/>
            <w:sz w:val="24"/>
            <w:szCs w:val="24"/>
          </w:rPr>
        </w:r>
        <w:r w:rsidRPr="002D4119">
          <w:rPr>
            <w:webHidden/>
            <w:sz w:val="24"/>
            <w:szCs w:val="24"/>
          </w:rPr>
          <w:fldChar w:fldCharType="separate"/>
        </w:r>
        <w:r w:rsidR="00E77DA0">
          <w:rPr>
            <w:webHidden/>
            <w:sz w:val="24"/>
            <w:szCs w:val="24"/>
            <w:rtl/>
          </w:rPr>
          <w:t>112</w:t>
        </w:r>
        <w:r w:rsidRPr="002D4119">
          <w:rPr>
            <w:webHidden/>
            <w:sz w:val="24"/>
            <w:szCs w:val="24"/>
          </w:rPr>
          <w:fldChar w:fldCharType="end"/>
        </w:r>
      </w:hyperlink>
    </w:p>
    <w:p w14:paraId="6147115D" w14:textId="65A597E8"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641" w:history="1">
        <w:r w:rsidRPr="002D4119">
          <w:rPr>
            <w:rStyle w:val="Hyperlink"/>
            <w:rFonts w:ascii="Simplified Arabic" w:hAnsi="Simplified Arabic" w:cs="Simplified Arabic"/>
            <w:b/>
            <w:bCs/>
            <w:noProof/>
            <w:sz w:val="24"/>
            <w:szCs w:val="24"/>
            <w:rtl/>
            <w:lang w:bidi="ar-EG"/>
          </w:rPr>
          <w:t>قائمة المراجع</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_Toc195456641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113</w:t>
        </w:r>
        <w:r w:rsidRPr="002D4119">
          <w:rPr>
            <w:rFonts w:ascii="Simplified Arabic" w:hAnsi="Simplified Arabic" w:cs="Simplified Arabic"/>
            <w:b/>
            <w:bCs/>
            <w:noProof/>
            <w:webHidden/>
            <w:sz w:val="24"/>
            <w:szCs w:val="24"/>
          </w:rPr>
          <w:fldChar w:fldCharType="end"/>
        </w:r>
      </w:hyperlink>
    </w:p>
    <w:p w14:paraId="7E71F605" w14:textId="4AF36B03" w:rsidR="002F1B79" w:rsidRPr="002D4119" w:rsidRDefault="002F1B79" w:rsidP="00103CD9">
      <w:pPr>
        <w:pStyle w:val="22"/>
        <w:rPr>
          <w:rFonts w:eastAsiaTheme="minorEastAsia"/>
          <w:kern w:val="2"/>
          <w:sz w:val="24"/>
          <w:szCs w:val="24"/>
          <w14:ligatures w14:val="standardContextual"/>
        </w:rPr>
      </w:pPr>
      <w:hyperlink w:anchor="_Toc195456642" w:history="1">
        <w:r w:rsidRPr="002D4119">
          <w:rPr>
            <w:rStyle w:val="Hyperlink"/>
            <w:sz w:val="24"/>
            <w:szCs w:val="24"/>
            <w:rtl/>
            <w:lang w:bidi="ar-EG"/>
          </w:rPr>
          <w:t>أولًا المراجع العربية: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_Toc195456642 \h </w:instrText>
        </w:r>
        <w:r w:rsidRPr="002D4119">
          <w:rPr>
            <w:webHidden/>
            <w:sz w:val="24"/>
            <w:szCs w:val="24"/>
          </w:rPr>
        </w:r>
        <w:r w:rsidRPr="002D4119">
          <w:rPr>
            <w:webHidden/>
            <w:sz w:val="24"/>
            <w:szCs w:val="24"/>
          </w:rPr>
          <w:fldChar w:fldCharType="separate"/>
        </w:r>
        <w:r w:rsidR="00E77DA0">
          <w:rPr>
            <w:webHidden/>
            <w:sz w:val="24"/>
            <w:szCs w:val="24"/>
            <w:rtl/>
          </w:rPr>
          <w:t>113</w:t>
        </w:r>
        <w:r w:rsidRPr="002D4119">
          <w:rPr>
            <w:webHidden/>
            <w:sz w:val="24"/>
            <w:szCs w:val="24"/>
          </w:rPr>
          <w:fldChar w:fldCharType="end"/>
        </w:r>
      </w:hyperlink>
    </w:p>
    <w:p w14:paraId="74F82AD4" w14:textId="4CC716FE" w:rsidR="002F1B79" w:rsidRPr="002D4119" w:rsidRDefault="002F1B79" w:rsidP="00103CD9">
      <w:pPr>
        <w:pStyle w:val="22"/>
        <w:rPr>
          <w:rFonts w:eastAsiaTheme="minorEastAsia"/>
          <w:kern w:val="2"/>
          <w:sz w:val="24"/>
          <w:szCs w:val="24"/>
          <w14:ligatures w14:val="standardContextual"/>
        </w:rPr>
      </w:pPr>
      <w:hyperlink w:anchor="_Toc195456643" w:history="1">
        <w:r w:rsidRPr="002D4119">
          <w:rPr>
            <w:rStyle w:val="Hyperlink"/>
            <w:sz w:val="24"/>
            <w:szCs w:val="24"/>
            <w:rtl/>
            <w:lang w:bidi="ar-EG"/>
          </w:rPr>
          <w:t>ثانيًا</w:t>
        </w:r>
        <w:r w:rsidRPr="002D4119">
          <w:rPr>
            <w:rStyle w:val="Hyperlink"/>
            <w:sz w:val="24"/>
            <w:szCs w:val="24"/>
            <w:lang w:bidi="ar-EG"/>
          </w:rPr>
          <w:t>:</w:t>
        </w:r>
        <w:r w:rsidRPr="002D4119">
          <w:rPr>
            <w:rStyle w:val="Hyperlink"/>
            <w:sz w:val="24"/>
            <w:szCs w:val="24"/>
            <w:rtl/>
            <w:lang w:bidi="ar-EG"/>
          </w:rPr>
          <w:t xml:space="preserve"> المراجع الأجنبية: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_Toc195456643 \h </w:instrText>
        </w:r>
        <w:r w:rsidRPr="002D4119">
          <w:rPr>
            <w:webHidden/>
            <w:sz w:val="24"/>
            <w:szCs w:val="24"/>
          </w:rPr>
        </w:r>
        <w:r w:rsidRPr="002D4119">
          <w:rPr>
            <w:webHidden/>
            <w:sz w:val="24"/>
            <w:szCs w:val="24"/>
          </w:rPr>
          <w:fldChar w:fldCharType="separate"/>
        </w:r>
        <w:r w:rsidR="00E77DA0">
          <w:rPr>
            <w:webHidden/>
            <w:sz w:val="24"/>
            <w:szCs w:val="24"/>
            <w:rtl/>
          </w:rPr>
          <w:t>125</w:t>
        </w:r>
        <w:r w:rsidRPr="002D4119">
          <w:rPr>
            <w:webHidden/>
            <w:sz w:val="24"/>
            <w:szCs w:val="24"/>
          </w:rPr>
          <w:fldChar w:fldCharType="end"/>
        </w:r>
      </w:hyperlink>
    </w:p>
    <w:p w14:paraId="6F900185" w14:textId="3C0ACD7B" w:rsidR="002F1B79" w:rsidRPr="002D4119" w:rsidRDefault="002F1B79" w:rsidP="00103CD9">
      <w:pPr>
        <w:pStyle w:val="1a"/>
        <w:tabs>
          <w:tab w:val="right" w:leader="dot" w:pos="9062"/>
        </w:tabs>
        <w:rPr>
          <w:rFonts w:ascii="Simplified Arabic" w:eastAsiaTheme="minorEastAsia" w:hAnsi="Simplified Arabic" w:cs="Simplified Arabic"/>
          <w:b/>
          <w:bCs/>
          <w:noProof/>
          <w:kern w:val="2"/>
          <w:sz w:val="24"/>
          <w:szCs w:val="24"/>
          <w14:ligatures w14:val="standardContextual"/>
        </w:rPr>
      </w:pPr>
      <w:hyperlink w:anchor="_Toc195456644" w:history="1">
        <w:r w:rsidRPr="002D4119">
          <w:rPr>
            <w:rStyle w:val="Hyperlink"/>
            <w:rFonts w:ascii="Simplified Arabic" w:hAnsi="Simplified Arabic" w:cs="Simplified Arabic"/>
            <w:b/>
            <w:bCs/>
            <w:noProof/>
            <w:sz w:val="24"/>
            <w:szCs w:val="24"/>
            <w:rtl/>
            <w:lang w:bidi="ar-EG"/>
          </w:rPr>
          <w:t>الملاحق</w:t>
        </w:r>
        <w:r w:rsidRPr="002D4119">
          <w:rPr>
            <w:rFonts w:ascii="Simplified Arabic" w:hAnsi="Simplified Arabic" w:cs="Simplified Arabic"/>
            <w:b/>
            <w:bCs/>
            <w:noProof/>
            <w:webHidden/>
            <w:sz w:val="24"/>
            <w:szCs w:val="24"/>
          </w:rPr>
          <w:tab/>
        </w:r>
        <w:r w:rsidRPr="002D4119">
          <w:rPr>
            <w:rFonts w:ascii="Simplified Arabic" w:hAnsi="Simplified Arabic" w:cs="Simplified Arabic"/>
            <w:b/>
            <w:bCs/>
            <w:noProof/>
            <w:webHidden/>
            <w:sz w:val="24"/>
            <w:szCs w:val="24"/>
          </w:rPr>
          <w:fldChar w:fldCharType="begin"/>
        </w:r>
        <w:r w:rsidRPr="002D4119">
          <w:rPr>
            <w:rFonts w:ascii="Simplified Arabic" w:hAnsi="Simplified Arabic" w:cs="Simplified Arabic"/>
            <w:b/>
            <w:bCs/>
            <w:noProof/>
            <w:webHidden/>
            <w:sz w:val="24"/>
            <w:szCs w:val="24"/>
          </w:rPr>
          <w:instrText xml:space="preserve"> PAGEREF _Toc195456644 \h </w:instrText>
        </w:r>
        <w:r w:rsidRPr="002D4119">
          <w:rPr>
            <w:rFonts w:ascii="Simplified Arabic" w:hAnsi="Simplified Arabic" w:cs="Simplified Arabic"/>
            <w:b/>
            <w:bCs/>
            <w:noProof/>
            <w:webHidden/>
            <w:sz w:val="24"/>
            <w:szCs w:val="24"/>
          </w:rPr>
        </w:r>
        <w:r w:rsidRPr="002D4119">
          <w:rPr>
            <w:rFonts w:ascii="Simplified Arabic" w:hAnsi="Simplified Arabic" w:cs="Simplified Arabic"/>
            <w:b/>
            <w:bCs/>
            <w:noProof/>
            <w:webHidden/>
            <w:sz w:val="24"/>
            <w:szCs w:val="24"/>
          </w:rPr>
          <w:fldChar w:fldCharType="separate"/>
        </w:r>
        <w:r w:rsidR="00E77DA0">
          <w:rPr>
            <w:rFonts w:ascii="Simplified Arabic" w:hAnsi="Simplified Arabic" w:cs="Simplified Arabic"/>
            <w:b/>
            <w:bCs/>
            <w:noProof/>
            <w:webHidden/>
            <w:sz w:val="24"/>
            <w:szCs w:val="24"/>
            <w:rtl/>
          </w:rPr>
          <w:t>129</w:t>
        </w:r>
        <w:r w:rsidRPr="002D4119">
          <w:rPr>
            <w:rFonts w:ascii="Simplified Arabic" w:hAnsi="Simplified Arabic" w:cs="Simplified Arabic"/>
            <w:b/>
            <w:bCs/>
            <w:noProof/>
            <w:webHidden/>
            <w:sz w:val="24"/>
            <w:szCs w:val="24"/>
          </w:rPr>
          <w:fldChar w:fldCharType="end"/>
        </w:r>
      </w:hyperlink>
    </w:p>
    <w:p w14:paraId="02974AEC" w14:textId="280565C1" w:rsidR="002F1B79" w:rsidRPr="002D4119" w:rsidRDefault="002F1B79" w:rsidP="00103CD9">
      <w:pPr>
        <w:pStyle w:val="22"/>
        <w:rPr>
          <w:rFonts w:eastAsiaTheme="minorEastAsia"/>
          <w:kern w:val="2"/>
          <w:sz w:val="24"/>
          <w:szCs w:val="24"/>
          <w14:ligatures w14:val="standardContextual"/>
        </w:rPr>
      </w:pPr>
      <w:hyperlink w:anchor="_Toc195456645" w:history="1">
        <w:r w:rsidRPr="002D4119">
          <w:rPr>
            <w:rStyle w:val="Hyperlink"/>
            <w:sz w:val="24"/>
            <w:szCs w:val="24"/>
            <w:rtl/>
            <w:lang w:bidi="ar-EG"/>
          </w:rPr>
          <w:t>ملحق (1) الاستبانة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_Toc195456645 \h </w:instrText>
        </w:r>
        <w:r w:rsidRPr="002D4119">
          <w:rPr>
            <w:webHidden/>
            <w:sz w:val="24"/>
            <w:szCs w:val="24"/>
          </w:rPr>
        </w:r>
        <w:r w:rsidRPr="002D4119">
          <w:rPr>
            <w:webHidden/>
            <w:sz w:val="24"/>
            <w:szCs w:val="24"/>
          </w:rPr>
          <w:fldChar w:fldCharType="separate"/>
        </w:r>
        <w:r w:rsidR="00E77DA0">
          <w:rPr>
            <w:webHidden/>
            <w:sz w:val="24"/>
            <w:szCs w:val="24"/>
            <w:rtl/>
          </w:rPr>
          <w:t>129</w:t>
        </w:r>
        <w:r w:rsidRPr="002D4119">
          <w:rPr>
            <w:webHidden/>
            <w:sz w:val="24"/>
            <w:szCs w:val="24"/>
          </w:rPr>
          <w:fldChar w:fldCharType="end"/>
        </w:r>
      </w:hyperlink>
    </w:p>
    <w:p w14:paraId="0122001A" w14:textId="6CE55D47" w:rsidR="002F1B79" w:rsidRPr="0027679E" w:rsidRDefault="002F1B79" w:rsidP="00103CD9">
      <w:pPr>
        <w:pStyle w:val="1a"/>
        <w:tabs>
          <w:tab w:val="right" w:leader="dot" w:pos="9062"/>
        </w:tabs>
        <w:rPr>
          <w:rFonts w:ascii="Simplified Arabic" w:eastAsiaTheme="minorEastAsia" w:hAnsi="Simplified Arabic" w:cs="Simplified Arabic"/>
          <w:noProof/>
          <w:kern w:val="2"/>
          <w:sz w:val="28"/>
          <w:szCs w:val="28"/>
          <w14:ligatures w14:val="standardContextual"/>
        </w:rPr>
      </w:pPr>
      <w:hyperlink w:anchor="_Toc195456646" w:history="1">
        <w:r w:rsidRPr="002D4119">
          <w:rPr>
            <w:rStyle w:val="Hyperlink"/>
            <w:rFonts w:ascii="Simplified Arabic" w:hAnsi="Simplified Arabic" w:cs="Simplified Arabic"/>
            <w:noProof/>
            <w:sz w:val="24"/>
            <w:szCs w:val="24"/>
            <w:lang w:bidi="ar-EG"/>
          </w:rPr>
          <w:t>Abstract</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_Toc195456646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133</w:t>
        </w:r>
        <w:r w:rsidRPr="002D4119">
          <w:rPr>
            <w:rFonts w:ascii="Simplified Arabic" w:hAnsi="Simplified Arabic" w:cs="Simplified Arabic"/>
            <w:noProof/>
            <w:webHidden/>
            <w:sz w:val="24"/>
            <w:szCs w:val="24"/>
          </w:rPr>
          <w:fldChar w:fldCharType="end"/>
        </w:r>
      </w:hyperlink>
    </w:p>
    <w:p w14:paraId="72D44212" w14:textId="106A9A0D" w:rsidR="00FA6718" w:rsidRPr="0027679E" w:rsidRDefault="002F1B79" w:rsidP="0027679E">
      <w:pPr>
        <w:bidi/>
        <w:spacing w:before="120" w:after="120" w:line="240" w:lineRule="auto"/>
        <w:jc w:val="both"/>
        <w:rPr>
          <w:rFonts w:ascii="Simplified Arabic" w:hAnsi="Simplified Arabic" w:cs="Simplified Arabic"/>
          <w:b/>
          <w:bCs/>
          <w:sz w:val="28"/>
          <w:szCs w:val="28"/>
          <w:rtl/>
          <w:lang w:bidi="ar-EG"/>
        </w:rPr>
      </w:pPr>
      <w:r w:rsidRPr="0027679E">
        <w:rPr>
          <w:rFonts w:ascii="Simplified Arabic" w:hAnsi="Simplified Arabic" w:cs="Simplified Arabic"/>
          <w:b/>
          <w:bCs/>
          <w:sz w:val="28"/>
          <w:szCs w:val="28"/>
          <w:rtl/>
          <w:lang w:bidi="ar-EG"/>
        </w:rPr>
        <w:fldChar w:fldCharType="end"/>
      </w:r>
    </w:p>
    <w:p w14:paraId="1C6859BE" w14:textId="77777777" w:rsidR="00FA6718" w:rsidRDefault="00FA6718" w:rsidP="00BC50C9">
      <w:pPr>
        <w:bidi/>
        <w:spacing w:before="120" w:after="120" w:line="240" w:lineRule="auto"/>
        <w:jc w:val="both"/>
        <w:rPr>
          <w:rFonts w:ascii="Times New Roman" w:hAnsi="Times New Roman" w:cs="Simplified Arabic"/>
          <w:b/>
          <w:bCs/>
          <w:sz w:val="24"/>
          <w:szCs w:val="28"/>
          <w:rtl/>
          <w:lang w:bidi="ar-EG"/>
        </w:rPr>
      </w:pPr>
    </w:p>
    <w:p w14:paraId="578177AB" w14:textId="654CE012" w:rsidR="00FA6718" w:rsidRDefault="0027679E" w:rsidP="002D4119">
      <w:pPr>
        <w:pStyle w:val="11110"/>
        <w:rPr>
          <w:rtl/>
          <w:lang w:bidi="ar-EG"/>
        </w:rPr>
      </w:pPr>
      <w:r>
        <w:rPr>
          <w:rFonts w:hint="cs"/>
          <w:rtl/>
          <w:lang w:bidi="ar-EG"/>
        </w:rPr>
        <w:lastRenderedPageBreak/>
        <w:t>فهرس الجداول</w:t>
      </w:r>
    </w:p>
    <w:p w14:paraId="22CDFD33" w14:textId="5C83C27D" w:rsidR="0027679E" w:rsidRPr="002D4119" w:rsidRDefault="0027679E" w:rsidP="00103CD9">
      <w:pPr>
        <w:pStyle w:val="22"/>
        <w:rPr>
          <w:sz w:val="24"/>
          <w:szCs w:val="24"/>
        </w:rPr>
      </w:pPr>
      <w:r w:rsidRPr="0027679E">
        <w:rPr>
          <w:b/>
          <w:bCs/>
          <w:rtl/>
          <w:lang w:bidi="ar-EG"/>
        </w:rPr>
        <w:fldChar w:fldCharType="begin"/>
      </w:r>
      <w:r w:rsidRPr="0027679E">
        <w:rPr>
          <w:b/>
          <w:bCs/>
          <w:rtl/>
          <w:lang w:bidi="ar-EG"/>
        </w:rPr>
        <w:instrText xml:space="preserve"> </w:instrText>
      </w:r>
      <w:r w:rsidRPr="0027679E">
        <w:rPr>
          <w:b/>
          <w:bCs/>
          <w:lang w:bidi="ar-EG"/>
        </w:rPr>
        <w:instrText>TOC</w:instrText>
      </w:r>
      <w:r w:rsidRPr="0027679E">
        <w:rPr>
          <w:b/>
          <w:bCs/>
          <w:rtl/>
          <w:lang w:bidi="ar-EG"/>
        </w:rPr>
        <w:instrText xml:space="preserve"> \</w:instrText>
      </w:r>
      <w:r w:rsidRPr="0027679E">
        <w:rPr>
          <w:b/>
          <w:bCs/>
          <w:lang w:bidi="ar-EG"/>
        </w:rPr>
        <w:instrText>o "1-3" \h \z \u</w:instrText>
      </w:r>
      <w:r w:rsidRPr="0027679E">
        <w:rPr>
          <w:b/>
          <w:bCs/>
          <w:rtl/>
          <w:lang w:bidi="ar-EG"/>
        </w:rPr>
        <w:instrText xml:space="preserve"> </w:instrText>
      </w:r>
      <w:r w:rsidRPr="0027679E">
        <w:rPr>
          <w:b/>
          <w:bCs/>
          <w:rtl/>
          <w:lang w:bidi="ar-EG"/>
        </w:rPr>
        <w:fldChar w:fldCharType="separate"/>
      </w:r>
      <w:hyperlink w:anchor="_Toc195456538" w:history="1">
        <w:r w:rsidRPr="002D4119">
          <w:rPr>
            <w:rStyle w:val="Hyperlink"/>
            <w:sz w:val="24"/>
            <w:szCs w:val="24"/>
            <w:rtl/>
            <w:lang w:bidi="ar-EG"/>
          </w:rPr>
          <w:t>الجدول رقم (3-1) يوضح المعلومات الديموغرافية للاستبانة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_Toc195456538 \h </w:instrText>
        </w:r>
        <w:r w:rsidRPr="002D4119">
          <w:rPr>
            <w:webHidden/>
            <w:sz w:val="24"/>
            <w:szCs w:val="24"/>
          </w:rPr>
        </w:r>
        <w:r w:rsidRPr="002D4119">
          <w:rPr>
            <w:webHidden/>
            <w:sz w:val="24"/>
            <w:szCs w:val="24"/>
          </w:rPr>
          <w:fldChar w:fldCharType="separate"/>
        </w:r>
        <w:r w:rsidR="00E77DA0">
          <w:rPr>
            <w:webHidden/>
            <w:sz w:val="24"/>
            <w:szCs w:val="24"/>
            <w:rtl/>
          </w:rPr>
          <w:t>86</w:t>
        </w:r>
        <w:r w:rsidRPr="002D4119">
          <w:rPr>
            <w:webHidden/>
            <w:sz w:val="24"/>
            <w:szCs w:val="24"/>
          </w:rPr>
          <w:fldChar w:fldCharType="end"/>
        </w:r>
      </w:hyperlink>
    </w:p>
    <w:p w14:paraId="53776125" w14:textId="51518E45"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39" w:history="1">
        <w:r w:rsidRPr="002D4119">
          <w:rPr>
            <w:rStyle w:val="Hyperlink"/>
            <w:rFonts w:ascii="Simplified Arabic" w:hAnsi="Simplified Arabic" w:cs="Simplified Arabic"/>
            <w:noProof/>
            <w:sz w:val="24"/>
            <w:szCs w:val="24"/>
            <w:rtl/>
          </w:rPr>
          <w:t xml:space="preserve">الجدول رقم (3-2) معاملات ارتباط بيرسون بين درجات كل عبارة والدرجة الكلية للبعد الذي تنتمي إليه العبارة في المحور الأول: </w:t>
        </w:r>
        <w:r w:rsidRPr="002D4119">
          <w:rPr>
            <w:rStyle w:val="Hyperlink"/>
            <w:rFonts w:ascii="Simplified Arabic" w:hAnsi="Simplified Arabic" w:cs="Simplified Arabic"/>
            <w:noProof/>
            <w:sz w:val="24"/>
            <w:szCs w:val="24"/>
            <w:rtl/>
            <w:lang w:bidi="ar-KW"/>
          </w:rPr>
          <w:t>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_Toc195456539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88</w:t>
        </w:r>
        <w:r w:rsidRPr="002D4119">
          <w:rPr>
            <w:rFonts w:ascii="Simplified Arabic" w:hAnsi="Simplified Arabic" w:cs="Simplified Arabic"/>
            <w:noProof/>
            <w:webHidden/>
            <w:sz w:val="24"/>
            <w:szCs w:val="24"/>
          </w:rPr>
          <w:fldChar w:fldCharType="end"/>
        </w:r>
      </w:hyperlink>
    </w:p>
    <w:p w14:paraId="25D6BD8E" w14:textId="64FF1F6D"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40" w:history="1">
        <w:r w:rsidRPr="002D4119">
          <w:rPr>
            <w:rStyle w:val="Hyperlink"/>
            <w:rFonts w:ascii="Simplified Arabic" w:hAnsi="Simplified Arabic" w:cs="Simplified Arabic"/>
            <w:noProof/>
            <w:sz w:val="24"/>
            <w:szCs w:val="24"/>
            <w:rtl/>
          </w:rPr>
          <w:t>الجدول رقم (3-3) معاملات الارتباط بين الدرجة الكلية لكل بُعد والمتوسط العام للمحور الأول</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_Toc195456540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89</w:t>
        </w:r>
        <w:r w:rsidRPr="002D4119">
          <w:rPr>
            <w:rFonts w:ascii="Simplified Arabic" w:hAnsi="Simplified Arabic" w:cs="Simplified Arabic"/>
            <w:noProof/>
            <w:webHidden/>
            <w:sz w:val="24"/>
            <w:szCs w:val="24"/>
          </w:rPr>
          <w:fldChar w:fldCharType="end"/>
        </w:r>
      </w:hyperlink>
    </w:p>
    <w:p w14:paraId="3A32C6C1" w14:textId="1234553B"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41" w:history="1">
        <w:r w:rsidRPr="002D4119">
          <w:rPr>
            <w:rStyle w:val="Hyperlink"/>
            <w:rFonts w:ascii="Simplified Arabic" w:hAnsi="Simplified Arabic" w:cs="Simplified Arabic"/>
            <w:noProof/>
            <w:sz w:val="24"/>
            <w:szCs w:val="24"/>
            <w:rtl/>
          </w:rPr>
          <w:t>الجدول رقم (3-4) معامل ثبات ألفا كرونباخ لأبعاد المحور الأول والمتوسط العام للمحور الأول بالاستبانة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_Toc195456541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90</w:t>
        </w:r>
        <w:r w:rsidRPr="002D4119">
          <w:rPr>
            <w:rFonts w:ascii="Simplified Arabic" w:hAnsi="Simplified Arabic" w:cs="Simplified Arabic"/>
            <w:noProof/>
            <w:webHidden/>
            <w:sz w:val="24"/>
            <w:szCs w:val="24"/>
          </w:rPr>
          <w:fldChar w:fldCharType="end"/>
        </w:r>
      </w:hyperlink>
    </w:p>
    <w:p w14:paraId="48FFAF9B" w14:textId="7FC09F82" w:rsidR="0027679E" w:rsidRPr="002D4119" w:rsidRDefault="0027679E" w:rsidP="00103CD9">
      <w:pPr>
        <w:pStyle w:val="22"/>
        <w:rPr>
          <w:rFonts w:eastAsiaTheme="minorEastAsia"/>
          <w:kern w:val="2"/>
          <w:sz w:val="24"/>
          <w:szCs w:val="24"/>
          <w14:ligatures w14:val="standardContextual"/>
        </w:rPr>
      </w:pPr>
      <w:hyperlink w:anchor="_Toc195456542" w:history="1">
        <w:r w:rsidRPr="002D4119">
          <w:rPr>
            <w:rStyle w:val="Hyperlink"/>
            <w:rFonts w:eastAsia="Calibri"/>
            <w:sz w:val="24"/>
            <w:szCs w:val="24"/>
            <w:rtl/>
          </w:rPr>
          <w:t>الجدول رقم (3-5) معاملات ارتباط بيرسون بين درجات كل عبارة والدرجة الكلية للمحور الثاني الذي تنتمي إليه العبارة في المحور الثاني: الاستدامة المالية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_Toc195456542 \h </w:instrText>
        </w:r>
        <w:r w:rsidRPr="002D4119">
          <w:rPr>
            <w:webHidden/>
            <w:sz w:val="24"/>
            <w:szCs w:val="24"/>
          </w:rPr>
        </w:r>
        <w:r w:rsidRPr="002D4119">
          <w:rPr>
            <w:webHidden/>
            <w:sz w:val="24"/>
            <w:szCs w:val="24"/>
          </w:rPr>
          <w:fldChar w:fldCharType="separate"/>
        </w:r>
        <w:r w:rsidR="00E77DA0">
          <w:rPr>
            <w:webHidden/>
            <w:sz w:val="24"/>
            <w:szCs w:val="24"/>
            <w:rtl/>
          </w:rPr>
          <w:t>90</w:t>
        </w:r>
        <w:r w:rsidRPr="002D4119">
          <w:rPr>
            <w:webHidden/>
            <w:sz w:val="24"/>
            <w:szCs w:val="24"/>
          </w:rPr>
          <w:fldChar w:fldCharType="end"/>
        </w:r>
      </w:hyperlink>
    </w:p>
    <w:p w14:paraId="1400B0D1" w14:textId="6C309AB0"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43" w:history="1">
        <w:r w:rsidRPr="002D4119">
          <w:rPr>
            <w:rStyle w:val="Hyperlink"/>
            <w:rFonts w:ascii="Simplified Arabic" w:hAnsi="Simplified Arabic" w:cs="Simplified Arabic"/>
            <w:noProof/>
            <w:sz w:val="24"/>
            <w:szCs w:val="24"/>
            <w:rtl/>
          </w:rPr>
          <w:t>الجدول رقم (3-6) معامل ثبات ألفا كرونباخ لعبارات المحور الثاني والمتوسط العام للمحور</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_Toc195456543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91</w:t>
        </w:r>
        <w:r w:rsidRPr="002D4119">
          <w:rPr>
            <w:rFonts w:ascii="Simplified Arabic" w:hAnsi="Simplified Arabic" w:cs="Simplified Arabic"/>
            <w:noProof/>
            <w:webHidden/>
            <w:sz w:val="24"/>
            <w:szCs w:val="24"/>
          </w:rPr>
          <w:fldChar w:fldCharType="end"/>
        </w:r>
      </w:hyperlink>
    </w:p>
    <w:p w14:paraId="798BFDCA" w14:textId="0A4FE2B2"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44" w:history="1">
        <w:r w:rsidRPr="002D4119">
          <w:rPr>
            <w:rStyle w:val="Hyperlink"/>
            <w:rFonts w:ascii="Simplified Arabic" w:hAnsi="Simplified Arabic" w:cs="Simplified Arabic"/>
            <w:noProof/>
            <w:sz w:val="24"/>
            <w:szCs w:val="24"/>
            <w:rtl/>
          </w:rPr>
          <w:t xml:space="preserve">الجدول رقم (3-7) معاملات ارتباط بيرسون بين درجات كل عبارة والدرجة الكلية للمحور الثالث الذي تنتمي إليه العبارة في المحور الثالث: </w:t>
        </w:r>
        <w:r w:rsidRPr="002D4119">
          <w:rPr>
            <w:rStyle w:val="Hyperlink"/>
            <w:rFonts w:ascii="Simplified Arabic" w:hAnsi="Simplified Arabic" w:cs="Simplified Arabic"/>
            <w:noProof/>
            <w:sz w:val="24"/>
            <w:szCs w:val="24"/>
            <w:rtl/>
            <w:lang w:bidi="ar-KW"/>
          </w:rPr>
          <w:t>نجاح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_Toc195456544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91</w:t>
        </w:r>
        <w:r w:rsidRPr="002D4119">
          <w:rPr>
            <w:rFonts w:ascii="Simplified Arabic" w:hAnsi="Simplified Arabic" w:cs="Simplified Arabic"/>
            <w:noProof/>
            <w:webHidden/>
            <w:sz w:val="24"/>
            <w:szCs w:val="24"/>
          </w:rPr>
          <w:fldChar w:fldCharType="end"/>
        </w:r>
      </w:hyperlink>
    </w:p>
    <w:p w14:paraId="0A94339C" w14:textId="7EE54342"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45" w:history="1">
        <w:r w:rsidRPr="002D4119">
          <w:rPr>
            <w:rStyle w:val="Hyperlink"/>
            <w:rFonts w:ascii="Simplified Arabic" w:hAnsi="Simplified Arabic" w:cs="Simplified Arabic"/>
            <w:noProof/>
            <w:sz w:val="24"/>
            <w:szCs w:val="24"/>
            <w:rtl/>
          </w:rPr>
          <w:t>الجدول رقم (3-8) معامل ثبات ألفا كرونباخ لعبارات المحور الثالث والمتوسط العام للمحور الثالث بالاستبانة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_Toc195456545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92</w:t>
        </w:r>
        <w:r w:rsidRPr="002D4119">
          <w:rPr>
            <w:rFonts w:ascii="Simplified Arabic" w:hAnsi="Simplified Arabic" w:cs="Simplified Arabic"/>
            <w:noProof/>
            <w:webHidden/>
            <w:sz w:val="24"/>
            <w:szCs w:val="24"/>
          </w:rPr>
          <w:fldChar w:fldCharType="end"/>
        </w:r>
      </w:hyperlink>
    </w:p>
    <w:p w14:paraId="23ECA534" w14:textId="39C384BD"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1" w:history="1">
        <w:r w:rsidRPr="002D4119">
          <w:rPr>
            <w:rStyle w:val="Hyperlink"/>
            <w:rFonts w:ascii="Simplified Arabic" w:hAnsi="Simplified Arabic" w:cs="Simplified Arabic"/>
            <w:noProof/>
            <w:sz w:val="24"/>
            <w:szCs w:val="24"/>
            <w:rtl/>
          </w:rPr>
          <w:t>جدول رقم (4-1) المتوسطات الحسابية والانحرافات المعيارية لاستجابات أفراد العينة للمحور الأول: التمويل التشاركي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_Toc195456551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94</w:t>
        </w:r>
        <w:r w:rsidRPr="002D4119">
          <w:rPr>
            <w:rFonts w:ascii="Simplified Arabic" w:hAnsi="Simplified Arabic" w:cs="Simplified Arabic"/>
            <w:noProof/>
            <w:webHidden/>
            <w:sz w:val="24"/>
            <w:szCs w:val="24"/>
          </w:rPr>
          <w:fldChar w:fldCharType="end"/>
        </w:r>
      </w:hyperlink>
    </w:p>
    <w:p w14:paraId="488A8E63" w14:textId="416BE483"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2" w:history="1">
        <w:r w:rsidRPr="002D4119">
          <w:rPr>
            <w:rStyle w:val="Hyperlink"/>
            <w:rFonts w:ascii="Simplified Arabic" w:hAnsi="Simplified Arabic" w:cs="Simplified Arabic"/>
            <w:noProof/>
            <w:sz w:val="24"/>
            <w:szCs w:val="24"/>
            <w:rtl/>
            <w:lang w:bidi="ar-EG"/>
          </w:rPr>
          <w:t>الجدول رقم (4-2) التكرارات والنسب المئوية والمتوسطات الحسابية والانحرافات المعيارية لاستجابات أفراد العينة للبعد الأول: التمويل التبرعي</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_Toc195456552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95</w:t>
        </w:r>
        <w:r w:rsidRPr="002D4119">
          <w:rPr>
            <w:rFonts w:ascii="Simplified Arabic" w:hAnsi="Simplified Arabic" w:cs="Simplified Arabic"/>
            <w:noProof/>
            <w:webHidden/>
            <w:sz w:val="24"/>
            <w:szCs w:val="24"/>
          </w:rPr>
          <w:fldChar w:fldCharType="end"/>
        </w:r>
      </w:hyperlink>
    </w:p>
    <w:p w14:paraId="06854548" w14:textId="6A35D51F"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3" w:history="1">
        <w:r w:rsidRPr="002D4119">
          <w:rPr>
            <w:rStyle w:val="Hyperlink"/>
            <w:rFonts w:ascii="Simplified Arabic" w:hAnsi="Simplified Arabic" w:cs="Simplified Arabic"/>
            <w:noProof/>
            <w:sz w:val="24"/>
            <w:szCs w:val="24"/>
            <w:rtl/>
            <w:lang w:bidi="ar-EG"/>
          </w:rPr>
          <w:t>الجدول رقم (4-3) التكرارات والنسب المئوية والمتوسطات الحسابية والانحرافات المعيارية لاستجابات أفراد العينة للبعد الثاني: التمويل القائم على المكافآت</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_Toc195456553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97</w:t>
        </w:r>
        <w:r w:rsidRPr="002D4119">
          <w:rPr>
            <w:rFonts w:ascii="Simplified Arabic" w:hAnsi="Simplified Arabic" w:cs="Simplified Arabic"/>
            <w:noProof/>
            <w:webHidden/>
            <w:sz w:val="24"/>
            <w:szCs w:val="24"/>
          </w:rPr>
          <w:fldChar w:fldCharType="end"/>
        </w:r>
      </w:hyperlink>
    </w:p>
    <w:p w14:paraId="41BFA26A" w14:textId="19409ACC"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4" w:history="1">
        <w:r w:rsidRPr="002D4119">
          <w:rPr>
            <w:rStyle w:val="Hyperlink"/>
            <w:rFonts w:ascii="Simplified Arabic" w:hAnsi="Simplified Arabic" w:cs="Simplified Arabic"/>
            <w:noProof/>
            <w:sz w:val="24"/>
            <w:szCs w:val="24"/>
            <w:rtl/>
            <w:lang w:bidi="ar-EG"/>
          </w:rPr>
          <w:t>الجدول رقم (4-4) التكرارات والنسب المئوية والمتوسطات الحسابية والانحرافات المعيارية لاستجابات أفراد العينة للبعد الثالث: التمويل التشاركي المختلط</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99</w:t>
        </w:r>
        <w:r w:rsidRPr="002D4119">
          <w:rPr>
            <w:rFonts w:ascii="Simplified Arabic" w:hAnsi="Simplified Arabic" w:cs="Simplified Arabic"/>
            <w:noProof/>
            <w:webHidden/>
            <w:sz w:val="24"/>
            <w:szCs w:val="24"/>
          </w:rPr>
          <w:fldChar w:fldCharType="end"/>
        </w:r>
      </w:hyperlink>
    </w:p>
    <w:p w14:paraId="6FC68C61" w14:textId="542D8883"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5" w:history="1">
        <w:r w:rsidRPr="002D4119">
          <w:rPr>
            <w:rStyle w:val="Hyperlink"/>
            <w:rFonts w:ascii="Simplified Arabic" w:hAnsi="Simplified Arabic" w:cs="Simplified Arabic"/>
            <w:noProof/>
            <w:sz w:val="24"/>
            <w:szCs w:val="24"/>
            <w:rtl/>
            <w:lang w:bidi="ar-EG"/>
          </w:rPr>
          <w:t>الجدول رقم (4-5) التكرارات والنسب المئوية والمتوسطات الحسابية والانحرافات المعيارية لاستجابات أفراد العينة لفقرات المحور الثالث: نجاح المشاريع الريادية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101</w:t>
        </w:r>
        <w:r w:rsidRPr="002D4119">
          <w:rPr>
            <w:rFonts w:ascii="Simplified Arabic" w:hAnsi="Simplified Arabic" w:cs="Simplified Arabic"/>
            <w:noProof/>
            <w:webHidden/>
            <w:sz w:val="24"/>
            <w:szCs w:val="24"/>
          </w:rPr>
          <w:fldChar w:fldCharType="end"/>
        </w:r>
      </w:hyperlink>
    </w:p>
    <w:p w14:paraId="2F045735" w14:textId="785EC195"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6" w:history="1">
        <w:r w:rsidRPr="002D4119">
          <w:rPr>
            <w:rStyle w:val="Hyperlink"/>
            <w:rFonts w:ascii="Simplified Arabic" w:hAnsi="Simplified Arabic" w:cs="Simplified Arabic"/>
            <w:noProof/>
            <w:sz w:val="24"/>
            <w:szCs w:val="24"/>
            <w:rtl/>
            <w:lang w:bidi="ar-EG"/>
          </w:rPr>
          <w:t>الجدول رقم (4-6) التكرارات والنسب المئوية والمتوسطات الحسابية والانحرافات المعيارية لاستجابات أفراد العينة لفقرات المحور الثاني: الاستدامة المالية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103</w:t>
        </w:r>
        <w:r w:rsidRPr="002D4119">
          <w:rPr>
            <w:rFonts w:ascii="Simplified Arabic" w:hAnsi="Simplified Arabic" w:cs="Simplified Arabic"/>
            <w:noProof/>
            <w:webHidden/>
            <w:sz w:val="24"/>
            <w:szCs w:val="24"/>
          </w:rPr>
          <w:fldChar w:fldCharType="end"/>
        </w:r>
      </w:hyperlink>
    </w:p>
    <w:p w14:paraId="54924A5E" w14:textId="2A9763A5"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7" w:history="1">
        <w:r w:rsidRPr="002D4119">
          <w:rPr>
            <w:rStyle w:val="Hyperlink"/>
            <w:rFonts w:ascii="Simplified Arabic" w:hAnsi="Simplified Arabic" w:cs="Simplified Arabic"/>
            <w:noProof/>
            <w:sz w:val="24"/>
            <w:szCs w:val="24"/>
            <w:rtl/>
            <w:lang w:bidi="ar-EG"/>
          </w:rPr>
          <w:t>الجدول رقم (4-7) معامل ارتباط بيرسون (</w:t>
        </w:r>
        <w:r w:rsidRPr="002D4119">
          <w:rPr>
            <w:rStyle w:val="Hyperlink"/>
            <w:rFonts w:ascii="Simplified Arabic" w:hAnsi="Simplified Arabic" w:cs="Simplified Arabic"/>
            <w:noProof/>
            <w:sz w:val="24"/>
            <w:szCs w:val="24"/>
            <w:lang w:bidi="ar-EG"/>
          </w:rPr>
          <w:t>Pearson</w:t>
        </w:r>
        <w:r w:rsidRPr="002D4119">
          <w:rPr>
            <w:rStyle w:val="Hyperlink"/>
            <w:rFonts w:ascii="Simplified Arabic" w:hAnsi="Simplified Arabic" w:cs="Simplified Arabic"/>
            <w:noProof/>
            <w:sz w:val="24"/>
            <w:szCs w:val="24"/>
            <w:rtl/>
            <w:lang w:bidi="ar-EG"/>
          </w:rPr>
          <w:t>) بين استخدام التمويل التشاركي في المنصات الالكترونية ودعم المشاريع الريادية وتعزيز الاستدامة المالية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_Toc195456557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104</w:t>
        </w:r>
        <w:r w:rsidRPr="002D4119">
          <w:rPr>
            <w:rFonts w:ascii="Simplified Arabic" w:hAnsi="Simplified Arabic" w:cs="Simplified Arabic"/>
            <w:noProof/>
            <w:webHidden/>
            <w:sz w:val="24"/>
            <w:szCs w:val="24"/>
          </w:rPr>
          <w:fldChar w:fldCharType="end"/>
        </w:r>
      </w:hyperlink>
    </w:p>
    <w:p w14:paraId="1449622D" w14:textId="1C9CD795"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59" w:history="1">
        <w:r w:rsidRPr="002D4119">
          <w:rPr>
            <w:rStyle w:val="Hyperlink"/>
            <w:rFonts w:ascii="Simplified Arabic" w:hAnsi="Simplified Arabic" w:cs="Simplified Arabic"/>
            <w:noProof/>
            <w:sz w:val="24"/>
            <w:szCs w:val="24"/>
            <w:rtl/>
          </w:rPr>
          <w:t xml:space="preserve">الجدول رقم (4-8)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للتمويل التبرعي على الاستدامة المالية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_Toc195456559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105</w:t>
        </w:r>
        <w:r w:rsidRPr="002D4119">
          <w:rPr>
            <w:rFonts w:ascii="Simplified Arabic" w:hAnsi="Simplified Arabic" w:cs="Simplified Arabic"/>
            <w:noProof/>
            <w:webHidden/>
            <w:sz w:val="24"/>
            <w:szCs w:val="24"/>
          </w:rPr>
          <w:fldChar w:fldCharType="end"/>
        </w:r>
      </w:hyperlink>
    </w:p>
    <w:p w14:paraId="7103215D" w14:textId="56B2EFDD"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72" w:history="1">
        <w:r w:rsidRPr="002D4119">
          <w:rPr>
            <w:rStyle w:val="Hyperlink"/>
            <w:rFonts w:ascii="Simplified Arabic" w:hAnsi="Simplified Arabic" w:cs="Simplified Arabic"/>
            <w:noProof/>
            <w:sz w:val="24"/>
            <w:szCs w:val="24"/>
            <w:rtl/>
          </w:rPr>
          <w:t xml:space="preserve">الجدول رقم (4-9)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التمويل القائم على المكافآت على الاستدامة المالية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_Toc195456572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106</w:t>
        </w:r>
        <w:r w:rsidRPr="002D4119">
          <w:rPr>
            <w:rFonts w:ascii="Simplified Arabic" w:hAnsi="Simplified Arabic" w:cs="Simplified Arabic"/>
            <w:noProof/>
            <w:webHidden/>
            <w:sz w:val="24"/>
            <w:szCs w:val="24"/>
          </w:rPr>
          <w:fldChar w:fldCharType="end"/>
        </w:r>
      </w:hyperlink>
    </w:p>
    <w:p w14:paraId="268A4C84" w14:textId="4F14934D"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85" w:history="1">
        <w:r w:rsidRPr="002D4119">
          <w:rPr>
            <w:rStyle w:val="Hyperlink"/>
            <w:rFonts w:ascii="Simplified Arabic" w:hAnsi="Simplified Arabic" w:cs="Simplified Arabic"/>
            <w:noProof/>
            <w:sz w:val="24"/>
            <w:szCs w:val="24"/>
            <w:rtl/>
          </w:rPr>
          <w:t xml:space="preserve">الجدول رقم (4-10)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التمويل التشاركي المختلط على الاستدامة المالية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_Toc195456585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106</w:t>
        </w:r>
        <w:r w:rsidRPr="002D4119">
          <w:rPr>
            <w:rFonts w:ascii="Simplified Arabic" w:hAnsi="Simplified Arabic" w:cs="Simplified Arabic"/>
            <w:noProof/>
            <w:webHidden/>
            <w:sz w:val="24"/>
            <w:szCs w:val="24"/>
          </w:rPr>
          <w:fldChar w:fldCharType="end"/>
        </w:r>
      </w:hyperlink>
    </w:p>
    <w:p w14:paraId="09FC7FBF" w14:textId="06098382"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598" w:history="1">
        <w:r w:rsidRPr="002D4119">
          <w:rPr>
            <w:rStyle w:val="Hyperlink"/>
            <w:rFonts w:ascii="Simplified Arabic" w:hAnsi="Simplified Arabic" w:cs="Simplified Arabic"/>
            <w:noProof/>
            <w:sz w:val="24"/>
            <w:szCs w:val="24"/>
            <w:rtl/>
          </w:rPr>
          <w:t xml:space="preserve">الجدول رقم (4-11)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للتمويل التبرعي على نجاح المشاريع الريادية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_Toc195456598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107</w:t>
        </w:r>
        <w:r w:rsidRPr="002D4119">
          <w:rPr>
            <w:rFonts w:ascii="Simplified Arabic" w:hAnsi="Simplified Arabic" w:cs="Simplified Arabic"/>
            <w:noProof/>
            <w:webHidden/>
            <w:sz w:val="24"/>
            <w:szCs w:val="24"/>
          </w:rPr>
          <w:fldChar w:fldCharType="end"/>
        </w:r>
      </w:hyperlink>
    </w:p>
    <w:p w14:paraId="633E032A" w14:textId="3A2C5AF9" w:rsidR="0027679E" w:rsidRPr="002D4119" w:rsidRDefault="0027679E" w:rsidP="005E4B54">
      <w:pPr>
        <w:pStyle w:val="30"/>
        <w:tabs>
          <w:tab w:val="right" w:leader="dot" w:pos="9072"/>
        </w:tabs>
        <w:bidi/>
        <w:ind w:left="281"/>
        <w:jc w:val="both"/>
        <w:rPr>
          <w:rFonts w:ascii="Simplified Arabic" w:hAnsi="Simplified Arabic" w:cs="Simplified Arabic"/>
          <w:noProof/>
          <w:sz w:val="24"/>
          <w:szCs w:val="24"/>
        </w:rPr>
      </w:pPr>
      <w:hyperlink w:anchor="_Toc195456611" w:history="1">
        <w:r w:rsidRPr="002D4119">
          <w:rPr>
            <w:rStyle w:val="Hyperlink"/>
            <w:rFonts w:ascii="Simplified Arabic" w:hAnsi="Simplified Arabic" w:cs="Simplified Arabic"/>
            <w:noProof/>
            <w:sz w:val="24"/>
            <w:szCs w:val="24"/>
            <w:rtl/>
          </w:rPr>
          <w:t xml:space="preserve">الجدول رقم (4-12)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التمويل القائم على المكافآت على نجاح المشاريع الريادية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_Toc195456611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108</w:t>
        </w:r>
        <w:r w:rsidRPr="002D4119">
          <w:rPr>
            <w:rFonts w:ascii="Simplified Arabic" w:hAnsi="Simplified Arabic" w:cs="Simplified Arabic"/>
            <w:noProof/>
            <w:webHidden/>
            <w:sz w:val="24"/>
            <w:szCs w:val="24"/>
          </w:rPr>
          <w:fldChar w:fldCharType="end"/>
        </w:r>
      </w:hyperlink>
    </w:p>
    <w:p w14:paraId="2F33EE3B" w14:textId="7DE0D7A7" w:rsidR="0027679E" w:rsidRPr="005E4B54" w:rsidRDefault="0027679E" w:rsidP="005E4B54">
      <w:pPr>
        <w:pStyle w:val="30"/>
        <w:tabs>
          <w:tab w:val="right" w:leader="dot" w:pos="9072"/>
        </w:tabs>
        <w:bidi/>
        <w:ind w:left="281"/>
        <w:jc w:val="both"/>
        <w:rPr>
          <w:rFonts w:ascii="Simplified Arabic" w:hAnsi="Simplified Arabic" w:cs="Simplified Arabic"/>
          <w:noProof/>
          <w:sz w:val="28"/>
          <w:szCs w:val="28"/>
          <w:rtl/>
        </w:rPr>
      </w:pPr>
      <w:hyperlink w:anchor="_Toc195456624" w:history="1">
        <w:r w:rsidRPr="002D4119">
          <w:rPr>
            <w:rStyle w:val="Hyperlink"/>
            <w:rFonts w:ascii="Simplified Arabic" w:hAnsi="Simplified Arabic" w:cs="Simplified Arabic"/>
            <w:noProof/>
            <w:sz w:val="24"/>
            <w:szCs w:val="24"/>
            <w:rtl/>
          </w:rPr>
          <w:t xml:space="preserve">الجدول رقم (4-13) نتائج "تحليل الانحدار" للأثر </w:t>
        </w:r>
        <w:r w:rsidRPr="002D4119">
          <w:rPr>
            <w:rStyle w:val="Hyperlink"/>
            <w:rFonts w:ascii="Simplified Arabic" w:hAnsi="Simplified Arabic" w:cs="Simplified Arabic"/>
            <w:noProof/>
            <w:sz w:val="24"/>
            <w:szCs w:val="24"/>
            <w:rtl/>
            <w:lang w:bidi="ar-EG"/>
          </w:rPr>
          <w:t>في</w:t>
        </w:r>
        <w:r w:rsidRPr="002D4119">
          <w:rPr>
            <w:rStyle w:val="Hyperlink"/>
            <w:rFonts w:ascii="Simplified Arabic" w:hAnsi="Simplified Arabic" w:cs="Simplified Arabic"/>
            <w:noProof/>
            <w:sz w:val="24"/>
            <w:szCs w:val="24"/>
            <w:rtl/>
          </w:rPr>
          <w:t xml:space="preserve"> التمويل التشاركي المختلط على نجاح المشاريع الريادية بالمملكة العربية السعودية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_Toc195456624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108</w:t>
        </w:r>
        <w:r w:rsidRPr="002D4119">
          <w:rPr>
            <w:rFonts w:ascii="Simplified Arabic" w:hAnsi="Simplified Arabic" w:cs="Simplified Arabic"/>
            <w:noProof/>
            <w:webHidden/>
            <w:sz w:val="24"/>
            <w:szCs w:val="24"/>
          </w:rPr>
          <w:fldChar w:fldCharType="end"/>
        </w:r>
      </w:hyperlink>
      <w:r w:rsidRPr="0027679E">
        <w:rPr>
          <w:rFonts w:ascii="Simplified Arabic" w:hAnsi="Simplified Arabic" w:cs="Simplified Arabic"/>
          <w:b/>
          <w:bCs/>
          <w:sz w:val="28"/>
          <w:szCs w:val="28"/>
          <w:rtl/>
          <w:lang w:bidi="ar-EG"/>
        </w:rPr>
        <w:fldChar w:fldCharType="end"/>
      </w:r>
    </w:p>
    <w:p w14:paraId="2D55A818" w14:textId="77777777" w:rsidR="0027679E" w:rsidRDefault="0027679E" w:rsidP="0027679E">
      <w:pPr>
        <w:bidi/>
        <w:spacing w:before="120" w:after="120" w:line="240" w:lineRule="auto"/>
        <w:jc w:val="center"/>
        <w:rPr>
          <w:rFonts w:ascii="Times New Roman" w:hAnsi="Times New Roman" w:cs="Simplified Arabic"/>
          <w:b/>
          <w:bCs/>
          <w:sz w:val="24"/>
          <w:szCs w:val="28"/>
          <w:rtl/>
          <w:lang w:bidi="ar-EG"/>
        </w:rPr>
      </w:pPr>
    </w:p>
    <w:p w14:paraId="0E1B503F" w14:textId="4952CFAA" w:rsidR="0027679E" w:rsidRDefault="0027679E" w:rsidP="002D4119">
      <w:pPr>
        <w:pStyle w:val="11110"/>
        <w:rPr>
          <w:rtl/>
          <w:lang w:bidi="ar-EG"/>
        </w:rPr>
      </w:pPr>
      <w:r>
        <w:rPr>
          <w:rFonts w:hint="cs"/>
          <w:rtl/>
          <w:lang w:bidi="ar-EG"/>
        </w:rPr>
        <w:t>فهرس الأشكال</w:t>
      </w:r>
    </w:p>
    <w:p w14:paraId="3B947A3B" w14:textId="57B0B601" w:rsidR="0027679E" w:rsidRPr="002D4119" w:rsidRDefault="0027679E" w:rsidP="00103CD9">
      <w:pPr>
        <w:pStyle w:val="22"/>
        <w:rPr>
          <w:sz w:val="24"/>
          <w:szCs w:val="24"/>
        </w:rPr>
      </w:pPr>
      <w:r w:rsidRPr="0027679E">
        <w:rPr>
          <w:b/>
          <w:bCs/>
          <w:rtl/>
          <w:lang w:bidi="ar-EG"/>
        </w:rPr>
        <w:fldChar w:fldCharType="begin"/>
      </w:r>
      <w:r w:rsidRPr="0027679E">
        <w:rPr>
          <w:b/>
          <w:bCs/>
          <w:rtl/>
          <w:lang w:bidi="ar-EG"/>
        </w:rPr>
        <w:instrText xml:space="preserve"> </w:instrText>
      </w:r>
      <w:r w:rsidRPr="0027679E">
        <w:rPr>
          <w:b/>
          <w:bCs/>
          <w:lang w:bidi="ar-EG"/>
        </w:rPr>
        <w:instrText>TOC</w:instrText>
      </w:r>
      <w:r w:rsidRPr="0027679E">
        <w:rPr>
          <w:b/>
          <w:bCs/>
          <w:rtl/>
          <w:lang w:bidi="ar-EG"/>
        </w:rPr>
        <w:instrText xml:space="preserve"> \</w:instrText>
      </w:r>
      <w:r w:rsidRPr="0027679E">
        <w:rPr>
          <w:b/>
          <w:bCs/>
          <w:lang w:bidi="ar-EG"/>
        </w:rPr>
        <w:instrText>o "1-3" \h \z \u</w:instrText>
      </w:r>
      <w:r w:rsidRPr="0027679E">
        <w:rPr>
          <w:b/>
          <w:bCs/>
          <w:rtl/>
          <w:lang w:bidi="ar-EG"/>
        </w:rPr>
        <w:instrText xml:space="preserve"> </w:instrText>
      </w:r>
      <w:r w:rsidRPr="0027679E">
        <w:rPr>
          <w:b/>
          <w:bCs/>
          <w:rtl/>
          <w:lang w:bidi="ar-EG"/>
        </w:rPr>
        <w:fldChar w:fldCharType="separate"/>
      </w:r>
      <w:hyperlink w:anchor="_Toc195456488" w:history="1">
        <w:r w:rsidRPr="002D4119">
          <w:rPr>
            <w:rStyle w:val="Hyperlink"/>
            <w:sz w:val="24"/>
            <w:szCs w:val="24"/>
            <w:rtl/>
          </w:rPr>
          <w:t>شكل (1-</w:t>
        </w:r>
        <w:r w:rsidR="005E4B54" w:rsidRPr="002D4119">
          <w:rPr>
            <w:rStyle w:val="Hyperlink"/>
            <w:rFonts w:hint="cs"/>
            <w:sz w:val="24"/>
            <w:szCs w:val="24"/>
            <w:rtl/>
          </w:rPr>
          <w:t>1</w:t>
        </w:r>
        <w:r w:rsidRPr="002D4119">
          <w:rPr>
            <w:rStyle w:val="Hyperlink"/>
            <w:sz w:val="24"/>
            <w:szCs w:val="24"/>
            <w:rtl/>
          </w:rPr>
          <w:t>) توضح أنواع المنصات الإلكترونية</w:t>
        </w:r>
        <w:r w:rsidRPr="002D4119">
          <w:rPr>
            <w:webHidden/>
            <w:sz w:val="24"/>
            <w:szCs w:val="24"/>
          </w:rPr>
          <w:tab/>
        </w:r>
        <w:r w:rsidRPr="002D4119">
          <w:rPr>
            <w:webHidden/>
            <w:sz w:val="24"/>
            <w:szCs w:val="24"/>
          </w:rPr>
          <w:fldChar w:fldCharType="begin"/>
        </w:r>
        <w:r w:rsidRPr="002D4119">
          <w:rPr>
            <w:webHidden/>
            <w:sz w:val="24"/>
            <w:szCs w:val="24"/>
          </w:rPr>
          <w:instrText xml:space="preserve"> PAGEREF _Toc195456488 \h </w:instrText>
        </w:r>
        <w:r w:rsidRPr="002D4119">
          <w:rPr>
            <w:webHidden/>
            <w:sz w:val="24"/>
            <w:szCs w:val="24"/>
          </w:rPr>
        </w:r>
        <w:r w:rsidRPr="002D4119">
          <w:rPr>
            <w:webHidden/>
            <w:sz w:val="24"/>
            <w:szCs w:val="24"/>
          </w:rPr>
          <w:fldChar w:fldCharType="separate"/>
        </w:r>
        <w:r w:rsidR="00E77DA0">
          <w:rPr>
            <w:webHidden/>
            <w:sz w:val="24"/>
            <w:szCs w:val="24"/>
            <w:rtl/>
          </w:rPr>
          <w:t>17</w:t>
        </w:r>
        <w:r w:rsidRPr="002D4119">
          <w:rPr>
            <w:webHidden/>
            <w:sz w:val="24"/>
            <w:szCs w:val="24"/>
          </w:rPr>
          <w:fldChar w:fldCharType="end"/>
        </w:r>
      </w:hyperlink>
    </w:p>
    <w:p w14:paraId="7461681D" w14:textId="79DE808C" w:rsidR="0027679E" w:rsidRPr="0027679E" w:rsidRDefault="0027679E" w:rsidP="005E4B54">
      <w:pPr>
        <w:pStyle w:val="30"/>
        <w:tabs>
          <w:tab w:val="right" w:leader="dot" w:pos="9072"/>
        </w:tabs>
        <w:bidi/>
        <w:ind w:left="281"/>
        <w:rPr>
          <w:rFonts w:ascii="Simplified Arabic" w:hAnsi="Simplified Arabic" w:cs="Simplified Arabic"/>
          <w:noProof/>
          <w:sz w:val="28"/>
          <w:szCs w:val="28"/>
        </w:rPr>
      </w:pPr>
      <w:hyperlink w:anchor="_Toc195456526" w:history="1">
        <w:r w:rsidRPr="002D4119">
          <w:rPr>
            <w:rStyle w:val="Hyperlink"/>
            <w:rFonts w:ascii="Simplified Arabic" w:hAnsi="Simplified Arabic" w:cs="Simplified Arabic"/>
            <w:noProof/>
            <w:sz w:val="24"/>
            <w:szCs w:val="24"/>
            <w:rtl/>
          </w:rPr>
          <w:t>شكل (1-</w:t>
        </w:r>
        <w:r w:rsidR="005E4B54" w:rsidRPr="002D4119">
          <w:rPr>
            <w:rStyle w:val="Hyperlink"/>
            <w:rFonts w:ascii="Simplified Arabic" w:hAnsi="Simplified Arabic" w:cs="Simplified Arabic" w:hint="cs"/>
            <w:noProof/>
            <w:sz w:val="24"/>
            <w:szCs w:val="24"/>
            <w:rtl/>
          </w:rPr>
          <w:t>2</w:t>
        </w:r>
        <w:r w:rsidRPr="002D4119">
          <w:rPr>
            <w:rStyle w:val="Hyperlink"/>
            <w:rFonts w:ascii="Simplified Arabic" w:hAnsi="Simplified Arabic" w:cs="Simplified Arabic"/>
            <w:noProof/>
            <w:sz w:val="24"/>
            <w:szCs w:val="24"/>
            <w:rtl/>
          </w:rPr>
          <w:t>) نموذج الدراسة</w:t>
        </w:r>
        <w:r w:rsidRPr="002D4119">
          <w:rPr>
            <w:rFonts w:ascii="Simplified Arabic" w:hAnsi="Simplified Arabic" w:cs="Simplified Arabic"/>
            <w:noProof/>
            <w:webHidden/>
            <w:sz w:val="24"/>
            <w:szCs w:val="24"/>
          </w:rPr>
          <w:tab/>
        </w:r>
        <w:r w:rsidRPr="002D4119">
          <w:rPr>
            <w:rFonts w:ascii="Simplified Arabic" w:hAnsi="Simplified Arabic" w:cs="Simplified Arabic"/>
            <w:noProof/>
            <w:webHidden/>
            <w:sz w:val="24"/>
            <w:szCs w:val="24"/>
          </w:rPr>
          <w:fldChar w:fldCharType="begin"/>
        </w:r>
        <w:r w:rsidRPr="002D4119">
          <w:rPr>
            <w:rFonts w:ascii="Simplified Arabic" w:hAnsi="Simplified Arabic" w:cs="Simplified Arabic"/>
            <w:noProof/>
            <w:webHidden/>
            <w:sz w:val="24"/>
            <w:szCs w:val="24"/>
          </w:rPr>
          <w:instrText xml:space="preserve"> PAGEREF _Toc195456526 \h </w:instrText>
        </w:r>
        <w:r w:rsidRPr="002D4119">
          <w:rPr>
            <w:rFonts w:ascii="Simplified Arabic" w:hAnsi="Simplified Arabic" w:cs="Simplified Arabic"/>
            <w:noProof/>
            <w:webHidden/>
            <w:sz w:val="24"/>
            <w:szCs w:val="24"/>
          </w:rPr>
        </w:r>
        <w:r w:rsidRPr="002D4119">
          <w:rPr>
            <w:rFonts w:ascii="Simplified Arabic" w:hAnsi="Simplified Arabic" w:cs="Simplified Arabic"/>
            <w:noProof/>
            <w:webHidden/>
            <w:sz w:val="24"/>
            <w:szCs w:val="24"/>
          </w:rPr>
          <w:fldChar w:fldCharType="separate"/>
        </w:r>
        <w:r w:rsidR="00E77DA0">
          <w:rPr>
            <w:rFonts w:ascii="Simplified Arabic" w:hAnsi="Simplified Arabic" w:cs="Simplified Arabic"/>
            <w:noProof/>
            <w:webHidden/>
            <w:sz w:val="24"/>
            <w:szCs w:val="24"/>
            <w:rtl/>
          </w:rPr>
          <w:t>74</w:t>
        </w:r>
        <w:r w:rsidRPr="002D4119">
          <w:rPr>
            <w:rFonts w:ascii="Simplified Arabic" w:hAnsi="Simplified Arabic" w:cs="Simplified Arabic"/>
            <w:noProof/>
            <w:webHidden/>
            <w:sz w:val="24"/>
            <w:szCs w:val="24"/>
          </w:rPr>
          <w:fldChar w:fldCharType="end"/>
        </w:r>
      </w:hyperlink>
    </w:p>
    <w:p w14:paraId="13442E55" w14:textId="6CCAFEBE" w:rsidR="00FA6718" w:rsidRPr="005E4B54" w:rsidRDefault="0027679E" w:rsidP="005E4B54">
      <w:pPr>
        <w:bidi/>
        <w:spacing w:before="120" w:after="120" w:line="240" w:lineRule="auto"/>
        <w:jc w:val="both"/>
        <w:rPr>
          <w:rFonts w:ascii="Simplified Arabic" w:hAnsi="Simplified Arabic" w:cs="Simplified Arabic"/>
          <w:b/>
          <w:bCs/>
          <w:sz w:val="28"/>
          <w:szCs w:val="28"/>
          <w:rtl/>
          <w:lang w:bidi="ar-EG"/>
        </w:rPr>
      </w:pPr>
      <w:r w:rsidRPr="0027679E">
        <w:rPr>
          <w:rFonts w:ascii="Simplified Arabic" w:hAnsi="Simplified Arabic" w:cs="Simplified Arabic"/>
          <w:b/>
          <w:bCs/>
          <w:sz w:val="28"/>
          <w:szCs w:val="28"/>
          <w:rtl/>
          <w:lang w:bidi="ar-EG"/>
        </w:rPr>
        <w:fldChar w:fldCharType="end"/>
      </w:r>
    </w:p>
    <w:p w14:paraId="04DA8730" w14:textId="77777777" w:rsidR="00FA6718" w:rsidRPr="00BC50C9" w:rsidRDefault="00FA6718" w:rsidP="00BC50C9">
      <w:pPr>
        <w:bidi/>
        <w:spacing w:before="120" w:after="120" w:line="240" w:lineRule="auto"/>
        <w:jc w:val="both"/>
        <w:rPr>
          <w:rFonts w:ascii="Times New Roman" w:hAnsi="Times New Roman" w:cs="Simplified Arabic"/>
          <w:b/>
          <w:bCs/>
          <w:sz w:val="24"/>
          <w:szCs w:val="28"/>
          <w:rtl/>
          <w:lang w:bidi="ar-EG"/>
        </w:rPr>
      </w:pPr>
    </w:p>
    <w:p w14:paraId="441ECE91" w14:textId="77777777" w:rsidR="00FA6718" w:rsidRPr="00BC50C9" w:rsidRDefault="00FA6718" w:rsidP="00BC50C9">
      <w:pPr>
        <w:bidi/>
        <w:spacing w:before="120" w:after="120" w:line="240" w:lineRule="auto"/>
        <w:jc w:val="both"/>
        <w:rPr>
          <w:rFonts w:ascii="Times New Roman" w:hAnsi="Times New Roman" w:cs="Simplified Arabic"/>
          <w:b/>
          <w:bCs/>
          <w:sz w:val="24"/>
          <w:szCs w:val="28"/>
          <w:rtl/>
          <w:lang w:bidi="ar-EG"/>
        </w:rPr>
      </w:pPr>
    </w:p>
    <w:p w14:paraId="0563F654" w14:textId="77777777" w:rsidR="00FA6718" w:rsidRPr="00BC50C9" w:rsidRDefault="00FA6718" w:rsidP="00BC50C9">
      <w:pPr>
        <w:bidi/>
        <w:spacing w:before="120" w:after="120" w:line="240" w:lineRule="auto"/>
        <w:jc w:val="both"/>
        <w:rPr>
          <w:rFonts w:ascii="Times New Roman" w:hAnsi="Times New Roman" w:cs="Simplified Arabic"/>
          <w:b/>
          <w:bCs/>
          <w:sz w:val="24"/>
          <w:szCs w:val="28"/>
          <w:rtl/>
          <w:lang w:bidi="ar-EG"/>
        </w:rPr>
      </w:pPr>
    </w:p>
    <w:p w14:paraId="43F1285D" w14:textId="77777777" w:rsidR="00FA6718" w:rsidRDefault="00FA6718" w:rsidP="00BC50C9">
      <w:pPr>
        <w:bidi/>
        <w:spacing w:before="120" w:after="120" w:line="240" w:lineRule="auto"/>
        <w:jc w:val="both"/>
        <w:rPr>
          <w:rFonts w:ascii="Times New Roman" w:hAnsi="Times New Roman" w:cs="Simplified Arabic"/>
          <w:b/>
          <w:bCs/>
          <w:sz w:val="24"/>
          <w:szCs w:val="28"/>
          <w:rtl/>
          <w:lang w:bidi="ar-EG"/>
        </w:rPr>
      </w:pPr>
    </w:p>
    <w:p w14:paraId="69524343" w14:textId="77777777" w:rsidR="00C17932" w:rsidRDefault="00C17932" w:rsidP="00C17932">
      <w:pPr>
        <w:bidi/>
        <w:spacing w:before="120" w:after="120" w:line="240" w:lineRule="auto"/>
        <w:jc w:val="both"/>
        <w:rPr>
          <w:rFonts w:ascii="Times New Roman" w:hAnsi="Times New Roman" w:cs="Simplified Arabic"/>
          <w:b/>
          <w:bCs/>
          <w:sz w:val="24"/>
          <w:szCs w:val="28"/>
          <w:rtl/>
          <w:lang w:bidi="ar-EG"/>
        </w:rPr>
      </w:pPr>
    </w:p>
    <w:p w14:paraId="4391D6A4" w14:textId="77777777" w:rsidR="00C17932" w:rsidRDefault="00C17932" w:rsidP="00C17932">
      <w:pPr>
        <w:bidi/>
        <w:spacing w:before="120" w:after="120" w:line="240" w:lineRule="auto"/>
        <w:jc w:val="both"/>
        <w:rPr>
          <w:rFonts w:ascii="Times New Roman" w:hAnsi="Times New Roman" w:cs="Simplified Arabic"/>
          <w:b/>
          <w:bCs/>
          <w:sz w:val="24"/>
          <w:szCs w:val="28"/>
          <w:rtl/>
          <w:lang w:bidi="ar-EG"/>
        </w:rPr>
      </w:pPr>
    </w:p>
    <w:p w14:paraId="38A9D3C2" w14:textId="77777777" w:rsidR="001D6498" w:rsidRDefault="001D6498" w:rsidP="00225841">
      <w:pPr>
        <w:pStyle w:val="11110"/>
        <w:rPr>
          <w:rtl/>
        </w:rPr>
        <w:sectPr w:rsidR="001D6498" w:rsidSect="001D6498">
          <w:footerReference w:type="default" r:id="rId11"/>
          <w:pgSz w:w="11907" w:h="16840" w:code="9"/>
          <w:pgMar w:top="1134" w:right="1701" w:bottom="1134" w:left="1134" w:header="720" w:footer="720" w:gutter="0"/>
          <w:pgNumType w:fmt="arabicAbjad"/>
          <w:cols w:space="720"/>
          <w:titlePg/>
          <w:docGrid w:linePitch="360"/>
        </w:sectPr>
      </w:pPr>
    </w:p>
    <w:p w14:paraId="4F99762B" w14:textId="07E7C9F8" w:rsidR="006D2F82" w:rsidRPr="00225841" w:rsidRDefault="006D2F82" w:rsidP="00225841">
      <w:pPr>
        <w:pStyle w:val="11110"/>
        <w:rPr>
          <w:rtl/>
        </w:rPr>
      </w:pPr>
      <w:bookmarkStart w:id="14" w:name="_Toc195456479"/>
      <w:r w:rsidRPr="00225841">
        <w:rPr>
          <w:rFonts w:hint="cs"/>
          <w:rtl/>
        </w:rPr>
        <w:lastRenderedPageBreak/>
        <w:t xml:space="preserve">الفصل الأول: </w:t>
      </w:r>
      <w:r w:rsidR="00D43967">
        <w:rPr>
          <w:rFonts w:hint="cs"/>
          <w:rtl/>
        </w:rPr>
        <w:t>المقدمة والإطار النظري</w:t>
      </w:r>
      <w:bookmarkEnd w:id="14"/>
    </w:p>
    <w:p w14:paraId="55D57C05" w14:textId="45B83433" w:rsidR="00360EFE" w:rsidRPr="00225841" w:rsidRDefault="00FA6718" w:rsidP="00225841">
      <w:pPr>
        <w:pStyle w:val="22222"/>
        <w:rPr>
          <w:rtl/>
        </w:rPr>
      </w:pPr>
      <w:bookmarkStart w:id="15" w:name="_Toc195456480"/>
      <w:r w:rsidRPr="00225841">
        <w:rPr>
          <w:rFonts w:hint="cs"/>
          <w:rtl/>
        </w:rPr>
        <w:t xml:space="preserve">1.1 </w:t>
      </w:r>
      <w:r w:rsidR="00C60855" w:rsidRPr="00225841">
        <w:rPr>
          <w:rFonts w:hint="cs"/>
          <w:rtl/>
        </w:rPr>
        <w:t>مقدمة الدراسة</w:t>
      </w:r>
      <w:bookmarkEnd w:id="15"/>
    </w:p>
    <w:p w14:paraId="313FE79A" w14:textId="4A7AF1C9" w:rsidR="00CA2CA0" w:rsidRPr="00BC50C9" w:rsidRDefault="00661304" w:rsidP="00BC50C9">
      <w:pPr>
        <w:pStyle w:val="00000"/>
        <w:rPr>
          <w:rtl/>
        </w:rPr>
      </w:pPr>
      <w:r w:rsidRPr="00BC50C9">
        <w:rPr>
          <w:rtl/>
        </w:rPr>
        <w:t>في ظل</w:t>
      </w:r>
      <w:r w:rsidR="00360EFE" w:rsidRPr="00BC50C9">
        <w:rPr>
          <w:rFonts w:hint="cs"/>
          <w:rtl/>
        </w:rPr>
        <w:t xml:space="preserve"> السعي نحو التحسين المستمر وتحقيق التميز</w:t>
      </w:r>
      <w:r w:rsidR="00CA2CA0" w:rsidRPr="00BC50C9">
        <w:rPr>
          <w:rFonts w:hint="cs"/>
          <w:rtl/>
        </w:rPr>
        <w:t xml:space="preserve">، </w:t>
      </w:r>
      <w:r w:rsidR="00CA2CA0" w:rsidRPr="00BC50C9">
        <w:rPr>
          <w:rtl/>
        </w:rPr>
        <w:t>أصبح</w:t>
      </w:r>
      <w:r w:rsidR="00CA2CA0" w:rsidRPr="00BC50C9">
        <w:rPr>
          <w:rFonts w:hint="cs"/>
          <w:rtl/>
        </w:rPr>
        <w:t>ت</w:t>
      </w:r>
      <w:r w:rsidR="00CA2CA0" w:rsidRPr="00BC50C9">
        <w:rPr>
          <w:rtl/>
        </w:rPr>
        <w:t xml:space="preserve"> الاستدامة هدفًا تسعى إليه مختلف المنظمات، مما دفعها إلى البحث عن أساليب مبتكرة لدعم أنشطتها وتعزيز كفاءتها التشغيلية</w:t>
      </w:r>
      <w:r w:rsidR="00CA2CA0" w:rsidRPr="00BC50C9">
        <w:rPr>
          <w:rFonts w:hint="cs"/>
          <w:rtl/>
        </w:rPr>
        <w:t>،</w:t>
      </w:r>
      <w:r w:rsidR="00CA2CA0" w:rsidRPr="00BC50C9">
        <w:rPr>
          <w:rtl/>
        </w:rPr>
        <w:t xml:space="preserve"> وقد تزامن هذا التوجه مع تطور تكنولوجي هائل أحدثته الثورة الرقمية، والتي تجاوز تأثيرها حدود القطاعات التقليدية، لتعيد تشكيل النظم الاقتصادية والاجتماعية بطرق لم يسبق لها مثيل</w:t>
      </w:r>
      <w:r w:rsidR="00CA2CA0" w:rsidRPr="00BC50C9">
        <w:rPr>
          <w:rFonts w:hint="cs"/>
          <w:rtl/>
        </w:rPr>
        <w:t>، و</w:t>
      </w:r>
      <w:r w:rsidR="00CA2CA0" w:rsidRPr="00BC50C9">
        <w:rPr>
          <w:rtl/>
        </w:rPr>
        <w:t>باتت التقنيات الرقمية عنصرًا جوهريًا في إعادة هيكلة العمليات الإدارية والتمويلية، مما أتاح فرصًا جديدة للنمو والتطور، وأسهم في ظهور استراتيجيات رقمية تدعم بيئات الأعمال وتمكنها من مواكبة التطورات العالمية.</w:t>
      </w:r>
    </w:p>
    <w:p w14:paraId="4605A7A7" w14:textId="5A11A319" w:rsidR="004A2544" w:rsidRPr="00BC50C9" w:rsidRDefault="00CA2CA0" w:rsidP="009A288C">
      <w:pPr>
        <w:pStyle w:val="00000"/>
        <w:widowControl w:val="0"/>
        <w:rPr>
          <w:rtl/>
        </w:rPr>
      </w:pPr>
      <w:r w:rsidRPr="00BC50C9">
        <w:rPr>
          <w:rFonts w:hint="cs"/>
          <w:rtl/>
        </w:rPr>
        <w:t xml:space="preserve">وتعد </w:t>
      </w:r>
      <w:r w:rsidR="004A2544" w:rsidRPr="00BC50C9">
        <w:rPr>
          <w:rtl/>
        </w:rPr>
        <w:t xml:space="preserve">ريادة الأعمال </w:t>
      </w:r>
      <w:r w:rsidR="00040FC4" w:rsidRPr="00BC50C9">
        <w:rPr>
          <w:rFonts w:hint="cs"/>
          <w:rtl/>
        </w:rPr>
        <w:t>من الركائز الأساسية</w:t>
      </w:r>
      <w:r w:rsidR="004A2544" w:rsidRPr="00BC50C9">
        <w:rPr>
          <w:rtl/>
        </w:rPr>
        <w:t xml:space="preserve"> في دعم الاقتصادات الوطنية، </w:t>
      </w:r>
      <w:r w:rsidR="00AA3523" w:rsidRPr="00BC50C9">
        <w:rPr>
          <w:rFonts w:hint="cs"/>
          <w:rtl/>
        </w:rPr>
        <w:t>ومن المواضيع ذات التأثير المهم في اقتصاديات الدول ونموها،</w:t>
      </w:r>
      <w:r w:rsidR="00040FC4" w:rsidRPr="00BC50C9">
        <w:rPr>
          <w:rFonts w:hint="cs"/>
          <w:rtl/>
        </w:rPr>
        <w:t xml:space="preserve"> </w:t>
      </w:r>
      <w:r w:rsidR="00AA3523" w:rsidRPr="00BC50C9">
        <w:rPr>
          <w:rFonts w:hint="cs"/>
          <w:rtl/>
        </w:rPr>
        <w:t xml:space="preserve">كما تعتبر المحرك الحقيقي </w:t>
      </w:r>
      <w:r w:rsidR="000273B7" w:rsidRPr="00BC50C9">
        <w:rPr>
          <w:rFonts w:hint="cs"/>
          <w:rtl/>
        </w:rPr>
        <w:t>للتنمية الاقتصادية والاجتماعية، ولا تزال أفضل أمل لأي دولة في الازدهار،</w:t>
      </w:r>
      <w:r w:rsidR="00F92591" w:rsidRPr="00BC50C9">
        <w:rPr>
          <w:rFonts w:hint="cs"/>
          <w:rtl/>
        </w:rPr>
        <w:t xml:space="preserve"> ومع ذلك</w:t>
      </w:r>
      <w:r w:rsidR="000273B7" w:rsidRPr="00BC50C9">
        <w:rPr>
          <w:rFonts w:hint="cs"/>
          <w:rtl/>
        </w:rPr>
        <w:t xml:space="preserve"> </w:t>
      </w:r>
      <w:r w:rsidR="00040FC4" w:rsidRPr="00BC50C9">
        <w:rPr>
          <w:rtl/>
        </w:rPr>
        <w:t>يظل التحدي الأكبر الذي يواجه رواد الأعمال هو الحصول على التمويل اللازم لتأسيس مشروعاتهم أو تطويرها، إذ يشكل نقص الموارد المالية عقبة رئيسة تحدّ من قدرتهم على تحقيق طموحاتهم التوسعية</w:t>
      </w:r>
      <w:r w:rsidR="00F92591" w:rsidRPr="00BC50C9">
        <w:rPr>
          <w:rFonts w:hint="cs"/>
          <w:rtl/>
        </w:rPr>
        <w:t>،</w:t>
      </w:r>
      <w:r w:rsidR="00040FC4" w:rsidRPr="00BC50C9">
        <w:rPr>
          <w:rtl/>
        </w:rPr>
        <w:t xml:space="preserve"> ومن هنا، برزت الحاجة إلى إيجاد بدائل تمويلية أكثر مرونة وعدالة، وهو ما ساهمت التكنولوجيا الرقمية في تحقيقه من خلال إعادة تعريف أساليب جمع التمويل وتحريرها من القيود التقليدية التي تفرضها المؤسسات المالية والبنوك التجارية، مما أتاح فرصًا جديدة لدعم المشاريع الناشئة وتعزيز استدامتها</w:t>
      </w:r>
      <w:r w:rsidR="00F92591" w:rsidRPr="00BC50C9">
        <w:rPr>
          <w:rFonts w:hint="cs"/>
          <w:rtl/>
        </w:rPr>
        <w:t xml:space="preserve"> </w:t>
      </w:r>
      <w:r w:rsidR="00F911B5" w:rsidRPr="00BC50C9">
        <w:rPr>
          <w:rFonts w:hint="cs"/>
          <w:rtl/>
        </w:rPr>
        <w:t>(</w:t>
      </w:r>
      <w:r w:rsidR="00A92AB5" w:rsidRPr="00BC50C9">
        <w:rPr>
          <w:rFonts w:hint="cs"/>
          <w:rtl/>
        </w:rPr>
        <w:t xml:space="preserve">أبو أمونه، </w:t>
      </w:r>
      <w:r w:rsidR="00F911B5" w:rsidRPr="00BC50C9">
        <w:rPr>
          <w:rFonts w:hint="cs"/>
          <w:rtl/>
        </w:rPr>
        <w:t>2018</w:t>
      </w:r>
      <w:r w:rsidR="00002A0F" w:rsidRPr="00BC50C9">
        <w:rPr>
          <w:rFonts w:hint="cs"/>
          <w:rtl/>
        </w:rPr>
        <w:t>أ</w:t>
      </w:r>
      <w:r w:rsidR="00F911B5" w:rsidRPr="00BC50C9">
        <w:rPr>
          <w:rFonts w:hint="cs"/>
          <w:rtl/>
        </w:rPr>
        <w:t>، ص. 349).</w:t>
      </w:r>
    </w:p>
    <w:p w14:paraId="36EEB9B3" w14:textId="2CFDB59D" w:rsidR="00F7037A" w:rsidRPr="00BC50C9" w:rsidRDefault="00F92591" w:rsidP="009A288C">
      <w:pPr>
        <w:pStyle w:val="00000"/>
        <w:widowControl w:val="0"/>
        <w:rPr>
          <w:rtl/>
        </w:rPr>
      </w:pPr>
      <w:r w:rsidRPr="00BC50C9">
        <w:rPr>
          <w:rtl/>
        </w:rPr>
        <w:t>وفي سياق التحول نحو الاقتصاد الرقمي، برزت المنصات الإلكترونية كأدوات استراتيجية لتعزيز بيئات الأعمال، حيث أصبحت تلعب دورًا محوريًا في تسهيل عمليات التمويل، وعرض الفرص الاستثمارية، وربط المستثمرين برواد الأعمال الراغبين في الحصول على الدعم المالي</w:t>
      </w:r>
      <w:r w:rsidRPr="00BC50C9">
        <w:rPr>
          <w:rFonts w:hint="cs"/>
          <w:rtl/>
        </w:rPr>
        <w:t>،</w:t>
      </w:r>
      <w:r w:rsidRPr="00BC50C9">
        <w:rPr>
          <w:rtl/>
        </w:rPr>
        <w:t xml:space="preserve"> وتمكن هذه المنصات المستثمرين من تقييم المشاريع وتمويلها وفق معايير شفافة، مما يزيد من موثوقية العملية التمويلية، ويحد من المخاطر المحتملة</w:t>
      </w:r>
      <w:r w:rsidRPr="00BC50C9">
        <w:rPr>
          <w:rFonts w:hint="cs"/>
          <w:rtl/>
        </w:rPr>
        <w:t>،</w:t>
      </w:r>
      <w:r w:rsidRPr="00BC50C9">
        <w:rPr>
          <w:rtl/>
        </w:rPr>
        <w:t xml:space="preserve"> كما أسهمت هذه المنصات في تحسين آليات التواصل بين رواد الأعمال وأصحاب رأس المال، مما أتاح بيئة أعمال أكثر تكاملاً وكفاءة</w:t>
      </w:r>
      <w:r w:rsidR="00CE454C" w:rsidRPr="00BC50C9">
        <w:rPr>
          <w:rFonts w:hint="cs"/>
          <w:rtl/>
        </w:rPr>
        <w:t xml:space="preserve"> </w:t>
      </w:r>
      <w:r w:rsidR="00967DB1" w:rsidRPr="00BC50C9">
        <w:rPr>
          <w:rFonts w:hint="cs"/>
          <w:rtl/>
        </w:rPr>
        <w:t>(مرابط وعبدالهادي، 2024، ص. 316).</w:t>
      </w:r>
    </w:p>
    <w:p w14:paraId="75DAB243" w14:textId="0E8A19AE" w:rsidR="00C1136D" w:rsidRPr="00BC50C9" w:rsidRDefault="00CE454C" w:rsidP="009A288C">
      <w:pPr>
        <w:pStyle w:val="00000"/>
        <w:widowControl w:val="0"/>
        <w:rPr>
          <w:rtl/>
        </w:rPr>
      </w:pPr>
      <w:r w:rsidRPr="00BC50C9">
        <w:rPr>
          <w:rtl/>
        </w:rPr>
        <w:t xml:space="preserve">ومع تعاظم أهمية </w:t>
      </w:r>
      <w:proofErr w:type="spellStart"/>
      <w:r w:rsidR="00B73570" w:rsidRPr="00BC50C9">
        <w:rPr>
          <w:rFonts w:hint="cs"/>
          <w:rtl/>
        </w:rPr>
        <w:t>الرقمنة</w:t>
      </w:r>
      <w:proofErr w:type="spellEnd"/>
      <w:r w:rsidRPr="00BC50C9">
        <w:rPr>
          <w:rtl/>
        </w:rPr>
        <w:t xml:space="preserve"> في مختلف القطاعات، لم يعد التحول الرقمي مقتصرًا على الجوانب التشغيلية أو الإدارية فحسب، بل أصبح يشمل جميع جوانب بيئة العمل، بما في ذلك تطوير استراتيجيات رقمية متكاملة تدعم الأنشطة الريادية وتضمن استمرارية المشروعات</w:t>
      </w:r>
      <w:r w:rsidR="00777153" w:rsidRPr="00BC50C9">
        <w:rPr>
          <w:rFonts w:hint="cs"/>
          <w:rtl/>
        </w:rPr>
        <w:t>،</w:t>
      </w:r>
      <w:r w:rsidRPr="00BC50C9">
        <w:rPr>
          <w:rtl/>
        </w:rPr>
        <w:t xml:space="preserve"> وفي هذا الإطار، بات من الضروري توفير حلول مبتكرة تمكن المشاريع الناشئة من إدارة عملياتها، وتعزيز تنافسيتها في الأسواق الرقمية</w:t>
      </w:r>
      <w:r w:rsidR="00777153" w:rsidRPr="00BC50C9">
        <w:rPr>
          <w:rFonts w:hint="cs"/>
          <w:rtl/>
        </w:rPr>
        <w:t>،</w:t>
      </w:r>
      <w:r w:rsidR="002779C6" w:rsidRPr="00BC50C9">
        <w:rPr>
          <w:rFonts w:hint="cs"/>
          <w:rtl/>
        </w:rPr>
        <w:t xml:space="preserve"> </w:t>
      </w:r>
      <w:r w:rsidRPr="00BC50C9">
        <w:rPr>
          <w:rtl/>
        </w:rPr>
        <w:t>وأصبحت المنصات الإلكترونية تلعب دورًا متناميًا في دعم ريادة الأعمال الرقمية، حيث توفر بيئة متكاملة تجمع بين الخدمات التمويلية والإدارية، مما يساعد على تحقيق النجاح المستدام للمؤسسات الريادية</w:t>
      </w:r>
      <w:r w:rsidR="00122C28" w:rsidRPr="00BC50C9">
        <w:rPr>
          <w:rFonts w:hint="cs"/>
          <w:rtl/>
        </w:rPr>
        <w:t xml:space="preserve"> </w:t>
      </w:r>
      <w:r w:rsidR="00285400" w:rsidRPr="00BC50C9">
        <w:rPr>
          <w:rFonts w:hint="cs"/>
          <w:rtl/>
        </w:rPr>
        <w:t>(محروس وحماد</w:t>
      </w:r>
      <w:r w:rsidR="00517307" w:rsidRPr="00BC50C9">
        <w:rPr>
          <w:rFonts w:hint="cs"/>
          <w:rtl/>
        </w:rPr>
        <w:t xml:space="preserve">ه، </w:t>
      </w:r>
      <w:r w:rsidR="00285400" w:rsidRPr="00BC50C9">
        <w:rPr>
          <w:rFonts w:hint="cs"/>
          <w:rtl/>
        </w:rPr>
        <w:t>2023، ص. 396).</w:t>
      </w:r>
    </w:p>
    <w:p w14:paraId="2CB48025" w14:textId="429E9C0D" w:rsidR="00D0001F" w:rsidRPr="00BC50C9" w:rsidRDefault="00BA3BD6" w:rsidP="009A288C">
      <w:pPr>
        <w:pStyle w:val="00000"/>
        <w:widowControl w:val="0"/>
        <w:rPr>
          <w:rtl/>
        </w:rPr>
      </w:pPr>
      <w:r w:rsidRPr="00BC50C9">
        <w:rPr>
          <w:rFonts w:hint="cs"/>
          <w:rtl/>
        </w:rPr>
        <w:lastRenderedPageBreak/>
        <w:t xml:space="preserve">ومن ثم </w:t>
      </w:r>
      <w:r w:rsidRPr="00BC50C9">
        <w:rPr>
          <w:rtl/>
        </w:rPr>
        <w:t>أصبحت الحلول الرقمية تلعب دورًا محوريًا في تسهيل الوصول إلى الموارد المالية والفرص الاستثمارية</w:t>
      </w:r>
      <w:r w:rsidRPr="00BC50C9">
        <w:rPr>
          <w:rFonts w:hint="cs"/>
          <w:rtl/>
        </w:rPr>
        <w:t xml:space="preserve">، </w:t>
      </w:r>
      <w:r w:rsidRPr="00BC50C9">
        <w:rPr>
          <w:rtl/>
        </w:rPr>
        <w:t>ومن بين هذه الحلول، برز التمويل التشاركي</w:t>
      </w:r>
      <w:r w:rsidRPr="00BC50C9">
        <w:rPr>
          <w:rFonts w:hint="cs"/>
          <w:rtl/>
        </w:rPr>
        <w:t xml:space="preserve"> المعتمد على المنصات الإلكترونية ك</w:t>
      </w:r>
      <w:r w:rsidRPr="00BC50C9">
        <w:rPr>
          <w:rtl/>
        </w:rPr>
        <w:t xml:space="preserve">أحد الاتجاهات الحديثة التي تتيح </w:t>
      </w:r>
      <w:r w:rsidRPr="00BC50C9">
        <w:rPr>
          <w:rFonts w:hint="cs"/>
          <w:rtl/>
        </w:rPr>
        <w:t>تمويل المشاريع وأفكار المبدعين ورواد الأعمال، وكان لتلك المنصات الفضل في</w:t>
      </w:r>
      <w:r w:rsidR="00661383" w:rsidRPr="00BC50C9">
        <w:rPr>
          <w:rFonts w:hint="cs"/>
          <w:rtl/>
        </w:rPr>
        <w:t xml:space="preserve"> </w:t>
      </w:r>
      <w:r w:rsidR="00661383" w:rsidRPr="00BC50C9">
        <w:rPr>
          <w:rtl/>
        </w:rPr>
        <w:t>تجاوز العقبات المالية التي تعترضهم، وذلك من خلال توفير قنوات دعم مرنة تتيح لهم تأمين الموارد المالية اللازمة دون الحاجة إلى اللجوء إلى المؤسسات التقليدية ذات الإجراءات المعقدة</w:t>
      </w:r>
      <w:r w:rsidRPr="00BC50C9">
        <w:rPr>
          <w:rFonts w:hint="cs"/>
          <w:rtl/>
        </w:rPr>
        <w:t xml:space="preserve"> (الزميع، 2019، ص. 67).</w:t>
      </w:r>
      <w:r w:rsidR="009A288C">
        <w:rPr>
          <w:rFonts w:hint="cs"/>
          <w:rtl/>
        </w:rPr>
        <w:t xml:space="preserve"> </w:t>
      </w:r>
      <w:r w:rsidR="00D0001F" w:rsidRPr="00BC50C9">
        <w:rPr>
          <w:rFonts w:hint="cs"/>
          <w:rtl/>
        </w:rPr>
        <w:t>ويمثل التمويل التشاركي أحد أهم صيغ التمويل غير التقليدية</w:t>
      </w:r>
      <w:r w:rsidR="00661383" w:rsidRPr="00BC50C9">
        <w:rPr>
          <w:rFonts w:hint="cs"/>
          <w:rtl/>
        </w:rPr>
        <w:t xml:space="preserve">، </w:t>
      </w:r>
      <w:r w:rsidR="00661383" w:rsidRPr="00BC50C9">
        <w:rPr>
          <w:rtl/>
        </w:rPr>
        <w:t>حيث يتيح الاستفادة من مساهمات الأفراد بشكل جماعي لتوفير رأس المال اللازم للمشاريع الناشئة، مما يعزز من فرص نجاحها واستدامتها</w:t>
      </w:r>
      <w:r w:rsidR="00661383" w:rsidRPr="00BC50C9">
        <w:rPr>
          <w:rFonts w:hint="cs"/>
          <w:rtl/>
        </w:rPr>
        <w:t>،</w:t>
      </w:r>
      <w:r w:rsidR="00661383" w:rsidRPr="00BC50C9">
        <w:rPr>
          <w:rtl/>
        </w:rPr>
        <w:t xml:space="preserve"> كما أنه يمثل نموذجًا تمويليًا رقميًا قائمًا على الإنترنت، يمكّن رواد الأعمال من الحصول على الدعم المالي دون الارتباط بقيود المؤسسات الحكومية أو المستثمرين التقليديين، الذين قد يفرضون شروطًا تتعلق بالملكية الفكرية أو الاستراتيجية التجارية للمشروع</w:t>
      </w:r>
      <w:r w:rsidR="00181F8E" w:rsidRPr="00BC50C9">
        <w:rPr>
          <w:rFonts w:hint="cs"/>
          <w:rtl/>
        </w:rPr>
        <w:t xml:space="preserve"> (أبو أمونه، 2018ب، ص. 373-374).</w:t>
      </w:r>
    </w:p>
    <w:p w14:paraId="4863C2FF" w14:textId="6BFC161C" w:rsidR="00BA3BD6" w:rsidRPr="00BC50C9" w:rsidRDefault="00BA3BD6" w:rsidP="009A288C">
      <w:pPr>
        <w:pStyle w:val="00000"/>
        <w:widowControl w:val="0"/>
        <w:rPr>
          <w:rtl/>
        </w:rPr>
      </w:pPr>
      <w:r w:rsidRPr="00BC50C9">
        <w:rPr>
          <w:rFonts w:hint="cs"/>
          <w:rtl/>
        </w:rPr>
        <w:t>وتعد عمليات التمويل التشاركي بمثابة نقلة نوعية في مجال الاستثمارات،</w:t>
      </w:r>
      <w:r w:rsidR="00661383" w:rsidRPr="00BC50C9">
        <w:rPr>
          <w:rFonts w:hint="cs"/>
          <w:rtl/>
        </w:rPr>
        <w:t xml:space="preserve"> </w:t>
      </w:r>
      <w:r w:rsidR="00661383" w:rsidRPr="00BC50C9">
        <w:rPr>
          <w:rtl/>
        </w:rPr>
        <w:t>حيث باتت توفر بدائل مبتكرة لتمويل المشروعات عبر نماذج مثل الاكتتاب والاقتراض الإلكتروني المباشر من الجمهور، مستفيدةً من التقنيات الحديثة لتسهيل هذه العمليات</w:t>
      </w:r>
      <w:r w:rsidR="008C68E9" w:rsidRPr="00BC50C9">
        <w:rPr>
          <w:rFonts w:hint="cs"/>
          <w:rtl/>
        </w:rPr>
        <w:t>،</w:t>
      </w:r>
      <w:r w:rsidR="00661383" w:rsidRPr="00BC50C9">
        <w:rPr>
          <w:rtl/>
        </w:rPr>
        <w:t xml:space="preserve"> ويتميز هذا النمط التمويلي بتكاليفه المنخفضة مقارنة بأساليب التمويل التقليدية، مما يجعله خيارًا جذابًا لأصحاب المشروعات الناشئة الذين يسعون للحصول على موارد مالية دون تكبد أعباء الديون المرتفعة أو الخضوع لشروط صارمة من قبل الجهات المانحة التقليدية</w:t>
      </w:r>
      <w:r w:rsidR="005942F4" w:rsidRPr="00BC50C9">
        <w:rPr>
          <w:rFonts w:hint="cs"/>
          <w:rtl/>
        </w:rPr>
        <w:t xml:space="preserve"> (توكل، 2023، ص. 100).</w:t>
      </w:r>
    </w:p>
    <w:p w14:paraId="1692F991" w14:textId="45667456" w:rsidR="00CE013D" w:rsidRPr="00BC50C9" w:rsidRDefault="008C68E9" w:rsidP="009A288C">
      <w:pPr>
        <w:pStyle w:val="00000"/>
        <w:widowControl w:val="0"/>
        <w:rPr>
          <w:rtl/>
        </w:rPr>
      </w:pPr>
      <w:r w:rsidRPr="00BC50C9">
        <w:rPr>
          <w:rtl/>
        </w:rPr>
        <w:t>ويعتمد التمويل التشاركي بشكل أساسي على المنصات الرقمية، حيث يربط بين رواد الأعمال والمستثمرين عبر الإنترنت، ويوفر نماذج تمويلية متنوعة تتناسب مع طبيعة المشروعات واحتياجاتها المالية</w:t>
      </w:r>
      <w:r w:rsidRPr="00BC50C9">
        <w:rPr>
          <w:rFonts w:hint="cs"/>
          <w:rtl/>
        </w:rPr>
        <w:t xml:space="preserve">، </w:t>
      </w:r>
      <w:r w:rsidRPr="00BC50C9">
        <w:rPr>
          <w:rtl/>
        </w:rPr>
        <w:t xml:space="preserve">وتشمل هذه النماذج التمويل </w:t>
      </w:r>
      <w:proofErr w:type="spellStart"/>
      <w:r w:rsidRPr="00BC50C9">
        <w:rPr>
          <w:rtl/>
        </w:rPr>
        <w:t>التبرعي</w:t>
      </w:r>
      <w:proofErr w:type="spellEnd"/>
      <w:r w:rsidRPr="00BC50C9">
        <w:rPr>
          <w:rtl/>
        </w:rPr>
        <w:t xml:space="preserve">، حيث يساهم الأفراد دون الحصول على مقابل مادي، والتمويل القائم على المكافآت، الذي يمنح المستثمرين مزايا غير مالية، بالإضافة إلى التمويل التشاركي المختلط، </w:t>
      </w:r>
      <w:r w:rsidR="001055BF" w:rsidRPr="00BC50C9">
        <w:t xml:space="preserve"> </w:t>
      </w:r>
      <w:r w:rsidRPr="00BC50C9">
        <w:rPr>
          <w:rtl/>
        </w:rPr>
        <w:t>الذي يجمع بين عدة آليات دعم مالي</w:t>
      </w:r>
      <w:r w:rsidRPr="00BC50C9">
        <w:rPr>
          <w:rFonts w:hint="cs"/>
          <w:rtl/>
        </w:rPr>
        <w:t>،</w:t>
      </w:r>
      <w:r w:rsidRPr="00BC50C9">
        <w:rPr>
          <w:rtl/>
        </w:rPr>
        <w:t xml:space="preserve"> وتتم جميع هذه العمليات عبر الإنترنت من خلال مواقع إلكترونية ومنصات شبكات التواصل الاجتماعي، مما يلغي الحاجة إلى البنوك أو المستثمرين التقليديين، ويوفر بيئة تمويل أكثر انفتاحًا وسرعة وكفاءة</w:t>
      </w:r>
      <w:r w:rsidR="00C9692D" w:rsidRPr="00BC50C9">
        <w:rPr>
          <w:rFonts w:hint="cs"/>
          <w:rtl/>
        </w:rPr>
        <w:t xml:space="preserve"> (</w:t>
      </w:r>
      <w:r w:rsidR="005A4C67" w:rsidRPr="00BC50C9">
        <w:rPr>
          <w:rFonts w:hint="cs"/>
          <w:rtl/>
        </w:rPr>
        <w:t>العاصي ومنصور، 2025، ص. 1642</w:t>
      </w:r>
      <w:r w:rsidR="00C9692D" w:rsidRPr="00BC50C9">
        <w:rPr>
          <w:rFonts w:hint="cs"/>
          <w:rtl/>
        </w:rPr>
        <w:t>).</w:t>
      </w:r>
      <w:r w:rsidR="00124843" w:rsidRPr="00BC50C9">
        <w:rPr>
          <w:rFonts w:hint="cs"/>
          <w:rtl/>
        </w:rPr>
        <w:t xml:space="preserve"> </w:t>
      </w:r>
    </w:p>
    <w:p w14:paraId="66E8FF80" w14:textId="6BEC9016" w:rsidR="006450B4" w:rsidRPr="00BC50C9" w:rsidRDefault="00F41BEB" w:rsidP="009A288C">
      <w:pPr>
        <w:pStyle w:val="00000"/>
        <w:widowControl w:val="0"/>
        <w:rPr>
          <w:rtl/>
        </w:rPr>
      </w:pPr>
      <w:r w:rsidRPr="00BC50C9">
        <w:rPr>
          <w:rFonts w:hint="cs"/>
          <w:rtl/>
        </w:rPr>
        <w:t>و</w:t>
      </w:r>
      <w:r w:rsidRPr="00BC50C9">
        <w:rPr>
          <w:rtl/>
        </w:rPr>
        <w:t>على مدار العقد الماضي</w:t>
      </w:r>
      <w:r w:rsidRPr="00BC50C9">
        <w:rPr>
          <w:rFonts w:hint="cs"/>
          <w:rtl/>
        </w:rPr>
        <w:t xml:space="preserve"> </w:t>
      </w:r>
      <w:r w:rsidRPr="00BC50C9">
        <w:rPr>
          <w:rtl/>
        </w:rPr>
        <w:t>أثبتت منصات التمويل ال</w:t>
      </w:r>
      <w:r w:rsidRPr="00BC50C9">
        <w:rPr>
          <w:rFonts w:hint="cs"/>
          <w:rtl/>
        </w:rPr>
        <w:t>تشاركي</w:t>
      </w:r>
      <w:r w:rsidRPr="00BC50C9">
        <w:rPr>
          <w:rtl/>
        </w:rPr>
        <w:t xml:space="preserve"> </w:t>
      </w:r>
      <w:r w:rsidRPr="00BC50C9">
        <w:rPr>
          <w:rFonts w:hint="cs"/>
          <w:rtl/>
        </w:rPr>
        <w:t>نفسها</w:t>
      </w:r>
      <w:r w:rsidRPr="00BC50C9">
        <w:rPr>
          <w:rtl/>
        </w:rPr>
        <w:t xml:space="preserve"> كلاعب جديد في مجال التمويل الريادي</w:t>
      </w:r>
      <w:r w:rsidRPr="00BC50C9">
        <w:rPr>
          <w:rFonts w:hint="cs"/>
          <w:rtl/>
        </w:rPr>
        <w:t xml:space="preserve">؛ </w:t>
      </w:r>
      <w:r w:rsidRPr="00BC50C9">
        <w:rPr>
          <w:rtl/>
        </w:rPr>
        <w:t>حيث توفر للشركات الشابة والمبتكرة إمكانية جمع رأس المال من خلال إصدار الأوراق المالية ببساطة وبتكلفة منخفضة</w:t>
      </w:r>
      <w:r w:rsidRPr="00BC50C9">
        <w:rPr>
          <w:rFonts w:hint="cs"/>
          <w:rtl/>
        </w:rPr>
        <w:t xml:space="preserve">، </w:t>
      </w:r>
      <w:r w:rsidR="00E95968" w:rsidRPr="00BC50C9">
        <w:rPr>
          <w:rFonts w:hint="cs"/>
          <w:rtl/>
        </w:rPr>
        <w:t>بالإضافة</w:t>
      </w:r>
      <w:r w:rsidRPr="00BC50C9">
        <w:rPr>
          <w:rFonts w:hint="cs"/>
          <w:rtl/>
        </w:rPr>
        <w:t xml:space="preserve"> إلى إمكانية الوصول </w:t>
      </w:r>
      <w:r w:rsidRPr="00BC50C9">
        <w:rPr>
          <w:rtl/>
        </w:rPr>
        <w:t>إلى التمويل من خلال هذه الآلية الجديدة نسبيًا</w:t>
      </w:r>
      <w:r w:rsidRPr="00BC50C9">
        <w:rPr>
          <w:rFonts w:hint="cs"/>
          <w:rtl/>
        </w:rPr>
        <w:t xml:space="preserve">؛ حيث تعمل </w:t>
      </w:r>
      <w:r w:rsidRPr="00BC50C9">
        <w:rPr>
          <w:rtl/>
        </w:rPr>
        <w:t xml:space="preserve">منصات التمويل الجماعي ضمن بيئة رقمية، مما يلغي الحاجة للتفاعل </w:t>
      </w:r>
      <w:r w:rsidR="00E95968" w:rsidRPr="00BC50C9">
        <w:rPr>
          <w:rFonts w:hint="cs"/>
          <w:rtl/>
        </w:rPr>
        <w:t>المباشر</w:t>
      </w:r>
      <w:r w:rsidRPr="00BC50C9">
        <w:rPr>
          <w:rFonts w:hint="cs"/>
          <w:rtl/>
        </w:rPr>
        <w:t xml:space="preserve">، </w:t>
      </w:r>
      <w:r w:rsidRPr="00BC50C9">
        <w:rPr>
          <w:rtl/>
        </w:rPr>
        <w:t>وبالتالي يسهل على الباحثين عن التمويل سواء كانوا أفرادًا أو شركات الوصول إلى عدد كبير من المستثمرين المحتملين</w:t>
      </w:r>
      <w:r w:rsidRPr="00BC50C9">
        <w:rPr>
          <w:rFonts w:hint="cs"/>
          <w:rtl/>
        </w:rPr>
        <w:t xml:space="preserve"> (</w:t>
      </w:r>
      <w:proofErr w:type="spellStart"/>
      <w:r w:rsidRPr="00BC50C9">
        <w:t>Cicchiello</w:t>
      </w:r>
      <w:proofErr w:type="spellEnd"/>
      <w:r w:rsidRPr="00BC50C9">
        <w:t>, 2019, P. 299</w:t>
      </w:r>
      <w:r w:rsidRPr="00BC50C9">
        <w:rPr>
          <w:rFonts w:hint="cs"/>
          <w:rtl/>
        </w:rPr>
        <w:t>).</w:t>
      </w:r>
      <w:r w:rsidR="009A288C">
        <w:rPr>
          <w:rFonts w:hint="cs"/>
          <w:rtl/>
        </w:rPr>
        <w:t xml:space="preserve"> </w:t>
      </w:r>
      <w:r w:rsidR="005663C5" w:rsidRPr="00BC50C9">
        <w:rPr>
          <w:rFonts w:hint="cs"/>
          <w:rtl/>
        </w:rPr>
        <w:t>وتمثل</w:t>
      </w:r>
      <w:r w:rsidR="005663C5" w:rsidRPr="00BC50C9">
        <w:rPr>
          <w:rtl/>
        </w:rPr>
        <w:t xml:space="preserve"> الاستدامة المالية للمشاريع المدعومة عبر التمويل التشاركي تمثل تحديًا أساسيًا</w:t>
      </w:r>
      <w:r w:rsidR="006450B4" w:rsidRPr="00BC50C9">
        <w:rPr>
          <w:rFonts w:hint="cs"/>
          <w:rtl/>
        </w:rPr>
        <w:t xml:space="preserve">؛ حيث </w:t>
      </w:r>
      <w:r w:rsidR="006450B4" w:rsidRPr="00BC50C9">
        <w:rPr>
          <w:rtl/>
        </w:rPr>
        <w:t xml:space="preserve">تدعم منصات التمويل </w:t>
      </w:r>
      <w:r w:rsidR="006450B4" w:rsidRPr="00BC50C9">
        <w:rPr>
          <w:rFonts w:hint="cs"/>
          <w:rtl/>
        </w:rPr>
        <w:t>التشاركي</w:t>
      </w:r>
      <w:r w:rsidR="006450B4" w:rsidRPr="00BC50C9">
        <w:rPr>
          <w:rtl/>
        </w:rPr>
        <w:t xml:space="preserve"> </w:t>
      </w:r>
      <w:r w:rsidR="006450B4" w:rsidRPr="00BC50C9">
        <w:rPr>
          <w:rFonts w:hint="cs"/>
          <w:rtl/>
        </w:rPr>
        <w:t>اليوم</w:t>
      </w:r>
      <w:r w:rsidR="006450B4" w:rsidRPr="00BC50C9">
        <w:rPr>
          <w:rtl/>
        </w:rPr>
        <w:t xml:space="preserve"> الحملات التي تركز على الاستدامة بشكل متزايد</w:t>
      </w:r>
      <w:r w:rsidR="006450B4" w:rsidRPr="00BC50C9">
        <w:rPr>
          <w:rFonts w:hint="cs"/>
          <w:rtl/>
        </w:rPr>
        <w:t xml:space="preserve">، </w:t>
      </w:r>
      <w:r w:rsidR="006450B4" w:rsidRPr="00BC50C9">
        <w:rPr>
          <w:rFonts w:hint="cs"/>
          <w:rtl/>
        </w:rPr>
        <w:lastRenderedPageBreak/>
        <w:t xml:space="preserve">مما </w:t>
      </w:r>
      <w:r w:rsidR="006450B4" w:rsidRPr="00BC50C9">
        <w:rPr>
          <w:rtl/>
        </w:rPr>
        <w:t>يعكس ا</w:t>
      </w:r>
      <w:r w:rsidR="006450B4" w:rsidRPr="00BC50C9">
        <w:rPr>
          <w:rFonts w:hint="cs"/>
          <w:rtl/>
        </w:rPr>
        <w:t>لا</w:t>
      </w:r>
      <w:r w:rsidR="006450B4" w:rsidRPr="00BC50C9">
        <w:rPr>
          <w:rtl/>
        </w:rPr>
        <w:t xml:space="preserve">هتمام </w:t>
      </w:r>
      <w:r w:rsidR="006450B4" w:rsidRPr="00BC50C9">
        <w:rPr>
          <w:rFonts w:hint="cs"/>
          <w:rtl/>
        </w:rPr>
        <w:t>المتزايد ل</w:t>
      </w:r>
      <w:r w:rsidR="006450B4" w:rsidRPr="00BC50C9">
        <w:rPr>
          <w:rtl/>
        </w:rPr>
        <w:t>لمستثمرين بالمشاريع التي تتصدى للتحديات البيئية والاجتماعية</w:t>
      </w:r>
      <w:r w:rsidR="006450B4" w:rsidRPr="00BC50C9">
        <w:rPr>
          <w:rFonts w:hint="cs"/>
          <w:rtl/>
        </w:rPr>
        <w:t xml:space="preserve">، حيث </w:t>
      </w:r>
      <w:r w:rsidR="006450B4" w:rsidRPr="00BC50C9">
        <w:rPr>
          <w:rtl/>
        </w:rPr>
        <w:t>يمكن لرواد الأعمال الذين يقدمون حلولا مستدامة</w:t>
      </w:r>
      <w:r w:rsidR="006450B4" w:rsidRPr="00BC50C9">
        <w:rPr>
          <w:rFonts w:hint="cs"/>
          <w:rtl/>
        </w:rPr>
        <w:t>،</w:t>
      </w:r>
      <w:r w:rsidR="006450B4" w:rsidRPr="00BC50C9">
        <w:rPr>
          <w:rtl/>
        </w:rPr>
        <w:t xml:space="preserve"> لا سيما أولئك الذين ينقلون بشكل فعال عرض </w:t>
      </w:r>
      <w:proofErr w:type="spellStart"/>
      <w:r w:rsidR="006450B4" w:rsidRPr="00BC50C9">
        <w:rPr>
          <w:rFonts w:hint="cs"/>
          <w:rtl/>
        </w:rPr>
        <w:t>مقتراحاتهم</w:t>
      </w:r>
      <w:proofErr w:type="spellEnd"/>
      <w:r w:rsidR="006450B4" w:rsidRPr="00BC50C9">
        <w:rPr>
          <w:rtl/>
        </w:rPr>
        <w:t xml:space="preserve"> وتأثير</w:t>
      </w:r>
      <w:r w:rsidR="006450B4" w:rsidRPr="00BC50C9">
        <w:rPr>
          <w:rFonts w:hint="cs"/>
          <w:rtl/>
        </w:rPr>
        <w:t>ها</w:t>
      </w:r>
      <w:r w:rsidR="006450B4" w:rsidRPr="00BC50C9">
        <w:rPr>
          <w:rtl/>
        </w:rPr>
        <w:t xml:space="preserve">، </w:t>
      </w:r>
      <w:r w:rsidR="006450B4" w:rsidRPr="00BC50C9">
        <w:rPr>
          <w:rFonts w:hint="cs"/>
          <w:rtl/>
        </w:rPr>
        <w:t xml:space="preserve">من </w:t>
      </w:r>
      <w:r w:rsidR="006450B4" w:rsidRPr="00BC50C9">
        <w:rPr>
          <w:rtl/>
        </w:rPr>
        <w:t>اكتساب ميزة تنافسية على هذه المنصات</w:t>
      </w:r>
      <w:r w:rsidR="006450B4" w:rsidRPr="00BC50C9">
        <w:rPr>
          <w:rFonts w:hint="cs"/>
          <w:rtl/>
        </w:rPr>
        <w:t>،</w:t>
      </w:r>
      <w:r w:rsidR="006450B4" w:rsidRPr="00BC50C9">
        <w:rPr>
          <w:rtl/>
        </w:rPr>
        <w:t xml:space="preserve"> فإن مستثمري التمويل </w:t>
      </w:r>
      <w:r w:rsidR="006450B4" w:rsidRPr="00BC50C9">
        <w:rPr>
          <w:rFonts w:hint="cs"/>
          <w:rtl/>
        </w:rPr>
        <w:t>التشاركي</w:t>
      </w:r>
      <w:r w:rsidR="006450B4" w:rsidRPr="00BC50C9">
        <w:rPr>
          <w:rtl/>
        </w:rPr>
        <w:t xml:space="preserve"> يسعون في النهاية إلى تحقيق عائد على استثماراتهم، مما يجعل تقديم حالة</w:t>
      </w:r>
      <w:r w:rsidR="006450B4" w:rsidRPr="00BC50C9">
        <w:rPr>
          <w:rFonts w:hint="cs"/>
          <w:rtl/>
        </w:rPr>
        <w:t xml:space="preserve"> </w:t>
      </w:r>
      <w:r w:rsidR="006450B4" w:rsidRPr="00BC50C9">
        <w:rPr>
          <w:rtl/>
        </w:rPr>
        <w:t>تجارية مقنعة للمشاريع المستدامة أمرًا بالغ الأهمية لجمع التبرعات</w:t>
      </w:r>
      <w:r w:rsidR="006450B4" w:rsidRPr="00BC50C9">
        <w:rPr>
          <w:rFonts w:hint="cs"/>
          <w:rtl/>
        </w:rPr>
        <w:t xml:space="preserve"> والدعم</w:t>
      </w:r>
      <w:r w:rsidR="006450B4" w:rsidRPr="00BC50C9">
        <w:rPr>
          <w:rtl/>
        </w:rPr>
        <w:t xml:space="preserve"> بنجاح</w:t>
      </w:r>
      <w:r w:rsidR="006450B4" w:rsidRPr="00BC50C9">
        <w:rPr>
          <w:rFonts w:hint="cs"/>
          <w:rtl/>
        </w:rPr>
        <w:t xml:space="preserve"> (</w:t>
      </w:r>
      <w:r w:rsidR="006450B4" w:rsidRPr="00BC50C9">
        <w:t>Yáñez-Valdés &amp; Guerrero, 2024, P. 2330</w:t>
      </w:r>
      <w:r w:rsidR="006450B4" w:rsidRPr="00BC50C9">
        <w:rPr>
          <w:rFonts w:hint="cs"/>
          <w:rtl/>
        </w:rPr>
        <w:t>).</w:t>
      </w:r>
    </w:p>
    <w:p w14:paraId="43491A4A" w14:textId="61232966" w:rsidR="0024107F" w:rsidRPr="00BC50C9" w:rsidRDefault="009F2895" w:rsidP="009A288C">
      <w:pPr>
        <w:pStyle w:val="00000"/>
        <w:widowControl w:val="0"/>
        <w:rPr>
          <w:rtl/>
        </w:rPr>
      </w:pPr>
      <w:r w:rsidRPr="00BC50C9">
        <w:rPr>
          <w:rFonts w:hint="cs"/>
          <w:rtl/>
        </w:rPr>
        <w:t xml:space="preserve">ولا </w:t>
      </w:r>
      <w:r w:rsidRPr="00BC50C9">
        <w:rPr>
          <w:rtl/>
        </w:rPr>
        <w:t>يقتصر دور منصات التمويل التشاركي على تأمين التمويل الأولي للمشروعات، بل يمتد ليشمل تقديم حلول مبتكرة تضمن استمراريتها على المدى الطويل، وذلك لما للمشاريع الريادية من أهمية في ابتكار منتجات جديدة تسهم في تطوير المجتمعات وتنميتها اقتصاديًا واجتماعيًا</w:t>
      </w:r>
      <w:r w:rsidRPr="00BC50C9">
        <w:rPr>
          <w:rFonts w:hint="cs"/>
          <w:rtl/>
        </w:rPr>
        <w:t xml:space="preserve">، </w:t>
      </w:r>
      <w:r w:rsidRPr="00BC50C9">
        <w:rPr>
          <w:rtl/>
        </w:rPr>
        <w:t>وتعمل هذه المنصات على تشجيع الشباب على تأسيس مشروعاتهم الخاصة، فضلًا عن تقديم الدعم المالي والتسويق المستهدف، مما يسهم بدوره في تحقيق الاستدامة للمشاريع الريادية</w:t>
      </w:r>
      <w:r w:rsidRPr="00BC50C9">
        <w:rPr>
          <w:rFonts w:hint="cs"/>
          <w:rtl/>
        </w:rPr>
        <w:t xml:space="preserve"> </w:t>
      </w:r>
      <w:r w:rsidR="009B6C7C" w:rsidRPr="00BC50C9">
        <w:rPr>
          <w:rFonts w:hint="cs"/>
          <w:rtl/>
        </w:rPr>
        <w:t>(</w:t>
      </w:r>
      <w:proofErr w:type="spellStart"/>
      <w:r w:rsidR="004C2563" w:rsidRPr="00BC50C9">
        <w:rPr>
          <w:rFonts w:hint="cs"/>
          <w:rtl/>
        </w:rPr>
        <w:t>الإمبابي</w:t>
      </w:r>
      <w:proofErr w:type="spellEnd"/>
      <w:r w:rsidR="004C2563" w:rsidRPr="00BC50C9">
        <w:rPr>
          <w:rFonts w:hint="cs"/>
          <w:rtl/>
        </w:rPr>
        <w:t>، 2022، ص. 401</w:t>
      </w:r>
      <w:r w:rsidR="009B6C7C" w:rsidRPr="00BC50C9">
        <w:rPr>
          <w:rFonts w:hint="cs"/>
          <w:rtl/>
        </w:rPr>
        <w:t>).</w:t>
      </w:r>
    </w:p>
    <w:p w14:paraId="6A054CDF" w14:textId="1CF8238B" w:rsidR="008F5BC3" w:rsidRPr="00BC50C9" w:rsidRDefault="008F5BC3" w:rsidP="009A288C">
      <w:pPr>
        <w:pStyle w:val="00000"/>
        <w:widowControl w:val="0"/>
        <w:rPr>
          <w:rtl/>
        </w:rPr>
      </w:pPr>
      <w:r w:rsidRPr="00BC50C9">
        <w:rPr>
          <w:rFonts w:hint="cs"/>
          <w:rtl/>
        </w:rPr>
        <w:t xml:space="preserve">كما يسهم </w:t>
      </w:r>
      <w:r w:rsidR="00A427B9" w:rsidRPr="00BC50C9">
        <w:rPr>
          <w:rFonts w:hint="cs"/>
          <w:rtl/>
        </w:rPr>
        <w:t>التمويل التشاركي</w:t>
      </w:r>
      <w:r w:rsidRPr="00BC50C9">
        <w:rPr>
          <w:rtl/>
        </w:rPr>
        <w:t xml:space="preserve"> في</w:t>
      </w:r>
      <w:r w:rsidR="0037695B" w:rsidRPr="00BC50C9">
        <w:rPr>
          <w:rFonts w:hint="cs"/>
          <w:rtl/>
        </w:rPr>
        <w:t xml:space="preserve"> </w:t>
      </w:r>
      <w:r w:rsidR="0037695B" w:rsidRPr="00BC50C9">
        <w:rPr>
          <w:rtl/>
        </w:rPr>
        <w:t>تعزيز الاستدامة المالية للمؤسسات الناشئة، إذ يتيح لها الوصول إلى شبكة واسعة من الداعمين، سواء كانوا أفرادًا، مستثمرين، أو مؤسسات</w:t>
      </w:r>
      <w:r w:rsidR="00C50E46" w:rsidRPr="00BC50C9">
        <w:rPr>
          <w:rFonts w:hint="cs"/>
          <w:rtl/>
        </w:rPr>
        <w:t>،</w:t>
      </w:r>
      <w:r w:rsidR="0037695B" w:rsidRPr="00BC50C9">
        <w:rPr>
          <w:rtl/>
        </w:rPr>
        <w:t xml:space="preserve"> وتتمثل أهمية هذا النوع من التمويل في قدرته على حشد الموارد الاقتصادية، ودعم إنشاء المشروعات الإنتاجية، وزيادة فرص التشغيل، مما يقلل من التحديات التي قد تعيق تحقيق الاستدامة المالية</w:t>
      </w:r>
      <w:r w:rsidR="00C50E46" w:rsidRPr="00BC50C9">
        <w:rPr>
          <w:rFonts w:hint="cs"/>
          <w:rtl/>
        </w:rPr>
        <w:t>،</w:t>
      </w:r>
      <w:r w:rsidR="0037695B" w:rsidRPr="00BC50C9">
        <w:rPr>
          <w:rtl/>
        </w:rPr>
        <w:t xml:space="preserve"> ويتيح التمويل التشاركي تطوير آليات مشاركة إيجابية تعزز استمرارية المشاريع وتدعم توسعها المستقبلي</w:t>
      </w:r>
      <w:r w:rsidR="00A427B9" w:rsidRPr="00BC50C9">
        <w:rPr>
          <w:rFonts w:hint="cs"/>
          <w:rtl/>
        </w:rPr>
        <w:t xml:space="preserve"> </w:t>
      </w:r>
      <w:r w:rsidR="00395D53" w:rsidRPr="00BC50C9">
        <w:rPr>
          <w:rFonts w:hint="cs"/>
          <w:rtl/>
        </w:rPr>
        <w:t>(مهداوي ومراد</w:t>
      </w:r>
      <w:r w:rsidR="00F616BC" w:rsidRPr="00BC50C9">
        <w:rPr>
          <w:rFonts w:hint="cs"/>
          <w:rtl/>
        </w:rPr>
        <w:t xml:space="preserve">، 2022، </w:t>
      </w:r>
      <w:r w:rsidR="00395D53" w:rsidRPr="00BC50C9">
        <w:rPr>
          <w:rFonts w:hint="cs"/>
          <w:rtl/>
        </w:rPr>
        <w:t>ص. 567-568).</w:t>
      </w:r>
    </w:p>
    <w:p w14:paraId="29CCB9A3" w14:textId="76785E24" w:rsidR="0084728A" w:rsidRPr="00BC50C9" w:rsidRDefault="00A427B9" w:rsidP="009A288C">
      <w:pPr>
        <w:pStyle w:val="00000"/>
        <w:widowControl w:val="0"/>
        <w:rPr>
          <w:rtl/>
        </w:rPr>
      </w:pPr>
      <w:r w:rsidRPr="00BC50C9">
        <w:rPr>
          <w:rtl/>
        </w:rPr>
        <w:t>ويقوم هذا النموذج التمويلي على مبدأ إشراك المجتمع في دعم المشروعات، حيث تُعرض الأفكار الاستثمارية عبر منصات إلكترونية بطريقة واضحة ومقنعة، مع تحديد حجم التمويل المطلوب والمسار الذي سيتم اتباعه لجمع هذه الأموال</w:t>
      </w:r>
      <w:r w:rsidR="00087983" w:rsidRPr="00BC50C9">
        <w:rPr>
          <w:rFonts w:hint="cs"/>
          <w:rtl/>
        </w:rPr>
        <w:t>،</w:t>
      </w:r>
      <w:r w:rsidRPr="00BC50C9">
        <w:rPr>
          <w:rtl/>
        </w:rPr>
        <w:t xml:space="preserve"> وبالتالي، لا يمكن النظر إلى منصات التمويل التشاركي كمصدر تمويلي فحسب، بل هي أيضًا فرصة لرواد الأعمال للحصول على رؤى وأفكار بناءة تسهم في تحسين مشروعاتهم وتعزز من تحقيق الشمول المالي</w:t>
      </w:r>
      <w:r w:rsidR="00415630" w:rsidRPr="00BC50C9">
        <w:rPr>
          <w:rFonts w:hint="cs"/>
          <w:rtl/>
        </w:rPr>
        <w:t xml:space="preserve"> (محسن </w:t>
      </w:r>
      <w:proofErr w:type="gramStart"/>
      <w:r w:rsidR="00415630" w:rsidRPr="00BC50C9">
        <w:rPr>
          <w:rFonts w:hint="cs"/>
          <w:rtl/>
        </w:rPr>
        <w:t>وعبدالحميد</w:t>
      </w:r>
      <w:proofErr w:type="gramEnd"/>
      <w:r w:rsidR="00415630" w:rsidRPr="00BC50C9">
        <w:rPr>
          <w:rFonts w:hint="cs"/>
          <w:rtl/>
        </w:rPr>
        <w:t>، 2023، ص. 355).</w:t>
      </w:r>
    </w:p>
    <w:p w14:paraId="1E427EF5" w14:textId="02C07255" w:rsidR="00201228" w:rsidRPr="00BC50C9" w:rsidRDefault="00604D1B" w:rsidP="009A288C">
      <w:pPr>
        <w:pStyle w:val="00000"/>
        <w:widowControl w:val="0"/>
        <w:rPr>
          <w:rtl/>
        </w:rPr>
      </w:pPr>
      <w:r w:rsidRPr="00BC50C9">
        <w:rPr>
          <w:rtl/>
        </w:rPr>
        <w:t>وفي ظل التوجه نحو التحول الرقمي، يتمتع الاقتصاد السعودي بدرجة عالية من الاستقرار، وقد حرص صانعو السياسات في المملكة على تعزيز الاستدامة المالية من خلال تبني التقنيات الرقمية ومواكبة التطورات العالمية</w:t>
      </w:r>
      <w:r w:rsidRPr="00BC50C9">
        <w:rPr>
          <w:rFonts w:hint="cs"/>
          <w:rtl/>
        </w:rPr>
        <w:t>،</w:t>
      </w:r>
      <w:r w:rsidRPr="00BC50C9">
        <w:rPr>
          <w:rtl/>
        </w:rPr>
        <w:t xml:space="preserve"> وفي هذا الإطار، سعت المملكة إلى تطوير مصادر تمويل مستدامة، من بينها منصات التمويل التشاركي، بهدف دعم المشروعات الريادية وتحقيق التنمية الاقتصادية المستدامة</w:t>
      </w:r>
      <w:r w:rsidR="003D2B4B" w:rsidRPr="00BC50C9">
        <w:rPr>
          <w:rFonts w:hint="cs"/>
          <w:rtl/>
        </w:rPr>
        <w:t xml:space="preserve"> (حسانين، 2023، ص. 220).</w:t>
      </w:r>
    </w:p>
    <w:p w14:paraId="0316E639" w14:textId="2E7D3A1A" w:rsidR="00C759BE" w:rsidRPr="00BC50C9" w:rsidRDefault="00440AEF" w:rsidP="009A288C">
      <w:pPr>
        <w:pStyle w:val="00000"/>
        <w:widowControl w:val="0"/>
        <w:rPr>
          <w:rtl/>
        </w:rPr>
      </w:pPr>
      <w:r w:rsidRPr="00BC50C9">
        <w:rPr>
          <w:rtl/>
        </w:rPr>
        <w:t>وتعمل هذه المنصات، المرخصة من البنك المركزي السعودي، على ربط المستثمرين بالأعمال الناشئة والصغيرة ومتناهية الصغر، مما يسهم في توفير التمويل اللازم لنمو هذه المشاريع وخلق فرص استثمارية مستدامة</w:t>
      </w:r>
      <w:r w:rsidRPr="00BC50C9">
        <w:rPr>
          <w:rFonts w:hint="cs"/>
          <w:rtl/>
        </w:rPr>
        <w:t>،</w:t>
      </w:r>
      <w:r w:rsidRPr="00BC50C9">
        <w:rPr>
          <w:rtl/>
        </w:rPr>
        <w:t xml:space="preserve"> وتعتمد هذه المنصات على تصنيف ائتماني يحدد مستوى المخاطر لكل مشروع، مما يتيح للمستثمرين اتخاذ قرارات مبنية على أسس مالية واضحة</w:t>
      </w:r>
      <w:r w:rsidRPr="00BC50C9">
        <w:rPr>
          <w:rFonts w:hint="cs"/>
          <w:rtl/>
        </w:rPr>
        <w:t>،</w:t>
      </w:r>
      <w:r w:rsidRPr="00BC50C9">
        <w:rPr>
          <w:rtl/>
        </w:rPr>
        <w:t xml:space="preserve"> ومن خلال التزامها بأحكام الشريعة الإسلامية وتكاملها مع الجهات الحكومية والخاصة، </w:t>
      </w:r>
      <w:r w:rsidRPr="00BC50C9">
        <w:rPr>
          <w:rFonts w:hint="cs"/>
          <w:rtl/>
        </w:rPr>
        <w:t>و</w:t>
      </w:r>
      <w:r w:rsidRPr="00BC50C9">
        <w:rPr>
          <w:rtl/>
        </w:rPr>
        <w:t xml:space="preserve">تلعب هذه المنصات دورًا محوريًا في تعزيز بيئة ريادة الأعمال </w:t>
      </w:r>
      <w:r w:rsidRPr="00BC50C9">
        <w:rPr>
          <w:rtl/>
        </w:rPr>
        <w:lastRenderedPageBreak/>
        <w:t>ودعم رؤية المملكة 2030 الهادفة إلى تنويع الاقتصاد وزيادة مساهمة المنشآت الصغيرة والمتوسطة في الناتج المحلي الإجمالي</w:t>
      </w:r>
      <w:r w:rsidRPr="00BC50C9">
        <w:rPr>
          <w:rFonts w:hint="cs"/>
          <w:rtl/>
        </w:rPr>
        <w:t xml:space="preserve"> (</w:t>
      </w:r>
      <w:r w:rsidRPr="00BC50C9">
        <w:rPr>
          <w:rtl/>
        </w:rPr>
        <w:t>شركة ثمار</w:t>
      </w:r>
      <w:r w:rsidRPr="00BC50C9">
        <w:rPr>
          <w:rFonts w:hint="cs"/>
          <w:rtl/>
        </w:rPr>
        <w:t xml:space="preserve">، </w:t>
      </w:r>
      <w:r w:rsidR="0038455E" w:rsidRPr="00BC50C9">
        <w:rPr>
          <w:rFonts w:hint="cs"/>
          <w:rtl/>
        </w:rPr>
        <w:t>2023</w:t>
      </w:r>
      <w:r w:rsidRPr="00BC50C9">
        <w:rPr>
          <w:rFonts w:hint="cs"/>
          <w:rtl/>
        </w:rPr>
        <w:t>).</w:t>
      </w:r>
      <w:r w:rsidR="009A288C">
        <w:rPr>
          <w:rFonts w:hint="cs"/>
          <w:rtl/>
        </w:rPr>
        <w:t xml:space="preserve"> </w:t>
      </w:r>
      <w:r w:rsidR="00604D1B" w:rsidRPr="00BC50C9">
        <w:rPr>
          <w:rtl/>
        </w:rPr>
        <w:t>وتشكل الاستدامة المالية أحد الركائز الأساسية لتحقيق رؤية المملكة 2030، التي تهدف إلى تعزيز الاستقرار الاقتصادي وتقليل الاعتماد على الإيرادات النفطية، من خلال وضع خطط مالية متوسطة وطويلة المدى</w:t>
      </w:r>
      <w:r w:rsidR="00604D1B" w:rsidRPr="00BC50C9">
        <w:rPr>
          <w:rFonts w:hint="cs"/>
          <w:rtl/>
        </w:rPr>
        <w:t>،</w:t>
      </w:r>
      <w:r w:rsidR="00604D1B" w:rsidRPr="00BC50C9">
        <w:rPr>
          <w:rtl/>
        </w:rPr>
        <w:t xml:space="preserve"> كما تسعى الرؤية إلى إنشاء نظام مالي متوازن ومرن، قادر على التكيف مع المتغيرات الاقتصادية المختلفة، إلى جانب تنفيذ إصلاحات مالية رئيسة تضمن الاستدامة الاقتصادية والانضباط المالي على المدى البعيد</w:t>
      </w:r>
      <w:r w:rsidR="009D146E" w:rsidRPr="00BC50C9">
        <w:rPr>
          <w:rFonts w:hint="cs"/>
          <w:rtl/>
        </w:rPr>
        <w:t xml:space="preserve"> (الرفاعي وكنة، 2025، ص. 152).</w:t>
      </w:r>
    </w:p>
    <w:p w14:paraId="53CC984A" w14:textId="04DDA498" w:rsidR="002D78FE" w:rsidRPr="00B44A10" w:rsidRDefault="00EE312A" w:rsidP="009A288C">
      <w:pPr>
        <w:pStyle w:val="00000"/>
        <w:widowControl w:val="0"/>
        <w:rPr>
          <w:rtl/>
        </w:rPr>
      </w:pPr>
      <w:r w:rsidRPr="00BC50C9">
        <w:rPr>
          <w:rFonts w:hint="cs"/>
          <w:rtl/>
        </w:rPr>
        <w:t xml:space="preserve">مما سبق تناوله، يتضح أن </w:t>
      </w:r>
      <w:r w:rsidRPr="00BC50C9">
        <w:rPr>
          <w:rtl/>
        </w:rPr>
        <w:t>التمويل التشاركي أحد الأدوات الفعالة في دعم المشروعات الريادية، مما يجعله خيارًا واعدًا لتحقيق الاستدامة المالية في مختلف الاقتصادات</w:t>
      </w:r>
      <w:r w:rsidRPr="00BC50C9">
        <w:rPr>
          <w:rFonts w:hint="cs"/>
          <w:rtl/>
        </w:rPr>
        <w:t>،</w:t>
      </w:r>
      <w:r w:rsidRPr="00BC50C9">
        <w:rPr>
          <w:rtl/>
        </w:rPr>
        <w:t xml:space="preserve"> وتماشياً مع رؤية المملكة 2030، التي تسعى إلى تنويع مصادر الدخل وتعزيز بيئة ريادة الأعمال،</w:t>
      </w:r>
      <w:r w:rsidR="007D7891" w:rsidRPr="00BC50C9">
        <w:rPr>
          <w:rFonts w:hint="cs"/>
          <w:rtl/>
        </w:rPr>
        <w:t xml:space="preserve"> ولكن على الرغم من تزايد الاعتماد على التمويل التشاركي عالميًا، لا تزال هناك فجوة بحثية حول كيفية تطوير منصات إلكترونية متكاملة لهذا النوع من التمويل في المملكة العربية السعودية، لذا </w:t>
      </w:r>
      <w:r w:rsidR="00964860" w:rsidRPr="00BC50C9">
        <w:rPr>
          <w:rFonts w:hint="cs"/>
          <w:rtl/>
        </w:rPr>
        <w:t xml:space="preserve">جاءت الدراسة الحالية </w:t>
      </w:r>
      <w:r w:rsidR="00BD4846" w:rsidRPr="00BC50C9">
        <w:rPr>
          <w:rFonts w:hint="cs"/>
          <w:rtl/>
        </w:rPr>
        <w:t>ل</w:t>
      </w:r>
      <w:r w:rsidR="00772DDF" w:rsidRPr="00BC50C9">
        <w:rPr>
          <w:rFonts w:hint="cs"/>
          <w:rtl/>
        </w:rPr>
        <w:t xml:space="preserve">سد هذه الفجوة من خلال </w:t>
      </w:r>
      <w:r w:rsidR="00BD4846" w:rsidRPr="00BC50C9">
        <w:rPr>
          <w:rFonts w:hint="cs"/>
          <w:rtl/>
        </w:rPr>
        <w:t xml:space="preserve">تقديم </w:t>
      </w:r>
      <w:r w:rsidR="00BD4846" w:rsidRPr="00BC50C9">
        <w:rPr>
          <w:rtl/>
        </w:rPr>
        <w:t xml:space="preserve">استراتيجيه مقترحه لتطوير منصة الكترونية معتمدة على التمويل التشاركي لدعم المشاريع الريادية </w:t>
      </w:r>
      <w:r w:rsidR="00520864" w:rsidRPr="00BC50C9">
        <w:rPr>
          <w:rFonts w:hint="cs"/>
          <w:rtl/>
        </w:rPr>
        <w:t>وتعزيز الاستدامة المالية.</w:t>
      </w:r>
    </w:p>
    <w:p w14:paraId="6AFB42CB" w14:textId="7370AAB3" w:rsidR="002D78FE" w:rsidRPr="00BC50C9" w:rsidRDefault="009A288C" w:rsidP="009A288C">
      <w:pPr>
        <w:pStyle w:val="22222"/>
        <w:widowControl w:val="0"/>
        <w:rPr>
          <w:rtl/>
        </w:rPr>
      </w:pPr>
      <w:bookmarkStart w:id="16" w:name="_Toc195456481"/>
      <w:r>
        <w:rPr>
          <w:rFonts w:hint="cs"/>
          <w:rtl/>
        </w:rPr>
        <w:t>2</w:t>
      </w:r>
      <w:r w:rsidR="002D78FE">
        <w:rPr>
          <w:rFonts w:hint="cs"/>
          <w:rtl/>
        </w:rPr>
        <w:t xml:space="preserve">.1 </w:t>
      </w:r>
      <w:r w:rsidR="002D78FE" w:rsidRPr="00BC50C9">
        <w:rPr>
          <w:rFonts w:hint="cs"/>
          <w:rtl/>
        </w:rPr>
        <w:t>المنطلقات النظرية للدراسة:</w:t>
      </w:r>
      <w:bookmarkEnd w:id="16"/>
    </w:p>
    <w:p w14:paraId="443E65E0" w14:textId="77777777" w:rsidR="002D78FE" w:rsidRPr="00BC50C9" w:rsidRDefault="002D78FE" w:rsidP="009A288C">
      <w:pPr>
        <w:pStyle w:val="00000"/>
        <w:widowControl w:val="0"/>
        <w:rPr>
          <w:b/>
          <w:bCs/>
        </w:rPr>
      </w:pPr>
      <w:r w:rsidRPr="00BC50C9">
        <w:rPr>
          <w:rtl/>
        </w:rPr>
        <w:t>ترتكز الدراسة الحالية على مجموعة من النظريات التي توفر تفسيرًا علميًا لدور التمويل التشاركي في دعم المشاريع الريادية وتعزيز الاستدامة المالية</w:t>
      </w:r>
      <w:r w:rsidRPr="00BC50C9">
        <w:rPr>
          <w:rFonts w:hint="cs"/>
          <w:rtl/>
        </w:rPr>
        <w:t>، وتسهم</w:t>
      </w:r>
      <w:r w:rsidRPr="00BC50C9">
        <w:rPr>
          <w:rtl/>
        </w:rPr>
        <w:t xml:space="preserve"> هذه النظريات في بناء إطار معرفي متين لفهم كيفية تطوير منصة إلكترونية فعالة قائمة على التمويل التشاركي، بما يحقق الاستدامة المالية للمشاريع الناشئة. ومن أبرز هذه النظريات:</w:t>
      </w:r>
    </w:p>
    <w:p w14:paraId="28D70D3B" w14:textId="77777777" w:rsidR="002D78FE" w:rsidRPr="00B44A10" w:rsidRDefault="002D78FE">
      <w:pPr>
        <w:pStyle w:val="a3"/>
        <w:widowControl w:val="0"/>
        <w:numPr>
          <w:ilvl w:val="0"/>
          <w:numId w:val="10"/>
        </w:numPr>
        <w:bidi/>
        <w:spacing w:before="120" w:after="120" w:line="240" w:lineRule="auto"/>
        <w:jc w:val="both"/>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 xml:space="preserve">نظرية الموارد </w:t>
      </w:r>
      <w:r w:rsidRPr="00BC50C9">
        <w:rPr>
          <w:rFonts w:ascii="Times New Roman" w:hAnsi="Times New Roman" w:cs="Simplified Arabic"/>
          <w:b/>
          <w:bCs/>
          <w:sz w:val="24"/>
          <w:szCs w:val="28"/>
          <w:lang w:bidi="ar-EG"/>
        </w:rPr>
        <w:t>Resource- Based View</w:t>
      </w:r>
      <w:r w:rsidRPr="00BC50C9">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B44A10">
        <w:rPr>
          <w:rFonts w:ascii="Times New Roman" w:hAnsi="Times New Roman" w:cs="Simplified Arabic"/>
          <w:sz w:val="24"/>
          <w:szCs w:val="28"/>
          <w:rtl/>
          <w:lang w:bidi="ar-EG"/>
        </w:rPr>
        <w:t>تُعد نظرية الموارد من المنظورات الأساسية في تفسير آليات تحقيق الميزة التنافسية داخل المؤسسات، حيث تفترض أن القدرات الجوهرية والموارد المتاحة للمؤسسة تلعب دورًا حاسمًا في تحديد استراتيجياتها وتعزيز استدامتها. فوفقًا لهذه النظرية، فإن قدرة المؤسسة على إدارة وتوظيف مواردها النادرة وغير القابلة للاستنساخ يُعزز من تفوقها التنافسي في الأسواق</w:t>
      </w:r>
      <w:r w:rsidRPr="00B44A10">
        <w:rPr>
          <w:rFonts w:ascii="Times New Roman" w:hAnsi="Times New Roman" w:cs="Simplified Arabic" w:hint="cs"/>
          <w:sz w:val="24"/>
          <w:szCs w:val="28"/>
          <w:rtl/>
          <w:lang w:bidi="ar-EG"/>
        </w:rPr>
        <w:t>،</w:t>
      </w:r>
      <w:r w:rsidRPr="00B44A10">
        <w:rPr>
          <w:rFonts w:ascii="Times New Roman" w:hAnsi="Times New Roman" w:cs="Simplified Arabic"/>
          <w:sz w:val="24"/>
          <w:szCs w:val="28"/>
          <w:rtl/>
          <w:lang w:bidi="ar-EG"/>
        </w:rPr>
        <w:t xml:space="preserve"> وتشير الأدبيات إلى أن تحقيق ميزة تنافسية مستدامة يتطلب موارد ذات قيمة مرتفعة، يصعب تقليدها، وتدعم عمليات الابتكار والتطوير داخل المؤسسة</w:t>
      </w:r>
      <w:r w:rsidRPr="00B44A10">
        <w:rPr>
          <w:rFonts w:ascii="Times New Roman" w:hAnsi="Times New Roman" w:cs="Simplified Arabic" w:hint="cs"/>
          <w:sz w:val="24"/>
          <w:szCs w:val="28"/>
          <w:rtl/>
          <w:lang w:bidi="ar-EG"/>
        </w:rPr>
        <w:t xml:space="preserve"> (طالب والبناء، 2012، ص. 189).</w:t>
      </w:r>
    </w:p>
    <w:p w14:paraId="5D235584" w14:textId="77777777" w:rsidR="002D78FE" w:rsidRPr="00BC50C9" w:rsidRDefault="002D78FE" w:rsidP="009A288C">
      <w:pPr>
        <w:pStyle w:val="00000"/>
        <w:widowControl w:val="0"/>
        <w:rPr>
          <w:rtl/>
        </w:rPr>
      </w:pPr>
      <w:r w:rsidRPr="00BC50C9">
        <w:rPr>
          <w:rFonts w:hint="cs"/>
          <w:rtl/>
        </w:rPr>
        <w:t>و</w:t>
      </w:r>
      <w:r w:rsidRPr="00BC50C9">
        <w:rPr>
          <w:rtl/>
        </w:rPr>
        <w:t>في سياق الدراسة الحالية، تسهم هذه النظرية في توضيح أهمية امتلاك المنصة الإلكترونية المقترحة لموارد تقنية وتنظيمية متقدمة، مما يعزز قدرتها على تقديم خدمات تمويل تشاركي ذات كفاءة واستدامة، وبالتالي دعم المشاريع الريادية بشكل فعال.</w:t>
      </w:r>
    </w:p>
    <w:p w14:paraId="2F9494ED" w14:textId="77777777" w:rsidR="002D78FE" w:rsidRPr="00B44A10" w:rsidRDefault="002D78FE">
      <w:pPr>
        <w:pStyle w:val="a3"/>
        <w:widowControl w:val="0"/>
        <w:numPr>
          <w:ilvl w:val="0"/>
          <w:numId w:val="10"/>
        </w:numPr>
        <w:bidi/>
        <w:spacing w:before="120" w:after="120" w:line="240" w:lineRule="auto"/>
        <w:jc w:val="both"/>
        <w:rPr>
          <w:rFonts w:ascii="Times New Roman" w:hAnsi="Times New Roman" w:cs="Simplified Arabic"/>
          <w:b/>
          <w:bCs/>
          <w:sz w:val="24"/>
          <w:szCs w:val="28"/>
          <w:rtl/>
          <w:lang w:bidi="ar-EG"/>
        </w:rPr>
      </w:pPr>
      <w:r w:rsidRPr="00BC50C9">
        <w:rPr>
          <w:rFonts w:ascii="Times New Roman" w:hAnsi="Times New Roman" w:cs="Simplified Arabic"/>
          <w:b/>
          <w:bCs/>
          <w:sz w:val="24"/>
          <w:szCs w:val="28"/>
          <w:rtl/>
          <w:lang w:bidi="ar-EG"/>
        </w:rPr>
        <w:t>نظرية الفرص الريادية</w:t>
      </w:r>
      <w:r w:rsidRPr="00BC50C9">
        <w:rPr>
          <w:rFonts w:ascii="Times New Roman" w:hAnsi="Times New Roman" w:cs="Simplified Arabic" w:hint="cs"/>
          <w:b/>
          <w:bCs/>
          <w:sz w:val="24"/>
          <w:szCs w:val="28"/>
          <w:rtl/>
          <w:lang w:bidi="ar-EG"/>
        </w:rPr>
        <w:t xml:space="preserve"> </w:t>
      </w:r>
      <w:r w:rsidRPr="00BC50C9">
        <w:rPr>
          <w:rFonts w:ascii="Times New Roman" w:hAnsi="Times New Roman" w:cs="Simplified Arabic"/>
          <w:b/>
          <w:bCs/>
          <w:sz w:val="24"/>
          <w:szCs w:val="28"/>
          <w:lang w:bidi="ar-EG"/>
        </w:rPr>
        <w:t>Entrepreneurial Opportunity Theory</w:t>
      </w:r>
      <w:r w:rsidRPr="00BC50C9">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B44A10">
        <w:rPr>
          <w:rFonts w:ascii="Times New Roman" w:hAnsi="Times New Roman" w:cs="Simplified Arabic"/>
          <w:sz w:val="24"/>
          <w:szCs w:val="28"/>
          <w:rtl/>
          <w:lang w:bidi="ar-EG"/>
        </w:rPr>
        <w:t xml:space="preserve">يؤكد جوزيف </w:t>
      </w:r>
      <w:proofErr w:type="spellStart"/>
      <w:r w:rsidRPr="00B44A10">
        <w:rPr>
          <w:rFonts w:ascii="Times New Roman" w:hAnsi="Times New Roman" w:cs="Simplified Arabic"/>
          <w:sz w:val="24"/>
          <w:szCs w:val="28"/>
          <w:rtl/>
          <w:lang w:bidi="ar-EG"/>
        </w:rPr>
        <w:t>شومبيتر</w:t>
      </w:r>
      <w:proofErr w:type="spellEnd"/>
      <w:r w:rsidRPr="00B44A10">
        <w:rPr>
          <w:rFonts w:ascii="Times New Roman" w:hAnsi="Times New Roman" w:cs="Simplified Arabic"/>
          <w:sz w:val="24"/>
          <w:szCs w:val="28"/>
          <w:rtl/>
          <w:lang w:bidi="ar-EG"/>
        </w:rPr>
        <w:t xml:space="preserve"> أن </w:t>
      </w:r>
      <w:r w:rsidRPr="00B44A10">
        <w:rPr>
          <w:rFonts w:ascii="Times New Roman" w:hAnsi="Times New Roman" w:cs="Simplified Arabic"/>
          <w:sz w:val="24"/>
          <w:szCs w:val="28"/>
          <w:rtl/>
          <w:lang w:bidi="ar-EG"/>
        </w:rPr>
        <w:lastRenderedPageBreak/>
        <w:t>ريادة الأعمال تعتمد على القدرة على خلق فرص جديدة من خلال الابتكار، حيث يساهم رواد الأعمال في تحويل الأسواق عبر تطوير منتجات وخدمات غير مسبوقة</w:t>
      </w:r>
      <w:r w:rsidRPr="00B44A10">
        <w:rPr>
          <w:rFonts w:ascii="Times New Roman" w:hAnsi="Times New Roman" w:cs="Simplified Arabic" w:hint="cs"/>
          <w:sz w:val="24"/>
          <w:szCs w:val="28"/>
          <w:rtl/>
          <w:lang w:bidi="ar-EG"/>
        </w:rPr>
        <w:t>،</w:t>
      </w:r>
      <w:r w:rsidRPr="00B44A10">
        <w:rPr>
          <w:rFonts w:ascii="Times New Roman" w:hAnsi="Times New Roman" w:cs="Simplified Arabic"/>
          <w:sz w:val="24"/>
          <w:szCs w:val="28"/>
          <w:rtl/>
          <w:lang w:bidi="ar-EG"/>
        </w:rPr>
        <w:t xml:space="preserve"> ووفقًا لهذا المنظور، فإن المؤسسات التي لا تمتلك القدرة على إعادة تشكيل نماذجها التشغيلية وابتكار أساليب إنتاج جديدة ستواجه تحديات في البقاء والاستمرار (</w:t>
      </w:r>
      <w:proofErr w:type="spellStart"/>
      <w:r w:rsidRPr="00B44A10">
        <w:rPr>
          <w:rFonts w:ascii="Times New Roman" w:hAnsi="Times New Roman" w:cs="Simplified Arabic"/>
          <w:sz w:val="24"/>
          <w:szCs w:val="28"/>
          <w:rtl/>
          <w:lang w:bidi="ar-EG"/>
        </w:rPr>
        <w:t>بيكيرز</w:t>
      </w:r>
      <w:proofErr w:type="spellEnd"/>
      <w:r w:rsidRPr="00B44A10">
        <w:rPr>
          <w:rFonts w:ascii="Times New Roman" w:hAnsi="Times New Roman" w:cs="Simplified Arabic"/>
          <w:sz w:val="24"/>
          <w:szCs w:val="28"/>
          <w:rtl/>
          <w:lang w:bidi="ar-EG"/>
        </w:rPr>
        <w:t>، 2019، ص. 33)</w:t>
      </w:r>
      <w:r w:rsidRPr="00B44A10">
        <w:rPr>
          <w:rFonts w:ascii="Times New Roman" w:hAnsi="Times New Roman" w:cs="Simplified Arabic" w:hint="cs"/>
          <w:sz w:val="24"/>
          <w:szCs w:val="28"/>
          <w:rtl/>
          <w:lang w:bidi="ar-EG"/>
        </w:rPr>
        <w:t>.</w:t>
      </w:r>
      <w:r w:rsidRPr="00B44A10">
        <w:rPr>
          <w:rFonts w:ascii="Times New Roman" w:hAnsi="Times New Roman" w:cs="Simplified Arabic"/>
          <w:sz w:val="24"/>
          <w:szCs w:val="28"/>
          <w:rtl/>
          <w:lang w:bidi="ar-EG"/>
        </w:rPr>
        <w:t xml:space="preserve"> وقد تناولت الدراسات العربية هذه النظرية عند تحليل ديناميكيات المشاريع الناشئة، حيث تبين أن الابتكار يُعد المحرك الأساسي للنشاط الاستثماري، مما يؤدي إلى تغييرات دورية في حجم الاستثمارات وإمكانات تمويلها، مما يؤثر على دورات الأعمال بشكل مباشر</w:t>
      </w:r>
      <w:r w:rsidRPr="00B44A10">
        <w:rPr>
          <w:rFonts w:ascii="Times New Roman" w:hAnsi="Times New Roman" w:cs="Simplified Arabic" w:hint="cs"/>
          <w:sz w:val="24"/>
          <w:szCs w:val="28"/>
          <w:rtl/>
          <w:lang w:bidi="ar-EG"/>
        </w:rPr>
        <w:t xml:space="preserve"> (</w:t>
      </w:r>
      <w:proofErr w:type="spellStart"/>
      <w:r w:rsidRPr="00B44A10">
        <w:rPr>
          <w:rFonts w:ascii="Times New Roman" w:hAnsi="Times New Roman" w:cs="Simplified Arabic" w:hint="cs"/>
          <w:sz w:val="24"/>
          <w:szCs w:val="28"/>
          <w:rtl/>
          <w:lang w:bidi="ar-EG"/>
        </w:rPr>
        <w:t>الصرن</w:t>
      </w:r>
      <w:proofErr w:type="spellEnd"/>
      <w:r w:rsidRPr="00B44A10">
        <w:rPr>
          <w:rFonts w:ascii="Times New Roman" w:hAnsi="Times New Roman" w:cs="Simplified Arabic" w:hint="cs"/>
          <w:sz w:val="24"/>
          <w:szCs w:val="28"/>
          <w:rtl/>
          <w:lang w:bidi="ar-EG"/>
        </w:rPr>
        <w:t>، 2004، ص. 643).</w:t>
      </w:r>
    </w:p>
    <w:p w14:paraId="7222181E" w14:textId="77777777" w:rsidR="002D78FE" w:rsidRPr="00BC50C9" w:rsidRDefault="002D78FE" w:rsidP="009A288C">
      <w:pPr>
        <w:pStyle w:val="00000"/>
        <w:widowControl w:val="0"/>
      </w:pPr>
      <w:r w:rsidRPr="00BC50C9">
        <w:rPr>
          <w:rFonts w:hint="cs"/>
          <w:rtl/>
        </w:rPr>
        <w:t>و</w:t>
      </w:r>
      <w:r w:rsidRPr="00BC50C9">
        <w:rPr>
          <w:rtl/>
        </w:rPr>
        <w:t>تُعد هذه النظرية حجر الأساس في تطوير المنصة الإلكترونية المقترحة، حيث تعزز أهمية توفير بيئة تتيح لرواد الأعمال اكتشاف واستغلال الفرص الاستثمارية عبر التمويل التشاركي، مما يساهم في تحفيز الابتكار وضمان استدامة المشاريع الريادية.</w:t>
      </w:r>
    </w:p>
    <w:p w14:paraId="210436CE" w14:textId="77777777" w:rsidR="002D78FE" w:rsidRPr="00B44A10" w:rsidRDefault="002D78FE">
      <w:pPr>
        <w:pStyle w:val="a3"/>
        <w:widowControl w:val="0"/>
        <w:numPr>
          <w:ilvl w:val="0"/>
          <w:numId w:val="10"/>
        </w:numPr>
        <w:bidi/>
        <w:spacing w:before="120" w:after="120" w:line="240" w:lineRule="auto"/>
        <w:jc w:val="both"/>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 xml:space="preserve">نظريات الشمول المالي </w:t>
      </w:r>
      <w:r w:rsidRPr="00BC50C9">
        <w:rPr>
          <w:rFonts w:ascii="Times New Roman" w:hAnsi="Times New Roman" w:cs="Simplified Arabic"/>
          <w:b/>
          <w:bCs/>
          <w:sz w:val="24"/>
          <w:szCs w:val="28"/>
          <w:lang w:bidi="ar-EG"/>
        </w:rPr>
        <w:t>Financial Inclusion Theories</w:t>
      </w:r>
      <w:r w:rsidRPr="00BC50C9">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B44A10">
        <w:rPr>
          <w:rFonts w:ascii="Times New Roman" w:hAnsi="Times New Roman" w:cs="Simplified Arabic" w:hint="cs"/>
          <w:sz w:val="24"/>
          <w:szCs w:val="28"/>
          <w:rtl/>
          <w:lang w:bidi="ar-EG"/>
        </w:rPr>
        <w:t>و</w:t>
      </w:r>
      <w:r w:rsidRPr="00B44A10">
        <w:rPr>
          <w:rFonts w:ascii="Times New Roman" w:hAnsi="Times New Roman" w:cs="Simplified Arabic"/>
          <w:sz w:val="24"/>
          <w:szCs w:val="28"/>
          <w:rtl/>
          <w:lang w:bidi="ar-EG"/>
        </w:rPr>
        <w:t>يتفرع مفهوم الشمول المالي إلى عدة نظريات تفسر كيفية دمج الأفراد والمؤسسات في المنظومة المالية الرسمية، ومن أبرزه</w:t>
      </w:r>
      <w:r w:rsidRPr="00B44A10">
        <w:rPr>
          <w:rFonts w:ascii="Times New Roman" w:hAnsi="Times New Roman" w:cs="Simplified Arabic" w:hint="cs"/>
          <w:sz w:val="24"/>
          <w:szCs w:val="28"/>
          <w:rtl/>
          <w:lang w:bidi="ar-EG"/>
        </w:rPr>
        <w:t xml:space="preserve">ا: </w:t>
      </w:r>
      <w:r w:rsidRPr="00B44A10">
        <w:rPr>
          <w:rFonts w:ascii="Times New Roman" w:hAnsi="Times New Roman" w:cs="Simplified Arabic"/>
          <w:sz w:val="24"/>
          <w:szCs w:val="28"/>
          <w:rtl/>
          <w:lang w:bidi="ar-EG"/>
        </w:rPr>
        <w:t>نظرية المنفعة العامة للشمول الم</w:t>
      </w:r>
      <w:r w:rsidRPr="00B44A10">
        <w:rPr>
          <w:rFonts w:ascii="Times New Roman" w:hAnsi="Times New Roman" w:cs="Simplified Arabic" w:hint="cs"/>
          <w:sz w:val="24"/>
          <w:szCs w:val="28"/>
          <w:rtl/>
          <w:lang w:bidi="ar-EG"/>
        </w:rPr>
        <w:t>الي التي تفترض</w:t>
      </w:r>
      <w:r w:rsidRPr="00B44A10">
        <w:rPr>
          <w:rFonts w:ascii="Times New Roman" w:hAnsi="Times New Roman" w:cs="Simplified Arabic"/>
          <w:sz w:val="24"/>
          <w:szCs w:val="28"/>
          <w:rtl/>
          <w:lang w:bidi="ar-EG"/>
        </w:rPr>
        <w:t xml:space="preserve"> أن توسيع نطاق الشمول المالي يعود بالفائدة على المجتمع ككل، حيث تستفيد مختلف الفئات من الخدمات المالية، بغض النظر عن اختلافاتها الاقتصادية أو الاجتماعية</w:t>
      </w:r>
      <w:r w:rsidRPr="00B44A10">
        <w:rPr>
          <w:rFonts w:ascii="Times New Roman" w:hAnsi="Times New Roman" w:cs="Simplified Arabic" w:hint="cs"/>
          <w:sz w:val="24"/>
          <w:szCs w:val="28"/>
          <w:rtl/>
          <w:lang w:bidi="ar-EG"/>
        </w:rPr>
        <w:t>،</w:t>
      </w:r>
      <w:r w:rsidRPr="00B44A10">
        <w:rPr>
          <w:rFonts w:ascii="Times New Roman" w:hAnsi="Times New Roman" w:cs="Simplified Arabic"/>
          <w:sz w:val="24"/>
          <w:szCs w:val="28"/>
          <w:rtl/>
          <w:lang w:bidi="ar-EG"/>
        </w:rPr>
        <w:t xml:space="preserve"> كما تشير إلى أن تدخل الحكومات لدعم تكاليف تقديم هذه الخدمات يُعزز انتشارها، مما يسهم في تحقيق الاستدامة المالية على نطاق واس</w:t>
      </w:r>
      <w:r w:rsidRPr="00B44A10">
        <w:rPr>
          <w:rFonts w:ascii="Times New Roman" w:hAnsi="Times New Roman" w:cs="Simplified Arabic" w:hint="cs"/>
          <w:sz w:val="24"/>
          <w:szCs w:val="28"/>
          <w:rtl/>
          <w:lang w:bidi="ar-EG"/>
        </w:rPr>
        <w:t xml:space="preserve">ع، بينما </w:t>
      </w:r>
      <w:r w:rsidRPr="00B44A10">
        <w:rPr>
          <w:rFonts w:ascii="Times New Roman" w:hAnsi="Times New Roman" w:cs="Simplified Arabic"/>
          <w:sz w:val="24"/>
          <w:szCs w:val="28"/>
          <w:rtl/>
          <w:lang w:bidi="ar-EG"/>
        </w:rPr>
        <w:t>نظرية جذب المستبعدين طوعيًا للشمول المالي</w:t>
      </w:r>
      <w:r w:rsidRPr="00B44A10">
        <w:rPr>
          <w:rFonts w:ascii="Times New Roman" w:hAnsi="Times New Roman" w:cs="Simplified Arabic" w:hint="cs"/>
          <w:sz w:val="24"/>
          <w:szCs w:val="28"/>
          <w:rtl/>
          <w:lang w:bidi="ar-EG"/>
        </w:rPr>
        <w:t xml:space="preserve"> فهي </w:t>
      </w:r>
      <w:r w:rsidRPr="00B44A10">
        <w:rPr>
          <w:rFonts w:ascii="Times New Roman" w:hAnsi="Times New Roman" w:cs="Simplified Arabic"/>
          <w:sz w:val="24"/>
          <w:szCs w:val="28"/>
          <w:rtl/>
          <w:lang w:bidi="ar-EG"/>
        </w:rPr>
        <w:t>تركز على معالجة الأسباب التي تدفع بعض الأفراد أو المؤسسات إلى العزوف عن التعامل مع القنوات المالية الرسمية، وتقدم استراتيجيات لإعادة دمجهم في النظام المالي دون الحاجة إلى تدخل حكومي مباش</w:t>
      </w:r>
      <w:r w:rsidRPr="00B44A10">
        <w:rPr>
          <w:rFonts w:ascii="Times New Roman" w:hAnsi="Times New Roman" w:cs="Simplified Arabic" w:hint="cs"/>
          <w:sz w:val="24"/>
          <w:szCs w:val="28"/>
          <w:rtl/>
          <w:lang w:bidi="ar-EG"/>
        </w:rPr>
        <w:t>ر،</w:t>
      </w:r>
      <w:r w:rsidRPr="00B44A10">
        <w:rPr>
          <w:rFonts w:ascii="Times New Roman" w:hAnsi="Times New Roman" w:cs="Simplified Arabic"/>
          <w:sz w:val="24"/>
          <w:szCs w:val="28"/>
          <w:rtl/>
          <w:lang w:bidi="ar-EG"/>
        </w:rPr>
        <w:t xml:space="preserve"> وبدلاً من تقديم الدعم المالي، تعتمد هذه النظرية على تعزيز الثقة في المؤسسات المالية، وتحفيز المستبعدين على العودة للاستفادة من الخدمات المصرفي</w:t>
      </w:r>
      <w:r w:rsidRPr="00B44A10">
        <w:rPr>
          <w:rFonts w:ascii="Times New Roman" w:hAnsi="Times New Roman" w:cs="Simplified Arabic" w:hint="cs"/>
          <w:sz w:val="24"/>
          <w:szCs w:val="28"/>
          <w:rtl/>
          <w:lang w:bidi="ar-EG"/>
        </w:rPr>
        <w:t xml:space="preserve">ة، في حين أن </w:t>
      </w:r>
      <w:r w:rsidRPr="00B44A10">
        <w:rPr>
          <w:rFonts w:ascii="Times New Roman" w:hAnsi="Times New Roman" w:cs="Simplified Arabic"/>
          <w:sz w:val="24"/>
          <w:szCs w:val="28"/>
          <w:rtl/>
          <w:lang w:bidi="ar-EG"/>
        </w:rPr>
        <w:t>نظرية الفئات الأولى بالرعاية للشمول المالي</w:t>
      </w:r>
      <w:r w:rsidRPr="00B44A10">
        <w:rPr>
          <w:rFonts w:ascii="Times New Roman" w:hAnsi="Times New Roman" w:cs="Simplified Arabic" w:hint="cs"/>
          <w:sz w:val="24"/>
          <w:szCs w:val="28"/>
          <w:rtl/>
          <w:lang w:bidi="ar-EG"/>
        </w:rPr>
        <w:t xml:space="preserve"> </w:t>
      </w:r>
      <w:r w:rsidRPr="00B44A10">
        <w:rPr>
          <w:rFonts w:ascii="Times New Roman" w:hAnsi="Times New Roman" w:cs="Simplified Arabic"/>
          <w:sz w:val="24"/>
          <w:szCs w:val="28"/>
          <w:rtl/>
          <w:lang w:bidi="ar-EG"/>
        </w:rPr>
        <w:t>تسلط الضوء على استهداف الفئات الأكثر احتياجًا للخدمات المالية، مثل أصحاب المشاريع الصغيرة والناشئة، لتقليل معدلات الاستبعاد المالي</w:t>
      </w:r>
      <w:r w:rsidRPr="00B44A10">
        <w:rPr>
          <w:rFonts w:ascii="Times New Roman" w:hAnsi="Times New Roman" w:cs="Simplified Arabic" w:hint="cs"/>
          <w:sz w:val="24"/>
          <w:szCs w:val="28"/>
          <w:rtl/>
          <w:lang w:bidi="ar-EG"/>
        </w:rPr>
        <w:t>،</w:t>
      </w:r>
      <w:r w:rsidRPr="00B44A10">
        <w:rPr>
          <w:rFonts w:ascii="Times New Roman" w:hAnsi="Times New Roman" w:cs="Simplified Arabic"/>
          <w:sz w:val="24"/>
          <w:szCs w:val="28"/>
          <w:rtl/>
          <w:lang w:bidi="ar-EG"/>
        </w:rPr>
        <w:t xml:space="preserve"> وتفترض أن تخصيص موارد مالية وبرامج دعم لهذه الفئات يمكن أن يسهم بشكل مباشر في دمجهم في الاقتصاد الرسمي، مما يعزز فرصهم في الحصول على التمويل وتحقيق الاستدامة المالية</w:t>
      </w:r>
      <w:r w:rsidRPr="00B44A10">
        <w:rPr>
          <w:rFonts w:ascii="Times New Roman" w:hAnsi="Times New Roman" w:cs="Simplified Arabic" w:hint="cs"/>
          <w:sz w:val="24"/>
          <w:szCs w:val="28"/>
          <w:rtl/>
          <w:lang w:bidi="ar-EG"/>
        </w:rPr>
        <w:t xml:space="preserve"> (حسنين، 2023، ص. 281-282).</w:t>
      </w:r>
    </w:p>
    <w:p w14:paraId="39B732B6" w14:textId="77777777" w:rsidR="002D78FE" w:rsidRPr="00BC50C9" w:rsidRDefault="002D78FE" w:rsidP="009A288C">
      <w:pPr>
        <w:pStyle w:val="00000"/>
        <w:widowControl w:val="0"/>
        <w:rPr>
          <w:rtl/>
        </w:rPr>
      </w:pPr>
      <w:r w:rsidRPr="00BC50C9">
        <w:rPr>
          <w:rFonts w:hint="cs"/>
          <w:rtl/>
        </w:rPr>
        <w:t xml:space="preserve">مما سبق، </w:t>
      </w:r>
      <w:r w:rsidRPr="00BC50C9">
        <w:rPr>
          <w:rtl/>
        </w:rPr>
        <w:t>توفر هذه النظريات إطارًا مناسبًا لتطوير استراتيجية المنصة الإلكترونية المقترحة، حيث تساعد في تصميم آليات تمويل تشاركي تضمن دمج رواد الأعمال في المنظومة المالية الرسمية، مما يعزز من استدامة مشاريعهم ويضمن استمرار نموها في بيئة ريادية متكاملة.</w:t>
      </w:r>
    </w:p>
    <w:p w14:paraId="0ED8D2F7" w14:textId="77777777" w:rsidR="002D78FE" w:rsidRDefault="002D78FE" w:rsidP="002D78FE">
      <w:pPr>
        <w:pStyle w:val="00000"/>
        <w:rPr>
          <w:rtl/>
        </w:rPr>
      </w:pPr>
    </w:p>
    <w:p w14:paraId="055DAEC6" w14:textId="77777777" w:rsidR="009A288C" w:rsidRDefault="009A288C" w:rsidP="002D78FE">
      <w:pPr>
        <w:pStyle w:val="00000"/>
        <w:rPr>
          <w:rtl/>
        </w:rPr>
      </w:pPr>
    </w:p>
    <w:p w14:paraId="35588295" w14:textId="0FE0E36E" w:rsidR="009A288C" w:rsidRPr="00BC50C9" w:rsidRDefault="009A288C" w:rsidP="009A288C">
      <w:pPr>
        <w:pStyle w:val="22222"/>
        <w:jc w:val="center"/>
        <w:rPr>
          <w:rtl/>
        </w:rPr>
      </w:pPr>
      <w:bookmarkStart w:id="17" w:name="_Toc195456482"/>
      <w:r>
        <w:rPr>
          <w:rFonts w:hint="cs"/>
          <w:rtl/>
        </w:rPr>
        <w:lastRenderedPageBreak/>
        <w:t xml:space="preserve">3.1 </w:t>
      </w:r>
      <w:r w:rsidRPr="00BC50C9">
        <w:rPr>
          <w:rtl/>
        </w:rPr>
        <w:t>المبحث الأول: المنصات الإلكترونية</w:t>
      </w:r>
      <w:bookmarkEnd w:id="17"/>
    </w:p>
    <w:p w14:paraId="1F966D84" w14:textId="18D1E462" w:rsidR="009A288C" w:rsidRPr="009A288C" w:rsidRDefault="009A288C" w:rsidP="009A288C">
      <w:pPr>
        <w:pStyle w:val="113"/>
      </w:pPr>
      <w:bookmarkStart w:id="18" w:name="_Toc195456483"/>
      <w:r w:rsidRPr="009A288C">
        <w:rPr>
          <w:rFonts w:hint="cs"/>
          <w:rtl/>
        </w:rPr>
        <w:t xml:space="preserve">1.3.1 </w:t>
      </w:r>
      <w:r w:rsidRPr="009A288C">
        <w:rPr>
          <w:rtl/>
        </w:rPr>
        <w:t>مقدمة</w:t>
      </w:r>
      <w:bookmarkEnd w:id="18"/>
    </w:p>
    <w:p w14:paraId="68F41D31" w14:textId="77777777" w:rsidR="009A288C" w:rsidRPr="00BC50C9" w:rsidRDefault="009A288C" w:rsidP="009A288C">
      <w:pPr>
        <w:pStyle w:val="00000"/>
        <w:rPr>
          <w:rtl/>
        </w:rPr>
      </w:pPr>
      <w:r w:rsidRPr="00BC50C9">
        <w:rPr>
          <w:rtl/>
        </w:rPr>
        <w:t xml:space="preserve">تلعب المنصات الإلكترونية دورًا محوريًا في تعزيز الشفافية والكفاءة، حيث توفر أدوات لإدارة العمليات وتتبعها بشكل أكثر فعالية ومع تطور تقنيات الذكاء الاصطناعي وتحليل البيانات، أصبحت هذه المنصات قادرة على تقديم رؤى عميقة تساعد في اتخاذ قرارات أكثر استنارة؛ وهو ما أشار إليه </w:t>
      </w:r>
      <w:proofErr w:type="spellStart"/>
      <w:r w:rsidRPr="00BC50C9">
        <w:rPr>
          <w:rtl/>
        </w:rPr>
        <w:t>روابحية</w:t>
      </w:r>
      <w:proofErr w:type="spellEnd"/>
      <w:r w:rsidRPr="00BC50C9">
        <w:rPr>
          <w:rtl/>
        </w:rPr>
        <w:t xml:space="preserve"> </w:t>
      </w:r>
      <w:proofErr w:type="spellStart"/>
      <w:r w:rsidRPr="00BC50C9">
        <w:rPr>
          <w:rtl/>
        </w:rPr>
        <w:t>وعواسة</w:t>
      </w:r>
      <w:proofErr w:type="spellEnd"/>
      <w:r w:rsidRPr="00BC50C9">
        <w:rPr>
          <w:rtl/>
        </w:rPr>
        <w:t xml:space="preserve"> وداودي (2024، ص.26) بأن شهدت المنصات الرقمية تطورًا ملحوظًا منذ أواخر القرن العشرين؛ حيث كانت في البداية تقتصر على عرض المحتوى وربط المستهلكين بالمنتجات والخدمات، ومع بداية القرن الحادي والعشرين أحدثت التطورات التكنولوجية تحولًا جذريًا في دور هذه المنصات، مما جذب اهتمام الفاعلين الاقتصاديين من منتجين ومستهلكين، فقد ساهمت تكنولوجيا المعلومات في تقليل الحاجة إلى البنية التحتية المادية، وسهلت إنشاء وتوسيع نطاق المنصات الرقمية بتكاليف منخفضة، مما عزز من تأثيرها الشبكي.</w:t>
      </w:r>
    </w:p>
    <w:p w14:paraId="7810E280" w14:textId="77777777" w:rsidR="009A288C" w:rsidRPr="00BC50C9" w:rsidRDefault="009A288C" w:rsidP="009A288C">
      <w:pPr>
        <w:pStyle w:val="00000"/>
        <w:rPr>
          <w:rtl/>
        </w:rPr>
      </w:pPr>
      <w:r w:rsidRPr="00BC50C9">
        <w:rPr>
          <w:rtl/>
        </w:rPr>
        <w:t>وأصبح مصطلح "المنصة الرقمية" من أكثر المفاهيم شيوعًا في السنوات الأخيرة؛ حيث أصبحت جزءًا لا يتجزأ من مختلف القطاعات، مما أدى إلى زيادة عددها وتنوع خدماتها، فهناك منصات مخصصة للتعليم، وأخرى للصحة، بالإضافة إلى منصات للنقل والتجارة ومشاريع الخاصة بريادة الأعمال، ومع التغيرات السريعة في المشهد العالمي؛ أصبحت هذه المنصات عنصرًا حيويًا في تعزيز المرونة والسرعة والكفاءة، مما أسفر عن تحول كبير في نماذج الأعمال التقليدية (مركز الأهرامات للدراسات السياسية والاستراتيجية، 2024).</w:t>
      </w:r>
    </w:p>
    <w:p w14:paraId="3ACE3273" w14:textId="77777777" w:rsidR="009A288C" w:rsidRPr="00BC50C9" w:rsidRDefault="009A288C" w:rsidP="009A288C">
      <w:pPr>
        <w:pStyle w:val="00000"/>
        <w:rPr>
          <w:rtl/>
        </w:rPr>
      </w:pPr>
      <w:r w:rsidRPr="00BC50C9">
        <w:rPr>
          <w:rtl/>
        </w:rPr>
        <w:t>حيث انتشر مفهوم المنصات الرقمية بشكل كبير في الآونة الأخيرة؛ حيث أصبح لديها جمهور متزايد يفضل المحتوى الذي تقدمه بسبب تنوعه في الشكل والمضمون، ومع ذلك لا يزال هناك لبس بينها وبين مفاهيم مشابهة مثل المواقع والبوابات الإلكترونية، لذا، فإن تحديد مفهوم المنصات الرقمية يعد خطوة أساسية للتمييز بينها وبين غيرها؛ حيث تختلف في التصميم، والقدرة على الاستيعاب، والخدمات المقدمة، ويساهم هذا التمييز في تعزيز الفهم العميق لدورها في التحول الرقمي وزيادة فعاليتها في الاستخدام (نسرين والجمعي، 2024، ص.348).</w:t>
      </w:r>
    </w:p>
    <w:p w14:paraId="137239A0" w14:textId="77777777" w:rsidR="009A288C" w:rsidRPr="00BC50C9" w:rsidRDefault="009A288C" w:rsidP="009A288C">
      <w:pPr>
        <w:pStyle w:val="00000"/>
        <w:rPr>
          <w:rtl/>
        </w:rPr>
      </w:pPr>
      <w:r w:rsidRPr="00BC50C9">
        <w:rPr>
          <w:rtl/>
        </w:rPr>
        <w:t>وعليه يُعرف أن المنصات الرقمية ليست مجرد بيئة تفاعلية بين المستخدمين أو نموذج أعمال يتيح تحقيق دخل بتكاليف منخفضة، بل هي فضاء افتراضي يحدد الهوية الرقمية للمستخدم، وهذه الهوية تتشكل من خلال الشبكة الاجتماعية الافتراضية التي ينتمي إليها وطبيعة تفاعلاته مع الآخرين، وما يميز هذه المنصات هو سهولة الانضمام إليها واستخدامها، بالإضافة إلى المرونة في التعامل معها، وتُعتبر المنصات الرقمية نوعًا فريدًا من أدوات تكنولوجيا المعلومات (</w:t>
      </w:r>
      <w:r w:rsidRPr="00BC50C9">
        <w:t>IT</w:t>
      </w:r>
      <w:r w:rsidRPr="00BC50C9">
        <w:rPr>
          <w:rtl/>
        </w:rPr>
        <w:t>) التي تتميز بخصائص خاصة (محفوظ، 2022، ص.90-92).</w:t>
      </w:r>
    </w:p>
    <w:p w14:paraId="20196C6B" w14:textId="77777777" w:rsidR="009A288C" w:rsidRPr="00BC50C9" w:rsidRDefault="009A288C" w:rsidP="009A288C">
      <w:pPr>
        <w:pStyle w:val="00000"/>
        <w:rPr>
          <w:rtl/>
        </w:rPr>
      </w:pPr>
      <w:r w:rsidRPr="00BC50C9">
        <w:rPr>
          <w:rtl/>
        </w:rPr>
        <w:lastRenderedPageBreak/>
        <w:t xml:space="preserve">تُسرّع المنصات الإلكترونية العمليات الاقتصادية بشكل كبير، ويمكنها ضمان لامركزية عالية في عملية اتخاذ القرار من جانب العملاء والمصنعين، حيث يُولد اقتصاد من نوع جديد يعمل وفق مبادئ هيكلية جديدة، وتُوجَّه المنصات الإلكترونية بشكل رئيسي نحو تقديم الخدمات، وقد أصبح إيجاد أشكال جديدة من التعاون بين الشركات والموظفين مهمة ملحة، تهدف إلى الحد من عدم تناسق المعلومات، وبناء نوع جديد من العلاقات بين أصحاب العمل والموظفين، قائم على المنصات الالكترونية </w:t>
      </w:r>
      <w:r w:rsidRPr="00BC50C9">
        <w:t>(Jaque et al., 2018, P.5)</w:t>
      </w:r>
      <w:r w:rsidRPr="00BC50C9">
        <w:rPr>
          <w:rtl/>
        </w:rPr>
        <w:t>.</w:t>
      </w:r>
    </w:p>
    <w:p w14:paraId="0A610EAE" w14:textId="77777777" w:rsidR="009A288C" w:rsidRPr="00BC50C9" w:rsidRDefault="009A288C" w:rsidP="009A288C">
      <w:pPr>
        <w:pStyle w:val="00000"/>
        <w:rPr>
          <w:rtl/>
        </w:rPr>
      </w:pPr>
      <w:r w:rsidRPr="00BC50C9">
        <w:rPr>
          <w:rtl/>
        </w:rPr>
        <w:t>كما تُعتبر المنصات الرقمية من أبرز الابتكارات الحديثة؛ حيث تقدم مجموعة متنوعة من الخدمات عبر الإنترنت، مثل التسوق الإلكتروني، والترفيه، والخدمات المصرفية الرقمية، والتواصل الاجتماعي، وتلعب هذه المنصات دورًا مهمًا في تسهيل الحياة اليومية وتلبية احتياجات المستخدمين في مجالات متعددة، كما أن تقييم هذه المنصات يُعد أمرًا حيويًا لضمان جودة المحتوى والخدمات المقدمة؛ حيث يعتمد على معايير متعددة تؤثر على فعاليتها وأمانها (تريكي، 2023، ص.38).</w:t>
      </w:r>
    </w:p>
    <w:p w14:paraId="487CD977" w14:textId="77777777" w:rsidR="009A288C" w:rsidRPr="00BC50C9" w:rsidRDefault="009A288C" w:rsidP="009A288C">
      <w:pPr>
        <w:pStyle w:val="00000"/>
        <w:rPr>
          <w:rtl/>
        </w:rPr>
      </w:pPr>
      <w:r w:rsidRPr="00BC50C9">
        <w:rPr>
          <w:rtl/>
        </w:rPr>
        <w:t>وعلاوة على ذلك تُعد المنصات الرقمية بمختلف أشكالها وتطبيقاتها وسيلة شاملة للتواصل والتفاعل الاجتماعي؛ حيث أصبحت عنصرًا أساسيًا في المجتمعات المتقدمة، فهي تجذب المتابعين من جميع الفئات وتتيح تبادل الثقافات بين المناطق المختلفة والمجالات المتنوعة، مما يجعلها أداة فعالة للتواصل السريع وتبادل المعلومات والبيانات، وبالتالي تساهم في بناء عالم أكثر ترابطًا، كما تلعب دورًا حيويًا في دعم الاقتصاد الرقمي وتعزيز الابتكار في مختلف القطاعات (عبد التواب، 2024، ص.340).</w:t>
      </w:r>
    </w:p>
    <w:p w14:paraId="78AF832B" w14:textId="77777777" w:rsidR="009A288C" w:rsidRPr="00BC50C9" w:rsidRDefault="009A288C" w:rsidP="009A288C">
      <w:pPr>
        <w:pStyle w:val="00000"/>
        <w:rPr>
          <w:rtl/>
        </w:rPr>
      </w:pPr>
      <w:r w:rsidRPr="00BC50C9">
        <w:rPr>
          <w:rtl/>
        </w:rPr>
        <w:t>مما سبق يمكن استخلاص أن في عصر التكنولوجيا المتسارع، أصبحت المنصات الإلكترونية عنصرًا أساسيًا في حياتنا اليومية، حيث تعيد تشكيل الطريقة التي نتفاعل بها مع العالم من حولنا سواء كانت منصات للتجارة الإلكترونية، أو تعليمية، أو ترفيهية، أو حتى اجتماعية، فإن هذه المنصات توفر مساحات افتراضية تتيح للمستخدمين الوصول إلى خدمات ومنتجات ومعلومات بسهولة وسرعة غير مسبوقة، تتميز المنصات الإلكترونية بقدرتها على تجاوز الحدود الجغرافية والزمنية، مما يجعلها أداة قوية لتعزيز التواصل والتعاون على مستوى عالمي كما أنها توفر فرصًا كبيرة للأفراد والشركات لتحقيق النمو والابتكار، من خلال توفير قنوات جديدة للتواصل مع العملاء وتقديم تجارب مخصصة تلبي احتياجاتهم المتغيرة</w:t>
      </w:r>
      <w:r w:rsidRPr="00BC50C9">
        <w:t>.</w:t>
      </w:r>
    </w:p>
    <w:p w14:paraId="0047F9C4" w14:textId="56D90992" w:rsidR="009A288C" w:rsidRPr="00BC50C9" w:rsidRDefault="009A288C" w:rsidP="009A288C">
      <w:pPr>
        <w:pStyle w:val="113"/>
      </w:pPr>
      <w:bookmarkStart w:id="19" w:name="_Toc195456484"/>
      <w:r>
        <w:rPr>
          <w:rFonts w:hint="cs"/>
          <w:rtl/>
        </w:rPr>
        <w:t xml:space="preserve">2.3.1 </w:t>
      </w:r>
      <w:r w:rsidRPr="00BC50C9">
        <w:rPr>
          <w:rtl/>
        </w:rPr>
        <w:t>مفهوم المنصات الإلكترونية</w:t>
      </w:r>
      <w:bookmarkEnd w:id="19"/>
    </w:p>
    <w:p w14:paraId="64459277" w14:textId="77777777" w:rsidR="009A288C" w:rsidRPr="00BC50C9" w:rsidRDefault="009A288C" w:rsidP="009A288C">
      <w:pPr>
        <w:pStyle w:val="00000"/>
        <w:rPr>
          <w:rtl/>
        </w:rPr>
      </w:pPr>
      <w:r w:rsidRPr="00BC50C9">
        <w:rPr>
          <w:rtl/>
        </w:rPr>
        <w:t>يعد مصطلح المنصات الالكترونية من المصطلحات الحديثة نسبيًا وعلى الرغم من ذلك فقد تناولت أدبيات متعددة مفهوم المنصات الالكترونية، وفيما يلي يستعرض الباث أهم المفاهيم التي وردت في الأدبيات:</w:t>
      </w:r>
    </w:p>
    <w:p w14:paraId="5C10DD43" w14:textId="77777777" w:rsidR="009A288C" w:rsidRPr="00BC50C9" w:rsidRDefault="009A288C" w:rsidP="009A288C">
      <w:pPr>
        <w:pStyle w:val="00000"/>
        <w:rPr>
          <w:rtl/>
        </w:rPr>
      </w:pPr>
      <w:r w:rsidRPr="00BC50C9">
        <w:rPr>
          <w:rtl/>
        </w:rPr>
        <w:t xml:space="preserve">عرفت الجامعة المستنصرية (2021، ص.1) المنصات الإلكترونية أنها: "عبارة عن بوابة ويب تهتم بتقديم الخدمات التفاعلية التي تختلف وفق طبيعة ونشاط هذه المنصة إلى جانب المعلومات التي يتم تقديمها من خلالها أيضًا". </w:t>
      </w:r>
    </w:p>
    <w:p w14:paraId="0E052923" w14:textId="77777777" w:rsidR="009A288C" w:rsidRPr="00BC50C9" w:rsidRDefault="009A288C" w:rsidP="009A288C">
      <w:pPr>
        <w:pStyle w:val="00000"/>
        <w:rPr>
          <w:rtl/>
        </w:rPr>
      </w:pPr>
      <w:r w:rsidRPr="00BC50C9">
        <w:rPr>
          <w:rtl/>
        </w:rPr>
        <w:lastRenderedPageBreak/>
        <w:t xml:space="preserve">وعرف محفوظ (2022، ص.90) المنصات الإلكترونية بأنها: "البيئة التفاعلية التي تقوم بتوظيف جميع التقنيات المختلفة المرتبطة بالويب كما تجمع المنصة الإلكترونية بين مميزات أنظمة المحتوى وبين شبكات التواصل الاجتماعي المختلفة". </w:t>
      </w:r>
    </w:p>
    <w:p w14:paraId="7707D65D" w14:textId="77777777" w:rsidR="009A288C" w:rsidRPr="00BC50C9" w:rsidRDefault="009A288C" w:rsidP="009A288C">
      <w:pPr>
        <w:pStyle w:val="00000"/>
        <w:rPr>
          <w:rtl/>
        </w:rPr>
      </w:pPr>
      <w:r w:rsidRPr="00BC50C9">
        <w:rPr>
          <w:rtl/>
        </w:rPr>
        <w:t xml:space="preserve">كما عرف </w:t>
      </w:r>
      <w:proofErr w:type="spellStart"/>
      <w:r w:rsidRPr="00BC50C9">
        <w:rPr>
          <w:rtl/>
        </w:rPr>
        <w:t>قيطون</w:t>
      </w:r>
      <w:proofErr w:type="spellEnd"/>
      <w:r w:rsidRPr="00BC50C9">
        <w:rPr>
          <w:rtl/>
        </w:rPr>
        <w:t xml:space="preserve"> وعمر وطوال (2022، ص.73) المنصات الإلكترونية على أنها: "عبارة عن مواقع وبوابات شاملة في مجال معين سواء تعليمية أو خدماتية أو تجارية حسب وظيفتها تعمل بواسطة شبكة الإنترنت وتطبيقات الويب 2.0 فيها مختلف نشاطات وتكون إما عامة أو خاصة لمجموعة معينة".</w:t>
      </w:r>
    </w:p>
    <w:p w14:paraId="02B7A5E6" w14:textId="77777777" w:rsidR="009A288C" w:rsidRPr="00BC50C9" w:rsidRDefault="009A288C" w:rsidP="009A288C">
      <w:pPr>
        <w:pStyle w:val="00000"/>
        <w:rPr>
          <w:rtl/>
        </w:rPr>
      </w:pPr>
      <w:r w:rsidRPr="00BC50C9">
        <w:rPr>
          <w:rtl/>
        </w:rPr>
        <w:t>وعرّف "على وصلاح" (</w:t>
      </w:r>
      <w:r w:rsidRPr="00BC50C9">
        <w:t>Aly &amp; Salah, 2022, P.19</w:t>
      </w:r>
      <w:r w:rsidRPr="00BC50C9">
        <w:rPr>
          <w:rtl/>
        </w:rPr>
        <w:t>) المنصات الإلكترونية بأنها: "مزيج متكامل من التقنيات المتقدمة والأنظمة المادية والرقمية، التي تهدف إلى تطوير نماذج الأعمال المبتكرة مما يؤدي إلى منتجات وخدمات ذكية، أي أنه بمثابة التوجه نحو استخدام التكنولوجيا والبيانات الرقمية في كافة قطاعات العمل".</w:t>
      </w:r>
    </w:p>
    <w:p w14:paraId="5A64229F" w14:textId="77777777" w:rsidR="009A288C" w:rsidRPr="00BC50C9" w:rsidRDefault="009A288C" w:rsidP="009A288C">
      <w:pPr>
        <w:pStyle w:val="00000"/>
        <w:rPr>
          <w:rtl/>
        </w:rPr>
      </w:pPr>
      <w:r w:rsidRPr="00BC50C9">
        <w:rPr>
          <w:rtl/>
        </w:rPr>
        <w:t>كما عرف "</w:t>
      </w:r>
      <w:proofErr w:type="spellStart"/>
      <w:r w:rsidRPr="00BC50C9">
        <w:rPr>
          <w:rtl/>
        </w:rPr>
        <w:t>جريبيزي</w:t>
      </w:r>
      <w:proofErr w:type="spellEnd"/>
      <w:r w:rsidRPr="00BC50C9">
        <w:rPr>
          <w:rtl/>
        </w:rPr>
        <w:t xml:space="preserve"> </w:t>
      </w:r>
      <w:proofErr w:type="spellStart"/>
      <w:r w:rsidRPr="00BC50C9">
        <w:rPr>
          <w:rtl/>
        </w:rPr>
        <w:t>وبيريستيراس</w:t>
      </w:r>
      <w:proofErr w:type="spellEnd"/>
      <w:r w:rsidRPr="00BC50C9">
        <w:rPr>
          <w:rtl/>
        </w:rPr>
        <w:t>" (</w:t>
      </w:r>
      <w:proofErr w:type="spellStart"/>
      <w:r w:rsidRPr="00BC50C9">
        <w:t>Gkrimpizi</w:t>
      </w:r>
      <w:proofErr w:type="spellEnd"/>
      <w:r w:rsidRPr="00BC50C9">
        <w:t xml:space="preserve"> &amp; </w:t>
      </w:r>
      <w:proofErr w:type="spellStart"/>
      <w:r w:rsidRPr="00BC50C9">
        <w:t>Peristeras</w:t>
      </w:r>
      <w:proofErr w:type="spellEnd"/>
      <w:r w:rsidRPr="00BC50C9">
        <w:t>, 2022, P.1</w:t>
      </w:r>
      <w:r w:rsidRPr="00BC50C9">
        <w:rPr>
          <w:rtl/>
        </w:rPr>
        <w:t xml:space="preserve">) المنصات الالكترونية على أنها: "عملية تواصل قائمة على التقنيات والبيانات الرقمية بالإضافة إلى الاتصالات البينية التي تؤدي إلى أنشطة جديدة أو تغييرات في الأنشطة الحالية من أجل تحقيق الكفاءات التشغيلية". </w:t>
      </w:r>
    </w:p>
    <w:p w14:paraId="4E912533" w14:textId="77777777" w:rsidR="009A288C" w:rsidRPr="00BC50C9" w:rsidRDefault="009A288C" w:rsidP="009A288C">
      <w:pPr>
        <w:pStyle w:val="00000"/>
        <w:rPr>
          <w:rtl/>
        </w:rPr>
      </w:pPr>
      <w:r w:rsidRPr="00BC50C9">
        <w:rPr>
          <w:rtl/>
        </w:rPr>
        <w:t xml:space="preserve">وبالتالي عرف أمدور </w:t>
      </w:r>
      <w:proofErr w:type="spellStart"/>
      <w:r w:rsidRPr="00BC50C9">
        <w:rPr>
          <w:rtl/>
        </w:rPr>
        <w:t>ومحمداتني</w:t>
      </w:r>
      <w:proofErr w:type="spellEnd"/>
      <w:r w:rsidRPr="00BC50C9">
        <w:rPr>
          <w:rtl/>
        </w:rPr>
        <w:t xml:space="preserve"> </w:t>
      </w:r>
      <w:proofErr w:type="spellStart"/>
      <w:r w:rsidRPr="00BC50C9">
        <w:rPr>
          <w:rtl/>
        </w:rPr>
        <w:t>وبوخناف</w:t>
      </w:r>
      <w:proofErr w:type="spellEnd"/>
      <w:r w:rsidRPr="00BC50C9">
        <w:rPr>
          <w:rtl/>
        </w:rPr>
        <w:t xml:space="preserve"> (2023، ص.13) المنصات الإلكترونية بأنها: "نموذج أعمال قائم على استخدام تكنولوجيا، يسمح لعدة مشاركين من منتجين ومستهلكين بالاتصال من خالها والتفاعل مع بعضهم البعض وخلق قيمة وتبادلها". </w:t>
      </w:r>
    </w:p>
    <w:p w14:paraId="314CF48A" w14:textId="77777777" w:rsidR="009A288C" w:rsidRPr="00BC50C9" w:rsidRDefault="009A288C" w:rsidP="009A288C">
      <w:pPr>
        <w:pStyle w:val="00000"/>
        <w:rPr>
          <w:rtl/>
        </w:rPr>
      </w:pPr>
      <w:r w:rsidRPr="00BC50C9">
        <w:rPr>
          <w:rtl/>
        </w:rPr>
        <w:t xml:space="preserve">وعلاوة على ذلك عرف تريكي (2023، ص.39) المنصات الإلكترونية على أنها: "أجهزة أو برامج تستخدم تطبيق أو خدمة ما تعمل وفق نظام التشغيل وتنسيق البرامج التي تستخدم مجموعة من التعليمات لمعالج معين". </w:t>
      </w:r>
    </w:p>
    <w:p w14:paraId="704E11E5" w14:textId="77777777" w:rsidR="009A288C" w:rsidRPr="00BC50C9" w:rsidRDefault="009A288C" w:rsidP="009A288C">
      <w:pPr>
        <w:pStyle w:val="00000"/>
        <w:rPr>
          <w:rtl/>
        </w:rPr>
      </w:pPr>
      <w:r w:rsidRPr="00BC50C9">
        <w:rPr>
          <w:rtl/>
        </w:rPr>
        <w:t xml:space="preserve">وعرف </w:t>
      </w:r>
      <w:proofErr w:type="spellStart"/>
      <w:r w:rsidRPr="00BC50C9">
        <w:rPr>
          <w:rtl/>
        </w:rPr>
        <w:t>بومامش</w:t>
      </w:r>
      <w:proofErr w:type="spellEnd"/>
      <w:r w:rsidRPr="00BC50C9">
        <w:rPr>
          <w:rtl/>
        </w:rPr>
        <w:t xml:space="preserve"> </w:t>
      </w:r>
      <w:proofErr w:type="spellStart"/>
      <w:r w:rsidRPr="00BC50C9">
        <w:rPr>
          <w:rtl/>
        </w:rPr>
        <w:t>وبوكفوس</w:t>
      </w:r>
      <w:proofErr w:type="spellEnd"/>
      <w:r w:rsidRPr="00BC50C9">
        <w:rPr>
          <w:rtl/>
        </w:rPr>
        <w:t xml:space="preserve"> (2023، ص.7) المنصات الإلكترونية على أنها: "عبارة عن نظام يسهل عملية التواصل لمجموعة من الناس لتحقيق أهداف معينة، قد تكون </w:t>
      </w:r>
      <w:proofErr w:type="gramStart"/>
      <w:r w:rsidRPr="00BC50C9">
        <w:rPr>
          <w:rtl/>
        </w:rPr>
        <w:t>خدمات</w:t>
      </w:r>
      <w:proofErr w:type="gramEnd"/>
      <w:r w:rsidRPr="00BC50C9">
        <w:rPr>
          <w:rtl/>
        </w:rPr>
        <w:t xml:space="preserve"> أو منتجات أو فعاليات أو تعليم أو غير ذلك". </w:t>
      </w:r>
    </w:p>
    <w:p w14:paraId="7E116E21" w14:textId="77777777" w:rsidR="009A288C" w:rsidRPr="00BC50C9" w:rsidRDefault="009A288C" w:rsidP="009A288C">
      <w:pPr>
        <w:pStyle w:val="00000"/>
        <w:rPr>
          <w:rtl/>
        </w:rPr>
      </w:pPr>
      <w:r w:rsidRPr="00BC50C9">
        <w:rPr>
          <w:rtl/>
        </w:rPr>
        <w:t xml:space="preserve">وعرف عرفات (2024، ص.6) المنصات الإلكترونية أنها: "نموذج قائم على استخدام التكنولوجيا، يسمح لعدة مشاركين من منتجين ومستهلكين بالاتصال من خلاله، والتفاعل مع بعضهم البعض، لأغراض </w:t>
      </w:r>
      <w:proofErr w:type="gramStart"/>
      <w:r w:rsidRPr="00BC50C9">
        <w:rPr>
          <w:rtl/>
        </w:rPr>
        <w:t>اجتماعية</w:t>
      </w:r>
      <w:proofErr w:type="gramEnd"/>
      <w:r w:rsidRPr="00BC50C9">
        <w:rPr>
          <w:rtl/>
        </w:rPr>
        <w:t xml:space="preserve"> أو تعليمية، أو تجارية، أو بهدف التسلية، كما هو الحال في منصات الدراما".</w:t>
      </w:r>
    </w:p>
    <w:p w14:paraId="7DBAF693" w14:textId="77777777" w:rsidR="009A288C" w:rsidRPr="00BC50C9" w:rsidRDefault="009A288C" w:rsidP="009A288C">
      <w:pPr>
        <w:pStyle w:val="00000"/>
        <w:rPr>
          <w:rtl/>
        </w:rPr>
      </w:pPr>
      <w:r w:rsidRPr="00BC50C9">
        <w:rPr>
          <w:rtl/>
        </w:rPr>
        <w:t>كما عرف أبو النجا (2024، ص.120) المنصات الإلكترونية على أنها: "بوابة ويب تهتم بتقديم الخدمات التفاعلية التي تختلف وفق طبيعة ونشاط هذه المنصة إلى جانب المعلومات التي يتم تقديمها من خلالها أيضًا".</w:t>
      </w:r>
    </w:p>
    <w:p w14:paraId="089258B8" w14:textId="77777777" w:rsidR="009A288C" w:rsidRPr="00BC50C9" w:rsidRDefault="009A288C" w:rsidP="009A288C">
      <w:pPr>
        <w:pStyle w:val="00000"/>
        <w:rPr>
          <w:rtl/>
        </w:rPr>
      </w:pPr>
      <w:r w:rsidRPr="00BC50C9">
        <w:rPr>
          <w:rtl/>
        </w:rPr>
        <w:lastRenderedPageBreak/>
        <w:t xml:space="preserve">وعرف مركز الأهرامات للدراسات السياسية والاستراتيجية (2024) المنصات الإلكترونية على أنها: "البرامج والتكنولوجيا المستخدمة لتوحيد وتبسيط العمليات وأنظمة تكنولوجيا المعلومات". </w:t>
      </w:r>
    </w:p>
    <w:p w14:paraId="7162534C" w14:textId="77777777" w:rsidR="009A288C" w:rsidRPr="00BC50C9" w:rsidRDefault="009A288C" w:rsidP="009A288C">
      <w:pPr>
        <w:pStyle w:val="00000"/>
        <w:rPr>
          <w:rtl/>
        </w:rPr>
      </w:pPr>
      <w:r w:rsidRPr="00BC50C9">
        <w:rPr>
          <w:rtl/>
        </w:rPr>
        <w:t xml:space="preserve">وبالتالي عرف نسرين والجمعي (2024، ص.348) المنصة الإلكترونية أنها: "أسماء مختلفة لمساحة الكترونية مخصصة لميدان معين على شبكة الأنترنت، يمكن عليها بناء موقع لشخص أو مؤسسة أو منصة، تحمل اسم وعنوان يميز المنصة عن غيرها من منصات مواضيع أخرى تسبح في الفضاء الافتراضي تربط بينها طرق تسمى </w:t>
      </w:r>
      <w:r w:rsidRPr="00BC50C9">
        <w:t xml:space="preserve">autoroute de </w:t>
      </w:r>
      <w:proofErr w:type="spellStart"/>
      <w:r w:rsidRPr="00BC50C9">
        <w:t>l'information</w:t>
      </w:r>
      <w:proofErr w:type="spellEnd"/>
      <w:r w:rsidRPr="00BC50C9">
        <w:rPr>
          <w:rtl/>
        </w:rPr>
        <w:t xml:space="preserve">، ولها منصة بوابة تدخل وتخرج منها المعلومات المتداولة بفضل العنوان والاسم". </w:t>
      </w:r>
    </w:p>
    <w:p w14:paraId="64227D3F" w14:textId="77777777" w:rsidR="009A288C" w:rsidRPr="00BC50C9" w:rsidRDefault="009A288C" w:rsidP="009A288C">
      <w:pPr>
        <w:pStyle w:val="00000"/>
        <w:rPr>
          <w:rtl/>
        </w:rPr>
      </w:pPr>
      <w:r w:rsidRPr="00BC50C9">
        <w:rPr>
          <w:rtl/>
        </w:rPr>
        <w:t xml:space="preserve">كما عرف عبد التواب (2024، ص.356) المنصات الإلكترونية بأنها: "كنظم عبر الإنترنت تركز على المحتوى الرقمي وتقديم الخدمات، وتشمل تطبيقات ومواقع متنوعة توفر خدمات متعددة، مما يتيح للمستخدمين التفاعل مع المحتوى الرقمي وبناء مجتمعات افتراضية للتواصل وتبادل المعرفة والخبرات". </w:t>
      </w:r>
    </w:p>
    <w:p w14:paraId="1A2BD6CB" w14:textId="77777777" w:rsidR="009A288C" w:rsidRPr="00BC50C9" w:rsidRDefault="009A288C" w:rsidP="009A288C">
      <w:pPr>
        <w:pStyle w:val="00000"/>
        <w:rPr>
          <w:rtl/>
        </w:rPr>
      </w:pPr>
      <w:r w:rsidRPr="00BC50C9">
        <w:rPr>
          <w:rtl/>
        </w:rPr>
        <w:t xml:space="preserve">وعليه عرفت وزارة الاتصالات وتقنية المعلومات (2025، ص.5) المنصات الإلكترونية بأنها: "عبارة عن منصة ّ متاحة عبر التقنية ومسيرة بتوجهات الأعمال لإدارة، تحسين، وتقديم الخدمات الحكومية باستمرار عبر نقاط اتصال رقمية متعددة". </w:t>
      </w:r>
    </w:p>
    <w:p w14:paraId="1EDBFBB8" w14:textId="77777777" w:rsidR="009A288C" w:rsidRPr="00BC50C9" w:rsidRDefault="009A288C" w:rsidP="009A288C">
      <w:pPr>
        <w:pStyle w:val="00000"/>
      </w:pPr>
      <w:r w:rsidRPr="00BC50C9">
        <w:rPr>
          <w:rtl/>
        </w:rPr>
        <w:t>خلاصة ما سبق يمكن استخلاص تعريف المنصات الإلكترونية بأنها بيئات رقمية أو فضاءات افتراضية تعمل كوسيط بين مستخدمين أو جهات مختلفة، سواء أفرادًا أو مؤسسات، لتسهيل التفاعل وتبادل الخدمات أو المنتجات أو المعلومات. تعتمد هذه المنصات على تقنيات الإنترنت والبرمجيات لإنشاء مساحات تفاعلية تتيح للمستخدمين التواصل، والتعاون، أو إتمام معاملات مختلفة بشكل سريع وفعّال</w:t>
      </w:r>
      <w:r w:rsidRPr="00BC50C9">
        <w:t>.</w:t>
      </w:r>
    </w:p>
    <w:p w14:paraId="785490BD" w14:textId="26A2DC14" w:rsidR="009A288C" w:rsidRPr="00BC50C9" w:rsidRDefault="009A288C" w:rsidP="009A288C">
      <w:pPr>
        <w:pStyle w:val="113"/>
        <w:rPr>
          <w:rtl/>
        </w:rPr>
      </w:pPr>
      <w:bookmarkStart w:id="20" w:name="_Toc195456485"/>
      <w:r>
        <w:rPr>
          <w:rFonts w:hint="cs"/>
          <w:rtl/>
        </w:rPr>
        <w:t xml:space="preserve">3.3.1 </w:t>
      </w:r>
      <w:r w:rsidRPr="00BC50C9">
        <w:rPr>
          <w:rtl/>
        </w:rPr>
        <w:t>أهداف المنصات الإلكترونية</w:t>
      </w:r>
      <w:bookmarkEnd w:id="20"/>
    </w:p>
    <w:p w14:paraId="5F41AD20" w14:textId="77777777" w:rsidR="009A288C" w:rsidRPr="00BC50C9" w:rsidRDefault="009A288C" w:rsidP="009A288C">
      <w:pPr>
        <w:pStyle w:val="00000"/>
        <w:rPr>
          <w:rtl/>
        </w:rPr>
      </w:pPr>
      <w:r w:rsidRPr="00BC50C9">
        <w:rPr>
          <w:rtl/>
        </w:rPr>
        <w:t xml:space="preserve">تسعى دول العالم إلى تعزيز ميزتها التنافسية من خلال تطوير بنيتها التحتية وتعزيز قدراتها الرقمية حيث يبرز دور المنصات الإلكترونية كأداة استراتيجية لتحقيق هذه الأهداف، حيث تسهم في جذب الاستثمارات الأجنبية التي تُعد محركًا أساسيًا لتمويل عمليات التنمية؛ وهو ما أكد عليه "علي وصلاح"  </w:t>
      </w:r>
      <w:r w:rsidRPr="00BC50C9">
        <w:t>(Aly &amp; Salah, 2022, P.21)</w:t>
      </w:r>
      <w:r w:rsidRPr="00BC50C9">
        <w:rPr>
          <w:rtl/>
        </w:rPr>
        <w:t xml:space="preserve"> بأن تسعى دول العالم، سواء النامية أو المتقدمة، إلى تحقيق ميزة تنافسية عالية من خلال تحسين بنيتها التحتية وقدراتها الرقمية، وتتمثل أهمية الاعتماد على المنصات الالكترونية في جذب الاستثمارات الأجنبية لتمويل عملية التنمية واستخدام التكنولوجيا الحديثة، ولذلك تتبنى الدول تحسين وتطوير عمليات التحول الرقمي لأنها أصبحت السمة المميزة للعصر، كما أن الاعتماد على تلك المنصات يساعد على تطوير العمل من خلال الاعتماد على التكنولوجيا الحديثة بشكل كامل أو جزئي، والاستغناء عن الطرق التقليدية في العمل</w:t>
      </w:r>
    </w:p>
    <w:p w14:paraId="759B983D" w14:textId="77777777" w:rsidR="009A288C" w:rsidRPr="00BC50C9" w:rsidRDefault="009A288C" w:rsidP="009A288C">
      <w:pPr>
        <w:pStyle w:val="00000"/>
        <w:rPr>
          <w:rtl/>
        </w:rPr>
      </w:pPr>
      <w:r w:rsidRPr="00BC50C9">
        <w:rPr>
          <w:rtl/>
        </w:rPr>
        <w:t xml:space="preserve">كما تهدف المنصات الالكترونية إلى تعزيز الاهتمام بتخصصات متعددة نظرًا لقدرتها على ابتكار تقنيات ونماذج أعمال وظواهر علمية جديدة، وتُعدّ جزءاً من عمليات </w:t>
      </w:r>
      <w:proofErr w:type="spellStart"/>
      <w:r w:rsidRPr="00BC50C9">
        <w:rPr>
          <w:rtl/>
        </w:rPr>
        <w:t>الرقمنة</w:t>
      </w:r>
      <w:proofErr w:type="spellEnd"/>
      <w:r w:rsidRPr="00BC50C9">
        <w:rPr>
          <w:rtl/>
        </w:rPr>
        <w:t xml:space="preserve">، ويتزايد عدد الصناعات والشركات </w:t>
      </w:r>
      <w:r w:rsidRPr="00BC50C9">
        <w:rPr>
          <w:rtl/>
        </w:rPr>
        <w:lastRenderedPageBreak/>
        <w:t xml:space="preserve">التي قطعت شوطًا كبيرًا في عملية </w:t>
      </w:r>
      <w:proofErr w:type="spellStart"/>
      <w:r w:rsidRPr="00BC50C9">
        <w:rPr>
          <w:rtl/>
        </w:rPr>
        <w:t>الرقمنة</w:t>
      </w:r>
      <w:proofErr w:type="spellEnd"/>
      <w:r w:rsidRPr="00BC50C9">
        <w:rPr>
          <w:rtl/>
        </w:rPr>
        <w:t xml:space="preserve"> أو في مراحلها الأولى، بينما لا تزال بعض الأسواق التقليدية الأخرى صامدة، ومع ذلك، ومع استمرار تطور التكنولوجيا وظهور احتياجات جديدة من المستخدمين، تتجه الشركات التقليدية نحو الاستثمار في تكنولوجيا المعلومات، من خلال توفي المنصات الالكترونية</w:t>
      </w:r>
      <w:r w:rsidRPr="00BC50C9">
        <w:t>(</w:t>
      </w:r>
      <w:proofErr w:type="spellStart"/>
      <w:r w:rsidRPr="00BC50C9">
        <w:t>Lögdal</w:t>
      </w:r>
      <w:proofErr w:type="spellEnd"/>
      <w:r w:rsidRPr="00BC50C9">
        <w:t xml:space="preserve"> &amp; </w:t>
      </w:r>
      <w:proofErr w:type="spellStart"/>
      <w:r w:rsidRPr="00BC50C9">
        <w:t>Calissendorff</w:t>
      </w:r>
      <w:proofErr w:type="spellEnd"/>
      <w:r w:rsidRPr="00BC50C9">
        <w:t>, 2018, P.2)</w:t>
      </w:r>
      <w:r w:rsidRPr="00BC50C9">
        <w:rPr>
          <w:rtl/>
        </w:rPr>
        <w:t>.</w:t>
      </w:r>
    </w:p>
    <w:p w14:paraId="6D2C4069" w14:textId="77777777" w:rsidR="009A288C" w:rsidRPr="00BC50C9" w:rsidRDefault="009A288C" w:rsidP="009A288C">
      <w:pPr>
        <w:bidi/>
        <w:spacing w:before="120" w:after="120" w:line="240" w:lineRule="auto"/>
        <w:jc w:val="both"/>
        <w:rPr>
          <w:rFonts w:ascii="Times New Roman" w:eastAsia="Calibri" w:hAnsi="Times New Roman" w:cs="Simplified Arabic"/>
          <w:sz w:val="24"/>
          <w:szCs w:val="28"/>
          <w:lang w:bidi="ar-EG"/>
        </w:rPr>
      </w:pPr>
      <w:r w:rsidRPr="00BC50C9">
        <w:rPr>
          <w:rFonts w:ascii="Times New Roman" w:eastAsia="Calibri" w:hAnsi="Times New Roman" w:cs="Simplified Arabic"/>
          <w:sz w:val="24"/>
          <w:szCs w:val="28"/>
          <w:rtl/>
        </w:rPr>
        <w:t>وعليه تمتلك المنصات الرقمية العديد من الأهداف التي تزيد من الأعمال الرقمية كالتالي:</w:t>
      </w:r>
    </w:p>
    <w:p w14:paraId="55AFFDD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تعزيز ثقافة الابتكار وريادة الأعمال الرقمية وتطوير المجتمعات الريادية الرقمية.  </w:t>
      </w:r>
    </w:p>
    <w:p w14:paraId="5BAA317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تنمية المهارات الرقمية المحلية في مجال ريادة الأعمال الرقمية. </w:t>
      </w:r>
    </w:p>
    <w:p w14:paraId="2B39897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زيادة مستوى اعتماد تطبيقات التقنيات الناشئة.  </w:t>
      </w:r>
    </w:p>
    <w:p w14:paraId="595A5F4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دعم وتمكين استخدام التقنيات الحديثة في المشاريع الناشئة.  </w:t>
      </w:r>
    </w:p>
    <w:p w14:paraId="7B0645F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توفير الخدمات والموارد التقنية اللازمة لتطوير مشاريع الأبحاث الرقمية.  </w:t>
      </w:r>
    </w:p>
    <w:p w14:paraId="3AB600E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تحويل الأفكار والمشاريع الريادية إلى نماذج أعمال رقمية قابلة للتطبيق (مركز ريادة الأعمال الرقمية، 2025).</w:t>
      </w:r>
    </w:p>
    <w:p w14:paraId="734D4301" w14:textId="77777777" w:rsidR="009A288C" w:rsidRPr="00BC50C9" w:rsidRDefault="009A288C" w:rsidP="009A288C">
      <w:pPr>
        <w:pStyle w:val="00000"/>
        <w:rPr>
          <w:rtl/>
        </w:rPr>
      </w:pPr>
      <w:r w:rsidRPr="00BC50C9">
        <w:rPr>
          <w:rtl/>
        </w:rPr>
        <w:t>كما تعتبر المنصات الإلكترونية أداة حيوية لدعم مشاريع ريادة الأعمال؛ حيث تقدم قاعدة بيانات شاملة تحتوي على معلومات حول الشركات الناشئة، والمستثمرين، والجهات الداعمة، ومقدمي الخدمات، وتهدف هذه المنصات إلى (وكالة الأنباء الأردنية، 2022):</w:t>
      </w:r>
    </w:p>
    <w:p w14:paraId="76107A3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تعزيز بيئة ريادة الأعمال من خلال تسهيل التواصل بين رواد الأعمال والممولين، وتوفير الأدوات والتدريبات اللازمة لتحقيق النمو والنجاح.</w:t>
      </w:r>
    </w:p>
    <w:p w14:paraId="712C9B5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 كما تساهم في تحفيز الابتكار وزيادة </w:t>
      </w:r>
      <w:proofErr w:type="spellStart"/>
      <w:r w:rsidRPr="00BC50C9">
        <w:rPr>
          <w:rFonts w:ascii="Times New Roman" w:eastAsia="Calibri" w:hAnsi="Times New Roman" w:cs="Simplified Arabic"/>
          <w:kern w:val="2"/>
          <w:sz w:val="24"/>
          <w:szCs w:val="28"/>
          <w:rtl/>
          <w14:ligatures w14:val="standardContextual"/>
        </w:rPr>
        <w:t>رقمنة</w:t>
      </w:r>
      <w:proofErr w:type="spellEnd"/>
      <w:r w:rsidRPr="00BC50C9">
        <w:rPr>
          <w:rFonts w:ascii="Times New Roman" w:eastAsia="Calibri" w:hAnsi="Times New Roman" w:cs="Simplified Arabic"/>
          <w:kern w:val="2"/>
          <w:sz w:val="24"/>
          <w:szCs w:val="28"/>
          <w:rtl/>
          <w14:ligatures w14:val="standardContextual"/>
        </w:rPr>
        <w:t xml:space="preserve"> الاقتصاد، مما يساعد على خلق فرص استثمارية جديدة ودعم التنمية الاقتصادية. </w:t>
      </w:r>
    </w:p>
    <w:p w14:paraId="574F537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تتيح هذه المنصات تبادل المعرفة والخبرات، مما يعزز التعاون بين مختلف الفاعلين في مجال ريادة الأعمال.</w:t>
      </w:r>
    </w:p>
    <w:p w14:paraId="1941920A" w14:textId="77777777" w:rsidR="009A288C" w:rsidRPr="00BC50C9" w:rsidRDefault="009A288C" w:rsidP="009A288C">
      <w:pPr>
        <w:pStyle w:val="00000"/>
        <w:rPr>
          <w:rtl/>
        </w:rPr>
      </w:pPr>
      <w:r w:rsidRPr="00BC50C9">
        <w:rPr>
          <w:rtl/>
        </w:rPr>
        <w:t>وعلاوة على ذلك أصبحت المنصات الإلكترونية أداة حيوية لدعم ريادة الأعمال؛ حيث تقدم مجموعة متنوعة من الخدمات التي تسهم في نمو وتطور الشركات الناشئة ورواد الأعمال، ومن أبرز أهداف هذه المنصات:</w:t>
      </w:r>
    </w:p>
    <w:p w14:paraId="038C37A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تقديم التدريب والتأهيل من خلال توفير برامج تعليمية متخصصة في المهارات التجارية والإدارة المالية.</w:t>
      </w:r>
    </w:p>
    <w:p w14:paraId="353F564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دعم رواد الأعمال من خلال تزويدهم بالأدوات والمعلومات اللازمة لاتخاذ قرارات مدروسة تسهم في نمو أعمالهم.</w:t>
      </w:r>
    </w:p>
    <w:p w14:paraId="59DE01D7"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تحفيز الابتكار والتكنولوجيا من خلال تعزيز التحول الرقمي وتوفير موارد تعليمية متطورة.</w:t>
      </w:r>
    </w:p>
    <w:p w14:paraId="34F96E5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تسهيل الوصول إلى الأسواق عبر إنشاء شبكات تواصل بين رواد الأعمال والمستثمرين ومقدمي الخدمات.</w:t>
      </w:r>
    </w:p>
    <w:p w14:paraId="600B0C9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تعزيز الاستدامة الاقتصادية من خلال تمكين المشاريع الصغيرة والمتوسطة من التكيف مع التغيرات الاقتصادية وتحقيق نمو مستدام.</w:t>
      </w:r>
    </w:p>
    <w:p w14:paraId="22F003C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تسهم هذه المنصات في دعم الاقتصاد الرقمي، مما يجعلها عنصرًا أساسيًا في تطوير بيئة ريادة الأعمال وزيادة فرص نجاح المشاريع الناشئة (هيئة تنمية صناعة تكنولوجيا المعلومات، 2021).</w:t>
      </w:r>
    </w:p>
    <w:p w14:paraId="6CCCF4B4" w14:textId="77777777" w:rsidR="009A288C" w:rsidRPr="00BC50C9" w:rsidRDefault="009A288C" w:rsidP="009A288C">
      <w:pPr>
        <w:pStyle w:val="00000"/>
      </w:pPr>
      <w:r w:rsidRPr="00BC50C9">
        <w:rPr>
          <w:rtl/>
        </w:rPr>
        <w:t>وعليه تعتبر المنصات الإلكترونية أداة لازمة لدعم ريادة الأعمال والمشاريع، وتساهم الأهداف في بناء بيئة ريادية متكاملة تدعم الابتكار وتوسع نطاق ريادة الأعمال كالتالي (الاتحاد العربي للاقتصاد الرقمي، 2025):</w:t>
      </w:r>
    </w:p>
    <w:p w14:paraId="0DD4855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تمكين رواد الأعمال:</w:t>
      </w:r>
      <w:r w:rsidRPr="00BC50C9">
        <w:rPr>
          <w:rFonts w:ascii="Times New Roman" w:eastAsia="Calibri" w:hAnsi="Times New Roman" w:cs="Simplified Arabic"/>
          <w:kern w:val="2"/>
          <w:sz w:val="24"/>
          <w:szCs w:val="28"/>
          <w:rtl/>
          <w14:ligatures w14:val="standardContextual"/>
        </w:rPr>
        <w:t xml:space="preserve"> مساعدة الأفراد في تحويل أفكارهم إلى مشاريع قابلة للتنفيذ من خلال توفير الموارد والأدوات الضرورية.</w:t>
      </w:r>
    </w:p>
    <w:p w14:paraId="2D0B4BDE" w14:textId="77777777" w:rsidR="009A288C" w:rsidRPr="00BC50C9" w:rsidRDefault="009A288C">
      <w:pPr>
        <w:numPr>
          <w:ilvl w:val="0"/>
          <w:numId w:val="19"/>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تقديم الدعم التدريبي:</w:t>
      </w:r>
      <w:r w:rsidRPr="00BC50C9">
        <w:rPr>
          <w:rFonts w:ascii="Times New Roman" w:eastAsia="Calibri" w:hAnsi="Times New Roman" w:cs="Simplified Arabic"/>
          <w:kern w:val="2"/>
          <w:sz w:val="24"/>
          <w:szCs w:val="28"/>
          <w:rtl/>
          <w14:ligatures w14:val="standardContextual"/>
        </w:rPr>
        <w:t xml:space="preserve"> توفير برامج تعليمية متخصصة تهدف إلى تنمية المهارات الريادية وتعزيز المعرفة بالممارسات الحديثة.</w:t>
      </w:r>
    </w:p>
    <w:p w14:paraId="256A5C84" w14:textId="77777777" w:rsidR="009A288C" w:rsidRPr="00BC50C9" w:rsidRDefault="009A288C">
      <w:pPr>
        <w:numPr>
          <w:ilvl w:val="0"/>
          <w:numId w:val="19"/>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توفير التسهيلات لإنشاء المشاريع:</w:t>
      </w:r>
      <w:r w:rsidRPr="00BC50C9">
        <w:rPr>
          <w:rFonts w:ascii="Times New Roman" w:eastAsia="Calibri" w:hAnsi="Times New Roman" w:cs="Simplified Arabic"/>
          <w:kern w:val="2"/>
          <w:sz w:val="24"/>
          <w:szCs w:val="28"/>
          <w:rtl/>
          <w14:ligatures w14:val="standardContextual"/>
        </w:rPr>
        <w:t xml:space="preserve"> دعم رواد الأعمال في تأسيس مشاريعهم الرقمية من خلال تقديم الاستشارات والخدمات التقنية والإدارية.</w:t>
      </w:r>
    </w:p>
    <w:p w14:paraId="7C6BF7C3" w14:textId="77777777" w:rsidR="009A288C" w:rsidRPr="00BC50C9" w:rsidRDefault="009A288C">
      <w:pPr>
        <w:numPr>
          <w:ilvl w:val="0"/>
          <w:numId w:val="19"/>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الوصول إلى مصادر التمويل:</w:t>
      </w:r>
      <w:r w:rsidRPr="00BC50C9">
        <w:rPr>
          <w:rFonts w:ascii="Times New Roman" w:eastAsia="Calibri" w:hAnsi="Times New Roman" w:cs="Simplified Arabic"/>
          <w:kern w:val="2"/>
          <w:sz w:val="24"/>
          <w:szCs w:val="28"/>
          <w:rtl/>
          <w14:ligatures w14:val="standardContextual"/>
        </w:rPr>
        <w:t xml:space="preserve"> ربط رواد الأعمال بالمستثمرين وصناديق الاستثمار لتوفير السيولة اللازمة لنمو المشاريع.</w:t>
      </w:r>
    </w:p>
    <w:p w14:paraId="550CDC70" w14:textId="77777777" w:rsidR="009A288C" w:rsidRPr="00BC50C9" w:rsidRDefault="009A288C">
      <w:pPr>
        <w:numPr>
          <w:ilvl w:val="0"/>
          <w:numId w:val="19"/>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تحفيز بيئة ريادة الأعمال:</w:t>
      </w:r>
      <w:r w:rsidRPr="00BC50C9">
        <w:rPr>
          <w:rFonts w:ascii="Times New Roman" w:eastAsia="Calibri" w:hAnsi="Times New Roman" w:cs="Simplified Arabic"/>
          <w:kern w:val="2"/>
          <w:sz w:val="24"/>
          <w:szCs w:val="28"/>
          <w:rtl/>
          <w14:ligatures w14:val="standardContextual"/>
        </w:rPr>
        <w:t xml:space="preserve"> دعم السياسات والتشريعات التي تسهل إنشاء الشركات الناشئة وتعزز مناخ الابتكار.</w:t>
      </w:r>
    </w:p>
    <w:p w14:paraId="6971A467" w14:textId="77777777" w:rsidR="009A288C" w:rsidRPr="00BC50C9" w:rsidRDefault="009A288C">
      <w:pPr>
        <w:numPr>
          <w:ilvl w:val="0"/>
          <w:numId w:val="19"/>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تعزيز الاقتصاد الرقمي:</w:t>
      </w:r>
      <w:r w:rsidRPr="00BC50C9">
        <w:rPr>
          <w:rFonts w:ascii="Times New Roman" w:eastAsia="Calibri" w:hAnsi="Times New Roman" w:cs="Simplified Arabic"/>
          <w:kern w:val="2"/>
          <w:sz w:val="24"/>
          <w:szCs w:val="28"/>
          <w:rtl/>
          <w14:ligatures w14:val="standardContextual"/>
        </w:rPr>
        <w:t xml:space="preserve"> دعم المشاريع الرقمية وتعزيز دورها في الاقتصاد العالمي لتحقيق التنمية المستدامة.</w:t>
      </w:r>
    </w:p>
    <w:p w14:paraId="47BCFCF4" w14:textId="77777777" w:rsidR="009A288C" w:rsidRPr="00BC50C9" w:rsidRDefault="009A288C" w:rsidP="009A288C">
      <w:pPr>
        <w:bidi/>
        <w:spacing w:before="120" w:after="120" w:line="240" w:lineRule="auto"/>
        <w:jc w:val="both"/>
        <w:rPr>
          <w:rFonts w:ascii="Times New Roman" w:eastAsia="Calibri" w:hAnsi="Times New Roman" w:cs="Simplified Arabic"/>
          <w:sz w:val="24"/>
          <w:szCs w:val="28"/>
          <w:rtl/>
        </w:rPr>
      </w:pPr>
      <w:r w:rsidRPr="00BC50C9">
        <w:rPr>
          <w:rFonts w:ascii="Times New Roman" w:eastAsia="Calibri" w:hAnsi="Times New Roman" w:cs="Simplified Arabic"/>
          <w:sz w:val="24"/>
          <w:szCs w:val="28"/>
          <w:rtl/>
        </w:rPr>
        <w:t>كما تساهم المنصات الرقمية في بعض الأهداف لتطوير أعمال الريادة الرقمية كالتالي:</w:t>
      </w:r>
    </w:p>
    <w:p w14:paraId="3840E7F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تعزيز ريادة الأعمال من خلال تحسين البنية التحتية الرقمية وقطاع الاتصالات، مما يسهل على الرياديين الوصول إلى التقنيات الحديثة.</w:t>
      </w:r>
    </w:p>
    <w:p w14:paraId="2D0EF77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كما تركز هذه المنصات على تطوير المهارات الرقمية وتعزيز الكفاءات البشرية لدعم الاقتصاد الرقمي.</w:t>
      </w:r>
    </w:p>
    <w:p w14:paraId="3237A3A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تعمل على إزالة العقبات التي تعيق استخدام الخدمات المالية الرقمية، مما يسهل عمليات الدفع الإلكتروني والتحويلات المالية.</w:t>
      </w:r>
    </w:p>
    <w:p w14:paraId="1B8E5CA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كما توفر بيئة ملائمة لابتكار الحلول الإبداعية من خلال الخدمات الحكومية الرقمية، مما يساعد رواد الأعمال في تنفيذ مشاريعهم بكفاءة (وزارة الاقتصاد الرقمي والريادة، 2024، ص.14).</w:t>
      </w:r>
    </w:p>
    <w:p w14:paraId="3F85D088" w14:textId="77777777" w:rsidR="009A288C" w:rsidRPr="00BC50C9" w:rsidRDefault="009A288C" w:rsidP="009A288C">
      <w:pPr>
        <w:pStyle w:val="00000"/>
      </w:pPr>
      <w:r w:rsidRPr="00BC50C9">
        <w:rPr>
          <w:rtl/>
        </w:rPr>
        <w:lastRenderedPageBreak/>
        <w:t>مما سبق يمكن استنتاج أن تسعى المنصات الإلكترونية إلى تحقيق مجموعة من الأهداف الرئيسية التي تجعلها أدوات فعّالة في العصر الرقمي أولاً، تهدف إلى تسهيل الوصول إلى الخدمات والمنتجات والمعلومات بسرعة وكفاءة، مما يوفر الوقت والجهد على المستخدمين ثانيًا، تسهم في تعزيز التواصل بين الأفراد والمؤسسات، سواء عبر الحدود الجغرافية أو الثقافية، مما يعزز فرص التعاون وتبادل الخبرات ثالثًا، تهدف إلى تحسين تجربة المستخدم من خلال توفير واجهات سهلة الاستخدام وخدمات مخصصة تعتمد على تحليل البيانات والذكاء الاصطناعي</w:t>
      </w:r>
      <w:r w:rsidRPr="00BC50C9">
        <w:rPr>
          <w:rFonts w:hint="cs"/>
          <w:rtl/>
        </w:rPr>
        <w:t>،</w:t>
      </w:r>
      <w:r w:rsidRPr="00BC50C9">
        <w:rPr>
          <w:rtl/>
        </w:rPr>
        <w:t xml:space="preserve"> بالإضافة إلى ذلك، تسعى المنصات الإلكترونية إلى تعزيز الشفافية والكفاءة في العمليات المختلفة، سواء كانت تجارية أو تعليمية أو اجتماعية أخيرًا، تهدف إلى توفير فرص جديدة للأفراد والشركات، سواء من خلال توسيع نطاق الوصول إلى الأسواق أو تمكين الابتكار وريادة الأعمال.</w:t>
      </w:r>
    </w:p>
    <w:p w14:paraId="0B9DC508" w14:textId="712E3BBA" w:rsidR="009A288C" w:rsidRPr="00BC50C9" w:rsidRDefault="009A288C" w:rsidP="009A288C">
      <w:pPr>
        <w:pStyle w:val="113"/>
        <w:rPr>
          <w:rtl/>
        </w:rPr>
      </w:pPr>
      <w:bookmarkStart w:id="21" w:name="_Toc195456486"/>
      <w:r>
        <w:rPr>
          <w:rFonts w:hint="cs"/>
          <w:rtl/>
        </w:rPr>
        <w:t xml:space="preserve">4.3.1 </w:t>
      </w:r>
      <w:r w:rsidRPr="00BC50C9">
        <w:rPr>
          <w:rtl/>
        </w:rPr>
        <w:t>أهمية استخدام المنصات الإلكترونية</w:t>
      </w:r>
      <w:bookmarkEnd w:id="21"/>
    </w:p>
    <w:p w14:paraId="3E9C6C4B" w14:textId="77777777" w:rsidR="009A288C" w:rsidRPr="00BC50C9" w:rsidRDefault="009A288C" w:rsidP="00D43967">
      <w:pPr>
        <w:pStyle w:val="00000"/>
        <w:rPr>
          <w:rtl/>
        </w:rPr>
      </w:pPr>
      <w:r w:rsidRPr="00BC50C9">
        <w:rPr>
          <w:rtl/>
        </w:rPr>
        <w:t xml:space="preserve">ساهم التحول الرقمي في خلق بيئة ديناميكية ومثالية لريادة الأعمال، مما أدى إلى تمكين المبدعين وبروز جيل جديد من رواد الأعمال يتجاوز مفهوم الوظائف التقليدية وبفضل التقنيات الحديثة، أصبح هؤلاء الرواد قادرين على تطوير مشاريع مبتكرة تسهم بشكل فعّال في تعزيز الاقتصاد الرقمي، مما يفتح آفاقًا جديدة للنمو الاقتصادي والاجتماعي في عالم يتسم بالتغير السريع والابتكار المستمر؛ وهو ما تطرق إليه شحادة (2022، ص.39) حيث أدى التحول الرقمي إلى خلق بيئة مثالية لريادة الأعمال، مما يسهم في اكتشاف المبدعين وتشكيل جيل جديد من رواد الأعمال بعيدًا عن الوظائف التقليدية، كما تلعب التقنيات الحديثة دورًا مهمًا في تعزيز الاقتصاد الرقمي من خلال تطوير أعمال ومنتجات وخدمات جديدة، مما يسهم في بناء اقتصاد ذكي، وتركز التقنيات الرقمية على إدماج جميع فئات المجتمع في النظام المالي من خلال التمويل الرقمي وابتكارات التكنولوجيا المالية، مما يجعل ريادة الأعمال الرقمية والتحول الرقمي من القضايا الحديثة والمتزايدة الأهمية </w:t>
      </w:r>
    </w:p>
    <w:p w14:paraId="11F34F6B" w14:textId="77777777" w:rsidR="009A288C" w:rsidRPr="00BC50C9" w:rsidRDefault="009A288C" w:rsidP="00D43967">
      <w:pPr>
        <w:pStyle w:val="00000"/>
        <w:rPr>
          <w:rtl/>
        </w:rPr>
      </w:pPr>
      <w:r w:rsidRPr="00BC50C9">
        <w:rPr>
          <w:rtl/>
        </w:rPr>
        <w:t>وعليه أصبحت المنصات الإلكترونية من العناصر الأساسية التي تدعم وتطور المشاريع الحديثة؛ حيث تلعب دورًا مهمًا في:</w:t>
      </w:r>
    </w:p>
    <w:p w14:paraId="3E3A6B00" w14:textId="77777777" w:rsidR="009A288C" w:rsidRPr="00BC50C9" w:rsidRDefault="009A288C">
      <w:pPr>
        <w:numPr>
          <w:ilvl w:val="0"/>
          <w:numId w:val="13"/>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تحسين الإدارة والتخطيط:</w:t>
      </w:r>
      <w:r w:rsidRPr="00BC50C9">
        <w:rPr>
          <w:rFonts w:ascii="Times New Roman" w:eastAsia="Calibri" w:hAnsi="Times New Roman" w:cs="Simplified Arabic"/>
          <w:kern w:val="2"/>
          <w:sz w:val="24"/>
          <w:szCs w:val="28"/>
          <w:rtl/>
          <w14:ligatures w14:val="standardContextual"/>
        </w:rPr>
        <w:t xml:space="preserve"> تقدم المنصات أدوات متطورة لتنظيم العمليات ومتابعة سير العمل بدقة وكفاءة.  </w:t>
      </w:r>
    </w:p>
    <w:p w14:paraId="6227C281" w14:textId="77777777" w:rsidR="009A288C" w:rsidRPr="00BC50C9" w:rsidRDefault="009A288C">
      <w:pPr>
        <w:numPr>
          <w:ilvl w:val="0"/>
          <w:numId w:val="13"/>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 xml:space="preserve">تعزيز سرعة اتخاذ القرار: </w:t>
      </w:r>
      <w:r w:rsidRPr="00BC50C9">
        <w:rPr>
          <w:rFonts w:ascii="Times New Roman" w:eastAsia="Calibri" w:hAnsi="Times New Roman" w:cs="Simplified Arabic"/>
          <w:kern w:val="2"/>
          <w:sz w:val="24"/>
          <w:szCs w:val="28"/>
          <w:rtl/>
          <w14:ligatures w14:val="standardContextual"/>
        </w:rPr>
        <w:t xml:space="preserve">توفر بيانات فورية ودقيقة، مما يساعد في اتخاذ قرارات مستنيرة بشكل أسرع.  </w:t>
      </w:r>
    </w:p>
    <w:p w14:paraId="2A5DB119" w14:textId="77777777" w:rsidR="009A288C" w:rsidRPr="00BC50C9" w:rsidRDefault="009A288C">
      <w:pPr>
        <w:numPr>
          <w:ilvl w:val="0"/>
          <w:numId w:val="13"/>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رفع الكفاءة التشغيلية:</w:t>
      </w:r>
      <w:r w:rsidRPr="00BC50C9">
        <w:rPr>
          <w:rFonts w:ascii="Times New Roman" w:eastAsia="Calibri" w:hAnsi="Times New Roman" w:cs="Simplified Arabic"/>
          <w:kern w:val="2"/>
          <w:sz w:val="24"/>
          <w:szCs w:val="28"/>
          <w:rtl/>
          <w14:ligatures w14:val="standardContextual"/>
        </w:rPr>
        <w:t xml:space="preserve"> تساهم في تقليل التكاليف وزيادة الإنتاجية من خلال الأتمتة وإدارة الموارد بشكل فعال.  </w:t>
      </w:r>
    </w:p>
    <w:p w14:paraId="675FC493" w14:textId="77777777" w:rsidR="009A288C" w:rsidRPr="00BC50C9" w:rsidRDefault="009A288C">
      <w:pPr>
        <w:numPr>
          <w:ilvl w:val="0"/>
          <w:numId w:val="13"/>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تعزيز الشفافية والمساءلة:</w:t>
      </w:r>
      <w:r w:rsidRPr="00BC50C9">
        <w:rPr>
          <w:rFonts w:ascii="Times New Roman" w:eastAsia="Calibri" w:hAnsi="Times New Roman" w:cs="Simplified Arabic"/>
          <w:kern w:val="2"/>
          <w:sz w:val="24"/>
          <w:szCs w:val="28"/>
          <w:rtl/>
          <w14:ligatures w14:val="standardContextual"/>
        </w:rPr>
        <w:t xml:space="preserve"> توفر آليات لمتابعة التقدم وتقديم الملاحظات، مما يعزز الثقة بين المؤسسات والمجتمع.  </w:t>
      </w:r>
    </w:p>
    <w:p w14:paraId="600539F4" w14:textId="77777777" w:rsidR="009A288C" w:rsidRPr="00BC50C9" w:rsidRDefault="009A288C">
      <w:pPr>
        <w:numPr>
          <w:ilvl w:val="0"/>
          <w:numId w:val="13"/>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lastRenderedPageBreak/>
        <w:t>دعم الابتكار والتطوير:</w:t>
      </w:r>
      <w:r w:rsidRPr="00BC50C9">
        <w:rPr>
          <w:rFonts w:ascii="Times New Roman" w:eastAsia="Calibri" w:hAnsi="Times New Roman" w:cs="Simplified Arabic"/>
          <w:kern w:val="2"/>
          <w:sz w:val="24"/>
          <w:szCs w:val="28"/>
          <w:rtl/>
          <w14:ligatures w14:val="standardContextual"/>
        </w:rPr>
        <w:t xml:space="preserve"> تساعد في تبني أحدث التقنيات وتحفيز الابتكار في مختلف المجالات (صباح، 2024، ص.172).</w:t>
      </w:r>
    </w:p>
    <w:p w14:paraId="438D3DD3" w14:textId="77777777" w:rsidR="009A288C" w:rsidRPr="00BC50C9" w:rsidRDefault="009A288C" w:rsidP="00D43967">
      <w:pPr>
        <w:pStyle w:val="00000"/>
      </w:pPr>
      <w:r w:rsidRPr="00BC50C9">
        <w:rPr>
          <w:rtl/>
        </w:rPr>
        <w:t>كما أشار "جاك وآخرون"(</w:t>
      </w:r>
      <w:r w:rsidRPr="00BC50C9">
        <w:t>Jaque et al., 2018, P.4</w:t>
      </w:r>
      <w:r w:rsidRPr="00BC50C9">
        <w:rPr>
          <w:rtl/>
        </w:rPr>
        <w:t>) إلى أنه تُتيح مجموعة واسعة من المنصات إمكانياتٍ لتنويع ليس فقط أشكال الأعمال، بل أيضًا أشكالًا جديدة من التواصل بين أصحاب العمل والعمال، ويتمثل التغيير النوعي الأهم في إمكانية العمل الحر، وتتمثل أهمية استخدام المنصات الإلكترونية في:</w:t>
      </w:r>
    </w:p>
    <w:p w14:paraId="1C89AEF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الإمكانيات المرنة التي تُوفرها المنصات فيما يتعلق بتكييف وإعادة تنظيم العلاقات التقليدية بين أصحاب العمل والعمال</w:t>
      </w:r>
    </w:p>
    <w:p w14:paraId="690A992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الخدمات عن بُعد، والتي قد تُؤدي إلى نقل هذه الخدمات إلى الخارج وتغيير أسواق العمل المحلية</w:t>
      </w:r>
    </w:p>
    <w:p w14:paraId="56A2D31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إمكانية زيادة المنافسة من خلال إزالة الحواجز، مما سيؤثر حتمًا على ظروف العمل والأجور</w:t>
      </w:r>
    </w:p>
    <w:p w14:paraId="3F8A378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تُعزز آليات السمعة التي تستخدمها المنصات تطوير سوق العمل نفسه</w:t>
      </w:r>
    </w:p>
    <w:p w14:paraId="348246FC"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يُمكن للمنصات تعزيز التمييز بين أنواع الأعمال حسب طابعها، للفصل بين الأعمال الإبداعية والماهرة والأعمال غير الماهرة</w:t>
      </w:r>
    </w:p>
    <w:p w14:paraId="04EA09D1" w14:textId="77777777" w:rsidR="009A288C" w:rsidRPr="00BC50C9" w:rsidRDefault="009A288C" w:rsidP="00D43967">
      <w:pPr>
        <w:bidi/>
        <w:spacing w:before="120" w:after="120" w:line="240" w:lineRule="auto"/>
        <w:jc w:val="both"/>
        <w:rPr>
          <w:rFonts w:ascii="Times New Roman" w:eastAsia="Calibri" w:hAnsi="Times New Roman" w:cs="Simplified Arabic"/>
          <w:sz w:val="24"/>
          <w:szCs w:val="28"/>
          <w:rtl/>
        </w:rPr>
      </w:pPr>
      <w:r w:rsidRPr="00BC50C9">
        <w:rPr>
          <w:rFonts w:ascii="Times New Roman" w:eastAsia="Calibri" w:hAnsi="Times New Roman" w:cs="Simplified Arabic"/>
          <w:sz w:val="24"/>
          <w:szCs w:val="28"/>
          <w:rtl/>
        </w:rPr>
        <w:t>وعليه أصبحت المنصات الرقمية جزءًا لا يتجزأ من العالم الرقمي؛ حيث تؤدي دورًا حيويًا في:</w:t>
      </w:r>
    </w:p>
    <w:p w14:paraId="2187495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تعزيز التعاون والتفاعل بين المستخدمين ومزودي الخدمات، مما يسهل تبادل المعلومات والخبرات بشكل أكثر فعالية.  </w:t>
      </w:r>
    </w:p>
    <w:p w14:paraId="5E15E4E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توسيع نطاق الخدمات ليشمل التراسل البسيط، المحتوى الرقمي، الإعلانات، المتاجر الإلكترونية، والمحافظ الرقمية.  </w:t>
      </w:r>
    </w:p>
    <w:p w14:paraId="08FB384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تمكين المشاريع الريادية من خلال توفير بيئة رقمية تسهل وصولهم إلى الأسواق والعملاء.  </w:t>
      </w:r>
    </w:p>
    <w:p w14:paraId="28AAC4C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تحفيز الابتكار والتطور من خلال تقديم حلول جديدة تعتمد على التكنولوجيا الحديثة.  </w:t>
      </w:r>
    </w:p>
    <w:p w14:paraId="3A4BB69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دعم الاقتصاد الرقمي من خلال تحسين كفاءة العمليات التجارية وتيسير الوصول إلى الخدمات (مركز الأهرامات للدراسات السياسية والاستراتيجية، 2024). </w:t>
      </w:r>
    </w:p>
    <w:p w14:paraId="05A9D1AC" w14:textId="77777777" w:rsidR="009A288C" w:rsidRPr="00BC50C9" w:rsidRDefault="009A288C" w:rsidP="00D43967">
      <w:pPr>
        <w:pStyle w:val="00000"/>
        <w:rPr>
          <w:rtl/>
        </w:rPr>
      </w:pPr>
      <w:r w:rsidRPr="00BC50C9">
        <w:rPr>
          <w:rtl/>
        </w:rPr>
        <w:t xml:space="preserve">وبالتالي تظهر أهمية المنصات الرقمية من خلال النقاط التالية (نسرين والجمعي، 2024، ص.350): </w:t>
      </w:r>
    </w:p>
    <w:p w14:paraId="5EDD7A24"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أتاحَت فرصًا واسعة للفئات المبتكرة للتعبير عن آرائها ونقل أفكارها إلى الجماهير في جميع أنحاء العالم.</w:t>
      </w:r>
    </w:p>
    <w:p w14:paraId="71A39BE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ساهمت هذه المنصات في إزالة الحواجز الجغرافية واللغوية، مما جعل التواصل أسهل بين الثقافات المختلفة.</w:t>
      </w:r>
    </w:p>
    <w:p w14:paraId="2CA1E60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أدت إلى ظهور جيل جديد من المستخدمين الرقميين الذين يؤمنون بأهمية التفاعل والتواصل والمشاركة في مواجهة التحديات التي تواجههم.</w:t>
      </w:r>
    </w:p>
    <w:p w14:paraId="5A02A263"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تمكنت المنصات الرقمية من تجاوز الأزمات والأوبئة والحروب، مقدمة خدماتها لمستخدميها دون الحاجة إلى التنقل.</w:t>
      </w:r>
    </w:p>
    <w:p w14:paraId="321C95D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 xml:space="preserve">وفرت هذه المنصات مساحة كافية لمستخدميها للتعبير عن آرائهم من خلال </w:t>
      </w:r>
      <w:proofErr w:type="gramStart"/>
      <w:r w:rsidRPr="00BC50C9">
        <w:rPr>
          <w:rFonts w:ascii="Times New Roman" w:eastAsia="Calibri" w:hAnsi="Times New Roman" w:cs="Simplified Arabic"/>
          <w:kern w:val="2"/>
          <w:sz w:val="24"/>
          <w:szCs w:val="28"/>
          <w:rtl/>
          <w14:ligatures w14:val="standardContextual"/>
        </w:rPr>
        <w:t>النقد</w:t>
      </w:r>
      <w:proofErr w:type="gramEnd"/>
      <w:r w:rsidRPr="00BC50C9">
        <w:rPr>
          <w:rFonts w:ascii="Times New Roman" w:eastAsia="Calibri" w:hAnsi="Times New Roman" w:cs="Simplified Arabic"/>
          <w:kern w:val="2"/>
          <w:sz w:val="24"/>
          <w:szCs w:val="28"/>
          <w:rtl/>
          <w14:ligatures w14:val="standardContextual"/>
        </w:rPr>
        <w:t xml:space="preserve"> والتعليق والمشاركة والتفاعل.</w:t>
      </w:r>
    </w:p>
    <w:p w14:paraId="0DAE40B1" w14:textId="77777777" w:rsidR="009A288C" w:rsidRPr="00BC50C9" w:rsidRDefault="009A288C" w:rsidP="00D43967">
      <w:pPr>
        <w:pStyle w:val="00000"/>
      </w:pPr>
      <w:r w:rsidRPr="00BC50C9">
        <w:rPr>
          <w:rtl/>
        </w:rPr>
        <w:t xml:space="preserve">وعلاوة على ذلك ظهرت العديد من منصات التواصل الاجتماعي على شبكة الإنترنت في العقد الأول من الألفية الثالثة، مما ساهم في جذب عدد كبير من المستخدمين والمشتركين، وقد اهتمت هذه المواقع بشكل خاص بإقامة علاقات بين الأفراد وتعزيزها، مما أتاح لهم تبادل الخبرات والمعارف، وأهمية هذه المنصات تكمن في (ماضي </w:t>
      </w:r>
      <w:proofErr w:type="spellStart"/>
      <w:r w:rsidRPr="00BC50C9">
        <w:rPr>
          <w:rtl/>
        </w:rPr>
        <w:t>وبوشريط</w:t>
      </w:r>
      <w:proofErr w:type="spellEnd"/>
      <w:r w:rsidRPr="00BC50C9">
        <w:rPr>
          <w:rtl/>
        </w:rPr>
        <w:t xml:space="preserve"> وسعادة، 2023، ص.39-40):</w:t>
      </w:r>
    </w:p>
    <w:p w14:paraId="70F46E03" w14:textId="77777777" w:rsidR="009A288C" w:rsidRPr="00BC50C9" w:rsidRDefault="009A288C">
      <w:pPr>
        <w:numPr>
          <w:ilvl w:val="0"/>
          <w:numId w:val="18"/>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تمكين المستخدم من التعرف على مشتركين وأعضاء آخرين يشاركونه اهتمامات ومصالح مشابهة، مما يعزز قدرته على تحقيق أهدافه ومصالحه.</w:t>
      </w:r>
    </w:p>
    <w:p w14:paraId="6C2D4D44" w14:textId="77777777" w:rsidR="009A288C" w:rsidRPr="00BC50C9" w:rsidRDefault="009A288C">
      <w:pPr>
        <w:numPr>
          <w:ilvl w:val="0"/>
          <w:numId w:val="18"/>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إمكانية التواصل مع عدة أعضاء في الوقت نفسه.</w:t>
      </w:r>
    </w:p>
    <w:p w14:paraId="20FA245D" w14:textId="77777777" w:rsidR="009A288C" w:rsidRPr="00BC50C9" w:rsidRDefault="009A288C">
      <w:pPr>
        <w:numPr>
          <w:ilvl w:val="0"/>
          <w:numId w:val="18"/>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نقل الأخبار والمعلومات بشكل سريع وفعال.</w:t>
      </w:r>
    </w:p>
    <w:p w14:paraId="3751C499" w14:textId="77777777" w:rsidR="009A288C" w:rsidRPr="00BC50C9" w:rsidRDefault="009A288C">
      <w:pPr>
        <w:numPr>
          <w:ilvl w:val="0"/>
          <w:numId w:val="18"/>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توفير المعلومات والأخبار بتكلفة منخفضة وفي وقت قصير.</w:t>
      </w:r>
    </w:p>
    <w:p w14:paraId="56EFFFFE" w14:textId="77777777" w:rsidR="009A288C" w:rsidRPr="00BC50C9" w:rsidRDefault="009A288C">
      <w:pPr>
        <w:numPr>
          <w:ilvl w:val="0"/>
          <w:numId w:val="18"/>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استخدام منصات التواصل الاجتماعي في الأنشطة التسويقية والشرائية للسلع والمنتجات.</w:t>
      </w:r>
    </w:p>
    <w:p w14:paraId="503C8804" w14:textId="77777777" w:rsidR="009A288C" w:rsidRPr="00BC50C9" w:rsidRDefault="009A288C" w:rsidP="00D43967">
      <w:pPr>
        <w:pStyle w:val="00000"/>
      </w:pPr>
      <w:r w:rsidRPr="00BC50C9">
        <w:rPr>
          <w:rtl/>
        </w:rPr>
        <w:t>بناء على ما سبق يمكن التطرق إلى أن تُعد المنصات الإلكترونية من الأدوات الحيوية في العصر الرقمي، حيث تلعب دورًا محوريًا في تسهيل العمليات اليومية وتعزيز الكفاءة في مختلف المجالات أهميتها تكمن في قدرتها على تبسيط الوصول إلى الخدمات والمنتجات والمعلومات، مما يوفر الوقت والجهد على المستخدمين بالإضافة إلى ذلك، تُسهم هذه المنصات في تعزيز التواصل بين الأفراد والمؤسسات، مما يخلق فرصًا جديدة للتعاون وتبادل الخبرات كما أنها تُعد وسيلة فعّالة لجذب الاستثمارات وتمويل المشاريع، خاصة في ظل التحول الرقمي الذي يشهده العالم</w:t>
      </w:r>
      <w:r w:rsidRPr="00BC50C9">
        <w:t>.</w:t>
      </w:r>
    </w:p>
    <w:p w14:paraId="3D3AEC00" w14:textId="0F028FA8" w:rsidR="009A288C" w:rsidRPr="00BC50C9" w:rsidRDefault="00D43967" w:rsidP="00D43967">
      <w:pPr>
        <w:pStyle w:val="113"/>
        <w:rPr>
          <w:rtl/>
        </w:rPr>
      </w:pPr>
      <w:bookmarkStart w:id="22" w:name="_Toc195456487"/>
      <w:r>
        <w:rPr>
          <w:rFonts w:hint="cs"/>
          <w:rtl/>
        </w:rPr>
        <w:t xml:space="preserve">5.3.1 </w:t>
      </w:r>
      <w:r w:rsidR="009A288C" w:rsidRPr="00BC50C9">
        <w:rPr>
          <w:rtl/>
        </w:rPr>
        <w:t>أنواع المنصات الإلكترونية</w:t>
      </w:r>
      <w:bookmarkEnd w:id="22"/>
    </w:p>
    <w:p w14:paraId="187CA115" w14:textId="77777777" w:rsidR="009A288C" w:rsidRPr="00BC50C9" w:rsidRDefault="009A288C" w:rsidP="00D43967">
      <w:pPr>
        <w:pStyle w:val="00000"/>
      </w:pPr>
      <w:r w:rsidRPr="00BC50C9">
        <w:rPr>
          <w:rtl/>
        </w:rPr>
        <w:t>توفر المنصات الإلكترونية فرصًا تجارية كبيرة، كما تمكّن من إنشاء أنظمة بيئية للأعمال تسهم في توليد القيمة يمكن أن تتخذ هذه الأنظمة أشكالًا متنوعة، بدءًا من الأسواق البسيطة التي تتفاعل فيها أطراف البيع والشراء، وصولًا إلى أنظمة أكثر تعقيدًا حيث يقوم المطورون بإنشاء تطبيقات وأدوات تخدم مستخدمين آخرين؛ وهو ما تطرق إليه "</w:t>
      </w:r>
      <w:proofErr w:type="spellStart"/>
      <w:r w:rsidRPr="00BC50C9">
        <w:rPr>
          <w:rtl/>
        </w:rPr>
        <w:t>زوتشي</w:t>
      </w:r>
      <w:proofErr w:type="spellEnd"/>
      <w:r w:rsidRPr="00BC50C9">
        <w:rPr>
          <w:rtl/>
        </w:rPr>
        <w:t xml:space="preserve"> </w:t>
      </w:r>
      <w:proofErr w:type="spellStart"/>
      <w:r w:rsidRPr="00BC50C9">
        <w:rPr>
          <w:rtl/>
        </w:rPr>
        <w:t>وجريلو</w:t>
      </w:r>
      <w:proofErr w:type="spellEnd"/>
      <w:r w:rsidRPr="00BC50C9">
        <w:rPr>
          <w:rtl/>
        </w:rPr>
        <w:t xml:space="preserve">" </w:t>
      </w:r>
      <w:r w:rsidRPr="00BC50C9">
        <w:t>Zutshi &amp; Grilo, 2019, P.2)</w:t>
      </w:r>
      <w:r w:rsidRPr="00BC50C9">
        <w:rPr>
          <w:rtl/>
        </w:rPr>
        <w:t>) حيث تُتيح المنصات الالكترونية فرصًا تجاريةً واسعةً، وتتيح إنشاء أنظمة بيئية للأعمال تُسهم في خلق القيمة، قد يكون ذلك على شكل سوق يتفاعل فيه البائعون والمشترون، أو أنظمة بيئية أكثر تعقيدًا، حيث يُنشئ المطورون تطبيقات وأدوات لمستخدمين آخرين، كما تتيح المنصة الرقمية التفاعل وتبادل المعلومات أو المنتجات أو التمويل بين مستخدميها، بهدف توفير قيمة لهم، وتُعرف المنصات التي يتفاعل فيها نوع واحد فقط من المستخدمين مع بعضهم البعض باسم المنصات أحادية الجانب، مثل فيسبوك أو يوتيوب، وغالبًا ما يُشار إليها بمنصات "من المستهلك إلى المستهلك" (</w:t>
      </w:r>
      <w:r w:rsidRPr="00BC50C9">
        <w:t>C2C</w:t>
      </w:r>
      <w:r w:rsidRPr="00BC50C9">
        <w:rPr>
          <w:rtl/>
        </w:rPr>
        <w:t xml:space="preserve">)، وعندما تتفاعل الشركات مع المستهلكين، تُعرف هذه المنصات </w:t>
      </w:r>
      <w:r w:rsidRPr="00BC50C9">
        <w:rPr>
          <w:rtl/>
        </w:rPr>
        <w:lastRenderedPageBreak/>
        <w:t>بمنصة "من شركة إلى مستهلك" (</w:t>
      </w:r>
      <w:r w:rsidRPr="00BC50C9">
        <w:t>B2C</w:t>
      </w:r>
      <w:r w:rsidRPr="00BC50C9">
        <w:rPr>
          <w:rtl/>
        </w:rPr>
        <w:t>)، بينما تُعرف هذه المنصات عند تفاعلها مع شركات أخرى بمنصة "من شركة إلى شركة" (</w:t>
      </w:r>
      <w:r w:rsidRPr="00BC50C9">
        <w:t>B2B</w:t>
      </w:r>
      <w:r w:rsidRPr="00BC50C9">
        <w:rPr>
          <w:rtl/>
        </w:rPr>
        <w:t>).</w:t>
      </w:r>
    </w:p>
    <w:p w14:paraId="003C5762" w14:textId="77777777" w:rsidR="009A288C" w:rsidRPr="00BC50C9" w:rsidRDefault="009A288C" w:rsidP="00D43967">
      <w:pPr>
        <w:pStyle w:val="00000"/>
        <w:rPr>
          <w:rtl/>
        </w:rPr>
      </w:pPr>
      <w:r w:rsidRPr="00BC50C9">
        <w:rPr>
          <w:rtl/>
        </w:rPr>
        <w:t>وهناك نوعان مختلفان من المنصات؛ المنصة الداخلية والمنصة الخارجية: تُوصف المنصة الداخلية بأنها: الشبكة التي يتم من خلالها نشر الأخبار حول تطوير منتجات جديدة وابتكار تدريجي حول مكونات أو تقنيات قابلة لإعادة الاستخدام، ونشير إلى هذه بالمنصات الداخلية، حيث يُمكن للشركة، سواءً بالعمل بمفردها أو مع الموردين، بناء مجموعة من المنتجات أو مجموعات من الميزات الجديدة ذات الصلة من خلال نشر هذه المكونات، بينما  تُوصف المنصة الخارجية بأنها  المواقع التي تهدف التي نشر أحدث التطورات حول المنتجات أو الخدمات أو التقنيات التي تُطورها شركة واحدة أو أكثر، والتي تُشكل أسسًا يُمكن لعدد أكبر من الشركات من خلالها بناء المزيد من الابتكارات التكميلية، وربما توليد تأثيرات شبكية</w:t>
      </w:r>
      <w:r w:rsidRPr="00BC50C9">
        <w:t xml:space="preserve"> </w:t>
      </w:r>
      <w:proofErr w:type="spellStart"/>
      <w:r w:rsidRPr="00BC50C9">
        <w:t>Lögdal</w:t>
      </w:r>
      <w:proofErr w:type="spellEnd"/>
      <w:r w:rsidRPr="00BC50C9">
        <w:t xml:space="preserve"> &amp; </w:t>
      </w:r>
      <w:proofErr w:type="spellStart"/>
      <w:r w:rsidRPr="00BC50C9">
        <w:t>Calissendorff</w:t>
      </w:r>
      <w:proofErr w:type="spellEnd"/>
      <w:r w:rsidRPr="00BC50C9">
        <w:t>, 2018, P.6)</w:t>
      </w:r>
      <w:r w:rsidRPr="00BC50C9">
        <w:rPr>
          <w:rtl/>
        </w:rPr>
        <w:t>).</w:t>
      </w:r>
    </w:p>
    <w:p w14:paraId="25F0F949" w14:textId="77777777" w:rsidR="009A288C" w:rsidRPr="00BC50C9" w:rsidRDefault="009A288C" w:rsidP="00D43967">
      <w:pPr>
        <w:pStyle w:val="00000"/>
      </w:pPr>
      <w:r w:rsidRPr="00BC50C9">
        <w:rPr>
          <w:rtl/>
        </w:rPr>
        <w:t>حيث توجد أنواع متعددة من المنصات الإلكترونية، ومن أبرزها (الجامعة المستنصرية، 2021، ص.2-3):</w:t>
      </w:r>
    </w:p>
    <w:p w14:paraId="28981F38" w14:textId="77777777" w:rsidR="009A288C" w:rsidRPr="00BC50C9" w:rsidRDefault="009A288C">
      <w:pPr>
        <w:numPr>
          <w:ilvl w:val="0"/>
          <w:numId w:val="14"/>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العامة (البوابات الأفقية):</w:t>
      </w:r>
      <w:r w:rsidRPr="00BC50C9">
        <w:rPr>
          <w:rFonts w:ascii="Times New Roman" w:eastAsia="Calibri" w:hAnsi="Times New Roman" w:cs="Simplified Arabic"/>
          <w:kern w:val="2"/>
          <w:sz w:val="24"/>
          <w:szCs w:val="28"/>
          <w:rtl/>
          <w14:ligatures w14:val="standardContextual"/>
        </w:rPr>
        <w:t xml:space="preserve"> تُستخدم هذه المنصات من قبل جميع رواد الإنترنت، حيث تقدم معلومات عامة وتحتوي على روابط متعددة، ومن أهم هذه المنصات هي تلك التي تقدم خدمات الاتصال والبحث، وأشهرها بالطبع محرك البحث "جوجل".</w:t>
      </w:r>
    </w:p>
    <w:p w14:paraId="6EF263F5" w14:textId="77777777" w:rsidR="009A288C" w:rsidRPr="00BC50C9" w:rsidRDefault="009A288C">
      <w:pPr>
        <w:numPr>
          <w:ilvl w:val="0"/>
          <w:numId w:val="14"/>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المتخصصة (البوابات الرئيسية):</w:t>
      </w:r>
      <w:r w:rsidRPr="00BC50C9">
        <w:rPr>
          <w:rFonts w:ascii="Times New Roman" w:eastAsia="Calibri" w:hAnsi="Times New Roman" w:cs="Simplified Arabic"/>
          <w:kern w:val="2"/>
          <w:sz w:val="24"/>
          <w:szCs w:val="28"/>
          <w:rtl/>
          <w14:ligatures w14:val="standardContextual"/>
        </w:rPr>
        <w:t xml:space="preserve"> تستهدف هذه المنصات فئة محددة من مستخدمي الويب، ولا تكون موجهة للجميع، ومن الأمثلة البارزة على ذلك المنصات التي تقدم دورات تدريبية في مجالات معينة، أو المنصات الطبية، أو منصات العمل الحر.</w:t>
      </w:r>
    </w:p>
    <w:p w14:paraId="63F1AC2E" w14:textId="77777777" w:rsidR="009A288C" w:rsidRPr="00BC50C9" w:rsidRDefault="009A288C">
      <w:pPr>
        <w:numPr>
          <w:ilvl w:val="0"/>
          <w:numId w:val="14"/>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الحكومية (البوابة القطاعية والخدمية):</w:t>
      </w:r>
      <w:r w:rsidRPr="00BC50C9">
        <w:rPr>
          <w:rFonts w:ascii="Times New Roman" w:eastAsia="Calibri" w:hAnsi="Times New Roman" w:cs="Simplified Arabic"/>
          <w:kern w:val="2"/>
          <w:sz w:val="24"/>
          <w:szCs w:val="28"/>
          <w:rtl/>
          <w14:ligatures w14:val="standardContextual"/>
        </w:rPr>
        <w:t xml:space="preserve"> تُعرف أيضًا باسم بوابات أو منصات المؤسسات، وتشمل مؤسسات وشركات القطاعين العام والخاص، وتهدف هذه المنصات إلى تقديم خدمات تفاعلية ومعلومات للزوار، ومن أبرز الأمثلة عليها منصة "أبشر".</w:t>
      </w:r>
    </w:p>
    <w:p w14:paraId="49675C6B" w14:textId="77777777" w:rsidR="009A288C" w:rsidRPr="00BC50C9" w:rsidRDefault="009A288C">
      <w:pPr>
        <w:numPr>
          <w:ilvl w:val="0"/>
          <w:numId w:val="14"/>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منصة البوابات:</w:t>
      </w:r>
      <w:r w:rsidRPr="00BC50C9">
        <w:rPr>
          <w:rFonts w:ascii="Times New Roman" w:eastAsia="Calibri" w:hAnsi="Times New Roman" w:cs="Simplified Arabic"/>
          <w:kern w:val="2"/>
          <w:sz w:val="24"/>
          <w:szCs w:val="28"/>
          <w:rtl/>
          <w14:ligatures w14:val="standardContextual"/>
        </w:rPr>
        <w:t xml:space="preserve"> هي بوابة تعرض قائمة إرشادية ودليلًا إلكترونيًا يضم جميع البوابات والمنصات الأخرى، بالإضافة إلى بعض المواقع على شبكة الإنترنت.</w:t>
      </w:r>
    </w:p>
    <w:p w14:paraId="1D514A71" w14:textId="77777777" w:rsidR="009A288C" w:rsidRPr="00BC50C9" w:rsidRDefault="009A288C" w:rsidP="00D43967">
      <w:pPr>
        <w:bidi/>
        <w:spacing w:before="120" w:after="120" w:line="240" w:lineRule="auto"/>
        <w:jc w:val="both"/>
        <w:rPr>
          <w:rFonts w:ascii="Times New Roman" w:eastAsia="Calibri" w:hAnsi="Times New Roman" w:cs="Simplified Arabic"/>
          <w:sz w:val="24"/>
          <w:szCs w:val="28"/>
        </w:rPr>
      </w:pPr>
      <w:r w:rsidRPr="00BC50C9">
        <w:rPr>
          <w:rFonts w:ascii="Times New Roman" w:eastAsia="Calibri" w:hAnsi="Times New Roman" w:cs="Simplified Arabic"/>
          <w:sz w:val="24"/>
          <w:szCs w:val="28"/>
          <w:rtl/>
        </w:rPr>
        <w:t>كما توجد العديد من أنواع المنصات الرقمية التي تختلف في مجالاتها وتطبيقاتها، ومن أبرزها:</w:t>
      </w:r>
    </w:p>
    <w:p w14:paraId="52A19529" w14:textId="77777777" w:rsidR="009A288C" w:rsidRPr="00BC50C9" w:rsidRDefault="009A288C">
      <w:pPr>
        <w:numPr>
          <w:ilvl w:val="0"/>
          <w:numId w:val="1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منصات التجارة الإلكترونية:</w:t>
      </w:r>
      <w:r w:rsidRPr="00BC50C9">
        <w:rPr>
          <w:rFonts w:ascii="Times New Roman" w:eastAsia="Calibri" w:hAnsi="Times New Roman" w:cs="Simplified Arabic"/>
          <w:kern w:val="2"/>
          <w:sz w:val="24"/>
          <w:szCs w:val="28"/>
          <w:rtl/>
          <w14:ligatures w14:val="standardContextual"/>
        </w:rPr>
        <w:t xml:space="preserve"> تشمل المواقع التي تتيح للأفراد والشركات عرض وبيع المنتجات والخدمات عبر الإنترنت، مثل أمازون، </w:t>
      </w:r>
      <w:proofErr w:type="spellStart"/>
      <w:r w:rsidRPr="00BC50C9">
        <w:rPr>
          <w:rFonts w:ascii="Times New Roman" w:eastAsia="Calibri" w:hAnsi="Times New Roman" w:cs="Simplified Arabic"/>
          <w:kern w:val="2"/>
          <w:sz w:val="24"/>
          <w:szCs w:val="28"/>
          <w:rtl/>
          <w14:ligatures w14:val="standardContextual"/>
        </w:rPr>
        <w:t>إيباي</w:t>
      </w:r>
      <w:proofErr w:type="spellEnd"/>
      <w:r w:rsidRPr="00BC50C9">
        <w:rPr>
          <w:rFonts w:ascii="Times New Roman" w:eastAsia="Calibri" w:hAnsi="Times New Roman" w:cs="Simplified Arabic"/>
          <w:kern w:val="2"/>
          <w:sz w:val="24"/>
          <w:szCs w:val="28"/>
          <w:rtl/>
          <w14:ligatures w14:val="standardContextual"/>
        </w:rPr>
        <w:t xml:space="preserve">، </w:t>
      </w:r>
      <w:proofErr w:type="spellStart"/>
      <w:r w:rsidRPr="00BC50C9">
        <w:rPr>
          <w:rFonts w:ascii="Times New Roman" w:eastAsia="Calibri" w:hAnsi="Times New Roman" w:cs="Simplified Arabic"/>
          <w:kern w:val="2"/>
          <w:sz w:val="24"/>
          <w:szCs w:val="28"/>
          <w:rtl/>
          <w14:ligatures w14:val="standardContextual"/>
        </w:rPr>
        <w:t>وجوميا</w:t>
      </w:r>
      <w:proofErr w:type="spellEnd"/>
      <w:r w:rsidRPr="00BC50C9">
        <w:rPr>
          <w:rFonts w:ascii="Times New Roman" w:eastAsia="Calibri" w:hAnsi="Times New Roman" w:cs="Simplified Arabic"/>
          <w:kern w:val="2"/>
          <w:sz w:val="24"/>
          <w:szCs w:val="28"/>
          <w:rtl/>
          <w14:ligatures w14:val="standardContextual"/>
        </w:rPr>
        <w:t>.</w:t>
      </w:r>
    </w:p>
    <w:p w14:paraId="1BE42402" w14:textId="77777777" w:rsidR="009A288C" w:rsidRPr="00BC50C9" w:rsidRDefault="009A288C">
      <w:pPr>
        <w:numPr>
          <w:ilvl w:val="0"/>
          <w:numId w:val="1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منصات الشبكات الاجتماعية:</w:t>
      </w:r>
      <w:r w:rsidRPr="00BC50C9">
        <w:rPr>
          <w:rFonts w:ascii="Times New Roman" w:eastAsia="Calibri" w:hAnsi="Times New Roman" w:cs="Simplified Arabic"/>
          <w:kern w:val="2"/>
          <w:sz w:val="24"/>
          <w:szCs w:val="28"/>
          <w:rtl/>
          <w14:ligatures w14:val="standardContextual"/>
        </w:rPr>
        <w:t xml:space="preserve"> هي المواقع التي تتيح للمستخدمين التواصل والتفاعل مع بعضهم البعض عبر الإنترنت، مثل فيسبوك، تويتر، وإنستغرام.</w:t>
      </w:r>
    </w:p>
    <w:p w14:paraId="1A46199A" w14:textId="77777777" w:rsidR="009A288C" w:rsidRPr="00BC50C9" w:rsidRDefault="009A288C">
      <w:pPr>
        <w:numPr>
          <w:ilvl w:val="0"/>
          <w:numId w:val="1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منصات التعليم الإلكتروني:</w:t>
      </w:r>
      <w:r w:rsidRPr="00BC50C9">
        <w:rPr>
          <w:rFonts w:ascii="Times New Roman" w:eastAsia="Calibri" w:hAnsi="Times New Roman" w:cs="Simplified Arabic"/>
          <w:kern w:val="2"/>
          <w:sz w:val="24"/>
          <w:szCs w:val="28"/>
          <w:rtl/>
          <w14:ligatures w14:val="standardContextual"/>
        </w:rPr>
        <w:t xml:space="preserve"> توفر هذه المواقع دورات تعليمية ودروسًا عبر الإنترنت، مثل </w:t>
      </w:r>
      <w:proofErr w:type="spellStart"/>
      <w:r w:rsidRPr="00BC50C9">
        <w:rPr>
          <w:rFonts w:ascii="Times New Roman" w:eastAsia="Calibri" w:hAnsi="Times New Roman" w:cs="Simplified Arabic"/>
          <w:kern w:val="2"/>
          <w:sz w:val="24"/>
          <w:szCs w:val="28"/>
          <w:rtl/>
          <w14:ligatures w14:val="standardContextual"/>
        </w:rPr>
        <w:t>كورسيرا</w:t>
      </w:r>
      <w:proofErr w:type="spellEnd"/>
      <w:r w:rsidRPr="00BC50C9">
        <w:rPr>
          <w:rFonts w:ascii="Times New Roman" w:eastAsia="Calibri" w:hAnsi="Times New Roman" w:cs="Simplified Arabic"/>
          <w:kern w:val="2"/>
          <w:sz w:val="24"/>
          <w:szCs w:val="28"/>
          <w:rtl/>
          <w14:ligatures w14:val="standardContextual"/>
        </w:rPr>
        <w:t xml:space="preserve"> </w:t>
      </w:r>
      <w:proofErr w:type="spellStart"/>
      <w:r w:rsidRPr="00BC50C9">
        <w:rPr>
          <w:rFonts w:ascii="Times New Roman" w:eastAsia="Calibri" w:hAnsi="Times New Roman" w:cs="Simplified Arabic"/>
          <w:kern w:val="2"/>
          <w:sz w:val="24"/>
          <w:szCs w:val="28"/>
          <w:rtl/>
          <w14:ligatures w14:val="standardContextual"/>
        </w:rPr>
        <w:t>ويوديمي</w:t>
      </w:r>
      <w:proofErr w:type="spellEnd"/>
      <w:r w:rsidRPr="00BC50C9">
        <w:rPr>
          <w:rFonts w:ascii="Times New Roman" w:eastAsia="Calibri" w:hAnsi="Times New Roman" w:cs="Simplified Arabic"/>
          <w:kern w:val="2"/>
          <w:sz w:val="24"/>
          <w:szCs w:val="28"/>
          <w:rtl/>
          <w14:ligatures w14:val="standardContextual"/>
        </w:rPr>
        <w:t>.</w:t>
      </w:r>
    </w:p>
    <w:p w14:paraId="0E50D741" w14:textId="77777777" w:rsidR="009A288C" w:rsidRPr="00BC50C9" w:rsidRDefault="009A288C">
      <w:pPr>
        <w:numPr>
          <w:ilvl w:val="0"/>
          <w:numId w:val="1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lastRenderedPageBreak/>
        <w:t>منصات الحجوزات الإلكترونية:</w:t>
      </w:r>
      <w:r w:rsidRPr="00BC50C9">
        <w:rPr>
          <w:rFonts w:ascii="Times New Roman" w:eastAsia="Calibri" w:hAnsi="Times New Roman" w:cs="Simplified Arabic"/>
          <w:kern w:val="2"/>
          <w:sz w:val="24"/>
          <w:szCs w:val="28"/>
          <w:rtl/>
          <w14:ligatures w14:val="standardContextual"/>
        </w:rPr>
        <w:t xml:space="preserve"> تتيح للمستخدمين حجز الفنادق والرحلات والمواعيد الطبية عبر الإنترنت.</w:t>
      </w:r>
    </w:p>
    <w:p w14:paraId="4E5E95D4" w14:textId="77777777" w:rsidR="009A288C" w:rsidRPr="00BC50C9" w:rsidRDefault="009A288C">
      <w:pPr>
        <w:numPr>
          <w:ilvl w:val="0"/>
          <w:numId w:val="1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منصات البث المباشر:</w:t>
      </w:r>
      <w:r w:rsidRPr="00BC50C9">
        <w:rPr>
          <w:rFonts w:ascii="Times New Roman" w:eastAsia="Calibri" w:hAnsi="Times New Roman" w:cs="Simplified Arabic"/>
          <w:kern w:val="2"/>
          <w:sz w:val="24"/>
          <w:szCs w:val="28"/>
          <w:rtl/>
          <w14:ligatures w14:val="standardContextual"/>
        </w:rPr>
        <w:t xml:space="preserve"> تتيح للمستخدمين بث مقاطع الفيديو والصوت مباشرة على الإنترنت، مثل يوتيوب </w:t>
      </w:r>
      <w:proofErr w:type="spellStart"/>
      <w:r w:rsidRPr="00BC50C9">
        <w:rPr>
          <w:rFonts w:ascii="Times New Roman" w:eastAsia="Calibri" w:hAnsi="Times New Roman" w:cs="Simplified Arabic"/>
          <w:kern w:val="2"/>
          <w:sz w:val="24"/>
          <w:szCs w:val="28"/>
          <w:rtl/>
          <w14:ligatures w14:val="standardContextual"/>
        </w:rPr>
        <w:t>وتويتش</w:t>
      </w:r>
      <w:proofErr w:type="spellEnd"/>
      <w:r w:rsidRPr="00BC50C9">
        <w:rPr>
          <w:rFonts w:ascii="Times New Roman" w:eastAsia="Calibri" w:hAnsi="Times New Roman" w:cs="Simplified Arabic"/>
          <w:kern w:val="2"/>
          <w:sz w:val="24"/>
          <w:szCs w:val="28"/>
          <w:rtl/>
          <w14:ligatures w14:val="standardContextual"/>
        </w:rPr>
        <w:t xml:space="preserve"> </w:t>
      </w:r>
      <w:r w:rsidRPr="00BC50C9">
        <w:rPr>
          <w:rFonts w:ascii="Times New Roman" w:eastAsia="Calibri" w:hAnsi="Times New Roman" w:cs="Simplified Arabic"/>
          <w:kern w:val="2"/>
          <w:sz w:val="24"/>
          <w:szCs w:val="28"/>
          <w:rtl/>
          <w:lang w:bidi="ar-EG"/>
          <w14:ligatures w14:val="standardContextual"/>
        </w:rPr>
        <w:t>(تريكي، 2023، ص.47).</w:t>
      </w:r>
    </w:p>
    <w:p w14:paraId="1DA6CF38" w14:textId="77777777" w:rsidR="009A288C" w:rsidRPr="00BC50C9" w:rsidRDefault="009A288C" w:rsidP="00D43967">
      <w:pPr>
        <w:pStyle w:val="00000"/>
      </w:pPr>
      <w:r w:rsidRPr="00BC50C9">
        <w:rPr>
          <w:rtl/>
        </w:rPr>
        <w:t xml:space="preserve">وعليه تعتبر المنصات الرقمية عنصرًا حيويًا في الاقتصاد الرقمي المعاصر؛ حيث تتنوع أنواعها بناءً على وظائفها وآليات عملها، وعلى الرغم من وجود تصنيفات متعددة، إلا أنه لا يوجد توافق عالمي حول الطريقة المثلى لتقسيمها، مما يسبب بعض الالتباس في المفاهيم المرتبطة بها، ويمكن تصنيف المنصات الرقمية وفقًا لعدة معايير ذكرها </w:t>
      </w:r>
      <w:proofErr w:type="spellStart"/>
      <w:r w:rsidRPr="00BC50C9">
        <w:rPr>
          <w:rtl/>
        </w:rPr>
        <w:t>بومامش</w:t>
      </w:r>
      <w:proofErr w:type="spellEnd"/>
      <w:r w:rsidRPr="00BC50C9">
        <w:rPr>
          <w:rtl/>
        </w:rPr>
        <w:t xml:space="preserve"> </w:t>
      </w:r>
      <w:proofErr w:type="spellStart"/>
      <w:r w:rsidRPr="00BC50C9">
        <w:rPr>
          <w:rtl/>
        </w:rPr>
        <w:t>وبوكفوس</w:t>
      </w:r>
      <w:proofErr w:type="spellEnd"/>
      <w:r w:rsidRPr="00BC50C9">
        <w:rPr>
          <w:rtl/>
        </w:rPr>
        <w:t xml:space="preserve"> (2023، ص.7) كالتالي:</w:t>
      </w:r>
    </w:p>
    <w:p w14:paraId="23684BB8" w14:textId="77777777" w:rsidR="009A288C" w:rsidRPr="00BC50C9" w:rsidRDefault="009A288C">
      <w:pPr>
        <w:numPr>
          <w:ilvl w:val="0"/>
          <w:numId w:val="5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المنصات التشاركية:</w:t>
      </w:r>
      <w:r w:rsidRPr="00BC50C9">
        <w:rPr>
          <w:rFonts w:ascii="Times New Roman" w:eastAsia="Calibri" w:hAnsi="Times New Roman" w:cs="Simplified Arabic"/>
          <w:kern w:val="2"/>
          <w:sz w:val="24"/>
          <w:szCs w:val="28"/>
          <w:rtl/>
          <w14:ligatures w14:val="standardContextual"/>
        </w:rPr>
        <w:t xml:space="preserve"> التي تتيح للأفراد تبادل الخدمات والموارد، مثل منصات النقل المشترك والسكن التشاركي.</w:t>
      </w:r>
    </w:p>
    <w:p w14:paraId="732DAA68" w14:textId="77777777" w:rsidR="009A288C" w:rsidRPr="00BC50C9" w:rsidRDefault="009A288C">
      <w:pPr>
        <w:numPr>
          <w:ilvl w:val="0"/>
          <w:numId w:val="5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المنصات التجارية:</w:t>
      </w:r>
      <w:r w:rsidRPr="00BC50C9">
        <w:rPr>
          <w:rFonts w:ascii="Times New Roman" w:eastAsia="Calibri" w:hAnsi="Times New Roman" w:cs="Simplified Arabic"/>
          <w:kern w:val="2"/>
          <w:sz w:val="24"/>
          <w:szCs w:val="28"/>
          <w:rtl/>
          <w14:ligatures w14:val="standardContextual"/>
        </w:rPr>
        <w:t xml:space="preserve"> التي تسهل عمليات البيع والشراء، مثل التجارة الإلكترونية والتمويل الجماعي.</w:t>
      </w:r>
    </w:p>
    <w:p w14:paraId="39EF4C72" w14:textId="77777777" w:rsidR="009A288C" w:rsidRPr="00BC50C9" w:rsidRDefault="009A288C">
      <w:pPr>
        <w:numPr>
          <w:ilvl w:val="0"/>
          <w:numId w:val="5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المنصات حسب الطلب:</w:t>
      </w:r>
      <w:r w:rsidRPr="00BC50C9">
        <w:rPr>
          <w:rFonts w:ascii="Times New Roman" w:eastAsia="Calibri" w:hAnsi="Times New Roman" w:cs="Simplified Arabic"/>
          <w:kern w:val="2"/>
          <w:sz w:val="24"/>
          <w:szCs w:val="28"/>
          <w:rtl/>
          <w14:ligatures w14:val="standardContextual"/>
        </w:rPr>
        <w:t xml:space="preserve"> التي تربط العملاء بمقدمي الخدمات بشكل مباشر وفوري.</w:t>
      </w:r>
    </w:p>
    <w:p w14:paraId="2C548436" w14:textId="77777777" w:rsidR="009A288C" w:rsidRPr="00BC50C9" w:rsidRDefault="009A288C">
      <w:pPr>
        <w:numPr>
          <w:ilvl w:val="0"/>
          <w:numId w:val="5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المنصات الاقتصادية:</w:t>
      </w:r>
      <w:r w:rsidRPr="00BC50C9">
        <w:rPr>
          <w:rFonts w:ascii="Times New Roman" w:eastAsia="Calibri" w:hAnsi="Times New Roman" w:cs="Simplified Arabic"/>
          <w:kern w:val="2"/>
          <w:sz w:val="24"/>
          <w:szCs w:val="28"/>
          <w:rtl/>
          <w14:ligatures w14:val="standardContextual"/>
        </w:rPr>
        <w:t xml:space="preserve"> التي تدير نماذج أعمال رقمية تتعلق بالاقتصاد التشاركي أو التعاوني أو غيرها.</w:t>
      </w:r>
    </w:p>
    <w:p w14:paraId="4160DA71" w14:textId="77777777" w:rsidR="009A288C" w:rsidRPr="00BC50C9" w:rsidRDefault="009A288C" w:rsidP="00D43967">
      <w:pPr>
        <w:pStyle w:val="00000"/>
      </w:pPr>
      <w:r w:rsidRPr="00BC50C9">
        <w:rPr>
          <w:rtl/>
        </w:rPr>
        <w:t xml:space="preserve">وتوجد أنواع متعددة من المنصات الرقمية، والتي يمكن تصنيفها كما فسر </w:t>
      </w:r>
      <w:proofErr w:type="spellStart"/>
      <w:r w:rsidRPr="00BC50C9">
        <w:rPr>
          <w:rtl/>
        </w:rPr>
        <w:t>قيطون</w:t>
      </w:r>
      <w:proofErr w:type="spellEnd"/>
      <w:r w:rsidRPr="00BC50C9">
        <w:rPr>
          <w:rtl/>
        </w:rPr>
        <w:t xml:space="preserve"> وعمر وطوال (2022، ص.74-76) كالتالي: </w:t>
      </w:r>
    </w:p>
    <w:p w14:paraId="3BA8FE3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العامة:</w:t>
      </w:r>
      <w:r w:rsidRPr="00BC50C9">
        <w:rPr>
          <w:rFonts w:ascii="Times New Roman" w:eastAsia="Calibri" w:hAnsi="Times New Roman" w:cs="Simplified Arabic"/>
          <w:kern w:val="2"/>
          <w:sz w:val="24"/>
          <w:szCs w:val="28"/>
          <w:rtl/>
          <w14:ligatures w14:val="standardContextual"/>
        </w:rPr>
        <w:t xml:space="preserve"> تُعرف أيضًا بالبوابات الأفقية، وهي منصات تعرض معلومات عامة وتحتوي على روابط تشعبية تقود المستخدمين إلى مواقع أخرى، ومن أبرزها محرك البحث جوجل.</w:t>
      </w:r>
    </w:p>
    <w:p w14:paraId="5D2C48C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المتخصصة:</w:t>
      </w:r>
      <w:r w:rsidRPr="00BC50C9">
        <w:rPr>
          <w:rFonts w:ascii="Times New Roman" w:eastAsia="Calibri" w:hAnsi="Times New Roman" w:cs="Simplified Arabic"/>
          <w:kern w:val="2"/>
          <w:sz w:val="24"/>
          <w:szCs w:val="28"/>
          <w:rtl/>
          <w14:ligatures w14:val="standardContextual"/>
        </w:rPr>
        <w:t xml:space="preserve"> تُعتبر بوابة رئيسية موجهة لفئة معينة من مستخدمي الويب، مثل منصات تقديم الدورات التدريبية، وتقدم هذه المنصات معلومات متخصصة يتم إعدادها من قبل خبراء في المجال، مثل </w:t>
      </w:r>
      <w:proofErr w:type="spellStart"/>
      <w:r w:rsidRPr="00BC50C9">
        <w:rPr>
          <w:rFonts w:ascii="Times New Roman" w:eastAsia="Calibri" w:hAnsi="Times New Roman" w:cs="Simplified Arabic"/>
          <w:kern w:val="2"/>
          <w:sz w:val="24"/>
          <w:szCs w:val="28"/>
          <w:rtl/>
          <w14:ligatures w14:val="standardContextual"/>
        </w:rPr>
        <w:t>اختصاصيي</w:t>
      </w:r>
      <w:proofErr w:type="spellEnd"/>
      <w:r w:rsidRPr="00BC50C9">
        <w:rPr>
          <w:rFonts w:ascii="Times New Roman" w:eastAsia="Calibri" w:hAnsi="Times New Roman" w:cs="Simplified Arabic"/>
          <w:kern w:val="2"/>
          <w:sz w:val="24"/>
          <w:szCs w:val="28"/>
          <w:rtl/>
          <w14:ligatures w14:val="standardContextual"/>
        </w:rPr>
        <w:t xml:space="preserve"> المكتبات، وتستهدف فئات من الباحثين والدارسين المتخصصين، ومثال على ذلك هو البوابة الإلكترونية لجامعة الأمير سلطان بن عبد العزيز في السعودية التي احتلت المركز الأول عربيًا وفقًا لموقع </w:t>
      </w:r>
      <w:proofErr w:type="spellStart"/>
      <w:r w:rsidRPr="00BC50C9">
        <w:rPr>
          <w:rFonts w:ascii="Times New Roman" w:eastAsia="Calibri" w:hAnsi="Times New Roman" w:cs="Simplified Arabic"/>
          <w:kern w:val="2"/>
          <w:sz w:val="24"/>
          <w:szCs w:val="28"/>
          <w14:ligatures w14:val="standardContextual"/>
        </w:rPr>
        <w:t>Speedrank</w:t>
      </w:r>
      <w:proofErr w:type="spellEnd"/>
      <w:r w:rsidRPr="00BC50C9">
        <w:rPr>
          <w:rFonts w:ascii="Times New Roman" w:eastAsia="Calibri" w:hAnsi="Times New Roman" w:cs="Simplified Arabic"/>
          <w:kern w:val="2"/>
          <w:sz w:val="24"/>
          <w:szCs w:val="28"/>
          <w:rtl/>
          <w14:ligatures w14:val="standardContextual"/>
        </w:rPr>
        <w:t xml:space="preserve"> بناءً على اختبار أداء جوجل.</w:t>
      </w:r>
    </w:p>
    <w:p w14:paraId="06F2111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المنصة الحكومية:</w:t>
      </w:r>
      <w:r w:rsidRPr="00BC50C9">
        <w:rPr>
          <w:rFonts w:ascii="Times New Roman" w:eastAsia="Calibri" w:hAnsi="Times New Roman" w:cs="Simplified Arabic"/>
          <w:kern w:val="2"/>
          <w:sz w:val="24"/>
          <w:szCs w:val="28"/>
          <w:rtl/>
          <w14:ligatures w14:val="standardContextual"/>
        </w:rPr>
        <w:t xml:space="preserve"> تُعرف أيضًا بالبوابات القطاعية والخدمية، وهي منصات تابعة للمؤسسات الحكومية تهدف إلى تقديم خدمات تفاعلية، مثل منصة أبشر وبوابة مصر الرقمية، ويوضح الشكل التالي المنصات الإلكترونية:</w:t>
      </w:r>
    </w:p>
    <w:p w14:paraId="245FE314" w14:textId="27BD32C4" w:rsidR="009A288C" w:rsidRPr="00BC50C9" w:rsidRDefault="009A288C" w:rsidP="00150016">
      <w:pPr>
        <w:bidi/>
        <w:spacing w:before="120" w:after="120" w:line="240" w:lineRule="auto"/>
        <w:jc w:val="both"/>
        <w:rPr>
          <w:rFonts w:ascii="Times New Roman" w:eastAsia="Calibri" w:hAnsi="Times New Roman" w:cs="Simplified Arabic"/>
          <w:sz w:val="24"/>
          <w:szCs w:val="28"/>
          <w:rtl/>
        </w:rPr>
      </w:pPr>
      <w:r w:rsidRPr="00BC50C9">
        <w:rPr>
          <w:rFonts w:ascii="Times New Roman" w:eastAsia="Calibri" w:hAnsi="Times New Roman" w:cs="Simplified Arabic"/>
          <w:noProof/>
          <w:sz w:val="24"/>
          <w:szCs w:val="28"/>
          <w:rtl/>
        </w:rPr>
        <w:lastRenderedPageBreak/>
        <w:drawing>
          <wp:inline distT="0" distB="0" distL="0" distR="0" wp14:anchorId="4B9DD8C5" wp14:editId="5427D266">
            <wp:extent cx="5274310" cy="3835730"/>
            <wp:effectExtent l="0" t="0" r="2540" b="0"/>
            <wp:docPr id="1" name="صورة 1" descr="صورة تحتوي على نص, رسم بياني, خطة, لقطة شاشة&#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صورة تحتوي على نص, رسم بياني, خطة, لقطة شاشة&#10;&#10;قد يكون المحتوى المعد بواسطة الذكاء الاصطناعي غير صحيح."/>
                    <pic:cNvPicPr/>
                  </pic:nvPicPr>
                  <pic:blipFill>
                    <a:blip r:embed="rId12"/>
                    <a:stretch>
                      <a:fillRect/>
                    </a:stretch>
                  </pic:blipFill>
                  <pic:spPr>
                    <a:xfrm>
                      <a:off x="0" y="0"/>
                      <a:ext cx="5285480" cy="3843854"/>
                    </a:xfrm>
                    <a:prstGeom prst="rect">
                      <a:avLst/>
                    </a:prstGeom>
                  </pic:spPr>
                </pic:pic>
              </a:graphicData>
            </a:graphic>
          </wp:inline>
        </w:drawing>
      </w:r>
    </w:p>
    <w:p w14:paraId="6CAD9609" w14:textId="7F57A407" w:rsidR="00150016" w:rsidRPr="00150016" w:rsidRDefault="00150016" w:rsidP="00150016">
      <w:pPr>
        <w:pStyle w:val="33"/>
        <w:rPr>
          <w:rtl/>
        </w:rPr>
      </w:pPr>
      <w:bookmarkStart w:id="23" w:name="_Toc195456488"/>
      <w:r w:rsidRPr="00150016">
        <w:rPr>
          <w:rFonts w:hint="cs"/>
          <w:rtl/>
        </w:rPr>
        <w:t>شكل</w:t>
      </w:r>
      <w:r w:rsidR="009A288C" w:rsidRPr="00150016">
        <w:rPr>
          <w:rFonts w:hint="cs"/>
          <w:rtl/>
        </w:rPr>
        <w:t xml:space="preserve"> (</w:t>
      </w:r>
      <w:r w:rsidRPr="00150016">
        <w:rPr>
          <w:rFonts w:hint="cs"/>
          <w:rtl/>
        </w:rPr>
        <w:t>1-</w:t>
      </w:r>
      <w:r w:rsidR="0027679E">
        <w:rPr>
          <w:rFonts w:hint="cs"/>
          <w:rtl/>
        </w:rPr>
        <w:t>1</w:t>
      </w:r>
      <w:r w:rsidR="009A288C" w:rsidRPr="00150016">
        <w:rPr>
          <w:rFonts w:hint="cs"/>
          <w:rtl/>
        </w:rPr>
        <w:t>) توضح أنواع المنصات الإلكترونية</w:t>
      </w:r>
      <w:bookmarkEnd w:id="23"/>
      <w:r w:rsidR="009A288C" w:rsidRPr="00150016">
        <w:rPr>
          <w:rFonts w:hint="cs"/>
          <w:rtl/>
        </w:rPr>
        <w:t xml:space="preserve"> </w:t>
      </w:r>
    </w:p>
    <w:p w14:paraId="0D9729F8" w14:textId="20515EC6" w:rsidR="009A288C" w:rsidRPr="00BC50C9" w:rsidRDefault="009A288C" w:rsidP="00150016">
      <w:pPr>
        <w:bidi/>
        <w:spacing w:before="120" w:after="120" w:line="240" w:lineRule="auto"/>
        <w:jc w:val="center"/>
        <w:rPr>
          <w:rFonts w:ascii="Times New Roman" w:eastAsia="Calibri" w:hAnsi="Times New Roman" w:cs="Simplified Arabic"/>
          <w:b/>
          <w:bCs/>
          <w:sz w:val="24"/>
          <w:szCs w:val="28"/>
          <w:rtl/>
        </w:rPr>
      </w:pPr>
      <w:r w:rsidRPr="00BC50C9">
        <w:rPr>
          <w:rFonts w:ascii="Times New Roman" w:eastAsia="Calibri" w:hAnsi="Times New Roman" w:cs="Simplified Arabic" w:hint="cs"/>
          <w:b/>
          <w:bCs/>
          <w:sz w:val="24"/>
          <w:szCs w:val="28"/>
          <w:rtl/>
        </w:rPr>
        <w:t xml:space="preserve">(المصدر: </w:t>
      </w:r>
      <w:proofErr w:type="spellStart"/>
      <w:r w:rsidRPr="00BC50C9">
        <w:rPr>
          <w:rFonts w:ascii="Times New Roman" w:eastAsia="Calibri" w:hAnsi="Times New Roman" w:cs="Simplified Arabic"/>
          <w:b/>
          <w:bCs/>
          <w:sz w:val="24"/>
          <w:szCs w:val="28"/>
          <w:rtl/>
          <w:lang w:bidi="ar-EG"/>
        </w:rPr>
        <w:t>قيطون</w:t>
      </w:r>
      <w:proofErr w:type="spellEnd"/>
      <w:r w:rsidRPr="00BC50C9">
        <w:rPr>
          <w:rFonts w:ascii="Times New Roman" w:eastAsia="Calibri" w:hAnsi="Times New Roman" w:cs="Simplified Arabic"/>
          <w:b/>
          <w:bCs/>
          <w:sz w:val="24"/>
          <w:szCs w:val="28"/>
          <w:rtl/>
          <w:lang w:bidi="ar-EG"/>
        </w:rPr>
        <w:t xml:space="preserve"> وعمر وطوال 2022، ص.74-76</w:t>
      </w:r>
      <w:r w:rsidRPr="00BC50C9">
        <w:rPr>
          <w:rFonts w:ascii="Times New Roman" w:eastAsia="Calibri" w:hAnsi="Times New Roman" w:cs="Simplified Arabic" w:hint="cs"/>
          <w:b/>
          <w:bCs/>
          <w:sz w:val="24"/>
          <w:szCs w:val="28"/>
          <w:rtl/>
          <w:lang w:bidi="ar-EG"/>
        </w:rPr>
        <w:t>)</w:t>
      </w:r>
    </w:p>
    <w:p w14:paraId="7B31CF4E" w14:textId="77777777" w:rsidR="009A288C" w:rsidRPr="00BC50C9" w:rsidRDefault="009A288C" w:rsidP="00150016">
      <w:pPr>
        <w:pStyle w:val="00000"/>
      </w:pPr>
      <w:r w:rsidRPr="00BC50C9">
        <w:rPr>
          <w:rtl/>
        </w:rPr>
        <w:t xml:space="preserve">وبالتعقيب على ما تم ذكره يمكن استخلاص أن تتنوع المنصات الإلكترونية لتشمل مجموعة واسعة من الأنواع التي تلبي احتياجات مختلفة في العالم الرقمي من بين هذه الأنواع منصات التجارة الإلكترونية، التي تتيح للبائعين والمشترين التفاعل وتبادل السلع والخدمات، مثل أمازون </w:t>
      </w:r>
      <w:proofErr w:type="spellStart"/>
      <w:r w:rsidRPr="00BC50C9">
        <w:rPr>
          <w:rtl/>
        </w:rPr>
        <w:t>وإيباي</w:t>
      </w:r>
      <w:proofErr w:type="spellEnd"/>
      <w:r w:rsidRPr="00BC50C9">
        <w:rPr>
          <w:rtl/>
        </w:rPr>
        <w:t xml:space="preserve"> هناك أيضًا منصات التواصل الاجتماعي، مثل فيسبوك وتويتر، التي تركز على بناء الشبكات الاجتماعية وتبادل المحتوى بين المستخدمين بالإضافة إلى ذلك، توجد منصات التعليم الإلكتروني، مثل </w:t>
      </w:r>
      <w:proofErr w:type="spellStart"/>
      <w:r w:rsidRPr="00BC50C9">
        <w:rPr>
          <w:rtl/>
        </w:rPr>
        <w:t>كورسيرا</w:t>
      </w:r>
      <w:proofErr w:type="spellEnd"/>
      <w:r w:rsidRPr="00BC50C9">
        <w:rPr>
          <w:rtl/>
        </w:rPr>
        <w:t xml:space="preserve"> </w:t>
      </w:r>
      <w:proofErr w:type="spellStart"/>
      <w:r w:rsidRPr="00BC50C9">
        <w:rPr>
          <w:rtl/>
        </w:rPr>
        <w:t>ويوديمي</w:t>
      </w:r>
      <w:proofErr w:type="spellEnd"/>
      <w:r w:rsidRPr="00BC50C9">
        <w:rPr>
          <w:rtl/>
        </w:rPr>
        <w:t>، التي توفر فرصًا للتعلم عن بُعد عبر دورات تدريبية ومواد تعليمية.</w:t>
      </w:r>
    </w:p>
    <w:p w14:paraId="40EAD6BA" w14:textId="3689E73D" w:rsidR="009A288C" w:rsidRPr="00BC50C9" w:rsidRDefault="00896659" w:rsidP="00896659">
      <w:pPr>
        <w:pStyle w:val="113"/>
      </w:pPr>
      <w:bookmarkStart w:id="24" w:name="_Toc195456489"/>
      <w:r>
        <w:rPr>
          <w:rFonts w:hint="cs"/>
          <w:rtl/>
        </w:rPr>
        <w:t xml:space="preserve">6.3.1 </w:t>
      </w:r>
      <w:r w:rsidR="009A288C" w:rsidRPr="00BC50C9">
        <w:rPr>
          <w:rtl/>
        </w:rPr>
        <w:t>مزايا المنصات الإلكترونية</w:t>
      </w:r>
      <w:bookmarkEnd w:id="24"/>
    </w:p>
    <w:p w14:paraId="0C3C6CEC" w14:textId="77777777" w:rsidR="009A288C" w:rsidRPr="00BC50C9" w:rsidRDefault="009A288C" w:rsidP="00896659">
      <w:pPr>
        <w:pStyle w:val="00000"/>
        <w:rPr>
          <w:rtl/>
        </w:rPr>
      </w:pPr>
      <w:r w:rsidRPr="00BC50C9">
        <w:rPr>
          <w:rtl/>
        </w:rPr>
        <w:t>يُعد التحول الرقمي أحد أبرز المصطلحات التي أصبحت في صميم أولويات العصر الحديث، حيث يهدف إلى تطوير وتحسين كيانات مختلفة من خلال إدخال تغييرات جذرية في خصائصها وعملياتها ويعتمد هذا التحول بشكل أساسي على استخدام تقنيات متقدمة في مجال المعلومات، والحوسبة، والاتصالات؛ وهو ما أكد عليه "</w:t>
      </w:r>
      <w:proofErr w:type="spellStart"/>
      <w:r w:rsidRPr="00BC50C9">
        <w:rPr>
          <w:rtl/>
        </w:rPr>
        <w:t>ميكاليف</w:t>
      </w:r>
      <w:proofErr w:type="spellEnd"/>
      <w:r w:rsidRPr="00BC50C9">
        <w:rPr>
          <w:rtl/>
        </w:rPr>
        <w:t xml:space="preserve"> </w:t>
      </w:r>
      <w:proofErr w:type="spellStart"/>
      <w:r w:rsidRPr="00BC50C9">
        <w:rPr>
          <w:rtl/>
        </w:rPr>
        <w:t>وبارميجياني</w:t>
      </w:r>
      <w:proofErr w:type="spellEnd"/>
      <w:r w:rsidRPr="00BC50C9">
        <w:rPr>
          <w:rtl/>
        </w:rPr>
        <w:t>" (</w:t>
      </w:r>
      <w:proofErr w:type="spellStart"/>
      <w:r w:rsidRPr="00BC50C9">
        <w:t>Mikalef</w:t>
      </w:r>
      <w:proofErr w:type="spellEnd"/>
      <w:r w:rsidRPr="00BC50C9">
        <w:t xml:space="preserve"> &amp; </w:t>
      </w:r>
      <w:proofErr w:type="spellStart"/>
      <w:r w:rsidRPr="00BC50C9">
        <w:t>Parmiggiani</w:t>
      </w:r>
      <w:proofErr w:type="spellEnd"/>
      <w:r w:rsidRPr="00BC50C9">
        <w:t>, 2022, P.3</w:t>
      </w:r>
      <w:r w:rsidRPr="00BC50C9">
        <w:rPr>
          <w:rtl/>
        </w:rPr>
        <w:t xml:space="preserve">) فلقد برز التحول الرقمي كواحد من المصطلحات التي أصبحت من أولويات العصر الحالي، وتهدف إلى تحسين كيان ما من خلال إحداث تغييرات كبيرة في خصائصه من خلال استخدام مجموعة من تقنيات المعلومات والحوسبة والاتصالات والتواصل عبر المواقع الإلكترونية، وجدير بالذكر أن التقنيات الرقمية الناشئة هي أحد المحركات الرئيسية لإحداث تغييرات في كيفية عمل المؤسسات، فعلى مدى العقد الماضي، تسارعت وتيرة تطور هذه التقنيات </w:t>
      </w:r>
      <w:r w:rsidRPr="00BC50C9">
        <w:rPr>
          <w:rtl/>
        </w:rPr>
        <w:lastRenderedPageBreak/>
        <w:t>الرقمية الجديدة مثل الواقع الافتراضي، والطباعة ثلاثية الأبعاد، وإنترنت الأشياء، والحوسبة السحابية، والتعلم الآلي، وغير ذلك، مما يسهم في إحداث طفرة في عمل المؤسسات المالية.</w:t>
      </w:r>
    </w:p>
    <w:p w14:paraId="052B5AED" w14:textId="77777777" w:rsidR="009A288C" w:rsidRPr="00BC50C9" w:rsidRDefault="009A288C" w:rsidP="00896659">
      <w:pPr>
        <w:pStyle w:val="00000"/>
        <w:rPr>
          <w:rtl/>
        </w:rPr>
      </w:pPr>
      <w:r w:rsidRPr="00BC50C9">
        <w:rPr>
          <w:rtl/>
        </w:rPr>
        <w:t>حيث توفر المنصات الرقمية مجموعة من الفوائد التي تعزز فعالية العمليات وتُحسن تجربة المستخدم، مما يجعلها جزءًا لا يتجزأ من عملية التحول الرقمي كالتالي:</w:t>
      </w:r>
    </w:p>
    <w:p w14:paraId="6B4BEA9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زيادة كفاءة العمليات:</w:t>
      </w:r>
      <w:r w:rsidRPr="00BC50C9">
        <w:rPr>
          <w:rFonts w:ascii="Times New Roman" w:eastAsia="Calibri" w:hAnsi="Times New Roman" w:cs="Simplified Arabic"/>
          <w:kern w:val="2"/>
          <w:sz w:val="24"/>
          <w:szCs w:val="28"/>
          <w:rtl/>
          <w14:ligatures w14:val="standardContextual"/>
        </w:rPr>
        <w:t xml:space="preserve"> تعمل على تنظيم سير العمل وتعزيز الشفافية، مما يسهم في رفع مستوى الإنتاجية.</w:t>
      </w:r>
    </w:p>
    <w:p w14:paraId="5A74BC43"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تحسين تجربة العملاء:</w:t>
      </w:r>
      <w:r w:rsidRPr="00BC50C9">
        <w:rPr>
          <w:rFonts w:ascii="Times New Roman" w:eastAsia="Calibri" w:hAnsi="Times New Roman" w:cs="Simplified Arabic"/>
          <w:kern w:val="2"/>
          <w:sz w:val="24"/>
          <w:szCs w:val="28"/>
          <w:rtl/>
          <w14:ligatures w14:val="standardContextual"/>
        </w:rPr>
        <w:t xml:space="preserve"> تقدم خدمات أكثر فعالية وتتيح تفاعلاً أفضل من خلال استخدام البيانات والتحليلات.</w:t>
      </w:r>
    </w:p>
    <w:p w14:paraId="4B6742C3"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دعم اتخاذ القرار:</w:t>
      </w:r>
      <w:r w:rsidRPr="00BC50C9">
        <w:rPr>
          <w:rFonts w:ascii="Times New Roman" w:eastAsia="Calibri" w:hAnsi="Times New Roman" w:cs="Simplified Arabic"/>
          <w:kern w:val="2"/>
          <w:sz w:val="24"/>
          <w:szCs w:val="28"/>
          <w:rtl/>
          <w14:ligatures w14:val="standardContextual"/>
        </w:rPr>
        <w:t xml:space="preserve"> توفر قواعد بيانات دقيقة تسهم في تطوير الاستراتيجيات والمنتجات بما يتناسب مع احتياجات العملاء.</w:t>
      </w:r>
    </w:p>
    <w:p w14:paraId="5379064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توسيع نطاق الوصول:</w:t>
      </w:r>
      <w:r w:rsidRPr="00BC50C9">
        <w:rPr>
          <w:rFonts w:ascii="Times New Roman" w:eastAsia="Calibri" w:hAnsi="Times New Roman" w:cs="Simplified Arabic"/>
          <w:kern w:val="2"/>
          <w:sz w:val="24"/>
          <w:szCs w:val="28"/>
          <w:rtl/>
          <w14:ligatures w14:val="standardContextual"/>
        </w:rPr>
        <w:t xml:space="preserve"> تتيح الوصول إلى مليارات المستخدمين عبر الإنترنت والهواتف المحمولة.</w:t>
      </w:r>
    </w:p>
    <w:p w14:paraId="64F3EBE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تحفيز الابتكار:</w:t>
      </w:r>
      <w:r w:rsidRPr="00BC50C9">
        <w:rPr>
          <w:rFonts w:ascii="Times New Roman" w:eastAsia="Calibri" w:hAnsi="Times New Roman" w:cs="Simplified Arabic"/>
          <w:kern w:val="2"/>
          <w:sz w:val="24"/>
          <w:szCs w:val="28"/>
          <w:rtl/>
          <w14:ligatures w14:val="standardContextual"/>
        </w:rPr>
        <w:t xml:space="preserve"> تدعم نماذج الأعمال الحديثة وتسهّل إطلاق المشاريع بتكاليف منخفضة.</w:t>
      </w:r>
    </w:p>
    <w:p w14:paraId="7CACCEC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ميزة تنافسية:</w:t>
      </w:r>
      <w:r w:rsidRPr="00BC50C9">
        <w:rPr>
          <w:rFonts w:ascii="Times New Roman" w:eastAsia="Calibri" w:hAnsi="Times New Roman" w:cs="Simplified Arabic"/>
          <w:kern w:val="2"/>
          <w:sz w:val="24"/>
          <w:szCs w:val="28"/>
          <w:rtl/>
          <w14:ligatures w14:val="standardContextual"/>
        </w:rPr>
        <w:t xml:space="preserve"> تعتمد على البيانات والتفاعلات لتحقيق أرباح مرتفعة وتحسين الكفاءة التشغيلية (مركز الأهرامات للدراسات السياسية والاستراتيجية، 2024).</w:t>
      </w:r>
    </w:p>
    <w:p w14:paraId="0C85C9C4" w14:textId="77777777" w:rsidR="009A288C" w:rsidRPr="00BC50C9" w:rsidRDefault="009A288C" w:rsidP="00896659">
      <w:pPr>
        <w:pStyle w:val="00000"/>
      </w:pPr>
      <w:r w:rsidRPr="00BC50C9">
        <w:rPr>
          <w:rtl/>
        </w:rPr>
        <w:t>حيث أشار "</w:t>
      </w:r>
      <w:proofErr w:type="spellStart"/>
      <w:r w:rsidRPr="00BC50C9">
        <w:rPr>
          <w:rtl/>
        </w:rPr>
        <w:t>لوبيجكو</w:t>
      </w:r>
      <w:proofErr w:type="spellEnd"/>
      <w:r w:rsidRPr="00BC50C9">
        <w:rPr>
          <w:rtl/>
        </w:rPr>
        <w:t xml:space="preserve"> </w:t>
      </w:r>
      <w:proofErr w:type="spellStart"/>
      <w:r w:rsidRPr="00BC50C9">
        <w:rPr>
          <w:rtl/>
        </w:rPr>
        <w:t>وبارتزاك</w:t>
      </w:r>
      <w:proofErr w:type="spellEnd"/>
      <w:r w:rsidRPr="00BC50C9">
        <w:rPr>
          <w:rtl/>
        </w:rPr>
        <w:t>" (</w:t>
      </w:r>
      <w:proofErr w:type="spellStart"/>
      <w:r w:rsidRPr="00BC50C9">
        <w:t>Łobejko</w:t>
      </w:r>
      <w:proofErr w:type="spellEnd"/>
      <w:r w:rsidRPr="00BC50C9">
        <w:t xml:space="preserve"> &amp; Bartczak, 2021, P.4</w:t>
      </w:r>
      <w:r w:rsidRPr="00BC50C9">
        <w:rPr>
          <w:rtl/>
        </w:rPr>
        <w:t>) إلى أنه هناك العديد من المزايا التي ترتبط بالمنصات الالكترونية هي كما يلي:</w:t>
      </w:r>
    </w:p>
    <w:p w14:paraId="039A287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تعد أدوات رقمية تتيح إقامة وتقوية العلاقات بين مجموعة متنوعة من الجهات الفاعلة في السوق، بما في ذلك الشركات والمستهلكون، وحتى الكيانات الإدارية (الإدارات العامة)، من خلال تمكين هذه الكيانات من إجراء المعاملات والتفاعل مع بعضها البعض والتواصل فيما بينها باستخدام الإنترنت</w:t>
      </w:r>
    </w:p>
    <w:p w14:paraId="4C0F22E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تتميز بإمكانية تنفيذ وظائف جديدة وتطوير منتجات وخدمات وتقنيات تكميلية </w:t>
      </w:r>
    </w:p>
    <w:p w14:paraId="7BBB41F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تعتبر قواعد برمجية قابلة للتوسع، مما يعني إمكانية إضافة وحدات ووظائف جديدة إليها في أي وقت، أو جميع العناصر التقنية، بما في ذلك البرمجيات والأجهزة، بالإضافة إلى العمليات والمعايير التنظيمية </w:t>
      </w:r>
    </w:p>
    <w:p w14:paraId="59DFCF6B" w14:textId="77777777" w:rsidR="009A288C" w:rsidRPr="00BC50C9" w:rsidRDefault="009A288C" w:rsidP="00896659">
      <w:pPr>
        <w:pStyle w:val="00000"/>
      </w:pPr>
      <w:r w:rsidRPr="00BC50C9">
        <w:rPr>
          <w:rtl/>
        </w:rPr>
        <w:t>وتظهر مزايا المنصات الرقمية في مجموعة من العناصر، أبرزها (</w:t>
      </w:r>
      <w:proofErr w:type="spellStart"/>
      <w:r w:rsidRPr="00BC50C9">
        <w:rPr>
          <w:rtl/>
        </w:rPr>
        <w:t>روابحية</w:t>
      </w:r>
      <w:proofErr w:type="spellEnd"/>
      <w:r w:rsidRPr="00BC50C9">
        <w:rPr>
          <w:rtl/>
        </w:rPr>
        <w:t xml:space="preserve"> </w:t>
      </w:r>
      <w:proofErr w:type="spellStart"/>
      <w:r w:rsidRPr="00BC50C9">
        <w:rPr>
          <w:rtl/>
        </w:rPr>
        <w:t>وعواسة</w:t>
      </w:r>
      <w:proofErr w:type="spellEnd"/>
      <w:r w:rsidRPr="00BC50C9">
        <w:rPr>
          <w:rtl/>
        </w:rPr>
        <w:t xml:space="preserve"> وداودي، 2024، ص.29-30): </w:t>
      </w:r>
    </w:p>
    <w:p w14:paraId="7A25186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ببيئة تفاعلية تتيح للمستخدمين التفاعل حول المحتوى الرقمي، من خلال استخدام تقنيات تفاعلية سواء في الوقت الحقيقي أو بشكل غير متزامن. </w:t>
      </w:r>
    </w:p>
    <w:p w14:paraId="7C26342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تقديم محتوى رقمي متنوع وغني عبر عدة أساليب عرض، مما يعزز من جذب انتباه المستخدمين. </w:t>
      </w:r>
    </w:p>
    <w:p w14:paraId="60AADAFC"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 xml:space="preserve">تسهيل التواصل بين المستخدمين من خلال تقنيات تكنولوجية متطورة. </w:t>
      </w:r>
    </w:p>
    <w:p w14:paraId="159FDF4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تقليل التكاليف المتعلقة بالبحث والتوزيع والرصد. </w:t>
      </w:r>
    </w:p>
    <w:p w14:paraId="31453F3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تنظيم وتنسيق التطور التكنولوجي من خلال توحيد هياكل الإدارة المناسبة، مما يحقق عدة فوائد، منها:</w:t>
      </w:r>
    </w:p>
    <w:p w14:paraId="4897296D" w14:textId="77777777" w:rsidR="009A288C" w:rsidRPr="00896659" w:rsidRDefault="009A288C">
      <w:pPr>
        <w:pStyle w:val="a3"/>
        <w:numPr>
          <w:ilvl w:val="0"/>
          <w:numId w:val="52"/>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kern w:val="2"/>
          <w:sz w:val="24"/>
          <w:szCs w:val="28"/>
          <w:rtl/>
          <w14:ligatures w14:val="standardContextual"/>
        </w:rPr>
        <w:t>تسهيل وتنوع طرق تقديم الخدمات والمنتجات.</w:t>
      </w:r>
    </w:p>
    <w:p w14:paraId="6A1D0B85" w14:textId="77777777" w:rsidR="009A288C" w:rsidRPr="00896659" w:rsidRDefault="009A288C">
      <w:pPr>
        <w:pStyle w:val="a3"/>
        <w:numPr>
          <w:ilvl w:val="0"/>
          <w:numId w:val="52"/>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kern w:val="2"/>
          <w:sz w:val="24"/>
          <w:szCs w:val="28"/>
          <w:rtl/>
          <w14:ligatures w14:val="standardContextual"/>
        </w:rPr>
        <w:t>تسهيل معرفة آراء المستهلكين وتقييماتهم للمنصة.</w:t>
      </w:r>
    </w:p>
    <w:p w14:paraId="774FCDBF" w14:textId="77777777" w:rsidR="009A288C" w:rsidRPr="00896659" w:rsidRDefault="009A288C">
      <w:pPr>
        <w:pStyle w:val="a3"/>
        <w:numPr>
          <w:ilvl w:val="0"/>
          <w:numId w:val="52"/>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kern w:val="2"/>
          <w:sz w:val="24"/>
          <w:szCs w:val="28"/>
          <w:rtl/>
          <w14:ligatures w14:val="standardContextual"/>
        </w:rPr>
        <w:t>كما تستخدم المنصات الرقمية أساليب متنوعة لتقييم خدماتها، بما في ذلك استخدام استبيانات إلكترونية قصيرة.</w:t>
      </w:r>
    </w:p>
    <w:p w14:paraId="4B950FD2" w14:textId="77777777" w:rsidR="009A288C" w:rsidRPr="00BC50C9" w:rsidRDefault="009A288C" w:rsidP="00896659">
      <w:pPr>
        <w:bidi/>
        <w:spacing w:before="120" w:after="120" w:line="240" w:lineRule="auto"/>
        <w:jc w:val="both"/>
        <w:rPr>
          <w:rFonts w:ascii="Times New Roman" w:eastAsia="Calibri" w:hAnsi="Times New Roman" w:cs="Simplified Arabic"/>
          <w:sz w:val="24"/>
          <w:szCs w:val="28"/>
        </w:rPr>
      </w:pPr>
      <w:r w:rsidRPr="00BC50C9">
        <w:rPr>
          <w:rFonts w:ascii="Times New Roman" w:eastAsia="Calibri" w:hAnsi="Times New Roman" w:cs="Simplified Arabic"/>
          <w:sz w:val="24"/>
          <w:szCs w:val="28"/>
          <w:rtl/>
        </w:rPr>
        <w:t>كما تتمتع المنصات الرقمية بعدد من المميزات البارزة، ومن أبرزها:</w:t>
      </w:r>
    </w:p>
    <w:p w14:paraId="308CD9C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الوصول السهل والسريع</w:t>
      </w:r>
      <w:r w:rsidRPr="00BC50C9">
        <w:rPr>
          <w:rFonts w:ascii="Times New Roman" w:eastAsia="Calibri" w:hAnsi="Times New Roman" w:cs="Simplified Arabic"/>
          <w:kern w:val="2"/>
          <w:sz w:val="24"/>
          <w:szCs w:val="28"/>
          <w:rtl/>
          <w14:ligatures w14:val="standardContextual"/>
        </w:rPr>
        <w:t>: يمكن للمستخدمين الوصول إلى الخدمات والمنتجات من أي مكان وفي أي وقت، مما يسهل عملية الاستخدام ويزيد من سرعتها.</w:t>
      </w:r>
    </w:p>
    <w:p w14:paraId="268CB0F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توفير الوقت وتقليل التكاليف</w:t>
      </w:r>
      <w:r w:rsidRPr="00BC50C9">
        <w:rPr>
          <w:rFonts w:ascii="Times New Roman" w:eastAsia="Calibri" w:hAnsi="Times New Roman" w:cs="Simplified Arabic"/>
          <w:kern w:val="2"/>
          <w:sz w:val="24"/>
          <w:szCs w:val="28"/>
          <w:rtl/>
          <w14:ligatures w14:val="standardContextual"/>
        </w:rPr>
        <w:t>: تتيح المنصات الرقمية للمستخدمين إنجاز المهام المختلفة بسرعة وكفاءة، مما يساعد في تقليل التكاليف.</w:t>
      </w:r>
    </w:p>
    <w:p w14:paraId="7E6DDA9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التواصل والتفاعل:</w:t>
      </w:r>
      <w:r w:rsidRPr="00BC50C9">
        <w:rPr>
          <w:rFonts w:ascii="Times New Roman" w:eastAsia="Calibri" w:hAnsi="Times New Roman" w:cs="Simplified Arabic"/>
          <w:kern w:val="2"/>
          <w:sz w:val="24"/>
          <w:szCs w:val="28"/>
          <w:rtl/>
          <w14:ligatures w14:val="standardContextual"/>
        </w:rPr>
        <w:t xml:space="preserve"> توفر المنصات الرقمية وسيلة للتواصل والتفاعل بين الأفراد والشركات على مستوى عالمي.</w:t>
      </w:r>
    </w:p>
    <w:p w14:paraId="5768553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المرونة والتحكم:</w:t>
      </w:r>
      <w:r w:rsidRPr="00BC50C9">
        <w:rPr>
          <w:rFonts w:ascii="Times New Roman" w:eastAsia="Calibri" w:hAnsi="Times New Roman" w:cs="Simplified Arabic"/>
          <w:kern w:val="2"/>
          <w:sz w:val="24"/>
          <w:szCs w:val="28"/>
          <w:rtl/>
          <w14:ligatures w14:val="standardContextual"/>
        </w:rPr>
        <w:t xml:space="preserve"> يمكن للمستخدمين تخصيص الخدمات والمنتجات بما يتناسب مع احتياجاتهم، مما يمنحهم تحكمًا أكبر في تجربتهم </w:t>
      </w:r>
      <w:r w:rsidRPr="00BC50C9">
        <w:rPr>
          <w:rFonts w:ascii="Times New Roman" w:eastAsia="Calibri" w:hAnsi="Times New Roman" w:cs="Simplified Arabic"/>
          <w:kern w:val="2"/>
          <w:sz w:val="24"/>
          <w:szCs w:val="28"/>
          <w:rtl/>
          <w:lang w:bidi="ar-EG"/>
          <w14:ligatures w14:val="standardContextual"/>
        </w:rPr>
        <w:t>(تريكي، 2023، ص.49).</w:t>
      </w:r>
    </w:p>
    <w:p w14:paraId="1C20D2BC" w14:textId="77777777" w:rsidR="009A288C" w:rsidRPr="00BC50C9" w:rsidRDefault="009A288C" w:rsidP="00896659">
      <w:pPr>
        <w:pStyle w:val="00000"/>
        <w:rPr>
          <w:rtl/>
        </w:rPr>
      </w:pPr>
      <w:r w:rsidRPr="00BC50C9">
        <w:rPr>
          <w:rtl/>
        </w:rPr>
        <w:t>خلاصة ما سبق يمكن استقراء أن تتمتع المنصات الإلكترونية بالعديد من المزايا التي تجعلها أدوات أساسية في العصر الرقمي أولا، توفر سهولة الوصول إلى الخدمات والمنتجات والمعلومات في أي وقت ومن أي مكان، مما يوفر الوقت والجهد على المستخدمين ثانيًا، تتيح توفير التكاليف من خلال تقليل الحاجة إلى وسائل تقليدية قد تكون مكلفة، مثل الإيجارات أو العمالة الإضافية ثالثًا، تعزز الكفاءة من خلال أتمتة العمليات وتبسيطها، مما يقلل من الأخطاء البشرية ويزيد من الإنتاجية</w:t>
      </w:r>
      <w:r w:rsidRPr="00BC50C9">
        <w:t>.</w:t>
      </w:r>
    </w:p>
    <w:p w14:paraId="32414319" w14:textId="53DA3D30" w:rsidR="009A288C" w:rsidRPr="00BC50C9" w:rsidRDefault="00896659" w:rsidP="00896659">
      <w:pPr>
        <w:pStyle w:val="113"/>
        <w:rPr>
          <w:rtl/>
          <w:lang w:bidi="ar-EG"/>
        </w:rPr>
      </w:pPr>
      <w:bookmarkStart w:id="25" w:name="_Toc195456490"/>
      <w:r>
        <w:rPr>
          <w:rFonts w:hint="cs"/>
          <w:rtl/>
          <w:lang w:bidi="ar-EG"/>
        </w:rPr>
        <w:t xml:space="preserve">7.3.1 </w:t>
      </w:r>
      <w:r w:rsidR="009A288C" w:rsidRPr="00BC50C9">
        <w:rPr>
          <w:rtl/>
          <w:lang w:bidi="ar-EG"/>
        </w:rPr>
        <w:t>تحديات تطوير المنصات الالكترونية في ريادة الأعمال الرقمية</w:t>
      </w:r>
      <w:bookmarkEnd w:id="25"/>
    </w:p>
    <w:p w14:paraId="0CB7F6E5" w14:textId="77777777" w:rsidR="009A288C" w:rsidRPr="00BC50C9" w:rsidRDefault="009A288C" w:rsidP="00896659">
      <w:pPr>
        <w:pStyle w:val="00000"/>
        <w:rPr>
          <w:rtl/>
        </w:rPr>
      </w:pPr>
      <w:r w:rsidRPr="00BC50C9">
        <w:rPr>
          <w:rtl/>
        </w:rPr>
        <w:t xml:space="preserve">يُعتبر الأمن السيبراني أحد أبرز التحديات التي تواجه تطوير المنصات الإلكترونية، حيث يلعب دورًا حاسمًا في حماية البيئة الرقمية للمستخدمين والمؤسسات حيث يتم التصدي لهذا التحدي من خلال سياسات وإجراءات أمنية واضحة ومحددة، يتم توضيحها في المواد المنشورة والوثائق الرسمية؛ وهو ما تطرق إليه "سيما وآخرون" </w:t>
      </w:r>
      <w:proofErr w:type="spellStart"/>
      <w:r w:rsidRPr="00BC50C9">
        <w:t>Seemma</w:t>
      </w:r>
      <w:proofErr w:type="spellEnd"/>
      <w:r w:rsidRPr="00BC50C9">
        <w:t xml:space="preserve"> et al., 2018, P.125) </w:t>
      </w:r>
      <w:r w:rsidRPr="00BC50C9">
        <w:rPr>
          <w:rtl/>
        </w:rPr>
        <w:t xml:space="preserve">) بأن يعد الأمن السيبراني من أبرز تحديات تطوير المنصات الالكترونية، ومن خلال سياسات منصوص عليها في المواد المنشورة التي تحاول حماية البيئة الإلكترونية للمستخدم أو المؤسسة، يجب أن يتم إدارة مجموعة من التقنيات المستخدمة للحفاظ على سلامة الشبكات </w:t>
      </w:r>
      <w:r w:rsidRPr="00BC50C9">
        <w:rPr>
          <w:rtl/>
        </w:rPr>
        <w:lastRenderedPageBreak/>
        <w:t>والبرامج والبيانات من الوصول غير المصرح به، ويكتسب هذا المجال أهمية متزايدة بسبب الاعتماد المتزايد على المنصات الالكترونية مما يهدد بيانات الافراد للخطر.</w:t>
      </w:r>
    </w:p>
    <w:p w14:paraId="08875662" w14:textId="77777777" w:rsidR="009A288C" w:rsidRPr="00BC50C9" w:rsidRDefault="009A288C" w:rsidP="00896659">
      <w:pPr>
        <w:pStyle w:val="00000"/>
      </w:pPr>
      <w:r w:rsidRPr="00BC50C9">
        <w:rPr>
          <w:rtl/>
        </w:rPr>
        <w:t xml:space="preserve">حيث تواجه ريادة الأعمال الرقمية مجموعة من التحديات المتعلقة بتطوير المنصات الإلكترونية، مما </w:t>
      </w:r>
      <w:proofErr w:type="gramStart"/>
      <w:r w:rsidRPr="00BC50C9">
        <w:rPr>
          <w:rtl/>
        </w:rPr>
        <w:t>يعيق</w:t>
      </w:r>
      <w:proofErr w:type="gramEnd"/>
      <w:r w:rsidRPr="00BC50C9">
        <w:rPr>
          <w:rtl/>
        </w:rPr>
        <w:t xml:space="preserve"> تحقيق التكامل الرقمي ويسهل العمليات المالية والإدارية، ومن أبرز هذه التحديات (</w:t>
      </w:r>
      <w:proofErr w:type="spellStart"/>
      <w:r w:rsidRPr="00BC50C9">
        <w:rPr>
          <w:rtl/>
        </w:rPr>
        <w:t>البراشدية</w:t>
      </w:r>
      <w:proofErr w:type="spellEnd"/>
      <w:r w:rsidRPr="00BC50C9">
        <w:rPr>
          <w:rtl/>
        </w:rPr>
        <w:t>، 2021، ص.9):</w:t>
      </w:r>
    </w:p>
    <w:p w14:paraId="4B09A101" w14:textId="77777777" w:rsidR="009A288C" w:rsidRPr="00BC50C9" w:rsidRDefault="009A288C">
      <w:pPr>
        <w:numPr>
          <w:ilvl w:val="0"/>
          <w:numId w:val="9"/>
        </w:numPr>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عدم حصول مزودي خدمات الهاتف المحمول والبنوك على التراخيص اللازمة لإنشاء محافظ إلكترونية، مما يحد من إمكانية تسهيل تداول العمليات المالية عبر مختلف القطاعات الاقتصادية.</w:t>
      </w:r>
    </w:p>
    <w:p w14:paraId="4B726E11" w14:textId="77777777" w:rsidR="009A288C" w:rsidRPr="00BC50C9" w:rsidRDefault="009A288C">
      <w:pPr>
        <w:numPr>
          <w:ilvl w:val="0"/>
          <w:numId w:val="9"/>
        </w:numPr>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غياب القوانين والتشريعات الخاصة بريادة الأعمال الرقمية، مما يؤدي إلى عدم وضوح الإطار القانوني الذي ينظم هذا المجال.</w:t>
      </w:r>
    </w:p>
    <w:p w14:paraId="7FF55FAF" w14:textId="77777777" w:rsidR="009A288C" w:rsidRPr="00BC50C9" w:rsidRDefault="009A288C">
      <w:pPr>
        <w:numPr>
          <w:ilvl w:val="0"/>
          <w:numId w:val="9"/>
        </w:numPr>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صعوبة الحصول على الموافقات والتراخيص الضرورية للبنية التحتية، مما يؤخر تطوير الآليات والتطبيقات الإلكترونية المطلوبة.</w:t>
      </w:r>
    </w:p>
    <w:p w14:paraId="0364B0CB" w14:textId="77777777" w:rsidR="009A288C" w:rsidRPr="00BC50C9" w:rsidRDefault="009A288C">
      <w:pPr>
        <w:numPr>
          <w:ilvl w:val="0"/>
          <w:numId w:val="9"/>
        </w:numPr>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ضعف إدماج الجهات المعنية في عمليات التشغيل، مما يؤثر سلبًا على كفاءة وفعالية المنصات الإلكترونية.</w:t>
      </w:r>
    </w:p>
    <w:p w14:paraId="48DF04BB" w14:textId="77777777" w:rsidR="009A288C" w:rsidRPr="00BC50C9" w:rsidRDefault="009A288C" w:rsidP="00896659">
      <w:pPr>
        <w:pStyle w:val="00000"/>
        <w:rPr>
          <w:rtl/>
        </w:rPr>
      </w:pPr>
      <w:r w:rsidRPr="00BC50C9">
        <w:rPr>
          <w:rtl/>
        </w:rPr>
        <w:t>كما أشار "</w:t>
      </w:r>
      <w:proofErr w:type="spellStart"/>
      <w:r w:rsidRPr="00BC50C9">
        <w:rPr>
          <w:rtl/>
        </w:rPr>
        <w:t>جريمبيزي</w:t>
      </w:r>
      <w:proofErr w:type="spellEnd"/>
      <w:r w:rsidRPr="00BC50C9">
        <w:rPr>
          <w:rtl/>
        </w:rPr>
        <w:t xml:space="preserve"> </w:t>
      </w:r>
      <w:proofErr w:type="spellStart"/>
      <w:r w:rsidRPr="00BC50C9">
        <w:rPr>
          <w:rtl/>
        </w:rPr>
        <w:t>وبيرسيستراس</w:t>
      </w:r>
      <w:proofErr w:type="spellEnd"/>
      <w:r w:rsidRPr="00BC50C9">
        <w:rPr>
          <w:rtl/>
        </w:rPr>
        <w:t>" (</w:t>
      </w:r>
      <w:proofErr w:type="spellStart"/>
      <w:r w:rsidRPr="00BC50C9">
        <w:t>Gkrimpizi</w:t>
      </w:r>
      <w:proofErr w:type="spellEnd"/>
      <w:r w:rsidRPr="00BC50C9">
        <w:t xml:space="preserve"> &amp; </w:t>
      </w:r>
      <w:proofErr w:type="spellStart"/>
      <w:r w:rsidRPr="00BC50C9">
        <w:t>Peristeras</w:t>
      </w:r>
      <w:proofErr w:type="spellEnd"/>
      <w:r w:rsidRPr="00BC50C9">
        <w:t>, 2022, P.5</w:t>
      </w:r>
      <w:r w:rsidRPr="00BC50C9">
        <w:rPr>
          <w:rtl/>
        </w:rPr>
        <w:t>) إلى أنه تتمثل أبرز معوقات تطوير المنصات الالكترونية في:</w:t>
      </w:r>
    </w:p>
    <w:p w14:paraId="2EC5617C"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عدم وجود استراتيجية تنفيذية للتطبيق </w:t>
      </w:r>
    </w:p>
    <w:p w14:paraId="6539ACEF"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عدم وجود رؤية أو سياسة وخطة عمل واضحة</w:t>
      </w:r>
    </w:p>
    <w:p w14:paraId="70AC3353"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نقص الإمكانيات المادية اللازمة لتوفير المعدات والأجهزة الحديثة</w:t>
      </w:r>
    </w:p>
    <w:p w14:paraId="1939E394"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عدم وجود التشريعات والمبادئ التوجيهية لإدارة المنصات</w:t>
      </w:r>
    </w:p>
    <w:p w14:paraId="5CDC51F2"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نقص الخبرة في مجال التحول الرقمي </w:t>
      </w:r>
    </w:p>
    <w:p w14:paraId="0B409F10"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انخفاض معدلات المهارات اللازمة لاستخدام التكنولوجيا </w:t>
      </w:r>
    </w:p>
    <w:p w14:paraId="4922DCBD"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نقص المعرفة الرقمية لدى الموظفين</w:t>
      </w:r>
    </w:p>
    <w:p w14:paraId="597B13C7"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غياب القيادة الراغبة في التغيير</w:t>
      </w:r>
    </w:p>
    <w:p w14:paraId="61B2A051"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الحاجة لدمج التكنولوجيا الرقمية في كافة المنصات</w:t>
      </w:r>
    </w:p>
    <w:p w14:paraId="1CBD3A44"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الافتقار إلى البنية التحتية لتكنولوجيا المعلومات</w:t>
      </w:r>
    </w:p>
    <w:p w14:paraId="2270F954" w14:textId="77777777" w:rsidR="009A288C" w:rsidRPr="00BC50C9" w:rsidRDefault="009A288C">
      <w:pPr>
        <w:numPr>
          <w:ilvl w:val="0"/>
          <w:numId w:val="24"/>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وجود </w:t>
      </w:r>
      <w:proofErr w:type="gramStart"/>
      <w:r w:rsidRPr="00BC50C9">
        <w:rPr>
          <w:rFonts w:ascii="Times New Roman" w:eastAsia="Calibri" w:hAnsi="Times New Roman" w:cs="Simplified Arabic"/>
          <w:kern w:val="2"/>
          <w:sz w:val="24"/>
          <w:szCs w:val="28"/>
          <w:rtl/>
          <w:lang w:bidi="ar-EG"/>
          <w14:ligatures w14:val="standardContextual"/>
        </w:rPr>
        <w:t>مخاطر</w:t>
      </w:r>
      <w:proofErr w:type="gramEnd"/>
      <w:r w:rsidRPr="00BC50C9">
        <w:rPr>
          <w:rFonts w:ascii="Times New Roman" w:eastAsia="Calibri" w:hAnsi="Times New Roman" w:cs="Simplified Arabic"/>
          <w:kern w:val="2"/>
          <w:sz w:val="24"/>
          <w:szCs w:val="28"/>
          <w:rtl/>
          <w:lang w:bidi="ar-EG"/>
          <w14:ligatures w14:val="standardContextual"/>
        </w:rPr>
        <w:t xml:space="preserve"> تتعلق بأمن تكنولوجيا المعلومات</w:t>
      </w:r>
    </w:p>
    <w:p w14:paraId="38D9E7D1" w14:textId="77777777" w:rsidR="00896659" w:rsidRDefault="00896659" w:rsidP="00896659">
      <w:pPr>
        <w:pStyle w:val="00000"/>
        <w:rPr>
          <w:rtl/>
        </w:rPr>
      </w:pPr>
    </w:p>
    <w:p w14:paraId="623F45A2" w14:textId="77777777" w:rsidR="00896659" w:rsidRDefault="00896659" w:rsidP="00896659">
      <w:pPr>
        <w:pStyle w:val="00000"/>
        <w:rPr>
          <w:rtl/>
        </w:rPr>
      </w:pPr>
    </w:p>
    <w:p w14:paraId="6319CEF3" w14:textId="1A9F0994" w:rsidR="009A288C" w:rsidRPr="00BC50C9" w:rsidRDefault="009A288C" w:rsidP="00896659">
      <w:pPr>
        <w:pStyle w:val="00000"/>
        <w:rPr>
          <w:rtl/>
        </w:rPr>
      </w:pPr>
      <w:r w:rsidRPr="00BC50C9">
        <w:rPr>
          <w:rtl/>
        </w:rPr>
        <w:lastRenderedPageBreak/>
        <w:t>وعليه تواجه المنصات الإلكترونية في مجال ريادة الأعمال الرقمية مجموعة من التحديات التي تؤثر على كفاءتها واستدامتها، ومن أبرز هذه التحديات (الاسكوا، 2021، ص.23:21):</w:t>
      </w:r>
    </w:p>
    <w:p w14:paraId="70252C65"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البنية التحتية الرقمية:</w:t>
      </w:r>
      <w:r w:rsidRPr="00896659">
        <w:rPr>
          <w:rFonts w:ascii="Times New Roman" w:eastAsia="Calibri" w:hAnsi="Times New Roman" w:cs="Simplified Arabic"/>
          <w:kern w:val="2"/>
          <w:sz w:val="24"/>
          <w:szCs w:val="28"/>
          <w:rtl/>
          <w:lang w:bidi="ar-EG"/>
          <w14:ligatures w14:val="standardContextual"/>
        </w:rPr>
        <w:t xml:space="preserve"> تعاني من ضعف في شبكات الاتصالات وارتفاع تكاليف خدمات الإنترنت، مما يؤثر سلبًا على قدرة المستخدمين على الوصول إلى المنصة بسهولة.</w:t>
      </w:r>
    </w:p>
    <w:p w14:paraId="5D252303"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التحديات التقنية:</w:t>
      </w:r>
      <w:r w:rsidRPr="00896659">
        <w:rPr>
          <w:rFonts w:ascii="Times New Roman" w:eastAsia="Calibri" w:hAnsi="Times New Roman" w:cs="Simplified Arabic"/>
          <w:kern w:val="2"/>
          <w:sz w:val="24"/>
          <w:szCs w:val="28"/>
          <w:rtl/>
          <w:lang w:bidi="ar-EG"/>
          <w14:ligatures w14:val="standardContextual"/>
        </w:rPr>
        <w:t xml:space="preserve"> تشمل قضايا مثل تأمين البيانات وضمان موثوقية العمليات المالية، بالإضافة إلى تطوير واجهات استخدام تفاعلية وسهلة لضمان تجربة مستخدم سلسة.</w:t>
      </w:r>
    </w:p>
    <w:p w14:paraId="74BD21E6"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الإطار القانوني والتنظيمي:</w:t>
      </w:r>
      <w:r w:rsidRPr="00896659">
        <w:rPr>
          <w:rFonts w:ascii="Times New Roman" w:eastAsia="Calibri" w:hAnsi="Times New Roman" w:cs="Simplified Arabic"/>
          <w:kern w:val="2"/>
          <w:sz w:val="24"/>
          <w:szCs w:val="28"/>
          <w:rtl/>
          <w:lang w:bidi="ar-EG"/>
          <w14:ligatures w14:val="standardContextual"/>
        </w:rPr>
        <w:t xml:space="preserve"> يفتقر إلى وجود تشريعات واضحة تنظم التمويل التشاركي، مما قد </w:t>
      </w:r>
      <w:proofErr w:type="gramStart"/>
      <w:r w:rsidRPr="00896659">
        <w:rPr>
          <w:rFonts w:ascii="Times New Roman" w:eastAsia="Calibri" w:hAnsi="Times New Roman" w:cs="Simplified Arabic"/>
          <w:kern w:val="2"/>
          <w:sz w:val="24"/>
          <w:szCs w:val="28"/>
          <w:rtl/>
          <w:lang w:bidi="ar-EG"/>
          <w14:ligatures w14:val="standardContextual"/>
        </w:rPr>
        <w:t>يعيق</w:t>
      </w:r>
      <w:proofErr w:type="gramEnd"/>
      <w:r w:rsidRPr="00896659">
        <w:rPr>
          <w:rFonts w:ascii="Times New Roman" w:eastAsia="Calibri" w:hAnsi="Times New Roman" w:cs="Simplified Arabic"/>
          <w:kern w:val="2"/>
          <w:sz w:val="24"/>
          <w:szCs w:val="28"/>
          <w:rtl/>
          <w:lang w:bidi="ar-EG"/>
          <w14:ligatures w14:val="standardContextual"/>
        </w:rPr>
        <w:t xml:space="preserve"> انتشار المنصة ويقلل من ثقة المستخدمين بها.</w:t>
      </w:r>
    </w:p>
    <w:p w14:paraId="16CA5F68"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الثقة والأمان:</w:t>
      </w:r>
      <w:r w:rsidRPr="00896659">
        <w:rPr>
          <w:rFonts w:ascii="Times New Roman" w:eastAsia="Calibri" w:hAnsi="Times New Roman" w:cs="Simplified Arabic"/>
          <w:kern w:val="2"/>
          <w:sz w:val="24"/>
          <w:szCs w:val="28"/>
          <w:rtl/>
          <w:lang w:bidi="ar-EG"/>
          <w14:ligatures w14:val="standardContextual"/>
        </w:rPr>
        <w:t xml:space="preserve"> يحتاج المستخدمون إلى ضمانات لحماية استثماراتهم، مما يتطلب وجود أنظمة تحقق قوية وآليات شفافة لإدارة المخاطر المالية.</w:t>
      </w:r>
    </w:p>
    <w:p w14:paraId="6CBACD27"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التكامل مع أنظمة الدفع الإلكتروني:</w:t>
      </w:r>
      <w:r w:rsidRPr="00896659">
        <w:rPr>
          <w:rFonts w:ascii="Times New Roman" w:eastAsia="Calibri" w:hAnsi="Times New Roman" w:cs="Simplified Arabic"/>
          <w:kern w:val="2"/>
          <w:sz w:val="24"/>
          <w:szCs w:val="28"/>
          <w:rtl/>
          <w:lang w:bidi="ar-EG"/>
          <w14:ligatures w14:val="standardContextual"/>
        </w:rPr>
        <w:t xml:space="preserve"> يعد توفير حلول دفع آمنة وسهلة الاستخدام عاملاً حاسمًا في نجاح المنصة، خاصة في ظل تفاوت انتشار الخدمات المالية الرقمية.</w:t>
      </w:r>
    </w:p>
    <w:p w14:paraId="555D5018" w14:textId="77777777" w:rsidR="009A288C" w:rsidRPr="00896659" w:rsidRDefault="009A288C">
      <w:pPr>
        <w:pStyle w:val="a3"/>
        <w:numPr>
          <w:ilvl w:val="0"/>
          <w:numId w:val="53"/>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b/>
          <w:bCs/>
          <w:kern w:val="2"/>
          <w:sz w:val="24"/>
          <w:szCs w:val="28"/>
          <w:rtl/>
          <w:lang w:bidi="ar-EG"/>
          <w14:ligatures w14:val="standardContextual"/>
        </w:rPr>
        <w:t>نشر الوعي وثقافة التمويل التشاركي:</w:t>
      </w:r>
      <w:r w:rsidRPr="00896659">
        <w:rPr>
          <w:rFonts w:ascii="Times New Roman" w:eastAsia="Calibri" w:hAnsi="Times New Roman" w:cs="Simplified Arabic"/>
          <w:kern w:val="2"/>
          <w:sz w:val="24"/>
          <w:szCs w:val="28"/>
          <w:rtl/>
          <w:lang w:bidi="ar-EG"/>
          <w14:ligatures w14:val="standardContextual"/>
        </w:rPr>
        <w:t xml:space="preserve"> قد يواجه رواد الأعمال والمستثمرون صعوبة في تبني مفهوم التمويل التشاركي، مما يستدعي جهودًا توعوية لتعزيز الثقة في هذا النموذج.</w:t>
      </w:r>
    </w:p>
    <w:p w14:paraId="77D69D87" w14:textId="77777777" w:rsidR="009A288C" w:rsidRPr="00BC50C9" w:rsidRDefault="009A288C" w:rsidP="00896659">
      <w:pPr>
        <w:pStyle w:val="00000"/>
      </w:pPr>
      <w:r w:rsidRPr="00BC50C9">
        <w:rPr>
          <w:rtl/>
        </w:rPr>
        <w:t xml:space="preserve">فعلى الرغم من الأهمية الكبيرة التي تتمتع بها المنصات الرقمية في تعزيز التحول الرقمي ودعم الاقتصاد الرقمي، إلا أنها تواجه مجموعة من التحديات التي تعرقل نموها واستدامتها، ومن أبرز هذه التحديات (نسرين والجمعي، 2024، ص.353-354): </w:t>
      </w:r>
    </w:p>
    <w:p w14:paraId="7F664B0F" w14:textId="77777777" w:rsidR="009A288C" w:rsidRPr="00896659" w:rsidRDefault="009A288C">
      <w:pPr>
        <w:pStyle w:val="a3"/>
        <w:numPr>
          <w:ilvl w:val="0"/>
          <w:numId w:val="54"/>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kern w:val="2"/>
          <w:sz w:val="24"/>
          <w:szCs w:val="28"/>
          <w:rtl/>
          <w:lang w:bidi="ar-EG"/>
          <w14:ligatures w14:val="standardContextual"/>
        </w:rPr>
        <w:t>ضعف البنية التحتية الرقمية، مما يؤثر سلبًا على كفاءة تشغيل المنصات وانتشارها.</w:t>
      </w:r>
    </w:p>
    <w:p w14:paraId="125A8AF1" w14:textId="77777777" w:rsidR="009A288C" w:rsidRPr="00896659" w:rsidRDefault="009A288C">
      <w:pPr>
        <w:pStyle w:val="a3"/>
        <w:numPr>
          <w:ilvl w:val="0"/>
          <w:numId w:val="54"/>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kern w:val="2"/>
          <w:sz w:val="24"/>
          <w:szCs w:val="28"/>
          <w:rtl/>
          <w:lang w:bidi="ar-EG"/>
          <w14:ligatures w14:val="standardContextual"/>
        </w:rPr>
        <w:t>غياب الأطر القانونية المنظمة، مما يؤدي إلى عدم وضوح الحقوق والواجبات ويؤثر على استقرار المنصات الرقمية.</w:t>
      </w:r>
    </w:p>
    <w:p w14:paraId="36910935" w14:textId="77777777" w:rsidR="009A288C" w:rsidRPr="00896659" w:rsidRDefault="009A288C">
      <w:pPr>
        <w:pStyle w:val="a3"/>
        <w:numPr>
          <w:ilvl w:val="0"/>
          <w:numId w:val="54"/>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kern w:val="2"/>
          <w:sz w:val="24"/>
          <w:szCs w:val="28"/>
          <w:rtl/>
          <w:lang w:bidi="ar-EG"/>
          <w14:ligatures w14:val="standardContextual"/>
        </w:rPr>
        <w:t xml:space="preserve">الصعوبات المالية والإدارية، مثل القيود المفروضة على التمويل وحركة رؤوس الأموال، مما </w:t>
      </w:r>
      <w:proofErr w:type="gramStart"/>
      <w:r w:rsidRPr="00896659">
        <w:rPr>
          <w:rFonts w:ascii="Times New Roman" w:eastAsia="Calibri" w:hAnsi="Times New Roman" w:cs="Simplified Arabic"/>
          <w:kern w:val="2"/>
          <w:sz w:val="24"/>
          <w:szCs w:val="28"/>
          <w:rtl/>
          <w:lang w:bidi="ar-EG"/>
          <w14:ligatures w14:val="standardContextual"/>
        </w:rPr>
        <w:t>يعيق</w:t>
      </w:r>
      <w:proofErr w:type="gramEnd"/>
      <w:r w:rsidRPr="00896659">
        <w:rPr>
          <w:rFonts w:ascii="Times New Roman" w:eastAsia="Calibri" w:hAnsi="Times New Roman" w:cs="Simplified Arabic"/>
          <w:kern w:val="2"/>
          <w:sz w:val="24"/>
          <w:szCs w:val="28"/>
          <w:rtl/>
          <w:lang w:bidi="ar-EG"/>
          <w14:ligatures w14:val="standardContextual"/>
        </w:rPr>
        <w:t xml:space="preserve"> قدرة رواد الأعمال على تطوير منصاتهم.</w:t>
      </w:r>
    </w:p>
    <w:p w14:paraId="751AFEEE" w14:textId="77777777" w:rsidR="009A288C" w:rsidRPr="00896659" w:rsidRDefault="009A288C">
      <w:pPr>
        <w:pStyle w:val="a3"/>
        <w:numPr>
          <w:ilvl w:val="0"/>
          <w:numId w:val="54"/>
        </w:numPr>
        <w:bidi/>
        <w:spacing w:before="120" w:after="120" w:line="240" w:lineRule="auto"/>
        <w:ind w:left="708"/>
        <w:jc w:val="both"/>
        <w:rPr>
          <w:rFonts w:ascii="Times New Roman" w:eastAsia="Calibri" w:hAnsi="Times New Roman" w:cs="Simplified Arabic"/>
          <w:kern w:val="2"/>
          <w:sz w:val="24"/>
          <w:szCs w:val="28"/>
          <w:lang w:bidi="ar-EG"/>
          <w14:ligatures w14:val="standardContextual"/>
        </w:rPr>
      </w:pPr>
      <w:r w:rsidRPr="00896659">
        <w:rPr>
          <w:rFonts w:ascii="Times New Roman" w:eastAsia="Calibri" w:hAnsi="Times New Roman" w:cs="Simplified Arabic"/>
          <w:kern w:val="2"/>
          <w:sz w:val="24"/>
          <w:szCs w:val="28"/>
          <w:rtl/>
          <w:lang w:bidi="ar-EG"/>
          <w14:ligatures w14:val="standardContextual"/>
        </w:rPr>
        <w:t>نقص الوعي بثقافة المنصات الرقمية بين المستخدمين، مما يقلل من الإقبال عليها ويحد من الاستفادة من خدماتها.</w:t>
      </w:r>
    </w:p>
    <w:p w14:paraId="27B2F802" w14:textId="77777777" w:rsidR="009A288C" w:rsidRPr="00896659" w:rsidRDefault="009A288C">
      <w:pPr>
        <w:pStyle w:val="a3"/>
        <w:numPr>
          <w:ilvl w:val="0"/>
          <w:numId w:val="54"/>
        </w:numPr>
        <w:bidi/>
        <w:spacing w:before="120" w:after="120" w:line="240" w:lineRule="auto"/>
        <w:ind w:left="708"/>
        <w:jc w:val="both"/>
        <w:rPr>
          <w:rFonts w:ascii="Times New Roman" w:eastAsia="Calibri" w:hAnsi="Times New Roman" w:cs="Simplified Arabic"/>
          <w:kern w:val="2"/>
          <w:sz w:val="24"/>
          <w:szCs w:val="28"/>
          <w:rtl/>
          <w:lang w:bidi="ar-EG"/>
          <w14:ligatures w14:val="standardContextual"/>
        </w:rPr>
      </w:pPr>
      <w:r w:rsidRPr="00896659">
        <w:rPr>
          <w:rFonts w:ascii="Times New Roman" w:eastAsia="Calibri" w:hAnsi="Times New Roman" w:cs="Simplified Arabic"/>
          <w:kern w:val="2"/>
          <w:sz w:val="24"/>
          <w:szCs w:val="28"/>
          <w:rtl/>
          <w:lang w:bidi="ar-EG"/>
          <w14:ligatures w14:val="standardContextual"/>
        </w:rPr>
        <w:t>التحديات المتعلقة بالأمن الرقمي، التي تؤثر على حماية البيانات والمعلومات وتضمن الثقة في التعاملات الرقمية.</w:t>
      </w:r>
    </w:p>
    <w:p w14:paraId="17E12ED5" w14:textId="77777777" w:rsidR="009A288C" w:rsidRPr="00BC50C9" w:rsidRDefault="009A288C" w:rsidP="00896659">
      <w:pPr>
        <w:pStyle w:val="00000"/>
        <w:rPr>
          <w:rtl/>
        </w:rPr>
      </w:pPr>
      <w:r w:rsidRPr="00BC50C9">
        <w:rPr>
          <w:rtl/>
        </w:rPr>
        <w:t xml:space="preserve">مما سبق يمكن استخلاص أن تواجه ريادة الأعمال الرقمية مجموعة من التحديات التي تعيق تطوير المنصات الإلكترونية، ومن أبرزها ضعف البنية التحتية الرقمية، وغياب التشريعات المنظمة، وصعوبة الحصول على التراخيص، مما يؤثر سلبًا على التكامل الرقمي وكفاءة العمليات المالية والإدارية، كما تشمل التحديات التقنية تأمين البيانات وتحسين تجربة المستخدم، بالإضافة إلى ضعف الثقة في التمويل التشاركي </w:t>
      </w:r>
      <w:r w:rsidRPr="00BC50C9">
        <w:rPr>
          <w:rtl/>
        </w:rPr>
        <w:lastRenderedPageBreak/>
        <w:t>نتيجة لعدم وجود أطر قانونية واضحة، ولضمان نجاح هذه المنصات من الضروري تعزيز شبكات الاتصال، وتوفير حلول دفع آمنة، وزيادة الجهود التوعوية لتعزيز ثقة المستخدمين في النماذج الرقمية الحديثة.</w:t>
      </w:r>
    </w:p>
    <w:p w14:paraId="34CE6D82" w14:textId="6865BD02" w:rsidR="009A288C" w:rsidRPr="00BC50C9" w:rsidRDefault="00896659" w:rsidP="00896659">
      <w:pPr>
        <w:pStyle w:val="113"/>
        <w:rPr>
          <w:rtl/>
        </w:rPr>
      </w:pPr>
      <w:bookmarkStart w:id="26" w:name="_Toc195456491"/>
      <w:r>
        <w:rPr>
          <w:rFonts w:hint="cs"/>
          <w:rtl/>
        </w:rPr>
        <w:t xml:space="preserve">8.3.1 </w:t>
      </w:r>
      <w:r w:rsidR="009A288C" w:rsidRPr="00BC50C9">
        <w:rPr>
          <w:rtl/>
        </w:rPr>
        <w:t>دور المنصات الالكترونية في دعم المشاريع الريادية</w:t>
      </w:r>
      <w:bookmarkEnd w:id="26"/>
    </w:p>
    <w:p w14:paraId="6E4BDCAE" w14:textId="77777777" w:rsidR="009A288C" w:rsidRPr="00BC50C9" w:rsidRDefault="009A288C" w:rsidP="00896659">
      <w:pPr>
        <w:pStyle w:val="00000"/>
        <w:rPr>
          <w:rtl/>
        </w:rPr>
      </w:pPr>
      <w:r w:rsidRPr="00BC50C9">
        <w:rPr>
          <w:rtl/>
        </w:rPr>
        <w:t>تُعد ريادة الأعمال الرقمية ركيزة أساسية في تعزيز الاقتصاد الرقمي وتحفيز الابتكار، حيث تلعب دورًا محوريًا في دعم المشاريع الريادية عبر جميع مراحلها. بدءًا من مرحلة توليد الأفكار والبحث المتخصص، ومرورًا بمراحل التطوير والنمو، ووصولًا إلى تحقيق الاستدامة وتحويل هذه المشاريع إلى فرص تجارية ناجحة؛ وهو ما أكد عليه وزارة الاتصالات وتقنية المعلومات (2021، ص.4) بأن تعتبر ريادة الأعمال الرقمية عنصرًا أساسيًا في تعزيز الاقتصاد الرقمي وتحفيز الابتكار؛ حيث تدعم المشاريع الريادية في مختلف مراحلها، بدءًا من توليد الأفكار والبحث المتخصص، وصولًا إلى تطوير المشاريع واستدامتها حتى تتحول إلى فرص تجارية ناجحة، ومن أبرز العوامل التي تعزز الاقتصاد الرقمي القائم على ريادة الأعمال الرقمية هو تشجيع وتطوير نماذج الأعمال الرقمية الجديدة، وتأسيس الشركات الناشئة، مع توفير الحوافز لجذب الاستثمارات التقنية، وبالإضافة إلى ذلك يسهم هذا الاتجاه في خلق فرص عمل جديدة، وتوطين التقنيات، وتقليل المخاطر المستقبلية من خلال تطوير الكفاءات الرقمية والخدمات المبتكرة، مما يعزز استدامة الاقتصاد الرقمي.</w:t>
      </w:r>
    </w:p>
    <w:p w14:paraId="6F5DF1D9" w14:textId="77777777" w:rsidR="009A288C" w:rsidRPr="00BC50C9" w:rsidRDefault="009A288C" w:rsidP="00896659">
      <w:pPr>
        <w:pStyle w:val="00000"/>
      </w:pPr>
      <w:r w:rsidRPr="00BC50C9">
        <w:rPr>
          <w:rtl/>
        </w:rPr>
        <w:t>فلقد أتاح تطور وسائل التواصل الاجتماعي على الإنترنت ظهور منصات تجمع بين الشركات والمستثمرين المحتملين، وخاصةً المستثمرين من الأفراد الذين يرغبون في تقديم مبلغ صغير نسبيًا من المال للمساهمة في المشاريع الريادية، وقد نشأ هذا التطور لأن الإنترنت قد خفض تكاليف الوساطة بشكل كبير، بحيث أصبح بإمكان حتى رواد الأعمال الصغار الاعتماد على الجمهور في دعم المشاريع الريادية العملاقة</w:t>
      </w:r>
      <w:r w:rsidRPr="00BC50C9">
        <w:rPr>
          <w:color w:val="222222"/>
          <w:shd w:val="clear" w:color="auto" w:fill="FFFFFF"/>
        </w:rPr>
        <w:t xml:space="preserve">Hervé &amp; </w:t>
      </w:r>
      <w:proofErr w:type="spellStart"/>
      <w:r w:rsidRPr="00BC50C9">
        <w:rPr>
          <w:color w:val="222222"/>
          <w:shd w:val="clear" w:color="auto" w:fill="FFFFFF"/>
        </w:rPr>
        <w:t>Schwienbacher</w:t>
      </w:r>
      <w:proofErr w:type="spellEnd"/>
      <w:r w:rsidRPr="00BC50C9">
        <w:rPr>
          <w:color w:val="222222"/>
          <w:shd w:val="clear" w:color="auto" w:fill="FFFFFF"/>
        </w:rPr>
        <w:t>, 2019, P.6)</w:t>
      </w:r>
      <w:r w:rsidRPr="00BC50C9">
        <w:rPr>
          <w:rtl/>
        </w:rPr>
        <w:t>).</w:t>
      </w:r>
    </w:p>
    <w:p w14:paraId="02140EBE" w14:textId="77777777" w:rsidR="009A288C" w:rsidRPr="00BC50C9" w:rsidRDefault="009A288C" w:rsidP="00896659">
      <w:pPr>
        <w:pStyle w:val="00000"/>
      </w:pPr>
      <w:r w:rsidRPr="00BC50C9">
        <w:rPr>
          <w:rtl/>
        </w:rPr>
        <w:t>وقد أشار "</w:t>
      </w:r>
      <w:proofErr w:type="spellStart"/>
      <w:r w:rsidRPr="00BC50C9">
        <w:rPr>
          <w:rtl/>
        </w:rPr>
        <w:t>ليونسكي</w:t>
      </w:r>
      <w:proofErr w:type="spellEnd"/>
      <w:r w:rsidRPr="00BC50C9">
        <w:rPr>
          <w:rtl/>
        </w:rPr>
        <w:t>" (</w:t>
      </w:r>
      <w:proofErr w:type="spellStart"/>
      <w:r w:rsidRPr="00BC50C9">
        <w:t>Leoński</w:t>
      </w:r>
      <w:proofErr w:type="spellEnd"/>
      <w:r w:rsidRPr="00BC50C9">
        <w:t>, 2022, P.2916</w:t>
      </w:r>
      <w:r w:rsidRPr="00BC50C9">
        <w:rPr>
          <w:rtl/>
        </w:rPr>
        <w:t>) إلى أنه</w:t>
      </w:r>
      <w:r w:rsidRPr="00BC50C9">
        <w:rPr>
          <w:b/>
          <w:bCs/>
          <w:rtl/>
        </w:rPr>
        <w:t xml:space="preserve"> </w:t>
      </w:r>
      <w:r w:rsidRPr="00BC50C9">
        <w:rPr>
          <w:rtl/>
        </w:rPr>
        <w:t xml:space="preserve">تُشكل منصة التمويل الجماعي حلاً رقميًا يُتيحه مزود خدمة التمويل الجماعي عبر الإنترنت لمجموعة مفتوحة من المستفيدين، ويُستخدم لجمع التبرعات لصالح المشروعات الريادية، وتشمل أشهر منصات التمويل الجماعي العالمية </w:t>
      </w:r>
      <w:r w:rsidRPr="00BC50C9">
        <w:t>(Kickstarter)</w:t>
      </w:r>
      <w:r w:rsidRPr="00BC50C9">
        <w:rPr>
          <w:rtl/>
        </w:rPr>
        <w:t xml:space="preserve"> و</w:t>
      </w:r>
      <w:r w:rsidRPr="00BC50C9">
        <w:t>(Indiegogo)</w:t>
      </w:r>
      <w:r w:rsidRPr="00BC50C9">
        <w:rPr>
          <w:rtl/>
        </w:rPr>
        <w:t xml:space="preserve"> </w:t>
      </w:r>
      <w:r w:rsidRPr="00BC50C9">
        <w:t>(GoFundMe)</w:t>
      </w:r>
      <w:r w:rsidRPr="00BC50C9">
        <w:rPr>
          <w:rtl/>
        </w:rPr>
        <w:t>و</w:t>
      </w:r>
      <w:r w:rsidRPr="00BC50C9">
        <w:t>(Patreon)</w:t>
      </w:r>
      <w:r w:rsidRPr="00BC50C9">
        <w:rPr>
          <w:rtl/>
        </w:rPr>
        <w:t xml:space="preserve"> و</w:t>
      </w:r>
      <w:r w:rsidRPr="00BC50C9">
        <w:t>(Casus)</w:t>
      </w:r>
      <w:r w:rsidRPr="00BC50C9">
        <w:rPr>
          <w:rtl/>
        </w:rPr>
        <w:t xml:space="preserve">، وتعمل عشرات منصات التمويل الجماعي، ويتزايد عددها باستمرار، مما يُثبت أن التمويل الجماعي يزداد شعبية بين الجهات التي تبحث عن تمويل، ومن أهم مزايا المنصات الإلكترونية التي تجعل لها بالغ الأثر في المساهمة في دعم المشاريع الريادية ما يلي: </w:t>
      </w:r>
    </w:p>
    <w:p w14:paraId="56863AB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جمع الأموال بسرعة لتمويل المشروع</w:t>
      </w:r>
      <w:r w:rsidRPr="00BC50C9">
        <w:rPr>
          <w:rFonts w:ascii="Times New Roman" w:eastAsia="Calibri" w:hAnsi="Times New Roman" w:cs="Simplified Arabic" w:hint="cs"/>
          <w:kern w:val="2"/>
          <w:sz w:val="24"/>
          <w:szCs w:val="28"/>
          <w:rtl/>
          <w14:ligatures w14:val="standardContextual"/>
        </w:rPr>
        <w:t>.</w:t>
      </w:r>
    </w:p>
    <w:p w14:paraId="7687079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تسهيل تنفيذ أعمال المشروع</w:t>
      </w:r>
      <w:r w:rsidRPr="00BC50C9">
        <w:rPr>
          <w:rFonts w:ascii="Times New Roman" w:eastAsia="Calibri" w:hAnsi="Times New Roman" w:cs="Simplified Arabic" w:hint="cs"/>
          <w:kern w:val="2"/>
          <w:sz w:val="24"/>
          <w:szCs w:val="28"/>
          <w:rtl/>
          <w14:ligatures w14:val="standardContextual"/>
        </w:rPr>
        <w:t>.</w:t>
      </w:r>
    </w:p>
    <w:p w14:paraId="353C55C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تمكين طرح منتج جديد في السوق</w:t>
      </w:r>
      <w:r w:rsidRPr="00BC50C9">
        <w:rPr>
          <w:rFonts w:ascii="Times New Roman" w:eastAsia="Calibri" w:hAnsi="Times New Roman" w:cs="Simplified Arabic" w:hint="cs"/>
          <w:kern w:val="2"/>
          <w:sz w:val="24"/>
          <w:szCs w:val="28"/>
          <w:rtl/>
          <w14:ligatures w14:val="standardContextual"/>
        </w:rPr>
        <w:t>.</w:t>
      </w:r>
    </w:p>
    <w:p w14:paraId="66B26B4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تطوير مفهوم المنتج</w:t>
      </w:r>
      <w:r w:rsidRPr="00BC50C9">
        <w:rPr>
          <w:rFonts w:ascii="Times New Roman" w:eastAsia="Calibri" w:hAnsi="Times New Roman" w:cs="Simplified Arabic" w:hint="cs"/>
          <w:kern w:val="2"/>
          <w:sz w:val="24"/>
          <w:szCs w:val="28"/>
          <w:rtl/>
          <w14:ligatures w14:val="standardContextual"/>
        </w:rPr>
        <w:t>.</w:t>
      </w:r>
    </w:p>
    <w:p w14:paraId="65CB974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تأثير إيجابي على التسويق</w:t>
      </w:r>
      <w:r w:rsidRPr="00BC50C9">
        <w:rPr>
          <w:rFonts w:ascii="Times New Roman" w:eastAsia="Calibri" w:hAnsi="Times New Roman" w:cs="Simplified Arabic" w:hint="cs"/>
          <w:kern w:val="2"/>
          <w:sz w:val="24"/>
          <w:szCs w:val="28"/>
          <w:rtl/>
          <w14:ligatures w14:val="standardContextual"/>
        </w:rPr>
        <w:t>.</w:t>
      </w:r>
    </w:p>
    <w:p w14:paraId="4E76857C"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اكتساب شركاء أعمال إضافيين</w:t>
      </w:r>
      <w:r w:rsidRPr="00BC50C9">
        <w:rPr>
          <w:rFonts w:ascii="Times New Roman" w:eastAsia="Calibri" w:hAnsi="Times New Roman" w:cs="Simplified Arabic" w:hint="cs"/>
          <w:kern w:val="2"/>
          <w:sz w:val="24"/>
          <w:szCs w:val="28"/>
          <w:rtl/>
          <w14:ligatures w14:val="standardContextual"/>
        </w:rPr>
        <w:t>.</w:t>
      </w:r>
    </w:p>
    <w:p w14:paraId="33EBBCF7"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الحصول على موارد إضافية (غير مالية)</w:t>
      </w:r>
      <w:r w:rsidRPr="00BC50C9">
        <w:rPr>
          <w:rFonts w:ascii="Times New Roman" w:eastAsia="Calibri" w:hAnsi="Times New Roman" w:cs="Simplified Arabic" w:hint="cs"/>
          <w:kern w:val="2"/>
          <w:sz w:val="24"/>
          <w:szCs w:val="28"/>
          <w:rtl/>
          <w14:ligatures w14:val="standardContextual"/>
        </w:rPr>
        <w:t>.</w:t>
      </w:r>
    </w:p>
    <w:p w14:paraId="75BD1E2D"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إعداد وثائق المشروع بفعالية أكبر</w:t>
      </w:r>
      <w:r w:rsidRPr="00BC50C9">
        <w:rPr>
          <w:rFonts w:ascii="Times New Roman" w:eastAsia="Calibri" w:hAnsi="Times New Roman" w:cs="Simplified Arabic" w:hint="cs"/>
          <w:kern w:val="2"/>
          <w:sz w:val="24"/>
          <w:szCs w:val="28"/>
          <w:rtl/>
          <w14:ligatures w14:val="standardContextual"/>
        </w:rPr>
        <w:t>.</w:t>
      </w:r>
    </w:p>
    <w:p w14:paraId="733BAB5E" w14:textId="77777777" w:rsidR="009A288C" w:rsidRPr="00BC50C9" w:rsidRDefault="009A288C" w:rsidP="00896659">
      <w:pPr>
        <w:pStyle w:val="00000"/>
      </w:pPr>
      <w:r w:rsidRPr="00BC50C9">
        <w:rPr>
          <w:rtl/>
        </w:rPr>
        <w:t>حيث أصبحت المنصات الإلكترونية من العوامل الحاسمة في نجاح المشاريع الريادية؛ حيث تفتح آفاقًا واسعة للنمو والتوسع في الأسواق المحلية والعالمية؛ حيث تقدم مجموعة من المزايا التي تساهم في انتشارها ونجاحها، ومن أبرز هذه المزايا (غندور وطايبي، 2022، ص.1123):</w:t>
      </w:r>
    </w:p>
    <w:p w14:paraId="532A1B46" w14:textId="77777777" w:rsidR="009A288C" w:rsidRPr="00896659" w:rsidRDefault="009A288C">
      <w:pPr>
        <w:pStyle w:val="a3"/>
        <w:numPr>
          <w:ilvl w:val="0"/>
          <w:numId w:val="55"/>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المرونة وسهولة الإدارة:</w:t>
      </w:r>
      <w:r w:rsidRPr="00896659">
        <w:rPr>
          <w:rFonts w:ascii="Times New Roman" w:eastAsia="Calibri" w:hAnsi="Times New Roman" w:cs="Simplified Arabic"/>
          <w:kern w:val="2"/>
          <w:sz w:val="24"/>
          <w:szCs w:val="28"/>
          <w:rtl/>
          <w14:ligatures w14:val="standardContextual"/>
        </w:rPr>
        <w:t xml:space="preserve"> تتيح إمكانية تشغيل وإدارة المشاريع الرقمية من أي مكان، دون الحاجة إلى مقر فعلي، بشرط توفر اتصال قوي بالإنترنت.</w:t>
      </w:r>
    </w:p>
    <w:p w14:paraId="11653C73" w14:textId="77777777" w:rsidR="009A288C" w:rsidRPr="00896659" w:rsidRDefault="009A288C">
      <w:pPr>
        <w:pStyle w:val="a3"/>
        <w:numPr>
          <w:ilvl w:val="0"/>
          <w:numId w:val="55"/>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الوصول إلى العملاء:</w:t>
      </w:r>
      <w:r w:rsidRPr="00896659">
        <w:rPr>
          <w:rFonts w:ascii="Times New Roman" w:eastAsia="Calibri" w:hAnsi="Times New Roman" w:cs="Simplified Arabic"/>
          <w:kern w:val="2"/>
          <w:sz w:val="24"/>
          <w:szCs w:val="28"/>
          <w:rtl/>
          <w14:ligatures w14:val="standardContextual"/>
        </w:rPr>
        <w:t xml:space="preserve"> تساهم في توسيع قاعدة المستهلكين من خلال منصات التجارة الإلكترونية ووسائل التواصل الاجتماعي.</w:t>
      </w:r>
    </w:p>
    <w:p w14:paraId="73CCD074" w14:textId="77777777" w:rsidR="009A288C" w:rsidRPr="00896659" w:rsidRDefault="009A288C">
      <w:pPr>
        <w:pStyle w:val="a3"/>
        <w:numPr>
          <w:ilvl w:val="0"/>
          <w:numId w:val="55"/>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التسويق الرقمي الفعّال:</w:t>
      </w:r>
      <w:r w:rsidRPr="00896659">
        <w:rPr>
          <w:rFonts w:ascii="Times New Roman" w:eastAsia="Calibri" w:hAnsi="Times New Roman" w:cs="Simplified Arabic"/>
          <w:kern w:val="2"/>
          <w:sz w:val="24"/>
          <w:szCs w:val="28"/>
          <w:rtl/>
          <w14:ligatures w14:val="standardContextual"/>
        </w:rPr>
        <w:t xml:space="preserve"> تساعد في الترويج للمنتجات والخدمات بسرعة وكفاءة عبر الإنترنت، مما يعزز من القدرة التنافسية.</w:t>
      </w:r>
    </w:p>
    <w:p w14:paraId="1365F9B0" w14:textId="77777777" w:rsidR="009A288C" w:rsidRPr="00896659" w:rsidRDefault="009A288C">
      <w:pPr>
        <w:pStyle w:val="a3"/>
        <w:numPr>
          <w:ilvl w:val="0"/>
          <w:numId w:val="55"/>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خفض التكاليف التشغيلية:</w:t>
      </w:r>
      <w:r w:rsidRPr="00896659">
        <w:rPr>
          <w:rFonts w:ascii="Times New Roman" w:eastAsia="Calibri" w:hAnsi="Times New Roman" w:cs="Simplified Arabic"/>
          <w:kern w:val="2"/>
          <w:sz w:val="24"/>
          <w:szCs w:val="28"/>
          <w:rtl/>
          <w14:ligatures w14:val="standardContextual"/>
        </w:rPr>
        <w:t xml:space="preserve"> تقلل من الحاجة إلى البنية التحتية التقليدية، مما يمكّن أصحاب المشاريع من تقليل النفقات.</w:t>
      </w:r>
    </w:p>
    <w:p w14:paraId="4A289F0B" w14:textId="77777777" w:rsidR="009A288C" w:rsidRPr="00896659" w:rsidRDefault="009A288C">
      <w:pPr>
        <w:pStyle w:val="a3"/>
        <w:numPr>
          <w:ilvl w:val="0"/>
          <w:numId w:val="55"/>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تعزيز الإنتاجية وتحقيق الأرباح:</w:t>
      </w:r>
      <w:r w:rsidRPr="00896659">
        <w:rPr>
          <w:rFonts w:ascii="Times New Roman" w:eastAsia="Calibri" w:hAnsi="Times New Roman" w:cs="Simplified Arabic"/>
          <w:kern w:val="2"/>
          <w:sz w:val="24"/>
          <w:szCs w:val="28"/>
          <w:rtl/>
          <w14:ligatures w14:val="standardContextual"/>
        </w:rPr>
        <w:t xml:space="preserve"> توفر أدوات إلكترونية تسهم في تحسين الأداء وزيادة العائدات المالية.</w:t>
      </w:r>
    </w:p>
    <w:p w14:paraId="136A3520" w14:textId="77777777" w:rsidR="009A288C" w:rsidRPr="00BC50C9" w:rsidRDefault="009A288C" w:rsidP="00896659">
      <w:pPr>
        <w:pStyle w:val="00000"/>
        <w:rPr>
          <w:rtl/>
        </w:rPr>
      </w:pPr>
      <w:r w:rsidRPr="00BC50C9">
        <w:rPr>
          <w:rtl/>
        </w:rPr>
        <w:t>كما تعتبر المنصات الإلكترونية عنصرًا أساسيًا في تعزيز المشاريع الريادية؛ حيث تعمل على تعزيز التكامل الإقليمي العربي وتوفير البيانات والمعلومات عبر منصة موحدة، كما تسهم في ربط أصحاب الأفكار برواد الأعمال وأصحاب المشاريع الصغيرة والمتوسطة، مما يزيد من فرص التعاون والتطوير، وعلاوة على ذلك فإن مشاركة جميع الأطراف المعنية في دعم هذه المنصات يساهم في استدامتها وإثرائها، مما يضمن تقديم الدعم المستمر للمشاريع الريادية على المستويات الوطنية والإقليمية (الاسكوا، 2019).</w:t>
      </w:r>
    </w:p>
    <w:p w14:paraId="6C84D514" w14:textId="77777777" w:rsidR="009A288C" w:rsidRPr="00BC50C9" w:rsidRDefault="009A288C" w:rsidP="00896659">
      <w:pPr>
        <w:pStyle w:val="00000"/>
      </w:pPr>
      <w:r w:rsidRPr="00BC50C9">
        <w:rPr>
          <w:rtl/>
        </w:rPr>
        <w:t>مما سبق يمكن استخلاص أن تلعب المنصات الإلكترونية دورًا محوريًا في دعم المشاريع الريادية وتمكينها من النمو والنجاح فهي توفر بيئة مثالية لرواد الأعمال لعرض أفكارهم، وجذب المستثمرين، والوصول إلى العملاء المحتملين بسهولة وسرعة من خلال هذه المنصات، يمكن للرياديين الحصول على التمويل الجماعي، والاستفادة من الأدوات الرقمية التي تسهل إدارة المشاريع، مثل تحليل البيانات والتسويق الرقمي بالإضافة إلى ذلك، توفر المنصات الإلكترونية فرصًا للتعلم وتبادل الخبرات عبر الدورات التدريبية والمجتمعات الافتراضية، مما يسهم في تطوير المهارات وزيادة فرص النجاح</w:t>
      </w:r>
      <w:r w:rsidRPr="00BC50C9">
        <w:t>.</w:t>
      </w:r>
    </w:p>
    <w:p w14:paraId="3EEF52E8" w14:textId="77777777" w:rsidR="009A288C" w:rsidRPr="00BC50C9" w:rsidRDefault="009A288C" w:rsidP="009A288C">
      <w:pPr>
        <w:bidi/>
        <w:spacing w:before="120" w:after="120" w:line="240" w:lineRule="auto"/>
        <w:rPr>
          <w:rFonts w:ascii="Times New Roman" w:eastAsia="Calibri" w:hAnsi="Times New Roman" w:cs="Simplified Arabic"/>
          <w:b/>
          <w:bCs/>
          <w:sz w:val="24"/>
          <w:szCs w:val="28"/>
          <w:rtl/>
        </w:rPr>
      </w:pPr>
      <w:r w:rsidRPr="00BC50C9">
        <w:rPr>
          <w:rFonts w:ascii="Times New Roman" w:eastAsia="Calibri" w:hAnsi="Times New Roman" w:cs="Simplified Arabic"/>
          <w:b/>
          <w:bCs/>
          <w:sz w:val="24"/>
          <w:szCs w:val="28"/>
          <w:rtl/>
        </w:rPr>
        <w:br w:type="page"/>
      </w:r>
    </w:p>
    <w:p w14:paraId="7E4C64D2" w14:textId="3C3841A0" w:rsidR="009A288C" w:rsidRPr="00BC50C9" w:rsidRDefault="00896659" w:rsidP="00896659">
      <w:pPr>
        <w:pStyle w:val="22222"/>
        <w:jc w:val="center"/>
        <w:rPr>
          <w:rtl/>
        </w:rPr>
      </w:pPr>
      <w:bookmarkStart w:id="27" w:name="_Toc195456492"/>
      <w:r>
        <w:rPr>
          <w:rFonts w:hint="cs"/>
          <w:rtl/>
        </w:rPr>
        <w:lastRenderedPageBreak/>
        <w:t xml:space="preserve">4.1 </w:t>
      </w:r>
      <w:r w:rsidR="009A288C" w:rsidRPr="00BC50C9">
        <w:rPr>
          <w:rtl/>
        </w:rPr>
        <w:t>المبحث الثاني: التمويل التشاركي</w:t>
      </w:r>
      <w:bookmarkEnd w:id="27"/>
    </w:p>
    <w:p w14:paraId="53C4C49F" w14:textId="071D5BF2" w:rsidR="009A288C" w:rsidRPr="00BC50C9" w:rsidRDefault="00896659" w:rsidP="00896659">
      <w:pPr>
        <w:pStyle w:val="113"/>
      </w:pPr>
      <w:bookmarkStart w:id="28" w:name="_Toc195456493"/>
      <w:r>
        <w:rPr>
          <w:rFonts w:hint="cs"/>
          <w:rtl/>
        </w:rPr>
        <w:t xml:space="preserve">1.4.1 </w:t>
      </w:r>
      <w:r w:rsidR="009A288C" w:rsidRPr="00BC50C9">
        <w:rPr>
          <w:rtl/>
        </w:rPr>
        <w:t>مقدمة</w:t>
      </w:r>
      <w:bookmarkEnd w:id="28"/>
    </w:p>
    <w:p w14:paraId="3EB7FD2D" w14:textId="77777777" w:rsidR="009A288C" w:rsidRPr="00BC50C9" w:rsidRDefault="009A288C" w:rsidP="00896659">
      <w:pPr>
        <w:pStyle w:val="00000"/>
        <w:rPr>
          <w:rtl/>
        </w:rPr>
      </w:pPr>
      <w:r w:rsidRPr="00BC50C9">
        <w:rPr>
          <w:rtl/>
        </w:rPr>
        <w:t>يلعب التمويل التشاركي دورًا محوريًا في تسهيل تدفق الأموال وتحقيق التوازن المالي، حيث تعمل كجسر يربط بين احتياجات المقترضين وفرص المستثمرين من خلال هذا الدور، تُسهم الوساطة المالية في تعزيز الكفاءة الاقتصادية، ودعم المشاريع، وتحفيز النمو، مما ينعكس إيجابيًا على الاقتصاد ككل؛ وهو ما أشار إليه غدار (2021، ص.297) بأن يعتبر الربط بين العاملين في مجالي العجز والفائض المالي عنصرًا حيويًا لتعزيز النشاط الاقتصادي وزيادة مستوى الرفاه، وتلعب الوساطة المالية دورًا مركزيًا في ضخ الأموال وتحقيق التوازن المالي من خلال مؤسسات تقدم مجموعة متنوعة من المنتجات، ويتميز القطاع المصرفي بتطور مستمر من خلال ابتكار أساليب تمويل جديدة وتقديم خدمات متعددة، وتظهر أهمية الوساطة المالية وتأثيرها على الاقتصاد الكلي، مع التركيز على النماذج التقليدية والإسلامية، وعلى الرغم من أهمية التمويل التشاركي، إلا أن دوره لا يزال محدودًا في بعض الاقتصادات، لذلك يتطلب الأمر تطوير هذا النموذج لدعم التنمية الاقتصادية.</w:t>
      </w:r>
    </w:p>
    <w:p w14:paraId="33787307" w14:textId="77777777" w:rsidR="009A288C" w:rsidRPr="00BC50C9" w:rsidRDefault="009A288C" w:rsidP="00896659">
      <w:pPr>
        <w:pStyle w:val="00000"/>
        <w:rPr>
          <w:rtl/>
        </w:rPr>
      </w:pPr>
      <w:r w:rsidRPr="00BC50C9">
        <w:rPr>
          <w:rtl/>
        </w:rPr>
        <w:t>حيث ظهرت فكرة التمويل التشاركي في الأفق منذ عام 2003؛ حيث كان لها القدرة على تغيير قواعد الاستثمار في المشاريع الصغيرة والمتوسطة الناشئة على مستوى العالم، وقد تم إنشاء العديد من المنصات الإلكترونية التي تهدف إلى تمويل مشاريع وأفكار المبدعين ورواد الأعمال، وقد ساهمت هذه المنصات في تخفيف الضغوط المالية عن صغار المستثمرين والمبدعين من خلال توفير الدعم المالي الضروري لبدء مشاريعهم، كما لعبت الأزمة المالية دورًا مهمًا في تعزيز الأدوات التي تهدف إلى تقليص الفجوة بين السوق المالي والاقتصاد الحقيقي، وساهمت الروابط بين التكنولوجيا والتمويل في ظهور تكنولوجيا التمويل (توكل، 2023، ص.100).</w:t>
      </w:r>
    </w:p>
    <w:p w14:paraId="2EE1988E" w14:textId="77777777" w:rsidR="009A288C" w:rsidRPr="00BC50C9" w:rsidRDefault="009A288C" w:rsidP="00896659">
      <w:pPr>
        <w:pStyle w:val="00000"/>
        <w:rPr>
          <w:rtl/>
        </w:rPr>
      </w:pPr>
      <w:r w:rsidRPr="00BC50C9">
        <w:rPr>
          <w:rtl/>
        </w:rPr>
        <w:t>فإن استخدم التمويل التشاركي منذ قرون لكن التطورات الحديثة جاءت بفضل الإنترنت والأنظمة المعلوماتية، وبدأ في القرن السابع عشر؛ حيث تم تنظيم رحلات بحرية محفوفة بالمخاطر من خلال مساهمات مالية، وفي القرن الثامن عشر تم توفير ائتمان غير مضمون للفئات المحتاجة بفضل مساهمات المدخرين الصغار، وخلال القرن التاسع عشر ساهم الآلاف في شراء أسهم لمشاريع البنية التحتية، أما في العصر الحديث، فقد تم جمع مبالغ كبيرة لتمويل مشاريع مجتمعية من خلال التبرعات العامة (صالح الدين وعبد الرؤوف، 2020، ص.52-53).</w:t>
      </w:r>
    </w:p>
    <w:p w14:paraId="1FA63E3A" w14:textId="77777777" w:rsidR="009A288C" w:rsidRPr="00BC50C9" w:rsidRDefault="009A288C" w:rsidP="00896659">
      <w:pPr>
        <w:pStyle w:val="00000"/>
        <w:rPr>
          <w:rtl/>
        </w:rPr>
      </w:pPr>
      <w:r w:rsidRPr="00BC50C9">
        <w:rPr>
          <w:rtl/>
        </w:rPr>
        <w:t xml:space="preserve">ويشير تاريخ التمويل التشاركي إلى أن العديد من القطاعات، مثل الفنون والطب والاقتصاد وإدارة الأعمال قد اعتمدت على التمويل التشاركي كمصدر رئيسي لتمويل مشاريعها الناشئة، وهذا يشجع أيضًا على استكشاف خيارات التمويل التشاركي لتمويل مشاريعه من خلال المنصات الإلكترونية المتاحة في مختلف </w:t>
      </w:r>
      <w:r w:rsidRPr="00BC50C9">
        <w:rPr>
          <w:rtl/>
        </w:rPr>
        <w:lastRenderedPageBreak/>
        <w:t>الدول، وما حققته هذه المنصات من إسهامات تمويلية كبيرة يعد دليلاً واضحًا على فعالية التمويل التشاركي وفوائده، التي تشمل العوائد المالية الكبيرة (أحمد، 2023، ص. 128).</w:t>
      </w:r>
    </w:p>
    <w:p w14:paraId="47AE0B37" w14:textId="77777777" w:rsidR="009A288C" w:rsidRPr="00BC50C9" w:rsidRDefault="009A288C" w:rsidP="00896659">
      <w:pPr>
        <w:pStyle w:val="00000"/>
        <w:rPr>
          <w:rtl/>
        </w:rPr>
      </w:pPr>
      <w:r w:rsidRPr="00BC50C9">
        <w:rPr>
          <w:rtl/>
        </w:rPr>
        <w:t xml:space="preserve">وعلاوة على ذلك يعتبر قطاع الشركات الناشئة عنصرًا حيويًا في الاقتصاد نظرًا لدوره في تعزيز الناتج المحلي وخلق فرص العمل على الرغم من التحديات التي </w:t>
      </w:r>
      <w:proofErr w:type="spellStart"/>
      <w:r w:rsidRPr="00BC50C9">
        <w:rPr>
          <w:rtl/>
        </w:rPr>
        <w:t>يواجهها</w:t>
      </w:r>
      <w:proofErr w:type="spellEnd"/>
      <w:r w:rsidRPr="00BC50C9">
        <w:rPr>
          <w:rtl/>
        </w:rPr>
        <w:t>، ومع التقدم السريع في تكنولوجيا المعلومات ظهرت منصات التمويل التشاركي كابتكار مالي بارز؛ حيث تسهم في تمويل المشاريع الناشئة والمبتكرة التي تواجه صعوبات في الحصول على التمويل المناسب في مراحلها الأولى، وتعتبر هذه المنصات بديلاً فعّالًا للقروض التقليدية، مما يوفر لرواد الأعمال فرصًا أكبر للنمو والابتكار (صلاح الدين وبدر الدين، 2024، ص.2).</w:t>
      </w:r>
    </w:p>
    <w:p w14:paraId="7AF11624" w14:textId="58CC21DC" w:rsidR="009A288C" w:rsidRPr="00BC50C9" w:rsidRDefault="009A288C" w:rsidP="00896659">
      <w:pPr>
        <w:pStyle w:val="00000"/>
      </w:pPr>
      <w:r w:rsidRPr="00BC50C9">
        <w:rPr>
          <w:rtl/>
        </w:rPr>
        <w:t>كما أن يُمثل التمويل التشاركي طريقة تمويل بديلة عن الاقتراض التقليدي، وهو تمويل متاح للجميع، الأفراد والجهات الفاعلة الاقتصادية، حيث تُساهم مجموعة من الأشخاص، أو الجمهور، بمبالغ مالية صغيرة في مشاريع أو منتجات أو أفكار، هذه المشاريع أو المنتجات أو الأفكار مملوكة لجامعي التبرعات (مثل رواد الأعمال أو الأفراد)، الذين يسعون للحصول على المال لتحقيق مشاريعهم، ويبحث جامعو التبرعات عن مستثمرين مباشرةً أو عبر منصة رقمية محددة، تُعرف بالوسطاء، يُمثل التمويل الجماعي ظاهرة حديثة قائمة على الويب 2.0، وتحظى باهتمام علمي</w:t>
      </w:r>
      <w:r w:rsidRPr="00BC50C9">
        <w:t xml:space="preserve"> </w:t>
      </w:r>
      <w:r w:rsidRPr="00BC50C9">
        <w:rPr>
          <w:rtl/>
        </w:rPr>
        <w:t>متزايد</w:t>
      </w:r>
      <w:proofErr w:type="spellStart"/>
      <w:r w:rsidRPr="00BC50C9">
        <w:t>Bouncken</w:t>
      </w:r>
      <w:proofErr w:type="spellEnd"/>
      <w:r w:rsidRPr="00BC50C9">
        <w:t xml:space="preserve"> et al., 2015, P.407)</w:t>
      </w:r>
      <w:r w:rsidRPr="00BC50C9">
        <w:rPr>
          <w:rtl/>
        </w:rPr>
        <w:t>)</w:t>
      </w:r>
      <w:r w:rsidR="00896659">
        <w:rPr>
          <w:rFonts w:hint="cs"/>
          <w:rtl/>
        </w:rPr>
        <w:t>.</w:t>
      </w:r>
      <w:r w:rsidRPr="00BC50C9">
        <w:rPr>
          <w:rtl/>
        </w:rPr>
        <w:t xml:space="preserve"> </w:t>
      </w:r>
    </w:p>
    <w:p w14:paraId="0DEB6921" w14:textId="77777777" w:rsidR="009A288C" w:rsidRPr="00BC50C9" w:rsidRDefault="009A288C" w:rsidP="00896659">
      <w:pPr>
        <w:pStyle w:val="00000"/>
        <w:rPr>
          <w:rtl/>
        </w:rPr>
      </w:pPr>
      <w:r w:rsidRPr="00BC50C9">
        <w:rPr>
          <w:rtl/>
        </w:rPr>
        <w:t>استنادًا على ما تم ذكره يمكن استخلاص أن يُعد التمويل التشاركي أحد أبرز الأدوات المالية الحديثة التي تعكس تطورًا كبيرًا في عالم الاقتصاد الرقمي، حيث يجمع بين التكنولوجيا والابتكار المالي لخلق فرص تمويلية أكثر شمولًا ومرونة فيعتمد هذا النموذج على مشاركة مجموعة من الأفراد أو المؤسسات في تمويل مشاريع أو أفكار محددة، سواء كانت تجارية أو اجتماعية أو إبداعية، دون الحاجة إلى وساطة تقليدية من خلال منصات التمويل التشاركي، يمكن للرياديين وأصحاب الأفكار الوصول إلى مصادر تمويل متنوعة، بينما يحصل المستثمرون على فرص استثمارية جديدة تناسب اهتماماتهم وقدراتهم المالية</w:t>
      </w:r>
      <w:r w:rsidRPr="00BC50C9">
        <w:t>.</w:t>
      </w:r>
    </w:p>
    <w:p w14:paraId="1B2CC8D1" w14:textId="1BC11995" w:rsidR="009A288C" w:rsidRPr="00BC50C9" w:rsidRDefault="00896659" w:rsidP="00896659">
      <w:pPr>
        <w:pStyle w:val="113"/>
      </w:pPr>
      <w:bookmarkStart w:id="29" w:name="_Toc195456494"/>
      <w:r>
        <w:rPr>
          <w:rFonts w:hint="cs"/>
          <w:rtl/>
        </w:rPr>
        <w:t xml:space="preserve">2.4.1 </w:t>
      </w:r>
      <w:r w:rsidR="009A288C" w:rsidRPr="00BC50C9">
        <w:rPr>
          <w:rtl/>
        </w:rPr>
        <w:t>مفهوم التمويل التشاركي</w:t>
      </w:r>
      <w:bookmarkEnd w:id="29"/>
    </w:p>
    <w:p w14:paraId="2020CBC0" w14:textId="77777777" w:rsidR="009A288C" w:rsidRPr="00BC50C9" w:rsidRDefault="009A288C" w:rsidP="00896659">
      <w:pPr>
        <w:pStyle w:val="00000"/>
        <w:rPr>
          <w:rtl/>
        </w:rPr>
      </w:pPr>
      <w:r w:rsidRPr="00BC50C9">
        <w:rPr>
          <w:rtl/>
        </w:rPr>
        <w:t>تعددت وتنوعت تعريفات الباحثين للتمويل التشاركي؛ وذلك تبعًا للوجهة التي انطلق منها أصحاب كل اتجاه ويعرض الباحث فيما يلي بعض هذه التعريفات:</w:t>
      </w:r>
    </w:p>
    <w:p w14:paraId="253545B7" w14:textId="77777777" w:rsidR="009A288C" w:rsidRPr="00BC50C9" w:rsidRDefault="009A288C" w:rsidP="00896659">
      <w:pPr>
        <w:pStyle w:val="00000"/>
        <w:rPr>
          <w:rtl/>
        </w:rPr>
      </w:pPr>
      <w:r w:rsidRPr="00BC50C9">
        <w:rPr>
          <w:rtl/>
        </w:rPr>
        <w:t xml:space="preserve">عرف صندوق النقد العربي (2019، ص.7) التمويل التشاركي أنه: "عملية تمويل جماعية وتعاونية من خلال منصة تجمع بين المستثمرين وأصحاب المشروعات الذين هم بحاجة لتمويل مشروعاتهم". </w:t>
      </w:r>
    </w:p>
    <w:p w14:paraId="07C04378" w14:textId="77777777" w:rsidR="009A288C" w:rsidRPr="00BC50C9" w:rsidRDefault="009A288C" w:rsidP="00896659">
      <w:pPr>
        <w:pStyle w:val="00000"/>
      </w:pPr>
      <w:r w:rsidRPr="00BC50C9">
        <w:rPr>
          <w:rtl/>
        </w:rPr>
        <w:t>وعرّف "ميراندا"(</w:t>
      </w:r>
      <w:r w:rsidRPr="00BC50C9">
        <w:t>Miranda, 2020, P.3</w:t>
      </w:r>
      <w:r w:rsidRPr="00BC50C9">
        <w:rPr>
          <w:rtl/>
        </w:rPr>
        <w:t>) على أنه: "نوع من جمع التبرعات يتم فيه تقديم مساهمات صغيرة من قبل مجموعة كبيرة من الأشخاص، مما يساعد رواد الأعمال على تمويل مشاريعهم باستخدام موقع ويب أو أداة أخرى لجمع الأموال، بدلاً من الأدوار المهنية".</w:t>
      </w:r>
    </w:p>
    <w:p w14:paraId="75E8F8BB" w14:textId="77777777" w:rsidR="009A288C" w:rsidRPr="00BC50C9" w:rsidRDefault="009A288C" w:rsidP="00896659">
      <w:pPr>
        <w:pStyle w:val="00000"/>
        <w:rPr>
          <w:rtl/>
        </w:rPr>
      </w:pPr>
      <w:r w:rsidRPr="00BC50C9">
        <w:rPr>
          <w:rtl/>
        </w:rPr>
        <w:lastRenderedPageBreak/>
        <w:t>وعرف الشهراني (2021، ص.157) التمويل التشاركي بأنه: "أسلوب تقوم به المصارف لتقديم التمويل المشروع معين، طلبه العميل دون تقاضي فائدة، وإنما يشارك المصرف في الناتج المحتمل، إن ربحاً أو خسارة في ضوء قواعد وأسس توزيعية متفق عليها بين الطرفين".</w:t>
      </w:r>
    </w:p>
    <w:p w14:paraId="059B093C" w14:textId="77777777" w:rsidR="009A288C" w:rsidRPr="00BC50C9" w:rsidRDefault="009A288C" w:rsidP="00896659">
      <w:pPr>
        <w:pStyle w:val="00000"/>
        <w:rPr>
          <w:rtl/>
        </w:rPr>
      </w:pPr>
      <w:r w:rsidRPr="00BC50C9">
        <w:rPr>
          <w:rtl/>
        </w:rPr>
        <w:t>كما عرّف "</w:t>
      </w:r>
      <w:proofErr w:type="spellStart"/>
      <w:r w:rsidRPr="00BC50C9">
        <w:rPr>
          <w:rtl/>
        </w:rPr>
        <w:t>ليونسكي</w:t>
      </w:r>
      <w:proofErr w:type="spellEnd"/>
      <w:r w:rsidRPr="00BC50C9">
        <w:rPr>
          <w:rtl/>
        </w:rPr>
        <w:t>" (</w:t>
      </w:r>
      <w:proofErr w:type="spellStart"/>
      <w:r w:rsidRPr="00BC50C9">
        <w:rPr>
          <w:color w:val="222222"/>
          <w:shd w:val="clear" w:color="auto" w:fill="FFFFFF"/>
        </w:rPr>
        <w:t>Leoński</w:t>
      </w:r>
      <w:proofErr w:type="spellEnd"/>
      <w:r w:rsidRPr="00BC50C9">
        <w:rPr>
          <w:color w:val="222222"/>
          <w:shd w:val="clear" w:color="auto" w:fill="FFFFFF"/>
        </w:rPr>
        <w:t>, 2022, P.2917</w:t>
      </w:r>
      <w:r w:rsidRPr="00BC50C9">
        <w:rPr>
          <w:rtl/>
        </w:rPr>
        <w:t>) التمويل التشاركي بأنه: "نوع من النشاط الذي يتم تنفيذه عبر الإنترنت، حيث يقترح فرد أو مؤسسة أو منظمة غير ربحية، بناءً على دعوة مفتوحة، القيام طواعية بمهمة وتوجيهها إلى عدد غير محدد ومجموعة غير متجانسة من الأشخاص بمستويات متفاوتة من المعرفة".</w:t>
      </w:r>
    </w:p>
    <w:p w14:paraId="27BDFA78" w14:textId="77777777" w:rsidR="009A288C" w:rsidRPr="00BC50C9" w:rsidRDefault="009A288C" w:rsidP="00896659">
      <w:pPr>
        <w:pStyle w:val="00000"/>
        <w:rPr>
          <w:rtl/>
        </w:rPr>
      </w:pPr>
      <w:r w:rsidRPr="00BC50C9">
        <w:rPr>
          <w:rtl/>
        </w:rPr>
        <w:t>وبالتالي عرف أحمد (2023، ص.101) التمويل التشاركي بأنه: "صيغة من صيغ التمويل، والتي تتم عن طريق حشد عدد من الجمهور عبر منصة إلكترونية على شبكة الإنترنت، بغرض الحصول على التمويل اللازم للمشاريع والأنشطة والمنتجات الجامعية من خلال عدة أساليب تتمثل في: التبرعات، المكافآت، الأسهم الاقراض، وذلك خلال فترة زمنية محددة".</w:t>
      </w:r>
    </w:p>
    <w:p w14:paraId="3E3EA5DC" w14:textId="77777777" w:rsidR="009A288C" w:rsidRPr="00BC50C9" w:rsidRDefault="009A288C" w:rsidP="00896659">
      <w:pPr>
        <w:pStyle w:val="00000"/>
        <w:rPr>
          <w:rtl/>
        </w:rPr>
      </w:pPr>
      <w:r w:rsidRPr="00BC50C9">
        <w:rPr>
          <w:rtl/>
        </w:rPr>
        <w:t>كما عرّف "الصاوي وقاعود" (</w:t>
      </w:r>
      <w:r w:rsidRPr="00BC50C9">
        <w:t>Essawi &amp; Kaoud, 2023, P.65</w:t>
      </w:r>
      <w:r w:rsidRPr="00BC50C9">
        <w:rPr>
          <w:rtl/>
        </w:rPr>
        <w:t>) على أنه: "وسيلة تُسهّلها الإنترنت، وتتيح للشركات والمؤسسات الأخرى جمع الأموال من خلال التبرعات أو الاستثمارات من عدد كبير من الأفراد".</w:t>
      </w:r>
    </w:p>
    <w:p w14:paraId="046DC1B7" w14:textId="77777777" w:rsidR="009A288C" w:rsidRPr="00BC50C9" w:rsidRDefault="009A288C" w:rsidP="00896659">
      <w:pPr>
        <w:pStyle w:val="00000"/>
        <w:rPr>
          <w:rtl/>
        </w:rPr>
      </w:pPr>
      <w:r w:rsidRPr="00BC50C9">
        <w:rPr>
          <w:rtl/>
        </w:rPr>
        <w:t xml:space="preserve">وعلاوة على ذلك عرف سناني </w:t>
      </w:r>
      <w:proofErr w:type="spellStart"/>
      <w:r w:rsidRPr="00BC50C9">
        <w:rPr>
          <w:rtl/>
        </w:rPr>
        <w:t>وبوعلاق</w:t>
      </w:r>
      <w:proofErr w:type="spellEnd"/>
      <w:r w:rsidRPr="00BC50C9">
        <w:rPr>
          <w:rtl/>
        </w:rPr>
        <w:t xml:space="preserve"> (2024، ص.33) التمويل التشاركي أنه: "يعبر عن عملية جماعية وتعاونية مبنية على الثقة وشبكة العلاقات بين الأفراد الذين يجمعون الأموال والموارد الأخرى سويا، غالبا عبر الإنترنيت بهدف دعم أفكار جديدة مقدمة من أفراد أو مؤسسات ناشئة". </w:t>
      </w:r>
    </w:p>
    <w:p w14:paraId="01AD4654" w14:textId="77777777" w:rsidR="009A288C" w:rsidRPr="00BC50C9" w:rsidRDefault="009A288C" w:rsidP="00896659">
      <w:pPr>
        <w:pStyle w:val="00000"/>
        <w:rPr>
          <w:rtl/>
        </w:rPr>
      </w:pPr>
      <w:r w:rsidRPr="00BC50C9">
        <w:rPr>
          <w:rtl/>
        </w:rPr>
        <w:t xml:space="preserve">كما عرف </w:t>
      </w:r>
      <w:proofErr w:type="gramStart"/>
      <w:r w:rsidRPr="00BC50C9">
        <w:rPr>
          <w:rtl/>
        </w:rPr>
        <w:t>علي</w:t>
      </w:r>
      <w:proofErr w:type="gramEnd"/>
      <w:r w:rsidRPr="00BC50C9">
        <w:rPr>
          <w:rtl/>
        </w:rPr>
        <w:t xml:space="preserve"> (2024، ص.70</w:t>
      </w:r>
      <w:proofErr w:type="gramStart"/>
      <w:r w:rsidRPr="00BC50C9">
        <w:rPr>
          <w:rtl/>
        </w:rPr>
        <w:t>)</w:t>
      </w:r>
      <w:r w:rsidRPr="00BC50C9">
        <w:rPr>
          <w:vertAlign w:val="superscript"/>
          <w:rtl/>
        </w:rPr>
        <w:t xml:space="preserve"> </w:t>
      </w:r>
      <w:r w:rsidRPr="00BC50C9">
        <w:rPr>
          <w:rtl/>
        </w:rPr>
        <w:t xml:space="preserve"> التمويل</w:t>
      </w:r>
      <w:proofErr w:type="gramEnd"/>
      <w:r w:rsidRPr="00BC50C9">
        <w:rPr>
          <w:rtl/>
        </w:rPr>
        <w:t xml:space="preserve"> التشاركي بأنه: "عملية يقوم فيها الأفراد أو المجموعات بجمع الأموال والموارد الأخرى لتمويل المشاريع التي يبدأها أشخاص أو منظمات أخرى بدون وسطاء ماليين تقليديين، وقد تشمل المشاريع الممولة من قبل الجماهير الأعمال الإبداعية والمنتجات والمنظمات غير الربحية ودعم </w:t>
      </w:r>
      <w:proofErr w:type="spellStart"/>
      <w:r w:rsidRPr="00BC50C9">
        <w:rPr>
          <w:rtl/>
        </w:rPr>
        <w:t>المقاولاتية</w:t>
      </w:r>
      <w:proofErr w:type="spellEnd"/>
      <w:r w:rsidRPr="00BC50C9">
        <w:rPr>
          <w:rtl/>
        </w:rPr>
        <w:t xml:space="preserve"> - ريادة الأعمال - والشركات، أو تبرعات لغرض معين على سبيل المثال، التمويل لدفع تكاليف إجراء عملية جراحية مثلاً". </w:t>
      </w:r>
    </w:p>
    <w:p w14:paraId="6F6FA482" w14:textId="77777777" w:rsidR="009A288C" w:rsidRPr="00BC50C9" w:rsidRDefault="009A288C" w:rsidP="00896659">
      <w:pPr>
        <w:pStyle w:val="00000"/>
        <w:rPr>
          <w:rtl/>
        </w:rPr>
      </w:pPr>
      <w:r w:rsidRPr="00BC50C9">
        <w:rPr>
          <w:rtl/>
        </w:rPr>
        <w:t xml:space="preserve">وبالتالي عرف جمعية قضاء (2025، ص.303) التمويل التشاركي على أنه: "القيام ببعض الإعلانات على شبكات التواصل الاجتماعي؛ للحصول على ممولين، مقابل الحصول على نسبة من الأرباح لمدة معينة يتم الاتفاق عليها بين الطرفين صاحب الفكرة والممولين، أو على بعض المكافآت التي يمنحها صاحب الفكرة للممول". </w:t>
      </w:r>
    </w:p>
    <w:p w14:paraId="2906FE93" w14:textId="77777777" w:rsidR="009A288C" w:rsidRPr="00BC50C9" w:rsidRDefault="009A288C" w:rsidP="00896659">
      <w:pPr>
        <w:pStyle w:val="00000"/>
        <w:rPr>
          <w:rtl/>
        </w:rPr>
      </w:pPr>
      <w:r w:rsidRPr="00BC50C9">
        <w:rPr>
          <w:rtl/>
        </w:rPr>
        <w:t>كما عرفت هيئة الأوراق والأسواق المالية السورية (2025، ص. 4) التمويل التشاركي بأنه: "طريقة تمويل يتم من خلالها جمع مبالغ صغيرة من الأموال من أعداد كبيرة من الأفراد أو الشركات) لتمويل أعمال أو مشاريع محددة".</w:t>
      </w:r>
    </w:p>
    <w:p w14:paraId="0C6114D0" w14:textId="77777777" w:rsidR="009A288C" w:rsidRPr="00BC50C9" w:rsidRDefault="009A288C" w:rsidP="00896659">
      <w:pPr>
        <w:pStyle w:val="00000"/>
      </w:pPr>
      <w:r w:rsidRPr="00BC50C9">
        <w:rPr>
          <w:rtl/>
        </w:rPr>
        <w:lastRenderedPageBreak/>
        <w:t>مما سبق يمكن تعريف التمويل التشاركي بأنه أداة تمويلية ديمقراطية تعتمد على قوة الجمهور، مما يوفر فرصًا جديدة لتحقيق الأفكار والمشاريع التي قد تواجه صعوبات في الحصول على تمويل تقليدي</w:t>
      </w:r>
      <w:r w:rsidRPr="00BC50C9">
        <w:t>.</w:t>
      </w:r>
    </w:p>
    <w:p w14:paraId="03682703" w14:textId="631C6EEC" w:rsidR="009A288C" w:rsidRPr="00BC50C9" w:rsidRDefault="00896659" w:rsidP="00896659">
      <w:pPr>
        <w:pStyle w:val="113"/>
      </w:pPr>
      <w:bookmarkStart w:id="30" w:name="_Toc195456495"/>
      <w:r>
        <w:rPr>
          <w:rFonts w:hint="cs"/>
          <w:rtl/>
        </w:rPr>
        <w:t xml:space="preserve">3.4.1 </w:t>
      </w:r>
      <w:r w:rsidR="009A288C" w:rsidRPr="00BC50C9">
        <w:rPr>
          <w:rtl/>
        </w:rPr>
        <w:t>خصائص التمويل التشاركي</w:t>
      </w:r>
      <w:bookmarkEnd w:id="30"/>
    </w:p>
    <w:p w14:paraId="4DAD6173" w14:textId="77777777" w:rsidR="009A288C" w:rsidRPr="00BC50C9" w:rsidRDefault="009A288C" w:rsidP="00896659">
      <w:pPr>
        <w:pStyle w:val="00000"/>
      </w:pPr>
      <w:r w:rsidRPr="00BC50C9">
        <w:rPr>
          <w:rtl/>
        </w:rPr>
        <w:t xml:space="preserve">يمتاز التمويل التشاركي بعدد من الخصائص التي تجعله نموذجًا مرنًا وفعالًا لدعم المشاريع الناشئة والصغيرة، فهو يوفر خيارات متنوعة تلبي احتياجات مختلف القطاعات، ويساهم في تعزيز التنمية الاقتصادية والاجتماعية، كما يركز على دعم المشاريع الحقيقية ويشجع فئات جديدة على الانخراط في النظام التمويل بطرق ميسرة، ومن بين الخصائص الأخرى (الهرش، 2021، ص.33-34): </w:t>
      </w:r>
    </w:p>
    <w:p w14:paraId="0F805DEF"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تنوع أدوات التمويل:</w:t>
      </w:r>
      <w:r w:rsidRPr="00896659">
        <w:rPr>
          <w:rFonts w:ascii="Times New Roman" w:eastAsia="Calibri" w:hAnsi="Times New Roman" w:cs="Simplified Arabic"/>
          <w:kern w:val="2"/>
          <w:sz w:val="24"/>
          <w:szCs w:val="28"/>
          <w:rtl/>
          <w14:ligatures w14:val="standardContextual"/>
        </w:rPr>
        <w:t xml:space="preserve"> يوفر خيارات نقدية وعينية، مما يمنح المؤسسات مرونة في اختيار الأنسب لاحتياجاتها.</w:t>
      </w:r>
    </w:p>
    <w:p w14:paraId="4AA0558B"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شمولية القطاعات:</w:t>
      </w:r>
      <w:r w:rsidRPr="00896659">
        <w:rPr>
          <w:rFonts w:ascii="Times New Roman" w:eastAsia="Calibri" w:hAnsi="Times New Roman" w:cs="Simplified Arabic"/>
          <w:kern w:val="2"/>
          <w:sz w:val="24"/>
          <w:szCs w:val="28"/>
          <w:rtl/>
          <w14:ligatures w14:val="standardContextual"/>
        </w:rPr>
        <w:t xml:space="preserve"> يمكن تطبيقه في مجالات الزراعة، التجارة، الصناعة، والخدمات، وفقًا لمتطلبات كل نشاط.</w:t>
      </w:r>
    </w:p>
    <w:p w14:paraId="03FE866C"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أهداف تنموية:</w:t>
      </w:r>
      <w:r w:rsidRPr="00896659">
        <w:rPr>
          <w:rFonts w:ascii="Times New Roman" w:eastAsia="Calibri" w:hAnsi="Times New Roman" w:cs="Simplified Arabic"/>
          <w:kern w:val="2"/>
          <w:sz w:val="24"/>
          <w:szCs w:val="28"/>
          <w:rtl/>
          <w14:ligatures w14:val="standardContextual"/>
        </w:rPr>
        <w:t xml:space="preserve"> يساهم في تقليل معدلات البطالة، مكافحة الفقر، وتعزيز الابتكار والمشاريع الإنتاجية.</w:t>
      </w:r>
    </w:p>
    <w:p w14:paraId="5677974E"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دعم فئات جديدة:</w:t>
      </w:r>
      <w:r w:rsidRPr="00896659">
        <w:rPr>
          <w:rFonts w:ascii="Times New Roman" w:eastAsia="Calibri" w:hAnsi="Times New Roman" w:cs="Simplified Arabic"/>
          <w:kern w:val="2"/>
          <w:sz w:val="24"/>
          <w:szCs w:val="28"/>
          <w:rtl/>
          <w14:ligatures w14:val="standardContextual"/>
        </w:rPr>
        <w:t xml:space="preserve"> يسهل على رواد الأعمال والمشاريع الصغيرة الحصول على التمويل بآليات ميسرة.</w:t>
      </w:r>
    </w:p>
    <w:p w14:paraId="44F45C69"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14:ligatures w14:val="standardContextual"/>
        </w:rPr>
      </w:pPr>
      <w:r w:rsidRPr="00896659">
        <w:rPr>
          <w:rFonts w:ascii="Times New Roman" w:eastAsia="Calibri" w:hAnsi="Times New Roman" w:cs="Simplified Arabic"/>
          <w:b/>
          <w:bCs/>
          <w:kern w:val="2"/>
          <w:sz w:val="24"/>
          <w:szCs w:val="28"/>
          <w:rtl/>
          <w14:ligatures w14:val="standardContextual"/>
        </w:rPr>
        <w:t>التركيز على المشاريع الحقيقية:</w:t>
      </w:r>
      <w:r w:rsidRPr="00896659">
        <w:rPr>
          <w:rFonts w:ascii="Times New Roman" w:eastAsia="Calibri" w:hAnsi="Times New Roman" w:cs="Simplified Arabic"/>
          <w:kern w:val="2"/>
          <w:sz w:val="24"/>
          <w:szCs w:val="28"/>
          <w:rtl/>
          <w14:ligatures w14:val="standardContextual"/>
        </w:rPr>
        <w:t xml:space="preserve"> يوجه التمويل نحو أنشطة اقتصادية فعلية، بعيدًا عن المضاربات المالية.</w:t>
      </w:r>
    </w:p>
    <w:p w14:paraId="6D89F026" w14:textId="77777777" w:rsidR="009A288C" w:rsidRPr="00896659" w:rsidRDefault="009A288C">
      <w:pPr>
        <w:pStyle w:val="a3"/>
        <w:numPr>
          <w:ilvl w:val="0"/>
          <w:numId w:val="56"/>
        </w:numPr>
        <w:bidi/>
        <w:spacing w:before="120" w:after="120" w:line="240" w:lineRule="auto"/>
        <w:ind w:left="708"/>
        <w:jc w:val="both"/>
        <w:rPr>
          <w:rFonts w:ascii="Times New Roman" w:eastAsia="Calibri" w:hAnsi="Times New Roman" w:cs="Simplified Arabic"/>
          <w:kern w:val="2"/>
          <w:sz w:val="24"/>
          <w:szCs w:val="28"/>
          <w:rtl/>
          <w14:ligatures w14:val="standardContextual"/>
        </w:rPr>
      </w:pPr>
      <w:r w:rsidRPr="00896659">
        <w:rPr>
          <w:rFonts w:ascii="Times New Roman" w:eastAsia="Calibri" w:hAnsi="Times New Roman" w:cs="Simplified Arabic"/>
          <w:b/>
          <w:bCs/>
          <w:kern w:val="2"/>
          <w:sz w:val="24"/>
          <w:szCs w:val="28"/>
          <w:rtl/>
          <w14:ligatures w14:val="standardContextual"/>
        </w:rPr>
        <w:t>أبعاد اجتماعية:</w:t>
      </w:r>
      <w:r w:rsidRPr="00896659">
        <w:rPr>
          <w:rFonts w:ascii="Times New Roman" w:eastAsia="Calibri" w:hAnsi="Times New Roman" w:cs="Simplified Arabic"/>
          <w:kern w:val="2"/>
          <w:sz w:val="24"/>
          <w:szCs w:val="28"/>
          <w:rtl/>
          <w14:ligatures w14:val="standardContextual"/>
        </w:rPr>
        <w:t xml:space="preserve"> يسهم في تنمية المناطق النائية وتحفيز النشاط الاقتصادي خارج المدن الكبرى.</w:t>
      </w:r>
    </w:p>
    <w:p w14:paraId="5FCED0FF" w14:textId="77777777" w:rsidR="009A288C" w:rsidRPr="00BC50C9" w:rsidRDefault="009A288C" w:rsidP="00896659">
      <w:pPr>
        <w:pStyle w:val="00000"/>
        <w:rPr>
          <w:rtl/>
        </w:rPr>
      </w:pPr>
      <w:r w:rsidRPr="00BC50C9">
        <w:rPr>
          <w:rtl/>
        </w:rPr>
        <w:t>كما أشار "بوكين وآخرون" (</w:t>
      </w:r>
      <w:proofErr w:type="spellStart"/>
      <w:r w:rsidRPr="00BC50C9">
        <w:t>Bouncken</w:t>
      </w:r>
      <w:proofErr w:type="spellEnd"/>
      <w:r w:rsidRPr="00BC50C9">
        <w:t xml:space="preserve"> et al., 2015, P.409</w:t>
      </w:r>
      <w:r w:rsidRPr="00BC50C9">
        <w:rPr>
          <w:rtl/>
        </w:rPr>
        <w:t>) إلى أنه تتمثل خصائص التمويل التشاركي في:</w:t>
      </w:r>
    </w:p>
    <w:p w14:paraId="1C34B5C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التمويل الجماعي هو دعوة مفتوحة، تُجرى عبر الإنترنت، لتوفير موارد مالية إما على شكل تبرعات أو مقابل مكافأة أو حقوق تصويت</w:t>
      </w:r>
    </w:p>
    <w:p w14:paraId="2D2D9544"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يشمل التمويل الجماعي أشكالاً من توفير رأس المال، حيث تُقدم الشركات الباحثة عن رأس المال نفسها علناً عبر منصات إلكترونية محددة لمجموعة كبيرة من مُقدمي رأس المال المُحتملين، بناءً على خطط أعمالها المُبتكرة، وتُتيح لهذه المجموعة فرصة المشاركة في تخصيص التمويل.</w:t>
      </w:r>
    </w:p>
    <w:p w14:paraId="48C4179C"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التمويل الجماعي هو شكل من أشكال تمويل المشاريع والابتكارات بمدفوعات صغيرة.</w:t>
      </w:r>
    </w:p>
    <w:p w14:paraId="25CAA79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التمويل التشاركي يعد بمثابة دعوة مفتوحة، تُجرى عبر الإنترنت، لتوفير موارد مالية إما على شكل تبرعات أو مقابل مكافأة أو حقوق تصويت، وذلك لدعم مبادرات لأغراض مُحددة.</w:t>
      </w:r>
    </w:p>
    <w:p w14:paraId="6A8B551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وهو عملية قيام طرف واحد بطلب واستلام أموال وموارد أخرى من عدة أفراد لتمويل مشروع، مقابل عائد استثماري نقدي أو معنوي.</w:t>
      </w:r>
    </w:p>
    <w:p w14:paraId="7E4C576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lastRenderedPageBreak/>
        <w:t>يعد التمويل الجماعي هو نوع من جمع التبرعات للمشاريع الإبداعية، وللشركات أيضًا، وأهم ما يميزه هو انفتاحه، واستخدامه أساليب الويب 2.0 للتواصل، وكونه عادةً ما يتضمن مكافآت مادية أو معنوية.</w:t>
      </w:r>
    </w:p>
    <w:p w14:paraId="51C10006" w14:textId="77777777" w:rsidR="009A288C" w:rsidRPr="00BC50C9" w:rsidRDefault="009A288C" w:rsidP="00896659">
      <w:pPr>
        <w:pStyle w:val="00000"/>
      </w:pPr>
      <w:r w:rsidRPr="00BC50C9">
        <w:rPr>
          <w:rtl/>
        </w:rPr>
        <w:t>خلاصة ما سبق يمكن استنتاج أن يتميز التمويل التشاركي بعدة خصائص تجعله نموذجًا فريدًا وجذابًا في عالم التمويل الحديث أولاً، يعتمد على اللامركزية، حيث لا يحتاج إلى وساطة مؤسسات مالية تقليدية، مما يجعله أكثر مرونة وسرعة في توفير التمويل ثانيًا، يتميز بالشمولية، حيث يتيح للأفراد والشركات الصغيرة والمتوسطة الوصول إلى مصادر تمويل متنوعة، حتى لو كانت لديهم موارد محدودة ثالثًا، يعتمد على المشاركة الجماعية، حيث يجمع تمويلًا صغيرًا من عدد كبير من الأشخاص، مما يقلل من المخاطر على كل مشارك</w:t>
      </w:r>
      <w:r w:rsidRPr="00BC50C9">
        <w:t>.</w:t>
      </w:r>
    </w:p>
    <w:p w14:paraId="742AD3A6" w14:textId="2CB5BFA0" w:rsidR="009A288C" w:rsidRPr="00BC50C9" w:rsidRDefault="00896659" w:rsidP="00896659">
      <w:pPr>
        <w:pStyle w:val="113"/>
        <w:rPr>
          <w:rtl/>
        </w:rPr>
      </w:pPr>
      <w:bookmarkStart w:id="31" w:name="_Toc195456496"/>
      <w:r>
        <w:rPr>
          <w:rFonts w:hint="cs"/>
          <w:rtl/>
        </w:rPr>
        <w:t xml:space="preserve">4.4.1 </w:t>
      </w:r>
      <w:r w:rsidR="009A288C" w:rsidRPr="00BC50C9">
        <w:rPr>
          <w:rtl/>
        </w:rPr>
        <w:t>أهمية التمويل التشاركي</w:t>
      </w:r>
      <w:bookmarkEnd w:id="31"/>
    </w:p>
    <w:p w14:paraId="2A066F9B" w14:textId="77777777" w:rsidR="009A288C" w:rsidRPr="00BC50C9" w:rsidRDefault="009A288C" w:rsidP="00896659">
      <w:pPr>
        <w:pStyle w:val="00000"/>
        <w:rPr>
          <w:rtl/>
        </w:rPr>
      </w:pPr>
      <w:r w:rsidRPr="00BC50C9">
        <w:rPr>
          <w:rtl/>
        </w:rPr>
        <w:t xml:space="preserve">يلعب التمويل التشاركي دورًا مهمًا في تحفيز الابتكار، حيث يوفر منصة للمشاريع المبتكرة التي قد لا تجد طريقها في أنظمة التمويل التقليدية علاوة على ذلك، يعزز التواصل المباشر بين أصحاب المشاريع والممولين، مما يخلق علاقة ثقة وشفافية. كما يُسهم التمويل التشاركي في دعم المشاريع الاجتماعية؛ وهو ما أكد عليه "صاوي وقاعود" </w:t>
      </w:r>
      <w:r w:rsidRPr="00BC50C9">
        <w:t>Essawi, &amp; Kaoud, 2023, P.67)</w:t>
      </w:r>
      <w:r w:rsidRPr="00BC50C9">
        <w:rPr>
          <w:rtl/>
        </w:rPr>
        <w:t>) بأن طُرح التمويل الجماعي كأداة مبتكرة جديدة لتمويل الشركات الناشئة منذ حوالي عقد من الزمان، ويتضمن العديد من أساليب تعويض المانح، حسب المطلوب منه، مثل التبرعات، وقاعدة المكافآت، وقاعدة الأسهم، ويُعدّ التمويل الجماعي وسيلة لجمع الأموال لتمويل المشاريع والشركات، حيث يُمكّن جامعي التبرعات من جمع الأموال من عدد كبير من الأشخاص عبر منصات إلكترونية، وقد أصبح التمويل الجماعي ظاهرة عالمية بارزة ذات آثار كبيرة على مختلف مجالات الأعمال والسياقات المجتمعية، ويُعترف باستخدام التمويل الجماعي كمحفز لريادة الأعمال المبتكرة، إذ يُمكّن المشاريع والشركات من الحصول على تمويل من جمهور عالمي دون قيود جغرافية</w:t>
      </w:r>
    </w:p>
    <w:p w14:paraId="53F46127" w14:textId="77777777" w:rsidR="009A288C" w:rsidRPr="00BC50C9" w:rsidRDefault="009A288C" w:rsidP="00896659">
      <w:pPr>
        <w:pStyle w:val="00000"/>
        <w:rPr>
          <w:rtl/>
        </w:rPr>
      </w:pPr>
      <w:r w:rsidRPr="00BC50C9">
        <w:rPr>
          <w:rtl/>
        </w:rPr>
        <w:t>فإن تطور التمويل الجماعي كشكل جديد من أشكال تمويل ريادة الأعمال، يتماشى مع احتياجات التمويل لبعض الشركات المبتكرة التي غالبًا ما تكون غير قادرة على الاستفادة من أشكال أخرى من التمويل، وقد تسارع تطوره بعد الأزمة المالية عام 2008، ربما بسبب جفاف مصادر التمويل التقليدي للشركات الصغيرة والمتوسطة، ويتمتع التمويل الجماعي بالقدرة على توفير التمويل للمشاريع في مراحلها المبكرة، وبالتالي سد بعض فجوات التمويل التي تعاني منها الشركات الصغيرة المبتكرة، من خلال التمويل الجماعي القائم على المكافآت، والتمويل الجماعي القائم على التبرعات، والتمويل الجماعي القائم على القروض، والتمويل الجماعي القائم على الأسهم</w:t>
      </w:r>
      <w:r w:rsidRPr="00BC50C9">
        <w:t xml:space="preserve"> Hervé &amp; </w:t>
      </w:r>
      <w:proofErr w:type="spellStart"/>
      <w:r w:rsidRPr="00BC50C9">
        <w:t>Schwienbacher</w:t>
      </w:r>
      <w:proofErr w:type="spellEnd"/>
      <w:r w:rsidRPr="00BC50C9">
        <w:t>, 2019, PP.2-3)</w:t>
      </w:r>
      <w:r w:rsidRPr="00BC50C9">
        <w:rPr>
          <w:rtl/>
        </w:rPr>
        <w:t>).</w:t>
      </w:r>
    </w:p>
    <w:p w14:paraId="613FF8D2" w14:textId="77777777" w:rsidR="009A288C" w:rsidRPr="00BC50C9" w:rsidRDefault="009A288C" w:rsidP="00896659">
      <w:pPr>
        <w:pStyle w:val="00000"/>
        <w:rPr>
          <w:rtl/>
        </w:rPr>
      </w:pPr>
      <w:r w:rsidRPr="00BC50C9">
        <w:rPr>
          <w:rtl/>
        </w:rPr>
        <w:t xml:space="preserve">وعليه لقد شهد استخدام التمويل التشاركي توسعًا كبيرًا ليشمل مجموعة متنوعة من المشاريع، مثل المشاريع الفنية والإبداعية، ودعم الاختراعات الجديدة، وتغطية النفقات الطبية، والسفر، ومشاريع تنمية المجتمع وغيرها، ويُعتبر مصدرًا ماليًا ميسرًا ومرنًا؛ حيث يمكن من خلال منصاته الحصول على الأموال </w:t>
      </w:r>
      <w:r w:rsidRPr="00BC50C9">
        <w:rPr>
          <w:rtl/>
        </w:rPr>
        <w:lastRenderedPageBreak/>
        <w:t xml:space="preserve">اللازمة لدعم المشاريع والابتكارات التي يسعى الأفراد والمؤسسات إلى تنفيذها بشكل عاجل، كما يتجلى دوره في إقبال العديد من القطاعات المختلفة عليه لتمويل مشاريعها وأفكارها الإبداعية (أحمد، 2023، ص.ص127-128). </w:t>
      </w:r>
    </w:p>
    <w:p w14:paraId="6E398074" w14:textId="77777777" w:rsidR="009A288C" w:rsidRPr="00BC50C9" w:rsidRDefault="009A288C" w:rsidP="00896659">
      <w:pPr>
        <w:pStyle w:val="00000"/>
        <w:rPr>
          <w:rtl/>
        </w:rPr>
      </w:pPr>
      <w:r w:rsidRPr="00BC50C9">
        <w:rPr>
          <w:rtl/>
        </w:rPr>
        <w:t>كما يقدم التمويل التشاركي إمكانات هائلة خاصةً للمشاريع التجارية الإبداعية، وإلى جانب المزايا المالية الواضحة، يُقدم التمويل الجماعي عددًا من مزايا التسويق والتوزيع التي يفتقر إليها التمويل التقليدي، ومع ذلك، تجدر الإشارة إلى أن منصات التمويل الجماعي لا تدعم جميعها أهدافًا ذات طابع تجاري، فالهدف الرئيسي لنجاح أي مشروع تمويل جماعي هو الوصول إلى مستوى التمويل المطلوب لتحقيق أهداف المشروع، في التمويل الجماعي، تلعب بوابات التمويل الجماعي الإلكترونية دورًا هامًا، حيث تتيح تمويل مشروع معين</w:t>
      </w:r>
      <w:proofErr w:type="spellStart"/>
      <w:r w:rsidRPr="00BC50C9">
        <w:t>Leoński</w:t>
      </w:r>
      <w:proofErr w:type="spellEnd"/>
      <w:r w:rsidRPr="00BC50C9">
        <w:t>, 2022, P.2916)</w:t>
      </w:r>
      <w:r w:rsidRPr="00BC50C9">
        <w:rPr>
          <w:rtl/>
        </w:rPr>
        <w:t>).</w:t>
      </w:r>
    </w:p>
    <w:p w14:paraId="2F01DF1F" w14:textId="77777777" w:rsidR="009A288C" w:rsidRPr="00BC50C9" w:rsidRDefault="009A288C" w:rsidP="00896659">
      <w:pPr>
        <w:pStyle w:val="00000"/>
      </w:pPr>
      <w:r w:rsidRPr="00BC50C9">
        <w:rPr>
          <w:rtl/>
        </w:rPr>
        <w:t>وعلاوة على ذلك يعتبر التمويل التشاركي وسيلة حديثة ومتطورة لدعم المشاريع الناشئة، ويتميز بعدة جوانب، منها:</w:t>
      </w:r>
    </w:p>
    <w:p w14:paraId="75D98133" w14:textId="77777777" w:rsidR="009A288C" w:rsidRPr="00BC50C9" w:rsidRDefault="009A288C">
      <w:pPr>
        <w:numPr>
          <w:ilvl w:val="0"/>
          <w:numId w:val="1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استخدام منصات إلكترونية لطلب التمويل والمساهمة في دعم المشاريع.</w:t>
      </w:r>
    </w:p>
    <w:p w14:paraId="343E72AC" w14:textId="77777777" w:rsidR="009A288C" w:rsidRPr="00BC50C9" w:rsidRDefault="009A288C">
      <w:pPr>
        <w:numPr>
          <w:ilvl w:val="0"/>
          <w:numId w:val="1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تقديم حلول فعالة لتمويل الشركات الصغيرة والمتوسطة بعيدًا عن القروض البنكية.</w:t>
      </w:r>
    </w:p>
    <w:p w14:paraId="5AC1EEC0" w14:textId="77777777" w:rsidR="009A288C" w:rsidRPr="00BC50C9" w:rsidRDefault="009A288C">
      <w:pPr>
        <w:numPr>
          <w:ilvl w:val="0"/>
          <w:numId w:val="1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الحاجة إلى تشريعات قانونية في بعض الدول لتنظيم هذا النظام.</w:t>
      </w:r>
    </w:p>
    <w:p w14:paraId="5CF1136A" w14:textId="77777777" w:rsidR="009A288C" w:rsidRPr="00BC50C9" w:rsidRDefault="009A288C">
      <w:pPr>
        <w:numPr>
          <w:ilvl w:val="0"/>
          <w:numId w:val="1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تعزيز فرص النمو الاقتصادي من خلال تسهيل أنشطة التمويل الحديثة.</w:t>
      </w:r>
    </w:p>
    <w:p w14:paraId="2782B748" w14:textId="77777777" w:rsidR="009A288C" w:rsidRPr="00BC50C9" w:rsidRDefault="009A288C">
      <w:pPr>
        <w:numPr>
          <w:ilvl w:val="0"/>
          <w:numId w:val="15"/>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تمكين أصحاب المشاريع من الحصول على دعم مباشر من المستثمرين عبر الإنترنت (جنيدي، 2022، ص.258-259).</w:t>
      </w:r>
    </w:p>
    <w:p w14:paraId="5CBDFC9A" w14:textId="77777777" w:rsidR="009A288C" w:rsidRPr="00BC50C9" w:rsidRDefault="009A288C" w:rsidP="00896659">
      <w:pPr>
        <w:pStyle w:val="00000"/>
      </w:pPr>
      <w:r w:rsidRPr="00BC50C9">
        <w:rPr>
          <w:rtl/>
        </w:rPr>
        <w:t>وبالتالي يعتبر التمويل التشاركي من البدائل الحديثة للتمويل التقليدي؛ حيث يقدم مجموعة من المزايا، منها (صالح الدين وعبد الرؤوف، 2020، ص.53):</w:t>
      </w:r>
    </w:p>
    <w:p w14:paraId="7F9089A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إلغاء الحاجة إلى الوسطاء الماليين مثل البنوك.</w:t>
      </w:r>
    </w:p>
    <w:p w14:paraId="66FE4A4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إتاحة الفرصة لعدد كبير من الأفراد للمشاركة في الاستثمار بمبالغ متنوعة.</w:t>
      </w:r>
    </w:p>
    <w:p w14:paraId="447441A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عدم الاقتصار على تحقيق الأرباح، بل يشمل أيضًا دعم المشاريع الناشئة والأهداف الاجتماعية.</w:t>
      </w:r>
    </w:p>
    <w:p w14:paraId="3B07CF4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استخدام الإنترنت كوسيلة لربط منظمي المشاريع بالمستثمرين لتحقيق الأهداف التمويلية المرجوة.</w:t>
      </w:r>
    </w:p>
    <w:p w14:paraId="35A6C8CE" w14:textId="77777777" w:rsidR="009A288C" w:rsidRPr="00BC50C9" w:rsidRDefault="009A288C" w:rsidP="00896659">
      <w:pPr>
        <w:pStyle w:val="00000"/>
      </w:pPr>
      <w:r w:rsidRPr="00BC50C9">
        <w:rPr>
          <w:rtl/>
        </w:rPr>
        <w:t>وعليه تزايدت أهمية التمويل التشاركي كبديل فعال لتمويل المشروعات المتناهية الصغر، وذلك لعدة أسباب تجعل الحاجة إليه ملحة، منها:</w:t>
      </w:r>
    </w:p>
    <w:p w14:paraId="5A7258A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تخفيف الأعباء المالية على أصحاب المشروعات؛ حيث يساهم في تقليل تكاليف الفوائد المصرفية التي قد تصل إلى 30% في التمويل التقليدي.</w:t>
      </w:r>
    </w:p>
    <w:p w14:paraId="6FC00C5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تحقيق الشفافية والارتباط بالنشاط الاقتصادي الحقيقي، مما يقلل من احتمالية استغلال القروض لأغراض غير إنتاجية.</w:t>
      </w:r>
    </w:p>
    <w:p w14:paraId="35A6EB6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توسيع نطاق الشمول المالي من خلال توفير التمويل لفئات تفضل الابتعاد عن التعامل مع البنوك التقليدية بسبب الفوائد الربوية.</w:t>
      </w:r>
    </w:p>
    <w:p w14:paraId="5FA1C16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تعزيز فرص التمويل للمؤسسات الناشئة والصغيرة التي تواجه صعوبة في تقديم الضمانات المطلوبة في القطاع المصرفي التقليدي.</w:t>
      </w:r>
    </w:p>
    <w:p w14:paraId="5B86923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 xml:space="preserve">المساهمة في دعم المشروعات وتطويرها عبر توفير تمويل يتناسب مع احتياجاتها، مما يعزز النمو الاقتصادي ويخلق فرص عمل جديدة (الهرش، 2021، ص.29). </w:t>
      </w:r>
    </w:p>
    <w:p w14:paraId="54A35DF5" w14:textId="77777777" w:rsidR="009A288C" w:rsidRPr="00BC50C9" w:rsidRDefault="009A288C" w:rsidP="00896659">
      <w:pPr>
        <w:pStyle w:val="00000"/>
      </w:pPr>
      <w:r w:rsidRPr="00BC50C9">
        <w:rPr>
          <w:rtl/>
        </w:rPr>
        <w:t>خلاصة ما سبق يمكن استخلاص أن يُعد التمويل التشاركي أداة مالية مبتكرة تلعب دورًا حيويًا في دعم الأفكار والمشاريع التي قد تواجه صعوبات في الحصول على تمويل تقليدي فتكمن أهميته في كونه بوابة مفتوحة للرياديين وأصحاب الأفكار الإبداعية، حيث يوفر لهم فرصة لجمع الأموال من خلال مشاركة الجمهور، دون الحاجة إلى الاعتماد الكلي على البنوك أو المستثمرين الكبار بالإضافة إلى ذلك، يسهم التمويل التشاركي في تعزيز الشمول المالي، حيث يتيح للأفراد والشركات الصغيرة والمتوسطة الوصول إلى مصادر تمويل متنوعة، مما يدعم النمو الاقتصادي وخلق فرص عمل جديدة.</w:t>
      </w:r>
    </w:p>
    <w:p w14:paraId="1A585905" w14:textId="068A4C67" w:rsidR="009A288C" w:rsidRPr="00BC50C9" w:rsidRDefault="00896659" w:rsidP="00896659">
      <w:pPr>
        <w:pStyle w:val="113"/>
        <w:rPr>
          <w:rtl/>
        </w:rPr>
      </w:pPr>
      <w:bookmarkStart w:id="32" w:name="_Toc195456497"/>
      <w:r>
        <w:rPr>
          <w:rFonts w:hint="cs"/>
          <w:rtl/>
        </w:rPr>
        <w:t xml:space="preserve">5.4.1 </w:t>
      </w:r>
      <w:r w:rsidR="009A288C" w:rsidRPr="00BC50C9">
        <w:rPr>
          <w:rtl/>
        </w:rPr>
        <w:t>مبادئ التمويل التشاركي</w:t>
      </w:r>
      <w:bookmarkEnd w:id="32"/>
    </w:p>
    <w:p w14:paraId="4A5BE690" w14:textId="77777777" w:rsidR="009A288C" w:rsidRPr="00BC50C9" w:rsidRDefault="009A288C" w:rsidP="00896659">
      <w:pPr>
        <w:pStyle w:val="00000"/>
        <w:rPr>
          <w:rtl/>
        </w:rPr>
      </w:pPr>
      <w:r w:rsidRPr="00BC50C9">
        <w:rPr>
          <w:rtl/>
        </w:rPr>
        <w:t>يعد التمويل الجماعي، كأحد القنوات المبتكرة لجمع التبرعات، إلى استثمار بمثابة</w:t>
      </w:r>
      <w:r w:rsidRPr="00BC50C9">
        <w:t> </w:t>
      </w:r>
      <w:r w:rsidRPr="00BC50C9">
        <w:rPr>
          <w:rtl/>
        </w:rPr>
        <w:t xml:space="preserve">قوة الجماهير لدعم مشاريع متنوعة قد تواجه صعوبات في الحصول على تمويل عبر الطرق التقليدية يعمل هذا النموذج على تبسيط عملية جمع التبرعات من خلال الاعتماد على مبدأ الشفافية؛ وهو ما تطرق إليه "تشاو </w:t>
      </w:r>
      <w:proofErr w:type="spellStart"/>
      <w:r w:rsidRPr="00BC50C9">
        <w:rPr>
          <w:rtl/>
        </w:rPr>
        <w:t>وشنور</w:t>
      </w:r>
      <w:proofErr w:type="spellEnd"/>
      <w:r w:rsidRPr="00BC50C9">
        <w:rPr>
          <w:rtl/>
        </w:rPr>
        <w:t xml:space="preserve">" </w:t>
      </w:r>
      <w:r w:rsidRPr="00BC50C9">
        <w:t>Zhao &amp; Shneor, 2020, P.145)</w:t>
      </w:r>
      <w:r w:rsidRPr="00BC50C9">
        <w:rPr>
          <w:rtl/>
        </w:rPr>
        <w:t xml:space="preserve">) بأن يهدف التمويل الجماعي، كقناة مبتكرة لجمع التبرعات، إلى استغلال قوة الجماهير لدعم أنواع مختلفة من المشاريع التي قد يصعب تمويلها بالطرق التقليدية، وقد بسّط التمويل الجماعي عملية جمع التبرعات على أساس من الشفافية في وضوح المعلومات، والتواصل التفاعلي بين المستفيدين والمانحين، حيث أنه لابد من التواصل الفعال بينهم، من أجل الموثوقية، ويعد إتاحة المعلومات أمام المستفيدين من أهم أسس التمويل التشاركي </w:t>
      </w:r>
    </w:p>
    <w:p w14:paraId="42A902AC" w14:textId="77777777" w:rsidR="009A288C" w:rsidRPr="00BC50C9" w:rsidRDefault="009A288C" w:rsidP="00896659">
      <w:pPr>
        <w:pStyle w:val="00000"/>
        <w:rPr>
          <w:rtl/>
        </w:rPr>
      </w:pPr>
      <w:r w:rsidRPr="00BC50C9">
        <w:rPr>
          <w:rtl/>
        </w:rPr>
        <w:t xml:space="preserve">حيث تخضع عملية التمويل التشاركي للمشروعات لمجموعة من الضوابط والمبادئ، وأهمها الالتزام بالسلامة الشرعية لهذه المشروعات، وهو ما يمثل جوهر الاختلاف بين التمويل في النظام الإسلامي والأنظمة الأخرى، وفسر أحلام </w:t>
      </w:r>
      <w:proofErr w:type="spellStart"/>
      <w:r w:rsidRPr="00BC50C9">
        <w:rPr>
          <w:rtl/>
        </w:rPr>
        <w:t>وموراد</w:t>
      </w:r>
      <w:proofErr w:type="spellEnd"/>
      <w:r w:rsidRPr="00BC50C9">
        <w:rPr>
          <w:rtl/>
        </w:rPr>
        <w:t xml:space="preserve"> (2022، ص.658:656) المبادئ كالتالي:</w:t>
      </w:r>
    </w:p>
    <w:p w14:paraId="4CB24EFB" w14:textId="75E8553F" w:rsidR="009A288C" w:rsidRPr="00896659" w:rsidRDefault="009A288C">
      <w:pPr>
        <w:numPr>
          <w:ilvl w:val="0"/>
          <w:numId w:val="16"/>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896659">
        <w:rPr>
          <w:rFonts w:ascii="Times New Roman" w:eastAsia="Calibri" w:hAnsi="Times New Roman" w:cs="Simplified Arabic"/>
          <w:b/>
          <w:bCs/>
          <w:kern w:val="2"/>
          <w:sz w:val="24"/>
          <w:szCs w:val="28"/>
          <w:rtl/>
          <w14:ligatures w14:val="standardContextual"/>
        </w:rPr>
        <w:t>منع الاكتناز</w:t>
      </w:r>
      <w:r w:rsidR="00896659">
        <w:rPr>
          <w:rFonts w:ascii="Times New Roman" w:eastAsia="Calibri" w:hAnsi="Times New Roman" w:cs="Simplified Arabic" w:hint="cs"/>
          <w:b/>
          <w:bCs/>
          <w:kern w:val="2"/>
          <w:sz w:val="24"/>
          <w:szCs w:val="28"/>
          <w:rtl/>
          <w14:ligatures w14:val="standardContextual"/>
        </w:rPr>
        <w:t xml:space="preserve"> </w:t>
      </w:r>
      <w:r w:rsidRPr="00896659">
        <w:rPr>
          <w:rFonts w:ascii="Times New Roman" w:eastAsia="Calibri" w:hAnsi="Times New Roman" w:cs="Simplified Arabic"/>
          <w:sz w:val="24"/>
          <w:szCs w:val="28"/>
          <w:rtl/>
        </w:rPr>
        <w:t xml:space="preserve">يعتبر الاقتصاد الإسلامي الاكتناز محرمًا لأنه </w:t>
      </w:r>
      <w:proofErr w:type="gramStart"/>
      <w:r w:rsidRPr="00896659">
        <w:rPr>
          <w:rFonts w:ascii="Times New Roman" w:eastAsia="Calibri" w:hAnsi="Times New Roman" w:cs="Simplified Arabic"/>
          <w:sz w:val="24"/>
          <w:szCs w:val="28"/>
          <w:rtl/>
        </w:rPr>
        <w:t>يعيق</w:t>
      </w:r>
      <w:proofErr w:type="gramEnd"/>
      <w:r w:rsidRPr="00896659">
        <w:rPr>
          <w:rFonts w:ascii="Times New Roman" w:eastAsia="Calibri" w:hAnsi="Times New Roman" w:cs="Simplified Arabic"/>
          <w:sz w:val="24"/>
          <w:szCs w:val="28"/>
          <w:rtl/>
        </w:rPr>
        <w:t xml:space="preserve"> حركة تداول الأموال، ويحولها إلى سلعة تُطلب لذاتها بدلاً من أن تكون وسيلة للتبادل، وهذا الأمر يقلل من حركة السلع والخدمات، مما يؤدي إلى انخفاض في الإنفاق والاستثمار، وزيادة في معدلات البطالة وتراجع في التنمية، كما أن الاكتناز يضعف القدرة الشرائية، مما قد يؤدي إلى ركود اقتصادي، وقد تضطر الدولة في هذه الحالة إلى إصدار المزيد من النقود، مما يزيد من </w:t>
      </w:r>
      <w:proofErr w:type="gramStart"/>
      <w:r w:rsidRPr="00896659">
        <w:rPr>
          <w:rFonts w:ascii="Times New Roman" w:eastAsia="Calibri" w:hAnsi="Times New Roman" w:cs="Simplified Arabic"/>
          <w:sz w:val="24"/>
          <w:szCs w:val="28"/>
          <w:rtl/>
        </w:rPr>
        <w:t>مخاطر</w:t>
      </w:r>
      <w:proofErr w:type="gramEnd"/>
      <w:r w:rsidRPr="00896659">
        <w:rPr>
          <w:rFonts w:ascii="Times New Roman" w:eastAsia="Calibri" w:hAnsi="Times New Roman" w:cs="Simplified Arabic"/>
          <w:sz w:val="24"/>
          <w:szCs w:val="28"/>
          <w:rtl/>
        </w:rPr>
        <w:t xml:space="preserve"> التضخم.</w:t>
      </w:r>
    </w:p>
    <w:p w14:paraId="0AC70CA5" w14:textId="3C47E8FA" w:rsidR="009A288C" w:rsidRPr="0089665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lastRenderedPageBreak/>
        <w:t>نظام المشاركة</w:t>
      </w:r>
      <w:r w:rsidR="00896659">
        <w:rPr>
          <w:rFonts w:ascii="Times New Roman" w:eastAsia="Calibri" w:hAnsi="Times New Roman" w:cs="Simplified Arabic" w:hint="cs"/>
          <w:kern w:val="2"/>
          <w:sz w:val="24"/>
          <w:szCs w:val="28"/>
          <w:rtl/>
          <w14:ligatures w14:val="standardContextual"/>
        </w:rPr>
        <w:t xml:space="preserve"> </w:t>
      </w:r>
      <w:r w:rsidRPr="00896659">
        <w:rPr>
          <w:rFonts w:ascii="Times New Roman" w:eastAsia="Calibri" w:hAnsi="Times New Roman" w:cs="Simplified Arabic"/>
          <w:sz w:val="24"/>
          <w:szCs w:val="28"/>
          <w:rtl/>
        </w:rPr>
        <w:t>لذا، يُعتبر تطبيق نظام المشاركة ليس مجرد بديل إسلامي للنظام الربوي، بل هو يتفوق عليه بشكل كبير؛ حيث يهدف إلى تحقيق الربح الخاص بالإضافة إلى تحقيق عوائد اجتماعية تسهم في التنمية الشاملة.</w:t>
      </w:r>
    </w:p>
    <w:p w14:paraId="113CC620" w14:textId="77777777" w:rsidR="009A288C" w:rsidRPr="00BC50C9" w:rsidRDefault="009A288C" w:rsidP="00896659">
      <w:pPr>
        <w:pStyle w:val="00000"/>
      </w:pPr>
      <w:r w:rsidRPr="00BC50C9">
        <w:rPr>
          <w:rtl/>
        </w:rPr>
        <w:t>يعتمد التمويل التشاركي على مجموعة من المبادئ الأساسية التي تضمن الشفافية والكفاءة، بالإضافة إلى حماية المستثمرين والمقترضين، ومن أبرز هذه المبادئ التي ذكرتها هيئة الأوراق والأسواق المالية السورية (2025، ص.13):</w:t>
      </w:r>
    </w:p>
    <w:p w14:paraId="6389653B" w14:textId="77777777" w:rsidR="009A288C" w:rsidRPr="00BC50C9" w:rsidRDefault="009A288C">
      <w:pPr>
        <w:numPr>
          <w:ilvl w:val="0"/>
          <w:numId w:val="2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الأهلية المالية:</w:t>
      </w:r>
      <w:r w:rsidRPr="00BC50C9">
        <w:rPr>
          <w:rFonts w:ascii="Times New Roman" w:eastAsia="Calibri" w:hAnsi="Times New Roman" w:cs="Simplified Arabic"/>
          <w:kern w:val="2"/>
          <w:sz w:val="24"/>
          <w:szCs w:val="28"/>
          <w:rtl/>
          <w14:ligatures w14:val="standardContextual"/>
        </w:rPr>
        <w:t xml:space="preserve"> يجب أن يتمتع مشغل المنصة بملاءة مالية كافية تتيح له إنشاء وإدارة المنصة بكفاءة، فضلاً عن القدرة على التعامل مع المخاطر المالية المرتبطة بعملياته.</w:t>
      </w:r>
    </w:p>
    <w:p w14:paraId="28FD7DB3" w14:textId="77777777" w:rsidR="009A288C" w:rsidRPr="00BC50C9" w:rsidRDefault="009A288C">
      <w:pPr>
        <w:numPr>
          <w:ilvl w:val="0"/>
          <w:numId w:val="2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الأمانة والنزاهة:</w:t>
      </w:r>
      <w:r w:rsidRPr="00BC50C9">
        <w:rPr>
          <w:rFonts w:ascii="Times New Roman" w:eastAsia="Calibri" w:hAnsi="Times New Roman" w:cs="Simplified Arabic"/>
          <w:kern w:val="2"/>
          <w:sz w:val="24"/>
          <w:szCs w:val="28"/>
          <w:rtl/>
          <w14:ligatures w14:val="standardContextual"/>
        </w:rPr>
        <w:t xml:space="preserve"> ينبغي أن يكون سجل مشغل المنصة خالياً من العقوبات أو المخالفات التي قد تضر بالمستثمرين، مما يضمن بيئة تمويل موثوقة وعادلة.</w:t>
      </w:r>
    </w:p>
    <w:p w14:paraId="1FCBF9C5" w14:textId="77777777" w:rsidR="009A288C" w:rsidRPr="00BC50C9" w:rsidRDefault="009A288C">
      <w:pPr>
        <w:numPr>
          <w:ilvl w:val="0"/>
          <w:numId w:val="21"/>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القدرة والكفاءة:</w:t>
      </w:r>
      <w:r w:rsidRPr="00BC50C9">
        <w:rPr>
          <w:rFonts w:ascii="Times New Roman" w:eastAsia="Calibri" w:hAnsi="Times New Roman" w:cs="Simplified Arabic"/>
          <w:kern w:val="2"/>
          <w:sz w:val="24"/>
          <w:szCs w:val="28"/>
          <w:rtl/>
          <w14:ligatures w14:val="standardContextual"/>
        </w:rPr>
        <w:t xml:space="preserve"> يتعين على مشغل المنصة أن يمتلك الموارد البشرية المؤهلة والخبرة الفنية اللازمة لضمان تشغيل بيئة تكنولوجية بكفاءة وموثوقية.</w:t>
      </w:r>
    </w:p>
    <w:p w14:paraId="6F39C7D1" w14:textId="77777777" w:rsidR="009A288C" w:rsidRPr="00BC50C9" w:rsidRDefault="009A288C">
      <w:pPr>
        <w:numPr>
          <w:ilvl w:val="0"/>
          <w:numId w:val="21"/>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الامتثال:</w:t>
      </w:r>
      <w:r w:rsidRPr="00BC50C9">
        <w:rPr>
          <w:rFonts w:ascii="Times New Roman" w:eastAsia="Calibri" w:hAnsi="Times New Roman" w:cs="Simplified Arabic"/>
          <w:kern w:val="2"/>
          <w:sz w:val="24"/>
          <w:szCs w:val="28"/>
          <w:rtl/>
          <w14:ligatures w14:val="standardContextual"/>
        </w:rPr>
        <w:t xml:space="preserve"> يجب على مشغل المنصة الالتزام بجميع القوانين والأنظمة التنظيمية المعمول بها، خاصة تلك المتعلقة بمتطلبات تشغيل منصات التمويل الجماعي، قبل الحصول على الترخيص لمزاولة هذه الخدمة.</w:t>
      </w:r>
    </w:p>
    <w:p w14:paraId="16B3812F" w14:textId="77777777" w:rsidR="009A288C" w:rsidRPr="00BC50C9" w:rsidRDefault="009A288C" w:rsidP="00896659">
      <w:pPr>
        <w:pStyle w:val="00000"/>
      </w:pPr>
      <w:r w:rsidRPr="00BC50C9">
        <w:rPr>
          <w:rtl/>
        </w:rPr>
        <w:t>تبين باستقراء ما سبق أن يعتمد التمويل التشاركي على مجموعة من المبادئ الأساسية التي تجعله نموذجًا فريدًا وفعّالًا في عالم التمويل الحديث أولاً، الشفافية، حيث يتم عرض تفاصيل المشروع بشكل واضح ومفصل، مما يسمح للممولين بفهم أهدافه ومراحل تنفيذه ثانيًا، المشاركة الجماعية، التي تعتمد على تجميع تمويل صغير من عدد كبير من الأفراد، مما يقلل من المخاطر على كل مشارك ثالثًا، اللامركزية، حيث لا يحتاج المشروع إلى الاعتماد على مؤسسات مالية تقليدية، مما يجعله أكثر مرونة وسرعة.</w:t>
      </w:r>
    </w:p>
    <w:p w14:paraId="7F6F9D0C" w14:textId="5AE8A082" w:rsidR="009A288C" w:rsidRPr="00BC50C9" w:rsidRDefault="00896659" w:rsidP="00896659">
      <w:pPr>
        <w:pStyle w:val="113"/>
      </w:pPr>
      <w:bookmarkStart w:id="33" w:name="_Toc195456498"/>
      <w:r>
        <w:rPr>
          <w:rFonts w:hint="cs"/>
          <w:rtl/>
        </w:rPr>
        <w:t xml:space="preserve">6.4.1 </w:t>
      </w:r>
      <w:r w:rsidR="009A288C" w:rsidRPr="00BC50C9">
        <w:rPr>
          <w:rtl/>
        </w:rPr>
        <w:t>نماذج التمويل التشاركي</w:t>
      </w:r>
      <w:bookmarkEnd w:id="33"/>
    </w:p>
    <w:p w14:paraId="77E8BF4E" w14:textId="77777777" w:rsidR="009A288C" w:rsidRPr="00BC50C9" w:rsidRDefault="009A288C" w:rsidP="00896659">
      <w:pPr>
        <w:pStyle w:val="00000"/>
      </w:pPr>
      <w:r w:rsidRPr="00BC50C9">
        <w:rPr>
          <w:rtl/>
        </w:rPr>
        <w:t>مع تزايد انتشار منصات التمويل التشاركي، تنوعت أهدافها والمشاريع التي تدعمها، بالإضافة إلى أساليب عملها. يمكن تصنيفها إلى (مؤسسة سليمان بن عبد العزيز الراجحي الخيرية، 2020، ص.15):</w:t>
      </w:r>
    </w:p>
    <w:p w14:paraId="37000D8B" w14:textId="77777777" w:rsidR="009A288C" w:rsidRPr="00BC50C9" w:rsidRDefault="009A288C">
      <w:pPr>
        <w:numPr>
          <w:ilvl w:val="0"/>
          <w:numId w:val="12"/>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التمويل </w:t>
      </w:r>
      <w:proofErr w:type="spellStart"/>
      <w:r w:rsidRPr="00BC50C9">
        <w:rPr>
          <w:rFonts w:ascii="Times New Roman" w:eastAsia="Calibri" w:hAnsi="Times New Roman" w:cs="Simplified Arabic"/>
          <w:b/>
          <w:bCs/>
          <w:kern w:val="2"/>
          <w:sz w:val="24"/>
          <w:szCs w:val="28"/>
          <w:rtl/>
          <w14:ligatures w14:val="standardContextual"/>
        </w:rPr>
        <w:t>التبرعي</w:t>
      </w:r>
      <w:proofErr w:type="spellEnd"/>
      <w:r w:rsidRPr="00BC50C9">
        <w:rPr>
          <w:rFonts w:ascii="Times New Roman" w:eastAsia="Calibri" w:hAnsi="Times New Roman" w:cs="Simplified Arabic"/>
          <w:b/>
          <w:bCs/>
          <w:kern w:val="2"/>
          <w:sz w:val="24"/>
          <w:szCs w:val="28"/>
          <w:rtl/>
          <w14:ligatures w14:val="standardContextual"/>
        </w:rPr>
        <w:t xml:space="preserve">: </w:t>
      </w:r>
      <w:r w:rsidRPr="00BC50C9">
        <w:rPr>
          <w:rFonts w:ascii="Times New Roman" w:eastAsia="Calibri" w:hAnsi="Times New Roman" w:cs="Simplified Arabic"/>
          <w:kern w:val="2"/>
          <w:sz w:val="24"/>
          <w:szCs w:val="28"/>
          <w:rtl/>
          <w14:ligatures w14:val="standardContextual"/>
        </w:rPr>
        <w:t>تعتمد هذه المنصات على جمع التبرعات والهبات من المتبرعين دون الحاجة لتوقيع أي عقود، بهدف المشاركة في الأعمال الخيرية والإنسانية لدعم جهود الإغاثة في حالات الكوارث والمجاعات، وتمويل برامج التعليم وغيرها، وتُعتبر منصتا "</w:t>
      </w:r>
      <w:r w:rsidRPr="00BC50C9">
        <w:rPr>
          <w:rFonts w:ascii="Times New Roman" w:eastAsia="Calibri" w:hAnsi="Times New Roman" w:cs="Simplified Arabic"/>
          <w:kern w:val="2"/>
          <w:sz w:val="24"/>
          <w:szCs w:val="28"/>
          <w14:ligatures w14:val="standardContextual"/>
        </w:rPr>
        <w:t>Giving Just</w:t>
      </w:r>
      <w:r w:rsidRPr="00BC50C9">
        <w:rPr>
          <w:rFonts w:ascii="Times New Roman" w:eastAsia="Calibri" w:hAnsi="Times New Roman" w:cs="Simplified Arabic"/>
          <w:kern w:val="2"/>
          <w:sz w:val="24"/>
          <w:szCs w:val="28"/>
          <w:rtl/>
          <w14:ligatures w14:val="standardContextual"/>
        </w:rPr>
        <w:t>" و"</w:t>
      </w:r>
      <w:r w:rsidRPr="00BC50C9">
        <w:rPr>
          <w:rFonts w:ascii="Times New Roman" w:eastAsia="Calibri" w:hAnsi="Times New Roman" w:cs="Simplified Arabic"/>
          <w:kern w:val="2"/>
          <w:sz w:val="24"/>
          <w:szCs w:val="28"/>
          <w14:ligatures w14:val="standardContextual"/>
        </w:rPr>
        <w:t>GoFundMe</w:t>
      </w:r>
      <w:r w:rsidRPr="00BC50C9">
        <w:rPr>
          <w:rFonts w:ascii="Times New Roman" w:eastAsia="Calibri" w:hAnsi="Times New Roman" w:cs="Simplified Arabic"/>
          <w:kern w:val="2"/>
          <w:sz w:val="24"/>
          <w:szCs w:val="28"/>
          <w:rtl/>
          <w14:ligatures w14:val="standardContextual"/>
        </w:rPr>
        <w:t>" من أبرز المنصات في هذا المجال على مستوى العالم؛ حيث جمعتا تمويلاً قدره 2.9 مليار دولار في عام 2015.</w:t>
      </w:r>
    </w:p>
    <w:p w14:paraId="1814713A" w14:textId="77777777" w:rsidR="009A288C" w:rsidRPr="00BC50C9" w:rsidRDefault="009A288C" w:rsidP="00896659">
      <w:pPr>
        <w:pStyle w:val="00000"/>
        <w:rPr>
          <w:rtl/>
        </w:rPr>
      </w:pPr>
      <w:r w:rsidRPr="00BC50C9">
        <w:rPr>
          <w:rtl/>
        </w:rPr>
        <w:lastRenderedPageBreak/>
        <w:t xml:space="preserve">حيث يُستخدم هذا النوع من الدعم لتمويل المشاريع التعليمية والثقافية والإبداعية، وغالبًا ما يقترح أصحاب هذه الأفكار تقديم بعض المكافآت أو الهدايا الرمزية للممولين، أو حتى مجرد تقديم كلمة شكر من قبل صاحب الحملة للأفراد الداعمين، وفي بعض الأحيان يكون الهدف من هذا التمويل هو شراء المنتج المعروض مسبقًا؛ حيث يتم دفع الأموال مقدمًا للحصول على المنتج بعد تصنيعه أو تنفيذه، ومن أبرز الأمثلة على ذلك هو موقع </w:t>
      </w:r>
      <w:r w:rsidRPr="00BC50C9">
        <w:t>Kickstarter</w:t>
      </w:r>
      <w:r w:rsidRPr="00BC50C9">
        <w:rPr>
          <w:rtl/>
        </w:rPr>
        <w:t xml:space="preserve"> (جمعية قضاء، 2025، ص.316). </w:t>
      </w:r>
    </w:p>
    <w:p w14:paraId="63488ED7" w14:textId="281A97E2" w:rsidR="009A288C" w:rsidRPr="00BC50C9" w:rsidRDefault="009A288C" w:rsidP="00896659">
      <w:pPr>
        <w:pStyle w:val="00000"/>
        <w:rPr>
          <w:rtl/>
        </w:rPr>
      </w:pPr>
      <w:r w:rsidRPr="00BC50C9">
        <w:rPr>
          <w:rtl/>
        </w:rPr>
        <w:t xml:space="preserve">فهذا النوع من التمويل الجماعي شائع في المنظمات غير الربحية، حيث يدعم المستثمرون قضية أو شركة محددة، لكنهم لا يحصلون على عائد مباشر مقابل تبرعاتهم أو أي نوع من المكافآت، وفي الغالب، يستثمر الممولون في هذا النوع لدعم قضية يؤمنون بها، ويؤمن الممولون بالمكافأة المعنوية، ولا يلتزم رواد الأعمال بأي التزامات تجاه </w:t>
      </w:r>
      <w:proofErr w:type="gramStart"/>
      <w:r w:rsidRPr="00BC50C9">
        <w:rPr>
          <w:rtl/>
        </w:rPr>
        <w:t>المستثمرين</w:t>
      </w:r>
      <w:r w:rsidRPr="00BC50C9">
        <w:rPr>
          <w:color w:val="222222"/>
          <w:shd w:val="clear" w:color="auto" w:fill="FFFFFF"/>
        </w:rPr>
        <w:t>(</w:t>
      </w:r>
      <w:proofErr w:type="gramEnd"/>
      <w:r w:rsidRPr="00BC50C9">
        <w:rPr>
          <w:color w:val="222222"/>
          <w:shd w:val="clear" w:color="auto" w:fill="FFFFFF"/>
        </w:rPr>
        <w:t>Miranda, 2020, P.6)</w:t>
      </w:r>
      <w:r w:rsidRPr="00BC50C9">
        <w:rPr>
          <w:color w:val="222222"/>
          <w:shd w:val="clear" w:color="auto" w:fill="FFFFFF"/>
          <w:rtl/>
        </w:rPr>
        <w:t>.</w:t>
      </w:r>
    </w:p>
    <w:p w14:paraId="719CC6F6" w14:textId="6BCC6E16" w:rsidR="009A288C" w:rsidRPr="00BC50C9" w:rsidRDefault="009A288C" w:rsidP="00896659">
      <w:pPr>
        <w:pStyle w:val="00000"/>
        <w:rPr>
          <w:rtl/>
        </w:rPr>
      </w:pPr>
      <w:r w:rsidRPr="00BC50C9">
        <w:rPr>
          <w:rtl/>
        </w:rPr>
        <w:t>كما تستحق ظاهرة الدعم الاجتماعي دراسةً أكثر تعمقًا، لأن نجاحها يعتمد بشدة على القدرة على بناء مجموعة مميزة أو دائمة من الأشخاص الذين يشاركونهم معتقداتهم، وهم على استعداد لدعم المؤسسات الخارجية أو الأفراد، في الغالب، تستخدم المنظمات غير الحكومية هذا النوع من النماذج لجذب التبرعات لمشاريع محددة عبر الإنترنت، وجمع الأموال من الممولين لقضية نبيلة، ويُحدّث مُنشئ المشروع كل معلومة عن المشروع، ويحافظ على المساءلة والشفافية تجاه المانحين</w:t>
      </w:r>
      <w:r w:rsidR="00896659">
        <w:rPr>
          <w:rFonts w:hint="cs"/>
          <w:rtl/>
        </w:rPr>
        <w:t xml:space="preserve"> </w:t>
      </w:r>
      <w:r w:rsidRPr="00BC50C9">
        <w:t>(</w:t>
      </w:r>
      <w:r w:rsidRPr="00BC50C9">
        <w:rPr>
          <w:color w:val="222222"/>
          <w:shd w:val="clear" w:color="auto" w:fill="FFFFFF"/>
        </w:rPr>
        <w:t>Wangchuk, P.2021, P.58)</w:t>
      </w:r>
      <w:r w:rsidRPr="00BC50C9">
        <w:rPr>
          <w:rtl/>
        </w:rPr>
        <w:t>.</w:t>
      </w:r>
    </w:p>
    <w:p w14:paraId="2689CB0C" w14:textId="77777777" w:rsidR="009A288C" w:rsidRPr="00BC50C9" w:rsidRDefault="009A288C">
      <w:pPr>
        <w:numPr>
          <w:ilvl w:val="0"/>
          <w:numId w:val="12"/>
        </w:numPr>
        <w:bidi/>
        <w:spacing w:before="120" w:after="120" w:line="240" w:lineRule="auto"/>
        <w:contextualSpacing/>
        <w:jc w:val="both"/>
        <w:rPr>
          <w:rFonts w:ascii="Times New Roman" w:eastAsia="Calibri" w:hAnsi="Times New Roman" w:cs="Simplified Arabic"/>
          <w:b/>
          <w:bCs/>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 xml:space="preserve">التمويل القائم على المكافآت: </w:t>
      </w:r>
      <w:r w:rsidRPr="00BC50C9">
        <w:rPr>
          <w:rFonts w:ascii="Times New Roman" w:eastAsia="Calibri" w:hAnsi="Times New Roman" w:cs="Simplified Arabic"/>
          <w:kern w:val="2"/>
          <w:sz w:val="24"/>
          <w:szCs w:val="28"/>
          <w:rtl/>
          <w14:ligatures w14:val="standardContextual"/>
        </w:rPr>
        <w:t xml:space="preserve">تُعرف هذه المنصات بمنصات المنح؛ حيث تعتمد على جمع التمويل الجماعي القائم على المكافآت، ويقوم الأفراد بتمويل مشروعات ناشئة مقابل الحصول على مكافآت مثل هدايا رمزية أو نسخ مبكرة من المنتج، ومن بين أشهر هذه المنصات نجد </w:t>
      </w:r>
      <w:r w:rsidRPr="00BC50C9">
        <w:rPr>
          <w:rFonts w:ascii="Times New Roman" w:eastAsia="Calibri" w:hAnsi="Times New Roman" w:cs="Simplified Arabic"/>
          <w:kern w:val="2"/>
          <w:sz w:val="24"/>
          <w:szCs w:val="28"/>
          <w14:ligatures w14:val="standardContextual"/>
        </w:rPr>
        <w:t>Kickstarter</w:t>
      </w:r>
      <w:r w:rsidRPr="00BC50C9">
        <w:rPr>
          <w:rFonts w:ascii="Times New Roman" w:eastAsia="Calibri" w:hAnsi="Times New Roman" w:cs="Simplified Arabic"/>
          <w:kern w:val="2"/>
          <w:sz w:val="24"/>
          <w:szCs w:val="28"/>
          <w:rtl/>
          <w14:ligatures w14:val="standardContextual"/>
        </w:rPr>
        <w:t xml:space="preserve"> و</w:t>
      </w:r>
      <w:r w:rsidRPr="00BC50C9">
        <w:rPr>
          <w:rFonts w:ascii="Times New Roman" w:eastAsia="Calibri" w:hAnsi="Times New Roman" w:cs="Simplified Arabic"/>
          <w:kern w:val="2"/>
          <w:sz w:val="24"/>
          <w:szCs w:val="28"/>
          <w14:ligatures w14:val="standardContextual"/>
        </w:rPr>
        <w:t>Indiegogo</w:t>
      </w:r>
      <w:r w:rsidRPr="00BC50C9">
        <w:rPr>
          <w:rFonts w:ascii="Times New Roman" w:eastAsia="Calibri" w:hAnsi="Times New Roman" w:cs="Simplified Arabic"/>
          <w:kern w:val="2"/>
          <w:sz w:val="24"/>
          <w:szCs w:val="28"/>
          <w:rtl/>
          <w14:ligatures w14:val="standardContextual"/>
        </w:rPr>
        <w:t>، وتنقسم هذه المنصات إلى نوعين:</w:t>
      </w:r>
    </w:p>
    <w:p w14:paraId="0F3F529F" w14:textId="77777777" w:rsidR="009A288C" w:rsidRPr="00BC50C9" w:rsidRDefault="009A288C">
      <w:pPr>
        <w:numPr>
          <w:ilvl w:val="0"/>
          <w:numId w:val="5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التمويل الكامل أو لا شيء (</w:t>
      </w:r>
      <w:r w:rsidRPr="00BC50C9">
        <w:rPr>
          <w:rFonts w:ascii="Times New Roman" w:eastAsia="Calibri" w:hAnsi="Times New Roman" w:cs="Simplified Arabic"/>
          <w:b/>
          <w:bCs/>
          <w:kern w:val="2"/>
          <w:sz w:val="24"/>
          <w:szCs w:val="28"/>
          <w14:ligatures w14:val="standardContextual"/>
        </w:rPr>
        <w:t>AON</w:t>
      </w:r>
      <w:r w:rsidRPr="00BC50C9">
        <w:rPr>
          <w:rFonts w:ascii="Times New Roman" w:eastAsia="Calibri" w:hAnsi="Times New Roman" w:cs="Simplified Arabic"/>
          <w:b/>
          <w:bCs/>
          <w:kern w:val="2"/>
          <w:sz w:val="24"/>
          <w:szCs w:val="28"/>
          <w:rtl/>
          <w14:ligatures w14:val="standardContextual"/>
        </w:rPr>
        <w:t>):</w:t>
      </w:r>
      <w:r w:rsidRPr="00BC50C9">
        <w:rPr>
          <w:rFonts w:ascii="Times New Roman" w:eastAsia="Calibri" w:hAnsi="Times New Roman" w:cs="Simplified Arabic"/>
          <w:kern w:val="2"/>
          <w:sz w:val="24"/>
          <w:szCs w:val="28"/>
          <w:rtl/>
          <w14:ligatures w14:val="standardContextual"/>
        </w:rPr>
        <w:t xml:space="preserve"> يحصل صاحب المشروع على التمويل فقط إذا تم جمع المبلغ المستهدف بالكامل، وفي حال عدم تحقيق ذلك، يتم رد الأموال إلى الممولين.</w:t>
      </w:r>
    </w:p>
    <w:p w14:paraId="0B514747" w14:textId="77777777" w:rsidR="009A288C" w:rsidRPr="00BC50C9" w:rsidRDefault="009A288C">
      <w:pPr>
        <w:numPr>
          <w:ilvl w:val="0"/>
          <w:numId w:val="57"/>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التمويل المرن (</w:t>
      </w:r>
      <w:r w:rsidRPr="00BC50C9">
        <w:rPr>
          <w:rFonts w:ascii="Times New Roman" w:eastAsia="Calibri" w:hAnsi="Times New Roman" w:cs="Simplified Arabic"/>
          <w:b/>
          <w:bCs/>
          <w:kern w:val="2"/>
          <w:sz w:val="24"/>
          <w:szCs w:val="28"/>
          <w14:ligatures w14:val="standardContextual"/>
        </w:rPr>
        <w:t>KIA</w:t>
      </w:r>
      <w:r w:rsidRPr="00BC50C9">
        <w:rPr>
          <w:rFonts w:ascii="Times New Roman" w:eastAsia="Calibri" w:hAnsi="Times New Roman" w:cs="Simplified Arabic"/>
          <w:b/>
          <w:bCs/>
          <w:kern w:val="2"/>
          <w:sz w:val="24"/>
          <w:szCs w:val="28"/>
          <w:rtl/>
          <w14:ligatures w14:val="standardContextual"/>
        </w:rPr>
        <w:t>):</w:t>
      </w:r>
      <w:r w:rsidRPr="00BC50C9">
        <w:rPr>
          <w:rFonts w:ascii="Times New Roman" w:eastAsia="Calibri" w:hAnsi="Times New Roman" w:cs="Simplified Arabic"/>
          <w:kern w:val="2"/>
          <w:sz w:val="24"/>
          <w:szCs w:val="28"/>
          <w:rtl/>
          <w14:ligatures w14:val="standardContextual"/>
        </w:rPr>
        <w:t xml:space="preserve"> يتيح لصاحب المشروع الاحتفاظ بأي مبلغ تم جمعه، حتى وإن لم يصل إلى الهدف المطلوب، وتتمتع منصات </w:t>
      </w:r>
      <w:r w:rsidRPr="00BC50C9">
        <w:rPr>
          <w:rFonts w:ascii="Times New Roman" w:eastAsia="Calibri" w:hAnsi="Times New Roman" w:cs="Simplified Arabic"/>
          <w:kern w:val="2"/>
          <w:sz w:val="24"/>
          <w:szCs w:val="28"/>
          <w14:ligatures w14:val="standardContextual"/>
        </w:rPr>
        <w:t>AON</w:t>
      </w:r>
      <w:r w:rsidRPr="00BC50C9">
        <w:rPr>
          <w:rFonts w:ascii="Times New Roman" w:eastAsia="Calibri" w:hAnsi="Times New Roman" w:cs="Simplified Arabic"/>
          <w:kern w:val="2"/>
          <w:sz w:val="24"/>
          <w:szCs w:val="28"/>
          <w:rtl/>
          <w14:ligatures w14:val="standardContextual"/>
        </w:rPr>
        <w:t xml:space="preserve"> بشعبية أكبر بين الممولين، حيث تعكس قبولًا أوسع للمشروع.</w:t>
      </w:r>
    </w:p>
    <w:p w14:paraId="48281408" w14:textId="77777777" w:rsidR="009A288C" w:rsidRPr="00BC50C9" w:rsidRDefault="009A288C" w:rsidP="00896659">
      <w:pPr>
        <w:pStyle w:val="00000"/>
        <w:rPr>
          <w:rtl/>
        </w:rPr>
      </w:pPr>
      <w:r w:rsidRPr="00BC50C9">
        <w:rPr>
          <w:rtl/>
        </w:rPr>
        <w:t>ويتمثل هذا النموذج في دعوة مستخدمي الإنترنت للمساهمة في دعم مشروع معين معروض على منصة، مقابل الحصول على مكافآت محددة، ويمكن أن تتخذ هذه المكافآت أشكالًا متنوعة؛ حيث قد يتوقع أصحاب المشاريع الحصول على تعويض مادي أو مكافآت غير ملموسة مثل الشكر أو الدعوات، وبالتالي قد تشمل المشاركة أيضًا حصة من الأرباح المحققة وعائد مالي، ويُعتبر هذا النوع من التمويل مناسبًا بشكل خاص للمشاريع الفنية والثقافية (صخري، 2022، ص.325).</w:t>
      </w:r>
    </w:p>
    <w:p w14:paraId="44955B4F" w14:textId="77777777" w:rsidR="009A288C" w:rsidRPr="00BC50C9" w:rsidRDefault="009A288C" w:rsidP="00896659">
      <w:pPr>
        <w:pStyle w:val="00000"/>
        <w:rPr>
          <w:rtl/>
        </w:rPr>
      </w:pPr>
      <w:r w:rsidRPr="00BC50C9">
        <w:rPr>
          <w:rtl/>
        </w:rPr>
        <w:t xml:space="preserve">ففي التمويل الجماعي القائم على المكافآت، لا يتوقع الممولون عوائد مالية، بل يتوقعون الحصول على المنتجات التي يستثمرون فيها، ويُعتبر الممولون عملاء أوليين، مما يتيح لهم الوصول إلى المنتجات قبل </w:t>
      </w:r>
      <w:r w:rsidRPr="00BC50C9">
        <w:rPr>
          <w:rtl/>
        </w:rPr>
        <w:lastRenderedPageBreak/>
        <w:t>أي شخص آخر، بسعر أفضل أو بفائدة معينة، ويختار الممولون هذا النوع من التمويل في الحالات التي يصعب فيها التحقق من التدفق النقدي، مثل مشاريع الموسيقى والأفلام والكتب</w:t>
      </w:r>
      <w:r w:rsidRPr="00BC50C9">
        <w:rPr>
          <w:color w:val="222222"/>
          <w:shd w:val="clear" w:color="auto" w:fill="FFFFFF"/>
        </w:rPr>
        <w:t>Miranda, 2020, P.6)</w:t>
      </w:r>
      <w:r w:rsidRPr="00BC50C9">
        <w:rPr>
          <w:color w:val="222222"/>
          <w:shd w:val="clear" w:color="auto" w:fill="FFFFFF"/>
          <w:rtl/>
        </w:rPr>
        <w:t>)</w:t>
      </w:r>
      <w:r w:rsidRPr="00BC50C9">
        <w:rPr>
          <w:rtl/>
        </w:rPr>
        <w:t>.</w:t>
      </w:r>
    </w:p>
    <w:p w14:paraId="30DCCED3" w14:textId="77777777" w:rsidR="009A288C" w:rsidRPr="00BC50C9" w:rsidRDefault="009A288C" w:rsidP="00896659">
      <w:pPr>
        <w:pStyle w:val="00000"/>
        <w:rPr>
          <w:rtl/>
        </w:rPr>
      </w:pPr>
      <w:r w:rsidRPr="00BC50C9">
        <w:rPr>
          <w:rtl/>
        </w:rPr>
        <w:t xml:space="preserve">وعليه بفضل التطور السريع لتقنيات الإنترنت وازدهار التجارة الإلكترونية، أصبح التمويل الجماعي القائم على المكافآت نجمًا جديدًا في تجارة التجزئة عبر الإنترنت، وله أهمية بالغة في جمع التمويل مقابل مكافآت إضافية، وتتمثل مكافآت المساهمين في الغالب في عينات من المنتجات، أو حقوق شراء مبكرة لمنتج أو خدمة، أو حتى تكريمًا شرفيًا </w:t>
      </w:r>
      <w:proofErr w:type="spellStart"/>
      <w:r w:rsidRPr="00BC50C9">
        <w:rPr>
          <w:color w:val="222222"/>
          <w:shd w:val="clear" w:color="auto" w:fill="FFFFFF"/>
        </w:rPr>
        <w:t>Hadačová</w:t>
      </w:r>
      <w:proofErr w:type="spellEnd"/>
      <w:r w:rsidRPr="00BC50C9">
        <w:rPr>
          <w:color w:val="222222"/>
          <w:shd w:val="clear" w:color="auto" w:fill="FFFFFF"/>
        </w:rPr>
        <w:t xml:space="preserve"> &amp; </w:t>
      </w:r>
      <w:proofErr w:type="spellStart"/>
      <w:r w:rsidRPr="00BC50C9">
        <w:rPr>
          <w:color w:val="222222"/>
          <w:shd w:val="clear" w:color="auto" w:fill="FFFFFF"/>
        </w:rPr>
        <w:t>Maličká</w:t>
      </w:r>
      <w:proofErr w:type="spellEnd"/>
      <w:r w:rsidRPr="00BC50C9">
        <w:rPr>
          <w:color w:val="222222"/>
          <w:shd w:val="clear" w:color="auto" w:fill="FFFFFF"/>
        </w:rPr>
        <w:t>, 2022, P.46)</w:t>
      </w:r>
      <w:r w:rsidRPr="00BC50C9">
        <w:rPr>
          <w:rtl/>
        </w:rPr>
        <w:t>).</w:t>
      </w:r>
    </w:p>
    <w:p w14:paraId="21F7486D" w14:textId="77777777" w:rsidR="009A288C" w:rsidRPr="00BC50C9" w:rsidRDefault="009A288C">
      <w:pPr>
        <w:numPr>
          <w:ilvl w:val="0"/>
          <w:numId w:val="12"/>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التمويل التشاركي المختلط: </w:t>
      </w:r>
      <w:r w:rsidRPr="00BC50C9">
        <w:rPr>
          <w:rFonts w:ascii="Times New Roman" w:eastAsia="Calibri" w:hAnsi="Times New Roman" w:cs="Simplified Arabic"/>
          <w:kern w:val="2"/>
          <w:sz w:val="24"/>
          <w:szCs w:val="28"/>
          <w:rtl/>
          <w14:ligatures w14:val="standardContextual"/>
        </w:rPr>
        <w:t>هو نهج يجمع بين مصادر تمويل متنوعة لدعم مشاريع التنمية المستدامة، خصوصًا في الدول النامية، ويهدف إلى تحقيق أقصى استفادة من الصناديق العامة المحدودة من خلال دمجها مع أدوات تمويل أخرى، ويُعتبر التمويل الاجتماعي الإسلامي، مثل الزكاة والأوقاف والتمويل متناهي الصغر من أبرز مصادر التمويل التشاركي المختلط، وتستهدف هذه الأدوات الفئات ذات الدخل المنخفض، مما يسهم في تحسين مستوى المعيشة وتلبية الاحتياجات الأساسية، كما يعزز تمويل المشاريع التي تدعم التنمية الاقتصادية والاجتماعية (جامعة حمد بن خليفة، 2025).</w:t>
      </w:r>
    </w:p>
    <w:p w14:paraId="26A233EC" w14:textId="77777777" w:rsidR="009A288C" w:rsidRPr="00BC50C9" w:rsidRDefault="009A288C" w:rsidP="00896659">
      <w:pPr>
        <w:pStyle w:val="00000"/>
        <w:rPr>
          <w:rtl/>
        </w:rPr>
      </w:pPr>
      <w:r w:rsidRPr="00BC50C9">
        <w:rPr>
          <w:rtl/>
        </w:rPr>
        <w:t xml:space="preserve">حيث يعتبر سد الفجوة أمام مستثمري القطاع الخاص في الأسواق الناشئة أمرًا حيويًا لمواجهة التحديات العالمية، لذا يتم استخدام التمويل المختلط لتقليل </w:t>
      </w:r>
      <w:proofErr w:type="gramStart"/>
      <w:r w:rsidRPr="00BC50C9">
        <w:rPr>
          <w:rtl/>
        </w:rPr>
        <w:t>مخاطر</w:t>
      </w:r>
      <w:proofErr w:type="gramEnd"/>
      <w:r w:rsidRPr="00BC50C9">
        <w:rPr>
          <w:rtl/>
        </w:rPr>
        <w:t xml:space="preserve"> الاستثمارات الرائدة ذات التأثير الكبير، وتقدم المؤسسات أكثر من أداة متنوعة لجذب الموارد بما في ذلك منصات الاستثمار المشترك والشراكات بين القطاعين العام والخاص، كما تساهم في تطوير البنية التحتية المتوافقة وتعزيز الاستثمارات المستدامة، وتلعب المؤسسة دورًا مهمًا في إعداد التقارير المتعلقة بالتنمية والمناخ (مؤسسة التمويل الدولية، 2023، ص.ص7-18).</w:t>
      </w:r>
    </w:p>
    <w:p w14:paraId="37AEB2A9" w14:textId="77777777" w:rsidR="009A288C" w:rsidRPr="00BC50C9" w:rsidRDefault="009A288C" w:rsidP="00896659">
      <w:pPr>
        <w:pStyle w:val="00000"/>
        <w:rPr>
          <w:rtl/>
        </w:rPr>
      </w:pPr>
      <w:r w:rsidRPr="00BC50C9">
        <w:rPr>
          <w:rtl/>
        </w:rPr>
        <w:t>مما سبق يمكن التوصل إلى أن يُعد التمويل التشاركي من الأدوات المالية المبتكرة التي تتعدد أشكاله ونماذجه لتلبي احتياجات متنوعة من أبرز هذه النماذج ما يلي:</w:t>
      </w:r>
    </w:p>
    <w:p w14:paraId="4408D3A3" w14:textId="77777777" w:rsidR="009A288C" w:rsidRPr="00BC50C9" w:rsidRDefault="009A288C">
      <w:pPr>
        <w:numPr>
          <w:ilvl w:val="0"/>
          <w:numId w:val="2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التمويل </w:t>
      </w:r>
      <w:proofErr w:type="spellStart"/>
      <w:r w:rsidRPr="00BC50C9">
        <w:rPr>
          <w:rFonts w:ascii="Times New Roman" w:eastAsia="Calibri" w:hAnsi="Times New Roman" w:cs="Simplified Arabic"/>
          <w:kern w:val="2"/>
          <w:sz w:val="24"/>
          <w:szCs w:val="28"/>
          <w:rtl/>
          <w14:ligatures w14:val="standardContextual"/>
        </w:rPr>
        <w:t>التبرعي</w:t>
      </w:r>
      <w:proofErr w:type="spellEnd"/>
      <w:r w:rsidRPr="00BC50C9">
        <w:rPr>
          <w:rFonts w:ascii="Times New Roman" w:eastAsia="Calibri" w:hAnsi="Times New Roman" w:cs="Simplified Arabic"/>
          <w:kern w:val="2"/>
          <w:sz w:val="24"/>
          <w:szCs w:val="28"/>
          <w:rtl/>
          <w14:ligatures w14:val="standardContextual"/>
        </w:rPr>
        <w:t>: حيث يقوم الأفراد بالتبرع بأموالهم دون توقع أي عائد مادي، وغالبًا ما يُستخدم لدعم المشاريع الاجتماعية أو الخيرية.</w:t>
      </w:r>
    </w:p>
    <w:p w14:paraId="21ABF0AE" w14:textId="77777777" w:rsidR="009A288C" w:rsidRPr="00BC50C9" w:rsidRDefault="009A288C">
      <w:pPr>
        <w:numPr>
          <w:ilvl w:val="0"/>
          <w:numId w:val="2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أما التمويل القائم على المكافآت، فيعتمد على تقديم مكافآت غير مالية للممولين، مثل منتجات أو خدمات مرتبطة بالمشروع، مما يشجع الأفراد على المشاركة في تمويل الأفكار الإبداعية أو التجارية.</w:t>
      </w:r>
    </w:p>
    <w:p w14:paraId="5C3CFC3B" w14:textId="77777777" w:rsidR="009A288C" w:rsidRPr="00BC50C9" w:rsidRDefault="009A288C">
      <w:pPr>
        <w:numPr>
          <w:ilvl w:val="0"/>
          <w:numId w:val="25"/>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وهناك أيضًا التمويل التشاركي المختلط، الذي يجمع بين أكثر من نموذج، مثل التبرعات والمكافآت أو حتى الاستثمار، مما يوفر مرونة أكبر في تلبية احتياجات المشاريع المعقدة أو متعددة الأهداف.</w:t>
      </w:r>
    </w:p>
    <w:p w14:paraId="2AA5460A" w14:textId="77777777" w:rsidR="009A288C" w:rsidRPr="00BC50C9" w:rsidRDefault="009A288C" w:rsidP="009A288C">
      <w:pPr>
        <w:bidi/>
        <w:spacing w:before="120" w:after="120" w:line="240" w:lineRule="auto"/>
        <w:jc w:val="center"/>
        <w:rPr>
          <w:rFonts w:ascii="Times New Roman" w:eastAsia="Calibri" w:hAnsi="Times New Roman" w:cs="Simplified Arabic"/>
          <w:sz w:val="24"/>
          <w:szCs w:val="28"/>
          <w:rtl/>
        </w:rPr>
      </w:pPr>
      <w:r w:rsidRPr="00BC50C9">
        <w:rPr>
          <w:rFonts w:ascii="Times New Roman" w:eastAsia="Calibri" w:hAnsi="Times New Roman" w:cs="Simplified Arabic"/>
          <w:noProof/>
          <w:sz w:val="24"/>
          <w:szCs w:val="28"/>
          <w:rtl/>
          <w:lang w:val="ar-SA"/>
          <w14:ligatures w14:val="standardContextual"/>
        </w:rPr>
        <w:lastRenderedPageBreak/>
        <w:drawing>
          <wp:inline distT="0" distB="0" distL="0" distR="0" wp14:anchorId="561ADEC2" wp14:editId="79DA7229">
            <wp:extent cx="5274310" cy="3076575"/>
            <wp:effectExtent l="0" t="0" r="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17CC8F9" w14:textId="77777777" w:rsidR="009A288C" w:rsidRPr="00BC50C9" w:rsidRDefault="009A288C" w:rsidP="009A288C">
      <w:pPr>
        <w:bidi/>
        <w:spacing w:before="120" w:after="120" w:line="240" w:lineRule="auto"/>
        <w:ind w:left="720"/>
        <w:contextualSpacing/>
        <w:jc w:val="both"/>
        <w:rPr>
          <w:rFonts w:ascii="Times New Roman" w:eastAsia="Calibri" w:hAnsi="Times New Roman" w:cs="Simplified Arabic"/>
          <w:b/>
          <w:bCs/>
          <w:kern w:val="2"/>
          <w:sz w:val="24"/>
          <w:szCs w:val="28"/>
          <w14:ligatures w14:val="standardContextual"/>
        </w:rPr>
      </w:pPr>
      <w:r w:rsidRPr="00BC50C9">
        <w:rPr>
          <w:rFonts w:ascii="Times New Roman" w:eastAsia="Calibri" w:hAnsi="Times New Roman" w:cs="Simplified Arabic" w:hint="cs"/>
          <w:b/>
          <w:bCs/>
          <w:kern w:val="2"/>
          <w:sz w:val="24"/>
          <w:szCs w:val="28"/>
          <w:rtl/>
          <w14:ligatures w14:val="standardContextual"/>
        </w:rPr>
        <w:t>شكل رقم (1) يوضح نماذج التمويل التشاركي (المصدر: إعداد الباحثة).</w:t>
      </w:r>
    </w:p>
    <w:p w14:paraId="4B36BC0B" w14:textId="0471736A" w:rsidR="009A288C" w:rsidRPr="00BC50C9" w:rsidRDefault="00371305" w:rsidP="00BB5D97">
      <w:pPr>
        <w:pStyle w:val="113"/>
      </w:pPr>
      <w:bookmarkStart w:id="34" w:name="_Toc195456499"/>
      <w:r>
        <w:rPr>
          <w:rFonts w:hint="cs"/>
          <w:rtl/>
        </w:rPr>
        <w:t xml:space="preserve">7.4.1 </w:t>
      </w:r>
      <w:proofErr w:type="gramStart"/>
      <w:r w:rsidR="009A288C" w:rsidRPr="00BC50C9">
        <w:rPr>
          <w:rtl/>
        </w:rPr>
        <w:t>مخاطر</w:t>
      </w:r>
      <w:proofErr w:type="gramEnd"/>
      <w:r w:rsidR="009A288C" w:rsidRPr="00BC50C9">
        <w:rPr>
          <w:rtl/>
        </w:rPr>
        <w:t xml:space="preserve"> التمويل التشاركي</w:t>
      </w:r>
      <w:bookmarkEnd w:id="34"/>
    </w:p>
    <w:p w14:paraId="0DD8C5B2" w14:textId="77777777" w:rsidR="009A288C" w:rsidRPr="00BC50C9" w:rsidRDefault="009A288C" w:rsidP="00371305">
      <w:pPr>
        <w:pStyle w:val="00000"/>
        <w:rPr>
          <w:rtl/>
        </w:rPr>
      </w:pPr>
      <w:r w:rsidRPr="00BC50C9">
        <w:rPr>
          <w:rtl/>
        </w:rPr>
        <w:t xml:space="preserve">يُعتبر التمويل الجماعي، رغم كونه أداة استثمارية حديثة ومبتكرة، محفوفًا بعدد من المخاطر، خاصةً بسبب اعتماده الكبير على الإنترنت والمنصات الإلكترونية فمن بين هذه المخاطر الكامنة خطر الاحتيال، حيث قد تظهر مشاريع وهمية تهدف إلى استغلال الممولين دون تقديم نتائج فعلية؛ وهو ما تطرق إليه "صاوي وقاعود" </w:t>
      </w:r>
      <w:r w:rsidRPr="00BC50C9">
        <w:rPr>
          <w:color w:val="222222"/>
          <w:shd w:val="clear" w:color="auto" w:fill="FFFFFF"/>
        </w:rPr>
        <w:t>Essawi &amp; Kaoud, 2023, P.66)</w:t>
      </w:r>
      <w:r w:rsidRPr="00BC50C9">
        <w:rPr>
          <w:rtl/>
        </w:rPr>
        <w:t>) بأنه التمويل الجماعي، على الرغم من كونه وسيلة استثمار معاصرة، إلا أنه لا يزال محفوفًا بالمخاطر، نظرًا لاعتماده على الإنترنت والمنصات الإلكترونية، وينطوي على مخاطر كامنة، مثل الاحتيال، على الرغم من أن حجم السوق في بعض الدول، صغير نسبيًا مقارنةً بسوق القروض العالمية، إلا أن معدل النمو السريع لهذه الأسواق الناشئة يشير إلى أن التمويل الجماعي على وشك أن يصبح خيارًا استثماريًا أكثر استخدامًا للجمهور، وبالتالي، تُمثل حماية المستثمرين مصدر قلق كبير في هذا الإطار، ويجب إيلاؤها اهتمامًا بالغًا</w:t>
      </w:r>
      <w:r w:rsidRPr="00BC50C9">
        <w:rPr>
          <w:rFonts w:hint="cs"/>
          <w:rtl/>
        </w:rPr>
        <w:t>.</w:t>
      </w:r>
    </w:p>
    <w:p w14:paraId="33A5AADD" w14:textId="7CB5950E" w:rsidR="009A288C" w:rsidRPr="00BC50C9" w:rsidRDefault="009A288C" w:rsidP="00371305">
      <w:pPr>
        <w:pStyle w:val="00000"/>
        <w:widowControl w:val="0"/>
        <w:rPr>
          <w:rtl/>
        </w:rPr>
      </w:pPr>
      <w:r w:rsidRPr="00BC50C9">
        <w:rPr>
          <w:rtl/>
        </w:rPr>
        <w:t>حيث يتيح التمويل الجماعي للشركات الصغيرة والمتوسطة جمع رأس المال من المستثمرين عبر منصة إلكترونية يديرها وسيط خارجي، ومن أهم مزايا هذه العملية أنها تتيح الوصول إلى رأس المال للشركات التي تواجه صعوبة في جمع الأموال من الجمهور أو اقتراض الأموال من القطاع المالي التقليدي، ومع ذلك، تُثير هذه العملية العديد من التحديات، بما في ذلك خطر الخسارة المالية للمستثمرين الأفراد غير المستعدين للمخاطر</w:t>
      </w:r>
      <w:r w:rsidRPr="00BC50C9">
        <w:rPr>
          <w:color w:val="222222"/>
          <w:shd w:val="clear" w:color="auto" w:fill="FFFFFF"/>
        </w:rPr>
        <w:t>Wangchuk, 2021, P.59)</w:t>
      </w:r>
      <w:r w:rsidRPr="00BC50C9">
        <w:rPr>
          <w:rtl/>
        </w:rPr>
        <w:t>).</w:t>
      </w:r>
      <w:r w:rsidR="00371305">
        <w:rPr>
          <w:rFonts w:hint="cs"/>
          <w:rtl/>
        </w:rPr>
        <w:t xml:space="preserve"> </w:t>
      </w:r>
      <w:r w:rsidRPr="00BC50C9">
        <w:rPr>
          <w:rtl/>
        </w:rPr>
        <w:t>كما تتطلب المخاطر في التمويل التشاركي إدارة فعالة ونظم رقابية متطورة لضمان تحقيق الأهداف الاقتصادية والاجتماعية مع تقليل الخسائر المحتملة، ويمكن تحديد المخاطر المرتبطة بالتمويل التشاركي من خلال عدة نقاط رئيسية، منها (الشهراني، 2021، ص.234):</w:t>
      </w:r>
    </w:p>
    <w:p w14:paraId="7598B626" w14:textId="77777777" w:rsidR="009A288C" w:rsidRPr="00BC50C9" w:rsidRDefault="009A288C">
      <w:pPr>
        <w:widowControl w:val="0"/>
        <w:numPr>
          <w:ilvl w:val="0"/>
          <w:numId w:val="12"/>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تقاسم الأرباح والخسائر:</w:t>
      </w:r>
      <w:r w:rsidRPr="00BC50C9">
        <w:rPr>
          <w:rFonts w:ascii="Times New Roman" w:eastAsia="Calibri" w:hAnsi="Times New Roman" w:cs="Simplified Arabic"/>
          <w:kern w:val="2"/>
          <w:sz w:val="24"/>
          <w:szCs w:val="28"/>
          <w:rtl/>
          <w14:ligatures w14:val="standardContextual"/>
        </w:rPr>
        <w:t xml:space="preserve"> يعتمد التمويل التشاركي على مبدأ "الغنم بالغرم"، مما يعني أن المستثمرين </w:t>
      </w:r>
      <w:r w:rsidRPr="00BC50C9">
        <w:rPr>
          <w:rFonts w:ascii="Times New Roman" w:eastAsia="Calibri" w:hAnsi="Times New Roman" w:cs="Simplified Arabic"/>
          <w:kern w:val="2"/>
          <w:sz w:val="24"/>
          <w:szCs w:val="28"/>
          <w:rtl/>
          <w14:ligatures w14:val="standardContextual"/>
        </w:rPr>
        <w:lastRenderedPageBreak/>
        <w:t xml:space="preserve">والممولين يواجهون </w:t>
      </w:r>
      <w:proofErr w:type="gramStart"/>
      <w:r w:rsidRPr="00BC50C9">
        <w:rPr>
          <w:rFonts w:ascii="Times New Roman" w:eastAsia="Calibri" w:hAnsi="Times New Roman" w:cs="Simplified Arabic"/>
          <w:kern w:val="2"/>
          <w:sz w:val="24"/>
          <w:szCs w:val="28"/>
          <w:rtl/>
          <w14:ligatures w14:val="standardContextual"/>
        </w:rPr>
        <w:t>مخاطر</w:t>
      </w:r>
      <w:proofErr w:type="gramEnd"/>
      <w:r w:rsidRPr="00BC50C9">
        <w:rPr>
          <w:rFonts w:ascii="Times New Roman" w:eastAsia="Calibri" w:hAnsi="Times New Roman" w:cs="Simplified Arabic"/>
          <w:kern w:val="2"/>
          <w:sz w:val="24"/>
          <w:szCs w:val="28"/>
          <w:rtl/>
          <w14:ligatures w14:val="standardContextual"/>
        </w:rPr>
        <w:t xml:space="preserve"> عالية للخسارة في حال كان أداء المشروع ضعيفًا أو في حالة فشله.</w:t>
      </w:r>
    </w:p>
    <w:p w14:paraId="7E90D626" w14:textId="77777777" w:rsidR="009A288C" w:rsidRPr="00BC50C9" w:rsidRDefault="009A288C">
      <w:pPr>
        <w:widowControl w:val="0"/>
        <w:numPr>
          <w:ilvl w:val="0"/>
          <w:numId w:val="12"/>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ارتفاع المخاطر الائتمانية:</w:t>
      </w:r>
      <w:r w:rsidRPr="00BC50C9">
        <w:rPr>
          <w:rFonts w:ascii="Times New Roman" w:eastAsia="Calibri" w:hAnsi="Times New Roman" w:cs="Simplified Arabic"/>
          <w:kern w:val="2"/>
          <w:sz w:val="24"/>
          <w:szCs w:val="28"/>
          <w:rtl/>
          <w14:ligatures w14:val="standardContextual"/>
        </w:rPr>
        <w:t xml:space="preserve"> تشمل هذه المخاطر التأخير في السداد أو عدم الوفاء بالالتزامات المالية، خاصة في ظل غياب الضمانات الكافية التي تحمي الممولين.</w:t>
      </w:r>
    </w:p>
    <w:p w14:paraId="157463DF" w14:textId="77777777" w:rsidR="009A288C" w:rsidRPr="00BC50C9" w:rsidRDefault="009A288C">
      <w:pPr>
        <w:widowControl w:val="0"/>
        <w:numPr>
          <w:ilvl w:val="0"/>
          <w:numId w:val="12"/>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المخاطر الأخلاقية وسوء اختيار العملاء:</w:t>
      </w:r>
      <w:r w:rsidRPr="00BC50C9">
        <w:rPr>
          <w:rFonts w:ascii="Times New Roman" w:eastAsia="Calibri" w:hAnsi="Times New Roman" w:cs="Simplified Arabic"/>
          <w:kern w:val="2"/>
          <w:sz w:val="24"/>
          <w:szCs w:val="28"/>
          <w:rtl/>
          <w14:ligatures w14:val="standardContextual"/>
        </w:rPr>
        <w:t xml:space="preserve"> قد تؤدي قلة كفاءة التقييم والمتابعة إلى تمويل مشروعات غير مجدية أو التعامل مع مستثمرين غير ملتزمين، مما يزيد من احتمالات التعثر المالي.</w:t>
      </w:r>
    </w:p>
    <w:p w14:paraId="2D28236D" w14:textId="77777777" w:rsidR="009A288C" w:rsidRPr="00BC50C9" w:rsidRDefault="009A288C">
      <w:pPr>
        <w:numPr>
          <w:ilvl w:val="0"/>
          <w:numId w:val="12"/>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القيود المؤسسية والتنظيمية:</w:t>
      </w:r>
      <w:r w:rsidRPr="00BC50C9">
        <w:rPr>
          <w:rFonts w:ascii="Times New Roman" w:eastAsia="Calibri" w:hAnsi="Times New Roman" w:cs="Simplified Arabic"/>
          <w:kern w:val="2"/>
          <w:sz w:val="24"/>
          <w:szCs w:val="28"/>
          <w:rtl/>
          <w14:ligatures w14:val="standardContextual"/>
        </w:rPr>
        <w:t xml:space="preserve"> تشمل هذه القيود نظم الضرائب والمحاسبة والرقابة التي قد لا تتماشى مع آليات التمويل التشاركي، مما </w:t>
      </w:r>
      <w:proofErr w:type="gramStart"/>
      <w:r w:rsidRPr="00BC50C9">
        <w:rPr>
          <w:rFonts w:ascii="Times New Roman" w:eastAsia="Calibri" w:hAnsi="Times New Roman" w:cs="Simplified Arabic"/>
          <w:kern w:val="2"/>
          <w:sz w:val="24"/>
          <w:szCs w:val="28"/>
          <w:rtl/>
          <w14:ligatures w14:val="standardContextual"/>
        </w:rPr>
        <w:t>يعيق</w:t>
      </w:r>
      <w:proofErr w:type="gramEnd"/>
      <w:r w:rsidRPr="00BC50C9">
        <w:rPr>
          <w:rFonts w:ascii="Times New Roman" w:eastAsia="Calibri" w:hAnsi="Times New Roman" w:cs="Simplified Arabic"/>
          <w:kern w:val="2"/>
          <w:sz w:val="24"/>
          <w:szCs w:val="28"/>
          <w:rtl/>
          <w14:ligatures w14:val="standardContextual"/>
        </w:rPr>
        <w:t xml:space="preserve"> انتشاره واعتماده بشكل واسع.</w:t>
      </w:r>
    </w:p>
    <w:p w14:paraId="77E3D606" w14:textId="77777777" w:rsidR="009A288C" w:rsidRPr="00BC50C9" w:rsidRDefault="009A288C">
      <w:pPr>
        <w:numPr>
          <w:ilvl w:val="0"/>
          <w:numId w:val="12"/>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عدم الاستقرار المالي:</w:t>
      </w:r>
      <w:r w:rsidRPr="00BC50C9">
        <w:rPr>
          <w:rFonts w:ascii="Times New Roman" w:eastAsia="Calibri" w:hAnsi="Times New Roman" w:cs="Simplified Arabic"/>
          <w:kern w:val="2"/>
          <w:sz w:val="24"/>
          <w:szCs w:val="28"/>
          <w:rtl/>
          <w14:ligatures w14:val="standardContextual"/>
        </w:rPr>
        <w:t xml:space="preserve"> تعتمد العديد من المؤسسات المالية على الحسابات الجارية كمصدر رئيسي للتمويل، وفي حال تعرضها لصدمات مالية، قد تواجه صعوبة في تحقيق التوازن بين الأصول والالتزامات.</w:t>
      </w:r>
    </w:p>
    <w:p w14:paraId="7A96A4AE" w14:textId="77777777" w:rsidR="009A288C" w:rsidRPr="00BC50C9" w:rsidRDefault="009A288C" w:rsidP="00371305">
      <w:pPr>
        <w:pStyle w:val="00000"/>
      </w:pPr>
      <w:r w:rsidRPr="00BC50C9">
        <w:rPr>
          <w:rtl/>
        </w:rPr>
        <w:t>فعلى الرغم من أن التمويل التشاركي يُعتبر وسيلة مبتكرة لدعم الشركات الناشئة، إلا أنه يحمل مجموعة من المخاطر والتحديات التي ينبغي أخذها بعين الاعتبار، ومن أبرز هذه المخاطر (</w:t>
      </w:r>
      <w:proofErr w:type="spellStart"/>
      <w:r w:rsidRPr="00BC50C9">
        <w:rPr>
          <w:rtl/>
        </w:rPr>
        <w:t>صويلحي</w:t>
      </w:r>
      <w:proofErr w:type="spellEnd"/>
      <w:r w:rsidRPr="00BC50C9">
        <w:rPr>
          <w:rtl/>
        </w:rPr>
        <w:t>، 2024، ص.634):</w:t>
      </w:r>
    </w:p>
    <w:p w14:paraId="003894D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عدم تحقيق الهدف التمويلي: </w:t>
      </w:r>
      <w:r w:rsidRPr="00BC50C9">
        <w:rPr>
          <w:rFonts w:ascii="Times New Roman" w:eastAsia="Calibri" w:hAnsi="Times New Roman" w:cs="Simplified Arabic"/>
          <w:kern w:val="2"/>
          <w:sz w:val="24"/>
          <w:szCs w:val="28"/>
          <w:rtl/>
          <w14:ligatures w14:val="standardContextual"/>
        </w:rPr>
        <w:t>قد تفشل الشركات الناشئة في جمع المبلغ المطلوب، مما يؤثر سلبًا على خططها المستقبلية، ويعود ذلك إلى عدم تحديد هدف تمويلي واقعي أو ضعف في تسويق الحملة.</w:t>
      </w:r>
    </w:p>
    <w:p w14:paraId="15B27F5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عدم الوفاء بالوعود:</w:t>
      </w:r>
      <w:r w:rsidRPr="00BC50C9">
        <w:rPr>
          <w:rFonts w:ascii="Times New Roman" w:eastAsia="Calibri" w:hAnsi="Times New Roman" w:cs="Simplified Arabic"/>
          <w:kern w:val="2"/>
          <w:sz w:val="24"/>
          <w:szCs w:val="28"/>
          <w:rtl/>
          <w14:ligatures w14:val="standardContextual"/>
        </w:rPr>
        <w:t xml:space="preserve"> إذا لم تتمكن الشركة من تنفيذ ما وعدت به الداعمين، فإن ذلك قد يؤدي إلى فقدان الثقة والمصداقية، مما يؤثر سلبًا على قدرتها على جمع التمويل في المستقبل.</w:t>
      </w:r>
    </w:p>
    <w:p w14:paraId="7BCB8C1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صعوبة إدارة الداعمين: </w:t>
      </w:r>
      <w:r w:rsidRPr="00BC50C9">
        <w:rPr>
          <w:rFonts w:ascii="Times New Roman" w:eastAsia="Calibri" w:hAnsi="Times New Roman" w:cs="Simplified Arabic"/>
          <w:kern w:val="2"/>
          <w:sz w:val="24"/>
          <w:szCs w:val="28"/>
          <w:rtl/>
          <w14:ligatures w14:val="standardContextual"/>
        </w:rPr>
        <w:t>التعامل مع عدد كبير من الممولين يمكن أن يكون تحديًا كبيرًا؛ حيث يتطلب الأمر تقديم تحديثات مستمرة لهم، والرد على استفساراتهم، وحل أي مشكلات قد تواجههم.</w:t>
      </w:r>
    </w:p>
    <w:p w14:paraId="4ACA16A4"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التعقيدات القانونية والتنظيمية: </w:t>
      </w:r>
      <w:r w:rsidRPr="00BC50C9">
        <w:rPr>
          <w:rFonts w:ascii="Times New Roman" w:eastAsia="Calibri" w:hAnsi="Times New Roman" w:cs="Simplified Arabic"/>
          <w:kern w:val="2"/>
          <w:sz w:val="24"/>
          <w:szCs w:val="28"/>
          <w:rtl/>
          <w14:ligatures w14:val="standardContextual"/>
        </w:rPr>
        <w:t>تختلف اللوائح القانونية المتعلقة بالتمويل التشاركي من بلد لآخر، مما يستلزم من الشركات الناشئة التأكد من الامتثال لهذه القوانين لتفادي المشكلات القانونية التي قد تعيق نجاح حملتها.</w:t>
      </w:r>
    </w:p>
    <w:p w14:paraId="45D37E26" w14:textId="77777777" w:rsidR="009A288C" w:rsidRPr="00BC50C9" w:rsidRDefault="009A288C" w:rsidP="00371305">
      <w:pPr>
        <w:pStyle w:val="00000"/>
      </w:pPr>
      <w:r w:rsidRPr="00BC50C9">
        <w:rPr>
          <w:rtl/>
        </w:rPr>
        <w:t>وعلى الرغم من الفوائد العديدة التي يقدمها التمويل التشاركي، إلا أنه يحمل مجموعة من المخاطر التي قد تؤثر على كل من المقترضين والمستثمرين، ومن أبرز هذه المخاطر:</w:t>
      </w:r>
    </w:p>
    <w:p w14:paraId="5D9B593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 xml:space="preserve">الإفراط في الاستدانة: </w:t>
      </w:r>
      <w:r w:rsidRPr="00BC50C9">
        <w:rPr>
          <w:rFonts w:ascii="Times New Roman" w:eastAsia="Calibri" w:hAnsi="Times New Roman" w:cs="Simplified Arabic"/>
          <w:kern w:val="2"/>
          <w:sz w:val="24"/>
          <w:szCs w:val="28"/>
          <w:rtl/>
          <w14:ligatures w14:val="standardContextual"/>
        </w:rPr>
        <w:t>العديد من منصات التمويل التشاركي لا تعير اهتمامًا كافيًا لتقييم قدرة المقترضين على السداد، مما قد يؤدي إلى تراكم الديون بشكل غير مستدام، كما أن هذه المنصات تسعى لتسهيل الحصول على القروض لتحقيق أرباحها، بغض النظر عن جودة هذه القروض، مما يخلق تضاربًا في المصالح.</w:t>
      </w:r>
    </w:p>
    <w:p w14:paraId="2BBA4B8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b/>
          <w:bCs/>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lastRenderedPageBreak/>
        <w:t xml:space="preserve">ارتفاع تكلفة الاقتراض: </w:t>
      </w:r>
      <w:r w:rsidRPr="00BC50C9">
        <w:rPr>
          <w:rFonts w:ascii="Times New Roman" w:eastAsia="Calibri" w:hAnsi="Times New Roman" w:cs="Simplified Arabic"/>
          <w:kern w:val="2"/>
          <w:sz w:val="24"/>
          <w:szCs w:val="28"/>
          <w:rtl/>
          <w14:ligatures w14:val="standardContextual"/>
        </w:rPr>
        <w:t>قد يكون التمويل التشاركي أكثر تكلفة مما يتوقعه المقترضون؛ حيث يتطلب تنفيذ حملة ناجحة موارد مالية وبشرية كبيرة، وبالإضافة إلى ذلك رغم أن هذا النوع من التمويل قد يكون مفيدًا على المدى القصير، إلا أنه لا يضمن دعمًا طويل الأجل.</w:t>
      </w:r>
    </w:p>
    <w:p w14:paraId="24F13F6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proofErr w:type="gramStart"/>
      <w:r w:rsidRPr="00BC50C9">
        <w:rPr>
          <w:rFonts w:ascii="Times New Roman" w:eastAsia="Calibri" w:hAnsi="Times New Roman" w:cs="Simplified Arabic"/>
          <w:b/>
          <w:bCs/>
          <w:kern w:val="2"/>
          <w:sz w:val="24"/>
          <w:szCs w:val="28"/>
          <w:rtl/>
          <w14:ligatures w14:val="standardContextual"/>
        </w:rPr>
        <w:t>مخاطر</w:t>
      </w:r>
      <w:proofErr w:type="gramEnd"/>
      <w:r w:rsidRPr="00BC50C9">
        <w:rPr>
          <w:rFonts w:ascii="Times New Roman" w:eastAsia="Calibri" w:hAnsi="Times New Roman" w:cs="Simplified Arabic"/>
          <w:b/>
          <w:bCs/>
          <w:kern w:val="2"/>
          <w:sz w:val="24"/>
          <w:szCs w:val="28"/>
          <w:rtl/>
          <w14:ligatures w14:val="standardContextual"/>
        </w:rPr>
        <w:t xml:space="preserve"> الحماية الضعيفة: </w:t>
      </w:r>
      <w:r w:rsidRPr="00BC50C9">
        <w:rPr>
          <w:rFonts w:ascii="Times New Roman" w:eastAsia="Calibri" w:hAnsi="Times New Roman" w:cs="Simplified Arabic"/>
          <w:kern w:val="2"/>
          <w:sz w:val="24"/>
          <w:szCs w:val="28"/>
          <w:rtl/>
          <w14:ligatures w14:val="standardContextual"/>
        </w:rPr>
        <w:t xml:space="preserve">يفتقر المقترضون عبر منصات التمويل التشاركي إلى بعض المزايا المتاحة في القروض التقليدية، مثل فترات السماح أو إمكانية السداد المبكر، مما يزيد من التحديات التي قد تواجههم في إدارة ديونهم (صندوق النقد العربي، 2019، ص.27-28). </w:t>
      </w:r>
    </w:p>
    <w:p w14:paraId="5619604D" w14:textId="77777777" w:rsidR="009A288C" w:rsidRPr="00BC50C9" w:rsidRDefault="009A288C" w:rsidP="00A0518F">
      <w:pPr>
        <w:pStyle w:val="00000"/>
        <w:rPr>
          <w:rtl/>
        </w:rPr>
      </w:pPr>
      <w:r w:rsidRPr="00BC50C9">
        <w:rPr>
          <w:rtl/>
        </w:rPr>
        <w:t>وعليه للتمويل التشاركي العديد من المخاطر على المشاريع الإدارية تتمثل في عدة نقاط كالتالي (هيئة الأوراق والأسواق المالية السورية، 2025، ص.14):</w:t>
      </w:r>
    </w:p>
    <w:p w14:paraId="269051AD" w14:textId="77777777" w:rsidR="009A288C" w:rsidRPr="00BC50C9" w:rsidRDefault="009A288C">
      <w:pPr>
        <w:numPr>
          <w:ilvl w:val="0"/>
          <w:numId w:val="20"/>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عدم تقديم معلومات شاملة حول أداء المشروع قد يؤدي إلى ضعف الكفاءة التشغيلية ويهدد استمرارية المشروع، كما أن ارتفاع تكاليف تمويل المشروع نتيجة الظروف الاقتصادية غير المستقرة يشكل تحديًا إضافيًا.</w:t>
      </w:r>
    </w:p>
    <w:p w14:paraId="099A1C50" w14:textId="77777777" w:rsidR="009A288C" w:rsidRPr="00BC50C9" w:rsidRDefault="009A288C">
      <w:pPr>
        <w:numPr>
          <w:ilvl w:val="0"/>
          <w:numId w:val="20"/>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عدم الإفصاح عن المخاطر المرتبطة بالمشروع يزيد من تعقيد الوضع، بالإضافة إلى الدخول في استثمارات ناشئة ذات </w:t>
      </w:r>
      <w:proofErr w:type="gramStart"/>
      <w:r w:rsidRPr="00BC50C9">
        <w:rPr>
          <w:rFonts w:ascii="Times New Roman" w:eastAsia="Calibri" w:hAnsi="Times New Roman" w:cs="Simplified Arabic"/>
          <w:kern w:val="2"/>
          <w:sz w:val="24"/>
          <w:szCs w:val="28"/>
          <w:rtl/>
          <w14:ligatures w14:val="standardContextual"/>
        </w:rPr>
        <w:t>مخاطر</w:t>
      </w:r>
      <w:proofErr w:type="gramEnd"/>
      <w:r w:rsidRPr="00BC50C9">
        <w:rPr>
          <w:rFonts w:ascii="Times New Roman" w:eastAsia="Calibri" w:hAnsi="Times New Roman" w:cs="Simplified Arabic"/>
          <w:kern w:val="2"/>
          <w:sz w:val="24"/>
          <w:szCs w:val="28"/>
          <w:rtl/>
          <w14:ligatures w14:val="standardContextual"/>
        </w:rPr>
        <w:t xml:space="preserve"> عالية مما يزيد من احتمالية الخسارة. </w:t>
      </w:r>
    </w:p>
    <w:p w14:paraId="783CE0F5" w14:textId="77777777" w:rsidR="009A288C" w:rsidRPr="00BC50C9" w:rsidRDefault="009A288C">
      <w:pPr>
        <w:numPr>
          <w:ilvl w:val="0"/>
          <w:numId w:val="20"/>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هناك أيضًا </w:t>
      </w:r>
      <w:proofErr w:type="gramStart"/>
      <w:r w:rsidRPr="00BC50C9">
        <w:rPr>
          <w:rFonts w:ascii="Times New Roman" w:eastAsia="Calibri" w:hAnsi="Times New Roman" w:cs="Simplified Arabic"/>
          <w:kern w:val="2"/>
          <w:sz w:val="24"/>
          <w:szCs w:val="28"/>
          <w:rtl/>
          <w14:ligatures w14:val="standardContextual"/>
        </w:rPr>
        <w:t>مخاطر</w:t>
      </w:r>
      <w:proofErr w:type="gramEnd"/>
      <w:r w:rsidRPr="00BC50C9">
        <w:rPr>
          <w:rFonts w:ascii="Times New Roman" w:eastAsia="Calibri" w:hAnsi="Times New Roman" w:cs="Simplified Arabic"/>
          <w:kern w:val="2"/>
          <w:sz w:val="24"/>
          <w:szCs w:val="28"/>
          <w:rtl/>
          <w14:ligatures w14:val="standardContextual"/>
        </w:rPr>
        <w:t xml:space="preserve"> تتعلق بعدم المعاملة العادلة والمساواة مقارنة ببقية المستثمرين في المشروع، فضلاً عن خطر التعرض للاحتيال، كما يفتقر الكثيرون إلى الوعي الكافي بشأن هذا النوع من الاستثمار. </w:t>
      </w:r>
    </w:p>
    <w:p w14:paraId="528F042C" w14:textId="77777777" w:rsidR="009A288C" w:rsidRPr="00BC50C9" w:rsidRDefault="009A288C">
      <w:pPr>
        <w:numPr>
          <w:ilvl w:val="0"/>
          <w:numId w:val="20"/>
        </w:numPr>
        <w:bidi/>
        <w:spacing w:before="120" w:after="120" w:line="240" w:lineRule="auto"/>
        <w:contextualSpacing/>
        <w:jc w:val="both"/>
        <w:rPr>
          <w:rFonts w:ascii="Times New Roman" w:eastAsia="Calibri" w:hAnsi="Times New Roman" w:cs="Simplified Arabic"/>
          <w:kern w:val="2"/>
          <w:sz w:val="24"/>
          <w:szCs w:val="28"/>
          <w14:ligatures w14:val="standardContextual"/>
        </w:rPr>
      </w:pPr>
      <w:proofErr w:type="gramStart"/>
      <w:r w:rsidRPr="00BC50C9">
        <w:rPr>
          <w:rFonts w:ascii="Times New Roman" w:eastAsia="Calibri" w:hAnsi="Times New Roman" w:cs="Simplified Arabic"/>
          <w:kern w:val="2"/>
          <w:sz w:val="24"/>
          <w:szCs w:val="28"/>
          <w:rtl/>
          <w14:ligatures w14:val="standardContextual"/>
        </w:rPr>
        <w:t>مخاطر</w:t>
      </w:r>
      <w:proofErr w:type="gramEnd"/>
      <w:r w:rsidRPr="00BC50C9">
        <w:rPr>
          <w:rFonts w:ascii="Times New Roman" w:eastAsia="Calibri" w:hAnsi="Times New Roman" w:cs="Simplified Arabic"/>
          <w:kern w:val="2"/>
          <w:sz w:val="24"/>
          <w:szCs w:val="28"/>
          <w:rtl/>
          <w14:ligatures w14:val="standardContextual"/>
        </w:rPr>
        <w:t xml:space="preserve"> سيبرانية تتعلق باحتمالية الاختراق وفشل المنصة، بالإضافة إلى وجود حالات تضارب في المصالح وسوء التصرف من قبل مشغل المنصة.</w:t>
      </w:r>
    </w:p>
    <w:p w14:paraId="3C00B621" w14:textId="6568F6C8" w:rsidR="009A288C" w:rsidRPr="00A0518F" w:rsidRDefault="009A288C">
      <w:pPr>
        <w:numPr>
          <w:ilvl w:val="0"/>
          <w:numId w:val="20"/>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عدم توفير المعلومات اللازمة لمتابعة حالة المشروع في جميع الأوقات على المنصة يعد من العوامل السلبية التي تؤثر على الشفافية والثقة.</w:t>
      </w:r>
    </w:p>
    <w:p w14:paraId="0257EE07" w14:textId="77777777" w:rsidR="009A288C" w:rsidRPr="00BC50C9" w:rsidRDefault="009A288C" w:rsidP="00A0518F">
      <w:pPr>
        <w:pStyle w:val="00000"/>
      </w:pPr>
      <w:r w:rsidRPr="00BC50C9">
        <w:rPr>
          <w:rtl/>
        </w:rPr>
        <w:t>خلاصة ما تقدم يمكن استخلاص أن على الرغم من الفوائد العديدة التي يوفرها التمويل التشاركي، إلا أنه لا يخلو من بعض المخاطر التي يجب أخذها في الاعتبار أولاً، مخاطر عدم تحقيق الأهداف، حيث قد يفشل المشروع في جمع المبلغ المطلوب أو في تنفيذ ما وعد به، مما قد يؤدي إلى خسارة الأموال أو عدم تحقيق العوائد المتوقعة ثانيًا، مخاطر الاحتيال، حيث قد تظهر مشاريع وهمية تهدف إلى استغلال الممولين دون تقديم أي نتائج فعلية ثالثًا، مخاطر قانونية، خاصة في النماذج التي تتضمن استثمارات، حيث قد تكون هناك قوانين تنظيمية معقدة تختلف من دولة إلى أخرى.</w:t>
      </w:r>
    </w:p>
    <w:p w14:paraId="02533473" w14:textId="6E18460D" w:rsidR="009A288C" w:rsidRPr="00BC50C9" w:rsidRDefault="00A0518F" w:rsidP="009A288C">
      <w:pPr>
        <w:bidi/>
        <w:spacing w:before="120" w:after="120" w:line="240"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8.4.1 </w:t>
      </w:r>
      <w:r w:rsidR="009A288C" w:rsidRPr="00BC50C9">
        <w:rPr>
          <w:rFonts w:ascii="Times New Roman" w:eastAsia="Calibri" w:hAnsi="Times New Roman" w:cs="Simplified Arabic"/>
          <w:b/>
          <w:bCs/>
          <w:sz w:val="24"/>
          <w:szCs w:val="28"/>
          <w:rtl/>
        </w:rPr>
        <w:t>دور التمويل التشاركي في دعم المشاريع الريادية</w:t>
      </w:r>
    </w:p>
    <w:p w14:paraId="4D0FD235" w14:textId="77777777" w:rsidR="009A288C" w:rsidRPr="00BC50C9" w:rsidRDefault="009A288C" w:rsidP="00A0518F">
      <w:pPr>
        <w:pStyle w:val="00000"/>
        <w:rPr>
          <w:rtl/>
        </w:rPr>
      </w:pPr>
      <w:r w:rsidRPr="00BC50C9">
        <w:rPr>
          <w:rtl/>
        </w:rPr>
        <w:t xml:space="preserve">تُعد عمليات التمويل التشاركي تحولًا جذريًا في عالم الاستثمارات، حيث أتاحت طرقًا مبتكرة لتمويل المشاريع الصغيرة والمتوسطة فتعتمد هذه العمليات على آليات مثل الاكتتاب الجماعي والاقتراض الإلكتروني، والتي تسمح بجمع الأموال مباشرة من الجمهور عبر استخدام التقنيات الحديثة والمنصات </w:t>
      </w:r>
      <w:r w:rsidRPr="00BC50C9">
        <w:rPr>
          <w:rtl/>
        </w:rPr>
        <w:lastRenderedPageBreak/>
        <w:t>الرقمية؛ وهو ما أكد عليه توكل (2023، ص.99) بأن تعتبر عمليات التمويل التشاركي تحولًا جذريًا في عالم الاستثمارات؛ حيث تم ابتكار طرق جديدة لتمويل المشاريع الصغيرة والمتوسطة من خلال الاكتتاب والاقتراض الإلكتروني من الجمهور باستخدام التقنيات الحديثة مثل البلوك تشين، وهذا يأتي كبديل للمؤسسات التقليدية التي كانت تعتمد على الاكتتاب العام والخاص أو الاقتراض من المؤسسات المالية التقليدية، والتي كانت تُعتبر الوسيلة الوحيدة للحصول على الدعم والتمويل اللازم لبدء المشاريع الناشئة، ويُعد التمويل التشاركي آلية مبتكرة وإبداعية لدعم مشاريع ريادة الأعمال، مما يعكس أهميته المتزايدة في هذا المجال.</w:t>
      </w:r>
    </w:p>
    <w:p w14:paraId="73000F17" w14:textId="77777777" w:rsidR="009A288C" w:rsidRPr="00BC50C9" w:rsidRDefault="009A288C" w:rsidP="00A0518F">
      <w:pPr>
        <w:pStyle w:val="00000"/>
        <w:rPr>
          <w:rtl/>
        </w:rPr>
      </w:pPr>
      <w:r w:rsidRPr="00BC50C9">
        <w:rPr>
          <w:rtl/>
        </w:rPr>
        <w:t>كما يعتبر التمويل التشاركي الإلكتروني من الأدوات الحديثة البارزة التي تدعم المشاريع الريادية؛ حيث يتيح لرواد الأعمال الحصول على التمويل المطلوب من خلال منصات إلكترونية، دون الحاجة إلى الاعتماد على البنوك التقليدية أو المستثمرين الكبار، ويتميز بتوفير مصادر تمويل مرنة، مما يساعد في تقليل التكاليف المالية للمشاريع الناشئة، خاصة في مراحلها الأولى، كما يسهم في تسهيل عمليات الإنتاج والتوسع، نظرًا لاعتماده على الجهد الجماعي للأفراد، مما يقلل من القيود المفروضة من قبل الجهات الممولة التقليدية، ويعزز التمويل التشاركي الابتكار؛ حيث يمكّن رواد الأعمال من الحفاظ على حقوقهم الفكرية والتجارية مع توفير الدعم المالي اللازم لتطوير مشاريعهم (أبو أمونه، 2018، ص.373-374).</w:t>
      </w:r>
    </w:p>
    <w:p w14:paraId="644FE7BB" w14:textId="77777777" w:rsidR="009A288C" w:rsidRPr="00BC50C9" w:rsidRDefault="009A288C" w:rsidP="00A0518F">
      <w:pPr>
        <w:pStyle w:val="00000"/>
        <w:rPr>
          <w:rtl/>
        </w:rPr>
      </w:pPr>
      <w:r w:rsidRPr="00BC50C9">
        <w:rPr>
          <w:rtl/>
        </w:rPr>
        <w:t xml:space="preserve">وبالتالي تُعتبر برامج التمويل الموجه من العوامل الأساسية التي تدعم المشاريع الريادية؛ حيث تلعب دورًا كبيرًا في تحويل نتائج الأبحاث العلمية والتقنية إلى مشاريع قابلة للتطبيق والاستثمار، ويهدف هذا التمويل إلى إنشاء روابط بين المنتجات البحثية والمؤسسات في القطاعين الحكومي والخاص، مما يعزز فرص تحويل الأفكار الابتكارية إلى مشاريع ناجحة، كما يسهم في تنسيق الجهود الوطنية لإيجاد حلول للتحديات التي </w:t>
      </w:r>
      <w:proofErr w:type="spellStart"/>
      <w:r w:rsidRPr="00BC50C9">
        <w:rPr>
          <w:rtl/>
        </w:rPr>
        <w:t>يواجهها</w:t>
      </w:r>
      <w:proofErr w:type="spellEnd"/>
      <w:r w:rsidRPr="00BC50C9">
        <w:rPr>
          <w:rtl/>
        </w:rPr>
        <w:t xml:space="preserve"> رواد الأعمال، من خلال توفير الموارد المالية الضرورية لضمان استدامة المشاريع الريادية وتعزيز دورها في الاقتصاد الرقمي (وزارة الاتصالات وتقنية المعلومات، 2021، ص.9). </w:t>
      </w:r>
    </w:p>
    <w:p w14:paraId="6879CCDE" w14:textId="77777777" w:rsidR="009A288C" w:rsidRPr="00BC50C9" w:rsidRDefault="009A288C" w:rsidP="00A0518F">
      <w:pPr>
        <w:pStyle w:val="00000"/>
      </w:pPr>
      <w:r w:rsidRPr="00BC50C9">
        <w:rPr>
          <w:rtl/>
        </w:rPr>
        <w:t xml:space="preserve">وعليه بدأ رواد الأعمال بالاعتماد على التمويل الجماعي لتمويل استثماراتهم، حيث يتمتع التمويل الجماعي بالقدرة على تعزيز الابتكار من خلال توفير مصادر جديدة لرأس المال للشركات القائمة على الابتكار، وبالتالي تقليص فجوة التمويل للشركات الناشئة المبتكرة، كما يوفر التمويل الجماعي وسيلةً للجمهور للمشاركة في عملية الابتكار من خلال تقديم التغذية الراجعة لرائد الأعمال، ويمكن أن تتخذ هذه التغذية الراجعة أشكالًا مختلفة، بما في ذلك تقديم أفكار حول تطوير المنتج أثناء الحملة وبعدها (بروح التمويل الجماعي)، وتوفير معلومات قيّمة حول الطلب المستقبلي على المنتج الجديد </w:t>
      </w:r>
      <w:r w:rsidRPr="00BC50C9">
        <w:t xml:space="preserve">(Hervé &amp; </w:t>
      </w:r>
      <w:proofErr w:type="spellStart"/>
      <w:r w:rsidRPr="00BC50C9">
        <w:t>Schwienbacher</w:t>
      </w:r>
      <w:proofErr w:type="spellEnd"/>
      <w:r w:rsidRPr="00BC50C9">
        <w:t>, 2019, P.1)</w:t>
      </w:r>
      <w:r w:rsidRPr="00BC50C9">
        <w:rPr>
          <w:rtl/>
        </w:rPr>
        <w:t>.</w:t>
      </w:r>
    </w:p>
    <w:p w14:paraId="23B55BFC" w14:textId="77777777" w:rsidR="009A288C" w:rsidRPr="00BC50C9" w:rsidRDefault="009A288C" w:rsidP="00A0518F">
      <w:pPr>
        <w:pStyle w:val="00000"/>
        <w:rPr>
          <w:rtl/>
        </w:rPr>
      </w:pPr>
      <w:r w:rsidRPr="00BC50C9">
        <w:rPr>
          <w:rtl/>
        </w:rPr>
        <w:t xml:space="preserve">وعلاوة على ذلك يُعد التمويل الجماعي من أسرع الطرق البديلة نموًا لتمويل مبادرات الأعمال الجديدة في السوق الحديثة، ويرتبط تطور التمويل الجماعي ارتباطًا وثيقًا بتطور تكنولوجيا المعلومات وشبكات الحاسوب، ويتيح التمويل الجماعي استخدام الإنترنت لتمويل أنواع مختلفة من المشاريع، مثل المشاريع التجارية والثقافية والاجتماعية والرياضية والخيرية، ويكتسب هذا النوع من التمويل أهمية خاصة لمن لديهم </w:t>
      </w:r>
      <w:r w:rsidRPr="00BC50C9">
        <w:rPr>
          <w:rtl/>
        </w:rPr>
        <w:lastRenderedPageBreak/>
        <w:t>فكرة جذابة ومبتكرة، لكنهم لا يملكون الموارد المالية اللازمة لتنفيذها، وبالتالي يوفر التمويل الجماعي إمكانيات هائلة للمشاريع الريادية</w:t>
      </w:r>
      <w:proofErr w:type="spellStart"/>
      <w:r w:rsidRPr="00BC50C9">
        <w:t>Leoński</w:t>
      </w:r>
      <w:proofErr w:type="spellEnd"/>
      <w:r w:rsidRPr="00BC50C9">
        <w:t>, 2022, P.2915)</w:t>
      </w:r>
      <w:r w:rsidRPr="00BC50C9">
        <w:rPr>
          <w:rtl/>
        </w:rPr>
        <w:t>).</w:t>
      </w:r>
    </w:p>
    <w:p w14:paraId="7F968545" w14:textId="77777777" w:rsidR="009A288C" w:rsidRPr="00BC50C9" w:rsidRDefault="009A288C" w:rsidP="00A0518F">
      <w:pPr>
        <w:pStyle w:val="00000"/>
        <w:rPr>
          <w:rtl/>
        </w:rPr>
      </w:pPr>
      <w:r w:rsidRPr="00BC50C9">
        <w:rPr>
          <w:rtl/>
        </w:rPr>
        <w:t>مما سبق يمكن استقراء أن يلعب التمويل التشاركي دورًا محوريًا في دعم المشاريع الريادية وتمكينها من النمو والنجاح فهو يوفر لرواد الأعمال فرصة لجمع التمويل من خلال مشاركة الجمهور، دون الحاجة إلى الاعتماد على المصادر التقليدية مثل البنوك أو المستثمرين الكبار فمن خلال المنصات الإلكترونية، يمكن للرياديين عرض أفكارهم ومشاريعهم بشكل مباشر على جمهور واسع، مما يزيد من فرص جذب التمويل والدعم بالإضافة إلى ذلك، يسهم التمويل التشاركي في تعزيز الشفافية والثقة بين أصحاب المشاريع والممولين، حيث يتم عرض تفاصيل المشروع وأهدافه بشكل واضح.</w:t>
      </w:r>
    </w:p>
    <w:p w14:paraId="4C83A725" w14:textId="78BA82D9" w:rsidR="009A288C" w:rsidRPr="00BC50C9" w:rsidRDefault="00A0518F" w:rsidP="00A0518F">
      <w:pPr>
        <w:pStyle w:val="113"/>
        <w:rPr>
          <w:rtl/>
        </w:rPr>
      </w:pPr>
      <w:bookmarkStart w:id="35" w:name="_Toc195456500"/>
      <w:r>
        <w:rPr>
          <w:rFonts w:hint="cs"/>
          <w:rtl/>
          <w:lang w:bidi="ar-EG"/>
        </w:rPr>
        <w:t xml:space="preserve">8.4.1 </w:t>
      </w:r>
      <w:r w:rsidR="009A288C" w:rsidRPr="00BC50C9">
        <w:rPr>
          <w:rtl/>
        </w:rPr>
        <w:t>أهمية التمويل التشاركي في تعزيز الاستدامة المالية</w:t>
      </w:r>
      <w:bookmarkEnd w:id="35"/>
    </w:p>
    <w:p w14:paraId="71B012AD" w14:textId="77777777" w:rsidR="009A288C" w:rsidRPr="00BC50C9" w:rsidRDefault="009A288C" w:rsidP="00A0518F">
      <w:pPr>
        <w:pStyle w:val="00000"/>
        <w:rPr>
          <w:rtl/>
        </w:rPr>
      </w:pPr>
      <w:r w:rsidRPr="00BC50C9">
        <w:rPr>
          <w:rtl/>
        </w:rPr>
        <w:t xml:space="preserve">يُعد التمويل التشاركي أداة فعالة في تعزيز الاستدامة المالية، حيث يوفر آلية تمويلية مرنة ومبتكرة تدعم المشاريع الصغيرة والمتوسطة، والتي غالبًا ما تواجه صعوبات في الحصول على تمويل تقليدي؛ وهو ما أكد عليه أحلام </w:t>
      </w:r>
      <w:proofErr w:type="spellStart"/>
      <w:r w:rsidRPr="00BC50C9">
        <w:rPr>
          <w:rtl/>
        </w:rPr>
        <w:t>وموراد</w:t>
      </w:r>
      <w:proofErr w:type="spellEnd"/>
      <w:r w:rsidRPr="00BC50C9">
        <w:rPr>
          <w:rtl/>
        </w:rPr>
        <w:t xml:space="preserve"> (2022، ص.654) بأن يُعتبر التمويل التشاركي من القنوات الواعدة لدعم التنمية المستدامة؛ حيث يلعب دورًا مهمًا في تحقيق الاستقرار الاقتصادي والمالي من خلال تقليل الفقر، وخلق فرص العمل، وتعزيز الأمن المالي والاجتماعي، كما يُساهم في تحقيق العدالة الاقتصادية من خلال توفير خيارات تمويلية مرنة تدعم المشاريع الصغيرة والناشئة، مما يسهم في جذب الاستثمارات واستقطاب الموارد المالية، وتُعتبر المنصات الإلكترونية الحديثة من أبرز الأدوات التي تعزز هذا النموذج؛ حيث توفر بيئة استثمارية مبتكرة تُساعد في تعزيز الاستدامة المالية للمشاريع الريادية.</w:t>
      </w:r>
    </w:p>
    <w:p w14:paraId="0AC967B1" w14:textId="77777777" w:rsidR="009A288C" w:rsidRPr="00BC50C9" w:rsidRDefault="009A288C" w:rsidP="00A0518F">
      <w:pPr>
        <w:pStyle w:val="00000"/>
      </w:pPr>
      <w:r w:rsidRPr="00BC50C9">
        <w:rPr>
          <w:rtl/>
        </w:rPr>
        <w:t xml:space="preserve">كما يُعد التمويل أمرًا بالغ الأهمية للاقتصاد، إذ لا يقتصر دوره على اختيار فرص الاستثمار وتخصيص الموارد فحسب، بل يشمل أيضًا تمويل الابتكار،  وتُعدّ وظيفة اختيار أفضل المشاريع بالغة الأهمية للاقتصاد، إذ يُعدّ الابتكار مصدرًا هامًا للنمو، وتُسهم الشركات الريادية وشركات التكنولوجيا الفائقة، وخاصةً تلك المدعومة ماليًا من مصادر خاصة مثل صناديق رأس المال الاستثماري، إسهامًا كبيرًا في تعزيز الاستدامة المالية، ولذلك، تُشارك المؤسسات المالية في تطوير الابتكار ليس فقط من خلال تقديم الدعم المالي، بل أيضًا من خلال التخفيف من حدة الاختيار غير السليم للمشاريع </w:t>
      </w:r>
      <w:r w:rsidRPr="00BC50C9">
        <w:rPr>
          <w:color w:val="222222"/>
          <w:shd w:val="clear" w:color="auto" w:fill="FFFFFF"/>
        </w:rPr>
        <w:t xml:space="preserve">Hervé &amp; </w:t>
      </w:r>
      <w:proofErr w:type="spellStart"/>
      <w:r w:rsidRPr="00BC50C9">
        <w:rPr>
          <w:color w:val="222222"/>
          <w:shd w:val="clear" w:color="auto" w:fill="FFFFFF"/>
        </w:rPr>
        <w:t>Schwienbacher</w:t>
      </w:r>
      <w:proofErr w:type="spellEnd"/>
      <w:r w:rsidRPr="00BC50C9">
        <w:rPr>
          <w:color w:val="222222"/>
          <w:shd w:val="clear" w:color="auto" w:fill="FFFFFF"/>
        </w:rPr>
        <w:t>, 2019, P.2)</w:t>
      </w:r>
      <w:r w:rsidRPr="00BC50C9">
        <w:rPr>
          <w:rtl/>
        </w:rPr>
        <w:t xml:space="preserve">). </w:t>
      </w:r>
    </w:p>
    <w:p w14:paraId="6B9BBA0E" w14:textId="77777777" w:rsidR="009A288C" w:rsidRPr="00BC50C9" w:rsidRDefault="009A288C" w:rsidP="00A0518F">
      <w:pPr>
        <w:pStyle w:val="00000"/>
        <w:rPr>
          <w:rtl/>
        </w:rPr>
      </w:pPr>
      <w:r w:rsidRPr="00BC50C9">
        <w:rPr>
          <w:rtl/>
        </w:rPr>
        <w:t xml:space="preserve">وبالتالي تحتاج المنظمات إلى البحث عن طرق بديلة لإدارة ودعم أنشطتها، لذلك، من الضروري فهم كيفية توجه المنظمات نحو ممارسات مستدامة من حيث التكنولوجيا ونماذج الأعمال والتمويل على نحو أفضل، في هذا السياق، يُمثل التمويل الجماعي مصدرًا متناميًا للتمويل البديل لمجموعة متنوعة من المشاريع الربحية وغير الربحية، مما يؤثر على كيفية الحصول من، ولطالما اتسمت عملية التمويل الجماعي نفسها بالتفاعل الناجح بين منظمة، ومجموعة متنوعة من حملات المؤسسين الذين يسعون للحصول على دعم مالي لأفكارهم ومشاريعهم، وبالتالي، غالبًا ما يعتمد نجاح التمويل الجماعي على رغبة شخص في دعم </w:t>
      </w:r>
      <w:r w:rsidRPr="00BC50C9">
        <w:rPr>
          <w:rtl/>
        </w:rPr>
        <w:lastRenderedPageBreak/>
        <w:t>آخرين لقضايا أو منتجات أو خدمات لم تُنفَّذ بعد، وبالتالي برز التمويل الجماعي كمصدر تمويل شائع بشكل متزايد للمشاريع الريادية التي تسعى للحصول على رأس المال بشكل مستدام</w:t>
      </w:r>
      <w:r w:rsidRPr="00BC50C9">
        <w:t>(Testa et al., 2019, P.2)</w:t>
      </w:r>
      <w:r w:rsidRPr="00BC50C9">
        <w:rPr>
          <w:rtl/>
        </w:rPr>
        <w:t>.</w:t>
      </w:r>
    </w:p>
    <w:p w14:paraId="503D933C" w14:textId="77777777" w:rsidR="009A288C" w:rsidRPr="00BC50C9" w:rsidRDefault="009A288C" w:rsidP="00A0518F">
      <w:pPr>
        <w:pStyle w:val="00000"/>
      </w:pPr>
      <w:r w:rsidRPr="00BC50C9">
        <w:rPr>
          <w:rtl/>
        </w:rPr>
        <w:t xml:space="preserve">وعليه يعتبر التمويل التشاركي من الحلول التمويلية الحديثة البارزة التي تعزز استدامة المشاريع الناشئة؛ حيث يقدم بدائل مرنة وفعالة مقارنة بالتمويل التقليدي، ويسهم التمويل التشاركي في توفير بيئة استثمارية داعمة للمشاريع الريادية، مما يعزز فرص نجاحها واستمراريتها في السوق، وتبرز أهميته في عدة جوانب منها (توكل، 2023، ص.100): </w:t>
      </w:r>
    </w:p>
    <w:p w14:paraId="65465137" w14:textId="77777777" w:rsidR="009A288C" w:rsidRPr="00BC50C9" w:rsidRDefault="009A288C" w:rsidP="009A288C">
      <w:pPr>
        <w:numPr>
          <w:ilvl w:val="0"/>
          <w:numId w:val="8"/>
        </w:numPr>
        <w:bidi/>
        <w:spacing w:before="120" w:after="120" w:line="240" w:lineRule="auto"/>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انخفاض تكلفة التمويل:</w:t>
      </w:r>
      <w:r w:rsidRPr="00BC50C9">
        <w:rPr>
          <w:rFonts w:ascii="Times New Roman" w:eastAsia="Calibri" w:hAnsi="Times New Roman" w:cs="Simplified Arabic"/>
          <w:kern w:val="2"/>
          <w:sz w:val="24"/>
          <w:szCs w:val="28"/>
          <w:rtl/>
          <w14:ligatures w14:val="standardContextual"/>
        </w:rPr>
        <w:t xml:space="preserve"> يتم جمع الأموال مباشرة من المستثمرين المهتمين، مما يلغي الحاجة إلى وسطاء ماليين.</w:t>
      </w:r>
    </w:p>
    <w:p w14:paraId="55A6A4D0" w14:textId="77777777" w:rsidR="009A288C" w:rsidRPr="00BC50C9" w:rsidRDefault="009A288C" w:rsidP="009A288C">
      <w:pPr>
        <w:numPr>
          <w:ilvl w:val="0"/>
          <w:numId w:val="8"/>
        </w:numPr>
        <w:bidi/>
        <w:spacing w:before="120" w:after="120" w:line="240" w:lineRule="auto"/>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مرونة الاستثمار:</w:t>
      </w:r>
      <w:r w:rsidRPr="00BC50C9">
        <w:rPr>
          <w:rFonts w:ascii="Times New Roman" w:eastAsia="Calibri" w:hAnsi="Times New Roman" w:cs="Simplified Arabic"/>
          <w:kern w:val="2"/>
          <w:sz w:val="24"/>
          <w:szCs w:val="28"/>
          <w:rtl/>
          <w14:ligatures w14:val="standardContextual"/>
        </w:rPr>
        <w:t xml:space="preserve"> توفر منصات التمويل التشاركي فرصًا للمشاريع الصغيرة والمتوسطة التي غالبًا ما تواجه تحديات في الحصول على التمويل التقليدي.</w:t>
      </w:r>
    </w:p>
    <w:p w14:paraId="750DA6BC" w14:textId="77777777" w:rsidR="009A288C" w:rsidRPr="00BC50C9" w:rsidRDefault="009A288C" w:rsidP="009A288C">
      <w:pPr>
        <w:numPr>
          <w:ilvl w:val="0"/>
          <w:numId w:val="8"/>
        </w:numPr>
        <w:bidi/>
        <w:spacing w:before="120" w:after="120" w:line="240" w:lineRule="auto"/>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دعم الابتكار:</w:t>
      </w:r>
      <w:r w:rsidRPr="00BC50C9">
        <w:rPr>
          <w:rFonts w:ascii="Times New Roman" w:eastAsia="Calibri" w:hAnsi="Times New Roman" w:cs="Simplified Arabic"/>
          <w:kern w:val="2"/>
          <w:sz w:val="24"/>
          <w:szCs w:val="28"/>
          <w:rtl/>
          <w14:ligatures w14:val="standardContextual"/>
        </w:rPr>
        <w:t xml:space="preserve"> يجذب هذا النوع من التمويل المستثمرين نحو المشاريع ذات الأفكار الإبداعية، مما يعزز من ريادة الأعمال والقدرة التنافسية.</w:t>
      </w:r>
    </w:p>
    <w:p w14:paraId="27C27F12" w14:textId="77777777" w:rsidR="009A288C" w:rsidRPr="00BC50C9" w:rsidRDefault="009A288C" w:rsidP="009A288C">
      <w:pPr>
        <w:numPr>
          <w:ilvl w:val="0"/>
          <w:numId w:val="8"/>
        </w:numPr>
        <w:bidi/>
        <w:spacing w:before="120" w:after="120" w:line="240" w:lineRule="auto"/>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توسيع قاعدة المستثمرين:</w:t>
      </w:r>
      <w:r w:rsidRPr="00BC50C9">
        <w:rPr>
          <w:rFonts w:ascii="Times New Roman" w:eastAsia="Calibri" w:hAnsi="Times New Roman" w:cs="Simplified Arabic"/>
          <w:kern w:val="2"/>
          <w:sz w:val="24"/>
          <w:szCs w:val="28"/>
          <w:rtl/>
          <w14:ligatures w14:val="standardContextual"/>
        </w:rPr>
        <w:t xml:space="preserve"> يتيح لرواد الأعمال الوصول إلى عدد كبير من المستثمرين المحتملين على مستوى العالم.</w:t>
      </w:r>
    </w:p>
    <w:p w14:paraId="6B91AA48" w14:textId="77777777" w:rsidR="009A288C" w:rsidRPr="00BC50C9" w:rsidRDefault="009A288C" w:rsidP="009A288C">
      <w:pPr>
        <w:numPr>
          <w:ilvl w:val="0"/>
          <w:numId w:val="8"/>
        </w:numPr>
        <w:bidi/>
        <w:spacing w:before="120" w:after="120" w:line="240" w:lineRule="auto"/>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تعزيز الاستدامة المالية:</w:t>
      </w:r>
      <w:r w:rsidRPr="00BC50C9">
        <w:rPr>
          <w:rFonts w:ascii="Times New Roman" w:eastAsia="Calibri" w:hAnsi="Times New Roman" w:cs="Simplified Arabic"/>
          <w:kern w:val="2"/>
          <w:sz w:val="24"/>
          <w:szCs w:val="28"/>
          <w:rtl/>
          <w14:ligatures w14:val="standardContextual"/>
        </w:rPr>
        <w:t xml:space="preserve"> يوفر تمويلًا مستدامًا يساعد الشركات الناشئة على النمو والتوسع دون الاعتماد على الديون التقليدية.</w:t>
      </w:r>
    </w:p>
    <w:p w14:paraId="4E3E76B4" w14:textId="77777777" w:rsidR="009A288C" w:rsidRPr="00BC50C9" w:rsidRDefault="009A288C" w:rsidP="00A0518F">
      <w:pPr>
        <w:pStyle w:val="00000"/>
        <w:rPr>
          <w:rtl/>
        </w:rPr>
      </w:pPr>
      <w:r w:rsidRPr="00BC50C9">
        <w:rPr>
          <w:rtl/>
        </w:rPr>
        <w:t>مما سبق يمكن التطرق إلى أن يلعب التمويل التشاركي دورًا محوريًا في تعزيز التنمية المستدامة من خلال تقليص الفقر، وتوفير فرص العمل، وتعزيز الاستقرار المالي، كما يسهم في تحقيق العدالة الاقتصادية من خلال تقديم خيارات تمويلية مرنة للمشاريع الناشئة، وتوفر المنصات الإلكترونية بيئة استثمارية مبتكرة تدعم استدامة المشاريع الريادية؛ حيث يتميز التمويل التشاركي بتكاليفه المنخفضة ومرونة الاستثمار ودعمه للابتكار، وعلاوة على ذلك يساهم في توسيع قاعدة المستثمرين وتعزيز الاستدامة المالية، مما يجعله بديلاً فعالًا للتمويل التقليدي ويساعد في نمو الاقتصاد الرقمي.</w:t>
      </w:r>
    </w:p>
    <w:p w14:paraId="4D5CBC9E" w14:textId="77777777" w:rsidR="009A288C" w:rsidRPr="00BC50C9" w:rsidRDefault="009A288C" w:rsidP="009A288C">
      <w:pPr>
        <w:bidi/>
        <w:spacing w:before="120" w:after="120" w:line="240" w:lineRule="auto"/>
        <w:rPr>
          <w:rFonts w:ascii="Times New Roman" w:eastAsia="Calibri" w:hAnsi="Times New Roman" w:cs="Simplified Arabic"/>
          <w:sz w:val="24"/>
          <w:szCs w:val="28"/>
          <w:rtl/>
        </w:rPr>
      </w:pPr>
      <w:r w:rsidRPr="00BC50C9">
        <w:rPr>
          <w:rFonts w:ascii="Times New Roman" w:eastAsia="Calibri" w:hAnsi="Times New Roman" w:cs="Simplified Arabic"/>
          <w:sz w:val="24"/>
          <w:szCs w:val="28"/>
          <w:rtl/>
        </w:rPr>
        <w:br w:type="page"/>
      </w:r>
    </w:p>
    <w:p w14:paraId="79BCE272" w14:textId="2E3950EC" w:rsidR="009A288C" w:rsidRPr="00BC50C9" w:rsidRDefault="00A0518F" w:rsidP="00A0518F">
      <w:pPr>
        <w:pStyle w:val="22222"/>
        <w:jc w:val="center"/>
        <w:rPr>
          <w:rtl/>
        </w:rPr>
      </w:pPr>
      <w:bookmarkStart w:id="36" w:name="_Toc195456501"/>
      <w:r>
        <w:rPr>
          <w:rFonts w:hint="cs"/>
          <w:rtl/>
        </w:rPr>
        <w:lastRenderedPageBreak/>
        <w:t xml:space="preserve">5.1 </w:t>
      </w:r>
      <w:r w:rsidR="009A288C" w:rsidRPr="00BC50C9">
        <w:rPr>
          <w:rtl/>
        </w:rPr>
        <w:t>المبحث الثالث: المشاريع الريادية</w:t>
      </w:r>
      <w:bookmarkEnd w:id="36"/>
    </w:p>
    <w:p w14:paraId="5E482294" w14:textId="79468DF4" w:rsidR="009A288C" w:rsidRPr="00BC50C9" w:rsidRDefault="00A0518F" w:rsidP="00A0518F">
      <w:pPr>
        <w:pStyle w:val="113"/>
        <w:rPr>
          <w:rtl/>
        </w:rPr>
      </w:pPr>
      <w:bookmarkStart w:id="37" w:name="_Toc195456502"/>
      <w:r>
        <w:rPr>
          <w:rFonts w:hint="cs"/>
          <w:rtl/>
        </w:rPr>
        <w:t xml:space="preserve">1.5.1 </w:t>
      </w:r>
      <w:r w:rsidR="009A288C" w:rsidRPr="00BC50C9">
        <w:rPr>
          <w:rtl/>
        </w:rPr>
        <w:t>مقدمة</w:t>
      </w:r>
      <w:bookmarkEnd w:id="37"/>
    </w:p>
    <w:p w14:paraId="106368A7" w14:textId="77777777" w:rsidR="009A288C" w:rsidRPr="00BC50C9" w:rsidRDefault="009A288C" w:rsidP="00A0518F">
      <w:pPr>
        <w:pStyle w:val="00000"/>
        <w:rPr>
          <w:rtl/>
        </w:rPr>
      </w:pPr>
      <w:r w:rsidRPr="00BC50C9">
        <w:rPr>
          <w:rtl/>
        </w:rPr>
        <w:t>تُعد المشاريع الريادية من الدعائم الأساسية للاقتصاد على مستوى العالم، حيث تلعب دورًا محوريًا في تعزيز النمو الاقتصادي وخلق فرص العمل لذلك، تسعى معظم الدول حاليًا إلى دعم رواد الأعمال وأصحاب الأفكار المبتكرة من خلال مجموعة واسعة من البرامج؛ وهو ما أكد عليه العكاوي ومقدام (2018، ص.38) بأن تعتبر المشاريع الريادية من الركائز الأساسية للاقتصاد في جميع أنحاء العالم، كما تسعى معظم الدول اليوم إلى دعم رواد الأعمال وأصحاب الأفكار المبتكرة من خلال مجموعة متنوعة من البرامج والمؤسسات والهيئات، ويعود ذلك إلى الأهمية الكبيرة التي تحملها هذه المشاريع في تعزيز النمو الاقتصادي والاستثماري للدول.</w:t>
      </w:r>
    </w:p>
    <w:p w14:paraId="50B27CD3" w14:textId="77777777" w:rsidR="009A288C" w:rsidRPr="00BC50C9" w:rsidRDefault="009A288C" w:rsidP="00A0518F">
      <w:pPr>
        <w:pStyle w:val="00000"/>
        <w:rPr>
          <w:color w:val="000000"/>
        </w:rPr>
      </w:pPr>
      <w:r w:rsidRPr="00BC50C9">
        <w:rPr>
          <w:color w:val="000000"/>
          <w:rtl/>
        </w:rPr>
        <w:t xml:space="preserve">ففي ظل التطور الذي يشهده العالم أجمع، أدى ذلك الى لجوء المؤسسات الى تطبيق التوجه الريادي، بهدف تكوين الأفراد ومساعدتهم على النمو والتطور عن طريق تطوير مهارات ريادة الأعمال اللازمة لمواجهة التحديات المُختلفة؛ وبذلك فإن التوجه الريادي لا يُسهم فقط في تطوير مبادئ الريادة لدي </w:t>
      </w:r>
      <w:proofErr w:type="gramStart"/>
      <w:r w:rsidRPr="00BC50C9">
        <w:rPr>
          <w:color w:val="000000"/>
          <w:rtl/>
        </w:rPr>
        <w:t>الافراد</w:t>
      </w:r>
      <w:proofErr w:type="gramEnd"/>
      <w:r w:rsidRPr="00BC50C9">
        <w:rPr>
          <w:color w:val="000000"/>
          <w:rtl/>
        </w:rPr>
        <w:t xml:space="preserve"> بل يدعم عملية اللحاق بالتطور السائد في المُجتمع ودفع عجلة التنمية والتطور</w:t>
      </w:r>
      <w:r w:rsidRPr="00BC50C9">
        <w:rPr>
          <w:color w:val="000000"/>
          <w:shd w:val="clear" w:color="auto" w:fill="FFFFFF"/>
        </w:rPr>
        <w:t xml:space="preserve"> </w:t>
      </w:r>
      <w:proofErr w:type="spellStart"/>
      <w:r w:rsidRPr="00BC50C9">
        <w:rPr>
          <w:color w:val="000000"/>
          <w:shd w:val="clear" w:color="auto" w:fill="FFFFFF"/>
        </w:rPr>
        <w:t>Widokarti</w:t>
      </w:r>
      <w:proofErr w:type="spellEnd"/>
      <w:r w:rsidRPr="00BC50C9">
        <w:rPr>
          <w:color w:val="000000"/>
          <w:shd w:val="clear" w:color="auto" w:fill="FFFFFF"/>
        </w:rPr>
        <w:t xml:space="preserve"> &amp; Ginting, 2020, P.177)</w:t>
      </w:r>
      <w:r w:rsidRPr="00BC50C9">
        <w:rPr>
          <w:color w:val="000000"/>
          <w:rtl/>
        </w:rPr>
        <w:t>).</w:t>
      </w:r>
    </w:p>
    <w:p w14:paraId="6A6B804B" w14:textId="77777777" w:rsidR="009A288C" w:rsidRPr="00BC50C9" w:rsidRDefault="009A288C" w:rsidP="00A0518F">
      <w:pPr>
        <w:pStyle w:val="00000"/>
        <w:rPr>
          <w:rtl/>
        </w:rPr>
      </w:pPr>
      <w:r w:rsidRPr="00BC50C9">
        <w:rPr>
          <w:rtl/>
        </w:rPr>
        <w:t>وعليه تُعدّ ريادة الأعمال نموذجًا ناجحًا في الوقت الحالي، نظرًا لامتلاكها خصائص تتوافق مع متطلبات قدرات القرن الحادي والعشرين، في السابق، كانت ريادة الأعمال عملية بيع وشراء، ثم تحولت ريادة الأعمال إلى عملية ابتكار منتجات، وغرس روح ريادة الأعمال لدى الموظفين، للبدء في مشاريعهم الخاصة</w:t>
      </w:r>
      <w:r w:rsidRPr="00BC50C9">
        <w:t xml:space="preserve"> (Hag et al., 2024, P.2418)</w:t>
      </w:r>
      <w:r w:rsidRPr="00BC50C9">
        <w:rPr>
          <w:rtl/>
        </w:rPr>
        <w:t>.</w:t>
      </w:r>
    </w:p>
    <w:p w14:paraId="3925AEB0" w14:textId="77777777" w:rsidR="009A288C" w:rsidRPr="00BC50C9" w:rsidRDefault="009A288C" w:rsidP="00A0518F">
      <w:pPr>
        <w:pStyle w:val="00000"/>
        <w:rPr>
          <w:rtl/>
        </w:rPr>
      </w:pPr>
      <w:r w:rsidRPr="00BC50C9">
        <w:rPr>
          <w:rtl/>
        </w:rPr>
        <w:t>كما تساهم الاستراتيجيات الريادية في تعزيز فرص التفكير في الأهداف الإبداعية والغايات المبتكرة، مما يضيف طابع الريادة للمشاريع، وتتميز هذه الاستراتيجيات بقدرتها على تحقيق التوازن بين التناغم والتنافس، بالإضافة إلى توفير قيمة مضافة لاستكشاف واستغلال الفرص المناسبة بشكل مثالي، مما يخدم المشاريع بشكل عام والمشاريع الريادية بشكل خاص، يعتمد هذا النهج على إشراك الشركات التي تتبنى هذه المشاريع، مما يساعدها على مواجهة التحديات والتغيرات المستمرة، وبناء أفكار جديدة تتيح لها التميز في بيئة تنافسية سريعة (</w:t>
      </w:r>
      <w:proofErr w:type="spellStart"/>
      <w:r w:rsidRPr="00BC50C9">
        <w:rPr>
          <w:rtl/>
        </w:rPr>
        <w:t>النواجي</w:t>
      </w:r>
      <w:proofErr w:type="spellEnd"/>
      <w:r w:rsidRPr="00BC50C9">
        <w:rPr>
          <w:rtl/>
        </w:rPr>
        <w:t xml:space="preserve"> وعربيات، 2024، ص.18).</w:t>
      </w:r>
    </w:p>
    <w:p w14:paraId="75AB6FEC" w14:textId="77777777" w:rsidR="009A288C" w:rsidRPr="00BC50C9" w:rsidRDefault="009A288C" w:rsidP="00A0518F">
      <w:pPr>
        <w:pStyle w:val="00000"/>
        <w:rPr>
          <w:rtl/>
        </w:rPr>
      </w:pPr>
      <w:r w:rsidRPr="00BC50C9">
        <w:rPr>
          <w:rtl/>
        </w:rPr>
        <w:t xml:space="preserve">كما تعني الريادة التميز في مجال معين، بالإضافة إلى إدارتها لشيء جديد أو ابتكار شيء يُلبي احتياجات السوق ويحقق رواجًا، ويمكن أن تتجلى الريادة في إنشاء مشروع جديد، أو تنظيم فعّالية مبتكرة، أو إدارة الموارد لتقديم منتج جديد، أو تطوير مشروع مبتكر، لذلك، فإن الريادة لا تقتصر على إقامة مشروع جديد فحسب، بل تشمل أيضًا نشاطات المدراء في المنظمات التي تهدف إلى تقديم سلع وخدمات جديدة أو </w:t>
      </w:r>
      <w:r w:rsidRPr="00BC50C9">
        <w:rPr>
          <w:rtl/>
        </w:rPr>
        <w:lastRenderedPageBreak/>
        <w:t>إنشاء خطوط إنتاج جديدة، لضمان استمرارية هذه الأنشطة الجديدة، كما ينبغي على المدراء إدارة مواردهم المحدودة بطرق تختلف عن الأساليب التقليدية المتبعة من قبل الآخرين (الدوري والحيت، 2017، ص.1).</w:t>
      </w:r>
    </w:p>
    <w:p w14:paraId="4CF1B6B5" w14:textId="77777777" w:rsidR="009A288C" w:rsidRPr="00BC50C9" w:rsidRDefault="009A288C" w:rsidP="00A0518F">
      <w:pPr>
        <w:pStyle w:val="00000"/>
        <w:rPr>
          <w:rtl/>
        </w:rPr>
      </w:pPr>
      <w:r w:rsidRPr="00BC50C9">
        <w:rPr>
          <w:rtl/>
        </w:rPr>
        <w:t>وعليه تُعد مشاريع الأعمال الريادية القوة الدافعة الأساسية للسياسات الاقتصادية التي تهدف إلى تقليل معدلات الفقر والبطالة، وذلك من خلال الفرص الوظيفية الجديدة التي تقدمها هذه المشاريع المبتكرة، مما يساعد في التخفيف من تأثير الأزمات المالية والاقتصادية المتكررة (قصقص وآخرون، 2015، ص.29).</w:t>
      </w:r>
    </w:p>
    <w:p w14:paraId="6FFB0EE6" w14:textId="77777777" w:rsidR="009A288C" w:rsidRPr="00BC50C9" w:rsidRDefault="009A288C" w:rsidP="00A0518F">
      <w:pPr>
        <w:pStyle w:val="00000"/>
        <w:rPr>
          <w:rtl/>
        </w:rPr>
      </w:pPr>
      <w:r w:rsidRPr="00BC50C9">
        <w:rPr>
          <w:rtl/>
        </w:rPr>
        <w:t>وأصبحت ريادة الأعمال من العوامل الأساسية والضرورية لتحقيق معدلات تنموية مرضية للدول النامية أو التي تشهد نمواً، ولتحقيق هذا الهدف، تزايدت أهمية التركيز على المشروعات الريادية؛ حيث تُعتبر من أبرز محاور تعزيز التنمية الاقتصادية والتقليل من حدة مشكلة البطالة التي تُعاني منها معظم دول العالم، وخاصة الدول النامية التي تواجه تحديات كبيرة في هذا المجال (أبو عجيلة وصبيح، 2023، ص .562).</w:t>
      </w:r>
    </w:p>
    <w:p w14:paraId="0D7782E5" w14:textId="77777777" w:rsidR="009A288C" w:rsidRPr="00BC50C9" w:rsidRDefault="009A288C" w:rsidP="00A0518F">
      <w:pPr>
        <w:pStyle w:val="00000"/>
        <w:rPr>
          <w:rtl/>
        </w:rPr>
      </w:pPr>
      <w:r w:rsidRPr="00BC50C9">
        <w:rPr>
          <w:rtl/>
        </w:rPr>
        <w:t>ويمكن القول إن النقاش حول المشاريع الريادية قد تجاوز مرحلة الجدل بشأن أهميتها ودورها في تعزيز اقتصاديات الدول ودعمها، خاصة في ظل التحول الكبير من اقتصاد رأس المال إلى اقتصاد المعرفة، ويهدف هذا التحول إلى تحقيق الاستقرار الاقتصادي الذي تسعى جميع الشعوب للوصول إليه لضمان الأمن الاقتصادي والسياسي، وتعتبر المشاريع الريادية وسيلة فعّالة لمعالجة أحد أبرز التحديات التي تُعيق تحقيق هذا الأمن، وهو مشكلة البطالة (سلطان، 2016، ص.103).</w:t>
      </w:r>
    </w:p>
    <w:p w14:paraId="3CE5500D" w14:textId="77777777" w:rsidR="009A288C" w:rsidRPr="00BC50C9" w:rsidRDefault="009A288C" w:rsidP="00A0518F">
      <w:pPr>
        <w:pStyle w:val="00000"/>
      </w:pPr>
      <w:r w:rsidRPr="00BC50C9">
        <w:rPr>
          <w:rtl/>
        </w:rPr>
        <w:t>خلاصة ما سبق يمكن استنتاج أن تُعد المشاريع الريادية محركًا رئيسيًا للتطور الاقتصادي والاجتماعي في العالم الحديث، حيث تمثل حلقة الوصل بين الأفكار المبتكرة وتحويلها إلى واقع ملموس فتعتمد هذه المشاريع على رؤية رواد الأعمال وقدرتهم على تحديد الفرص وتحويل التحديات إلى إنجازات، مما يسهم في خلق فرص عمل جديدة وتعزيز النمو الاقتصادي ففي ظل التغيرات السريعة التي يشهدها العالم، أصبحت المشاريع الريادية عنصرًا أساسيًا لتحقيق التنمية المستدامة ومواجهة التحديات المعاصرة. بفضل دورها في تعزيز الابتكار والمنافسة، تُسهم هذه المشاريع في بناء اقتصادات أكثر مرونة وقدرة على التكيف مع المستقبل.</w:t>
      </w:r>
    </w:p>
    <w:p w14:paraId="443CD9CA" w14:textId="1333EF21" w:rsidR="009A288C" w:rsidRPr="00BC50C9" w:rsidRDefault="00A0518F" w:rsidP="00A0518F">
      <w:pPr>
        <w:pStyle w:val="113"/>
      </w:pPr>
      <w:bookmarkStart w:id="38" w:name="_Toc195456503"/>
      <w:r>
        <w:rPr>
          <w:rFonts w:hint="cs"/>
          <w:rtl/>
        </w:rPr>
        <w:t xml:space="preserve">2.5.1 </w:t>
      </w:r>
      <w:r w:rsidR="009A288C" w:rsidRPr="00BC50C9">
        <w:rPr>
          <w:rtl/>
        </w:rPr>
        <w:t>مفهوم المشاريع الريادية</w:t>
      </w:r>
      <w:bookmarkEnd w:id="38"/>
    </w:p>
    <w:p w14:paraId="6D7BF6C4" w14:textId="77777777" w:rsidR="009A288C" w:rsidRPr="00BC50C9" w:rsidRDefault="009A288C" w:rsidP="00A0518F">
      <w:pPr>
        <w:bidi/>
        <w:spacing w:before="120" w:after="120" w:line="240" w:lineRule="auto"/>
        <w:jc w:val="both"/>
        <w:rPr>
          <w:rFonts w:ascii="Times New Roman" w:eastAsia="Calibri" w:hAnsi="Times New Roman" w:cs="Simplified Arabic"/>
          <w:sz w:val="24"/>
          <w:szCs w:val="28"/>
          <w:rtl/>
        </w:rPr>
      </w:pPr>
      <w:r w:rsidRPr="00BC50C9">
        <w:rPr>
          <w:rFonts w:ascii="Times New Roman" w:eastAsia="Calibri" w:hAnsi="Times New Roman" w:cs="Simplified Arabic"/>
          <w:sz w:val="24"/>
          <w:szCs w:val="28"/>
          <w:rtl/>
        </w:rPr>
        <w:t>تتعدد مفاهيم المشاريع الريادية التي تساعد على شرح مقتضاه، وتتمثل أبرز تلك المفاهيم في كلًا من:</w:t>
      </w:r>
    </w:p>
    <w:p w14:paraId="47B6BBFB" w14:textId="77777777" w:rsidR="009A288C" w:rsidRPr="00BC50C9" w:rsidRDefault="009A288C" w:rsidP="00A0518F">
      <w:pPr>
        <w:pStyle w:val="00000"/>
        <w:rPr>
          <w:rtl/>
        </w:rPr>
      </w:pPr>
      <w:r w:rsidRPr="00BC50C9">
        <w:rPr>
          <w:rtl/>
        </w:rPr>
        <w:t xml:space="preserve">ووضح قصقص وآخرون (2015، ص.37) تعريف المشاريع الريادية بأنها: " هي المشاريع التي تكون مختلفة عن المألوف بغض النظر عن حجمها وقطاعها وتقوم على إنتاج </w:t>
      </w:r>
      <w:proofErr w:type="gramStart"/>
      <w:r w:rsidRPr="00BC50C9">
        <w:rPr>
          <w:rtl/>
        </w:rPr>
        <w:t>منتج</w:t>
      </w:r>
      <w:proofErr w:type="gramEnd"/>
      <w:r w:rsidRPr="00BC50C9">
        <w:rPr>
          <w:rtl/>
        </w:rPr>
        <w:t xml:space="preserve"> او خدمة او فكرة، او اسلوب جديد، غير موجود أصلا ولم يكن متوفراً من فرصة تتصف بالتفرد والإبداع والابتكار".</w:t>
      </w:r>
    </w:p>
    <w:p w14:paraId="485672E9" w14:textId="77777777" w:rsidR="009A288C" w:rsidRPr="00BC50C9" w:rsidRDefault="009A288C" w:rsidP="00A0518F">
      <w:pPr>
        <w:pStyle w:val="00000"/>
        <w:rPr>
          <w:rtl/>
        </w:rPr>
      </w:pPr>
      <w:r w:rsidRPr="00BC50C9">
        <w:rPr>
          <w:rtl/>
        </w:rPr>
        <w:t>ووصف عبده (2015، ص.286) تعريف المشاريع الريادية بأنها: "مشاريع تشمل عملية بدء عمل تجاري جديد أو غير مسبوق، وتنظيم الموارد الضرورية له مع افتراض المخاطر والمنافع المرتبطة به".</w:t>
      </w:r>
    </w:p>
    <w:p w14:paraId="37832F9C" w14:textId="77777777" w:rsidR="009A288C" w:rsidRPr="00BC50C9" w:rsidRDefault="009A288C" w:rsidP="00A0518F">
      <w:pPr>
        <w:pStyle w:val="00000"/>
        <w:rPr>
          <w:color w:val="000000"/>
        </w:rPr>
      </w:pPr>
      <w:r w:rsidRPr="00BC50C9">
        <w:rPr>
          <w:color w:val="000000"/>
          <w:rtl/>
        </w:rPr>
        <w:lastRenderedPageBreak/>
        <w:t>كما عرف "رأيت وهيت" (</w:t>
      </w:r>
      <w:r w:rsidRPr="00BC50C9">
        <w:rPr>
          <w:color w:val="000000"/>
          <w:shd w:val="clear" w:color="auto" w:fill="FFFFFF"/>
        </w:rPr>
        <w:t>Wright</w:t>
      </w:r>
      <w:r w:rsidRPr="00BC50C9">
        <w:rPr>
          <w:color w:val="000000"/>
        </w:rPr>
        <w:t xml:space="preserve"> </w:t>
      </w:r>
      <w:r w:rsidRPr="00BC50C9">
        <w:rPr>
          <w:color w:val="000000"/>
          <w:shd w:val="clear" w:color="auto" w:fill="FFFFFF"/>
        </w:rPr>
        <w:t>&amp; Hitt, 2017, P.200</w:t>
      </w:r>
      <w:r w:rsidRPr="00BC50C9">
        <w:rPr>
          <w:color w:val="000000"/>
          <w:rtl/>
        </w:rPr>
        <w:t xml:space="preserve">) المشاريع الريادية على أنها: "المشاريع القائمة على نهج تكامل مبادئ ريادة الأعمال ومبادئ الإدارة الاستراتيجية؛ بهدف التكامل بينهم لسعى نحو تحديد الفرص واستغلالها بشكل استراتيجي يدعم عمليات انشاء ميزة تنافسية للمؤسسة". </w:t>
      </w:r>
    </w:p>
    <w:p w14:paraId="3EC63AC7" w14:textId="77777777" w:rsidR="009A288C" w:rsidRPr="00BC50C9" w:rsidRDefault="009A288C" w:rsidP="00A0518F">
      <w:pPr>
        <w:pStyle w:val="00000"/>
        <w:rPr>
          <w:rtl/>
        </w:rPr>
      </w:pPr>
      <w:r w:rsidRPr="00BC50C9">
        <w:rPr>
          <w:rtl/>
        </w:rPr>
        <w:t>في حين عرف عكور وعبد النسور (2020، ص.18) مفهوم المشاريع الريادية بأنها: "الأعمال التي يقوم بها الأفراد الرياديين؛ لتنفيذ فكرة معينة، سواء كانت هذه الفكرة منتج أو خدمة".</w:t>
      </w:r>
    </w:p>
    <w:p w14:paraId="55C9CC98" w14:textId="77777777" w:rsidR="009A288C" w:rsidRPr="00BC50C9" w:rsidRDefault="009A288C" w:rsidP="00A0518F">
      <w:pPr>
        <w:pStyle w:val="00000"/>
        <w:rPr>
          <w:rtl/>
        </w:rPr>
      </w:pPr>
      <w:r w:rsidRPr="00BC50C9">
        <w:rPr>
          <w:rtl/>
        </w:rPr>
        <w:t>كما عرف هنداوي (2023، ص.337) مفهوم المشاريع الريادية بأنها: "تنفيذ فكرة مبتكرة على أرض الواقع، أي أن تقوم بتنفيذ مشروع لم ينفذه أي شخص من قبل".</w:t>
      </w:r>
    </w:p>
    <w:p w14:paraId="39BAB710" w14:textId="77777777" w:rsidR="009A288C" w:rsidRPr="00BC50C9" w:rsidRDefault="009A288C" w:rsidP="00A0518F">
      <w:pPr>
        <w:pStyle w:val="00000"/>
        <w:rPr>
          <w:color w:val="000000"/>
        </w:rPr>
      </w:pPr>
      <w:r w:rsidRPr="00BC50C9">
        <w:rPr>
          <w:color w:val="000000"/>
          <w:rtl/>
        </w:rPr>
        <w:t>وقد ذكر " أليسون" (</w:t>
      </w:r>
      <w:r w:rsidRPr="00BC50C9">
        <w:rPr>
          <w:color w:val="000000"/>
          <w:shd w:val="clear" w:color="auto" w:fill="FFFFFF"/>
        </w:rPr>
        <w:t>ALLISON</w:t>
      </w:r>
      <w:r w:rsidRPr="00BC50C9">
        <w:rPr>
          <w:color w:val="000000"/>
        </w:rPr>
        <w:t>, 2023, P.141</w:t>
      </w:r>
      <w:r w:rsidRPr="00BC50C9">
        <w:rPr>
          <w:color w:val="000000"/>
          <w:rtl/>
        </w:rPr>
        <w:t xml:space="preserve">) المشاريع الريادية على أنها: "نظام تكامل وجهات النظر الريادية والاستراتيجية لتصميم وتنفيذ أفكار ريادية تهدف الى زيادة قدرة المؤسسة التنافسية، أثناء حدوث اضطرابات، حيث </w:t>
      </w:r>
      <w:proofErr w:type="gramStart"/>
      <w:r w:rsidRPr="00BC50C9">
        <w:rPr>
          <w:color w:val="000000"/>
          <w:rtl/>
        </w:rPr>
        <w:t>أنها</w:t>
      </w:r>
      <w:proofErr w:type="gramEnd"/>
      <w:r w:rsidRPr="00BC50C9">
        <w:rPr>
          <w:color w:val="000000"/>
          <w:rtl/>
        </w:rPr>
        <w:t xml:space="preserve"> تعتمد على دمج الوظائف الاستراتيجية مع إجراءات ريادة الأعمال؛ وبالتالي، فإنها تتضمن الانخراط في البحث عن الفرص والمزايا التنافسية بشكل متزامن". </w:t>
      </w:r>
    </w:p>
    <w:p w14:paraId="4B0DC477" w14:textId="77777777" w:rsidR="009A288C" w:rsidRPr="00BC50C9" w:rsidRDefault="009A288C" w:rsidP="00A0518F">
      <w:pPr>
        <w:pStyle w:val="00000"/>
        <w:rPr>
          <w:rtl/>
        </w:rPr>
      </w:pPr>
      <w:r w:rsidRPr="00BC50C9">
        <w:rPr>
          <w:rtl/>
        </w:rPr>
        <w:t>وبالتعقيب على ما سبق يمكن استنتاج تعريف المشاريع الريادية بأنها مشاريع تقوم على أفكار مبتكرة ومبدعة، يطلقها رواد أعمال بهدف إنشاء قيمة جديدة أو تحسين قيمة موجودة في السوق حيث تتميز هذه المشاريع بقدرتها على تحديد الفرص وتحويلها إلى منتجات أو خدمات قابلة للتطبيق، غالبًا مع تحمل مستوى عالٍ من المخاطرة وتعتمد المشاريع الريادية على الإبداع والابتكار.</w:t>
      </w:r>
    </w:p>
    <w:p w14:paraId="6A36F965" w14:textId="23D1153F" w:rsidR="009A288C" w:rsidRPr="00BC50C9" w:rsidRDefault="00C47C85" w:rsidP="00C47C85">
      <w:pPr>
        <w:pStyle w:val="113"/>
        <w:rPr>
          <w:rtl/>
        </w:rPr>
      </w:pPr>
      <w:bookmarkStart w:id="39" w:name="_Toc195456504"/>
      <w:r>
        <w:rPr>
          <w:rFonts w:hint="cs"/>
          <w:rtl/>
        </w:rPr>
        <w:t xml:space="preserve">3.5.1 </w:t>
      </w:r>
      <w:r w:rsidR="009A288C" w:rsidRPr="00BC50C9">
        <w:rPr>
          <w:rtl/>
        </w:rPr>
        <w:t>خصائص المشاريع الريادية</w:t>
      </w:r>
      <w:bookmarkEnd w:id="39"/>
    </w:p>
    <w:p w14:paraId="5A0A94AC" w14:textId="77777777" w:rsidR="009A288C" w:rsidRPr="00BC50C9" w:rsidRDefault="009A288C" w:rsidP="00C47C85">
      <w:pPr>
        <w:pStyle w:val="00000"/>
        <w:rPr>
          <w:rtl/>
        </w:rPr>
      </w:pPr>
      <w:r w:rsidRPr="00BC50C9">
        <w:rPr>
          <w:rtl/>
        </w:rPr>
        <w:t>يُحظى موضوع المشاريع الريادية باهتمام واسع ومستمر من قبل العديد من الجهات الحكومية، وذلك نظرًا للدور الحيوي الذي تلعبه هذه المشاريع في تعزيز اقتصاديات العديد من دول العالم وتُعتبر المشاريع الريادية من أبرز محركات النمو الاقتصادي؛ وهو ما أشار إليه جودي وبن غزال (2020، ص.14) بأن يستقطب موضوع المشاريع الريادية اهتماماً كبيراً ومستداماً من قبل العديد من الجهات الحكومية؛ حيث أثبتت المشاريع الريادية دورها الحيوي في اقتصاديات العديد من دول العالم، كونها تعد من أبرز مُحركات النمو الاقتصادي، كما تساهم هذه المشاريع في تحقيق مجموعة من الأهداف، منها تعزيز التنمية الاقتصادية والاجتماعية، وزيادة الدخل والنمو الاقتصادي في المجتمع، بالإضافة إلى تقديم خدمات ومنتجات مبتكرة والمساهمة في تطوير الصناعات.</w:t>
      </w:r>
    </w:p>
    <w:p w14:paraId="62F6636C" w14:textId="77777777" w:rsidR="009A288C" w:rsidRPr="00BC50C9" w:rsidRDefault="009A288C" w:rsidP="00C47C85">
      <w:pPr>
        <w:pStyle w:val="00000"/>
        <w:rPr>
          <w:rtl/>
        </w:rPr>
      </w:pPr>
      <w:r w:rsidRPr="00BC50C9">
        <w:rPr>
          <w:rtl/>
        </w:rPr>
        <w:t xml:space="preserve">وتستند المشاريع والأفكار الريادية إلى مجموعة من المفاهيم الأساسية مثل الإبداع، المخاطرة، والنمو، فالمشاريع الريادية الناجحة تعتمد على قيم وأسس معينة تساعد في تحقيق الأهداف المنشودة والنجاح في الأفكار المبتكرة لأصحاب المشاريع، كما أن هناك صفات فردية يتمتع بها رواد الأعمال في المشاريع الحديثة، فقد فشلت العديد من المشاريع الجديدة بسبب افتقارها لعنصر الإبداع، واعتمادها على الرتابة والتقليد للمشاريع الموجودة في السوق، لذلك، يجب على الرياديين تطوير أنفسهم ومواصلة البحث العلمي والإبداع </w:t>
      </w:r>
      <w:r w:rsidRPr="00BC50C9">
        <w:rPr>
          <w:rtl/>
        </w:rPr>
        <w:lastRenderedPageBreak/>
        <w:t xml:space="preserve">في أي فكرة أو مشروع يعملون عليه لضمان النجاح وتحقيق الأهداف المرجوة (أبو سل </w:t>
      </w:r>
      <w:proofErr w:type="spellStart"/>
      <w:r w:rsidRPr="00BC50C9">
        <w:rPr>
          <w:rtl/>
        </w:rPr>
        <w:t>والهابيل</w:t>
      </w:r>
      <w:proofErr w:type="spellEnd"/>
      <w:r w:rsidRPr="00BC50C9">
        <w:rPr>
          <w:rtl/>
        </w:rPr>
        <w:t>، 2018، ص.ص50-51).</w:t>
      </w:r>
    </w:p>
    <w:p w14:paraId="21511761" w14:textId="77777777" w:rsidR="009A288C" w:rsidRPr="00BC50C9" w:rsidRDefault="009A288C" w:rsidP="00C47C85">
      <w:pPr>
        <w:pStyle w:val="00000"/>
        <w:rPr>
          <w:rtl/>
        </w:rPr>
      </w:pPr>
      <w:r w:rsidRPr="00BC50C9">
        <w:rPr>
          <w:rtl/>
        </w:rPr>
        <w:t>وتشمل الخصائص الريادية مجموعة من الصفات الشخصية البارزة، مثل: المبادرة، حب المخاطرة، تحمل المسؤولية، الإبداع، السعي نحو الشهرة، والاستقلالية، كما تلعب هذه الخصائص دورًا مهمًا في تشكيل التوجهات الإيجابية نحو تأسيس مشاريع ريادية (عبده، 2015، ص.286).</w:t>
      </w:r>
    </w:p>
    <w:p w14:paraId="3EFAA25B" w14:textId="77777777" w:rsidR="009A288C" w:rsidRPr="00BC50C9" w:rsidRDefault="009A288C" w:rsidP="00C47C85">
      <w:pPr>
        <w:pStyle w:val="00000"/>
        <w:rPr>
          <w:rtl/>
        </w:rPr>
      </w:pPr>
      <w:r w:rsidRPr="00BC50C9">
        <w:rPr>
          <w:rtl/>
        </w:rPr>
        <w:t>كما أشار "المطيري" (</w:t>
      </w:r>
      <w:r w:rsidRPr="00BC50C9">
        <w:t>Almutairi, 2014, P.30</w:t>
      </w:r>
      <w:r w:rsidRPr="00BC50C9">
        <w:rPr>
          <w:rtl/>
        </w:rPr>
        <w:t>) إلى أنه يُعرَّف المشروع بأنه "مشروع فردي أو تعاوني</w:t>
      </w:r>
      <w:r w:rsidRPr="00BC50C9">
        <w:t xml:space="preserve"> </w:t>
      </w:r>
      <w:r w:rsidRPr="00BC50C9">
        <w:rPr>
          <w:rtl/>
        </w:rPr>
        <w:t>يُخطَّط له بعناية لتحقيق هدف معين، كما أنه بمثابة وحدة تنظيمية مخصصة لتحقيق هدف، وعادة ما يكون ذلك الإنجاز الناجح لمنتج تطويري في الوقت المحدد، وفي حدود الميزانية، وبالتوافق مع مواصفات الأداء المحددة مسبقًا، كما أنه تنظيم مؤقت يتم إنشاؤه لغرض تقديم منتج أو أكثر من منتجات الأعمال وفقًا لحالة عمل متفق عليها، وبالتالي يتسم المشروع بالخصائص التالية:</w:t>
      </w:r>
    </w:p>
    <w:p w14:paraId="303346CA" w14:textId="77777777" w:rsidR="009A288C" w:rsidRPr="00BC50C9" w:rsidRDefault="009A288C">
      <w:pPr>
        <w:numPr>
          <w:ilvl w:val="0"/>
          <w:numId w:val="26"/>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نطاق دقيق بأهداف محددة</w:t>
      </w:r>
    </w:p>
    <w:p w14:paraId="3A2F8308" w14:textId="77777777" w:rsidR="009A288C" w:rsidRPr="00BC50C9" w:rsidRDefault="009A288C">
      <w:pPr>
        <w:numPr>
          <w:ilvl w:val="0"/>
          <w:numId w:val="26"/>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مهام مترابطة بمدة محددة</w:t>
      </w:r>
    </w:p>
    <w:p w14:paraId="4BC2A6F7" w14:textId="77777777" w:rsidR="009A288C" w:rsidRPr="00BC50C9" w:rsidRDefault="009A288C">
      <w:pPr>
        <w:numPr>
          <w:ilvl w:val="0"/>
          <w:numId w:val="26"/>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تواريخ بداية ونهاية محددة</w:t>
      </w:r>
    </w:p>
    <w:p w14:paraId="058C4280" w14:textId="77777777" w:rsidR="009A288C" w:rsidRPr="00BC50C9" w:rsidRDefault="009A288C">
      <w:pPr>
        <w:numPr>
          <w:ilvl w:val="0"/>
          <w:numId w:val="26"/>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احتياجات وقيود محددة للموارد</w:t>
      </w:r>
    </w:p>
    <w:p w14:paraId="70DFEA22" w14:textId="77777777" w:rsidR="009A288C" w:rsidRPr="00BC50C9" w:rsidRDefault="009A288C" w:rsidP="00C47C85">
      <w:pPr>
        <w:bidi/>
        <w:spacing w:before="120" w:after="120" w:line="240" w:lineRule="auto"/>
        <w:jc w:val="both"/>
        <w:rPr>
          <w:rFonts w:ascii="Times New Roman" w:eastAsia="Calibri" w:hAnsi="Times New Roman" w:cs="Simplified Arabic"/>
          <w:sz w:val="24"/>
          <w:szCs w:val="28"/>
          <w:rtl/>
        </w:rPr>
      </w:pPr>
      <w:r w:rsidRPr="00BC50C9">
        <w:rPr>
          <w:rFonts w:ascii="Times New Roman" w:eastAsia="Calibri" w:hAnsi="Times New Roman" w:cs="Simplified Arabic"/>
          <w:sz w:val="24"/>
          <w:szCs w:val="28"/>
          <w:rtl/>
        </w:rPr>
        <w:t>وتتسم المشاريع الريادية بالآتي:</w:t>
      </w:r>
    </w:p>
    <w:p w14:paraId="59261F0C" w14:textId="77777777" w:rsidR="009A288C" w:rsidRPr="00C47C85"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C47C85">
        <w:rPr>
          <w:rFonts w:ascii="Times New Roman" w:eastAsia="Calibri" w:hAnsi="Times New Roman" w:cs="Simplified Arabic"/>
          <w:kern w:val="2"/>
          <w:sz w:val="24"/>
          <w:szCs w:val="28"/>
          <w:rtl/>
          <w14:ligatures w14:val="standardContextual"/>
        </w:rPr>
        <w:t xml:space="preserve">الثقافة الريادية: تُعبر الثقافة الريادية عن البيئة التنظيمية التي تُشجع على الابتكار والمُبادرة بين جميع الافراد، وأن تتبني المؤسسة ثقافة تقبل الفشل باعتباره جزء من عملية التعلم وتجربة افكار جديدة عن طريق تحفيز التفكير الإبداعي للموظفين </w:t>
      </w:r>
      <w:r w:rsidRPr="00C47C85">
        <w:rPr>
          <w:rFonts w:ascii="Times New Roman" w:eastAsia="Calibri" w:hAnsi="Times New Roman" w:cs="Simplified Arabic"/>
          <w:kern w:val="2"/>
          <w:sz w:val="24"/>
          <w:szCs w:val="28"/>
          <w14:ligatures w14:val="standardContextual"/>
        </w:rPr>
        <w:t>Poi, 2020, P.60)</w:t>
      </w:r>
      <w:r w:rsidRPr="00C47C85">
        <w:rPr>
          <w:rFonts w:ascii="Times New Roman" w:eastAsia="Calibri" w:hAnsi="Times New Roman" w:cs="Simplified Arabic"/>
          <w:kern w:val="2"/>
          <w:sz w:val="24"/>
          <w:szCs w:val="28"/>
          <w:rtl/>
          <w14:ligatures w14:val="standardContextual"/>
        </w:rPr>
        <w:t xml:space="preserve">). </w:t>
      </w:r>
    </w:p>
    <w:p w14:paraId="26820393" w14:textId="77777777" w:rsidR="009A288C" w:rsidRPr="00C47C85"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C47C85">
        <w:rPr>
          <w:rFonts w:ascii="Times New Roman" w:eastAsia="Calibri" w:hAnsi="Times New Roman" w:cs="Simplified Arabic"/>
          <w:kern w:val="2"/>
          <w:sz w:val="24"/>
          <w:szCs w:val="28"/>
          <w:rtl/>
          <w14:ligatures w14:val="standardContextual"/>
        </w:rPr>
        <w:t xml:space="preserve">القيادة الريادية: ينبغي أن تعمل القيادة الريادية على توجيه المؤسسات نحو تحقيق أهدافها </w:t>
      </w:r>
      <w:proofErr w:type="gramStart"/>
      <w:r w:rsidRPr="00C47C85">
        <w:rPr>
          <w:rFonts w:ascii="Times New Roman" w:eastAsia="Calibri" w:hAnsi="Times New Roman" w:cs="Simplified Arabic"/>
          <w:kern w:val="2"/>
          <w:sz w:val="24"/>
          <w:szCs w:val="28"/>
          <w:rtl/>
          <w14:ligatures w14:val="standardContextual"/>
        </w:rPr>
        <w:t>الاستراتيجية</w:t>
      </w:r>
      <w:r w:rsidRPr="00C47C85">
        <w:rPr>
          <w:rFonts w:ascii="Times New Roman" w:eastAsia="Calibri" w:hAnsi="Times New Roman" w:cs="Simplified Arabic"/>
          <w:kern w:val="2"/>
          <w:sz w:val="24"/>
          <w:szCs w:val="28"/>
          <w14:ligatures w14:val="standardContextual"/>
        </w:rPr>
        <w:t xml:space="preserve"> .</w:t>
      </w:r>
      <w:proofErr w:type="gramEnd"/>
      <w:r w:rsidRPr="00C47C85">
        <w:rPr>
          <w:rFonts w:ascii="Times New Roman" w:eastAsia="Calibri" w:hAnsi="Times New Roman" w:cs="Simplified Arabic"/>
          <w:kern w:val="2"/>
          <w:sz w:val="24"/>
          <w:szCs w:val="28"/>
          <w14:ligatures w14:val="standardContextual"/>
        </w:rPr>
        <w:t>(Soomro et al, 2019, P.32)</w:t>
      </w:r>
    </w:p>
    <w:p w14:paraId="64CFEDAD" w14:textId="77777777" w:rsidR="009A288C" w:rsidRPr="00C47C85"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C47C85">
        <w:rPr>
          <w:rFonts w:ascii="Times New Roman" w:eastAsia="Calibri" w:hAnsi="Times New Roman" w:cs="Simplified Arabic"/>
          <w:kern w:val="2"/>
          <w:sz w:val="24"/>
          <w:szCs w:val="28"/>
          <w:rtl/>
          <w14:ligatures w14:val="standardContextual"/>
        </w:rPr>
        <w:t xml:space="preserve">العقل الريادي: يُمثل العقل الريادي مجموعة من الصفات والسلوكيات التي تجعل الأفراد قادرين على التفكير بشكل مُبتكر ولديهم القدرة على استغلال </w:t>
      </w:r>
      <w:r w:rsidRPr="00C47C85">
        <w:rPr>
          <w:rFonts w:ascii="Times New Roman" w:eastAsia="Calibri" w:hAnsi="Times New Roman" w:cs="Simplified Arabic"/>
          <w:kern w:val="2"/>
          <w:sz w:val="24"/>
          <w:szCs w:val="28"/>
          <w14:ligatures w14:val="standardContextual"/>
        </w:rPr>
        <w:t>(Nooh, 2022, P.180)</w:t>
      </w:r>
    </w:p>
    <w:p w14:paraId="17DDE66F" w14:textId="77777777" w:rsidR="009A288C" w:rsidRDefault="009A288C" w:rsidP="00C47C85">
      <w:pPr>
        <w:pStyle w:val="00000"/>
        <w:rPr>
          <w:rtl/>
        </w:rPr>
      </w:pPr>
      <w:r w:rsidRPr="00BC50C9">
        <w:rPr>
          <w:rtl/>
        </w:rPr>
        <w:t xml:space="preserve">تبين باستقراء ما سبق أن تتميز المشاريع الريادية بعدة خصائص تجعلها فريدة ومؤثرة في الاقتصاد والمجتمع أولاً، الابتكار، حيث تعتمد هذه المشاريع على أفكار جديدة أو تحسينات مبتكرة لمنتجات أو خدمات موجودة ثانيًا، المخاطرة، حيث يكون رواد الأعمال على استعداد لتحمل </w:t>
      </w:r>
      <w:proofErr w:type="gramStart"/>
      <w:r w:rsidRPr="00BC50C9">
        <w:rPr>
          <w:rtl/>
        </w:rPr>
        <w:t>مخاطر</w:t>
      </w:r>
      <w:proofErr w:type="gramEnd"/>
      <w:r w:rsidRPr="00BC50C9">
        <w:rPr>
          <w:rtl/>
        </w:rPr>
        <w:t xml:space="preserve"> عالية لتحقيق أهدافهم ثالثًا، المرونة، حيث تتميز هذه المشاريع بقدرتها على التكيف مع التغيرات السريعة في السوق أو البيئة الاقتصادية</w:t>
      </w:r>
      <w:r w:rsidRPr="00BC50C9">
        <w:t>.</w:t>
      </w:r>
    </w:p>
    <w:p w14:paraId="7A47303A" w14:textId="77777777" w:rsidR="00127D4D" w:rsidRDefault="00127D4D" w:rsidP="00127D4D">
      <w:pPr>
        <w:pStyle w:val="00000"/>
        <w:rPr>
          <w:rtl/>
        </w:rPr>
      </w:pPr>
    </w:p>
    <w:p w14:paraId="0B5079A0" w14:textId="77777777" w:rsidR="00127D4D" w:rsidRPr="00BC50C9" w:rsidRDefault="00127D4D" w:rsidP="00127D4D">
      <w:pPr>
        <w:pStyle w:val="00000"/>
      </w:pPr>
    </w:p>
    <w:p w14:paraId="36DDE8F9" w14:textId="7E851A96" w:rsidR="009A288C" w:rsidRPr="00BC50C9" w:rsidRDefault="00127D4D" w:rsidP="00127D4D">
      <w:pPr>
        <w:pStyle w:val="113"/>
        <w:rPr>
          <w:rtl/>
        </w:rPr>
      </w:pPr>
      <w:bookmarkStart w:id="40" w:name="_Toc195456505"/>
      <w:r>
        <w:rPr>
          <w:rFonts w:hint="cs"/>
          <w:rtl/>
        </w:rPr>
        <w:lastRenderedPageBreak/>
        <w:t xml:space="preserve">4.5.1 </w:t>
      </w:r>
      <w:r w:rsidR="009A288C" w:rsidRPr="00BC50C9">
        <w:rPr>
          <w:rtl/>
        </w:rPr>
        <w:t>أهمية المشاريع الريادية</w:t>
      </w:r>
      <w:bookmarkEnd w:id="40"/>
    </w:p>
    <w:p w14:paraId="7A3F5838" w14:textId="77777777" w:rsidR="009A288C" w:rsidRPr="00BC50C9" w:rsidRDefault="009A288C" w:rsidP="00127D4D">
      <w:pPr>
        <w:pStyle w:val="00000"/>
        <w:rPr>
          <w:rtl/>
        </w:rPr>
      </w:pPr>
      <w:r w:rsidRPr="00BC50C9">
        <w:rPr>
          <w:rtl/>
        </w:rPr>
        <w:t xml:space="preserve">تعمل المشاريع الريادية على تمكين الأفراد وتحفيز روح المبادرة لديهم، مما يسهم في بناء مجتمعات أكثر ديناميكية وقدرة على التكيف مع التحديات المستقبلية. بفضل دورها في تعزيز الابتكار وخلق فرص اقتصادية جديدة؛ وهو ما أكد عليه </w:t>
      </w:r>
      <w:proofErr w:type="spellStart"/>
      <w:r w:rsidRPr="00BC50C9">
        <w:rPr>
          <w:rtl/>
        </w:rPr>
        <w:t>الفليت</w:t>
      </w:r>
      <w:proofErr w:type="spellEnd"/>
      <w:r w:rsidRPr="00BC50C9">
        <w:rPr>
          <w:rtl/>
        </w:rPr>
        <w:t xml:space="preserve"> وبحر (2021، ص.205) بأن تُعد المشاريع الريادية من المواضيع التي حظيت باهتمام واسع في مجال التنمية، حيث تُظهر تأثيرًا إيجابيًا على المدى القصير من خلال قدرتها على توفير فرص العمل وزيادة الناتج، وعلى المدى الطويل، تسهم هذه المشاريع في تعزيز الرفاهية المجتمعية وتحسين ظروف الحياة، مما يحفز المجتمع على بناء رأس المال من خلال المبادرات التنموية.</w:t>
      </w:r>
    </w:p>
    <w:p w14:paraId="6B284C49" w14:textId="77777777" w:rsidR="009A288C" w:rsidRPr="00BC50C9" w:rsidRDefault="009A288C" w:rsidP="00127D4D">
      <w:pPr>
        <w:pStyle w:val="00000"/>
        <w:rPr>
          <w:rtl/>
        </w:rPr>
      </w:pPr>
      <w:r w:rsidRPr="00BC50C9">
        <w:rPr>
          <w:rtl/>
        </w:rPr>
        <w:t>كما تعتبر المشاريع الريادية من الركائز الأساسية للاقتصاد في جميع أنحاء العالم، تسعى معظم الدول اليوم إلى دعم رواد الأعمال وأصحاب الأفكار المبتكرة من خلال مجموعة متنوعة من البرامج والمؤسسات والهيئات، ويعود ذلك إلى الأهمية الكبيرة التي تحملها هذه المشاريع في تعزيز النمو الاقتصادي والاستثماري للدولة (ثابت، 2016، ص.2).</w:t>
      </w:r>
    </w:p>
    <w:p w14:paraId="040374C0" w14:textId="77777777" w:rsidR="009A288C" w:rsidRPr="00BC50C9" w:rsidRDefault="009A288C" w:rsidP="00127D4D">
      <w:pPr>
        <w:pStyle w:val="00000"/>
        <w:rPr>
          <w:rtl/>
        </w:rPr>
      </w:pPr>
      <w:r w:rsidRPr="00BC50C9">
        <w:rPr>
          <w:rtl/>
        </w:rPr>
        <w:t>حيث تساهم المشاريع الريادية في تعزيز الاقتصاد الفلسطيني من خلال توفير فرص العمل وتقليل معدلات البطالة، ويُعتبر التمويل الإسلامي الخيار الأمثل لتمويل هذه المشاريع بمختلف أنواعها، حيث يستند إلى مبادئ سامية تهدف إلى تطوير المجتمع وتحسين الوضع الاقتصادي، وليس مجرد تحقيق الأرباح (العبادلة وآخرون، 2023، ص.99).</w:t>
      </w:r>
    </w:p>
    <w:p w14:paraId="13A29057" w14:textId="77777777" w:rsidR="009A288C" w:rsidRPr="00BC50C9" w:rsidRDefault="009A288C" w:rsidP="00127D4D">
      <w:pPr>
        <w:pStyle w:val="00000"/>
        <w:rPr>
          <w:rtl/>
        </w:rPr>
      </w:pPr>
      <w:r w:rsidRPr="00BC50C9">
        <w:rPr>
          <w:rtl/>
        </w:rPr>
        <w:t>وتتمتع المشاريع الريادية بالعديد من الفوائد، سواء على مستوى المشروع الفردي أو على مستوى المجتمع بشكل عام، تسهم هذه المشاريع في تعزيز مفهوم المبادرات الفردية بين أفراد المجتمع، مما يؤدي إلى تحقيق فكرة التوظيف الذاتي (المشاريع الخاصة) بشكل عام، وخاصة بين الشباب العاطلين عن العمل (أبو عجيلة وصبيح، 2023، ص .574).</w:t>
      </w:r>
    </w:p>
    <w:p w14:paraId="5E8821FC" w14:textId="77777777" w:rsidR="009A288C" w:rsidRPr="00BC50C9" w:rsidRDefault="009A288C" w:rsidP="00127D4D">
      <w:pPr>
        <w:pStyle w:val="00000"/>
      </w:pPr>
      <w:r w:rsidRPr="00BC50C9">
        <w:rPr>
          <w:rtl/>
        </w:rPr>
        <w:t xml:space="preserve">حيث تعد المشاريع هي طريقة للتأثير الهادف على المنظمة بهدف نقلها إلى حالة جديدة نوعيًا من خلال تجميع التدابير والإجراءات التنظيمية التي تهدف إلى تنفيذ خطة المشروع في فترة زمنية محدودة، ضمن الموارد الحقيقية، وقد تتطلب إدارة المشاريع إنشاء هياكل إدارية جديدة بعد مراعاة الأهداف المحددة للمشروع، ومجموعة الظروف الداخلية والخارجية، وكذلك العامل البشري، الذي يلعب دورًا مهمًا في جميع العمليات المتعلقة بحياة المؤسسة </w:t>
      </w:r>
      <w:proofErr w:type="spellStart"/>
      <w:r w:rsidRPr="00BC50C9">
        <w:t>Meirkhanova</w:t>
      </w:r>
      <w:proofErr w:type="spellEnd"/>
      <w:r w:rsidRPr="00BC50C9">
        <w:t xml:space="preserve"> et al., 2023, P.6)</w:t>
      </w:r>
      <w:r w:rsidRPr="00BC50C9">
        <w:rPr>
          <w:rtl/>
        </w:rPr>
        <w:t>).</w:t>
      </w:r>
    </w:p>
    <w:p w14:paraId="278CAC38" w14:textId="77777777" w:rsidR="009A288C" w:rsidRPr="00BC50C9" w:rsidRDefault="009A288C" w:rsidP="00127D4D">
      <w:pPr>
        <w:pStyle w:val="00000"/>
      </w:pPr>
      <w:r w:rsidRPr="00BC50C9">
        <w:rPr>
          <w:rtl/>
        </w:rPr>
        <w:t>وأشار "</w:t>
      </w:r>
      <w:proofErr w:type="spellStart"/>
      <w:r w:rsidRPr="00BC50C9">
        <w:rPr>
          <w:rtl/>
        </w:rPr>
        <w:t>دالشار</w:t>
      </w:r>
      <w:proofErr w:type="spellEnd"/>
      <w:r w:rsidRPr="00BC50C9">
        <w:rPr>
          <w:rtl/>
        </w:rPr>
        <w:t>" (</w:t>
      </w:r>
      <w:proofErr w:type="spellStart"/>
      <w:r w:rsidRPr="00BC50C9">
        <w:t>Dalcher</w:t>
      </w:r>
      <w:proofErr w:type="spellEnd"/>
      <w:r w:rsidRPr="00BC50C9">
        <w:t>, 2019, PP.1-2</w:t>
      </w:r>
      <w:r w:rsidRPr="00BC50C9">
        <w:rPr>
          <w:rtl/>
        </w:rPr>
        <w:t xml:space="preserve">) إلى أن المشاريع الريادية تخدم العديد من الأغراض، وتمثل مسارًا يبدأ من النشأة إلى اكتمال المشروع، ومن خلال تقسيم المشروع إلى مراحل يمكن للشخص الريادي التحكم في الأنشطة وتوجيهها بطريقة منظمة ومنهجية، وبالتالي إكمال المشروع بنجاح، كما تساعد على </w:t>
      </w:r>
      <w:r w:rsidRPr="00BC50C9">
        <w:rPr>
          <w:rtl/>
        </w:rPr>
        <w:lastRenderedPageBreak/>
        <w:t xml:space="preserve">تخصيص الموارد، وتوافر الأفراد الرئيسيين، وتكامل الأنشطة، ودعم اتخاذ القرارات في الوقت المناسب، والحد من المخاطر وتوفير آليات الرقابة والحوكمة، وتتمثل أهمية هذا النهج في: </w:t>
      </w:r>
    </w:p>
    <w:p w14:paraId="5AB7BAD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وضع الرؤية الاستراتيجية للمشروع</w:t>
      </w:r>
    </w:p>
    <w:p w14:paraId="55884D9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تقسيم العمل إلى أجزاء يمكن التحكم فيها</w:t>
      </w:r>
    </w:p>
    <w:p w14:paraId="691527C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تحديد المهام</w:t>
      </w:r>
    </w:p>
    <w:p w14:paraId="6BA46857"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توفير إطار للتنسيق والإدارة</w:t>
      </w:r>
    </w:p>
    <w:p w14:paraId="1D43CA64"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مراقبة تمويل المشروع</w:t>
      </w:r>
    </w:p>
    <w:p w14:paraId="4CB830AD"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تحديد ملفات تعريف الموارد الصحيحة</w:t>
      </w:r>
    </w:p>
    <w:p w14:paraId="5130283A" w14:textId="77777777" w:rsidR="009A288C" w:rsidRPr="00127D4D"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تشجيع التقييم المنهجي للخيارات والفرص</w:t>
      </w:r>
    </w:p>
    <w:p w14:paraId="3F840892" w14:textId="77777777" w:rsidR="009A288C" w:rsidRPr="00127D4D"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توفير منظور لحل المشكلات</w:t>
      </w:r>
    </w:p>
    <w:p w14:paraId="4749982A" w14:textId="77777777" w:rsidR="009A288C" w:rsidRPr="00BC50C9" w:rsidRDefault="009A288C" w:rsidP="00127D4D">
      <w:pPr>
        <w:pStyle w:val="00000"/>
        <w:rPr>
          <w:rtl/>
        </w:rPr>
      </w:pPr>
      <w:r w:rsidRPr="00BC50C9">
        <w:rPr>
          <w:rtl/>
        </w:rPr>
        <w:t>فلا شك أن المشاريع الريادية في عصرنا الحالي تُعتبر واحدة من أبرز الوسائل لتحقيق التنمية المستدامة؛ حيث تُعد مصدرًا غنيًا لإنشاء المشاريع وتعزيز ثقافة العمل الحُر في المجتمعات، فهي تُحقق فوائد كبيرة لكل من الأفراد والمجتمع بشكل عام، ويمكن توضيح أهمية المشاريع الريادية، كما وضح علام (2023، ص.95) من خلال النقاط التالية</w:t>
      </w:r>
      <w:r w:rsidRPr="00BC50C9">
        <w:t>:</w:t>
      </w:r>
    </w:p>
    <w:p w14:paraId="6D5F55E7"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تساهم في زيادة الدخل وتنويع مصادره، من خلال إنشاء أنشطة اقتصادية متنوعة وتوفير فرص عمل جديدة عبر إقامة مشاريع ريادية</w:t>
      </w:r>
      <w:r w:rsidRPr="00BC50C9">
        <w:rPr>
          <w:rFonts w:ascii="Times New Roman" w:eastAsia="Calibri" w:hAnsi="Times New Roman" w:cs="Simplified Arabic"/>
          <w:kern w:val="2"/>
          <w:sz w:val="24"/>
          <w:szCs w:val="28"/>
          <w14:ligatures w14:val="standardContextual"/>
        </w:rPr>
        <w:t>.</w:t>
      </w:r>
    </w:p>
    <w:p w14:paraId="7D6F662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تلعب دوراً مهماً في تقليل معدلات البطالة، وتساعد في مواجهة الفقر والمشكلات الاجتماعية المرتبطة به</w:t>
      </w:r>
      <w:r w:rsidRPr="00BC50C9">
        <w:rPr>
          <w:rFonts w:ascii="Times New Roman" w:eastAsia="Calibri" w:hAnsi="Times New Roman" w:cs="Simplified Arabic"/>
          <w:kern w:val="2"/>
          <w:sz w:val="24"/>
          <w:szCs w:val="28"/>
          <w14:ligatures w14:val="standardContextual"/>
        </w:rPr>
        <w:t>.</w:t>
      </w:r>
    </w:p>
    <w:p w14:paraId="35AF652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تفتح أسواقاً جديدة للمنتجات والخدمات، مما يؤدي إلى تحقيق أسعار تنافسية</w:t>
      </w:r>
      <w:r w:rsidRPr="00BC50C9">
        <w:rPr>
          <w:rFonts w:ascii="Times New Roman" w:eastAsia="Calibri" w:hAnsi="Times New Roman" w:cs="Simplified Arabic"/>
          <w:kern w:val="2"/>
          <w:sz w:val="24"/>
          <w:szCs w:val="28"/>
          <w14:ligatures w14:val="standardContextual"/>
        </w:rPr>
        <w:t>.</w:t>
      </w:r>
    </w:p>
    <w:p w14:paraId="24C8417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تسهم في إنشاء مشاريع جديدة، مما يرفع المستوى الاقتصادي والاجتماعي لمختلف فئات المجتمع ويزيد من رفاهيتهم</w:t>
      </w:r>
      <w:r w:rsidRPr="00BC50C9">
        <w:rPr>
          <w:rFonts w:ascii="Times New Roman" w:eastAsia="Calibri" w:hAnsi="Times New Roman" w:cs="Simplified Arabic"/>
          <w:kern w:val="2"/>
          <w:sz w:val="24"/>
          <w:szCs w:val="28"/>
          <w14:ligatures w14:val="standardContextual"/>
        </w:rPr>
        <w:t>.</w:t>
      </w:r>
    </w:p>
    <w:p w14:paraId="31834F5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تُعتبر محركاً أساسياً لتغيير ثقافة العمل والوظيفة في المجتمع، من خلال تغيير مفاهيم العمل لدى العديد من الفئات، وتوجيههم نحو خلق بيئة جديدة للأعمال تعزز ثقافة التوظيف الذاتي والعمل الحر.</w:t>
      </w:r>
    </w:p>
    <w:p w14:paraId="1587746E" w14:textId="77777777" w:rsidR="009A288C" w:rsidRPr="00BC50C9" w:rsidRDefault="009A288C" w:rsidP="00127D4D">
      <w:pPr>
        <w:pStyle w:val="00000"/>
        <w:rPr>
          <w:rtl/>
        </w:rPr>
      </w:pPr>
      <w:r w:rsidRPr="00BC50C9">
        <w:rPr>
          <w:rtl/>
        </w:rPr>
        <w:t>وتتميز أفكار هذه المشاريع الريادية بالإبداع، ويعتمد نجاحها على الشخص الريادي الذي يمتلك موهبة شخصية ومهارات فريدة، بالإضافة إلى قدرته على اكتشاف الفرص وتحويلها إلى مشاريع تُحقق أرباحًا وتتمتع بإمكانية النمو، رغم المخاطر والمجازفات التي قد تواجهه في ظل ظروف عدم اليقين، كما تُعد المشاريع الريادية من الركائز الأساسية في اقتصاديات الدول، سواء المتقدمة أو النامية، لما تقدمه من فوائد، كما أكد عبد الحميد والجزار (2020، ص.4) مثل</w:t>
      </w:r>
      <w:r w:rsidRPr="00BC50C9">
        <w:t>:</w:t>
      </w:r>
    </w:p>
    <w:p w14:paraId="088A5FCE"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تحقيق استقلالية الأفراد وعدم الاعتماد على الآخرين</w:t>
      </w:r>
      <w:r w:rsidRPr="00BC50C9">
        <w:rPr>
          <w:rFonts w:ascii="Times New Roman" w:eastAsia="Calibri" w:hAnsi="Times New Roman" w:cs="Simplified Arabic"/>
          <w:kern w:val="2"/>
          <w:sz w:val="24"/>
          <w:szCs w:val="28"/>
          <w14:ligatures w14:val="standardContextual"/>
        </w:rPr>
        <w:t>.</w:t>
      </w:r>
    </w:p>
    <w:p w14:paraId="3F8A0C0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lastRenderedPageBreak/>
        <w:t>توفير فرص للنمو وتحقيق الإنجازات</w:t>
      </w:r>
      <w:r w:rsidRPr="00BC50C9">
        <w:rPr>
          <w:rFonts w:ascii="Times New Roman" w:eastAsia="Calibri" w:hAnsi="Times New Roman" w:cs="Simplified Arabic"/>
          <w:kern w:val="2"/>
          <w:sz w:val="24"/>
          <w:szCs w:val="28"/>
          <w14:ligatures w14:val="standardContextual"/>
        </w:rPr>
        <w:t>.</w:t>
      </w:r>
    </w:p>
    <w:p w14:paraId="2DFBFFC6"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المساهمة في خدمة المجتمع وتعزيز التصنيع.</w:t>
      </w:r>
    </w:p>
    <w:p w14:paraId="37900E3F" w14:textId="77777777" w:rsidR="009A288C" w:rsidRPr="00BC50C9" w:rsidRDefault="009A288C" w:rsidP="00127D4D">
      <w:pPr>
        <w:pStyle w:val="00000"/>
        <w:rPr>
          <w:rtl/>
        </w:rPr>
      </w:pPr>
      <w:r w:rsidRPr="00BC50C9">
        <w:rPr>
          <w:rtl/>
        </w:rPr>
        <w:t>ففي ظل التغيرات المستمرة، أصبحت المشاريع الريادية أكثر من مجرد مفهوم يتردد في الأذهان، فالمنظمات التي تسعى لتحقيق النجاح في المستقبل يجب أن تكون قادرة على التكيف مع التغيرات السريعة في السوق والتكنولوجيا، وتبرز أهمية الاستراتيجيات الريادية كأداة أساسية تساعد المنظمات على الوصول إلى النجاح المنشود، فهي توفر إطار عمل يمكن المنظمات من تحديد الفرص والمخاطر المستقبلية، وكيفية وضع وتطوير خطط للاستفادة من هذه الفرص وتفادي المخاطر المرتبطة بها (</w:t>
      </w:r>
      <w:proofErr w:type="spellStart"/>
      <w:r w:rsidRPr="00BC50C9">
        <w:rPr>
          <w:rtl/>
        </w:rPr>
        <w:t>النواجي</w:t>
      </w:r>
      <w:proofErr w:type="spellEnd"/>
      <w:r w:rsidRPr="00BC50C9">
        <w:rPr>
          <w:rtl/>
        </w:rPr>
        <w:t xml:space="preserve"> وعربيات، 2024، ص.23-24).</w:t>
      </w:r>
    </w:p>
    <w:p w14:paraId="2C7F4D05" w14:textId="77777777" w:rsidR="009A288C" w:rsidRPr="00BC50C9" w:rsidRDefault="009A288C" w:rsidP="00127D4D">
      <w:pPr>
        <w:pStyle w:val="00000"/>
        <w:rPr>
          <w:rtl/>
        </w:rPr>
      </w:pPr>
      <w:r w:rsidRPr="00BC50C9">
        <w:rPr>
          <w:rtl/>
        </w:rPr>
        <w:t>كما يلعب المشروع الريادي دورًا مهمًا عند استخدامه لتكنولوجيا الاتصال والإعلام، وعند تقديمه لبرامج مثل التسويق الإلكتروني، مثلما أشار جودي وبن غزال (2020، ص.23) فمن أهميته:</w:t>
      </w:r>
    </w:p>
    <w:p w14:paraId="2ABA934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يساهم المشروع الريادي في تغيير ثقافة رواد الأعمال من خلال تشجيعهم على إقامة مشاريع خاصة تعتمد على التكنولوجيا. </w:t>
      </w:r>
    </w:p>
    <w:p w14:paraId="52B007A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يعزز بناء وتنمية المجتمع المعرفي. ك</w:t>
      </w:r>
    </w:p>
    <w:p w14:paraId="462309E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يعمل المشروع على تغيير أساليب تفكير رواد الأعمال، مما يجعلهم مبادرين يمتلكون الإرادة والقدرة على تحويل الأفكار والاختراعات إلى مشاريع تجارية ناجحة</w:t>
      </w:r>
      <w:r w:rsidRPr="00BC50C9">
        <w:rPr>
          <w:rFonts w:ascii="Times New Roman" w:eastAsia="Calibri" w:hAnsi="Times New Roman" w:cs="Simplified Arabic"/>
          <w:kern w:val="2"/>
          <w:sz w:val="24"/>
          <w:szCs w:val="28"/>
          <w14:ligatures w14:val="standardContextual"/>
        </w:rPr>
        <w:t xml:space="preserve">. </w:t>
      </w:r>
    </w:p>
    <w:p w14:paraId="493FDA8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يسهم في تنمية مهارات الرواد وتطوير معارفهم العلمية.</w:t>
      </w:r>
    </w:p>
    <w:p w14:paraId="31AE5CCF"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kern w:val="2"/>
          <w:sz w:val="24"/>
          <w:szCs w:val="28"/>
          <w:rtl/>
          <w14:ligatures w14:val="standardContextual"/>
        </w:rPr>
        <w:t xml:space="preserve"> يعزز من كفاءة الرواد في التعامل مع التطورات الحديثة في مجالات التكنولوجيا والتسويق الإلكتروني والتجارة الإلكترونية.</w:t>
      </w:r>
    </w:p>
    <w:p w14:paraId="092B31CB" w14:textId="77777777" w:rsidR="009A288C" w:rsidRPr="00BC50C9" w:rsidRDefault="009A288C" w:rsidP="00127D4D">
      <w:pPr>
        <w:pStyle w:val="00000"/>
      </w:pPr>
      <w:r w:rsidRPr="00BC50C9">
        <w:rPr>
          <w:rtl/>
        </w:rPr>
        <w:t>مما سبق يمكن استنتاج أن تُعد المشاريع الريادية عنصرًا أساسيًا في تعزيز النمو الاقتصادي والاجتماعي، حيث تلعب دورًا محوريًا في خلق فرص عمل جديدة ودعم الابتكار حيث تسهم هذه المشاريع في تحفيز المنافسة وزيادة الإنتاجية، مما يعزز من كفاءة الأسواق ويُحسن جودة المنتجات والخدمات بالإضافة إلى ذلك، تُسهم المشاريع الريادية في تنويع الاقتصاد من خلال تقديم حلول مبتكرة لمشكلات معاصرة، سواء كانت اقتصادية أو اجتماعية أو بيئية.</w:t>
      </w:r>
    </w:p>
    <w:p w14:paraId="5921DBE3" w14:textId="41FAA129" w:rsidR="009A288C" w:rsidRPr="00BC50C9" w:rsidRDefault="00E56AFC" w:rsidP="00127D4D">
      <w:pPr>
        <w:pStyle w:val="113"/>
        <w:rPr>
          <w:rtl/>
        </w:rPr>
      </w:pPr>
      <w:bookmarkStart w:id="41" w:name="_Toc195456506"/>
      <w:r>
        <w:rPr>
          <w:rFonts w:hint="cs"/>
          <w:rtl/>
        </w:rPr>
        <w:t xml:space="preserve">5.5.1 </w:t>
      </w:r>
      <w:r w:rsidR="009A288C" w:rsidRPr="00BC50C9">
        <w:rPr>
          <w:rtl/>
        </w:rPr>
        <w:t>أنواع المشاريع الريادية</w:t>
      </w:r>
      <w:bookmarkEnd w:id="41"/>
    </w:p>
    <w:p w14:paraId="02FD7493" w14:textId="77777777" w:rsidR="009A288C" w:rsidRPr="00BC50C9" w:rsidRDefault="009A288C" w:rsidP="00E56AFC">
      <w:pPr>
        <w:pStyle w:val="00000"/>
        <w:rPr>
          <w:rtl/>
        </w:rPr>
      </w:pPr>
      <w:r w:rsidRPr="00BC50C9">
        <w:rPr>
          <w:rtl/>
        </w:rPr>
        <w:t>تتنوع المشاريع الريادية لتلبي احتياجات مختلفة، مما يجعلها محركات قوية للنمو الاقتصادي والاجتماعي؛ حيث تُصنَّف المشاريع الريادية إلى عدة فئات رئيسية، مثلما أوضح فرحات وحلس (2018، ص.30) ومنها:</w:t>
      </w:r>
    </w:p>
    <w:p w14:paraId="506DEE76"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الريادية الصناعية:</w:t>
      </w:r>
      <w:r w:rsidRPr="00E56AFC">
        <w:rPr>
          <w:rFonts w:ascii="Times New Roman" w:eastAsia="Calibri" w:hAnsi="Times New Roman" w:cs="Simplified Arabic"/>
          <w:kern w:val="2"/>
          <w:sz w:val="24"/>
          <w:szCs w:val="28"/>
          <w:rtl/>
          <w14:ligatures w14:val="standardContextual"/>
        </w:rPr>
        <w:t xml:space="preserve"> وتشمل الصناعات الاستهلاكية الصغيرة والمهن والحرف الصناعية</w:t>
      </w:r>
    </w:p>
    <w:p w14:paraId="24621484"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الريادية التجارية</w:t>
      </w:r>
      <w:r w:rsidRPr="00E56AFC">
        <w:rPr>
          <w:rFonts w:ascii="Times New Roman" w:eastAsia="Calibri" w:hAnsi="Times New Roman" w:cs="Simplified Arabic"/>
          <w:kern w:val="2"/>
          <w:sz w:val="24"/>
          <w:szCs w:val="28"/>
          <w:rtl/>
          <w14:ligatures w14:val="standardContextual"/>
        </w:rPr>
        <w:t>: مثل تجارة الجملة والتجزئة، بالإضافة إلى السماسرة والوكلاء.</w:t>
      </w:r>
    </w:p>
    <w:p w14:paraId="61B9C8CB"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lastRenderedPageBreak/>
        <w:t>المجالات الريادية الخدماتية:</w:t>
      </w:r>
      <w:r w:rsidRPr="00E56AFC">
        <w:rPr>
          <w:rFonts w:ascii="Times New Roman" w:eastAsia="Calibri" w:hAnsi="Times New Roman" w:cs="Simplified Arabic"/>
          <w:kern w:val="2"/>
          <w:sz w:val="24"/>
          <w:szCs w:val="28"/>
          <w:rtl/>
          <w14:ligatures w14:val="standardContextual"/>
        </w:rPr>
        <w:t xml:space="preserve"> وتتضمن المكاتب الخدماتية التخصصية، والعمل الحر عن بُعد، والأعمال البرمجية</w:t>
      </w:r>
      <w:r w:rsidRPr="00E56AFC">
        <w:rPr>
          <w:rFonts w:ascii="Times New Roman" w:eastAsia="Calibri" w:hAnsi="Times New Roman" w:cs="Simplified Arabic"/>
          <w:kern w:val="2"/>
          <w:sz w:val="24"/>
          <w:szCs w:val="28"/>
          <w14:ligatures w14:val="standardContextual"/>
        </w:rPr>
        <w:t>.</w:t>
      </w:r>
    </w:p>
    <w:p w14:paraId="2F590078"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الريادية النسوية</w:t>
      </w:r>
      <w:r w:rsidRPr="00E56AFC">
        <w:rPr>
          <w:rFonts w:ascii="Times New Roman" w:eastAsia="Calibri" w:hAnsi="Times New Roman" w:cs="Simplified Arabic"/>
          <w:kern w:val="2"/>
          <w:sz w:val="24"/>
          <w:szCs w:val="28"/>
          <w:rtl/>
          <w14:ligatures w14:val="standardContextual"/>
        </w:rPr>
        <w:t>: التي تُسهم بشكل ملحوظ في تعزيز الاقتصاد النسائي والتنمية المستدامة، مثل المشغولات اليدوية، وأعمال الزينة، وإعداد الأكلات الخاصة حسب الطلب</w:t>
      </w:r>
      <w:r w:rsidRPr="00E56AFC">
        <w:rPr>
          <w:rFonts w:ascii="Times New Roman" w:eastAsia="Calibri" w:hAnsi="Times New Roman" w:cs="Simplified Arabic"/>
          <w:kern w:val="2"/>
          <w:sz w:val="24"/>
          <w:szCs w:val="28"/>
          <w14:ligatures w14:val="standardContextual"/>
        </w:rPr>
        <w:t>.</w:t>
      </w:r>
    </w:p>
    <w:p w14:paraId="0473C494"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الريادية الزراعية:</w:t>
      </w:r>
      <w:r w:rsidRPr="00E56AFC">
        <w:rPr>
          <w:rFonts w:ascii="Times New Roman" w:eastAsia="Calibri" w:hAnsi="Times New Roman" w:cs="Simplified Arabic"/>
          <w:kern w:val="2"/>
          <w:sz w:val="24"/>
          <w:szCs w:val="28"/>
          <w:rtl/>
          <w14:ligatures w14:val="standardContextual"/>
        </w:rPr>
        <w:t xml:space="preserve"> التي تتعلق بحيازة الأراضي والمحاصيل الزراعية المملوكة للسكان المحليين</w:t>
      </w:r>
      <w:r w:rsidRPr="00E56AFC">
        <w:rPr>
          <w:rFonts w:ascii="Times New Roman" w:eastAsia="Calibri" w:hAnsi="Times New Roman" w:cs="Simplified Arabic"/>
          <w:kern w:val="2"/>
          <w:sz w:val="24"/>
          <w:szCs w:val="28"/>
          <w14:ligatures w14:val="standardContextual"/>
        </w:rPr>
        <w:t>.</w:t>
      </w:r>
    </w:p>
    <w:p w14:paraId="68491218"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الريادية التحويلية</w:t>
      </w:r>
      <w:r w:rsidRPr="00E56AFC">
        <w:rPr>
          <w:rFonts w:ascii="Times New Roman" w:eastAsia="Calibri" w:hAnsi="Times New Roman" w:cs="Simplified Arabic"/>
          <w:kern w:val="2"/>
          <w:sz w:val="24"/>
          <w:szCs w:val="28"/>
          <w:rtl/>
          <w14:ligatures w14:val="standardContextual"/>
        </w:rPr>
        <w:t>: مثل مشاريع البناء والحرف المهنية التي يتميز أصحابها بمهارات خاصة.</w:t>
      </w:r>
    </w:p>
    <w:p w14:paraId="564802A0" w14:textId="77777777" w:rsidR="009A288C" w:rsidRPr="00E56AFC" w:rsidRDefault="009A288C">
      <w:pPr>
        <w:pStyle w:val="a3"/>
        <w:numPr>
          <w:ilvl w:val="0"/>
          <w:numId w:val="58"/>
        </w:numPr>
        <w:bidi/>
        <w:spacing w:before="120" w:after="120" w:line="240" w:lineRule="auto"/>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b/>
          <w:bCs/>
          <w:kern w:val="2"/>
          <w:sz w:val="24"/>
          <w:szCs w:val="28"/>
          <w:rtl/>
          <w14:ligatures w14:val="standardContextual"/>
        </w:rPr>
        <w:t>المشاريع الابتكارية:</w:t>
      </w:r>
      <w:r w:rsidRPr="00E56AFC">
        <w:rPr>
          <w:rFonts w:ascii="Times New Roman" w:eastAsia="Calibri" w:hAnsi="Times New Roman" w:cs="Simplified Arabic"/>
          <w:kern w:val="2"/>
          <w:sz w:val="24"/>
          <w:szCs w:val="28"/>
          <w:rtl/>
          <w14:ligatures w14:val="standardContextual"/>
        </w:rPr>
        <w:t xml:space="preserve"> يزداد الاهتمام في الوقت الراهن بمجال المشاريع الريادية بالابتكار والتكنولوجيا، حيث تُعتبر هذه العوامل الأساسية لتحقيق القدرة التنافسية للمؤسسات، مما يتيح لها التكيف مع التحولات الاقتصادية (عادل وبلحسين، 2021، ص.13).</w:t>
      </w:r>
    </w:p>
    <w:p w14:paraId="2399A126" w14:textId="77777777" w:rsidR="009A288C" w:rsidRPr="00BC50C9" w:rsidRDefault="009A288C" w:rsidP="00E56AFC">
      <w:pPr>
        <w:pStyle w:val="00000"/>
        <w:rPr>
          <w:rtl/>
        </w:rPr>
      </w:pPr>
      <w:r w:rsidRPr="00BC50C9">
        <w:rPr>
          <w:rtl/>
        </w:rPr>
        <w:t>كما أشار "</w:t>
      </w:r>
      <w:proofErr w:type="spellStart"/>
      <w:r w:rsidRPr="00BC50C9">
        <w:rPr>
          <w:rtl/>
        </w:rPr>
        <w:t>باغادير</w:t>
      </w:r>
      <w:proofErr w:type="spellEnd"/>
      <w:r w:rsidRPr="00BC50C9">
        <w:rPr>
          <w:rtl/>
        </w:rPr>
        <w:t xml:space="preserve"> وبازل" (</w:t>
      </w:r>
      <w:proofErr w:type="spellStart"/>
      <w:r w:rsidRPr="00BC50C9">
        <w:t>Bagader</w:t>
      </w:r>
      <w:proofErr w:type="spellEnd"/>
      <w:r w:rsidRPr="00BC50C9">
        <w:t xml:space="preserve"> &amp; Basel, 2022, PP.1-2</w:t>
      </w:r>
      <w:r w:rsidRPr="00BC50C9">
        <w:rPr>
          <w:rtl/>
        </w:rPr>
        <w:t>) إلى أنه يمكن تصنيف المشاريع وفقًا للاستراتيجيات المستخدمة إلى الأقسام التالية:</w:t>
      </w:r>
    </w:p>
    <w:p w14:paraId="57C7ED4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مشروعات قائمة على استراتيجيات التكامل: هناك نوعان من التكامل في إدارة المشاريع، التكامل الرأسي والأفقي، يشير التكامل الرأسي إلى مزيج من التكامل الأمامي والخلفي، حيث توفر تكتيكات التكامل الرأسي للشركة نفوذاً على الموزعين والموردين، في حين يستلزم التكامل الأفقي تأسيس ملكية أو سيطرة على المنافسين، ويشار إلى الإجراءات الرأسية والأفقية للشركات باسم استراتيجيات التكامل بشكل عام</w:t>
      </w:r>
    </w:p>
    <w:p w14:paraId="2BE742D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مشروعات قائمة على الاستراتيجيات المكثفة: والتي تتمثل في اختراق السوق وتطويره وتطوير المنتج، وتتطلب تلك الاستراتيجيات الكثير من الجهد لتعزيز الموقف التنافسي للشركة</w:t>
      </w:r>
    </w:p>
    <w:p w14:paraId="61FB2D5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مشروعات قائمة على استراتيجيات التنويع: تنقسم استراتيجيات التنويع إلى فئتين: التنويع المتصل والتنويع غير المتصل، وتكون المشروعات متصلة إذا كانت سلاسل القيمة الخاصة بها تتوافق مع استراتيجيات الأعمال التجارية المتعددة ذات القيمة التنافسية؛ بينما تكون غير متصلة إذا كانت سلاسل القيمة الخاصة بها متنوعة </w:t>
      </w:r>
    </w:p>
    <w:p w14:paraId="7C06F4CF"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مشروعات قائمة على الاستراتيجيات الدفاعية: يمكن للمنظمات استخدام تكتيكات دفاعية في المشروعات الخاصة بها مثل التقشف، أو سحب الاستثمارات، أو التصفية</w:t>
      </w:r>
      <w:r w:rsidRPr="00E56AFC">
        <w:rPr>
          <w:rFonts w:ascii="Times New Roman" w:eastAsia="Calibri" w:hAnsi="Times New Roman" w:cs="Simplified Arabic"/>
          <w:kern w:val="2"/>
          <w:sz w:val="24"/>
          <w:szCs w:val="28"/>
          <w:rtl/>
          <w14:ligatures w14:val="standardContextual"/>
        </w:rPr>
        <w:t xml:space="preserve">. </w:t>
      </w:r>
    </w:p>
    <w:p w14:paraId="31EAAEB9" w14:textId="77777777" w:rsidR="009A288C" w:rsidRPr="00E56AFC" w:rsidRDefault="009A288C" w:rsidP="00E56AFC">
      <w:pPr>
        <w:pStyle w:val="00000"/>
      </w:pPr>
      <w:r w:rsidRPr="00E56AFC">
        <w:rPr>
          <w:rtl/>
        </w:rPr>
        <w:t xml:space="preserve">وبالتعقيب على ما تم تناوله يمكن التطرق إلى أن تتنوع المشاريع الريادية لتشمل عدة أنواع، كل منها يلبي احتياجات مختلفة ويسهم في تعزيز الاقتصاد بطرق متنوعة. أولاً، المشاريع التجارية، التي تهدف إلى تحقيق الربح من خلال تقديم منتجات أو خدمات مبتكرة في السوق. ثانيًا، المشاريع الاجتماعية، التي تركز على تحقيق أثر إيجابي في المجتمع، مثل تحسين التعليم أو الصحة أو البيئة، دون أن يكون الربح هو </w:t>
      </w:r>
      <w:r w:rsidRPr="00E56AFC">
        <w:rPr>
          <w:rtl/>
        </w:rPr>
        <w:lastRenderedPageBreak/>
        <w:t>الهدف الرئيسي. ثالثًا، المشاريع التكنولوجية، التي تعتمد على الابتكار التقني لتطوير حلول جديدة، مثل تطبيقات الذكاء الاصطناعي أو إنترنت الأشياء.</w:t>
      </w:r>
    </w:p>
    <w:p w14:paraId="133DBD10" w14:textId="636CBA8C" w:rsidR="009A288C" w:rsidRPr="00BC50C9" w:rsidRDefault="00E56AFC" w:rsidP="00E56AFC">
      <w:pPr>
        <w:pStyle w:val="113"/>
        <w:rPr>
          <w:rtl/>
        </w:rPr>
      </w:pPr>
      <w:bookmarkStart w:id="42" w:name="_Toc195456507"/>
      <w:r>
        <w:rPr>
          <w:rFonts w:hint="cs"/>
          <w:rtl/>
        </w:rPr>
        <w:t xml:space="preserve">6.5.1 </w:t>
      </w:r>
      <w:r w:rsidR="009A288C" w:rsidRPr="00BC50C9">
        <w:rPr>
          <w:rtl/>
        </w:rPr>
        <w:t>خصائص الشخص الريادي</w:t>
      </w:r>
      <w:bookmarkEnd w:id="42"/>
    </w:p>
    <w:p w14:paraId="428AB7B9" w14:textId="77777777" w:rsidR="009A288C" w:rsidRPr="00BC50C9" w:rsidRDefault="009A288C" w:rsidP="00E56AFC">
      <w:pPr>
        <w:pStyle w:val="00000"/>
        <w:rPr>
          <w:rtl/>
        </w:rPr>
      </w:pPr>
      <w:r w:rsidRPr="00BC50C9">
        <w:rPr>
          <w:rtl/>
        </w:rPr>
        <w:t>يشهد العالم حاليًا تحولات سريعة ومتلاحقة في مختلف مجالات الحياة، خاصة في المجالات السياسية والاقتصادية والتكنولوجية في ظل هذه التغيرات المتسارعة، تبرز الحاجة إلى قادة رياديين يتمتعون بالقدرة على التكيف مع هذه التحولات؛ وهو ما تطرق إليه الدلو والشرفا (2018، ص.15) بأن يشهد العالم اليوم تغيرات سريعة في مجالات الحياة المتنوعة، لا سيما في السياسة والاقتصاد والتكنولوجيا، وهذا يبرز أهمية وجود قادة رياديين قادرين على التكيف مع هذه التغيرات، بحيث تتمثل استجابتهم في إنشاء مشاريع جديدة وتوفير فرص عمل تسهم في تعزيز النمو الاقتصادي.</w:t>
      </w:r>
    </w:p>
    <w:p w14:paraId="5EB714CA" w14:textId="77777777" w:rsidR="009A288C" w:rsidRPr="00BC50C9" w:rsidRDefault="009A288C" w:rsidP="00E56AFC">
      <w:pPr>
        <w:pStyle w:val="00000"/>
        <w:rPr>
          <w:rtl/>
        </w:rPr>
      </w:pPr>
      <w:r w:rsidRPr="00BC50C9">
        <w:rPr>
          <w:rtl/>
        </w:rPr>
        <w:t>كما يعد الشخص الريادي شخص يقوم بتحويل فكرة أو منتج إلى شركة، وهي عملية تُعرف بريادة الأعمال، ويتميز رواد الأعمال بشغفهم الكبير ورؤيتهم الواضحة، حيث يضحون بالكثير من أجل تحقيق أهدافهم، يدخل هؤلاء السوق بدافع حبهم لما يقومون به، ويؤمنون بأن منتجاتهم ستحدث تأثيرًا إيجابيًا، مع أمل في تحقيق الأرباح من جهودهم، الخطوات التي يتخذها رواد الأعمال تسهم في تعزيز الاقتصاد؛ إذ يقومون بإنشاء شركات توظف الأفراد وتقدم منتجات وخدمات يشتريها المستهلكون (هنداوي، 2023، ص.337-338).</w:t>
      </w:r>
    </w:p>
    <w:p w14:paraId="30A56865" w14:textId="77777777" w:rsidR="009A288C" w:rsidRPr="00BC50C9" w:rsidRDefault="009A288C" w:rsidP="00E56AFC">
      <w:pPr>
        <w:pStyle w:val="00000"/>
        <w:rPr>
          <w:rtl/>
        </w:rPr>
      </w:pPr>
      <w:r w:rsidRPr="00BC50C9">
        <w:rPr>
          <w:rtl/>
        </w:rPr>
        <w:t>وبالتالي يعتبر نجاح المشاريع الريادية مرتبطًا بشكل كبير بالشخص الريادي، مما يجعله محط اهتمام كبير من قبل الهيئات الحكومية، يعود ذلك إلى الصفات الفريدة التي يتمتع بها، مثل كونه مبادرًا، ومستعدًا لتحمل المخاطر، وذو تفكير إيجابي، وقادرًا على التعلم من التجارب، هذه المميزات دفعت صانعي القرار السياسي إلى التركيز على رائد الأعمال، نظرًا للدور الحيوي الذي يلعبه، فهو يُعتبر عنصرًا أساسيًا لتحقيق العديد من الفوائد، من بينها المساهمة في تقليل معدلات البطالة من خلال المشاريع الريادية التي يقوم بتأسيسها (جودي وبن غزال، 2020، ص.14).</w:t>
      </w:r>
    </w:p>
    <w:p w14:paraId="54A2AA74" w14:textId="77777777" w:rsidR="009A288C" w:rsidRPr="00BC50C9" w:rsidRDefault="009A288C" w:rsidP="00E56AFC">
      <w:pPr>
        <w:pStyle w:val="00000"/>
        <w:rPr>
          <w:rtl/>
        </w:rPr>
      </w:pPr>
      <w:r w:rsidRPr="00BC50C9">
        <w:rPr>
          <w:rtl/>
        </w:rPr>
        <w:t xml:space="preserve">وعليه يقوم الشخص الريادي بتأسيس مشروع جديد، ويتحمل الجزء الأكبر من المخاطر ويستفيد من معظم المكافآت، غالبًا ما يُعتبر رائد الأعمال مبتكرًا ومصدرًا للأفكار الجديدة والسلع والخدمات، بالإضافة إلى كونه مسؤولًا عن الإجراءات التجارية، يلعب الأشخاص الريادية دورًا حيويًا في أي اقتصاد؛ حيث يستخدمون مهاراتهم ومبادرتهم لتوقع الاحتياجات وتقديم أفكار مبتكرة إلى السوق، يُكافأ رواد الأعمال الذين يحققون نجاحًا في مواجهة </w:t>
      </w:r>
      <w:proofErr w:type="gramStart"/>
      <w:r w:rsidRPr="00BC50C9">
        <w:rPr>
          <w:rtl/>
        </w:rPr>
        <w:t>مخاطر</w:t>
      </w:r>
      <w:proofErr w:type="gramEnd"/>
      <w:r w:rsidRPr="00BC50C9">
        <w:rPr>
          <w:rtl/>
        </w:rPr>
        <w:t xml:space="preserve"> الشركات الناشئة بالأرباح والشهرة وفرص النمو المستدام (بلال، 2022، ص.165).</w:t>
      </w:r>
    </w:p>
    <w:p w14:paraId="7F721414" w14:textId="77777777" w:rsidR="009A288C" w:rsidRPr="00BC50C9" w:rsidRDefault="009A288C" w:rsidP="00E56AFC">
      <w:pPr>
        <w:pStyle w:val="00000"/>
        <w:rPr>
          <w:rtl/>
        </w:rPr>
      </w:pPr>
      <w:r w:rsidRPr="00BC50C9">
        <w:rPr>
          <w:rtl/>
        </w:rPr>
        <w:lastRenderedPageBreak/>
        <w:t>ويسعى الشخص الريادي لتحقيق ذاته من خلال إنجاز مشروعه الخاص، الذي يلبي رغباته وطموحاته المستقبلية، دون الاعتماد على انتظار فرصة عمل في القطاعين العام أو الخاص، والتي قد تكون ذات عوائد مالية محدودة (دباب وصالحي، 2022، ص .167).</w:t>
      </w:r>
    </w:p>
    <w:p w14:paraId="567951B4" w14:textId="77777777" w:rsidR="009A288C" w:rsidRPr="00BC50C9" w:rsidRDefault="009A288C" w:rsidP="00E56AFC">
      <w:pPr>
        <w:pStyle w:val="00000"/>
        <w:rPr>
          <w:rtl/>
        </w:rPr>
      </w:pPr>
      <w:r w:rsidRPr="00BC50C9">
        <w:rPr>
          <w:rtl/>
        </w:rPr>
        <w:t>وعلاوة على ذلك يُعتبر العامل الأهم في نجاح أي مشروع ريادي هو شخصية الريادي نفسه، على الرغم من أهمية عوامل أخرى مثل الشهادة العلمية والمهنة، فيتميز الريادي بقدرته الفريدة على إدارة المشروع الذي يسعى إلى تحقيق نجاحه، تحتاج الأعمال التي يديرها إلى مجموعة من الصفات والخصائص المتميزة التي تمكّنه من دفع مشروعه نحو النجاح والتقدم، خاصة في المراحل الأولى من المشروع، ويؤكد العديد من الخبراء على ضرورة توافر هذه الصفات في الريادي، حيث تميزه عن الآخرين وتساهم بشكل كبير في نجاح عمله (العكاوي ومقدام، 2018، ص.42).</w:t>
      </w:r>
    </w:p>
    <w:p w14:paraId="07404BC6" w14:textId="77777777" w:rsidR="009A288C" w:rsidRPr="00BC50C9" w:rsidRDefault="009A288C" w:rsidP="00E56AFC">
      <w:pPr>
        <w:pStyle w:val="00000"/>
        <w:rPr>
          <w:rtl/>
        </w:rPr>
      </w:pPr>
      <w:r w:rsidRPr="00BC50C9">
        <w:rPr>
          <w:rtl/>
        </w:rPr>
        <w:t>كما يتبنى الشخص الريادي أيضًا الأفكار والابتكارات الجديدة بشكل نشط، ويبحث باستمرار عن الفرص للاستثمار فيها وتعظيم فوائدها، يتمتع بروح المغامرة وقدرة كبيرة على التخطيط؛ حيث يسعى جاهدًا لإضافة قيمة لمنتجاته وتطويرها بهدف تحقيق نمو مستدام وأرباح مستمرة، ويمتلك القدرة على إحداث تحول في عجلة التنمية الاقتصادية؛ حيث يُعتبر حجر الزاوية بفضل قدراته الإبداعية العالية التي تجعله شخصًا مبادرًا في إنشاء المشاريع الريادية، وهذا يسهم بشكل مباشر في تعزيز وتحقيق أهداف التنمية الاقتصادية (</w:t>
      </w:r>
      <w:proofErr w:type="spellStart"/>
      <w:r w:rsidRPr="00BC50C9">
        <w:rPr>
          <w:rtl/>
        </w:rPr>
        <w:t>التبيني</w:t>
      </w:r>
      <w:proofErr w:type="spellEnd"/>
      <w:r w:rsidRPr="00BC50C9">
        <w:rPr>
          <w:rtl/>
        </w:rPr>
        <w:t xml:space="preserve"> والعون، 2020، ص.32-33).</w:t>
      </w:r>
    </w:p>
    <w:p w14:paraId="48A79530" w14:textId="77777777" w:rsidR="009A288C" w:rsidRPr="00BC50C9" w:rsidRDefault="009A288C" w:rsidP="00E56AFC">
      <w:pPr>
        <w:pStyle w:val="00000"/>
        <w:rPr>
          <w:rtl/>
        </w:rPr>
      </w:pPr>
      <w:r w:rsidRPr="00BC50C9">
        <w:rPr>
          <w:rtl/>
        </w:rPr>
        <w:t>ويمتلك الريادي القدرة على الابتكار والتميز من خلال إدارة الموارد بشكل فعّال، يستغل المخاطر كفرص لتحقيق الإنجازات والنجاحات، ويعمل على إنتاج أفكار ومنتجات جديدة تعزز من التنافسية لمنظمته وتمنحه التميز والتفرد في عالم الأعمال، أما خصائص الريادي، فهي مجموعة من الصفات والسلوكيات التي تشير إلى تميز الفرد في مجال الريادة، وتشمل: القدرة على التحكم في الذات، اتخاذ القرارات، تحقيق الإنجازات، إدارة الوقت بفعالية، والثقة بالنفس (الدوري والحيت، 2017، ص.1).</w:t>
      </w:r>
    </w:p>
    <w:p w14:paraId="60133D5C" w14:textId="77777777" w:rsidR="009A288C" w:rsidRPr="00BC50C9" w:rsidRDefault="009A288C" w:rsidP="00E56AFC">
      <w:pPr>
        <w:pStyle w:val="00000"/>
        <w:rPr>
          <w:rtl/>
        </w:rPr>
      </w:pPr>
      <w:r w:rsidRPr="00BC50C9">
        <w:rPr>
          <w:rtl/>
        </w:rPr>
        <w:t xml:space="preserve">ففي السنوات الأخيرة، زاد الاهتمام بدراسة الريادة ورواد الأعمال بشكل ملحوظ، وقد تبين أن القائمين على إدارة الأعمال الريادية يتشاركون في مجموعة من الخصائص السلوكية والسمات المتنوعة، فالشخص الريادي ليس شخصاً عادياً، بل يتمتع بصفات تميزه عن الآخرين؛ حيث يخرج عن المألوف ويطرح أفكاراً جديدة تسهم في تطوير مسيرته المهنية وتعزيز المشروع الذي يديره (أبو سل </w:t>
      </w:r>
      <w:proofErr w:type="spellStart"/>
      <w:r w:rsidRPr="00BC50C9">
        <w:rPr>
          <w:rtl/>
        </w:rPr>
        <w:t>والهابيل</w:t>
      </w:r>
      <w:proofErr w:type="spellEnd"/>
      <w:r w:rsidRPr="00BC50C9">
        <w:rPr>
          <w:rtl/>
        </w:rPr>
        <w:t>، 2018، ص.51).</w:t>
      </w:r>
    </w:p>
    <w:p w14:paraId="5D25D3FA" w14:textId="77777777" w:rsidR="009A288C" w:rsidRPr="00BC50C9" w:rsidRDefault="009A288C" w:rsidP="00E56AFC">
      <w:pPr>
        <w:pStyle w:val="00000"/>
        <w:rPr>
          <w:rtl/>
        </w:rPr>
      </w:pPr>
      <w:r w:rsidRPr="00BC50C9">
        <w:rPr>
          <w:rtl/>
        </w:rPr>
        <w:t xml:space="preserve">وترتبط فكرة الشخص الريادي كمُبتكر ارتباطًا وثيقًا بجوزيف </w:t>
      </w:r>
      <w:proofErr w:type="spellStart"/>
      <w:r w:rsidRPr="00BC50C9">
        <w:rPr>
          <w:rtl/>
        </w:rPr>
        <w:t>شومبيتر</w:t>
      </w:r>
      <w:proofErr w:type="spellEnd"/>
      <w:r w:rsidRPr="00BC50C9">
        <w:rPr>
          <w:rtl/>
        </w:rPr>
        <w:t>، الذي يرى أن الابتكار هو الدور الرئيسي للشخص الريادي، لا يقتصر الابتكار على اختراع أشياء جديدة، بل يشمل تطوير أفكار جديدة وإنشاء شركات مبتكرة تركز على النمو، قد يتضمن ذلك استخدام موارد جديدة لتطوير تقنيات أو منتجات عالية الجودة، أو اكتشاف معلومات تسهل إنشاء منتجات جديدة، كما يشمل فتح أسواق جديدة أو الوصول إلى مصادر جديدة للإمداد، يدفع ذلك الشخص الريادي للتخلي عن الطرق التقليدية وابتكار شيء جديد، مما يعني أنه يمتلك حلمًا وقدرات لتحقيقه (</w:t>
      </w:r>
      <w:proofErr w:type="spellStart"/>
      <w:r w:rsidRPr="00BC50C9">
        <w:rPr>
          <w:rtl/>
        </w:rPr>
        <w:t>باتلر</w:t>
      </w:r>
      <w:proofErr w:type="spellEnd"/>
      <w:r w:rsidRPr="00BC50C9">
        <w:rPr>
          <w:rtl/>
        </w:rPr>
        <w:t>، 2021، ص.40-41).</w:t>
      </w:r>
    </w:p>
    <w:p w14:paraId="0F420AB2" w14:textId="77777777" w:rsidR="009A288C" w:rsidRPr="00BC50C9" w:rsidRDefault="009A288C" w:rsidP="00E56AFC">
      <w:pPr>
        <w:pStyle w:val="00000"/>
        <w:rPr>
          <w:rtl/>
        </w:rPr>
      </w:pPr>
      <w:r w:rsidRPr="00BC50C9">
        <w:rPr>
          <w:rtl/>
        </w:rPr>
        <w:lastRenderedPageBreak/>
        <w:t xml:space="preserve">ويكمن جوهر الشخص الريادي في سعيه المستمر نحو التغيير واستجابته له، واستغلاله كفرصة، كما يتمتع هذا الريادي بمجموعة من المهارات التقنية، بالإضافة إلى مهارات إدارة الأعمال والريادة الشخصية، كما أشار فرقة البحث إدارة الأعمال </w:t>
      </w:r>
      <w:proofErr w:type="spellStart"/>
      <w:r w:rsidRPr="00BC50C9">
        <w:rPr>
          <w:rtl/>
        </w:rPr>
        <w:t>المقاولاتية</w:t>
      </w:r>
      <w:proofErr w:type="spellEnd"/>
      <w:r w:rsidRPr="00BC50C9">
        <w:rPr>
          <w:rtl/>
        </w:rPr>
        <w:t xml:space="preserve"> والتنمية المحلية المستدامة (2019، ص.15) من خصائص الشخص الريادي ما يأتي:</w:t>
      </w:r>
    </w:p>
    <w:p w14:paraId="73A0FF37"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لديه القدرة على تحديد الفرص المناسبة.</w:t>
      </w:r>
    </w:p>
    <w:p w14:paraId="026BD5CC"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الشعور الدائم بالرغبة في تحقيق الإنجازات.</w:t>
      </w:r>
    </w:p>
    <w:p w14:paraId="7DF5AD7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اتخاذ إجراءات استباقية، وتحمل المخاطر.</w:t>
      </w:r>
    </w:p>
    <w:p w14:paraId="550D0E44"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 xml:space="preserve"> كما يتطلب الأمر الإبداع والابتكار.</w:t>
      </w:r>
    </w:p>
    <w:p w14:paraId="70E93BA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القدرة على انتهاز الفرص.</w:t>
      </w:r>
    </w:p>
    <w:p w14:paraId="3EA2D75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الحصول على الدعم الخارجي لتعزيز قدراته ومعارفه.</w:t>
      </w:r>
    </w:p>
    <w:p w14:paraId="082C756F" w14:textId="77777777" w:rsidR="009A288C" w:rsidRPr="00BC50C9" w:rsidRDefault="009A288C" w:rsidP="00E56AFC">
      <w:pPr>
        <w:pStyle w:val="00000"/>
        <w:rPr>
          <w:rtl/>
        </w:rPr>
      </w:pPr>
      <w:r w:rsidRPr="00BC50C9">
        <w:rPr>
          <w:rtl/>
        </w:rPr>
        <w:t xml:space="preserve">تلعب خصائص سمات الأفراد دورًا مهمًا في توجيه سلوكهم وتأثيره على أدائهم، فأصبحت سمات الشخص الريادي ذات مكانة بارزة في الأدبيات الإدارية والتعليمية، لأنها تؤثر في سلوكياته وأدائه في بدء العمل الريادي أو إدارة المنظمات بأسلوب ريادي، كما تلعب هذه السمات دورًا كبيرًا في تشكيل الأشخاص الرياديين وتعزيز الأداء الريادي في المجتمع، كما أكد علام (2023، ص.97) فمن خصائص الشخص الريادي ما يلي: </w:t>
      </w:r>
    </w:p>
    <w:p w14:paraId="2CA1DFB8" w14:textId="77777777" w:rsidR="009A288C" w:rsidRPr="00BC50C9" w:rsidRDefault="009A288C">
      <w:pPr>
        <w:numPr>
          <w:ilvl w:val="0"/>
          <w:numId w:val="22"/>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الاستقلالية وتحمل المسؤولية:</w:t>
      </w:r>
      <w:r w:rsidRPr="00BC50C9">
        <w:rPr>
          <w:rFonts w:ascii="Times New Roman" w:eastAsia="Calibri" w:hAnsi="Times New Roman" w:cs="Simplified Arabic"/>
          <w:kern w:val="2"/>
          <w:sz w:val="24"/>
          <w:szCs w:val="28"/>
          <w:rtl/>
          <w14:ligatures w14:val="standardContextual"/>
        </w:rPr>
        <w:t xml:space="preserve"> تتمثل في سعي الريادي لامتلاك زمام المبادرة في الأعمال وتنفيذ المهام، واتخاذ القرارات بنفسه بعيدًا عن تأثيرات المحيطين، وتحمل مسؤولياته</w:t>
      </w:r>
      <w:r w:rsidRPr="00BC50C9">
        <w:rPr>
          <w:rFonts w:ascii="Times New Roman" w:eastAsia="Calibri" w:hAnsi="Times New Roman" w:cs="Simplified Arabic"/>
          <w:kern w:val="2"/>
          <w:sz w:val="24"/>
          <w:szCs w:val="28"/>
          <w14:ligatures w14:val="standardContextual"/>
        </w:rPr>
        <w:t>.</w:t>
      </w:r>
    </w:p>
    <w:p w14:paraId="591058C1" w14:textId="77777777" w:rsidR="009A288C" w:rsidRPr="00BC50C9" w:rsidRDefault="009A288C">
      <w:pPr>
        <w:numPr>
          <w:ilvl w:val="0"/>
          <w:numId w:val="22"/>
        </w:numPr>
        <w:bidi/>
        <w:spacing w:before="120" w:after="120" w:line="240" w:lineRule="auto"/>
        <w:ind w:left="708"/>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b/>
          <w:bCs/>
          <w:kern w:val="2"/>
          <w:sz w:val="24"/>
          <w:szCs w:val="28"/>
          <w:rtl/>
          <w14:ligatures w14:val="standardContextual"/>
        </w:rPr>
        <w:t>الميل إلى المخاطرة:</w:t>
      </w:r>
      <w:r w:rsidRPr="00BC50C9">
        <w:rPr>
          <w:rFonts w:ascii="Times New Roman" w:eastAsia="Calibri" w:hAnsi="Times New Roman" w:cs="Simplified Arabic"/>
          <w:kern w:val="2"/>
          <w:sz w:val="24"/>
          <w:szCs w:val="28"/>
          <w:rtl/>
          <w14:ligatures w14:val="standardContextual"/>
        </w:rPr>
        <w:t xml:space="preserve"> يتميز الريادي بقدرته على تحمل المخاطر المحسوبة، والعمل في ظروف تتسم بعدم اليقين، كما أنه يستثمر الفرص الضائعة ويتحمل المخاطر المدروسة التي تساعده على تحقيق النجاح</w:t>
      </w:r>
      <w:r w:rsidRPr="00BC50C9">
        <w:rPr>
          <w:rFonts w:ascii="Times New Roman" w:eastAsia="Calibri" w:hAnsi="Times New Roman" w:cs="Simplified Arabic"/>
          <w:kern w:val="2"/>
          <w:sz w:val="24"/>
          <w:szCs w:val="28"/>
          <w14:ligatures w14:val="standardContextual"/>
        </w:rPr>
        <w:t>.</w:t>
      </w:r>
    </w:p>
    <w:p w14:paraId="6329C5D1" w14:textId="77777777" w:rsidR="009A288C" w:rsidRPr="00BC50C9" w:rsidRDefault="009A288C">
      <w:pPr>
        <w:numPr>
          <w:ilvl w:val="0"/>
          <w:numId w:val="22"/>
        </w:numPr>
        <w:bidi/>
        <w:spacing w:before="120" w:after="120" w:line="240" w:lineRule="auto"/>
        <w:ind w:left="708"/>
        <w:contextualSpacing/>
        <w:jc w:val="both"/>
        <w:rPr>
          <w:rFonts w:ascii="Times New Roman" w:eastAsia="Calibri" w:hAnsi="Times New Roman" w:cs="Simplified Arabic"/>
          <w:kern w:val="2"/>
          <w:sz w:val="24"/>
          <w:szCs w:val="28"/>
          <w:rtl/>
          <w14:ligatures w14:val="standardContextual"/>
        </w:rPr>
      </w:pPr>
      <w:r w:rsidRPr="00BC50C9">
        <w:rPr>
          <w:rFonts w:ascii="Times New Roman" w:eastAsia="Calibri" w:hAnsi="Times New Roman" w:cs="Simplified Arabic"/>
          <w:b/>
          <w:bCs/>
          <w:kern w:val="2"/>
          <w:sz w:val="24"/>
          <w:szCs w:val="28"/>
          <w:rtl/>
          <w14:ligatures w14:val="standardContextual"/>
        </w:rPr>
        <w:t>الإبداع:</w:t>
      </w:r>
      <w:r w:rsidRPr="00BC50C9">
        <w:rPr>
          <w:rFonts w:ascii="Times New Roman" w:eastAsia="Calibri" w:hAnsi="Times New Roman" w:cs="Simplified Arabic"/>
          <w:kern w:val="2"/>
          <w:sz w:val="24"/>
          <w:szCs w:val="28"/>
          <w:rtl/>
          <w14:ligatures w14:val="standardContextual"/>
        </w:rPr>
        <w:t xml:space="preserve"> هو القدرة على تطوير أفكار أو أشياء فريدة، مع إضافة لمسة جمالية.</w:t>
      </w:r>
    </w:p>
    <w:p w14:paraId="5496DDBB" w14:textId="77777777" w:rsidR="009A288C" w:rsidRPr="00BC50C9" w:rsidRDefault="009A288C" w:rsidP="00E56AFC">
      <w:pPr>
        <w:pStyle w:val="00000"/>
        <w:rPr>
          <w:b/>
          <w:bCs/>
          <w:rtl/>
        </w:rPr>
      </w:pPr>
      <w:r w:rsidRPr="00BC50C9">
        <w:rPr>
          <w:rtl/>
        </w:rPr>
        <w:t>كما أشار "</w:t>
      </w:r>
      <w:proofErr w:type="spellStart"/>
      <w:r w:rsidRPr="00BC50C9">
        <w:rPr>
          <w:rtl/>
        </w:rPr>
        <w:t>مورسيره</w:t>
      </w:r>
      <w:proofErr w:type="spellEnd"/>
      <w:r w:rsidRPr="00BC50C9">
        <w:rPr>
          <w:rtl/>
        </w:rPr>
        <w:t>" (</w:t>
      </w:r>
      <w:r w:rsidRPr="00BC50C9">
        <w:rPr>
          <w:shd w:val="clear" w:color="auto" w:fill="FFFFFF"/>
        </w:rPr>
        <w:t>Mishra</w:t>
      </w:r>
      <w:r w:rsidRPr="00BC50C9">
        <w:t>, 2020, P.20</w:t>
      </w:r>
      <w:r w:rsidRPr="00BC50C9">
        <w:rPr>
          <w:rtl/>
        </w:rPr>
        <w:t>) إلى أنه تتمثل خصائص الشخص الريادي</w:t>
      </w:r>
      <w:r w:rsidRPr="00BC50C9">
        <w:rPr>
          <w:b/>
          <w:bCs/>
          <w:rtl/>
        </w:rPr>
        <w:t xml:space="preserve"> </w:t>
      </w:r>
      <w:r w:rsidRPr="00BC50C9">
        <w:rPr>
          <w:rtl/>
        </w:rPr>
        <w:t xml:space="preserve">التي تُسهم في تحسين الأداء العام للمؤسسة في النقاط التالية: </w:t>
      </w:r>
    </w:p>
    <w:p w14:paraId="3AC543F9"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إدارة التغيير: يتمتع الريادي بالقدرة على التعامل بفعالية مع التغييرات، مما يضمن استجابة سريعة للتحديات والفرص الجديدة في بيئة العمل.</w:t>
      </w:r>
    </w:p>
    <w:p w14:paraId="3CCD76A8"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التكيف البيئي: القدرة المؤسسة على التكيف مع التغيرات البيئية، سواء كانت اقتصادية أو اجتماعية، مما يساهم في استدامة الأعمال.</w:t>
      </w:r>
    </w:p>
    <w:p w14:paraId="314DE4A6"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التوجه نحو النتائج: حيث يركز القائد على تحقيق نتائج ملموسة، مما يزيد من كفاءة العمليات ويعزز القدرة على تحقيق الأهداف الاستراتيجية.</w:t>
      </w:r>
    </w:p>
    <w:p w14:paraId="14497113"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lastRenderedPageBreak/>
        <w:t>التنسيق: يعمل الريادي على تحسين التنسيق بين الفرق المختلفة، مما يعزز التعاون ويضمن تحقيق الأهداف المشتركة بشكل أكثر فعالية.</w:t>
      </w:r>
    </w:p>
    <w:p w14:paraId="6083A54A"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تطوير الفريق: يشجع الشخص الريادي على تطوير المهارات الفردية والجماعية، مما يعزز من أداء الفرق ويزيد من قدرتها على الابتكار والتكيف.</w:t>
      </w:r>
    </w:p>
    <w:p w14:paraId="3568FB59" w14:textId="77777777" w:rsidR="009A288C" w:rsidRPr="00BC50C9" w:rsidRDefault="009A288C" w:rsidP="00E56AFC">
      <w:pPr>
        <w:pStyle w:val="00000"/>
      </w:pPr>
      <w:r w:rsidRPr="00BC50C9">
        <w:rPr>
          <w:rtl/>
        </w:rPr>
        <w:t>واستنادًا على ما تم ذكره يمكن استخلاص أن يتميز الشخص الريادي بعدة خصائص تجعله قادرًا على تحويل الأفكار إلى مشاريع ناجحة ومؤثرة أولاً، الإبداع والابتكار، حيث يمتلك القدرة على تقديم أفكار جديدة أو تحسين الحلول الموجودة ثانيًا، المبادرة، حيث يكون دائمًا على استعداد لاتخاذ الخطوة الأولى وتحمل المسؤولية ثالثًا، القدرة على تحمل المخاطر، حيث لا يخشى الفشل ويعتبره فرصة للتعلم والنمو.</w:t>
      </w:r>
    </w:p>
    <w:p w14:paraId="177F5BA7" w14:textId="704701EB" w:rsidR="009A288C" w:rsidRPr="00BC50C9" w:rsidRDefault="00E56AFC" w:rsidP="00E56AFC">
      <w:pPr>
        <w:pStyle w:val="113"/>
      </w:pPr>
      <w:bookmarkStart w:id="43" w:name="_Toc195456508"/>
      <w:r>
        <w:rPr>
          <w:rFonts w:hint="cs"/>
          <w:rtl/>
        </w:rPr>
        <w:t xml:space="preserve">7.5.1 </w:t>
      </w:r>
      <w:r w:rsidR="009A288C" w:rsidRPr="00BC50C9">
        <w:rPr>
          <w:rtl/>
        </w:rPr>
        <w:t>العوامل المؤثرة في المشاريع الريادية.</w:t>
      </w:r>
      <w:bookmarkEnd w:id="43"/>
    </w:p>
    <w:p w14:paraId="0BEBD2BD" w14:textId="77777777" w:rsidR="009A288C" w:rsidRPr="00BC50C9" w:rsidRDefault="009A288C" w:rsidP="00E56AFC">
      <w:pPr>
        <w:pStyle w:val="00000"/>
        <w:rPr>
          <w:rtl/>
        </w:rPr>
      </w:pPr>
      <w:r w:rsidRPr="00BC50C9">
        <w:rPr>
          <w:rtl/>
        </w:rPr>
        <w:t>أصبحت ريادة الأعمال عنصرًا أساسيًا في المشهد الإداري الحديث الناجح؛ حيث تؤثر بشكل عميق على تفكير المديرين واستراتيجيات الشركات وسياساتها (عبد أبو السعود وساري، 2017، ص.2). حيث تفرض التغيرات في البيئة الجديدة اتجاهات جديدة وتحديات كبيرة على الصعيد الاقتصادي، مما يستدعي ضرورة مراقبة الأدوات الاستراتيجية، فقد أصبح التكيف مع البيئة المحيطة أحد العوامل الأساسية لنجاح أو فشل النظام، وتتيح اليقظة الاستراتيجية اختيار الخيارات الملائمة للتكيف مع هذه التغيرات وتحقيق نمو مستدام للمشاريع الرائدة، لذلك، أصبح الحصول على المعلومات أمرًا مُلحًا في الوقت الراهن، حيث أصبحت المعلومات مورداً حيوياً يُستخدم كسلاح قوي (هنداوي، 2023، ص.347).</w:t>
      </w:r>
    </w:p>
    <w:p w14:paraId="7100518F" w14:textId="77777777" w:rsidR="009A288C" w:rsidRPr="00BC50C9" w:rsidRDefault="009A288C" w:rsidP="00E56AFC">
      <w:pPr>
        <w:pStyle w:val="00000"/>
        <w:rPr>
          <w:rtl/>
        </w:rPr>
      </w:pPr>
      <w:r w:rsidRPr="00BC50C9">
        <w:rPr>
          <w:rtl/>
        </w:rPr>
        <w:t xml:space="preserve">كما أن العوامل التنظيمية من العوامل التي تؤثر بشكل كبير على المشاريع الريادية؛ حيث تُعتبر المنظمة ظاهرة اجتماعية إنسانية تهدف إلى الربط بين الموارد والعوامل والعناصر </w:t>
      </w:r>
      <w:proofErr w:type="spellStart"/>
      <w:r w:rsidRPr="00BC50C9">
        <w:rPr>
          <w:rtl/>
        </w:rPr>
        <w:t>الموقفية</w:t>
      </w:r>
      <w:proofErr w:type="spellEnd"/>
      <w:r w:rsidRPr="00BC50C9">
        <w:rPr>
          <w:rtl/>
        </w:rPr>
        <w:t>، بالإضافة إلى البيئة الداخلية والخارجية، لذلك، يمكن اعتبار أن استراتيجية الشركة التي تركز على الابتكار، إلى جانب الثقافة وأسلوب القيادة والإدارة، والعمل بروح الفريق، فهي تُعد من أبرز العوامل التي تعزز النشاطات الريادية (إسماعيل، 2015، ص.343).</w:t>
      </w:r>
    </w:p>
    <w:p w14:paraId="3445BDEE" w14:textId="77777777" w:rsidR="009A288C" w:rsidRPr="00BC50C9" w:rsidRDefault="009A288C" w:rsidP="00E56AFC">
      <w:pPr>
        <w:pStyle w:val="00000"/>
        <w:rPr>
          <w:rtl/>
        </w:rPr>
      </w:pPr>
      <w:r w:rsidRPr="00BC50C9">
        <w:rPr>
          <w:rtl/>
        </w:rPr>
        <w:t>وتؤثر العوامل الخارجية أيضًا على المشاريع الريادية؛ حيث يُعتبر تصنيف العوامل المرتبطة بالسياق الاجتماعي والسياسي والاقتصادي أمرًا أساسيًا لفهم الجوانب التي يجب أن تتضمنها السياسات الرامية إلى تعزيز إنشاء الأعمال واستدامتها، يختلف النشاط الريادي من دولة إلى أخرى، ويعود ذلك إلى الخصائص الاقتصادية وآليات الدعم والتشجيع، مثل تفعيل قانون حقوق الملكية الفكرية، والضرائب، والمحفزات الاقتصادية، بالإضافة إلى التطور المالي (اليزيدي، 2024، ص.6).</w:t>
      </w:r>
    </w:p>
    <w:p w14:paraId="72942B59" w14:textId="77777777" w:rsidR="009A288C" w:rsidRPr="00BC50C9" w:rsidRDefault="009A288C" w:rsidP="00E56AFC">
      <w:pPr>
        <w:pStyle w:val="00000"/>
        <w:rPr>
          <w:rtl/>
        </w:rPr>
      </w:pPr>
      <w:r w:rsidRPr="00BC50C9">
        <w:rPr>
          <w:rtl/>
        </w:rPr>
        <w:t xml:space="preserve">كما تعتبر المشاريع الريادية من العناصر الأساسية في الاقتصاد الحديث؛ حيث تلعب دورًا محوريًا في إحداث التغيير من خلال استغلال الموارد وعناصر الإنتاج المتاحة، و يُعد الأداء من العوامل الرئيسية التي تُستخدم لتقييم نجاح أو فشل المشاريع، نظرًا لديناميكيته وقدرته على التكيف مع الظروف المتغيرة في بيئة </w:t>
      </w:r>
      <w:r w:rsidRPr="00BC50C9">
        <w:rPr>
          <w:rtl/>
        </w:rPr>
        <w:lastRenderedPageBreak/>
        <w:t>العمل، ويتم قياس أداء المشاريع من خلال تحديد نقاط القوة وتعزيزها، بالإضافة إلى التعرف على نقاط الضعف ومعالجتها، ويتم ذلك من خلال مقارنة الأهداف المُخطط لها مع ما تم تحقيقه فعليًا (</w:t>
      </w:r>
      <w:proofErr w:type="spellStart"/>
      <w:r w:rsidRPr="00BC50C9">
        <w:rPr>
          <w:rtl/>
        </w:rPr>
        <w:t>النواجي</w:t>
      </w:r>
      <w:proofErr w:type="spellEnd"/>
      <w:r w:rsidRPr="00BC50C9">
        <w:rPr>
          <w:rtl/>
        </w:rPr>
        <w:t xml:space="preserve"> وعربيات، 2024، ص.32).</w:t>
      </w:r>
    </w:p>
    <w:p w14:paraId="394FF802" w14:textId="77777777" w:rsidR="009A288C" w:rsidRPr="00BC50C9" w:rsidRDefault="009A288C" w:rsidP="00E56AFC">
      <w:pPr>
        <w:pStyle w:val="00000"/>
        <w:rPr>
          <w:rtl/>
        </w:rPr>
      </w:pPr>
      <w:r w:rsidRPr="00BC50C9">
        <w:rPr>
          <w:rtl/>
        </w:rPr>
        <w:t xml:space="preserve">وبالتالي تظهر العوامل التنظيمية من خلال قدرة المنظمات الريادية على المساهمة بشكل إيجابي في الاقتصاد الوطني، وذلك من خلال تنظيم المشاريع الريادية، وتعتبر العوامل الخارجية من أكثر العوامل تأثيرًا في الاتجاه نحو المشاريع الريادية؛ حيث </w:t>
      </w:r>
      <w:proofErr w:type="gramStart"/>
      <w:r w:rsidRPr="00BC50C9">
        <w:rPr>
          <w:rtl/>
        </w:rPr>
        <w:t>أن</w:t>
      </w:r>
      <w:proofErr w:type="gramEnd"/>
      <w:r w:rsidRPr="00BC50C9">
        <w:rPr>
          <w:rtl/>
        </w:rPr>
        <w:t xml:space="preserve"> معظم هذه العوامل تكون خارج نطاق قدرة الشخص الريادي وإرادته (ثابت </w:t>
      </w:r>
      <w:proofErr w:type="spellStart"/>
      <w:r w:rsidRPr="00BC50C9">
        <w:rPr>
          <w:rtl/>
        </w:rPr>
        <w:t>والهابيل</w:t>
      </w:r>
      <w:proofErr w:type="spellEnd"/>
      <w:r w:rsidRPr="00BC50C9">
        <w:rPr>
          <w:rtl/>
        </w:rPr>
        <w:t>، 2016، ص.21).</w:t>
      </w:r>
    </w:p>
    <w:p w14:paraId="4BEA362C" w14:textId="77777777" w:rsidR="009A288C" w:rsidRPr="00BC50C9" w:rsidRDefault="009A288C" w:rsidP="00E56AFC">
      <w:pPr>
        <w:pStyle w:val="00000"/>
        <w:rPr>
          <w:rtl/>
        </w:rPr>
      </w:pPr>
      <w:r w:rsidRPr="00BC50C9">
        <w:rPr>
          <w:rtl/>
        </w:rPr>
        <w:t>ويعتبر نجاح المشاريع الريادية ومساهمتها الفعالة في تعزيز التنمية الاقتصادية الشاملة في البلدان المتقدمة والنامية على حد سواء، عاملاً مهماً في إبراز الأفكار الإبداعية والجديدة، كما تفتح هذه المشاريع آفاقاً جديدة تُعتبر أساسًا لتأسيس الأعمال والشركات الكبرى، مما يسهل وصولها إلى الأسواق العالمية، يعتمد هذا النجاح على الأداء الفعّال للأصول الفكرية المُتاحة، بالإضافة إلى تُميز الفرق العاملة بالقدرات والخبرات والكفاءات التي تتجاوز حدود الفرد الواحد، فهذه الفرق تمتلك القدرة على المبادرة والابتكار، فضلًا عن تحمل المخاطر والبحث عن الفرص واستثمارها بطرق صحيحة (</w:t>
      </w:r>
      <w:proofErr w:type="spellStart"/>
      <w:r w:rsidRPr="00BC50C9">
        <w:rPr>
          <w:rtl/>
        </w:rPr>
        <w:t>الصواوية</w:t>
      </w:r>
      <w:proofErr w:type="spellEnd"/>
      <w:r w:rsidRPr="00BC50C9">
        <w:rPr>
          <w:rtl/>
        </w:rPr>
        <w:t xml:space="preserve"> وأبو قاعود، 2018، ص.2).</w:t>
      </w:r>
    </w:p>
    <w:p w14:paraId="732D20D4" w14:textId="77777777" w:rsidR="009A288C" w:rsidRPr="00BC50C9" w:rsidRDefault="009A288C" w:rsidP="00E56AFC">
      <w:pPr>
        <w:pStyle w:val="00000"/>
        <w:ind w:firstLine="0"/>
      </w:pPr>
      <w:r w:rsidRPr="00BC50C9">
        <w:rPr>
          <w:rtl/>
        </w:rPr>
        <w:t xml:space="preserve">حيث أشار </w:t>
      </w:r>
      <w:r w:rsidRPr="00BC50C9">
        <w:rPr>
          <w:color w:val="000000"/>
          <w:rtl/>
        </w:rPr>
        <w:t>"يان" (</w:t>
      </w:r>
      <w:r w:rsidRPr="00BC50C9">
        <w:rPr>
          <w:color w:val="000000"/>
          <w:shd w:val="clear" w:color="auto" w:fill="FFFFFF"/>
        </w:rPr>
        <w:t>Yan, 2019, P.178</w:t>
      </w:r>
      <w:r w:rsidRPr="00BC50C9">
        <w:rPr>
          <w:color w:val="000000"/>
          <w:rtl/>
        </w:rPr>
        <w:t xml:space="preserve">) </w:t>
      </w:r>
      <w:r w:rsidRPr="00BC50C9">
        <w:rPr>
          <w:rtl/>
        </w:rPr>
        <w:t>إلى أنه تتمثل العوامل التي يجب مراعاتها في المشاريع الريادية</w:t>
      </w:r>
    </w:p>
    <w:p w14:paraId="255165F8"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تغيير نظرة المديرين التنفيذيين: يجب على المديرين تغيير رؤيتهم تجاه التغييرات التنظيمية الإيجابية وتبنيها</w:t>
      </w:r>
    </w:p>
    <w:p w14:paraId="3EC1A5CC"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 xml:space="preserve">تحديد الموارد المالية: يتعين تخصيص ميزانيات بحثية متميزة لدعم الابتكار </w:t>
      </w:r>
    </w:p>
    <w:p w14:paraId="2602609F"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تعزيز روح المخاطرة: من الضروري تشجيع الأفراد والموظفين على اتخاذ المخاطر والشجاعة في طرح أفكار جديدة.</w:t>
      </w:r>
    </w:p>
    <w:p w14:paraId="4441819D"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تشجيع الإبداع: يجب تحفيز الأفراد على تقديم أفكار إبداعية، من خلال منح مكافآت خاصة مثل المكافآت البحثية والتعليمية.</w:t>
      </w:r>
    </w:p>
    <w:p w14:paraId="20163350" w14:textId="77777777" w:rsidR="009A288C" w:rsidRPr="00E56AFC"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rtl/>
          <w14:ligatures w14:val="standardContextual"/>
        </w:rPr>
      </w:pPr>
      <w:r w:rsidRPr="00E56AFC">
        <w:rPr>
          <w:rFonts w:ascii="Times New Roman" w:eastAsia="Calibri" w:hAnsi="Times New Roman" w:cs="Simplified Arabic"/>
          <w:kern w:val="2"/>
          <w:sz w:val="24"/>
          <w:szCs w:val="28"/>
          <w:rtl/>
          <w14:ligatures w14:val="standardContextual"/>
        </w:rPr>
        <w:t>إضافة خصائص ريادية: ينبغي تضمين خصائص ريادة الأعمال في ورقة التقييم السنوية للموظفين، مما يُعزز من أهمية هذا الفكر.</w:t>
      </w:r>
    </w:p>
    <w:p w14:paraId="0EBB3E49" w14:textId="77777777" w:rsidR="009A288C" w:rsidRPr="00BC50C9" w:rsidRDefault="009A288C" w:rsidP="00E56AFC">
      <w:pPr>
        <w:pStyle w:val="00000"/>
        <w:rPr>
          <w:rtl/>
        </w:rPr>
      </w:pPr>
      <w:r w:rsidRPr="00BC50C9">
        <w:rPr>
          <w:rtl/>
        </w:rPr>
        <w:t>خلاصة ما سبق يمكن التوصل إلى أن تتأثر المشاريع الريادية بالعديد من العوامل التي يمكن أن تسهم في نجاحها أو فشلها. أولاً، البيئة الاقتصادية، حيث تلعب الظروف الاقتصادية مثل النمو أو الركود دورًا كبيرًا في تحديد فرص نجاح المشروع. ثانيًا، التشريعات والسياسات الحكومية، التي يمكن أن تدعم أو تعيق تطور المشاريع الريادية من خلال القوانين والأنظمة. ثالثًا، التكنولوجيا، حيث توفر الأدوات والابتكارات التقنية فرصًا جديدة لتحسين العمليات وتقديم منتجات أو خدمات مبتكرة.</w:t>
      </w:r>
    </w:p>
    <w:p w14:paraId="40512F2A" w14:textId="411D783B" w:rsidR="009A288C" w:rsidRPr="00BC50C9" w:rsidRDefault="009A288C" w:rsidP="00955D27">
      <w:pPr>
        <w:pStyle w:val="22222"/>
        <w:jc w:val="center"/>
        <w:rPr>
          <w:rtl/>
        </w:rPr>
      </w:pPr>
      <w:r w:rsidRPr="00BC50C9">
        <w:rPr>
          <w:rtl/>
        </w:rPr>
        <w:br w:type="page"/>
      </w:r>
      <w:bookmarkStart w:id="44" w:name="_Toc195456509"/>
      <w:r w:rsidR="00955D27">
        <w:rPr>
          <w:rFonts w:hint="cs"/>
          <w:rtl/>
        </w:rPr>
        <w:lastRenderedPageBreak/>
        <w:t xml:space="preserve">6.1 </w:t>
      </w:r>
      <w:r w:rsidRPr="00BC50C9">
        <w:rPr>
          <w:rtl/>
        </w:rPr>
        <w:t>المبحث الرابع: الاستدامة المالية</w:t>
      </w:r>
      <w:bookmarkEnd w:id="44"/>
    </w:p>
    <w:p w14:paraId="058B4464" w14:textId="57797819" w:rsidR="009A288C" w:rsidRPr="00BC50C9" w:rsidRDefault="00955D27" w:rsidP="00955D27">
      <w:pPr>
        <w:pStyle w:val="113"/>
        <w:jc w:val="both"/>
        <w:rPr>
          <w:lang w:bidi="ar-EG"/>
        </w:rPr>
      </w:pPr>
      <w:bookmarkStart w:id="45" w:name="_Toc195456510"/>
      <w:r>
        <w:rPr>
          <w:rFonts w:hint="cs"/>
          <w:rtl/>
          <w:lang w:bidi="ar-EG"/>
        </w:rPr>
        <w:t xml:space="preserve">1.6.1 </w:t>
      </w:r>
      <w:r w:rsidR="009A288C" w:rsidRPr="00BC50C9">
        <w:rPr>
          <w:rtl/>
          <w:lang w:bidi="ar-EG"/>
        </w:rPr>
        <w:t>مقدمة</w:t>
      </w:r>
      <w:bookmarkEnd w:id="45"/>
    </w:p>
    <w:p w14:paraId="7550E392" w14:textId="77777777" w:rsidR="009A288C" w:rsidRPr="00BC50C9" w:rsidRDefault="009A288C" w:rsidP="00955D27">
      <w:pPr>
        <w:pStyle w:val="00000"/>
        <w:rPr>
          <w:rtl/>
        </w:rPr>
      </w:pPr>
      <w:r w:rsidRPr="00BC50C9">
        <w:rPr>
          <w:rtl/>
        </w:rPr>
        <w:t>أصبح من المعتاد بين المؤسسات الكبرى على مستوى العالم نشر معلومات متعلقة بتقارير الاستدامة، والتي تتضمن تقييمًا للأداء البيئي والاقتصادي والاجتماعي، بالإضافة إلى أي مؤشرات أخرى غير مالية تعكس تأثير المؤسسة على المجتمع والبيئة؛ وهو ما أشار إليه غلاب (2022، ص.81) بأنه نظرًا للتغيرات التي شهدها العالم في أواخر القرن العشرين وبداية القرن الحادي والعشرين، تواجه مؤسسات الأعمال ضغوطًا متزايدة للإبلاغ عن الاستدامة والتحقق منها، فقد أصبح من الشائع بين المؤسسات الكبيرة في جميع أنحاء العالم نشر معلومات تتعلق بتقارير الاستدامة، والتي تشمل الأداء البيئي والاقتصادي والاجتماعي، أو أي أداء غير مالي مُشابه، بالإضافة إلى ذلك، هناك عدد مُتزايد من المؤسسات التي تتبنى فكرة التحقق والمراجعة المستقلة لتلك المعلومات.</w:t>
      </w:r>
    </w:p>
    <w:p w14:paraId="3B373D58" w14:textId="77777777" w:rsidR="009A288C" w:rsidRPr="00BC50C9" w:rsidRDefault="009A288C" w:rsidP="00955D27">
      <w:pPr>
        <w:pStyle w:val="00000"/>
        <w:rPr>
          <w:rtl/>
        </w:rPr>
      </w:pPr>
      <w:r w:rsidRPr="00BC50C9">
        <w:rPr>
          <w:rtl/>
        </w:rPr>
        <w:t xml:space="preserve">وعليه تم إدخال مفهوم الاستدامة في المالية العامة في منتصف الثمانينات؛ حيث تم استخدامه في دراسات لقياس مؤشرات الاستدامة في السياسات المالية للدول المتقدمة، أصبح هذا الموضوع مثار جدل، لأنه يعكس التحديات المستقبلية التي قد تواجه التنمية الاقتصادية للدول، تعود هذه التحديات إلى ارتفاع العجز والدين نتيجة الإفراط في الإنفاق العام، النفقات المفرطة في الجوانب الاستهلاكية والاستثمارية تؤدي إلى زيادة العجز والديون، سيضطر الأجيال الحالية والمقبلة لتحمل تبعات هذه الديون، مما قد يؤثر سلبًا على رفاهيتها (علي </w:t>
      </w:r>
      <w:proofErr w:type="spellStart"/>
      <w:r w:rsidRPr="00BC50C9">
        <w:rPr>
          <w:rtl/>
        </w:rPr>
        <w:t>وسماقهيى</w:t>
      </w:r>
      <w:proofErr w:type="spellEnd"/>
      <w:r w:rsidRPr="00BC50C9">
        <w:rPr>
          <w:rtl/>
        </w:rPr>
        <w:t>، 2024، ص.70).</w:t>
      </w:r>
    </w:p>
    <w:p w14:paraId="5139229F" w14:textId="77777777" w:rsidR="009A288C" w:rsidRPr="00BC50C9" w:rsidRDefault="009A288C" w:rsidP="00955D27">
      <w:pPr>
        <w:pStyle w:val="00000"/>
      </w:pPr>
      <w:r w:rsidRPr="00BC50C9">
        <w:rPr>
          <w:rtl/>
        </w:rPr>
        <w:t>فإن استمرار النجاحات التنموية في المشاريع الريادية التي تحققها الدول يعتمد بشكل كبير على قدرتها على توفير الموارد اللازمة لهذه القنوات التنموية لأطول فترة مُمكنة، لذلك، تسعى الدول جاهدة للبحث عن وسائل لتعزيز قدرتها المالية لتغطية النفقات الحالية والمستقبلية، وهو ما يُعرف اليوم بالاستدامة المالية،</w:t>
      </w:r>
      <w:r w:rsidRPr="00BC50C9">
        <w:t xml:space="preserve"> </w:t>
      </w:r>
      <w:r w:rsidRPr="00BC50C9">
        <w:rPr>
          <w:rtl/>
        </w:rPr>
        <w:t>كما تتبع كل دولة نهجًا خاصًا لتحقيق الاستدامة المالية، مُستندة إلى موقعها الجغرافي ومواردها الاقتصادية، ومع ذلك، هناك مبادئ عامة تصلح لكل الدول وتساهم في تحقيق الاستدامة المالية (الجابري، 2023، ص.369).</w:t>
      </w:r>
    </w:p>
    <w:p w14:paraId="17F21CCF" w14:textId="77777777" w:rsidR="009A288C" w:rsidRPr="00BC50C9" w:rsidRDefault="009A288C" w:rsidP="00955D27">
      <w:pPr>
        <w:pStyle w:val="00000"/>
        <w:rPr>
          <w:rtl/>
        </w:rPr>
      </w:pPr>
      <w:r w:rsidRPr="00BC50C9">
        <w:rPr>
          <w:rtl/>
        </w:rPr>
        <w:t>وقد دفعت الأزمات الاقتصادية ولاسيما الديون والعجز في المالية الحكومية المنظمات إلى تنفيذ سياسات الاستدامة المالية؛ من أجل تهيئة الظروف اللازمة لتحقيق الصحة المالية وضمان الإنصاف بين الأجيال، ولا سيما في الحكومات المحلية  التي شاركت في سياق انخفاض الإيرادات العامة التي تليها انخفاضات في الإنفاق العام، ويمكن تعريف الاستدامة المالية بـأنها القدرة على الوفاء بتقديم الخدمات والالتزامات المالية في الحاضر وفي المستقبل، وتطبيق السياسات الحالية والحفاظ عليها في المستقبل دون التسبب في ارتفاع الديون بشكل مستمر (</w:t>
      </w:r>
      <w:r w:rsidRPr="00BC50C9">
        <w:rPr>
          <w:color w:val="222222"/>
          <w:shd w:val="clear" w:color="auto" w:fill="FFFFFF"/>
        </w:rPr>
        <w:t>Navarro-Galera, et al, 2016, p.2</w:t>
      </w:r>
      <w:r w:rsidRPr="00BC50C9">
        <w:rPr>
          <w:rtl/>
        </w:rPr>
        <w:t>)</w:t>
      </w:r>
    </w:p>
    <w:p w14:paraId="3E47EC05" w14:textId="77777777" w:rsidR="009A288C" w:rsidRPr="00BC50C9" w:rsidRDefault="009A288C" w:rsidP="00955D27">
      <w:pPr>
        <w:pStyle w:val="00000"/>
      </w:pPr>
      <w:r w:rsidRPr="00BC50C9">
        <w:rPr>
          <w:rtl/>
        </w:rPr>
        <w:lastRenderedPageBreak/>
        <w:t xml:space="preserve">وبالتالي تُعد السياسة المالية من أبرز السياسات الاقتصادية في جميع الدول، بغض النظر عن اختلاف فلسفاتها الاقتصادية، يعود ذلك إلى تأثيرها الكبير على الاقتصاد الكلي، ففي الآونة الأخيرة، زاد الاهتمام بتحليل نتائج السياسة المالية وتقييم تأثيرها على الوضع المالي؛ حيث أصبحت العديد من القضايا في هذا المجال محط اهتمام كبير في الدراسات الاقتصادية والمالية الحديثة، وأبرزها الاستدامة المالية، ويعود ذلك إلى العلاقة الوثيقة بين عناصر المالية العامة وأداء الاقتصاد الكلي، فضلاً عن التحديات الكبيرة التي تواجه الأوضاع المالية للدول (عصماني </w:t>
      </w:r>
      <w:proofErr w:type="spellStart"/>
      <w:r w:rsidRPr="00BC50C9">
        <w:rPr>
          <w:rtl/>
        </w:rPr>
        <w:t>وأوكيل</w:t>
      </w:r>
      <w:proofErr w:type="spellEnd"/>
      <w:r w:rsidRPr="00BC50C9">
        <w:rPr>
          <w:rtl/>
        </w:rPr>
        <w:t>، 2020، ص.321).</w:t>
      </w:r>
    </w:p>
    <w:p w14:paraId="683645D8" w14:textId="77777777" w:rsidR="009A288C" w:rsidRPr="00BC50C9" w:rsidRDefault="009A288C" w:rsidP="00955D27">
      <w:pPr>
        <w:pStyle w:val="00000"/>
        <w:rPr>
          <w:rtl/>
        </w:rPr>
      </w:pPr>
      <w:r w:rsidRPr="00BC50C9">
        <w:rPr>
          <w:rtl/>
        </w:rPr>
        <w:t>بدأت العديد من المناقشات حول التمويل والاستدامة في العقد الماضي من القرن ال20، وقد ركزت على العلاقة بين التمويل والاستدامة على قضايا تشكيل السياسات المالية وتصميم التدابير المالية ودعم التنمية المستدامة، وكان المناقشان الاقتصادية تتعلق بالأطر التمويلية الوطنية التي من شأنها أن تدمج الموارد والإجراءات اللازمة لتحقيق الأولويات الوطنية الاستراتيجية المتعلقة بالاستدامة، كما تم التأكيد على الدور البارز للمؤسسات المالية من أجل التنمية المستدامة؛ لزيادة الوصول إلى الخدمات المصرفية وتحسين المعرفة المالية التي لها دور إيجابي على مستوى الاستدامة المالية للفئات الفقيرة من السكان (</w:t>
      </w:r>
      <w:proofErr w:type="spellStart"/>
      <w:r w:rsidRPr="00BC50C9">
        <w:t>Zabolotnyy</w:t>
      </w:r>
      <w:proofErr w:type="spellEnd"/>
      <w:r w:rsidRPr="00BC50C9">
        <w:t>, &amp; Wasilewski, 2019, p.2</w:t>
      </w:r>
      <w:r w:rsidRPr="00BC50C9">
        <w:rPr>
          <w:rtl/>
        </w:rPr>
        <w:t>)</w:t>
      </w:r>
    </w:p>
    <w:p w14:paraId="05225AFF" w14:textId="77777777" w:rsidR="009A288C" w:rsidRPr="00BC50C9" w:rsidRDefault="009A288C" w:rsidP="00955D27">
      <w:pPr>
        <w:pStyle w:val="00000"/>
        <w:rPr>
          <w:rtl/>
        </w:rPr>
      </w:pPr>
      <w:r w:rsidRPr="00BC50C9">
        <w:rPr>
          <w:rtl/>
        </w:rPr>
        <w:t>ففي ظل شُح الموارد والتغيرات الاقتصادية والاجتماعية في بيئة الأعمال، أصبحت الاستدامة المالية ضرورة مُلحة للمؤسسات غير الربحية لتحقيق أهدافها وتصحيح مسارها ومُعالجة أي انحرافات، وهذا يتطلب تقديم الدعم لها؛ لتحسين نتائج العمليات والإجراءات المرتبطة بها، وتعزيز قدرتها على الوفاء بالتزاماتها الحالية والمستقبلية، مما ينعكس بشكل إيجابي على تلك المؤسسات والمجتمع بشكل عام (</w:t>
      </w:r>
      <w:proofErr w:type="spellStart"/>
      <w:r w:rsidRPr="00BC50C9">
        <w:rPr>
          <w:rtl/>
        </w:rPr>
        <w:t>الشيبي</w:t>
      </w:r>
      <w:proofErr w:type="spellEnd"/>
      <w:r w:rsidRPr="00BC50C9">
        <w:rPr>
          <w:rtl/>
        </w:rPr>
        <w:t>، 2022، ص.61).</w:t>
      </w:r>
    </w:p>
    <w:p w14:paraId="12098EDA" w14:textId="77777777" w:rsidR="009A288C" w:rsidRPr="00BC50C9" w:rsidRDefault="009A288C" w:rsidP="00955D27">
      <w:pPr>
        <w:pStyle w:val="00000"/>
        <w:rPr>
          <w:rtl/>
        </w:rPr>
      </w:pPr>
      <w:r w:rsidRPr="00BC50C9">
        <w:rPr>
          <w:rtl/>
        </w:rPr>
        <w:t>وحظي موضوع الاستدامة المالية باهتمام كبير؛ حيث يُبرز العلاقة الوثيقة بين المالية العامة وأداء الاقتصاد الكلي، كما يُركز على الإجراءات التي اتخذتها الحكومات؛ لتقليل الاعتماد على الموارد الناضبة والمساعدات الخارجية، مع تعزيز تنويع مصادر الدخل وزيادة الاعتماد على الموارد الذاتية بهدف تقليص العجز في الميزانية وتحقيق الاستدامة المالية، كما تشير الاستدامة المالية إلى الحالة التي تتمكن فيها الحكومة من الاستمرار في سياسات الإنفاق والإيرادات الحالية على المدى الطويل دون المساس بمُلاءتها المالية أو التعرض لمخاطر الإفلاس أو عدم الوفاء بالتزاماتها المالية المستقبلية (راضي وآخرون، 2018، ص.17).</w:t>
      </w:r>
    </w:p>
    <w:p w14:paraId="13BA0D1A" w14:textId="77777777" w:rsidR="009A288C" w:rsidRPr="00BC50C9" w:rsidRDefault="009A288C" w:rsidP="00955D27">
      <w:pPr>
        <w:pStyle w:val="00000"/>
        <w:rPr>
          <w:rtl/>
        </w:rPr>
      </w:pPr>
      <w:r w:rsidRPr="00BC50C9">
        <w:rPr>
          <w:rtl/>
        </w:rPr>
        <w:t xml:space="preserve">وعليه تكتسب الاستدامة المالية أهميتها العملية كونها وسيلة لفهم وتحليل قدرة المؤسسة على الاستمرار في تنفيذ سياسات الإنفاق العام والإيرادات العامة على المدى الطويل، دون التأثير على الملاءة المالية أو التعرض لمخاطر الإعسار المالي، كما أنها تساهم في ضمان الوفاء بالالتزامات المالية المستقبلية، مما يقلل من </w:t>
      </w:r>
      <w:proofErr w:type="gramStart"/>
      <w:r w:rsidRPr="00BC50C9">
        <w:rPr>
          <w:rtl/>
        </w:rPr>
        <w:t>مخاطر</w:t>
      </w:r>
      <w:proofErr w:type="gramEnd"/>
      <w:r w:rsidRPr="00BC50C9">
        <w:rPr>
          <w:rtl/>
        </w:rPr>
        <w:t xml:space="preserve"> ضعف الاستدامة المالية وزيادة عجز الموازنة العامة، الذي يتم تمويله من خلال الدين المحلي والخارجي (</w:t>
      </w:r>
      <w:proofErr w:type="spellStart"/>
      <w:r w:rsidRPr="00BC50C9">
        <w:rPr>
          <w:rtl/>
        </w:rPr>
        <w:t>الحاوري</w:t>
      </w:r>
      <w:proofErr w:type="spellEnd"/>
      <w:r w:rsidRPr="00BC50C9">
        <w:rPr>
          <w:rtl/>
        </w:rPr>
        <w:t>، 2015، ص.277).</w:t>
      </w:r>
    </w:p>
    <w:p w14:paraId="639551FE" w14:textId="77777777" w:rsidR="009A288C" w:rsidRPr="00BC50C9" w:rsidRDefault="009A288C" w:rsidP="00955D27">
      <w:pPr>
        <w:pStyle w:val="00000"/>
        <w:rPr>
          <w:rtl/>
        </w:rPr>
      </w:pPr>
      <w:r w:rsidRPr="00BC50C9">
        <w:rPr>
          <w:rtl/>
        </w:rPr>
        <w:lastRenderedPageBreak/>
        <w:t>وتعتمد الاستدامة المالية على التوقعات المتعلقة بالإنفاق والإيرادات المستقبلية على المدى الطويل، وبناءً على ذلك، يتم تعديل السياسات المالية الحالية، سواء من خلال زيادة النفقات أو الإيرادات، ولضمان استمرارية الاستدامة المالية للدول، ويجب أن تتوفر القدرة الاقتصادية والسياسية والقانونية للحد من زيادة تكاليف برامج الإنفاق أو السماح بنموها ضمن معدلات محددة (يغمور وسفر، 2022، ص.682).</w:t>
      </w:r>
    </w:p>
    <w:p w14:paraId="72777C46" w14:textId="77777777" w:rsidR="009A288C" w:rsidRPr="00BC50C9" w:rsidRDefault="009A288C" w:rsidP="00955D27">
      <w:pPr>
        <w:pStyle w:val="00000"/>
        <w:rPr>
          <w:rtl/>
        </w:rPr>
      </w:pPr>
      <w:r w:rsidRPr="00BC50C9">
        <w:rPr>
          <w:rtl/>
        </w:rPr>
        <w:t>كما تعني الاستدامة المالية الحالة التي تتحقق عندما يكون هناك دين عام مقبول يهدف إلى تغطية العجز المطلوب لتحقيق نمو مرغوب، ويرتبط بالدين العام، لكنه يختلف عنه كونه أوسع وأشمل، كما أن له أوجه شبه مع الدين؛ حيث يُعتبر الدين محققًا للاستدامة المالية إذا كان يفي بشرط القدرة على سداد الديون (محمد وحسين، 2016، ص.167).</w:t>
      </w:r>
    </w:p>
    <w:p w14:paraId="6CE7850F" w14:textId="77777777" w:rsidR="009A288C" w:rsidRPr="00BC50C9" w:rsidRDefault="009A288C" w:rsidP="00955D27">
      <w:pPr>
        <w:pStyle w:val="00000"/>
        <w:rPr>
          <w:rtl/>
        </w:rPr>
      </w:pPr>
      <w:r w:rsidRPr="00BC50C9">
        <w:rPr>
          <w:rtl/>
        </w:rPr>
        <w:t>كما تعتمد استدامة الدولة وقدرتها على الوفاء بالتزاماتها على مدى استمرارية المال العام وقدرته على تغطية تكاليف الخدمات العامة، فمن الضروري أن يتوفر المال العام بشكل مستمر ومستدام لضمان استفادة الأجيال القادمة من نفس مزايا الموارد المالية المتاحة حاليًا، يتحقق ذلك من خلال مبدأ العدالة بين الأجيال، الذي يُعتبر أساسًا لتحقيق الاستدامة المالية، ويتطلب الأمر وجود حوكمة رشيدة تمنع الفساد وسوء الإدارة، مع ضرورة توفير الشفافية والمساءلة في إدارة المال العام، تعاني بعض الدول الإسلامية من مشكلات الفساد وهدر المال العام، مما يعيق النمو ويزيد من الحاجة إلى البحث في موضوع إدارة المال العام واستدامته (خن، 2016، ص.73).</w:t>
      </w:r>
    </w:p>
    <w:p w14:paraId="08E88591" w14:textId="77777777" w:rsidR="009A288C" w:rsidRPr="00BC50C9" w:rsidRDefault="009A288C" w:rsidP="00955D27">
      <w:pPr>
        <w:pStyle w:val="00000"/>
      </w:pPr>
      <w:r w:rsidRPr="00BC50C9">
        <w:rPr>
          <w:rtl/>
        </w:rPr>
        <w:t>مما سبق يمكن استقراء أن تُعد الاستدامة المالية أحد الركائز الأساسية لبناء اقتصادات قوية ومستقرة، حيث تعني القدرة على إدارة الموارد المالية بشكل فعّال يضمن استمرارية النمو والتطور على المدى الطويل. في عالم يشهد تغيرات اقتصادية وسياسية سريعة، أصبحت الاستدامة المالية ضرورة حتمية للأفراد والمؤسسات والدول على حد سواء. تعتمد الاستدامة المالية على مبادئ مثل التوازن بين الإيرادات والمصروفات، والاستثمار في الفرص ذات العوائد طويلة الأجل، وتبني سياسات مالية مسؤولة تقلل من المخاطر وتعزز المرونة. بفضل هذه المبادئ، يمكن تحقيق استقرار مالي يدعم التنمية الشاملة ويواجه التحديات المستقبلية بثقة.</w:t>
      </w:r>
    </w:p>
    <w:p w14:paraId="5B58BB8E" w14:textId="0793B727" w:rsidR="009A288C" w:rsidRPr="00BC50C9" w:rsidRDefault="00955D27" w:rsidP="00955D27">
      <w:pPr>
        <w:pStyle w:val="113"/>
        <w:rPr>
          <w:lang w:bidi="ar-EG"/>
        </w:rPr>
      </w:pPr>
      <w:bookmarkStart w:id="46" w:name="_Toc195456511"/>
      <w:r>
        <w:rPr>
          <w:rFonts w:hint="cs"/>
          <w:rtl/>
          <w:lang w:bidi="ar-EG"/>
        </w:rPr>
        <w:t xml:space="preserve">2.6.1 </w:t>
      </w:r>
      <w:r w:rsidR="009A288C" w:rsidRPr="00BC50C9">
        <w:rPr>
          <w:rtl/>
          <w:lang w:bidi="ar-EG"/>
        </w:rPr>
        <w:t>مفهوم الاستدامة المالية</w:t>
      </w:r>
      <w:bookmarkEnd w:id="46"/>
    </w:p>
    <w:p w14:paraId="7620130B" w14:textId="77777777" w:rsidR="009A288C" w:rsidRPr="00BC50C9" w:rsidRDefault="009A288C" w:rsidP="00955D27">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تتعدد الآراء ووجهات النظر في تعريف مفهوم الاستدامة المالية، ولكنها تمحورت أغلبها حول ما يلي:</w:t>
      </w:r>
    </w:p>
    <w:p w14:paraId="478792BE" w14:textId="77777777" w:rsidR="009A288C" w:rsidRPr="00BC50C9" w:rsidRDefault="009A288C" w:rsidP="00955D27">
      <w:pPr>
        <w:pStyle w:val="00000"/>
        <w:rPr>
          <w:rtl/>
        </w:rPr>
      </w:pPr>
      <w:r w:rsidRPr="00BC50C9">
        <w:rPr>
          <w:rtl/>
        </w:rPr>
        <w:t xml:space="preserve">بينما حدد </w:t>
      </w:r>
      <w:proofErr w:type="spellStart"/>
      <w:r w:rsidRPr="00BC50C9">
        <w:rPr>
          <w:rtl/>
        </w:rPr>
        <w:t>الحاوري</w:t>
      </w:r>
      <w:proofErr w:type="spellEnd"/>
      <w:r w:rsidRPr="00BC50C9">
        <w:rPr>
          <w:rtl/>
        </w:rPr>
        <w:t xml:space="preserve"> (2015، ص.279) مفهوم الاستدامة المالية بأنها: "الحالة المالية التي تكون فيها الدولة قادرة على تحقيق التوازن بين الإيرادات العامة والنفقات العامة على المدى الطويل دون خفض ملاءتها المالية أو التعرض لمخاطر الإعسار المالي والعجز عن سداد الالتزامات المستقبلية".</w:t>
      </w:r>
    </w:p>
    <w:p w14:paraId="371565B4" w14:textId="77777777" w:rsidR="009A288C" w:rsidRPr="00BC50C9" w:rsidRDefault="009A288C" w:rsidP="00955D27">
      <w:pPr>
        <w:pStyle w:val="00000"/>
        <w:rPr>
          <w:rtl/>
        </w:rPr>
      </w:pPr>
      <w:r w:rsidRPr="00BC50C9">
        <w:rPr>
          <w:rtl/>
        </w:rPr>
        <w:lastRenderedPageBreak/>
        <w:t>وحدد آل طعمة (2019، ص.115) مفهوم الاستدامة المالية بأنها: " القدرة على تحمل الديون العامة دون الحاجة إلى إجراء تعديلات كبيرة في اتجاه السياسات المالية مستقبلًا، لتحقيق التوازن بين الإيرادات العامة والنفقات العامة".</w:t>
      </w:r>
    </w:p>
    <w:p w14:paraId="4AEB8CB2" w14:textId="77777777" w:rsidR="009A288C" w:rsidRPr="00BC50C9" w:rsidRDefault="009A288C" w:rsidP="00955D27">
      <w:pPr>
        <w:pStyle w:val="00000"/>
        <w:rPr>
          <w:rtl/>
        </w:rPr>
      </w:pPr>
      <w:r w:rsidRPr="00BC50C9">
        <w:rPr>
          <w:rtl/>
        </w:rPr>
        <w:t>في حين عرف عيسى وحسين (2019، ص.25) مفهوم الاستدامة المالية بأنها: " قدرة المؤسسات على تحقيق وضع مالي إيجابي، مع ضمان الحفاظ عليه بشكل مستدام مستقبلاً".</w:t>
      </w:r>
    </w:p>
    <w:p w14:paraId="49816E7E" w14:textId="77777777" w:rsidR="009A288C" w:rsidRPr="00BC50C9" w:rsidRDefault="009A288C" w:rsidP="00955D27">
      <w:pPr>
        <w:pStyle w:val="00000"/>
        <w:rPr>
          <w:rtl/>
        </w:rPr>
      </w:pPr>
      <w:r w:rsidRPr="00BC50C9">
        <w:rPr>
          <w:rtl/>
        </w:rPr>
        <w:t>بينما عرف محمود (2020، ص.137) مفهوم الاستدامة المالية بأنها: "قدرة المؤسسة على تعبئة موارد مالية إضافية وضمان الاستمرارية المالية على المدى القصير والطويل من خلال عملياتها الداخلية والخارجية بما يمكنها من تحقيق أهدافها الحالية والمستقبلية".</w:t>
      </w:r>
    </w:p>
    <w:p w14:paraId="0578ABD9" w14:textId="77777777" w:rsidR="009A288C" w:rsidRPr="00BC50C9" w:rsidRDefault="009A288C" w:rsidP="00955D27">
      <w:pPr>
        <w:pStyle w:val="00000"/>
        <w:rPr>
          <w:rtl/>
        </w:rPr>
      </w:pPr>
      <w:r w:rsidRPr="00BC50C9">
        <w:rPr>
          <w:rtl/>
        </w:rPr>
        <w:t xml:space="preserve">وقد وصف عبد الرحمن </w:t>
      </w:r>
      <w:proofErr w:type="spellStart"/>
      <w:r w:rsidRPr="00BC50C9">
        <w:rPr>
          <w:rtl/>
        </w:rPr>
        <w:t>والنفيعي</w:t>
      </w:r>
      <w:proofErr w:type="spellEnd"/>
      <w:r w:rsidRPr="00BC50C9">
        <w:rPr>
          <w:rtl/>
        </w:rPr>
        <w:t xml:space="preserve"> (2020، ص.8) مفهوم الاستدامة المالية بأنها: "الكفاية المادية التي يمكن من خلالها اشباع الحاجات والالتزامات دون اللجوء الي مصادر مالية خارجية كالاقتراض والذي من شأنه يخل بنظام الاستدامة المراد تحقيها سواء اجل القصير او الطويل، والقدرة على تمويل برامج الإنفاق العام وعدم التعرض للتعثر المالي والعجز في القدرة المالية للدولة".</w:t>
      </w:r>
    </w:p>
    <w:p w14:paraId="01654FAB" w14:textId="77777777" w:rsidR="009A288C" w:rsidRPr="00BC50C9" w:rsidRDefault="009A288C" w:rsidP="00955D27">
      <w:pPr>
        <w:pStyle w:val="00000"/>
      </w:pPr>
      <w:r w:rsidRPr="00BC50C9">
        <w:rPr>
          <w:rtl/>
        </w:rPr>
        <w:t>وأشار "رازا وآخرون" (</w:t>
      </w:r>
      <w:r w:rsidRPr="00BC50C9">
        <w:t>Raza, et al, 2020, p.891</w:t>
      </w:r>
      <w:r w:rsidRPr="00BC50C9">
        <w:rPr>
          <w:rtl/>
        </w:rPr>
        <w:t>) إلى أن الاستدامة المالية تعني: "التوافق على المدى الطويل بين نمو الإيرادات والخطط التشغيلية والمالية المعمول بها"</w:t>
      </w:r>
    </w:p>
    <w:p w14:paraId="26AE1090" w14:textId="77777777" w:rsidR="009A288C" w:rsidRPr="00BC50C9" w:rsidRDefault="009A288C" w:rsidP="00955D27">
      <w:pPr>
        <w:pStyle w:val="00000"/>
        <w:rPr>
          <w:rtl/>
        </w:rPr>
      </w:pPr>
      <w:r w:rsidRPr="00BC50C9">
        <w:rPr>
          <w:rtl/>
        </w:rPr>
        <w:t>كما عرف النويران (2021، ص.186) المقصود بالاستدامة المالية بأنها: "الحالة التي تكون فيها الدولة قادرة على خدمة ديونها دون الحاجة لإجراء تغييرات في السياسة المالية أو التأثير على أنشطة الحكومة المختلفة".</w:t>
      </w:r>
    </w:p>
    <w:p w14:paraId="7EBE3C0D" w14:textId="77777777" w:rsidR="009A288C" w:rsidRPr="00BC50C9" w:rsidRDefault="009A288C" w:rsidP="00955D27">
      <w:pPr>
        <w:pStyle w:val="00000"/>
        <w:rPr>
          <w:rtl/>
        </w:rPr>
      </w:pPr>
      <w:r w:rsidRPr="00BC50C9">
        <w:rPr>
          <w:rtl/>
        </w:rPr>
        <w:t>وأوضح نوفل وآخرون (2021، ص.607) تعريف الاستدامة المالية بأنها: "قدرة المؤسسة على تحقيق عوائد مالية مستدامة، من خلال أنشطتها الإنتاجية بما يُمكنها من تحقيق أهدافها بكفاءة وفعّالية ويُعزز قدرتها على المنافسة والتميز".</w:t>
      </w:r>
    </w:p>
    <w:p w14:paraId="6312BEF6" w14:textId="77777777" w:rsidR="009A288C" w:rsidRPr="00BC50C9" w:rsidRDefault="009A288C" w:rsidP="00955D27">
      <w:pPr>
        <w:pStyle w:val="00000"/>
        <w:rPr>
          <w:rtl/>
        </w:rPr>
      </w:pPr>
      <w:r w:rsidRPr="00BC50C9">
        <w:rPr>
          <w:rtl/>
        </w:rPr>
        <w:t xml:space="preserve">عرف </w:t>
      </w:r>
      <w:proofErr w:type="spellStart"/>
      <w:r w:rsidRPr="00BC50C9">
        <w:rPr>
          <w:rtl/>
        </w:rPr>
        <w:t>الشيبي</w:t>
      </w:r>
      <w:proofErr w:type="spellEnd"/>
      <w:r w:rsidRPr="00BC50C9">
        <w:rPr>
          <w:rtl/>
        </w:rPr>
        <w:t xml:space="preserve"> (2022، ص.73) مفهوم الاستدامة المالية بانها: "قدرة المؤسسة على الحصول على إيرادات لتغطية النفقات من أجل الحفاظ على إنتاجية العمليات والوفاء بالتزاماتها المالية في المستقبل لضمان الاستمرارية والبقاء في المستقبل".</w:t>
      </w:r>
    </w:p>
    <w:p w14:paraId="6134CBBE" w14:textId="77777777" w:rsidR="009A288C" w:rsidRPr="00BC50C9" w:rsidRDefault="009A288C" w:rsidP="00955D27">
      <w:pPr>
        <w:pStyle w:val="00000"/>
        <w:rPr>
          <w:rtl/>
        </w:rPr>
      </w:pPr>
      <w:r w:rsidRPr="00BC50C9">
        <w:rPr>
          <w:rtl/>
        </w:rPr>
        <w:t>وضح الزبيدي ونعيم (2022، ص.755) تعريف الاستدامة المالية بأنها: "كيفية استفادة المنظمة او المؤسسة المالية من مواردها المتاحة بصورة مُثلى، على ان لا يكون ذلك على حساب التزاماتها المستقبلية".</w:t>
      </w:r>
    </w:p>
    <w:p w14:paraId="417912D6" w14:textId="77777777" w:rsidR="009A288C" w:rsidRPr="00BC50C9" w:rsidRDefault="009A288C" w:rsidP="00955D27">
      <w:pPr>
        <w:pStyle w:val="00000"/>
        <w:rPr>
          <w:rtl/>
        </w:rPr>
      </w:pPr>
      <w:r w:rsidRPr="00BC50C9">
        <w:rPr>
          <w:rtl/>
        </w:rPr>
        <w:t>عرّف "</w:t>
      </w:r>
      <w:proofErr w:type="spellStart"/>
      <w:r w:rsidRPr="00BC50C9">
        <w:rPr>
          <w:rtl/>
        </w:rPr>
        <w:t>جلايسنر</w:t>
      </w:r>
      <w:proofErr w:type="spellEnd"/>
      <w:r w:rsidRPr="00BC50C9">
        <w:rPr>
          <w:rtl/>
        </w:rPr>
        <w:t xml:space="preserve"> وآخرون" (</w:t>
      </w:r>
      <w:proofErr w:type="spellStart"/>
      <w:r w:rsidRPr="00BC50C9">
        <w:t>Gleißner</w:t>
      </w:r>
      <w:proofErr w:type="spellEnd"/>
      <w:r w:rsidRPr="00BC50C9">
        <w:t>, et al, 2022, p.427</w:t>
      </w:r>
      <w:r w:rsidRPr="00BC50C9">
        <w:rPr>
          <w:rtl/>
        </w:rPr>
        <w:t>) أن الاستدامة المالية هي: "أحد المعايير الثنائية لقياس استدامة الشركات، والتي يتم تقييمها من خلال مقارنة معدل النمو الفعلي بمعدل النمو المستدام، أي العائد على حقوق الملكية من صافي أرباح الأسهم وإعادة الشراء"</w:t>
      </w:r>
    </w:p>
    <w:p w14:paraId="5CD47B46" w14:textId="77777777" w:rsidR="009A288C" w:rsidRPr="00BC50C9" w:rsidRDefault="009A288C" w:rsidP="00955D27">
      <w:pPr>
        <w:pStyle w:val="00000"/>
        <w:rPr>
          <w:rtl/>
        </w:rPr>
      </w:pPr>
      <w:r w:rsidRPr="00BC50C9">
        <w:rPr>
          <w:rtl/>
        </w:rPr>
        <w:lastRenderedPageBreak/>
        <w:t>ووصف الجابري (2023، ص.373) مفهوم الاستدامة المالية بأنها: "مجموعة التنظيمات التي تساعد الدولة على تحقيق القدرة المالية التي تمكّنها من تغطية النفقات على مرّ الزمن".</w:t>
      </w:r>
    </w:p>
    <w:p w14:paraId="5E8A1CF8" w14:textId="77777777" w:rsidR="009A288C" w:rsidRPr="00BC50C9" w:rsidRDefault="009A288C" w:rsidP="00955D27">
      <w:pPr>
        <w:pStyle w:val="00000"/>
        <w:rPr>
          <w:rtl/>
        </w:rPr>
      </w:pPr>
      <w:r w:rsidRPr="00BC50C9">
        <w:rPr>
          <w:rtl/>
        </w:rPr>
        <w:t xml:space="preserve">كما عرف </w:t>
      </w:r>
      <w:proofErr w:type="spellStart"/>
      <w:r w:rsidRPr="00BC50C9">
        <w:rPr>
          <w:rtl/>
        </w:rPr>
        <w:t>السلموني</w:t>
      </w:r>
      <w:proofErr w:type="spellEnd"/>
      <w:r w:rsidRPr="00BC50C9">
        <w:rPr>
          <w:rtl/>
        </w:rPr>
        <w:t xml:space="preserve"> والجارحي (2023، ص.1108) تعريف الاستدامة المالية بانها: "قدرة المؤسسات العاملة في مجال المشاريع الريادية على تعبئة موارد مالية إضافية وضمان الاستمرارية المالية على المدى الطويل والقصير عن طريق عملياتها الخارجية والداخلية بما يمكنها من تحقيق أهدافها الحالية والمستقبلية".</w:t>
      </w:r>
    </w:p>
    <w:p w14:paraId="73864F8D" w14:textId="77777777" w:rsidR="009A288C" w:rsidRPr="00BC50C9" w:rsidRDefault="009A288C" w:rsidP="00955D27">
      <w:pPr>
        <w:pStyle w:val="00000"/>
        <w:rPr>
          <w:rtl/>
        </w:rPr>
      </w:pPr>
      <w:r w:rsidRPr="00BC50C9">
        <w:rPr>
          <w:rtl/>
        </w:rPr>
        <w:t>عرف الشمراني والشريف (2024، ص.274) المقصود بالاستدامة المالية بأنها: "الاستثمار الأمثل للموارد المالية، بحيث تكون المؤسسة لديها القدرة على تغطية نفقاتها التشغيلية، والوفاء بالتزاماتها المالية والتطويرية الحالية والمستقبلية".</w:t>
      </w:r>
    </w:p>
    <w:p w14:paraId="02A6BEED" w14:textId="77777777" w:rsidR="009A288C" w:rsidRPr="00BC50C9" w:rsidRDefault="009A288C" w:rsidP="00955D27">
      <w:pPr>
        <w:pStyle w:val="00000"/>
        <w:rPr>
          <w:rtl/>
        </w:rPr>
      </w:pPr>
      <w:r w:rsidRPr="00BC50C9">
        <w:rPr>
          <w:rtl/>
        </w:rPr>
        <w:t>في حين حدد يوسف (2024، ص.127) مفهوم الاستدامة المالية بأنها: "قدرة الإيرادات العامة على تغطية النفقات العامة خلال آونة ممتدة من الزمن".</w:t>
      </w:r>
    </w:p>
    <w:p w14:paraId="51F73063" w14:textId="77777777" w:rsidR="009A288C" w:rsidRPr="00BC50C9" w:rsidRDefault="009A288C" w:rsidP="00955D27">
      <w:pPr>
        <w:pStyle w:val="00000"/>
        <w:rPr>
          <w:rtl/>
        </w:rPr>
      </w:pPr>
      <w:r w:rsidRPr="00BC50C9">
        <w:rPr>
          <w:rtl/>
        </w:rPr>
        <w:t>وبين محمد (2024، ص.424) مفهوم الاستدامة المالية بأنها: "تحقيق تدفقات نقدية، واستغلال واستثمار الأصول الاستراتيجية للمؤسسة وتنميتها، لتحقيق التمويل الذاتي لها، واستمرار قدرتها المالية على المدى البعيد في تقديم الخدمات التي تلبى احتياجات المستفيدين".</w:t>
      </w:r>
    </w:p>
    <w:p w14:paraId="130818D7" w14:textId="77777777" w:rsidR="009A288C" w:rsidRPr="00BC50C9" w:rsidRDefault="009A288C" w:rsidP="00955D27">
      <w:pPr>
        <w:pStyle w:val="00000"/>
        <w:rPr>
          <w:rtl/>
        </w:rPr>
      </w:pPr>
      <w:r w:rsidRPr="00BC50C9">
        <w:rPr>
          <w:rtl/>
        </w:rPr>
        <w:t>وعرّف "</w:t>
      </w:r>
      <w:proofErr w:type="spellStart"/>
      <w:r w:rsidRPr="00BC50C9">
        <w:rPr>
          <w:rtl/>
        </w:rPr>
        <w:t>غوزدج</w:t>
      </w:r>
      <w:proofErr w:type="spellEnd"/>
      <w:r w:rsidRPr="00BC50C9">
        <w:rPr>
          <w:rtl/>
        </w:rPr>
        <w:t xml:space="preserve"> </w:t>
      </w:r>
      <w:proofErr w:type="spellStart"/>
      <w:r w:rsidRPr="00BC50C9">
        <w:rPr>
          <w:rtl/>
        </w:rPr>
        <w:t>وكولودزيج</w:t>
      </w:r>
      <w:proofErr w:type="spellEnd"/>
      <w:r w:rsidRPr="00BC50C9">
        <w:rPr>
          <w:rtl/>
        </w:rPr>
        <w:t>" (</w:t>
      </w:r>
      <w:proofErr w:type="spellStart"/>
      <w:r w:rsidRPr="00BC50C9">
        <w:t>Gwóźdź</w:t>
      </w:r>
      <w:proofErr w:type="spellEnd"/>
      <w:r w:rsidRPr="00BC50C9">
        <w:t xml:space="preserve">, &amp; </w:t>
      </w:r>
      <w:proofErr w:type="spellStart"/>
      <w:r w:rsidRPr="00BC50C9">
        <w:t>Kołodziej</w:t>
      </w:r>
      <w:proofErr w:type="spellEnd"/>
      <w:r w:rsidRPr="00BC50C9">
        <w:t>, 2024, p.117</w:t>
      </w:r>
      <w:r w:rsidRPr="00BC50C9">
        <w:rPr>
          <w:rtl/>
        </w:rPr>
        <w:t xml:space="preserve">) ان الاستدامة المالية هي: "قدرة قطاع المالية العامة في مواصلة السياسة الحالية دون انتهاك قيود الميزانية الزمنية التي تتكون من موازنة الحكومة الحالية للخصوم والقيمة المفترضة لإيرادات الميزانية المقبلة" </w:t>
      </w:r>
    </w:p>
    <w:p w14:paraId="38ADB68A" w14:textId="77777777" w:rsidR="009A288C" w:rsidRPr="00BC50C9" w:rsidRDefault="009A288C" w:rsidP="00955D27">
      <w:pPr>
        <w:pStyle w:val="00000"/>
        <w:rPr>
          <w:rtl/>
        </w:rPr>
      </w:pPr>
      <w:r w:rsidRPr="00BC50C9">
        <w:rPr>
          <w:rtl/>
        </w:rPr>
        <w:t>مما سبق يمكن تعريف الاستدامة المالية بأنها القدرة على إدارة الموارد المالية بشكل فعّال ومسؤول لضمان استمرارية النمو والاستقرار المالي على المدى الطويل. تشمل الاستدامة المالية تحقيق التوازن بين الإيرادات والمصروفات، والاستثمار في الفرص ذات العوائد المستدامة، وتبني سياسات مالية تقلل من المخاطر وتعزز المرونة في مواجهة التحديات الاقتصادية المستقبلية.</w:t>
      </w:r>
    </w:p>
    <w:p w14:paraId="7B409C14" w14:textId="4452090D" w:rsidR="009A288C" w:rsidRPr="00BC50C9" w:rsidRDefault="00955D27" w:rsidP="00955D27">
      <w:pPr>
        <w:pStyle w:val="113"/>
        <w:rPr>
          <w:rtl/>
          <w:lang w:bidi="ar-EG"/>
        </w:rPr>
      </w:pPr>
      <w:bookmarkStart w:id="47" w:name="_Toc195456512"/>
      <w:r>
        <w:rPr>
          <w:rFonts w:hint="cs"/>
          <w:rtl/>
          <w:lang w:bidi="ar-EG"/>
        </w:rPr>
        <w:t xml:space="preserve">3.6.1 </w:t>
      </w:r>
      <w:r w:rsidR="009A288C" w:rsidRPr="00BC50C9">
        <w:rPr>
          <w:rtl/>
          <w:lang w:bidi="ar-EG"/>
        </w:rPr>
        <w:t>أهمية الاستدامة المالية</w:t>
      </w:r>
      <w:bookmarkEnd w:id="47"/>
    </w:p>
    <w:p w14:paraId="78B0A432" w14:textId="77777777" w:rsidR="009A288C" w:rsidRPr="00BC50C9" w:rsidRDefault="009A288C" w:rsidP="00955D27">
      <w:pPr>
        <w:pStyle w:val="00000"/>
        <w:rPr>
          <w:rtl/>
        </w:rPr>
      </w:pPr>
      <w:r w:rsidRPr="00BC50C9">
        <w:rPr>
          <w:rtl/>
        </w:rPr>
        <w:t>أصبح موضوع الاستدامة المالية يحظى بأهمية بالغة في السنوات الأخيرة، وذلك نظرًا لدوره المحوري في تعزيز النمو الاقتصادي في مختلف دول العالم. تعكس الاستدامة المالية قدرة الدولة على الوفاء بالتزاماتها المالية الحالية والمستقبلية باستخدام مواردها الذاتية؛ وهو ما أشار إليه طوبال وبن دعاس (2023، ص.198) بان أصبح موضوع الاستدامة المالية ذا أهمية كبيرة في السنوات الأخيرة، نظرًا لدوره الحيوي في تعزيز النمو الاقتصادي في مختلف دول العالم، وتعكس الاستدامة المالية قدرة الدولة على الوفاء بالتزاماتها المالية الحالية والمستقبلية من مواردها الذاتية، دون الحاجة إلى إعادة جدولة ديونها المتراكمة أو مواجهة مخاطر الإفلاس، لذلك، أصبح تحقيق الاستدامة المالية من الأهداف الأساسية التي تسعى كل دولة لتحقيقها، حيث ينعكس ذلك إيجابيًا على زيادة الناتج المحلي الإجمالي وبالتالي على النمو الاقتصادي.</w:t>
      </w:r>
    </w:p>
    <w:p w14:paraId="2B9818F6" w14:textId="77777777" w:rsidR="009A288C" w:rsidRPr="00BC50C9" w:rsidRDefault="009A288C" w:rsidP="00955D27">
      <w:pPr>
        <w:pStyle w:val="00000"/>
        <w:rPr>
          <w:rtl/>
        </w:rPr>
      </w:pPr>
      <w:r w:rsidRPr="00BC50C9">
        <w:rPr>
          <w:rtl/>
        </w:rPr>
        <w:lastRenderedPageBreak/>
        <w:t>حيث تلجأ معظم الدول إلى تحقيق الاستدامة المالية لتتمكن من الاستدانة بشروط مُيسرة لتغطية العجز في موازناتها العامة، وفي حال عدم تحقيق ذلك، تواجه الدول صعوبة في الحصول على القروض، مما يؤدي إلى تكاليف مرتفعة، كما تفرض الدول الدائنة أو مؤسسات الإقراض الدولية شروطًا صارمة على الإقراض، مما يسبب العديد من المشاكل الناتجة عن المديونية المرتفعة وخدمات الدين، خاصة في الدول النامية (راضي وآخرون، 2018، ص.18).</w:t>
      </w:r>
    </w:p>
    <w:p w14:paraId="05026685" w14:textId="77777777" w:rsidR="009A288C" w:rsidRPr="00BC50C9" w:rsidRDefault="009A288C" w:rsidP="00955D27">
      <w:pPr>
        <w:pStyle w:val="00000"/>
        <w:rPr>
          <w:rtl/>
        </w:rPr>
      </w:pPr>
      <w:r w:rsidRPr="00BC50C9">
        <w:rPr>
          <w:rtl/>
        </w:rPr>
        <w:t>وبالتالي تلعب الاستدامة المالية دورًا هامًا في تحقيق الاستقرار المالي على المدى الطويل، وتشكل دورًا محوريًا في تشكيل ممارسات الحوكمة البيئية والحوكمة الاجتماعية،  واعتماد الممارسات المستدامة والامتثال للوائح البيئية والاجتماعية، وتعتبر عامًا حاسمًا في سياسة توزيع الأرباح، مما يتيح الحفاظ على توزيع الأرباح العادية، فالشركات ذات الاستدامة المالية القوية تقوم بموازنة التزامهم لتحقيق أهداف الحوكمة البيئية والاجتماعية والحوكمة مع الحاجة إلى توفير عوائد المساهمين، مما يؤدي إلى جاذبية أكثر للمستثمرين الذين يسعون إلى أرباح ثابتة (</w:t>
      </w:r>
      <w:proofErr w:type="spellStart"/>
      <w:r w:rsidRPr="00BC50C9">
        <w:t>Almulhim</w:t>
      </w:r>
      <w:proofErr w:type="spellEnd"/>
      <w:r w:rsidRPr="00BC50C9">
        <w:t>, et al, 2024, p.5</w:t>
      </w:r>
      <w:r w:rsidRPr="00BC50C9">
        <w:rPr>
          <w:rtl/>
        </w:rPr>
        <w:t>)</w:t>
      </w:r>
    </w:p>
    <w:p w14:paraId="4823A4ED" w14:textId="77777777" w:rsidR="009A288C" w:rsidRPr="00BC50C9" w:rsidRDefault="009A288C" w:rsidP="00955D27">
      <w:pPr>
        <w:pStyle w:val="00000"/>
        <w:rPr>
          <w:rtl/>
        </w:rPr>
      </w:pPr>
      <w:r w:rsidRPr="00BC50C9">
        <w:rPr>
          <w:rtl/>
        </w:rPr>
        <w:t>وترتبط الاستدامة المالية بقدرة الحكومة على الحفاظ على مستوى الإنفاق وجمع الضرائب ووضع استراتيجيات الإقراض دون الحاجة إلى تعديل سياستها بما يتماشى مع قيود الميزانية على المدى الطويل، وتسهم في تعزيز استقرار البيئة الاقتصادية، مما يدعم الانضباط المالي والنمو الاقتصادي المستدام، كما تساعد في تجنب السياسات المالية غير السليمة التي قد تؤدي إلى مستويات ديون غير قابلة للتحمل، في حال كانت السياسة المالية غير مستدامة، يجب على الحكومة إجراء تغييرات لضمان تحقيق توازن اقتصادي في المستقبل، وتكوين استدامة مالية مرتبطة بالظروف الاقتصادية التي لا تتأثر بالاختيار بين إصدار الديون أو زيادة الضرائب (الكيلاني وآخرون، 2017، ص.39).</w:t>
      </w:r>
    </w:p>
    <w:p w14:paraId="1A7B032C" w14:textId="77777777" w:rsidR="009A288C" w:rsidRPr="00BC50C9" w:rsidRDefault="009A288C" w:rsidP="00955D27">
      <w:pPr>
        <w:pStyle w:val="00000"/>
        <w:rPr>
          <w:rtl/>
        </w:rPr>
      </w:pPr>
      <w:r w:rsidRPr="00BC50C9">
        <w:rPr>
          <w:rtl/>
        </w:rPr>
        <w:t xml:space="preserve">كما تتجلي أهمية الاستدامة المالية أيضًا في القدرة على سداد الديون، فتُعتبر الحكومة قادرة على الوفاء بالتزاماتها المالية إذا تمكنت من تحقيق فائض مُستدام على مدى فترة زمنية طويلة، وتعتمد الاستدامة على قدرة الحكومة، في ظل السياسات الحالية، على تحقيق نسبة دين مُحددة مسبقًا ضمن إطار زمني مُعين (عصماني </w:t>
      </w:r>
      <w:proofErr w:type="spellStart"/>
      <w:r w:rsidRPr="00BC50C9">
        <w:rPr>
          <w:rtl/>
        </w:rPr>
        <w:t>وأوكيل</w:t>
      </w:r>
      <w:proofErr w:type="spellEnd"/>
      <w:r w:rsidRPr="00BC50C9">
        <w:rPr>
          <w:rtl/>
        </w:rPr>
        <w:t>، 2020، ص.322).</w:t>
      </w:r>
    </w:p>
    <w:p w14:paraId="7C35781C" w14:textId="77777777" w:rsidR="009A288C" w:rsidRPr="00BC50C9" w:rsidRDefault="009A288C" w:rsidP="00955D27">
      <w:pPr>
        <w:pStyle w:val="00000"/>
        <w:rPr>
          <w:rtl/>
        </w:rPr>
      </w:pPr>
      <w:r w:rsidRPr="00BC50C9">
        <w:rPr>
          <w:rtl/>
        </w:rPr>
        <w:t>وتسعى الدول إلى تحقيق الاستدامة المالية لضمان قدرتها على تغطية عجزها المالي بشروط ميسرة وفوائد منخفضة، ومع ذلك، فإن فقدان الدولة لاستدامتها المالية أو تراجع ثقة الأسواق في قدرتها على الوفاء بالتزاماتها قد يؤدي إلى توقف الدائنين عن إقراضها، وينطبق هذا الأمر أيضًا على المؤسسات، حيث تعكس قدرتها المالية وإيراداتها ومواردها المالية مفهوم الاستدامة المالية، مما يمكنها من تجنب التعثر المالي أو العجز عن سداد نفقاتها (يغمور وسفر، 2022، ص.682).</w:t>
      </w:r>
    </w:p>
    <w:p w14:paraId="2A4DD52A" w14:textId="77777777" w:rsidR="009A288C" w:rsidRPr="00BC50C9" w:rsidRDefault="009A288C" w:rsidP="00955D27">
      <w:pPr>
        <w:pStyle w:val="00000"/>
        <w:rPr>
          <w:rtl/>
        </w:rPr>
      </w:pPr>
      <w:r w:rsidRPr="00BC50C9">
        <w:rPr>
          <w:rtl/>
        </w:rPr>
        <w:t xml:space="preserve">وعليه تحقيق الاستدامة المالية هو الهدف الذي تسعى إليه جميع المؤسسات، حيث يمكنها من خلاله تقليل تكاليفها الإدارية وتحديد أولويات أنشطتها لتحقيق رسالتها، وهذا يتيح لها العمل دون التأثر بالتقلبات الاقتصادية المفاجئة أو الاعتماد على قرارات الممولين، سواء كانوا جهات حكومية أو خاصة أو أفرادًا </w:t>
      </w:r>
      <w:r w:rsidRPr="00BC50C9">
        <w:rPr>
          <w:rtl/>
        </w:rPr>
        <w:lastRenderedPageBreak/>
        <w:t>(قندوز، 2020، ص.77). كما تشير الاستدامة المالية إلى قدرة الحكومة على الوفاء بالتزاماتها المستقبلية دون التأثير على مجالات الإنفاق المختلفة، يحظى هذا الموضوع باهتمام كبير في المؤسسات، نظراً لارتباطه بقدرة الحكومة على تنفيذ خططها الاقتصادية المتنوعة دون أن يؤثر ذلك سلبًا على قدرتها المستقبلية على الإنفاق في ظل إيراداتها الحالية، فتحقيق الاستدامة المالية يسهم في تقليل المشكلات التي قد تواجه إعداد الموازنة العامة لمؤسسة، كما يُعتبر مقياسًا يوضح قدرة الدولة على الوفاء بالتزاماتها المختلفة وتمويل نفقاتها اعتمادًا على مواردها الذاتية، كما يعكس سلامة الأوضاع المالية للاقتصاد الوطني ومدى قوة السياسة المالية المتبعة (النويران، 2020، ص.182).</w:t>
      </w:r>
    </w:p>
    <w:p w14:paraId="06F78401" w14:textId="77777777" w:rsidR="009A288C" w:rsidRPr="00BC50C9" w:rsidRDefault="009A288C" w:rsidP="00955D27">
      <w:pPr>
        <w:pStyle w:val="00000"/>
        <w:rPr>
          <w:rtl/>
        </w:rPr>
      </w:pPr>
      <w:r w:rsidRPr="00BC50C9">
        <w:rPr>
          <w:rtl/>
        </w:rPr>
        <w:t xml:space="preserve">وتزايدت أهمية الاستدامة المالية كقضية سياسية رئيسية على مستوى العالم، وذلك نتيجة للاختلالات الكبيرة التي تعرضت لها الأوضاع المالية للعديد من المؤسسات بعد الأزمة المالية والاقتصادية العالمية، كما أن الارتفاع المستمر في تكاليف الإنتاج على المدى الطويل، الناتج عن تزايد ندرة الموارد الاقتصادية، ساهم في تعزيز هذه الأهمية (عبد الرحمن </w:t>
      </w:r>
      <w:proofErr w:type="spellStart"/>
      <w:r w:rsidRPr="00BC50C9">
        <w:rPr>
          <w:rtl/>
        </w:rPr>
        <w:t>والنفيعي</w:t>
      </w:r>
      <w:proofErr w:type="spellEnd"/>
      <w:r w:rsidRPr="00BC50C9">
        <w:rPr>
          <w:rtl/>
        </w:rPr>
        <w:t>، 2020، ص.8).</w:t>
      </w:r>
    </w:p>
    <w:p w14:paraId="608FC260" w14:textId="77777777" w:rsidR="009A288C" w:rsidRPr="00BC50C9" w:rsidRDefault="009A288C" w:rsidP="00955D27">
      <w:pPr>
        <w:pStyle w:val="00000"/>
        <w:rPr>
          <w:rtl/>
        </w:rPr>
      </w:pPr>
      <w:r w:rsidRPr="00BC50C9">
        <w:rPr>
          <w:rtl/>
        </w:rPr>
        <w:t>كما تتجلى أهمية الاستدامة المالية من خلال دور المالية العامة في الاقتصاد، فالاسـتدامة المالية تُعتبر وسيلة تمويل تلجأ إليها الدولة لتغطية نفقاتها الحكومية في الموازنة العامة، كما تعكس قدرة الدولة على تنفيذ برامجها المختلفة ضمن إطار زمني مُحدد، دون التأثير على قدرتها المستقبلية على الإنفاق، وتعتمد الاستدامة المالية على قدرة الحكومة على الوفاء بالتزاماتها المستقبلية (دينار والدليمي، 2023، ص.173).</w:t>
      </w:r>
    </w:p>
    <w:p w14:paraId="0620B691" w14:textId="77777777" w:rsidR="009A288C" w:rsidRPr="00BC50C9" w:rsidRDefault="009A288C" w:rsidP="00955D27">
      <w:pPr>
        <w:pStyle w:val="00000"/>
        <w:rPr>
          <w:rtl/>
        </w:rPr>
      </w:pPr>
      <w:r w:rsidRPr="00BC50C9">
        <w:rPr>
          <w:rtl/>
        </w:rPr>
        <w:t>وأضاف "</w:t>
      </w:r>
      <w:proofErr w:type="spellStart"/>
      <w:r w:rsidRPr="00BC50C9">
        <w:rPr>
          <w:rtl/>
        </w:rPr>
        <w:t>كابيسا</w:t>
      </w:r>
      <w:proofErr w:type="spellEnd"/>
      <w:r w:rsidRPr="00BC50C9">
        <w:rPr>
          <w:rtl/>
        </w:rPr>
        <w:t xml:space="preserve"> </w:t>
      </w:r>
      <w:proofErr w:type="spellStart"/>
      <w:r w:rsidRPr="00BC50C9">
        <w:rPr>
          <w:rtl/>
        </w:rPr>
        <w:t>ودوراسامي</w:t>
      </w:r>
      <w:proofErr w:type="spellEnd"/>
      <w:r w:rsidRPr="00BC50C9">
        <w:rPr>
          <w:rtl/>
        </w:rPr>
        <w:t>" (</w:t>
      </w:r>
      <w:r w:rsidRPr="00BC50C9">
        <w:t xml:space="preserve">Kapesa, &amp; </w:t>
      </w:r>
      <w:proofErr w:type="spellStart"/>
      <w:r w:rsidRPr="00BC50C9">
        <w:t>Dorasamy</w:t>
      </w:r>
      <w:proofErr w:type="spellEnd"/>
      <w:r w:rsidRPr="00BC50C9">
        <w:t>, 2025, p.1</w:t>
      </w:r>
      <w:r w:rsidRPr="00BC50C9">
        <w:rPr>
          <w:rtl/>
        </w:rPr>
        <w:t>) إلى مزيدًا من المميزات التي تقدمها الاستدامة المالية للشركات كالتالي:</w:t>
      </w:r>
    </w:p>
    <w:p w14:paraId="30089C6A" w14:textId="77777777" w:rsidR="009A288C" w:rsidRPr="00BC50C9" w:rsidRDefault="009A288C">
      <w:pPr>
        <w:numPr>
          <w:ilvl w:val="0"/>
          <w:numId w:val="28"/>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توليد وإدارة مواردها المالية بطريقة تسمح للشركة بتلبية احتياجاتها المحلية والمستقبلية والالتزامات المالية لتقديم الخدمات للمواطنين.</w:t>
      </w:r>
    </w:p>
    <w:p w14:paraId="556549C6" w14:textId="77777777" w:rsidR="009A288C" w:rsidRPr="00BC50C9" w:rsidRDefault="009A288C">
      <w:pPr>
        <w:numPr>
          <w:ilvl w:val="0"/>
          <w:numId w:val="28"/>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ضمان التوازن بين توليد الإيرادات الكافية وإدارة النفقات بفعالية وإدارة الديون للحوكمة المحلية والكيانات الاقتصادية.</w:t>
      </w:r>
    </w:p>
    <w:p w14:paraId="29CC24C5" w14:textId="77777777" w:rsidR="009A288C" w:rsidRPr="00BC50C9" w:rsidRDefault="009A288C">
      <w:pPr>
        <w:numPr>
          <w:ilvl w:val="0"/>
          <w:numId w:val="28"/>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تمويل التكاليف التشغيلية.</w:t>
      </w:r>
    </w:p>
    <w:p w14:paraId="17AB6C5D" w14:textId="77777777" w:rsidR="009A288C" w:rsidRPr="00BC50C9" w:rsidRDefault="009A288C">
      <w:pPr>
        <w:numPr>
          <w:ilvl w:val="0"/>
          <w:numId w:val="28"/>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الاستثمار في تطوير البنية التحتية العامة.</w:t>
      </w:r>
    </w:p>
    <w:p w14:paraId="2668FA9D" w14:textId="77777777" w:rsidR="009A288C" w:rsidRPr="00BC50C9" w:rsidRDefault="009A288C">
      <w:pPr>
        <w:numPr>
          <w:ilvl w:val="0"/>
          <w:numId w:val="28"/>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المناورة من عدم اليقين الاقتصادي دون الاعتماد الشديد على المساعدات الخارجية.</w:t>
      </w:r>
    </w:p>
    <w:p w14:paraId="24630FCF" w14:textId="77777777" w:rsidR="009A288C" w:rsidRPr="00BC50C9" w:rsidRDefault="009A288C" w:rsidP="00955D27">
      <w:pPr>
        <w:pStyle w:val="00000"/>
        <w:rPr>
          <w:rtl/>
        </w:rPr>
      </w:pPr>
      <w:r w:rsidRPr="00BC50C9">
        <w:rPr>
          <w:rtl/>
        </w:rPr>
        <w:t xml:space="preserve">ويعتمد نجاح الاستدامة المالية على كفاءة تخصيص الموارد العامة وفاعلية الإنفاق العام في تحقيق الأهداف المحددة، بالإضافة إلى ذلك، فإن تنمية الموارد الذاتية وضبط الإنفاق وفقًا للأولويات التنموية يعدان أمرين أساسيين لنجاح هذه الاستدامة، فحدد </w:t>
      </w:r>
      <w:proofErr w:type="spellStart"/>
      <w:r w:rsidRPr="00BC50C9">
        <w:rPr>
          <w:rtl/>
        </w:rPr>
        <w:t>الحاوري</w:t>
      </w:r>
      <w:proofErr w:type="spellEnd"/>
      <w:r w:rsidRPr="00BC50C9">
        <w:rPr>
          <w:rtl/>
        </w:rPr>
        <w:t xml:space="preserve"> (2015، ص.275) أهمية الاستدامة المالية وهي: </w:t>
      </w:r>
    </w:p>
    <w:p w14:paraId="07624993" w14:textId="77777777" w:rsidR="009A288C" w:rsidRPr="00BC50C9" w:rsidRDefault="009A288C">
      <w:pPr>
        <w:numPr>
          <w:ilvl w:val="0"/>
          <w:numId w:val="23"/>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تعزيز النمو الاقتصادي ودفع عجلة التنمية الاجتماعية والاقتصادية.</w:t>
      </w:r>
    </w:p>
    <w:p w14:paraId="60AD49EB" w14:textId="77777777" w:rsidR="009A288C" w:rsidRPr="00BC50C9" w:rsidRDefault="009A288C">
      <w:pPr>
        <w:numPr>
          <w:ilvl w:val="0"/>
          <w:numId w:val="23"/>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lastRenderedPageBreak/>
        <w:t>لعبت دورًا مهمًا في مكافحة الفقر.</w:t>
      </w:r>
    </w:p>
    <w:p w14:paraId="72F99B14" w14:textId="77777777" w:rsidR="009A288C" w:rsidRPr="00BC50C9" w:rsidRDefault="009A288C">
      <w:pPr>
        <w:numPr>
          <w:ilvl w:val="0"/>
          <w:numId w:val="23"/>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 كانت سياسة الاستدامة المالية، من خلال إدارة النفقات والإيرادات العامة، عاملًا رئيسيًا في تحقيق الاستقرار الاقتصادي وتقليل الاختلالات مثل البطالة والتضخم وعدم المساواة في توزيع الدخل.</w:t>
      </w:r>
    </w:p>
    <w:p w14:paraId="6CBF3EE1" w14:textId="77777777" w:rsidR="009A288C" w:rsidRPr="00BC50C9" w:rsidRDefault="009A288C">
      <w:pPr>
        <w:numPr>
          <w:ilvl w:val="0"/>
          <w:numId w:val="23"/>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 أثرت على المتغيرات الاقتصادية الكلية، مما ساعد في توجيه الاقتصاد نحو التطور المطلوب. </w:t>
      </w:r>
    </w:p>
    <w:p w14:paraId="7FDC3E3D" w14:textId="77777777" w:rsidR="009A288C" w:rsidRPr="00BC50C9" w:rsidRDefault="009A288C" w:rsidP="00955D27">
      <w:pPr>
        <w:pStyle w:val="00000"/>
        <w:rPr>
          <w:rtl/>
        </w:rPr>
      </w:pPr>
      <w:r w:rsidRPr="00BC50C9">
        <w:rPr>
          <w:rtl/>
        </w:rPr>
        <w:t>وتتطلب استدامة السياسة المالية أيضًا إصلاح نظام الدين العام، وينبغي أن يكون الاقتراض ضمن حدود آمنة وموجهًا لتمويل المشاريع ذات الجدوى الاقتصادية العالية التي تساهم في تحقيق النمو وزيادة الإيرادات العامة، من ناحية أخرى، يُعتبر توفير بيئة استثمارية جاذبة وسيلة فعالة لتحفيز القطاع الخاص على الاستثمار، مما يستلزم تحسين مناخ الأعمال وإزالة العوائق الإدارية والقانونية التي تعيق عملية الاستثمار، إن تحقيق هذه الأهداف يعزز القدرة على جذب الاستثمارات المحلية والأجنبية، ويساهم في خلق فرص العمل وزيادة الإنتاجية، مما يؤدي في النهاية إلى تعزيز الاستقرار الاقتصادي والاجتماعي (مرزاق، 2024، ص.435).</w:t>
      </w:r>
    </w:p>
    <w:p w14:paraId="3F4C97C8" w14:textId="77777777" w:rsidR="009A288C" w:rsidRPr="00BC50C9" w:rsidRDefault="009A288C" w:rsidP="00955D27">
      <w:pPr>
        <w:pStyle w:val="00000"/>
        <w:rPr>
          <w:rtl/>
        </w:rPr>
      </w:pPr>
      <w:r w:rsidRPr="00BC50C9">
        <w:rPr>
          <w:rtl/>
        </w:rPr>
        <w:t>تكون السياسات المالية لدولة ما مستدامة إذا استطاعت الاستمرار لفترة طويلة بنفس نهج الإنفاق والإيرادات دون الحاجة إلى إعادة هيكلتها أو مواجهة صعوبات في السداد أو خطر الإفلاس، ومن هنا، يمكننا توسيع مفهوم الاستدامة المالية لننظر إليه من منظور ترشيد إدارة الدين العام، معتمدين على الاستدامة الاقتصادية، لذلك، يجب أن نركز على فعالية السياسات المالية في الحفاظ على الاستقرار بدلاً من التركيز فقط على وضعها الحالي (</w:t>
      </w:r>
      <w:proofErr w:type="spellStart"/>
      <w:r w:rsidRPr="00BC50C9">
        <w:rPr>
          <w:rtl/>
        </w:rPr>
        <w:t>بوربيعة</w:t>
      </w:r>
      <w:proofErr w:type="spellEnd"/>
      <w:r w:rsidRPr="00BC50C9">
        <w:rPr>
          <w:rtl/>
        </w:rPr>
        <w:t>، 2022، ص.212).</w:t>
      </w:r>
    </w:p>
    <w:p w14:paraId="7867A39A" w14:textId="77777777" w:rsidR="009A288C" w:rsidRPr="00BC50C9" w:rsidRDefault="009A288C" w:rsidP="00955D27">
      <w:pPr>
        <w:pStyle w:val="00000"/>
      </w:pPr>
      <w:r w:rsidRPr="00BC50C9">
        <w:rPr>
          <w:rtl/>
        </w:rPr>
        <w:t>مما سبق سرده يمكن استخلاص أن تُعد الاستدامة المالية عنصرًا حيويًا لضمان استقرار النمو الاقتصادي والاجتماعي على المدى الطويل فتكمن أهميتها في قدرتها على تعزيز التوازن بين الإيرادات والمصروفات، مما يضمن استمرارية تمويل الخدمات العامة والاستثمارات الضرورية دون اللجوء إلى مستويات ديون مرتفعة أو إجراءات مالية غير مستدامة. بالإضافة إلى ذلك، تدعم الاستدامة المالية بناء أنظمة اقتصادية مرنة قادرة على مواجهة التحديات المستقبلية، مثل التقلبات الاقتصادية أو الأزمات العالمية.</w:t>
      </w:r>
    </w:p>
    <w:p w14:paraId="3AFC43E1" w14:textId="51089077" w:rsidR="009A288C" w:rsidRPr="00BC50C9" w:rsidRDefault="00955D27" w:rsidP="00955D27">
      <w:pPr>
        <w:pStyle w:val="113"/>
        <w:rPr>
          <w:rtl/>
          <w:lang w:bidi="ar-EG"/>
        </w:rPr>
      </w:pPr>
      <w:bookmarkStart w:id="48" w:name="_Toc195456513"/>
      <w:r>
        <w:rPr>
          <w:rFonts w:hint="cs"/>
          <w:rtl/>
          <w:lang w:bidi="ar-EG"/>
        </w:rPr>
        <w:t xml:space="preserve">4.6.1 </w:t>
      </w:r>
      <w:r w:rsidR="009A288C" w:rsidRPr="00BC50C9">
        <w:rPr>
          <w:rtl/>
          <w:lang w:bidi="ar-EG"/>
        </w:rPr>
        <w:t>مؤشرات الاستدامة المالية</w:t>
      </w:r>
      <w:bookmarkEnd w:id="48"/>
    </w:p>
    <w:p w14:paraId="7AC4EF2B" w14:textId="77777777" w:rsidR="009A288C" w:rsidRPr="00BC50C9" w:rsidRDefault="009A288C" w:rsidP="00955D27">
      <w:pPr>
        <w:pStyle w:val="00000"/>
        <w:rPr>
          <w:rtl/>
        </w:rPr>
      </w:pPr>
      <w:r w:rsidRPr="00BC50C9">
        <w:rPr>
          <w:rtl/>
        </w:rPr>
        <w:t>يُعد التوازن المالي الأولي مؤشرًا رئيسيًا لاستدامة الموارد المالية العامة، حيث يعكس مدى تقدم الحكومة في إدارة أوضاعها المالية بشكل فعّال. يُعرف هذا التوازن بأنه الفرق بين الإيرادات والنفقات؛ وهو ما أكد عليه السيد وآخرون (2024، ص.1011) بأن يعتبر التوازن المالي الأولي مؤشرًا لاستدامة الموارد المالية العامة؛ حيث يعكس مدى تقدم الحكومة في إدارة أوضاعها المالية، ويُعرف بأنه الفارق بين الإيرادات والنفقات بعد استبعاد بعض بنود الموازنة، مثل مدفوعات الفائدة والمساهمات أو السحوبات من الاحتياطيات، بالإضافة إلى الإيرادات الناتجة عن مبيعات الأصول الحكومية.</w:t>
      </w:r>
    </w:p>
    <w:p w14:paraId="70183C0E" w14:textId="77777777" w:rsidR="009A288C" w:rsidRPr="00BC50C9" w:rsidRDefault="009A288C" w:rsidP="00955D27">
      <w:pPr>
        <w:pStyle w:val="00000"/>
        <w:rPr>
          <w:rtl/>
        </w:rPr>
      </w:pPr>
      <w:r w:rsidRPr="00BC50C9">
        <w:rPr>
          <w:rtl/>
        </w:rPr>
        <w:lastRenderedPageBreak/>
        <w:t>حيث تتعلق الاستدامة المالية، المعروفة أيضًا باستدامة إجمالي الدين العام، بمؤشرات الدين العام والعجز والتنبؤ المالي على المدى المتوسط، لذا، وتركز على مؤشرات الدين العام المحلي والخارجي بهدف الوصول إلى فهم دقيق للحالة المالية، ويتطلب ذلك إضافة الديون غير المسجلة أو الالتزامات المشكوك في تحصيلها، بالإضافة إلى متابعة الفائض المالي الأولي والسعي لتحقيق نسبة الدين العام إلى الناتج المحلي الإجمالي التي تساهم في الاستقرار المالي، كما يُعتبر التنبؤ المالي على المدى المتوسط أحد الأسس الرئيسية لتقييم الاستدامة المالية، حيث يعتمد على مجموعة من الفرضيات التي تمتد فترة التنبؤ فيها بين 3 إلى 15 عامًا (عبد الحليم، 2017، ص.409).</w:t>
      </w:r>
    </w:p>
    <w:p w14:paraId="6CC4D39A" w14:textId="77777777" w:rsidR="009A288C" w:rsidRPr="00BC50C9" w:rsidRDefault="009A288C" w:rsidP="00955D27">
      <w:pPr>
        <w:pStyle w:val="00000"/>
        <w:rPr>
          <w:rtl/>
        </w:rPr>
      </w:pPr>
      <w:r w:rsidRPr="00BC50C9">
        <w:rPr>
          <w:rtl/>
        </w:rPr>
        <w:t xml:space="preserve">كما ينتج عن خصائص الاستدامة المالية المستمدة من فهم المصطلح وأدبيات المسؤولية الاجتماعية للشركات أربعة مؤشرات اقتصادية </w:t>
      </w:r>
      <w:proofErr w:type="gramStart"/>
      <w:r w:rsidRPr="00BC50C9">
        <w:rPr>
          <w:rtl/>
        </w:rPr>
        <w:t>هامة</w:t>
      </w:r>
      <w:proofErr w:type="gramEnd"/>
      <w:r w:rsidRPr="00BC50C9">
        <w:rPr>
          <w:rtl/>
        </w:rPr>
        <w:t xml:space="preserve"> تقوم بمهامها جميعًا في نفس الوقت لتحقيق الاستدامة المالية، وقد أشار إليها "</w:t>
      </w:r>
      <w:proofErr w:type="spellStart"/>
      <w:r w:rsidRPr="00BC50C9">
        <w:rPr>
          <w:rtl/>
        </w:rPr>
        <w:t>جلايسنر</w:t>
      </w:r>
      <w:proofErr w:type="spellEnd"/>
      <w:r w:rsidRPr="00BC50C9">
        <w:rPr>
          <w:rtl/>
        </w:rPr>
        <w:t xml:space="preserve"> وآخرون" (</w:t>
      </w:r>
      <w:proofErr w:type="spellStart"/>
      <w:r w:rsidRPr="00BC50C9">
        <w:t>Gleißner</w:t>
      </w:r>
      <w:proofErr w:type="spellEnd"/>
      <w:r w:rsidRPr="00BC50C9">
        <w:t>, et al, 2022, p.479-482</w:t>
      </w:r>
      <w:r w:rsidRPr="00BC50C9">
        <w:rPr>
          <w:rtl/>
        </w:rPr>
        <w:t xml:space="preserve">) كالتالي: </w:t>
      </w:r>
    </w:p>
    <w:p w14:paraId="55F6B826" w14:textId="77777777" w:rsidR="009A288C" w:rsidRPr="00BC50C9" w:rsidRDefault="009A288C">
      <w:pPr>
        <w:numPr>
          <w:ilvl w:val="0"/>
          <w:numId w:val="29"/>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الحفاظ الحقيقي على الشركة (النمو&lt; معدل التضخم):</w:t>
      </w:r>
      <w:r w:rsidRPr="00BC50C9">
        <w:rPr>
          <w:rFonts w:ascii="Times New Roman" w:eastAsia="Calibri" w:hAnsi="Times New Roman" w:cs="Simplified Arabic"/>
          <w:kern w:val="2"/>
          <w:sz w:val="24"/>
          <w:szCs w:val="28"/>
          <w:rtl/>
          <w:lang w:bidi="ar-EG"/>
          <w14:ligatures w14:val="standardContextual"/>
        </w:rPr>
        <w:t xml:space="preserve"> تختلف نظرية المحاسبة بين الحفاظ الأسمى والحقيقي على الشركة، ويتضح أن جميع المتغيرات التابعة للمؤشر ضرورية لشرح البناء الكامن التكويني للشركة وبالتالي فهي مكملة، وتعتبر مستدامة إذا لم يتم التعاقد من حيث القيمة الحقيقية، وبالتالي يجب على الشركة ألا تختفي إلا إذا كان معدل النمو السلبي متوقع.</w:t>
      </w:r>
    </w:p>
    <w:p w14:paraId="750377B9" w14:textId="77777777" w:rsidR="009A288C" w:rsidRPr="00BC50C9" w:rsidRDefault="009A288C">
      <w:pPr>
        <w:numPr>
          <w:ilvl w:val="0"/>
          <w:numId w:val="29"/>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قدرة الشركة على البقاء دون مطالبة أصحابها:</w:t>
      </w:r>
      <w:r w:rsidRPr="00BC50C9">
        <w:rPr>
          <w:rFonts w:ascii="Times New Roman" w:eastAsia="Calibri" w:hAnsi="Times New Roman" w:cs="Simplified Arabic"/>
          <w:kern w:val="2"/>
          <w:sz w:val="24"/>
          <w:szCs w:val="28"/>
          <w:rtl/>
          <w:lang w:bidi="ar-EG"/>
          <w14:ligatures w14:val="standardContextual"/>
        </w:rPr>
        <w:t xml:space="preserve"> فاحتمال البقاء على قيد الحياة للشركة عادة ما يعتبر المستثمرون المفترضون الذين لا يفضلون المخاطرة، والذين يفضلون استدامة الشركة من حيث البقاء كحد أدنى من متطلبات الاستثمار، وهذا يتضح من حقيقة أن الشركات العائلية عبر الأجيال لديها بشكل خاص مستوى عالٍ من المرونة بالإضافة إلى القدرة على البقاء، فالقدرة على البقاء تعني تجنب الأزمات الكبرى التي قد تؤدي إلى الإفلاس مثل الأزمات الشديدة.</w:t>
      </w:r>
    </w:p>
    <w:p w14:paraId="2114DFF5" w14:textId="77777777" w:rsidR="009A288C" w:rsidRPr="00BC50C9" w:rsidRDefault="009A288C">
      <w:pPr>
        <w:numPr>
          <w:ilvl w:val="0"/>
          <w:numId w:val="29"/>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 xml:space="preserve">إجمالي </w:t>
      </w:r>
      <w:proofErr w:type="gramStart"/>
      <w:r w:rsidRPr="00BC50C9">
        <w:rPr>
          <w:rFonts w:ascii="Times New Roman" w:eastAsia="Calibri" w:hAnsi="Times New Roman" w:cs="Simplified Arabic"/>
          <w:b/>
          <w:bCs/>
          <w:kern w:val="2"/>
          <w:sz w:val="24"/>
          <w:szCs w:val="28"/>
          <w:rtl/>
          <w:lang w:bidi="ar-EG"/>
          <w14:ligatures w14:val="standardContextual"/>
        </w:rPr>
        <w:t>مخاطر</w:t>
      </w:r>
      <w:proofErr w:type="gramEnd"/>
      <w:r w:rsidRPr="00BC50C9">
        <w:rPr>
          <w:rFonts w:ascii="Times New Roman" w:eastAsia="Calibri" w:hAnsi="Times New Roman" w:cs="Simplified Arabic"/>
          <w:b/>
          <w:bCs/>
          <w:kern w:val="2"/>
          <w:sz w:val="24"/>
          <w:szCs w:val="28"/>
          <w:rtl/>
          <w:lang w:bidi="ar-EG"/>
          <w14:ligatures w14:val="standardContextual"/>
        </w:rPr>
        <w:t xml:space="preserve"> الأرباح المقبولة للمالكين:</w:t>
      </w:r>
      <w:r w:rsidRPr="00BC50C9">
        <w:rPr>
          <w:rFonts w:ascii="Times New Roman" w:eastAsia="Calibri" w:hAnsi="Times New Roman" w:cs="Simplified Arabic"/>
          <w:kern w:val="2"/>
          <w:sz w:val="24"/>
          <w:szCs w:val="28"/>
          <w:rtl/>
          <w:lang w:bidi="ar-EG"/>
          <w14:ligatures w14:val="standardContextual"/>
        </w:rPr>
        <w:t xml:space="preserve"> فمن منظور أصحاب الشركة، فإن المبالغ النقدية لأصحاب الشركة غير مؤكدة، فمن غير المناسب النظر في احتمال البقاء على قيد الحياة لتقييم إجمالي تعرض الشركة للمخاطر، ويجب النظر في الجانب الإضافي المتعلق بالمخاطر، ويفضل المالكون الذين لا يفضلون المخاطر فرص الاستثمار الأقل خطورة عن الفرص الأكثر خطورة.</w:t>
      </w:r>
    </w:p>
    <w:p w14:paraId="38E07546" w14:textId="77777777" w:rsidR="009A288C" w:rsidRPr="00BC50C9" w:rsidRDefault="009A288C">
      <w:pPr>
        <w:numPr>
          <w:ilvl w:val="0"/>
          <w:numId w:val="29"/>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المصالح الاقتصادية للمالكين في استمرار دائم للشركة (المخاطر الجذابة وملف العائد):</w:t>
      </w:r>
      <w:r w:rsidRPr="00BC50C9">
        <w:rPr>
          <w:rFonts w:ascii="Times New Roman" w:eastAsia="Calibri" w:hAnsi="Times New Roman" w:cs="Simplified Arabic"/>
          <w:kern w:val="2"/>
          <w:sz w:val="24"/>
          <w:szCs w:val="28"/>
          <w:rtl/>
          <w:lang w:bidi="ar-EG"/>
          <w14:ligatures w14:val="standardContextual"/>
        </w:rPr>
        <w:t xml:space="preserve"> يعد الشرط الأساسي للاستدامة المالية هو التأكد من ان الشركة من المحتمل أن تبقى على قيد الحياة على المدى الطويل، وإن الحفاظ على الاستثمار في الشركة أمر منطقي من الناحية الاقتصادية عندما يكون الاستثمار في الشركة قابلًا للربح، أي عندما تكون الشركة ذات عائد ومخاطرة جذابة لأصحابها أو المستثمرين، مقارنة بالبديل من فرص الاستثمار. </w:t>
      </w:r>
    </w:p>
    <w:p w14:paraId="5EF3F9FD" w14:textId="77777777" w:rsidR="00955D27" w:rsidRDefault="00955D27" w:rsidP="00955D27">
      <w:pPr>
        <w:bidi/>
        <w:spacing w:before="120" w:after="120" w:line="240" w:lineRule="auto"/>
        <w:jc w:val="both"/>
        <w:rPr>
          <w:rFonts w:ascii="Times New Roman" w:eastAsia="Calibri" w:hAnsi="Times New Roman" w:cs="Simplified Arabic"/>
          <w:sz w:val="24"/>
          <w:szCs w:val="28"/>
          <w:rtl/>
          <w:lang w:bidi="ar-EG"/>
        </w:rPr>
      </w:pPr>
    </w:p>
    <w:p w14:paraId="7AE1390C" w14:textId="77777777" w:rsidR="00955D27" w:rsidRDefault="00955D27" w:rsidP="00955D27">
      <w:pPr>
        <w:bidi/>
        <w:spacing w:before="120" w:after="120" w:line="240" w:lineRule="auto"/>
        <w:jc w:val="both"/>
        <w:rPr>
          <w:rFonts w:ascii="Times New Roman" w:eastAsia="Calibri" w:hAnsi="Times New Roman" w:cs="Simplified Arabic"/>
          <w:sz w:val="24"/>
          <w:szCs w:val="28"/>
          <w:rtl/>
          <w:lang w:bidi="ar-EG"/>
        </w:rPr>
      </w:pPr>
    </w:p>
    <w:p w14:paraId="15FFCBE9" w14:textId="50CA45B6" w:rsidR="009A288C" w:rsidRPr="00BC50C9" w:rsidRDefault="009A288C" w:rsidP="00955D27">
      <w:pPr>
        <w:bidi/>
        <w:spacing w:before="120" w:after="120" w:line="240" w:lineRule="auto"/>
        <w:jc w:val="both"/>
        <w:rPr>
          <w:rFonts w:ascii="Times New Roman" w:eastAsia="Calibri" w:hAnsi="Times New Roman" w:cs="Simplified Arabic"/>
          <w:sz w:val="24"/>
          <w:szCs w:val="28"/>
          <w:lang w:bidi="ar-EG"/>
        </w:rPr>
      </w:pPr>
      <w:r w:rsidRPr="00BC50C9">
        <w:rPr>
          <w:rFonts w:ascii="Times New Roman" w:eastAsia="Calibri" w:hAnsi="Times New Roman" w:cs="Simplified Arabic"/>
          <w:sz w:val="24"/>
          <w:szCs w:val="28"/>
          <w:rtl/>
          <w:lang w:bidi="ar-EG"/>
        </w:rPr>
        <w:lastRenderedPageBreak/>
        <w:t xml:space="preserve">وأشار الأعرجي والسلطاني (2021، ص.ص38-39) لعدد من مؤشرات الاستدامة المالية ومنها: </w:t>
      </w:r>
    </w:p>
    <w:p w14:paraId="113E561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مؤشرات الاقتدار المالي:</w:t>
      </w:r>
      <w:r w:rsidRPr="00BC50C9">
        <w:rPr>
          <w:rFonts w:ascii="Times New Roman" w:eastAsia="Calibri" w:hAnsi="Times New Roman" w:cs="Simplified Arabic"/>
          <w:kern w:val="2"/>
          <w:sz w:val="24"/>
          <w:szCs w:val="28"/>
          <w:rtl/>
          <w:lang w:bidi="ar-EG"/>
          <w14:ligatures w14:val="standardContextual"/>
        </w:rPr>
        <w:t xml:space="preserve"> تعكس هذه المؤشرات قدرة الدولة المالية على التعامل مع الديون في المستقبل، بالإضافة إلى قدرتها على مواجهة الأحداث الطارئة وزيادة الديون من خلال موازنتها السنوية العامة. </w:t>
      </w:r>
    </w:p>
    <w:p w14:paraId="1F790C18"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مؤشر نسبة الدين العام إلى الناتج المحلي الإجمالي:</w:t>
      </w:r>
      <w:r w:rsidRPr="00BC50C9">
        <w:rPr>
          <w:rFonts w:ascii="Times New Roman" w:eastAsia="Calibri" w:hAnsi="Times New Roman" w:cs="Simplified Arabic"/>
          <w:kern w:val="2"/>
          <w:sz w:val="24"/>
          <w:szCs w:val="28"/>
          <w:rtl/>
          <w:lang w:bidi="ar-EG"/>
          <w14:ligatures w14:val="standardContextual"/>
        </w:rPr>
        <w:t xml:space="preserve"> يوفر هذا المؤشر رؤية واضحة للأعباء الاقتصادية والمالية التي تتحملها الموازنة العامة.</w:t>
      </w:r>
    </w:p>
    <w:p w14:paraId="01D1AB7F" w14:textId="77777777" w:rsidR="009A288C" w:rsidRPr="00BC50C9" w:rsidRDefault="009A288C" w:rsidP="00955D27">
      <w:pPr>
        <w:pStyle w:val="00000"/>
      </w:pPr>
      <w:r w:rsidRPr="00BC50C9">
        <w:rPr>
          <w:rtl/>
        </w:rPr>
        <w:t xml:space="preserve">كما وضح على </w:t>
      </w:r>
      <w:proofErr w:type="spellStart"/>
      <w:r w:rsidRPr="00BC50C9">
        <w:rPr>
          <w:rtl/>
        </w:rPr>
        <w:t>وسماقهيى</w:t>
      </w:r>
      <w:proofErr w:type="spellEnd"/>
      <w:r w:rsidRPr="00BC50C9">
        <w:rPr>
          <w:rtl/>
        </w:rPr>
        <w:t xml:space="preserve"> (2024، ص.74-76) بعض من المؤشرات للاستدامة المالية ومنها ما يلي: </w:t>
      </w:r>
    </w:p>
    <w:p w14:paraId="63ACD225"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مؤشر منهج الدخل الدائم لاختبار الاستدامة المالية في اقتصاد نفطي:</w:t>
      </w:r>
      <w:r w:rsidRPr="00BC50C9">
        <w:rPr>
          <w:rFonts w:ascii="Times New Roman" w:eastAsia="Calibri" w:hAnsi="Times New Roman" w:cs="Simplified Arabic"/>
          <w:sz w:val="24"/>
          <w:szCs w:val="28"/>
          <w:rtl/>
        </w:rPr>
        <w:t xml:space="preserve"> </w:t>
      </w:r>
      <w:r w:rsidRPr="00BC50C9">
        <w:rPr>
          <w:rFonts w:ascii="Times New Roman" w:eastAsia="Calibri" w:hAnsi="Times New Roman" w:cs="Simplified Arabic"/>
          <w:kern w:val="2"/>
          <w:sz w:val="24"/>
          <w:szCs w:val="28"/>
          <w:rtl/>
          <w14:ligatures w14:val="standardContextual"/>
        </w:rPr>
        <w:t>يعتبر منهج الدخل الدائم من أبرز مؤشرات قياس الاستدامة المالية استنادًا إلى فرضية ميلتون فريدمان، وتشير الفرضية إلى أن الأفراد يحددون خياراتهم بناءً على دخلهم الدائم المتوقع وليس الدخل الحالي، ينطبق هذا المفهوم أيضًا على الحكومات؛ حيث يتحدد الدخل الدائم للدولة النفطية بناءً على قدرتها على تغطية نفقاتها من إيراداتها على المدى الطويل، تعتمد استدامة المالية العامة في الاقتصاديات النفطية على ضرورة فصل الموازنة عن تقلبات أسعار النفط، ويجب أن يتماشى هذا مع أهداف السياسة المالية على المدى الطويل.</w:t>
      </w:r>
    </w:p>
    <w:p w14:paraId="7806B952"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مؤشر الفجوة الضريبية:</w:t>
      </w:r>
      <w:r w:rsidRPr="00BC50C9">
        <w:rPr>
          <w:rFonts w:ascii="Times New Roman" w:eastAsia="Calibri" w:hAnsi="Times New Roman" w:cs="Simplified Arabic"/>
          <w:kern w:val="2"/>
          <w:sz w:val="24"/>
          <w:szCs w:val="28"/>
          <w:rtl/>
          <w:lang w:bidi="ar-EG"/>
          <w14:ligatures w14:val="standardContextual"/>
        </w:rPr>
        <w:t xml:space="preserve"> وفقًا لهذا المؤشر، يُحدد مستوى العبء الضريبي المطلوب للحفاظ على نسبة الدين العام إلى الناتج المحلي الإجمالي، ويقيس هذا المؤشر الفجوة الضريبية بين نسبة الضريبة اللازمة لتحقيق الاستدامة المالية والنسبة الحالية للضرائب، وتشير القيمة السلبية لهذا المؤشر إلى أن الضرائب الحالية منخفضة بشكل كبير، مما يجعل من المستحيل تثبيت نسبة الدين إلى الناتج المحلي الإجمالي في ظل السياسات </w:t>
      </w:r>
      <w:proofErr w:type="spellStart"/>
      <w:r w:rsidRPr="00BC50C9">
        <w:rPr>
          <w:rFonts w:ascii="Times New Roman" w:eastAsia="Calibri" w:hAnsi="Times New Roman" w:cs="Simplified Arabic"/>
          <w:kern w:val="2"/>
          <w:sz w:val="24"/>
          <w:szCs w:val="28"/>
          <w:rtl/>
          <w:lang w:bidi="ar-EG"/>
          <w14:ligatures w14:val="standardContextual"/>
        </w:rPr>
        <w:t>الإنفاقية</w:t>
      </w:r>
      <w:proofErr w:type="spellEnd"/>
      <w:r w:rsidRPr="00BC50C9">
        <w:rPr>
          <w:rFonts w:ascii="Times New Roman" w:eastAsia="Calibri" w:hAnsi="Times New Roman" w:cs="Simplified Arabic"/>
          <w:kern w:val="2"/>
          <w:sz w:val="24"/>
          <w:szCs w:val="28"/>
          <w:rtl/>
          <w:lang w:bidi="ar-EG"/>
          <w14:ligatures w14:val="standardContextual"/>
        </w:rPr>
        <w:t xml:space="preserve"> الحالية.</w:t>
      </w:r>
    </w:p>
    <w:p w14:paraId="35007481" w14:textId="77777777" w:rsidR="009A288C" w:rsidRPr="00BC50C9" w:rsidRDefault="009A288C" w:rsidP="00955D27">
      <w:pPr>
        <w:pStyle w:val="00000"/>
        <w:rPr>
          <w:rtl/>
        </w:rPr>
      </w:pPr>
      <w:r w:rsidRPr="00BC50C9">
        <w:rPr>
          <w:rtl/>
        </w:rPr>
        <w:t>إذن، فتُعتبر مؤشرات الاستدامة المالية بمثابة إنذار مُبكر للمسؤولين وصانعي القرار؛ حيث تساعد في تقييم قدرة المؤسسة على الوفاء بالتزاماتها على المدى الطويل، وبالتالي، فإنها تشير إلى الحاجة المُحتملة لتغيير أساليب الإدارة واستكشاف بدائل ومصادر تمويل جديدة (محمد، 2024، ص.453).</w:t>
      </w:r>
    </w:p>
    <w:p w14:paraId="6D823A20" w14:textId="77777777" w:rsidR="009A288C" w:rsidRDefault="009A288C" w:rsidP="00955D27">
      <w:pPr>
        <w:pStyle w:val="00000"/>
        <w:rPr>
          <w:rtl/>
        </w:rPr>
      </w:pPr>
      <w:r w:rsidRPr="00BC50C9">
        <w:rPr>
          <w:rtl/>
        </w:rPr>
        <w:t>تبين باستقراء ما سبق أن تُعد مؤشرات الاستدامة المالية أدوات أساسية لتقييم قدرة الحكومات أو المؤسسات على إدارة مواردها المالية بشكل مستدام على المدى الطويل. من أبرز هذه المؤشرات نسبة الدين إلى الناتج المحلي الإجمالي، التي تعكس مدى اعتماد الدولة على الديون لتمويل أنشطتها. هناك أيضًا العجز المالي، الذي يقيس الفرق بين الإيرادات والنفقات، ويشير إلى مدى قدرة الحكومة على تحقيق التوازن المالي.</w:t>
      </w:r>
    </w:p>
    <w:p w14:paraId="683FCFC0" w14:textId="77777777" w:rsidR="00955D27" w:rsidRPr="00BC50C9" w:rsidRDefault="00955D27" w:rsidP="00955D27">
      <w:pPr>
        <w:pStyle w:val="00000"/>
      </w:pPr>
    </w:p>
    <w:p w14:paraId="37FCBF7B" w14:textId="6998993C" w:rsidR="009A288C" w:rsidRPr="00BC50C9" w:rsidRDefault="00955D27" w:rsidP="00955D27">
      <w:pPr>
        <w:pStyle w:val="113"/>
        <w:rPr>
          <w:lang w:bidi="ar-EG"/>
        </w:rPr>
      </w:pPr>
      <w:bookmarkStart w:id="49" w:name="_Toc195456514"/>
      <w:r>
        <w:rPr>
          <w:rFonts w:hint="cs"/>
          <w:rtl/>
          <w:lang w:bidi="ar-EG"/>
        </w:rPr>
        <w:lastRenderedPageBreak/>
        <w:t xml:space="preserve">5.6.1 </w:t>
      </w:r>
      <w:r w:rsidR="009A288C" w:rsidRPr="00BC50C9">
        <w:rPr>
          <w:rtl/>
          <w:lang w:bidi="ar-EG"/>
        </w:rPr>
        <w:t>قواعد الاستدامة المالية</w:t>
      </w:r>
      <w:bookmarkEnd w:id="49"/>
    </w:p>
    <w:p w14:paraId="764AB436" w14:textId="77777777" w:rsidR="009A288C" w:rsidRPr="00BC50C9" w:rsidRDefault="009A288C" w:rsidP="00955D27">
      <w:pPr>
        <w:pStyle w:val="00000"/>
        <w:rPr>
          <w:rtl/>
        </w:rPr>
      </w:pPr>
      <w:r w:rsidRPr="00BC50C9">
        <w:rPr>
          <w:rtl/>
        </w:rPr>
        <w:t>تُستخدم قاعدة الإنفاق، التي تحد من نمو النفقات الحكومية لضمان التوازن بين الإيرادات والمصروفات كما تشمل القواعد الاحتياطيات المالية، التي تُلزم الحكومات بادخار جزء من الإيرادات لمواجهة الأزمات المستقبلية؛ وهو ما توصل إليه (</w:t>
      </w:r>
      <w:proofErr w:type="spellStart"/>
      <w:r w:rsidRPr="00BC50C9">
        <w:rPr>
          <w:rtl/>
        </w:rPr>
        <w:t>السلموني</w:t>
      </w:r>
      <w:proofErr w:type="spellEnd"/>
      <w:r w:rsidRPr="00BC50C9">
        <w:rPr>
          <w:rtl/>
        </w:rPr>
        <w:t xml:space="preserve"> والجارحي، 2023، ص.1125) بأن لتحقيق الاستدامة المالية، يجب إعادة تقييم السياسة المالية والنقدية والتنسيق بينهما، بما يسهم في تحقيق نمو مستدام لا يعتمد على زيادة مفرطة في الإنفاق العام أو ارتفاع مستمر في نسبة الدين العام إلى الناتج المحلي الإجمالي على المدى الطويل، ويتطلب تطبيق المعايير الخاصة بالاستدامة في جميع القطاعات تحسين الأداء المالي للمؤسسات؛ حيث تلعب هذه المعايير دورًا حيويًا في تحديد فعالية الوحدات الاقتصادية في تحقيق أهدافها بخطوات ثابتة وتعزيز الثقة في بياناتها المالية.</w:t>
      </w:r>
    </w:p>
    <w:p w14:paraId="2AF0765A" w14:textId="77777777" w:rsidR="009A288C" w:rsidRPr="00BC50C9" w:rsidRDefault="009A288C" w:rsidP="00955D27">
      <w:pPr>
        <w:pStyle w:val="00000"/>
        <w:rPr>
          <w:rtl/>
        </w:rPr>
      </w:pPr>
      <w:r w:rsidRPr="00BC50C9">
        <w:rPr>
          <w:rtl/>
        </w:rPr>
        <w:t>كما أن توجد أربعة قواعد رئيسية للاستدامة المالية ويشار إليها على أنها ركائز للاستدامة المالية، وتتمثل في الآتي (</w:t>
      </w:r>
      <w:r w:rsidRPr="00BC50C9">
        <w:t>Davydenko, et al, 2019, p.9</w:t>
      </w:r>
      <w:r w:rsidRPr="00BC50C9">
        <w:rPr>
          <w:rtl/>
        </w:rPr>
        <w:t>):</w:t>
      </w:r>
    </w:p>
    <w:p w14:paraId="65F9228D" w14:textId="77777777" w:rsidR="009A288C" w:rsidRPr="00BC50C9" w:rsidRDefault="009A288C">
      <w:pPr>
        <w:numPr>
          <w:ilvl w:val="0"/>
          <w:numId w:val="30"/>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التخطيط الاستراتيجي والمالي.</w:t>
      </w:r>
    </w:p>
    <w:p w14:paraId="21AF5C7B" w14:textId="77777777" w:rsidR="009A288C" w:rsidRPr="00BC50C9" w:rsidRDefault="009A288C">
      <w:pPr>
        <w:numPr>
          <w:ilvl w:val="0"/>
          <w:numId w:val="30"/>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تنويع الدخل.</w:t>
      </w:r>
    </w:p>
    <w:p w14:paraId="5F7BABAE" w14:textId="77777777" w:rsidR="009A288C" w:rsidRPr="00BC50C9" w:rsidRDefault="009A288C">
      <w:pPr>
        <w:numPr>
          <w:ilvl w:val="0"/>
          <w:numId w:val="30"/>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الإدارة الموثوقة والتمويل.</w:t>
      </w:r>
    </w:p>
    <w:p w14:paraId="2676199D" w14:textId="77777777" w:rsidR="009A288C" w:rsidRPr="00BC50C9" w:rsidRDefault="009A288C">
      <w:pPr>
        <w:numPr>
          <w:ilvl w:val="0"/>
          <w:numId w:val="30"/>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توليد الدخل الخاص.</w:t>
      </w:r>
    </w:p>
    <w:p w14:paraId="1BC168FD" w14:textId="77777777" w:rsidR="009A288C" w:rsidRPr="00BC50C9" w:rsidRDefault="009A288C" w:rsidP="00955D27">
      <w:pPr>
        <w:pStyle w:val="00000"/>
        <w:rPr>
          <w:rtl/>
        </w:rPr>
      </w:pPr>
      <w:r w:rsidRPr="00BC50C9">
        <w:rPr>
          <w:rtl/>
        </w:rPr>
        <w:t>ونظرًا لتنوع القواعد المالية وفي سياق وضع الموازنة العامة، ذكر راضي وآخرون (2018، ص.19) قاعدة من أبرز القواعد التي ينبغي تطبيقها، نظرًا لما تحققه من فوائد وتأثيرات على مختلف المتغيرات الكلية الأخرى، بالإضافة إلى ذلك، يمكن ربطها بالقواعد المالية الأخرى وهي:</w:t>
      </w:r>
    </w:p>
    <w:p w14:paraId="65E57A4A"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قاعدة ضبط الإنفاق العام:</w:t>
      </w:r>
      <w:r w:rsidRPr="00BC50C9">
        <w:rPr>
          <w:rFonts w:ascii="Times New Roman" w:eastAsia="Calibri" w:hAnsi="Times New Roman" w:cs="Simplified Arabic"/>
          <w:kern w:val="2"/>
          <w:sz w:val="24"/>
          <w:szCs w:val="28"/>
          <w:rtl/>
          <w:lang w:bidi="ar-EG"/>
          <w14:ligatures w14:val="standardContextual"/>
        </w:rPr>
        <w:t xml:space="preserve"> تعتبر قاعدة ضبط الإنفاق العام من القواعد الأساسية التي ينبغي تطبيقها في الموازنة العامة في العراق، نظرًا لتأثيرها الكبير على المتغيرات الكلية الأخرى، ويمكن ربط هذه القاعدة بقواعد أخرى مثل توازن الموازنة ونسبة الدين العام إلى الناتج المحلي، تسهم قاعدة ضبط الإنفاق في تحقيق استدامة مالية من خلال تنظيم المالية العامة، بشرط أن تكون مصحوبة بقواعد الدين وتوازن الموازنة، ومع ذلك، فإنها لا تحد من الإيرادات ولا ترتبط بقدرة الدولة على تحمل الديون، وقد تؤثر هذه القاعدة على هيكل الإنفاق وتلبية السقف المُحدد، مما قد يؤثر على الفئات التي تحتاج إلى الدعم من الإنفاق العام.</w:t>
      </w:r>
    </w:p>
    <w:p w14:paraId="2F91548E" w14:textId="77777777" w:rsidR="009A288C" w:rsidRPr="00BC50C9" w:rsidRDefault="009A288C" w:rsidP="00955D27">
      <w:pPr>
        <w:bidi/>
        <w:spacing w:before="120" w:after="120" w:line="240" w:lineRule="auto"/>
        <w:jc w:val="both"/>
        <w:rPr>
          <w:rFonts w:ascii="Times New Roman" w:eastAsia="Calibri" w:hAnsi="Times New Roman" w:cs="Simplified Arabic"/>
          <w:sz w:val="24"/>
          <w:szCs w:val="28"/>
          <w:lang w:bidi="ar-EG"/>
        </w:rPr>
      </w:pPr>
      <w:r w:rsidRPr="00BC50C9">
        <w:rPr>
          <w:rFonts w:ascii="Times New Roman" w:eastAsia="Calibri" w:hAnsi="Times New Roman" w:cs="Simplified Arabic"/>
          <w:sz w:val="24"/>
          <w:szCs w:val="28"/>
          <w:rtl/>
          <w:lang w:bidi="ar-EG"/>
        </w:rPr>
        <w:t>كما أوضح الأعرجي والسلطاني (2021، ص.37) قاعدتين من أهم قواعد الاستدامة المالية وهم:</w:t>
      </w:r>
    </w:p>
    <w:p w14:paraId="7565A61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القاعدة الذهبية:</w:t>
      </w:r>
      <w:r w:rsidRPr="00BC50C9">
        <w:rPr>
          <w:rFonts w:ascii="Times New Roman" w:eastAsia="Calibri" w:hAnsi="Times New Roman" w:cs="Simplified Arabic"/>
          <w:kern w:val="2"/>
          <w:sz w:val="24"/>
          <w:szCs w:val="28"/>
          <w:rtl/>
          <w:lang w:bidi="ar-EG"/>
          <w14:ligatures w14:val="standardContextual"/>
        </w:rPr>
        <w:t xml:space="preserve"> يجب اللجوء إلى الاقتراض فقط لتمويل النفقات الاستثمارية، بينما يتم تمويل النفقات الجارية من الإيرادات الضريبية والإيرادات الأخرى، فهناك مبرر إيجابي للدين العام يتعلق بالعدالة بين الأجيال؛ حيث يتضمن الإنفاق الحكومي استثمارات تعود بالنفع على الأجيال المقبلة، </w:t>
      </w:r>
      <w:r w:rsidRPr="00BC50C9">
        <w:rPr>
          <w:rFonts w:ascii="Times New Roman" w:eastAsia="Calibri" w:hAnsi="Times New Roman" w:cs="Simplified Arabic"/>
          <w:kern w:val="2"/>
          <w:sz w:val="24"/>
          <w:szCs w:val="28"/>
          <w:rtl/>
          <w:lang w:bidi="ar-EG"/>
          <w14:ligatures w14:val="standardContextual"/>
        </w:rPr>
        <w:lastRenderedPageBreak/>
        <w:t>إذا تم تمويل الإنفاق من الإيرادات الجارية فقط، فإن الجيل الحالي سيتحمل جميع التكاليف دون أن يستفيد من العوائد، ولكن عند تمويل النفقات الاستثمارية من خلال الاقتراض، فإن الأجيال القادمة تساهم في تحمل جزء من هذه التكاليف.</w:t>
      </w:r>
    </w:p>
    <w:p w14:paraId="57A1F71B"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b/>
          <w:bCs/>
          <w:kern w:val="2"/>
          <w:sz w:val="24"/>
          <w:szCs w:val="28"/>
          <w:rtl/>
          <w:lang w:bidi="ar-EG"/>
          <w14:ligatures w14:val="standardContextual"/>
        </w:rPr>
        <w:t>قاعدة ضبط الإنفاق:</w:t>
      </w:r>
      <w:r w:rsidRPr="00BC50C9">
        <w:rPr>
          <w:rFonts w:ascii="Times New Roman" w:eastAsia="Calibri" w:hAnsi="Times New Roman" w:cs="Simplified Arabic"/>
          <w:kern w:val="2"/>
          <w:sz w:val="24"/>
          <w:szCs w:val="28"/>
          <w:rtl/>
          <w:lang w:bidi="ar-EG"/>
          <w14:ligatures w14:val="standardContextual"/>
        </w:rPr>
        <w:t xml:space="preserve"> لا ترتبط هذه القاعدة بشكل مباشر بقدرة تحمل الديون؛ حيث إنها لا تؤثر على جانب الإيرادات، ومع ذلك، يمكن أن تسهم في تحسين الأوضاع المالية العامة بما يتماشى مع تحقيق الاستدامة المالية، خاصة عندما تُدمج مع قواعد الدين أو توازن الموازنة، كما أنها تتيح إمكانية تقليل الإنفاق خلال فترات الازدهار.</w:t>
      </w:r>
    </w:p>
    <w:p w14:paraId="7B91A18B" w14:textId="77777777" w:rsidR="009A288C" w:rsidRPr="00BC50C9" w:rsidRDefault="009A288C" w:rsidP="00955D27">
      <w:pPr>
        <w:pStyle w:val="00000"/>
        <w:rPr>
          <w:rtl/>
        </w:rPr>
      </w:pPr>
      <w:r w:rsidRPr="00BC50C9">
        <w:rPr>
          <w:rtl/>
        </w:rPr>
        <w:t>كما تواجه الاستدامة المالية قيودًا تمنعها من الاستمرار في الاقتراض لتسديد ديونها والفوائد المرتبطة بها، إن إدخال قاعدة كهذه ضمن قيود الميزانية المتعلقة بالقيمة الحالية لديون الحكومات يعد بمثابة آلية لمراقبة الفوائض الأولية المستقبلية، مما يسهم في الحفاظ على الملاءة المالية وتعزيز ثقة الدائنين، وبالتالي، يمكن تعريف قيد الميزانية على النحو التالي: إصدار سندات الدين، مدفوعات أسعار الفائدة، الميزان الأساسي، ورسوم سك العملة؛ حيث يمثل الرصيد الأساسي الفرق بين الإيرادات والمصروفات العامة دون احتساب الفوائد، بينما تعكس رسوم سك العملة الإيرادات الناتجة عن إصدار العملة (الكيلاني وآخرون، 2017، ص.41-42).</w:t>
      </w:r>
    </w:p>
    <w:p w14:paraId="1CEF506D" w14:textId="77777777" w:rsidR="009A288C" w:rsidRPr="00BC50C9" w:rsidRDefault="009A288C" w:rsidP="00955D27">
      <w:pPr>
        <w:pStyle w:val="00000"/>
        <w:rPr>
          <w:rtl/>
        </w:rPr>
      </w:pPr>
      <w:r w:rsidRPr="00BC50C9">
        <w:rPr>
          <w:rtl/>
        </w:rPr>
        <w:t>اختبار الاستدامة المالية لا يعتمد على قواعد ثابتة وسهلة، بل يتنوع بين نماذج قياسية وطرق اختبار متعددة، كما تختلف المتغيرات المستخدمة من حيث النوع (إسمية، حقيقية، نسبية)، مما يستدعي الحرص في اختيار النموذج القياسي ونوعية المتغيرات الداخلة فيه، بالإضافة إلى نوع الاختبار المستخدم، فقد تكون بعض النتائج الناتجة عن نماذج معينة مضللة، لذا من الضروري مطابقة هذه النتائج مع الواقع الاقتصادي وإجراء تحليل نظري مناسب (طلب وسجوه، 2015، ص.174).</w:t>
      </w:r>
    </w:p>
    <w:p w14:paraId="23ED340D" w14:textId="77777777" w:rsidR="009A288C" w:rsidRPr="00BC50C9" w:rsidRDefault="009A288C" w:rsidP="00955D27">
      <w:pPr>
        <w:pStyle w:val="00000"/>
        <w:rPr>
          <w:rtl/>
        </w:rPr>
      </w:pPr>
      <w:r w:rsidRPr="00BC50C9">
        <w:rPr>
          <w:rtl/>
        </w:rPr>
        <w:t xml:space="preserve">وبالتعقيب على ما تم تناوله يمكن استخلاص أن تُعد قواعد الاستدامة المالية إطارًا تنظيميًا يهدف إلى ضمان إدارة الموارد المالية بشكل مسؤول ومستدام فمن أبرز هذه القواعد تحديد سقف للعجز المالي، الذي يضمن ألا تتجاوز النفقات الإيرادات بشكل مفرط. هناك أيضًا قاعدة الدين العام، التي تحدد نسبة معينة من الناتج المحلي الإجمالي كحد أقصى للدين، مما يقلل من </w:t>
      </w:r>
      <w:proofErr w:type="gramStart"/>
      <w:r w:rsidRPr="00BC50C9">
        <w:rPr>
          <w:rtl/>
        </w:rPr>
        <w:t>مخاطر</w:t>
      </w:r>
      <w:proofErr w:type="gramEnd"/>
      <w:r w:rsidRPr="00BC50C9">
        <w:rPr>
          <w:rtl/>
        </w:rPr>
        <w:t xml:space="preserve"> التمويل المفرط.</w:t>
      </w:r>
    </w:p>
    <w:p w14:paraId="5DF29104" w14:textId="012B5EEB" w:rsidR="009A288C" w:rsidRPr="00BC50C9" w:rsidRDefault="00955D27" w:rsidP="00955D27">
      <w:pPr>
        <w:pStyle w:val="113"/>
        <w:rPr>
          <w:lang w:bidi="ar-EG"/>
        </w:rPr>
      </w:pPr>
      <w:bookmarkStart w:id="50" w:name="_Toc195456515"/>
      <w:r>
        <w:rPr>
          <w:rFonts w:hint="cs"/>
          <w:rtl/>
          <w:lang w:bidi="ar-EG"/>
        </w:rPr>
        <w:t xml:space="preserve">6.6.1 </w:t>
      </w:r>
      <w:r w:rsidR="009A288C" w:rsidRPr="00BC50C9">
        <w:rPr>
          <w:rtl/>
          <w:lang w:bidi="ar-EG"/>
        </w:rPr>
        <w:t>متطلبات تفعيل الاستدامة المالية</w:t>
      </w:r>
      <w:bookmarkEnd w:id="50"/>
    </w:p>
    <w:p w14:paraId="3DB22C6E" w14:textId="77777777" w:rsidR="009A288C" w:rsidRPr="00BC50C9" w:rsidRDefault="009A288C" w:rsidP="00955D27">
      <w:pPr>
        <w:pStyle w:val="00000"/>
        <w:rPr>
          <w:rtl/>
        </w:rPr>
      </w:pPr>
      <w:r w:rsidRPr="00BC50C9">
        <w:rPr>
          <w:rtl/>
        </w:rPr>
        <w:t xml:space="preserve">تعتبر التشريعات والسياسات الداعمة، التي تضمن وجود إطار قانوني يدعم الاستدامة المالية إلى جانب التوعية والتدريب، حيث يجب تعزيز الوعي بأهمية الاستدامة المالية وتدريب الكوادر على إدارة الموارد بشكل فعال؛ وهو ما توصل إليه محمد وحسين (2016، ص.141) فمن المهم أن تسعى الحكومة إلى تنسيق السياسات المالية والنقدية بهدف تحقيق نمو مستدام دون اللجوء إلى زيادة مفرطة في الإنفاق أو ارتفاع الدين العام، ولتحقيق الاستدامة المالية، ينبغي الاعتماد على الدين العام الداخلي من خلال وضع استراتيجية لإنشاء سوق للسندات الحكومية، فهذا سيُمكن الحكومة من تمويل ديونها عبر الأسواق المالية </w:t>
      </w:r>
      <w:r w:rsidRPr="00BC50C9">
        <w:rPr>
          <w:rtl/>
        </w:rPr>
        <w:lastRenderedPageBreak/>
        <w:t>بشكل أكثر فعالية، كما يمكن أن تسهم سوق الدين في إصلاح القطاع المالي وتحسين هيكليته، بالإضافة إلى توفير مصادر تمويل إضافية وتعزيز الاستقرار الاقتصادي ودعم النمو من خلال التعاون بين القطاعين العام والخاص.</w:t>
      </w:r>
    </w:p>
    <w:p w14:paraId="775F59F7" w14:textId="77777777" w:rsidR="009A288C" w:rsidRPr="00BC50C9" w:rsidRDefault="009A288C" w:rsidP="00955D27">
      <w:pPr>
        <w:pStyle w:val="00000"/>
        <w:rPr>
          <w:rtl/>
        </w:rPr>
      </w:pPr>
      <w:r w:rsidRPr="00BC50C9">
        <w:rPr>
          <w:rtl/>
        </w:rPr>
        <w:t>وعليه لا يمكن بأي شكل من الأشكال تحسين الأداء الحكومي وتحقيق التميز دون التركيز على تعزيز قيم الحوكمة الجيدة في إدارة المالية العامة، والتي تسهم في تحقيق الاستقرار الاقتصادي وبالتالي الاستدامة المالية، يتطلب تحسين الوضع المالي للخزينة العمومية رفع كفاءة وحوكمة الإنفاق العام، بالإضافة إلى تحسين مصادر الإيرادات العامة من خلال تطبيق الحوكمة الضريبية وضمان استدامة التمويل العمومي، كل هذه العناصر تشكل جزءًا أساسيًا من الإصلاح في مجال المالية العامة، وتساهم في تعزيز الاستدامة المالية (بواضح، 2021، ص.407).</w:t>
      </w:r>
    </w:p>
    <w:p w14:paraId="200B490D" w14:textId="77777777" w:rsidR="009A288C" w:rsidRPr="00BC50C9" w:rsidRDefault="009A288C" w:rsidP="00955D27">
      <w:pPr>
        <w:pStyle w:val="00000"/>
        <w:rPr>
          <w:rtl/>
        </w:rPr>
      </w:pPr>
      <w:r w:rsidRPr="00BC50C9">
        <w:rPr>
          <w:rtl/>
        </w:rPr>
        <w:t>ولتحقيق الاستدامة المالية، يجب أن تظل نسبة الدين إلى الناتج المحلي الإجمالي ثابتة، هذا يتيح إمكانية عودة هذه النسبة إلى مستوياتها الأصلية في حال حدوث أي تغييرات غير متوقعة، وبالتالي، يتطلب الأمر أن تكون الإيرادات المالية للدولة كافية لتغطية الديون المستقبلية دون الحاجة إلى إعادة جدولتها أو الاقتراض مرة أخرى لسداد الدين (طوبال وبن دعاس، 2023، ص.200).</w:t>
      </w:r>
    </w:p>
    <w:p w14:paraId="6BFE35FC" w14:textId="77777777" w:rsidR="009A288C" w:rsidRPr="00BC50C9" w:rsidRDefault="009A288C" w:rsidP="00955D27">
      <w:pPr>
        <w:pStyle w:val="00000"/>
        <w:rPr>
          <w:rtl/>
        </w:rPr>
      </w:pPr>
      <w:r w:rsidRPr="00BC50C9">
        <w:rPr>
          <w:rtl/>
        </w:rPr>
        <w:t>كما يتطلب تحقيق المؤسسات للاستدامة المالية توافر مجموعة من الشروط لضمان قدرتها على الاستمرار في تحقيق أهدافها المالية والاقتصادية، ويجب عليها إدارة الإيرادات والمصروفات بشكل مسؤول، وذلك من خلال قيادة حكيمة تستثمر الوقت والمال، وتلتزم على المدى الطويل، وتوفر خطة عمل استراتيجية، بالإضافة إلى ذلك، يتطلب الأمر العمل الجماعي ووجود إدارة مالية تتمتع بالكفاءات اللازمة، تسعى لإنشاء نظام مالي وإداري يمكنها من اتخاذ قرارات مالية تعزز كفاءة المؤسسات، كما ينبغي تطوير أسس وآليات الموازنات التقديرية ورسم استراتيجيات تهدف إلى تقليل النفقات (محمد، 2024، ص.455).</w:t>
      </w:r>
    </w:p>
    <w:p w14:paraId="126A0294" w14:textId="77777777" w:rsidR="009A288C" w:rsidRPr="00BC50C9" w:rsidRDefault="009A288C" w:rsidP="00955D27">
      <w:pPr>
        <w:pStyle w:val="00000"/>
        <w:rPr>
          <w:rtl/>
        </w:rPr>
      </w:pPr>
      <w:r w:rsidRPr="00BC50C9">
        <w:rPr>
          <w:rtl/>
        </w:rPr>
        <w:t>حيث يتوجب على الشركات الذين يسعون إلى تنفيذ الاستدامة المالية اتباع عدة خطوات وتلبية المتطلبات اللازمة لتحقيقها وذلك من خلال (</w:t>
      </w:r>
      <w:r w:rsidRPr="00BC50C9">
        <w:rPr>
          <w:color w:val="222222"/>
          <w:shd w:val="clear" w:color="auto" w:fill="FFFFFF"/>
        </w:rPr>
        <w:t>Park, 2019, p.12</w:t>
      </w:r>
      <w:r w:rsidRPr="00BC50C9">
        <w:rPr>
          <w:rtl/>
        </w:rPr>
        <w:t xml:space="preserve">): </w:t>
      </w:r>
    </w:p>
    <w:p w14:paraId="07F1AF53" w14:textId="77777777" w:rsidR="009A288C" w:rsidRPr="00BC50C9" w:rsidRDefault="009A288C">
      <w:pPr>
        <w:numPr>
          <w:ilvl w:val="0"/>
          <w:numId w:val="31"/>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زيادة الكفاءة التنظيمية والفعالية في إدارة الأعمال.</w:t>
      </w:r>
    </w:p>
    <w:p w14:paraId="5DDFC889" w14:textId="77777777" w:rsidR="009A288C" w:rsidRPr="00BC50C9" w:rsidRDefault="009A288C">
      <w:pPr>
        <w:numPr>
          <w:ilvl w:val="0"/>
          <w:numId w:val="31"/>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تلبية توقعات الممولين.</w:t>
      </w:r>
    </w:p>
    <w:p w14:paraId="6D1D1140" w14:textId="77777777" w:rsidR="009A288C" w:rsidRPr="00BC50C9" w:rsidRDefault="009A288C">
      <w:pPr>
        <w:numPr>
          <w:ilvl w:val="0"/>
          <w:numId w:val="31"/>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تحقيق الأهداف التنظيمية بنجاح وفعالية من حيث الرقابة الداخلية.</w:t>
      </w:r>
    </w:p>
    <w:p w14:paraId="0F2BAA28" w14:textId="77777777" w:rsidR="009A288C" w:rsidRPr="00BC50C9" w:rsidRDefault="009A288C">
      <w:pPr>
        <w:numPr>
          <w:ilvl w:val="0"/>
          <w:numId w:val="31"/>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إبلاغ النتائج المالية والأداء إلى كل من أصحاب المصلحة الداخليين والخارجيين.</w:t>
      </w:r>
    </w:p>
    <w:p w14:paraId="192B7535" w14:textId="77777777" w:rsidR="009A288C" w:rsidRPr="00BC50C9" w:rsidRDefault="009A288C">
      <w:pPr>
        <w:numPr>
          <w:ilvl w:val="0"/>
          <w:numId w:val="31"/>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تطبيق أدوات التسويق من المنظمات الهادفة للربح أو التسويق للعلاقات بين إدارة الجهات المانحة.</w:t>
      </w:r>
    </w:p>
    <w:p w14:paraId="333C4055" w14:textId="77777777" w:rsidR="009A288C" w:rsidRPr="00BC50C9" w:rsidRDefault="009A288C" w:rsidP="00955D27">
      <w:pPr>
        <w:pStyle w:val="00000"/>
      </w:pPr>
      <w:r w:rsidRPr="00BC50C9">
        <w:rPr>
          <w:rtl/>
        </w:rPr>
        <w:t xml:space="preserve">مما سبق يمكن استخلاص أنه لتفعيل الاستدامة المالية، هناك عدة متطلبات أساسية يجب توافرها. أولاً، الشفافية والمساءلة، حيث يجب أن تكون المعلومات المالية متاحة وواضحة لجميع أصحاب المصلحة، مما يعزز الثقة ويسهل عملية اتخاذ القرارات. ثانيًا، التخطيط الاستراتيجي، الذي يتضمن وضع أهداف مالية </w:t>
      </w:r>
      <w:r w:rsidRPr="00BC50C9">
        <w:rPr>
          <w:rtl/>
        </w:rPr>
        <w:lastRenderedPageBreak/>
        <w:t>واضحة وواقعية تعكس الأولويات الاقتصادية والاجتماعية. ثالثًا، إدارة فعالة للموارد، حيث يجب تحقيق التوازن بين الإيرادات والنفقات، والاستثمار في مشاريع ذات عوائد مستدامة.</w:t>
      </w:r>
    </w:p>
    <w:p w14:paraId="297CBAB2" w14:textId="7840A2C9" w:rsidR="009A288C" w:rsidRPr="00BC50C9" w:rsidRDefault="009479DE" w:rsidP="009479DE">
      <w:pPr>
        <w:pStyle w:val="113"/>
        <w:rPr>
          <w:lang w:bidi="ar-EG"/>
        </w:rPr>
      </w:pPr>
      <w:bookmarkStart w:id="51" w:name="_Toc195456516"/>
      <w:r>
        <w:rPr>
          <w:rFonts w:hint="cs"/>
          <w:rtl/>
          <w:lang w:bidi="ar-EG"/>
        </w:rPr>
        <w:t xml:space="preserve">7.6.1 </w:t>
      </w:r>
      <w:r w:rsidR="009A288C" w:rsidRPr="00BC50C9">
        <w:rPr>
          <w:rtl/>
          <w:lang w:bidi="ar-EG"/>
        </w:rPr>
        <w:t>معوقات تنفيذ الاستدامة المالية</w:t>
      </w:r>
      <w:bookmarkEnd w:id="51"/>
    </w:p>
    <w:p w14:paraId="311312E2" w14:textId="77777777" w:rsidR="009A288C" w:rsidRPr="00BC50C9" w:rsidRDefault="009A288C" w:rsidP="009479DE">
      <w:pPr>
        <w:pStyle w:val="00000"/>
        <w:rPr>
          <w:rtl/>
        </w:rPr>
      </w:pPr>
      <w:r w:rsidRPr="00BC50C9">
        <w:rPr>
          <w:rtl/>
        </w:rPr>
        <w:t xml:space="preserve">الديون المرتفعة، التي قد تثقل كاهل الحكومات أو المؤسسات وتحد من قدرتها على تحقيق التوازن المالي كما أن ضعف التخطيط الاستراتيجي قد يؤدي عدم وجود أهداف مالية واضحة إلى سوء إدارة الموارد؛ وهو ما أكد عليه الكيلاني وآخرون (2017، ص.38) بأن </w:t>
      </w:r>
      <w:r w:rsidRPr="00BC50C9">
        <w:rPr>
          <w:vanish/>
          <w:rtl/>
        </w:rPr>
        <w:t>أ</w:t>
      </w:r>
      <w:r w:rsidRPr="00BC50C9">
        <w:rPr>
          <w:rtl/>
        </w:rPr>
        <w:t>أصبحت أزمة الديون العامة في الآونة الأخيرة تهدد العديد من الدول نتيجة الارتفاع الكبير في مستويات الديون السيادية لبعض الاقتصادات الكبرى، وقد أدى ذلك إلى مواجهة خطر عدم القدرة على الوفاء بالالتزامات المالية، مما يهدد استقرارها المالي والاقتصادي، ففي عام 2010، بلغ التصنيف الائتماني لليونان أدنى مستوياته، مما جعلها تواجه خطر الإفلاس بسبب العجز في ميزانيتها، وانتقل هذا التهديد إلى دول أخرى مثل إسبانيا والبرتغال، مما زاد من مخاطر الإعسار، وقد استجابت هذه الدول بزيادة إنفاقها العام وتنفيذ حزم مالية لتحفيز الاقتصاد، إلا أن هذه السياسات أدت إلى تفاقم ديونها، مما يهدد استدامة سياستها المالية.</w:t>
      </w:r>
    </w:p>
    <w:p w14:paraId="43C8483C" w14:textId="77777777" w:rsidR="009A288C" w:rsidRPr="00BC50C9" w:rsidRDefault="009A288C" w:rsidP="009479DE">
      <w:pPr>
        <w:pStyle w:val="00000"/>
        <w:rPr>
          <w:rtl/>
        </w:rPr>
      </w:pPr>
      <w:r w:rsidRPr="00BC50C9">
        <w:rPr>
          <w:rtl/>
        </w:rPr>
        <w:t>كما تُعتبر الديون العامة واستدامتها من القضايا الجوهرية في السياسات الاقتصادية على مر السنين، في البداية، كانت مشكلة الديون تقتصر على الدول النامية، لكنها الآن تؤثر أيضًا على الدول المتقدمة مثل الولايات المتحدة ودول الاتحاد الأوروبي، ومع وجود الدين العام، يصبح من الضروري إدارة هذا الدين بفعالية لتحقيق الفوائد وتقليل الآثار السلبية، من المهم تحديد الحجم المثالي للدين العام لضمان قدرة الدول على سداد ديونها واستمرار تمويل السياسات التنموية، حيث قد يتغير هذا الحجم مع مرور الوقت لكل دولة(عبد العزيز، 2020، ص.5).</w:t>
      </w:r>
    </w:p>
    <w:p w14:paraId="7588015B" w14:textId="77777777" w:rsidR="009A288C" w:rsidRPr="00BC50C9" w:rsidRDefault="009A288C" w:rsidP="009479DE">
      <w:pPr>
        <w:pStyle w:val="00000"/>
        <w:rPr>
          <w:rtl/>
        </w:rPr>
      </w:pPr>
      <w:r w:rsidRPr="00BC50C9">
        <w:rPr>
          <w:rtl/>
        </w:rPr>
        <w:t>وبالتالي تتطلب الاستدامة المالية تجنب الزيادة المفرطة في الديون الحكومية لأنها تُمثل عبئًا على الأجيال القادمة، فالاعتماد على الاقتراض لتمويل النفقات الحالية يؤدي إلى تحميل الأجيال المستقبلية تبعات القرارات المالية الراهنة، وستضطر الأجيال القادمة التخلي عن جزء من دخولها لسداد القروض، فاقتراض الحكومة اليوم يحول الاستهلاك من المستقبل إلى الحاضر، مما يلزم الأجيال القادمة بتقليل استهلاكها، فهذا يعني أن الأجيال الحالية قد تعيش على حساب الأجيال القادمة إذا لم تحد الحكومة من زيادة الدين العام (آل طعمه، 2019، ص.115).</w:t>
      </w:r>
    </w:p>
    <w:p w14:paraId="7DA8FEE9" w14:textId="77777777" w:rsidR="009A288C" w:rsidRPr="00BC50C9" w:rsidRDefault="009A288C" w:rsidP="009479DE">
      <w:pPr>
        <w:pStyle w:val="00000"/>
        <w:rPr>
          <w:rtl/>
        </w:rPr>
      </w:pPr>
      <w:r w:rsidRPr="00BC50C9">
        <w:rPr>
          <w:rtl/>
        </w:rPr>
        <w:t xml:space="preserve">وعلاوة على ذلك يُعتبر ارتفاع نسبة الدين العام مقارنة بالناتج المحلي من أبرز المعوقات التي تؤثر سلباً على تنفيذ استدامة المالية العامة، بالإضافة إلى ذلك، تلعب أسعار الفائدة الحقيقية ومعدلات نمو الناتج المحلي ومعدلات نمو النفقات والإيرادات دوراً مهماً في هذا السياق، إن زيادة الإنفاق العام وارتفاع معدلات نموه، في ظل عدم تزايد الإيرادات العامة وتدهور النمو الاقتصادي وارتفاع الفائدة الحقيقية المتوقعة، قد تؤدي إلى زيادة نسبة الدين العام إلى الناتج المحلي، مما قد يُهدد الملاءة المالية للدولة، لذلك، تسعى </w:t>
      </w:r>
      <w:r w:rsidRPr="00BC50C9">
        <w:rPr>
          <w:rtl/>
        </w:rPr>
        <w:lastRenderedPageBreak/>
        <w:t>الدول إلى الحفاظ على استدامتها المالية من خلال خفض تكاليف تمويل ديونها، مما يساهم في تحقيق الاستقرار الاقتصادي (راضي وآخرون، 2018، ص.18).</w:t>
      </w:r>
    </w:p>
    <w:p w14:paraId="57481E6A" w14:textId="14A75F41" w:rsidR="009A288C" w:rsidRPr="00BC50C9" w:rsidRDefault="009A288C" w:rsidP="009479DE">
      <w:pPr>
        <w:pStyle w:val="00000"/>
        <w:rPr>
          <w:rtl/>
        </w:rPr>
      </w:pPr>
      <w:r w:rsidRPr="00BC50C9">
        <w:rPr>
          <w:rtl/>
        </w:rPr>
        <w:t>وتُعد قضية الدين الحكومي المصري وحدوده غير الآمنة من القضايا الاقتصادية الهامة التي واجهت صناع السياسات في السنوات الأخيرة، شهد الدين العام في مصر زيادة كبيرة، حيث بلغ 107% من الناتج المحلي الإجمالي بنهاية عام 2022، ليست مصر الوحيدة في هذا الوضع، إذ لاحظت العديد من الدول، سواء ذات النمو المرتفع أو المنخفض، نفس الاتجاه في العقود الماضية، يعكس هذا الارتفاع وجود تشوهات في الأنماط الحالية للضرائب والإنفاق، هذا يشير إلى عدم القدرة على الاستدامة المالية وعدم إمكانية الاستمرار في الاقتراض لفترة أطول (السيد وآخرون، 2024، ص.1002).</w:t>
      </w:r>
    </w:p>
    <w:p w14:paraId="04C3A666" w14:textId="77777777" w:rsidR="009A288C" w:rsidRPr="00BC50C9" w:rsidRDefault="009A288C" w:rsidP="009479DE">
      <w:pPr>
        <w:pStyle w:val="00000"/>
        <w:rPr>
          <w:rtl/>
        </w:rPr>
      </w:pPr>
      <w:r w:rsidRPr="00BC50C9">
        <w:rPr>
          <w:rtl/>
        </w:rPr>
        <w:t>حيث تتميز الاستدامة المالية بالعديد من المميزات التي تجعلها ذات دور هام في الشركات وتحقيق أهدافها المستدامة، وعلى الرغم من ذلك تواجه بعض التحديات والمعوقات التي تعوق حركة الاستدامة المالية في الشركات، وقد أشار إليها "" (</w:t>
      </w:r>
      <w:r w:rsidRPr="00BC50C9">
        <w:rPr>
          <w:color w:val="222222"/>
          <w:shd w:val="clear" w:color="auto" w:fill="FFFFFF"/>
        </w:rPr>
        <w:t>Lubega</w:t>
      </w:r>
      <w:r w:rsidRPr="00BC50C9">
        <w:t>, 2020, p.25</w:t>
      </w:r>
      <w:r w:rsidRPr="00BC50C9">
        <w:rPr>
          <w:rtl/>
        </w:rPr>
        <w:t xml:space="preserve">) كالآتي: </w:t>
      </w:r>
    </w:p>
    <w:p w14:paraId="60D33B05" w14:textId="77777777" w:rsidR="009A288C" w:rsidRPr="00BC50C9" w:rsidRDefault="009A288C">
      <w:pPr>
        <w:numPr>
          <w:ilvl w:val="0"/>
          <w:numId w:val="32"/>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عدم سداد القروض من قٍبل العملاء:</w:t>
      </w:r>
      <w:r w:rsidRPr="00BC50C9">
        <w:rPr>
          <w:rFonts w:ascii="Times New Roman" w:eastAsia="Calibri" w:hAnsi="Times New Roman" w:cs="Simplified Arabic"/>
          <w:kern w:val="2"/>
          <w:sz w:val="24"/>
          <w:szCs w:val="28"/>
          <w:rtl/>
          <w:lang w:bidi="ar-EG"/>
          <w14:ligatures w14:val="standardContextual"/>
        </w:rPr>
        <w:t xml:space="preserve"> ففي الكثير من الأحيان يقوم العديد من العملاء بالحصول على قروض أعلى من المبلغ الذي يمكنهم سداده، والفشل في الحصول على إرشادات محددة وواضحة لتوجيه الاختيار من العملاء الجديرين بالثقة والائتمان.</w:t>
      </w:r>
    </w:p>
    <w:p w14:paraId="228C0FDA" w14:textId="77777777" w:rsidR="009A288C" w:rsidRPr="00BC50C9" w:rsidRDefault="009A288C">
      <w:pPr>
        <w:numPr>
          <w:ilvl w:val="0"/>
          <w:numId w:val="32"/>
        </w:numPr>
        <w:bidi/>
        <w:spacing w:before="120" w:after="120" w:line="240" w:lineRule="auto"/>
        <w:ind w:left="708"/>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ارتفاع سعر الفائدة على القروض من البنوك:</w:t>
      </w:r>
      <w:r w:rsidRPr="00BC50C9">
        <w:rPr>
          <w:rFonts w:ascii="Times New Roman" w:eastAsia="Calibri" w:hAnsi="Times New Roman" w:cs="Simplified Arabic"/>
          <w:kern w:val="2"/>
          <w:sz w:val="24"/>
          <w:szCs w:val="28"/>
          <w:rtl/>
          <w:lang w:bidi="ar-EG"/>
          <w14:ligatures w14:val="standardContextual"/>
        </w:rPr>
        <w:t xml:space="preserve"> حيث تفتقر إلى التعليمات التي تؤدي إلى ثغرات في إساءة الاستخدام.</w:t>
      </w:r>
    </w:p>
    <w:p w14:paraId="7248DA49" w14:textId="77777777" w:rsidR="009A288C" w:rsidRPr="00BC50C9" w:rsidRDefault="009A288C">
      <w:pPr>
        <w:numPr>
          <w:ilvl w:val="0"/>
          <w:numId w:val="32"/>
        </w:numPr>
        <w:bidi/>
        <w:spacing w:before="120" w:after="120" w:line="240" w:lineRule="auto"/>
        <w:ind w:left="708"/>
        <w:contextualSpacing/>
        <w:jc w:val="both"/>
        <w:rPr>
          <w:rFonts w:ascii="Times New Roman" w:eastAsia="Calibri" w:hAnsi="Times New Roman" w:cs="Simplified Arabic"/>
          <w:b/>
          <w:bCs/>
          <w:kern w:val="2"/>
          <w:sz w:val="24"/>
          <w:szCs w:val="28"/>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عدم وجود تنظيم مناسب وضعف الحكم.</w:t>
      </w:r>
    </w:p>
    <w:p w14:paraId="6FEB1648" w14:textId="77777777" w:rsidR="009A288C" w:rsidRPr="00BC50C9" w:rsidRDefault="009A288C">
      <w:pPr>
        <w:numPr>
          <w:ilvl w:val="0"/>
          <w:numId w:val="32"/>
        </w:numPr>
        <w:bidi/>
        <w:spacing w:before="120" w:after="120" w:line="240" w:lineRule="auto"/>
        <w:ind w:left="708"/>
        <w:contextualSpacing/>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b/>
          <w:bCs/>
          <w:kern w:val="2"/>
          <w:sz w:val="24"/>
          <w:szCs w:val="28"/>
          <w:rtl/>
          <w:lang w:bidi="ar-EG"/>
          <w14:ligatures w14:val="standardContextual"/>
        </w:rPr>
        <w:t>نقص الموظفين المؤهلين في الجوانب المالية المساهمة في الفشل:</w:t>
      </w:r>
      <w:r w:rsidRPr="00BC50C9">
        <w:rPr>
          <w:rFonts w:ascii="Times New Roman" w:eastAsia="Calibri" w:hAnsi="Times New Roman" w:cs="Simplified Arabic"/>
          <w:kern w:val="2"/>
          <w:sz w:val="24"/>
          <w:szCs w:val="28"/>
          <w:rtl/>
          <w:lang w:bidi="ar-EG"/>
          <w14:ligatures w14:val="standardContextual"/>
        </w:rPr>
        <w:t xml:space="preserve"> وتتمثل في عدم انقضاء القضايا المالية بشكل مهني، وإذا لم تعتمد الكيانات المالية على ممارسات جيدة في إدارة المخاطر مثل الوضوح وإرشادات حول كيفية اختيار العملاء، فمن غير المرجح أن يحققوا الاستدامة المالية.</w:t>
      </w:r>
    </w:p>
    <w:p w14:paraId="28C2BA6C" w14:textId="77777777" w:rsidR="009A288C" w:rsidRPr="00BC50C9" w:rsidRDefault="009A288C" w:rsidP="007E5DCF">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كما تواجه المؤسسات العديد من المعوقات، مثلما أشار </w:t>
      </w:r>
      <w:proofErr w:type="spellStart"/>
      <w:r w:rsidRPr="00BC50C9">
        <w:rPr>
          <w:rFonts w:ascii="Times New Roman" w:eastAsia="Calibri" w:hAnsi="Times New Roman" w:cs="Simplified Arabic"/>
          <w:sz w:val="24"/>
          <w:szCs w:val="28"/>
          <w:rtl/>
          <w:lang w:bidi="ar-EG"/>
        </w:rPr>
        <w:t>الشيبي</w:t>
      </w:r>
      <w:proofErr w:type="spellEnd"/>
      <w:r w:rsidRPr="00BC50C9">
        <w:rPr>
          <w:rFonts w:ascii="Times New Roman" w:eastAsia="Calibri" w:hAnsi="Times New Roman" w:cs="Simplified Arabic"/>
          <w:sz w:val="24"/>
          <w:szCs w:val="28"/>
          <w:rtl/>
          <w:lang w:bidi="ar-EG"/>
        </w:rPr>
        <w:t xml:space="preserve"> (2022، ص.84) ومن أبرزها</w:t>
      </w:r>
      <w:r w:rsidRPr="00BC50C9">
        <w:rPr>
          <w:rFonts w:ascii="Times New Roman" w:eastAsia="Calibri" w:hAnsi="Times New Roman" w:cs="Simplified Arabic"/>
          <w:sz w:val="24"/>
          <w:szCs w:val="28"/>
          <w:lang w:bidi="ar-EG"/>
        </w:rPr>
        <w:t>:</w:t>
      </w:r>
    </w:p>
    <w:p w14:paraId="51769B39"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المنافسة من المؤسسات الأخرى، التي تُعتبر من العوامل الرئيسية التي تعيق الاستدامة المالية</w:t>
      </w:r>
      <w:r w:rsidRPr="00BC50C9">
        <w:rPr>
          <w:rFonts w:ascii="Times New Roman" w:eastAsia="Calibri" w:hAnsi="Times New Roman" w:cs="Simplified Arabic"/>
          <w:kern w:val="2"/>
          <w:sz w:val="24"/>
          <w:szCs w:val="28"/>
          <w14:ligatures w14:val="standardContextual"/>
        </w:rPr>
        <w:t>.</w:t>
      </w:r>
    </w:p>
    <w:p w14:paraId="4E2DB951"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القروض المقدمة من الجهات المانحة، خاصة عندما تكون ذات أهداف شخصية وغير نزيهة</w:t>
      </w:r>
      <w:r w:rsidRPr="00BC50C9">
        <w:rPr>
          <w:rFonts w:ascii="Times New Roman" w:eastAsia="Calibri" w:hAnsi="Times New Roman" w:cs="Simplified Arabic"/>
          <w:kern w:val="2"/>
          <w:sz w:val="24"/>
          <w:szCs w:val="28"/>
          <w14:ligatures w14:val="standardContextual"/>
        </w:rPr>
        <w:t>.</w:t>
      </w:r>
    </w:p>
    <w:p w14:paraId="4B2B2993"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غياب الأثر الإيجابي في المجتمع الناتج عن البرامج التي تقدمها المؤسسة</w:t>
      </w:r>
      <w:r w:rsidRPr="00BC50C9">
        <w:rPr>
          <w:rFonts w:ascii="Times New Roman" w:eastAsia="Calibri" w:hAnsi="Times New Roman" w:cs="Simplified Arabic"/>
          <w:kern w:val="2"/>
          <w:sz w:val="24"/>
          <w:szCs w:val="28"/>
          <w14:ligatures w14:val="standardContextual"/>
        </w:rPr>
        <w:t>.</w:t>
      </w:r>
    </w:p>
    <w:p w14:paraId="51E6BB60" w14:textId="77777777" w:rsidR="009A288C" w:rsidRPr="00BC50C9" w:rsidRDefault="009A288C">
      <w:pPr>
        <w:numPr>
          <w:ilvl w:val="0"/>
          <w:numId w:val="16"/>
        </w:numPr>
        <w:bidi/>
        <w:spacing w:before="120" w:after="120" w:line="240" w:lineRule="auto"/>
        <w:contextualSpacing/>
        <w:jc w:val="both"/>
        <w:rPr>
          <w:rFonts w:ascii="Times New Roman" w:eastAsia="Calibri" w:hAnsi="Times New Roman" w:cs="Simplified Arabic"/>
          <w:kern w:val="2"/>
          <w:sz w:val="24"/>
          <w:szCs w:val="28"/>
          <w14:ligatures w14:val="standardContextual"/>
        </w:rPr>
      </w:pPr>
      <w:r w:rsidRPr="00BC50C9">
        <w:rPr>
          <w:rFonts w:ascii="Times New Roman" w:eastAsia="Calibri" w:hAnsi="Times New Roman" w:cs="Simplified Arabic"/>
          <w:kern w:val="2"/>
          <w:sz w:val="24"/>
          <w:szCs w:val="28"/>
          <w:rtl/>
          <w14:ligatures w14:val="standardContextual"/>
        </w:rPr>
        <w:t>الإنفاق من أموال المؤسسة دون وجود تخطيط سليم أو رقابة، بالإضافة إلى ضعف نظام الحوكمة.</w:t>
      </w:r>
    </w:p>
    <w:p w14:paraId="1BAF3CF3" w14:textId="77777777" w:rsidR="009A288C" w:rsidRPr="00BC50C9" w:rsidRDefault="009A288C" w:rsidP="007E5DCF">
      <w:pPr>
        <w:pStyle w:val="00000"/>
        <w:rPr>
          <w:rtl/>
        </w:rPr>
      </w:pPr>
      <w:r w:rsidRPr="00BC50C9">
        <w:rPr>
          <w:rtl/>
        </w:rPr>
        <w:t xml:space="preserve">وعليه فإن موضوع الاستدامة المالية ومخاطر ارتفاع مستويات المديونية وعدم القدرة على السداد ليس جديدًا، لكنه يكتسب أهمية متزايدة خاصة في ظل الأزمات، مع استمرار حالة عدم اليقين على الصعيد العالمي نتيجة لتداعيات جائحة كوفيد-19، والزيادة السريعة في الدين العام، قد نشهد ارتفاعًا في حالات تخلف الدول عن سداد ديونها، كما أن ارتفاع معدلات التضخم عالميًا بسبب زيادة أسعار السلع وتعطل سلاسل التوريد يساهم في تفاقم هذه المشكلة، بالإضافة إلى ذلك، فإن ارتفاع أسعار الفائدة يُعزز من هذه </w:t>
      </w:r>
      <w:r w:rsidRPr="00BC50C9">
        <w:rPr>
          <w:rtl/>
        </w:rPr>
        <w:lastRenderedPageBreak/>
        <w:t>المخاطر، كما أن تداعيات الغزو الروسي لأوكرانيا قد تزيد من تعقيد الأزمة وتفاقم الاحتمالات (</w:t>
      </w:r>
      <w:proofErr w:type="spellStart"/>
      <w:r w:rsidRPr="00BC50C9">
        <w:rPr>
          <w:rtl/>
        </w:rPr>
        <w:t>بوربيعة</w:t>
      </w:r>
      <w:proofErr w:type="spellEnd"/>
      <w:r w:rsidRPr="00BC50C9">
        <w:rPr>
          <w:rtl/>
        </w:rPr>
        <w:t>، 2022، ص.225).</w:t>
      </w:r>
    </w:p>
    <w:p w14:paraId="2CC1FF69" w14:textId="77777777" w:rsidR="009A288C" w:rsidRPr="00BC50C9" w:rsidRDefault="009A288C" w:rsidP="007E5DCF">
      <w:pPr>
        <w:pStyle w:val="00000"/>
        <w:rPr>
          <w:rtl/>
        </w:rPr>
      </w:pPr>
      <w:r w:rsidRPr="00BC50C9">
        <w:rPr>
          <w:rtl/>
        </w:rPr>
        <w:t>واستنادًا لما تم ذكره يمكن التوصل إلى أن واجه تنفيذ الاستدامة المالية عدة معوقات يمكن أن تعيق تحقيقها في التالي:</w:t>
      </w:r>
    </w:p>
    <w:p w14:paraId="29701D69" w14:textId="77777777" w:rsidR="009A288C" w:rsidRPr="00BC50C9" w:rsidRDefault="009A288C">
      <w:pPr>
        <w:numPr>
          <w:ilvl w:val="0"/>
          <w:numId w:val="27"/>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الافتقار إلى الشفافية، حيث قد تؤدي نقص المعلومات المالية الواضحة إلى صعوبة في اتخاذ القرارات السليمة.</w:t>
      </w:r>
      <w:r w:rsidRPr="00BC50C9">
        <w:rPr>
          <w:rFonts w:ascii="Times New Roman" w:eastAsia="Calibri" w:hAnsi="Times New Roman" w:cs="Simplified Arabic"/>
          <w:kern w:val="2"/>
          <w:sz w:val="24"/>
          <w:szCs w:val="28"/>
          <w:rtl/>
          <w14:ligatures w14:val="standardContextual"/>
        </w:rPr>
        <w:t xml:space="preserve"> </w:t>
      </w:r>
    </w:p>
    <w:p w14:paraId="4D251CCF" w14:textId="77777777" w:rsidR="009A288C" w:rsidRPr="00BC50C9" w:rsidRDefault="009A288C">
      <w:pPr>
        <w:numPr>
          <w:ilvl w:val="0"/>
          <w:numId w:val="27"/>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التقلبات الاقتصادية، مثل الأزمات المالية أو التغيرات في أسواق العمل، التي قد تؤثر سلبًا على الاستقرار المالي.</w:t>
      </w:r>
    </w:p>
    <w:p w14:paraId="23CF1EF9" w14:textId="77777777" w:rsidR="009A288C" w:rsidRPr="00BC50C9" w:rsidRDefault="009A288C">
      <w:pPr>
        <w:numPr>
          <w:ilvl w:val="0"/>
          <w:numId w:val="27"/>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الافتقار إلى الكوادر المؤهلة، حيث قد يؤدي نقص الخبرة في إدارة الموارد المالية إلى إجراءات غير فعالة.</w:t>
      </w:r>
    </w:p>
    <w:p w14:paraId="5BE3EDE7" w14:textId="77777777" w:rsidR="009A288C" w:rsidRPr="00BC50C9" w:rsidRDefault="009A288C">
      <w:pPr>
        <w:numPr>
          <w:ilvl w:val="0"/>
          <w:numId w:val="27"/>
        </w:numPr>
        <w:bidi/>
        <w:spacing w:before="120" w:after="120" w:line="240" w:lineRule="auto"/>
        <w:contextualSpacing/>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الضغوط السياسية، التي قد تدفع إلى تبني سياسات مالية قصيرة الأجل على حساب الاستدامة طويلة الأجل.</w:t>
      </w:r>
    </w:p>
    <w:p w14:paraId="242ED769" w14:textId="1CE03382" w:rsidR="00B73570" w:rsidRPr="00BC50C9" w:rsidRDefault="007E5DCF" w:rsidP="00B44A10">
      <w:pPr>
        <w:pStyle w:val="22222"/>
        <w:rPr>
          <w:rtl/>
        </w:rPr>
      </w:pPr>
      <w:bookmarkStart w:id="52" w:name="_Toc195456517"/>
      <w:r>
        <w:rPr>
          <w:rFonts w:hint="cs"/>
          <w:rtl/>
        </w:rPr>
        <w:t>7</w:t>
      </w:r>
      <w:r w:rsidR="00B44A10">
        <w:rPr>
          <w:rFonts w:hint="cs"/>
          <w:rtl/>
        </w:rPr>
        <w:t xml:space="preserve">.1 </w:t>
      </w:r>
      <w:r w:rsidR="00B73570" w:rsidRPr="00BC50C9">
        <w:rPr>
          <w:rFonts w:hint="cs"/>
          <w:rtl/>
        </w:rPr>
        <w:t>أسباب اختيار الموضوع:</w:t>
      </w:r>
      <w:bookmarkEnd w:id="52"/>
    </w:p>
    <w:p w14:paraId="736EFA87" w14:textId="2A70DFE0" w:rsidR="00B73570" w:rsidRPr="00BC50C9" w:rsidRDefault="00B73570" w:rsidP="00B44A10">
      <w:pPr>
        <w:pStyle w:val="00000"/>
        <w:rPr>
          <w:rtl/>
        </w:rPr>
      </w:pPr>
      <w:r w:rsidRPr="00BC50C9">
        <w:rPr>
          <w:rtl/>
        </w:rPr>
        <w:t xml:space="preserve">يأتي اختيار هذا الموضوع </w:t>
      </w:r>
      <w:r w:rsidRPr="00BC50C9">
        <w:rPr>
          <w:rFonts w:hint="cs"/>
          <w:rtl/>
        </w:rPr>
        <w:t xml:space="preserve">المهم </w:t>
      </w:r>
      <w:r w:rsidRPr="00BC50C9">
        <w:rPr>
          <w:rtl/>
        </w:rPr>
        <w:t>استجابة للحاجة المتزايدة لدعم بيئة ريادة الأعمال في المملكة العربية السعودية، حيث تسعى رؤية 2030 إلى تعزيز دور المشروعات الصغيرة والمتوسطة باعتبارها محركًا رئيسيًا للنمو الاقتصادي</w:t>
      </w:r>
      <w:r w:rsidR="00F3218A" w:rsidRPr="00BC50C9">
        <w:rPr>
          <w:rFonts w:hint="cs"/>
          <w:rtl/>
        </w:rPr>
        <w:t>،</w:t>
      </w:r>
      <w:r w:rsidRPr="00BC50C9">
        <w:rPr>
          <w:rtl/>
        </w:rPr>
        <w:t xml:space="preserve"> كما أن تطوير منصات إلكترونية متخصصة في التمويل التشاركي </w:t>
      </w:r>
      <w:r w:rsidR="00F3218A" w:rsidRPr="00BC50C9">
        <w:rPr>
          <w:rFonts w:hint="cs"/>
          <w:rtl/>
        </w:rPr>
        <w:t>يعتبر</w:t>
      </w:r>
      <w:r w:rsidRPr="00BC50C9">
        <w:rPr>
          <w:rtl/>
        </w:rPr>
        <w:t xml:space="preserve"> خطوة ضرورية لخلق بيئة ريادية مستدامة تعتمد على التكامل بين التكنولوجيا والتمويل، مما يساهم في تمكين رواد الأعمال من تحويل أفكارهم إلى مشروعات ناجحة</w:t>
      </w:r>
      <w:r w:rsidR="00F3218A" w:rsidRPr="00BC50C9">
        <w:rPr>
          <w:rFonts w:hint="cs"/>
          <w:rtl/>
        </w:rPr>
        <w:t>.</w:t>
      </w:r>
    </w:p>
    <w:p w14:paraId="47495111" w14:textId="15AB18F2" w:rsidR="001356F8" w:rsidRDefault="001356F8" w:rsidP="00B44A10">
      <w:pPr>
        <w:pStyle w:val="00000"/>
        <w:rPr>
          <w:rtl/>
        </w:rPr>
      </w:pPr>
      <w:r w:rsidRPr="00BC50C9">
        <w:rPr>
          <w:rFonts w:hint="cs"/>
          <w:rtl/>
        </w:rPr>
        <w:t>كما يمتد الاهتمام بآليات التمويل التشاركي إلى جذور عميقة ترتبط بفكرة التمويل الجماعي وممارسات اقتصادية تقليدية قائمة على المشاركة والتعاون، مثل الجمعيات التعاونية</w:t>
      </w:r>
      <w:r w:rsidR="006A29A4" w:rsidRPr="00BC50C9">
        <w:rPr>
          <w:rFonts w:hint="cs"/>
          <w:rtl/>
        </w:rPr>
        <w:t xml:space="preserve"> وغيرها التي كانت تُستخدم لتمويل </w:t>
      </w:r>
      <w:r w:rsidR="006A29A4" w:rsidRPr="00BC50C9">
        <w:rPr>
          <w:rtl/>
        </w:rPr>
        <w:t>المشاريع الصغيرة والأعمال التجارية بين الأفراد</w:t>
      </w:r>
      <w:r w:rsidR="006A29A4" w:rsidRPr="00BC50C9">
        <w:rPr>
          <w:rFonts w:hint="cs"/>
          <w:rtl/>
        </w:rPr>
        <w:t xml:space="preserve">؛ إلى أن ظهرت التكنولوجيا المالية وطورت هذه الآليات لتصبح أكثر تنظيم وكفاءة، وبذلك انتشرت منصات إلكترونية متخصصة في جمع التمويل من الأفراد </w:t>
      </w:r>
      <w:r w:rsidR="006A29A4" w:rsidRPr="00BC50C9">
        <w:rPr>
          <w:rtl/>
        </w:rPr>
        <w:t>والمستثمرين لدعم المشروعات الريادية في مختلف القطاعات</w:t>
      </w:r>
      <w:r w:rsidR="00EB75CA" w:rsidRPr="00BC50C9">
        <w:rPr>
          <w:rFonts w:hint="cs"/>
          <w:rtl/>
        </w:rPr>
        <w:t>.</w:t>
      </w:r>
    </w:p>
    <w:p w14:paraId="041C93A2" w14:textId="00327454" w:rsidR="00C60855" w:rsidRPr="00BC50C9" w:rsidRDefault="007E5DCF" w:rsidP="00B44A10">
      <w:pPr>
        <w:pStyle w:val="22222"/>
        <w:rPr>
          <w:rtl/>
        </w:rPr>
      </w:pPr>
      <w:bookmarkStart w:id="53" w:name="_Toc195456518"/>
      <w:r>
        <w:rPr>
          <w:rFonts w:hint="cs"/>
          <w:rtl/>
        </w:rPr>
        <w:t>8</w:t>
      </w:r>
      <w:r w:rsidR="00B44A10">
        <w:rPr>
          <w:rFonts w:hint="cs"/>
          <w:rtl/>
        </w:rPr>
        <w:t xml:space="preserve">.1 </w:t>
      </w:r>
      <w:r w:rsidR="00C60855" w:rsidRPr="00BC50C9">
        <w:rPr>
          <w:rFonts w:hint="cs"/>
          <w:rtl/>
        </w:rPr>
        <w:t>مشكلة الدراسة:</w:t>
      </w:r>
      <w:bookmarkEnd w:id="53"/>
    </w:p>
    <w:p w14:paraId="46FABD78" w14:textId="0F60CB46" w:rsidR="00163F2D" w:rsidRPr="00BC50C9" w:rsidRDefault="001F5273" w:rsidP="00B44A10">
      <w:pPr>
        <w:pStyle w:val="00000"/>
        <w:rPr>
          <w:rtl/>
        </w:rPr>
      </w:pPr>
      <w:r w:rsidRPr="00BC50C9">
        <w:rPr>
          <w:rtl/>
        </w:rPr>
        <w:t>تواجه المشاريع الريادية في المملكة العربية السعودية تحديات تمويلية متعددة تعيق نموها واستدامتها</w:t>
      </w:r>
      <w:r w:rsidRPr="00BC50C9">
        <w:rPr>
          <w:rFonts w:hint="cs"/>
          <w:rtl/>
        </w:rPr>
        <w:t xml:space="preserve">، والتي تشمل </w:t>
      </w:r>
      <w:r w:rsidRPr="00BC50C9">
        <w:rPr>
          <w:rtl/>
        </w:rPr>
        <w:t>ضعف التمويل وكثرة شروطه وصعوبة الوفاء به وقصر مدة السداد</w:t>
      </w:r>
      <w:r w:rsidRPr="00BC50C9">
        <w:rPr>
          <w:rFonts w:hint="cs"/>
          <w:rtl/>
        </w:rPr>
        <w:t>، و</w:t>
      </w:r>
      <w:r w:rsidRPr="00BC50C9">
        <w:rPr>
          <w:rtl/>
        </w:rPr>
        <w:t>تعدد الأنظمة والقوانين المعيقة وسن قرارات فجائية</w:t>
      </w:r>
      <w:r w:rsidR="00163F2D" w:rsidRPr="00BC50C9">
        <w:rPr>
          <w:rFonts w:hint="cs"/>
          <w:rtl/>
        </w:rPr>
        <w:t xml:space="preserve">، إلى جانب </w:t>
      </w:r>
      <w:r w:rsidR="00163F2D" w:rsidRPr="00BC50C9">
        <w:rPr>
          <w:rtl/>
        </w:rPr>
        <w:t>غياب المعلومات المحدثة الدقيقة والمصنفة من قبل الهيئة العامة للإحصاء، مما يؤثر على دراسة جدوى المشروع</w:t>
      </w:r>
      <w:r w:rsidR="00163F2D" w:rsidRPr="00BC50C9">
        <w:rPr>
          <w:rFonts w:hint="cs"/>
          <w:rtl/>
        </w:rPr>
        <w:t xml:space="preserve">، </w:t>
      </w:r>
      <w:r w:rsidR="00C036FC" w:rsidRPr="00BC50C9">
        <w:rPr>
          <w:rFonts w:hint="cs"/>
          <w:rtl/>
        </w:rPr>
        <w:t>و</w:t>
      </w:r>
      <w:r w:rsidR="00163F2D" w:rsidRPr="00BC50C9">
        <w:rPr>
          <w:rtl/>
        </w:rPr>
        <w:t xml:space="preserve">ضعف القدرة التنافسية لمشروعات شباب الأعمال </w:t>
      </w:r>
      <w:r w:rsidR="00163F2D" w:rsidRPr="00BC50C9">
        <w:rPr>
          <w:rtl/>
        </w:rPr>
        <w:lastRenderedPageBreak/>
        <w:t>للحصول على عقود مشاريع الدولة وعطاءات المنشآت الكبيرة</w:t>
      </w:r>
      <w:r w:rsidR="00C036FC" w:rsidRPr="00BC50C9">
        <w:rPr>
          <w:rFonts w:hint="cs"/>
          <w:rtl/>
        </w:rPr>
        <w:t xml:space="preserve"> (</w:t>
      </w:r>
      <w:r w:rsidR="00C036FC" w:rsidRPr="00BC50C9">
        <w:rPr>
          <w:rtl/>
        </w:rPr>
        <w:t>الهيئة العامة للمنشآت الصغيرة والمتوسطة</w:t>
      </w:r>
      <w:r w:rsidR="00C036FC" w:rsidRPr="00BC50C9">
        <w:rPr>
          <w:rFonts w:hint="cs"/>
          <w:rtl/>
        </w:rPr>
        <w:t>، 2021).</w:t>
      </w:r>
    </w:p>
    <w:p w14:paraId="58172EA2" w14:textId="0F62EF4F" w:rsidR="00441DDE" w:rsidRPr="00BC50C9" w:rsidRDefault="00441DDE" w:rsidP="00B44A10">
      <w:pPr>
        <w:pStyle w:val="00000"/>
      </w:pPr>
      <w:r w:rsidRPr="00BC50C9">
        <w:rPr>
          <w:rFonts w:hint="cs"/>
          <w:rtl/>
        </w:rPr>
        <w:t>في حين أن أضاف</w:t>
      </w:r>
      <w:r w:rsidR="009D5B56" w:rsidRPr="00BC50C9">
        <w:rPr>
          <w:rFonts w:hint="cs"/>
          <w:rtl/>
        </w:rPr>
        <w:t xml:space="preserve"> الحسون</w:t>
      </w:r>
      <w:r w:rsidRPr="00BC50C9">
        <w:rPr>
          <w:rFonts w:hint="cs"/>
          <w:rtl/>
        </w:rPr>
        <w:t xml:space="preserve"> (</w:t>
      </w:r>
      <w:r w:rsidR="009D5B56" w:rsidRPr="00BC50C9">
        <w:rPr>
          <w:rFonts w:hint="cs"/>
          <w:rtl/>
        </w:rPr>
        <w:t>2021</w:t>
      </w:r>
      <w:r w:rsidRPr="00BC50C9">
        <w:rPr>
          <w:rFonts w:hint="cs"/>
          <w:rtl/>
        </w:rPr>
        <w:t xml:space="preserve">) أن المشاريع الريادية بالمملكة كذلك تواجه مشكلات </w:t>
      </w:r>
      <w:r w:rsidR="006A270A" w:rsidRPr="00BC50C9">
        <w:rPr>
          <w:rFonts w:hint="cs"/>
          <w:rtl/>
        </w:rPr>
        <w:t xml:space="preserve">في الإجراءات الطويلة والمعقدة التي تتبعها مؤسسات التمويل للحصول على التمويل، ونقص الضمانات الكافية للحصول على التمويل، وارتفاع المخاطر بأنواعها التسويقية والتمويلية، وارتفاع أسعار الفائدة وهامش الربح من مؤسسات التمويل، </w:t>
      </w:r>
      <w:r w:rsidR="002F237A" w:rsidRPr="00BC50C9">
        <w:rPr>
          <w:rFonts w:hint="cs"/>
          <w:rtl/>
        </w:rPr>
        <w:t xml:space="preserve">فتبسيط </w:t>
      </w:r>
      <w:r w:rsidR="002F237A" w:rsidRPr="00BC50C9">
        <w:rPr>
          <w:rtl/>
        </w:rPr>
        <w:t>الإجراءات الحكومية واستقرار الأطر القانونية والتنظيمية تعد من أهم التحديات التي تواجه المنشآت الصغيرة والمتوسطة</w:t>
      </w:r>
      <w:r w:rsidR="002F237A" w:rsidRPr="00BC50C9">
        <w:rPr>
          <w:rFonts w:hint="cs"/>
          <w:rtl/>
        </w:rPr>
        <w:t>.</w:t>
      </w:r>
    </w:p>
    <w:p w14:paraId="00714F07" w14:textId="618369FC" w:rsidR="00294CA6" w:rsidRPr="00BC50C9" w:rsidRDefault="004A352D" w:rsidP="00B44A10">
      <w:pPr>
        <w:pStyle w:val="00000"/>
        <w:rPr>
          <w:rtl/>
        </w:rPr>
      </w:pPr>
      <w:r w:rsidRPr="00BC50C9">
        <w:rPr>
          <w:rtl/>
        </w:rPr>
        <w:t>بالإضافة إلى ذلك، يعتمد التمويل في المملكة بشكل كبير على المصارف، حيث</w:t>
      </w:r>
      <w:r w:rsidR="00294CA6" w:rsidRPr="00BC50C9">
        <w:rPr>
          <w:rFonts w:hint="cs"/>
          <w:rtl/>
        </w:rPr>
        <w:t xml:space="preserve"> </w:t>
      </w:r>
      <w:r w:rsidR="00294CA6" w:rsidRPr="00BC50C9">
        <w:rPr>
          <w:rtl/>
        </w:rPr>
        <w:t>تعتمد السعودية بشكل كبير على التمويل المصرفي، حيث تمثل الأسهم نسبة 78% من القيمة السوقية المحلية. هذا يشير إلى ضرورة تنويع مصادر التمويل لتحقيق استقرار اقتصادي أكبر</w:t>
      </w:r>
      <w:r w:rsidR="00294CA6" w:rsidRPr="00BC50C9">
        <w:rPr>
          <w:rFonts w:hint="cs"/>
          <w:rtl/>
        </w:rPr>
        <w:t xml:space="preserve">، وكذلك هناك تحديات في </w:t>
      </w:r>
      <w:r w:rsidR="00294CA6" w:rsidRPr="00BC50C9">
        <w:rPr>
          <w:rtl/>
        </w:rPr>
        <w:t xml:space="preserve">تطوير البنية التحتية </w:t>
      </w:r>
      <w:proofErr w:type="spellStart"/>
      <w:r w:rsidR="00294CA6" w:rsidRPr="00BC50C9">
        <w:rPr>
          <w:rtl/>
        </w:rPr>
        <w:t>للرقمنة</w:t>
      </w:r>
      <w:proofErr w:type="spellEnd"/>
      <w:r w:rsidR="00294CA6" w:rsidRPr="00BC50C9">
        <w:rPr>
          <w:rFonts w:hint="cs"/>
          <w:rtl/>
        </w:rPr>
        <w:t>، حيث</w:t>
      </w:r>
      <w:r w:rsidR="00294CA6" w:rsidRPr="00BC50C9">
        <w:rPr>
          <w:rtl/>
        </w:rPr>
        <w:t xml:space="preserve"> يتجه القطاع المالي نحو </w:t>
      </w:r>
      <w:proofErr w:type="spellStart"/>
      <w:r w:rsidR="00294CA6" w:rsidRPr="00BC50C9">
        <w:rPr>
          <w:rtl/>
        </w:rPr>
        <w:t>الرقمنة</w:t>
      </w:r>
      <w:proofErr w:type="spellEnd"/>
      <w:r w:rsidR="00294CA6" w:rsidRPr="00BC50C9">
        <w:rPr>
          <w:rtl/>
        </w:rPr>
        <w:t xml:space="preserve"> بشكل متسارع، ومع ذلك هناك حاجة لتحسين استخدام هذه التقنيات وتعزيز الدفع الإلكتروني وتعزيز البنية التحتية لتحقيق مجتمع غير نقدي</w:t>
      </w:r>
      <w:r w:rsidR="00294CA6" w:rsidRPr="00BC50C9">
        <w:rPr>
          <w:rFonts w:hint="cs"/>
          <w:rtl/>
        </w:rPr>
        <w:t xml:space="preserve">، كما أن </w:t>
      </w:r>
      <w:r w:rsidR="00294CA6" w:rsidRPr="00BC50C9">
        <w:rPr>
          <w:rtl/>
        </w:rPr>
        <w:t>الثقافة المالية في المملكة ما زالت منخفضة، وهناك حاجة إلى تعزيز التوعية المالية وتعليم الأفراد حول أهمية التخطيط المالي والادخار</w:t>
      </w:r>
      <w:r w:rsidR="00294CA6" w:rsidRPr="00BC50C9">
        <w:rPr>
          <w:rFonts w:hint="cs"/>
          <w:rtl/>
        </w:rPr>
        <w:t xml:space="preserve"> (</w:t>
      </w:r>
      <w:r w:rsidR="00294CA6" w:rsidRPr="00BC50C9">
        <w:rPr>
          <w:rtl/>
        </w:rPr>
        <w:t>شركة ثمار</w:t>
      </w:r>
      <w:r w:rsidR="00294CA6" w:rsidRPr="00BC50C9">
        <w:rPr>
          <w:rFonts w:hint="cs"/>
          <w:rtl/>
        </w:rPr>
        <w:t>، 2023).</w:t>
      </w:r>
      <w:r w:rsidR="0091740B" w:rsidRPr="00BC50C9">
        <w:rPr>
          <w:rFonts w:hint="cs"/>
          <w:rtl/>
        </w:rPr>
        <w:t xml:space="preserve"> وهذا </w:t>
      </w:r>
      <w:r w:rsidR="0091740B" w:rsidRPr="00BC50C9">
        <w:rPr>
          <w:rtl/>
        </w:rPr>
        <w:t>هذا الاعتماد الكبير على التمويل المصرفي يحد من فرص الحصول على التمويل للمشاريع الريادية، خاصة في مراحلها المبكرة.</w:t>
      </w:r>
    </w:p>
    <w:p w14:paraId="22C7D9C3" w14:textId="0985E2E9" w:rsidR="00C748EE" w:rsidRPr="00BC50C9" w:rsidRDefault="00C748EE" w:rsidP="00B44A10">
      <w:pPr>
        <w:pStyle w:val="00000"/>
        <w:rPr>
          <w:rtl/>
        </w:rPr>
      </w:pPr>
      <w:r w:rsidRPr="00BC50C9">
        <w:rPr>
          <w:rFonts w:hint="cs"/>
          <w:rtl/>
        </w:rPr>
        <w:t xml:space="preserve">علاوة على ذلك، </w:t>
      </w:r>
      <w:r w:rsidR="00E47A27" w:rsidRPr="00BC50C9">
        <w:rPr>
          <w:rtl/>
        </w:rPr>
        <w:t>يواجه رواد الأعمال العديد من التحديات والمعيقات التي تؤثر بشكل مباشر على مسار نجاحهم وعلى نجاح مشاريعهم الريادية وهو ما يتضمن التحديات في التخطيط والإعداد من المراحل الأولى حتى فترة التشغيل والاندماج في السوق</w:t>
      </w:r>
      <w:r w:rsidR="00E47A27" w:rsidRPr="00BC50C9">
        <w:rPr>
          <w:rFonts w:hint="cs"/>
          <w:rtl/>
        </w:rPr>
        <w:t>، و</w:t>
      </w:r>
      <w:r w:rsidR="00E47A27" w:rsidRPr="00BC50C9">
        <w:rPr>
          <w:rtl/>
        </w:rPr>
        <w:t>رغم وجود الاختلاف الكبير بين بيئات العمل ونوعية المشاريع الريادية والعديد من العوامل الاخرى إلا أن التمويل المالي يعد أحد أبرز التحديات التي تواجه قطاع ريادة الأعمال</w:t>
      </w:r>
      <w:r w:rsidR="00E47A27" w:rsidRPr="00BC50C9">
        <w:rPr>
          <w:rFonts w:hint="cs"/>
          <w:rtl/>
        </w:rPr>
        <w:t xml:space="preserve">، </w:t>
      </w:r>
      <w:r w:rsidR="00A61C9A" w:rsidRPr="00BC50C9">
        <w:rPr>
          <w:rtl/>
        </w:rPr>
        <w:t xml:space="preserve"> كما تعد التكنولوجيا من العوامل التي تساعد في دفع تطور وتميز الأعمال الريادية إلا أن التطور السريع في المجال التكنولوجي يشكل تحدياً لرواد الأعمال لما يصاحبه من زيادة في التكاليف التشغيلية والعمل على تطوير المنتجات والخدمات من أجل مواكبة هذا النمو والتغير السريع</w:t>
      </w:r>
      <w:r w:rsidR="00A61C9A" w:rsidRPr="00BC50C9">
        <w:rPr>
          <w:rFonts w:hint="cs"/>
          <w:rtl/>
        </w:rPr>
        <w:t xml:space="preserve"> (</w:t>
      </w:r>
      <w:r w:rsidR="00A61C9A" w:rsidRPr="00BC50C9">
        <w:rPr>
          <w:rtl/>
        </w:rPr>
        <w:t>شركة ثمار</w:t>
      </w:r>
      <w:r w:rsidR="00A61C9A" w:rsidRPr="00BC50C9">
        <w:rPr>
          <w:rFonts w:hint="cs"/>
          <w:rtl/>
        </w:rPr>
        <w:t>، 2025).</w:t>
      </w:r>
    </w:p>
    <w:p w14:paraId="44563CEB" w14:textId="2300F427" w:rsidR="006924D9" w:rsidRDefault="004177F4" w:rsidP="00B44A10">
      <w:pPr>
        <w:pStyle w:val="00000"/>
        <w:rPr>
          <w:rtl/>
        </w:rPr>
      </w:pPr>
      <w:r w:rsidRPr="00BC50C9">
        <w:rPr>
          <w:rtl/>
        </w:rPr>
        <w:t xml:space="preserve">في ظل هذه التحديات، </w:t>
      </w:r>
      <w:r w:rsidR="006924D9" w:rsidRPr="00BC50C9">
        <w:rPr>
          <w:rtl/>
        </w:rPr>
        <w:t>تسعى هذه الدراسة إلى معالجة إشكالية أساسية تتمثل في كيفية تطوير استراتيجية فعالة لإنشاء منصة إلكترونية تعتمد على التمويل التشاركي، بحيث تلبي احتياجات المشاريع الريادية في المملكة، وتسهم في تحقيق الاستدامة المالية لهذه المشاريع</w:t>
      </w:r>
      <w:r w:rsidR="000563C1" w:rsidRPr="00BC50C9">
        <w:rPr>
          <w:rFonts w:hint="cs"/>
          <w:rtl/>
        </w:rPr>
        <w:t>.</w:t>
      </w:r>
    </w:p>
    <w:p w14:paraId="6F72E87D" w14:textId="77777777" w:rsidR="007E5DCF" w:rsidRDefault="007E5DCF" w:rsidP="007E5DCF">
      <w:pPr>
        <w:pStyle w:val="00000"/>
        <w:rPr>
          <w:rtl/>
        </w:rPr>
      </w:pPr>
    </w:p>
    <w:p w14:paraId="17A8C9E9" w14:textId="77777777" w:rsidR="007E5DCF" w:rsidRDefault="007E5DCF" w:rsidP="007E5DCF">
      <w:pPr>
        <w:pStyle w:val="00000"/>
        <w:rPr>
          <w:rtl/>
        </w:rPr>
      </w:pPr>
    </w:p>
    <w:p w14:paraId="32FC1699" w14:textId="77777777" w:rsidR="007E5DCF" w:rsidRDefault="007E5DCF" w:rsidP="007E5DCF">
      <w:pPr>
        <w:pStyle w:val="00000"/>
        <w:rPr>
          <w:rtl/>
        </w:rPr>
      </w:pPr>
    </w:p>
    <w:p w14:paraId="55E2A59F" w14:textId="77777777" w:rsidR="007E5DCF" w:rsidRPr="00BC50C9" w:rsidRDefault="007E5DCF" w:rsidP="007E5DCF">
      <w:pPr>
        <w:pStyle w:val="00000"/>
        <w:rPr>
          <w:rtl/>
        </w:rPr>
      </w:pPr>
    </w:p>
    <w:p w14:paraId="1852A6D8" w14:textId="25B06F83" w:rsidR="00735ABA" w:rsidRPr="00BC50C9" w:rsidRDefault="007E5DCF" w:rsidP="00B44A10">
      <w:pPr>
        <w:pStyle w:val="22222"/>
        <w:rPr>
          <w:rtl/>
        </w:rPr>
      </w:pPr>
      <w:bookmarkStart w:id="54" w:name="_Toc195456519"/>
      <w:r>
        <w:rPr>
          <w:rFonts w:hint="cs"/>
          <w:rtl/>
        </w:rPr>
        <w:lastRenderedPageBreak/>
        <w:t>9</w:t>
      </w:r>
      <w:r w:rsidR="00B44A10">
        <w:rPr>
          <w:rFonts w:hint="cs"/>
          <w:rtl/>
        </w:rPr>
        <w:t xml:space="preserve">.1 </w:t>
      </w:r>
      <w:r w:rsidR="00735ABA" w:rsidRPr="00BC50C9">
        <w:rPr>
          <w:rFonts w:hint="cs"/>
          <w:rtl/>
        </w:rPr>
        <w:t>أهمية الدراسة:</w:t>
      </w:r>
      <w:bookmarkEnd w:id="54"/>
    </w:p>
    <w:p w14:paraId="35D7785F" w14:textId="77777777" w:rsidR="00735ABA" w:rsidRPr="00BC50C9" w:rsidRDefault="00735ABA"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تتجلى أهمية الدراسة على المستوى النظري والتطبيقي في النقاط التالية:</w:t>
      </w:r>
    </w:p>
    <w:p w14:paraId="2631AE6D" w14:textId="07AAE3B7" w:rsidR="00735ABA" w:rsidRPr="00BC50C9" w:rsidRDefault="00735ABA" w:rsidP="00B44A10">
      <w:pPr>
        <w:pStyle w:val="a3"/>
        <w:numPr>
          <w:ilvl w:val="0"/>
          <w:numId w:val="1"/>
        </w:numPr>
        <w:bidi/>
        <w:spacing w:before="120" w:after="120" w:line="240" w:lineRule="auto"/>
        <w:contextualSpacing w:val="0"/>
        <w:jc w:val="both"/>
        <w:rPr>
          <w:rFonts w:ascii="Times New Roman" w:hAnsi="Times New Roman" w:cs="Simplified Arabic"/>
          <w:b/>
          <w:bCs/>
          <w:sz w:val="24"/>
          <w:szCs w:val="28"/>
          <w:lang w:bidi="ar-EG"/>
        </w:rPr>
      </w:pPr>
      <w:r w:rsidRPr="00BC50C9">
        <w:rPr>
          <w:rFonts w:ascii="Times New Roman" w:hAnsi="Times New Roman" w:cs="Simplified Arabic" w:hint="cs"/>
          <w:b/>
          <w:bCs/>
          <w:sz w:val="24"/>
          <w:szCs w:val="28"/>
          <w:rtl/>
          <w:lang w:bidi="ar-EG"/>
        </w:rPr>
        <w:t>الأهمية النظرية:</w:t>
      </w:r>
    </w:p>
    <w:p w14:paraId="41EE8D4A" w14:textId="63188D72" w:rsidR="00341C7C" w:rsidRPr="00BC50C9" w:rsidRDefault="00A020E8" w:rsidP="00B44A10">
      <w:pPr>
        <w:pStyle w:val="a3"/>
        <w:numPr>
          <w:ilvl w:val="0"/>
          <w:numId w:val="6"/>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تكتسب الدراسة أهميتها العلمية من خلال تركيزها على إثراء الأدبيات النظرية حول موضوع التمويل التشاركي كأحد أهم الأدوات الحديثة لدعم المشاريع الريادية،</w:t>
      </w:r>
      <w:r w:rsidR="00C12230" w:rsidRPr="00BC50C9">
        <w:rPr>
          <w:rFonts w:ascii="Times New Roman" w:hAnsi="Times New Roman" w:cs="Simplified Arabic" w:hint="cs"/>
          <w:sz w:val="24"/>
          <w:szCs w:val="28"/>
          <w:rtl/>
          <w:lang w:bidi="ar-EG"/>
        </w:rPr>
        <w:t xml:space="preserve"> فهو يوفر بديلًا عن التمويل التقليدي ويتيح فرص أكبر للمشاريع الجديدة للحصول على الدعم المالي.</w:t>
      </w:r>
    </w:p>
    <w:p w14:paraId="3FF72D0C" w14:textId="51E131C6" w:rsidR="00C12230" w:rsidRPr="00BC50C9" w:rsidRDefault="00C12230" w:rsidP="00B44A10">
      <w:pPr>
        <w:pStyle w:val="a3"/>
        <w:numPr>
          <w:ilvl w:val="0"/>
          <w:numId w:val="6"/>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التركيز على دعم المشاريع الريادية والتي تلعب دور رئيس في تحقيق التنمية الاقتصادية وخلق فرص العمل وتعزيز الابتكار</w:t>
      </w:r>
      <w:r w:rsidR="008E3C0A" w:rsidRPr="00BC50C9">
        <w:rPr>
          <w:rFonts w:ascii="Times New Roman" w:hAnsi="Times New Roman" w:cs="Simplified Arabic" w:hint="cs"/>
          <w:sz w:val="24"/>
          <w:szCs w:val="28"/>
          <w:rtl/>
          <w:lang w:bidi="ar-EG"/>
        </w:rPr>
        <w:t>، كما توفر بيئة ملائمة لرواد الأعمال لبناء شبكات دعم تتيح لهم التوسع والنمو في الأسواق.</w:t>
      </w:r>
    </w:p>
    <w:p w14:paraId="473F4D13" w14:textId="547496B4" w:rsidR="008E3C0A" w:rsidRPr="00BC50C9" w:rsidRDefault="008E3C0A" w:rsidP="00B44A10">
      <w:pPr>
        <w:pStyle w:val="a3"/>
        <w:numPr>
          <w:ilvl w:val="0"/>
          <w:numId w:val="6"/>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أهمية تعزيز الاستدامة المالية كعنصر أساس لضمان استمرار المشاريع الريادية وتحقيق النجاح طويل الأمد، بما يعزز من قدرة المشاريع الريادية على الصمود ومواجهة التحديات الاقتصادية، ودعم الاستقرار والنمو على المدى البعيد.</w:t>
      </w:r>
    </w:p>
    <w:p w14:paraId="17C654D4" w14:textId="6D87C698" w:rsidR="002D3447" w:rsidRPr="00BC50C9" w:rsidRDefault="002D3447" w:rsidP="00B44A10">
      <w:pPr>
        <w:pStyle w:val="a3"/>
        <w:numPr>
          <w:ilvl w:val="0"/>
          <w:numId w:val="6"/>
        </w:numPr>
        <w:bidi/>
        <w:spacing w:before="120" w:after="120" w:line="240" w:lineRule="auto"/>
        <w:ind w:left="720"/>
        <w:contextualSpacing w:val="0"/>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 xml:space="preserve">تقدم الدراسة </w:t>
      </w:r>
      <w:r w:rsidR="000C03F8" w:rsidRPr="00BC50C9">
        <w:rPr>
          <w:rFonts w:ascii="Times New Roman" w:hAnsi="Times New Roman" w:cs="Simplified Arabic" w:hint="cs"/>
          <w:sz w:val="24"/>
          <w:szCs w:val="28"/>
          <w:rtl/>
          <w:lang w:bidi="ar-EG"/>
        </w:rPr>
        <w:t>إضافة حديثة في مجال التمويل التشاركي وريادة الأعمال بما يدعم المكتبات العربية وبخاصة المكتبة السعودية، والعمل على سد الفجوة البحثية التي تتعلق بمدى تأثير المنصات الإلكترونية القائمة على التمويل التشاركي على الاستدامة المالية للمشاريع الريادية.</w:t>
      </w:r>
    </w:p>
    <w:p w14:paraId="5AFD643D" w14:textId="0CDAA6BD" w:rsidR="00735ABA" w:rsidRPr="00BC50C9" w:rsidRDefault="00735ABA" w:rsidP="00B44A10">
      <w:pPr>
        <w:pStyle w:val="a3"/>
        <w:numPr>
          <w:ilvl w:val="0"/>
          <w:numId w:val="1"/>
        </w:numPr>
        <w:bidi/>
        <w:spacing w:before="120" w:after="120" w:line="240" w:lineRule="auto"/>
        <w:contextualSpacing w:val="0"/>
        <w:jc w:val="both"/>
        <w:rPr>
          <w:rFonts w:ascii="Times New Roman" w:hAnsi="Times New Roman" w:cs="Simplified Arabic"/>
          <w:b/>
          <w:bCs/>
          <w:sz w:val="24"/>
          <w:szCs w:val="28"/>
          <w:lang w:bidi="ar-EG"/>
        </w:rPr>
      </w:pPr>
      <w:r w:rsidRPr="00BC50C9">
        <w:rPr>
          <w:rFonts w:ascii="Times New Roman" w:hAnsi="Times New Roman" w:cs="Simplified Arabic" w:hint="cs"/>
          <w:b/>
          <w:bCs/>
          <w:sz w:val="24"/>
          <w:szCs w:val="28"/>
          <w:rtl/>
          <w:lang w:bidi="ar-EG"/>
        </w:rPr>
        <w:t>الأهمية التطبيقية:</w:t>
      </w:r>
    </w:p>
    <w:p w14:paraId="3B3B5B54" w14:textId="17053C46" w:rsidR="000C03F8" w:rsidRPr="00BC50C9" w:rsidRDefault="000C03F8" w:rsidP="00B44A10">
      <w:pPr>
        <w:pStyle w:val="a3"/>
        <w:numPr>
          <w:ilvl w:val="0"/>
          <w:numId w:val="7"/>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تنبع أهمية الدراسة العملية من خلال تقديمها </w:t>
      </w:r>
      <w:r w:rsidR="00D12498" w:rsidRPr="00BC50C9">
        <w:rPr>
          <w:rFonts w:ascii="Times New Roman" w:hAnsi="Times New Roman" w:cs="Simplified Arabic" w:hint="cs"/>
          <w:sz w:val="24"/>
          <w:szCs w:val="28"/>
          <w:rtl/>
          <w:lang w:bidi="ar-EG"/>
        </w:rPr>
        <w:t xml:space="preserve">لمقترح استراتيجي يمكن تطبيقه عمليًا لتطوير </w:t>
      </w:r>
      <w:r w:rsidR="00D12498" w:rsidRPr="00BC50C9">
        <w:rPr>
          <w:rFonts w:ascii="Times New Roman" w:hAnsi="Times New Roman" w:cs="Simplified Arabic"/>
          <w:sz w:val="24"/>
          <w:szCs w:val="28"/>
          <w:rtl/>
          <w:lang w:bidi="ar-EG"/>
        </w:rPr>
        <w:t>منصة إلكترونية تعتمد على التمويل التشاركي</w:t>
      </w:r>
      <w:r w:rsidR="00D12498" w:rsidRPr="00BC50C9">
        <w:rPr>
          <w:rFonts w:ascii="Times New Roman" w:hAnsi="Times New Roman" w:cs="Simplified Arabic" w:hint="cs"/>
          <w:sz w:val="24"/>
          <w:szCs w:val="28"/>
          <w:rtl/>
          <w:lang w:bidi="ar-EG"/>
        </w:rPr>
        <w:t xml:space="preserve"> لدعم المشاريع الريادية بالمملكة العربية السعودية وتعزيز الاستدامة المالية.</w:t>
      </w:r>
    </w:p>
    <w:p w14:paraId="3EE612EF" w14:textId="61C60D7D" w:rsidR="00D12498" w:rsidRPr="00BC50C9" w:rsidRDefault="00D12498" w:rsidP="00B44A10">
      <w:pPr>
        <w:pStyle w:val="a3"/>
        <w:numPr>
          <w:ilvl w:val="0"/>
          <w:numId w:val="7"/>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يمكن أن توفر نتائج الدراسة حلولًا مبتكرة تدعم المشاريع الريادية، بما يعزز قدرة رواد الأعمال على الوصول إلى مصادر تمويل مستدامة دون الحاجة إلى اللجوء لطرق التمويل التقليدية.</w:t>
      </w:r>
    </w:p>
    <w:p w14:paraId="06004D21" w14:textId="42F245A0" w:rsidR="00D12498" w:rsidRPr="00BC50C9" w:rsidRDefault="0063229C" w:rsidP="00B44A10">
      <w:pPr>
        <w:pStyle w:val="a3"/>
        <w:numPr>
          <w:ilvl w:val="0"/>
          <w:numId w:val="7"/>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قد تسهم الدراسة في تعزيز الاستدامة المالية للمشاريع الريادية، مما يقلل من معدلا الفشل المحتملة في المراحل المبكرة لنمو المشاريع.</w:t>
      </w:r>
    </w:p>
    <w:p w14:paraId="6365D946" w14:textId="6868051B" w:rsidR="0063229C" w:rsidRPr="00BC50C9" w:rsidRDefault="0063229C" w:rsidP="00B44A10">
      <w:pPr>
        <w:pStyle w:val="a3"/>
        <w:numPr>
          <w:ilvl w:val="0"/>
          <w:numId w:val="7"/>
        </w:numPr>
        <w:bidi/>
        <w:spacing w:before="120" w:after="120" w:line="240" w:lineRule="auto"/>
        <w:ind w:left="720"/>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يؤمل أن تفيد الدراسة الجهات التنظيمية وصُناع القرار في تصميم السياسات الداعمة لمنصات التمويل التشاركي، بما </w:t>
      </w:r>
      <w:r w:rsidR="0030036A" w:rsidRPr="00BC50C9">
        <w:rPr>
          <w:rFonts w:ascii="Times New Roman" w:hAnsi="Times New Roman" w:cs="Simplified Arabic" w:hint="cs"/>
          <w:sz w:val="24"/>
          <w:szCs w:val="28"/>
          <w:rtl/>
          <w:lang w:bidi="ar-EG"/>
        </w:rPr>
        <w:t>يُعزز من بيئة ريادة الأعمال والاستثمار.</w:t>
      </w:r>
    </w:p>
    <w:p w14:paraId="7998DA9C" w14:textId="58397412" w:rsidR="0030036A" w:rsidRPr="00BC50C9" w:rsidRDefault="0030036A" w:rsidP="00B44A10">
      <w:pPr>
        <w:pStyle w:val="a3"/>
        <w:numPr>
          <w:ilvl w:val="0"/>
          <w:numId w:val="7"/>
        </w:numPr>
        <w:bidi/>
        <w:spacing w:before="120" w:after="120" w:line="240" w:lineRule="auto"/>
        <w:ind w:left="720"/>
        <w:contextualSpacing w:val="0"/>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تقديم مجموعة من التوصيات العملية التي من شأنها دعم المؤسسات المالية والتكنولوجية في تطوير نماذج أعمال جديدة وتواكب تطورات التكنولوجيا المالية والاقتصاد الرقمي.</w:t>
      </w:r>
    </w:p>
    <w:p w14:paraId="5AB84FC2" w14:textId="2E7EDC00" w:rsidR="00735ABA" w:rsidRPr="00BC50C9" w:rsidRDefault="007E5DCF" w:rsidP="00B44A10">
      <w:pPr>
        <w:pStyle w:val="22222"/>
        <w:rPr>
          <w:rtl/>
        </w:rPr>
      </w:pPr>
      <w:bookmarkStart w:id="55" w:name="_Toc195456520"/>
      <w:r>
        <w:rPr>
          <w:rFonts w:hint="cs"/>
          <w:rtl/>
        </w:rPr>
        <w:lastRenderedPageBreak/>
        <w:t>10</w:t>
      </w:r>
      <w:r w:rsidR="00B44A10">
        <w:rPr>
          <w:rFonts w:hint="cs"/>
          <w:rtl/>
        </w:rPr>
        <w:t xml:space="preserve">.1 </w:t>
      </w:r>
      <w:r w:rsidR="00735ABA" w:rsidRPr="00BC50C9">
        <w:rPr>
          <w:rFonts w:hint="cs"/>
          <w:rtl/>
        </w:rPr>
        <w:t>أهداف الدراسة:</w:t>
      </w:r>
      <w:bookmarkEnd w:id="55"/>
    </w:p>
    <w:p w14:paraId="6BD8A469" w14:textId="019D6AA8" w:rsidR="00735ABA" w:rsidRPr="00BC50C9" w:rsidRDefault="00735ABA"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تهدف الدراسة إلى الآتي:</w:t>
      </w:r>
    </w:p>
    <w:p w14:paraId="12874D41" w14:textId="1F98A707" w:rsidR="004A1F5A" w:rsidRPr="00BC50C9" w:rsidRDefault="004A1F5A" w:rsidP="00BC50C9">
      <w:pPr>
        <w:pStyle w:val="a3"/>
        <w:numPr>
          <w:ilvl w:val="0"/>
          <w:numId w:val="4"/>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التعرف على واقع استخدام التمويل التشاركي في المنصات الالكترونية بالمملكة العربية السعودية.</w:t>
      </w:r>
    </w:p>
    <w:p w14:paraId="6BAB7E9E" w14:textId="6FEB1DFA" w:rsidR="004A1F5A" w:rsidRPr="00BC50C9" w:rsidRDefault="004A1F5A" w:rsidP="00BC50C9">
      <w:pPr>
        <w:pStyle w:val="a3"/>
        <w:numPr>
          <w:ilvl w:val="0"/>
          <w:numId w:val="4"/>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تحديد الأهمية النسبية لدعم المشاريع الريادية بالمملكة العربية السعودية.</w:t>
      </w:r>
    </w:p>
    <w:p w14:paraId="2D256298" w14:textId="74B65FF2" w:rsidR="004A1F5A" w:rsidRPr="00BC50C9" w:rsidRDefault="004A1F5A" w:rsidP="00BC50C9">
      <w:pPr>
        <w:pStyle w:val="a3"/>
        <w:numPr>
          <w:ilvl w:val="0"/>
          <w:numId w:val="4"/>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إلقاء الضوء على الأهمية النسبية للاستدامة المالية بالمملكة العربية السعودية.</w:t>
      </w:r>
    </w:p>
    <w:p w14:paraId="0E4429FA" w14:textId="7700E840" w:rsidR="004A1F5A" w:rsidRPr="00BC50C9" w:rsidRDefault="004A1F5A" w:rsidP="00BC50C9">
      <w:pPr>
        <w:pStyle w:val="a3"/>
        <w:numPr>
          <w:ilvl w:val="0"/>
          <w:numId w:val="4"/>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الكشف عن وجود علاقة ذات دلالة إحصائية عند مستوى دلالة (0.01) بين استخدام التمويل التشاركي في المنصات الالكترونية ودعم </w:t>
      </w:r>
      <w:r w:rsidRPr="00BC50C9">
        <w:rPr>
          <w:rFonts w:ascii="Times New Roman" w:hAnsi="Times New Roman" w:cs="Simplified Arabic"/>
          <w:sz w:val="24"/>
          <w:szCs w:val="28"/>
          <w:rtl/>
          <w:lang w:bidi="ar-EG"/>
        </w:rPr>
        <w:t>المشاريع الريادية وتعزيز الاستدامة المالية</w:t>
      </w:r>
      <w:r w:rsidRPr="00BC50C9">
        <w:rPr>
          <w:rFonts w:ascii="Times New Roman" w:hAnsi="Times New Roman" w:cs="Simplified Arabic" w:hint="cs"/>
          <w:sz w:val="24"/>
          <w:szCs w:val="28"/>
          <w:rtl/>
          <w:lang w:bidi="ar-EG"/>
        </w:rPr>
        <w:t xml:space="preserve"> بالمملكة العربية السعودية.</w:t>
      </w:r>
    </w:p>
    <w:p w14:paraId="0F115F83" w14:textId="23F64ED1" w:rsidR="00735ABA" w:rsidRPr="00BC50C9" w:rsidRDefault="004A1F5A" w:rsidP="00BC50C9">
      <w:pPr>
        <w:pStyle w:val="a3"/>
        <w:numPr>
          <w:ilvl w:val="0"/>
          <w:numId w:val="4"/>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 xml:space="preserve">وضع تصور مقترح </w:t>
      </w:r>
      <w:r w:rsidRPr="00BC50C9">
        <w:rPr>
          <w:rFonts w:ascii="Times New Roman" w:hAnsi="Times New Roman" w:cs="Simplified Arabic"/>
          <w:sz w:val="24"/>
          <w:szCs w:val="28"/>
          <w:rtl/>
          <w:lang w:bidi="ar-EG"/>
        </w:rPr>
        <w:t>لتطوير منصة الكترونية معتمدة على التمويل التشاركي لدعم المشاريع الريادية وتعزيز الاستدامة المالية</w:t>
      </w:r>
      <w:r w:rsidRPr="00BC50C9">
        <w:rPr>
          <w:rFonts w:ascii="Times New Roman" w:hAnsi="Times New Roman" w:cs="Simplified Arabic" w:hint="cs"/>
          <w:sz w:val="24"/>
          <w:szCs w:val="28"/>
          <w:rtl/>
          <w:lang w:bidi="ar-EG"/>
        </w:rPr>
        <w:t xml:space="preserve"> بالمملكة العربية السعودية.</w:t>
      </w:r>
    </w:p>
    <w:p w14:paraId="575858C9" w14:textId="67A12F29" w:rsidR="00C60855" w:rsidRPr="00BC50C9" w:rsidRDefault="007E5DCF" w:rsidP="00B44A10">
      <w:pPr>
        <w:pStyle w:val="22222"/>
        <w:rPr>
          <w:rtl/>
        </w:rPr>
      </w:pPr>
      <w:bookmarkStart w:id="56" w:name="_Toc195456521"/>
      <w:r>
        <w:rPr>
          <w:rFonts w:hint="cs"/>
          <w:rtl/>
        </w:rPr>
        <w:t>11</w:t>
      </w:r>
      <w:r w:rsidR="00B44A10">
        <w:rPr>
          <w:rFonts w:hint="cs"/>
          <w:rtl/>
        </w:rPr>
        <w:t xml:space="preserve">.1 </w:t>
      </w:r>
      <w:r w:rsidR="00C60855" w:rsidRPr="00BC50C9">
        <w:rPr>
          <w:rFonts w:hint="cs"/>
          <w:rtl/>
        </w:rPr>
        <w:t>أسئلة الدراسة:</w:t>
      </w:r>
      <w:bookmarkEnd w:id="56"/>
      <w:r w:rsidR="001055BF" w:rsidRPr="00BC50C9">
        <w:rPr>
          <w:rFonts w:hint="cs"/>
          <w:rtl/>
        </w:rPr>
        <w:t xml:space="preserve"> </w:t>
      </w:r>
    </w:p>
    <w:p w14:paraId="7352F3EE" w14:textId="79811849" w:rsidR="00C60855" w:rsidRPr="00BC50C9" w:rsidRDefault="00C60855"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تسعى الدراسة للإجابة على الأسئلة التالية:</w:t>
      </w:r>
    </w:p>
    <w:p w14:paraId="688DADD1" w14:textId="3C8ED9AD" w:rsidR="00735ABA" w:rsidRPr="00BC50C9" w:rsidRDefault="001055BF" w:rsidP="00BC50C9">
      <w:pPr>
        <w:pStyle w:val="a3"/>
        <w:numPr>
          <w:ilvl w:val="0"/>
          <w:numId w:val="5"/>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ما واقع </w:t>
      </w:r>
      <w:r w:rsidR="004A1F5A" w:rsidRPr="00BC50C9">
        <w:rPr>
          <w:rFonts w:ascii="Times New Roman" w:hAnsi="Times New Roman" w:cs="Simplified Arabic" w:hint="cs"/>
          <w:sz w:val="24"/>
          <w:szCs w:val="28"/>
          <w:rtl/>
          <w:lang w:bidi="ar-EG"/>
        </w:rPr>
        <w:t xml:space="preserve">استخدام </w:t>
      </w:r>
      <w:r w:rsidRPr="00BC50C9">
        <w:rPr>
          <w:rFonts w:ascii="Times New Roman" w:hAnsi="Times New Roman" w:cs="Simplified Arabic" w:hint="cs"/>
          <w:sz w:val="24"/>
          <w:szCs w:val="28"/>
          <w:rtl/>
          <w:lang w:bidi="ar-EG"/>
        </w:rPr>
        <w:t>التمويل التشارك</w:t>
      </w:r>
      <w:r w:rsidR="004A1F5A" w:rsidRPr="00BC50C9">
        <w:rPr>
          <w:rFonts w:ascii="Times New Roman" w:hAnsi="Times New Roman" w:cs="Simplified Arabic" w:hint="cs"/>
          <w:sz w:val="24"/>
          <w:szCs w:val="28"/>
          <w:rtl/>
          <w:lang w:bidi="ar-EG"/>
        </w:rPr>
        <w:t>ي في المنصات الالكترونية</w:t>
      </w:r>
      <w:r w:rsidRPr="00BC50C9">
        <w:rPr>
          <w:rFonts w:ascii="Times New Roman" w:hAnsi="Times New Roman" w:cs="Simplified Arabic" w:hint="cs"/>
          <w:sz w:val="24"/>
          <w:szCs w:val="28"/>
          <w:rtl/>
          <w:lang w:bidi="ar-EG"/>
        </w:rPr>
        <w:t xml:space="preserve"> بالمملكة العربية السعودية؟</w:t>
      </w:r>
    </w:p>
    <w:p w14:paraId="14E82ABF" w14:textId="3AB3FCDA" w:rsidR="001055BF" w:rsidRPr="00BC50C9" w:rsidRDefault="001055BF" w:rsidP="00BC50C9">
      <w:pPr>
        <w:pStyle w:val="a3"/>
        <w:numPr>
          <w:ilvl w:val="0"/>
          <w:numId w:val="5"/>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ما الأهمية النسبية لدعم المشاريع الريادية بالمملكة العربية السعودية؟</w:t>
      </w:r>
    </w:p>
    <w:p w14:paraId="498DC75A" w14:textId="77777777" w:rsidR="004A1F5A" w:rsidRPr="00BC50C9" w:rsidRDefault="004A1F5A" w:rsidP="00BC50C9">
      <w:pPr>
        <w:pStyle w:val="a3"/>
        <w:numPr>
          <w:ilvl w:val="0"/>
          <w:numId w:val="5"/>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ما الأهمية النسبية للاستدامة المالية بالمملكة العربية السعودية؟</w:t>
      </w:r>
    </w:p>
    <w:p w14:paraId="0AD59CED" w14:textId="74C34286" w:rsidR="001055BF" w:rsidRPr="00BC50C9" w:rsidRDefault="004A1F5A" w:rsidP="00BC50C9">
      <w:pPr>
        <w:pStyle w:val="a3"/>
        <w:numPr>
          <w:ilvl w:val="0"/>
          <w:numId w:val="5"/>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هل توجد علاقة ذات دلالة إحصائية عند مستوى دلالة (0.01) بين استخدام التمويل التشاركي في المنصات الالكترونية ودعم </w:t>
      </w:r>
      <w:r w:rsidRPr="00BC50C9">
        <w:rPr>
          <w:rFonts w:ascii="Times New Roman" w:hAnsi="Times New Roman" w:cs="Simplified Arabic"/>
          <w:sz w:val="24"/>
          <w:szCs w:val="28"/>
          <w:rtl/>
          <w:lang w:bidi="ar-EG"/>
        </w:rPr>
        <w:t>المشاريع الريادية وتعزيز الاستدامة المالية</w:t>
      </w:r>
      <w:r w:rsidRPr="00BC50C9">
        <w:rPr>
          <w:rFonts w:ascii="Times New Roman" w:hAnsi="Times New Roman" w:cs="Simplified Arabic" w:hint="cs"/>
          <w:sz w:val="24"/>
          <w:szCs w:val="28"/>
          <w:rtl/>
          <w:lang w:bidi="ar-EG"/>
        </w:rPr>
        <w:t xml:space="preserve"> بالمملكة العربية السعودية؟</w:t>
      </w:r>
    </w:p>
    <w:p w14:paraId="70175E29" w14:textId="25820B3F" w:rsidR="004A1F5A" w:rsidRDefault="004A1F5A" w:rsidP="00BC50C9">
      <w:pPr>
        <w:pStyle w:val="a3"/>
        <w:numPr>
          <w:ilvl w:val="0"/>
          <w:numId w:val="5"/>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ما التصور المقترح </w:t>
      </w:r>
      <w:r w:rsidRPr="00BC50C9">
        <w:rPr>
          <w:rFonts w:ascii="Times New Roman" w:hAnsi="Times New Roman" w:cs="Simplified Arabic"/>
          <w:sz w:val="24"/>
          <w:szCs w:val="28"/>
          <w:rtl/>
          <w:lang w:bidi="ar-EG"/>
        </w:rPr>
        <w:t>لتطوير منصة الكترونية معتمدة على التمويل التشاركي لدعم المشاريع الريادية وتعزيز الاستدامة المالية</w:t>
      </w:r>
      <w:r w:rsidRPr="00BC50C9">
        <w:rPr>
          <w:rFonts w:ascii="Times New Roman" w:hAnsi="Times New Roman" w:cs="Simplified Arabic" w:hint="cs"/>
          <w:sz w:val="24"/>
          <w:szCs w:val="28"/>
          <w:rtl/>
          <w:lang w:bidi="ar-EG"/>
        </w:rPr>
        <w:t xml:space="preserve"> بالمملكة العربية السعودية؟</w:t>
      </w:r>
    </w:p>
    <w:p w14:paraId="5FFAC834" w14:textId="6AEC3EB8" w:rsidR="00C60855" w:rsidRPr="00BC50C9" w:rsidRDefault="001E72B9" w:rsidP="00B44A10">
      <w:pPr>
        <w:pStyle w:val="22222"/>
        <w:rPr>
          <w:rtl/>
        </w:rPr>
      </w:pPr>
      <w:bookmarkStart w:id="57" w:name="_Toc195456522"/>
      <w:r>
        <w:rPr>
          <w:rFonts w:hint="cs"/>
          <w:rtl/>
        </w:rPr>
        <w:t>12</w:t>
      </w:r>
      <w:r w:rsidR="00B44A10">
        <w:rPr>
          <w:rFonts w:hint="cs"/>
          <w:rtl/>
        </w:rPr>
        <w:t xml:space="preserve">.1 </w:t>
      </w:r>
      <w:r w:rsidR="00C60855" w:rsidRPr="00BC50C9">
        <w:rPr>
          <w:rFonts w:hint="cs"/>
          <w:rtl/>
        </w:rPr>
        <w:t>حدود الدراسة:</w:t>
      </w:r>
      <w:bookmarkEnd w:id="57"/>
    </w:p>
    <w:p w14:paraId="32DF6CA7" w14:textId="77777777" w:rsidR="00C60855" w:rsidRPr="00BC50C9" w:rsidRDefault="00C60855"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تتضمن الدراسة الحدود الرئيسة التالية:</w:t>
      </w:r>
    </w:p>
    <w:p w14:paraId="40581384" w14:textId="09D75CA6" w:rsidR="00C60855" w:rsidRPr="00BC50C9" w:rsidRDefault="00C60855" w:rsidP="00BC50C9">
      <w:pPr>
        <w:pStyle w:val="a3"/>
        <w:numPr>
          <w:ilvl w:val="0"/>
          <w:numId w:val="2"/>
        </w:numPr>
        <w:bidi/>
        <w:spacing w:before="120" w:after="120" w:line="240" w:lineRule="auto"/>
        <w:contextualSpacing w:val="0"/>
        <w:jc w:val="both"/>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الحدود الموضوعية:</w:t>
      </w:r>
      <w:r w:rsidR="004903E6" w:rsidRPr="00BC50C9">
        <w:rPr>
          <w:rFonts w:ascii="Times New Roman" w:hAnsi="Times New Roman" w:cs="Simplified Arabic" w:hint="cs"/>
          <w:sz w:val="24"/>
          <w:szCs w:val="28"/>
          <w:rtl/>
          <w:lang w:bidi="ar-EG"/>
        </w:rPr>
        <w:t xml:space="preserve"> تركز الدراسة الحالية على تقديم استراتيجية مقترحة لتطوير منصة إلكترونية تعتمد على </w:t>
      </w:r>
      <w:r w:rsidR="004903E6" w:rsidRPr="00BC50C9">
        <w:rPr>
          <w:rFonts w:ascii="Times New Roman" w:hAnsi="Times New Roman" w:cs="Simplified Arabic"/>
          <w:sz w:val="24"/>
          <w:szCs w:val="28"/>
          <w:rtl/>
          <w:lang w:bidi="ar-EG"/>
        </w:rPr>
        <w:t xml:space="preserve">التمويل التشاركي لدعم المشاريع الريادية </w:t>
      </w:r>
      <w:r w:rsidR="000B43B5" w:rsidRPr="00BC50C9">
        <w:rPr>
          <w:rFonts w:ascii="Times New Roman" w:hAnsi="Times New Roman" w:cs="Simplified Arabic" w:hint="cs"/>
          <w:sz w:val="24"/>
          <w:szCs w:val="28"/>
          <w:rtl/>
          <w:lang w:bidi="ar-EG"/>
        </w:rPr>
        <w:t xml:space="preserve">بالمملكة العربية السعودية </w:t>
      </w:r>
      <w:r w:rsidR="004903E6" w:rsidRPr="00BC50C9">
        <w:rPr>
          <w:rFonts w:ascii="Times New Roman" w:hAnsi="Times New Roman" w:cs="Simplified Arabic"/>
          <w:sz w:val="24"/>
          <w:szCs w:val="28"/>
          <w:rtl/>
          <w:lang w:bidi="ar-EG"/>
        </w:rPr>
        <w:t>وتعزيز الاستدامة المالية</w:t>
      </w:r>
      <w:r w:rsidR="004903E6" w:rsidRPr="00BC50C9">
        <w:rPr>
          <w:rFonts w:ascii="Times New Roman" w:hAnsi="Times New Roman" w:cs="Simplified Arabic" w:hint="cs"/>
          <w:sz w:val="24"/>
          <w:szCs w:val="28"/>
          <w:rtl/>
          <w:lang w:bidi="ar-EG"/>
        </w:rPr>
        <w:t>.</w:t>
      </w:r>
    </w:p>
    <w:p w14:paraId="0DF1886C" w14:textId="067850A5" w:rsidR="00C60855" w:rsidRPr="00BC50C9" w:rsidRDefault="00C60855" w:rsidP="00BC50C9">
      <w:pPr>
        <w:pStyle w:val="a3"/>
        <w:numPr>
          <w:ilvl w:val="0"/>
          <w:numId w:val="2"/>
        </w:numPr>
        <w:bidi/>
        <w:spacing w:before="120" w:after="120" w:line="240" w:lineRule="auto"/>
        <w:contextualSpacing w:val="0"/>
        <w:jc w:val="both"/>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lastRenderedPageBreak/>
        <w:t>الحدود البشرية:</w:t>
      </w:r>
      <w:r w:rsidR="00707898" w:rsidRPr="00BC50C9">
        <w:rPr>
          <w:rFonts w:ascii="Times New Roman" w:hAnsi="Times New Roman" w:cs="Simplified Arabic" w:hint="cs"/>
          <w:sz w:val="24"/>
          <w:szCs w:val="28"/>
          <w:rtl/>
          <w:lang w:bidi="ar-EG"/>
        </w:rPr>
        <w:t xml:space="preserve"> ستشمل الدراسة عينة من رواد الأعمال وأصحاب المشاريع بالمملكة العربية السعودية ممكن يعتمدون على التمويل التشاركي في تطوير مشاريعهم الريادية</w:t>
      </w:r>
      <w:r w:rsidR="000F1D70" w:rsidRPr="00BC50C9">
        <w:rPr>
          <w:rFonts w:ascii="Times New Roman" w:hAnsi="Times New Roman" w:cs="Simplified Arabic" w:hint="cs"/>
          <w:sz w:val="24"/>
          <w:szCs w:val="28"/>
          <w:rtl/>
          <w:lang w:bidi="ar-EG"/>
        </w:rPr>
        <w:t>.</w:t>
      </w:r>
    </w:p>
    <w:p w14:paraId="060B4612" w14:textId="757AD99B" w:rsidR="00C60855" w:rsidRPr="00BC50C9" w:rsidRDefault="00C60855" w:rsidP="00BC50C9">
      <w:pPr>
        <w:pStyle w:val="a3"/>
        <w:numPr>
          <w:ilvl w:val="0"/>
          <w:numId w:val="2"/>
        </w:numPr>
        <w:bidi/>
        <w:spacing w:before="120" w:after="120" w:line="240" w:lineRule="auto"/>
        <w:contextualSpacing w:val="0"/>
        <w:jc w:val="both"/>
        <w:rPr>
          <w:rFonts w:ascii="Times New Roman" w:hAnsi="Times New Roman" w:cs="Simplified Arabic"/>
          <w:b/>
          <w:bCs/>
          <w:sz w:val="24"/>
          <w:szCs w:val="28"/>
          <w:rtl/>
          <w:lang w:bidi="ar-EG"/>
        </w:rPr>
      </w:pPr>
      <w:r w:rsidRPr="00BC50C9">
        <w:rPr>
          <w:rFonts w:ascii="Times New Roman" w:hAnsi="Times New Roman" w:cs="Simplified Arabic" w:hint="cs"/>
          <w:b/>
          <w:bCs/>
          <w:sz w:val="24"/>
          <w:szCs w:val="28"/>
          <w:rtl/>
          <w:lang w:bidi="ar-EG"/>
        </w:rPr>
        <w:t>الحدود المكانية:</w:t>
      </w:r>
      <w:r w:rsidR="000F1D70" w:rsidRPr="00BC50C9">
        <w:rPr>
          <w:rFonts w:ascii="Times New Roman" w:hAnsi="Times New Roman" w:cs="Simplified Arabic" w:hint="cs"/>
          <w:sz w:val="24"/>
          <w:szCs w:val="28"/>
          <w:rtl/>
          <w:lang w:bidi="ar-EG"/>
        </w:rPr>
        <w:t xml:space="preserve"> </w:t>
      </w:r>
      <w:r w:rsidR="005824FA" w:rsidRPr="00BC50C9">
        <w:rPr>
          <w:rFonts w:ascii="Times New Roman" w:hAnsi="Times New Roman" w:cs="Simplified Arabic" w:hint="cs"/>
          <w:sz w:val="24"/>
          <w:szCs w:val="28"/>
          <w:rtl/>
          <w:lang w:bidi="ar-EG"/>
        </w:rPr>
        <w:t>سيتم تطبيق الدراسة ضمن سياق بيئة ريادة الأعمال في المملكة العربية السعودية.</w:t>
      </w:r>
    </w:p>
    <w:p w14:paraId="798BC1CE" w14:textId="4C44F7F4" w:rsidR="00C60855" w:rsidRPr="00B44A10" w:rsidRDefault="00C60855" w:rsidP="00BC50C9">
      <w:pPr>
        <w:pStyle w:val="a3"/>
        <w:numPr>
          <w:ilvl w:val="0"/>
          <w:numId w:val="2"/>
        </w:numPr>
        <w:bidi/>
        <w:spacing w:before="120" w:after="120" w:line="240" w:lineRule="auto"/>
        <w:contextualSpacing w:val="0"/>
        <w:jc w:val="both"/>
        <w:rPr>
          <w:rFonts w:ascii="Times New Roman" w:hAnsi="Times New Roman" w:cs="Simplified Arabic"/>
          <w:b/>
          <w:bCs/>
          <w:sz w:val="24"/>
          <w:szCs w:val="28"/>
          <w:lang w:bidi="ar-EG"/>
        </w:rPr>
      </w:pPr>
      <w:r w:rsidRPr="00BC50C9">
        <w:rPr>
          <w:rFonts w:ascii="Times New Roman" w:hAnsi="Times New Roman" w:cs="Simplified Arabic" w:hint="cs"/>
          <w:b/>
          <w:bCs/>
          <w:sz w:val="24"/>
          <w:szCs w:val="28"/>
          <w:rtl/>
          <w:lang w:bidi="ar-EG"/>
        </w:rPr>
        <w:t>الحدود الزمنية:</w:t>
      </w:r>
      <w:r w:rsidR="00FE712D" w:rsidRPr="00BC50C9">
        <w:rPr>
          <w:rFonts w:ascii="Times New Roman" w:hAnsi="Times New Roman" w:cs="Simplified Arabic" w:hint="cs"/>
          <w:sz w:val="24"/>
          <w:szCs w:val="28"/>
          <w:rtl/>
          <w:lang w:bidi="ar-EG"/>
        </w:rPr>
        <w:t xml:space="preserve"> سوف يتم إجراء الدراسة خلال العام الدراسي الجاري 2025م.</w:t>
      </w:r>
    </w:p>
    <w:p w14:paraId="0196EE8E" w14:textId="236A8FDE" w:rsidR="00C60855" w:rsidRPr="00BC50C9" w:rsidRDefault="001E72B9" w:rsidP="00B44A10">
      <w:pPr>
        <w:pStyle w:val="22222"/>
        <w:rPr>
          <w:rtl/>
        </w:rPr>
      </w:pPr>
      <w:bookmarkStart w:id="58" w:name="_Toc195456523"/>
      <w:r>
        <w:rPr>
          <w:rFonts w:hint="cs"/>
          <w:rtl/>
        </w:rPr>
        <w:t>13</w:t>
      </w:r>
      <w:r w:rsidR="00B44A10">
        <w:rPr>
          <w:rFonts w:hint="cs"/>
          <w:rtl/>
        </w:rPr>
        <w:t xml:space="preserve">.1 </w:t>
      </w:r>
      <w:r w:rsidR="00C60855" w:rsidRPr="00BC50C9">
        <w:rPr>
          <w:rFonts w:hint="cs"/>
          <w:rtl/>
        </w:rPr>
        <w:t>مصطلحات الدراسة:</w:t>
      </w:r>
      <w:bookmarkEnd w:id="58"/>
    </w:p>
    <w:p w14:paraId="164A74A9" w14:textId="77777777" w:rsidR="00C60855" w:rsidRPr="00BC50C9" w:rsidRDefault="00C60855"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تتضمن الدراسة المصطلحات الرئيسة التالية:</w:t>
      </w:r>
    </w:p>
    <w:p w14:paraId="33449687" w14:textId="43E88871" w:rsidR="00EF2180" w:rsidRPr="00B44A10" w:rsidRDefault="00735ABA"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b/>
          <w:bCs/>
          <w:sz w:val="24"/>
          <w:szCs w:val="28"/>
          <w:rtl/>
          <w:lang w:bidi="ar-EG"/>
        </w:rPr>
        <w:t>الاستراتيجية المقترحة:</w:t>
      </w:r>
      <w:r w:rsidR="00B44A10">
        <w:rPr>
          <w:rFonts w:ascii="Times New Roman" w:hAnsi="Times New Roman" w:cs="Simplified Arabic" w:hint="cs"/>
          <w:b/>
          <w:bCs/>
          <w:sz w:val="24"/>
          <w:szCs w:val="28"/>
          <w:rtl/>
          <w:lang w:bidi="ar-EG"/>
        </w:rPr>
        <w:t xml:space="preserve"> </w:t>
      </w:r>
      <w:r w:rsidR="00EF2180" w:rsidRPr="00B44A10">
        <w:rPr>
          <w:rFonts w:ascii="Times New Roman" w:hAnsi="Times New Roman" w:cs="Simplified Arabic" w:hint="cs"/>
          <w:sz w:val="24"/>
          <w:szCs w:val="28"/>
          <w:rtl/>
        </w:rPr>
        <w:t>عرف "كومار" (</w:t>
      </w:r>
      <w:r w:rsidR="00EF2180" w:rsidRPr="00B44A10">
        <w:rPr>
          <w:rFonts w:ascii="Times New Roman" w:hAnsi="Times New Roman" w:cs="Simplified Arabic"/>
          <w:sz w:val="24"/>
          <w:szCs w:val="28"/>
        </w:rPr>
        <w:t>Kumar, 2019, p. 7</w:t>
      </w:r>
      <w:r w:rsidR="00EF2180" w:rsidRPr="00B44A10">
        <w:rPr>
          <w:rFonts w:ascii="Times New Roman" w:hAnsi="Times New Roman" w:cs="Simplified Arabic" w:hint="cs"/>
          <w:sz w:val="24"/>
          <w:szCs w:val="28"/>
          <w:rtl/>
        </w:rPr>
        <w:t>) الاستراتيجية المقترحة على أنها "خطة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شاملة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طويلة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الأجل</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تحدد</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اتجاه</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المنظمة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ونطاق</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عملها</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لتحقيق</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أهدافها</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المستقبلية،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مع</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التركيز</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على</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استغلال</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الموارد</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والكفاءات</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الداخلية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للتكيف</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مع</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التغيرات</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البيئية،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وتقليل</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المخاطر،</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وتلبية</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توقعات</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أصحاب</w:t>
      </w:r>
      <w:r w:rsidR="00EF2180" w:rsidRPr="00B44A10">
        <w:rPr>
          <w:rFonts w:ascii="Times New Roman" w:hAnsi="Times New Roman" w:cs="Simplified Arabic"/>
          <w:sz w:val="24"/>
          <w:szCs w:val="28"/>
          <w:rtl/>
        </w:rPr>
        <w:t xml:space="preserve"> </w:t>
      </w:r>
      <w:r w:rsidR="00EF2180" w:rsidRPr="00B44A10">
        <w:rPr>
          <w:rFonts w:ascii="Times New Roman" w:hAnsi="Times New Roman" w:cs="Simplified Arabic" w:hint="cs"/>
          <w:sz w:val="24"/>
          <w:szCs w:val="28"/>
          <w:rtl/>
        </w:rPr>
        <w:t>المصلحة"</w:t>
      </w:r>
      <w:r w:rsidR="00EF2180" w:rsidRPr="00B44A10">
        <w:rPr>
          <w:rFonts w:ascii="Times New Roman" w:hAnsi="Times New Roman" w:cs="Simplified Arabic"/>
          <w:sz w:val="24"/>
          <w:szCs w:val="28"/>
          <w:rtl/>
        </w:rPr>
        <w:t>.</w:t>
      </w:r>
    </w:p>
    <w:p w14:paraId="5E0AEF70" w14:textId="7A99C826" w:rsidR="002E743D" w:rsidRPr="00BC50C9" w:rsidRDefault="00EF2180" w:rsidP="00B44A10">
      <w:pPr>
        <w:pStyle w:val="00000"/>
        <w:rPr>
          <w:b/>
          <w:bCs/>
          <w:rtl/>
        </w:rPr>
      </w:pPr>
      <w:r w:rsidRPr="00BC50C9">
        <w:rPr>
          <w:rFonts w:hint="cs"/>
          <w:rtl/>
        </w:rPr>
        <w:t>كما تُعرف الاستراتيجية المقترحة بأنها "مجموعة من المبادئ والقواعد المرتبطة بمجال معين، وتساعد الأفراد المرتبطين بها من اتخاذ القرارات المناسبة بناءً على مجموعة من الخطط الدقيقة، والتي تعتمد على وضع الاستراتيجيات الصحيحة للوصول إلى تحقيق نتائج ناجحة" (مرزوق، 2018، ص. 165).</w:t>
      </w:r>
    </w:p>
    <w:p w14:paraId="22A51C8A" w14:textId="184FDA61" w:rsidR="00EF2180" w:rsidRPr="00BC50C9" w:rsidRDefault="00EF2180" w:rsidP="00B44A10">
      <w:pPr>
        <w:pStyle w:val="00000"/>
        <w:rPr>
          <w:rtl/>
        </w:rPr>
      </w:pPr>
      <w:r w:rsidRPr="00BC50C9">
        <w:rPr>
          <w:rFonts w:hint="cs"/>
          <w:b/>
          <w:bCs/>
          <w:rtl/>
        </w:rPr>
        <w:t>وتُعرف الاستراتيجية المقترحة إجرائيًا بأنها</w:t>
      </w:r>
      <w:r w:rsidR="002E743D" w:rsidRPr="00BC50C9">
        <w:rPr>
          <w:rFonts w:hint="cs"/>
          <w:rtl/>
        </w:rPr>
        <w:t xml:space="preserve"> الخطة المنهجية التي يتم سيتم وضعها في سياق الدراسة الحالية لتطوير منصة إلكترونية تعتمد على التمويل التشاركي، بهدف تعزيز كفاءة تمويل المشاريع الريادية في المملكة العربية السعودية.</w:t>
      </w:r>
    </w:p>
    <w:p w14:paraId="54FFEE5B" w14:textId="7AAF26D3" w:rsidR="000E5327" w:rsidRPr="00B44A10" w:rsidRDefault="00027492"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b/>
          <w:bCs/>
          <w:sz w:val="24"/>
          <w:szCs w:val="28"/>
          <w:rtl/>
          <w:lang w:bidi="ar-EG"/>
        </w:rPr>
        <w:t>المنصة الالكترونية:</w:t>
      </w:r>
      <w:r w:rsidR="00B44A10">
        <w:rPr>
          <w:rFonts w:ascii="Times New Roman" w:hAnsi="Times New Roman" w:cs="Simplified Arabic" w:hint="cs"/>
          <w:b/>
          <w:bCs/>
          <w:sz w:val="24"/>
          <w:szCs w:val="28"/>
          <w:rtl/>
          <w:lang w:bidi="ar-EG"/>
        </w:rPr>
        <w:t xml:space="preserve"> </w:t>
      </w:r>
      <w:r w:rsidR="003C0B07" w:rsidRPr="00B44A10">
        <w:rPr>
          <w:rFonts w:ascii="Times New Roman" w:hAnsi="Times New Roman" w:cs="Simplified Arabic" w:hint="cs"/>
          <w:sz w:val="24"/>
          <w:szCs w:val="28"/>
          <w:rtl/>
          <w:lang w:bidi="ar-EG"/>
        </w:rPr>
        <w:t>عرف</w:t>
      </w:r>
      <w:r w:rsidR="001E40D5" w:rsidRPr="00B44A10">
        <w:rPr>
          <w:rFonts w:ascii="Times New Roman" w:hAnsi="Times New Roman" w:cs="Simplified Arabic" w:hint="cs"/>
          <w:sz w:val="24"/>
          <w:szCs w:val="28"/>
          <w:rtl/>
          <w:lang w:bidi="ar-EG"/>
        </w:rPr>
        <w:t xml:space="preserve"> عرفات</w:t>
      </w:r>
      <w:r w:rsidR="003C0B07" w:rsidRPr="00B44A10">
        <w:rPr>
          <w:rFonts w:ascii="Times New Roman" w:hAnsi="Times New Roman" w:cs="Simplified Arabic" w:hint="cs"/>
          <w:sz w:val="24"/>
          <w:szCs w:val="28"/>
          <w:rtl/>
          <w:lang w:bidi="ar-EG"/>
        </w:rPr>
        <w:t xml:space="preserve"> (2024، ص. 6) المنصة الإلكترونية بأنها "</w:t>
      </w:r>
      <w:r w:rsidR="001E40D5" w:rsidRPr="00B44A10">
        <w:rPr>
          <w:rFonts w:ascii="Times New Roman" w:hAnsi="Times New Roman" w:cs="Simplified Arabic" w:hint="cs"/>
          <w:sz w:val="24"/>
          <w:szCs w:val="28"/>
          <w:rtl/>
          <w:lang w:bidi="ar-EG"/>
        </w:rPr>
        <w:t xml:space="preserve">نموذج قائم على استخدام التكنولوجيا، يسمح لعدة مشاركين من منتجين ومستهلكين بالاتصال من خلاله، والتفاعل مع بعضهم البعض، إما </w:t>
      </w:r>
      <w:r w:rsidR="00B44A10" w:rsidRPr="00B44A10">
        <w:rPr>
          <w:rFonts w:ascii="Times New Roman" w:hAnsi="Times New Roman" w:cs="Simplified Arabic" w:hint="cs"/>
          <w:sz w:val="24"/>
          <w:szCs w:val="28"/>
          <w:rtl/>
          <w:lang w:bidi="ar-EG"/>
        </w:rPr>
        <w:t>لأغراض</w:t>
      </w:r>
      <w:r w:rsidR="00B44A10">
        <w:rPr>
          <w:rFonts w:ascii="Times New Roman" w:hAnsi="Times New Roman" w:cs="Simplified Arabic" w:hint="cs"/>
          <w:sz w:val="24"/>
          <w:szCs w:val="28"/>
          <w:rtl/>
          <w:lang w:bidi="ar-EG"/>
        </w:rPr>
        <w:t xml:space="preserve"> </w:t>
      </w:r>
      <w:r w:rsidR="00B44A10" w:rsidRPr="00B44A10">
        <w:rPr>
          <w:rFonts w:ascii="Times New Roman" w:hAnsi="Times New Roman" w:cs="Simplified Arabic" w:hint="cs"/>
          <w:sz w:val="24"/>
          <w:szCs w:val="28"/>
          <w:rtl/>
          <w:lang w:bidi="ar-EG"/>
        </w:rPr>
        <w:t>اجتماعية</w:t>
      </w:r>
      <w:r w:rsidR="00B44A10" w:rsidRPr="00B44A10">
        <w:rPr>
          <w:rFonts w:ascii="Times New Roman" w:hAnsi="Times New Roman" w:cs="Simplified Arabic" w:hint="eastAsia"/>
          <w:sz w:val="24"/>
          <w:szCs w:val="28"/>
          <w:rtl/>
          <w:lang w:bidi="ar-EG"/>
        </w:rPr>
        <w:t>،</w:t>
      </w:r>
      <w:r w:rsidR="001E72B9">
        <w:rPr>
          <w:rFonts w:ascii="Times New Roman" w:hAnsi="Times New Roman" w:cs="Simplified Arabic" w:hint="cs"/>
          <w:sz w:val="24"/>
          <w:szCs w:val="28"/>
          <w:rtl/>
          <w:lang w:bidi="ar-EG"/>
        </w:rPr>
        <w:t xml:space="preserve"> </w:t>
      </w:r>
      <w:r w:rsidR="001E40D5" w:rsidRPr="00B44A10">
        <w:rPr>
          <w:rFonts w:ascii="Times New Roman" w:hAnsi="Times New Roman" w:cs="Simplified Arabic" w:hint="cs"/>
          <w:sz w:val="24"/>
          <w:szCs w:val="28"/>
          <w:rtl/>
          <w:lang w:bidi="ar-EG"/>
        </w:rPr>
        <w:t xml:space="preserve">أو </w:t>
      </w:r>
      <w:proofErr w:type="gramStart"/>
      <w:r w:rsidR="001E40D5" w:rsidRPr="00B44A10">
        <w:rPr>
          <w:rFonts w:ascii="Times New Roman" w:hAnsi="Times New Roman" w:cs="Simplified Arabic" w:hint="cs"/>
          <w:sz w:val="24"/>
          <w:szCs w:val="28"/>
          <w:rtl/>
          <w:lang w:bidi="ar-EG"/>
        </w:rPr>
        <w:t>تعليمية</w:t>
      </w:r>
      <w:proofErr w:type="gramEnd"/>
      <w:r w:rsidR="001E40D5" w:rsidRPr="00B44A10">
        <w:rPr>
          <w:rFonts w:ascii="Times New Roman" w:hAnsi="Times New Roman" w:cs="Simplified Arabic" w:hint="cs"/>
          <w:sz w:val="24"/>
          <w:szCs w:val="28"/>
          <w:rtl/>
          <w:lang w:bidi="ar-EG"/>
        </w:rPr>
        <w:t xml:space="preserve"> أو تجارية، أو بهدف التسلية".</w:t>
      </w:r>
    </w:p>
    <w:p w14:paraId="284D4F5B" w14:textId="3A4DD49D" w:rsidR="000E5327" w:rsidRPr="00BC50C9" w:rsidRDefault="000E5327" w:rsidP="00B44A10">
      <w:pPr>
        <w:pStyle w:val="00000"/>
        <w:rPr>
          <w:rtl/>
        </w:rPr>
      </w:pPr>
      <w:r w:rsidRPr="00BC50C9">
        <w:rPr>
          <w:rFonts w:hint="cs"/>
          <w:rtl/>
        </w:rPr>
        <w:t xml:space="preserve">كما </w:t>
      </w:r>
      <w:r w:rsidRPr="00BC50C9">
        <w:rPr>
          <w:rtl/>
        </w:rPr>
        <w:t>أشار "</w:t>
      </w:r>
      <w:proofErr w:type="gramStart"/>
      <w:r w:rsidRPr="00BC50C9">
        <w:rPr>
          <w:rtl/>
        </w:rPr>
        <w:t>فو وآخرون</w:t>
      </w:r>
      <w:proofErr w:type="gramEnd"/>
      <w:r w:rsidRPr="00BC50C9">
        <w:rPr>
          <w:rtl/>
        </w:rPr>
        <w:t>" (</w:t>
      </w:r>
      <w:r w:rsidRPr="00BC50C9">
        <w:t>Fu, et al., 2018, P. 232</w:t>
      </w:r>
      <w:r w:rsidRPr="00BC50C9">
        <w:rPr>
          <w:rtl/>
        </w:rPr>
        <w:t>) إلى المنصات الإلكترونية بأنها "منصات تعمل كأسواق ذات جانبين تسمح للوكلاء من البائعين والمشترين بالتواصل والانتقال بين جانبي السوق".</w:t>
      </w:r>
    </w:p>
    <w:p w14:paraId="291A4856" w14:textId="3B7B40B8" w:rsidR="00F7168C" w:rsidRPr="00BC50C9" w:rsidRDefault="00F7168C" w:rsidP="00B44A10">
      <w:pPr>
        <w:pStyle w:val="00000"/>
      </w:pPr>
      <w:r w:rsidRPr="00BC50C9">
        <w:rPr>
          <w:rFonts w:hint="cs"/>
          <w:b/>
          <w:bCs/>
          <w:rtl/>
        </w:rPr>
        <w:t xml:space="preserve">وتُعرف </w:t>
      </w:r>
      <w:r w:rsidR="004862A3" w:rsidRPr="00BC50C9">
        <w:rPr>
          <w:rFonts w:hint="cs"/>
          <w:b/>
          <w:bCs/>
          <w:rtl/>
        </w:rPr>
        <w:t xml:space="preserve">المنصة الالكترونية </w:t>
      </w:r>
      <w:r w:rsidRPr="00BC50C9">
        <w:rPr>
          <w:rFonts w:hint="cs"/>
          <w:b/>
          <w:bCs/>
          <w:rtl/>
        </w:rPr>
        <w:t>إجرائيًا بأنها</w:t>
      </w:r>
      <w:r w:rsidR="00EA2B48" w:rsidRPr="00BC50C9">
        <w:rPr>
          <w:rFonts w:hint="cs"/>
          <w:rtl/>
        </w:rPr>
        <w:t xml:space="preserve"> هي بيئة رقمية يتم تصميمها لتيسير عمليات التمويل التشاركي، حيث تعمل على الربط بين رواد الأعمال والممولين من خلال تقنيات رقمية متقدمة، بما يحقق الكفاءة والشفافية في تمويل المشاريع الريادية بالمملكة العربية السعودية.</w:t>
      </w:r>
    </w:p>
    <w:p w14:paraId="447E365C" w14:textId="0C2A6D7A" w:rsidR="002817AA" w:rsidRPr="00B44A10" w:rsidRDefault="00027492"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b/>
          <w:bCs/>
          <w:sz w:val="24"/>
          <w:szCs w:val="28"/>
          <w:rtl/>
          <w:lang w:bidi="ar-EG"/>
        </w:rPr>
        <w:t>التمويل التشاركي:</w:t>
      </w:r>
      <w:r w:rsidR="00B44A10">
        <w:rPr>
          <w:rFonts w:ascii="Times New Roman" w:hAnsi="Times New Roman" w:cs="Simplified Arabic" w:hint="cs"/>
          <w:b/>
          <w:bCs/>
          <w:sz w:val="24"/>
          <w:szCs w:val="28"/>
          <w:rtl/>
          <w:lang w:bidi="ar-EG"/>
        </w:rPr>
        <w:t xml:space="preserve"> </w:t>
      </w:r>
      <w:r w:rsidR="00900E2F" w:rsidRPr="00B44A10">
        <w:rPr>
          <w:rFonts w:ascii="Times New Roman" w:hAnsi="Times New Roman" w:cs="Simplified Arabic" w:hint="cs"/>
          <w:sz w:val="24"/>
          <w:szCs w:val="28"/>
          <w:rtl/>
          <w:lang w:bidi="ar-EG"/>
        </w:rPr>
        <w:t>عرف</w:t>
      </w:r>
      <w:r w:rsidR="00054C5F" w:rsidRPr="00B44A10">
        <w:rPr>
          <w:rFonts w:ascii="Times New Roman" w:hAnsi="Times New Roman" w:cs="Simplified Arabic" w:hint="cs"/>
          <w:sz w:val="24"/>
          <w:szCs w:val="28"/>
          <w:rtl/>
          <w:lang w:bidi="ar-EG"/>
        </w:rPr>
        <w:t xml:space="preserve"> أحمد</w:t>
      </w:r>
      <w:r w:rsidR="00900E2F" w:rsidRPr="00B44A10">
        <w:rPr>
          <w:rFonts w:ascii="Times New Roman" w:hAnsi="Times New Roman" w:cs="Simplified Arabic" w:hint="cs"/>
          <w:sz w:val="24"/>
          <w:szCs w:val="28"/>
          <w:rtl/>
          <w:lang w:bidi="ar-EG"/>
        </w:rPr>
        <w:t xml:space="preserve"> (</w:t>
      </w:r>
      <w:r w:rsidR="00054C5F" w:rsidRPr="00B44A10">
        <w:rPr>
          <w:rFonts w:ascii="Times New Roman" w:hAnsi="Times New Roman" w:cs="Simplified Arabic" w:hint="cs"/>
          <w:sz w:val="24"/>
          <w:szCs w:val="28"/>
          <w:rtl/>
          <w:lang w:bidi="ar-EG"/>
        </w:rPr>
        <w:t xml:space="preserve">2023، </w:t>
      </w:r>
      <w:r w:rsidR="002817AA" w:rsidRPr="00B44A10">
        <w:rPr>
          <w:rFonts w:ascii="Times New Roman" w:hAnsi="Times New Roman" w:cs="Simplified Arabic" w:hint="cs"/>
          <w:sz w:val="24"/>
          <w:szCs w:val="28"/>
          <w:rtl/>
          <w:lang w:bidi="ar-EG"/>
        </w:rPr>
        <w:t>ص. 101</w:t>
      </w:r>
      <w:r w:rsidR="00900E2F" w:rsidRPr="00B44A10">
        <w:rPr>
          <w:rFonts w:ascii="Times New Roman" w:hAnsi="Times New Roman" w:cs="Simplified Arabic" w:hint="cs"/>
          <w:sz w:val="24"/>
          <w:szCs w:val="28"/>
          <w:rtl/>
          <w:lang w:bidi="ar-EG"/>
        </w:rPr>
        <w:t>) التمويل التشاركي بأنه "</w:t>
      </w:r>
      <w:r w:rsidR="002817AA" w:rsidRPr="00B44A10">
        <w:rPr>
          <w:rFonts w:ascii="Times New Roman" w:hAnsi="Times New Roman" w:cs="Simplified Arabic" w:hint="cs"/>
          <w:sz w:val="24"/>
          <w:szCs w:val="28"/>
          <w:rtl/>
          <w:lang w:bidi="ar-EG"/>
        </w:rPr>
        <w:t xml:space="preserve">صيغة من صيغ التمويل، والتي تتم عن طريق حشد عدد من الجمهور عبر منصات إلكترونية على شبكة الإنترنت، بغرض الحصول على التمويل اللازم للمشاريع والأنشطة، من خلال عدة أساليب مثل الأسهم </w:t>
      </w:r>
      <w:r w:rsidR="00054C5F" w:rsidRPr="00B44A10">
        <w:rPr>
          <w:rFonts w:ascii="Times New Roman" w:hAnsi="Times New Roman" w:cs="Simplified Arabic" w:hint="cs"/>
          <w:sz w:val="24"/>
          <w:szCs w:val="28"/>
          <w:rtl/>
          <w:lang w:bidi="ar-EG"/>
        </w:rPr>
        <w:t>والقروض</w:t>
      </w:r>
      <w:r w:rsidR="002817AA" w:rsidRPr="00B44A10">
        <w:rPr>
          <w:rFonts w:ascii="Times New Roman" w:hAnsi="Times New Roman" w:cs="Simplified Arabic" w:hint="cs"/>
          <w:sz w:val="24"/>
          <w:szCs w:val="28"/>
          <w:rtl/>
          <w:lang w:bidi="ar-EG"/>
        </w:rPr>
        <w:t>، وذلك خلال فترة زمنية محددة".</w:t>
      </w:r>
    </w:p>
    <w:p w14:paraId="5386D54E" w14:textId="4405D0E9" w:rsidR="00EA2B48" w:rsidRPr="00BC50C9" w:rsidRDefault="00C61A0B" w:rsidP="00B44A10">
      <w:pPr>
        <w:pStyle w:val="00000"/>
        <w:rPr>
          <w:rtl/>
        </w:rPr>
      </w:pPr>
      <w:r w:rsidRPr="00BC50C9">
        <w:rPr>
          <w:rFonts w:hint="cs"/>
          <w:rtl/>
        </w:rPr>
        <w:lastRenderedPageBreak/>
        <w:t>كما عرف "</w:t>
      </w:r>
      <w:proofErr w:type="spellStart"/>
      <w:r w:rsidRPr="00BC50C9">
        <w:rPr>
          <w:rFonts w:hint="cs"/>
          <w:rtl/>
        </w:rPr>
        <w:t>دالجرين</w:t>
      </w:r>
      <w:proofErr w:type="spellEnd"/>
      <w:r w:rsidRPr="00BC50C9">
        <w:rPr>
          <w:rFonts w:hint="cs"/>
          <w:rtl/>
        </w:rPr>
        <w:t xml:space="preserve"> وآخرون" (</w:t>
      </w:r>
      <w:r w:rsidRPr="00BC50C9">
        <w:t>Dahlgren, et al., 2021, P. 12</w:t>
      </w:r>
      <w:r w:rsidRPr="00BC50C9">
        <w:rPr>
          <w:rFonts w:hint="cs"/>
          <w:rtl/>
        </w:rPr>
        <w:t>) التمويل التشاركي بأنها "</w:t>
      </w:r>
      <w:r w:rsidR="00F41BEB" w:rsidRPr="00BC50C9">
        <w:rPr>
          <w:rFonts w:hint="cs"/>
          <w:rtl/>
        </w:rPr>
        <w:t>نمط التمويل الذي</w:t>
      </w:r>
      <w:r w:rsidRPr="00BC50C9">
        <w:rPr>
          <w:rtl/>
        </w:rPr>
        <w:t xml:space="preserve"> </w:t>
      </w:r>
      <w:r w:rsidR="00F41BEB" w:rsidRPr="00BC50C9">
        <w:rPr>
          <w:rFonts w:hint="cs"/>
          <w:rtl/>
        </w:rPr>
        <w:t>ي</w:t>
      </w:r>
      <w:r w:rsidRPr="00BC50C9">
        <w:rPr>
          <w:rtl/>
        </w:rPr>
        <w:t>وفر الرابط بين المستثمرين الذين يمتلكون رأس المال ورجال الأعمال الذين يقدمون السلع والخدمات</w:t>
      </w:r>
      <w:r w:rsidRPr="00BC50C9">
        <w:rPr>
          <w:rFonts w:hint="cs"/>
          <w:rtl/>
        </w:rPr>
        <w:t>".</w:t>
      </w:r>
    </w:p>
    <w:p w14:paraId="788F02D1" w14:textId="34550829" w:rsidR="00F7168C" w:rsidRPr="00BC50C9" w:rsidRDefault="00F7168C" w:rsidP="00B44A10">
      <w:pPr>
        <w:pStyle w:val="00000"/>
      </w:pPr>
      <w:r w:rsidRPr="00BC50C9">
        <w:rPr>
          <w:rFonts w:hint="cs"/>
          <w:b/>
          <w:bCs/>
          <w:rtl/>
        </w:rPr>
        <w:t>و</w:t>
      </w:r>
      <w:r w:rsidR="004862A3" w:rsidRPr="00BC50C9">
        <w:rPr>
          <w:rFonts w:hint="cs"/>
          <w:b/>
          <w:bCs/>
          <w:rtl/>
        </w:rPr>
        <w:t>ي</w:t>
      </w:r>
      <w:r w:rsidRPr="00BC50C9">
        <w:rPr>
          <w:rFonts w:hint="cs"/>
          <w:b/>
          <w:bCs/>
          <w:rtl/>
        </w:rPr>
        <w:t xml:space="preserve">ُعرف </w:t>
      </w:r>
      <w:r w:rsidR="004862A3" w:rsidRPr="00BC50C9">
        <w:rPr>
          <w:rFonts w:hint="cs"/>
          <w:b/>
          <w:bCs/>
          <w:rtl/>
        </w:rPr>
        <w:t xml:space="preserve">التمويل التشاركي </w:t>
      </w:r>
      <w:r w:rsidRPr="00BC50C9">
        <w:rPr>
          <w:rFonts w:hint="cs"/>
          <w:b/>
          <w:bCs/>
          <w:rtl/>
        </w:rPr>
        <w:t>إجرائيًا بأنه</w:t>
      </w:r>
      <w:r w:rsidR="00EA2B48" w:rsidRPr="00BC50C9">
        <w:rPr>
          <w:rFonts w:hint="cs"/>
          <w:b/>
          <w:bCs/>
          <w:rtl/>
        </w:rPr>
        <w:t xml:space="preserve"> </w:t>
      </w:r>
      <w:r w:rsidR="00EA2B48" w:rsidRPr="00BC50C9">
        <w:rPr>
          <w:rFonts w:hint="cs"/>
          <w:rtl/>
        </w:rPr>
        <w:t xml:space="preserve">هو </w:t>
      </w:r>
      <w:r w:rsidR="008D61AD" w:rsidRPr="00BC50C9">
        <w:rPr>
          <w:rFonts w:hint="cs"/>
          <w:rtl/>
        </w:rPr>
        <w:t>نموذج تمويلي رقمي جديد يتيح للأفراد والشركات المساهمة تمويل المشاريع الريادية من خلال المنصة الإلكترونية، سواء أكان ذلك على شكل استثمارات مباشرة أو قروض جماعية، وذلك لتمكين رواد الأعمال بالمملكة العربية السعودية من الوصول لمصادر تمويل غير تقليدية تُعزز من فرص نجاح مشاريعهم.</w:t>
      </w:r>
    </w:p>
    <w:p w14:paraId="6C34ABA9" w14:textId="5CF1924C" w:rsidR="00F7168C" w:rsidRPr="00B44A10" w:rsidRDefault="00027492"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b/>
          <w:bCs/>
          <w:sz w:val="24"/>
          <w:szCs w:val="28"/>
          <w:rtl/>
          <w:lang w:bidi="ar-EG"/>
        </w:rPr>
        <w:t>المشاريع الريادية:</w:t>
      </w:r>
      <w:r w:rsidR="00B44A10">
        <w:rPr>
          <w:rFonts w:ascii="Times New Roman" w:hAnsi="Times New Roman" w:cs="Simplified Arabic" w:hint="cs"/>
          <w:b/>
          <w:bCs/>
          <w:sz w:val="24"/>
          <w:szCs w:val="28"/>
          <w:rtl/>
          <w:lang w:bidi="ar-EG"/>
        </w:rPr>
        <w:t xml:space="preserve"> </w:t>
      </w:r>
      <w:r w:rsidR="00F7168C" w:rsidRPr="00B44A10">
        <w:rPr>
          <w:rFonts w:ascii="Times New Roman" w:hAnsi="Times New Roman" w:cs="Simplified Arabic" w:hint="cs"/>
          <w:sz w:val="24"/>
          <w:szCs w:val="28"/>
          <w:rtl/>
          <w:lang w:bidi="ar-EG"/>
        </w:rPr>
        <w:t>عرف "الشيخ والبدرات" (</w:t>
      </w:r>
      <w:r w:rsidR="00F7168C" w:rsidRPr="00B44A10">
        <w:rPr>
          <w:rFonts w:ascii="Times New Roman" w:hAnsi="Times New Roman" w:cs="Simplified Arabic"/>
          <w:sz w:val="24"/>
          <w:szCs w:val="28"/>
          <w:lang w:bidi="ar-EG"/>
        </w:rPr>
        <w:t>Al-Shaikh &amp; Al-</w:t>
      </w:r>
      <w:proofErr w:type="spellStart"/>
      <w:r w:rsidR="00F7168C" w:rsidRPr="00B44A10">
        <w:rPr>
          <w:rFonts w:ascii="Times New Roman" w:hAnsi="Times New Roman" w:cs="Simplified Arabic"/>
          <w:sz w:val="24"/>
          <w:szCs w:val="28"/>
          <w:lang w:bidi="ar-EG"/>
        </w:rPr>
        <w:t>bderat</w:t>
      </w:r>
      <w:proofErr w:type="spellEnd"/>
      <w:r w:rsidR="00F7168C" w:rsidRPr="00B44A10">
        <w:rPr>
          <w:rFonts w:ascii="Times New Roman" w:hAnsi="Times New Roman" w:cs="Simplified Arabic"/>
          <w:sz w:val="24"/>
          <w:szCs w:val="28"/>
          <w:lang w:bidi="ar-EG"/>
        </w:rPr>
        <w:t>, 2023, P. 610-611</w:t>
      </w:r>
      <w:r w:rsidR="00F7168C" w:rsidRPr="00B44A10">
        <w:rPr>
          <w:rFonts w:ascii="Times New Roman" w:hAnsi="Times New Roman" w:cs="Simplified Arabic" w:hint="cs"/>
          <w:sz w:val="24"/>
          <w:szCs w:val="28"/>
          <w:rtl/>
          <w:lang w:bidi="ar-EG"/>
        </w:rPr>
        <w:t>) المشاريع الريادية بأنها "</w:t>
      </w:r>
      <w:r w:rsidR="00F7168C" w:rsidRPr="00B44A10">
        <w:rPr>
          <w:rFonts w:ascii="Times New Roman" w:hAnsi="Times New Roman" w:cs="Simplified Arabic"/>
          <w:sz w:val="24"/>
          <w:szCs w:val="28"/>
          <w:rtl/>
          <w:lang w:bidi="ar-EG"/>
        </w:rPr>
        <w:t>مشاريع ذات قيم إبداعية وأفكار إبداعية لإنشاء مشروع جديد يتم من خلاله إطلاق منتجات جديدة أو تطوير المنتجات الحالية وتحسينها بطريقة مبتكرة تساهم في نقل الموارد الاقتصادية من مستوى إنتاج منخفض إلى مستوى إنتاج مرتفع</w:t>
      </w:r>
      <w:r w:rsidR="00F7168C" w:rsidRPr="00B44A10">
        <w:rPr>
          <w:rFonts w:ascii="Times New Roman" w:hAnsi="Times New Roman" w:cs="Simplified Arabic" w:hint="cs"/>
          <w:sz w:val="24"/>
          <w:szCs w:val="28"/>
          <w:rtl/>
          <w:lang w:bidi="ar-EG"/>
        </w:rPr>
        <w:t>".</w:t>
      </w:r>
    </w:p>
    <w:p w14:paraId="346D0BB4" w14:textId="78698B6B" w:rsidR="007E13A6" w:rsidRPr="00BC50C9" w:rsidRDefault="00636FCD" w:rsidP="00B44A10">
      <w:pPr>
        <w:pStyle w:val="00000"/>
        <w:rPr>
          <w:rtl/>
        </w:rPr>
      </w:pPr>
      <w:r w:rsidRPr="00BC50C9">
        <w:rPr>
          <w:rFonts w:hint="cs"/>
          <w:rtl/>
        </w:rPr>
        <w:t>كما عرف</w:t>
      </w:r>
      <w:r w:rsidR="00DE13E9" w:rsidRPr="00BC50C9">
        <w:rPr>
          <w:rFonts w:hint="cs"/>
          <w:rtl/>
        </w:rPr>
        <w:t xml:space="preserve"> الصاوي</w:t>
      </w:r>
      <w:r w:rsidRPr="00BC50C9">
        <w:rPr>
          <w:rFonts w:hint="cs"/>
          <w:rtl/>
        </w:rPr>
        <w:t xml:space="preserve"> (2022، ص. 1982) المشاريع الريادية بأنها "مجموعة من العمليات التي تبدأ م</w:t>
      </w:r>
      <w:r w:rsidR="007E61C2" w:rsidRPr="00BC50C9">
        <w:rPr>
          <w:rFonts w:hint="cs"/>
          <w:rtl/>
        </w:rPr>
        <w:t>ن القدرة على إيجاد حلول ابتكارية لمشكلات مجموعة من الأفراد، والبدء في تنفيذ هذه الحلول</w:t>
      </w:r>
      <w:r w:rsidR="00FB6E67" w:rsidRPr="00BC50C9">
        <w:rPr>
          <w:rFonts w:hint="cs"/>
          <w:rtl/>
        </w:rPr>
        <w:t xml:space="preserve"> من خلال إنشاء مؤسسة تستقطب كوادر ذات عقول مميزة والقدرة على التطوير والنمو باستمرار من خلال إضافة تحسينات دائمة ومستمرة".</w:t>
      </w:r>
    </w:p>
    <w:p w14:paraId="793685B5" w14:textId="191E8FDB" w:rsidR="008C2C33" w:rsidRPr="00BC50C9" w:rsidRDefault="00F7168C" w:rsidP="00B44A10">
      <w:pPr>
        <w:pStyle w:val="00000"/>
      </w:pPr>
      <w:r w:rsidRPr="00BC50C9">
        <w:rPr>
          <w:rFonts w:hint="cs"/>
          <w:b/>
          <w:bCs/>
          <w:rtl/>
        </w:rPr>
        <w:t xml:space="preserve">وتُعرف </w:t>
      </w:r>
      <w:r w:rsidR="004862A3" w:rsidRPr="00BC50C9">
        <w:rPr>
          <w:rFonts w:hint="cs"/>
          <w:b/>
          <w:bCs/>
          <w:rtl/>
        </w:rPr>
        <w:t xml:space="preserve">المشاريع الريادية </w:t>
      </w:r>
      <w:r w:rsidRPr="00BC50C9">
        <w:rPr>
          <w:rFonts w:hint="cs"/>
          <w:b/>
          <w:bCs/>
          <w:rtl/>
        </w:rPr>
        <w:t>إجرائيًا بأنها</w:t>
      </w:r>
      <w:r w:rsidR="007E13A6" w:rsidRPr="00BC50C9">
        <w:rPr>
          <w:rFonts w:hint="cs"/>
          <w:rtl/>
        </w:rPr>
        <w:t xml:space="preserve"> هي المشاريع الناشئة والمبتكرة التي يتم إطلاقها وريادتها من قِبل رواد الأعمال بالمملكة العربية السعودية، </w:t>
      </w:r>
      <w:r w:rsidR="008755EB" w:rsidRPr="00BC50C9">
        <w:rPr>
          <w:rFonts w:hint="cs"/>
          <w:rtl/>
        </w:rPr>
        <w:t>والتي تحتاج إلى الدعم المالي لضمان استمراريتها ونموها من خلال نموذج التمويل التشاركي.</w:t>
      </w:r>
    </w:p>
    <w:p w14:paraId="75108EB9" w14:textId="647C6CCB" w:rsidR="00615356" w:rsidRPr="00B44A10" w:rsidRDefault="00027492"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b/>
          <w:bCs/>
          <w:sz w:val="24"/>
          <w:szCs w:val="28"/>
          <w:rtl/>
          <w:lang w:bidi="ar-EG"/>
        </w:rPr>
        <w:t>الاستدامة المالية:</w:t>
      </w:r>
      <w:r w:rsidR="00B44A10">
        <w:rPr>
          <w:rFonts w:ascii="Times New Roman" w:hAnsi="Times New Roman" w:cs="Simplified Arabic" w:hint="cs"/>
          <w:b/>
          <w:bCs/>
          <w:sz w:val="24"/>
          <w:szCs w:val="28"/>
          <w:rtl/>
          <w:lang w:bidi="ar-EG"/>
        </w:rPr>
        <w:t xml:space="preserve"> </w:t>
      </w:r>
      <w:r w:rsidR="004862A3" w:rsidRPr="00B44A10">
        <w:rPr>
          <w:rFonts w:ascii="Times New Roman" w:hAnsi="Times New Roman" w:cs="Simplified Arabic" w:hint="cs"/>
          <w:sz w:val="24"/>
          <w:szCs w:val="28"/>
          <w:rtl/>
          <w:lang w:bidi="ar-EG"/>
        </w:rPr>
        <w:t>عرف "رازا وآخرون" (</w:t>
      </w:r>
      <w:r w:rsidR="004862A3" w:rsidRPr="00B44A10">
        <w:rPr>
          <w:rFonts w:ascii="Times New Roman" w:hAnsi="Times New Roman" w:cs="Simplified Arabic"/>
          <w:sz w:val="24"/>
          <w:szCs w:val="28"/>
          <w:lang w:bidi="ar-EG"/>
        </w:rPr>
        <w:t xml:space="preserve">Raza, et al., 2020, P. </w:t>
      </w:r>
      <w:r w:rsidR="008C2C33" w:rsidRPr="00B44A10">
        <w:rPr>
          <w:rFonts w:ascii="Times New Roman" w:hAnsi="Times New Roman" w:cs="Simplified Arabic"/>
          <w:sz w:val="24"/>
          <w:szCs w:val="28"/>
          <w:lang w:bidi="ar-EG"/>
        </w:rPr>
        <w:t>891</w:t>
      </w:r>
      <w:r w:rsidR="008C2C33" w:rsidRPr="00B44A10">
        <w:rPr>
          <w:rFonts w:ascii="Times New Roman" w:hAnsi="Times New Roman" w:cs="Simplified Arabic" w:hint="cs"/>
          <w:sz w:val="24"/>
          <w:szCs w:val="28"/>
          <w:rtl/>
          <w:lang w:bidi="ar-EG"/>
        </w:rPr>
        <w:t>) الاستدام</w:t>
      </w:r>
      <w:r w:rsidR="008C2C33" w:rsidRPr="00B44A10">
        <w:rPr>
          <w:rFonts w:ascii="Times New Roman" w:hAnsi="Times New Roman" w:cs="Simplified Arabic" w:hint="eastAsia"/>
          <w:sz w:val="24"/>
          <w:szCs w:val="28"/>
          <w:rtl/>
          <w:lang w:bidi="ar-EG"/>
        </w:rPr>
        <w:t>ة</w:t>
      </w:r>
      <w:r w:rsidR="004862A3" w:rsidRPr="00B44A10">
        <w:rPr>
          <w:rFonts w:ascii="Times New Roman" w:hAnsi="Times New Roman" w:cs="Simplified Arabic" w:hint="cs"/>
          <w:sz w:val="24"/>
          <w:szCs w:val="28"/>
          <w:rtl/>
          <w:lang w:bidi="ar-EG"/>
        </w:rPr>
        <w:t xml:space="preserve"> المالية بأنها "</w:t>
      </w:r>
      <w:r w:rsidR="004862A3" w:rsidRPr="00B44A10">
        <w:rPr>
          <w:rFonts w:ascii="Times New Roman" w:hAnsi="Times New Roman" w:cs="Simplified Arabic"/>
          <w:sz w:val="24"/>
          <w:szCs w:val="28"/>
          <w:rtl/>
          <w:lang w:bidi="ar-EG"/>
        </w:rPr>
        <w:t>التوافق طويل الأمد بين نمو الإيرادات والخطط التشغيلية والمالية المُعتمدة</w:t>
      </w:r>
      <w:r w:rsidR="004862A3" w:rsidRPr="00B44A10">
        <w:rPr>
          <w:rFonts w:ascii="Times New Roman" w:hAnsi="Times New Roman" w:cs="Simplified Arabic" w:hint="cs"/>
          <w:sz w:val="24"/>
          <w:szCs w:val="28"/>
          <w:rtl/>
          <w:lang w:bidi="ar-EG"/>
        </w:rPr>
        <w:t xml:space="preserve"> من خلال ال</w:t>
      </w:r>
      <w:r w:rsidR="004862A3" w:rsidRPr="00B44A10">
        <w:rPr>
          <w:rFonts w:ascii="Times New Roman" w:hAnsi="Times New Roman" w:cs="Simplified Arabic"/>
          <w:sz w:val="24"/>
          <w:szCs w:val="28"/>
          <w:rtl/>
          <w:lang w:bidi="ar-EG"/>
        </w:rPr>
        <w:t>توازن بين النمو العالي والمخاطر المالية العالية</w:t>
      </w:r>
      <w:r w:rsidR="004862A3" w:rsidRPr="00B44A10">
        <w:rPr>
          <w:rFonts w:ascii="Times New Roman" w:hAnsi="Times New Roman" w:cs="Simplified Arabic" w:hint="cs"/>
          <w:sz w:val="24"/>
          <w:szCs w:val="28"/>
          <w:rtl/>
          <w:lang w:bidi="ar-EG"/>
        </w:rPr>
        <w:t>".</w:t>
      </w:r>
    </w:p>
    <w:p w14:paraId="386B61BE" w14:textId="6F63932A" w:rsidR="007338BB" w:rsidRPr="00BC50C9" w:rsidRDefault="007338BB" w:rsidP="00F22A4E">
      <w:pPr>
        <w:pStyle w:val="00000"/>
        <w:widowControl w:val="0"/>
        <w:rPr>
          <w:rtl/>
        </w:rPr>
      </w:pPr>
      <w:r w:rsidRPr="00BC50C9">
        <w:rPr>
          <w:rFonts w:hint="cs"/>
          <w:rtl/>
        </w:rPr>
        <w:t xml:space="preserve">كما عرف </w:t>
      </w:r>
      <w:r w:rsidR="000904AB" w:rsidRPr="00BC50C9">
        <w:rPr>
          <w:rFonts w:hint="cs"/>
          <w:rtl/>
        </w:rPr>
        <w:t xml:space="preserve">يغمور </w:t>
      </w:r>
      <w:r w:rsidRPr="00BC50C9">
        <w:rPr>
          <w:rFonts w:hint="cs"/>
          <w:rtl/>
        </w:rPr>
        <w:t>(2022، ص. 678) الاستدامة المالية بأنها "قدرة المؤسسة على تنويع مواردها المالية واستدامتها من خلال مجموعة من المداخل والمشروعات الاستثمارية التي تضمن تحقيق رسالتها وغايتها الاستراتيجية، وتحسين وتط</w:t>
      </w:r>
      <w:r w:rsidR="00DC04EA" w:rsidRPr="00BC50C9">
        <w:rPr>
          <w:rFonts w:hint="cs"/>
          <w:rtl/>
        </w:rPr>
        <w:t>وير جودة نظمها الإدارية، وتدعيم ميزتها التنافسية".</w:t>
      </w:r>
    </w:p>
    <w:p w14:paraId="6772B507" w14:textId="48B91CAB" w:rsidR="00F7168C" w:rsidRDefault="00F7168C" w:rsidP="00F22A4E">
      <w:pPr>
        <w:pStyle w:val="00000"/>
        <w:widowControl w:val="0"/>
        <w:rPr>
          <w:rtl/>
        </w:rPr>
      </w:pPr>
      <w:r w:rsidRPr="00BC50C9">
        <w:rPr>
          <w:rFonts w:hint="cs"/>
          <w:b/>
          <w:bCs/>
          <w:rtl/>
        </w:rPr>
        <w:t xml:space="preserve">وتُعرف </w:t>
      </w:r>
      <w:r w:rsidR="004862A3" w:rsidRPr="00BC50C9">
        <w:rPr>
          <w:rFonts w:hint="cs"/>
          <w:b/>
          <w:bCs/>
          <w:rtl/>
        </w:rPr>
        <w:t xml:space="preserve">الاستدامة المالية </w:t>
      </w:r>
      <w:r w:rsidRPr="00BC50C9">
        <w:rPr>
          <w:rFonts w:hint="cs"/>
          <w:b/>
          <w:bCs/>
          <w:rtl/>
        </w:rPr>
        <w:t>إجرائيًا بأنها</w:t>
      </w:r>
      <w:r w:rsidR="00615356" w:rsidRPr="00BC50C9">
        <w:rPr>
          <w:rFonts w:hint="cs"/>
          <w:rtl/>
        </w:rPr>
        <w:t xml:space="preserve"> قدرة المشاريع الريادية على تحقيق الاستقرار المالي الذي يضمن استمراريتها ونموها على المدى الطويل، من خلال مصادر التمويل المستقرة والمتنوعة</w:t>
      </w:r>
      <w:r w:rsidR="00117069" w:rsidRPr="00BC50C9">
        <w:rPr>
          <w:rFonts w:hint="cs"/>
          <w:rtl/>
        </w:rPr>
        <w:t>.</w:t>
      </w:r>
    </w:p>
    <w:p w14:paraId="5438EAA5" w14:textId="6CA9AAF2" w:rsidR="00117069" w:rsidRPr="00BC50C9" w:rsidRDefault="001E72B9" w:rsidP="00F22A4E">
      <w:pPr>
        <w:pStyle w:val="22222"/>
        <w:widowControl w:val="0"/>
        <w:rPr>
          <w:rtl/>
        </w:rPr>
      </w:pPr>
      <w:bookmarkStart w:id="59" w:name="_Toc195456524"/>
      <w:r>
        <w:rPr>
          <w:rFonts w:hint="cs"/>
          <w:rtl/>
        </w:rPr>
        <w:t>14</w:t>
      </w:r>
      <w:r w:rsidR="00B44A10">
        <w:rPr>
          <w:rFonts w:hint="cs"/>
          <w:rtl/>
        </w:rPr>
        <w:t xml:space="preserve">.1 </w:t>
      </w:r>
      <w:r w:rsidR="00117069" w:rsidRPr="00BC50C9">
        <w:rPr>
          <w:rFonts w:hint="cs"/>
          <w:rtl/>
        </w:rPr>
        <w:t>فرضيات الدراسة:</w:t>
      </w:r>
      <w:bookmarkEnd w:id="59"/>
    </w:p>
    <w:p w14:paraId="6A02E361" w14:textId="7161FA4E" w:rsidR="00117069" w:rsidRPr="00BC50C9" w:rsidRDefault="001156E5">
      <w:pPr>
        <w:pStyle w:val="a3"/>
        <w:widowControl w:val="0"/>
        <w:numPr>
          <w:ilvl w:val="0"/>
          <w:numId w:val="11"/>
        </w:numPr>
        <w:bidi/>
        <w:spacing w:before="120" w:after="120" w:line="240" w:lineRule="auto"/>
        <w:jc w:val="both"/>
        <w:rPr>
          <w:rFonts w:ascii="Times New Roman" w:hAnsi="Times New Roman" w:cs="Simplified Arabic"/>
          <w:sz w:val="24"/>
          <w:szCs w:val="28"/>
          <w:rtl/>
        </w:rPr>
      </w:pPr>
      <w:r w:rsidRPr="00BC50C9">
        <w:rPr>
          <w:rFonts w:ascii="Times New Roman" w:hAnsi="Times New Roman" w:cs="Simplified Arabic" w:hint="cs"/>
          <w:b/>
          <w:bCs/>
          <w:sz w:val="24"/>
          <w:szCs w:val="28"/>
          <w:rtl/>
        </w:rPr>
        <w:t xml:space="preserve">الفرضية الرئيسية الأولى التي تنص على </w:t>
      </w:r>
      <w:r w:rsidRPr="00BC50C9">
        <w:rPr>
          <w:rFonts w:ascii="Times New Roman" w:hAnsi="Times New Roman" w:cs="Simplified Arabic" w:hint="cs"/>
          <w:sz w:val="24"/>
          <w:szCs w:val="28"/>
          <w:rtl/>
        </w:rPr>
        <w:t>"</w:t>
      </w:r>
      <w:r w:rsidRPr="00BC50C9">
        <w:rPr>
          <w:rFonts w:ascii="Times New Roman" w:hAnsi="Times New Roman" w:cs="Simplified Arabic" w:hint="cs"/>
          <w:b/>
          <w:bCs/>
          <w:sz w:val="24"/>
          <w:szCs w:val="28"/>
          <w:rtl/>
        </w:rPr>
        <w:t>لا</w:t>
      </w:r>
      <w:r w:rsidRPr="00BC50C9">
        <w:rPr>
          <w:rFonts w:ascii="Times New Roman" w:hAnsi="Times New Roman" w:cs="Simplified Arabic" w:hint="cs"/>
          <w:sz w:val="24"/>
          <w:szCs w:val="28"/>
          <w:rtl/>
        </w:rPr>
        <w:t xml:space="preserve"> </w:t>
      </w:r>
      <w:r w:rsidRPr="00BC50C9">
        <w:rPr>
          <w:rFonts w:ascii="Times New Roman" w:hAnsi="Times New Roman" w:cs="Simplified Arabic" w:hint="cs"/>
          <w:b/>
          <w:bCs/>
          <w:sz w:val="24"/>
          <w:szCs w:val="28"/>
          <w:rtl/>
        </w:rPr>
        <w:t xml:space="preserve">يوجد تأثير إيجابي ذو دلالة إحصائية عند مستوى دلالة (0.05) للتمويل التشاركي على الاستدامة المالية </w:t>
      </w:r>
      <w:r w:rsidRPr="00BC50C9">
        <w:rPr>
          <w:rFonts w:ascii="Times New Roman" w:hAnsi="Times New Roman" w:cs="Simplified Arabic" w:hint="cs"/>
          <w:b/>
          <w:bCs/>
          <w:sz w:val="24"/>
          <w:szCs w:val="28"/>
          <w:rtl/>
          <w:lang w:bidi="ar-EG"/>
        </w:rPr>
        <w:t>بالمملكة العربية السعودية</w:t>
      </w:r>
      <w:r w:rsidRPr="00BC50C9">
        <w:rPr>
          <w:rFonts w:ascii="Times New Roman" w:hAnsi="Times New Roman" w:cs="Simplified Arabic" w:hint="cs"/>
          <w:sz w:val="24"/>
          <w:szCs w:val="28"/>
          <w:rtl/>
        </w:rPr>
        <w:t xml:space="preserve">"، ويندرج منها </w:t>
      </w:r>
      <w:r w:rsidRPr="00BC50C9">
        <w:rPr>
          <w:rFonts w:ascii="Times New Roman" w:hAnsi="Times New Roman" w:cs="Simplified Arabic" w:hint="cs"/>
          <w:sz w:val="24"/>
          <w:szCs w:val="28"/>
          <w:rtl/>
        </w:rPr>
        <w:lastRenderedPageBreak/>
        <w:t>عدد من الفرضيات الفرعية وتتمثل في الآتي: -</w:t>
      </w:r>
    </w:p>
    <w:p w14:paraId="3971494A" w14:textId="3FC87A80" w:rsidR="001156E5" w:rsidRPr="00B44A10" w:rsidRDefault="001156E5" w:rsidP="00F22A4E">
      <w:pPr>
        <w:pStyle w:val="a3"/>
        <w:widowControl w:val="0"/>
        <w:numPr>
          <w:ilvl w:val="0"/>
          <w:numId w:val="3"/>
        </w:numPr>
        <w:bidi/>
        <w:spacing w:before="120" w:after="120" w:line="240" w:lineRule="auto"/>
        <w:contextualSpacing w:val="0"/>
        <w:jc w:val="both"/>
        <w:rPr>
          <w:rFonts w:ascii="Times New Roman" w:hAnsi="Times New Roman" w:cs="Simplified Arabic"/>
          <w:sz w:val="24"/>
          <w:szCs w:val="28"/>
          <w:lang w:bidi="ar-EG"/>
        </w:rPr>
      </w:pPr>
      <w:r w:rsidRPr="00B44A10">
        <w:rPr>
          <w:rFonts w:ascii="Times New Roman" w:hAnsi="Times New Roman" w:cs="Simplified Arabic" w:hint="cs"/>
          <w:sz w:val="24"/>
          <w:szCs w:val="28"/>
          <w:rtl/>
          <w:lang w:bidi="ar-EG"/>
        </w:rPr>
        <w:t xml:space="preserve">لا يوجد تأثير إيجابي ذو دلالة إحصائية عند مستوى دلالة (0.05) للتمويل </w:t>
      </w:r>
      <w:proofErr w:type="spellStart"/>
      <w:r w:rsidRPr="00B44A10">
        <w:rPr>
          <w:rFonts w:ascii="Times New Roman" w:hAnsi="Times New Roman" w:cs="Simplified Arabic" w:hint="cs"/>
          <w:sz w:val="24"/>
          <w:szCs w:val="28"/>
          <w:rtl/>
          <w:lang w:bidi="ar-EG"/>
        </w:rPr>
        <w:t>التبرعي</w:t>
      </w:r>
      <w:proofErr w:type="spellEnd"/>
      <w:r w:rsidRPr="00B44A10">
        <w:rPr>
          <w:rFonts w:ascii="Times New Roman" w:hAnsi="Times New Roman" w:cs="Simplified Arabic" w:hint="cs"/>
          <w:sz w:val="24"/>
          <w:szCs w:val="28"/>
          <w:rtl/>
          <w:lang w:bidi="ar-EG"/>
        </w:rPr>
        <w:t xml:space="preserve"> على الاستدامة المالية بالمملكة العربية السعودية.</w:t>
      </w:r>
    </w:p>
    <w:p w14:paraId="5938E35D" w14:textId="77FFA8D9" w:rsidR="001156E5" w:rsidRPr="00B44A10" w:rsidRDefault="001156E5" w:rsidP="00F22A4E">
      <w:pPr>
        <w:pStyle w:val="a3"/>
        <w:widowControl w:val="0"/>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44A10">
        <w:rPr>
          <w:rFonts w:ascii="Times New Roman" w:hAnsi="Times New Roman" w:cs="Simplified Arabic" w:hint="cs"/>
          <w:sz w:val="24"/>
          <w:szCs w:val="28"/>
          <w:rtl/>
          <w:lang w:bidi="ar-EG"/>
        </w:rPr>
        <w:t>لا يوجد تأثير إيجابي ذو دلالة إحصائية عند مستوى دلالة (0.05) للتمويل القائم على المكافآت على الاستدامة المالية بالمملكة العربية السعودية.</w:t>
      </w:r>
    </w:p>
    <w:p w14:paraId="074CCFBB" w14:textId="42AB0008" w:rsidR="001156E5" w:rsidRPr="00B44A10" w:rsidRDefault="001156E5" w:rsidP="00F22A4E">
      <w:pPr>
        <w:pStyle w:val="a3"/>
        <w:widowControl w:val="0"/>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44A10">
        <w:rPr>
          <w:rFonts w:ascii="Times New Roman" w:hAnsi="Times New Roman" w:cs="Simplified Arabic" w:hint="cs"/>
          <w:sz w:val="24"/>
          <w:szCs w:val="28"/>
          <w:rtl/>
          <w:lang w:bidi="ar-EG"/>
        </w:rPr>
        <w:t>لا يوجد تأثير إيجابي ذو دلالة إحصائية عند مستوى دلالة (0.05) للتمويل التشاركي المختلط على الاستدامة المالية بالمملكة العربية السعودية.</w:t>
      </w:r>
    </w:p>
    <w:p w14:paraId="59C9174D" w14:textId="1FF3CFDC" w:rsidR="001156E5" w:rsidRPr="00BC50C9" w:rsidRDefault="001156E5">
      <w:pPr>
        <w:pStyle w:val="a3"/>
        <w:numPr>
          <w:ilvl w:val="0"/>
          <w:numId w:val="11"/>
        </w:numPr>
        <w:bidi/>
        <w:spacing w:before="120" w:after="120" w:line="240" w:lineRule="auto"/>
        <w:jc w:val="both"/>
        <w:rPr>
          <w:rFonts w:ascii="Times New Roman" w:hAnsi="Times New Roman" w:cs="Simplified Arabic"/>
          <w:sz w:val="24"/>
          <w:szCs w:val="28"/>
          <w:rtl/>
        </w:rPr>
      </w:pPr>
      <w:r w:rsidRPr="00BC50C9">
        <w:rPr>
          <w:rFonts w:ascii="Times New Roman" w:hAnsi="Times New Roman" w:cs="Simplified Arabic" w:hint="cs"/>
          <w:b/>
          <w:bCs/>
          <w:sz w:val="24"/>
          <w:szCs w:val="28"/>
          <w:rtl/>
        </w:rPr>
        <w:t xml:space="preserve">الفرضية الرئيسية الثانية التي تنص على </w:t>
      </w:r>
      <w:r w:rsidRPr="00BC50C9">
        <w:rPr>
          <w:rFonts w:ascii="Times New Roman" w:hAnsi="Times New Roman" w:cs="Simplified Arabic" w:hint="cs"/>
          <w:sz w:val="24"/>
          <w:szCs w:val="28"/>
          <w:rtl/>
        </w:rPr>
        <w:t>"</w:t>
      </w:r>
      <w:r w:rsidRPr="00BC50C9">
        <w:rPr>
          <w:rFonts w:ascii="Times New Roman" w:hAnsi="Times New Roman" w:cs="Simplified Arabic" w:hint="cs"/>
          <w:b/>
          <w:bCs/>
          <w:sz w:val="24"/>
          <w:szCs w:val="28"/>
          <w:rtl/>
        </w:rPr>
        <w:t>لا</w:t>
      </w:r>
      <w:r w:rsidRPr="00BC50C9">
        <w:rPr>
          <w:rFonts w:ascii="Times New Roman" w:hAnsi="Times New Roman" w:cs="Simplified Arabic" w:hint="cs"/>
          <w:sz w:val="24"/>
          <w:szCs w:val="28"/>
          <w:rtl/>
        </w:rPr>
        <w:t xml:space="preserve"> </w:t>
      </w:r>
      <w:r w:rsidRPr="00BC50C9">
        <w:rPr>
          <w:rFonts w:ascii="Times New Roman" w:hAnsi="Times New Roman" w:cs="Simplified Arabic" w:hint="cs"/>
          <w:b/>
          <w:bCs/>
          <w:sz w:val="24"/>
          <w:szCs w:val="28"/>
          <w:rtl/>
        </w:rPr>
        <w:t xml:space="preserve">يوجد تأثير إيجابي ذو دلالة إحصائية عند مستوى دلالة (0.05) للتمويل التشاركي على نجاح المشاريع الريادية </w:t>
      </w:r>
      <w:r w:rsidRPr="00BC50C9">
        <w:rPr>
          <w:rFonts w:ascii="Times New Roman" w:hAnsi="Times New Roman" w:cs="Simplified Arabic" w:hint="cs"/>
          <w:b/>
          <w:bCs/>
          <w:sz w:val="24"/>
          <w:szCs w:val="28"/>
          <w:rtl/>
          <w:lang w:bidi="ar-EG"/>
        </w:rPr>
        <w:t>بالمملكة العربية السعودية</w:t>
      </w:r>
      <w:r w:rsidRPr="00BC50C9">
        <w:rPr>
          <w:rFonts w:ascii="Times New Roman" w:hAnsi="Times New Roman" w:cs="Simplified Arabic" w:hint="cs"/>
          <w:sz w:val="24"/>
          <w:szCs w:val="28"/>
          <w:rtl/>
        </w:rPr>
        <w:t>"،</w:t>
      </w:r>
      <w:r w:rsidR="00B44A10">
        <w:rPr>
          <w:rFonts w:ascii="Times New Roman" w:hAnsi="Times New Roman" w:cs="Simplified Arabic" w:hint="cs"/>
          <w:sz w:val="24"/>
          <w:szCs w:val="28"/>
          <w:rtl/>
        </w:rPr>
        <w:t xml:space="preserve"> </w:t>
      </w:r>
      <w:r w:rsidRPr="00BC50C9">
        <w:rPr>
          <w:rFonts w:ascii="Times New Roman" w:hAnsi="Times New Roman" w:cs="Simplified Arabic" w:hint="cs"/>
          <w:sz w:val="24"/>
          <w:szCs w:val="28"/>
          <w:rtl/>
        </w:rPr>
        <w:t>ويندرج منها عدد من الفرضيات الفرعية وتتمثل في الآتي: -</w:t>
      </w:r>
    </w:p>
    <w:p w14:paraId="128FD5F8" w14:textId="1B10656C" w:rsidR="001156E5" w:rsidRPr="00BC50C9" w:rsidRDefault="001156E5" w:rsidP="00B44A10">
      <w:pPr>
        <w:pStyle w:val="a3"/>
        <w:numPr>
          <w:ilvl w:val="0"/>
          <w:numId w:val="3"/>
        </w:numPr>
        <w:bidi/>
        <w:spacing w:before="120" w:after="120" w:line="240" w:lineRule="auto"/>
        <w:contextualSpacing w:val="0"/>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 xml:space="preserve">لا يوجد تأثير إيجابي ذو دلالة إحصائية عند مستوى دلالة (0.05) للتمويل </w:t>
      </w:r>
      <w:proofErr w:type="spellStart"/>
      <w:r w:rsidRPr="00BC50C9">
        <w:rPr>
          <w:rFonts w:ascii="Times New Roman" w:hAnsi="Times New Roman" w:cs="Simplified Arabic" w:hint="cs"/>
          <w:sz w:val="24"/>
          <w:szCs w:val="28"/>
          <w:rtl/>
          <w:lang w:bidi="ar-EG"/>
        </w:rPr>
        <w:t>التبرعي</w:t>
      </w:r>
      <w:proofErr w:type="spellEnd"/>
      <w:r w:rsidRPr="00BC50C9">
        <w:rPr>
          <w:rFonts w:ascii="Times New Roman" w:hAnsi="Times New Roman" w:cs="Simplified Arabic" w:hint="cs"/>
          <w:sz w:val="24"/>
          <w:szCs w:val="28"/>
          <w:rtl/>
          <w:lang w:bidi="ar-EG"/>
        </w:rPr>
        <w:t xml:space="preserve"> على </w:t>
      </w:r>
      <w:r w:rsidRPr="00BC50C9">
        <w:rPr>
          <w:rFonts w:ascii="Times New Roman" w:hAnsi="Times New Roman" w:cs="Simplified Arabic"/>
          <w:sz w:val="24"/>
          <w:szCs w:val="28"/>
          <w:rtl/>
          <w:lang w:bidi="ar-EG"/>
        </w:rPr>
        <w:t xml:space="preserve">نجاح المشاريع الريادية </w:t>
      </w:r>
      <w:r w:rsidRPr="00BC50C9">
        <w:rPr>
          <w:rFonts w:ascii="Times New Roman" w:hAnsi="Times New Roman" w:cs="Simplified Arabic" w:hint="cs"/>
          <w:sz w:val="24"/>
          <w:szCs w:val="28"/>
          <w:rtl/>
          <w:lang w:bidi="ar-EG"/>
        </w:rPr>
        <w:t>بالمملكة العربية السعودية.</w:t>
      </w:r>
    </w:p>
    <w:p w14:paraId="33103B46" w14:textId="514C14D7" w:rsidR="001156E5" w:rsidRPr="00BC50C9" w:rsidRDefault="001156E5"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BC50C9">
        <w:rPr>
          <w:rFonts w:ascii="Times New Roman" w:hAnsi="Times New Roman" w:cs="Simplified Arabic" w:hint="cs"/>
          <w:sz w:val="24"/>
          <w:szCs w:val="28"/>
          <w:rtl/>
          <w:lang w:bidi="ar-EG"/>
        </w:rPr>
        <w:t xml:space="preserve">لا يوجد تأثير إيجابي ذو دلالة إحصائية عند مستوى دلالة (0.05) للتمويل القائم على المكافآت على </w:t>
      </w:r>
      <w:r w:rsidRPr="00BC50C9">
        <w:rPr>
          <w:rFonts w:ascii="Times New Roman" w:hAnsi="Times New Roman" w:cs="Simplified Arabic"/>
          <w:sz w:val="24"/>
          <w:szCs w:val="28"/>
          <w:rtl/>
          <w:lang w:bidi="ar-EG"/>
        </w:rPr>
        <w:t>نجاح المشاريع الريادية</w:t>
      </w:r>
      <w:r w:rsidRPr="00BC50C9">
        <w:rPr>
          <w:rFonts w:ascii="Times New Roman" w:hAnsi="Times New Roman" w:cs="Simplified Arabic" w:hint="cs"/>
          <w:sz w:val="24"/>
          <w:szCs w:val="28"/>
          <w:rtl/>
          <w:lang w:bidi="ar-EG"/>
        </w:rPr>
        <w:t xml:space="preserve"> بالمملكة العربية السعودية.</w:t>
      </w:r>
    </w:p>
    <w:p w14:paraId="425BC2BC" w14:textId="7FD73254" w:rsidR="00117069" w:rsidRPr="00C7013F" w:rsidRDefault="001156E5" w:rsidP="00B44A10">
      <w:pPr>
        <w:pStyle w:val="a3"/>
        <w:numPr>
          <w:ilvl w:val="0"/>
          <w:numId w:val="3"/>
        </w:numPr>
        <w:bidi/>
        <w:spacing w:before="120" w:after="120" w:line="240" w:lineRule="auto"/>
        <w:contextualSpacing w:val="0"/>
        <w:jc w:val="both"/>
        <w:rPr>
          <w:rFonts w:ascii="Times New Roman" w:hAnsi="Times New Roman" w:cs="Simplified Arabic"/>
          <w:sz w:val="24"/>
          <w:szCs w:val="28"/>
          <w:rtl/>
          <w:lang w:bidi="ar-EG"/>
        </w:rPr>
      </w:pPr>
      <w:r w:rsidRPr="00C7013F">
        <w:rPr>
          <w:rFonts w:ascii="Times New Roman" w:hAnsi="Times New Roman" w:cs="Simplified Arabic" w:hint="cs"/>
          <w:sz w:val="24"/>
          <w:szCs w:val="28"/>
          <w:rtl/>
          <w:lang w:bidi="ar-EG"/>
        </w:rPr>
        <w:t xml:space="preserve">لا يوجد تأثير إيجابي ذو دلالة إحصائية عند مستوى دلالة (0.05) للتمويل التشاركي المختلط على </w:t>
      </w:r>
      <w:r w:rsidRPr="00C7013F">
        <w:rPr>
          <w:rFonts w:ascii="Times New Roman" w:hAnsi="Times New Roman" w:cs="Simplified Arabic"/>
          <w:sz w:val="24"/>
          <w:szCs w:val="28"/>
          <w:rtl/>
          <w:lang w:bidi="ar-EG"/>
        </w:rPr>
        <w:t>نجاح المشاريع الريادية</w:t>
      </w:r>
      <w:r w:rsidRPr="00C7013F">
        <w:rPr>
          <w:rFonts w:ascii="Times New Roman" w:hAnsi="Times New Roman" w:cs="Simplified Arabic" w:hint="cs"/>
          <w:sz w:val="24"/>
          <w:szCs w:val="28"/>
          <w:rtl/>
          <w:lang w:bidi="ar-EG"/>
        </w:rPr>
        <w:t xml:space="preserve"> بالمملكة العربية السعودية.</w:t>
      </w:r>
    </w:p>
    <w:p w14:paraId="4618EE22" w14:textId="14BE668F" w:rsidR="00C7013F" w:rsidRPr="00C7013F" w:rsidRDefault="00F22A4E" w:rsidP="00C7013F">
      <w:pPr>
        <w:pStyle w:val="22222"/>
        <w:rPr>
          <w:rtl/>
        </w:rPr>
      </w:pPr>
      <w:bookmarkStart w:id="60" w:name="_Toc195456525"/>
      <w:r>
        <w:rPr>
          <w:rFonts w:hint="cs"/>
          <w:rtl/>
        </w:rPr>
        <w:t>15</w:t>
      </w:r>
      <w:r w:rsidR="00B44A10" w:rsidRPr="00C7013F">
        <w:rPr>
          <w:rFonts w:hint="cs"/>
          <w:rtl/>
        </w:rPr>
        <w:t xml:space="preserve">.1 </w:t>
      </w:r>
      <w:r w:rsidR="00117069" w:rsidRPr="00C7013F">
        <w:rPr>
          <w:rFonts w:hint="cs"/>
          <w:rtl/>
        </w:rPr>
        <w:t>نموذج الدراسة:</w:t>
      </w:r>
      <w:bookmarkEnd w:id="60"/>
    </w:p>
    <w:p w14:paraId="4F3033D7" w14:textId="20F4D28C" w:rsidR="00B44A10" w:rsidRPr="00C7013F" w:rsidRDefault="00C7013F" w:rsidP="00F22A4E">
      <w:pPr>
        <w:bidi/>
        <w:spacing w:before="120" w:after="120" w:line="240" w:lineRule="auto"/>
        <w:jc w:val="center"/>
        <w:rPr>
          <w:rFonts w:ascii="Times New Roman" w:hAnsi="Times New Roman" w:cs="Simplified Arabic"/>
          <w:b/>
          <w:bCs/>
          <w:sz w:val="24"/>
          <w:szCs w:val="28"/>
          <w:highlight w:val="yellow"/>
          <w:rtl/>
        </w:rPr>
      </w:pPr>
      <w:r>
        <w:rPr>
          <w:noProof/>
        </w:rPr>
        <w:drawing>
          <wp:inline distT="0" distB="0" distL="0" distR="0" wp14:anchorId="08AFCBE1" wp14:editId="5CAE84EE">
            <wp:extent cx="4593257" cy="2410691"/>
            <wp:effectExtent l="0" t="0" r="0" b="8890"/>
            <wp:docPr id="1759221355" name="صورة 1" descr="صورة تحتوي على نص, خط, رسم بياني, الخط&#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21355" name="صورة 1" descr="صورة تحتوي على نص, خط, رسم بياني, الخط&#10;&#10;قد يكون المحتوى المعد بواسطة الذكاء الاصطناعي غير صحيح."/>
                    <pic:cNvPicPr/>
                  </pic:nvPicPr>
                  <pic:blipFill>
                    <a:blip r:embed="rId18"/>
                    <a:stretch>
                      <a:fillRect/>
                    </a:stretch>
                  </pic:blipFill>
                  <pic:spPr>
                    <a:xfrm>
                      <a:off x="0" y="0"/>
                      <a:ext cx="4623908" cy="2426778"/>
                    </a:xfrm>
                    <a:prstGeom prst="rect">
                      <a:avLst/>
                    </a:prstGeom>
                  </pic:spPr>
                </pic:pic>
              </a:graphicData>
            </a:graphic>
          </wp:inline>
        </w:drawing>
      </w:r>
    </w:p>
    <w:p w14:paraId="67243B39" w14:textId="10123B2B" w:rsidR="00C7013F" w:rsidRPr="00013C75" w:rsidRDefault="00C7013F" w:rsidP="00013C75">
      <w:pPr>
        <w:pStyle w:val="33333"/>
        <w:rPr>
          <w:rtl/>
        </w:rPr>
      </w:pPr>
      <w:bookmarkStart w:id="61" w:name="_Toc195456526"/>
      <w:r w:rsidRPr="00013C75">
        <w:rPr>
          <w:rFonts w:hint="cs"/>
          <w:rtl/>
        </w:rPr>
        <w:t>شكل (1-</w:t>
      </w:r>
      <w:r w:rsidR="0027679E">
        <w:rPr>
          <w:rFonts w:hint="cs"/>
          <w:rtl/>
        </w:rPr>
        <w:t>2</w:t>
      </w:r>
      <w:r w:rsidRPr="00013C75">
        <w:rPr>
          <w:rFonts w:hint="cs"/>
          <w:rtl/>
        </w:rPr>
        <w:t xml:space="preserve">) </w:t>
      </w:r>
      <w:r w:rsidR="00013C75" w:rsidRPr="00013C75">
        <w:rPr>
          <w:rFonts w:hint="cs"/>
          <w:rtl/>
        </w:rPr>
        <w:t>نموذج الدراسة</w:t>
      </w:r>
      <w:bookmarkEnd w:id="61"/>
    </w:p>
    <w:p w14:paraId="2FFB2351" w14:textId="3F637FA2" w:rsidR="00117069" w:rsidRPr="00BC50C9" w:rsidRDefault="001156E5" w:rsidP="00013C75">
      <w:pPr>
        <w:bidi/>
        <w:spacing w:before="120" w:after="120" w:line="240" w:lineRule="auto"/>
        <w:jc w:val="center"/>
        <w:rPr>
          <w:rFonts w:ascii="Times New Roman" w:hAnsi="Times New Roman" w:cs="Simplified Arabic"/>
          <w:sz w:val="24"/>
          <w:szCs w:val="28"/>
          <w:rtl/>
        </w:rPr>
      </w:pPr>
      <w:r w:rsidRPr="00BC50C9">
        <w:rPr>
          <w:rFonts w:ascii="Times New Roman" w:hAnsi="Times New Roman" w:cs="Simplified Arabic" w:hint="cs"/>
          <w:sz w:val="24"/>
          <w:szCs w:val="28"/>
          <w:rtl/>
        </w:rPr>
        <w:t>المصدر: إعداد الباحثة</w:t>
      </w:r>
    </w:p>
    <w:p w14:paraId="09595013" w14:textId="77777777" w:rsidR="00FC019B" w:rsidRDefault="00FC019B" w:rsidP="00BC50C9">
      <w:pPr>
        <w:bidi/>
        <w:spacing w:before="120" w:after="120" w:line="240" w:lineRule="auto"/>
        <w:jc w:val="both"/>
        <w:rPr>
          <w:rFonts w:ascii="Times New Roman" w:hAnsi="Times New Roman" w:cs="Simplified Arabic"/>
          <w:b/>
          <w:bCs/>
          <w:sz w:val="24"/>
          <w:szCs w:val="28"/>
          <w:rtl/>
          <w:lang w:bidi="ar-EG"/>
        </w:rPr>
      </w:pPr>
    </w:p>
    <w:p w14:paraId="36799E3F" w14:textId="77777777" w:rsidR="00FC019B" w:rsidRDefault="00FC019B" w:rsidP="00FC019B">
      <w:pPr>
        <w:bidi/>
        <w:spacing w:before="120" w:after="120" w:line="240" w:lineRule="auto"/>
        <w:jc w:val="both"/>
        <w:rPr>
          <w:rFonts w:ascii="Times New Roman" w:hAnsi="Times New Roman" w:cs="Simplified Arabic"/>
          <w:b/>
          <w:bCs/>
          <w:sz w:val="24"/>
          <w:szCs w:val="28"/>
          <w:rtl/>
          <w:lang w:bidi="ar-EG"/>
        </w:rPr>
      </w:pPr>
    </w:p>
    <w:p w14:paraId="312D0F15" w14:textId="192DF6F3" w:rsidR="00FC019B" w:rsidRDefault="00F22A4E" w:rsidP="00F22A4E">
      <w:pPr>
        <w:pStyle w:val="11110"/>
        <w:rPr>
          <w:rtl/>
          <w:lang w:bidi="ar-EG"/>
        </w:rPr>
      </w:pPr>
      <w:bookmarkStart w:id="62" w:name="_Toc195456527"/>
      <w:r>
        <w:rPr>
          <w:rFonts w:hint="cs"/>
          <w:rtl/>
          <w:lang w:bidi="ar-EG"/>
        </w:rPr>
        <w:t>الفصل الثاني: الدراسات السابقة</w:t>
      </w:r>
      <w:bookmarkEnd w:id="62"/>
    </w:p>
    <w:p w14:paraId="41E2202B" w14:textId="765BEAC4" w:rsidR="00BA740A" w:rsidRPr="00BC50C9" w:rsidRDefault="00587462" w:rsidP="00587462">
      <w:pPr>
        <w:pStyle w:val="22222"/>
        <w:rPr>
          <w:rtl/>
        </w:rPr>
      </w:pPr>
      <w:bookmarkStart w:id="63" w:name="_Toc195456528"/>
      <w:r>
        <w:rPr>
          <w:rFonts w:hint="cs"/>
          <w:rtl/>
        </w:rPr>
        <w:t xml:space="preserve">1.2 </w:t>
      </w:r>
      <w:r w:rsidR="00BA740A" w:rsidRPr="00BC50C9">
        <w:rPr>
          <w:rtl/>
        </w:rPr>
        <w:t>الدراسات السابقة</w:t>
      </w:r>
      <w:bookmarkEnd w:id="63"/>
    </w:p>
    <w:p w14:paraId="1AF8F9C6" w14:textId="77777777" w:rsidR="00BA740A" w:rsidRPr="00BC50C9" w:rsidRDefault="00BA740A" w:rsidP="00587462">
      <w:pPr>
        <w:pStyle w:val="00000"/>
        <w:rPr>
          <w:rtl/>
        </w:rPr>
      </w:pPr>
      <w:r w:rsidRPr="00BC50C9">
        <w:rPr>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5C92E6D6" w14:textId="265459BB" w:rsidR="00BA740A" w:rsidRPr="00BC50C9" w:rsidRDefault="00587462" w:rsidP="00587462">
      <w:pPr>
        <w:pStyle w:val="113"/>
        <w:rPr>
          <w:rtl/>
        </w:rPr>
      </w:pPr>
      <w:bookmarkStart w:id="64" w:name="_Toc195456529"/>
      <w:r>
        <w:rPr>
          <w:rFonts w:hint="cs"/>
          <w:rtl/>
        </w:rPr>
        <w:t xml:space="preserve">1.1.2 </w:t>
      </w:r>
      <w:r w:rsidR="00BA740A" w:rsidRPr="00BC50C9">
        <w:rPr>
          <w:rtl/>
        </w:rPr>
        <w:t>أولاً: الدراسات العربية</w:t>
      </w:r>
      <w:bookmarkEnd w:id="64"/>
      <w:r w:rsidR="00BA740A" w:rsidRPr="00BC50C9">
        <w:rPr>
          <w:rtl/>
        </w:rPr>
        <w:t xml:space="preserve"> </w:t>
      </w:r>
    </w:p>
    <w:p w14:paraId="0AAE8BA4" w14:textId="77777777" w:rsidR="00BA740A" w:rsidRPr="00BC50C9" w:rsidRDefault="00BA740A" w:rsidP="00587462">
      <w:pPr>
        <w:pStyle w:val="00000"/>
        <w:rPr>
          <w:rFonts w:eastAsia="Times New Roman"/>
          <w:rtl/>
        </w:rPr>
      </w:pPr>
      <w:r w:rsidRPr="00587462">
        <w:rPr>
          <w:b/>
          <w:bCs/>
          <w:rtl/>
        </w:rPr>
        <w:t>استقصت دراسة خولة وآخرون (2024) بعنوان "التمويل الجماعي كآلية مستحدثة لتمويل المؤسسات الناشئة "دراسة تطبيقية في الدول العربية والإسلامية"</w:t>
      </w:r>
      <w:r w:rsidRPr="00BC50C9">
        <w:rPr>
          <w:rtl/>
        </w:rPr>
        <w:t xml:space="preserve"> التعرف على دور التمويل الجماعي كأحد البدائل الحديثة في تمويل المؤسسات الناشئة، وقياس مدى فعاليته في دعم الابتكار وريادة الأعمال، وتعزيز النمو الاقتصادي والتنمية المستدامة، كما تهدف إلى مقارنة التمويل الجماعي بالمؤسسات التمويلية التقليدية، وتحليل التحديات التي تواجه منصاته، ومدى تأثيرها على استدامة المشاريع الناشئة، واعتمدت الدراسة على المنهج الوصفي، ومنهج دراسة الحالة بجمع المعلومات عن طريق المواقع الإلكترونية الرسمية للمنصات المدروسة والرجوع إلى بعض المصادر العربية  كمناهج للدراسة، وقد توصلت الدراسة إلى العديد من النتائج أهمها: يمثل التمويل الجماعي آلية تمويلية فعالة لدعم المؤسسات الناشئة؛ حيث يسهم في تعزيز الابتكار وريادة الأعمال من خلال توفير بديل مرن وسريع مقارنة بالمؤسسات التمويلية التقليدية، كما يُظهر التمويل الجماعي دورًا محوريًا في تحقيق التنمية المستدامة عبر خلق فرص عمل وزيادة الإنتاجية، ورغم ذلك تواجه منصات التمويل الجماعي تحديات تتعلق بضعف ثقة المستثمرين، وغياب الأطر القانونية الداعمة مما يستوجب تطوير سياسات تنظيمية لتعزيز مصداقية هذا النموذج وضمان استدامته كمصدر تمويلي موثوق للمشاريع الناشئة، وقد أوصت الدراسة بالعديد من التوصيات أهمها </w:t>
      </w:r>
      <w:r w:rsidRPr="00BC50C9">
        <w:rPr>
          <w:rFonts w:eastAsia="Times New Roman"/>
          <w:rtl/>
        </w:rPr>
        <w:t>ينبغي على الحكومات والمؤسسات التعليمية تكثيف الجهود لنشر الوعي بأهمية المؤسسات الناشئة ودورها في دعم الاقتصاد، وذلك من خلال تعزيز ثقافة ريادة الأعمال بين الشباب وتشجيعهم على الابتكار والمبادرة في إنشاء مشاريعهم الخاصة</w:t>
      </w:r>
      <w:r w:rsidRPr="00BC50C9">
        <w:rPr>
          <w:rFonts w:eastAsia="Times New Roman"/>
        </w:rPr>
        <w:t>.</w:t>
      </w:r>
    </w:p>
    <w:p w14:paraId="652FDBA2" w14:textId="77777777" w:rsidR="00BA740A" w:rsidRPr="00BC50C9" w:rsidRDefault="00BA740A" w:rsidP="00587462">
      <w:pPr>
        <w:pStyle w:val="00000"/>
        <w:rPr>
          <w:rFonts w:eastAsia="Times New Roman"/>
          <w:rtl/>
        </w:rPr>
      </w:pPr>
      <w:r w:rsidRPr="00BC50C9">
        <w:rPr>
          <w:rFonts w:eastAsia="Times New Roman"/>
          <w:rtl/>
        </w:rPr>
        <w:t xml:space="preserve">سعت </w:t>
      </w:r>
      <w:r w:rsidRPr="00587462">
        <w:rPr>
          <w:b/>
          <w:bCs/>
          <w:rtl/>
        </w:rPr>
        <w:t xml:space="preserve">دراسة </w:t>
      </w:r>
      <w:proofErr w:type="spellStart"/>
      <w:r w:rsidRPr="00587462">
        <w:rPr>
          <w:b/>
          <w:bCs/>
          <w:rtl/>
        </w:rPr>
        <w:t>بلعور</w:t>
      </w:r>
      <w:proofErr w:type="spellEnd"/>
      <w:r w:rsidRPr="00587462">
        <w:rPr>
          <w:b/>
          <w:bCs/>
          <w:rtl/>
        </w:rPr>
        <w:t xml:space="preserve"> وبن حمدون (2024) بعنوان "منصات التمويل الجماعي الإسلامي كآلية لدعم ريادة الأعمال الاجتماعية – دراسة استعراضية لبعض المنصات النشطة في الوطن العربي"</w:t>
      </w:r>
      <w:r w:rsidRPr="00BC50C9">
        <w:rPr>
          <w:rtl/>
        </w:rPr>
        <w:t xml:space="preserve"> مدي إسهام منصات التمويل الجماعي الإسلامي في سد فجوة تمويل ريادة الأعمال الاجتماعية في الدول العربية، واعتمدت الدراسة على المنهج الوصفي كمنهج للدراسة، وقد توصلت الدراسة إلى العديد من النتائج أهمها: </w:t>
      </w:r>
      <w:r w:rsidRPr="00BC50C9">
        <w:rPr>
          <w:rFonts w:eastAsia="Times New Roman"/>
          <w:rtl/>
        </w:rPr>
        <w:t xml:space="preserve">إسهام منصات التمويل الجماعي الإسلامي في تقليل الفجوة التمويلية التي تواجه مشاريع ريادة الأعمال </w:t>
      </w:r>
      <w:r w:rsidRPr="00BC50C9">
        <w:rPr>
          <w:rFonts w:eastAsia="Times New Roman"/>
          <w:rtl/>
        </w:rPr>
        <w:lastRenderedPageBreak/>
        <w:t>الاجتماعية في الدول العربية من خلال توفير آليات تمويل تتماشى مع القيم والمعتقدات الإسلامية، ومع ذلك فإن ضعف انتشار هذه المنصات أو محدودية نشاطها يزيد من تحديات التمويل مما يستدعي مزيدًا من الجهود لتنظيمها وتقنينها، وتعزيز بنيتها التحتية، خاصة في مجالات الدفع الإلكتروني وتحويل الأموال، كما يوفر التمويل الجماعي الإسلامي فرصة لتعزيز ريادة الأعمال الاجتماعية مما يسهم في حل المشكلات الاجتماعية وتحقيق التنمية المستدامة في المنطقة العربية، وقد أوصت الدراسة بضرورة تقديم برامج تدريبية متخصصة في تنمية المهارات الإبداعية في المجال الاجتماعي بهدف تحويل الأفكار المبتكرة إلى مشاريع ناجحة إضافةً إلى تدريب رواد الأعمال على أسس تأسيس وإدارة المشاريع بكفاءة</w:t>
      </w:r>
      <w:r w:rsidRPr="00BC50C9">
        <w:rPr>
          <w:rFonts w:eastAsia="Times New Roman"/>
        </w:rPr>
        <w:t>.</w:t>
      </w:r>
    </w:p>
    <w:p w14:paraId="7809B382" w14:textId="2C6FC9D7" w:rsidR="00BA740A" w:rsidRPr="00BC50C9" w:rsidRDefault="00BA740A" w:rsidP="00587462">
      <w:pPr>
        <w:pStyle w:val="00000"/>
        <w:rPr>
          <w:b/>
          <w:bCs/>
          <w:rtl/>
        </w:rPr>
      </w:pPr>
      <w:r w:rsidRPr="00BC50C9">
        <w:rPr>
          <w:rFonts w:eastAsia="Times New Roman"/>
          <w:b/>
          <w:bCs/>
          <w:rtl/>
        </w:rPr>
        <w:t>هدفت</w:t>
      </w:r>
      <w:r w:rsidRPr="00BC50C9">
        <w:rPr>
          <w:rFonts w:eastAsia="Times New Roman"/>
          <w:rtl/>
        </w:rPr>
        <w:t xml:space="preserve"> </w:t>
      </w:r>
      <w:r w:rsidRPr="00BC50C9">
        <w:rPr>
          <w:b/>
          <w:bCs/>
          <w:rtl/>
        </w:rPr>
        <w:t xml:space="preserve">دراسة أحمد (2023) بعنوان "منصات التمويل الجماعي كصيغة مقترحة لتنويع مصادر تمويل التعليم الجامعي المصري علي ضوء تجربة بعض جامعات المملكة المتحدة" </w:t>
      </w:r>
      <w:r w:rsidRPr="00BC50C9">
        <w:rPr>
          <w:rFonts w:eastAsia="Times New Roman"/>
          <w:rtl/>
        </w:rPr>
        <w:t xml:space="preserve">الكشف عن دور التمويل الجماعي في دعم تمويل المشاريع الجامعية، والتعرف علي آراء الخبراء من أساتذة اقتصاديات وتكنولوجيا التعليم ببعض الجامعات المصرية حول (رؤية  ورسالة، والقيم الحاكمة، والأهداف الاستراتيجية لمنصة التمويل الجماعي للجامعات المصرية، </w:t>
      </w:r>
      <w:r w:rsidRPr="00BC50C9">
        <w:rPr>
          <w:rtl/>
        </w:rPr>
        <w:t xml:space="preserve">وقد تكون مجتمع الدراسة من الخبراء وأساتذة الاقتصاديات وتكنولوجيا التعليم </w:t>
      </w:r>
      <w:r w:rsidR="00587462" w:rsidRPr="00BC50C9">
        <w:rPr>
          <w:rFonts w:hint="cs"/>
          <w:rtl/>
        </w:rPr>
        <w:t>في</w:t>
      </w:r>
      <w:r w:rsidRPr="00BC50C9">
        <w:rPr>
          <w:rtl/>
        </w:rPr>
        <w:t xml:space="preserve"> بعض الجامعات المصرية وهي (المنصورة، دمياط، سوهاج، القاهرة، كفر الشيخ، السادات، السويس والزقازيق وحلوان، وعين شمس وجنوب الدوادي والأزهر وبنها والفيوم)، واشتملت عينة الدراسة على (</w:t>
      </w:r>
      <w:r w:rsidRPr="00587462">
        <w:rPr>
          <w:rtl/>
        </w:rPr>
        <w:t>36) خبيرًا، واعتمدت الدراسة المنهج الوصفي كمنهج للدراسة، واستعانت بالاستبانة القائمة علي أسلوب دلفي(</w:t>
      </w:r>
      <w:r w:rsidRPr="00587462">
        <w:t>Delphi</w:t>
      </w:r>
      <w:r w:rsidRPr="00587462">
        <w:rPr>
          <w:rtl/>
        </w:rPr>
        <w:t xml:space="preserve">) كأداة للدراسة، وقد توصلت الدراسة إلى العديد من النتائج أهمها: </w:t>
      </w:r>
      <w:r w:rsidRPr="00587462">
        <w:rPr>
          <w:rFonts w:eastAsia="Times New Roman"/>
          <w:rtl/>
        </w:rPr>
        <w:t>يُعد التمويل الجماعي خيارًا فعالًا لتمويل المشاريع الجامعية؛ حيث يقلل الاعتماد على المؤسسات التقليدية، ويدعم مشاركة المستثمرين والمجتمع المدني في</w:t>
      </w:r>
      <w:r w:rsidRPr="00BC50C9">
        <w:rPr>
          <w:rFonts w:eastAsia="Times New Roman"/>
          <w:rtl/>
        </w:rPr>
        <w:t xml:space="preserve"> تطوير التعليم العالي مما يعزز الابتكار ويوسع فرص الجامعات في الأسواق، و</w:t>
      </w:r>
      <w:r w:rsidRPr="00BC50C9">
        <w:rPr>
          <w:rtl/>
        </w:rPr>
        <w:t xml:space="preserve">جاء مستوي استجابات الخبراء حول الرؤية المقترحة لمنصة التمويل الجماعي للجامعات المصرية بدرجة مرتفعة؛ حيث جاء في الترتيب الأول عبارة (التمويل اللازم للمشروعات)، وجاءت عبارة في الترتيب الأخير (دعم الأفكار الابداعية)، وجاء مستوي استجابة الخبراء حول الرسالة المقترحة لمنصة التمويل الجماعي للجامعات المصرية بدرجة مرتفعة؛ حيث جاء في الترتيب الأول فقرة (دعم أواصر الشراكة بين الجامعات والممولين الداعمين للأفكار والمشروعات بالمال والخبرة)، بينما جاء </w:t>
      </w:r>
      <w:proofErr w:type="spellStart"/>
      <w:r w:rsidRPr="00BC50C9">
        <w:rPr>
          <w:rtl/>
        </w:rPr>
        <w:t>فى</w:t>
      </w:r>
      <w:proofErr w:type="spellEnd"/>
      <w:r w:rsidRPr="00BC50C9">
        <w:rPr>
          <w:rtl/>
        </w:rPr>
        <w:t xml:space="preserve"> الترتيب الأخير فقرة (ربط الباحثين الرياديين بالمجتمع ونشر أفكارهم ومشروعاتهم)، كما جاء مستوي استجابات الخبراء حول القيم الحاكمة لعمل منصة التمويل الجماعي للجامعات المصرية بدرجة مرتفعة؛ حيث جاء في الترتيب الأول عبارة (العمل التعاوني المنظم)، وجاء في الترتيب الأخير عبارة (الابتكار للجميع)، وجاء مستوي استجابات الخبراء حول الأهداف الاستراتيجية المقترحة لمنصة التمويل الجماعي للجامعات المصرية بدرجة مرتفعة؛ حيث جاء فقرة (توفير بيئة اقتصادية داعمة تحقق التمويل الازم للمشروعات) في الترتيب الأول بينما جاءت فقرة (الوساطة المباشرة بين الجمهور وأصحاب المشروعات) في الترتيب الأخير، وجاء مستوي استجابات الخبراء حول الفرص التي يمكن الحصول عليها من خلال انشاء منصة التمويل الجماعي للجامعات المصرية بدرجة مرتفعة حيث جاء في الترتيب الأول عبارة (إيجاد ممولين </w:t>
      </w:r>
      <w:proofErr w:type="spellStart"/>
      <w:r w:rsidRPr="00BC50C9">
        <w:rPr>
          <w:rtl/>
        </w:rPr>
        <w:t>داعميين</w:t>
      </w:r>
      <w:proofErr w:type="spellEnd"/>
      <w:r w:rsidRPr="00BC50C9">
        <w:rPr>
          <w:rtl/>
        </w:rPr>
        <w:t xml:space="preserve">) بينما جاء في الترتيب الأخير عبارة (طرح </w:t>
      </w:r>
      <w:r w:rsidRPr="00BC50C9">
        <w:rPr>
          <w:rtl/>
        </w:rPr>
        <w:lastRenderedPageBreak/>
        <w:t>أفكار جديدة)، وقد أوصت الدراسة ب</w:t>
      </w:r>
      <w:r w:rsidRPr="00BC50C9">
        <w:rPr>
          <w:rFonts w:eastAsia="Times New Roman"/>
          <w:rtl/>
        </w:rPr>
        <w:t>ضرورة تعزيز استخدام التمويل الجماعي في دعم المشاريع الجامعية من خلال إنشاء منصات متخصصة، وتوفير بيئة تنظيمية مناسبة تشجع المستثمرين والمجتمع المدني على المشاركة، بما يساهم في تطوير التعليم العالي وتعزيز الابتكار والاستدامة المالية للمؤسسات الأكاديمية</w:t>
      </w:r>
      <w:r w:rsidRPr="00BC50C9">
        <w:rPr>
          <w:rFonts w:eastAsia="Times New Roman"/>
        </w:rPr>
        <w:t>.</w:t>
      </w:r>
    </w:p>
    <w:p w14:paraId="27388461" w14:textId="77777777" w:rsidR="00BA740A" w:rsidRPr="00BC50C9" w:rsidRDefault="00BA740A" w:rsidP="00587462">
      <w:pPr>
        <w:pStyle w:val="00000"/>
        <w:rPr>
          <w:rtl/>
        </w:rPr>
      </w:pPr>
      <w:r w:rsidRPr="00BC50C9">
        <w:rPr>
          <w:b/>
          <w:bCs/>
          <w:rtl/>
        </w:rPr>
        <w:t xml:space="preserve">ناقشت دراسة محمد (2022) بعنوان "أثر استخدام الأدوات والتقنيات المالية الحديثة على الاستدامة المالية للمشروعات المتوسطة والصغيرة: دراسة ميدانية" </w:t>
      </w:r>
      <w:r w:rsidRPr="00BC50C9">
        <w:rPr>
          <w:rtl/>
        </w:rPr>
        <w:t>مزايا وتحديات استخدام التقنيات المالية الحديثة في المنشآت؛ والكشف عن العلاقة بين استخدام الأدوات المالية الحديثة على الاستدامة المالية للمنشآت</w:t>
      </w:r>
      <w:r w:rsidRPr="00BC50C9">
        <w:rPr>
          <w:b/>
          <w:bCs/>
          <w:rtl/>
        </w:rPr>
        <w:t>،</w:t>
      </w:r>
      <w:r w:rsidRPr="00BC50C9">
        <w:rPr>
          <w:rtl/>
        </w:rPr>
        <w:t xml:space="preserve"> وقد تكون مجتمع الدراسة من المحاسبين العاملين في المشروعات المتوسطة والصغيرة في جمهورية مصر العربية</w:t>
      </w:r>
      <w:r w:rsidRPr="00BC50C9">
        <w:rPr>
          <w:b/>
          <w:bCs/>
          <w:rtl/>
        </w:rPr>
        <w:t xml:space="preserve">، </w:t>
      </w:r>
      <w:r w:rsidRPr="00BC50C9">
        <w:rPr>
          <w:rtl/>
        </w:rPr>
        <w:t>واشتملت عينة الدراسة على (104) محاسبًا في جمهورية مصر العربية، وتم اختيارهم بالطريقة العشوائية، واستخدمت الدراسة المنهج الاستقرائي، والمنهج الاستنباطي، كما استعانت بقائمة الاستقصاء الإلكترونية كأداة للدراسة، وقد توصلت الدراسة إلى العديد من النتائج أهمها: يمنح استخدام الأدوات، والتقنيات المالية الحديثة المنشآت مزايا عديدة، مثل: تقليل التكاليف، سهولة الاستخدام، والتخزين غير المحدود، والتحديث التلقائي، والمرونة في التوسع، ومع ذلك تواجه المنشآت تحديات تشمل: مخاطر الثقة، وإغلاق مزودي الخدمة، والاختراقات الأمنية، وضعف الشفافية؛ وأظهرت النتائج أن هناك علاقة طردية قوية بين استخدام الأدوات والتقنيات المالية الحديثة والاستدامة المالية للمنشآت، وأوصت الدراسة بضرورة الاهتمام وفهم مدى أهمية وفعالية استخدام نظام الأدوات والتقنيات المالية الحديثة للمساهمة بشكل أساسي في استمرارية المنشآت، ومن الضروري الاهتمام بتأهيل أصحاب المشاريع لفهم نظام الأدوات والتقنيات المالية الحديثة بشكل أفضل.</w:t>
      </w:r>
    </w:p>
    <w:p w14:paraId="3E3B4458" w14:textId="77777777" w:rsidR="00BA740A" w:rsidRPr="00BC50C9" w:rsidRDefault="00BA740A" w:rsidP="00587462">
      <w:pPr>
        <w:pStyle w:val="00000"/>
        <w:rPr>
          <w:b/>
          <w:bCs/>
          <w:rtl/>
        </w:rPr>
      </w:pPr>
      <w:r w:rsidRPr="00BC50C9">
        <w:rPr>
          <w:b/>
          <w:bCs/>
          <w:rtl/>
        </w:rPr>
        <w:t>ناقشت</w:t>
      </w:r>
      <w:r w:rsidRPr="00BC50C9">
        <w:rPr>
          <w:rtl/>
        </w:rPr>
        <w:t xml:space="preserve"> </w:t>
      </w:r>
      <w:r w:rsidRPr="00BC50C9">
        <w:rPr>
          <w:b/>
          <w:bCs/>
          <w:rtl/>
        </w:rPr>
        <w:t xml:space="preserve">دراسة فلرج الله وحمادي (2022) بعنوان "أهمية التمويل التشاركي في تحقيق التنمية الاجتماعية المستدامة "دراسة لبعض الصناديق الوقفية" </w:t>
      </w:r>
      <w:r w:rsidRPr="00BC50C9">
        <w:rPr>
          <w:rtl/>
        </w:rPr>
        <w:t xml:space="preserve">التعرف على إسهام التمويل التشاركي كأحد البدائل الحديثة في تحقيق البعد الاجتماعي للتنمية المستدامة وتعزيز الرفاهية المجتمعية، واعتمدت الدراسة المنهج الوثائقي كمنهج للدراسة والذي اعتمد على مراجعة الأدبيات ذات الصلة ب التمويل التشاركي في تحقيق التنمية الاجتماعية المستدامة كأداة للدراسة، وقد توصلت الدراسة إلى العديد من النتائج أهمها: </w:t>
      </w:r>
      <w:r w:rsidRPr="00BC50C9">
        <w:rPr>
          <w:rFonts w:eastAsia="Times New Roman"/>
          <w:rtl/>
        </w:rPr>
        <w:t xml:space="preserve">إسهام التمويل التشاركي كأحد البدائل الحديثة بفعالية في تحقيق البُعد الاجتماعي للتنمية المستدامة؛ حيث يوفر أدوات تمويل مرنة ومتنوعة مثل الوقف والزكاة والصكوك الإسلامية مما يساعد في الحد من الفقر والبطالة، وتعزيز التضامن الاجتماعي، ودعم القطاعات الأكثر تضررًا أثناء الأزمات، كما يُثبت التمويل الإسلامي قدرته على التكيف مع التحديات الاقتصادية والاجتماعية من خلال تقاسم المخاطر والربط بالاقتصاد الحقيقي مما يجعله خيارًا استراتيجيًا لتعزيز الرفاهية المجتمعية وتحقيق الاستقرار الاجتماعي والاقتصادي، </w:t>
      </w:r>
      <w:r w:rsidRPr="00BC50C9">
        <w:rPr>
          <w:rtl/>
        </w:rPr>
        <w:t>وقد أوصت الدراسة بضرورة</w:t>
      </w:r>
      <w:r w:rsidRPr="00BC50C9">
        <w:rPr>
          <w:rFonts w:eastAsia="Times New Roman"/>
          <w:rtl/>
        </w:rPr>
        <w:t xml:space="preserve"> تعزيز التمويل التشاركي في تحقيق التنمية المستدامة عبر تفعيل القرض الحسن، بتمكين الجمعيات الخيرية من الاقتراض والاستثمار، ثم توجيه العوائد للأعمال الخيرية أو إعادة إقراضها للمحتاجين</w:t>
      </w:r>
      <w:r w:rsidRPr="00BC50C9">
        <w:rPr>
          <w:rFonts w:eastAsia="Times New Roman"/>
        </w:rPr>
        <w:t>.</w:t>
      </w:r>
    </w:p>
    <w:p w14:paraId="02B9CC46" w14:textId="77777777" w:rsidR="00BA740A" w:rsidRPr="00BC50C9" w:rsidRDefault="00BA740A" w:rsidP="00587462">
      <w:pPr>
        <w:pStyle w:val="00000"/>
        <w:rPr>
          <w:rtl/>
        </w:rPr>
      </w:pPr>
      <w:r w:rsidRPr="00BC50C9">
        <w:rPr>
          <w:b/>
          <w:bCs/>
          <w:rtl/>
        </w:rPr>
        <w:lastRenderedPageBreak/>
        <w:t xml:space="preserve">استكشفت دراسة الجاسم (2021) بعنوان "التمويل الجماعي في المنظمات غير الحكومية: دراسة ميدانية على المنظمات في شمال سوريا" </w:t>
      </w:r>
      <w:r w:rsidRPr="00BC50C9">
        <w:rPr>
          <w:rtl/>
        </w:rPr>
        <w:t>مدى مساهمة التمويل الجماعي في دعم المنظمات</w:t>
      </w:r>
      <w:r w:rsidRPr="00BC50C9">
        <w:rPr>
          <w:b/>
          <w:bCs/>
          <w:rtl/>
        </w:rPr>
        <w:t>،</w:t>
      </w:r>
      <w:r w:rsidRPr="00BC50C9">
        <w:rPr>
          <w:rtl/>
        </w:rPr>
        <w:t xml:space="preserve"> وقد تكون مجتمع الدراسة من المنظمات غير الحكومية العاملة في الشمال السوري</w:t>
      </w:r>
      <w:r w:rsidRPr="00BC50C9">
        <w:rPr>
          <w:b/>
          <w:bCs/>
          <w:rtl/>
        </w:rPr>
        <w:t xml:space="preserve">، </w:t>
      </w:r>
      <w:r w:rsidRPr="00BC50C9">
        <w:rPr>
          <w:rtl/>
        </w:rPr>
        <w:t>واشتملت عينة الدراسة على (3) منظمات في سوريا، واستخدمت الدراسة المنهج النوعي، كما استعانت بالمقابلات شبه المنظمة كأداة للدراسة، وقد توصلت الدراسة إلى العديد من النتائج أهمها: يسهم التمويل الجماعي في تنويع مصادر التمويل للمنظمات غير الحكومية، مما يقلل من مخاطر محدودية حجم التمويل، رغم أنه لا يغطي كافة احتياجاتها، كما لا تقتصر وظيفة حملات التمويل الجماعي على المشاركة في تأمين التمويل اللازم للمشاريع، بل تدعم الجهود التسويقية للمنظمات، وبجانب ذلك يمنح التمويل الجماعي المنظمات حرية اختيار المشاريع وفقًا للاحتياجات الفعلية، وأوصت الدراسة بضرورة دعم قسم المنح في المنظمات غير الحكومية بأفراد مؤهلين في التسويق الإلكتروني، والتكنولوجيا المالية، للإشراف على حملات التمويل الجماعي، كما يُوصى بالمشاركة في المؤتمرات والورش التدريبية لمتابعة أحدث التجارب العالمية في التمويل الجماعي.</w:t>
      </w:r>
    </w:p>
    <w:p w14:paraId="2CDE46EA" w14:textId="77777777" w:rsidR="00BA740A" w:rsidRPr="00BC50C9" w:rsidRDefault="00BA740A" w:rsidP="00587462">
      <w:pPr>
        <w:pStyle w:val="00000"/>
        <w:rPr>
          <w:rFonts w:eastAsia="Times New Roman"/>
          <w:rtl/>
        </w:rPr>
      </w:pPr>
      <w:r w:rsidRPr="00BC50C9">
        <w:rPr>
          <w:b/>
          <w:bCs/>
          <w:rtl/>
        </w:rPr>
        <w:t xml:space="preserve">سعت دراسة عبد الوهاب (2021) بعنوان "نحو تعزيز تمويل المشروعات الصغيرة والمتوسطة من خلال التمويل الجماعي وإقراض النظير للنظير" </w:t>
      </w:r>
      <w:r w:rsidRPr="00BC50C9">
        <w:rPr>
          <w:rtl/>
        </w:rPr>
        <w:t xml:space="preserve">إلى التعرف على </w:t>
      </w:r>
      <w:r w:rsidRPr="00BC50C9">
        <w:rPr>
          <w:rFonts w:eastAsia="Times New Roman"/>
          <w:rtl/>
        </w:rPr>
        <w:t>تطور وانتشار منصات التمويل الجماعي عالميًا وتأثير الأزمات الاقتصادية على نموها، و</w:t>
      </w:r>
      <w:r w:rsidRPr="00BC50C9">
        <w:rPr>
          <w:rtl/>
        </w:rPr>
        <w:t>تحليل دور إقراض النظير للنظير في دعم المشروعات الصغيرة والمتوسطة، وتسليط الضوء على تطوره كبديل للتمويل التقليدي، واعتمدت الدراسة المنهج الوصفي التحليلي كمنهج للدراسة، وقد توصلت الدراسة إلى العديد من النتائج أهمها:</w:t>
      </w:r>
      <w:r w:rsidRPr="00BC50C9">
        <w:rPr>
          <w:b/>
          <w:bCs/>
          <w:rtl/>
        </w:rPr>
        <w:t xml:space="preserve"> </w:t>
      </w:r>
      <w:r w:rsidRPr="00BC50C9">
        <w:rPr>
          <w:rFonts w:eastAsia="Times New Roman"/>
          <w:rtl/>
        </w:rPr>
        <w:t>شهدت منصات التمويل الجماعي نموًا متسارعًا خاصة بعد الأزمة المالية العالمية عام 2008؛ حيث سجلت أعلى معدلات التمويل في آسيا وأمريكا الشمالية وأوروبا مع هيمنة واضحة لكل من الصين، الولايات المتحدة، والمملكة المتحدة، وتشير الإحصائيات إلى استمرار ارتفاع معدلات التمويل الجماعي خلال السنوات القادمة رغم التحديات التي فرضتها جائحة كوفيد-19 في عام 2020، و</w:t>
      </w:r>
      <w:r w:rsidRPr="00BC50C9">
        <w:rPr>
          <w:rtl/>
        </w:rPr>
        <w:t>يوفر إقراض النظير للنظير فرصًا هامة للمشروعات الصغيرة والمتوسط من خلال نماذجه المتنوعة التي تجعله بديلاً فعالًا لقنوات الإقراض التقليدية، وقد شهد هذا القطاع طفرة غير مسبوقة خاصة مع بروز جمهورية الصين الشعبية كقوة اقتصادية رائدة فيه بفضل تطويرها لمنصات رقمية متخصصة تدعم هذا النوع من التمويل، وتوصي الدراسة بضرورة تعزيز دور الحكومات في دعم وتمويل المشروعات الصغيرة والمتوسطة، من خلال إنشاء هياكل متخصصة لتقديم الدعم والمرافقة، وإجراء تعديلات على السياسات المصرفية لتسهيل إجراءات الإقراض.</w:t>
      </w:r>
    </w:p>
    <w:p w14:paraId="66533C4D" w14:textId="77777777" w:rsidR="00BA740A" w:rsidRPr="00BC50C9" w:rsidRDefault="00BA740A" w:rsidP="00587462">
      <w:pPr>
        <w:pStyle w:val="00000"/>
        <w:rPr>
          <w:rtl/>
        </w:rPr>
      </w:pPr>
      <w:r w:rsidRPr="00BC50C9">
        <w:rPr>
          <w:b/>
          <w:bCs/>
          <w:rtl/>
        </w:rPr>
        <w:t xml:space="preserve">تناولت دراسة </w:t>
      </w:r>
      <w:proofErr w:type="spellStart"/>
      <w:r w:rsidRPr="00BC50C9">
        <w:rPr>
          <w:b/>
          <w:bCs/>
          <w:rtl/>
        </w:rPr>
        <w:t>دمدوم</w:t>
      </w:r>
      <w:proofErr w:type="spellEnd"/>
      <w:r w:rsidRPr="00BC50C9">
        <w:rPr>
          <w:b/>
          <w:bCs/>
          <w:rtl/>
        </w:rPr>
        <w:t xml:space="preserve"> وآخرون (2020) بعنوان "الحاجة إلى التمويل الجماعي كآلية لدعم المؤسسات الناشئة" </w:t>
      </w:r>
      <w:r w:rsidRPr="00BC50C9">
        <w:rPr>
          <w:rtl/>
        </w:rPr>
        <w:t>واقع التوجه نحو التمويل الجماعي للمؤسسات الناشئة</w:t>
      </w:r>
      <w:r w:rsidRPr="00BC50C9">
        <w:rPr>
          <w:b/>
          <w:bCs/>
          <w:rtl/>
        </w:rPr>
        <w:t>،</w:t>
      </w:r>
      <w:r w:rsidRPr="00BC50C9">
        <w:rPr>
          <w:rtl/>
        </w:rPr>
        <w:t xml:space="preserve"> واستخدمت الدراسة المنهج الوصفي التحليلي القائم على تحليل البيانات ذات الصلة بالتمويل الجماعي للمؤسسات الناشئة، وقد توصلت الدراسة إلى العديد من النتائج أهمها: يعتبر التمويل الجماعي من الأدوات التمويلية المبتكرة التي تحظي باهتمام المستثمرين والمتبرعين وأصحاب المشاريع، فقد أصبح بديلاً لمصادر التمويل التقليدية، وعليه وفر التمويل </w:t>
      </w:r>
      <w:r w:rsidRPr="00BC50C9">
        <w:rPr>
          <w:rtl/>
        </w:rPr>
        <w:lastRenderedPageBreak/>
        <w:t>الجماعي فرصة حقيقية لدعم الأفكار، والمشاريع  غير التقليدية التي تواجه صعوبة في تأمين التمويل اللازم لبدء نشاطها، ومن خلال منصات التمويل الجماعي يتم جمع التبرعات لتنفيذ المشاريع، مما يسهم في خلق فرص عمل إضافية، وزيادة دخل الفرد والقضاء على البطالة، وأوصت الدراسة بضرورة استغلال تقنيات الإنترنت وخاصة وسائل التواصل الاجتماعي للإعلان عن منصات التمويل الاجتماعي، مع تحديد معايير لإنشاء منصات التمويل الجماعي تتناسب مع طبيعة الأنشطة، كما ينبغي خلق حوافز ضريبية، وتنظيمية لمنصات التمويل الجماعي ونشر الوعي المالي بين المدخرين.</w:t>
      </w:r>
    </w:p>
    <w:p w14:paraId="223D36C8" w14:textId="77777777" w:rsidR="00BA740A" w:rsidRPr="00BC50C9" w:rsidRDefault="00BA740A" w:rsidP="00587462">
      <w:pPr>
        <w:pStyle w:val="00000"/>
        <w:rPr>
          <w:rtl/>
        </w:rPr>
      </w:pPr>
      <w:r w:rsidRPr="00BC50C9">
        <w:rPr>
          <w:b/>
          <w:bCs/>
          <w:rtl/>
        </w:rPr>
        <w:t xml:space="preserve">استقصت دراسة أبو أمونه (2018أ) بعنوان "أثر التكنولوجيا المالية على نماذج الأعمال الإلكترونية: دراسة ميدانية على مواقع التمويل التشاركي الإلكتروني" </w:t>
      </w:r>
      <w:r w:rsidRPr="00BC50C9">
        <w:rPr>
          <w:rtl/>
        </w:rPr>
        <w:t>مستوى التكنولوجيا المالية وريادة الأعمال؛ وأثر التكنولوجيا المالية على ريادة الأعمال</w:t>
      </w:r>
      <w:r w:rsidRPr="00BC50C9">
        <w:rPr>
          <w:b/>
          <w:bCs/>
          <w:rtl/>
        </w:rPr>
        <w:t>،</w:t>
      </w:r>
      <w:r w:rsidRPr="00BC50C9">
        <w:rPr>
          <w:rtl/>
        </w:rPr>
        <w:t xml:space="preserve"> وقد تكون مجتمع الدراسة من الأفراد وأصحاب المشاريع والمستثمرين على مواقع التمويل التشاركي الإلكتروني العربية وموظفي تلك المواقع</w:t>
      </w:r>
      <w:r w:rsidRPr="00BC50C9">
        <w:rPr>
          <w:b/>
          <w:bCs/>
          <w:rtl/>
        </w:rPr>
        <w:t xml:space="preserve">، </w:t>
      </w:r>
      <w:r w:rsidRPr="00BC50C9">
        <w:rPr>
          <w:rtl/>
        </w:rPr>
        <w:t>واشتملت عينة الدراسة على (17) موقع عربي للتمويل التشاركي، و(545) موظفًا من موظفي مواقع التمويل التشاركي، وأصحاب المشاريع والمستثمرين، واستخدمت الدراسة المنهج الوصفي التحليلي، كما استعانت بقائمة الاستقصاء الإلكترونية كأداة للدراسة، وقد توصلت الدراسة إلى العديد من النتائج أهمها: وجود مستوى متوسط من استخدام التكنولوجيا المالية، فيما جاءت درجة ممارسة ريادة الأعمال بدرجة مقبول رغم من العوائق التي تعيق ممارستها كضعف الدعم الحكومي المقدم للرياديين، وأظهرت النتائج وجود أثر معنوي دال إحصائيًا للتكنولوجيا المالية على ريادة الأعمال، مع وجود قيود على التحويلات المالية الإلكترونية في الدول العربية مما يمثل عاملاً سلبيًا في عملية التمويل التشاركي الإلكتروني، وأوصت الدراسة بضرورة تعزيز الوعي ونشر الثقافة حول نماذج الأعمال الإلكترونية، بما في ذلك التمويل التشاركي، كما يجب العمل على سن  القوانين والتشريعات التي تنظيم تلك النماذج، مع الاهتمام بالابتكار والإبداع إذ يمثلان العناصر الأساسية لتحقيق النجاح في ريادة الأعمال.</w:t>
      </w:r>
    </w:p>
    <w:p w14:paraId="216B6436" w14:textId="77777777" w:rsidR="00BA740A" w:rsidRPr="00BC50C9" w:rsidRDefault="00BA740A" w:rsidP="00587462">
      <w:pPr>
        <w:pStyle w:val="00000"/>
        <w:rPr>
          <w:rtl/>
        </w:rPr>
      </w:pPr>
      <w:r w:rsidRPr="00BC50C9">
        <w:rPr>
          <w:b/>
          <w:bCs/>
          <w:rtl/>
        </w:rPr>
        <w:t xml:space="preserve">تطرقت دراسة أبو أمونه (2018ب) بعنوان "الخصائص المالية للتمويل التشاركي الإلكتروني وأثرها على المشاريع الريادية" </w:t>
      </w:r>
      <w:r w:rsidRPr="00BC50C9">
        <w:rPr>
          <w:rtl/>
        </w:rPr>
        <w:t>إلى الكشف عن</w:t>
      </w:r>
      <w:r w:rsidRPr="00BC50C9">
        <w:rPr>
          <w:b/>
          <w:bCs/>
          <w:rtl/>
        </w:rPr>
        <w:t xml:space="preserve"> </w:t>
      </w:r>
      <w:r w:rsidRPr="00BC50C9">
        <w:rPr>
          <w:rtl/>
        </w:rPr>
        <w:t>أثر الخصائص المالية للتمويل التشاركي الإلكتروني على المشاريع الريادية</w:t>
      </w:r>
      <w:r w:rsidRPr="00BC50C9">
        <w:rPr>
          <w:b/>
          <w:bCs/>
          <w:rtl/>
        </w:rPr>
        <w:t>،</w:t>
      </w:r>
      <w:r w:rsidRPr="00BC50C9">
        <w:rPr>
          <w:rtl/>
        </w:rPr>
        <w:t xml:space="preserve"> وقد تكون مجتمع الدراسة من أصحاب المشاريع والمستثمرين على مواقع التمويل التشاركي الإلكتروني العربية موظفي مواقع التمويل التشاركي الإلكتروني</w:t>
      </w:r>
      <w:r w:rsidRPr="00BC50C9">
        <w:rPr>
          <w:b/>
          <w:bCs/>
          <w:rtl/>
        </w:rPr>
        <w:t xml:space="preserve">، </w:t>
      </w:r>
      <w:r w:rsidRPr="00BC50C9">
        <w:rPr>
          <w:rtl/>
        </w:rPr>
        <w:t xml:space="preserve">واشتملت عينة الدراسة على (545) موظفًا والمستثمرين على مواقع التمويل التشاركي الإلكتروني، واستخدمت الدراسة المنهج الوصفي التحليلي، كما استعانت بقائمة الاستقصاء إلكترونية كأداة للدراسة، وقد توصلت الدراسة إلى العديد من النتائج أهمها: وجود أثر معنوي دال إحصائيًا للخصائص المالية للتمويل التشاركي الإلكتروني على المشاريع الريادية، إذ حظى التمويل التشاركي الإلكتروني بأهمية كبيرة في تمويل المشاريع الريادية وتحقيقه لكفاءة التمويل وتحفيض التكاليف، وأوصت الدراسة بضرورة تعزيز الوعي حول التمويل التشاركي الإلكتروني وأهميته في دعم </w:t>
      </w:r>
      <w:r w:rsidRPr="00BC50C9">
        <w:rPr>
          <w:rtl/>
        </w:rPr>
        <w:lastRenderedPageBreak/>
        <w:t>المشاريع الريادية، كما يُوصى بتقليل القيود على التحولات المالية الإلكترونية، نظرًا لدورها الفعال في تمويل المشاريع الريادية من خلال التمويل التشاركي الإلكتروني.</w:t>
      </w:r>
    </w:p>
    <w:p w14:paraId="2FF01F05" w14:textId="0A439434" w:rsidR="00BA740A" w:rsidRPr="00BC50C9" w:rsidRDefault="00587462" w:rsidP="00587462">
      <w:pPr>
        <w:pStyle w:val="113"/>
        <w:rPr>
          <w:rtl/>
          <w:lang w:bidi="ar-EG"/>
        </w:rPr>
      </w:pPr>
      <w:bookmarkStart w:id="65" w:name="_Toc195456530"/>
      <w:r>
        <w:rPr>
          <w:rFonts w:hint="cs"/>
          <w:rtl/>
          <w:lang w:bidi="ar-EG"/>
        </w:rPr>
        <w:t xml:space="preserve">2.1.2 </w:t>
      </w:r>
      <w:r w:rsidR="00BA740A" w:rsidRPr="00BC50C9">
        <w:rPr>
          <w:rtl/>
          <w:lang w:bidi="ar-EG"/>
        </w:rPr>
        <w:t>ثانيًا: الدراسات الأجنبية</w:t>
      </w:r>
      <w:bookmarkEnd w:id="65"/>
      <w:r w:rsidR="00BA740A" w:rsidRPr="00BC50C9">
        <w:rPr>
          <w:rtl/>
          <w:lang w:bidi="ar-EG"/>
        </w:rPr>
        <w:t xml:space="preserve"> </w:t>
      </w:r>
    </w:p>
    <w:p w14:paraId="29E2CD86" w14:textId="346B7FE5" w:rsidR="00BA740A" w:rsidRPr="00BC50C9" w:rsidRDefault="00BA740A" w:rsidP="007A465A">
      <w:pPr>
        <w:pStyle w:val="00000"/>
        <w:rPr>
          <w:rtl/>
        </w:rPr>
      </w:pPr>
      <w:r w:rsidRPr="00BC50C9">
        <w:rPr>
          <w:b/>
          <w:bCs/>
          <w:rtl/>
        </w:rPr>
        <w:t>هدفت دراسة "دينه، وآخرون" (</w:t>
      </w:r>
      <w:r w:rsidRPr="00BC50C9">
        <w:rPr>
          <w:b/>
          <w:bCs/>
        </w:rPr>
        <w:t>Dinh, et al., 2024</w:t>
      </w:r>
      <w:r w:rsidRPr="00BC50C9">
        <w:rPr>
          <w:b/>
          <w:bCs/>
          <w:rtl/>
        </w:rPr>
        <w:t>) بعنوان: "التمويل التشاركي الموجه نحو الاستدامة: مراجعة أدبية تكاملية"</w:t>
      </w:r>
      <w:r w:rsidRPr="00BC50C9">
        <w:rPr>
          <w:rtl/>
        </w:rPr>
        <w:t xml:space="preserve"> إلى</w:t>
      </w:r>
      <w:r w:rsidRPr="00BC50C9">
        <w:t xml:space="preserve"> </w:t>
      </w:r>
      <w:r w:rsidRPr="00BC50C9">
        <w:rPr>
          <w:rtl/>
        </w:rPr>
        <w:t>الكشف عن دور التمويل التشاركي للاستدامة البيئية، وكمنصة لريادة الأعمال، واستخدمت الدراسة المنهج الوثائقي القائم على مراجعة منهجية للأدبيات حول التمويل التشاركي من قواعد بيانات ويب أوف ساينس، وقد توصلت الدراسة إلى العديد من النتائج من أهمها وجود دور فعال للتمويل التشاركي في تحقيق الاستدامة؛ حيث يمكن لرواد الأعمال الاعتماد على التمويل التشاركي في دعم المشاريع البيئية كمشاريع الطاقة المتجددة، كما يعزز التمويل التشاركي لريادة الأعمال من الشفافية والمشاركة الفعالة مما يجعله منصة مثالية للأعمال الاجتماعية، كما أوصت الدراسة بضرورة تعزيز الشفافية والتواصل بين رواد الأعمال، وتشجيع التمويل الاشتراكي للمشاريع.</w:t>
      </w:r>
    </w:p>
    <w:p w14:paraId="7CF344D3" w14:textId="77777777" w:rsidR="00BA740A" w:rsidRPr="00BC50C9" w:rsidRDefault="00BA740A" w:rsidP="007A465A">
      <w:pPr>
        <w:pStyle w:val="00000"/>
        <w:rPr>
          <w:rtl/>
        </w:rPr>
      </w:pPr>
      <w:r w:rsidRPr="00BC50C9">
        <w:rPr>
          <w:b/>
          <w:bCs/>
          <w:rtl/>
        </w:rPr>
        <w:t>هدفت دراسة كل من "</w:t>
      </w:r>
      <w:proofErr w:type="spellStart"/>
      <w:r w:rsidRPr="00BC50C9">
        <w:rPr>
          <w:b/>
          <w:bCs/>
          <w:rtl/>
        </w:rPr>
        <w:t>مامارو</w:t>
      </w:r>
      <w:proofErr w:type="spellEnd"/>
      <w:r w:rsidRPr="00BC50C9">
        <w:rPr>
          <w:b/>
          <w:bCs/>
          <w:rtl/>
        </w:rPr>
        <w:t xml:space="preserve">، </w:t>
      </w:r>
      <w:proofErr w:type="spellStart"/>
      <w:r w:rsidRPr="00BC50C9">
        <w:rPr>
          <w:b/>
          <w:bCs/>
          <w:rtl/>
        </w:rPr>
        <w:t>شبيندي</w:t>
      </w:r>
      <w:proofErr w:type="spellEnd"/>
      <w:r w:rsidRPr="00BC50C9">
        <w:rPr>
          <w:b/>
          <w:bCs/>
          <w:rtl/>
        </w:rPr>
        <w:t>" (</w:t>
      </w:r>
      <w:proofErr w:type="spellStart"/>
      <w:r w:rsidRPr="00BC50C9">
        <w:rPr>
          <w:b/>
          <w:bCs/>
        </w:rPr>
        <w:t>Mamaro</w:t>
      </w:r>
      <w:proofErr w:type="spellEnd"/>
      <w:r w:rsidRPr="00BC50C9">
        <w:rPr>
          <w:b/>
          <w:bCs/>
        </w:rPr>
        <w:t xml:space="preserve"> &amp; Sibindi, 2022</w:t>
      </w:r>
      <w:r w:rsidRPr="00BC50C9">
        <w:rPr>
          <w:b/>
          <w:bCs/>
          <w:rtl/>
        </w:rPr>
        <w:t>) بعنوان: "الاستدامة المالية للمؤسسات الصغيرة والمتوسطة الأفريقية خلال جائحة كوفيد-19: محددات نجاح التمويل التشاركي"</w:t>
      </w:r>
      <w:r w:rsidRPr="00BC50C9">
        <w:rPr>
          <w:rtl/>
        </w:rPr>
        <w:t xml:space="preserve"> إلى الكشف عن العوامل المؤثرة في نجاح حملات التمويل التشاركي وتحقيق الاستدامة المالية للمشروعات الصغيرة والمتوسطة في أفريقيا، واستخدمت الدراسة المنهج الكمي التحليلي القائم على تحليل البيانات من قواعد بيانات مركز بيانات الحشود من ديسمبر 2019 إلى ديسمبر 2020 لمشاريع التمويل التشاركي، وقد توصلت الدراسة إلى العديد من النتائج من أهمها تمثلت أبرز العوامل المؤثرة على نجاح حملات التمويل التشاركي، في المبلغ المقدم؛ حيث يؤثر بشكل إيجابي على نجاح حملات التمويل التشاركي فكلما ذاد المبلغ المقدم ذاد نجاح الحملة، وكذلك كان عدد الداعمين، والتحديثات المتكررة لهما تأثير إيجابي على نجاح الحملة، كما أوصت الدراسة بأن تقوم المشاريع الصغيرة والمتوسطة في أفريقيا بتكثيف جهودها التسويقية، للحصول على التمويل التشاركي وجذب عدد أكبر من المستثمرين.</w:t>
      </w:r>
    </w:p>
    <w:p w14:paraId="1BA446DE" w14:textId="77777777" w:rsidR="00BA740A" w:rsidRPr="00BC50C9" w:rsidRDefault="00BA740A" w:rsidP="007A465A">
      <w:pPr>
        <w:pStyle w:val="00000"/>
        <w:rPr>
          <w:rtl/>
        </w:rPr>
      </w:pPr>
      <w:r w:rsidRPr="00BC50C9">
        <w:rPr>
          <w:b/>
          <w:bCs/>
          <w:rtl/>
        </w:rPr>
        <w:t>هدفت دراسة "</w:t>
      </w:r>
      <w:proofErr w:type="spellStart"/>
      <w:r w:rsidRPr="00BC50C9">
        <w:rPr>
          <w:b/>
          <w:bCs/>
          <w:rtl/>
        </w:rPr>
        <w:t>سالوتزو</w:t>
      </w:r>
      <w:proofErr w:type="spellEnd"/>
      <w:r w:rsidRPr="00BC50C9">
        <w:rPr>
          <w:b/>
          <w:bCs/>
          <w:rtl/>
        </w:rPr>
        <w:t xml:space="preserve">، </w:t>
      </w:r>
      <w:proofErr w:type="spellStart"/>
      <w:r w:rsidRPr="00BC50C9">
        <w:rPr>
          <w:b/>
          <w:bCs/>
          <w:rtl/>
        </w:rPr>
        <w:t>وأليجري</w:t>
      </w:r>
      <w:proofErr w:type="spellEnd"/>
      <w:r w:rsidRPr="00BC50C9">
        <w:rPr>
          <w:b/>
          <w:bCs/>
          <w:rtl/>
        </w:rPr>
        <w:t>" (</w:t>
      </w:r>
      <w:r w:rsidRPr="00BC50C9">
        <w:rPr>
          <w:b/>
          <w:bCs/>
        </w:rPr>
        <w:t>Saluzzo &amp; Alegre, 2021</w:t>
      </w:r>
      <w:r w:rsidRPr="00BC50C9">
        <w:rPr>
          <w:b/>
          <w:bCs/>
          <w:rtl/>
        </w:rPr>
        <w:t>) بعنوان: "دعم رواد الأعمال: دور التأييد من طرف ثالث في منصات التمويل التشاركي"</w:t>
      </w:r>
      <w:r w:rsidRPr="00BC50C9">
        <w:rPr>
          <w:rtl/>
        </w:rPr>
        <w:t xml:space="preserve"> إلى التعرف على دور الدعم من طرف ثالث في منصات التمويل التشاركي في دعم رواد الأعمال، واستخدمت الدراسة المنهج التحليلي القائم على المشاريع المنشورة على منصة التمويل الجماعي الاجتماعي في الولايات المتحدة من نوفمبر 2011 حتى ديسمبر 2016، وقد توصلت الدراسة إلى العديد من النتائج من أهمها وجود دور فعال للدعم من طرف ثالث في المنصات، مثل مؤسسات التمويل الصغير؛ حيث يعمل على إنجاح الحملات التمويلية بين رواد الأعمال والمستثمرين، كما يمثل التمويل التشاركي نموذجًا بديلًا لجمع الأموال، من خلال مساهمة جمهور واسع من الأفراد بمبالغ صغيرة لتمويل مشاريع مختلفة، كما أوصت الدراسة بأنه يجب على المنصات تقديم إرشادات </w:t>
      </w:r>
      <w:r w:rsidRPr="00BC50C9">
        <w:rPr>
          <w:rtl/>
        </w:rPr>
        <w:lastRenderedPageBreak/>
        <w:t>وتوجيهات حول كيفية الحصول على تأييد من هذه الجهات، مما يساعد في زيادة فرص نجاح المشاريع المنشورة على المنصة.</w:t>
      </w:r>
    </w:p>
    <w:p w14:paraId="083F8200" w14:textId="77777777" w:rsidR="00BA740A" w:rsidRPr="00BC50C9" w:rsidRDefault="00BA740A" w:rsidP="007A465A">
      <w:pPr>
        <w:pStyle w:val="00000"/>
        <w:rPr>
          <w:rtl/>
        </w:rPr>
      </w:pPr>
      <w:r w:rsidRPr="00BC50C9">
        <w:rPr>
          <w:b/>
          <w:bCs/>
          <w:rtl/>
        </w:rPr>
        <w:t>هدفت دراسة "</w:t>
      </w:r>
      <w:proofErr w:type="spellStart"/>
      <w:r w:rsidRPr="00BC50C9">
        <w:rPr>
          <w:b/>
          <w:bCs/>
          <w:rtl/>
        </w:rPr>
        <w:t>العادسي</w:t>
      </w:r>
      <w:proofErr w:type="spellEnd"/>
      <w:r w:rsidRPr="00BC50C9">
        <w:rPr>
          <w:b/>
          <w:bCs/>
          <w:rtl/>
        </w:rPr>
        <w:t>، وآخرون" (</w:t>
      </w:r>
      <w:proofErr w:type="spellStart"/>
      <w:r w:rsidRPr="00BC50C9">
        <w:rPr>
          <w:b/>
          <w:bCs/>
        </w:rPr>
        <w:t>Aladdasi</w:t>
      </w:r>
      <w:proofErr w:type="spellEnd"/>
      <w:r w:rsidRPr="00BC50C9">
        <w:rPr>
          <w:b/>
          <w:bCs/>
        </w:rPr>
        <w:t>, et al., 2021</w:t>
      </w:r>
      <w:r w:rsidRPr="00BC50C9">
        <w:rPr>
          <w:b/>
          <w:bCs/>
          <w:rtl/>
        </w:rPr>
        <w:t>) بعنوان: "التمويل التشاركي بالأسهم ورأس المال المغامر كنماذج تمويل تكاملية لرواد الأعمال المستدامين: مراجعة شاملة"</w:t>
      </w:r>
      <w:r w:rsidRPr="00BC50C9">
        <w:rPr>
          <w:rtl/>
        </w:rPr>
        <w:t xml:space="preserve"> إلى الكشف عن دور كل من التمويل القائم على الأسهم ورأس المال الاستثماري في تمويل رواد الأعمال المستدامين، والتعرف على المخاطر والتحديات التي تواجه الشركات، والمستثمرين، ورواد الأعمال، واستخدمت الدراسة المنهج الوثائقي القائم على مراجعة الأدبيات ذات صلة من الدراسات والأبحاث السابقة من عام 2010 حتى 2020، وقد توصلت الدراسة إلى العديد من النتائج من أهمها وجود دور فعال لكل من التمويل القائم على الأسهم ورأس المال الاستثماري في تمويل رواد الأعمال؛ حيث يعتبران مكملين لبعضهما البعض خلال طوال استمرار المشروع، ومع ذلك توجد بعض المخاطر المالية والتحديات التي تؤثر على الأطراف المعنية، مثل انعدام الشفافية، والمخاطر المتعلقة بالسيولة، والتحديات القانونية، كما أوصت الدراسة ضرورة تطوير قوانين لحماية حقوق كل من رواد الأعمال والمستثمرين، وتشجيع نماذج التمويل التشاركي كالتمويل القائم على الأسهم ورأس المال الاستثماري.</w:t>
      </w:r>
    </w:p>
    <w:p w14:paraId="076AFB31" w14:textId="77777777" w:rsidR="00BA740A" w:rsidRPr="00BC50C9" w:rsidRDefault="00BA740A" w:rsidP="007A465A">
      <w:pPr>
        <w:pStyle w:val="00000"/>
        <w:rPr>
          <w:rtl/>
        </w:rPr>
      </w:pPr>
      <w:r w:rsidRPr="00BC50C9">
        <w:rPr>
          <w:b/>
          <w:bCs/>
          <w:rtl/>
        </w:rPr>
        <w:t>هدفت دراسة "</w:t>
      </w:r>
      <w:proofErr w:type="spellStart"/>
      <w:r w:rsidRPr="00BC50C9">
        <w:rPr>
          <w:b/>
          <w:bCs/>
          <w:rtl/>
        </w:rPr>
        <w:t>جيلينتشيتش</w:t>
      </w:r>
      <w:proofErr w:type="spellEnd"/>
      <w:r w:rsidRPr="00BC50C9">
        <w:rPr>
          <w:b/>
          <w:bCs/>
          <w:rtl/>
        </w:rPr>
        <w:t xml:space="preserve">،  </w:t>
      </w:r>
      <w:proofErr w:type="spellStart"/>
      <w:r w:rsidRPr="00BC50C9">
        <w:rPr>
          <w:b/>
          <w:bCs/>
          <w:rtl/>
        </w:rPr>
        <w:t>وسفيب</w:t>
      </w:r>
      <w:proofErr w:type="spellEnd"/>
      <w:r w:rsidRPr="00BC50C9">
        <w:rPr>
          <w:b/>
          <w:bCs/>
          <w:rtl/>
        </w:rPr>
        <w:t>" (</w:t>
      </w:r>
      <w:proofErr w:type="spellStart"/>
      <w:r w:rsidRPr="00BC50C9">
        <w:rPr>
          <w:b/>
          <w:bCs/>
        </w:rPr>
        <w:t>Jelinčić</w:t>
      </w:r>
      <w:proofErr w:type="spellEnd"/>
      <w:r w:rsidRPr="00BC50C9">
        <w:rPr>
          <w:b/>
          <w:bCs/>
        </w:rPr>
        <w:t xml:space="preserve"> &amp; </w:t>
      </w:r>
      <w:proofErr w:type="spellStart"/>
      <w:r w:rsidRPr="00BC50C9">
        <w:rPr>
          <w:b/>
          <w:bCs/>
        </w:rPr>
        <w:t>Šveb</w:t>
      </w:r>
      <w:proofErr w:type="spellEnd"/>
      <w:r w:rsidRPr="00BC50C9">
        <w:rPr>
          <w:b/>
          <w:bCs/>
        </w:rPr>
        <w:t>, 2021</w:t>
      </w:r>
      <w:r w:rsidRPr="00BC50C9">
        <w:rPr>
          <w:b/>
          <w:bCs/>
          <w:rtl/>
        </w:rPr>
        <w:t>) بعنوان: "الاستدامة المالية للتراث الثقافي: مراجعة للتمويل التشاركي في أوروبا"</w:t>
      </w:r>
      <w:r w:rsidRPr="00BC50C9">
        <w:rPr>
          <w:rtl/>
        </w:rPr>
        <w:t xml:space="preserve"> إلى التعرف على دور التمويل التشاركي كآلية تمويل بديلة في تعزيز الاستدامة المالية للمشاريع التراثية الثقافية في أوروبا، واستخدمت الدراسة المنهج الوثائقي القائم على مراجعة منهجية للأدبيات ذات الصلة من قاعدة بيانات جوجل </w:t>
      </w:r>
      <w:proofErr w:type="spellStart"/>
      <w:r w:rsidRPr="00BC50C9">
        <w:rPr>
          <w:rtl/>
        </w:rPr>
        <w:t>اسكولار</w:t>
      </w:r>
      <w:proofErr w:type="spellEnd"/>
      <w:r w:rsidRPr="00BC50C9">
        <w:rPr>
          <w:rtl/>
        </w:rPr>
        <w:t>، وقد توصلت الدراسة إلى العديد من النتائج من أهمها وجود دور فعال للتمويل التشاركي؛ حيث يعمل على توفير بديلاً فعالاً للتمويل التقليدي، مما يساعد في تحقيق الاستدامة المالية للمشاريع التراثية، كما يعزز من مشاركة المجتمع والشعور بالملكية، مما يزيد من دعم المجتمع للمشاريع التراثية، كما أوصت الدراسة التركيز على استراتيجية التمويل التشاركي لمشاريع التمويل الثقافي لتعزيز الاستدامة المالية الفعالة.</w:t>
      </w:r>
    </w:p>
    <w:p w14:paraId="2E333B54" w14:textId="54A0B5CE" w:rsidR="00BA740A" w:rsidRPr="00BC50C9" w:rsidRDefault="00BA740A" w:rsidP="007A465A">
      <w:pPr>
        <w:pStyle w:val="00000"/>
        <w:rPr>
          <w:rtl/>
        </w:rPr>
      </w:pPr>
      <w:r w:rsidRPr="00BC50C9">
        <w:rPr>
          <w:b/>
          <w:bCs/>
          <w:rtl/>
        </w:rPr>
        <w:t>هدفت دراسة "برناردينو، وسانتوس" (</w:t>
      </w:r>
      <w:r w:rsidRPr="00BC50C9">
        <w:rPr>
          <w:b/>
          <w:bCs/>
        </w:rPr>
        <w:t>Bernardino &amp; Santos, 2020</w:t>
      </w:r>
      <w:r w:rsidRPr="00BC50C9">
        <w:rPr>
          <w:b/>
          <w:bCs/>
          <w:rtl/>
        </w:rPr>
        <w:t>) بعنوان: "التمويل التشاركي: دراسة استكشافية حول المعرفة والفوائد والحواجز التي يدركها رواد الأعمال الشباب المحتملون"</w:t>
      </w:r>
      <w:r w:rsidRPr="00BC50C9">
        <w:rPr>
          <w:rtl/>
        </w:rPr>
        <w:t xml:space="preserve"> إلى التعرف على دور التمويل التشاركي كآلية تمويل بديلة بين رواد الأعمال الشباب المحتملين في البرتغال، واشتملت عينة الدراسة على (191) من طلاب معهد الإدارة والمحاسبة في بورتو، واستخدمت الدراسة المنهج الكمي، واستعانت بالاستبانة عبر الإنترنت كأداة للدراسة، وقد توصلت الدراسة إلى العديد من النتائج من أهمها وجود دور فعال للتمويل التشاركي؛ حيث يوفر العديد من الفوائد لاستخدامه التي تتجاوز المزايا المالية، مثل توصيل المشروع لجمهور أوسع، والحصول على ملاحظات إضافية من العملاء المحتملين، كما كان رواد الأعمال الشباب المحتملين لديهم معرفة متوسطة حول التمويل التشاركي، مثل استخدام المنصات الإلكترونية لجذب الأموال لمشروع وعدد كبير من الداعمين الذين يساهمون بمبالغ صغيرة من </w:t>
      </w:r>
      <w:r w:rsidRPr="00BC50C9">
        <w:rPr>
          <w:rtl/>
        </w:rPr>
        <w:lastRenderedPageBreak/>
        <w:t>الأموال، كما أوصت الدراسة بأنه يجب على الجامعات تصميم مناهج تعليمية حول التمويل التشاركي كآلية بديلة للتمويل.</w:t>
      </w:r>
    </w:p>
    <w:p w14:paraId="7E77C5A7" w14:textId="77777777" w:rsidR="00BA740A" w:rsidRPr="00BC50C9" w:rsidRDefault="00BA740A" w:rsidP="007A465A">
      <w:pPr>
        <w:pStyle w:val="00000"/>
        <w:rPr>
          <w:rtl/>
        </w:rPr>
      </w:pPr>
      <w:r w:rsidRPr="00BC50C9">
        <w:rPr>
          <w:b/>
          <w:bCs/>
          <w:rtl/>
        </w:rPr>
        <w:t>هدفت دراسة "</w:t>
      </w:r>
      <w:proofErr w:type="spellStart"/>
      <w:r w:rsidRPr="00BC50C9">
        <w:rPr>
          <w:b/>
          <w:bCs/>
          <w:rtl/>
        </w:rPr>
        <w:t>هندراتمي</w:t>
      </w:r>
      <w:proofErr w:type="spellEnd"/>
      <w:r w:rsidRPr="00BC50C9">
        <w:rPr>
          <w:b/>
          <w:bCs/>
          <w:rtl/>
        </w:rPr>
        <w:t>، وآخرون" (</w:t>
      </w:r>
      <w:proofErr w:type="spellStart"/>
      <w:r w:rsidRPr="00BC50C9">
        <w:rPr>
          <w:b/>
          <w:bCs/>
        </w:rPr>
        <w:t>Hendratmi</w:t>
      </w:r>
      <w:proofErr w:type="spellEnd"/>
      <w:r w:rsidRPr="00BC50C9">
        <w:rPr>
          <w:b/>
          <w:bCs/>
        </w:rPr>
        <w:t>, et al., 2020</w:t>
      </w:r>
      <w:r w:rsidRPr="00BC50C9">
        <w:rPr>
          <w:b/>
          <w:bCs/>
          <w:rtl/>
        </w:rPr>
        <w:t>) بعنوان: "تطوير منصة موقع إلكتروني لجمع التبرعات الإسلامية لشركات الناشئة في إندونيسيا"</w:t>
      </w:r>
      <w:r w:rsidRPr="00BC50C9">
        <w:rPr>
          <w:rtl/>
        </w:rPr>
        <w:t xml:space="preserve"> إلى التعرف على دور لتمويل التشاركي الإسلامي للشركات الناشئة في إندونيسيا، واشتملت عينة الدراسة على (21) من المدراء التنفيذيين والخبراء من </w:t>
      </w:r>
      <w:r w:rsidRPr="00BC50C9">
        <w:t> </w:t>
      </w:r>
      <w:r w:rsidRPr="00BC50C9">
        <w:rPr>
          <w:rtl/>
        </w:rPr>
        <w:t>الشركات الناشئة في إندونيسيا، واستخدمت الدراسة المنهج النوعي، واستعانت كأداة للدراسة بالمقابلات ومناقشة مجموعات التركيز، وقد توصلت الدراسة إلى العديد من النتائج من أهمها وجود دور فعال للتمويل التشاركي الإسلامي؛ حيث تعمل على تمويل الشركات الناشئة من حيث السيولة بعد زيادة أصول الشركة من خلال خطة شراء الأصول، لتسهل احتياجات المستثمرين والشركات الناشئة، كما أوصت الدراسة أن يقوم المنظمون بوضع إطار قانوني قوي مع تشريعات شاملة تتعلق بمنصة التمويل التشاركي الإسلامي القائمة على المواقع الإلكترونية.</w:t>
      </w:r>
    </w:p>
    <w:p w14:paraId="53E68417" w14:textId="07F171A0" w:rsidR="00BA740A" w:rsidRPr="00BC50C9" w:rsidRDefault="00BA740A" w:rsidP="007A465A">
      <w:pPr>
        <w:pStyle w:val="00000"/>
        <w:rPr>
          <w:rtl/>
        </w:rPr>
      </w:pPr>
      <w:r w:rsidRPr="00BC50C9">
        <w:rPr>
          <w:b/>
          <w:bCs/>
          <w:rtl/>
        </w:rPr>
        <w:t>هدفت دراسة "مارتينيز-</w:t>
      </w:r>
      <w:proofErr w:type="spellStart"/>
      <w:r w:rsidRPr="00BC50C9">
        <w:rPr>
          <w:b/>
          <w:bCs/>
          <w:rtl/>
        </w:rPr>
        <w:t>كليمنت</w:t>
      </w:r>
      <w:proofErr w:type="spellEnd"/>
      <w:r w:rsidRPr="00BC50C9">
        <w:rPr>
          <w:b/>
          <w:bCs/>
          <w:rtl/>
        </w:rPr>
        <w:t>، وآخرون" (</w:t>
      </w:r>
      <w:r w:rsidRPr="00BC50C9">
        <w:rPr>
          <w:b/>
          <w:bCs/>
        </w:rPr>
        <w:t>Martínez-Climent, et al., 2019</w:t>
      </w:r>
      <w:r w:rsidRPr="00BC50C9">
        <w:rPr>
          <w:b/>
          <w:bCs/>
          <w:rtl/>
        </w:rPr>
        <w:t>) بعنوان: "الاستدامة المالية من خلال التمويل التشاركي"</w:t>
      </w:r>
      <w:r w:rsidRPr="00BC50C9">
        <w:rPr>
          <w:rtl/>
        </w:rPr>
        <w:t xml:space="preserve"> إلى الكشف عن</w:t>
      </w:r>
      <w:r w:rsidRPr="00BC50C9">
        <w:t> </w:t>
      </w:r>
      <w:r w:rsidRPr="00BC50C9">
        <w:rPr>
          <w:rtl/>
        </w:rPr>
        <w:t xml:space="preserve">العلاقة بين التمويل التشاركي والتوجه نحو الاستدامة في المشاريع الممولة جماعيًا، المنهج الوثائقي القائم على مراجعة </w:t>
      </w:r>
      <w:r w:rsidRPr="00BC50C9">
        <w:t> </w:t>
      </w:r>
      <w:r w:rsidRPr="00BC50C9">
        <w:rPr>
          <w:rtl/>
        </w:rPr>
        <w:t>جميع المنشورات المتعلقة بالتمويل الجماعي والاستدامة في قاعدة بيانات ويب أوف ساينس، وقد توصلت الدراسة إلى العديد من النتائج من أهمها وجود علاقة إيجابية بين التمويل التشاركي والتوجه نحو الاستدامة؛ حيث يمكن أن يؤثر التوجه نحو الاستدامة إيجابيًا على نجاح حملات التمويل الجماعي، خاصة إذا كانت المشاريع تركز على الإبداع ومدعومة من طرف ثالث، كما أوصت الدراسة يجب على منصات التمويل التشاركي التركيز على دور الاستدامة في عملياتها وتشجيع المشاريع ذات التوجه المستدام.</w:t>
      </w:r>
    </w:p>
    <w:p w14:paraId="4D6639E6" w14:textId="7AF44469" w:rsidR="00BA740A" w:rsidRPr="00BC50C9" w:rsidRDefault="00BA740A" w:rsidP="007A465A">
      <w:pPr>
        <w:pStyle w:val="00000"/>
        <w:rPr>
          <w:rtl/>
        </w:rPr>
      </w:pPr>
      <w:r w:rsidRPr="00BC50C9">
        <w:rPr>
          <w:b/>
          <w:bCs/>
          <w:rtl/>
        </w:rPr>
        <w:t>هدفت دراسة "</w:t>
      </w:r>
      <w:proofErr w:type="spellStart"/>
      <w:r w:rsidRPr="00BC50C9">
        <w:rPr>
          <w:b/>
          <w:bCs/>
          <w:rtl/>
        </w:rPr>
        <w:t>بتروشينكو</w:t>
      </w:r>
      <w:proofErr w:type="spellEnd"/>
      <w:r w:rsidRPr="00BC50C9">
        <w:rPr>
          <w:b/>
          <w:bCs/>
          <w:rtl/>
        </w:rPr>
        <w:t>، وآخرون" (</w:t>
      </w:r>
      <w:proofErr w:type="spellStart"/>
      <w:r w:rsidRPr="00BC50C9">
        <w:rPr>
          <w:b/>
          <w:bCs/>
        </w:rPr>
        <w:t>Petrushenko</w:t>
      </w:r>
      <w:proofErr w:type="spellEnd"/>
      <w:r w:rsidRPr="00BC50C9">
        <w:rPr>
          <w:b/>
          <w:bCs/>
        </w:rPr>
        <w:t>, et al., 2017</w:t>
      </w:r>
      <w:r w:rsidRPr="00BC50C9">
        <w:rPr>
          <w:b/>
          <w:bCs/>
          <w:rtl/>
        </w:rPr>
        <w:t>) بعنوان: "أثر التمويل التشاركي لمشاريع التنمية الدولية على رأس المال الاجتماعي للمجتمعات المحلية"</w:t>
      </w:r>
      <w:r w:rsidRPr="00BC50C9">
        <w:rPr>
          <w:rtl/>
        </w:rPr>
        <w:t xml:space="preserve"> إلى التعرف على دور مشروع</w:t>
      </w:r>
      <w:r w:rsidRPr="00BC50C9">
        <w:t> </w:t>
      </w:r>
      <w:r w:rsidRPr="00BC50C9">
        <w:rPr>
          <w:rtl/>
        </w:rPr>
        <w:t>التمويل التشاركي في التعبئة الاجتماعية لسكان المجتمع بأوكرانيا، واشتملت عينة الدراسة على (126) من المجتمعات المحلية في منطقة سومي بأوكرانيا، واستخدمت الدراسة المنهج الوصفي التحليلي، واستعانت بالاستبانة كأداة للدراسة، وقد توصلت الدراسة إلى العديد من النتائج من أهمها وجود دور فعال للتمويل التشاركي؛ حيث ساهم في التعبئة الاجتماعية لسكان المجتمع وتحسين مؤشرات رأس المال الاجتماعي، وكذلك ازدادت خصائص رأس المال الاجتماعي بما في ذلك التقاليد في المجتمع، والمعلومات والاتصال، والمناهضة، والثقافة العامة، والتضامن والشمول، كما أوصت الدراسة بضرورة التركيز على آليات التمويل التشاركي في المجتمعات الإقليمية لتحقيق تنمية اقتصادية واجتماعية مستدامة.</w:t>
      </w:r>
    </w:p>
    <w:p w14:paraId="65C81AB3" w14:textId="77777777" w:rsidR="00BA740A" w:rsidRPr="00BC50C9" w:rsidRDefault="00BA740A" w:rsidP="007A465A">
      <w:pPr>
        <w:pStyle w:val="00000"/>
        <w:rPr>
          <w:rtl/>
        </w:rPr>
      </w:pPr>
      <w:r w:rsidRPr="00BC50C9">
        <w:rPr>
          <w:b/>
          <w:bCs/>
          <w:rtl/>
        </w:rPr>
        <w:t xml:space="preserve">هدفت دراسة "كاليك، </w:t>
      </w:r>
      <w:proofErr w:type="spellStart"/>
      <w:r w:rsidRPr="00BC50C9">
        <w:rPr>
          <w:b/>
          <w:bCs/>
          <w:rtl/>
        </w:rPr>
        <w:t>وموساكوفسكي</w:t>
      </w:r>
      <w:proofErr w:type="spellEnd"/>
      <w:r w:rsidRPr="00BC50C9">
        <w:rPr>
          <w:b/>
          <w:bCs/>
          <w:rtl/>
        </w:rPr>
        <w:t>" (</w:t>
      </w:r>
      <w:proofErr w:type="spellStart"/>
      <w:r w:rsidRPr="00BC50C9">
        <w:rPr>
          <w:b/>
          <w:bCs/>
        </w:rPr>
        <w:t>Calic</w:t>
      </w:r>
      <w:proofErr w:type="spellEnd"/>
      <w:r w:rsidRPr="00BC50C9">
        <w:rPr>
          <w:b/>
          <w:bCs/>
        </w:rPr>
        <w:t xml:space="preserve"> &amp; Mosakowski, 2016</w:t>
      </w:r>
      <w:r w:rsidRPr="00BC50C9">
        <w:rPr>
          <w:b/>
          <w:bCs/>
          <w:rtl/>
        </w:rPr>
        <w:t>) بعنوان: "بدء ريادة الأعمال الاجتماعية: كيف يؤثر التوجه نحو الاستدامة على نجاح التمويل الاشتراكي"</w:t>
      </w:r>
      <w:r w:rsidRPr="00BC50C9">
        <w:rPr>
          <w:rtl/>
        </w:rPr>
        <w:t xml:space="preserve"> إلى الكشف عن تأثير التوجه </w:t>
      </w:r>
      <w:r w:rsidRPr="00BC50C9">
        <w:rPr>
          <w:rtl/>
        </w:rPr>
        <w:lastRenderedPageBreak/>
        <w:t xml:space="preserve">نحو الاستدامة على قدرة رواد الأعمال على جمع الموارد المالية عن طريق التمويل التشاركي، واستخدمت الدراسة المنهج التحليلي القائم على تحليل مشاريع التمويل التشاركي المنشورة على منصة كيك </w:t>
      </w:r>
      <w:proofErr w:type="spellStart"/>
      <w:r w:rsidRPr="00BC50C9">
        <w:rPr>
          <w:rtl/>
        </w:rPr>
        <w:t>ستارتر</w:t>
      </w:r>
      <w:proofErr w:type="spellEnd"/>
      <w:r w:rsidRPr="00BC50C9">
        <w:rPr>
          <w:rtl/>
        </w:rPr>
        <w:t xml:space="preserve"> من 2009 إلى 2019، واستعانت كأداة للدراسة، وقد توصلت الدراسة إلى العديد من النتائج من أهمها وجود تأثير إيجابي للتوجه نحو الاستدامة على نجاح التمويل الاشتراكي للمشاريع، كما أن المشاريع التي تتبنى توجه مستدام، سواء كان اجتماعيًا أو بيئيًا، يحقق نجاحًا أكبر في جمع التمويل مقارنة بالمشاريع التجارية، كما أوصت الدراسة بالتركيز على تشجيع رواد الأعمال على تبني توجه مستدام لتعزيز نجاح مشاريعهم والحصول على التمويل.</w:t>
      </w:r>
    </w:p>
    <w:p w14:paraId="48B51F51" w14:textId="44B07952" w:rsidR="00BA740A" w:rsidRPr="00BC50C9" w:rsidRDefault="007A465A" w:rsidP="007A465A">
      <w:pPr>
        <w:pStyle w:val="22222"/>
        <w:rPr>
          <w:rtl/>
        </w:rPr>
      </w:pPr>
      <w:bookmarkStart w:id="66" w:name="_Toc195456531"/>
      <w:r>
        <w:rPr>
          <w:rFonts w:hint="cs"/>
          <w:rtl/>
        </w:rPr>
        <w:t xml:space="preserve">2.2 </w:t>
      </w:r>
      <w:r w:rsidR="00BA740A" w:rsidRPr="00BC50C9">
        <w:rPr>
          <w:rtl/>
        </w:rPr>
        <w:t>التعليق النقدي على الدراسات السابقة:</w:t>
      </w:r>
      <w:bookmarkEnd w:id="66"/>
      <w:r w:rsidR="00BA740A" w:rsidRPr="00BC50C9">
        <w:rPr>
          <w:rtl/>
        </w:rPr>
        <w:t xml:space="preserve"> </w:t>
      </w:r>
    </w:p>
    <w:p w14:paraId="677F3B8B" w14:textId="3D5FE8F9" w:rsidR="00BA740A" w:rsidRPr="00BC50C9" w:rsidRDefault="00BA740A" w:rsidP="007A465A">
      <w:pPr>
        <w:pStyle w:val="00000"/>
        <w:rPr>
          <w:rtl/>
        </w:rPr>
      </w:pPr>
      <w:r w:rsidRPr="00BC50C9">
        <w:rPr>
          <w:rtl/>
        </w:rPr>
        <w:t xml:space="preserve">تركز الدراسات العربية بشكل واضح على دور التمويل الجماعي في دعم المؤسسات الناشئة، وريادة الأعمال، والتعليم الجامعي، والاستدامة المالية للمشروعات الصغيرة والمتوسطة. كما تركز على آليات التمويل التشاركي الإسلامي ومدى توافقها مع القيم الدينية، كما تركز على دور التكنولوجيا المالية في تعزيز التمويل التشاركي، كما أولت هذه الدراسات اهتمام كبير بالتحديات التي تواجه التمويل الجماعي مثل: غياب الأسس القانونية، وضعف ثقة المستثمرين، والحاجة إلى تنظيم البنية التحتية لمنصات التمويل. </w:t>
      </w:r>
    </w:p>
    <w:p w14:paraId="171C2A86" w14:textId="3CFFD374" w:rsidR="00BA740A" w:rsidRPr="00BC50C9" w:rsidRDefault="00BA740A" w:rsidP="007A465A">
      <w:pPr>
        <w:pStyle w:val="00000"/>
        <w:rPr>
          <w:rtl/>
        </w:rPr>
      </w:pPr>
      <w:r w:rsidRPr="00BC50C9">
        <w:rPr>
          <w:rtl/>
        </w:rPr>
        <w:t>ومن ناحية أخرى ركزت الدراسات الأجنبية على قضايا الاستدامة مثل: دور التمويل التشاركي في تحقيق الأهداف البيئية والاجتماعية، وتعزيز الشفافية في ريادة الأعمال، وكذلك دراسة محددات نجاح حملات التمويل التشاركي وتأثير جائحة كوفيد-19 على استدامة المشروعات الصغيرة والمتوسطة، وتقوم الدراسات بشكل رئيسي على التحليل الكمي والبيانات المستمدة من منصات التمويل الجماعي العالمية، مما يمنحها بعدًا تجريبيًا أوسع</w:t>
      </w:r>
      <w:r w:rsidRPr="00BC50C9">
        <w:t>.</w:t>
      </w:r>
      <w:r w:rsidRPr="00BC50C9">
        <w:rPr>
          <w:rtl/>
        </w:rPr>
        <w:t xml:space="preserve"> </w:t>
      </w:r>
    </w:p>
    <w:p w14:paraId="2E982727" w14:textId="4CDC4258" w:rsidR="00BA740A" w:rsidRPr="00BC50C9" w:rsidRDefault="00162B9B" w:rsidP="00162B9B">
      <w:pPr>
        <w:pStyle w:val="22222"/>
        <w:rPr>
          <w:rtl/>
        </w:rPr>
      </w:pPr>
      <w:bookmarkStart w:id="67" w:name="_Toc195456532"/>
      <w:r>
        <w:rPr>
          <w:rFonts w:hint="cs"/>
          <w:rtl/>
        </w:rPr>
        <w:t xml:space="preserve">3.2 </w:t>
      </w:r>
      <w:r w:rsidR="00BA740A" w:rsidRPr="00BC50C9">
        <w:rPr>
          <w:rtl/>
        </w:rPr>
        <w:t>الفجوة البحثية:</w:t>
      </w:r>
      <w:bookmarkEnd w:id="67"/>
      <w:r w:rsidR="00BA740A" w:rsidRPr="00BC50C9">
        <w:rPr>
          <w:rtl/>
        </w:rPr>
        <w:t xml:space="preserve"> </w:t>
      </w:r>
    </w:p>
    <w:p w14:paraId="1E22E028" w14:textId="77777777" w:rsidR="00BA740A" w:rsidRPr="00BC50C9" w:rsidRDefault="00BA740A" w:rsidP="00162B9B">
      <w:pPr>
        <w:pStyle w:val="00000"/>
        <w:rPr>
          <w:rtl/>
        </w:rPr>
      </w:pPr>
      <w:r w:rsidRPr="00BC50C9">
        <w:rPr>
          <w:rtl/>
        </w:rPr>
        <w:tab/>
        <w:t>من خلال عرض الدراسات العربية والأجنبية تظهر الدراسات العربية قصور في التحليل الكمي والتجريبي لقضايا التمويل الجماعي، حيث تعتمد غالبية الدراسات على المناهج الوصفية والتحليلية دون الاستناد إلى بيانات حقيقية من منصات التمويل الجماعي، كما تفتقر إلى التركيز على دور التمويل الجماعي في تحقيق الاستدامة البيئية، وهو محور أساسي في الدراسات الأجنبية، وتحتاج قضايا الشفافية والثقة بين المستثمرين ومنصات التمويل الجماعي المزيد من الدراسة المتعمقة في الدراسات العربية، وبالتالي تبرز الحاجة إلى الدراسات العربية التي تستخدم المناهج الكمية وتحليل البيانات الفعلية من منصات التمويل الجماعي، وتتناول قضايا الاستدامة البيئية والاجتماعية، مع التركيز على استراتيجيات تعزيز ثقة المستثمرين في النموذج التمويلي الناشئ</w:t>
      </w:r>
      <w:r w:rsidRPr="00BC50C9">
        <w:t>.</w:t>
      </w:r>
    </w:p>
    <w:p w14:paraId="3AFE21F8" w14:textId="77777777" w:rsidR="00BA740A" w:rsidRPr="00BC50C9" w:rsidRDefault="00BA740A" w:rsidP="00BC50C9">
      <w:pPr>
        <w:bidi/>
        <w:spacing w:before="120" w:after="120" w:line="240" w:lineRule="auto"/>
        <w:contextualSpacing/>
        <w:jc w:val="both"/>
        <w:rPr>
          <w:rFonts w:ascii="Times New Roman" w:eastAsia="Times New Roman" w:hAnsi="Times New Roman" w:cs="Simplified Arabic"/>
          <w:b/>
          <w:bCs/>
          <w:sz w:val="24"/>
          <w:szCs w:val="28"/>
          <w:rtl/>
          <w:lang w:bidi="ar-EG"/>
        </w:rPr>
      </w:pPr>
    </w:p>
    <w:p w14:paraId="4269ECDA" w14:textId="77777777" w:rsidR="00BA740A" w:rsidRPr="00BC50C9" w:rsidRDefault="00BA740A" w:rsidP="00BC50C9">
      <w:pPr>
        <w:bidi/>
        <w:spacing w:before="120" w:after="120" w:line="240" w:lineRule="auto"/>
        <w:ind w:firstLine="720"/>
        <w:contextualSpacing/>
        <w:jc w:val="both"/>
        <w:rPr>
          <w:rFonts w:ascii="Times New Roman" w:eastAsia="Calibri" w:hAnsi="Times New Roman" w:cs="Simplified Arabic"/>
          <w:sz w:val="24"/>
          <w:szCs w:val="28"/>
          <w:rtl/>
        </w:rPr>
      </w:pPr>
    </w:p>
    <w:p w14:paraId="26168B5D" w14:textId="689B75CF" w:rsidR="000B3939" w:rsidRPr="00BC50C9" w:rsidRDefault="000B3939" w:rsidP="00162B9B">
      <w:pPr>
        <w:pStyle w:val="11110"/>
        <w:rPr>
          <w:rtl/>
        </w:rPr>
      </w:pPr>
      <w:bookmarkStart w:id="68" w:name="_Toc195456533"/>
      <w:bookmarkStart w:id="69" w:name="_Toc170412832"/>
      <w:r w:rsidRPr="00BC50C9">
        <w:rPr>
          <w:rFonts w:hint="cs"/>
          <w:rtl/>
        </w:rPr>
        <w:lastRenderedPageBreak/>
        <w:t>الفصل الثالث</w:t>
      </w:r>
      <w:r w:rsidR="00162B9B">
        <w:rPr>
          <w:rFonts w:hint="cs"/>
          <w:rtl/>
        </w:rPr>
        <w:t xml:space="preserve">: </w:t>
      </w:r>
      <w:r w:rsidRPr="00BC50C9">
        <w:rPr>
          <w:rFonts w:hint="cs"/>
          <w:rtl/>
        </w:rPr>
        <w:t>الإجراءات المنهجية للدراسة</w:t>
      </w:r>
      <w:bookmarkEnd w:id="68"/>
    </w:p>
    <w:p w14:paraId="49ED37D7" w14:textId="654D2909" w:rsidR="000B3939" w:rsidRPr="00BC50C9" w:rsidRDefault="00162B9B" w:rsidP="00162B9B">
      <w:pPr>
        <w:pStyle w:val="22222"/>
        <w:rPr>
          <w:rtl/>
        </w:rPr>
      </w:pPr>
      <w:bookmarkStart w:id="70" w:name="_Toc195456534"/>
      <w:r>
        <w:rPr>
          <w:rFonts w:hint="cs"/>
          <w:rtl/>
        </w:rPr>
        <w:t xml:space="preserve">1.3 </w:t>
      </w:r>
      <w:r w:rsidR="000B3939" w:rsidRPr="00BC50C9">
        <w:rPr>
          <w:rFonts w:hint="eastAsia"/>
          <w:rtl/>
        </w:rPr>
        <w:t>تمهيد</w:t>
      </w:r>
      <w:r w:rsidR="000B3939" w:rsidRPr="00BC50C9">
        <w:rPr>
          <w:rtl/>
        </w:rPr>
        <w:t>:</w:t>
      </w:r>
      <w:bookmarkEnd w:id="69"/>
      <w:bookmarkEnd w:id="70"/>
    </w:p>
    <w:p w14:paraId="2C8410C4" w14:textId="77777777" w:rsidR="000B3939" w:rsidRPr="00BC50C9" w:rsidRDefault="000B3939" w:rsidP="00762C62">
      <w:pPr>
        <w:pStyle w:val="00000"/>
        <w:rPr>
          <w:rtl/>
        </w:rPr>
      </w:pPr>
      <w:bookmarkStart w:id="71" w:name="_Toc170412833"/>
      <w:r w:rsidRPr="00BC50C9">
        <w:rPr>
          <w:rtl/>
        </w:rPr>
        <w:t>يوفر هذا الفصل نظرة تفصيلية عن الإجراءات الميدانية التي تم تنفيذها لجمع وتحليل البيانات اللازمة لتحقيق أهداف الدراسة، يشمل ذلك وصفًا وافيًا للمنهج المتبع، والذي تم اختياره بعناية ليتناسب مع طبيعة الدراسة وأسئلتها البحثية، كما يقدم الفصل معلومات حول مصادر البيانات المتعددة التي اعتمد عليها الباحث، بالإضافة إلى ذلك، يتم تحديد مجتمع وعينة الدراسة بدقة، مع توضيح المعايير التي استخدمت في اختيار عينة الدراسة، كما يتم عرض أداة جمع البيانات المستخدمة، مع شرح لكيفية التأكد من صحتها وثباتها، وأخيرًا، يقدم الفصل وصفًا للإجراءات التي تم اتباعها في جمع البيانات وتحليلها، بما في ذلك الأساليب الإحصائية التي تم استخدامها لاستخلاص النتائج وتفسيرها.</w:t>
      </w:r>
    </w:p>
    <w:p w14:paraId="61840AFD" w14:textId="500D3F96" w:rsidR="000B3939" w:rsidRPr="00BC50C9" w:rsidRDefault="001E5759" w:rsidP="001E5759">
      <w:pPr>
        <w:pStyle w:val="22222"/>
        <w:rPr>
          <w:rtl/>
        </w:rPr>
      </w:pPr>
      <w:bookmarkStart w:id="72" w:name="_Toc195456535"/>
      <w:r>
        <w:rPr>
          <w:rFonts w:hint="cs"/>
          <w:rtl/>
        </w:rPr>
        <w:t>2.3</w:t>
      </w:r>
      <w:r w:rsidR="000B3939" w:rsidRPr="00BC50C9">
        <w:rPr>
          <w:rFonts w:hint="cs"/>
          <w:rtl/>
        </w:rPr>
        <w:t xml:space="preserve"> </w:t>
      </w:r>
      <w:r w:rsidR="000B3939" w:rsidRPr="00BC50C9">
        <w:rPr>
          <w:rtl/>
        </w:rPr>
        <w:t xml:space="preserve">منهج </w:t>
      </w:r>
      <w:r w:rsidR="000B3939" w:rsidRPr="00BC50C9">
        <w:rPr>
          <w:rFonts w:hint="cs"/>
          <w:rtl/>
        </w:rPr>
        <w:t>الدراسة:</w:t>
      </w:r>
      <w:bookmarkEnd w:id="71"/>
      <w:bookmarkEnd w:id="72"/>
      <w:r w:rsidR="000B3939" w:rsidRPr="00BC50C9">
        <w:rPr>
          <w:rFonts w:hint="cs"/>
          <w:rtl/>
        </w:rPr>
        <w:t xml:space="preserve"> </w:t>
      </w:r>
    </w:p>
    <w:p w14:paraId="21A6794F" w14:textId="77777777" w:rsidR="000B3939" w:rsidRPr="00BC50C9" w:rsidRDefault="000B3939" w:rsidP="00762C62">
      <w:pPr>
        <w:pStyle w:val="00000"/>
        <w:rPr>
          <w:rtl/>
        </w:rPr>
      </w:pPr>
      <w:r w:rsidRPr="00BC50C9">
        <w:rPr>
          <w:rFonts w:hint="cs"/>
          <w:rtl/>
        </w:rPr>
        <w:t>تُعتبر الدراسة الحالية من الدراسات</w:t>
      </w:r>
      <w:r w:rsidRPr="00BC50C9">
        <w:rPr>
          <w:rtl/>
        </w:rPr>
        <w:t xml:space="preserve"> الكمية، أي تتبع المدخل الكمي والذي يعتمد بشكل كلي على الأرقام والإحصائيات الرقمية، وهذا في ضوء ما أشار إليه </w:t>
      </w:r>
      <w:r w:rsidRPr="00BC50C9">
        <w:rPr>
          <w:rFonts w:hint="eastAsia"/>
          <w:rtl/>
        </w:rPr>
        <w:t>الفضل</w:t>
      </w:r>
      <w:r w:rsidRPr="00BC50C9">
        <w:rPr>
          <w:rtl/>
        </w:rPr>
        <w:t xml:space="preserve"> (2019، </w:t>
      </w:r>
      <w:r w:rsidRPr="00BC50C9">
        <w:rPr>
          <w:rFonts w:hint="eastAsia"/>
          <w:rtl/>
        </w:rPr>
        <w:t>ص</w:t>
      </w:r>
      <w:r w:rsidRPr="00BC50C9">
        <w:rPr>
          <w:rtl/>
        </w:rPr>
        <w:t xml:space="preserve">. 19) </w:t>
      </w:r>
      <w:r w:rsidRPr="00BC50C9">
        <w:rPr>
          <w:rFonts w:hint="eastAsia"/>
          <w:rtl/>
        </w:rPr>
        <w:t>بأن</w:t>
      </w:r>
      <w:r w:rsidRPr="00BC50C9">
        <w:rPr>
          <w:rtl/>
        </w:rPr>
        <w:t xml:space="preserve"> </w:t>
      </w:r>
      <w:r w:rsidRPr="00BC50C9">
        <w:rPr>
          <w:rFonts w:hint="eastAsia"/>
          <w:rtl/>
        </w:rPr>
        <w:t>المدخل</w:t>
      </w:r>
      <w:r w:rsidRPr="00BC50C9">
        <w:rPr>
          <w:rtl/>
        </w:rPr>
        <w:t xml:space="preserve"> الكمي </w:t>
      </w:r>
      <w:r w:rsidRPr="00BC50C9">
        <w:rPr>
          <w:rFonts w:hint="eastAsia"/>
          <w:rtl/>
        </w:rPr>
        <w:t>هو</w:t>
      </w:r>
      <w:r w:rsidRPr="00BC50C9">
        <w:rPr>
          <w:rtl/>
        </w:rPr>
        <w:t xml:space="preserve"> "المدخل </w:t>
      </w:r>
      <w:r w:rsidRPr="00BC50C9">
        <w:rPr>
          <w:rFonts w:hint="eastAsia"/>
          <w:rtl/>
        </w:rPr>
        <w:t>الذي</w:t>
      </w:r>
      <w:r w:rsidRPr="00BC50C9">
        <w:rPr>
          <w:rtl/>
        </w:rPr>
        <w:t xml:space="preserve"> </w:t>
      </w:r>
      <w:r w:rsidRPr="00BC50C9">
        <w:rPr>
          <w:rFonts w:hint="eastAsia"/>
          <w:rtl/>
        </w:rPr>
        <w:t>يرتبك</w:t>
      </w:r>
      <w:r w:rsidRPr="00BC50C9">
        <w:rPr>
          <w:rtl/>
        </w:rPr>
        <w:t xml:space="preserve"> </w:t>
      </w:r>
      <w:r w:rsidRPr="00BC50C9">
        <w:rPr>
          <w:rFonts w:hint="eastAsia"/>
          <w:rtl/>
        </w:rPr>
        <w:t>بشك</w:t>
      </w:r>
      <w:r w:rsidRPr="00BC50C9">
        <w:rPr>
          <w:rtl/>
        </w:rPr>
        <w:t xml:space="preserve"> </w:t>
      </w:r>
      <w:r w:rsidRPr="00BC50C9">
        <w:rPr>
          <w:rFonts w:hint="eastAsia"/>
          <w:rtl/>
        </w:rPr>
        <w:t>مباشر</w:t>
      </w:r>
      <w:r w:rsidRPr="00BC50C9">
        <w:rPr>
          <w:rtl/>
        </w:rPr>
        <w:t xml:space="preserve"> </w:t>
      </w:r>
      <w:r w:rsidRPr="00BC50C9">
        <w:rPr>
          <w:rFonts w:hint="eastAsia"/>
          <w:rtl/>
        </w:rPr>
        <w:t>باستخدام</w:t>
      </w:r>
      <w:r w:rsidRPr="00BC50C9">
        <w:rPr>
          <w:rtl/>
        </w:rPr>
        <w:t xml:space="preserve"> </w:t>
      </w:r>
      <w:r w:rsidRPr="00BC50C9">
        <w:rPr>
          <w:rFonts w:hint="eastAsia"/>
          <w:rtl/>
        </w:rPr>
        <w:t>الأرقام</w:t>
      </w:r>
      <w:r w:rsidRPr="00BC50C9">
        <w:rPr>
          <w:rtl/>
        </w:rPr>
        <w:t xml:space="preserve"> </w:t>
      </w:r>
      <w:r w:rsidRPr="00BC50C9">
        <w:rPr>
          <w:rFonts w:hint="eastAsia"/>
          <w:rtl/>
        </w:rPr>
        <w:t>والعلاقات</w:t>
      </w:r>
      <w:r w:rsidRPr="00BC50C9">
        <w:rPr>
          <w:rtl/>
        </w:rPr>
        <w:t xml:space="preserve"> </w:t>
      </w:r>
      <w:r w:rsidRPr="00BC50C9">
        <w:rPr>
          <w:rFonts w:hint="eastAsia"/>
          <w:rtl/>
        </w:rPr>
        <w:t>الرياضية</w:t>
      </w:r>
      <w:r w:rsidRPr="00BC50C9">
        <w:rPr>
          <w:rtl/>
        </w:rPr>
        <w:t xml:space="preserve"> </w:t>
      </w:r>
      <w:r w:rsidRPr="00BC50C9">
        <w:rPr>
          <w:rFonts w:hint="eastAsia"/>
          <w:rtl/>
        </w:rPr>
        <w:t>والأساليب</w:t>
      </w:r>
      <w:r w:rsidRPr="00BC50C9">
        <w:rPr>
          <w:rtl/>
        </w:rPr>
        <w:t xml:space="preserve"> </w:t>
      </w:r>
      <w:r w:rsidRPr="00BC50C9">
        <w:rPr>
          <w:rFonts w:hint="eastAsia"/>
          <w:rtl/>
        </w:rPr>
        <w:t>الكمية</w:t>
      </w:r>
      <w:r w:rsidRPr="00BC50C9">
        <w:rPr>
          <w:rtl/>
        </w:rPr>
        <w:t xml:space="preserve"> </w:t>
      </w:r>
      <w:r w:rsidRPr="00BC50C9">
        <w:rPr>
          <w:rFonts w:hint="eastAsia"/>
          <w:rtl/>
        </w:rPr>
        <w:t>المختلفة</w:t>
      </w:r>
      <w:r w:rsidRPr="00BC50C9">
        <w:rPr>
          <w:rtl/>
        </w:rPr>
        <w:t xml:space="preserve"> </w:t>
      </w:r>
      <w:r w:rsidRPr="00BC50C9">
        <w:rPr>
          <w:rFonts w:hint="eastAsia"/>
          <w:rtl/>
        </w:rPr>
        <w:t>لتحليل</w:t>
      </w:r>
      <w:r w:rsidRPr="00BC50C9">
        <w:rPr>
          <w:rtl/>
        </w:rPr>
        <w:t xml:space="preserve"> </w:t>
      </w:r>
      <w:r w:rsidRPr="00BC50C9">
        <w:rPr>
          <w:rFonts w:hint="eastAsia"/>
          <w:rtl/>
        </w:rPr>
        <w:t>وتفسير</w:t>
      </w:r>
      <w:r w:rsidRPr="00BC50C9">
        <w:rPr>
          <w:rtl/>
        </w:rPr>
        <w:t xml:space="preserve"> </w:t>
      </w:r>
      <w:r w:rsidRPr="00BC50C9">
        <w:rPr>
          <w:rFonts w:hint="eastAsia"/>
          <w:rtl/>
        </w:rPr>
        <w:t>الكثير</w:t>
      </w:r>
      <w:r w:rsidRPr="00BC50C9">
        <w:rPr>
          <w:rtl/>
        </w:rPr>
        <w:t xml:space="preserve"> </w:t>
      </w:r>
      <w:r w:rsidRPr="00BC50C9">
        <w:rPr>
          <w:rFonts w:hint="eastAsia"/>
          <w:rtl/>
        </w:rPr>
        <w:t>من</w:t>
      </w:r>
      <w:r w:rsidRPr="00BC50C9">
        <w:rPr>
          <w:rtl/>
        </w:rPr>
        <w:t xml:space="preserve"> </w:t>
      </w:r>
      <w:r w:rsidRPr="00BC50C9">
        <w:rPr>
          <w:rFonts w:hint="eastAsia"/>
          <w:rtl/>
        </w:rPr>
        <w:t>مشكلات</w:t>
      </w:r>
      <w:r w:rsidRPr="00BC50C9">
        <w:rPr>
          <w:rtl/>
        </w:rPr>
        <w:t xml:space="preserve"> </w:t>
      </w:r>
      <w:r w:rsidRPr="00BC50C9">
        <w:rPr>
          <w:rFonts w:hint="eastAsia"/>
          <w:rtl/>
        </w:rPr>
        <w:t>إدارة</w:t>
      </w:r>
      <w:r w:rsidRPr="00BC50C9">
        <w:rPr>
          <w:rtl/>
        </w:rPr>
        <w:t xml:space="preserve"> </w:t>
      </w:r>
      <w:r w:rsidRPr="00BC50C9">
        <w:rPr>
          <w:rFonts w:hint="eastAsia"/>
          <w:rtl/>
        </w:rPr>
        <w:t>الأعمال</w:t>
      </w:r>
      <w:r w:rsidRPr="00BC50C9">
        <w:rPr>
          <w:rtl/>
        </w:rPr>
        <w:t>".</w:t>
      </w:r>
    </w:p>
    <w:p w14:paraId="0A8886AC" w14:textId="77777777" w:rsidR="000B3939" w:rsidRPr="00BC50C9" w:rsidRDefault="000B3939" w:rsidP="00762C62">
      <w:pPr>
        <w:pStyle w:val="00000"/>
        <w:rPr>
          <w:rFonts w:eastAsia="Aptos"/>
          <w:rtl/>
        </w:rPr>
      </w:pPr>
      <w:r w:rsidRPr="00BC50C9">
        <w:rPr>
          <w:rFonts w:hint="eastAsia"/>
          <w:rtl/>
        </w:rPr>
        <w:t>وقد</w:t>
      </w:r>
      <w:r w:rsidRPr="00BC50C9">
        <w:rPr>
          <w:rtl/>
        </w:rPr>
        <w:t xml:space="preserve"> </w:t>
      </w:r>
      <w:r w:rsidRPr="00BC50C9">
        <w:rPr>
          <w:rFonts w:hint="eastAsia"/>
          <w:rtl/>
        </w:rPr>
        <w:t>استخدم</w:t>
      </w:r>
      <w:r w:rsidRPr="00BC50C9">
        <w:rPr>
          <w:rtl/>
        </w:rPr>
        <w:t xml:space="preserve"> </w:t>
      </w:r>
      <w:r w:rsidRPr="00BC50C9">
        <w:rPr>
          <w:rFonts w:hint="eastAsia"/>
          <w:rtl/>
        </w:rPr>
        <w:t>الباحث</w:t>
      </w:r>
      <w:r w:rsidRPr="00BC50C9">
        <w:rPr>
          <w:rtl/>
        </w:rPr>
        <w:t xml:space="preserve"> المنهج الوصفي </w:t>
      </w:r>
      <w:r w:rsidRPr="00BC50C9">
        <w:rPr>
          <w:rFonts w:hint="eastAsia"/>
          <w:rtl/>
        </w:rPr>
        <w:t>كمنهج</w:t>
      </w:r>
      <w:r w:rsidRPr="00BC50C9">
        <w:rPr>
          <w:rtl/>
        </w:rPr>
        <w:t xml:space="preserve"> </w:t>
      </w:r>
      <w:r w:rsidRPr="00BC50C9">
        <w:rPr>
          <w:rFonts w:hint="cs"/>
          <w:rtl/>
        </w:rPr>
        <w:t>للبحث،</w:t>
      </w:r>
      <w:r w:rsidRPr="00BC50C9">
        <w:rPr>
          <w:rtl/>
        </w:rPr>
        <w:t xml:space="preserve"> </w:t>
      </w:r>
      <w:r w:rsidRPr="00BC50C9">
        <w:rPr>
          <w:rFonts w:hint="cs"/>
          <w:rtl/>
        </w:rPr>
        <w:t>والذي</w:t>
      </w:r>
      <w:r w:rsidRPr="00BC50C9">
        <w:rPr>
          <w:rtl/>
        </w:rPr>
        <w:t xml:space="preserve"> ي</w:t>
      </w:r>
      <w:r w:rsidRPr="00BC50C9">
        <w:rPr>
          <w:rFonts w:hint="cs"/>
          <w:rtl/>
        </w:rPr>
        <w:t>ُ</w:t>
      </w:r>
      <w:r w:rsidRPr="00BC50C9">
        <w:rPr>
          <w:rFonts w:hint="eastAsia"/>
          <w:rtl/>
        </w:rPr>
        <w:t>عتبر</w:t>
      </w:r>
      <w:r w:rsidRPr="00BC50C9">
        <w:rPr>
          <w:rtl/>
        </w:rPr>
        <w:t xml:space="preserve"> </w:t>
      </w:r>
      <w:r w:rsidRPr="00BC50C9">
        <w:rPr>
          <w:rFonts w:hint="eastAsia"/>
          <w:rtl/>
        </w:rPr>
        <w:t>نوع</w:t>
      </w:r>
      <w:r w:rsidRPr="00BC50C9">
        <w:rPr>
          <w:rtl/>
        </w:rPr>
        <w:t xml:space="preserve"> </w:t>
      </w:r>
      <w:r w:rsidRPr="00BC50C9">
        <w:rPr>
          <w:rFonts w:hint="eastAsia"/>
          <w:rtl/>
        </w:rPr>
        <w:t>من</w:t>
      </w:r>
      <w:r w:rsidRPr="00BC50C9">
        <w:rPr>
          <w:rtl/>
        </w:rPr>
        <w:t xml:space="preserve"> </w:t>
      </w:r>
      <w:r w:rsidRPr="00BC50C9">
        <w:rPr>
          <w:rFonts w:hint="eastAsia"/>
          <w:rtl/>
        </w:rPr>
        <w:t>أنواع</w:t>
      </w:r>
      <w:r w:rsidRPr="00BC50C9">
        <w:rPr>
          <w:rtl/>
        </w:rPr>
        <w:t xml:space="preserve"> </w:t>
      </w:r>
      <w:r w:rsidRPr="00BC50C9">
        <w:rPr>
          <w:rFonts w:hint="eastAsia"/>
          <w:rtl/>
        </w:rPr>
        <w:t>المناهج</w:t>
      </w:r>
      <w:r w:rsidRPr="00BC50C9">
        <w:rPr>
          <w:rtl/>
        </w:rPr>
        <w:t xml:space="preserve"> </w:t>
      </w:r>
      <w:r w:rsidRPr="00BC50C9">
        <w:rPr>
          <w:rFonts w:hint="eastAsia"/>
          <w:rtl/>
        </w:rPr>
        <w:t>الكمية،</w:t>
      </w:r>
      <w:r w:rsidRPr="00BC50C9">
        <w:rPr>
          <w:rtl/>
        </w:rPr>
        <w:t xml:space="preserve"> </w:t>
      </w:r>
      <w:r w:rsidRPr="00BC50C9">
        <w:rPr>
          <w:rFonts w:hint="eastAsia"/>
          <w:rtl/>
        </w:rPr>
        <w:t>والذي</w:t>
      </w:r>
      <w:r w:rsidRPr="00BC50C9">
        <w:rPr>
          <w:rtl/>
        </w:rPr>
        <w:t xml:space="preserve"> عرفه </w:t>
      </w:r>
      <w:r w:rsidRPr="00BC50C9">
        <w:rPr>
          <w:rFonts w:hint="eastAsia"/>
          <w:rtl/>
        </w:rPr>
        <w:t>درويش</w:t>
      </w:r>
      <w:r w:rsidRPr="00BC50C9">
        <w:rPr>
          <w:rtl/>
        </w:rPr>
        <w:t xml:space="preserve"> (2018، </w:t>
      </w:r>
      <w:r w:rsidRPr="00BC50C9">
        <w:rPr>
          <w:rFonts w:hint="eastAsia"/>
          <w:rtl/>
        </w:rPr>
        <w:t>ص</w:t>
      </w:r>
      <w:r w:rsidRPr="00BC50C9">
        <w:rPr>
          <w:rtl/>
        </w:rPr>
        <w:t xml:space="preserve">. 118) </w:t>
      </w:r>
      <w:r w:rsidRPr="00BC50C9">
        <w:rPr>
          <w:rFonts w:hint="eastAsia"/>
          <w:rtl/>
        </w:rPr>
        <w:t>بأنه</w:t>
      </w:r>
      <w:r w:rsidRPr="00BC50C9">
        <w:rPr>
          <w:rtl/>
        </w:rPr>
        <w:t xml:space="preserve"> </w:t>
      </w:r>
      <w:r w:rsidRPr="00BC50C9">
        <w:rPr>
          <w:rFonts w:hint="cs"/>
          <w:rtl/>
        </w:rPr>
        <w:t xml:space="preserve">"دراسة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w:t>
      </w:r>
      <w:r w:rsidRPr="00BC50C9">
        <w:rPr>
          <w:rFonts w:eastAsia="Aptos" w:hint="cs"/>
          <w:rtl/>
        </w:rPr>
        <w:t>كما تم استخدام مصدرين أساسيين للمعلومات على النحو التالي:</w:t>
      </w:r>
    </w:p>
    <w:p w14:paraId="32A32617" w14:textId="77777777" w:rsidR="000B3939" w:rsidRPr="00BC50C9" w:rsidRDefault="000B3939">
      <w:pPr>
        <w:numPr>
          <w:ilvl w:val="0"/>
          <w:numId w:val="37"/>
        </w:numPr>
        <w:bidi/>
        <w:spacing w:before="120" w:after="120" w:line="240" w:lineRule="auto"/>
        <w:contextualSpacing/>
        <w:jc w:val="both"/>
        <w:rPr>
          <w:rFonts w:ascii="Times New Roman" w:eastAsia="Aptos" w:hAnsi="Times New Roman" w:cs="Simplified Arabic"/>
          <w:kern w:val="2"/>
          <w:sz w:val="24"/>
          <w:szCs w:val="28"/>
          <w:lang w:bidi="ar-EG"/>
          <w14:ligatures w14:val="standardContextual"/>
        </w:rPr>
      </w:pPr>
      <w:r w:rsidRPr="00BC50C9">
        <w:rPr>
          <w:rFonts w:ascii="Times New Roman" w:eastAsia="Aptos" w:hAnsi="Times New Roman" w:cs="Simplified Arabic" w:hint="cs"/>
          <w:b/>
          <w:bCs/>
          <w:kern w:val="2"/>
          <w:sz w:val="24"/>
          <w:szCs w:val="28"/>
          <w:rtl/>
          <w:lang w:bidi="ar-EG"/>
          <w14:ligatures w14:val="standardContextual"/>
        </w:rPr>
        <w:t>المصادر الأولية:</w:t>
      </w:r>
      <w:r w:rsidRPr="00BC50C9">
        <w:rPr>
          <w:rFonts w:ascii="Times New Roman" w:eastAsia="Aptos" w:hAnsi="Times New Roman" w:cs="Simplified Arabic" w:hint="cs"/>
          <w:kern w:val="2"/>
          <w:sz w:val="24"/>
          <w:szCs w:val="28"/>
          <w:rtl/>
          <w:lang w:bidi="ar-EG"/>
          <w14:ligatures w14:val="standardContextual"/>
        </w:rPr>
        <w:t xml:space="preserve"> اعتمدت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الدراسة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الحالية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على</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الاستبانة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كمصدر</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أولي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للبيانات،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فهي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توفر</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للباحث</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فرصة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فريدة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للوصول</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إلى</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المعلومات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الأصلية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والتحقق</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صحتها،</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وبالتالي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بناء</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فهم</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أعمق</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وأكثر</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دقة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للموضوع</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قيد</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الدراسة</w:t>
      </w:r>
      <w:r w:rsidRPr="00BC50C9">
        <w:rPr>
          <w:rFonts w:ascii="Times New Roman" w:eastAsia="Aptos" w:hAnsi="Times New Roman" w:cs="Simplified Arabic"/>
          <w:kern w:val="2"/>
          <w:sz w:val="24"/>
          <w:szCs w:val="28"/>
          <w:rtl/>
          <w:lang w:bidi="ar-EG"/>
          <w14:ligatures w14:val="standardContextual"/>
        </w:rPr>
        <w:t>.</w:t>
      </w:r>
    </w:p>
    <w:p w14:paraId="37F8FD46" w14:textId="77777777" w:rsidR="000B3939" w:rsidRPr="00BC50C9" w:rsidRDefault="000B3939">
      <w:pPr>
        <w:numPr>
          <w:ilvl w:val="0"/>
          <w:numId w:val="37"/>
        </w:numPr>
        <w:bidi/>
        <w:spacing w:before="120" w:after="120" w:line="240" w:lineRule="auto"/>
        <w:contextualSpacing/>
        <w:jc w:val="both"/>
        <w:rPr>
          <w:rFonts w:ascii="Times New Roman" w:eastAsia="Aptos" w:hAnsi="Times New Roman" w:cs="Simplified Arabic"/>
          <w:kern w:val="2"/>
          <w:sz w:val="24"/>
          <w:szCs w:val="28"/>
          <w:rtl/>
          <w:lang w:bidi="ar-EG"/>
          <w14:ligatures w14:val="standardContextual"/>
        </w:rPr>
      </w:pPr>
      <w:r w:rsidRPr="00BC50C9">
        <w:rPr>
          <w:rFonts w:ascii="Times New Roman" w:eastAsia="Aptos" w:hAnsi="Times New Roman" w:cs="Simplified Arabic" w:hint="cs"/>
          <w:b/>
          <w:bCs/>
          <w:kern w:val="2"/>
          <w:sz w:val="24"/>
          <w:szCs w:val="28"/>
          <w:rtl/>
          <w:lang w:bidi="ar-EG"/>
          <w14:ligatures w14:val="standardContextual"/>
        </w:rPr>
        <w:t>المصادر الثانوية:</w:t>
      </w:r>
      <w:r w:rsidRPr="00BC50C9">
        <w:rPr>
          <w:rFonts w:ascii="Times New Roman" w:eastAsia="Aptos" w:hAnsi="Times New Roman" w:cs="Simplified Arabic" w:hint="cs"/>
          <w:kern w:val="2"/>
          <w:sz w:val="24"/>
          <w:szCs w:val="28"/>
          <w:rtl/>
          <w:lang w:bidi="ar-EG"/>
          <w14:ligatures w14:val="standardContextual"/>
        </w:rPr>
        <w:t xml:space="preserve"> اعتمدت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الدراسة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الحالية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على</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مجموعة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متنوعة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المصادر</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الثانوية،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بما</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ذلك</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الكتب</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والمقالات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العلمية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باللغتين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العربية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والإنجليزية،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والقوانين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والأنظمة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الأكاديمية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المعمول</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بها</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في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الجامعات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المعنية،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بالإضافة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إلى</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الأبحاث</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والدراسات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السابقة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التي</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تناولت</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الموضوع</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زوايا</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مختلفة، كما</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تم</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الاستعانة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بمصادر</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إلكترونية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موثوقة</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للبحث</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والتحقق</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من</w:t>
      </w:r>
      <w:r w:rsidRPr="00BC50C9">
        <w:rPr>
          <w:rFonts w:ascii="Times New Roman" w:eastAsia="Aptos" w:hAnsi="Times New Roman" w:cs="Simplified Arabic"/>
          <w:kern w:val="2"/>
          <w:sz w:val="24"/>
          <w:szCs w:val="28"/>
          <w:rtl/>
          <w:lang w:bidi="ar-EG"/>
          <w14:ligatures w14:val="standardContextual"/>
        </w:rPr>
        <w:t xml:space="preserve"> </w:t>
      </w:r>
      <w:r w:rsidRPr="00BC50C9">
        <w:rPr>
          <w:rFonts w:ascii="Times New Roman" w:eastAsia="Aptos" w:hAnsi="Times New Roman" w:cs="Simplified Arabic" w:hint="cs"/>
          <w:kern w:val="2"/>
          <w:sz w:val="24"/>
          <w:szCs w:val="28"/>
          <w:rtl/>
          <w:lang w:bidi="ar-EG"/>
          <w14:ligatures w14:val="standardContextual"/>
        </w:rPr>
        <w:t>المعلومات</w:t>
      </w:r>
      <w:r w:rsidRPr="00BC50C9">
        <w:rPr>
          <w:rFonts w:ascii="Times New Roman" w:eastAsia="Aptos" w:hAnsi="Times New Roman" w:cs="Simplified Arabic"/>
          <w:kern w:val="2"/>
          <w:sz w:val="24"/>
          <w:szCs w:val="28"/>
          <w:rtl/>
          <w:lang w:bidi="ar-EG"/>
          <w14:ligatures w14:val="standardContextual"/>
        </w:rPr>
        <w:t>.</w:t>
      </w:r>
    </w:p>
    <w:p w14:paraId="661933C1" w14:textId="7F0BA260" w:rsidR="000B3939" w:rsidRPr="00BC50C9" w:rsidRDefault="001E5759" w:rsidP="001E5759">
      <w:pPr>
        <w:pStyle w:val="22222"/>
        <w:rPr>
          <w:rtl/>
        </w:rPr>
      </w:pPr>
      <w:bookmarkStart w:id="73" w:name="_Toc170412834"/>
      <w:bookmarkStart w:id="74" w:name="_Toc195456536"/>
      <w:r>
        <w:rPr>
          <w:rFonts w:hint="cs"/>
          <w:rtl/>
        </w:rPr>
        <w:t xml:space="preserve">3.3 </w:t>
      </w:r>
      <w:r w:rsidR="000B3939" w:rsidRPr="00BC50C9">
        <w:rPr>
          <w:rtl/>
        </w:rPr>
        <w:t xml:space="preserve">مجتمع </w:t>
      </w:r>
      <w:r w:rsidR="000B3939" w:rsidRPr="00BC50C9">
        <w:rPr>
          <w:rFonts w:hint="cs"/>
          <w:rtl/>
        </w:rPr>
        <w:t>وعينة الدراسة:</w:t>
      </w:r>
      <w:bookmarkEnd w:id="73"/>
      <w:bookmarkEnd w:id="74"/>
    </w:p>
    <w:p w14:paraId="6FE35E55" w14:textId="77777777" w:rsidR="000B3939" w:rsidRPr="00BC50C9" w:rsidRDefault="000B3939" w:rsidP="001E5759">
      <w:pPr>
        <w:pStyle w:val="00000"/>
        <w:rPr>
          <w:rtl/>
        </w:rPr>
      </w:pPr>
      <w:bookmarkStart w:id="75" w:name="_Toc170412835"/>
      <w:r w:rsidRPr="00BC50C9">
        <w:rPr>
          <w:rFonts w:hint="eastAsia"/>
          <w:rtl/>
        </w:rPr>
        <w:t>يُعرف</w:t>
      </w:r>
      <w:r w:rsidRPr="00BC50C9">
        <w:rPr>
          <w:rtl/>
        </w:rPr>
        <w:t xml:space="preserve"> </w:t>
      </w:r>
      <w:r w:rsidRPr="00BC50C9">
        <w:rPr>
          <w:rFonts w:hint="eastAsia"/>
          <w:rtl/>
        </w:rPr>
        <w:t>مجتمع</w:t>
      </w:r>
      <w:r w:rsidRPr="00BC50C9">
        <w:rPr>
          <w:rtl/>
        </w:rPr>
        <w:t xml:space="preserve"> </w:t>
      </w:r>
      <w:r w:rsidRPr="00BC50C9">
        <w:rPr>
          <w:rFonts w:hint="eastAsia"/>
          <w:rtl/>
        </w:rPr>
        <w:t>الدراسة</w:t>
      </w:r>
      <w:r w:rsidRPr="00BC50C9">
        <w:rPr>
          <w:rtl/>
        </w:rPr>
        <w:t xml:space="preserve">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الدراسة على </w:t>
      </w:r>
      <w:r w:rsidRPr="00BC50C9">
        <w:rPr>
          <w:rtl/>
        </w:rPr>
        <w:lastRenderedPageBreak/>
        <w:t xml:space="preserve">هدف الدراسة بحيث يتطابق مجتمع الدراسة مع المجتمع المستهدف، </w:t>
      </w:r>
      <w:r w:rsidRPr="00BC50C9">
        <w:rPr>
          <w:rFonts w:hint="eastAsia"/>
          <w:rtl/>
        </w:rPr>
        <w:t>حيث</w:t>
      </w:r>
      <w:r w:rsidRPr="00BC50C9">
        <w:rPr>
          <w:rtl/>
        </w:rPr>
        <w:t xml:space="preserve"> أن عدم التطابق بين مجتمع الدراسة والمجتمع المستهدف بالدراسة يجعل من غير المقبول عليمًا تعميم نتائج العينة على المجتمع المستهدف، ولابد من الإشارة هنا إلى أن التحديد الواضح لمجتمع المعاينة يتطلب </w:t>
      </w:r>
      <w:r w:rsidRPr="00BC50C9">
        <w:rPr>
          <w:rFonts w:hint="eastAsia"/>
          <w:rtl/>
        </w:rPr>
        <w:t>التحديد</w:t>
      </w:r>
      <w:r w:rsidRPr="00BC50C9">
        <w:rPr>
          <w:rtl/>
        </w:rPr>
        <w:t xml:space="preserve"> </w:t>
      </w:r>
      <w:r w:rsidRPr="00BC50C9">
        <w:rPr>
          <w:rFonts w:hint="eastAsia"/>
          <w:rtl/>
        </w:rPr>
        <w:t>الواضح</w:t>
      </w:r>
      <w:r w:rsidRPr="00BC50C9">
        <w:rPr>
          <w:rtl/>
        </w:rPr>
        <w:t xml:space="preserve"> </w:t>
      </w:r>
      <w:r w:rsidRPr="00BC50C9">
        <w:rPr>
          <w:rFonts w:hint="eastAsia"/>
          <w:rtl/>
        </w:rPr>
        <w:t>لوحدة</w:t>
      </w:r>
      <w:r w:rsidRPr="00BC50C9">
        <w:rPr>
          <w:rtl/>
        </w:rPr>
        <w:t xml:space="preserve"> </w:t>
      </w:r>
      <w:r w:rsidRPr="00BC50C9">
        <w:rPr>
          <w:rFonts w:hint="eastAsia"/>
          <w:rtl/>
        </w:rPr>
        <w:t>المعاينة</w:t>
      </w:r>
      <w:r w:rsidRPr="00BC50C9">
        <w:rPr>
          <w:rtl/>
        </w:rPr>
        <w:t xml:space="preserve"> </w:t>
      </w:r>
      <w:r w:rsidRPr="00BC50C9">
        <w:rPr>
          <w:rFonts w:hint="eastAsia"/>
          <w:rtl/>
        </w:rPr>
        <w:t>في</w:t>
      </w:r>
      <w:r w:rsidRPr="00BC50C9">
        <w:rPr>
          <w:rtl/>
        </w:rPr>
        <w:t xml:space="preserve"> </w:t>
      </w:r>
      <w:r w:rsidRPr="00BC50C9">
        <w:rPr>
          <w:rFonts w:hint="eastAsia"/>
          <w:rtl/>
        </w:rPr>
        <w:t>الدراسة</w:t>
      </w:r>
      <w:r w:rsidRPr="00BC50C9">
        <w:rPr>
          <w:rtl/>
        </w:rPr>
        <w:t xml:space="preserve">" </w:t>
      </w:r>
      <w:r w:rsidRPr="00BC50C9">
        <w:rPr>
          <w:rFonts w:hint="eastAsia"/>
          <w:rtl/>
        </w:rPr>
        <w:t>عاروري</w:t>
      </w:r>
      <w:r w:rsidRPr="00BC50C9">
        <w:rPr>
          <w:rtl/>
        </w:rPr>
        <w:t xml:space="preserve"> (2013، </w:t>
      </w:r>
      <w:proofErr w:type="spellStart"/>
      <w:r w:rsidRPr="00BC50C9">
        <w:rPr>
          <w:rFonts w:hint="eastAsia"/>
          <w:rtl/>
        </w:rPr>
        <w:t>ص</w:t>
      </w:r>
      <w:r w:rsidRPr="00BC50C9">
        <w:rPr>
          <w:rtl/>
        </w:rPr>
        <w:t>.ص</w:t>
      </w:r>
      <w:proofErr w:type="spellEnd"/>
      <w:r w:rsidRPr="00BC50C9">
        <w:rPr>
          <w:rtl/>
        </w:rPr>
        <w:t xml:space="preserve"> 18-19)</w:t>
      </w:r>
      <w:r w:rsidRPr="00BC50C9">
        <w:rPr>
          <w:rFonts w:hint="cs"/>
          <w:rtl/>
        </w:rPr>
        <w:t>.</w:t>
      </w:r>
    </w:p>
    <w:p w14:paraId="00A6E050" w14:textId="77777777" w:rsidR="000B3939" w:rsidRPr="00BC50C9" w:rsidRDefault="000B3939" w:rsidP="001E5759">
      <w:pPr>
        <w:pStyle w:val="00000"/>
        <w:rPr>
          <w:rtl/>
        </w:rPr>
      </w:pPr>
      <w:r w:rsidRPr="00BC50C9">
        <w:rPr>
          <w:rFonts w:hint="cs"/>
          <w:rtl/>
        </w:rPr>
        <w:t>يتكون</w:t>
      </w:r>
      <w:r w:rsidRPr="00BC50C9">
        <w:rPr>
          <w:rtl/>
        </w:rPr>
        <w:t xml:space="preserve"> مجتمع الدراسة من </w:t>
      </w:r>
      <w:r w:rsidRPr="00BC50C9">
        <w:rPr>
          <w:rFonts w:hint="cs"/>
          <w:rtl/>
        </w:rPr>
        <w:t xml:space="preserve">جميع </w:t>
      </w:r>
      <w:r w:rsidRPr="00BC50C9">
        <w:rPr>
          <w:rtl/>
        </w:rPr>
        <w:t xml:space="preserve">الأطراف المعنية بالتمويل التشاركي والمشاريع الريادية في </w:t>
      </w:r>
      <w:r w:rsidRPr="00BC50C9">
        <w:rPr>
          <w:rFonts w:hint="cs"/>
          <w:rtl/>
        </w:rPr>
        <w:t xml:space="preserve">المملكة العربية السعودية، والتي </w:t>
      </w:r>
      <w:r w:rsidRPr="00BC50C9">
        <w:rPr>
          <w:rtl/>
        </w:rPr>
        <w:t>يمكن تقسيمه</w:t>
      </w:r>
      <w:r w:rsidRPr="00BC50C9">
        <w:rPr>
          <w:rFonts w:hint="cs"/>
          <w:rtl/>
        </w:rPr>
        <w:t>ا</w:t>
      </w:r>
      <w:r w:rsidRPr="00BC50C9">
        <w:rPr>
          <w:rtl/>
        </w:rPr>
        <w:t xml:space="preserve"> إلى فئات مختلفة مثل المستثمرين، والمشاريع الريادية، والخبراء، والمؤسسات الداعمة، </w:t>
      </w:r>
      <w:r w:rsidRPr="00BC50C9">
        <w:rPr>
          <w:rFonts w:eastAsia="Calibri" w:hint="eastAsia"/>
          <w:rtl/>
        </w:rPr>
        <w:t>ونظرًا</w:t>
      </w:r>
      <w:r w:rsidRPr="00BC50C9">
        <w:rPr>
          <w:rFonts w:eastAsia="Calibri"/>
          <w:rtl/>
        </w:rPr>
        <w:t xml:space="preserve"> </w:t>
      </w:r>
      <w:r w:rsidRPr="00BC50C9">
        <w:rPr>
          <w:rFonts w:eastAsia="Calibri" w:hint="eastAsia"/>
          <w:rtl/>
        </w:rPr>
        <w:t>لكبر</w:t>
      </w:r>
      <w:r w:rsidRPr="00BC50C9">
        <w:rPr>
          <w:rFonts w:eastAsia="Calibri"/>
          <w:rtl/>
        </w:rPr>
        <w:t xml:space="preserve"> </w:t>
      </w:r>
      <w:r w:rsidRPr="00BC50C9">
        <w:rPr>
          <w:rFonts w:eastAsia="Calibri" w:hint="eastAsia"/>
          <w:rtl/>
        </w:rPr>
        <w:t>حجم</w:t>
      </w:r>
      <w:r w:rsidRPr="00BC50C9">
        <w:rPr>
          <w:rFonts w:eastAsia="Calibri"/>
          <w:rtl/>
        </w:rPr>
        <w:t xml:space="preserve"> </w:t>
      </w:r>
      <w:r w:rsidRPr="00BC50C9">
        <w:rPr>
          <w:rFonts w:eastAsia="Calibri" w:hint="eastAsia"/>
          <w:rtl/>
        </w:rPr>
        <w:t>مجتمع</w:t>
      </w:r>
      <w:r w:rsidRPr="00BC50C9">
        <w:rPr>
          <w:rFonts w:eastAsia="Calibri"/>
          <w:rtl/>
        </w:rPr>
        <w:t xml:space="preserve"> </w:t>
      </w:r>
      <w:r w:rsidRPr="00BC50C9">
        <w:rPr>
          <w:rFonts w:eastAsia="Calibri" w:hint="eastAsia"/>
          <w:rtl/>
        </w:rPr>
        <w:t>الدراسة</w:t>
      </w:r>
      <w:r w:rsidRPr="00BC50C9">
        <w:rPr>
          <w:rFonts w:eastAsia="Calibri" w:hint="cs"/>
          <w:rtl/>
        </w:rPr>
        <w:t xml:space="preserve"> وصعوبة تحديده</w:t>
      </w:r>
      <w:r w:rsidRPr="00BC50C9">
        <w:rPr>
          <w:rFonts w:eastAsia="Calibri" w:hint="eastAsia"/>
          <w:rtl/>
        </w:rPr>
        <w:t>،</w:t>
      </w:r>
      <w:r w:rsidRPr="00BC50C9">
        <w:rPr>
          <w:rFonts w:eastAsia="Calibri"/>
          <w:rtl/>
        </w:rPr>
        <w:t xml:space="preserve"> </w:t>
      </w:r>
      <w:r w:rsidRPr="00BC50C9">
        <w:rPr>
          <w:rFonts w:eastAsia="Calibri" w:hint="cs"/>
          <w:rtl/>
        </w:rPr>
        <w:t>فسوف تعتمد الباحثة</w:t>
      </w:r>
      <w:r w:rsidRPr="00BC50C9">
        <w:rPr>
          <w:rFonts w:eastAsia="Calibri"/>
          <w:rtl/>
        </w:rPr>
        <w:t xml:space="preserve"> على أسلوب المُعاينة</w:t>
      </w:r>
      <w:r w:rsidRPr="00BC50C9">
        <w:rPr>
          <w:rFonts w:eastAsia="Calibri" w:hint="cs"/>
          <w:rtl/>
        </w:rPr>
        <w:t xml:space="preserve"> (العينة)</w:t>
      </w:r>
      <w:r w:rsidRPr="00BC50C9">
        <w:rPr>
          <w:rFonts w:eastAsia="Calibri"/>
          <w:rtl/>
        </w:rPr>
        <w:t xml:space="preserve"> لجمع بيانات الدراسة</w:t>
      </w:r>
      <w:r w:rsidRPr="00BC50C9">
        <w:rPr>
          <w:rFonts w:eastAsia="Calibri" w:hint="cs"/>
          <w:rtl/>
        </w:rPr>
        <w:t>، والتي تُعرف بأنها</w:t>
      </w:r>
      <w:r w:rsidRPr="00BC50C9">
        <w:rPr>
          <w:rFonts w:eastAsia="Calibri"/>
          <w:rtl/>
        </w:rPr>
        <w:t xml:space="preserve"> "نموذج يشمل جانبًا أو جزءًا من محددات المجتمع الأصلي المعني بالبحث التي تكون ممثلة له بحيث تحمل صفاته المشتركة وهذا النموذج يغني الباحث عن دراسة كل وحدات ومفردات المجتمع الأصل خاصة في حالة صعوبة أو استحالة دراسة كل تلك الوحدات" الدليمي وصالح (2014، ص. 74)، </w:t>
      </w:r>
      <w:r w:rsidRPr="00BC50C9">
        <w:rPr>
          <w:rFonts w:eastAsia="Calibri" w:hint="cs"/>
          <w:rtl/>
        </w:rPr>
        <w:t>وسيتم</w:t>
      </w:r>
      <w:r w:rsidRPr="00BC50C9">
        <w:rPr>
          <w:rFonts w:eastAsia="Calibri"/>
          <w:rtl/>
        </w:rPr>
        <w:t xml:space="preserve"> </w:t>
      </w:r>
      <w:r w:rsidRPr="00BC50C9">
        <w:rPr>
          <w:rFonts w:eastAsia="Calibri" w:hint="eastAsia"/>
          <w:rtl/>
        </w:rPr>
        <w:t>اختيار</w:t>
      </w:r>
      <w:r w:rsidRPr="00BC50C9">
        <w:rPr>
          <w:rFonts w:eastAsia="Calibri"/>
          <w:rtl/>
        </w:rPr>
        <w:t xml:space="preserve"> </w:t>
      </w:r>
      <w:r w:rsidRPr="00BC50C9">
        <w:rPr>
          <w:rFonts w:eastAsia="Calibri" w:hint="cs"/>
          <w:rtl/>
        </w:rPr>
        <w:t>العينة</w:t>
      </w:r>
      <w:r w:rsidRPr="00BC50C9">
        <w:rPr>
          <w:rFonts w:eastAsia="Calibri"/>
          <w:rtl/>
        </w:rPr>
        <w:t xml:space="preserve"> </w:t>
      </w:r>
      <w:r w:rsidRPr="00BC50C9">
        <w:rPr>
          <w:rFonts w:eastAsia="Calibri" w:hint="eastAsia"/>
          <w:rtl/>
        </w:rPr>
        <w:t>بالطريقة</w:t>
      </w:r>
      <w:r w:rsidRPr="00BC50C9">
        <w:rPr>
          <w:rFonts w:eastAsia="Calibri"/>
          <w:rtl/>
        </w:rPr>
        <w:t xml:space="preserve"> </w:t>
      </w:r>
      <w:r w:rsidRPr="00BC50C9">
        <w:rPr>
          <w:rFonts w:eastAsia="Calibri" w:hint="eastAsia"/>
          <w:rtl/>
        </w:rPr>
        <w:t>العشوائية</w:t>
      </w:r>
      <w:r w:rsidRPr="00BC50C9">
        <w:rPr>
          <w:rFonts w:eastAsia="Calibri"/>
          <w:rtl/>
        </w:rPr>
        <w:t xml:space="preserve"> </w:t>
      </w:r>
      <w:r w:rsidRPr="00BC50C9">
        <w:rPr>
          <w:rFonts w:eastAsia="Calibri" w:hint="cs"/>
          <w:rtl/>
        </w:rPr>
        <w:t>الطبقية</w:t>
      </w:r>
      <w:r w:rsidRPr="00BC50C9">
        <w:rPr>
          <w:rFonts w:eastAsia="Calibri" w:hint="eastAsia"/>
          <w:rtl/>
        </w:rPr>
        <w:t>،</w:t>
      </w:r>
      <w:r w:rsidRPr="00BC50C9">
        <w:rPr>
          <w:rFonts w:eastAsia="Calibri"/>
          <w:rtl/>
        </w:rPr>
        <w:t xml:space="preserve"> </w:t>
      </w:r>
      <w:r w:rsidRPr="00BC50C9">
        <w:rPr>
          <w:rFonts w:eastAsia="Calibri" w:hint="eastAsia"/>
          <w:rtl/>
        </w:rPr>
        <w:t>والبالغ</w:t>
      </w:r>
      <w:r w:rsidRPr="00BC50C9">
        <w:rPr>
          <w:rFonts w:eastAsia="Calibri"/>
          <w:rtl/>
        </w:rPr>
        <w:t xml:space="preserve"> عددها (</w:t>
      </w:r>
      <w:r w:rsidRPr="00BC50C9">
        <w:rPr>
          <w:rFonts w:eastAsia="Calibri"/>
        </w:rPr>
        <w:t>384</w:t>
      </w:r>
      <w:r w:rsidRPr="00BC50C9">
        <w:rPr>
          <w:rFonts w:eastAsia="Calibri"/>
          <w:rtl/>
        </w:rPr>
        <w:t xml:space="preserve">) </w:t>
      </w:r>
      <w:r w:rsidRPr="00BC50C9">
        <w:rPr>
          <w:rFonts w:eastAsia="Calibri" w:hint="eastAsia"/>
          <w:rtl/>
        </w:rPr>
        <w:t>مفردة،</w:t>
      </w:r>
      <w:r w:rsidRPr="00BC50C9">
        <w:rPr>
          <w:rFonts w:eastAsia="Calibri"/>
          <w:rtl/>
        </w:rPr>
        <w:t xml:space="preserve"> </w:t>
      </w:r>
      <w:r w:rsidRPr="00BC50C9">
        <w:rPr>
          <w:rFonts w:eastAsia="Calibri" w:hint="eastAsia"/>
          <w:rtl/>
        </w:rPr>
        <w:t>وذلك</w:t>
      </w:r>
      <w:r w:rsidRPr="00BC50C9">
        <w:rPr>
          <w:rFonts w:eastAsia="Calibri"/>
          <w:rtl/>
        </w:rPr>
        <w:t xml:space="preserve"> </w:t>
      </w:r>
      <w:r w:rsidRPr="00BC50C9">
        <w:rPr>
          <w:rFonts w:eastAsia="Calibri" w:hint="eastAsia"/>
          <w:rtl/>
        </w:rPr>
        <w:t>طبقًا</w:t>
      </w:r>
      <w:r w:rsidRPr="00BC50C9">
        <w:rPr>
          <w:rFonts w:eastAsia="Calibri"/>
          <w:rtl/>
        </w:rPr>
        <w:t xml:space="preserve"> </w:t>
      </w:r>
      <w:r w:rsidRPr="00BC50C9">
        <w:rPr>
          <w:rFonts w:eastAsia="Calibri" w:hint="eastAsia"/>
          <w:rtl/>
        </w:rPr>
        <w:t>لمعادلة</w:t>
      </w:r>
      <w:r w:rsidRPr="00BC50C9">
        <w:rPr>
          <w:rFonts w:eastAsia="Calibri"/>
          <w:rtl/>
        </w:rPr>
        <w:t xml:space="preserve"> (</w:t>
      </w:r>
      <w:proofErr w:type="spellStart"/>
      <w:r w:rsidRPr="00BC50C9">
        <w:rPr>
          <w:rFonts w:eastAsia="Calibri"/>
          <w:rtl/>
        </w:rPr>
        <w:t>بازرعة</w:t>
      </w:r>
      <w:proofErr w:type="spellEnd"/>
      <w:r w:rsidRPr="00BC50C9">
        <w:rPr>
          <w:rFonts w:eastAsia="Calibri"/>
          <w:rtl/>
        </w:rPr>
        <w:t xml:space="preserve">، 2001، </w:t>
      </w:r>
      <w:r w:rsidRPr="00BC50C9">
        <w:rPr>
          <w:rFonts w:eastAsia="Calibri" w:hint="eastAsia"/>
          <w:rtl/>
        </w:rPr>
        <w:t>ص</w:t>
      </w:r>
      <w:r w:rsidRPr="00BC50C9">
        <w:rPr>
          <w:rFonts w:eastAsia="Calibri"/>
          <w:rtl/>
        </w:rPr>
        <w:t>.504)</w:t>
      </w:r>
      <w:r w:rsidRPr="00BC50C9">
        <w:rPr>
          <w:rFonts w:eastAsia="Calibri" w:hint="cs"/>
          <w:rtl/>
        </w:rPr>
        <w:t xml:space="preserve">. </w:t>
      </w:r>
    </w:p>
    <w:p w14:paraId="1CF8133D" w14:textId="558F187C" w:rsidR="000B3939" w:rsidRPr="00BC50C9" w:rsidRDefault="001E5759" w:rsidP="001E5759">
      <w:pPr>
        <w:pStyle w:val="22222"/>
        <w:rPr>
          <w:rtl/>
        </w:rPr>
      </w:pPr>
      <w:bookmarkStart w:id="76" w:name="_Toc170412843"/>
      <w:bookmarkStart w:id="77" w:name="_Toc195456537"/>
      <w:bookmarkEnd w:id="75"/>
      <w:r>
        <w:rPr>
          <w:rFonts w:hint="cs"/>
          <w:rtl/>
        </w:rPr>
        <w:t xml:space="preserve">4.3 </w:t>
      </w:r>
      <w:r w:rsidR="000B3939" w:rsidRPr="00BC50C9">
        <w:rPr>
          <w:rFonts w:hint="eastAsia"/>
          <w:rtl/>
        </w:rPr>
        <w:t>أداة</w:t>
      </w:r>
      <w:r w:rsidR="000B3939" w:rsidRPr="00BC50C9">
        <w:rPr>
          <w:rtl/>
        </w:rPr>
        <w:t xml:space="preserve"> الدراسة </w:t>
      </w:r>
      <w:r w:rsidR="000B3939" w:rsidRPr="00BC50C9">
        <w:rPr>
          <w:rFonts w:hint="cs"/>
          <w:rtl/>
        </w:rPr>
        <w:t xml:space="preserve">وإجراءات </w:t>
      </w:r>
      <w:r w:rsidR="000B3939" w:rsidRPr="00BC50C9">
        <w:rPr>
          <w:rFonts w:hint="eastAsia"/>
          <w:rtl/>
        </w:rPr>
        <w:t>التأكد</w:t>
      </w:r>
      <w:r w:rsidR="000B3939" w:rsidRPr="00BC50C9">
        <w:rPr>
          <w:rtl/>
        </w:rPr>
        <w:t xml:space="preserve"> </w:t>
      </w:r>
      <w:r w:rsidR="000B3939" w:rsidRPr="00BC50C9">
        <w:rPr>
          <w:rFonts w:hint="eastAsia"/>
          <w:rtl/>
        </w:rPr>
        <w:t>من</w:t>
      </w:r>
      <w:r w:rsidR="000B3939" w:rsidRPr="00BC50C9">
        <w:rPr>
          <w:rtl/>
        </w:rPr>
        <w:t xml:space="preserve"> </w:t>
      </w:r>
      <w:r w:rsidR="000B3939" w:rsidRPr="00BC50C9">
        <w:rPr>
          <w:rFonts w:hint="eastAsia"/>
          <w:rtl/>
        </w:rPr>
        <w:t>خصائصها</w:t>
      </w:r>
      <w:r w:rsidR="000B3939" w:rsidRPr="00BC50C9">
        <w:rPr>
          <w:rtl/>
        </w:rPr>
        <w:t xml:space="preserve"> </w:t>
      </w:r>
      <w:proofErr w:type="spellStart"/>
      <w:r w:rsidR="000B3939" w:rsidRPr="00BC50C9">
        <w:rPr>
          <w:rFonts w:hint="eastAsia"/>
          <w:rtl/>
        </w:rPr>
        <w:t>السيكومترية</w:t>
      </w:r>
      <w:bookmarkEnd w:id="76"/>
      <w:proofErr w:type="spellEnd"/>
      <w:r w:rsidR="000B3939" w:rsidRPr="00BC50C9">
        <w:rPr>
          <w:rFonts w:hint="cs"/>
          <w:rtl/>
        </w:rPr>
        <w:t>:</w:t>
      </w:r>
      <w:bookmarkEnd w:id="77"/>
    </w:p>
    <w:p w14:paraId="7406CB26" w14:textId="77777777" w:rsidR="000B3939" w:rsidRDefault="000B3939" w:rsidP="001E5759">
      <w:pPr>
        <w:pStyle w:val="00000"/>
        <w:rPr>
          <w:rtl/>
        </w:rPr>
      </w:pPr>
      <w:r w:rsidRPr="00BC50C9">
        <w:rPr>
          <w:rtl/>
        </w:rPr>
        <w:t>قام</w:t>
      </w:r>
      <w:r w:rsidRPr="00BC50C9">
        <w:rPr>
          <w:rFonts w:hint="cs"/>
          <w:rtl/>
        </w:rPr>
        <w:t>ت</w:t>
      </w:r>
      <w:r w:rsidRPr="00BC50C9">
        <w:rPr>
          <w:rtl/>
        </w:rPr>
        <w:t xml:space="preserve"> الباحث</w:t>
      </w:r>
      <w:r w:rsidRPr="00BC50C9">
        <w:rPr>
          <w:rFonts w:hint="cs"/>
          <w:rtl/>
        </w:rPr>
        <w:t>ة</w:t>
      </w:r>
      <w:r w:rsidRPr="00BC50C9">
        <w:rPr>
          <w:rtl/>
        </w:rPr>
        <w:t xml:space="preserve"> بمراجعة أهداف الدراسة التي هدفت </w:t>
      </w:r>
      <w:r w:rsidRPr="00BC50C9">
        <w:rPr>
          <w:rFonts w:hint="cs"/>
          <w:rtl/>
        </w:rPr>
        <w:t>إلى وضع استراتيجيه</w:t>
      </w:r>
      <w:r w:rsidRPr="00BC50C9">
        <w:rPr>
          <w:rtl/>
        </w:rPr>
        <w:t xml:space="preserve"> </w:t>
      </w:r>
      <w:r w:rsidRPr="00BC50C9">
        <w:rPr>
          <w:rFonts w:hint="cs"/>
          <w:rtl/>
        </w:rPr>
        <w:t>مقترحه</w:t>
      </w:r>
      <w:r w:rsidRPr="00BC50C9">
        <w:rPr>
          <w:rtl/>
        </w:rPr>
        <w:t xml:space="preserve"> </w:t>
      </w:r>
      <w:r w:rsidRPr="00BC50C9">
        <w:rPr>
          <w:rFonts w:hint="cs"/>
          <w:rtl/>
        </w:rPr>
        <w:t>لتطوير</w:t>
      </w:r>
      <w:r w:rsidRPr="00BC50C9">
        <w:rPr>
          <w:rtl/>
        </w:rPr>
        <w:t xml:space="preserve"> </w:t>
      </w:r>
      <w:r w:rsidRPr="00BC50C9">
        <w:rPr>
          <w:rFonts w:hint="cs"/>
          <w:rtl/>
        </w:rPr>
        <w:t>منصة</w:t>
      </w:r>
      <w:r w:rsidRPr="00BC50C9">
        <w:rPr>
          <w:rtl/>
        </w:rPr>
        <w:t xml:space="preserve"> </w:t>
      </w:r>
      <w:r w:rsidRPr="00BC50C9">
        <w:rPr>
          <w:rFonts w:hint="cs"/>
          <w:rtl/>
        </w:rPr>
        <w:t>الكترونية</w:t>
      </w:r>
      <w:r w:rsidRPr="00BC50C9">
        <w:rPr>
          <w:rtl/>
        </w:rPr>
        <w:t xml:space="preserve"> </w:t>
      </w:r>
      <w:r w:rsidRPr="00BC50C9">
        <w:rPr>
          <w:rFonts w:hint="cs"/>
          <w:rtl/>
        </w:rPr>
        <w:t>معتمدة</w:t>
      </w:r>
      <w:r w:rsidRPr="00BC50C9">
        <w:rPr>
          <w:rtl/>
        </w:rPr>
        <w:t xml:space="preserve"> </w:t>
      </w:r>
      <w:r w:rsidRPr="00BC50C9">
        <w:rPr>
          <w:rFonts w:hint="cs"/>
          <w:rtl/>
        </w:rPr>
        <w:t>على</w:t>
      </w:r>
      <w:r w:rsidRPr="00BC50C9">
        <w:rPr>
          <w:rtl/>
        </w:rPr>
        <w:t xml:space="preserve"> </w:t>
      </w:r>
      <w:r w:rsidRPr="00BC50C9">
        <w:rPr>
          <w:rFonts w:hint="cs"/>
          <w:rtl/>
        </w:rPr>
        <w:t>التمويل</w:t>
      </w:r>
      <w:r w:rsidRPr="00BC50C9">
        <w:rPr>
          <w:rtl/>
        </w:rPr>
        <w:t xml:space="preserve"> </w:t>
      </w:r>
      <w:r w:rsidRPr="00BC50C9">
        <w:rPr>
          <w:rFonts w:hint="cs"/>
          <w:rtl/>
        </w:rPr>
        <w:t>التشاركي</w:t>
      </w:r>
      <w:r w:rsidRPr="00BC50C9">
        <w:rPr>
          <w:rtl/>
        </w:rPr>
        <w:t xml:space="preserve"> </w:t>
      </w:r>
      <w:r w:rsidRPr="00BC50C9">
        <w:rPr>
          <w:rFonts w:hint="cs"/>
          <w:rtl/>
        </w:rPr>
        <w:t>لدعم</w:t>
      </w:r>
      <w:r w:rsidRPr="00BC50C9">
        <w:rPr>
          <w:rtl/>
        </w:rPr>
        <w:t xml:space="preserve"> </w:t>
      </w:r>
      <w:r w:rsidRPr="00BC50C9">
        <w:rPr>
          <w:rFonts w:hint="cs"/>
          <w:rtl/>
        </w:rPr>
        <w:t>المشاريع</w:t>
      </w:r>
      <w:r w:rsidRPr="00BC50C9">
        <w:rPr>
          <w:rtl/>
        </w:rPr>
        <w:t xml:space="preserve"> </w:t>
      </w:r>
      <w:r w:rsidRPr="00BC50C9">
        <w:rPr>
          <w:rFonts w:hint="cs"/>
          <w:rtl/>
        </w:rPr>
        <w:t>الريادية</w:t>
      </w:r>
      <w:r w:rsidRPr="00BC50C9">
        <w:rPr>
          <w:rtl/>
        </w:rPr>
        <w:t xml:space="preserve"> </w:t>
      </w:r>
      <w:r w:rsidRPr="00BC50C9">
        <w:rPr>
          <w:rFonts w:hint="cs"/>
          <w:rtl/>
        </w:rPr>
        <w:t>وتعزيز</w:t>
      </w:r>
      <w:r w:rsidRPr="00BC50C9">
        <w:rPr>
          <w:rtl/>
        </w:rPr>
        <w:t xml:space="preserve"> </w:t>
      </w:r>
      <w:r w:rsidRPr="00BC50C9">
        <w:rPr>
          <w:rFonts w:hint="cs"/>
          <w:rtl/>
        </w:rPr>
        <w:t>الاستدامة</w:t>
      </w:r>
      <w:r w:rsidRPr="00BC50C9">
        <w:rPr>
          <w:rtl/>
        </w:rPr>
        <w:t xml:space="preserve"> </w:t>
      </w:r>
      <w:r w:rsidRPr="00BC50C9">
        <w:rPr>
          <w:rFonts w:hint="cs"/>
          <w:rtl/>
        </w:rPr>
        <w:t>المالية</w:t>
      </w:r>
      <w:r w:rsidRPr="00BC50C9">
        <w:rPr>
          <w:rtl/>
        </w:rPr>
        <w:t xml:space="preserve">، </w:t>
      </w:r>
      <w:r w:rsidRPr="00BC50C9">
        <w:rPr>
          <w:rFonts w:hint="cs"/>
          <w:rtl/>
        </w:rPr>
        <w:t>وبعد</w:t>
      </w:r>
      <w:r w:rsidRPr="00BC50C9">
        <w:rPr>
          <w:rtl/>
        </w:rPr>
        <w:t xml:space="preserve"> الاطلاع على الأدب النظري و</w:t>
      </w:r>
      <w:r w:rsidRPr="00BC50C9">
        <w:rPr>
          <w:rFonts w:hint="cs"/>
          <w:rtl/>
        </w:rPr>
        <w:t xml:space="preserve">مراجعة </w:t>
      </w:r>
      <w:r w:rsidRPr="00BC50C9">
        <w:rPr>
          <w:rtl/>
        </w:rPr>
        <w:t>الدراسات السابقة ذات الصلة بموضوع الدراسة، وجد أن انسب وسيلة لجمع البيانات هي (الاستبانة)،</w:t>
      </w:r>
      <w:r w:rsidRPr="00BC50C9">
        <w:rPr>
          <w:rFonts w:hint="cs"/>
          <w:rtl/>
        </w:rPr>
        <w:t xml:space="preserve"> والتي عرفها الضامن (2007، ص.91) على أنها "وسيلة</w:t>
      </w:r>
      <w:r w:rsidRPr="00BC50C9">
        <w:rPr>
          <w:rtl/>
        </w:rPr>
        <w:t xml:space="preserve"> </w:t>
      </w:r>
      <w:r w:rsidRPr="00BC50C9">
        <w:rPr>
          <w:rFonts w:hint="cs"/>
          <w:rtl/>
        </w:rPr>
        <w:t>من</w:t>
      </w:r>
      <w:r w:rsidRPr="00BC50C9">
        <w:rPr>
          <w:rtl/>
        </w:rPr>
        <w:t xml:space="preserve"> </w:t>
      </w:r>
      <w:r w:rsidRPr="00BC50C9">
        <w:rPr>
          <w:rFonts w:hint="cs"/>
          <w:rtl/>
        </w:rPr>
        <w:t>وسائل</w:t>
      </w:r>
      <w:r w:rsidRPr="00BC50C9">
        <w:rPr>
          <w:rtl/>
        </w:rPr>
        <w:t xml:space="preserve"> </w:t>
      </w:r>
      <w:r w:rsidRPr="00BC50C9">
        <w:rPr>
          <w:rFonts w:hint="cs"/>
          <w:rtl/>
        </w:rPr>
        <w:t>جمع</w:t>
      </w:r>
      <w:r w:rsidRPr="00BC50C9">
        <w:rPr>
          <w:rtl/>
        </w:rPr>
        <w:t xml:space="preserve"> </w:t>
      </w:r>
      <w:r w:rsidRPr="00BC50C9">
        <w:rPr>
          <w:rFonts w:hint="cs"/>
          <w:rtl/>
        </w:rPr>
        <w:t>المعلومات،</w:t>
      </w:r>
      <w:r w:rsidRPr="00BC50C9">
        <w:rPr>
          <w:rtl/>
        </w:rPr>
        <w:t xml:space="preserve"> </w:t>
      </w:r>
      <w:r w:rsidRPr="00BC50C9">
        <w:rPr>
          <w:rFonts w:hint="cs"/>
          <w:rtl/>
        </w:rPr>
        <w:t>وقد</w:t>
      </w:r>
      <w:r w:rsidRPr="00BC50C9">
        <w:rPr>
          <w:rtl/>
        </w:rPr>
        <w:t xml:space="preserve"> </w:t>
      </w:r>
      <w:r w:rsidRPr="00BC50C9">
        <w:rPr>
          <w:rFonts w:hint="cs"/>
          <w:rtl/>
        </w:rPr>
        <w:t>يستخدم</w:t>
      </w:r>
      <w:r w:rsidRPr="00BC50C9">
        <w:rPr>
          <w:rtl/>
        </w:rPr>
        <w:t xml:space="preserve"> </w:t>
      </w:r>
      <w:r w:rsidRPr="00BC50C9">
        <w:rPr>
          <w:rFonts w:hint="cs"/>
          <w:rtl/>
        </w:rPr>
        <w:t>على</w:t>
      </w:r>
      <w:r w:rsidRPr="00BC50C9">
        <w:rPr>
          <w:rtl/>
        </w:rPr>
        <w:t xml:space="preserve"> </w:t>
      </w:r>
      <w:r w:rsidRPr="00BC50C9">
        <w:rPr>
          <w:rFonts w:hint="cs"/>
          <w:rtl/>
        </w:rPr>
        <w:t>إطار</w:t>
      </w:r>
      <w:r w:rsidRPr="00BC50C9">
        <w:rPr>
          <w:rtl/>
        </w:rPr>
        <w:t xml:space="preserve"> </w:t>
      </w:r>
      <w:r w:rsidRPr="00BC50C9">
        <w:rPr>
          <w:rFonts w:hint="cs"/>
          <w:rtl/>
        </w:rPr>
        <w:t>واسع</w:t>
      </w:r>
      <w:r w:rsidRPr="00BC50C9">
        <w:rPr>
          <w:rtl/>
        </w:rPr>
        <w:t xml:space="preserve"> </w:t>
      </w:r>
      <w:r w:rsidRPr="00BC50C9">
        <w:rPr>
          <w:rFonts w:hint="cs"/>
          <w:rtl/>
        </w:rPr>
        <w:t>ليشمل</w:t>
      </w:r>
      <w:r w:rsidRPr="00BC50C9">
        <w:rPr>
          <w:rtl/>
        </w:rPr>
        <w:t xml:space="preserve"> </w:t>
      </w:r>
      <w:r w:rsidRPr="00BC50C9">
        <w:rPr>
          <w:rFonts w:hint="cs"/>
          <w:rtl/>
        </w:rPr>
        <w:t>الأمة</w:t>
      </w:r>
      <w:r w:rsidRPr="00BC50C9">
        <w:rPr>
          <w:rtl/>
        </w:rPr>
        <w:t xml:space="preserve"> </w:t>
      </w:r>
      <w:r w:rsidRPr="00BC50C9">
        <w:rPr>
          <w:rFonts w:hint="cs"/>
          <w:rtl/>
        </w:rPr>
        <w:t>أو</w:t>
      </w:r>
      <w:r w:rsidRPr="00BC50C9">
        <w:rPr>
          <w:rtl/>
        </w:rPr>
        <w:t xml:space="preserve"> </w:t>
      </w:r>
      <w:r w:rsidRPr="00BC50C9">
        <w:rPr>
          <w:rFonts w:hint="cs"/>
          <w:rtl/>
        </w:rPr>
        <w:t>في</w:t>
      </w:r>
      <w:r w:rsidRPr="00BC50C9">
        <w:rPr>
          <w:rtl/>
        </w:rPr>
        <w:t xml:space="preserve"> </w:t>
      </w:r>
      <w:r w:rsidRPr="00BC50C9">
        <w:rPr>
          <w:rFonts w:hint="cs"/>
          <w:rtl/>
        </w:rPr>
        <w:t>إطار</w:t>
      </w:r>
      <w:r w:rsidRPr="00BC50C9">
        <w:rPr>
          <w:rtl/>
        </w:rPr>
        <w:t xml:space="preserve"> </w:t>
      </w:r>
      <w:r w:rsidRPr="00BC50C9">
        <w:rPr>
          <w:rFonts w:hint="cs"/>
          <w:rtl/>
        </w:rPr>
        <w:t>ضيق</w:t>
      </w:r>
      <w:r w:rsidRPr="00BC50C9">
        <w:rPr>
          <w:rtl/>
        </w:rPr>
        <w:t xml:space="preserve"> </w:t>
      </w:r>
      <w:r w:rsidRPr="00BC50C9">
        <w:rPr>
          <w:rFonts w:hint="cs"/>
          <w:rtl/>
        </w:rPr>
        <w:t>على</w:t>
      </w:r>
      <w:r w:rsidRPr="00BC50C9">
        <w:rPr>
          <w:rtl/>
        </w:rPr>
        <w:t xml:space="preserve"> </w:t>
      </w:r>
      <w:r w:rsidRPr="00BC50C9">
        <w:rPr>
          <w:rFonts w:hint="cs"/>
          <w:rtl/>
        </w:rPr>
        <w:t>نطاق</w:t>
      </w:r>
      <w:r w:rsidRPr="00BC50C9">
        <w:rPr>
          <w:rtl/>
        </w:rPr>
        <w:t xml:space="preserve"> </w:t>
      </w:r>
      <w:r w:rsidRPr="00BC50C9">
        <w:rPr>
          <w:rFonts w:hint="cs"/>
          <w:rtl/>
        </w:rPr>
        <w:t>المدرسة،</w:t>
      </w:r>
      <w:r w:rsidRPr="00BC50C9">
        <w:rPr>
          <w:rtl/>
        </w:rPr>
        <w:t xml:space="preserve"> </w:t>
      </w:r>
      <w:r w:rsidRPr="00BC50C9">
        <w:rPr>
          <w:rFonts w:hint="cs"/>
          <w:rtl/>
        </w:rPr>
        <w:t>وبطبيعة</w:t>
      </w:r>
      <w:r w:rsidRPr="00BC50C9">
        <w:rPr>
          <w:rtl/>
        </w:rPr>
        <w:t xml:space="preserve"> </w:t>
      </w:r>
      <w:r w:rsidRPr="00BC50C9">
        <w:rPr>
          <w:rFonts w:hint="cs"/>
          <w:rtl/>
        </w:rPr>
        <w:t>الحال</w:t>
      </w:r>
      <w:r w:rsidRPr="00BC50C9">
        <w:rPr>
          <w:rtl/>
        </w:rPr>
        <w:t xml:space="preserve"> </w:t>
      </w:r>
      <w:r w:rsidRPr="00BC50C9">
        <w:rPr>
          <w:rFonts w:hint="cs"/>
          <w:rtl/>
        </w:rPr>
        <w:t>فهو</w:t>
      </w:r>
      <w:r w:rsidRPr="00BC50C9">
        <w:rPr>
          <w:rtl/>
        </w:rPr>
        <w:t xml:space="preserve"> </w:t>
      </w:r>
      <w:r w:rsidRPr="00BC50C9">
        <w:rPr>
          <w:rFonts w:hint="cs"/>
          <w:rtl/>
        </w:rPr>
        <w:t>يختلف</w:t>
      </w:r>
      <w:r w:rsidRPr="00BC50C9">
        <w:rPr>
          <w:rtl/>
        </w:rPr>
        <w:t xml:space="preserve"> </w:t>
      </w:r>
      <w:r w:rsidRPr="00BC50C9">
        <w:rPr>
          <w:rFonts w:hint="cs"/>
          <w:rtl/>
        </w:rPr>
        <w:t>في</w:t>
      </w:r>
      <w:r w:rsidRPr="00BC50C9">
        <w:rPr>
          <w:rtl/>
        </w:rPr>
        <w:t xml:space="preserve"> </w:t>
      </w:r>
      <w:r w:rsidRPr="00BC50C9">
        <w:rPr>
          <w:rFonts w:hint="cs"/>
          <w:rtl/>
        </w:rPr>
        <w:t>طوله</w:t>
      </w:r>
      <w:r w:rsidRPr="00BC50C9">
        <w:rPr>
          <w:rtl/>
        </w:rPr>
        <w:t xml:space="preserve"> </w:t>
      </w:r>
      <w:r w:rsidRPr="00BC50C9">
        <w:rPr>
          <w:rFonts w:hint="cs"/>
          <w:rtl/>
        </w:rPr>
        <w:t>ودرجة</w:t>
      </w:r>
      <w:r w:rsidRPr="00BC50C9">
        <w:rPr>
          <w:rtl/>
        </w:rPr>
        <w:t xml:space="preserve"> </w:t>
      </w:r>
      <w:r w:rsidRPr="00BC50C9">
        <w:rPr>
          <w:rFonts w:hint="cs"/>
          <w:rtl/>
        </w:rPr>
        <w:t>تعقيده، بالإضافة إلى</w:t>
      </w:r>
      <w:r w:rsidRPr="00BC50C9">
        <w:rPr>
          <w:rtl/>
        </w:rPr>
        <w:t xml:space="preserve"> </w:t>
      </w:r>
      <w:r w:rsidRPr="00BC50C9">
        <w:rPr>
          <w:rFonts w:hint="cs"/>
          <w:rtl/>
        </w:rPr>
        <w:t>إن</w:t>
      </w:r>
      <w:r w:rsidRPr="00BC50C9">
        <w:rPr>
          <w:rtl/>
        </w:rPr>
        <w:t xml:space="preserve"> </w:t>
      </w:r>
      <w:r w:rsidRPr="00BC50C9">
        <w:rPr>
          <w:rFonts w:hint="cs"/>
          <w:rtl/>
        </w:rPr>
        <w:t>الجهد</w:t>
      </w:r>
      <w:r w:rsidRPr="00BC50C9">
        <w:rPr>
          <w:rtl/>
        </w:rPr>
        <w:t xml:space="preserve"> </w:t>
      </w:r>
      <w:r w:rsidRPr="00BC50C9">
        <w:rPr>
          <w:rFonts w:hint="cs"/>
          <w:rtl/>
        </w:rPr>
        <w:t>الأكبر</w:t>
      </w:r>
      <w:r w:rsidRPr="00BC50C9">
        <w:rPr>
          <w:rtl/>
        </w:rPr>
        <w:t xml:space="preserve"> </w:t>
      </w:r>
      <w:r w:rsidRPr="00BC50C9">
        <w:rPr>
          <w:rFonts w:hint="cs"/>
          <w:rtl/>
        </w:rPr>
        <w:t>في</w:t>
      </w:r>
      <w:r w:rsidRPr="00BC50C9">
        <w:rPr>
          <w:rtl/>
        </w:rPr>
        <w:t xml:space="preserve"> </w:t>
      </w:r>
      <w:r w:rsidRPr="00BC50C9">
        <w:rPr>
          <w:rFonts w:hint="cs"/>
          <w:rtl/>
        </w:rPr>
        <w:t>الاستبيان</w:t>
      </w:r>
      <w:r w:rsidRPr="00BC50C9">
        <w:rPr>
          <w:rtl/>
        </w:rPr>
        <w:t xml:space="preserve"> </w:t>
      </w:r>
      <w:r w:rsidRPr="00BC50C9">
        <w:rPr>
          <w:rFonts w:hint="cs"/>
          <w:rtl/>
        </w:rPr>
        <w:t>ينصب</w:t>
      </w:r>
      <w:r w:rsidRPr="00BC50C9">
        <w:rPr>
          <w:rtl/>
        </w:rPr>
        <w:t xml:space="preserve"> </w:t>
      </w:r>
      <w:r w:rsidRPr="00BC50C9">
        <w:rPr>
          <w:rFonts w:hint="cs"/>
          <w:rtl/>
        </w:rPr>
        <w:t>على</w:t>
      </w:r>
      <w:r w:rsidRPr="00BC50C9">
        <w:rPr>
          <w:rtl/>
        </w:rPr>
        <w:t xml:space="preserve"> </w:t>
      </w:r>
      <w:r w:rsidRPr="00BC50C9">
        <w:rPr>
          <w:rFonts w:hint="cs"/>
          <w:rtl/>
        </w:rPr>
        <w:t>بناء</w:t>
      </w:r>
      <w:r w:rsidRPr="00BC50C9">
        <w:rPr>
          <w:rtl/>
        </w:rPr>
        <w:t xml:space="preserve"> </w:t>
      </w:r>
      <w:r w:rsidRPr="00BC50C9">
        <w:rPr>
          <w:rFonts w:hint="cs"/>
          <w:rtl/>
        </w:rPr>
        <w:t>فقرات</w:t>
      </w:r>
      <w:r w:rsidRPr="00BC50C9">
        <w:rPr>
          <w:rtl/>
        </w:rPr>
        <w:t xml:space="preserve"> </w:t>
      </w:r>
      <w:r w:rsidRPr="00BC50C9">
        <w:rPr>
          <w:rFonts w:hint="cs"/>
          <w:rtl/>
        </w:rPr>
        <w:t>جيدة</w:t>
      </w:r>
      <w:r w:rsidRPr="00BC50C9">
        <w:rPr>
          <w:rtl/>
        </w:rPr>
        <w:t xml:space="preserve"> </w:t>
      </w:r>
      <w:r w:rsidRPr="00BC50C9">
        <w:rPr>
          <w:rFonts w:hint="cs"/>
          <w:rtl/>
        </w:rPr>
        <w:t>والحصول</w:t>
      </w:r>
      <w:r w:rsidRPr="00BC50C9">
        <w:rPr>
          <w:rtl/>
        </w:rPr>
        <w:t xml:space="preserve"> </w:t>
      </w:r>
      <w:r w:rsidRPr="00BC50C9">
        <w:rPr>
          <w:rFonts w:hint="cs"/>
          <w:rtl/>
        </w:rPr>
        <w:t>على</w:t>
      </w:r>
      <w:r w:rsidRPr="00BC50C9">
        <w:rPr>
          <w:rtl/>
        </w:rPr>
        <w:t xml:space="preserve"> </w:t>
      </w:r>
      <w:r w:rsidRPr="00BC50C9">
        <w:rPr>
          <w:rFonts w:hint="cs"/>
          <w:rtl/>
        </w:rPr>
        <w:t>استجابات</w:t>
      </w:r>
      <w:r w:rsidRPr="00BC50C9">
        <w:rPr>
          <w:rtl/>
        </w:rPr>
        <w:t xml:space="preserve"> </w:t>
      </w:r>
      <w:r w:rsidRPr="00BC50C9">
        <w:rPr>
          <w:rFonts w:hint="cs"/>
          <w:rtl/>
        </w:rPr>
        <w:t>كاملة، ومن</w:t>
      </w:r>
      <w:r w:rsidRPr="00BC50C9">
        <w:rPr>
          <w:rtl/>
        </w:rPr>
        <w:t xml:space="preserve"> </w:t>
      </w:r>
      <w:r w:rsidRPr="00BC50C9">
        <w:rPr>
          <w:rFonts w:hint="cs"/>
          <w:rtl/>
        </w:rPr>
        <w:t>الأهمية</w:t>
      </w:r>
      <w:r w:rsidRPr="00BC50C9">
        <w:rPr>
          <w:rtl/>
        </w:rPr>
        <w:t xml:space="preserve"> </w:t>
      </w:r>
      <w:r w:rsidRPr="00BC50C9">
        <w:rPr>
          <w:rFonts w:hint="cs"/>
          <w:rtl/>
        </w:rPr>
        <w:t>بمكان</w:t>
      </w:r>
      <w:r w:rsidRPr="00BC50C9">
        <w:rPr>
          <w:rtl/>
        </w:rPr>
        <w:t xml:space="preserve"> </w:t>
      </w:r>
      <w:r w:rsidRPr="00BC50C9">
        <w:rPr>
          <w:rFonts w:hint="cs"/>
          <w:rtl/>
        </w:rPr>
        <w:t>أن</w:t>
      </w:r>
      <w:r w:rsidRPr="00BC50C9">
        <w:rPr>
          <w:rtl/>
        </w:rPr>
        <w:t xml:space="preserve"> </w:t>
      </w:r>
      <w:r w:rsidRPr="00BC50C9">
        <w:rPr>
          <w:rFonts w:hint="cs"/>
          <w:rtl/>
        </w:rPr>
        <w:t>تكون</w:t>
      </w:r>
      <w:r w:rsidRPr="00BC50C9">
        <w:rPr>
          <w:rtl/>
        </w:rPr>
        <w:t xml:space="preserve"> </w:t>
      </w:r>
      <w:r w:rsidRPr="00BC50C9">
        <w:rPr>
          <w:rFonts w:hint="cs"/>
          <w:rtl/>
        </w:rPr>
        <w:t>أسئلة</w:t>
      </w:r>
      <w:r w:rsidRPr="00BC50C9">
        <w:rPr>
          <w:rtl/>
        </w:rPr>
        <w:t xml:space="preserve"> </w:t>
      </w:r>
      <w:r w:rsidRPr="00BC50C9">
        <w:rPr>
          <w:rFonts w:hint="cs"/>
          <w:rtl/>
        </w:rPr>
        <w:t>الدراسة وفرضياتها</w:t>
      </w:r>
      <w:r w:rsidRPr="00BC50C9">
        <w:rPr>
          <w:rtl/>
        </w:rPr>
        <w:t xml:space="preserve"> </w:t>
      </w:r>
      <w:r w:rsidRPr="00BC50C9">
        <w:rPr>
          <w:rFonts w:hint="cs"/>
          <w:rtl/>
        </w:rPr>
        <w:t>واضحة</w:t>
      </w:r>
      <w:r w:rsidRPr="00BC50C9">
        <w:rPr>
          <w:rtl/>
        </w:rPr>
        <w:t xml:space="preserve"> </w:t>
      </w:r>
      <w:r w:rsidRPr="00BC50C9">
        <w:rPr>
          <w:rFonts w:hint="cs"/>
          <w:rtl/>
        </w:rPr>
        <w:t>ومعرفة</w:t>
      </w:r>
      <w:r w:rsidRPr="00BC50C9">
        <w:rPr>
          <w:rtl/>
        </w:rPr>
        <w:t xml:space="preserve"> </w:t>
      </w:r>
      <w:r w:rsidRPr="00BC50C9">
        <w:rPr>
          <w:rFonts w:hint="cs"/>
          <w:rtl/>
        </w:rPr>
        <w:t>كي</w:t>
      </w:r>
      <w:r w:rsidRPr="00BC50C9">
        <w:rPr>
          <w:rtl/>
        </w:rPr>
        <w:t xml:space="preserve"> </w:t>
      </w:r>
      <w:r w:rsidRPr="00BC50C9">
        <w:rPr>
          <w:rFonts w:hint="cs"/>
          <w:rtl/>
        </w:rPr>
        <w:t>يكون</w:t>
      </w:r>
      <w:r w:rsidRPr="00BC50C9">
        <w:rPr>
          <w:rtl/>
        </w:rPr>
        <w:t xml:space="preserve"> </w:t>
      </w:r>
      <w:r w:rsidRPr="00BC50C9">
        <w:rPr>
          <w:rFonts w:hint="cs"/>
          <w:rtl/>
        </w:rPr>
        <w:t>بالإمكان</w:t>
      </w:r>
      <w:r w:rsidRPr="00BC50C9">
        <w:rPr>
          <w:rtl/>
        </w:rPr>
        <w:t xml:space="preserve"> </w:t>
      </w:r>
      <w:r w:rsidRPr="00BC50C9">
        <w:rPr>
          <w:rFonts w:hint="cs"/>
          <w:rtl/>
        </w:rPr>
        <w:t>بناء</w:t>
      </w:r>
      <w:r w:rsidRPr="00BC50C9">
        <w:rPr>
          <w:rtl/>
        </w:rPr>
        <w:t xml:space="preserve"> </w:t>
      </w:r>
      <w:r w:rsidRPr="00BC50C9">
        <w:rPr>
          <w:rFonts w:hint="cs"/>
          <w:rtl/>
        </w:rPr>
        <w:t>الفقرات</w:t>
      </w:r>
      <w:r w:rsidRPr="00BC50C9">
        <w:rPr>
          <w:rtl/>
        </w:rPr>
        <w:t xml:space="preserve"> </w:t>
      </w:r>
      <w:r w:rsidRPr="00BC50C9">
        <w:rPr>
          <w:rFonts w:hint="cs"/>
          <w:rtl/>
        </w:rPr>
        <w:t>بشكل</w:t>
      </w:r>
      <w:r w:rsidRPr="00BC50C9">
        <w:rPr>
          <w:rtl/>
        </w:rPr>
        <w:t xml:space="preserve"> </w:t>
      </w:r>
      <w:r w:rsidRPr="00BC50C9">
        <w:rPr>
          <w:rFonts w:hint="cs"/>
          <w:rtl/>
        </w:rPr>
        <w:t>جيد"،</w:t>
      </w:r>
      <w:r w:rsidRPr="00BC50C9">
        <w:rPr>
          <w:rtl/>
        </w:rPr>
        <w:t xml:space="preserve"> وقد قام الباحث بالاستفادة من الأدب النظري والدراسات السابقة في بناء الاستبانة وصياغة عبارتها حيث تم تحديد المحاور والأبعاد الرئيسية التي شملتها الاستبانة، كما تم تحديد العبارات التي تقع تحت كل بعد من الأبعاد، وجاءت الاستبانة على النحو التالي:</w:t>
      </w:r>
    </w:p>
    <w:p w14:paraId="5382779E" w14:textId="77777777" w:rsidR="001E5759" w:rsidRDefault="001E5759" w:rsidP="001E5759">
      <w:pPr>
        <w:pStyle w:val="00000"/>
        <w:rPr>
          <w:rtl/>
        </w:rPr>
      </w:pPr>
    </w:p>
    <w:p w14:paraId="11DFF69E" w14:textId="77777777" w:rsidR="001E5759" w:rsidRDefault="001E5759" w:rsidP="001E5759">
      <w:pPr>
        <w:pStyle w:val="00000"/>
        <w:rPr>
          <w:rtl/>
        </w:rPr>
      </w:pPr>
    </w:p>
    <w:p w14:paraId="4957C655" w14:textId="77777777" w:rsidR="001E5759" w:rsidRDefault="001E5759" w:rsidP="001E5759">
      <w:pPr>
        <w:pStyle w:val="00000"/>
        <w:rPr>
          <w:rtl/>
        </w:rPr>
      </w:pPr>
    </w:p>
    <w:p w14:paraId="5B468A3B" w14:textId="77777777" w:rsidR="001E5759" w:rsidRDefault="001E5759" w:rsidP="001E5759">
      <w:pPr>
        <w:pStyle w:val="00000"/>
        <w:rPr>
          <w:rtl/>
        </w:rPr>
      </w:pPr>
    </w:p>
    <w:p w14:paraId="6290A76A" w14:textId="77777777" w:rsidR="001E5759" w:rsidRDefault="001E5759" w:rsidP="001E5759">
      <w:pPr>
        <w:pStyle w:val="00000"/>
        <w:rPr>
          <w:rtl/>
        </w:rPr>
      </w:pPr>
    </w:p>
    <w:p w14:paraId="0184252C" w14:textId="77777777" w:rsidR="001E5759" w:rsidRPr="00BC50C9" w:rsidRDefault="001E5759" w:rsidP="001E5759">
      <w:pPr>
        <w:pStyle w:val="00000"/>
      </w:pPr>
    </w:p>
    <w:p w14:paraId="43AC5ACA" w14:textId="77777777" w:rsidR="000B3939" w:rsidRPr="00BC50C9" w:rsidRDefault="000B3939" w:rsidP="00BC50C9">
      <w:pPr>
        <w:bidi/>
        <w:spacing w:before="120" w:after="120" w:line="240" w:lineRule="auto"/>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b/>
          <w:bCs/>
          <w:sz w:val="24"/>
          <w:szCs w:val="28"/>
          <w:rtl/>
          <w:lang w:bidi="ar-EG"/>
        </w:rPr>
        <w:lastRenderedPageBreak/>
        <w:t>وصف أد</w:t>
      </w:r>
      <w:r w:rsidRPr="00BC50C9">
        <w:rPr>
          <w:rFonts w:ascii="Times New Roman" w:eastAsia="Calibri" w:hAnsi="Times New Roman" w:cs="Simplified Arabic" w:hint="eastAsia"/>
          <w:b/>
          <w:bCs/>
          <w:sz w:val="24"/>
          <w:szCs w:val="28"/>
          <w:rtl/>
          <w:lang w:bidi="ar-EG"/>
        </w:rPr>
        <w:t>اة</w:t>
      </w:r>
      <w:r w:rsidRPr="00BC50C9">
        <w:rPr>
          <w:rFonts w:ascii="Times New Roman" w:eastAsia="Calibri" w:hAnsi="Times New Roman" w:cs="Simplified Arabic"/>
          <w:b/>
          <w:bCs/>
          <w:sz w:val="24"/>
          <w:szCs w:val="28"/>
          <w:rtl/>
          <w:lang w:bidi="ar-EG"/>
        </w:rPr>
        <w:t xml:space="preserve"> الدراسة (</w:t>
      </w:r>
      <w:r w:rsidRPr="00BC50C9">
        <w:rPr>
          <w:rFonts w:ascii="Times New Roman" w:eastAsia="Calibri" w:hAnsi="Times New Roman" w:cs="Simplified Arabic" w:hint="eastAsia"/>
          <w:b/>
          <w:bCs/>
          <w:sz w:val="24"/>
          <w:szCs w:val="28"/>
          <w:rtl/>
        </w:rPr>
        <w:t>الاستبانة</w:t>
      </w:r>
      <w:r w:rsidRPr="00BC50C9">
        <w:rPr>
          <w:rFonts w:ascii="Times New Roman" w:eastAsia="Calibri" w:hAnsi="Times New Roman" w:cs="Simplified Arabic"/>
          <w:b/>
          <w:bCs/>
          <w:sz w:val="24"/>
          <w:szCs w:val="28"/>
          <w:rtl/>
          <w:lang w:bidi="ar-EG"/>
        </w:rPr>
        <w:t>):</w:t>
      </w:r>
    </w:p>
    <w:p w14:paraId="4623E1DB" w14:textId="77777777" w:rsidR="000B3939" w:rsidRPr="00BC50C9" w:rsidRDefault="000B3939" w:rsidP="00BC50C9">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لقد احتوت الاستبانة في صورتها النهائية على جزأين رئيسيين هما:</w:t>
      </w:r>
    </w:p>
    <w:p w14:paraId="699C6CAB" w14:textId="77777777" w:rsidR="000B3939" w:rsidRPr="00BC50C9" w:rsidRDefault="000B3939">
      <w:pPr>
        <w:numPr>
          <w:ilvl w:val="0"/>
          <w:numId w:val="35"/>
        </w:numPr>
        <w:bidi/>
        <w:spacing w:before="120" w:after="120" w:line="240" w:lineRule="auto"/>
        <w:ind w:left="708" w:hanging="348"/>
        <w:contextualSpacing/>
        <w:jc w:val="both"/>
        <w:rPr>
          <w:rFonts w:ascii="Times New Roman" w:eastAsia="Times New Roman" w:hAnsi="Times New Roman" w:cs="Simplified Arabic"/>
          <w:b/>
          <w:bCs/>
          <w:sz w:val="24"/>
          <w:szCs w:val="28"/>
          <w:lang w:bidi="ar-EG"/>
        </w:rPr>
      </w:pPr>
      <w:r w:rsidRPr="00BC50C9">
        <w:rPr>
          <w:rFonts w:ascii="Times New Roman" w:eastAsia="Times New Roman" w:hAnsi="Times New Roman" w:cs="Simplified Arabic"/>
          <w:b/>
          <w:bCs/>
          <w:sz w:val="24"/>
          <w:szCs w:val="28"/>
          <w:rtl/>
          <w:lang w:bidi="ar-EG"/>
        </w:rPr>
        <w:t>الجزء الأول: عبارة عن بيانات أولية عن عينة الدراسة تتمثل في المعلومات الديموغرافية</w:t>
      </w:r>
      <w:r w:rsidRPr="00BC50C9">
        <w:rPr>
          <w:rFonts w:ascii="Times New Roman" w:eastAsia="Times New Roman" w:hAnsi="Times New Roman" w:cs="Simplified Arabic" w:hint="eastAsia"/>
          <w:b/>
          <w:bCs/>
          <w:sz w:val="24"/>
          <w:szCs w:val="28"/>
          <w:rtl/>
          <w:lang w:bidi="ar-EG"/>
        </w:rPr>
        <w:t>،</w:t>
      </w:r>
      <w:r w:rsidRPr="00BC50C9">
        <w:rPr>
          <w:rFonts w:ascii="Times New Roman" w:eastAsia="Times New Roman" w:hAnsi="Times New Roman" w:cs="Simplified Arabic"/>
          <w:b/>
          <w:bCs/>
          <w:sz w:val="24"/>
          <w:szCs w:val="28"/>
          <w:rtl/>
          <w:lang w:bidi="ar-EG"/>
        </w:rPr>
        <w:t xml:space="preserve"> </w:t>
      </w:r>
      <w:r w:rsidRPr="00BC50C9">
        <w:rPr>
          <w:rFonts w:ascii="Times New Roman" w:eastAsia="Times New Roman" w:hAnsi="Times New Roman" w:cs="Simplified Arabic" w:hint="eastAsia"/>
          <w:b/>
          <w:bCs/>
          <w:sz w:val="24"/>
          <w:szCs w:val="28"/>
          <w:rtl/>
          <w:lang w:bidi="ar-EG"/>
        </w:rPr>
        <w:t>والتي</w:t>
      </w:r>
      <w:r w:rsidRPr="00BC50C9">
        <w:rPr>
          <w:rFonts w:ascii="Times New Roman" w:eastAsia="Times New Roman" w:hAnsi="Times New Roman" w:cs="Simplified Arabic"/>
          <w:b/>
          <w:bCs/>
          <w:sz w:val="24"/>
          <w:szCs w:val="28"/>
          <w:rtl/>
          <w:lang w:bidi="ar-EG"/>
        </w:rPr>
        <w:t xml:space="preserve"> </w:t>
      </w:r>
      <w:r w:rsidRPr="00BC50C9">
        <w:rPr>
          <w:rFonts w:ascii="Times New Roman" w:eastAsia="Times New Roman" w:hAnsi="Times New Roman" w:cs="Simplified Arabic" w:hint="eastAsia"/>
          <w:b/>
          <w:bCs/>
          <w:sz w:val="24"/>
          <w:szCs w:val="28"/>
          <w:rtl/>
          <w:lang w:bidi="ar-EG"/>
        </w:rPr>
        <w:t>تتضمن</w:t>
      </w:r>
      <w:r w:rsidRPr="00BC50C9">
        <w:rPr>
          <w:rFonts w:ascii="Times New Roman" w:eastAsia="Times New Roman" w:hAnsi="Times New Roman" w:cs="Simplified Arabic"/>
          <w:b/>
          <w:bCs/>
          <w:sz w:val="24"/>
          <w:szCs w:val="28"/>
          <w:rtl/>
          <w:lang w:bidi="ar-EG"/>
        </w:rPr>
        <w:t xml:space="preserve"> </w:t>
      </w:r>
      <w:r w:rsidRPr="00BC50C9">
        <w:rPr>
          <w:rFonts w:ascii="Times New Roman" w:eastAsia="Times New Roman" w:hAnsi="Times New Roman" w:cs="Simplified Arabic" w:hint="eastAsia"/>
          <w:b/>
          <w:bCs/>
          <w:sz w:val="24"/>
          <w:szCs w:val="28"/>
          <w:rtl/>
          <w:lang w:bidi="ar-EG"/>
        </w:rPr>
        <w:t>الآتي</w:t>
      </w:r>
      <w:r w:rsidRPr="00BC50C9">
        <w:rPr>
          <w:rFonts w:ascii="Times New Roman" w:eastAsia="Times New Roman" w:hAnsi="Times New Roman" w:cs="Simplified Arabic"/>
          <w:b/>
          <w:bCs/>
          <w:sz w:val="24"/>
          <w:szCs w:val="28"/>
          <w:rtl/>
          <w:lang w:bidi="ar-EG"/>
        </w:rPr>
        <w:t xml:space="preserve">: </w:t>
      </w:r>
    </w:p>
    <w:p w14:paraId="3101BB5B" w14:textId="77777777" w:rsidR="000B3939" w:rsidRPr="00BC50C9" w:rsidRDefault="000B3939" w:rsidP="001E5759">
      <w:pPr>
        <w:pStyle w:val="33333"/>
        <w:rPr>
          <w:lang w:bidi="ar-EG"/>
        </w:rPr>
      </w:pPr>
      <w:bookmarkStart w:id="78" w:name="_Toc170412844"/>
      <w:bookmarkStart w:id="79" w:name="_Toc195456538"/>
      <w:r w:rsidRPr="00BC50C9">
        <w:rPr>
          <w:rFonts w:hint="eastAsia"/>
          <w:rtl/>
          <w:lang w:bidi="ar-EG"/>
        </w:rPr>
        <w:t>الجدول</w:t>
      </w:r>
      <w:r w:rsidRPr="00BC50C9">
        <w:rPr>
          <w:rtl/>
          <w:lang w:bidi="ar-EG"/>
        </w:rPr>
        <w:t xml:space="preserve"> </w:t>
      </w:r>
      <w:r w:rsidRPr="00BC50C9">
        <w:rPr>
          <w:rFonts w:hint="eastAsia"/>
          <w:rtl/>
          <w:lang w:bidi="ar-EG"/>
        </w:rPr>
        <w:t>رقم</w:t>
      </w:r>
      <w:r w:rsidRPr="00BC50C9">
        <w:rPr>
          <w:rtl/>
          <w:lang w:bidi="ar-EG"/>
        </w:rPr>
        <w:t xml:space="preserve"> (</w:t>
      </w:r>
      <w:r w:rsidRPr="00BC50C9">
        <w:rPr>
          <w:rFonts w:hint="cs"/>
          <w:rtl/>
          <w:lang w:bidi="ar-EG"/>
        </w:rPr>
        <w:t>3-1</w:t>
      </w:r>
      <w:r w:rsidRPr="00BC50C9">
        <w:rPr>
          <w:rtl/>
          <w:lang w:bidi="ar-EG"/>
        </w:rPr>
        <w:t xml:space="preserve">) </w:t>
      </w:r>
      <w:r w:rsidRPr="00BC50C9">
        <w:rPr>
          <w:rFonts w:hint="eastAsia"/>
          <w:rtl/>
          <w:lang w:bidi="ar-EG"/>
        </w:rPr>
        <w:t>يوضح</w:t>
      </w:r>
      <w:r w:rsidRPr="00BC50C9">
        <w:rPr>
          <w:rtl/>
          <w:lang w:bidi="ar-EG"/>
        </w:rPr>
        <w:t xml:space="preserve"> </w:t>
      </w:r>
      <w:r w:rsidRPr="00BC50C9">
        <w:rPr>
          <w:rFonts w:hint="eastAsia"/>
          <w:rtl/>
          <w:lang w:bidi="ar-EG"/>
        </w:rPr>
        <w:t>المعلومات</w:t>
      </w:r>
      <w:r w:rsidRPr="00BC50C9">
        <w:rPr>
          <w:rtl/>
          <w:lang w:bidi="ar-EG"/>
        </w:rPr>
        <w:t xml:space="preserve"> </w:t>
      </w:r>
      <w:r w:rsidRPr="00BC50C9">
        <w:rPr>
          <w:rFonts w:hint="eastAsia"/>
          <w:rtl/>
          <w:lang w:bidi="ar-EG"/>
        </w:rPr>
        <w:t>الديموغرافية</w:t>
      </w:r>
      <w:r w:rsidRPr="00BC50C9">
        <w:rPr>
          <w:rtl/>
          <w:lang w:bidi="ar-EG"/>
        </w:rPr>
        <w:t xml:space="preserve"> </w:t>
      </w:r>
      <w:r w:rsidRPr="00BC50C9">
        <w:rPr>
          <w:rFonts w:hint="eastAsia"/>
          <w:rtl/>
          <w:lang w:bidi="ar-EG"/>
        </w:rPr>
        <w:t>للاستبانة</w:t>
      </w:r>
      <w:bookmarkEnd w:id="78"/>
      <w:bookmarkEnd w:id="79"/>
    </w:p>
    <w:tbl>
      <w:tblPr>
        <w:tblStyle w:val="af6"/>
        <w:bidiVisual/>
        <w:tblW w:w="5000" w:type="pct"/>
        <w:jc w:val="center"/>
        <w:tblLook w:val="04A0" w:firstRow="1" w:lastRow="0" w:firstColumn="1" w:lastColumn="0" w:noHBand="0" w:noVBand="1"/>
      </w:tblPr>
      <w:tblGrid>
        <w:gridCol w:w="720"/>
        <w:gridCol w:w="3398"/>
        <w:gridCol w:w="4944"/>
      </w:tblGrid>
      <w:tr w:rsidR="000B3939" w:rsidRPr="001E5759" w14:paraId="79EC6919" w14:textId="77777777" w:rsidTr="001E5759">
        <w:trPr>
          <w:jc w:val="center"/>
        </w:trPr>
        <w:tc>
          <w:tcPr>
            <w:tcW w:w="397" w:type="pct"/>
            <w:shd w:val="clear" w:color="auto" w:fill="BFBFBF"/>
            <w:vAlign w:val="center"/>
          </w:tcPr>
          <w:p w14:paraId="2A7D66BB"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eastAsia"/>
                <w:b/>
                <w:bCs/>
                <w:szCs w:val="24"/>
                <w:rtl/>
                <w:lang w:bidi="ar-EG"/>
              </w:rPr>
              <w:t>الرقم</w:t>
            </w:r>
          </w:p>
        </w:tc>
        <w:tc>
          <w:tcPr>
            <w:tcW w:w="1875" w:type="pct"/>
            <w:shd w:val="clear" w:color="auto" w:fill="BFBFBF"/>
            <w:vAlign w:val="center"/>
          </w:tcPr>
          <w:p w14:paraId="27DAD127"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eastAsia"/>
                <w:b/>
                <w:bCs/>
                <w:szCs w:val="24"/>
                <w:rtl/>
                <w:lang w:bidi="ar-EG"/>
              </w:rPr>
              <w:t>المعلومات</w:t>
            </w:r>
            <w:r w:rsidRPr="001E5759">
              <w:rPr>
                <w:rFonts w:ascii="Times New Roman" w:eastAsia="Calibri" w:hAnsi="Times New Roman" w:cs="Simplified Arabic"/>
                <w:b/>
                <w:bCs/>
                <w:szCs w:val="24"/>
                <w:rtl/>
                <w:lang w:bidi="ar-EG"/>
              </w:rPr>
              <w:t xml:space="preserve"> الديموغرافية</w:t>
            </w:r>
          </w:p>
        </w:tc>
        <w:tc>
          <w:tcPr>
            <w:tcW w:w="2728" w:type="pct"/>
            <w:shd w:val="clear" w:color="auto" w:fill="BFBFBF"/>
            <w:vAlign w:val="center"/>
          </w:tcPr>
          <w:p w14:paraId="10968802"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eastAsia"/>
                <w:b/>
                <w:bCs/>
                <w:szCs w:val="24"/>
                <w:rtl/>
                <w:lang w:bidi="ar-EG"/>
              </w:rPr>
              <w:t>الفئات</w:t>
            </w:r>
          </w:p>
        </w:tc>
      </w:tr>
      <w:tr w:rsidR="000B3939" w:rsidRPr="001E5759" w14:paraId="3AC0CA52" w14:textId="77777777" w:rsidTr="001E5759">
        <w:trPr>
          <w:jc w:val="center"/>
        </w:trPr>
        <w:tc>
          <w:tcPr>
            <w:tcW w:w="397" w:type="pct"/>
            <w:vAlign w:val="center"/>
          </w:tcPr>
          <w:p w14:paraId="7D88E302" w14:textId="77777777" w:rsidR="000B3939" w:rsidRPr="001E5759" w:rsidRDefault="000B3939" w:rsidP="001E5759">
            <w:pPr>
              <w:bidi/>
              <w:jc w:val="center"/>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1</w:t>
            </w:r>
          </w:p>
        </w:tc>
        <w:tc>
          <w:tcPr>
            <w:tcW w:w="1875" w:type="pct"/>
            <w:vAlign w:val="center"/>
          </w:tcPr>
          <w:p w14:paraId="0779B88B"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cs"/>
                <w:b/>
                <w:bCs/>
                <w:szCs w:val="24"/>
                <w:rtl/>
                <w:lang w:bidi="ar-EG"/>
              </w:rPr>
              <w:t>الجنس</w:t>
            </w:r>
          </w:p>
        </w:tc>
        <w:tc>
          <w:tcPr>
            <w:tcW w:w="2728" w:type="pct"/>
            <w:vAlign w:val="center"/>
          </w:tcPr>
          <w:p w14:paraId="63A966DD"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hint="eastAsia"/>
                <w:szCs w:val="24"/>
                <w:rtl/>
                <w:lang w:bidi="ar-EG"/>
              </w:rPr>
              <w:t>ذكر</w:t>
            </w:r>
          </w:p>
          <w:p w14:paraId="74DC193A"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hint="eastAsia"/>
                <w:szCs w:val="24"/>
                <w:rtl/>
                <w:lang w:bidi="ar-EG"/>
              </w:rPr>
              <w:t>أنثى</w:t>
            </w:r>
          </w:p>
        </w:tc>
      </w:tr>
      <w:tr w:rsidR="000B3939" w:rsidRPr="001E5759" w14:paraId="66294CDB" w14:textId="77777777" w:rsidTr="001E5759">
        <w:trPr>
          <w:jc w:val="center"/>
        </w:trPr>
        <w:tc>
          <w:tcPr>
            <w:tcW w:w="397" w:type="pct"/>
            <w:vAlign w:val="center"/>
          </w:tcPr>
          <w:p w14:paraId="111E7632" w14:textId="77777777" w:rsidR="000B3939" w:rsidRPr="001E5759" w:rsidRDefault="000B3939" w:rsidP="001E5759">
            <w:pPr>
              <w:bidi/>
              <w:jc w:val="center"/>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2</w:t>
            </w:r>
          </w:p>
        </w:tc>
        <w:tc>
          <w:tcPr>
            <w:tcW w:w="1875" w:type="pct"/>
            <w:vAlign w:val="center"/>
          </w:tcPr>
          <w:p w14:paraId="58A91DCD"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Times New Roman" w:hAnsi="Times New Roman" w:cs="Simplified Arabic"/>
                <w:b/>
                <w:bCs/>
                <w:szCs w:val="24"/>
                <w:rtl/>
              </w:rPr>
              <w:t>العمر</w:t>
            </w:r>
          </w:p>
        </w:tc>
        <w:tc>
          <w:tcPr>
            <w:tcW w:w="2728" w:type="pct"/>
            <w:vAlign w:val="center"/>
          </w:tcPr>
          <w:p w14:paraId="6AE91FCE"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hint="cs"/>
                <w:szCs w:val="24"/>
                <w:rtl/>
                <w:lang w:bidi="ar-EG"/>
              </w:rPr>
              <w:t>أقل</w:t>
            </w:r>
            <w:r w:rsidRPr="001E5759">
              <w:rPr>
                <w:rFonts w:ascii="Times New Roman" w:eastAsia="Calibri" w:hAnsi="Times New Roman" w:cs="Simplified Arabic"/>
                <w:szCs w:val="24"/>
                <w:rtl/>
                <w:lang w:bidi="ar-EG"/>
              </w:rPr>
              <w:t xml:space="preserve"> </w:t>
            </w:r>
            <w:r w:rsidRPr="001E5759">
              <w:rPr>
                <w:rFonts w:ascii="Times New Roman" w:eastAsia="Calibri" w:hAnsi="Times New Roman" w:cs="Simplified Arabic" w:hint="cs"/>
                <w:szCs w:val="24"/>
                <w:rtl/>
                <w:lang w:bidi="ar-EG"/>
              </w:rPr>
              <w:t>من</w:t>
            </w:r>
            <w:r w:rsidRPr="001E5759">
              <w:rPr>
                <w:rFonts w:ascii="Times New Roman" w:eastAsia="Calibri" w:hAnsi="Times New Roman" w:cs="Simplified Arabic"/>
                <w:szCs w:val="24"/>
                <w:rtl/>
                <w:lang w:bidi="ar-EG"/>
              </w:rPr>
              <w:t xml:space="preserve"> 25 </w:t>
            </w:r>
            <w:r w:rsidRPr="001E5759">
              <w:rPr>
                <w:rFonts w:ascii="Times New Roman" w:eastAsia="Calibri" w:hAnsi="Times New Roman" w:cs="Simplified Arabic" w:hint="cs"/>
                <w:szCs w:val="24"/>
                <w:rtl/>
                <w:lang w:bidi="ar-EG"/>
              </w:rPr>
              <w:t>سنة</w:t>
            </w:r>
          </w:p>
          <w:p w14:paraId="0C7615FA"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25-34</w:t>
            </w:r>
            <w:r w:rsidRPr="001E5759">
              <w:rPr>
                <w:rFonts w:ascii="Times New Roman" w:eastAsia="Calibri" w:hAnsi="Times New Roman" w:cs="Simplified Arabic"/>
                <w:szCs w:val="24"/>
                <w:lang w:bidi="ar-EG"/>
              </w:rPr>
              <w:t xml:space="preserve"> </w:t>
            </w:r>
            <w:r w:rsidRPr="001E5759">
              <w:rPr>
                <w:rFonts w:ascii="Times New Roman" w:eastAsia="Calibri" w:hAnsi="Times New Roman" w:cs="Simplified Arabic" w:hint="cs"/>
                <w:szCs w:val="24"/>
                <w:rtl/>
                <w:lang w:bidi="ar-EG"/>
              </w:rPr>
              <w:t>سنة</w:t>
            </w:r>
          </w:p>
          <w:p w14:paraId="2935E047"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35-44</w:t>
            </w:r>
            <w:r w:rsidRPr="001E5759">
              <w:rPr>
                <w:rFonts w:ascii="Times New Roman" w:eastAsia="Calibri" w:hAnsi="Times New Roman" w:cs="Simplified Arabic"/>
                <w:szCs w:val="24"/>
                <w:lang w:bidi="ar-EG"/>
              </w:rPr>
              <w:t xml:space="preserve"> </w:t>
            </w:r>
            <w:r w:rsidRPr="001E5759">
              <w:rPr>
                <w:rFonts w:ascii="Times New Roman" w:eastAsia="Calibri" w:hAnsi="Times New Roman" w:cs="Simplified Arabic" w:hint="cs"/>
                <w:szCs w:val="24"/>
                <w:rtl/>
                <w:lang w:bidi="ar-EG"/>
              </w:rPr>
              <w:t>سنة</w:t>
            </w:r>
          </w:p>
          <w:p w14:paraId="12E9D013"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45-54</w:t>
            </w:r>
            <w:r w:rsidRPr="001E5759">
              <w:rPr>
                <w:rFonts w:ascii="Times New Roman" w:eastAsia="Calibri" w:hAnsi="Times New Roman" w:cs="Simplified Arabic"/>
                <w:szCs w:val="24"/>
                <w:lang w:bidi="ar-EG"/>
              </w:rPr>
              <w:t xml:space="preserve"> </w:t>
            </w:r>
            <w:r w:rsidRPr="001E5759">
              <w:rPr>
                <w:rFonts w:ascii="Times New Roman" w:eastAsia="Calibri" w:hAnsi="Times New Roman" w:cs="Simplified Arabic" w:hint="cs"/>
                <w:szCs w:val="24"/>
                <w:rtl/>
                <w:lang w:bidi="ar-EG"/>
              </w:rPr>
              <w:t>سنة</w:t>
            </w:r>
          </w:p>
          <w:p w14:paraId="2EE018EF"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55</w:t>
            </w:r>
            <w:r w:rsidRPr="001E5759">
              <w:rPr>
                <w:rFonts w:ascii="Times New Roman" w:eastAsia="Calibri" w:hAnsi="Times New Roman" w:cs="Simplified Arabic"/>
                <w:szCs w:val="24"/>
                <w:lang w:bidi="ar-EG"/>
              </w:rPr>
              <w:t xml:space="preserve"> </w:t>
            </w:r>
            <w:r w:rsidRPr="001E5759">
              <w:rPr>
                <w:rFonts w:ascii="Times New Roman" w:eastAsia="Calibri" w:hAnsi="Times New Roman" w:cs="Simplified Arabic" w:hint="cs"/>
                <w:szCs w:val="24"/>
                <w:rtl/>
                <w:lang w:bidi="ar-EG"/>
              </w:rPr>
              <w:t>سنة</w:t>
            </w:r>
            <w:r w:rsidRPr="001E5759">
              <w:rPr>
                <w:rFonts w:ascii="Times New Roman" w:eastAsia="Calibri" w:hAnsi="Times New Roman" w:cs="Simplified Arabic"/>
                <w:szCs w:val="24"/>
                <w:rtl/>
                <w:lang w:bidi="ar-EG"/>
              </w:rPr>
              <w:t xml:space="preserve"> </w:t>
            </w:r>
            <w:r w:rsidRPr="001E5759">
              <w:rPr>
                <w:rFonts w:ascii="Times New Roman" w:eastAsia="Calibri" w:hAnsi="Times New Roman" w:cs="Simplified Arabic" w:hint="cs"/>
                <w:szCs w:val="24"/>
                <w:rtl/>
                <w:lang w:bidi="ar-EG"/>
              </w:rPr>
              <w:t>فأكثر</w:t>
            </w:r>
          </w:p>
        </w:tc>
      </w:tr>
      <w:tr w:rsidR="000B3939" w:rsidRPr="001E5759" w14:paraId="4AD20A2B" w14:textId="77777777" w:rsidTr="001E5759">
        <w:trPr>
          <w:jc w:val="center"/>
        </w:trPr>
        <w:tc>
          <w:tcPr>
            <w:tcW w:w="397" w:type="pct"/>
            <w:vAlign w:val="center"/>
          </w:tcPr>
          <w:p w14:paraId="59766B10" w14:textId="77777777" w:rsidR="000B3939" w:rsidRPr="001E5759" w:rsidRDefault="000B3939" w:rsidP="001E5759">
            <w:pPr>
              <w:bidi/>
              <w:jc w:val="center"/>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3</w:t>
            </w:r>
          </w:p>
        </w:tc>
        <w:tc>
          <w:tcPr>
            <w:tcW w:w="1875" w:type="pct"/>
            <w:vAlign w:val="center"/>
          </w:tcPr>
          <w:p w14:paraId="2EF6282B"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cs"/>
                <w:b/>
                <w:bCs/>
                <w:szCs w:val="24"/>
                <w:rtl/>
                <w:lang w:bidi="ar-EG"/>
              </w:rPr>
              <w:t>المستوى</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التعليمي</w:t>
            </w:r>
          </w:p>
        </w:tc>
        <w:tc>
          <w:tcPr>
            <w:tcW w:w="2728" w:type="pct"/>
            <w:vAlign w:val="center"/>
          </w:tcPr>
          <w:p w14:paraId="346FCDEB"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أقل من الثانوية العامة</w:t>
            </w:r>
          </w:p>
          <w:p w14:paraId="403B711C"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ثانوية عامة أو ما يعادلها</w:t>
            </w:r>
          </w:p>
          <w:p w14:paraId="436F169D"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دبلوم</w:t>
            </w:r>
          </w:p>
          <w:p w14:paraId="17C35DE7"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بكالوريوس</w:t>
            </w:r>
          </w:p>
          <w:p w14:paraId="3CF62ABB"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دراسات عليا (ماجستير/دكتوراه)</w:t>
            </w:r>
          </w:p>
        </w:tc>
      </w:tr>
      <w:tr w:rsidR="000B3939" w:rsidRPr="001E5759" w14:paraId="1704D573" w14:textId="77777777" w:rsidTr="001E5759">
        <w:trPr>
          <w:jc w:val="center"/>
        </w:trPr>
        <w:tc>
          <w:tcPr>
            <w:tcW w:w="397" w:type="pct"/>
            <w:vAlign w:val="center"/>
          </w:tcPr>
          <w:p w14:paraId="76DD0356" w14:textId="77777777" w:rsidR="000B3939" w:rsidRPr="001E5759" w:rsidRDefault="000B3939" w:rsidP="001E5759">
            <w:pPr>
              <w:bidi/>
              <w:jc w:val="center"/>
              <w:rPr>
                <w:rFonts w:ascii="Times New Roman" w:eastAsia="Calibri" w:hAnsi="Times New Roman" w:cs="Simplified Arabic"/>
                <w:szCs w:val="24"/>
                <w:rtl/>
                <w:lang w:bidi="ar-EG"/>
              </w:rPr>
            </w:pPr>
            <w:r w:rsidRPr="001E5759">
              <w:rPr>
                <w:rFonts w:ascii="Times New Roman" w:eastAsia="Calibri" w:hAnsi="Times New Roman" w:cs="Simplified Arabic" w:hint="cs"/>
                <w:szCs w:val="24"/>
                <w:rtl/>
                <w:lang w:bidi="ar-EG"/>
              </w:rPr>
              <w:t>4</w:t>
            </w:r>
          </w:p>
        </w:tc>
        <w:tc>
          <w:tcPr>
            <w:tcW w:w="1875" w:type="pct"/>
            <w:vAlign w:val="center"/>
          </w:tcPr>
          <w:p w14:paraId="17D5F3C7"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cs"/>
                <w:b/>
                <w:bCs/>
                <w:szCs w:val="24"/>
                <w:rtl/>
                <w:lang w:bidi="ar-EG"/>
              </w:rPr>
              <w:t>الفئة</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التي</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تنتمي</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إليها</w:t>
            </w:r>
          </w:p>
        </w:tc>
        <w:tc>
          <w:tcPr>
            <w:tcW w:w="2728" w:type="pct"/>
            <w:vAlign w:val="center"/>
          </w:tcPr>
          <w:p w14:paraId="05F5E4C0"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مستثمر في المشاريع الريادية</w:t>
            </w:r>
          </w:p>
          <w:p w14:paraId="455549DB"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رائد أعمال/صاحب مشروع ريادي</w:t>
            </w:r>
          </w:p>
          <w:p w14:paraId="73FF218F"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خبير أو مستشار في ريادة الأعمال</w:t>
            </w:r>
          </w:p>
          <w:p w14:paraId="1DB76456"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ممثل لمؤسسة داعمة (حكومية/خاصة/غير ربحية)</w:t>
            </w:r>
          </w:p>
          <w:p w14:paraId="1F90F49C"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أخرى (يرجى التحديد)</w:t>
            </w:r>
          </w:p>
        </w:tc>
      </w:tr>
      <w:tr w:rsidR="000B3939" w:rsidRPr="001E5759" w14:paraId="3F1C76A5" w14:textId="77777777" w:rsidTr="001E5759">
        <w:trPr>
          <w:jc w:val="center"/>
        </w:trPr>
        <w:tc>
          <w:tcPr>
            <w:tcW w:w="397" w:type="pct"/>
            <w:vAlign w:val="center"/>
          </w:tcPr>
          <w:p w14:paraId="2F7D48E9" w14:textId="77777777" w:rsidR="000B3939" w:rsidRPr="001E5759" w:rsidRDefault="000B3939" w:rsidP="001E5759">
            <w:pPr>
              <w:bidi/>
              <w:jc w:val="center"/>
              <w:rPr>
                <w:rFonts w:ascii="Times New Roman" w:eastAsia="Calibri" w:hAnsi="Times New Roman" w:cs="Simplified Arabic"/>
                <w:szCs w:val="24"/>
                <w:rtl/>
                <w:lang w:bidi="ar-EG"/>
              </w:rPr>
            </w:pPr>
            <w:r w:rsidRPr="001E5759">
              <w:rPr>
                <w:rFonts w:ascii="Times New Roman" w:eastAsia="Calibri" w:hAnsi="Times New Roman" w:cs="Simplified Arabic" w:hint="cs"/>
                <w:szCs w:val="24"/>
                <w:rtl/>
                <w:lang w:bidi="ar-EG"/>
              </w:rPr>
              <w:t>5</w:t>
            </w:r>
          </w:p>
        </w:tc>
        <w:tc>
          <w:tcPr>
            <w:tcW w:w="1875" w:type="pct"/>
            <w:vAlign w:val="center"/>
          </w:tcPr>
          <w:p w14:paraId="7462EBF5" w14:textId="77777777" w:rsidR="000B3939" w:rsidRPr="001E5759" w:rsidRDefault="000B3939" w:rsidP="001E5759">
            <w:pPr>
              <w:bidi/>
              <w:jc w:val="center"/>
              <w:rPr>
                <w:rFonts w:ascii="Times New Roman" w:eastAsia="Calibri" w:hAnsi="Times New Roman" w:cs="Simplified Arabic"/>
                <w:b/>
                <w:bCs/>
                <w:szCs w:val="24"/>
                <w:rtl/>
                <w:lang w:bidi="ar-EG"/>
              </w:rPr>
            </w:pPr>
            <w:r w:rsidRPr="001E5759">
              <w:rPr>
                <w:rFonts w:ascii="Times New Roman" w:eastAsia="Calibri" w:hAnsi="Times New Roman" w:cs="Simplified Arabic" w:hint="cs"/>
                <w:b/>
                <w:bCs/>
                <w:szCs w:val="24"/>
                <w:rtl/>
                <w:lang w:bidi="ar-EG"/>
              </w:rPr>
              <w:t>سنوات</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الخبرة</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في</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مجال</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ريادة</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الأعمال</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أو</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التمويل</w:t>
            </w:r>
            <w:r w:rsidRPr="001E5759">
              <w:rPr>
                <w:rFonts w:ascii="Times New Roman" w:eastAsia="Calibri" w:hAnsi="Times New Roman" w:cs="Simplified Arabic"/>
                <w:b/>
                <w:bCs/>
                <w:szCs w:val="24"/>
                <w:rtl/>
                <w:lang w:bidi="ar-EG"/>
              </w:rPr>
              <w:t xml:space="preserve"> </w:t>
            </w:r>
            <w:r w:rsidRPr="001E5759">
              <w:rPr>
                <w:rFonts w:ascii="Times New Roman" w:eastAsia="Calibri" w:hAnsi="Times New Roman" w:cs="Simplified Arabic" w:hint="cs"/>
                <w:b/>
                <w:bCs/>
                <w:szCs w:val="24"/>
                <w:rtl/>
                <w:lang w:bidi="ar-EG"/>
              </w:rPr>
              <w:t>التشاركي</w:t>
            </w:r>
          </w:p>
        </w:tc>
        <w:tc>
          <w:tcPr>
            <w:tcW w:w="2728" w:type="pct"/>
            <w:vAlign w:val="center"/>
          </w:tcPr>
          <w:p w14:paraId="120303A1"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szCs w:val="24"/>
                <w:rtl/>
                <w:lang w:bidi="ar-EG"/>
              </w:rPr>
              <w:t>أقل من سنة</w:t>
            </w:r>
          </w:p>
          <w:p w14:paraId="18AEE114"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hint="cs"/>
                <w:szCs w:val="24"/>
                <w:rtl/>
                <w:lang w:bidi="ar-EG"/>
              </w:rPr>
              <w:t>1-3 سنوات</w:t>
            </w:r>
          </w:p>
          <w:p w14:paraId="07FD687A"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hint="cs"/>
                <w:szCs w:val="24"/>
                <w:rtl/>
                <w:lang w:bidi="ar-EG"/>
              </w:rPr>
              <w:t>4-6 سنوات</w:t>
            </w:r>
          </w:p>
          <w:p w14:paraId="1F9DCA3E" w14:textId="77777777" w:rsidR="000B3939" w:rsidRPr="001E5759" w:rsidRDefault="000B3939">
            <w:pPr>
              <w:numPr>
                <w:ilvl w:val="0"/>
                <w:numId w:val="33"/>
              </w:numPr>
              <w:bidi/>
              <w:contextualSpacing/>
              <w:rPr>
                <w:rFonts w:ascii="Times New Roman" w:eastAsia="Calibri" w:hAnsi="Times New Roman" w:cs="Simplified Arabic"/>
                <w:szCs w:val="24"/>
                <w:lang w:bidi="ar-EG"/>
              </w:rPr>
            </w:pPr>
            <w:r w:rsidRPr="001E5759">
              <w:rPr>
                <w:rFonts w:ascii="Times New Roman" w:eastAsia="Calibri" w:hAnsi="Times New Roman" w:cs="Simplified Arabic" w:hint="cs"/>
                <w:szCs w:val="24"/>
                <w:rtl/>
                <w:lang w:bidi="ar-EG"/>
              </w:rPr>
              <w:t>7-10 سنوات</w:t>
            </w:r>
          </w:p>
          <w:p w14:paraId="03646FAA" w14:textId="77777777" w:rsidR="000B3939" w:rsidRPr="001E5759" w:rsidRDefault="000B3939">
            <w:pPr>
              <w:numPr>
                <w:ilvl w:val="0"/>
                <w:numId w:val="33"/>
              </w:numPr>
              <w:bidi/>
              <w:contextualSpacing/>
              <w:rPr>
                <w:rFonts w:ascii="Times New Roman" w:eastAsia="Calibri" w:hAnsi="Times New Roman" w:cs="Simplified Arabic"/>
                <w:szCs w:val="24"/>
                <w:rtl/>
                <w:lang w:bidi="ar-EG"/>
              </w:rPr>
            </w:pPr>
            <w:r w:rsidRPr="001E5759">
              <w:rPr>
                <w:rFonts w:ascii="Times New Roman" w:eastAsia="Calibri" w:hAnsi="Times New Roman" w:cs="Simplified Arabic"/>
                <w:szCs w:val="24"/>
                <w:rtl/>
                <w:lang w:bidi="ar-EG"/>
              </w:rPr>
              <w:t>أكثر من 10 سنوات</w:t>
            </w:r>
          </w:p>
        </w:tc>
      </w:tr>
    </w:tbl>
    <w:p w14:paraId="42006006" w14:textId="77777777" w:rsidR="000B3939" w:rsidRPr="00BC50C9" w:rsidRDefault="000B3939">
      <w:pPr>
        <w:numPr>
          <w:ilvl w:val="0"/>
          <w:numId w:val="35"/>
        </w:numPr>
        <w:bidi/>
        <w:spacing w:before="120" w:after="120" w:line="240" w:lineRule="auto"/>
        <w:contextualSpacing/>
        <w:jc w:val="both"/>
        <w:rPr>
          <w:rFonts w:ascii="Times New Roman" w:eastAsia="Calibri" w:hAnsi="Times New Roman" w:cs="Simplified Arabic"/>
          <w:b/>
          <w:bCs/>
          <w:sz w:val="24"/>
          <w:szCs w:val="28"/>
        </w:rPr>
      </w:pPr>
      <w:r w:rsidRPr="00BC50C9">
        <w:rPr>
          <w:rFonts w:ascii="Times New Roman" w:eastAsia="Calibri" w:hAnsi="Times New Roman" w:cs="Simplified Arabic"/>
          <w:b/>
          <w:bCs/>
          <w:sz w:val="24"/>
          <w:szCs w:val="28"/>
          <w:rtl/>
        </w:rPr>
        <w:t xml:space="preserve">الجزء الثاني: </w:t>
      </w:r>
      <w:r w:rsidRPr="00BC50C9">
        <w:rPr>
          <w:rFonts w:ascii="Times New Roman" w:eastAsia="Calibri" w:hAnsi="Times New Roman" w:cs="Simplified Arabic"/>
          <w:sz w:val="24"/>
          <w:szCs w:val="28"/>
          <w:rtl/>
        </w:rPr>
        <w:t xml:space="preserve">يتكون من محاور الاستبانة، المتكونة من </w:t>
      </w:r>
      <w:r w:rsidRPr="00BC50C9">
        <w:rPr>
          <w:rFonts w:ascii="Times New Roman" w:eastAsia="Calibri" w:hAnsi="Times New Roman" w:cs="Simplified Arabic" w:hint="cs"/>
          <w:sz w:val="24"/>
          <w:szCs w:val="28"/>
          <w:rtl/>
        </w:rPr>
        <w:t xml:space="preserve">ثلاثة محاور رئيسية، </w:t>
      </w:r>
      <w:r w:rsidRPr="00BC50C9">
        <w:rPr>
          <w:rFonts w:ascii="Times New Roman" w:eastAsia="Calibri" w:hAnsi="Times New Roman" w:cs="Simplified Arabic"/>
          <w:sz w:val="24"/>
          <w:szCs w:val="28"/>
          <w:rtl/>
        </w:rPr>
        <w:t>وه</w:t>
      </w:r>
      <w:r w:rsidRPr="00BC50C9">
        <w:rPr>
          <w:rFonts w:ascii="Times New Roman" w:eastAsia="Calibri" w:hAnsi="Times New Roman" w:cs="Simplified Arabic" w:hint="cs"/>
          <w:sz w:val="24"/>
          <w:szCs w:val="28"/>
          <w:rtl/>
        </w:rPr>
        <w:t>م</w:t>
      </w:r>
      <w:r w:rsidRPr="00BC50C9">
        <w:rPr>
          <w:rFonts w:ascii="Times New Roman" w:eastAsia="Calibri" w:hAnsi="Times New Roman" w:cs="Simplified Arabic"/>
          <w:sz w:val="24"/>
          <w:szCs w:val="28"/>
          <w:rtl/>
        </w:rPr>
        <w:t xml:space="preserve"> على النحو التالي:</w:t>
      </w:r>
    </w:p>
    <w:p w14:paraId="237095FB" w14:textId="12849C30" w:rsidR="000B3939" w:rsidRPr="00BC50C9" w:rsidRDefault="000B3939">
      <w:pPr>
        <w:numPr>
          <w:ilvl w:val="0"/>
          <w:numId w:val="16"/>
        </w:numPr>
        <w:bidi/>
        <w:spacing w:before="120" w:after="120" w:line="240" w:lineRule="auto"/>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hint="eastAsia"/>
          <w:b/>
          <w:bCs/>
          <w:sz w:val="24"/>
          <w:szCs w:val="28"/>
          <w:rtl/>
          <w:lang w:bidi="ar-KW"/>
        </w:rPr>
        <w:t>المحور</w:t>
      </w:r>
      <w:r w:rsidRPr="00BC50C9">
        <w:rPr>
          <w:rFonts w:ascii="Times New Roman" w:eastAsia="Calibri" w:hAnsi="Times New Roman" w:cs="Simplified Arabic"/>
          <w:b/>
          <w:bCs/>
          <w:sz w:val="24"/>
          <w:szCs w:val="28"/>
          <w:rtl/>
          <w:lang w:bidi="ar-KW"/>
        </w:rPr>
        <w:t xml:space="preserve"> الأول:</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hint="cs"/>
          <w:b/>
          <w:bCs/>
          <w:sz w:val="24"/>
          <w:szCs w:val="28"/>
          <w:rtl/>
          <w:lang w:bidi="ar-KW"/>
        </w:rPr>
        <w:t>التمويل التشاركي</w:t>
      </w:r>
      <w:r w:rsidRPr="00BC50C9">
        <w:rPr>
          <w:rFonts w:ascii="Times New Roman" w:eastAsia="Calibri" w:hAnsi="Times New Roman" w:cs="Simplified Arabic" w:hint="cs"/>
          <w:b/>
          <w:bCs/>
          <w:sz w:val="24"/>
          <w:szCs w:val="28"/>
          <w:rtl/>
        </w:rPr>
        <w:t xml:space="preserve">، </w:t>
      </w:r>
      <w:r w:rsidRPr="00BC50C9">
        <w:rPr>
          <w:rFonts w:ascii="Times New Roman" w:eastAsia="Calibri" w:hAnsi="Times New Roman" w:cs="Simplified Arabic"/>
          <w:sz w:val="24"/>
          <w:szCs w:val="28"/>
          <w:rtl/>
          <w:lang w:bidi="ar-EG"/>
        </w:rPr>
        <w:t>والذي يتكون من (</w:t>
      </w:r>
      <w:r w:rsidRPr="00BC50C9">
        <w:rPr>
          <w:rFonts w:ascii="Times New Roman" w:eastAsia="Calibri" w:hAnsi="Times New Roman" w:cs="Simplified Arabic" w:hint="cs"/>
          <w:sz w:val="24"/>
          <w:szCs w:val="28"/>
          <w:rtl/>
          <w:lang w:bidi="ar-EG"/>
        </w:rPr>
        <w:t>24</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EG"/>
        </w:rPr>
        <w:t>عبارة</w:t>
      </w:r>
      <w:r w:rsidRPr="00BC50C9">
        <w:rPr>
          <w:rFonts w:ascii="Times New Roman" w:eastAsia="Calibri" w:hAnsi="Times New Roman" w:cs="Simplified Arabic"/>
          <w:sz w:val="24"/>
          <w:szCs w:val="28"/>
          <w:rtl/>
          <w:lang w:bidi="ar-EG"/>
        </w:rPr>
        <w:t xml:space="preserve"> مقسمة </w:t>
      </w:r>
      <w:r w:rsidRPr="00BC50C9">
        <w:rPr>
          <w:rFonts w:ascii="Times New Roman" w:eastAsia="Calibri" w:hAnsi="Times New Roman" w:cs="Simplified Arabic" w:hint="eastAsia"/>
          <w:sz w:val="24"/>
          <w:szCs w:val="28"/>
          <w:rtl/>
          <w:lang w:bidi="ar-EG"/>
        </w:rPr>
        <w:t>على</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cs"/>
          <w:sz w:val="24"/>
          <w:szCs w:val="28"/>
          <w:rtl/>
          <w:lang w:bidi="ar-EG"/>
        </w:rPr>
        <w:t>ثلاثة أبعاد</w:t>
      </w:r>
      <w:r w:rsidRPr="00BC50C9">
        <w:rPr>
          <w:rFonts w:ascii="Times New Roman" w:eastAsia="Calibri" w:hAnsi="Times New Roman" w:cs="Simplified Arabic" w:hint="eastAsia"/>
          <w:sz w:val="24"/>
          <w:szCs w:val="28"/>
          <w:rtl/>
          <w:lang w:bidi="ar-EG"/>
        </w:rPr>
        <w:t>،</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EG"/>
        </w:rPr>
        <w:t>على</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EG"/>
        </w:rPr>
        <w:t>النحو</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EG"/>
        </w:rPr>
        <w:t>التالي</w:t>
      </w:r>
      <w:r w:rsidRPr="00BC50C9">
        <w:rPr>
          <w:rFonts w:ascii="Times New Roman" w:eastAsia="Calibri" w:hAnsi="Times New Roman" w:cs="Simplified Arabic"/>
          <w:sz w:val="24"/>
          <w:szCs w:val="28"/>
          <w:rtl/>
          <w:lang w:bidi="ar-EG"/>
        </w:rPr>
        <w:t xml:space="preserve">: </w:t>
      </w:r>
    </w:p>
    <w:p w14:paraId="313682D2" w14:textId="77777777" w:rsidR="000B3939" w:rsidRPr="00BC50C9" w:rsidRDefault="000B3939">
      <w:pPr>
        <w:numPr>
          <w:ilvl w:val="0"/>
          <w:numId w:val="59"/>
        </w:numPr>
        <w:bidi/>
        <w:spacing w:before="120" w:after="120" w:line="240" w:lineRule="auto"/>
        <w:contextualSpacing/>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hint="eastAsia"/>
          <w:b/>
          <w:bCs/>
          <w:sz w:val="24"/>
          <w:szCs w:val="28"/>
          <w:rtl/>
          <w:lang w:bidi="ar-KW"/>
        </w:rPr>
        <w:t>البعد</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hint="eastAsia"/>
          <w:b/>
          <w:bCs/>
          <w:sz w:val="24"/>
          <w:szCs w:val="28"/>
          <w:rtl/>
          <w:lang w:bidi="ar-KW"/>
        </w:rPr>
        <w:t>الأول</w:t>
      </w:r>
      <w:r w:rsidRPr="00BC50C9">
        <w:rPr>
          <w:rFonts w:ascii="Times New Roman" w:eastAsia="Calibri" w:hAnsi="Times New Roman" w:cs="Simplified Arabic"/>
          <w:b/>
          <w:bCs/>
          <w:sz w:val="24"/>
          <w:szCs w:val="28"/>
          <w:rtl/>
          <w:lang w:bidi="ar-KW"/>
        </w:rPr>
        <w:t>:</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b/>
          <w:bCs/>
          <w:sz w:val="24"/>
          <w:szCs w:val="28"/>
          <w:rtl/>
          <w:lang w:bidi="ar-KW"/>
        </w:rPr>
        <w:t xml:space="preserve">التمويل </w:t>
      </w:r>
      <w:proofErr w:type="spellStart"/>
      <w:r w:rsidRPr="00BC50C9">
        <w:rPr>
          <w:rFonts w:ascii="Times New Roman" w:eastAsia="Calibri" w:hAnsi="Times New Roman" w:cs="Simplified Arabic"/>
          <w:b/>
          <w:bCs/>
          <w:sz w:val="24"/>
          <w:szCs w:val="28"/>
          <w:rtl/>
          <w:lang w:bidi="ar-KW"/>
        </w:rPr>
        <w:t>التبرعي</w:t>
      </w:r>
      <w:proofErr w:type="spellEnd"/>
      <w:r w:rsidRPr="00BC50C9">
        <w:rPr>
          <w:rFonts w:ascii="Times New Roman" w:eastAsia="Calibri" w:hAnsi="Times New Roman" w:cs="Simplified Arabic" w:hint="eastAsia"/>
          <w:b/>
          <w:bCs/>
          <w:sz w:val="24"/>
          <w:szCs w:val="28"/>
          <w:rtl/>
          <w:lang w:bidi="ar-KW"/>
        </w:rPr>
        <w:t>،</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hint="eastAsia"/>
          <w:sz w:val="24"/>
          <w:szCs w:val="28"/>
          <w:rtl/>
          <w:lang w:bidi="ar-KW"/>
        </w:rPr>
        <w:t>والذي</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يتكون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من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(1) </w:t>
      </w:r>
      <w:r w:rsidRPr="00BC50C9">
        <w:rPr>
          <w:rFonts w:ascii="Times New Roman" w:eastAsia="Calibri" w:hAnsi="Times New Roman" w:cs="Simplified Arabic" w:hint="eastAsia"/>
          <w:sz w:val="24"/>
          <w:szCs w:val="28"/>
          <w:rtl/>
          <w:lang w:bidi="ar-KW"/>
        </w:rPr>
        <w:t>إلى</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8</w:t>
      </w:r>
      <w:r w:rsidRPr="00BC50C9">
        <w:rPr>
          <w:rFonts w:ascii="Times New Roman" w:eastAsia="Calibri" w:hAnsi="Times New Roman" w:cs="Simplified Arabic"/>
          <w:sz w:val="24"/>
          <w:szCs w:val="28"/>
          <w:rtl/>
          <w:lang w:bidi="ar-KW"/>
        </w:rPr>
        <w:t>).</w:t>
      </w:r>
    </w:p>
    <w:p w14:paraId="13457474" w14:textId="77777777" w:rsidR="000B3939" w:rsidRPr="00BC50C9" w:rsidRDefault="000B3939">
      <w:pPr>
        <w:numPr>
          <w:ilvl w:val="0"/>
          <w:numId w:val="59"/>
        </w:numPr>
        <w:bidi/>
        <w:spacing w:before="120" w:after="120" w:line="240" w:lineRule="auto"/>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hint="eastAsia"/>
          <w:b/>
          <w:bCs/>
          <w:sz w:val="24"/>
          <w:szCs w:val="28"/>
          <w:rtl/>
          <w:lang w:bidi="ar-KW"/>
        </w:rPr>
        <w:lastRenderedPageBreak/>
        <w:t>البعد</w:t>
      </w:r>
      <w:r w:rsidRPr="00BC50C9">
        <w:rPr>
          <w:rFonts w:ascii="Times New Roman" w:eastAsia="Calibri" w:hAnsi="Times New Roman" w:cs="Simplified Arabic"/>
          <w:b/>
          <w:bCs/>
          <w:sz w:val="24"/>
          <w:szCs w:val="28"/>
          <w:rtl/>
          <w:lang w:bidi="ar-KW"/>
        </w:rPr>
        <w:t xml:space="preserve"> الثاني: التمويل القائم على المكافآت، </w:t>
      </w:r>
      <w:r w:rsidRPr="00BC50C9">
        <w:rPr>
          <w:rFonts w:ascii="Times New Roman" w:eastAsia="Calibri" w:hAnsi="Times New Roman" w:cs="Simplified Arabic" w:hint="eastAsia"/>
          <w:sz w:val="24"/>
          <w:szCs w:val="28"/>
          <w:rtl/>
          <w:lang w:bidi="ar-KW"/>
        </w:rPr>
        <w:t>والذي</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يتكون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من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9</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إلى</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16</w:t>
      </w:r>
      <w:r w:rsidRPr="00BC50C9">
        <w:rPr>
          <w:rFonts w:ascii="Times New Roman" w:eastAsia="Calibri" w:hAnsi="Times New Roman" w:cs="Simplified Arabic"/>
          <w:sz w:val="24"/>
          <w:szCs w:val="28"/>
          <w:rtl/>
          <w:lang w:bidi="ar-KW"/>
        </w:rPr>
        <w:t>).</w:t>
      </w:r>
    </w:p>
    <w:p w14:paraId="6A914886" w14:textId="77777777" w:rsidR="000B3939" w:rsidRPr="00BC50C9" w:rsidRDefault="000B3939">
      <w:pPr>
        <w:numPr>
          <w:ilvl w:val="0"/>
          <w:numId w:val="59"/>
        </w:numPr>
        <w:bidi/>
        <w:spacing w:before="120" w:after="120" w:line="240" w:lineRule="auto"/>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hint="eastAsia"/>
          <w:b/>
          <w:bCs/>
          <w:sz w:val="24"/>
          <w:szCs w:val="28"/>
          <w:rtl/>
          <w:lang w:bidi="ar-KW"/>
        </w:rPr>
        <w:t>البعد</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hint="cs"/>
          <w:b/>
          <w:bCs/>
          <w:sz w:val="24"/>
          <w:szCs w:val="28"/>
          <w:rtl/>
          <w:lang w:bidi="ar-KW"/>
        </w:rPr>
        <w:t>الثالث</w:t>
      </w:r>
      <w:r w:rsidRPr="00BC50C9">
        <w:rPr>
          <w:rFonts w:ascii="Times New Roman" w:eastAsia="Calibri" w:hAnsi="Times New Roman" w:cs="Simplified Arabic"/>
          <w:b/>
          <w:bCs/>
          <w:sz w:val="24"/>
          <w:szCs w:val="28"/>
          <w:rtl/>
          <w:lang w:bidi="ar-KW"/>
        </w:rPr>
        <w:t>:</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b/>
          <w:bCs/>
          <w:sz w:val="24"/>
          <w:szCs w:val="28"/>
          <w:rtl/>
          <w:lang w:bidi="ar-KW"/>
        </w:rPr>
        <w:t xml:space="preserve">التمويل التشاركي المختلط، </w:t>
      </w:r>
      <w:r w:rsidRPr="00BC50C9">
        <w:rPr>
          <w:rFonts w:ascii="Times New Roman" w:eastAsia="Calibri" w:hAnsi="Times New Roman" w:cs="Simplified Arabic" w:hint="eastAsia"/>
          <w:sz w:val="24"/>
          <w:szCs w:val="28"/>
          <w:rtl/>
          <w:lang w:bidi="ar-KW"/>
        </w:rPr>
        <w:t>والذي</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يتكون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من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17</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إلى</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24</w:t>
      </w:r>
      <w:r w:rsidRPr="00BC50C9">
        <w:rPr>
          <w:rFonts w:ascii="Times New Roman" w:eastAsia="Calibri" w:hAnsi="Times New Roman" w:cs="Simplified Arabic"/>
          <w:sz w:val="24"/>
          <w:szCs w:val="28"/>
          <w:rtl/>
          <w:lang w:bidi="ar-KW"/>
        </w:rPr>
        <w:t>).</w:t>
      </w:r>
    </w:p>
    <w:p w14:paraId="62983A55" w14:textId="77777777" w:rsidR="000B3939" w:rsidRPr="00BC50C9" w:rsidRDefault="000B3939">
      <w:pPr>
        <w:numPr>
          <w:ilvl w:val="0"/>
          <w:numId w:val="59"/>
        </w:numPr>
        <w:bidi/>
        <w:spacing w:before="120" w:after="120" w:line="240" w:lineRule="auto"/>
        <w:contextualSpacing/>
        <w:jc w:val="both"/>
        <w:rPr>
          <w:rFonts w:ascii="Times New Roman" w:eastAsia="Calibri" w:hAnsi="Times New Roman" w:cs="Simplified Arabic"/>
          <w:sz w:val="24"/>
          <w:szCs w:val="28"/>
          <w:lang w:bidi="ar-KW"/>
        </w:rPr>
      </w:pPr>
      <w:r w:rsidRPr="00BC50C9">
        <w:rPr>
          <w:rFonts w:ascii="Times New Roman" w:eastAsia="Calibri" w:hAnsi="Times New Roman" w:cs="Simplified Arabic" w:hint="eastAsia"/>
          <w:b/>
          <w:bCs/>
          <w:sz w:val="24"/>
          <w:szCs w:val="28"/>
          <w:rtl/>
          <w:lang w:bidi="ar-KW"/>
        </w:rPr>
        <w:t>المحور</w:t>
      </w:r>
      <w:r w:rsidRPr="00BC50C9">
        <w:rPr>
          <w:rFonts w:ascii="Times New Roman" w:eastAsia="Calibri" w:hAnsi="Times New Roman" w:cs="Simplified Arabic"/>
          <w:b/>
          <w:bCs/>
          <w:sz w:val="24"/>
          <w:szCs w:val="28"/>
          <w:rtl/>
          <w:lang w:bidi="ar-KW"/>
        </w:rPr>
        <w:t xml:space="preserve"> الثاني: الاستدامة المالية </w:t>
      </w:r>
      <w:r w:rsidRPr="00BC50C9">
        <w:rPr>
          <w:rFonts w:ascii="Times New Roman" w:eastAsia="Calibri" w:hAnsi="Times New Roman" w:cs="Simplified Arabic"/>
          <w:sz w:val="24"/>
          <w:szCs w:val="28"/>
          <w:rtl/>
          <w:lang w:bidi="ar-EG"/>
        </w:rPr>
        <w:t>والذي يتكون من (</w:t>
      </w:r>
      <w:r w:rsidRPr="00BC50C9">
        <w:rPr>
          <w:rFonts w:ascii="Times New Roman" w:eastAsia="Calibri" w:hAnsi="Times New Roman" w:cs="Simplified Arabic" w:hint="cs"/>
          <w:sz w:val="24"/>
          <w:szCs w:val="28"/>
          <w:rtl/>
          <w:lang w:bidi="ar-EG"/>
        </w:rPr>
        <w:t>8</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cs"/>
          <w:sz w:val="24"/>
          <w:szCs w:val="28"/>
          <w:rtl/>
          <w:lang w:bidi="ar-EG"/>
        </w:rPr>
        <w:t>عبارات</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KW"/>
        </w:rPr>
        <w:t>من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25</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إلى</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32</w:t>
      </w:r>
      <w:r w:rsidRPr="00BC50C9">
        <w:rPr>
          <w:rFonts w:ascii="Times New Roman" w:eastAsia="Calibri" w:hAnsi="Times New Roman" w:cs="Simplified Arabic"/>
          <w:sz w:val="24"/>
          <w:szCs w:val="28"/>
          <w:rtl/>
          <w:lang w:bidi="ar-KW"/>
        </w:rPr>
        <w:t>).</w:t>
      </w:r>
    </w:p>
    <w:p w14:paraId="0502C02D" w14:textId="77777777" w:rsidR="000B3939" w:rsidRPr="00BC50C9" w:rsidRDefault="000B3939">
      <w:pPr>
        <w:numPr>
          <w:ilvl w:val="0"/>
          <w:numId w:val="59"/>
        </w:numPr>
        <w:bidi/>
        <w:spacing w:before="120" w:after="120" w:line="240" w:lineRule="auto"/>
        <w:contextualSpacing/>
        <w:jc w:val="both"/>
        <w:rPr>
          <w:rFonts w:ascii="Times New Roman" w:eastAsia="Calibri" w:hAnsi="Times New Roman" w:cs="Simplified Arabic"/>
          <w:sz w:val="24"/>
          <w:szCs w:val="28"/>
          <w:lang w:bidi="ar-KW"/>
        </w:rPr>
      </w:pPr>
      <w:r w:rsidRPr="00BC50C9">
        <w:rPr>
          <w:rFonts w:ascii="Times New Roman" w:eastAsia="Calibri" w:hAnsi="Times New Roman" w:cs="Simplified Arabic" w:hint="eastAsia"/>
          <w:b/>
          <w:bCs/>
          <w:sz w:val="24"/>
          <w:szCs w:val="28"/>
          <w:rtl/>
          <w:lang w:bidi="ar-KW"/>
        </w:rPr>
        <w:t>المحور</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hint="cs"/>
          <w:b/>
          <w:bCs/>
          <w:sz w:val="24"/>
          <w:szCs w:val="28"/>
          <w:rtl/>
          <w:lang w:bidi="ar-KW"/>
        </w:rPr>
        <w:t>الثالث</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hint="cs"/>
          <w:b/>
          <w:bCs/>
          <w:sz w:val="24"/>
          <w:szCs w:val="28"/>
          <w:rtl/>
          <w:lang w:bidi="ar-KW"/>
        </w:rPr>
        <w:t>نجاح المشاريع الريادية</w:t>
      </w:r>
      <w:r w:rsidRPr="00BC50C9">
        <w:rPr>
          <w:rFonts w:ascii="Times New Roman" w:eastAsia="Calibri" w:hAnsi="Times New Roman" w:cs="Simplified Arabic"/>
          <w:b/>
          <w:bCs/>
          <w:sz w:val="24"/>
          <w:szCs w:val="28"/>
          <w:rtl/>
          <w:lang w:bidi="ar-KW"/>
        </w:rPr>
        <w:t xml:space="preserve"> </w:t>
      </w:r>
      <w:r w:rsidRPr="00BC50C9">
        <w:rPr>
          <w:rFonts w:ascii="Times New Roman" w:eastAsia="Calibri" w:hAnsi="Times New Roman" w:cs="Simplified Arabic"/>
          <w:sz w:val="24"/>
          <w:szCs w:val="28"/>
          <w:rtl/>
          <w:lang w:bidi="ar-EG"/>
        </w:rPr>
        <w:t>والذي يتكون من (</w:t>
      </w:r>
      <w:r w:rsidRPr="00BC50C9">
        <w:rPr>
          <w:rFonts w:ascii="Times New Roman" w:eastAsia="Calibri" w:hAnsi="Times New Roman" w:cs="Simplified Arabic" w:hint="cs"/>
          <w:sz w:val="24"/>
          <w:szCs w:val="28"/>
          <w:rtl/>
          <w:lang w:bidi="ar-EG"/>
        </w:rPr>
        <w:t>8</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cs"/>
          <w:sz w:val="24"/>
          <w:szCs w:val="28"/>
          <w:rtl/>
          <w:lang w:bidi="ar-EG"/>
        </w:rPr>
        <w:t>عبارات</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hint="eastAsia"/>
          <w:sz w:val="24"/>
          <w:szCs w:val="28"/>
          <w:rtl/>
          <w:lang w:bidi="ar-KW"/>
        </w:rPr>
        <w:t>من</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33</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إلى</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العبارة</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eastAsia"/>
          <w:sz w:val="24"/>
          <w:szCs w:val="28"/>
          <w:rtl/>
          <w:lang w:bidi="ar-KW"/>
        </w:rPr>
        <w:t>رقم</w:t>
      </w:r>
      <w:r w:rsidRPr="00BC50C9">
        <w:rPr>
          <w:rFonts w:ascii="Times New Roman" w:eastAsia="Calibri" w:hAnsi="Times New Roman" w:cs="Simplified Arabic"/>
          <w:sz w:val="24"/>
          <w:szCs w:val="28"/>
          <w:rtl/>
          <w:lang w:bidi="ar-KW"/>
        </w:rPr>
        <w:t xml:space="preserve"> (</w:t>
      </w:r>
      <w:r w:rsidRPr="00BC50C9">
        <w:rPr>
          <w:rFonts w:ascii="Times New Roman" w:eastAsia="Calibri" w:hAnsi="Times New Roman" w:cs="Simplified Arabic" w:hint="cs"/>
          <w:sz w:val="24"/>
          <w:szCs w:val="28"/>
          <w:rtl/>
          <w:lang w:bidi="ar-KW"/>
        </w:rPr>
        <w:t>40</w:t>
      </w:r>
      <w:r w:rsidRPr="00BC50C9">
        <w:rPr>
          <w:rFonts w:ascii="Times New Roman" w:eastAsia="Calibri" w:hAnsi="Times New Roman" w:cs="Simplified Arabic"/>
          <w:sz w:val="24"/>
          <w:szCs w:val="28"/>
          <w:rtl/>
          <w:lang w:bidi="ar-KW"/>
        </w:rPr>
        <w:t>).</w:t>
      </w:r>
    </w:p>
    <w:p w14:paraId="55932409" w14:textId="3AABD142" w:rsidR="000B3939" w:rsidRPr="00BC50C9" w:rsidRDefault="000B3939" w:rsidP="00EC4578">
      <w:pPr>
        <w:pStyle w:val="00000"/>
        <w:rPr>
          <w:rtl/>
        </w:rPr>
      </w:pPr>
      <w:r w:rsidRPr="00BC50C9">
        <w:rPr>
          <w:rFonts w:hint="eastAsia"/>
          <w:rtl/>
        </w:rPr>
        <w:t>ولتحديد</w:t>
      </w:r>
      <w:r w:rsidRPr="00BC50C9">
        <w:rPr>
          <w:rtl/>
        </w:rPr>
        <w:t xml:space="preserve"> استجابات العينة، فقد اعتمد</w:t>
      </w:r>
      <w:r w:rsidRPr="00BC50C9">
        <w:rPr>
          <w:rFonts w:hint="cs"/>
          <w:rtl/>
        </w:rPr>
        <w:t>ت</w:t>
      </w:r>
      <w:r w:rsidRPr="00BC50C9">
        <w:rPr>
          <w:rtl/>
        </w:rPr>
        <w:t xml:space="preserve"> الباحث</w:t>
      </w:r>
      <w:r w:rsidRPr="00BC50C9">
        <w:rPr>
          <w:rFonts w:hint="cs"/>
          <w:rtl/>
        </w:rPr>
        <w:t xml:space="preserve">ة </w:t>
      </w:r>
      <w:r w:rsidRPr="00BC50C9">
        <w:rPr>
          <w:rtl/>
        </w:rPr>
        <w:t xml:space="preserve">على مقياس </w:t>
      </w:r>
      <w:proofErr w:type="spellStart"/>
      <w:r w:rsidRPr="00BC50C9">
        <w:rPr>
          <w:rtl/>
        </w:rPr>
        <w:t>ليكرت</w:t>
      </w:r>
      <w:proofErr w:type="spellEnd"/>
      <w:r w:rsidRPr="00BC50C9">
        <w:rPr>
          <w:rtl/>
        </w:rPr>
        <w:t xml:space="preserve">، والذي عرفه كل من (باهي والأزهري، 2010، ص.352) </w:t>
      </w:r>
      <w:r w:rsidRPr="00BC50C9">
        <w:rPr>
          <w:rFonts w:hint="eastAsia"/>
          <w:rtl/>
        </w:rPr>
        <w:t>بأنه</w:t>
      </w:r>
      <w:r w:rsidRPr="00BC50C9">
        <w:rPr>
          <w:rtl/>
        </w:rPr>
        <w:t xml:space="preserve"> مقياس ي</w:t>
      </w:r>
      <w:r w:rsidRPr="00BC50C9">
        <w:rPr>
          <w:rFonts w:hint="eastAsia"/>
          <w:rtl/>
        </w:rPr>
        <w:t>ُ</w:t>
      </w:r>
      <w:r w:rsidRPr="00BC50C9">
        <w:rPr>
          <w:rtl/>
        </w:rPr>
        <w:t xml:space="preserve">ستخدم على نطاق متسع لقياس الاتجاهات والآراء التي وضعها في الأصل رئيس </w:t>
      </w:r>
      <w:proofErr w:type="spellStart"/>
      <w:r w:rsidRPr="00BC50C9">
        <w:rPr>
          <w:rtl/>
        </w:rPr>
        <w:t>ليكرت</w:t>
      </w:r>
      <w:proofErr w:type="spellEnd"/>
      <w:r w:rsidRPr="00BC50C9">
        <w:rPr>
          <w:rtl/>
        </w:rPr>
        <w:t xml:space="preserve">، وأثناء وضع مقياس </w:t>
      </w:r>
      <w:proofErr w:type="spellStart"/>
      <w:r w:rsidRPr="00BC50C9">
        <w:rPr>
          <w:rtl/>
        </w:rPr>
        <w:t>ليكرت</w:t>
      </w:r>
      <w:proofErr w:type="spellEnd"/>
      <w:r w:rsidRPr="00BC50C9">
        <w:rPr>
          <w:rtl/>
        </w:rPr>
        <w:t xml:space="preserve">،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w:t>
      </w:r>
      <w:r w:rsidRPr="00BC50C9">
        <w:rPr>
          <w:rFonts w:hint="eastAsia"/>
          <w:rtl/>
        </w:rPr>
        <w:t>وقد</w:t>
      </w:r>
      <w:r w:rsidRPr="00BC50C9">
        <w:rPr>
          <w:rtl/>
        </w:rPr>
        <w:t xml:space="preserve"> استخدم </w:t>
      </w:r>
      <w:r w:rsidRPr="00BC50C9">
        <w:rPr>
          <w:rFonts w:hint="eastAsia"/>
          <w:rtl/>
        </w:rPr>
        <w:t>الباحث</w:t>
      </w:r>
      <w:r w:rsidRPr="00BC50C9">
        <w:rPr>
          <w:rtl/>
        </w:rPr>
        <w:t xml:space="preserve"> </w:t>
      </w:r>
      <w:r w:rsidRPr="00BC50C9">
        <w:rPr>
          <w:rFonts w:hint="eastAsia"/>
          <w:rtl/>
        </w:rPr>
        <w:t>في</w:t>
      </w:r>
      <w:r w:rsidRPr="00BC50C9">
        <w:rPr>
          <w:rtl/>
        </w:rPr>
        <w:t xml:space="preserve"> دراسته مقياس </w:t>
      </w:r>
      <w:proofErr w:type="spellStart"/>
      <w:r w:rsidRPr="00BC50C9">
        <w:rPr>
          <w:rtl/>
        </w:rPr>
        <w:t>ليكرت</w:t>
      </w:r>
      <w:proofErr w:type="spellEnd"/>
      <w:r w:rsidRPr="00BC50C9">
        <w:rPr>
          <w:rtl/>
        </w:rPr>
        <w:t xml:space="preserve"> الخماسي (</w:t>
      </w:r>
      <w:r w:rsidRPr="00BC50C9">
        <w:rPr>
          <w:rFonts w:hint="eastAsia"/>
          <w:rtl/>
        </w:rPr>
        <w:t>لا</w:t>
      </w:r>
      <w:r w:rsidRPr="00BC50C9">
        <w:rPr>
          <w:rtl/>
        </w:rPr>
        <w:t xml:space="preserve"> </w:t>
      </w:r>
      <w:r w:rsidRPr="00BC50C9">
        <w:rPr>
          <w:rFonts w:hint="eastAsia"/>
          <w:rtl/>
        </w:rPr>
        <w:t>أوافق</w:t>
      </w:r>
      <w:r w:rsidRPr="00BC50C9">
        <w:rPr>
          <w:rtl/>
        </w:rPr>
        <w:t xml:space="preserve"> </w:t>
      </w:r>
      <w:r w:rsidRPr="00BC50C9">
        <w:rPr>
          <w:rFonts w:hint="eastAsia"/>
          <w:rtl/>
        </w:rPr>
        <w:t>بشدة</w:t>
      </w:r>
      <w:r w:rsidRPr="00BC50C9">
        <w:rPr>
          <w:rtl/>
        </w:rPr>
        <w:t xml:space="preserve">، </w:t>
      </w:r>
      <w:r w:rsidRPr="00BC50C9">
        <w:rPr>
          <w:rFonts w:hint="eastAsia"/>
          <w:rtl/>
        </w:rPr>
        <w:t>لا</w:t>
      </w:r>
      <w:r w:rsidRPr="00BC50C9">
        <w:rPr>
          <w:rtl/>
        </w:rPr>
        <w:t xml:space="preserve"> </w:t>
      </w:r>
      <w:r w:rsidRPr="00BC50C9">
        <w:rPr>
          <w:rFonts w:hint="eastAsia"/>
          <w:rtl/>
        </w:rPr>
        <w:t>أوافق</w:t>
      </w:r>
      <w:r w:rsidRPr="00BC50C9">
        <w:rPr>
          <w:rtl/>
        </w:rPr>
        <w:t xml:space="preserve">، </w:t>
      </w:r>
      <w:r w:rsidRPr="00BC50C9">
        <w:rPr>
          <w:rFonts w:hint="eastAsia"/>
          <w:rtl/>
        </w:rPr>
        <w:t>محايد</w:t>
      </w:r>
      <w:r w:rsidRPr="00BC50C9">
        <w:rPr>
          <w:rtl/>
        </w:rPr>
        <w:t xml:space="preserve">، </w:t>
      </w:r>
      <w:r w:rsidRPr="00BC50C9">
        <w:rPr>
          <w:rFonts w:hint="eastAsia"/>
          <w:rtl/>
        </w:rPr>
        <w:t>أوافق</w:t>
      </w:r>
      <w:r w:rsidRPr="00BC50C9">
        <w:rPr>
          <w:rtl/>
        </w:rPr>
        <w:t xml:space="preserve">، </w:t>
      </w:r>
      <w:r w:rsidRPr="00BC50C9">
        <w:rPr>
          <w:rFonts w:hint="eastAsia"/>
          <w:rtl/>
        </w:rPr>
        <w:t>أوافق</w:t>
      </w:r>
      <w:r w:rsidRPr="00BC50C9">
        <w:rPr>
          <w:rtl/>
        </w:rPr>
        <w:t xml:space="preserve"> </w:t>
      </w:r>
      <w:r w:rsidRPr="00BC50C9">
        <w:rPr>
          <w:rFonts w:hint="eastAsia"/>
          <w:rtl/>
        </w:rPr>
        <w:t>بشدة</w:t>
      </w:r>
      <w:r w:rsidRPr="00BC50C9">
        <w:rPr>
          <w:rtl/>
        </w:rPr>
        <w:t xml:space="preserve">) لتصحيح أداة الدراسة حيث تعطي الاستجابة </w:t>
      </w:r>
      <w:r w:rsidRPr="00BC50C9">
        <w:rPr>
          <w:rFonts w:hint="eastAsia"/>
          <w:rtl/>
        </w:rPr>
        <w:t>لا</w:t>
      </w:r>
      <w:r w:rsidRPr="00BC50C9">
        <w:rPr>
          <w:rtl/>
        </w:rPr>
        <w:t xml:space="preserve"> </w:t>
      </w:r>
      <w:r w:rsidRPr="00BC50C9">
        <w:rPr>
          <w:rFonts w:hint="eastAsia"/>
          <w:rtl/>
        </w:rPr>
        <w:t>أوافق</w:t>
      </w:r>
      <w:r w:rsidRPr="00BC50C9">
        <w:rPr>
          <w:rtl/>
        </w:rPr>
        <w:t xml:space="preserve"> </w:t>
      </w:r>
      <w:r w:rsidRPr="00BC50C9">
        <w:rPr>
          <w:rFonts w:hint="eastAsia"/>
          <w:rtl/>
        </w:rPr>
        <w:t>بشدة</w:t>
      </w:r>
      <w:r w:rsidRPr="00BC50C9">
        <w:rPr>
          <w:rtl/>
        </w:rPr>
        <w:t xml:space="preserve"> (1)، </w:t>
      </w:r>
      <w:r w:rsidRPr="00BC50C9">
        <w:rPr>
          <w:rFonts w:hint="eastAsia"/>
          <w:rtl/>
        </w:rPr>
        <w:t>لا</w:t>
      </w:r>
      <w:r w:rsidRPr="00BC50C9">
        <w:rPr>
          <w:rtl/>
        </w:rPr>
        <w:t xml:space="preserve"> </w:t>
      </w:r>
      <w:r w:rsidRPr="00BC50C9">
        <w:rPr>
          <w:rFonts w:hint="eastAsia"/>
          <w:rtl/>
        </w:rPr>
        <w:t>أوافق</w:t>
      </w:r>
      <w:r w:rsidRPr="00BC50C9">
        <w:rPr>
          <w:rtl/>
        </w:rPr>
        <w:t xml:space="preserve"> (2)، </w:t>
      </w:r>
      <w:r w:rsidRPr="00BC50C9">
        <w:rPr>
          <w:rFonts w:hint="eastAsia"/>
          <w:rtl/>
        </w:rPr>
        <w:t>محايد</w:t>
      </w:r>
      <w:r w:rsidRPr="00BC50C9">
        <w:rPr>
          <w:rtl/>
        </w:rPr>
        <w:t xml:space="preserve"> (3)، </w:t>
      </w:r>
      <w:r w:rsidRPr="00BC50C9">
        <w:rPr>
          <w:rFonts w:hint="eastAsia"/>
          <w:rtl/>
        </w:rPr>
        <w:t>أوافق</w:t>
      </w:r>
      <w:r w:rsidRPr="00BC50C9">
        <w:rPr>
          <w:rtl/>
        </w:rPr>
        <w:t xml:space="preserve"> (4)، </w:t>
      </w:r>
      <w:r w:rsidRPr="00BC50C9">
        <w:rPr>
          <w:rFonts w:hint="eastAsia"/>
          <w:rtl/>
        </w:rPr>
        <w:t>أوافق</w:t>
      </w:r>
      <w:r w:rsidRPr="00BC50C9">
        <w:rPr>
          <w:rtl/>
        </w:rPr>
        <w:t xml:space="preserve"> </w:t>
      </w:r>
      <w:r w:rsidRPr="00BC50C9">
        <w:rPr>
          <w:rFonts w:hint="eastAsia"/>
          <w:rtl/>
        </w:rPr>
        <w:t>بشدة</w:t>
      </w:r>
      <w:r w:rsidRPr="00BC50C9">
        <w:rPr>
          <w:rtl/>
        </w:rPr>
        <w:t xml:space="preserve"> (5).</w:t>
      </w:r>
    </w:p>
    <w:p w14:paraId="08DA5520" w14:textId="77777777" w:rsidR="000B3939" w:rsidRPr="00BC50C9" w:rsidRDefault="000B3939" w:rsidP="00BC50C9">
      <w:pPr>
        <w:bidi/>
        <w:spacing w:before="120" w:after="120" w:line="240" w:lineRule="auto"/>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hint="eastAsia"/>
          <w:b/>
          <w:bCs/>
          <w:sz w:val="24"/>
          <w:szCs w:val="28"/>
          <w:rtl/>
          <w:lang w:bidi="ar-EG"/>
        </w:rPr>
        <w:t>صدق</w:t>
      </w:r>
      <w:r w:rsidRPr="00BC50C9">
        <w:rPr>
          <w:rFonts w:ascii="Times New Roman" w:eastAsia="Calibri" w:hAnsi="Times New Roman" w:cs="Simplified Arabic"/>
          <w:b/>
          <w:bCs/>
          <w:sz w:val="24"/>
          <w:szCs w:val="28"/>
          <w:rtl/>
          <w:lang w:bidi="ar-EG"/>
        </w:rPr>
        <w:t xml:space="preserve"> الأداة </w:t>
      </w:r>
      <w:r w:rsidRPr="00BC50C9">
        <w:rPr>
          <w:rFonts w:ascii="Times New Roman" w:eastAsia="Calibri" w:hAnsi="Times New Roman" w:cs="Simplified Arabic" w:hint="cs"/>
          <w:b/>
          <w:bCs/>
          <w:sz w:val="24"/>
          <w:szCs w:val="28"/>
          <w:rtl/>
          <w:lang w:bidi="ar-EG"/>
        </w:rPr>
        <w:t>وثباتها</w:t>
      </w:r>
      <w:r w:rsidRPr="00BC50C9">
        <w:rPr>
          <w:rFonts w:ascii="Times New Roman" w:eastAsia="Calibri" w:hAnsi="Times New Roman" w:cs="Simplified Arabic"/>
          <w:b/>
          <w:bCs/>
          <w:sz w:val="24"/>
          <w:szCs w:val="28"/>
          <w:rtl/>
          <w:lang w:bidi="ar-EG"/>
        </w:rPr>
        <w:t>:</w:t>
      </w:r>
    </w:p>
    <w:p w14:paraId="1709676A" w14:textId="368EBEBE" w:rsidR="000B3939" w:rsidRPr="00EC4578" w:rsidRDefault="000B3939">
      <w:pPr>
        <w:numPr>
          <w:ilvl w:val="0"/>
          <w:numId w:val="16"/>
        </w:numPr>
        <w:bidi/>
        <w:spacing w:before="120" w:after="120" w:line="240" w:lineRule="auto"/>
        <w:contextualSpacing/>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hint="eastAsia"/>
          <w:b/>
          <w:bCs/>
          <w:sz w:val="24"/>
          <w:szCs w:val="28"/>
          <w:rtl/>
          <w:lang w:bidi="ar-EG"/>
        </w:rPr>
        <w:t>الصدق</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الظاهري</w:t>
      </w:r>
      <w:r w:rsidRPr="00BC50C9">
        <w:rPr>
          <w:rFonts w:ascii="Times New Roman" w:eastAsia="Calibri" w:hAnsi="Times New Roman" w:cs="Simplified Arabic"/>
          <w:b/>
          <w:bCs/>
          <w:sz w:val="24"/>
          <w:szCs w:val="28"/>
          <w:rtl/>
          <w:lang w:bidi="ar-EG"/>
        </w:rPr>
        <w:t xml:space="preserve"> (صدق </w:t>
      </w:r>
      <w:r w:rsidRPr="00BC50C9">
        <w:rPr>
          <w:rFonts w:ascii="Times New Roman" w:eastAsia="Calibri" w:hAnsi="Times New Roman" w:cs="Simplified Arabic" w:hint="eastAsia"/>
          <w:b/>
          <w:bCs/>
          <w:sz w:val="24"/>
          <w:szCs w:val="28"/>
          <w:rtl/>
          <w:lang w:bidi="ar-EG"/>
        </w:rPr>
        <w:t>المحكمين</w:t>
      </w:r>
      <w:r w:rsidRPr="00BC50C9">
        <w:rPr>
          <w:rFonts w:ascii="Times New Roman" w:eastAsia="Calibri" w:hAnsi="Times New Roman" w:cs="Simplified Arabic"/>
          <w:b/>
          <w:bCs/>
          <w:sz w:val="24"/>
          <w:szCs w:val="28"/>
          <w:rtl/>
          <w:lang w:bidi="ar-EG"/>
        </w:rPr>
        <w:t>):</w:t>
      </w:r>
      <w:r w:rsidR="00EC4578">
        <w:rPr>
          <w:rFonts w:ascii="Times New Roman" w:eastAsia="Calibri" w:hAnsi="Times New Roman" w:cs="Simplified Arabic" w:hint="cs"/>
          <w:b/>
          <w:bCs/>
          <w:sz w:val="24"/>
          <w:szCs w:val="28"/>
          <w:rtl/>
          <w:lang w:bidi="ar-EG"/>
        </w:rPr>
        <w:t xml:space="preserve"> </w:t>
      </w:r>
      <w:r w:rsidRPr="00EC4578">
        <w:rPr>
          <w:rFonts w:ascii="Times New Roman" w:eastAsia="Calibri" w:hAnsi="Times New Roman" w:cs="Simplified Arabic"/>
          <w:sz w:val="24"/>
          <w:szCs w:val="28"/>
          <w:rtl/>
          <w:lang w:bidi="ar-EG"/>
        </w:rPr>
        <w:t xml:space="preserve">بعد الانتهاء من إعداد الاستبانة وبناء </w:t>
      </w:r>
      <w:r w:rsidRPr="00EC4578">
        <w:rPr>
          <w:rFonts w:ascii="Times New Roman" w:eastAsia="Calibri" w:hAnsi="Times New Roman" w:cs="Simplified Arabic" w:hint="eastAsia"/>
          <w:sz w:val="24"/>
          <w:szCs w:val="28"/>
          <w:rtl/>
          <w:lang w:bidi="ar-EG"/>
        </w:rPr>
        <w:t>عباراتها</w:t>
      </w:r>
      <w:r w:rsidRPr="00EC4578">
        <w:rPr>
          <w:rFonts w:ascii="Times New Roman" w:eastAsia="Calibri" w:hAnsi="Times New Roman" w:cs="Simplified Arabic"/>
          <w:sz w:val="24"/>
          <w:szCs w:val="28"/>
          <w:rtl/>
          <w:lang w:bidi="ar-EG"/>
        </w:rPr>
        <w:t>،</w:t>
      </w:r>
      <w:r w:rsidRPr="00EC4578">
        <w:rPr>
          <w:rFonts w:ascii="Times New Roman" w:eastAsia="Calibri" w:hAnsi="Times New Roman" w:cs="Simplified Arabic"/>
          <w:noProof/>
          <w:sz w:val="24"/>
          <w:szCs w:val="28"/>
          <w:rtl/>
        </w:rPr>
        <w:t xml:space="preserve"> تم إرسال الاستبانة بعد وضع الصورة الأولية لها إلى عدد من الأساتذة المتخصصين، للحكم على مناسبة الصياغة اللغوية ووضوحها ومدى انتماء العبارات للاستبانة، وقد اتفق (</w:t>
      </w:r>
      <w:r w:rsidRPr="00EC4578">
        <w:rPr>
          <w:rFonts w:ascii="Times New Roman" w:eastAsia="Calibri" w:hAnsi="Times New Roman" w:cs="Simplified Arabic"/>
          <w:noProof/>
          <w:sz w:val="24"/>
          <w:szCs w:val="28"/>
        </w:rPr>
        <w:t>84%</w:t>
      </w:r>
      <w:r w:rsidRPr="00EC4578">
        <w:rPr>
          <w:rFonts w:ascii="Times New Roman" w:eastAsia="Calibri" w:hAnsi="Times New Roman" w:cs="Simplified Arabic"/>
          <w:noProof/>
          <w:sz w:val="24"/>
          <w:szCs w:val="28"/>
          <w:rtl/>
        </w:rPr>
        <w:t>) من السادة المحكمين على مناسبة الصياغة اللغوية للعبارات وكذلك انتمائها للاستبانة، وبذلك أصبحت الاستبانة في شكله النهائي بعد التأكد من صدقه</w:t>
      </w:r>
      <w:r w:rsidRPr="00EC4578">
        <w:rPr>
          <w:rFonts w:ascii="Times New Roman" w:eastAsia="Calibri" w:hAnsi="Times New Roman" w:cs="Simplified Arabic" w:hint="eastAsia"/>
          <w:noProof/>
          <w:sz w:val="24"/>
          <w:szCs w:val="28"/>
          <w:rtl/>
        </w:rPr>
        <w:t>ا</w:t>
      </w:r>
      <w:r w:rsidRPr="00EC4578">
        <w:rPr>
          <w:rFonts w:ascii="Times New Roman" w:eastAsia="Calibri" w:hAnsi="Times New Roman" w:cs="Simplified Arabic"/>
          <w:noProof/>
          <w:sz w:val="24"/>
          <w:szCs w:val="28"/>
          <w:rtl/>
        </w:rPr>
        <w:t xml:space="preserve"> الظاهري مكونة من (</w:t>
      </w:r>
      <w:r w:rsidRPr="00EC4578">
        <w:rPr>
          <w:rFonts w:ascii="Times New Roman" w:eastAsia="Calibri" w:hAnsi="Times New Roman" w:cs="Simplified Arabic"/>
          <w:noProof/>
          <w:sz w:val="24"/>
          <w:szCs w:val="28"/>
        </w:rPr>
        <w:t>40</w:t>
      </w:r>
      <w:r w:rsidRPr="00EC4578">
        <w:rPr>
          <w:rFonts w:ascii="Times New Roman" w:eastAsia="Calibri" w:hAnsi="Times New Roman" w:cs="Simplified Arabic"/>
          <w:noProof/>
          <w:sz w:val="24"/>
          <w:szCs w:val="28"/>
          <w:rtl/>
        </w:rPr>
        <w:t>) عبارة، موزعين على</w:t>
      </w:r>
      <w:r w:rsidRPr="00EC4578">
        <w:rPr>
          <w:rFonts w:ascii="Times New Roman" w:eastAsia="Calibri" w:hAnsi="Times New Roman" w:cs="Simplified Arabic" w:hint="cs"/>
          <w:noProof/>
          <w:sz w:val="24"/>
          <w:szCs w:val="28"/>
          <w:rtl/>
          <w:lang w:bidi="ar-EG"/>
        </w:rPr>
        <w:t xml:space="preserve"> ثلاثة</w:t>
      </w:r>
      <w:r w:rsidRPr="00EC4578">
        <w:rPr>
          <w:rFonts w:ascii="Times New Roman" w:eastAsia="Calibri" w:hAnsi="Times New Roman" w:cs="Simplified Arabic"/>
          <w:noProof/>
          <w:sz w:val="24"/>
          <w:szCs w:val="28"/>
          <w:rtl/>
          <w:lang w:bidi="ar-EG"/>
        </w:rPr>
        <w:t xml:space="preserve"> </w:t>
      </w:r>
      <w:r w:rsidRPr="00EC4578">
        <w:rPr>
          <w:rFonts w:ascii="Times New Roman" w:eastAsia="Calibri" w:hAnsi="Times New Roman" w:cs="Simplified Arabic" w:hint="eastAsia"/>
          <w:noProof/>
          <w:sz w:val="24"/>
          <w:szCs w:val="28"/>
          <w:rtl/>
          <w:lang w:bidi="ar-EG"/>
        </w:rPr>
        <w:t>محاور</w:t>
      </w:r>
      <w:r w:rsidRPr="00EC4578">
        <w:rPr>
          <w:rFonts w:ascii="Times New Roman" w:eastAsia="Calibri" w:hAnsi="Times New Roman" w:cs="Simplified Arabic"/>
          <w:noProof/>
          <w:sz w:val="24"/>
          <w:szCs w:val="28"/>
          <w:rtl/>
        </w:rPr>
        <w:t>.</w:t>
      </w:r>
    </w:p>
    <w:p w14:paraId="5ED11510" w14:textId="77777777" w:rsidR="000B3939" w:rsidRPr="00BC50C9" w:rsidRDefault="000B3939" w:rsidP="00EC4578">
      <w:pPr>
        <w:pStyle w:val="00000"/>
        <w:rPr>
          <w:noProof/>
          <w:rtl/>
        </w:rPr>
      </w:pPr>
      <w:r w:rsidRPr="00BC50C9">
        <w:rPr>
          <w:rFonts w:hint="eastAsia"/>
          <w:noProof/>
          <w:rtl/>
        </w:rPr>
        <w:t>تم</w:t>
      </w:r>
      <w:r w:rsidRPr="00BC50C9">
        <w:rPr>
          <w:noProof/>
          <w:rtl/>
        </w:rPr>
        <w:t xml:space="preserve"> </w:t>
      </w:r>
      <w:r w:rsidRPr="00BC50C9">
        <w:rPr>
          <w:rFonts w:hint="eastAsia"/>
          <w:noProof/>
          <w:rtl/>
        </w:rPr>
        <w:t>تطبيق</w:t>
      </w:r>
      <w:r w:rsidRPr="00BC50C9">
        <w:rPr>
          <w:noProof/>
          <w:rtl/>
        </w:rPr>
        <w:t xml:space="preserve"> </w:t>
      </w:r>
      <w:r w:rsidRPr="00BC50C9">
        <w:rPr>
          <w:rFonts w:hint="eastAsia"/>
          <w:noProof/>
          <w:rtl/>
        </w:rPr>
        <w:t>أداة</w:t>
      </w:r>
      <w:r w:rsidRPr="00BC50C9">
        <w:rPr>
          <w:noProof/>
          <w:rtl/>
        </w:rPr>
        <w:t xml:space="preserve"> </w:t>
      </w:r>
      <w:r w:rsidRPr="00BC50C9">
        <w:rPr>
          <w:rFonts w:hint="eastAsia"/>
          <w:noProof/>
          <w:rtl/>
        </w:rPr>
        <w:t>الدراسة</w:t>
      </w:r>
      <w:r w:rsidRPr="00BC50C9">
        <w:rPr>
          <w:noProof/>
          <w:rtl/>
        </w:rPr>
        <w:t xml:space="preserve"> (الاستبانة) </w:t>
      </w:r>
      <w:r w:rsidRPr="00BC50C9">
        <w:rPr>
          <w:rFonts w:hint="eastAsia"/>
          <w:noProof/>
          <w:rtl/>
        </w:rPr>
        <w:t>على</w:t>
      </w:r>
      <w:r w:rsidRPr="00BC50C9">
        <w:rPr>
          <w:noProof/>
          <w:rtl/>
        </w:rPr>
        <w:t xml:space="preserve"> </w:t>
      </w:r>
      <w:r w:rsidRPr="00BC50C9">
        <w:rPr>
          <w:rFonts w:hint="eastAsia"/>
          <w:noProof/>
          <w:rtl/>
        </w:rPr>
        <w:t>عينة</w:t>
      </w:r>
      <w:r w:rsidRPr="00BC50C9">
        <w:rPr>
          <w:noProof/>
          <w:rtl/>
        </w:rPr>
        <w:t xml:space="preserve"> </w:t>
      </w:r>
      <w:r w:rsidRPr="00BC50C9">
        <w:rPr>
          <w:rFonts w:hint="eastAsia"/>
          <w:noProof/>
          <w:rtl/>
        </w:rPr>
        <w:t>استطلاعية</w:t>
      </w:r>
      <w:r w:rsidRPr="00BC50C9">
        <w:rPr>
          <w:rFonts w:hint="cs"/>
          <w:noProof/>
          <w:rtl/>
        </w:rPr>
        <w:t xml:space="preserve"> والتي </w:t>
      </w:r>
      <w:r w:rsidRPr="00BC50C9">
        <w:rPr>
          <w:noProof/>
          <w:rtl/>
        </w:rPr>
        <w:t>عرف</w:t>
      </w:r>
      <w:r w:rsidRPr="00BC50C9">
        <w:rPr>
          <w:rFonts w:hint="cs"/>
          <w:noProof/>
          <w:rtl/>
        </w:rPr>
        <w:t>ها</w:t>
      </w:r>
      <w:r w:rsidRPr="00BC50C9">
        <w:rPr>
          <w:noProof/>
          <w:rtl/>
        </w:rPr>
        <w:t xml:space="preserve"> أبو ضاهر (2017، ص. 4) </w:t>
      </w:r>
      <w:r w:rsidRPr="00BC50C9">
        <w:rPr>
          <w:rFonts w:hint="cs"/>
          <w:noProof/>
          <w:rtl/>
        </w:rPr>
        <w:t>ب</w:t>
      </w:r>
      <w:r w:rsidRPr="00BC50C9">
        <w:rPr>
          <w:noProof/>
          <w:rtl/>
        </w:rPr>
        <w:t xml:space="preserve">أنها "عبارة عن عينة صغيرة جدًا يتم اختيارها من الإطار الإحصائي قبل البدء في مرحلة اختيار العينة الفعلية"، فقبل تطبيق الاستبانة على العينة الرئيسية للدراسة، </w:t>
      </w:r>
      <w:r w:rsidRPr="00BC50C9">
        <w:rPr>
          <w:rFonts w:hint="cs"/>
          <w:noProof/>
          <w:rtl/>
        </w:rPr>
        <w:t xml:space="preserve">حيث </w:t>
      </w:r>
      <w:r w:rsidRPr="00BC50C9">
        <w:rPr>
          <w:noProof/>
          <w:rtl/>
        </w:rPr>
        <w:t xml:space="preserve">تم إجراء اختبار تجريبي على عينة مكونة من (30) مفردة من مجتمع الدراسة بهدف التأكد من أن الأداة قادرة على قياس ما تم تصميمها </w:t>
      </w:r>
      <w:r w:rsidRPr="00BC50C9">
        <w:rPr>
          <w:rFonts w:hint="cs"/>
          <w:noProof/>
          <w:rtl/>
        </w:rPr>
        <w:t>لأجله</w:t>
      </w:r>
      <w:r w:rsidRPr="00BC50C9">
        <w:rPr>
          <w:noProof/>
          <w:rtl/>
        </w:rPr>
        <w:t xml:space="preserve"> بشكل دقيق وموثوق، وقد شملت هذه العملية حساب معامل ألفا كرونباخ لقياس مدى اتساق عبارات الاستبانة مع بعضها البعض، وحساب معامل ارتباط بيرسون لتقييم مدى ارتباط كل عبارة بالبعد النظري الذي تمثله </w:t>
      </w:r>
      <w:r w:rsidRPr="00BC50C9">
        <w:rPr>
          <w:rFonts w:hint="eastAsia"/>
          <w:noProof/>
          <w:rtl/>
        </w:rPr>
        <w:t>وذلك</w:t>
      </w:r>
      <w:r w:rsidRPr="00BC50C9">
        <w:rPr>
          <w:noProof/>
          <w:rtl/>
        </w:rPr>
        <w:t xml:space="preserve"> </w:t>
      </w:r>
      <w:r w:rsidRPr="00BC50C9">
        <w:rPr>
          <w:rFonts w:hint="eastAsia"/>
          <w:noProof/>
          <w:rtl/>
        </w:rPr>
        <w:t>على</w:t>
      </w:r>
      <w:r w:rsidRPr="00BC50C9">
        <w:rPr>
          <w:noProof/>
          <w:rtl/>
        </w:rPr>
        <w:t xml:space="preserve"> </w:t>
      </w:r>
      <w:r w:rsidRPr="00BC50C9">
        <w:rPr>
          <w:rFonts w:hint="eastAsia"/>
          <w:noProof/>
          <w:rtl/>
        </w:rPr>
        <w:t>النحو</w:t>
      </w:r>
      <w:r w:rsidRPr="00BC50C9">
        <w:rPr>
          <w:noProof/>
          <w:rtl/>
        </w:rPr>
        <w:t xml:space="preserve"> </w:t>
      </w:r>
      <w:r w:rsidRPr="00BC50C9">
        <w:rPr>
          <w:rFonts w:hint="eastAsia"/>
          <w:noProof/>
          <w:rtl/>
        </w:rPr>
        <w:t>التالي</w:t>
      </w:r>
      <w:r w:rsidRPr="00BC50C9">
        <w:rPr>
          <w:noProof/>
          <w:rtl/>
        </w:rPr>
        <w:t>:</w:t>
      </w:r>
    </w:p>
    <w:p w14:paraId="2F63396F" w14:textId="54927CB5" w:rsidR="000B3939" w:rsidRPr="00EC4578" w:rsidRDefault="000B3939">
      <w:pPr>
        <w:numPr>
          <w:ilvl w:val="0"/>
          <w:numId w:val="16"/>
        </w:numPr>
        <w:bidi/>
        <w:spacing w:before="120" w:after="120" w:line="240" w:lineRule="auto"/>
        <w:contextualSpacing/>
        <w:jc w:val="both"/>
        <w:rPr>
          <w:rFonts w:ascii="Times New Roman" w:eastAsia="Calibri" w:hAnsi="Times New Roman" w:cs="Simplified Arabic"/>
          <w:b/>
          <w:bCs/>
          <w:noProof/>
          <w:sz w:val="24"/>
          <w:szCs w:val="28"/>
          <w:rtl/>
        </w:rPr>
      </w:pPr>
      <w:r w:rsidRPr="00BC50C9">
        <w:rPr>
          <w:rFonts w:ascii="Times New Roman" w:eastAsia="Calibri" w:hAnsi="Times New Roman" w:cs="Simplified Arabic" w:hint="cs"/>
          <w:b/>
          <w:bCs/>
          <w:noProof/>
          <w:sz w:val="24"/>
          <w:szCs w:val="28"/>
          <w:rtl/>
        </w:rPr>
        <w:t>صدق الأداة (الاستبانة)</w:t>
      </w:r>
      <w:r w:rsidR="00EC4578">
        <w:rPr>
          <w:rFonts w:ascii="Times New Roman" w:eastAsia="Calibri" w:hAnsi="Times New Roman" w:cs="Simplified Arabic" w:hint="cs"/>
          <w:b/>
          <w:bCs/>
          <w:noProof/>
          <w:sz w:val="24"/>
          <w:szCs w:val="28"/>
          <w:rtl/>
        </w:rPr>
        <w:t xml:space="preserve"> </w:t>
      </w:r>
      <w:r w:rsidRPr="00EC4578">
        <w:rPr>
          <w:rFonts w:ascii="Times New Roman" w:eastAsia="Calibri" w:hAnsi="Times New Roman" w:cs="Simplified Arabic"/>
          <w:noProof/>
          <w:sz w:val="24"/>
          <w:szCs w:val="28"/>
          <w:rtl/>
        </w:rPr>
        <w:t xml:space="preserve">يعني صدق الاداة التأكد من أنها سوق تقيس ما أعدت لقياسه، والذي عرفه عبد الرحمن (2008، ص. 197) على أنه "هناك عدة مفاهيم أساسية تتعلق بصحة الاختبار أو صدقه بمعنى أنه لا يكون الاختبار صادقاً إلا إذا توافر ما يلي: (1) أن يكون الاختبار قادراً </w:t>
      </w:r>
      <w:r w:rsidRPr="00EC4578">
        <w:rPr>
          <w:rFonts w:ascii="Times New Roman" w:eastAsia="Calibri" w:hAnsi="Times New Roman" w:cs="Simplified Arabic"/>
          <w:noProof/>
          <w:sz w:val="24"/>
          <w:szCs w:val="28"/>
          <w:rtl/>
        </w:rPr>
        <w:lastRenderedPageBreak/>
        <w:t>على قياس ما وضع لقياسه. بمعنى أن يكون الاختبار ذا صلة وثيقة بالقدرة التي يقيسها. فالاختبار الذي صمم من أجل قياس القدرة الرياضية على سبيل المثال يجب أن يكون واضحاً أنه يقيس هذه القدرة، وذلك عن طريق مدى صلته بمكونات القدرة الرياضية وعناصرها. (2) أن يكون الاختبار قادراً على قياس ما وضع لقياسه فقط. بمعنى أن يكون هذا الاختبار قادراً على أن يميز بين القدرة التي يقيسها والقدرات الأخرى التي يحتمل أن تختلط بها أو تتداخل معها. فاختبار في القدرة الرياضية - بجانب قدرته على قياس هذه القدرة - يجب أن يقيسها، فقط بمعنى ألا يتأثر بالقدرة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قادراً على التمييز بين طرفي القدرة التي 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 وجاء صدق (الاستبانة) على النحو التالي:</w:t>
      </w:r>
    </w:p>
    <w:p w14:paraId="4E3CF753" w14:textId="528D6139" w:rsidR="000B3939" w:rsidRPr="00EC4578" w:rsidRDefault="000B3939">
      <w:pPr>
        <w:numPr>
          <w:ilvl w:val="0"/>
          <w:numId w:val="16"/>
        </w:numPr>
        <w:bidi/>
        <w:spacing w:before="120" w:after="120" w:line="240" w:lineRule="auto"/>
        <w:contextualSpacing/>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b/>
          <w:bCs/>
          <w:sz w:val="24"/>
          <w:szCs w:val="28"/>
          <w:rtl/>
          <w:lang w:bidi="ar-EG"/>
        </w:rPr>
        <w:t xml:space="preserve">صدق الاتساق الداخلي </w:t>
      </w:r>
      <w:r w:rsidRPr="00BC50C9">
        <w:rPr>
          <w:rFonts w:ascii="Times New Roman" w:eastAsia="Calibri" w:hAnsi="Times New Roman" w:cs="Simplified Arabic" w:hint="eastAsia"/>
          <w:b/>
          <w:bCs/>
          <w:sz w:val="24"/>
          <w:szCs w:val="28"/>
          <w:rtl/>
          <w:lang w:bidi="ar-EG"/>
        </w:rPr>
        <w:t>لأبعاد</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المحور</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الأول</w:t>
      </w:r>
      <w:r w:rsidRPr="00BC50C9">
        <w:rPr>
          <w:rFonts w:ascii="Times New Roman" w:eastAsia="Calibri" w:hAnsi="Times New Roman" w:cs="Simplified Arabic"/>
          <w:b/>
          <w:bCs/>
          <w:sz w:val="24"/>
          <w:szCs w:val="28"/>
          <w:rtl/>
          <w:lang w:bidi="ar-EG"/>
        </w:rPr>
        <w:t>:</w:t>
      </w:r>
      <w:r w:rsidRPr="00BC50C9">
        <w:rPr>
          <w:rFonts w:ascii="Times New Roman" w:eastAsiaTheme="minorEastAsia" w:hAnsi="Times New Roman" w:cs="Simplified Arabic" w:hint="cs"/>
          <w:b/>
          <w:bCs/>
          <w:sz w:val="24"/>
          <w:szCs w:val="28"/>
          <w:rtl/>
          <w:lang w:bidi="ar-KW"/>
        </w:rPr>
        <w:t xml:space="preserve"> </w:t>
      </w:r>
      <w:r w:rsidRPr="00BC50C9">
        <w:rPr>
          <w:rFonts w:ascii="Times New Roman" w:eastAsia="Calibri" w:hAnsi="Times New Roman" w:cs="Simplified Arabic" w:hint="cs"/>
          <w:b/>
          <w:bCs/>
          <w:sz w:val="24"/>
          <w:szCs w:val="28"/>
          <w:rtl/>
          <w:lang w:bidi="ar-KW"/>
        </w:rPr>
        <w:t>التمويل التشاركي</w:t>
      </w:r>
      <w:r w:rsidRPr="00BC50C9">
        <w:rPr>
          <w:rFonts w:ascii="Times New Roman" w:eastAsia="Calibri" w:hAnsi="Times New Roman" w:cs="Simplified Arabic"/>
          <w:b/>
          <w:bCs/>
          <w:sz w:val="24"/>
          <w:szCs w:val="28"/>
          <w:lang w:bidi="ar-EG"/>
        </w:rPr>
        <w:t>.</w:t>
      </w:r>
      <w:r w:rsidR="00EC4578">
        <w:rPr>
          <w:rFonts w:ascii="Times New Roman" w:eastAsia="Calibri" w:hAnsi="Times New Roman" w:cs="Simplified Arabic" w:hint="cs"/>
          <w:b/>
          <w:bCs/>
          <w:sz w:val="24"/>
          <w:szCs w:val="28"/>
          <w:rtl/>
          <w:lang w:bidi="ar-EG"/>
        </w:rPr>
        <w:t xml:space="preserve"> </w:t>
      </w:r>
      <w:r w:rsidRPr="00EC4578">
        <w:rPr>
          <w:rFonts w:ascii="Times New Roman" w:eastAsia="Calibri" w:hAnsi="Times New Roman" w:cs="Simplified Arabic"/>
          <w:sz w:val="24"/>
          <w:szCs w:val="28"/>
          <w:rtl/>
          <w:lang w:bidi="ar-EG"/>
        </w:rPr>
        <w:t xml:space="preserve">تم حساب صدق الاتساق الداخلي بحساب معامل ارتباط بيرسون بين درجات كل </w:t>
      </w:r>
      <w:r w:rsidRPr="00EC4578">
        <w:rPr>
          <w:rFonts w:ascii="Times New Roman" w:eastAsia="Calibri" w:hAnsi="Times New Roman" w:cs="Simplified Arabic" w:hint="cs"/>
          <w:sz w:val="24"/>
          <w:szCs w:val="28"/>
          <w:rtl/>
          <w:lang w:bidi="ar-EG"/>
        </w:rPr>
        <w:t>عبارة</w:t>
      </w:r>
      <w:r w:rsidRPr="00EC4578">
        <w:rPr>
          <w:rFonts w:ascii="Times New Roman" w:eastAsia="Calibri" w:hAnsi="Times New Roman" w:cs="Simplified Arabic"/>
          <w:sz w:val="24"/>
          <w:szCs w:val="28"/>
          <w:rtl/>
          <w:lang w:bidi="ar-EG"/>
        </w:rPr>
        <w:t xml:space="preserve"> والدرجة الكلية </w:t>
      </w:r>
      <w:r w:rsidRPr="00EC4578">
        <w:rPr>
          <w:rFonts w:ascii="Times New Roman" w:eastAsia="Calibri" w:hAnsi="Times New Roman" w:cs="Simplified Arabic" w:hint="cs"/>
          <w:sz w:val="24"/>
          <w:szCs w:val="28"/>
          <w:rtl/>
          <w:lang w:bidi="ar-EG"/>
        </w:rPr>
        <w:t>للبعد</w:t>
      </w:r>
      <w:r w:rsidRPr="00EC4578">
        <w:rPr>
          <w:rFonts w:ascii="Times New Roman" w:eastAsia="Calibri" w:hAnsi="Times New Roman" w:cs="Simplified Arabic"/>
          <w:sz w:val="24"/>
          <w:szCs w:val="28"/>
          <w:rtl/>
          <w:lang w:bidi="ar-EG"/>
        </w:rPr>
        <w:t xml:space="preserve"> ال</w:t>
      </w:r>
      <w:r w:rsidRPr="00EC4578">
        <w:rPr>
          <w:rFonts w:ascii="Times New Roman" w:eastAsia="Calibri" w:hAnsi="Times New Roman" w:cs="Simplified Arabic" w:hint="cs"/>
          <w:sz w:val="24"/>
          <w:szCs w:val="28"/>
          <w:rtl/>
          <w:lang w:bidi="ar-EG"/>
        </w:rPr>
        <w:t>ذ</w:t>
      </w:r>
      <w:r w:rsidRPr="00EC4578">
        <w:rPr>
          <w:rFonts w:ascii="Times New Roman" w:eastAsia="Calibri" w:hAnsi="Times New Roman" w:cs="Simplified Arabic"/>
          <w:sz w:val="24"/>
          <w:szCs w:val="28"/>
          <w:rtl/>
          <w:lang w:bidi="ar-EG"/>
        </w:rPr>
        <w:t xml:space="preserve">ي تنتمي إليه العبارة من </w:t>
      </w:r>
      <w:r w:rsidRPr="00EC4578">
        <w:rPr>
          <w:rFonts w:ascii="Times New Roman" w:eastAsia="Calibri" w:hAnsi="Times New Roman" w:cs="Simplified Arabic" w:hint="cs"/>
          <w:sz w:val="24"/>
          <w:szCs w:val="28"/>
          <w:rtl/>
          <w:lang w:bidi="ar-EG"/>
        </w:rPr>
        <w:t>عبارات</w:t>
      </w:r>
      <w:r w:rsidRPr="00EC4578">
        <w:rPr>
          <w:rFonts w:ascii="Times New Roman" w:eastAsia="Calibri" w:hAnsi="Times New Roman" w:cs="Simplified Arabic"/>
          <w:sz w:val="24"/>
          <w:szCs w:val="28"/>
          <w:rtl/>
          <w:lang w:bidi="ar-EG"/>
        </w:rPr>
        <w:t xml:space="preserve"> </w:t>
      </w:r>
      <w:r w:rsidRPr="00EC4578">
        <w:rPr>
          <w:rFonts w:ascii="Times New Roman" w:eastAsia="Calibri" w:hAnsi="Times New Roman" w:cs="Simplified Arabic" w:hint="cs"/>
          <w:sz w:val="24"/>
          <w:szCs w:val="28"/>
          <w:rtl/>
          <w:lang w:bidi="ar-EG"/>
        </w:rPr>
        <w:t>المحور الأول ب</w:t>
      </w:r>
      <w:r w:rsidRPr="00EC4578">
        <w:rPr>
          <w:rFonts w:ascii="Times New Roman" w:eastAsia="Calibri" w:hAnsi="Times New Roman" w:cs="Simplified Arabic"/>
          <w:sz w:val="24"/>
          <w:szCs w:val="28"/>
          <w:rtl/>
          <w:lang w:bidi="ar-EG"/>
        </w:rPr>
        <w:t xml:space="preserve">الاستبانة </w:t>
      </w:r>
      <w:r w:rsidRPr="00EC4578">
        <w:rPr>
          <w:rFonts w:ascii="Times New Roman" w:eastAsia="Calibri" w:hAnsi="Times New Roman" w:cs="Simplified Arabic" w:hint="cs"/>
          <w:sz w:val="24"/>
          <w:szCs w:val="28"/>
          <w:rtl/>
          <w:lang w:bidi="ar-EG"/>
        </w:rPr>
        <w:t>و</w:t>
      </w:r>
      <w:r w:rsidRPr="00EC4578">
        <w:rPr>
          <w:rFonts w:ascii="Times New Roman" w:eastAsia="Calibri" w:hAnsi="Times New Roman" w:cs="Simplified Arabic"/>
          <w:sz w:val="24"/>
          <w:szCs w:val="28"/>
          <w:rtl/>
          <w:lang w:bidi="ar-EG"/>
        </w:rPr>
        <w:t xml:space="preserve">يوضح نتائجها </w:t>
      </w:r>
      <w:r w:rsidRPr="00EC4578">
        <w:rPr>
          <w:rFonts w:ascii="Times New Roman" w:eastAsia="Calibri" w:hAnsi="Times New Roman" w:cs="Simplified Arabic" w:hint="cs"/>
          <w:sz w:val="24"/>
          <w:szCs w:val="28"/>
          <w:rtl/>
          <w:lang w:bidi="ar-EG"/>
        </w:rPr>
        <w:t>ال</w:t>
      </w:r>
      <w:r w:rsidRPr="00EC4578">
        <w:rPr>
          <w:rFonts w:ascii="Times New Roman" w:eastAsia="Calibri" w:hAnsi="Times New Roman" w:cs="Simplified Arabic"/>
          <w:sz w:val="24"/>
          <w:szCs w:val="28"/>
          <w:rtl/>
          <w:lang w:bidi="ar-EG"/>
        </w:rPr>
        <w:t>جدول</w:t>
      </w:r>
      <w:r w:rsidRPr="00EC4578">
        <w:rPr>
          <w:rFonts w:ascii="Times New Roman" w:eastAsia="Calibri" w:hAnsi="Times New Roman" w:cs="Simplified Arabic" w:hint="cs"/>
          <w:sz w:val="24"/>
          <w:szCs w:val="28"/>
          <w:rtl/>
          <w:lang w:bidi="ar-EG"/>
        </w:rPr>
        <w:t xml:space="preserve"> </w:t>
      </w:r>
      <w:r w:rsidRPr="00EC4578">
        <w:rPr>
          <w:rFonts w:ascii="Times New Roman" w:eastAsia="Calibri" w:hAnsi="Times New Roman" w:cs="Simplified Arabic"/>
          <w:sz w:val="24"/>
          <w:szCs w:val="28"/>
          <w:rtl/>
          <w:lang w:bidi="ar-EG"/>
        </w:rPr>
        <w:t>التالي</w:t>
      </w:r>
      <w:r w:rsidRPr="00EC4578">
        <w:rPr>
          <w:rFonts w:ascii="Times New Roman" w:eastAsia="Calibri" w:hAnsi="Times New Roman" w:cs="Simplified Arabic" w:hint="cs"/>
          <w:sz w:val="24"/>
          <w:szCs w:val="28"/>
          <w:rtl/>
          <w:lang w:bidi="ar-EG"/>
        </w:rPr>
        <w:t>:</w:t>
      </w:r>
    </w:p>
    <w:p w14:paraId="13E8F93B" w14:textId="77777777" w:rsidR="000B3939" w:rsidRPr="00BC50C9" w:rsidRDefault="000B3939" w:rsidP="00EC4578">
      <w:pPr>
        <w:pStyle w:val="33333"/>
        <w:rPr>
          <w:rtl/>
        </w:rPr>
      </w:pPr>
      <w:bookmarkStart w:id="80" w:name="_Toc170412845"/>
      <w:bookmarkStart w:id="81" w:name="_Toc195456539"/>
      <w:r w:rsidRPr="00BC50C9">
        <w:rPr>
          <w:rFonts w:hint="cs"/>
          <w:rtl/>
        </w:rPr>
        <w:t>ال</w:t>
      </w:r>
      <w:r w:rsidRPr="00BC50C9">
        <w:rPr>
          <w:rtl/>
        </w:rPr>
        <w:t>جدول رقم (</w:t>
      </w:r>
      <w:r w:rsidRPr="00BC50C9">
        <w:rPr>
          <w:rFonts w:hint="cs"/>
          <w:rtl/>
        </w:rPr>
        <w:t>3-2</w:t>
      </w:r>
      <w:r w:rsidRPr="00BC50C9">
        <w:rPr>
          <w:rtl/>
        </w:rPr>
        <w:t xml:space="preserve">) معاملات ارتباط بيرسون بين درجات كل عبارة والدرجة الكلية </w:t>
      </w:r>
      <w:r w:rsidRPr="00BC50C9">
        <w:rPr>
          <w:rFonts w:hint="cs"/>
          <w:rtl/>
        </w:rPr>
        <w:t>للبعد</w:t>
      </w:r>
      <w:r w:rsidRPr="00BC50C9">
        <w:rPr>
          <w:rtl/>
        </w:rPr>
        <w:t xml:space="preserve"> ال</w:t>
      </w:r>
      <w:r w:rsidRPr="00BC50C9">
        <w:rPr>
          <w:rFonts w:hint="cs"/>
          <w:rtl/>
        </w:rPr>
        <w:t>ذ</w:t>
      </w:r>
      <w:r w:rsidRPr="00BC50C9">
        <w:rPr>
          <w:rtl/>
        </w:rPr>
        <w:t xml:space="preserve">ي تنتمي إليه العبارة </w:t>
      </w:r>
      <w:r w:rsidRPr="00BC50C9">
        <w:rPr>
          <w:rFonts w:hint="cs"/>
          <w:rtl/>
        </w:rPr>
        <w:t xml:space="preserve">في </w:t>
      </w:r>
      <w:r w:rsidRPr="00BC50C9">
        <w:rPr>
          <w:rFonts w:hint="eastAsia"/>
          <w:rtl/>
        </w:rPr>
        <w:t>المحور</w:t>
      </w:r>
      <w:r w:rsidRPr="00BC50C9">
        <w:rPr>
          <w:rtl/>
        </w:rPr>
        <w:t xml:space="preserve"> </w:t>
      </w:r>
      <w:r w:rsidRPr="00BC50C9">
        <w:rPr>
          <w:rFonts w:hint="eastAsia"/>
          <w:rtl/>
        </w:rPr>
        <w:t>الأول</w:t>
      </w:r>
      <w:r w:rsidRPr="00BC50C9">
        <w:rPr>
          <w:rFonts w:hint="cs"/>
          <w:rtl/>
        </w:rPr>
        <w:t xml:space="preserve">: </w:t>
      </w:r>
      <w:bookmarkEnd w:id="80"/>
      <w:r w:rsidRPr="00BC50C9">
        <w:rPr>
          <w:rFonts w:hint="cs"/>
          <w:rtl/>
          <w:lang w:bidi="ar-KW"/>
        </w:rPr>
        <w:t>التمويل التشاركي</w:t>
      </w:r>
      <w:bookmarkEnd w:id="81"/>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7"/>
        <w:gridCol w:w="1606"/>
        <w:gridCol w:w="1341"/>
        <w:gridCol w:w="1700"/>
        <w:gridCol w:w="1695"/>
        <w:gridCol w:w="7"/>
        <w:gridCol w:w="1686"/>
      </w:tblGrid>
      <w:tr w:rsidR="000B3939" w:rsidRPr="00EC4578" w14:paraId="08FAF6C8" w14:textId="77777777" w:rsidTr="00EC4578">
        <w:trPr>
          <w:jc w:val="center"/>
        </w:trPr>
        <w:tc>
          <w:tcPr>
            <w:tcW w:w="567" w:type="pct"/>
            <w:shd w:val="clear" w:color="auto" w:fill="BFBFBF"/>
            <w:vAlign w:val="center"/>
          </w:tcPr>
          <w:p w14:paraId="6BAE0A3F"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 xml:space="preserve">رقم </w:t>
            </w:r>
            <w:r w:rsidRPr="00EC4578">
              <w:rPr>
                <w:rFonts w:ascii="Times New Roman" w:eastAsia="Calibri" w:hAnsi="Times New Roman" w:cs="Simplified Arabic" w:hint="cs"/>
                <w:b/>
                <w:bCs/>
                <w:sz w:val="24"/>
                <w:szCs w:val="24"/>
                <w:rtl/>
              </w:rPr>
              <w:t>الفقرة</w:t>
            </w:r>
          </w:p>
        </w:tc>
        <w:tc>
          <w:tcPr>
            <w:tcW w:w="886" w:type="pct"/>
            <w:shd w:val="clear" w:color="auto" w:fill="auto"/>
            <w:vAlign w:val="center"/>
          </w:tcPr>
          <w:p w14:paraId="0ECC0D79"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معامل الارتباط</w:t>
            </w:r>
          </w:p>
        </w:tc>
        <w:tc>
          <w:tcPr>
            <w:tcW w:w="740" w:type="pct"/>
            <w:shd w:val="clear" w:color="auto" w:fill="BFBFBF"/>
            <w:vAlign w:val="center"/>
          </w:tcPr>
          <w:p w14:paraId="452D94BA"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 xml:space="preserve">رقم </w:t>
            </w:r>
            <w:r w:rsidRPr="00EC4578">
              <w:rPr>
                <w:rFonts w:ascii="Times New Roman" w:eastAsia="Calibri" w:hAnsi="Times New Roman" w:cs="Simplified Arabic" w:hint="cs"/>
                <w:b/>
                <w:bCs/>
                <w:sz w:val="24"/>
                <w:szCs w:val="24"/>
                <w:rtl/>
              </w:rPr>
              <w:t>الفقرة</w:t>
            </w:r>
          </w:p>
        </w:tc>
        <w:tc>
          <w:tcPr>
            <w:tcW w:w="938" w:type="pct"/>
            <w:shd w:val="clear" w:color="auto" w:fill="auto"/>
            <w:vAlign w:val="center"/>
          </w:tcPr>
          <w:p w14:paraId="00AF7F23"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معامل الارتباط</w:t>
            </w:r>
          </w:p>
        </w:tc>
        <w:tc>
          <w:tcPr>
            <w:tcW w:w="939" w:type="pct"/>
            <w:gridSpan w:val="2"/>
            <w:shd w:val="clear" w:color="auto" w:fill="BFBFBF"/>
            <w:vAlign w:val="center"/>
          </w:tcPr>
          <w:p w14:paraId="67AD13D7"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 xml:space="preserve">رقم </w:t>
            </w:r>
            <w:r w:rsidRPr="00EC4578">
              <w:rPr>
                <w:rFonts w:ascii="Times New Roman" w:eastAsia="Calibri" w:hAnsi="Times New Roman" w:cs="Simplified Arabic" w:hint="cs"/>
                <w:b/>
                <w:bCs/>
                <w:sz w:val="24"/>
                <w:szCs w:val="24"/>
                <w:rtl/>
              </w:rPr>
              <w:t>الفقرة</w:t>
            </w:r>
          </w:p>
        </w:tc>
        <w:tc>
          <w:tcPr>
            <w:tcW w:w="930" w:type="pct"/>
            <w:shd w:val="clear" w:color="auto" w:fill="auto"/>
            <w:vAlign w:val="center"/>
          </w:tcPr>
          <w:p w14:paraId="75DF0CCC"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EC4578">
              <w:rPr>
                <w:rFonts w:ascii="Times New Roman" w:eastAsia="Calibri" w:hAnsi="Times New Roman" w:cs="Simplified Arabic"/>
                <w:b/>
                <w:bCs/>
                <w:sz w:val="24"/>
                <w:szCs w:val="24"/>
                <w:rtl/>
              </w:rPr>
              <w:t>معامل الارتباط</w:t>
            </w:r>
          </w:p>
        </w:tc>
      </w:tr>
      <w:tr w:rsidR="000B3939" w:rsidRPr="00EC4578" w14:paraId="2F8F7755" w14:textId="77777777" w:rsidTr="00EC4578">
        <w:trPr>
          <w:jc w:val="center"/>
        </w:trPr>
        <w:tc>
          <w:tcPr>
            <w:tcW w:w="5000" w:type="pct"/>
            <w:gridSpan w:val="7"/>
            <w:shd w:val="clear" w:color="auto" w:fill="BFBFBF"/>
            <w:vAlign w:val="center"/>
          </w:tcPr>
          <w:p w14:paraId="1EDA161F"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b/>
                <w:bCs/>
                <w:sz w:val="24"/>
                <w:szCs w:val="24"/>
                <w:rtl/>
                <w:lang w:bidi="ar-EG"/>
              </w:rPr>
            </w:pPr>
            <w:r w:rsidRPr="00EC4578">
              <w:rPr>
                <w:rFonts w:ascii="Times New Roman" w:eastAsia="Calibri" w:hAnsi="Times New Roman" w:cs="Simplified Arabic" w:hint="cs"/>
                <w:b/>
                <w:bCs/>
                <w:sz w:val="24"/>
                <w:szCs w:val="24"/>
                <w:rtl/>
                <w:lang w:bidi="ar-EG"/>
              </w:rPr>
              <w:t xml:space="preserve">البعد الأول: التمويل </w:t>
            </w:r>
            <w:proofErr w:type="spellStart"/>
            <w:r w:rsidRPr="00EC4578">
              <w:rPr>
                <w:rFonts w:ascii="Times New Roman" w:eastAsia="Calibri" w:hAnsi="Times New Roman" w:cs="Simplified Arabic" w:hint="cs"/>
                <w:b/>
                <w:bCs/>
                <w:sz w:val="24"/>
                <w:szCs w:val="24"/>
                <w:rtl/>
                <w:lang w:bidi="ar-EG"/>
              </w:rPr>
              <w:t>التبرعي</w:t>
            </w:r>
            <w:proofErr w:type="spellEnd"/>
          </w:p>
        </w:tc>
      </w:tr>
      <w:tr w:rsidR="000B3939" w:rsidRPr="00EC4578" w14:paraId="2B997376" w14:textId="77777777" w:rsidTr="00EC4578">
        <w:trPr>
          <w:jc w:val="center"/>
        </w:trPr>
        <w:tc>
          <w:tcPr>
            <w:tcW w:w="567" w:type="pct"/>
            <w:shd w:val="clear" w:color="auto" w:fill="BFBFBF"/>
            <w:vAlign w:val="center"/>
          </w:tcPr>
          <w:p w14:paraId="2DE1CA14"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lang w:bidi="ar-EG"/>
              </w:rPr>
            </w:pPr>
            <w:r w:rsidRPr="00EC4578">
              <w:rPr>
                <w:rFonts w:ascii="Times New Roman" w:eastAsia="Calibri" w:hAnsi="Times New Roman" w:cs="Simplified Arabic" w:hint="cs"/>
                <w:sz w:val="24"/>
                <w:szCs w:val="24"/>
                <w:rtl/>
                <w:lang w:bidi="ar-EG"/>
              </w:rPr>
              <w:t>1</w:t>
            </w:r>
          </w:p>
        </w:tc>
        <w:tc>
          <w:tcPr>
            <w:tcW w:w="886" w:type="pct"/>
            <w:shd w:val="clear" w:color="auto" w:fill="auto"/>
            <w:vAlign w:val="center"/>
          </w:tcPr>
          <w:p w14:paraId="4A121EB5"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kern w:val="2"/>
                <w:sz w:val="24"/>
                <w:szCs w:val="24"/>
                <w14:ligatures w14:val="standardContextual"/>
              </w:rPr>
              <w:t>.740**</w:t>
            </w:r>
          </w:p>
        </w:tc>
        <w:tc>
          <w:tcPr>
            <w:tcW w:w="740" w:type="pct"/>
            <w:shd w:val="clear" w:color="auto" w:fill="BFBFBF"/>
            <w:vAlign w:val="center"/>
          </w:tcPr>
          <w:p w14:paraId="3430DD7F"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kern w:val="2"/>
                <w:sz w:val="24"/>
                <w:szCs w:val="24"/>
                <w:rtl/>
                <w14:ligatures w14:val="standardContextual"/>
              </w:rPr>
              <w:t>2</w:t>
            </w:r>
          </w:p>
        </w:tc>
        <w:tc>
          <w:tcPr>
            <w:tcW w:w="938" w:type="pct"/>
            <w:shd w:val="clear" w:color="auto" w:fill="auto"/>
            <w:vAlign w:val="center"/>
          </w:tcPr>
          <w:p w14:paraId="51AE1F83"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.803**</w:t>
            </w:r>
          </w:p>
        </w:tc>
        <w:tc>
          <w:tcPr>
            <w:tcW w:w="939" w:type="pct"/>
            <w:gridSpan w:val="2"/>
            <w:shd w:val="clear" w:color="auto" w:fill="BFBFBF"/>
            <w:vAlign w:val="center"/>
          </w:tcPr>
          <w:p w14:paraId="1FFBBE48"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kern w:val="2"/>
                <w:sz w:val="24"/>
                <w:szCs w:val="24"/>
                <w:rtl/>
                <w14:ligatures w14:val="standardContextual"/>
              </w:rPr>
              <w:t>3</w:t>
            </w:r>
          </w:p>
        </w:tc>
        <w:tc>
          <w:tcPr>
            <w:tcW w:w="930" w:type="pct"/>
            <w:shd w:val="clear" w:color="auto" w:fill="auto"/>
            <w:vAlign w:val="center"/>
          </w:tcPr>
          <w:p w14:paraId="17BF93E5"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.876**</w:t>
            </w:r>
          </w:p>
        </w:tc>
      </w:tr>
      <w:tr w:rsidR="000B3939" w:rsidRPr="00EC4578" w14:paraId="7CA3C72D" w14:textId="77777777" w:rsidTr="00EC4578">
        <w:trPr>
          <w:jc w:val="center"/>
        </w:trPr>
        <w:tc>
          <w:tcPr>
            <w:tcW w:w="567" w:type="pct"/>
            <w:shd w:val="clear" w:color="auto" w:fill="BFBFBF"/>
            <w:vAlign w:val="center"/>
          </w:tcPr>
          <w:p w14:paraId="38EF4358"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lang w:bidi="ar-EG"/>
              </w:rPr>
            </w:pPr>
            <w:r w:rsidRPr="00EC4578">
              <w:rPr>
                <w:rFonts w:ascii="Times New Roman" w:eastAsia="Calibri" w:hAnsi="Times New Roman" w:cs="Simplified Arabic" w:hint="cs"/>
                <w:sz w:val="24"/>
                <w:szCs w:val="24"/>
                <w:rtl/>
              </w:rPr>
              <w:t>4</w:t>
            </w:r>
          </w:p>
        </w:tc>
        <w:tc>
          <w:tcPr>
            <w:tcW w:w="886" w:type="pct"/>
            <w:shd w:val="clear" w:color="auto" w:fill="auto"/>
            <w:vAlign w:val="center"/>
          </w:tcPr>
          <w:p w14:paraId="4DF759C4"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.938**</w:t>
            </w:r>
          </w:p>
        </w:tc>
        <w:tc>
          <w:tcPr>
            <w:tcW w:w="740" w:type="pct"/>
            <w:shd w:val="clear" w:color="auto" w:fill="BFBFBF"/>
            <w:vAlign w:val="center"/>
          </w:tcPr>
          <w:p w14:paraId="253B8308"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hint="cs"/>
                <w:sz w:val="24"/>
                <w:szCs w:val="24"/>
                <w:rtl/>
              </w:rPr>
              <w:t>5</w:t>
            </w:r>
          </w:p>
        </w:tc>
        <w:tc>
          <w:tcPr>
            <w:tcW w:w="938" w:type="pct"/>
            <w:shd w:val="clear" w:color="auto" w:fill="auto"/>
            <w:vAlign w:val="center"/>
          </w:tcPr>
          <w:p w14:paraId="771E80AD"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.870**</w:t>
            </w:r>
          </w:p>
        </w:tc>
        <w:tc>
          <w:tcPr>
            <w:tcW w:w="939" w:type="pct"/>
            <w:gridSpan w:val="2"/>
            <w:shd w:val="clear" w:color="auto" w:fill="BFBFBF"/>
            <w:vAlign w:val="center"/>
          </w:tcPr>
          <w:p w14:paraId="683B6495"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hint="cs"/>
                <w:sz w:val="24"/>
                <w:szCs w:val="24"/>
                <w:rtl/>
              </w:rPr>
              <w:t>6</w:t>
            </w:r>
          </w:p>
        </w:tc>
        <w:tc>
          <w:tcPr>
            <w:tcW w:w="930" w:type="pct"/>
            <w:shd w:val="clear" w:color="auto" w:fill="auto"/>
            <w:vAlign w:val="center"/>
          </w:tcPr>
          <w:p w14:paraId="498E8C28"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.871**</w:t>
            </w:r>
          </w:p>
        </w:tc>
      </w:tr>
      <w:tr w:rsidR="000B3939" w:rsidRPr="00EC4578" w14:paraId="77B113A8" w14:textId="77777777" w:rsidTr="00EC4578">
        <w:trPr>
          <w:jc w:val="center"/>
        </w:trPr>
        <w:tc>
          <w:tcPr>
            <w:tcW w:w="567" w:type="pct"/>
            <w:shd w:val="clear" w:color="auto" w:fill="BFBFBF"/>
            <w:vAlign w:val="center"/>
          </w:tcPr>
          <w:p w14:paraId="321CF1B9"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lang w:bidi="ar-EG"/>
              </w:rPr>
            </w:pPr>
            <w:r w:rsidRPr="00EC4578">
              <w:rPr>
                <w:rFonts w:ascii="Times New Roman" w:eastAsia="Calibri" w:hAnsi="Times New Roman" w:cs="Simplified Arabic" w:hint="cs"/>
                <w:sz w:val="24"/>
                <w:szCs w:val="24"/>
                <w:rtl/>
              </w:rPr>
              <w:t>7</w:t>
            </w:r>
          </w:p>
        </w:tc>
        <w:tc>
          <w:tcPr>
            <w:tcW w:w="886" w:type="pct"/>
            <w:shd w:val="clear" w:color="auto" w:fill="auto"/>
            <w:vAlign w:val="center"/>
          </w:tcPr>
          <w:p w14:paraId="1B722119"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bookmarkStart w:id="82" w:name="_Hlk178691662"/>
            <w:r w:rsidRPr="00EC4578">
              <w:rPr>
                <w:rFonts w:ascii="Times New Roman" w:eastAsia="Calibri" w:hAnsi="Times New Roman" w:cs="Simplified Arabic"/>
                <w:kern w:val="2"/>
                <w:sz w:val="24"/>
                <w:szCs w:val="24"/>
                <w14:ligatures w14:val="standardContextual"/>
              </w:rPr>
              <w:t>.882</w:t>
            </w:r>
            <w:bookmarkEnd w:id="82"/>
            <w:r w:rsidRPr="00EC4578">
              <w:rPr>
                <w:rFonts w:ascii="Times New Roman" w:eastAsia="Calibri" w:hAnsi="Times New Roman" w:cs="Simplified Arabic"/>
                <w:kern w:val="2"/>
                <w:sz w:val="24"/>
                <w:szCs w:val="24"/>
                <w14:ligatures w14:val="standardContextual"/>
              </w:rPr>
              <w:t>**</w:t>
            </w:r>
          </w:p>
        </w:tc>
        <w:tc>
          <w:tcPr>
            <w:tcW w:w="740" w:type="pct"/>
            <w:shd w:val="clear" w:color="auto" w:fill="BFBFBF"/>
            <w:vAlign w:val="center"/>
          </w:tcPr>
          <w:p w14:paraId="046C7C3A"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hint="cs"/>
                <w:sz w:val="24"/>
                <w:szCs w:val="24"/>
                <w:rtl/>
              </w:rPr>
              <w:t>8</w:t>
            </w:r>
          </w:p>
        </w:tc>
        <w:tc>
          <w:tcPr>
            <w:tcW w:w="938" w:type="pct"/>
            <w:shd w:val="clear" w:color="auto" w:fill="auto"/>
            <w:vAlign w:val="center"/>
          </w:tcPr>
          <w:p w14:paraId="50E65CC4"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.755**</w:t>
            </w:r>
          </w:p>
        </w:tc>
        <w:tc>
          <w:tcPr>
            <w:tcW w:w="1869" w:type="pct"/>
            <w:gridSpan w:val="3"/>
            <w:shd w:val="clear" w:color="auto" w:fill="BFBFBF"/>
            <w:vAlign w:val="center"/>
          </w:tcPr>
          <w:p w14:paraId="30819EAD"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0B3939" w:rsidRPr="00EC4578" w14:paraId="05606B95" w14:textId="77777777" w:rsidTr="00EC4578">
        <w:trPr>
          <w:jc w:val="center"/>
        </w:trPr>
        <w:tc>
          <w:tcPr>
            <w:tcW w:w="5000" w:type="pct"/>
            <w:gridSpan w:val="7"/>
            <w:shd w:val="clear" w:color="auto" w:fill="BFBFBF"/>
            <w:vAlign w:val="center"/>
          </w:tcPr>
          <w:p w14:paraId="5F4C18CD"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Pr>
            </w:pPr>
            <w:r w:rsidRPr="00EC4578">
              <w:rPr>
                <w:rFonts w:ascii="Times New Roman" w:eastAsia="Calibri" w:hAnsi="Times New Roman" w:cs="Simplified Arabic" w:hint="cs"/>
                <w:b/>
                <w:bCs/>
                <w:sz w:val="24"/>
                <w:szCs w:val="24"/>
                <w:rtl/>
                <w:lang w:bidi="ar-EG"/>
              </w:rPr>
              <w:t xml:space="preserve">البعد الثاني: </w:t>
            </w:r>
            <w:r w:rsidRPr="00EC4578">
              <w:rPr>
                <w:rFonts w:ascii="Times New Roman" w:eastAsia="Calibri" w:hAnsi="Times New Roman" w:cs="Simplified Arabic"/>
                <w:b/>
                <w:bCs/>
                <w:sz w:val="24"/>
                <w:szCs w:val="24"/>
                <w:rtl/>
                <w:lang w:bidi="ar-EG"/>
              </w:rPr>
              <w:t>التمويل القائم على المكافآت</w:t>
            </w:r>
          </w:p>
        </w:tc>
      </w:tr>
      <w:tr w:rsidR="000B3939" w:rsidRPr="00EC4578" w14:paraId="28F4DFE7" w14:textId="77777777" w:rsidTr="00EC4578">
        <w:trPr>
          <w:jc w:val="center"/>
        </w:trPr>
        <w:tc>
          <w:tcPr>
            <w:tcW w:w="567" w:type="pct"/>
            <w:shd w:val="clear" w:color="auto" w:fill="BFBFBF"/>
            <w:vAlign w:val="center"/>
          </w:tcPr>
          <w:p w14:paraId="5F0BF750"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9</w:t>
            </w:r>
          </w:p>
        </w:tc>
        <w:tc>
          <w:tcPr>
            <w:tcW w:w="886" w:type="pct"/>
            <w:shd w:val="clear" w:color="auto" w:fill="auto"/>
            <w:vAlign w:val="center"/>
          </w:tcPr>
          <w:p w14:paraId="691B9D23"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EC4578">
              <w:rPr>
                <w:rFonts w:ascii="Times New Roman" w:eastAsia="Calibri" w:hAnsi="Times New Roman" w:cs="Simplified Arabic"/>
                <w:kern w:val="2"/>
                <w:sz w:val="24"/>
                <w:szCs w:val="24"/>
                <w14:ligatures w14:val="standardContextual"/>
              </w:rPr>
              <w:t>.795**</w:t>
            </w:r>
          </w:p>
        </w:tc>
        <w:tc>
          <w:tcPr>
            <w:tcW w:w="740" w:type="pct"/>
            <w:shd w:val="clear" w:color="auto" w:fill="BFBFBF"/>
            <w:vAlign w:val="center"/>
          </w:tcPr>
          <w:p w14:paraId="63684930"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10</w:t>
            </w:r>
          </w:p>
        </w:tc>
        <w:tc>
          <w:tcPr>
            <w:tcW w:w="938" w:type="pct"/>
            <w:shd w:val="clear" w:color="auto" w:fill="auto"/>
            <w:vAlign w:val="center"/>
          </w:tcPr>
          <w:p w14:paraId="32CCB1D8"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.823**</w:t>
            </w:r>
          </w:p>
        </w:tc>
        <w:tc>
          <w:tcPr>
            <w:tcW w:w="935" w:type="pct"/>
            <w:shd w:val="clear" w:color="auto" w:fill="BFBFBF"/>
            <w:vAlign w:val="center"/>
          </w:tcPr>
          <w:p w14:paraId="71CF8B86"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Pr>
            </w:pPr>
            <w:r w:rsidRPr="00EC4578">
              <w:rPr>
                <w:rFonts w:ascii="Times New Roman" w:eastAsia="Calibri" w:hAnsi="Times New Roman" w:cs="Simplified Arabic" w:hint="cs"/>
                <w:sz w:val="24"/>
                <w:szCs w:val="24"/>
                <w:rtl/>
              </w:rPr>
              <w:t>11</w:t>
            </w:r>
          </w:p>
        </w:tc>
        <w:tc>
          <w:tcPr>
            <w:tcW w:w="934" w:type="pct"/>
            <w:gridSpan w:val="2"/>
            <w:shd w:val="clear" w:color="auto" w:fill="FFFFFF"/>
            <w:vAlign w:val="center"/>
          </w:tcPr>
          <w:p w14:paraId="42288EA3"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.884**</w:t>
            </w:r>
          </w:p>
        </w:tc>
      </w:tr>
      <w:tr w:rsidR="000B3939" w:rsidRPr="00EC4578" w14:paraId="2F914CA2" w14:textId="77777777" w:rsidTr="00EC4578">
        <w:trPr>
          <w:jc w:val="center"/>
        </w:trPr>
        <w:tc>
          <w:tcPr>
            <w:tcW w:w="567" w:type="pct"/>
            <w:shd w:val="clear" w:color="auto" w:fill="BFBFBF"/>
            <w:vAlign w:val="center"/>
          </w:tcPr>
          <w:p w14:paraId="553E6ED8"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12</w:t>
            </w:r>
          </w:p>
        </w:tc>
        <w:tc>
          <w:tcPr>
            <w:tcW w:w="886" w:type="pct"/>
            <w:shd w:val="clear" w:color="auto" w:fill="auto"/>
            <w:vAlign w:val="center"/>
          </w:tcPr>
          <w:p w14:paraId="572F2AB6"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.765**</w:t>
            </w:r>
          </w:p>
        </w:tc>
        <w:tc>
          <w:tcPr>
            <w:tcW w:w="740" w:type="pct"/>
            <w:shd w:val="clear" w:color="auto" w:fill="BFBFBF"/>
            <w:vAlign w:val="center"/>
          </w:tcPr>
          <w:p w14:paraId="47866494"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13</w:t>
            </w:r>
          </w:p>
        </w:tc>
        <w:tc>
          <w:tcPr>
            <w:tcW w:w="938" w:type="pct"/>
            <w:shd w:val="clear" w:color="auto" w:fill="auto"/>
            <w:vAlign w:val="center"/>
          </w:tcPr>
          <w:p w14:paraId="09CD6127"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.754**</w:t>
            </w:r>
          </w:p>
        </w:tc>
        <w:tc>
          <w:tcPr>
            <w:tcW w:w="935" w:type="pct"/>
            <w:shd w:val="clear" w:color="auto" w:fill="BFBFBF"/>
            <w:vAlign w:val="center"/>
          </w:tcPr>
          <w:p w14:paraId="2714D16A"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14</w:t>
            </w:r>
          </w:p>
        </w:tc>
        <w:tc>
          <w:tcPr>
            <w:tcW w:w="934" w:type="pct"/>
            <w:gridSpan w:val="2"/>
            <w:shd w:val="clear" w:color="auto" w:fill="FFFFFF"/>
            <w:vAlign w:val="center"/>
          </w:tcPr>
          <w:p w14:paraId="64B2847B"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.778**</w:t>
            </w:r>
          </w:p>
        </w:tc>
      </w:tr>
      <w:tr w:rsidR="000B3939" w:rsidRPr="00EC4578" w14:paraId="6A3A328A" w14:textId="77777777" w:rsidTr="00EC4578">
        <w:trPr>
          <w:jc w:val="center"/>
        </w:trPr>
        <w:tc>
          <w:tcPr>
            <w:tcW w:w="567" w:type="pct"/>
            <w:shd w:val="clear" w:color="auto" w:fill="BFBFBF"/>
            <w:vAlign w:val="center"/>
          </w:tcPr>
          <w:p w14:paraId="7435B68B"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15</w:t>
            </w:r>
          </w:p>
        </w:tc>
        <w:tc>
          <w:tcPr>
            <w:tcW w:w="886" w:type="pct"/>
            <w:shd w:val="clear" w:color="auto" w:fill="auto"/>
            <w:vAlign w:val="center"/>
          </w:tcPr>
          <w:p w14:paraId="4BA8EE94"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bookmarkStart w:id="83" w:name="_Hlk178691731"/>
            <w:r w:rsidRPr="00EC4578">
              <w:rPr>
                <w:rFonts w:ascii="Times New Roman" w:eastAsia="Calibri" w:hAnsi="Times New Roman" w:cs="Simplified Arabic"/>
                <w:kern w:val="2"/>
                <w:sz w:val="24"/>
                <w:szCs w:val="24"/>
                <w14:ligatures w14:val="standardContextual"/>
              </w:rPr>
              <w:t>.827</w:t>
            </w:r>
            <w:bookmarkEnd w:id="83"/>
            <w:r w:rsidRPr="00EC4578">
              <w:rPr>
                <w:rFonts w:ascii="Times New Roman" w:eastAsia="Calibri" w:hAnsi="Times New Roman" w:cs="Simplified Arabic"/>
                <w:kern w:val="2"/>
                <w:sz w:val="24"/>
                <w:szCs w:val="24"/>
                <w14:ligatures w14:val="standardContextual"/>
              </w:rPr>
              <w:t>**</w:t>
            </w:r>
          </w:p>
        </w:tc>
        <w:tc>
          <w:tcPr>
            <w:tcW w:w="740" w:type="pct"/>
            <w:shd w:val="clear" w:color="auto" w:fill="BFBFBF"/>
            <w:vAlign w:val="center"/>
          </w:tcPr>
          <w:p w14:paraId="2AD575D0"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16</w:t>
            </w:r>
          </w:p>
        </w:tc>
        <w:tc>
          <w:tcPr>
            <w:tcW w:w="938" w:type="pct"/>
            <w:shd w:val="clear" w:color="auto" w:fill="auto"/>
            <w:vAlign w:val="center"/>
          </w:tcPr>
          <w:p w14:paraId="5A15826E"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.785**</w:t>
            </w:r>
          </w:p>
        </w:tc>
        <w:tc>
          <w:tcPr>
            <w:tcW w:w="1869" w:type="pct"/>
            <w:gridSpan w:val="3"/>
            <w:shd w:val="clear" w:color="auto" w:fill="BFBFBF"/>
            <w:vAlign w:val="center"/>
          </w:tcPr>
          <w:p w14:paraId="063995F3"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0B3939" w:rsidRPr="00EC4578" w14:paraId="1E0DE33C" w14:textId="77777777" w:rsidTr="00EC4578">
        <w:trPr>
          <w:jc w:val="center"/>
        </w:trPr>
        <w:tc>
          <w:tcPr>
            <w:tcW w:w="5000" w:type="pct"/>
            <w:gridSpan w:val="7"/>
            <w:shd w:val="clear" w:color="auto" w:fill="BFBFBF"/>
            <w:vAlign w:val="center"/>
          </w:tcPr>
          <w:p w14:paraId="55B1B8DD"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b/>
                <w:bCs/>
                <w:sz w:val="24"/>
                <w:szCs w:val="24"/>
              </w:rPr>
            </w:pPr>
            <w:r w:rsidRPr="00EC4578">
              <w:rPr>
                <w:rFonts w:ascii="Times New Roman" w:eastAsia="Calibri" w:hAnsi="Times New Roman" w:cs="Simplified Arabic" w:hint="cs"/>
                <w:b/>
                <w:bCs/>
                <w:sz w:val="24"/>
                <w:szCs w:val="24"/>
                <w:rtl/>
              </w:rPr>
              <w:t xml:space="preserve">البعد الثالث: </w:t>
            </w:r>
            <w:r w:rsidRPr="00EC4578">
              <w:rPr>
                <w:rFonts w:ascii="Times New Roman" w:eastAsia="Calibri" w:hAnsi="Times New Roman" w:cs="Simplified Arabic"/>
                <w:b/>
                <w:bCs/>
                <w:sz w:val="24"/>
                <w:szCs w:val="24"/>
                <w:rtl/>
              </w:rPr>
              <w:t>التمويل التشاركي المختلط</w:t>
            </w:r>
          </w:p>
        </w:tc>
      </w:tr>
      <w:tr w:rsidR="000B3939" w:rsidRPr="00EC4578" w14:paraId="08E95F6D" w14:textId="77777777" w:rsidTr="00EC4578">
        <w:trPr>
          <w:jc w:val="center"/>
        </w:trPr>
        <w:tc>
          <w:tcPr>
            <w:tcW w:w="567" w:type="pct"/>
            <w:shd w:val="clear" w:color="auto" w:fill="BFBFBF"/>
            <w:vAlign w:val="center"/>
          </w:tcPr>
          <w:p w14:paraId="15D32C52"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17</w:t>
            </w:r>
          </w:p>
        </w:tc>
        <w:tc>
          <w:tcPr>
            <w:tcW w:w="886" w:type="pct"/>
            <w:shd w:val="clear" w:color="auto" w:fill="auto"/>
            <w:vAlign w:val="center"/>
          </w:tcPr>
          <w:p w14:paraId="6158101E"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.802**</w:t>
            </w:r>
          </w:p>
        </w:tc>
        <w:tc>
          <w:tcPr>
            <w:tcW w:w="740" w:type="pct"/>
            <w:shd w:val="clear" w:color="auto" w:fill="BFBFBF"/>
            <w:vAlign w:val="center"/>
          </w:tcPr>
          <w:p w14:paraId="0A6F2FEF"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18</w:t>
            </w:r>
          </w:p>
        </w:tc>
        <w:tc>
          <w:tcPr>
            <w:tcW w:w="938" w:type="pct"/>
            <w:shd w:val="clear" w:color="auto" w:fill="auto"/>
            <w:vAlign w:val="center"/>
          </w:tcPr>
          <w:p w14:paraId="668E9FEA"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.844**</w:t>
            </w:r>
          </w:p>
        </w:tc>
        <w:tc>
          <w:tcPr>
            <w:tcW w:w="939" w:type="pct"/>
            <w:gridSpan w:val="2"/>
            <w:shd w:val="clear" w:color="auto" w:fill="BFBFBF"/>
            <w:vAlign w:val="center"/>
          </w:tcPr>
          <w:p w14:paraId="0899C7C7"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19</w:t>
            </w:r>
          </w:p>
        </w:tc>
        <w:tc>
          <w:tcPr>
            <w:tcW w:w="930" w:type="pct"/>
            <w:shd w:val="clear" w:color="auto" w:fill="auto"/>
            <w:vAlign w:val="center"/>
          </w:tcPr>
          <w:p w14:paraId="0E91C2C3"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Pr>
            </w:pPr>
            <w:r w:rsidRPr="00EC4578">
              <w:rPr>
                <w:rFonts w:ascii="Times New Roman" w:eastAsia="Calibri" w:hAnsi="Times New Roman" w:cs="Simplified Arabic"/>
                <w:kern w:val="2"/>
                <w:sz w:val="24"/>
                <w:szCs w:val="24"/>
                <w14:ligatures w14:val="standardContextual"/>
              </w:rPr>
              <w:t>.825**</w:t>
            </w:r>
          </w:p>
        </w:tc>
      </w:tr>
      <w:tr w:rsidR="000B3939" w:rsidRPr="00EC4578" w14:paraId="4D7393B2" w14:textId="77777777" w:rsidTr="00EC4578">
        <w:trPr>
          <w:jc w:val="center"/>
        </w:trPr>
        <w:tc>
          <w:tcPr>
            <w:tcW w:w="567" w:type="pct"/>
            <w:shd w:val="clear" w:color="auto" w:fill="BFBFBF"/>
            <w:vAlign w:val="center"/>
          </w:tcPr>
          <w:p w14:paraId="7BFE8EFE"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20</w:t>
            </w:r>
          </w:p>
        </w:tc>
        <w:tc>
          <w:tcPr>
            <w:tcW w:w="886" w:type="pct"/>
            <w:shd w:val="clear" w:color="auto" w:fill="auto"/>
            <w:vAlign w:val="center"/>
          </w:tcPr>
          <w:p w14:paraId="6FC0A187"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.908**</w:t>
            </w:r>
          </w:p>
        </w:tc>
        <w:tc>
          <w:tcPr>
            <w:tcW w:w="740" w:type="pct"/>
            <w:shd w:val="clear" w:color="auto" w:fill="BFBFBF"/>
            <w:vAlign w:val="center"/>
          </w:tcPr>
          <w:p w14:paraId="4C01B09A"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21</w:t>
            </w:r>
          </w:p>
        </w:tc>
        <w:tc>
          <w:tcPr>
            <w:tcW w:w="938" w:type="pct"/>
            <w:shd w:val="clear" w:color="auto" w:fill="auto"/>
            <w:vAlign w:val="center"/>
          </w:tcPr>
          <w:p w14:paraId="77E0E7D2"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.719**</w:t>
            </w:r>
          </w:p>
        </w:tc>
        <w:tc>
          <w:tcPr>
            <w:tcW w:w="939" w:type="pct"/>
            <w:gridSpan w:val="2"/>
            <w:shd w:val="clear" w:color="auto" w:fill="BFBFBF"/>
            <w:vAlign w:val="center"/>
          </w:tcPr>
          <w:p w14:paraId="0A2A685E"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lang w:bidi="ar-EG"/>
              </w:rPr>
              <w:t>22</w:t>
            </w:r>
          </w:p>
        </w:tc>
        <w:tc>
          <w:tcPr>
            <w:tcW w:w="930" w:type="pct"/>
            <w:shd w:val="clear" w:color="auto" w:fill="auto"/>
            <w:vAlign w:val="center"/>
          </w:tcPr>
          <w:p w14:paraId="17F2820B"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Pr>
            </w:pPr>
            <w:r w:rsidRPr="00EC4578">
              <w:rPr>
                <w:rFonts w:ascii="Times New Roman" w:eastAsia="Calibri" w:hAnsi="Times New Roman" w:cs="Simplified Arabic"/>
                <w:kern w:val="2"/>
                <w:sz w:val="24"/>
                <w:szCs w:val="24"/>
                <w14:ligatures w14:val="standardContextual"/>
              </w:rPr>
              <w:t>.693**</w:t>
            </w:r>
          </w:p>
        </w:tc>
      </w:tr>
      <w:tr w:rsidR="000B3939" w:rsidRPr="00EC4578" w14:paraId="1F09FF9A" w14:textId="77777777" w:rsidTr="00EC4578">
        <w:trPr>
          <w:jc w:val="center"/>
        </w:trPr>
        <w:tc>
          <w:tcPr>
            <w:tcW w:w="567" w:type="pct"/>
            <w:shd w:val="clear" w:color="auto" w:fill="BFBFBF"/>
            <w:vAlign w:val="center"/>
          </w:tcPr>
          <w:p w14:paraId="65F5FA3D"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lang w:bidi="ar-EG"/>
              </w:rPr>
              <w:t>23</w:t>
            </w:r>
          </w:p>
        </w:tc>
        <w:tc>
          <w:tcPr>
            <w:tcW w:w="886" w:type="pct"/>
            <w:shd w:val="clear" w:color="auto" w:fill="auto"/>
            <w:vAlign w:val="center"/>
          </w:tcPr>
          <w:p w14:paraId="288DE98D"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EC4578">
              <w:rPr>
                <w:rFonts w:ascii="Times New Roman" w:eastAsia="Calibri" w:hAnsi="Times New Roman" w:cs="Simplified Arabic"/>
                <w:kern w:val="2"/>
                <w:sz w:val="24"/>
                <w:szCs w:val="24"/>
                <w14:ligatures w14:val="standardContextual"/>
              </w:rPr>
              <w:t>.712**</w:t>
            </w:r>
          </w:p>
        </w:tc>
        <w:tc>
          <w:tcPr>
            <w:tcW w:w="740" w:type="pct"/>
            <w:shd w:val="clear" w:color="auto" w:fill="BFBFBF"/>
            <w:vAlign w:val="center"/>
          </w:tcPr>
          <w:p w14:paraId="67459592" w14:textId="77777777" w:rsidR="000B3939" w:rsidRPr="00EC4578" w:rsidRDefault="000B3939" w:rsidP="00EC4578">
            <w:pPr>
              <w:autoSpaceDE w:val="0"/>
              <w:autoSpaceDN w:val="0"/>
              <w:bidi/>
              <w:adjustRightInd w:val="0"/>
              <w:spacing w:after="0" w:line="240" w:lineRule="auto"/>
              <w:jc w:val="center"/>
              <w:rPr>
                <w:rFonts w:ascii="Times New Roman" w:eastAsia="Calibri" w:hAnsi="Times New Roman" w:cs="Simplified Arabic"/>
                <w:sz w:val="24"/>
                <w:szCs w:val="24"/>
                <w:rtl/>
              </w:rPr>
            </w:pPr>
            <w:r w:rsidRPr="00EC4578">
              <w:rPr>
                <w:rFonts w:ascii="Times New Roman" w:eastAsia="Calibri" w:hAnsi="Times New Roman" w:cs="Simplified Arabic" w:hint="cs"/>
                <w:sz w:val="24"/>
                <w:szCs w:val="24"/>
                <w:rtl/>
              </w:rPr>
              <w:t>24</w:t>
            </w:r>
          </w:p>
        </w:tc>
        <w:tc>
          <w:tcPr>
            <w:tcW w:w="938" w:type="pct"/>
            <w:shd w:val="clear" w:color="auto" w:fill="auto"/>
            <w:vAlign w:val="center"/>
          </w:tcPr>
          <w:p w14:paraId="7387E996"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bookmarkStart w:id="84" w:name="_Hlk178692075"/>
            <w:r w:rsidRPr="00EC4578">
              <w:rPr>
                <w:rFonts w:ascii="Times New Roman" w:eastAsia="Calibri" w:hAnsi="Times New Roman" w:cs="Simplified Arabic"/>
                <w:kern w:val="2"/>
                <w:sz w:val="24"/>
                <w:szCs w:val="24"/>
                <w14:ligatures w14:val="standardContextual"/>
              </w:rPr>
              <w:t>.760</w:t>
            </w:r>
            <w:bookmarkEnd w:id="84"/>
            <w:r w:rsidRPr="00EC4578">
              <w:rPr>
                <w:rFonts w:ascii="Times New Roman" w:eastAsia="Calibri" w:hAnsi="Times New Roman" w:cs="Simplified Arabic"/>
                <w:kern w:val="2"/>
                <w:sz w:val="24"/>
                <w:szCs w:val="24"/>
                <w14:ligatures w14:val="standardContextual"/>
              </w:rPr>
              <w:t>**</w:t>
            </w:r>
          </w:p>
        </w:tc>
        <w:tc>
          <w:tcPr>
            <w:tcW w:w="1869" w:type="pct"/>
            <w:gridSpan w:val="3"/>
            <w:shd w:val="clear" w:color="auto" w:fill="BFBFBF"/>
            <w:vAlign w:val="center"/>
          </w:tcPr>
          <w:p w14:paraId="401920BE" w14:textId="77777777" w:rsidR="000B3939" w:rsidRPr="00EC4578" w:rsidRDefault="000B3939" w:rsidP="00EC4578">
            <w:pPr>
              <w:autoSpaceDE w:val="0"/>
              <w:autoSpaceDN w:val="0"/>
              <w:bidi/>
              <w:adjustRightInd w:val="0"/>
              <w:spacing w:after="0" w:line="240" w:lineRule="auto"/>
              <w:ind w:left="60" w:right="60"/>
              <w:jc w:val="center"/>
              <w:rPr>
                <w:rFonts w:ascii="Times New Roman" w:eastAsia="Calibri" w:hAnsi="Times New Roman" w:cs="Simplified Arabic"/>
                <w:sz w:val="24"/>
                <w:szCs w:val="24"/>
              </w:rPr>
            </w:pPr>
          </w:p>
        </w:tc>
      </w:tr>
    </w:tbl>
    <w:p w14:paraId="5D9F83F8" w14:textId="77777777" w:rsidR="000B3939" w:rsidRPr="00BC50C9" w:rsidRDefault="000B3939" w:rsidP="00BC50C9">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b/>
          <w:bCs/>
          <w:sz w:val="24"/>
          <w:szCs w:val="28"/>
          <w:rtl/>
          <w:lang w:bidi="ar-EG"/>
        </w:rPr>
        <w:t>**</w:t>
      </w:r>
      <w:r w:rsidRPr="00BC50C9">
        <w:rPr>
          <w:rFonts w:ascii="Times New Roman" w:eastAsia="Calibri" w:hAnsi="Times New Roman" w:cs="Simplified Arabic"/>
          <w:sz w:val="24"/>
          <w:szCs w:val="28"/>
          <w:rtl/>
          <w:lang w:bidi="ar-EG"/>
        </w:rPr>
        <w:t>دال إحصائياً عند مستوى الدلالة (</w:t>
      </w:r>
      <w:r w:rsidRPr="00BC50C9">
        <w:rPr>
          <w:rFonts w:ascii="Times New Roman" w:eastAsia="Calibri" w:hAnsi="Times New Roman" w:cs="Simplified Arabic"/>
          <w:sz w:val="24"/>
          <w:szCs w:val="28"/>
          <w:lang w:bidi="ar-EG"/>
        </w:rPr>
        <w:t>0.01</w:t>
      </w:r>
      <w:r w:rsidRPr="00BC50C9">
        <w:rPr>
          <w:rFonts w:ascii="Times New Roman" w:eastAsia="Calibri" w:hAnsi="Times New Roman" w:cs="Simplified Arabic"/>
          <w:sz w:val="24"/>
          <w:szCs w:val="28"/>
          <w:rtl/>
          <w:lang w:bidi="ar-EG"/>
        </w:rPr>
        <w:t>).</w:t>
      </w:r>
    </w:p>
    <w:p w14:paraId="4B96B6CE" w14:textId="77777777" w:rsidR="000B3939" w:rsidRPr="00BC50C9" w:rsidRDefault="000B3939" w:rsidP="00F24EF0">
      <w:pPr>
        <w:pStyle w:val="00000"/>
        <w:rPr>
          <w:rtl/>
        </w:rPr>
      </w:pPr>
      <w:r w:rsidRPr="00BC50C9">
        <w:rPr>
          <w:rtl/>
        </w:rPr>
        <w:lastRenderedPageBreak/>
        <w:t xml:space="preserve">يتبين من </w:t>
      </w:r>
      <w:r w:rsidRPr="00BC50C9">
        <w:rPr>
          <w:rFonts w:hint="cs"/>
          <w:rtl/>
        </w:rPr>
        <w:t>ال</w:t>
      </w:r>
      <w:r w:rsidRPr="00BC50C9">
        <w:rPr>
          <w:rtl/>
        </w:rPr>
        <w:t xml:space="preserve">جدول السابق أن معاملات ارتباط العبارات بالدرجة الكلية </w:t>
      </w:r>
      <w:r w:rsidRPr="00BC50C9">
        <w:rPr>
          <w:rFonts w:hint="cs"/>
          <w:rtl/>
        </w:rPr>
        <w:t>للعبارة</w:t>
      </w:r>
      <w:r w:rsidRPr="00BC50C9">
        <w:rPr>
          <w:rtl/>
        </w:rPr>
        <w:t xml:space="preserve"> ال</w:t>
      </w:r>
      <w:r w:rsidRPr="00BC50C9">
        <w:rPr>
          <w:rFonts w:hint="cs"/>
          <w:rtl/>
        </w:rPr>
        <w:t>ذ</w:t>
      </w:r>
      <w:r w:rsidRPr="00BC50C9">
        <w:rPr>
          <w:rtl/>
        </w:rPr>
        <w:t xml:space="preserve">ي تنتمي إليه العبارة </w:t>
      </w:r>
      <w:r w:rsidRPr="00BC50C9">
        <w:rPr>
          <w:rFonts w:hint="cs"/>
          <w:rtl/>
        </w:rPr>
        <w:t xml:space="preserve">في </w:t>
      </w:r>
      <w:r w:rsidRPr="00BC50C9">
        <w:rPr>
          <w:rFonts w:hint="eastAsia"/>
          <w:rtl/>
        </w:rPr>
        <w:t>المحور</w:t>
      </w:r>
      <w:r w:rsidRPr="00BC50C9">
        <w:rPr>
          <w:rtl/>
        </w:rPr>
        <w:t xml:space="preserve"> </w:t>
      </w:r>
      <w:r w:rsidRPr="00BC50C9">
        <w:rPr>
          <w:rFonts w:hint="eastAsia"/>
          <w:rtl/>
        </w:rPr>
        <w:t>الأول</w:t>
      </w:r>
      <w:r w:rsidRPr="00BC50C9">
        <w:rPr>
          <w:rtl/>
        </w:rPr>
        <w:t xml:space="preserve">: </w:t>
      </w:r>
      <w:r w:rsidRPr="00BC50C9">
        <w:rPr>
          <w:rFonts w:hint="cs"/>
          <w:rtl/>
        </w:rPr>
        <w:t>التمويل التشاركي</w:t>
      </w:r>
      <w:r w:rsidRPr="00BC50C9">
        <w:rPr>
          <w:rtl/>
        </w:rPr>
        <w:t xml:space="preserve"> جاءت جميعهاً دالة إحصائياً عند مستوى دلالة (</w:t>
      </w:r>
      <w:r w:rsidRPr="00BC50C9">
        <w:t>0.01</w:t>
      </w:r>
      <w:r w:rsidRPr="00BC50C9">
        <w:rPr>
          <w:rtl/>
        </w:rPr>
        <w:t>)، وجاءت جميع قيم معاملات الارتباط قيم دالة</w:t>
      </w:r>
      <w:r w:rsidRPr="00BC50C9">
        <w:rPr>
          <w:rFonts w:hint="cs"/>
          <w:rtl/>
        </w:rPr>
        <w:t xml:space="preserve"> </w:t>
      </w:r>
      <w:r w:rsidRPr="00BC50C9">
        <w:rPr>
          <w:rtl/>
        </w:rPr>
        <w:t>حيث تراوحت في</w:t>
      </w:r>
      <w:r w:rsidRPr="00BC50C9">
        <w:rPr>
          <w:rFonts w:hint="eastAsia"/>
          <w:rtl/>
        </w:rPr>
        <w:t xml:space="preserve"> </w:t>
      </w:r>
      <w:r w:rsidRPr="00BC50C9">
        <w:rPr>
          <w:rtl/>
        </w:rPr>
        <w:t xml:space="preserve">البعد الأول: </w:t>
      </w:r>
      <w:r w:rsidRPr="00BC50C9">
        <w:rPr>
          <w:rFonts w:hint="cs"/>
          <w:rtl/>
        </w:rPr>
        <w:t xml:space="preserve">التمويل </w:t>
      </w:r>
      <w:proofErr w:type="spellStart"/>
      <w:r w:rsidRPr="00BC50C9">
        <w:rPr>
          <w:rFonts w:hint="cs"/>
          <w:rtl/>
        </w:rPr>
        <w:t>التبرعي</w:t>
      </w:r>
      <w:proofErr w:type="spellEnd"/>
      <w:r w:rsidRPr="00BC50C9">
        <w:rPr>
          <w:rtl/>
        </w:rPr>
        <w:t xml:space="preserve"> بين </w:t>
      </w:r>
      <w:r w:rsidRPr="00BC50C9">
        <w:rPr>
          <w:rFonts w:hint="cs"/>
          <w:rtl/>
        </w:rPr>
        <w:t>(</w:t>
      </w:r>
      <w:r w:rsidRPr="00BC50C9">
        <w:t>.740</w:t>
      </w:r>
      <w:r w:rsidRPr="00BC50C9">
        <w:rPr>
          <w:vertAlign w:val="superscript"/>
        </w:rPr>
        <w:t>**</w:t>
      </w:r>
      <w:r w:rsidRPr="00BC50C9">
        <w:rPr>
          <w:rFonts w:hint="cs"/>
          <w:rtl/>
        </w:rPr>
        <w:t>-</w:t>
      </w:r>
      <w:r w:rsidRPr="00BC50C9">
        <w:t>.938</w:t>
      </w:r>
      <w:r w:rsidRPr="00BC50C9">
        <w:rPr>
          <w:vertAlign w:val="superscript"/>
        </w:rPr>
        <w:t>**</w:t>
      </w:r>
      <w:r w:rsidRPr="00BC50C9">
        <w:rPr>
          <w:rFonts w:hint="cs"/>
          <w:rtl/>
        </w:rPr>
        <w:t>)</w:t>
      </w:r>
      <w:r w:rsidRPr="00BC50C9">
        <w:rPr>
          <w:rtl/>
        </w:rPr>
        <w:t>، وتراوحت في البعد الثاني: التمويل القائم على المكافآت بين</w:t>
      </w:r>
      <w:r w:rsidRPr="00BC50C9">
        <w:rPr>
          <w:rFonts w:hint="cs"/>
          <w:rtl/>
        </w:rPr>
        <w:t xml:space="preserve"> (</w:t>
      </w:r>
      <w:r w:rsidRPr="00BC50C9">
        <w:t>.754</w:t>
      </w:r>
      <w:r w:rsidRPr="00BC50C9">
        <w:rPr>
          <w:vertAlign w:val="superscript"/>
        </w:rPr>
        <w:t>**</w:t>
      </w:r>
      <w:r w:rsidRPr="00BC50C9">
        <w:rPr>
          <w:rFonts w:hint="cs"/>
          <w:rtl/>
        </w:rPr>
        <w:t>-</w:t>
      </w:r>
      <w:r w:rsidRPr="00BC50C9">
        <w:t>.884</w:t>
      </w:r>
      <w:r w:rsidRPr="00BC50C9">
        <w:rPr>
          <w:vertAlign w:val="superscript"/>
        </w:rPr>
        <w:t>**</w:t>
      </w:r>
      <w:r w:rsidRPr="00BC50C9">
        <w:rPr>
          <w:rFonts w:hint="cs"/>
          <w:rtl/>
        </w:rPr>
        <w:t>)</w:t>
      </w:r>
      <w:r w:rsidRPr="00BC50C9">
        <w:rPr>
          <w:rtl/>
        </w:rPr>
        <w:t>،</w:t>
      </w:r>
      <w:r w:rsidRPr="00BC50C9">
        <w:rPr>
          <w:rFonts w:hint="cs"/>
          <w:rtl/>
        </w:rPr>
        <w:t xml:space="preserve"> </w:t>
      </w:r>
      <w:r w:rsidRPr="00BC50C9">
        <w:rPr>
          <w:rtl/>
        </w:rPr>
        <w:t>وتراوحت في</w:t>
      </w:r>
      <w:r w:rsidRPr="00BC50C9">
        <w:rPr>
          <w:rFonts w:hint="cs"/>
          <w:rtl/>
        </w:rPr>
        <w:t xml:space="preserve"> البعد الثالث:</w:t>
      </w:r>
      <w:r w:rsidRPr="00BC50C9">
        <w:rPr>
          <w:rtl/>
        </w:rPr>
        <w:t xml:space="preserve"> التمويل التشاركي المختلط</w:t>
      </w:r>
      <w:r w:rsidRPr="00BC50C9">
        <w:rPr>
          <w:rFonts w:hint="eastAsia"/>
          <w:rtl/>
        </w:rPr>
        <w:t xml:space="preserve"> </w:t>
      </w:r>
      <w:r w:rsidRPr="00BC50C9">
        <w:rPr>
          <w:rtl/>
        </w:rPr>
        <w:t>بين</w:t>
      </w:r>
      <w:r w:rsidRPr="00BC50C9">
        <w:rPr>
          <w:rFonts w:hint="cs"/>
          <w:rtl/>
        </w:rPr>
        <w:t xml:space="preserve"> (</w:t>
      </w:r>
      <w:r w:rsidRPr="00BC50C9">
        <w:t>.693</w:t>
      </w:r>
      <w:r w:rsidRPr="00BC50C9">
        <w:rPr>
          <w:vertAlign w:val="superscript"/>
        </w:rPr>
        <w:t>**</w:t>
      </w:r>
      <w:r w:rsidRPr="00BC50C9">
        <w:rPr>
          <w:rFonts w:hint="cs"/>
          <w:rtl/>
        </w:rPr>
        <w:t>-</w:t>
      </w:r>
      <w:r w:rsidRPr="00BC50C9">
        <w:t>.908</w:t>
      </w:r>
      <w:r w:rsidRPr="00BC50C9">
        <w:rPr>
          <w:vertAlign w:val="superscript"/>
        </w:rPr>
        <w:t>**</w:t>
      </w:r>
      <w:r w:rsidRPr="00BC50C9">
        <w:rPr>
          <w:rFonts w:hint="cs"/>
          <w:rtl/>
        </w:rPr>
        <w:t xml:space="preserve">)، </w:t>
      </w:r>
      <w:r w:rsidRPr="00BC50C9">
        <w:rPr>
          <w:rtl/>
        </w:rPr>
        <w:t xml:space="preserve">مما يدل على توافر درجة عالية من صدق الاتساق الداخلي لعبارات </w:t>
      </w:r>
      <w:r w:rsidRPr="00BC50C9">
        <w:rPr>
          <w:rFonts w:hint="cs"/>
          <w:rtl/>
        </w:rPr>
        <w:t xml:space="preserve">أبعاد </w:t>
      </w:r>
      <w:r w:rsidRPr="00BC50C9">
        <w:rPr>
          <w:rFonts w:hint="eastAsia"/>
          <w:rtl/>
        </w:rPr>
        <w:t>المحور</w:t>
      </w:r>
      <w:r w:rsidRPr="00BC50C9">
        <w:rPr>
          <w:rtl/>
        </w:rPr>
        <w:t xml:space="preserve"> </w:t>
      </w:r>
      <w:r w:rsidRPr="00BC50C9">
        <w:rPr>
          <w:rFonts w:hint="eastAsia"/>
          <w:rtl/>
        </w:rPr>
        <w:t>الأول</w:t>
      </w:r>
      <w:r w:rsidRPr="00BC50C9">
        <w:rPr>
          <w:rFonts w:hint="cs"/>
          <w:rtl/>
        </w:rPr>
        <w:t xml:space="preserve"> بالاستبانة.</w:t>
      </w:r>
    </w:p>
    <w:p w14:paraId="611984DA" w14:textId="3A0819A2" w:rsidR="000B3939" w:rsidRPr="00F24EF0" w:rsidRDefault="000B3939">
      <w:pPr>
        <w:numPr>
          <w:ilvl w:val="0"/>
          <w:numId w:val="36"/>
        </w:numPr>
        <w:bidi/>
        <w:spacing w:before="120" w:after="120" w:line="240" w:lineRule="auto"/>
        <w:ind w:left="708"/>
        <w:contextualSpacing/>
        <w:jc w:val="both"/>
        <w:rPr>
          <w:rFonts w:ascii="Times New Roman" w:eastAsia="Calibri" w:hAnsi="Times New Roman" w:cs="Simplified Arabic"/>
          <w:b/>
          <w:bCs/>
          <w:sz w:val="24"/>
          <w:szCs w:val="28"/>
          <w:lang w:bidi="ar-EG"/>
        </w:rPr>
      </w:pPr>
      <w:r w:rsidRPr="00BC50C9">
        <w:rPr>
          <w:rFonts w:ascii="Times New Roman" w:eastAsia="Calibri" w:hAnsi="Times New Roman" w:cs="Simplified Arabic" w:hint="cs"/>
          <w:b/>
          <w:bCs/>
          <w:sz w:val="24"/>
          <w:szCs w:val="28"/>
          <w:rtl/>
          <w:lang w:bidi="ar-EG"/>
        </w:rPr>
        <w:t>الصدق البنائي العام لأبعاد المحور الأول:</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hint="cs"/>
          <w:b/>
          <w:bCs/>
          <w:sz w:val="24"/>
          <w:szCs w:val="28"/>
          <w:rtl/>
          <w:lang w:bidi="ar-EG"/>
        </w:rPr>
        <w:t>التمويل التشاركي:</w:t>
      </w:r>
      <w:r w:rsidR="00F24EF0">
        <w:rPr>
          <w:rFonts w:ascii="Times New Roman" w:eastAsia="Calibri" w:hAnsi="Times New Roman" w:cs="Simplified Arabic" w:hint="cs"/>
          <w:b/>
          <w:bCs/>
          <w:sz w:val="24"/>
          <w:szCs w:val="28"/>
          <w:rtl/>
          <w:lang w:bidi="ar-EG"/>
        </w:rPr>
        <w:t xml:space="preserve"> </w:t>
      </w:r>
      <w:r w:rsidRPr="00F24EF0">
        <w:rPr>
          <w:rFonts w:ascii="Times New Roman" w:eastAsia="Times New Roman" w:hAnsi="Times New Roman" w:cs="Simplified Arabic"/>
          <w:noProof/>
          <w:sz w:val="24"/>
          <w:szCs w:val="28"/>
          <w:rtl/>
        </w:rPr>
        <w:t xml:space="preserve">تم التحقق من الصدق البنائي العام </w:t>
      </w:r>
      <w:r w:rsidRPr="00F24EF0">
        <w:rPr>
          <w:rFonts w:ascii="Times New Roman" w:eastAsia="Times New Roman" w:hAnsi="Times New Roman" w:cs="Simplified Arabic" w:hint="eastAsia"/>
          <w:noProof/>
          <w:sz w:val="24"/>
          <w:szCs w:val="28"/>
          <w:rtl/>
        </w:rPr>
        <w:t>لأبعاد</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المحور</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الأول</w:t>
      </w:r>
      <w:r w:rsidRPr="00F24EF0">
        <w:rPr>
          <w:rFonts w:ascii="Times New Roman" w:eastAsia="Times New Roman" w:hAnsi="Times New Roman" w:cs="Simplified Arabic"/>
          <w:noProof/>
          <w:sz w:val="24"/>
          <w:szCs w:val="28"/>
          <w:rtl/>
        </w:rPr>
        <w:t xml:space="preserve"> من خلال إيجاد معاملات الارتباط بين الدرجة الكلية لكل </w:t>
      </w:r>
      <w:r w:rsidRPr="00F24EF0">
        <w:rPr>
          <w:rFonts w:ascii="Times New Roman" w:eastAsia="Times New Roman" w:hAnsi="Times New Roman" w:cs="Simplified Arabic" w:hint="eastAsia"/>
          <w:noProof/>
          <w:sz w:val="24"/>
          <w:szCs w:val="28"/>
          <w:rtl/>
        </w:rPr>
        <w:t>بُعد</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والمتوسط</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العام</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للمحور</w:t>
      </w:r>
      <w:r w:rsidRPr="00F24EF0">
        <w:rPr>
          <w:rFonts w:ascii="Times New Roman" w:eastAsia="Times New Roman" w:hAnsi="Times New Roman" w:cs="Simplified Arabic"/>
          <w:noProof/>
          <w:sz w:val="24"/>
          <w:szCs w:val="28"/>
          <w:rtl/>
        </w:rPr>
        <w:t xml:space="preserve"> </w:t>
      </w:r>
      <w:r w:rsidRPr="00F24EF0">
        <w:rPr>
          <w:rFonts w:ascii="Times New Roman" w:eastAsia="Times New Roman" w:hAnsi="Times New Roman" w:cs="Simplified Arabic" w:hint="eastAsia"/>
          <w:noProof/>
          <w:sz w:val="24"/>
          <w:szCs w:val="28"/>
          <w:rtl/>
        </w:rPr>
        <w:t>الأول</w:t>
      </w:r>
      <w:r w:rsidRPr="00F24EF0">
        <w:rPr>
          <w:rFonts w:ascii="Times New Roman" w:eastAsia="Times New Roman" w:hAnsi="Times New Roman" w:cs="Simplified Arabic"/>
          <w:noProof/>
          <w:sz w:val="24"/>
          <w:szCs w:val="28"/>
          <w:rtl/>
        </w:rPr>
        <w:t>:</w:t>
      </w:r>
      <w:r w:rsidRPr="00F24EF0">
        <w:rPr>
          <w:rFonts w:ascii="Times New Roman" w:hAnsi="Times New Roman" w:cs="Simplified Arabic"/>
          <w:sz w:val="24"/>
          <w:szCs w:val="28"/>
          <w:rtl/>
        </w:rPr>
        <w:t xml:space="preserve"> </w:t>
      </w:r>
      <w:r w:rsidRPr="00F24EF0">
        <w:rPr>
          <w:rFonts w:ascii="Times New Roman" w:eastAsia="Times New Roman" w:hAnsi="Times New Roman" w:cs="Simplified Arabic" w:hint="cs"/>
          <w:noProof/>
          <w:sz w:val="24"/>
          <w:szCs w:val="28"/>
          <w:rtl/>
        </w:rPr>
        <w:t>التمويل التشاركي</w:t>
      </w:r>
      <w:r w:rsidRPr="00F24EF0">
        <w:rPr>
          <w:rFonts w:ascii="Times New Roman" w:eastAsia="Times New Roman" w:hAnsi="Times New Roman" w:cs="Simplified Arabic"/>
          <w:noProof/>
          <w:sz w:val="24"/>
          <w:szCs w:val="28"/>
          <w:rtl/>
        </w:rPr>
        <w:t>، ويوضح نتائجها الجدول التالي:</w:t>
      </w:r>
    </w:p>
    <w:p w14:paraId="2B0A85C6" w14:textId="77777777" w:rsidR="000B3939" w:rsidRPr="00BC50C9" w:rsidRDefault="000B3939" w:rsidP="00F24EF0">
      <w:pPr>
        <w:pStyle w:val="33333"/>
        <w:rPr>
          <w:rtl/>
        </w:rPr>
      </w:pPr>
      <w:bookmarkStart w:id="85" w:name="_Toc170412846"/>
      <w:bookmarkStart w:id="86" w:name="_Toc195456540"/>
      <w:r w:rsidRPr="00BC50C9">
        <w:rPr>
          <w:rtl/>
        </w:rPr>
        <w:t>الجدول رقم (</w:t>
      </w:r>
      <w:r w:rsidRPr="00BC50C9">
        <w:rPr>
          <w:rFonts w:hint="cs"/>
          <w:rtl/>
        </w:rPr>
        <w:t>3-3</w:t>
      </w:r>
      <w:r w:rsidRPr="00BC50C9">
        <w:rPr>
          <w:rtl/>
        </w:rPr>
        <w:t>) معاملات الارتباط</w:t>
      </w:r>
      <w:r w:rsidRPr="00BC50C9">
        <w:rPr>
          <w:rFonts w:hint="cs"/>
          <w:rtl/>
        </w:rPr>
        <w:t xml:space="preserve"> بين</w:t>
      </w:r>
      <w:r w:rsidRPr="00BC50C9">
        <w:rPr>
          <w:rtl/>
        </w:rPr>
        <w:t xml:space="preserve"> </w:t>
      </w:r>
      <w:r w:rsidRPr="00BC50C9">
        <w:rPr>
          <w:rFonts w:hint="eastAsia"/>
          <w:rtl/>
        </w:rPr>
        <w:t>الدرجة</w:t>
      </w:r>
      <w:r w:rsidRPr="00BC50C9">
        <w:rPr>
          <w:rtl/>
        </w:rPr>
        <w:t xml:space="preserve"> </w:t>
      </w:r>
      <w:r w:rsidRPr="00BC50C9">
        <w:rPr>
          <w:rFonts w:hint="eastAsia"/>
          <w:rtl/>
        </w:rPr>
        <w:t>الكلية</w:t>
      </w:r>
      <w:r w:rsidRPr="00BC50C9">
        <w:rPr>
          <w:rtl/>
        </w:rPr>
        <w:t xml:space="preserve"> </w:t>
      </w:r>
      <w:r w:rsidRPr="00BC50C9">
        <w:rPr>
          <w:rFonts w:hint="eastAsia"/>
          <w:rtl/>
        </w:rPr>
        <w:t>لكل</w:t>
      </w:r>
      <w:r w:rsidRPr="00BC50C9">
        <w:rPr>
          <w:rtl/>
        </w:rPr>
        <w:t xml:space="preserve"> </w:t>
      </w:r>
      <w:r w:rsidRPr="00BC50C9">
        <w:rPr>
          <w:rFonts w:hint="eastAsia"/>
          <w:rtl/>
        </w:rPr>
        <w:t>ب</w:t>
      </w:r>
      <w:r w:rsidRPr="00BC50C9">
        <w:rPr>
          <w:rFonts w:hint="cs"/>
          <w:rtl/>
        </w:rPr>
        <w:t>ُ</w:t>
      </w:r>
      <w:r w:rsidRPr="00BC50C9">
        <w:rPr>
          <w:rFonts w:hint="eastAsia"/>
          <w:rtl/>
        </w:rPr>
        <w:t>عد</w:t>
      </w:r>
      <w:r w:rsidRPr="00BC50C9">
        <w:rPr>
          <w:rtl/>
        </w:rPr>
        <w:t xml:space="preserve"> </w:t>
      </w:r>
      <w:r w:rsidRPr="00BC50C9">
        <w:rPr>
          <w:rFonts w:hint="eastAsia"/>
          <w:rtl/>
        </w:rPr>
        <w:t>والمتوسط</w:t>
      </w:r>
      <w:r w:rsidRPr="00BC50C9">
        <w:rPr>
          <w:rtl/>
        </w:rPr>
        <w:t xml:space="preserve"> </w:t>
      </w:r>
      <w:r w:rsidRPr="00BC50C9">
        <w:rPr>
          <w:rFonts w:hint="eastAsia"/>
          <w:rtl/>
        </w:rPr>
        <w:t>العام</w:t>
      </w:r>
      <w:r w:rsidRPr="00BC50C9">
        <w:rPr>
          <w:rtl/>
        </w:rPr>
        <w:t xml:space="preserve"> </w:t>
      </w:r>
      <w:r w:rsidRPr="00BC50C9">
        <w:rPr>
          <w:rFonts w:hint="eastAsia"/>
          <w:rtl/>
        </w:rPr>
        <w:t>للمحور</w:t>
      </w:r>
      <w:r w:rsidRPr="00BC50C9">
        <w:rPr>
          <w:rtl/>
        </w:rPr>
        <w:t xml:space="preserve"> </w:t>
      </w:r>
      <w:r w:rsidRPr="00BC50C9">
        <w:rPr>
          <w:rFonts w:hint="eastAsia"/>
          <w:rtl/>
        </w:rPr>
        <w:t>الأول</w:t>
      </w:r>
      <w:bookmarkEnd w:id="85"/>
      <w:bookmarkEnd w:id="86"/>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4"/>
        <w:gridCol w:w="6922"/>
        <w:gridCol w:w="1776"/>
      </w:tblGrid>
      <w:tr w:rsidR="000B3939" w:rsidRPr="00F24EF0" w14:paraId="5F02C2C6" w14:textId="77777777" w:rsidTr="00F24EF0">
        <w:trPr>
          <w:jc w:val="center"/>
        </w:trPr>
        <w:tc>
          <w:tcPr>
            <w:tcW w:w="20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DBAC9F5"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F24EF0">
              <w:rPr>
                <w:rFonts w:ascii="Times New Roman" w:eastAsia="Calibri" w:hAnsi="Times New Roman" w:cs="Simplified Arabic"/>
                <w:b/>
                <w:bCs/>
                <w:sz w:val="24"/>
                <w:szCs w:val="24"/>
                <w:rtl/>
              </w:rPr>
              <w:t>م</w:t>
            </w:r>
          </w:p>
        </w:tc>
        <w:tc>
          <w:tcPr>
            <w:tcW w:w="381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1E28B5B"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F24EF0">
              <w:rPr>
                <w:rFonts w:ascii="Times New Roman" w:eastAsia="Calibri" w:hAnsi="Times New Roman" w:cs="Simplified Arabic" w:hint="cs"/>
                <w:b/>
                <w:bCs/>
                <w:sz w:val="24"/>
                <w:szCs w:val="24"/>
                <w:rtl/>
              </w:rPr>
              <w:t>الأبعاد</w:t>
            </w:r>
          </w:p>
        </w:tc>
        <w:tc>
          <w:tcPr>
            <w:tcW w:w="98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B08E33F"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F24EF0">
              <w:rPr>
                <w:rFonts w:ascii="Times New Roman" w:eastAsia="Calibri" w:hAnsi="Times New Roman" w:cs="Simplified Arabic"/>
                <w:b/>
                <w:bCs/>
                <w:sz w:val="24"/>
                <w:szCs w:val="24"/>
                <w:rtl/>
              </w:rPr>
              <w:t xml:space="preserve">معامل </w:t>
            </w:r>
            <w:r w:rsidRPr="00F24EF0">
              <w:rPr>
                <w:rFonts w:ascii="Times New Roman" w:eastAsia="Calibri" w:hAnsi="Times New Roman" w:cs="Simplified Arabic" w:hint="cs"/>
                <w:b/>
                <w:bCs/>
                <w:sz w:val="24"/>
                <w:szCs w:val="24"/>
                <w:rtl/>
              </w:rPr>
              <w:t>الارتباط</w:t>
            </w:r>
          </w:p>
        </w:tc>
      </w:tr>
      <w:tr w:rsidR="000B3939" w:rsidRPr="00F24EF0" w14:paraId="2E9214B7" w14:textId="77777777" w:rsidTr="00F24EF0">
        <w:trPr>
          <w:jc w:val="center"/>
        </w:trPr>
        <w:tc>
          <w:tcPr>
            <w:tcW w:w="201" w:type="pct"/>
            <w:tcBorders>
              <w:top w:val="single" w:sz="4" w:space="0" w:color="000000"/>
              <w:left w:val="single" w:sz="4" w:space="0" w:color="000000"/>
              <w:right w:val="single" w:sz="4" w:space="0" w:color="000000"/>
            </w:tcBorders>
            <w:shd w:val="clear" w:color="auto" w:fill="auto"/>
            <w:vAlign w:val="center"/>
          </w:tcPr>
          <w:p w14:paraId="07F70C6F"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hint="cs"/>
                <w:sz w:val="24"/>
                <w:szCs w:val="24"/>
                <w:rtl/>
              </w:rPr>
              <w:t>1</w:t>
            </w:r>
          </w:p>
        </w:tc>
        <w:tc>
          <w:tcPr>
            <w:tcW w:w="3819" w:type="pct"/>
            <w:tcBorders>
              <w:top w:val="single" w:sz="4" w:space="0" w:color="000000"/>
              <w:left w:val="single" w:sz="4" w:space="0" w:color="000000"/>
              <w:right w:val="single" w:sz="4" w:space="0" w:color="000000"/>
            </w:tcBorders>
            <w:vAlign w:val="center"/>
          </w:tcPr>
          <w:p w14:paraId="2BA4C462"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hint="cs"/>
                <w:sz w:val="24"/>
                <w:szCs w:val="24"/>
                <w:rtl/>
              </w:rPr>
              <w:t xml:space="preserve">البُعد الأول: التمويل </w:t>
            </w:r>
            <w:proofErr w:type="spellStart"/>
            <w:r w:rsidRPr="00F24EF0">
              <w:rPr>
                <w:rFonts w:ascii="Times New Roman" w:eastAsia="Calibri" w:hAnsi="Times New Roman" w:cs="Simplified Arabic" w:hint="cs"/>
                <w:sz w:val="24"/>
                <w:szCs w:val="24"/>
                <w:rtl/>
              </w:rPr>
              <w:t>التبرعي</w:t>
            </w:r>
            <w:proofErr w:type="spellEnd"/>
          </w:p>
        </w:tc>
        <w:tc>
          <w:tcPr>
            <w:tcW w:w="980" w:type="pct"/>
            <w:tcBorders>
              <w:top w:val="single" w:sz="4" w:space="0" w:color="000000"/>
              <w:left w:val="single" w:sz="4" w:space="0" w:color="000000"/>
              <w:bottom w:val="single" w:sz="4" w:space="0" w:color="auto"/>
              <w:right w:val="single" w:sz="4" w:space="0" w:color="000000"/>
            </w:tcBorders>
            <w:vAlign w:val="center"/>
          </w:tcPr>
          <w:p w14:paraId="6B0EB712" w14:textId="77777777" w:rsidR="000B3939" w:rsidRPr="00F24EF0" w:rsidRDefault="000B3939" w:rsidP="00F24EF0">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F24EF0">
              <w:rPr>
                <w:rFonts w:ascii="Times New Roman" w:eastAsia="Calibri" w:hAnsi="Times New Roman" w:cs="Simplified Arabic"/>
                <w:kern w:val="2"/>
                <w:sz w:val="24"/>
                <w:szCs w:val="24"/>
                <w14:ligatures w14:val="standardContextual"/>
              </w:rPr>
              <w:t>.917**</w:t>
            </w:r>
          </w:p>
        </w:tc>
      </w:tr>
      <w:tr w:rsidR="000B3939" w:rsidRPr="00F24EF0" w14:paraId="3A466BC6" w14:textId="77777777" w:rsidTr="00F24EF0">
        <w:trPr>
          <w:jc w:val="center"/>
        </w:trPr>
        <w:tc>
          <w:tcPr>
            <w:tcW w:w="2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318EF7"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hint="cs"/>
                <w:sz w:val="24"/>
                <w:szCs w:val="24"/>
                <w:rtl/>
              </w:rPr>
              <w:t>2</w:t>
            </w:r>
          </w:p>
        </w:tc>
        <w:tc>
          <w:tcPr>
            <w:tcW w:w="3819" w:type="pct"/>
            <w:tcBorders>
              <w:top w:val="single" w:sz="4" w:space="0" w:color="000000"/>
              <w:left w:val="single" w:sz="4" w:space="0" w:color="000000"/>
              <w:bottom w:val="single" w:sz="4" w:space="0" w:color="000000"/>
              <w:right w:val="single" w:sz="4" w:space="0" w:color="000000"/>
            </w:tcBorders>
            <w:vAlign w:val="center"/>
          </w:tcPr>
          <w:p w14:paraId="49467571"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hint="cs"/>
                <w:sz w:val="24"/>
                <w:szCs w:val="24"/>
                <w:rtl/>
              </w:rPr>
              <w:t xml:space="preserve">البُعد الثاني: </w:t>
            </w:r>
            <w:r w:rsidRPr="00F24EF0">
              <w:rPr>
                <w:rFonts w:ascii="Times New Roman" w:eastAsia="Calibri" w:hAnsi="Times New Roman" w:cs="Simplified Arabic"/>
                <w:sz w:val="24"/>
                <w:szCs w:val="24"/>
                <w:rtl/>
              </w:rPr>
              <w:t>التمويل القائم على المكافآت</w:t>
            </w:r>
          </w:p>
        </w:tc>
        <w:tc>
          <w:tcPr>
            <w:tcW w:w="980" w:type="pct"/>
            <w:tcBorders>
              <w:top w:val="single" w:sz="4" w:space="0" w:color="000000"/>
              <w:left w:val="single" w:sz="4" w:space="0" w:color="000000"/>
              <w:bottom w:val="single" w:sz="4" w:space="0" w:color="000000"/>
              <w:right w:val="single" w:sz="4" w:space="0" w:color="000000"/>
            </w:tcBorders>
            <w:vAlign w:val="center"/>
          </w:tcPr>
          <w:p w14:paraId="2F14567B" w14:textId="77777777" w:rsidR="000B3939" w:rsidRPr="00F24EF0" w:rsidRDefault="000B3939" w:rsidP="00F24EF0">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F24EF0">
              <w:rPr>
                <w:rFonts w:ascii="Times New Roman" w:eastAsia="Calibri" w:hAnsi="Times New Roman" w:cs="Simplified Arabic"/>
                <w:kern w:val="2"/>
                <w:sz w:val="24"/>
                <w:szCs w:val="24"/>
                <w14:ligatures w14:val="standardContextual"/>
              </w:rPr>
              <w:t>.825**</w:t>
            </w:r>
          </w:p>
        </w:tc>
      </w:tr>
      <w:tr w:rsidR="000B3939" w:rsidRPr="00F24EF0" w14:paraId="797BB55D" w14:textId="77777777" w:rsidTr="00F24EF0">
        <w:trPr>
          <w:jc w:val="center"/>
        </w:trPr>
        <w:tc>
          <w:tcPr>
            <w:tcW w:w="2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A16286"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hint="cs"/>
                <w:sz w:val="24"/>
                <w:szCs w:val="24"/>
                <w:rtl/>
              </w:rPr>
              <w:t>3</w:t>
            </w:r>
          </w:p>
        </w:tc>
        <w:tc>
          <w:tcPr>
            <w:tcW w:w="3819" w:type="pct"/>
            <w:tcBorders>
              <w:top w:val="single" w:sz="4" w:space="0" w:color="000000"/>
              <w:left w:val="single" w:sz="4" w:space="0" w:color="000000"/>
              <w:bottom w:val="single" w:sz="4" w:space="0" w:color="000000"/>
              <w:right w:val="single" w:sz="4" w:space="0" w:color="000000"/>
            </w:tcBorders>
            <w:vAlign w:val="center"/>
          </w:tcPr>
          <w:p w14:paraId="5C4D6F1E" w14:textId="77777777" w:rsidR="000B3939" w:rsidRPr="00F24EF0" w:rsidRDefault="000B3939" w:rsidP="00F24EF0">
            <w:pPr>
              <w:autoSpaceDE w:val="0"/>
              <w:autoSpaceDN w:val="0"/>
              <w:bidi/>
              <w:adjustRightInd w:val="0"/>
              <w:spacing w:after="0" w:line="240" w:lineRule="auto"/>
              <w:jc w:val="center"/>
              <w:rPr>
                <w:rFonts w:ascii="Times New Roman" w:eastAsia="Calibri" w:hAnsi="Times New Roman" w:cs="Simplified Arabic"/>
                <w:sz w:val="24"/>
                <w:szCs w:val="24"/>
                <w:rtl/>
              </w:rPr>
            </w:pPr>
            <w:r w:rsidRPr="00F24EF0">
              <w:rPr>
                <w:rFonts w:ascii="Times New Roman" w:eastAsia="Calibri" w:hAnsi="Times New Roman" w:cs="Simplified Arabic"/>
                <w:sz w:val="24"/>
                <w:szCs w:val="24"/>
                <w:rtl/>
              </w:rPr>
              <w:t>البعد الثالث: التمويل التشاركي المختلط</w:t>
            </w:r>
          </w:p>
        </w:tc>
        <w:tc>
          <w:tcPr>
            <w:tcW w:w="980" w:type="pct"/>
            <w:tcBorders>
              <w:top w:val="single" w:sz="4" w:space="0" w:color="000000"/>
              <w:left w:val="single" w:sz="4" w:space="0" w:color="000000"/>
              <w:bottom w:val="single" w:sz="4" w:space="0" w:color="000000"/>
              <w:right w:val="single" w:sz="4" w:space="0" w:color="000000"/>
            </w:tcBorders>
            <w:vAlign w:val="center"/>
          </w:tcPr>
          <w:p w14:paraId="21ACB3D5" w14:textId="77777777" w:rsidR="000B3939" w:rsidRPr="00F24EF0" w:rsidRDefault="000B3939" w:rsidP="00F24EF0">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F24EF0">
              <w:rPr>
                <w:rFonts w:ascii="Times New Roman" w:eastAsia="Calibri" w:hAnsi="Times New Roman" w:cs="Simplified Arabic"/>
                <w:kern w:val="2"/>
                <w:sz w:val="24"/>
                <w:szCs w:val="24"/>
                <w14:ligatures w14:val="standardContextual"/>
              </w:rPr>
              <w:t>.892**</w:t>
            </w:r>
          </w:p>
        </w:tc>
      </w:tr>
    </w:tbl>
    <w:p w14:paraId="19E99976" w14:textId="77777777" w:rsidR="000B3939" w:rsidRPr="00BC50C9" w:rsidRDefault="000B3939" w:rsidP="00BC50C9">
      <w:pPr>
        <w:bidi/>
        <w:spacing w:before="120" w:after="120" w:line="240" w:lineRule="auto"/>
        <w:ind w:firstLine="360"/>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يتبين من الجدول السابق أن قيم معاملات الارتباط </w:t>
      </w:r>
      <w:r w:rsidRPr="00BC50C9">
        <w:rPr>
          <w:rFonts w:ascii="Times New Roman" w:eastAsia="Calibri" w:hAnsi="Times New Roman" w:cs="Simplified Arabic" w:hint="cs"/>
          <w:sz w:val="24"/>
          <w:szCs w:val="28"/>
          <w:rtl/>
          <w:lang w:bidi="ar-EG"/>
        </w:rPr>
        <w:t>لأبعاد المحور الأول:</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hint="cs"/>
          <w:sz w:val="24"/>
          <w:szCs w:val="28"/>
          <w:rtl/>
          <w:lang w:bidi="ar-EG"/>
        </w:rPr>
        <w:t>التمويل التشاركي والمتوسط العام للمحور الأول ب</w:t>
      </w:r>
      <w:r w:rsidRPr="00BC50C9">
        <w:rPr>
          <w:rFonts w:ascii="Times New Roman" w:eastAsia="Calibri" w:hAnsi="Times New Roman" w:cs="Simplified Arabic"/>
          <w:sz w:val="24"/>
          <w:szCs w:val="28"/>
          <w:rtl/>
          <w:lang w:bidi="ar-EG"/>
        </w:rPr>
        <w:t xml:space="preserve">الاستبانة جاءت بقيم عالية حيث تراوحت بين </w:t>
      </w:r>
      <w:r w:rsidRPr="00BC50C9">
        <w:rPr>
          <w:rFonts w:ascii="Times New Roman" w:eastAsia="Calibri" w:hAnsi="Times New Roman" w:cs="Simplified Arabic" w:hint="cs"/>
          <w:sz w:val="24"/>
          <w:szCs w:val="28"/>
          <w:rtl/>
          <w:lang w:bidi="ar-EG"/>
        </w:rPr>
        <w:t>(</w:t>
      </w:r>
      <w:r w:rsidRPr="00BC50C9">
        <w:rPr>
          <w:rFonts w:ascii="Times New Roman" w:eastAsia="Calibri" w:hAnsi="Times New Roman" w:cs="Simplified Arabic"/>
          <w:sz w:val="24"/>
          <w:szCs w:val="28"/>
        </w:rPr>
        <w:t>.825</w:t>
      </w:r>
      <w:r w:rsidRPr="00BC50C9">
        <w:rPr>
          <w:rFonts w:ascii="Times New Roman" w:eastAsia="Calibri" w:hAnsi="Times New Roman" w:cs="Simplified Arabic"/>
          <w:sz w:val="24"/>
          <w:szCs w:val="28"/>
          <w:vertAlign w:val="superscript"/>
        </w:rPr>
        <w:t>**</w:t>
      </w:r>
      <w:r w:rsidRPr="00BC50C9">
        <w:rPr>
          <w:rFonts w:ascii="Times New Roman" w:eastAsia="Calibri" w:hAnsi="Times New Roman" w:cs="Simplified Arabic" w:hint="cs"/>
          <w:sz w:val="24"/>
          <w:szCs w:val="28"/>
          <w:rtl/>
          <w:lang w:bidi="ar-EG"/>
        </w:rPr>
        <w:t>-</w:t>
      </w:r>
      <w:r w:rsidRPr="00BC50C9">
        <w:rPr>
          <w:rFonts w:ascii="Times New Roman" w:eastAsia="Calibri" w:hAnsi="Times New Roman" w:cs="Simplified Arabic"/>
          <w:sz w:val="24"/>
          <w:szCs w:val="28"/>
        </w:rPr>
        <w:t>.917</w:t>
      </w:r>
      <w:r w:rsidRPr="00BC50C9">
        <w:rPr>
          <w:rFonts w:ascii="Times New Roman" w:eastAsia="Calibri" w:hAnsi="Times New Roman" w:cs="Simplified Arabic"/>
          <w:sz w:val="24"/>
          <w:szCs w:val="28"/>
          <w:vertAlign w:val="superscript"/>
        </w:rPr>
        <w:t>**</w:t>
      </w:r>
      <w:r w:rsidRPr="00BC50C9">
        <w:rPr>
          <w:rFonts w:ascii="Times New Roman" w:eastAsia="Calibri" w:hAnsi="Times New Roman" w:cs="Simplified Arabic" w:hint="cs"/>
          <w:sz w:val="24"/>
          <w:szCs w:val="28"/>
          <w:rtl/>
          <w:lang w:bidi="ar-EG"/>
        </w:rPr>
        <w:t>)</w:t>
      </w:r>
      <w:r w:rsidRPr="00BC50C9">
        <w:rPr>
          <w:rFonts w:ascii="Times New Roman" w:eastAsia="Calibri" w:hAnsi="Times New Roman" w:cs="Simplified Arabic"/>
          <w:sz w:val="24"/>
          <w:szCs w:val="28"/>
          <w:rtl/>
          <w:lang w:bidi="ar-EG"/>
        </w:rPr>
        <w:t xml:space="preserve"> وكانت جميعها دالة إحصائياً عند مستوى دلالة (</w:t>
      </w:r>
      <w:r w:rsidRPr="00BC50C9">
        <w:rPr>
          <w:rFonts w:ascii="Times New Roman" w:eastAsia="Calibri" w:hAnsi="Times New Roman" w:cs="Simplified Arabic"/>
          <w:sz w:val="24"/>
          <w:szCs w:val="28"/>
          <w:lang w:bidi="ar-EG"/>
        </w:rPr>
        <w:t>0.01</w:t>
      </w:r>
      <w:r w:rsidRPr="00BC50C9">
        <w:rPr>
          <w:rFonts w:ascii="Times New Roman" w:eastAsia="Calibri" w:hAnsi="Times New Roman" w:cs="Simplified Arabic"/>
          <w:sz w:val="24"/>
          <w:szCs w:val="28"/>
          <w:rtl/>
          <w:lang w:bidi="ar-EG"/>
        </w:rPr>
        <w:t>)؛ مما يدل على توافر درجة عالية من الصدق البنائي للاستبانة.</w:t>
      </w:r>
    </w:p>
    <w:p w14:paraId="71634AB8" w14:textId="14856098" w:rsidR="000B3939" w:rsidRPr="00F24EF0" w:rsidRDefault="000B3939">
      <w:pPr>
        <w:numPr>
          <w:ilvl w:val="0"/>
          <w:numId w:val="16"/>
        </w:numPr>
        <w:bidi/>
        <w:spacing w:before="120" w:after="120" w:line="240" w:lineRule="auto"/>
        <w:contextualSpacing/>
        <w:jc w:val="both"/>
        <w:rPr>
          <w:rFonts w:ascii="Times New Roman" w:eastAsia="Calibri" w:hAnsi="Times New Roman" w:cs="Simplified Arabic"/>
          <w:b/>
          <w:bCs/>
          <w:kern w:val="2"/>
          <w:sz w:val="24"/>
          <w:szCs w:val="28"/>
          <w:rtl/>
          <w14:ligatures w14:val="standardContextual"/>
        </w:rPr>
      </w:pPr>
      <w:r w:rsidRPr="00F24EF0">
        <w:rPr>
          <w:rFonts w:ascii="Times New Roman" w:eastAsia="Calibri" w:hAnsi="Times New Roman" w:cs="Simplified Arabic" w:hint="cs"/>
          <w:b/>
          <w:bCs/>
          <w:kern w:val="2"/>
          <w:sz w:val="24"/>
          <w:szCs w:val="28"/>
          <w:rtl/>
          <w14:ligatures w14:val="standardContextual"/>
        </w:rPr>
        <w:t>ثبات الأداة (الاستبانة):</w:t>
      </w:r>
      <w:r w:rsidR="00F24EF0">
        <w:rPr>
          <w:rFonts w:ascii="Times New Roman" w:eastAsia="Calibri" w:hAnsi="Times New Roman" w:cs="Simplified Arabic" w:hint="cs"/>
          <w:b/>
          <w:bCs/>
          <w:kern w:val="2"/>
          <w:sz w:val="24"/>
          <w:szCs w:val="28"/>
          <w:rtl/>
          <w14:ligatures w14:val="standardContextual"/>
        </w:rPr>
        <w:t xml:space="preserve"> </w:t>
      </w:r>
      <w:r w:rsidRPr="00F24EF0">
        <w:rPr>
          <w:rFonts w:ascii="Times New Roman" w:eastAsia="Calibri" w:hAnsi="Times New Roman" w:cs="Simplified Arabic"/>
          <w:sz w:val="24"/>
          <w:szCs w:val="28"/>
          <w:rtl/>
        </w:rPr>
        <w:t>يعني ثبات الأداة التأكد من أن الإجابة ستكون واحدة تقريباً لو تكرر تطبيقها على الأشخاص ذاتهم في أوقات زمنية مختلفة، والذي عرفه بني يونس وأبو البصل (2018، ص. 379)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قدرة الباحث على التحكم في ظروف إجراء الاختبار"، وجاء ثبات الأداة (الاستبانة) على النحو التالي:</w:t>
      </w:r>
    </w:p>
    <w:p w14:paraId="0677BEAA" w14:textId="2A4ED624" w:rsidR="000B3939" w:rsidRDefault="000B3939">
      <w:pPr>
        <w:numPr>
          <w:ilvl w:val="0"/>
          <w:numId w:val="36"/>
        </w:numPr>
        <w:bidi/>
        <w:spacing w:before="120" w:after="120" w:line="240" w:lineRule="auto"/>
        <w:ind w:left="708"/>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hint="eastAsia"/>
          <w:b/>
          <w:bCs/>
          <w:sz w:val="24"/>
          <w:szCs w:val="28"/>
          <w:rtl/>
          <w:lang w:bidi="ar-EG"/>
        </w:rPr>
        <w:t>ثبات</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المحور</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الأول</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cs"/>
          <w:b/>
          <w:bCs/>
          <w:sz w:val="24"/>
          <w:szCs w:val="28"/>
          <w:rtl/>
          <w:lang w:bidi="ar-EG"/>
        </w:rPr>
        <w:t>التمويل التشاركي</w:t>
      </w:r>
      <w:r w:rsidR="0092204F">
        <w:rPr>
          <w:rFonts w:ascii="Times New Roman" w:eastAsia="Calibri" w:hAnsi="Times New Roman" w:cs="Simplified Arabic" w:hint="cs"/>
          <w:sz w:val="24"/>
          <w:szCs w:val="28"/>
          <w:rtl/>
          <w:lang w:bidi="ar-EG"/>
        </w:rPr>
        <w:t xml:space="preserve"> </w:t>
      </w:r>
      <w:r w:rsidRPr="0092204F">
        <w:rPr>
          <w:rFonts w:ascii="Times New Roman" w:eastAsia="Calibri" w:hAnsi="Times New Roman" w:cs="Simplified Arabic" w:hint="cs"/>
          <w:sz w:val="24"/>
          <w:szCs w:val="28"/>
          <w:rtl/>
          <w:lang w:bidi="ar-EG"/>
        </w:rPr>
        <w:t xml:space="preserve">تم حساب معامل ثبات ألفا </w:t>
      </w:r>
      <w:proofErr w:type="spellStart"/>
      <w:r w:rsidRPr="0092204F">
        <w:rPr>
          <w:rFonts w:ascii="Times New Roman" w:eastAsia="Calibri" w:hAnsi="Times New Roman" w:cs="Simplified Arabic" w:hint="cs"/>
          <w:sz w:val="24"/>
          <w:szCs w:val="28"/>
          <w:rtl/>
          <w:lang w:bidi="ar-EG"/>
        </w:rPr>
        <w:t>كرونباخ</w:t>
      </w:r>
      <w:proofErr w:type="spellEnd"/>
      <w:r w:rsidRPr="0092204F">
        <w:rPr>
          <w:rFonts w:ascii="Times New Roman" w:eastAsia="Calibri" w:hAnsi="Times New Roman" w:cs="Simplified Arabic" w:hint="cs"/>
          <w:sz w:val="24"/>
          <w:szCs w:val="28"/>
          <w:rtl/>
          <w:lang w:bidi="ar-EG"/>
        </w:rPr>
        <w:t xml:space="preserve"> لأبعاد </w:t>
      </w:r>
      <w:r w:rsidRPr="0092204F">
        <w:rPr>
          <w:rFonts w:ascii="Times New Roman" w:eastAsia="Calibri" w:hAnsi="Times New Roman" w:cs="Simplified Arabic" w:hint="eastAsia"/>
          <w:sz w:val="24"/>
          <w:szCs w:val="28"/>
          <w:rtl/>
          <w:lang w:bidi="ar-EG"/>
        </w:rPr>
        <w:t>المحور</w:t>
      </w:r>
      <w:r w:rsidRPr="0092204F">
        <w:rPr>
          <w:rFonts w:ascii="Times New Roman" w:eastAsia="Calibri" w:hAnsi="Times New Roman" w:cs="Simplified Arabic"/>
          <w:sz w:val="24"/>
          <w:szCs w:val="28"/>
          <w:rtl/>
          <w:lang w:bidi="ar-EG"/>
        </w:rPr>
        <w:t xml:space="preserve"> </w:t>
      </w:r>
      <w:r w:rsidRPr="0092204F">
        <w:rPr>
          <w:rFonts w:ascii="Times New Roman" w:eastAsia="Calibri" w:hAnsi="Times New Roman" w:cs="Simplified Arabic" w:hint="eastAsia"/>
          <w:sz w:val="24"/>
          <w:szCs w:val="28"/>
          <w:rtl/>
          <w:lang w:bidi="ar-EG"/>
        </w:rPr>
        <w:t>الأول</w:t>
      </w:r>
      <w:r w:rsidRPr="0092204F">
        <w:rPr>
          <w:rFonts w:ascii="Times New Roman" w:eastAsia="Calibri" w:hAnsi="Times New Roman" w:cs="Simplified Arabic"/>
          <w:sz w:val="24"/>
          <w:szCs w:val="28"/>
          <w:rtl/>
          <w:lang w:bidi="ar-EG"/>
        </w:rPr>
        <w:t>:</w:t>
      </w:r>
      <w:r w:rsidRPr="0092204F">
        <w:rPr>
          <w:rFonts w:ascii="Times New Roman" w:eastAsia="Calibri" w:hAnsi="Times New Roman" w:cs="Simplified Arabic" w:hint="cs"/>
          <w:sz w:val="24"/>
          <w:szCs w:val="28"/>
          <w:rtl/>
          <w:lang w:bidi="ar-EG"/>
        </w:rPr>
        <w:t xml:space="preserve"> التمويل التشاركي والمتوسط العام ل</w:t>
      </w:r>
      <w:r w:rsidRPr="0092204F">
        <w:rPr>
          <w:rFonts w:ascii="Times New Roman" w:eastAsia="Calibri" w:hAnsi="Times New Roman" w:cs="Simplified Arabic" w:hint="eastAsia"/>
          <w:sz w:val="24"/>
          <w:szCs w:val="28"/>
          <w:rtl/>
          <w:lang w:bidi="ar-EG"/>
        </w:rPr>
        <w:t>لمحور</w:t>
      </w:r>
      <w:r w:rsidRPr="0092204F">
        <w:rPr>
          <w:rFonts w:ascii="Times New Roman" w:eastAsia="Calibri" w:hAnsi="Times New Roman" w:cs="Simplified Arabic"/>
          <w:sz w:val="24"/>
          <w:szCs w:val="28"/>
          <w:rtl/>
          <w:lang w:bidi="ar-EG"/>
        </w:rPr>
        <w:t xml:space="preserve"> </w:t>
      </w:r>
      <w:r w:rsidRPr="0092204F">
        <w:rPr>
          <w:rFonts w:ascii="Times New Roman" w:eastAsia="Calibri" w:hAnsi="Times New Roman" w:cs="Simplified Arabic" w:hint="eastAsia"/>
          <w:sz w:val="24"/>
          <w:szCs w:val="28"/>
          <w:rtl/>
          <w:lang w:bidi="ar-EG"/>
        </w:rPr>
        <w:t>الأول</w:t>
      </w:r>
      <w:r w:rsidRPr="0092204F">
        <w:rPr>
          <w:rFonts w:ascii="Times New Roman" w:eastAsia="Calibri" w:hAnsi="Times New Roman" w:cs="Simplified Arabic" w:hint="cs"/>
          <w:sz w:val="24"/>
          <w:szCs w:val="28"/>
          <w:rtl/>
          <w:lang w:bidi="ar-EG"/>
        </w:rPr>
        <w:t xml:space="preserve"> بالاستبانة </w:t>
      </w:r>
      <w:r w:rsidRPr="0092204F">
        <w:rPr>
          <w:rFonts w:ascii="Times New Roman" w:eastAsia="Calibri" w:hAnsi="Times New Roman" w:cs="Simplified Arabic"/>
          <w:sz w:val="24"/>
          <w:szCs w:val="28"/>
          <w:rtl/>
          <w:lang w:bidi="ar-EG"/>
        </w:rPr>
        <w:t>ويوضح نتائجها الجدول التالي:</w:t>
      </w:r>
    </w:p>
    <w:p w14:paraId="6B793254" w14:textId="77777777" w:rsidR="00D308D7" w:rsidRDefault="00D308D7" w:rsidP="00D308D7">
      <w:pPr>
        <w:bidi/>
        <w:spacing w:before="120" w:after="120" w:line="240" w:lineRule="auto"/>
        <w:contextualSpacing/>
        <w:jc w:val="both"/>
        <w:rPr>
          <w:rFonts w:ascii="Times New Roman" w:eastAsia="Calibri" w:hAnsi="Times New Roman" w:cs="Simplified Arabic"/>
          <w:sz w:val="24"/>
          <w:szCs w:val="28"/>
          <w:rtl/>
          <w:lang w:bidi="ar-EG"/>
        </w:rPr>
      </w:pPr>
    </w:p>
    <w:p w14:paraId="6A42DF28" w14:textId="77777777" w:rsidR="00D308D7" w:rsidRDefault="00D308D7" w:rsidP="00D308D7">
      <w:pPr>
        <w:bidi/>
        <w:spacing w:before="120" w:after="120" w:line="240" w:lineRule="auto"/>
        <w:contextualSpacing/>
        <w:jc w:val="both"/>
        <w:rPr>
          <w:rFonts w:ascii="Times New Roman" w:eastAsia="Calibri" w:hAnsi="Times New Roman" w:cs="Simplified Arabic"/>
          <w:sz w:val="24"/>
          <w:szCs w:val="28"/>
          <w:rtl/>
          <w:lang w:bidi="ar-EG"/>
        </w:rPr>
      </w:pPr>
    </w:p>
    <w:p w14:paraId="3A92E35A" w14:textId="77777777" w:rsidR="00D308D7" w:rsidRDefault="00D308D7" w:rsidP="00D308D7">
      <w:pPr>
        <w:bidi/>
        <w:spacing w:before="120" w:after="120" w:line="240" w:lineRule="auto"/>
        <w:contextualSpacing/>
        <w:jc w:val="both"/>
        <w:rPr>
          <w:rFonts w:ascii="Times New Roman" w:eastAsia="Calibri" w:hAnsi="Times New Roman" w:cs="Simplified Arabic"/>
          <w:sz w:val="24"/>
          <w:szCs w:val="28"/>
          <w:rtl/>
          <w:lang w:bidi="ar-EG"/>
        </w:rPr>
      </w:pPr>
    </w:p>
    <w:p w14:paraId="72BB86BB" w14:textId="77777777" w:rsidR="00D308D7" w:rsidRPr="0092204F" w:rsidRDefault="00D308D7" w:rsidP="00D308D7">
      <w:pPr>
        <w:bidi/>
        <w:spacing w:before="120" w:after="120" w:line="240" w:lineRule="auto"/>
        <w:contextualSpacing/>
        <w:jc w:val="both"/>
        <w:rPr>
          <w:rFonts w:ascii="Times New Roman" w:eastAsia="Calibri" w:hAnsi="Times New Roman" w:cs="Simplified Arabic"/>
          <w:sz w:val="24"/>
          <w:szCs w:val="28"/>
          <w:rtl/>
          <w:lang w:bidi="ar-EG"/>
        </w:rPr>
      </w:pPr>
    </w:p>
    <w:p w14:paraId="3ADA41D8" w14:textId="77777777" w:rsidR="000B3939" w:rsidRPr="00BC50C9" w:rsidRDefault="000B3939" w:rsidP="0092204F">
      <w:pPr>
        <w:pStyle w:val="33333"/>
        <w:rPr>
          <w:rtl/>
        </w:rPr>
      </w:pPr>
      <w:bookmarkStart w:id="87" w:name="_Toc170412847"/>
      <w:bookmarkStart w:id="88" w:name="_Toc195456541"/>
      <w:r w:rsidRPr="00BC50C9">
        <w:rPr>
          <w:rFonts w:hint="cs"/>
          <w:rtl/>
        </w:rPr>
        <w:lastRenderedPageBreak/>
        <w:t>ال</w:t>
      </w:r>
      <w:r w:rsidRPr="00BC50C9">
        <w:rPr>
          <w:rtl/>
        </w:rPr>
        <w:t>جدول</w:t>
      </w:r>
      <w:r w:rsidRPr="00BC50C9">
        <w:rPr>
          <w:rFonts w:hint="cs"/>
          <w:rtl/>
        </w:rPr>
        <w:t xml:space="preserve"> رقم</w:t>
      </w:r>
      <w:r w:rsidRPr="00BC50C9">
        <w:rPr>
          <w:rtl/>
        </w:rPr>
        <w:t xml:space="preserve"> (</w:t>
      </w:r>
      <w:r w:rsidRPr="00BC50C9">
        <w:rPr>
          <w:rFonts w:hint="cs"/>
          <w:rtl/>
        </w:rPr>
        <w:t>3-4</w:t>
      </w:r>
      <w:r w:rsidRPr="00BC50C9">
        <w:rPr>
          <w:rtl/>
        </w:rPr>
        <w:t xml:space="preserve">) معامل ثبات ألفا </w:t>
      </w:r>
      <w:proofErr w:type="spellStart"/>
      <w:r w:rsidRPr="00BC50C9">
        <w:rPr>
          <w:rtl/>
        </w:rPr>
        <w:t>كرونباخ</w:t>
      </w:r>
      <w:proofErr w:type="spellEnd"/>
      <w:r w:rsidRPr="00BC50C9">
        <w:rPr>
          <w:rtl/>
        </w:rPr>
        <w:t xml:space="preserve"> </w:t>
      </w:r>
      <w:r w:rsidRPr="00BC50C9">
        <w:rPr>
          <w:rFonts w:hint="cs"/>
          <w:rtl/>
        </w:rPr>
        <w:t>لأبعاد المحور الأول</w:t>
      </w:r>
      <w:r w:rsidRPr="00BC50C9">
        <w:rPr>
          <w:rtl/>
        </w:rPr>
        <w:t xml:space="preserve"> </w:t>
      </w:r>
      <w:r w:rsidRPr="00BC50C9">
        <w:rPr>
          <w:rFonts w:hint="cs"/>
          <w:rtl/>
        </w:rPr>
        <w:t>والمتوسط العام ل</w:t>
      </w:r>
      <w:r w:rsidRPr="00BC50C9">
        <w:rPr>
          <w:rFonts w:hint="eastAsia"/>
          <w:rtl/>
        </w:rPr>
        <w:t>لمحور</w:t>
      </w:r>
      <w:r w:rsidRPr="00BC50C9">
        <w:rPr>
          <w:rtl/>
        </w:rPr>
        <w:t xml:space="preserve"> </w:t>
      </w:r>
      <w:r w:rsidRPr="00BC50C9">
        <w:rPr>
          <w:rFonts w:hint="eastAsia"/>
          <w:rtl/>
        </w:rPr>
        <w:t>الأول</w:t>
      </w:r>
      <w:r w:rsidRPr="00BC50C9">
        <w:rPr>
          <w:rFonts w:hint="cs"/>
          <w:rtl/>
        </w:rPr>
        <w:t xml:space="preserve"> ب</w:t>
      </w:r>
      <w:r w:rsidRPr="00BC50C9">
        <w:rPr>
          <w:rtl/>
        </w:rPr>
        <w:t>الاستبانة</w:t>
      </w:r>
      <w:bookmarkEnd w:id="87"/>
      <w:bookmarkEnd w:id="88"/>
    </w:p>
    <w:tbl>
      <w:tblPr>
        <w:tblStyle w:val="af6"/>
        <w:bidiVisual/>
        <w:tblW w:w="5000" w:type="pct"/>
        <w:jc w:val="center"/>
        <w:tblLook w:val="04A0" w:firstRow="1" w:lastRow="0" w:firstColumn="1" w:lastColumn="0" w:noHBand="0" w:noVBand="1"/>
      </w:tblPr>
      <w:tblGrid>
        <w:gridCol w:w="575"/>
        <w:gridCol w:w="5155"/>
        <w:gridCol w:w="1373"/>
        <w:gridCol w:w="1959"/>
      </w:tblGrid>
      <w:tr w:rsidR="000B3939" w:rsidRPr="0092204F" w14:paraId="4BAA6A4F" w14:textId="77777777" w:rsidTr="00DF18C3">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1CDD40" w14:textId="77777777" w:rsidR="000B3939" w:rsidRPr="0092204F" w:rsidRDefault="000B3939" w:rsidP="0092204F">
            <w:pPr>
              <w:autoSpaceDE w:val="0"/>
              <w:autoSpaceDN w:val="0"/>
              <w:bidi/>
              <w:adjustRightInd w:val="0"/>
              <w:jc w:val="center"/>
              <w:rPr>
                <w:rFonts w:ascii="Times New Roman" w:eastAsia="Calibri" w:hAnsi="Times New Roman" w:cs="Simplified Arabic"/>
                <w:bCs/>
                <w:sz w:val="24"/>
                <w:szCs w:val="24"/>
              </w:rPr>
            </w:pPr>
            <w:r w:rsidRPr="0092204F">
              <w:rPr>
                <w:rFonts w:ascii="Times New Roman" w:eastAsia="Calibri" w:hAnsi="Times New Roman" w:cs="Simplified Arabic"/>
                <w:bCs/>
                <w:sz w:val="24"/>
                <w:szCs w:val="24"/>
                <w:rtl/>
              </w:rPr>
              <w:t>الرقم</w:t>
            </w:r>
          </w:p>
        </w:tc>
        <w:tc>
          <w:tcPr>
            <w:tcW w:w="536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60BBAB" w14:textId="77777777" w:rsidR="000B3939" w:rsidRPr="0092204F" w:rsidRDefault="000B3939" w:rsidP="0092204F">
            <w:pPr>
              <w:autoSpaceDE w:val="0"/>
              <w:autoSpaceDN w:val="0"/>
              <w:bidi/>
              <w:adjustRightInd w:val="0"/>
              <w:jc w:val="center"/>
              <w:rPr>
                <w:rFonts w:ascii="Times New Roman" w:eastAsia="Calibri" w:hAnsi="Times New Roman" w:cs="Simplified Arabic"/>
                <w:bCs/>
                <w:sz w:val="24"/>
                <w:szCs w:val="24"/>
              </w:rPr>
            </w:pPr>
            <w:r w:rsidRPr="0092204F">
              <w:rPr>
                <w:rFonts w:ascii="Times New Roman" w:eastAsia="Calibri" w:hAnsi="Times New Roman" w:cs="Simplified Arabic" w:hint="eastAsia"/>
                <w:bCs/>
                <w:sz w:val="24"/>
                <w:szCs w:val="24"/>
                <w:rtl/>
              </w:rPr>
              <w:t>الأبعاد</w:t>
            </w:r>
          </w:p>
        </w:tc>
        <w:tc>
          <w:tcPr>
            <w:tcW w:w="140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0C3351" w14:textId="77777777" w:rsidR="000B3939" w:rsidRPr="0092204F" w:rsidRDefault="000B3939" w:rsidP="0092204F">
            <w:pPr>
              <w:autoSpaceDE w:val="0"/>
              <w:autoSpaceDN w:val="0"/>
              <w:bidi/>
              <w:adjustRightInd w:val="0"/>
              <w:jc w:val="center"/>
              <w:rPr>
                <w:rFonts w:ascii="Times New Roman" w:eastAsia="Calibri" w:hAnsi="Times New Roman" w:cs="Simplified Arabic"/>
                <w:bCs/>
                <w:sz w:val="24"/>
                <w:szCs w:val="24"/>
                <w:rtl/>
              </w:rPr>
            </w:pPr>
            <w:r w:rsidRPr="0092204F">
              <w:rPr>
                <w:rFonts w:ascii="Times New Roman" w:eastAsia="Calibri" w:hAnsi="Times New Roman" w:cs="Simplified Arabic" w:hint="eastAsia"/>
                <w:bCs/>
                <w:sz w:val="24"/>
                <w:szCs w:val="24"/>
                <w:rtl/>
              </w:rPr>
              <w:t>عدد</w:t>
            </w:r>
            <w:r w:rsidRPr="0092204F">
              <w:rPr>
                <w:rFonts w:ascii="Times New Roman" w:eastAsia="Calibri" w:hAnsi="Times New Roman" w:cs="Simplified Arabic"/>
                <w:bCs/>
                <w:sz w:val="24"/>
                <w:szCs w:val="24"/>
                <w:rtl/>
              </w:rPr>
              <w:t xml:space="preserve"> </w:t>
            </w:r>
            <w:r w:rsidRPr="0092204F">
              <w:rPr>
                <w:rFonts w:ascii="Times New Roman" w:eastAsia="Calibri" w:hAnsi="Times New Roman" w:cs="Simplified Arabic" w:hint="eastAsia"/>
                <w:bCs/>
                <w:sz w:val="24"/>
                <w:szCs w:val="24"/>
                <w:rtl/>
              </w:rPr>
              <w:t>العبارات</w:t>
            </w:r>
          </w:p>
        </w:tc>
        <w:tc>
          <w:tcPr>
            <w:tcW w:w="201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1953A3" w14:textId="77777777" w:rsidR="000B3939" w:rsidRPr="0092204F" w:rsidRDefault="000B3939" w:rsidP="0092204F">
            <w:pPr>
              <w:autoSpaceDE w:val="0"/>
              <w:autoSpaceDN w:val="0"/>
              <w:bidi/>
              <w:adjustRightInd w:val="0"/>
              <w:jc w:val="center"/>
              <w:rPr>
                <w:rFonts w:ascii="Times New Roman" w:eastAsia="Calibri" w:hAnsi="Times New Roman" w:cs="Simplified Arabic"/>
                <w:bCs/>
                <w:sz w:val="24"/>
                <w:szCs w:val="24"/>
              </w:rPr>
            </w:pPr>
            <w:r w:rsidRPr="0092204F">
              <w:rPr>
                <w:rFonts w:ascii="Times New Roman" w:eastAsia="Calibri" w:hAnsi="Times New Roman" w:cs="Simplified Arabic"/>
                <w:bCs/>
                <w:sz w:val="24"/>
                <w:szCs w:val="24"/>
                <w:rtl/>
              </w:rPr>
              <w:t xml:space="preserve">معامل ألفا </w:t>
            </w:r>
            <w:proofErr w:type="spellStart"/>
            <w:r w:rsidRPr="0092204F">
              <w:rPr>
                <w:rFonts w:ascii="Times New Roman" w:eastAsia="Calibri" w:hAnsi="Times New Roman" w:cs="Simplified Arabic"/>
                <w:bCs/>
                <w:sz w:val="24"/>
                <w:szCs w:val="24"/>
                <w:rtl/>
              </w:rPr>
              <w:t>كرونباخ</w:t>
            </w:r>
            <w:proofErr w:type="spellEnd"/>
          </w:p>
        </w:tc>
      </w:tr>
      <w:tr w:rsidR="000B3939" w:rsidRPr="0092204F" w14:paraId="3D6634DF" w14:textId="77777777" w:rsidTr="00DF18C3">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BD3E3A" w14:textId="77777777" w:rsidR="000B3939" w:rsidRPr="0092204F" w:rsidRDefault="000B3939" w:rsidP="0092204F">
            <w:pPr>
              <w:autoSpaceDE w:val="0"/>
              <w:autoSpaceDN w:val="0"/>
              <w:bidi/>
              <w:adjustRightInd w:val="0"/>
              <w:jc w:val="center"/>
              <w:rPr>
                <w:rFonts w:ascii="Times New Roman" w:eastAsia="Calibri" w:hAnsi="Times New Roman" w:cs="Simplified Arabic"/>
                <w:b/>
                <w:sz w:val="24"/>
                <w:szCs w:val="24"/>
              </w:rPr>
            </w:pPr>
            <w:r w:rsidRPr="0092204F">
              <w:rPr>
                <w:rFonts w:ascii="Times New Roman" w:eastAsia="Calibri" w:hAnsi="Times New Roman" w:cs="Simplified Arabic"/>
                <w:b/>
                <w:sz w:val="24"/>
                <w:szCs w:val="24"/>
                <w:rtl/>
              </w:rPr>
              <w:t>1</w:t>
            </w:r>
          </w:p>
        </w:tc>
        <w:tc>
          <w:tcPr>
            <w:tcW w:w="5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0915A1" w14:textId="77777777" w:rsidR="000B3939" w:rsidRPr="0092204F" w:rsidRDefault="000B3939" w:rsidP="0092204F">
            <w:pPr>
              <w:autoSpaceDE w:val="0"/>
              <w:autoSpaceDN w:val="0"/>
              <w:bidi/>
              <w:adjustRightInd w:val="0"/>
              <w:jc w:val="center"/>
              <w:rPr>
                <w:rFonts w:ascii="Times New Roman" w:eastAsia="Calibri" w:hAnsi="Times New Roman" w:cs="Simplified Arabic"/>
                <w:b/>
                <w:sz w:val="24"/>
                <w:szCs w:val="24"/>
              </w:rPr>
            </w:pPr>
            <w:r w:rsidRPr="0092204F">
              <w:rPr>
                <w:rFonts w:ascii="Times New Roman" w:eastAsia="Calibri" w:hAnsi="Times New Roman" w:cs="Simplified Arabic" w:hint="cs"/>
                <w:sz w:val="24"/>
                <w:szCs w:val="24"/>
                <w:rtl/>
              </w:rPr>
              <w:t xml:space="preserve">البُعد الأول: التمويل </w:t>
            </w:r>
            <w:proofErr w:type="spellStart"/>
            <w:r w:rsidRPr="0092204F">
              <w:rPr>
                <w:rFonts w:ascii="Times New Roman" w:eastAsia="Calibri" w:hAnsi="Times New Roman" w:cs="Simplified Arabic" w:hint="cs"/>
                <w:sz w:val="24"/>
                <w:szCs w:val="24"/>
                <w:rtl/>
              </w:rPr>
              <w:t>التبرعي</w:t>
            </w:r>
            <w:proofErr w:type="spellEnd"/>
          </w:p>
        </w:tc>
        <w:tc>
          <w:tcPr>
            <w:tcW w:w="14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8FA42B"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14:ligatures w14:val="standardContextual"/>
              </w:rPr>
            </w:pPr>
            <w:r w:rsidRPr="0092204F">
              <w:rPr>
                <w:rFonts w:ascii="Times New Roman" w:eastAsia="Calibri" w:hAnsi="Times New Roman" w:cs="Simplified Arabic"/>
                <w:kern w:val="2"/>
                <w:sz w:val="24"/>
                <w:szCs w:val="24"/>
                <w14:ligatures w14:val="standardContextual"/>
              </w:rPr>
              <w:t>8</w:t>
            </w:r>
          </w:p>
        </w:tc>
        <w:tc>
          <w:tcPr>
            <w:tcW w:w="2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99E801"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rtl/>
                <w14:ligatures w14:val="standardContextual"/>
              </w:rPr>
            </w:pPr>
            <w:r w:rsidRPr="0092204F">
              <w:rPr>
                <w:rFonts w:ascii="Times New Roman" w:eastAsia="Calibri" w:hAnsi="Times New Roman" w:cs="Simplified Arabic"/>
                <w:sz w:val="24"/>
                <w:szCs w:val="24"/>
              </w:rPr>
              <w:t>.923</w:t>
            </w:r>
          </w:p>
        </w:tc>
      </w:tr>
      <w:tr w:rsidR="000B3939" w:rsidRPr="0092204F" w14:paraId="225B8F49" w14:textId="77777777" w:rsidTr="00DF18C3">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0725EE" w14:textId="77777777" w:rsidR="000B3939" w:rsidRPr="0092204F" w:rsidRDefault="000B3939" w:rsidP="0092204F">
            <w:pPr>
              <w:autoSpaceDE w:val="0"/>
              <w:autoSpaceDN w:val="0"/>
              <w:bidi/>
              <w:adjustRightInd w:val="0"/>
              <w:jc w:val="center"/>
              <w:rPr>
                <w:rFonts w:ascii="Times New Roman" w:eastAsia="Calibri" w:hAnsi="Times New Roman" w:cs="Simplified Arabic"/>
                <w:b/>
                <w:sz w:val="24"/>
                <w:szCs w:val="24"/>
              </w:rPr>
            </w:pPr>
            <w:r w:rsidRPr="0092204F">
              <w:rPr>
                <w:rFonts w:ascii="Times New Roman" w:eastAsia="Calibri" w:hAnsi="Times New Roman" w:cs="Simplified Arabic"/>
                <w:b/>
                <w:sz w:val="24"/>
                <w:szCs w:val="24"/>
                <w:rtl/>
              </w:rPr>
              <w:t>2</w:t>
            </w:r>
          </w:p>
        </w:tc>
        <w:tc>
          <w:tcPr>
            <w:tcW w:w="5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46E9E9" w14:textId="77777777" w:rsidR="000B3939" w:rsidRPr="0092204F" w:rsidRDefault="000B3939" w:rsidP="0092204F">
            <w:pPr>
              <w:autoSpaceDE w:val="0"/>
              <w:autoSpaceDN w:val="0"/>
              <w:bidi/>
              <w:adjustRightInd w:val="0"/>
              <w:jc w:val="center"/>
              <w:rPr>
                <w:rFonts w:ascii="Times New Roman" w:eastAsia="Calibri" w:hAnsi="Times New Roman" w:cs="Simplified Arabic"/>
                <w:b/>
                <w:sz w:val="24"/>
                <w:szCs w:val="24"/>
              </w:rPr>
            </w:pPr>
            <w:r w:rsidRPr="0092204F">
              <w:rPr>
                <w:rFonts w:ascii="Times New Roman" w:eastAsia="Calibri" w:hAnsi="Times New Roman" w:cs="Simplified Arabic" w:hint="cs"/>
                <w:sz w:val="24"/>
                <w:szCs w:val="24"/>
                <w:rtl/>
              </w:rPr>
              <w:t xml:space="preserve">البُعد الثاني: </w:t>
            </w:r>
            <w:r w:rsidRPr="0092204F">
              <w:rPr>
                <w:rFonts w:ascii="Times New Roman" w:eastAsia="Calibri" w:hAnsi="Times New Roman" w:cs="Simplified Arabic"/>
                <w:sz w:val="24"/>
                <w:szCs w:val="24"/>
                <w:rtl/>
              </w:rPr>
              <w:t>التمويل القائم على المكافآت</w:t>
            </w:r>
          </w:p>
        </w:tc>
        <w:tc>
          <w:tcPr>
            <w:tcW w:w="14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88704E"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14:ligatures w14:val="standardContextual"/>
              </w:rPr>
            </w:pPr>
            <w:r w:rsidRPr="0092204F">
              <w:rPr>
                <w:rFonts w:ascii="Times New Roman" w:eastAsia="Calibri" w:hAnsi="Times New Roman" w:cs="Simplified Arabic"/>
                <w:kern w:val="2"/>
                <w:sz w:val="24"/>
                <w:szCs w:val="24"/>
                <w14:ligatures w14:val="standardContextual"/>
              </w:rPr>
              <w:t>8</w:t>
            </w:r>
          </w:p>
        </w:tc>
        <w:tc>
          <w:tcPr>
            <w:tcW w:w="2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491FF3"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rtl/>
                <w14:ligatures w14:val="standardContextual"/>
              </w:rPr>
            </w:pPr>
            <w:r w:rsidRPr="0092204F">
              <w:rPr>
                <w:rFonts w:ascii="Times New Roman" w:eastAsia="Calibri" w:hAnsi="Times New Roman" w:cs="Simplified Arabic"/>
                <w:sz w:val="24"/>
                <w:szCs w:val="24"/>
              </w:rPr>
              <w:t>.942</w:t>
            </w:r>
          </w:p>
        </w:tc>
      </w:tr>
      <w:tr w:rsidR="000B3939" w:rsidRPr="0092204F" w14:paraId="2B409095" w14:textId="77777777" w:rsidTr="00DF18C3">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94AD7A" w14:textId="77777777" w:rsidR="000B3939" w:rsidRPr="0092204F" w:rsidRDefault="000B3939" w:rsidP="0092204F">
            <w:pPr>
              <w:autoSpaceDE w:val="0"/>
              <w:autoSpaceDN w:val="0"/>
              <w:bidi/>
              <w:adjustRightInd w:val="0"/>
              <w:jc w:val="center"/>
              <w:rPr>
                <w:rFonts w:ascii="Times New Roman" w:eastAsia="Calibri" w:hAnsi="Times New Roman" w:cs="Simplified Arabic"/>
                <w:b/>
                <w:sz w:val="24"/>
                <w:szCs w:val="24"/>
                <w:rtl/>
              </w:rPr>
            </w:pPr>
            <w:r w:rsidRPr="0092204F">
              <w:rPr>
                <w:rFonts w:ascii="Times New Roman" w:eastAsia="Calibri" w:hAnsi="Times New Roman" w:cs="Simplified Arabic" w:hint="cs"/>
                <w:b/>
                <w:sz w:val="24"/>
                <w:szCs w:val="24"/>
                <w:rtl/>
              </w:rPr>
              <w:t>3</w:t>
            </w:r>
          </w:p>
        </w:tc>
        <w:tc>
          <w:tcPr>
            <w:tcW w:w="5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CFDF83" w14:textId="77777777" w:rsidR="000B3939" w:rsidRPr="0092204F" w:rsidRDefault="000B3939" w:rsidP="0092204F">
            <w:pPr>
              <w:autoSpaceDE w:val="0"/>
              <w:autoSpaceDN w:val="0"/>
              <w:bidi/>
              <w:adjustRightInd w:val="0"/>
              <w:jc w:val="center"/>
              <w:rPr>
                <w:rFonts w:ascii="Times New Roman" w:eastAsia="Calibri" w:hAnsi="Times New Roman" w:cs="Simplified Arabic"/>
                <w:sz w:val="24"/>
                <w:szCs w:val="24"/>
                <w:rtl/>
              </w:rPr>
            </w:pPr>
            <w:r w:rsidRPr="0092204F">
              <w:rPr>
                <w:rFonts w:ascii="Times New Roman" w:eastAsia="Calibri" w:hAnsi="Times New Roman" w:cs="Simplified Arabic"/>
                <w:sz w:val="24"/>
                <w:szCs w:val="24"/>
                <w:rtl/>
              </w:rPr>
              <w:t>البعد الثالث: التمويل التشاركي المختلط</w:t>
            </w:r>
          </w:p>
        </w:tc>
        <w:tc>
          <w:tcPr>
            <w:tcW w:w="14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BE754A"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14:ligatures w14:val="standardContextual"/>
              </w:rPr>
            </w:pPr>
            <w:r w:rsidRPr="0092204F">
              <w:rPr>
                <w:rFonts w:ascii="Times New Roman" w:eastAsia="Calibri" w:hAnsi="Times New Roman" w:cs="Simplified Arabic"/>
                <w:kern w:val="2"/>
                <w:sz w:val="24"/>
                <w:szCs w:val="24"/>
                <w14:ligatures w14:val="standardContextual"/>
              </w:rPr>
              <w:t>8</w:t>
            </w:r>
          </w:p>
        </w:tc>
        <w:tc>
          <w:tcPr>
            <w:tcW w:w="2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A6636A"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14:ligatures w14:val="standardContextual"/>
              </w:rPr>
            </w:pPr>
            <w:r w:rsidRPr="0092204F">
              <w:rPr>
                <w:rFonts w:ascii="Times New Roman" w:eastAsia="Calibri" w:hAnsi="Times New Roman" w:cs="Simplified Arabic"/>
                <w:sz w:val="24"/>
                <w:szCs w:val="24"/>
              </w:rPr>
              <w:t>.927</w:t>
            </w:r>
          </w:p>
        </w:tc>
      </w:tr>
      <w:tr w:rsidR="000B3939" w:rsidRPr="0092204F" w14:paraId="64692E24" w14:textId="77777777" w:rsidTr="00DF18C3">
        <w:trPr>
          <w:jc w:val="center"/>
        </w:trPr>
        <w:tc>
          <w:tcPr>
            <w:tcW w:w="593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F76B02" w14:textId="77777777" w:rsidR="000B3939" w:rsidRPr="0092204F" w:rsidRDefault="000B3939" w:rsidP="0092204F">
            <w:pPr>
              <w:autoSpaceDE w:val="0"/>
              <w:autoSpaceDN w:val="0"/>
              <w:bidi/>
              <w:adjustRightInd w:val="0"/>
              <w:jc w:val="center"/>
              <w:rPr>
                <w:rFonts w:ascii="Times New Roman" w:eastAsia="Calibri" w:hAnsi="Times New Roman" w:cs="Simplified Arabic"/>
                <w:bCs/>
                <w:sz w:val="24"/>
                <w:szCs w:val="24"/>
              </w:rPr>
            </w:pPr>
            <w:r w:rsidRPr="0092204F">
              <w:rPr>
                <w:rFonts w:ascii="Times New Roman" w:eastAsia="Calibri" w:hAnsi="Times New Roman" w:cs="Simplified Arabic"/>
                <w:bCs/>
                <w:sz w:val="24"/>
                <w:szCs w:val="24"/>
                <w:rtl/>
              </w:rPr>
              <w:t>المتوسط العام</w:t>
            </w:r>
          </w:p>
        </w:tc>
        <w:tc>
          <w:tcPr>
            <w:tcW w:w="14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1257C"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lang w:bidi="ar-EG"/>
                <w14:ligatures w14:val="standardContextual"/>
              </w:rPr>
            </w:pPr>
            <w:r w:rsidRPr="0092204F">
              <w:rPr>
                <w:rFonts w:ascii="Times New Roman" w:eastAsia="Calibri" w:hAnsi="Times New Roman" w:cs="Simplified Arabic"/>
                <w:kern w:val="2"/>
                <w:sz w:val="24"/>
                <w:szCs w:val="24"/>
                <w:lang w:bidi="ar-EG"/>
                <w14:ligatures w14:val="standardContextual"/>
              </w:rPr>
              <w:t>24</w:t>
            </w:r>
          </w:p>
        </w:tc>
        <w:tc>
          <w:tcPr>
            <w:tcW w:w="2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97E641" w14:textId="77777777" w:rsidR="000B3939" w:rsidRPr="0092204F" w:rsidRDefault="000B3939" w:rsidP="0092204F">
            <w:pPr>
              <w:autoSpaceDE w:val="0"/>
              <w:autoSpaceDN w:val="0"/>
              <w:bidi/>
              <w:adjustRightInd w:val="0"/>
              <w:ind w:left="60" w:right="60"/>
              <w:jc w:val="center"/>
              <w:rPr>
                <w:rFonts w:ascii="Times New Roman" w:eastAsia="Calibri" w:hAnsi="Times New Roman" w:cs="Simplified Arabic"/>
                <w:kern w:val="2"/>
                <w:sz w:val="24"/>
                <w:szCs w:val="24"/>
                <w14:ligatures w14:val="standardContextual"/>
              </w:rPr>
            </w:pPr>
            <w:r w:rsidRPr="0092204F">
              <w:rPr>
                <w:rFonts w:ascii="Times New Roman" w:eastAsia="Calibri" w:hAnsi="Times New Roman" w:cs="Simplified Arabic"/>
                <w:sz w:val="24"/>
                <w:szCs w:val="24"/>
              </w:rPr>
              <w:t>.940</w:t>
            </w:r>
          </w:p>
        </w:tc>
      </w:tr>
    </w:tbl>
    <w:p w14:paraId="321C15D0" w14:textId="77777777" w:rsidR="000B3939" w:rsidRPr="00BC50C9" w:rsidRDefault="000B3939" w:rsidP="00D308D7">
      <w:pPr>
        <w:pStyle w:val="00000"/>
      </w:pPr>
      <w:r w:rsidRPr="00BC50C9">
        <w:rPr>
          <w:rFonts w:hint="cs"/>
          <w:rtl/>
        </w:rPr>
        <w:t>يتبين</w:t>
      </w:r>
      <w:r w:rsidRPr="00BC50C9">
        <w:rPr>
          <w:rtl/>
        </w:rPr>
        <w:t xml:space="preserve"> من الجدول السابق أن قيم معاملات الثبات </w:t>
      </w:r>
      <w:r w:rsidRPr="00BC50C9">
        <w:rPr>
          <w:rFonts w:hint="cs"/>
          <w:rtl/>
        </w:rPr>
        <w:t xml:space="preserve">لأبعاد </w:t>
      </w:r>
      <w:r w:rsidRPr="00BC50C9">
        <w:rPr>
          <w:rFonts w:hint="eastAsia"/>
          <w:rtl/>
        </w:rPr>
        <w:t>المحور</w:t>
      </w:r>
      <w:r w:rsidRPr="00BC50C9">
        <w:rPr>
          <w:rtl/>
        </w:rPr>
        <w:t xml:space="preserve"> </w:t>
      </w:r>
      <w:r w:rsidRPr="00BC50C9">
        <w:rPr>
          <w:rFonts w:hint="eastAsia"/>
          <w:rtl/>
        </w:rPr>
        <w:t>الأول</w:t>
      </w:r>
      <w:r w:rsidRPr="00BC50C9">
        <w:rPr>
          <w:rtl/>
        </w:rPr>
        <w:t xml:space="preserve">: </w:t>
      </w:r>
      <w:r w:rsidRPr="00BC50C9">
        <w:rPr>
          <w:rFonts w:hint="cs"/>
          <w:rtl/>
        </w:rPr>
        <w:t>التمويل التشاركي</w:t>
      </w:r>
      <w:r w:rsidRPr="00BC50C9">
        <w:rPr>
          <w:rtl/>
        </w:rPr>
        <w:t xml:space="preserve"> جاءت بقيم </w:t>
      </w:r>
      <w:r w:rsidRPr="00BC50C9">
        <w:rPr>
          <w:rFonts w:hint="cs"/>
          <w:rtl/>
        </w:rPr>
        <w:t xml:space="preserve">عالية؛ </w:t>
      </w:r>
      <w:r w:rsidRPr="00BC50C9">
        <w:rPr>
          <w:rtl/>
        </w:rPr>
        <w:t>حيث تراوحت قيم معاملات الثبات</w:t>
      </w:r>
      <w:r w:rsidRPr="00BC50C9">
        <w:rPr>
          <w:rFonts w:hint="cs"/>
          <w:rtl/>
        </w:rPr>
        <w:t xml:space="preserve"> لأبعاد</w:t>
      </w:r>
      <w:r w:rsidRPr="00BC50C9">
        <w:rPr>
          <w:rtl/>
        </w:rPr>
        <w:t xml:space="preserve"> </w:t>
      </w:r>
      <w:r w:rsidRPr="00BC50C9">
        <w:rPr>
          <w:rFonts w:hint="eastAsia"/>
          <w:rtl/>
        </w:rPr>
        <w:t>المحور</w:t>
      </w:r>
      <w:r w:rsidRPr="00BC50C9">
        <w:rPr>
          <w:rtl/>
        </w:rPr>
        <w:t xml:space="preserve"> </w:t>
      </w:r>
      <w:r w:rsidRPr="00BC50C9">
        <w:rPr>
          <w:rFonts w:hint="eastAsia"/>
          <w:rtl/>
        </w:rPr>
        <w:t>الأول</w:t>
      </w:r>
      <w:r w:rsidRPr="00BC50C9">
        <w:rPr>
          <w:rFonts w:hint="cs"/>
          <w:rtl/>
        </w:rPr>
        <w:t xml:space="preserve"> بين</w:t>
      </w:r>
      <w:r w:rsidRPr="00BC50C9">
        <w:rPr>
          <w:rtl/>
        </w:rPr>
        <w:t xml:space="preserve"> </w:t>
      </w:r>
      <w:r w:rsidRPr="00BC50C9">
        <w:rPr>
          <w:rFonts w:hint="cs"/>
          <w:rtl/>
        </w:rPr>
        <w:t>(</w:t>
      </w:r>
      <w:r w:rsidRPr="00BC50C9">
        <w:t>.923</w:t>
      </w:r>
      <w:r w:rsidRPr="00BC50C9">
        <w:rPr>
          <w:rFonts w:hint="cs"/>
          <w:rtl/>
        </w:rPr>
        <w:t>-</w:t>
      </w:r>
      <w:r w:rsidRPr="00BC50C9">
        <w:t>.942</w:t>
      </w:r>
      <w:r w:rsidRPr="00BC50C9">
        <w:rPr>
          <w:rFonts w:hint="cs"/>
          <w:rtl/>
        </w:rPr>
        <w:t xml:space="preserve">)، </w:t>
      </w:r>
      <w:r w:rsidRPr="00BC50C9">
        <w:rPr>
          <w:rtl/>
        </w:rPr>
        <w:t xml:space="preserve">وبلغت قيمة معامل الثبات الكلي </w:t>
      </w:r>
      <w:r w:rsidRPr="00BC50C9">
        <w:rPr>
          <w:rFonts w:hint="cs"/>
          <w:rtl/>
        </w:rPr>
        <w:t>لأبعاد</w:t>
      </w:r>
      <w:r w:rsidRPr="00BC50C9">
        <w:rPr>
          <w:rtl/>
        </w:rPr>
        <w:t xml:space="preserve"> </w:t>
      </w:r>
      <w:r w:rsidRPr="00BC50C9">
        <w:rPr>
          <w:rFonts w:hint="eastAsia"/>
          <w:rtl/>
        </w:rPr>
        <w:t>المحور</w:t>
      </w:r>
      <w:r w:rsidRPr="00BC50C9">
        <w:rPr>
          <w:rtl/>
        </w:rPr>
        <w:t xml:space="preserve"> </w:t>
      </w:r>
      <w:r w:rsidRPr="00BC50C9">
        <w:rPr>
          <w:rFonts w:hint="eastAsia"/>
          <w:rtl/>
        </w:rPr>
        <w:t>الأول</w:t>
      </w:r>
      <w:r w:rsidRPr="00BC50C9">
        <w:rPr>
          <w:rFonts w:hint="cs"/>
          <w:rtl/>
        </w:rPr>
        <w:t>:</w:t>
      </w:r>
      <w:r w:rsidRPr="00BC50C9">
        <w:rPr>
          <w:rFonts w:hint="eastAsia"/>
          <w:rtl/>
        </w:rPr>
        <w:t xml:space="preserve"> </w:t>
      </w:r>
      <w:r w:rsidRPr="00BC50C9">
        <w:rPr>
          <w:rFonts w:hint="cs"/>
          <w:rtl/>
        </w:rPr>
        <w:t>(</w:t>
      </w:r>
      <w:r w:rsidRPr="00BC50C9">
        <w:t>.940</w:t>
      </w:r>
      <w:r w:rsidRPr="00BC50C9">
        <w:rPr>
          <w:rFonts w:hint="cs"/>
          <w:rtl/>
        </w:rPr>
        <w:t>)</w:t>
      </w:r>
      <w:r w:rsidRPr="00BC50C9">
        <w:rPr>
          <w:rtl/>
        </w:rPr>
        <w:t>؛ وتشير هذه القيم من معاملات الثبات إلى صلاحية الاستبانة للتطبيق وإمكانية الاعتماد على نتائجها والوثوق بها.</w:t>
      </w:r>
    </w:p>
    <w:p w14:paraId="319F2535" w14:textId="643DB51D" w:rsidR="000B3939" w:rsidRPr="00D308D7" w:rsidRDefault="000B3939">
      <w:pPr>
        <w:numPr>
          <w:ilvl w:val="0"/>
          <w:numId w:val="16"/>
        </w:numPr>
        <w:bidi/>
        <w:spacing w:before="120" w:after="120" w:line="240" w:lineRule="auto"/>
        <w:contextualSpacing/>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hint="eastAsia"/>
          <w:b/>
          <w:bCs/>
          <w:sz w:val="24"/>
          <w:szCs w:val="28"/>
          <w:rtl/>
          <w:lang w:bidi="ar-EG"/>
        </w:rPr>
        <w:t>صدق</w:t>
      </w:r>
      <w:r w:rsidRPr="00BC50C9">
        <w:rPr>
          <w:rFonts w:ascii="Times New Roman" w:eastAsia="Calibri" w:hAnsi="Times New Roman" w:cs="Simplified Arabic"/>
          <w:b/>
          <w:bCs/>
          <w:sz w:val="24"/>
          <w:szCs w:val="28"/>
          <w:rtl/>
          <w:lang w:bidi="ar-EG"/>
        </w:rPr>
        <w:t xml:space="preserve"> الاتساق الداخلي </w:t>
      </w:r>
      <w:r w:rsidRPr="00BC50C9">
        <w:rPr>
          <w:rFonts w:ascii="Times New Roman" w:eastAsia="Calibri" w:hAnsi="Times New Roman" w:cs="Simplified Arabic" w:hint="eastAsia"/>
          <w:b/>
          <w:bCs/>
          <w:sz w:val="24"/>
          <w:szCs w:val="28"/>
          <w:rtl/>
          <w:lang w:bidi="ar-EG"/>
        </w:rPr>
        <w:t>المحور</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الثاني</w:t>
      </w:r>
      <w:r w:rsidRPr="00BC50C9">
        <w:rPr>
          <w:rFonts w:ascii="Times New Roman" w:eastAsia="Calibri" w:hAnsi="Times New Roman" w:cs="Simplified Arabic"/>
          <w:b/>
          <w:bCs/>
          <w:sz w:val="24"/>
          <w:szCs w:val="28"/>
          <w:rtl/>
          <w:lang w:bidi="ar-EG"/>
        </w:rPr>
        <w:t>:</w:t>
      </w:r>
      <w:r w:rsidRPr="00BC50C9">
        <w:rPr>
          <w:rFonts w:ascii="Times New Roman" w:eastAsia="Calibri" w:hAnsi="Times New Roman" w:cs="Simplified Arabic"/>
          <w:b/>
          <w:bCs/>
          <w:sz w:val="24"/>
          <w:szCs w:val="28"/>
          <w:rtl/>
        </w:rPr>
        <w:t xml:space="preserve"> </w:t>
      </w:r>
      <w:r w:rsidRPr="00BC50C9">
        <w:rPr>
          <w:rFonts w:ascii="Times New Roman" w:eastAsia="Calibri" w:hAnsi="Times New Roman" w:cs="Simplified Arabic" w:hint="cs"/>
          <w:b/>
          <w:bCs/>
          <w:sz w:val="24"/>
          <w:szCs w:val="28"/>
          <w:rtl/>
        </w:rPr>
        <w:t>الاستدامة المالية</w:t>
      </w:r>
      <w:r w:rsidRPr="00BC50C9">
        <w:rPr>
          <w:rFonts w:ascii="Times New Roman" w:eastAsia="Calibri" w:hAnsi="Times New Roman" w:cs="Simplified Arabic"/>
          <w:b/>
          <w:bCs/>
          <w:sz w:val="24"/>
          <w:szCs w:val="28"/>
          <w:rtl/>
          <w:lang w:bidi="ar-EG"/>
        </w:rPr>
        <w:t>:</w:t>
      </w:r>
      <w:r w:rsidR="00D308D7">
        <w:rPr>
          <w:rFonts w:ascii="Times New Roman" w:eastAsia="Calibri" w:hAnsi="Times New Roman" w:cs="Simplified Arabic" w:hint="cs"/>
          <w:b/>
          <w:bCs/>
          <w:sz w:val="24"/>
          <w:szCs w:val="28"/>
          <w:rtl/>
          <w:lang w:bidi="ar-EG"/>
        </w:rPr>
        <w:t xml:space="preserve"> </w:t>
      </w:r>
      <w:r w:rsidRPr="00D308D7">
        <w:rPr>
          <w:rFonts w:ascii="Times New Roman" w:eastAsia="Calibri" w:hAnsi="Times New Roman" w:cs="Simplified Arabic"/>
          <w:sz w:val="24"/>
          <w:szCs w:val="28"/>
          <w:rtl/>
          <w:lang w:bidi="ar-EG"/>
        </w:rPr>
        <w:t xml:space="preserve">تم حساب صدق الاتساق الداخلي بحساب معامل ارتباط بيرسون بين درجات كل </w:t>
      </w:r>
      <w:r w:rsidRPr="00D308D7">
        <w:rPr>
          <w:rFonts w:ascii="Times New Roman" w:eastAsia="Calibri" w:hAnsi="Times New Roman" w:cs="Simplified Arabic" w:hint="cs"/>
          <w:sz w:val="24"/>
          <w:szCs w:val="28"/>
          <w:rtl/>
          <w:lang w:bidi="ar-EG"/>
        </w:rPr>
        <w:t>عبارة</w:t>
      </w:r>
      <w:r w:rsidRPr="00D308D7">
        <w:rPr>
          <w:rFonts w:ascii="Times New Roman" w:eastAsia="Calibri" w:hAnsi="Times New Roman" w:cs="Simplified Arabic"/>
          <w:sz w:val="24"/>
          <w:szCs w:val="28"/>
          <w:rtl/>
          <w:lang w:bidi="ar-EG"/>
        </w:rPr>
        <w:t xml:space="preserve"> والدرجة الكلية </w:t>
      </w:r>
      <w:r w:rsidRPr="00D308D7">
        <w:rPr>
          <w:rFonts w:ascii="Times New Roman" w:eastAsia="Calibri" w:hAnsi="Times New Roman" w:cs="Simplified Arabic" w:hint="cs"/>
          <w:sz w:val="24"/>
          <w:szCs w:val="28"/>
          <w:rtl/>
          <w:lang w:bidi="ar-EG"/>
        </w:rPr>
        <w:t>للمحور الثاني</w:t>
      </w:r>
      <w:r w:rsidRPr="00D308D7">
        <w:rPr>
          <w:rFonts w:ascii="Times New Roman" w:eastAsia="Calibri" w:hAnsi="Times New Roman" w:cs="Simplified Arabic"/>
          <w:sz w:val="24"/>
          <w:szCs w:val="28"/>
          <w:rtl/>
          <w:lang w:bidi="ar-EG"/>
        </w:rPr>
        <w:t xml:space="preserve"> ال</w:t>
      </w:r>
      <w:r w:rsidRPr="00D308D7">
        <w:rPr>
          <w:rFonts w:ascii="Times New Roman" w:eastAsia="Calibri" w:hAnsi="Times New Roman" w:cs="Simplified Arabic" w:hint="cs"/>
          <w:sz w:val="24"/>
          <w:szCs w:val="28"/>
          <w:rtl/>
          <w:lang w:bidi="ar-EG"/>
        </w:rPr>
        <w:t>ذ</w:t>
      </w:r>
      <w:r w:rsidRPr="00D308D7">
        <w:rPr>
          <w:rFonts w:ascii="Times New Roman" w:eastAsia="Calibri" w:hAnsi="Times New Roman" w:cs="Simplified Arabic"/>
          <w:sz w:val="24"/>
          <w:szCs w:val="28"/>
          <w:rtl/>
          <w:lang w:bidi="ar-EG"/>
        </w:rPr>
        <w:t xml:space="preserve">ي تنتمي إليه العبارة من </w:t>
      </w:r>
      <w:r w:rsidRPr="00D308D7">
        <w:rPr>
          <w:rFonts w:ascii="Times New Roman" w:eastAsia="Calibri" w:hAnsi="Times New Roman" w:cs="Simplified Arabic" w:hint="cs"/>
          <w:sz w:val="24"/>
          <w:szCs w:val="28"/>
          <w:rtl/>
          <w:lang w:bidi="ar-EG"/>
        </w:rPr>
        <w:t>عبارات</w:t>
      </w:r>
      <w:r w:rsidRPr="00D308D7">
        <w:rPr>
          <w:rFonts w:ascii="Times New Roman" w:eastAsia="Calibri" w:hAnsi="Times New Roman" w:cs="Simplified Arabic"/>
          <w:sz w:val="24"/>
          <w:szCs w:val="28"/>
          <w:rtl/>
          <w:lang w:bidi="ar-EG"/>
        </w:rPr>
        <w:t xml:space="preserve"> </w:t>
      </w:r>
      <w:r w:rsidRPr="00D308D7">
        <w:rPr>
          <w:rFonts w:ascii="Times New Roman" w:eastAsia="Calibri" w:hAnsi="Times New Roman" w:cs="Simplified Arabic" w:hint="cs"/>
          <w:sz w:val="24"/>
          <w:szCs w:val="28"/>
          <w:rtl/>
          <w:lang w:bidi="ar-EG"/>
        </w:rPr>
        <w:t>المحور الثاني ب</w:t>
      </w:r>
      <w:r w:rsidRPr="00D308D7">
        <w:rPr>
          <w:rFonts w:ascii="Times New Roman" w:eastAsia="Calibri" w:hAnsi="Times New Roman" w:cs="Simplified Arabic"/>
          <w:sz w:val="24"/>
          <w:szCs w:val="28"/>
          <w:rtl/>
          <w:lang w:bidi="ar-EG"/>
        </w:rPr>
        <w:t xml:space="preserve">الاستبانة </w:t>
      </w:r>
      <w:r w:rsidRPr="00D308D7">
        <w:rPr>
          <w:rFonts w:ascii="Times New Roman" w:eastAsia="Calibri" w:hAnsi="Times New Roman" w:cs="Simplified Arabic" w:hint="cs"/>
          <w:sz w:val="24"/>
          <w:szCs w:val="28"/>
          <w:rtl/>
          <w:lang w:bidi="ar-EG"/>
        </w:rPr>
        <w:t>و</w:t>
      </w:r>
      <w:r w:rsidRPr="00D308D7">
        <w:rPr>
          <w:rFonts w:ascii="Times New Roman" w:eastAsia="Calibri" w:hAnsi="Times New Roman" w:cs="Simplified Arabic"/>
          <w:sz w:val="24"/>
          <w:szCs w:val="28"/>
          <w:rtl/>
          <w:lang w:bidi="ar-EG"/>
        </w:rPr>
        <w:t xml:space="preserve">يوضح نتائجها </w:t>
      </w:r>
      <w:r w:rsidRPr="00D308D7">
        <w:rPr>
          <w:rFonts w:ascii="Times New Roman" w:eastAsia="Calibri" w:hAnsi="Times New Roman" w:cs="Simplified Arabic" w:hint="cs"/>
          <w:sz w:val="24"/>
          <w:szCs w:val="28"/>
          <w:rtl/>
          <w:lang w:bidi="ar-EG"/>
        </w:rPr>
        <w:t>ال</w:t>
      </w:r>
      <w:r w:rsidRPr="00D308D7">
        <w:rPr>
          <w:rFonts w:ascii="Times New Roman" w:eastAsia="Calibri" w:hAnsi="Times New Roman" w:cs="Simplified Arabic"/>
          <w:sz w:val="24"/>
          <w:szCs w:val="28"/>
          <w:rtl/>
          <w:lang w:bidi="ar-EG"/>
        </w:rPr>
        <w:t>جدول</w:t>
      </w:r>
      <w:r w:rsidRPr="00D308D7">
        <w:rPr>
          <w:rFonts w:ascii="Times New Roman" w:eastAsia="Calibri" w:hAnsi="Times New Roman" w:cs="Simplified Arabic" w:hint="cs"/>
          <w:sz w:val="24"/>
          <w:szCs w:val="28"/>
          <w:rtl/>
          <w:lang w:bidi="ar-EG"/>
        </w:rPr>
        <w:t xml:space="preserve"> </w:t>
      </w:r>
      <w:r w:rsidRPr="00D308D7">
        <w:rPr>
          <w:rFonts w:ascii="Times New Roman" w:eastAsia="Calibri" w:hAnsi="Times New Roman" w:cs="Simplified Arabic"/>
          <w:sz w:val="24"/>
          <w:szCs w:val="28"/>
          <w:rtl/>
          <w:lang w:bidi="ar-EG"/>
        </w:rPr>
        <w:t>التالي:</w:t>
      </w:r>
    </w:p>
    <w:p w14:paraId="4163228B" w14:textId="77777777" w:rsidR="000B3939" w:rsidRPr="00BC50C9" w:rsidRDefault="000B3939" w:rsidP="00BC50C9">
      <w:pPr>
        <w:bidi/>
        <w:spacing w:before="120" w:after="120" w:line="240" w:lineRule="auto"/>
        <w:jc w:val="center"/>
        <w:outlineLvl w:val="1"/>
        <w:rPr>
          <w:rFonts w:ascii="Times New Roman" w:eastAsia="Calibri" w:hAnsi="Times New Roman" w:cs="Simplified Arabic"/>
          <w:b/>
          <w:bCs/>
          <w:sz w:val="24"/>
          <w:szCs w:val="28"/>
          <w:rtl/>
        </w:rPr>
      </w:pPr>
      <w:bookmarkStart w:id="89" w:name="_Toc170412848"/>
      <w:bookmarkStart w:id="90" w:name="_Toc195456542"/>
      <w:r w:rsidRPr="00BC50C9">
        <w:rPr>
          <w:rFonts w:ascii="Times New Roman" w:eastAsia="Calibri" w:hAnsi="Times New Roman" w:cs="Simplified Arabic" w:hint="cs"/>
          <w:b/>
          <w:bCs/>
          <w:sz w:val="24"/>
          <w:szCs w:val="28"/>
          <w:rtl/>
        </w:rPr>
        <w:t>ال</w:t>
      </w:r>
      <w:r w:rsidRPr="00BC50C9">
        <w:rPr>
          <w:rFonts w:ascii="Times New Roman" w:eastAsia="Calibri" w:hAnsi="Times New Roman" w:cs="Simplified Arabic"/>
          <w:b/>
          <w:bCs/>
          <w:sz w:val="24"/>
          <w:szCs w:val="28"/>
          <w:rtl/>
        </w:rPr>
        <w:t>جدول رقم (</w:t>
      </w:r>
      <w:r w:rsidRPr="00BC50C9">
        <w:rPr>
          <w:rFonts w:ascii="Times New Roman" w:eastAsia="Calibri" w:hAnsi="Times New Roman" w:cs="Simplified Arabic" w:hint="cs"/>
          <w:b/>
          <w:bCs/>
          <w:sz w:val="24"/>
          <w:szCs w:val="28"/>
          <w:rtl/>
        </w:rPr>
        <w:t>3-5)</w:t>
      </w:r>
      <w:r w:rsidRPr="00BC50C9">
        <w:rPr>
          <w:rFonts w:ascii="Times New Roman" w:eastAsia="Calibri" w:hAnsi="Times New Roman" w:cs="Simplified Arabic"/>
          <w:b/>
          <w:bCs/>
          <w:sz w:val="24"/>
          <w:szCs w:val="28"/>
          <w:rtl/>
        </w:rPr>
        <w:t xml:space="preserve"> معاملات ارتباط بيرسون بين درجات كل عبارة والدرجة الكلية </w:t>
      </w:r>
      <w:r w:rsidRPr="00BC50C9">
        <w:rPr>
          <w:rFonts w:ascii="Times New Roman" w:eastAsia="Calibri" w:hAnsi="Times New Roman" w:cs="Simplified Arabic" w:hint="cs"/>
          <w:b/>
          <w:bCs/>
          <w:sz w:val="24"/>
          <w:szCs w:val="28"/>
          <w:rtl/>
        </w:rPr>
        <w:t xml:space="preserve">للمحور الثاني </w:t>
      </w:r>
      <w:r w:rsidRPr="00BC50C9">
        <w:rPr>
          <w:rFonts w:ascii="Times New Roman" w:eastAsia="Calibri" w:hAnsi="Times New Roman" w:cs="Simplified Arabic"/>
          <w:b/>
          <w:bCs/>
          <w:sz w:val="24"/>
          <w:szCs w:val="28"/>
          <w:rtl/>
        </w:rPr>
        <w:t>ال</w:t>
      </w:r>
      <w:r w:rsidRPr="00BC50C9">
        <w:rPr>
          <w:rFonts w:ascii="Times New Roman" w:eastAsia="Calibri" w:hAnsi="Times New Roman" w:cs="Simplified Arabic" w:hint="cs"/>
          <w:b/>
          <w:bCs/>
          <w:sz w:val="24"/>
          <w:szCs w:val="28"/>
          <w:rtl/>
        </w:rPr>
        <w:t>ذ</w:t>
      </w:r>
      <w:r w:rsidRPr="00BC50C9">
        <w:rPr>
          <w:rFonts w:ascii="Times New Roman" w:eastAsia="Calibri" w:hAnsi="Times New Roman" w:cs="Simplified Arabic"/>
          <w:b/>
          <w:bCs/>
          <w:sz w:val="24"/>
          <w:szCs w:val="28"/>
          <w:rtl/>
        </w:rPr>
        <w:t>ي تنتمي</w:t>
      </w:r>
      <w:r w:rsidRPr="00BC50C9">
        <w:rPr>
          <w:rFonts w:ascii="Times New Roman" w:eastAsia="Calibri" w:hAnsi="Times New Roman" w:cs="Simplified Arabic" w:hint="cs"/>
          <w:b/>
          <w:bCs/>
          <w:sz w:val="24"/>
          <w:szCs w:val="28"/>
          <w:rtl/>
        </w:rPr>
        <w:t xml:space="preserve"> </w:t>
      </w:r>
      <w:r w:rsidRPr="00BC50C9">
        <w:rPr>
          <w:rFonts w:ascii="Times New Roman" w:eastAsia="Calibri" w:hAnsi="Times New Roman" w:cs="Simplified Arabic"/>
          <w:b/>
          <w:bCs/>
          <w:sz w:val="24"/>
          <w:szCs w:val="28"/>
          <w:rtl/>
        </w:rPr>
        <w:t xml:space="preserve">إليه العبارة </w:t>
      </w:r>
      <w:r w:rsidRPr="00BC50C9">
        <w:rPr>
          <w:rFonts w:ascii="Times New Roman" w:eastAsia="Calibri" w:hAnsi="Times New Roman" w:cs="Simplified Arabic" w:hint="cs"/>
          <w:b/>
          <w:bCs/>
          <w:sz w:val="24"/>
          <w:szCs w:val="28"/>
          <w:rtl/>
        </w:rPr>
        <w:t xml:space="preserve">في </w:t>
      </w:r>
      <w:r w:rsidRPr="00BC50C9">
        <w:rPr>
          <w:rFonts w:ascii="Times New Roman" w:eastAsia="Calibri" w:hAnsi="Times New Roman" w:cs="Simplified Arabic" w:hint="eastAsia"/>
          <w:b/>
          <w:bCs/>
          <w:sz w:val="24"/>
          <w:szCs w:val="28"/>
          <w:rtl/>
        </w:rPr>
        <w:t>المحور</w:t>
      </w:r>
      <w:r w:rsidRPr="00BC50C9">
        <w:rPr>
          <w:rFonts w:ascii="Times New Roman" w:eastAsia="Calibri" w:hAnsi="Times New Roman" w:cs="Simplified Arabic" w:hint="cs"/>
          <w:b/>
          <w:bCs/>
          <w:sz w:val="24"/>
          <w:szCs w:val="28"/>
          <w:rtl/>
        </w:rPr>
        <w:t xml:space="preserve"> الثاني: </w:t>
      </w:r>
      <w:bookmarkEnd w:id="89"/>
      <w:r w:rsidRPr="00BC50C9">
        <w:rPr>
          <w:rFonts w:ascii="Times New Roman" w:eastAsia="Calibri" w:hAnsi="Times New Roman" w:cs="Simplified Arabic" w:hint="cs"/>
          <w:b/>
          <w:bCs/>
          <w:sz w:val="24"/>
          <w:szCs w:val="28"/>
          <w:rtl/>
        </w:rPr>
        <w:t>الاستدامة المالية</w:t>
      </w:r>
      <w:bookmarkEnd w:id="90"/>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4"/>
        <w:gridCol w:w="1604"/>
        <w:gridCol w:w="1343"/>
        <w:gridCol w:w="1702"/>
        <w:gridCol w:w="1702"/>
        <w:gridCol w:w="1687"/>
      </w:tblGrid>
      <w:tr w:rsidR="000B3939" w:rsidRPr="00F55AC8" w14:paraId="3EBE2C99" w14:textId="77777777" w:rsidTr="00F55AC8">
        <w:trPr>
          <w:jc w:val="center"/>
        </w:trPr>
        <w:tc>
          <w:tcPr>
            <w:tcW w:w="565" w:type="pct"/>
            <w:shd w:val="clear" w:color="auto" w:fill="BFBFBF"/>
            <w:vAlign w:val="center"/>
          </w:tcPr>
          <w:p w14:paraId="1331027E"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 xml:space="preserve">رقم </w:t>
            </w:r>
            <w:r w:rsidRPr="00F55AC8">
              <w:rPr>
                <w:rFonts w:ascii="Times New Roman" w:eastAsia="Calibri" w:hAnsi="Times New Roman" w:cs="Simplified Arabic" w:hint="cs"/>
                <w:bCs/>
                <w:sz w:val="24"/>
                <w:szCs w:val="24"/>
                <w:rtl/>
              </w:rPr>
              <w:t>الفقرة</w:t>
            </w:r>
          </w:p>
        </w:tc>
        <w:tc>
          <w:tcPr>
            <w:tcW w:w="885" w:type="pct"/>
            <w:shd w:val="clear" w:color="auto" w:fill="auto"/>
            <w:vAlign w:val="center"/>
          </w:tcPr>
          <w:p w14:paraId="5A396700"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معامل الارتباط</w:t>
            </w:r>
          </w:p>
        </w:tc>
        <w:tc>
          <w:tcPr>
            <w:tcW w:w="741" w:type="pct"/>
            <w:shd w:val="clear" w:color="auto" w:fill="BFBFBF"/>
            <w:vAlign w:val="center"/>
          </w:tcPr>
          <w:p w14:paraId="673152EC"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 xml:space="preserve">رقم </w:t>
            </w:r>
            <w:r w:rsidRPr="00F55AC8">
              <w:rPr>
                <w:rFonts w:ascii="Times New Roman" w:eastAsia="Calibri" w:hAnsi="Times New Roman" w:cs="Simplified Arabic" w:hint="cs"/>
                <w:bCs/>
                <w:sz w:val="24"/>
                <w:szCs w:val="24"/>
                <w:rtl/>
              </w:rPr>
              <w:t>الفقرة</w:t>
            </w:r>
          </w:p>
        </w:tc>
        <w:tc>
          <w:tcPr>
            <w:tcW w:w="939" w:type="pct"/>
            <w:shd w:val="clear" w:color="auto" w:fill="auto"/>
            <w:vAlign w:val="center"/>
          </w:tcPr>
          <w:p w14:paraId="6A472576"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معامل الارتباط</w:t>
            </w:r>
          </w:p>
        </w:tc>
        <w:tc>
          <w:tcPr>
            <w:tcW w:w="939" w:type="pct"/>
            <w:shd w:val="clear" w:color="auto" w:fill="BFBFBF"/>
            <w:vAlign w:val="center"/>
          </w:tcPr>
          <w:p w14:paraId="46751821"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 xml:space="preserve">رقم </w:t>
            </w:r>
            <w:r w:rsidRPr="00F55AC8">
              <w:rPr>
                <w:rFonts w:ascii="Times New Roman" w:eastAsia="Calibri" w:hAnsi="Times New Roman" w:cs="Simplified Arabic" w:hint="cs"/>
                <w:bCs/>
                <w:sz w:val="24"/>
                <w:szCs w:val="24"/>
                <w:rtl/>
              </w:rPr>
              <w:t>الفقرة</w:t>
            </w:r>
          </w:p>
        </w:tc>
        <w:tc>
          <w:tcPr>
            <w:tcW w:w="931" w:type="pct"/>
            <w:shd w:val="clear" w:color="auto" w:fill="auto"/>
            <w:vAlign w:val="center"/>
          </w:tcPr>
          <w:p w14:paraId="152B71EC"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tl/>
              </w:rPr>
              <w:t>معامل الارتباط</w:t>
            </w:r>
          </w:p>
        </w:tc>
      </w:tr>
      <w:tr w:rsidR="000B3939" w:rsidRPr="00F55AC8" w14:paraId="25E36CF7" w14:textId="77777777" w:rsidTr="00F55AC8">
        <w:trPr>
          <w:jc w:val="center"/>
        </w:trPr>
        <w:tc>
          <w:tcPr>
            <w:tcW w:w="565" w:type="pct"/>
            <w:shd w:val="clear" w:color="auto" w:fill="BFBFBF"/>
            <w:vAlign w:val="center"/>
          </w:tcPr>
          <w:p w14:paraId="20C1B676"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Pr>
            </w:pPr>
            <w:r w:rsidRPr="00F55AC8">
              <w:rPr>
                <w:rFonts w:ascii="Times New Roman" w:eastAsia="Calibri" w:hAnsi="Times New Roman" w:cs="Simplified Arabic" w:hint="cs"/>
                <w:b/>
                <w:sz w:val="24"/>
                <w:szCs w:val="24"/>
                <w:rtl/>
              </w:rPr>
              <w:t>41</w:t>
            </w:r>
          </w:p>
        </w:tc>
        <w:tc>
          <w:tcPr>
            <w:tcW w:w="885" w:type="pct"/>
            <w:shd w:val="clear" w:color="auto" w:fill="auto"/>
            <w:vAlign w:val="center"/>
          </w:tcPr>
          <w:p w14:paraId="42818E48"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Pr>
              <w:t>.708**</w:t>
            </w:r>
          </w:p>
        </w:tc>
        <w:tc>
          <w:tcPr>
            <w:tcW w:w="741" w:type="pct"/>
            <w:shd w:val="clear" w:color="auto" w:fill="BFBFBF"/>
            <w:vAlign w:val="center"/>
          </w:tcPr>
          <w:p w14:paraId="7F3C2995"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42</w:t>
            </w:r>
          </w:p>
        </w:tc>
        <w:tc>
          <w:tcPr>
            <w:tcW w:w="939" w:type="pct"/>
            <w:shd w:val="clear" w:color="auto" w:fill="auto"/>
            <w:vAlign w:val="center"/>
          </w:tcPr>
          <w:p w14:paraId="421439A2"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.896**</w:t>
            </w:r>
          </w:p>
        </w:tc>
        <w:tc>
          <w:tcPr>
            <w:tcW w:w="939" w:type="pct"/>
            <w:shd w:val="clear" w:color="auto" w:fill="BFBFBF"/>
            <w:vAlign w:val="center"/>
          </w:tcPr>
          <w:p w14:paraId="1CF3C31C"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43</w:t>
            </w:r>
          </w:p>
        </w:tc>
        <w:tc>
          <w:tcPr>
            <w:tcW w:w="931" w:type="pct"/>
            <w:shd w:val="clear" w:color="auto" w:fill="auto"/>
            <w:vAlign w:val="center"/>
          </w:tcPr>
          <w:p w14:paraId="4E90D90B"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.729**</w:t>
            </w:r>
          </w:p>
        </w:tc>
      </w:tr>
      <w:tr w:rsidR="000B3939" w:rsidRPr="00F55AC8" w14:paraId="377BAE47" w14:textId="77777777" w:rsidTr="00F55AC8">
        <w:trPr>
          <w:jc w:val="center"/>
        </w:trPr>
        <w:tc>
          <w:tcPr>
            <w:tcW w:w="565" w:type="pct"/>
            <w:shd w:val="clear" w:color="auto" w:fill="BFBFBF"/>
            <w:vAlign w:val="center"/>
          </w:tcPr>
          <w:p w14:paraId="20D7FDC6"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44</w:t>
            </w:r>
          </w:p>
        </w:tc>
        <w:tc>
          <w:tcPr>
            <w:tcW w:w="885" w:type="pct"/>
            <w:shd w:val="clear" w:color="auto" w:fill="auto"/>
            <w:vAlign w:val="center"/>
          </w:tcPr>
          <w:p w14:paraId="192F57B2"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.758**</w:t>
            </w:r>
          </w:p>
        </w:tc>
        <w:tc>
          <w:tcPr>
            <w:tcW w:w="741" w:type="pct"/>
            <w:shd w:val="clear" w:color="auto" w:fill="BFBFBF"/>
            <w:vAlign w:val="center"/>
          </w:tcPr>
          <w:p w14:paraId="4843F512"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45</w:t>
            </w:r>
          </w:p>
        </w:tc>
        <w:tc>
          <w:tcPr>
            <w:tcW w:w="939" w:type="pct"/>
            <w:shd w:val="clear" w:color="auto" w:fill="auto"/>
            <w:vAlign w:val="center"/>
          </w:tcPr>
          <w:p w14:paraId="721D9039"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.789**</w:t>
            </w:r>
          </w:p>
        </w:tc>
        <w:tc>
          <w:tcPr>
            <w:tcW w:w="939" w:type="pct"/>
            <w:shd w:val="clear" w:color="auto" w:fill="BFBFBF"/>
            <w:vAlign w:val="center"/>
          </w:tcPr>
          <w:p w14:paraId="7332CEFE"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46</w:t>
            </w:r>
          </w:p>
        </w:tc>
        <w:tc>
          <w:tcPr>
            <w:tcW w:w="931" w:type="pct"/>
            <w:shd w:val="clear" w:color="auto" w:fill="auto"/>
            <w:vAlign w:val="center"/>
          </w:tcPr>
          <w:p w14:paraId="7F3BE2E0"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.818**</w:t>
            </w:r>
          </w:p>
        </w:tc>
      </w:tr>
      <w:tr w:rsidR="000B3939" w:rsidRPr="00F55AC8" w14:paraId="3D84522B" w14:textId="77777777" w:rsidTr="00F55AC8">
        <w:trPr>
          <w:jc w:val="center"/>
        </w:trPr>
        <w:tc>
          <w:tcPr>
            <w:tcW w:w="565" w:type="pct"/>
            <w:shd w:val="clear" w:color="auto" w:fill="BFBFBF"/>
            <w:vAlign w:val="center"/>
          </w:tcPr>
          <w:p w14:paraId="1ED999DC"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47</w:t>
            </w:r>
          </w:p>
        </w:tc>
        <w:tc>
          <w:tcPr>
            <w:tcW w:w="885" w:type="pct"/>
            <w:shd w:val="clear" w:color="auto" w:fill="auto"/>
            <w:vAlign w:val="center"/>
          </w:tcPr>
          <w:p w14:paraId="1CF04C04"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.669**</w:t>
            </w:r>
          </w:p>
        </w:tc>
        <w:tc>
          <w:tcPr>
            <w:tcW w:w="741" w:type="pct"/>
            <w:shd w:val="clear" w:color="auto" w:fill="BFBFBF"/>
            <w:vAlign w:val="center"/>
          </w:tcPr>
          <w:p w14:paraId="49A0E6AE"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
                <w:sz w:val="24"/>
                <w:szCs w:val="24"/>
                <w:rtl/>
              </w:rPr>
            </w:pPr>
            <w:r w:rsidRPr="00F55AC8">
              <w:rPr>
                <w:rFonts w:ascii="Times New Roman" w:eastAsia="Calibri" w:hAnsi="Times New Roman" w:cs="Simplified Arabic" w:hint="cs"/>
                <w:b/>
                <w:sz w:val="24"/>
                <w:szCs w:val="24"/>
                <w:rtl/>
              </w:rPr>
              <w:t>48</w:t>
            </w:r>
          </w:p>
        </w:tc>
        <w:tc>
          <w:tcPr>
            <w:tcW w:w="939" w:type="pct"/>
            <w:shd w:val="clear" w:color="auto" w:fill="auto"/>
            <w:vAlign w:val="center"/>
          </w:tcPr>
          <w:p w14:paraId="3CBE8803"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.780**</w:t>
            </w:r>
          </w:p>
        </w:tc>
        <w:tc>
          <w:tcPr>
            <w:tcW w:w="1870" w:type="pct"/>
            <w:gridSpan w:val="2"/>
            <w:shd w:val="clear" w:color="auto" w:fill="BFBFBF"/>
            <w:vAlign w:val="center"/>
          </w:tcPr>
          <w:p w14:paraId="7474BD05" w14:textId="77777777" w:rsidR="000B3939" w:rsidRPr="00F55AC8" w:rsidRDefault="000B3939" w:rsidP="00F55AC8">
            <w:pPr>
              <w:autoSpaceDE w:val="0"/>
              <w:autoSpaceDN w:val="0"/>
              <w:bidi/>
              <w:adjustRightInd w:val="0"/>
              <w:spacing w:after="0" w:line="240" w:lineRule="auto"/>
              <w:jc w:val="center"/>
              <w:rPr>
                <w:rFonts w:ascii="Times New Roman" w:eastAsia="Calibri" w:hAnsi="Times New Roman" w:cs="Simplified Arabic"/>
                <w:bCs/>
                <w:sz w:val="24"/>
                <w:szCs w:val="24"/>
              </w:rPr>
            </w:pPr>
          </w:p>
        </w:tc>
      </w:tr>
    </w:tbl>
    <w:p w14:paraId="1850FE16" w14:textId="77777777" w:rsidR="000B3939" w:rsidRPr="00BC50C9" w:rsidRDefault="000B3939" w:rsidP="00BC50C9">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دال إحصائياً عند مستوى الدلالة (</w:t>
      </w:r>
      <w:r w:rsidRPr="00BC50C9">
        <w:rPr>
          <w:rFonts w:ascii="Times New Roman" w:eastAsia="Calibri" w:hAnsi="Times New Roman" w:cs="Simplified Arabic"/>
          <w:sz w:val="24"/>
          <w:szCs w:val="28"/>
          <w:lang w:bidi="ar-EG"/>
        </w:rPr>
        <w:t>0.01</w:t>
      </w:r>
      <w:r w:rsidRPr="00BC50C9">
        <w:rPr>
          <w:rFonts w:ascii="Times New Roman" w:eastAsia="Calibri" w:hAnsi="Times New Roman" w:cs="Simplified Arabic"/>
          <w:sz w:val="24"/>
          <w:szCs w:val="28"/>
          <w:rtl/>
          <w:lang w:bidi="ar-EG"/>
        </w:rPr>
        <w:t>).</w:t>
      </w:r>
    </w:p>
    <w:p w14:paraId="763049E3" w14:textId="77777777" w:rsidR="000B3939" w:rsidRDefault="000B3939" w:rsidP="00F55AC8">
      <w:pPr>
        <w:pStyle w:val="00000"/>
        <w:rPr>
          <w:rtl/>
        </w:rPr>
      </w:pPr>
      <w:r w:rsidRPr="00BC50C9">
        <w:rPr>
          <w:rtl/>
        </w:rPr>
        <w:t xml:space="preserve">يتبين من </w:t>
      </w:r>
      <w:r w:rsidRPr="00BC50C9">
        <w:rPr>
          <w:rFonts w:hint="cs"/>
          <w:rtl/>
        </w:rPr>
        <w:t>ال</w:t>
      </w:r>
      <w:r w:rsidRPr="00BC50C9">
        <w:rPr>
          <w:rtl/>
        </w:rPr>
        <w:t xml:space="preserve">جدول السابق أن معاملات ارتباط العبارات بالدرجة الكلية </w:t>
      </w:r>
      <w:r w:rsidRPr="00BC50C9">
        <w:rPr>
          <w:rFonts w:hint="cs"/>
          <w:rtl/>
        </w:rPr>
        <w:t>للعبارة</w:t>
      </w:r>
      <w:r w:rsidRPr="00BC50C9">
        <w:rPr>
          <w:rtl/>
        </w:rPr>
        <w:t xml:space="preserve"> ال</w:t>
      </w:r>
      <w:r w:rsidRPr="00BC50C9">
        <w:rPr>
          <w:rFonts w:hint="cs"/>
          <w:rtl/>
        </w:rPr>
        <w:t>ذ</w:t>
      </w:r>
      <w:r w:rsidRPr="00BC50C9">
        <w:rPr>
          <w:rtl/>
        </w:rPr>
        <w:t xml:space="preserve">ي تنتمي إليه العبارة </w:t>
      </w:r>
      <w:r w:rsidRPr="00BC50C9">
        <w:rPr>
          <w:rFonts w:hint="cs"/>
          <w:rtl/>
        </w:rPr>
        <w:t xml:space="preserve">في </w:t>
      </w:r>
      <w:r w:rsidRPr="00BC50C9">
        <w:rPr>
          <w:rFonts w:hint="eastAsia"/>
          <w:rtl/>
        </w:rPr>
        <w:t>المحور</w:t>
      </w:r>
      <w:r w:rsidRPr="00BC50C9">
        <w:rPr>
          <w:rtl/>
        </w:rPr>
        <w:t xml:space="preserve"> </w:t>
      </w:r>
      <w:r w:rsidRPr="00BC50C9">
        <w:rPr>
          <w:rFonts w:hint="eastAsia"/>
          <w:rtl/>
        </w:rPr>
        <w:t>ا</w:t>
      </w:r>
      <w:r w:rsidRPr="00BC50C9">
        <w:rPr>
          <w:rFonts w:hint="cs"/>
          <w:rtl/>
        </w:rPr>
        <w:t>لثاني:</w:t>
      </w:r>
      <w:r w:rsidRPr="00BC50C9">
        <w:rPr>
          <w:rtl/>
        </w:rPr>
        <w:t xml:space="preserve"> </w:t>
      </w:r>
      <w:r w:rsidRPr="00BC50C9">
        <w:rPr>
          <w:rFonts w:hint="cs"/>
          <w:rtl/>
        </w:rPr>
        <w:t xml:space="preserve">الاستدامة المالية </w:t>
      </w:r>
      <w:r w:rsidRPr="00BC50C9">
        <w:rPr>
          <w:rtl/>
        </w:rPr>
        <w:t>جاءت جميعهاً دالة إحصائياً عند مستوى دلالة (</w:t>
      </w:r>
      <w:r w:rsidRPr="00BC50C9">
        <w:t>0.01</w:t>
      </w:r>
      <w:r w:rsidRPr="00BC50C9">
        <w:rPr>
          <w:rtl/>
        </w:rPr>
        <w:t>)، وجاءت جميع قيم معاملات الارتباط قيم دالة</w:t>
      </w:r>
      <w:r w:rsidRPr="00BC50C9">
        <w:rPr>
          <w:rFonts w:hint="cs"/>
          <w:rtl/>
        </w:rPr>
        <w:t xml:space="preserve"> </w:t>
      </w:r>
      <w:r w:rsidRPr="00BC50C9">
        <w:rPr>
          <w:rtl/>
        </w:rPr>
        <w:t>حيث تراوحت في</w:t>
      </w:r>
      <w:r w:rsidRPr="00BC50C9">
        <w:rPr>
          <w:rFonts w:hint="eastAsia"/>
          <w:rtl/>
        </w:rPr>
        <w:t xml:space="preserve"> </w:t>
      </w:r>
      <w:r w:rsidRPr="00BC50C9">
        <w:rPr>
          <w:rFonts w:hint="cs"/>
          <w:rtl/>
        </w:rPr>
        <w:t xml:space="preserve">المحور الثاني </w:t>
      </w:r>
      <w:r w:rsidRPr="00BC50C9">
        <w:rPr>
          <w:rtl/>
        </w:rPr>
        <w:t xml:space="preserve">بين </w:t>
      </w:r>
      <w:r w:rsidRPr="00BC50C9">
        <w:rPr>
          <w:rFonts w:hint="cs"/>
          <w:rtl/>
        </w:rPr>
        <w:t>(</w:t>
      </w:r>
      <w:r w:rsidRPr="00BC50C9">
        <w:t>.669</w:t>
      </w:r>
      <w:r w:rsidRPr="00BC50C9">
        <w:rPr>
          <w:vertAlign w:val="superscript"/>
        </w:rPr>
        <w:t>**</w:t>
      </w:r>
      <w:r w:rsidRPr="00BC50C9">
        <w:rPr>
          <w:rFonts w:hint="cs"/>
          <w:rtl/>
        </w:rPr>
        <w:t>-</w:t>
      </w:r>
      <w:r w:rsidRPr="00BC50C9">
        <w:t>.896</w:t>
      </w:r>
      <w:r w:rsidRPr="00BC50C9">
        <w:rPr>
          <w:vertAlign w:val="superscript"/>
        </w:rPr>
        <w:t>**</w:t>
      </w:r>
      <w:r w:rsidRPr="00BC50C9">
        <w:rPr>
          <w:rFonts w:hint="cs"/>
          <w:rtl/>
        </w:rPr>
        <w:t>)</w:t>
      </w:r>
      <w:r w:rsidRPr="00BC50C9">
        <w:rPr>
          <w:rtl/>
        </w:rPr>
        <w:t xml:space="preserve">، مما يدل على توافر درجة عالية من صدق الاتساق الداخلي لعبارات </w:t>
      </w:r>
      <w:r w:rsidRPr="00BC50C9">
        <w:rPr>
          <w:rFonts w:hint="eastAsia"/>
          <w:rtl/>
        </w:rPr>
        <w:t>المحور</w:t>
      </w:r>
      <w:r w:rsidRPr="00BC50C9">
        <w:rPr>
          <w:rtl/>
        </w:rPr>
        <w:t xml:space="preserve"> </w:t>
      </w:r>
      <w:r w:rsidRPr="00BC50C9">
        <w:rPr>
          <w:rFonts w:hint="cs"/>
          <w:rtl/>
        </w:rPr>
        <w:t>الثاني بالاستبانة</w:t>
      </w:r>
      <w:r w:rsidRPr="00BC50C9">
        <w:rPr>
          <w:rtl/>
        </w:rPr>
        <w:t>.</w:t>
      </w:r>
    </w:p>
    <w:p w14:paraId="116E9FFB" w14:textId="77777777" w:rsidR="00F55AC8" w:rsidRDefault="00F55AC8" w:rsidP="00F55AC8">
      <w:pPr>
        <w:pStyle w:val="00000"/>
        <w:rPr>
          <w:rtl/>
        </w:rPr>
      </w:pPr>
    </w:p>
    <w:p w14:paraId="0626FE76" w14:textId="77777777" w:rsidR="00F55AC8" w:rsidRDefault="00F55AC8" w:rsidP="00F55AC8">
      <w:pPr>
        <w:pStyle w:val="00000"/>
        <w:rPr>
          <w:rtl/>
        </w:rPr>
      </w:pPr>
    </w:p>
    <w:p w14:paraId="1982363F" w14:textId="77777777" w:rsidR="00F55AC8" w:rsidRDefault="00F55AC8" w:rsidP="00F55AC8">
      <w:pPr>
        <w:pStyle w:val="00000"/>
        <w:rPr>
          <w:rtl/>
        </w:rPr>
      </w:pPr>
    </w:p>
    <w:p w14:paraId="2DE043BC" w14:textId="77777777" w:rsidR="00F55AC8" w:rsidRPr="00BC50C9" w:rsidRDefault="00F55AC8" w:rsidP="00F55AC8">
      <w:pPr>
        <w:pStyle w:val="00000"/>
        <w:rPr>
          <w:rtl/>
        </w:rPr>
      </w:pPr>
    </w:p>
    <w:p w14:paraId="5BC717B7" w14:textId="46AE5269" w:rsidR="000B3939" w:rsidRPr="00F55AC8" w:rsidRDefault="000B3939">
      <w:pPr>
        <w:numPr>
          <w:ilvl w:val="0"/>
          <w:numId w:val="36"/>
        </w:numPr>
        <w:bidi/>
        <w:spacing w:before="120" w:after="120" w:line="240" w:lineRule="auto"/>
        <w:ind w:left="708"/>
        <w:contextualSpacing/>
        <w:jc w:val="both"/>
        <w:rPr>
          <w:rFonts w:ascii="Times New Roman" w:eastAsia="Calibri" w:hAnsi="Times New Roman" w:cs="Simplified Arabic"/>
          <w:b/>
          <w:bCs/>
          <w:sz w:val="24"/>
          <w:szCs w:val="28"/>
          <w:rtl/>
        </w:rPr>
      </w:pPr>
      <w:r w:rsidRPr="00BC50C9">
        <w:rPr>
          <w:rFonts w:ascii="Times New Roman" w:eastAsia="Calibri" w:hAnsi="Times New Roman" w:cs="Simplified Arabic" w:hint="eastAsia"/>
          <w:b/>
          <w:bCs/>
          <w:sz w:val="24"/>
          <w:szCs w:val="28"/>
          <w:rtl/>
          <w:lang w:bidi="ar-EG"/>
        </w:rPr>
        <w:lastRenderedPageBreak/>
        <w:t>ثبات</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المحور</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eastAsia"/>
          <w:b/>
          <w:bCs/>
          <w:sz w:val="24"/>
          <w:szCs w:val="28"/>
          <w:rtl/>
          <w:lang w:bidi="ar-EG"/>
        </w:rPr>
        <w:t>الثاني</w:t>
      </w:r>
      <w:r w:rsidRPr="00BC50C9">
        <w:rPr>
          <w:rFonts w:ascii="Times New Roman" w:eastAsia="Calibri" w:hAnsi="Times New Roman" w:cs="Simplified Arabic"/>
          <w:b/>
          <w:bCs/>
          <w:sz w:val="24"/>
          <w:szCs w:val="28"/>
          <w:rtl/>
          <w:lang w:bidi="ar-EG"/>
        </w:rPr>
        <w:t>:</w:t>
      </w:r>
      <w:r w:rsidRPr="00BC50C9">
        <w:rPr>
          <w:rFonts w:ascii="Times New Roman" w:hAnsi="Times New Roman" w:cs="Simplified Arabic"/>
          <w:sz w:val="24"/>
          <w:szCs w:val="28"/>
          <w:rtl/>
        </w:rPr>
        <w:t xml:space="preserve"> </w:t>
      </w:r>
      <w:r w:rsidRPr="00BC50C9">
        <w:rPr>
          <w:rFonts w:ascii="Times New Roman" w:eastAsia="Calibri" w:hAnsi="Times New Roman" w:cs="Simplified Arabic" w:hint="cs"/>
          <w:b/>
          <w:bCs/>
          <w:sz w:val="24"/>
          <w:szCs w:val="28"/>
          <w:rtl/>
          <w:lang w:bidi="ar-EG"/>
        </w:rPr>
        <w:t>الاستدامة المالية</w:t>
      </w:r>
      <w:r w:rsidRPr="00BC50C9">
        <w:rPr>
          <w:rFonts w:ascii="Times New Roman" w:eastAsia="Calibri" w:hAnsi="Times New Roman" w:cs="Simplified Arabic" w:hint="cs"/>
          <w:b/>
          <w:bCs/>
          <w:sz w:val="24"/>
          <w:szCs w:val="28"/>
          <w:rtl/>
        </w:rPr>
        <w:t>.</w:t>
      </w:r>
      <w:r w:rsidR="00F55AC8">
        <w:rPr>
          <w:rFonts w:ascii="Times New Roman" w:eastAsia="Calibri" w:hAnsi="Times New Roman" w:cs="Simplified Arabic" w:hint="cs"/>
          <w:b/>
          <w:bCs/>
          <w:sz w:val="24"/>
          <w:szCs w:val="28"/>
          <w:rtl/>
        </w:rPr>
        <w:t xml:space="preserve"> </w:t>
      </w:r>
      <w:r w:rsidRPr="00F55AC8">
        <w:rPr>
          <w:rFonts w:ascii="Times New Roman" w:eastAsia="Calibri" w:hAnsi="Times New Roman" w:cs="Simplified Arabic" w:hint="cs"/>
          <w:sz w:val="24"/>
          <w:szCs w:val="28"/>
          <w:rtl/>
          <w:lang w:bidi="ar-EG"/>
        </w:rPr>
        <w:t xml:space="preserve">تم حساب معامل ثبات ألفا </w:t>
      </w:r>
      <w:proofErr w:type="spellStart"/>
      <w:r w:rsidRPr="00F55AC8">
        <w:rPr>
          <w:rFonts w:ascii="Times New Roman" w:eastAsia="Calibri" w:hAnsi="Times New Roman" w:cs="Simplified Arabic" w:hint="cs"/>
          <w:sz w:val="24"/>
          <w:szCs w:val="28"/>
          <w:rtl/>
          <w:lang w:bidi="ar-EG"/>
        </w:rPr>
        <w:t>كرونباخ</w:t>
      </w:r>
      <w:proofErr w:type="spellEnd"/>
      <w:r w:rsidRPr="00F55AC8">
        <w:rPr>
          <w:rFonts w:ascii="Times New Roman" w:eastAsia="Calibri" w:hAnsi="Times New Roman" w:cs="Simplified Arabic" w:hint="cs"/>
          <w:sz w:val="24"/>
          <w:szCs w:val="28"/>
          <w:rtl/>
          <w:lang w:bidi="ar-EG"/>
        </w:rPr>
        <w:t xml:space="preserve"> لعبارات </w:t>
      </w:r>
      <w:r w:rsidRPr="00F55AC8">
        <w:rPr>
          <w:rFonts w:ascii="Times New Roman" w:eastAsia="Calibri" w:hAnsi="Times New Roman" w:cs="Simplified Arabic" w:hint="eastAsia"/>
          <w:sz w:val="24"/>
          <w:szCs w:val="28"/>
          <w:rtl/>
          <w:lang w:bidi="ar-EG"/>
        </w:rPr>
        <w:t>المحور</w:t>
      </w:r>
      <w:r w:rsidRPr="00F55AC8">
        <w:rPr>
          <w:rFonts w:ascii="Times New Roman" w:eastAsia="Calibri" w:hAnsi="Times New Roman" w:cs="Simplified Arabic"/>
          <w:sz w:val="24"/>
          <w:szCs w:val="28"/>
          <w:rtl/>
          <w:lang w:bidi="ar-EG"/>
        </w:rPr>
        <w:t xml:space="preserve"> </w:t>
      </w:r>
      <w:r w:rsidRPr="00F55AC8">
        <w:rPr>
          <w:rFonts w:ascii="Times New Roman" w:eastAsia="Calibri" w:hAnsi="Times New Roman" w:cs="Simplified Arabic" w:hint="cs"/>
          <w:sz w:val="24"/>
          <w:szCs w:val="28"/>
          <w:rtl/>
          <w:lang w:bidi="ar-EG"/>
        </w:rPr>
        <w:t>الثاني:</w:t>
      </w:r>
      <w:r w:rsidRPr="00F55AC8">
        <w:rPr>
          <w:rFonts w:ascii="Times New Roman" w:hAnsi="Times New Roman" w:cs="Simplified Arabic"/>
          <w:sz w:val="24"/>
          <w:szCs w:val="28"/>
          <w:rtl/>
        </w:rPr>
        <w:t xml:space="preserve"> </w:t>
      </w:r>
      <w:r w:rsidRPr="00F55AC8">
        <w:rPr>
          <w:rFonts w:ascii="Times New Roman" w:eastAsia="Calibri" w:hAnsi="Times New Roman" w:cs="Simplified Arabic" w:hint="cs"/>
          <w:sz w:val="24"/>
          <w:szCs w:val="28"/>
          <w:rtl/>
          <w:lang w:bidi="ar-EG"/>
        </w:rPr>
        <w:t>الاستدامة المالية والمتوسط العام ل</w:t>
      </w:r>
      <w:r w:rsidRPr="00F55AC8">
        <w:rPr>
          <w:rFonts w:ascii="Times New Roman" w:eastAsia="Calibri" w:hAnsi="Times New Roman" w:cs="Simplified Arabic" w:hint="eastAsia"/>
          <w:sz w:val="24"/>
          <w:szCs w:val="28"/>
          <w:rtl/>
          <w:lang w:bidi="ar-EG"/>
        </w:rPr>
        <w:t>لمحور</w:t>
      </w:r>
      <w:r w:rsidRPr="00F55AC8">
        <w:rPr>
          <w:rFonts w:ascii="Times New Roman" w:eastAsia="Calibri" w:hAnsi="Times New Roman" w:cs="Simplified Arabic"/>
          <w:sz w:val="24"/>
          <w:szCs w:val="28"/>
          <w:rtl/>
          <w:lang w:bidi="ar-EG"/>
        </w:rPr>
        <w:t xml:space="preserve"> </w:t>
      </w:r>
      <w:r w:rsidRPr="00F55AC8">
        <w:rPr>
          <w:rFonts w:ascii="Times New Roman" w:eastAsia="Calibri" w:hAnsi="Times New Roman" w:cs="Simplified Arabic" w:hint="cs"/>
          <w:sz w:val="24"/>
          <w:szCs w:val="28"/>
          <w:rtl/>
          <w:lang w:bidi="ar-EG"/>
        </w:rPr>
        <w:t xml:space="preserve">الثاني بالاستبانة </w:t>
      </w:r>
      <w:r w:rsidRPr="00F55AC8">
        <w:rPr>
          <w:rFonts w:ascii="Times New Roman" w:eastAsia="Calibri" w:hAnsi="Times New Roman" w:cs="Simplified Arabic"/>
          <w:sz w:val="24"/>
          <w:szCs w:val="28"/>
          <w:rtl/>
          <w:lang w:bidi="ar-EG"/>
        </w:rPr>
        <w:t>ويوضح نتائجها الجدول التالي:</w:t>
      </w:r>
    </w:p>
    <w:p w14:paraId="7FE5B2C6" w14:textId="77777777" w:rsidR="000B3939" w:rsidRPr="00BC50C9" w:rsidRDefault="000B3939" w:rsidP="00F55AC8">
      <w:pPr>
        <w:pStyle w:val="33333"/>
        <w:rPr>
          <w:rtl/>
        </w:rPr>
      </w:pPr>
      <w:bookmarkStart w:id="91" w:name="_Toc195456543"/>
      <w:bookmarkStart w:id="92" w:name="_Toc170412850"/>
      <w:r w:rsidRPr="00BC50C9">
        <w:rPr>
          <w:rFonts w:hint="cs"/>
          <w:rtl/>
        </w:rPr>
        <w:t>ال</w:t>
      </w:r>
      <w:r w:rsidRPr="00BC50C9">
        <w:rPr>
          <w:rtl/>
        </w:rPr>
        <w:t>جدول</w:t>
      </w:r>
      <w:r w:rsidRPr="00BC50C9">
        <w:rPr>
          <w:rFonts w:hint="cs"/>
          <w:rtl/>
        </w:rPr>
        <w:t xml:space="preserve"> رقم</w:t>
      </w:r>
      <w:r w:rsidRPr="00BC50C9">
        <w:rPr>
          <w:rtl/>
        </w:rPr>
        <w:t xml:space="preserve"> (</w:t>
      </w:r>
      <w:r w:rsidRPr="00BC50C9">
        <w:rPr>
          <w:rFonts w:hint="cs"/>
          <w:rtl/>
        </w:rPr>
        <w:t>3-6</w:t>
      </w:r>
      <w:r w:rsidRPr="00BC50C9">
        <w:rPr>
          <w:rtl/>
        </w:rPr>
        <w:t xml:space="preserve">) معامل ثبات ألفا </w:t>
      </w:r>
      <w:proofErr w:type="spellStart"/>
      <w:r w:rsidRPr="00BC50C9">
        <w:rPr>
          <w:rtl/>
        </w:rPr>
        <w:t>كرونباخ</w:t>
      </w:r>
      <w:proofErr w:type="spellEnd"/>
      <w:r w:rsidRPr="00BC50C9">
        <w:rPr>
          <w:rtl/>
        </w:rPr>
        <w:t xml:space="preserve"> </w:t>
      </w:r>
      <w:r w:rsidRPr="00BC50C9">
        <w:rPr>
          <w:rFonts w:hint="cs"/>
          <w:rtl/>
        </w:rPr>
        <w:t>لعبارات المحور الثاني</w:t>
      </w:r>
      <w:r w:rsidRPr="00BC50C9">
        <w:rPr>
          <w:rtl/>
        </w:rPr>
        <w:t xml:space="preserve"> </w:t>
      </w:r>
      <w:r w:rsidRPr="00BC50C9">
        <w:rPr>
          <w:rFonts w:hint="cs"/>
          <w:rtl/>
        </w:rPr>
        <w:t>والمتوسط العام ل</w:t>
      </w:r>
      <w:r w:rsidRPr="00BC50C9">
        <w:rPr>
          <w:rFonts w:hint="eastAsia"/>
          <w:rtl/>
        </w:rPr>
        <w:t>لمحور</w:t>
      </w:r>
      <w:bookmarkEnd w:id="91"/>
      <w:r w:rsidRPr="00BC50C9">
        <w:rPr>
          <w:rtl/>
        </w:rPr>
        <w:t xml:space="preserve"> </w:t>
      </w:r>
      <w:bookmarkEnd w:id="92"/>
    </w:p>
    <w:tbl>
      <w:tblPr>
        <w:tblStyle w:val="af6"/>
        <w:bidiVisual/>
        <w:tblW w:w="9072" w:type="dxa"/>
        <w:jc w:val="center"/>
        <w:tblLook w:val="04A0" w:firstRow="1" w:lastRow="0" w:firstColumn="1" w:lastColumn="0" w:noHBand="0" w:noVBand="1"/>
      </w:tblPr>
      <w:tblGrid>
        <w:gridCol w:w="658"/>
        <w:gridCol w:w="6579"/>
        <w:gridCol w:w="1835"/>
      </w:tblGrid>
      <w:tr w:rsidR="000B3939" w:rsidRPr="00F55AC8" w14:paraId="689F6F82"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085A54"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tl/>
              </w:rPr>
              <w:t>الرقم</w:t>
            </w:r>
          </w:p>
        </w:tc>
        <w:tc>
          <w:tcPr>
            <w:tcW w:w="657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D7E20DC"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hint="cs"/>
                <w:bCs/>
                <w:sz w:val="24"/>
                <w:szCs w:val="24"/>
                <w:rtl/>
              </w:rPr>
              <w:t>العبارات</w:t>
            </w:r>
          </w:p>
        </w:tc>
        <w:tc>
          <w:tcPr>
            <w:tcW w:w="183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ABF5152"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tl/>
              </w:rPr>
              <w:t xml:space="preserve">معامل ألفا </w:t>
            </w:r>
            <w:proofErr w:type="spellStart"/>
            <w:r w:rsidRPr="00F55AC8">
              <w:rPr>
                <w:rFonts w:ascii="Times New Roman" w:eastAsia="Calibri" w:hAnsi="Times New Roman" w:cs="Simplified Arabic"/>
                <w:bCs/>
                <w:sz w:val="24"/>
                <w:szCs w:val="24"/>
                <w:rtl/>
              </w:rPr>
              <w:t>كرونباخ</w:t>
            </w:r>
            <w:proofErr w:type="spellEnd"/>
          </w:p>
        </w:tc>
      </w:tr>
      <w:tr w:rsidR="000B3939" w:rsidRPr="00F55AC8" w14:paraId="48B65031"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85BB52"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hint="cs"/>
                <w:bCs/>
                <w:sz w:val="24"/>
                <w:szCs w:val="24"/>
                <w:rtl/>
              </w:rPr>
              <w:t>25</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7070249C"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Pr>
            </w:pPr>
            <w:r w:rsidRPr="00F55AC8">
              <w:rPr>
                <w:rFonts w:ascii="Times New Roman" w:eastAsia="Calibri" w:hAnsi="Times New Roman" w:cs="Simplified Arabic"/>
                <w:b/>
                <w:sz w:val="24"/>
                <w:szCs w:val="24"/>
                <w:rtl/>
              </w:rPr>
              <w:t>تُعد الاستدامة المالية هدفًا رئيسيًا للمشاريع الريادية في المملكة العربية السعودية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95D20"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Pr>
              <w:t>.934</w:t>
            </w:r>
          </w:p>
        </w:tc>
      </w:tr>
      <w:tr w:rsidR="000B3939" w:rsidRPr="00F55AC8" w14:paraId="20427DC7"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2F5127"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hint="cs"/>
                <w:bCs/>
                <w:sz w:val="24"/>
                <w:szCs w:val="24"/>
                <w:rtl/>
              </w:rPr>
              <w:t>26</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5349077B"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Pr>
            </w:pPr>
            <w:r w:rsidRPr="00F55AC8">
              <w:rPr>
                <w:rFonts w:ascii="Times New Roman" w:eastAsia="Calibri" w:hAnsi="Times New Roman" w:cs="Simplified Arabic"/>
                <w:b/>
                <w:sz w:val="24"/>
                <w:szCs w:val="24"/>
                <w:rtl/>
              </w:rPr>
              <w:t>يُساهم التنوع في مصادر التمويل في تعزيز الاستدامة المالية للمشاريع الناشئة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B0CA02"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bCs/>
                <w:sz w:val="24"/>
                <w:szCs w:val="24"/>
              </w:rPr>
              <w:t>.888</w:t>
            </w:r>
          </w:p>
        </w:tc>
      </w:tr>
      <w:tr w:rsidR="000B3939" w:rsidRPr="00F55AC8" w14:paraId="73BEFEF0"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006F9"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27</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7A784376"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تُساعد المنصات الإلكترونية في توفير فرص تمويل أكثر استقرارًا للمشاريع</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C1113B"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.956</w:t>
            </w:r>
          </w:p>
        </w:tc>
      </w:tr>
      <w:tr w:rsidR="000B3939" w:rsidRPr="00F55AC8" w14:paraId="21D78253"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73CCB"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28</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24F3F81D"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تُعد الشفافية والمصداقية في إدارة الأموال عوامل أساسية لتحقيق الاستدامة المالية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22523"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.915</w:t>
            </w:r>
          </w:p>
        </w:tc>
      </w:tr>
      <w:tr w:rsidR="000B3939" w:rsidRPr="00F55AC8" w14:paraId="0468B6A0"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AF7AC6"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29</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5E05E8DA"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يُسهم التمويل التشاركي في سد الفجوة التمويلية التي تواجهها المشاريع الناشئة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C2D4C1"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.899</w:t>
            </w:r>
          </w:p>
        </w:tc>
      </w:tr>
      <w:tr w:rsidR="000B3939" w:rsidRPr="00F55AC8" w14:paraId="4D894DD9"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32C8AE"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30</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774989A8"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تُساعد التكنولوجيا المالية</w:t>
            </w:r>
            <w:r w:rsidRPr="00F55AC8">
              <w:rPr>
                <w:rFonts w:ascii="Times New Roman" w:eastAsia="Calibri" w:hAnsi="Times New Roman" w:cs="Simplified Arabic"/>
                <w:b/>
                <w:sz w:val="24"/>
                <w:szCs w:val="24"/>
              </w:rPr>
              <w:t xml:space="preserve"> </w:t>
            </w:r>
            <w:r w:rsidRPr="00F55AC8">
              <w:rPr>
                <w:rFonts w:ascii="Times New Roman" w:eastAsia="Calibri" w:hAnsi="Times New Roman" w:cs="Simplified Arabic"/>
                <w:bCs/>
                <w:sz w:val="24"/>
                <w:szCs w:val="24"/>
              </w:rPr>
              <w:t>(FinTech)</w:t>
            </w:r>
            <w:r w:rsidRPr="00F55AC8">
              <w:rPr>
                <w:rFonts w:ascii="Times New Roman" w:eastAsia="Calibri" w:hAnsi="Times New Roman" w:cs="Simplified Arabic"/>
                <w:b/>
                <w:sz w:val="24"/>
                <w:szCs w:val="24"/>
              </w:rPr>
              <w:t xml:space="preserve"> </w:t>
            </w:r>
            <w:r w:rsidRPr="00F55AC8">
              <w:rPr>
                <w:rFonts w:ascii="Times New Roman" w:eastAsia="Calibri" w:hAnsi="Times New Roman" w:cs="Simplified Arabic"/>
                <w:b/>
                <w:sz w:val="24"/>
                <w:szCs w:val="24"/>
                <w:rtl/>
              </w:rPr>
              <w:t>في تعزيز الاستدامة المالية عبر حلول مبتكرة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2F90D"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.930</w:t>
            </w:r>
          </w:p>
        </w:tc>
      </w:tr>
      <w:tr w:rsidR="000B3939" w:rsidRPr="00F55AC8" w14:paraId="5FCDBDC6"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7C6DC7"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31</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6B8C2D01"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يُعد التخطيط المالي الجيد من العوامل الحاسمة لضمان استدامة المشاريع الريادية</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A764AA"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.956</w:t>
            </w:r>
          </w:p>
        </w:tc>
      </w:tr>
      <w:tr w:rsidR="000B3939" w:rsidRPr="00F55AC8" w14:paraId="5A93C6D9" w14:textId="77777777" w:rsidTr="00F55AC8">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F6440C"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tl/>
              </w:rPr>
            </w:pPr>
            <w:r w:rsidRPr="00F55AC8">
              <w:rPr>
                <w:rFonts w:ascii="Times New Roman" w:eastAsia="Calibri" w:hAnsi="Times New Roman" w:cs="Simplified Arabic" w:hint="cs"/>
                <w:bCs/>
                <w:sz w:val="24"/>
                <w:szCs w:val="24"/>
                <w:rtl/>
              </w:rPr>
              <w:t>32</w:t>
            </w:r>
          </w:p>
        </w:tc>
        <w:tc>
          <w:tcPr>
            <w:tcW w:w="6579" w:type="dxa"/>
            <w:tcBorders>
              <w:top w:val="single" w:sz="4" w:space="0" w:color="000000"/>
              <w:left w:val="single" w:sz="4" w:space="0" w:color="000000"/>
              <w:bottom w:val="single" w:sz="4" w:space="0" w:color="000000"/>
              <w:right w:val="single" w:sz="4" w:space="0" w:color="000000"/>
            </w:tcBorders>
            <w:shd w:val="clear" w:color="auto" w:fill="FFFFFF"/>
          </w:tcPr>
          <w:p w14:paraId="6C9D6882" w14:textId="77777777" w:rsidR="000B3939" w:rsidRPr="00F55AC8" w:rsidRDefault="000B3939" w:rsidP="00F55AC8">
            <w:pPr>
              <w:autoSpaceDE w:val="0"/>
              <w:autoSpaceDN w:val="0"/>
              <w:bidi/>
              <w:adjustRightInd w:val="0"/>
              <w:jc w:val="center"/>
              <w:rPr>
                <w:rFonts w:ascii="Times New Roman" w:eastAsia="Calibri" w:hAnsi="Times New Roman" w:cs="Simplified Arabic"/>
                <w:b/>
                <w:sz w:val="24"/>
                <w:szCs w:val="24"/>
                <w:rtl/>
              </w:rPr>
            </w:pPr>
            <w:r w:rsidRPr="00F55AC8">
              <w:rPr>
                <w:rFonts w:ascii="Times New Roman" w:eastAsia="Calibri" w:hAnsi="Times New Roman" w:cs="Simplified Arabic"/>
                <w:b/>
                <w:sz w:val="24"/>
                <w:szCs w:val="24"/>
                <w:rtl/>
              </w:rPr>
              <w:t>تُعتبر الشراكات مع الجهات الداعمة عنصرًا مهمًا في تحقيق الاستدامة المالية للمشاريع</w:t>
            </w:r>
            <w:r w:rsidRPr="00F55AC8">
              <w:rPr>
                <w:rFonts w:ascii="Times New Roman" w:eastAsia="Calibri" w:hAnsi="Times New Roman" w:cs="Simplified Arabic"/>
                <w:b/>
                <w:sz w:val="24"/>
                <w:szCs w:val="24"/>
              </w:rPr>
              <w:t>.</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BF2FA5"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.860</w:t>
            </w:r>
          </w:p>
        </w:tc>
      </w:tr>
      <w:tr w:rsidR="000B3939" w:rsidRPr="00F55AC8" w14:paraId="3E103E55" w14:textId="77777777" w:rsidTr="00F55AC8">
        <w:trPr>
          <w:jc w:val="center"/>
        </w:trPr>
        <w:tc>
          <w:tcPr>
            <w:tcW w:w="723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40610C"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tl/>
              </w:rPr>
              <w:t>المتوسط العام</w:t>
            </w:r>
          </w:p>
        </w:tc>
        <w:tc>
          <w:tcPr>
            <w:tcW w:w="1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810FB" w14:textId="77777777" w:rsidR="000B3939" w:rsidRPr="00F55AC8" w:rsidRDefault="000B3939" w:rsidP="00F55AC8">
            <w:pPr>
              <w:autoSpaceDE w:val="0"/>
              <w:autoSpaceDN w:val="0"/>
              <w:bidi/>
              <w:adjustRightInd w:val="0"/>
              <w:jc w:val="center"/>
              <w:rPr>
                <w:rFonts w:ascii="Times New Roman" w:eastAsia="Calibri" w:hAnsi="Times New Roman" w:cs="Simplified Arabic"/>
                <w:bCs/>
                <w:sz w:val="24"/>
                <w:szCs w:val="24"/>
              </w:rPr>
            </w:pPr>
            <w:r w:rsidRPr="00F55AC8">
              <w:rPr>
                <w:rFonts w:ascii="Times New Roman" w:eastAsia="Calibri" w:hAnsi="Times New Roman" w:cs="Simplified Arabic"/>
                <w:bCs/>
                <w:sz w:val="24"/>
                <w:szCs w:val="24"/>
              </w:rPr>
              <w:t>.945</w:t>
            </w:r>
          </w:p>
        </w:tc>
      </w:tr>
    </w:tbl>
    <w:p w14:paraId="103411DB" w14:textId="77777777" w:rsidR="000B3939" w:rsidRPr="00BC50C9" w:rsidRDefault="000B3939" w:rsidP="001311D1">
      <w:pPr>
        <w:pStyle w:val="00000"/>
        <w:rPr>
          <w:rtl/>
        </w:rPr>
      </w:pPr>
      <w:r w:rsidRPr="00BC50C9">
        <w:rPr>
          <w:rFonts w:hint="cs"/>
          <w:rtl/>
        </w:rPr>
        <w:t>يتبين</w:t>
      </w:r>
      <w:r w:rsidRPr="00BC50C9">
        <w:rPr>
          <w:rtl/>
        </w:rPr>
        <w:t xml:space="preserve"> من الجدول السابق أن قيم معاملات الثبات </w:t>
      </w:r>
      <w:r w:rsidRPr="00BC50C9">
        <w:rPr>
          <w:rFonts w:hint="cs"/>
          <w:rtl/>
        </w:rPr>
        <w:t xml:space="preserve">لعبارات </w:t>
      </w:r>
      <w:r w:rsidRPr="00BC50C9">
        <w:rPr>
          <w:rFonts w:hint="eastAsia"/>
          <w:rtl/>
        </w:rPr>
        <w:t>المحور</w:t>
      </w:r>
      <w:r w:rsidRPr="00BC50C9">
        <w:rPr>
          <w:rtl/>
        </w:rPr>
        <w:t xml:space="preserve"> </w:t>
      </w:r>
      <w:r w:rsidRPr="00BC50C9">
        <w:rPr>
          <w:rFonts w:hint="cs"/>
          <w:rtl/>
        </w:rPr>
        <w:t>الثاني:</w:t>
      </w:r>
      <w:r w:rsidRPr="00BC50C9">
        <w:rPr>
          <w:rtl/>
        </w:rPr>
        <w:t xml:space="preserve"> </w:t>
      </w:r>
      <w:r w:rsidRPr="00BC50C9">
        <w:rPr>
          <w:rFonts w:hint="cs"/>
          <w:rtl/>
        </w:rPr>
        <w:t xml:space="preserve">الاستدامة المالية </w:t>
      </w:r>
      <w:r w:rsidRPr="00BC50C9">
        <w:rPr>
          <w:rtl/>
        </w:rPr>
        <w:t xml:space="preserve">جاءت بقيم </w:t>
      </w:r>
      <w:r w:rsidRPr="00BC50C9">
        <w:rPr>
          <w:rFonts w:hint="cs"/>
          <w:rtl/>
        </w:rPr>
        <w:t xml:space="preserve">عالية؛ </w:t>
      </w:r>
      <w:r w:rsidRPr="00BC50C9">
        <w:rPr>
          <w:rtl/>
        </w:rPr>
        <w:t>حيث تراوحت قيم معاملات الثبات</w:t>
      </w:r>
      <w:r w:rsidRPr="00BC50C9">
        <w:rPr>
          <w:rFonts w:hint="cs"/>
          <w:rtl/>
        </w:rPr>
        <w:t xml:space="preserve"> لعبارات</w:t>
      </w:r>
      <w:r w:rsidRPr="00BC50C9">
        <w:rPr>
          <w:rtl/>
        </w:rPr>
        <w:t xml:space="preserve"> </w:t>
      </w:r>
      <w:r w:rsidRPr="00BC50C9">
        <w:rPr>
          <w:rFonts w:hint="eastAsia"/>
          <w:rtl/>
        </w:rPr>
        <w:t>المحور</w:t>
      </w:r>
      <w:r w:rsidRPr="00BC50C9">
        <w:rPr>
          <w:rtl/>
        </w:rPr>
        <w:t xml:space="preserve"> </w:t>
      </w:r>
      <w:r w:rsidRPr="00BC50C9">
        <w:rPr>
          <w:rFonts w:hint="eastAsia"/>
          <w:rtl/>
        </w:rPr>
        <w:t>ا</w:t>
      </w:r>
      <w:r w:rsidRPr="00BC50C9">
        <w:rPr>
          <w:rFonts w:hint="cs"/>
          <w:rtl/>
        </w:rPr>
        <w:t>لثاني بين</w:t>
      </w:r>
      <w:r w:rsidRPr="00BC50C9">
        <w:rPr>
          <w:rtl/>
        </w:rPr>
        <w:t xml:space="preserve"> </w:t>
      </w:r>
      <w:r w:rsidRPr="00BC50C9">
        <w:rPr>
          <w:rFonts w:hint="cs"/>
          <w:rtl/>
        </w:rPr>
        <w:t>(</w:t>
      </w:r>
      <w:r w:rsidRPr="00BC50C9">
        <w:t>.860</w:t>
      </w:r>
      <w:r w:rsidRPr="00BC50C9">
        <w:rPr>
          <w:rFonts w:hint="cs"/>
          <w:rtl/>
        </w:rPr>
        <w:t>-</w:t>
      </w:r>
      <w:r w:rsidRPr="00BC50C9">
        <w:t>.956</w:t>
      </w:r>
      <w:r w:rsidRPr="00BC50C9">
        <w:rPr>
          <w:rFonts w:hint="cs"/>
          <w:rtl/>
        </w:rPr>
        <w:t xml:space="preserve">)، </w:t>
      </w:r>
      <w:r w:rsidRPr="00BC50C9">
        <w:rPr>
          <w:rtl/>
        </w:rPr>
        <w:t xml:space="preserve">وبلغت قيمة معامل الثبات الكلي </w:t>
      </w:r>
      <w:r w:rsidRPr="00BC50C9">
        <w:rPr>
          <w:rFonts w:hint="cs"/>
          <w:rtl/>
        </w:rPr>
        <w:t>لعبارات</w:t>
      </w:r>
      <w:r w:rsidRPr="00BC50C9">
        <w:rPr>
          <w:rtl/>
        </w:rPr>
        <w:t xml:space="preserve"> </w:t>
      </w:r>
      <w:r w:rsidRPr="00BC50C9">
        <w:rPr>
          <w:rFonts w:hint="eastAsia"/>
          <w:rtl/>
        </w:rPr>
        <w:t>المحور</w:t>
      </w:r>
      <w:r w:rsidRPr="00BC50C9">
        <w:rPr>
          <w:rtl/>
        </w:rPr>
        <w:t xml:space="preserve"> </w:t>
      </w:r>
      <w:r w:rsidRPr="00BC50C9">
        <w:rPr>
          <w:rFonts w:hint="cs"/>
          <w:rtl/>
        </w:rPr>
        <w:t>الثاني:</w:t>
      </w:r>
      <w:r w:rsidRPr="00BC50C9">
        <w:rPr>
          <w:rFonts w:hint="eastAsia"/>
          <w:rtl/>
        </w:rPr>
        <w:t xml:space="preserve"> </w:t>
      </w:r>
      <w:r w:rsidRPr="00BC50C9">
        <w:rPr>
          <w:rtl/>
        </w:rPr>
        <w:t xml:space="preserve">الاستدامة المالية </w:t>
      </w:r>
      <w:r w:rsidRPr="00BC50C9">
        <w:rPr>
          <w:rFonts w:hint="cs"/>
          <w:rtl/>
        </w:rPr>
        <w:t>(</w:t>
      </w:r>
      <w:r w:rsidRPr="00BC50C9">
        <w:t>.945</w:t>
      </w:r>
      <w:r w:rsidRPr="00BC50C9">
        <w:rPr>
          <w:rFonts w:hint="cs"/>
          <w:rtl/>
        </w:rPr>
        <w:t>)</w:t>
      </w:r>
      <w:r w:rsidRPr="00BC50C9">
        <w:rPr>
          <w:rtl/>
        </w:rPr>
        <w:t>؛ وتشير هذه القيم من معاملات الثبات إلى صلاحية الاستبانة للتطبيق وإمكانية الاعتماد على نتائجها والوثوق بها.</w:t>
      </w:r>
    </w:p>
    <w:p w14:paraId="4B101DCB" w14:textId="55344950"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hint="cs"/>
          <w:b/>
          <w:bCs/>
          <w:sz w:val="24"/>
          <w:szCs w:val="28"/>
          <w:rtl/>
          <w:lang w:bidi="ar-EG"/>
        </w:rPr>
        <w:t>صدق الاتساق الداخلي ل</w:t>
      </w:r>
      <w:r w:rsidRPr="00BC50C9">
        <w:rPr>
          <w:rFonts w:ascii="Times New Roman" w:eastAsia="Calibri" w:hAnsi="Times New Roman" w:cs="Simplified Arabic" w:hint="eastAsia"/>
          <w:b/>
          <w:bCs/>
          <w:sz w:val="24"/>
          <w:szCs w:val="28"/>
          <w:rtl/>
          <w:lang w:bidi="ar-EG"/>
        </w:rPr>
        <w:t>لمحور</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cs"/>
          <w:b/>
          <w:bCs/>
          <w:sz w:val="24"/>
          <w:szCs w:val="28"/>
          <w:rtl/>
          <w:lang w:bidi="ar-EG"/>
        </w:rPr>
        <w:t>الثالث</w:t>
      </w:r>
      <w:r w:rsidRPr="00BC50C9">
        <w:rPr>
          <w:rFonts w:ascii="Times New Roman" w:eastAsia="Calibri" w:hAnsi="Times New Roman" w:cs="Simplified Arabic"/>
          <w:b/>
          <w:bCs/>
          <w:sz w:val="24"/>
          <w:szCs w:val="28"/>
          <w:rtl/>
          <w:lang w:bidi="ar-EG"/>
        </w:rPr>
        <w:t>:</w:t>
      </w:r>
      <w:r w:rsidRPr="00BC50C9">
        <w:rPr>
          <w:rFonts w:ascii="Times New Roman" w:eastAsia="Calibri" w:hAnsi="Times New Roman" w:cs="Simplified Arabic" w:hint="cs"/>
          <w:b/>
          <w:bCs/>
          <w:sz w:val="24"/>
          <w:szCs w:val="28"/>
          <w:rtl/>
          <w:lang w:bidi="ar-EG"/>
        </w:rPr>
        <w:t xml:space="preserve"> </w:t>
      </w:r>
      <w:r w:rsidRPr="00BC50C9">
        <w:rPr>
          <w:rFonts w:ascii="Times New Roman" w:eastAsia="Calibri" w:hAnsi="Times New Roman" w:cs="Simplified Arabic"/>
          <w:b/>
          <w:bCs/>
          <w:sz w:val="24"/>
          <w:szCs w:val="28"/>
          <w:rtl/>
          <w:lang w:bidi="ar-KW"/>
        </w:rPr>
        <w:t>نجاح المشاريع الريادية</w:t>
      </w:r>
      <w:r w:rsidRPr="00BC50C9">
        <w:rPr>
          <w:rFonts w:ascii="Times New Roman" w:eastAsia="Calibri" w:hAnsi="Times New Roman" w:cs="Simplified Arabic" w:hint="cs"/>
          <w:b/>
          <w:bCs/>
          <w:sz w:val="24"/>
          <w:szCs w:val="28"/>
          <w:rtl/>
          <w:lang w:bidi="ar-EG"/>
        </w:rPr>
        <w:t>.</w:t>
      </w:r>
      <w:r w:rsidR="00D33272">
        <w:rPr>
          <w:rFonts w:ascii="Times New Roman" w:eastAsia="Calibri" w:hAnsi="Times New Roman" w:cs="Simplified Arabic" w:hint="cs"/>
          <w:b/>
          <w:bCs/>
          <w:sz w:val="24"/>
          <w:szCs w:val="28"/>
          <w:rtl/>
          <w:lang w:bidi="ar-EG"/>
        </w:rPr>
        <w:t xml:space="preserve"> </w:t>
      </w:r>
      <w:r w:rsidRPr="00D33272">
        <w:rPr>
          <w:rFonts w:ascii="Times New Roman" w:eastAsia="Calibri" w:hAnsi="Times New Roman" w:cs="Simplified Arabic"/>
          <w:sz w:val="24"/>
          <w:szCs w:val="28"/>
          <w:rtl/>
          <w:lang w:bidi="ar-EG"/>
        </w:rPr>
        <w:t xml:space="preserve">تم حساب صدق الاتساق الداخلي بحساب معامل ارتباط بيرسون بين درجات كل </w:t>
      </w:r>
      <w:r w:rsidRPr="00D33272">
        <w:rPr>
          <w:rFonts w:ascii="Times New Roman" w:eastAsia="Calibri" w:hAnsi="Times New Roman" w:cs="Simplified Arabic" w:hint="cs"/>
          <w:sz w:val="24"/>
          <w:szCs w:val="28"/>
          <w:rtl/>
          <w:lang w:bidi="ar-EG"/>
        </w:rPr>
        <w:t>عبارة</w:t>
      </w:r>
      <w:r w:rsidRPr="00D33272">
        <w:rPr>
          <w:rFonts w:ascii="Times New Roman" w:eastAsia="Calibri" w:hAnsi="Times New Roman" w:cs="Simplified Arabic"/>
          <w:sz w:val="24"/>
          <w:szCs w:val="28"/>
          <w:rtl/>
          <w:lang w:bidi="ar-EG"/>
        </w:rPr>
        <w:t xml:space="preserve"> والدرجة الكلية </w:t>
      </w:r>
      <w:r w:rsidRPr="00D33272">
        <w:rPr>
          <w:rFonts w:ascii="Times New Roman" w:eastAsia="Calibri" w:hAnsi="Times New Roman" w:cs="Simplified Arabic" w:hint="cs"/>
          <w:sz w:val="24"/>
          <w:szCs w:val="28"/>
          <w:rtl/>
          <w:lang w:bidi="ar-EG"/>
        </w:rPr>
        <w:t>للمحور الثالث</w:t>
      </w:r>
      <w:r w:rsidRPr="00D33272">
        <w:rPr>
          <w:rFonts w:ascii="Times New Roman" w:eastAsia="Calibri" w:hAnsi="Times New Roman" w:cs="Simplified Arabic"/>
          <w:sz w:val="24"/>
          <w:szCs w:val="28"/>
          <w:rtl/>
          <w:lang w:bidi="ar-EG"/>
        </w:rPr>
        <w:t xml:space="preserve"> ال</w:t>
      </w:r>
      <w:r w:rsidRPr="00D33272">
        <w:rPr>
          <w:rFonts w:ascii="Times New Roman" w:eastAsia="Calibri" w:hAnsi="Times New Roman" w:cs="Simplified Arabic" w:hint="cs"/>
          <w:sz w:val="24"/>
          <w:szCs w:val="28"/>
          <w:rtl/>
          <w:lang w:bidi="ar-EG"/>
        </w:rPr>
        <w:t>ذ</w:t>
      </w:r>
      <w:r w:rsidRPr="00D33272">
        <w:rPr>
          <w:rFonts w:ascii="Times New Roman" w:eastAsia="Calibri" w:hAnsi="Times New Roman" w:cs="Simplified Arabic"/>
          <w:sz w:val="24"/>
          <w:szCs w:val="28"/>
          <w:rtl/>
          <w:lang w:bidi="ar-EG"/>
        </w:rPr>
        <w:t xml:space="preserve">ي تنتمي إليه العبارة من </w:t>
      </w:r>
      <w:r w:rsidRPr="00D33272">
        <w:rPr>
          <w:rFonts w:ascii="Times New Roman" w:eastAsia="Calibri" w:hAnsi="Times New Roman" w:cs="Simplified Arabic" w:hint="cs"/>
          <w:sz w:val="24"/>
          <w:szCs w:val="28"/>
          <w:rtl/>
          <w:lang w:bidi="ar-EG"/>
        </w:rPr>
        <w:t>عبارات</w:t>
      </w:r>
      <w:r w:rsidRPr="00D33272">
        <w:rPr>
          <w:rFonts w:ascii="Times New Roman" w:eastAsia="Calibri" w:hAnsi="Times New Roman" w:cs="Simplified Arabic"/>
          <w:sz w:val="24"/>
          <w:szCs w:val="28"/>
          <w:rtl/>
          <w:lang w:bidi="ar-EG"/>
        </w:rPr>
        <w:t xml:space="preserve"> </w:t>
      </w:r>
      <w:r w:rsidRPr="00D33272">
        <w:rPr>
          <w:rFonts w:ascii="Times New Roman" w:eastAsia="Calibri" w:hAnsi="Times New Roman" w:cs="Simplified Arabic" w:hint="cs"/>
          <w:sz w:val="24"/>
          <w:szCs w:val="28"/>
          <w:rtl/>
          <w:lang w:bidi="ar-EG"/>
        </w:rPr>
        <w:t>المحور الثالث ب</w:t>
      </w:r>
      <w:r w:rsidRPr="00D33272">
        <w:rPr>
          <w:rFonts w:ascii="Times New Roman" w:eastAsia="Calibri" w:hAnsi="Times New Roman" w:cs="Simplified Arabic"/>
          <w:sz w:val="24"/>
          <w:szCs w:val="28"/>
          <w:rtl/>
          <w:lang w:bidi="ar-EG"/>
        </w:rPr>
        <w:t xml:space="preserve">الاستبانة </w:t>
      </w:r>
      <w:r w:rsidRPr="00D33272">
        <w:rPr>
          <w:rFonts w:ascii="Times New Roman" w:eastAsia="Calibri" w:hAnsi="Times New Roman" w:cs="Simplified Arabic" w:hint="cs"/>
          <w:sz w:val="24"/>
          <w:szCs w:val="28"/>
          <w:rtl/>
          <w:lang w:bidi="ar-EG"/>
        </w:rPr>
        <w:t>و</w:t>
      </w:r>
      <w:r w:rsidRPr="00D33272">
        <w:rPr>
          <w:rFonts w:ascii="Times New Roman" w:eastAsia="Calibri" w:hAnsi="Times New Roman" w:cs="Simplified Arabic"/>
          <w:sz w:val="24"/>
          <w:szCs w:val="28"/>
          <w:rtl/>
          <w:lang w:bidi="ar-EG"/>
        </w:rPr>
        <w:t xml:space="preserve">يوضح نتائجها </w:t>
      </w:r>
      <w:r w:rsidRPr="00D33272">
        <w:rPr>
          <w:rFonts w:ascii="Times New Roman" w:eastAsia="Calibri" w:hAnsi="Times New Roman" w:cs="Simplified Arabic" w:hint="cs"/>
          <w:sz w:val="24"/>
          <w:szCs w:val="28"/>
          <w:rtl/>
          <w:lang w:bidi="ar-EG"/>
        </w:rPr>
        <w:t>ال</w:t>
      </w:r>
      <w:r w:rsidRPr="00D33272">
        <w:rPr>
          <w:rFonts w:ascii="Times New Roman" w:eastAsia="Calibri" w:hAnsi="Times New Roman" w:cs="Simplified Arabic"/>
          <w:sz w:val="24"/>
          <w:szCs w:val="28"/>
          <w:rtl/>
          <w:lang w:bidi="ar-EG"/>
        </w:rPr>
        <w:t>جدول</w:t>
      </w:r>
      <w:r w:rsidRPr="00D33272">
        <w:rPr>
          <w:rFonts w:ascii="Times New Roman" w:eastAsia="Calibri" w:hAnsi="Times New Roman" w:cs="Simplified Arabic" w:hint="cs"/>
          <w:sz w:val="24"/>
          <w:szCs w:val="28"/>
          <w:rtl/>
          <w:lang w:bidi="ar-EG"/>
        </w:rPr>
        <w:t xml:space="preserve"> </w:t>
      </w:r>
      <w:r w:rsidRPr="00D33272">
        <w:rPr>
          <w:rFonts w:ascii="Times New Roman" w:eastAsia="Calibri" w:hAnsi="Times New Roman" w:cs="Simplified Arabic"/>
          <w:sz w:val="24"/>
          <w:szCs w:val="28"/>
          <w:rtl/>
          <w:lang w:bidi="ar-EG"/>
        </w:rPr>
        <w:t>التالي:</w:t>
      </w:r>
    </w:p>
    <w:p w14:paraId="4453CC6A" w14:textId="77777777" w:rsidR="000B3939" w:rsidRPr="00BC50C9" w:rsidRDefault="000B3939" w:rsidP="00D33272">
      <w:pPr>
        <w:pStyle w:val="33333"/>
        <w:rPr>
          <w:rtl/>
        </w:rPr>
      </w:pPr>
      <w:bookmarkStart w:id="93" w:name="_Toc170412851"/>
      <w:bookmarkStart w:id="94" w:name="_Toc195456544"/>
      <w:r w:rsidRPr="00BC50C9">
        <w:rPr>
          <w:rFonts w:hint="cs"/>
          <w:rtl/>
        </w:rPr>
        <w:t>ال</w:t>
      </w:r>
      <w:r w:rsidRPr="00BC50C9">
        <w:rPr>
          <w:rtl/>
        </w:rPr>
        <w:t>جدول رقم (</w:t>
      </w:r>
      <w:r w:rsidRPr="00BC50C9">
        <w:rPr>
          <w:rFonts w:hint="cs"/>
          <w:rtl/>
        </w:rPr>
        <w:t>3-7</w:t>
      </w:r>
      <w:r w:rsidRPr="00BC50C9">
        <w:rPr>
          <w:rtl/>
        </w:rPr>
        <w:t xml:space="preserve">) معاملات ارتباط بيرسون بين درجات كل عبارة والدرجة الكلية </w:t>
      </w:r>
      <w:r w:rsidRPr="00BC50C9">
        <w:rPr>
          <w:rFonts w:hint="cs"/>
          <w:rtl/>
        </w:rPr>
        <w:t xml:space="preserve">للمحور الثالث </w:t>
      </w:r>
      <w:r w:rsidRPr="00BC50C9">
        <w:rPr>
          <w:rtl/>
        </w:rPr>
        <w:t>ال</w:t>
      </w:r>
      <w:r w:rsidRPr="00BC50C9">
        <w:rPr>
          <w:rFonts w:hint="cs"/>
          <w:rtl/>
        </w:rPr>
        <w:t>ذ</w:t>
      </w:r>
      <w:r w:rsidRPr="00BC50C9">
        <w:rPr>
          <w:rtl/>
        </w:rPr>
        <w:t>ي تنتمي</w:t>
      </w:r>
      <w:r w:rsidRPr="00BC50C9">
        <w:rPr>
          <w:rFonts w:hint="cs"/>
          <w:rtl/>
        </w:rPr>
        <w:t xml:space="preserve"> </w:t>
      </w:r>
      <w:r w:rsidRPr="00BC50C9">
        <w:rPr>
          <w:rtl/>
        </w:rPr>
        <w:t xml:space="preserve">إليه العبارة </w:t>
      </w:r>
      <w:r w:rsidRPr="00BC50C9">
        <w:rPr>
          <w:rFonts w:hint="cs"/>
          <w:rtl/>
        </w:rPr>
        <w:t xml:space="preserve">في </w:t>
      </w:r>
      <w:r w:rsidRPr="00BC50C9">
        <w:rPr>
          <w:rFonts w:hint="eastAsia"/>
          <w:rtl/>
        </w:rPr>
        <w:t>المحور</w:t>
      </w:r>
      <w:r w:rsidRPr="00BC50C9">
        <w:rPr>
          <w:rFonts w:hint="cs"/>
          <w:rtl/>
        </w:rPr>
        <w:t xml:space="preserve"> الثالث: </w:t>
      </w:r>
      <w:bookmarkStart w:id="95" w:name="_Hlk178690187"/>
      <w:bookmarkEnd w:id="93"/>
      <w:r w:rsidRPr="00BC50C9">
        <w:rPr>
          <w:rtl/>
          <w:lang w:bidi="ar-KW"/>
        </w:rPr>
        <w:t>نجاح المشاريع الريادية</w:t>
      </w:r>
      <w:bookmarkEnd w:id="9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5"/>
        <w:gridCol w:w="1606"/>
        <w:gridCol w:w="1343"/>
        <w:gridCol w:w="1700"/>
        <w:gridCol w:w="1702"/>
        <w:gridCol w:w="1686"/>
      </w:tblGrid>
      <w:tr w:rsidR="000B3939" w:rsidRPr="00D33272" w14:paraId="25162338" w14:textId="77777777" w:rsidTr="00D33272">
        <w:trPr>
          <w:jc w:val="center"/>
        </w:trPr>
        <w:tc>
          <w:tcPr>
            <w:tcW w:w="566" w:type="pct"/>
            <w:shd w:val="clear" w:color="auto" w:fill="BFBFBF"/>
            <w:vAlign w:val="center"/>
          </w:tcPr>
          <w:bookmarkEnd w:id="95"/>
          <w:p w14:paraId="5DD5C5EA"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 xml:space="preserve">رقم </w:t>
            </w:r>
            <w:r w:rsidRPr="00D33272">
              <w:rPr>
                <w:rFonts w:ascii="Times New Roman" w:eastAsia="Calibri" w:hAnsi="Times New Roman" w:cs="Simplified Arabic" w:hint="cs"/>
                <w:b/>
                <w:bCs/>
                <w:sz w:val="24"/>
                <w:szCs w:val="24"/>
                <w:rtl/>
              </w:rPr>
              <w:t>الفقرة</w:t>
            </w:r>
          </w:p>
        </w:tc>
        <w:tc>
          <w:tcPr>
            <w:tcW w:w="886" w:type="pct"/>
            <w:shd w:val="clear" w:color="auto" w:fill="auto"/>
            <w:vAlign w:val="center"/>
          </w:tcPr>
          <w:p w14:paraId="6D167FD1"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معامل الارتباط</w:t>
            </w:r>
          </w:p>
        </w:tc>
        <w:tc>
          <w:tcPr>
            <w:tcW w:w="741" w:type="pct"/>
            <w:shd w:val="clear" w:color="auto" w:fill="BFBFBF"/>
            <w:vAlign w:val="center"/>
          </w:tcPr>
          <w:p w14:paraId="13325EA7"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 xml:space="preserve">رقم </w:t>
            </w:r>
            <w:r w:rsidRPr="00D33272">
              <w:rPr>
                <w:rFonts w:ascii="Times New Roman" w:eastAsia="Calibri" w:hAnsi="Times New Roman" w:cs="Simplified Arabic" w:hint="cs"/>
                <w:b/>
                <w:bCs/>
                <w:sz w:val="24"/>
                <w:szCs w:val="24"/>
                <w:rtl/>
              </w:rPr>
              <w:t>الفقرة</w:t>
            </w:r>
          </w:p>
        </w:tc>
        <w:tc>
          <w:tcPr>
            <w:tcW w:w="938" w:type="pct"/>
            <w:shd w:val="clear" w:color="auto" w:fill="auto"/>
            <w:vAlign w:val="center"/>
          </w:tcPr>
          <w:p w14:paraId="0E65EB89"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معامل الارتباط</w:t>
            </w:r>
          </w:p>
        </w:tc>
        <w:tc>
          <w:tcPr>
            <w:tcW w:w="939" w:type="pct"/>
            <w:shd w:val="clear" w:color="auto" w:fill="BFBFBF"/>
            <w:vAlign w:val="center"/>
          </w:tcPr>
          <w:p w14:paraId="7709A974"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 xml:space="preserve">رقم </w:t>
            </w:r>
            <w:r w:rsidRPr="00D33272">
              <w:rPr>
                <w:rFonts w:ascii="Times New Roman" w:eastAsia="Calibri" w:hAnsi="Times New Roman" w:cs="Simplified Arabic" w:hint="cs"/>
                <w:b/>
                <w:bCs/>
                <w:sz w:val="24"/>
                <w:szCs w:val="24"/>
                <w:rtl/>
              </w:rPr>
              <w:t>الفقرة</w:t>
            </w:r>
          </w:p>
        </w:tc>
        <w:tc>
          <w:tcPr>
            <w:tcW w:w="931" w:type="pct"/>
            <w:shd w:val="clear" w:color="auto" w:fill="auto"/>
            <w:vAlign w:val="center"/>
          </w:tcPr>
          <w:p w14:paraId="48B6BA4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معامل الارتباط</w:t>
            </w:r>
          </w:p>
        </w:tc>
      </w:tr>
      <w:tr w:rsidR="000B3939" w:rsidRPr="00D33272" w14:paraId="12B3DEDF" w14:textId="77777777" w:rsidTr="00D33272">
        <w:trPr>
          <w:jc w:val="center"/>
        </w:trPr>
        <w:tc>
          <w:tcPr>
            <w:tcW w:w="566" w:type="pct"/>
            <w:shd w:val="clear" w:color="auto" w:fill="BFBFBF"/>
            <w:vAlign w:val="center"/>
          </w:tcPr>
          <w:p w14:paraId="5D51EFDD"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lang w:bidi="ar-EG"/>
              </w:rPr>
            </w:pPr>
            <w:r w:rsidRPr="00D33272">
              <w:rPr>
                <w:rFonts w:ascii="Times New Roman" w:eastAsia="Calibri" w:hAnsi="Times New Roman" w:cs="Simplified Arabic" w:hint="cs"/>
                <w:sz w:val="24"/>
                <w:szCs w:val="24"/>
                <w:rtl/>
                <w:lang w:bidi="ar-EG"/>
              </w:rPr>
              <w:t>73</w:t>
            </w:r>
          </w:p>
        </w:tc>
        <w:tc>
          <w:tcPr>
            <w:tcW w:w="886" w:type="pct"/>
            <w:shd w:val="clear" w:color="auto" w:fill="auto"/>
            <w:vAlign w:val="center"/>
          </w:tcPr>
          <w:p w14:paraId="2B6BC6EE"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D33272">
              <w:rPr>
                <w:rFonts w:ascii="Times New Roman" w:eastAsia="Calibri" w:hAnsi="Times New Roman" w:cs="Simplified Arabic"/>
                <w:kern w:val="2"/>
                <w:sz w:val="24"/>
                <w:szCs w:val="24"/>
                <w14:ligatures w14:val="standardContextual"/>
              </w:rPr>
              <w:t>.828**</w:t>
            </w:r>
          </w:p>
        </w:tc>
        <w:tc>
          <w:tcPr>
            <w:tcW w:w="741" w:type="pct"/>
            <w:shd w:val="clear" w:color="auto" w:fill="BFBFBF"/>
            <w:vAlign w:val="center"/>
          </w:tcPr>
          <w:p w14:paraId="60BB638A"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74</w:t>
            </w:r>
          </w:p>
        </w:tc>
        <w:tc>
          <w:tcPr>
            <w:tcW w:w="938" w:type="pct"/>
            <w:shd w:val="clear" w:color="auto" w:fill="auto"/>
            <w:vAlign w:val="center"/>
          </w:tcPr>
          <w:p w14:paraId="0FE67F20"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D33272">
              <w:rPr>
                <w:rFonts w:ascii="Times New Roman" w:eastAsia="Calibri" w:hAnsi="Times New Roman" w:cs="Simplified Arabic"/>
                <w:kern w:val="2"/>
                <w:sz w:val="24"/>
                <w:szCs w:val="24"/>
                <w14:ligatures w14:val="standardContextual"/>
              </w:rPr>
              <w:t>.679**</w:t>
            </w:r>
          </w:p>
        </w:tc>
        <w:tc>
          <w:tcPr>
            <w:tcW w:w="939" w:type="pct"/>
            <w:shd w:val="clear" w:color="auto" w:fill="BFBFBF"/>
            <w:vAlign w:val="center"/>
          </w:tcPr>
          <w:p w14:paraId="18A7A7DF"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75</w:t>
            </w:r>
          </w:p>
        </w:tc>
        <w:tc>
          <w:tcPr>
            <w:tcW w:w="931" w:type="pct"/>
            <w:shd w:val="clear" w:color="auto" w:fill="auto"/>
            <w:vAlign w:val="center"/>
          </w:tcPr>
          <w:p w14:paraId="72DFE728"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sz w:val="24"/>
                <w:szCs w:val="24"/>
              </w:rPr>
            </w:pPr>
            <w:r w:rsidRPr="00D33272">
              <w:rPr>
                <w:rFonts w:ascii="Times New Roman" w:eastAsia="Calibri" w:hAnsi="Times New Roman" w:cs="Simplified Arabic"/>
                <w:kern w:val="2"/>
                <w:sz w:val="24"/>
                <w:szCs w:val="24"/>
                <w14:ligatures w14:val="standardContextual"/>
              </w:rPr>
              <w:t>.777**</w:t>
            </w:r>
          </w:p>
        </w:tc>
      </w:tr>
      <w:tr w:rsidR="000B3939" w:rsidRPr="00D33272" w14:paraId="57683C90" w14:textId="77777777" w:rsidTr="00D33272">
        <w:trPr>
          <w:jc w:val="center"/>
        </w:trPr>
        <w:tc>
          <w:tcPr>
            <w:tcW w:w="566" w:type="pct"/>
            <w:shd w:val="clear" w:color="auto" w:fill="BFBFBF"/>
            <w:vAlign w:val="center"/>
          </w:tcPr>
          <w:p w14:paraId="1979D5E0"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lang w:bidi="ar-EG"/>
              </w:rPr>
            </w:pPr>
            <w:r w:rsidRPr="00D33272">
              <w:rPr>
                <w:rFonts w:ascii="Times New Roman" w:eastAsia="Calibri" w:hAnsi="Times New Roman" w:cs="Simplified Arabic" w:hint="cs"/>
                <w:sz w:val="24"/>
                <w:szCs w:val="24"/>
                <w:rtl/>
                <w:lang w:bidi="ar-EG"/>
              </w:rPr>
              <w:t>76</w:t>
            </w:r>
          </w:p>
        </w:tc>
        <w:tc>
          <w:tcPr>
            <w:tcW w:w="886" w:type="pct"/>
            <w:shd w:val="clear" w:color="auto" w:fill="auto"/>
            <w:vAlign w:val="center"/>
          </w:tcPr>
          <w:p w14:paraId="720EA313"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D33272">
              <w:rPr>
                <w:rFonts w:ascii="Times New Roman" w:eastAsia="Calibri" w:hAnsi="Times New Roman" w:cs="Simplified Arabic"/>
                <w:kern w:val="2"/>
                <w:sz w:val="24"/>
                <w:szCs w:val="24"/>
                <w14:ligatures w14:val="standardContextual"/>
              </w:rPr>
              <w:t>.728**</w:t>
            </w:r>
          </w:p>
        </w:tc>
        <w:tc>
          <w:tcPr>
            <w:tcW w:w="741" w:type="pct"/>
            <w:shd w:val="clear" w:color="auto" w:fill="BFBFBF"/>
            <w:vAlign w:val="center"/>
          </w:tcPr>
          <w:p w14:paraId="369312A7"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77</w:t>
            </w:r>
          </w:p>
        </w:tc>
        <w:tc>
          <w:tcPr>
            <w:tcW w:w="938" w:type="pct"/>
            <w:shd w:val="clear" w:color="auto" w:fill="auto"/>
            <w:vAlign w:val="center"/>
          </w:tcPr>
          <w:p w14:paraId="433F6929"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D33272">
              <w:rPr>
                <w:rFonts w:ascii="Times New Roman" w:eastAsia="Calibri" w:hAnsi="Times New Roman" w:cs="Simplified Arabic"/>
                <w:kern w:val="2"/>
                <w:sz w:val="24"/>
                <w:szCs w:val="24"/>
                <w14:ligatures w14:val="standardContextual"/>
              </w:rPr>
              <w:t>.879**</w:t>
            </w:r>
          </w:p>
        </w:tc>
        <w:tc>
          <w:tcPr>
            <w:tcW w:w="939" w:type="pct"/>
            <w:shd w:val="clear" w:color="auto" w:fill="BFBFBF"/>
            <w:vAlign w:val="center"/>
          </w:tcPr>
          <w:p w14:paraId="72B21139"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78</w:t>
            </w:r>
          </w:p>
        </w:tc>
        <w:tc>
          <w:tcPr>
            <w:tcW w:w="931" w:type="pct"/>
            <w:shd w:val="clear" w:color="auto" w:fill="auto"/>
            <w:vAlign w:val="center"/>
          </w:tcPr>
          <w:p w14:paraId="344BB4EA"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D33272">
              <w:rPr>
                <w:rFonts w:ascii="Times New Roman" w:eastAsia="Calibri" w:hAnsi="Times New Roman" w:cs="Simplified Arabic"/>
                <w:kern w:val="2"/>
                <w:sz w:val="24"/>
                <w:szCs w:val="24"/>
                <w14:ligatures w14:val="standardContextual"/>
              </w:rPr>
              <w:t>.799**</w:t>
            </w:r>
          </w:p>
        </w:tc>
      </w:tr>
      <w:tr w:rsidR="000B3939" w:rsidRPr="00D33272" w14:paraId="0808E5C1" w14:textId="77777777" w:rsidTr="00D33272">
        <w:trPr>
          <w:trHeight w:val="70"/>
          <w:jc w:val="center"/>
        </w:trPr>
        <w:tc>
          <w:tcPr>
            <w:tcW w:w="566" w:type="pct"/>
            <w:shd w:val="clear" w:color="auto" w:fill="BFBFBF"/>
            <w:vAlign w:val="center"/>
          </w:tcPr>
          <w:p w14:paraId="54E84C0F"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79</w:t>
            </w:r>
          </w:p>
        </w:tc>
        <w:tc>
          <w:tcPr>
            <w:tcW w:w="886" w:type="pct"/>
            <w:shd w:val="clear" w:color="auto" w:fill="auto"/>
            <w:vAlign w:val="center"/>
          </w:tcPr>
          <w:p w14:paraId="6EBABCEE"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14:ligatures w14:val="standardContextual"/>
              </w:rPr>
            </w:pPr>
            <w:r w:rsidRPr="00D33272">
              <w:rPr>
                <w:rFonts w:ascii="Times New Roman" w:eastAsia="Calibri" w:hAnsi="Times New Roman" w:cs="Simplified Arabic"/>
                <w:kern w:val="2"/>
                <w:sz w:val="24"/>
                <w:szCs w:val="24"/>
                <w14:ligatures w14:val="standardContextual"/>
              </w:rPr>
              <w:t>.886**</w:t>
            </w:r>
          </w:p>
        </w:tc>
        <w:tc>
          <w:tcPr>
            <w:tcW w:w="741" w:type="pct"/>
            <w:shd w:val="clear" w:color="auto" w:fill="BFBFBF"/>
            <w:vAlign w:val="center"/>
          </w:tcPr>
          <w:p w14:paraId="0CEEDC5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80</w:t>
            </w:r>
          </w:p>
        </w:tc>
        <w:tc>
          <w:tcPr>
            <w:tcW w:w="938" w:type="pct"/>
            <w:shd w:val="clear" w:color="auto" w:fill="auto"/>
            <w:vAlign w:val="center"/>
          </w:tcPr>
          <w:p w14:paraId="4288B6D3"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D33272">
              <w:rPr>
                <w:rFonts w:ascii="Times New Roman" w:eastAsia="Calibri" w:hAnsi="Times New Roman" w:cs="Simplified Arabic"/>
                <w:kern w:val="2"/>
                <w:sz w:val="24"/>
                <w:szCs w:val="24"/>
                <w14:ligatures w14:val="standardContextual"/>
              </w:rPr>
              <w:t>.790**</w:t>
            </w:r>
          </w:p>
        </w:tc>
        <w:tc>
          <w:tcPr>
            <w:tcW w:w="1870" w:type="pct"/>
            <w:gridSpan w:val="2"/>
            <w:shd w:val="clear" w:color="auto" w:fill="BFBFBF"/>
            <w:vAlign w:val="center"/>
          </w:tcPr>
          <w:p w14:paraId="11DA8ABB" w14:textId="77777777" w:rsidR="000B3939" w:rsidRPr="00D33272" w:rsidRDefault="000B3939" w:rsidP="00D33272">
            <w:pPr>
              <w:autoSpaceDE w:val="0"/>
              <w:autoSpaceDN w:val="0"/>
              <w:bidi/>
              <w:adjustRightInd w:val="0"/>
              <w:spacing w:after="0" w:line="240" w:lineRule="auto"/>
              <w:ind w:left="60" w:right="60"/>
              <w:jc w:val="center"/>
              <w:rPr>
                <w:rFonts w:ascii="Times New Roman" w:eastAsia="Calibri" w:hAnsi="Times New Roman" w:cs="Simplified Arabic"/>
                <w:sz w:val="24"/>
                <w:szCs w:val="24"/>
              </w:rPr>
            </w:pPr>
          </w:p>
        </w:tc>
      </w:tr>
    </w:tbl>
    <w:p w14:paraId="5862CAF8" w14:textId="77777777" w:rsidR="000B3939" w:rsidRPr="00BC50C9" w:rsidRDefault="000B3939" w:rsidP="00BC50C9">
      <w:pPr>
        <w:bidi/>
        <w:spacing w:before="120" w:after="120" w:line="240" w:lineRule="auto"/>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دال إحصائياً عند مستوى الدلالة (</w:t>
      </w:r>
      <w:r w:rsidRPr="00BC50C9">
        <w:rPr>
          <w:rFonts w:ascii="Times New Roman" w:eastAsia="Calibri" w:hAnsi="Times New Roman" w:cs="Simplified Arabic"/>
          <w:sz w:val="24"/>
          <w:szCs w:val="28"/>
          <w:lang w:bidi="ar-EG"/>
        </w:rPr>
        <w:t>0.01</w:t>
      </w:r>
      <w:r w:rsidRPr="00BC50C9">
        <w:rPr>
          <w:rFonts w:ascii="Times New Roman" w:eastAsia="Calibri" w:hAnsi="Times New Roman" w:cs="Simplified Arabic"/>
          <w:sz w:val="24"/>
          <w:szCs w:val="28"/>
          <w:rtl/>
          <w:lang w:bidi="ar-EG"/>
        </w:rPr>
        <w:t>)</w:t>
      </w:r>
      <w:r w:rsidRPr="00BC50C9">
        <w:rPr>
          <w:rFonts w:ascii="Times New Roman" w:eastAsia="Calibri" w:hAnsi="Times New Roman" w:cs="Simplified Arabic" w:hint="cs"/>
          <w:sz w:val="24"/>
          <w:szCs w:val="28"/>
          <w:rtl/>
          <w:lang w:bidi="ar-EG"/>
        </w:rPr>
        <w:t>.</w:t>
      </w:r>
    </w:p>
    <w:p w14:paraId="61116C3A" w14:textId="77777777" w:rsidR="000B3939" w:rsidRPr="00BC50C9" w:rsidRDefault="000B3939" w:rsidP="00D33272">
      <w:pPr>
        <w:pStyle w:val="00000"/>
        <w:rPr>
          <w:rtl/>
        </w:rPr>
      </w:pPr>
      <w:r w:rsidRPr="00BC50C9">
        <w:rPr>
          <w:rtl/>
        </w:rPr>
        <w:t xml:space="preserve">يتبين من </w:t>
      </w:r>
      <w:r w:rsidRPr="00BC50C9">
        <w:rPr>
          <w:rFonts w:hint="cs"/>
          <w:rtl/>
        </w:rPr>
        <w:t>ال</w:t>
      </w:r>
      <w:r w:rsidRPr="00BC50C9">
        <w:rPr>
          <w:rtl/>
        </w:rPr>
        <w:t xml:space="preserve">جدول السابق أن معاملات ارتباط العبارات بالدرجة الكلية </w:t>
      </w:r>
      <w:r w:rsidRPr="00BC50C9">
        <w:rPr>
          <w:rFonts w:hint="cs"/>
          <w:rtl/>
        </w:rPr>
        <w:t>للعبارة</w:t>
      </w:r>
      <w:r w:rsidRPr="00BC50C9">
        <w:rPr>
          <w:rtl/>
        </w:rPr>
        <w:t xml:space="preserve"> ال</w:t>
      </w:r>
      <w:r w:rsidRPr="00BC50C9">
        <w:rPr>
          <w:rFonts w:hint="cs"/>
          <w:rtl/>
        </w:rPr>
        <w:t>ذ</w:t>
      </w:r>
      <w:r w:rsidRPr="00BC50C9">
        <w:rPr>
          <w:rtl/>
        </w:rPr>
        <w:t xml:space="preserve">ي تنتمي إليه العبارة </w:t>
      </w:r>
      <w:r w:rsidRPr="00BC50C9">
        <w:rPr>
          <w:rFonts w:hint="cs"/>
          <w:rtl/>
        </w:rPr>
        <w:t xml:space="preserve">في </w:t>
      </w:r>
      <w:r w:rsidRPr="00BC50C9">
        <w:rPr>
          <w:rFonts w:hint="eastAsia"/>
          <w:rtl/>
        </w:rPr>
        <w:t>المحور</w:t>
      </w:r>
      <w:r w:rsidRPr="00BC50C9">
        <w:rPr>
          <w:rtl/>
        </w:rPr>
        <w:t xml:space="preserve"> </w:t>
      </w:r>
      <w:r w:rsidRPr="00BC50C9">
        <w:rPr>
          <w:rFonts w:hint="cs"/>
          <w:rtl/>
        </w:rPr>
        <w:t>الثالث</w:t>
      </w:r>
      <w:r w:rsidRPr="00BC50C9">
        <w:rPr>
          <w:rtl/>
        </w:rPr>
        <w:t>: نجاح المشاريع الريادية جاءت جميعهاً دالة إحصائياً عند مستوى دلالة (</w:t>
      </w:r>
      <w:r w:rsidRPr="00BC50C9">
        <w:t>0.01</w:t>
      </w:r>
      <w:r w:rsidRPr="00BC50C9">
        <w:rPr>
          <w:rtl/>
        </w:rPr>
        <w:t xml:space="preserve">)، وجاءت </w:t>
      </w:r>
      <w:r w:rsidRPr="00BC50C9">
        <w:rPr>
          <w:rtl/>
        </w:rPr>
        <w:lastRenderedPageBreak/>
        <w:t>جميع قيم معاملات الارتباط قيم دالة</w:t>
      </w:r>
      <w:r w:rsidRPr="00BC50C9">
        <w:rPr>
          <w:rFonts w:hint="cs"/>
          <w:rtl/>
        </w:rPr>
        <w:t xml:space="preserve"> </w:t>
      </w:r>
      <w:r w:rsidRPr="00BC50C9">
        <w:rPr>
          <w:rtl/>
        </w:rPr>
        <w:t xml:space="preserve">حيث تراوحت </w:t>
      </w:r>
      <w:r w:rsidRPr="00BC50C9">
        <w:rPr>
          <w:rFonts w:hint="cs"/>
          <w:rtl/>
        </w:rPr>
        <w:t xml:space="preserve">في المحور الثالث </w:t>
      </w:r>
      <w:r w:rsidRPr="00BC50C9">
        <w:rPr>
          <w:rtl/>
        </w:rPr>
        <w:t>بين</w:t>
      </w:r>
      <w:r w:rsidRPr="00BC50C9">
        <w:rPr>
          <w:rFonts w:hint="cs"/>
          <w:rtl/>
        </w:rPr>
        <w:t xml:space="preserve"> (</w:t>
      </w:r>
      <w:r w:rsidRPr="00BC50C9">
        <w:t>.679</w:t>
      </w:r>
      <w:r w:rsidRPr="00BC50C9">
        <w:rPr>
          <w:vertAlign w:val="superscript"/>
        </w:rPr>
        <w:t>**</w:t>
      </w:r>
      <w:r w:rsidRPr="00BC50C9">
        <w:rPr>
          <w:rFonts w:hint="cs"/>
          <w:rtl/>
        </w:rPr>
        <w:t>-</w:t>
      </w:r>
      <w:r w:rsidRPr="00BC50C9">
        <w:t>.886</w:t>
      </w:r>
      <w:r w:rsidRPr="00BC50C9">
        <w:rPr>
          <w:vertAlign w:val="superscript"/>
        </w:rPr>
        <w:t>**</w:t>
      </w:r>
      <w:r w:rsidRPr="00BC50C9">
        <w:rPr>
          <w:rFonts w:hint="cs"/>
          <w:rtl/>
        </w:rPr>
        <w:t>)</w:t>
      </w:r>
      <w:r w:rsidRPr="00BC50C9">
        <w:rPr>
          <w:rtl/>
        </w:rPr>
        <w:t>،</w:t>
      </w:r>
      <w:r w:rsidRPr="00BC50C9">
        <w:rPr>
          <w:rFonts w:hint="cs"/>
          <w:rtl/>
        </w:rPr>
        <w:t xml:space="preserve"> </w:t>
      </w:r>
      <w:r w:rsidRPr="00BC50C9">
        <w:rPr>
          <w:rtl/>
        </w:rPr>
        <w:t xml:space="preserve">مما يدل على توافر درجة عالية من صدق الاتساق الداخلي لعبارات </w:t>
      </w:r>
      <w:r w:rsidRPr="00BC50C9">
        <w:rPr>
          <w:rFonts w:hint="eastAsia"/>
          <w:rtl/>
        </w:rPr>
        <w:t>المحور</w:t>
      </w:r>
      <w:r w:rsidRPr="00BC50C9">
        <w:rPr>
          <w:rtl/>
        </w:rPr>
        <w:t xml:space="preserve"> </w:t>
      </w:r>
      <w:r w:rsidRPr="00BC50C9">
        <w:rPr>
          <w:rFonts w:hint="cs"/>
          <w:rtl/>
        </w:rPr>
        <w:t>الثالث بالاستبانة</w:t>
      </w:r>
      <w:r w:rsidRPr="00BC50C9">
        <w:rPr>
          <w:rtl/>
        </w:rPr>
        <w:t>.</w:t>
      </w:r>
    </w:p>
    <w:p w14:paraId="4C2AC757" w14:textId="0DA439BB" w:rsidR="000B3939" w:rsidRPr="00D33272" w:rsidRDefault="000B3939">
      <w:pPr>
        <w:numPr>
          <w:ilvl w:val="0"/>
          <w:numId w:val="36"/>
        </w:numPr>
        <w:bidi/>
        <w:spacing w:before="120" w:after="120" w:line="240" w:lineRule="auto"/>
        <w:ind w:left="708"/>
        <w:contextualSpacing/>
        <w:jc w:val="both"/>
        <w:rPr>
          <w:rFonts w:ascii="Times New Roman" w:eastAsia="Calibri" w:hAnsi="Times New Roman" w:cs="Simplified Arabic"/>
          <w:b/>
          <w:bCs/>
          <w:sz w:val="24"/>
          <w:szCs w:val="28"/>
          <w:rtl/>
          <w:lang w:bidi="ar-EG"/>
        </w:rPr>
      </w:pPr>
      <w:r w:rsidRPr="00BC50C9">
        <w:rPr>
          <w:rFonts w:ascii="Times New Roman" w:eastAsia="Calibri" w:hAnsi="Times New Roman" w:cs="Simplified Arabic" w:hint="eastAsia"/>
          <w:b/>
          <w:bCs/>
          <w:sz w:val="24"/>
          <w:szCs w:val="28"/>
          <w:rtl/>
          <w:lang w:bidi="ar-EG"/>
        </w:rPr>
        <w:t>ثبات</w:t>
      </w:r>
      <w:r w:rsidRPr="00BC50C9">
        <w:rPr>
          <w:rFonts w:ascii="Times New Roman" w:eastAsia="Calibri" w:hAnsi="Times New Roman" w:cs="Simplified Arabic"/>
          <w:b/>
          <w:bCs/>
          <w:sz w:val="24"/>
          <w:szCs w:val="28"/>
          <w:rtl/>
          <w:lang w:bidi="ar-EG"/>
        </w:rPr>
        <w:t xml:space="preserve"> </w:t>
      </w:r>
      <w:r w:rsidRPr="00BC50C9">
        <w:rPr>
          <w:rFonts w:ascii="Times New Roman" w:eastAsia="Calibri" w:hAnsi="Times New Roman" w:cs="Simplified Arabic" w:hint="cs"/>
          <w:b/>
          <w:bCs/>
          <w:sz w:val="24"/>
          <w:szCs w:val="28"/>
          <w:rtl/>
          <w:lang w:bidi="ar-EG"/>
        </w:rPr>
        <w:t xml:space="preserve">عبارات </w:t>
      </w:r>
      <w:r w:rsidRPr="00BC50C9">
        <w:rPr>
          <w:rFonts w:ascii="Times New Roman" w:eastAsia="Calibri" w:hAnsi="Times New Roman" w:cs="Simplified Arabic"/>
          <w:b/>
          <w:bCs/>
          <w:sz w:val="24"/>
          <w:szCs w:val="28"/>
          <w:rtl/>
          <w:lang w:bidi="ar-EG"/>
        </w:rPr>
        <w:t xml:space="preserve">المحور </w:t>
      </w:r>
      <w:r w:rsidRPr="00BC50C9">
        <w:rPr>
          <w:rFonts w:ascii="Times New Roman" w:eastAsia="Calibri" w:hAnsi="Times New Roman" w:cs="Simplified Arabic" w:hint="eastAsia"/>
          <w:b/>
          <w:bCs/>
          <w:sz w:val="24"/>
          <w:szCs w:val="28"/>
          <w:rtl/>
          <w:lang w:bidi="ar-EG"/>
        </w:rPr>
        <w:t>الثالث</w:t>
      </w:r>
      <w:r w:rsidRPr="00BC50C9">
        <w:rPr>
          <w:rFonts w:ascii="Times New Roman" w:eastAsia="Calibri" w:hAnsi="Times New Roman" w:cs="Simplified Arabic"/>
          <w:b/>
          <w:bCs/>
          <w:sz w:val="24"/>
          <w:szCs w:val="28"/>
          <w:rtl/>
          <w:lang w:bidi="ar-EG"/>
        </w:rPr>
        <w:t>: نجاح المشاريع الريادية</w:t>
      </w:r>
      <w:r w:rsidRPr="00BC50C9">
        <w:rPr>
          <w:rFonts w:ascii="Times New Roman" w:eastAsia="Calibri" w:hAnsi="Times New Roman" w:cs="Simplified Arabic" w:hint="cs"/>
          <w:b/>
          <w:bCs/>
          <w:sz w:val="24"/>
          <w:szCs w:val="28"/>
          <w:rtl/>
          <w:lang w:bidi="ar-EG"/>
        </w:rPr>
        <w:t>:</w:t>
      </w:r>
      <w:r w:rsidR="00D33272">
        <w:rPr>
          <w:rFonts w:ascii="Times New Roman" w:eastAsia="Calibri" w:hAnsi="Times New Roman" w:cs="Simplified Arabic" w:hint="cs"/>
          <w:b/>
          <w:bCs/>
          <w:sz w:val="24"/>
          <w:szCs w:val="28"/>
          <w:rtl/>
          <w:lang w:bidi="ar-EG"/>
        </w:rPr>
        <w:t xml:space="preserve"> </w:t>
      </w:r>
      <w:r w:rsidRPr="00D33272">
        <w:rPr>
          <w:rFonts w:ascii="Times New Roman" w:eastAsia="Calibri" w:hAnsi="Times New Roman" w:cs="Simplified Arabic" w:hint="cs"/>
          <w:kern w:val="2"/>
          <w:sz w:val="24"/>
          <w:szCs w:val="28"/>
          <w:rtl/>
          <w:lang w:bidi="ar-EG"/>
          <w14:ligatures w14:val="standardContextual"/>
        </w:rPr>
        <w:t xml:space="preserve">تم حساب معامل ثبات ألفا </w:t>
      </w:r>
      <w:proofErr w:type="spellStart"/>
      <w:r w:rsidRPr="00D33272">
        <w:rPr>
          <w:rFonts w:ascii="Times New Roman" w:eastAsia="Calibri" w:hAnsi="Times New Roman" w:cs="Simplified Arabic" w:hint="cs"/>
          <w:kern w:val="2"/>
          <w:sz w:val="24"/>
          <w:szCs w:val="28"/>
          <w:rtl/>
          <w:lang w:bidi="ar-EG"/>
          <w14:ligatures w14:val="standardContextual"/>
        </w:rPr>
        <w:t>كرونباخ</w:t>
      </w:r>
      <w:proofErr w:type="spellEnd"/>
      <w:r w:rsidRPr="00D33272">
        <w:rPr>
          <w:rFonts w:ascii="Times New Roman" w:eastAsia="Calibri" w:hAnsi="Times New Roman" w:cs="Simplified Arabic" w:hint="cs"/>
          <w:kern w:val="2"/>
          <w:sz w:val="24"/>
          <w:szCs w:val="28"/>
          <w:rtl/>
          <w:lang w:bidi="ar-EG"/>
          <w14:ligatures w14:val="standardContextual"/>
        </w:rPr>
        <w:t xml:space="preserve"> لأبعاد </w:t>
      </w:r>
      <w:r w:rsidRPr="00D33272">
        <w:rPr>
          <w:rFonts w:ascii="Times New Roman" w:eastAsia="Calibri" w:hAnsi="Times New Roman" w:cs="Simplified Arabic" w:hint="eastAsia"/>
          <w:kern w:val="2"/>
          <w:sz w:val="24"/>
          <w:szCs w:val="28"/>
          <w:rtl/>
          <w:lang w:bidi="ar-EG"/>
          <w14:ligatures w14:val="standardContextual"/>
        </w:rPr>
        <w:t>المحور</w:t>
      </w:r>
      <w:r w:rsidRPr="00D33272">
        <w:rPr>
          <w:rFonts w:ascii="Times New Roman" w:eastAsia="Calibri" w:hAnsi="Times New Roman" w:cs="Simplified Arabic"/>
          <w:kern w:val="2"/>
          <w:sz w:val="24"/>
          <w:szCs w:val="28"/>
          <w:rtl/>
          <w:lang w:bidi="ar-EG"/>
          <w14:ligatures w14:val="standardContextual"/>
        </w:rPr>
        <w:t xml:space="preserve"> </w:t>
      </w:r>
      <w:r w:rsidRPr="00D33272">
        <w:rPr>
          <w:rFonts w:ascii="Times New Roman" w:eastAsia="Calibri" w:hAnsi="Times New Roman" w:cs="Simplified Arabic" w:hint="cs"/>
          <w:kern w:val="2"/>
          <w:sz w:val="24"/>
          <w:szCs w:val="28"/>
          <w:rtl/>
          <w:lang w:bidi="ar-EG"/>
          <w14:ligatures w14:val="standardContextual"/>
        </w:rPr>
        <w:t xml:space="preserve">الثالث: </w:t>
      </w:r>
      <w:r w:rsidRPr="00D33272">
        <w:rPr>
          <w:rFonts w:ascii="Times New Roman" w:eastAsia="Calibri" w:hAnsi="Times New Roman" w:cs="Simplified Arabic"/>
          <w:sz w:val="24"/>
          <w:szCs w:val="28"/>
          <w:rtl/>
        </w:rPr>
        <w:t xml:space="preserve">نجاح المشاريع الريادية </w:t>
      </w:r>
      <w:r w:rsidRPr="00D33272">
        <w:rPr>
          <w:rFonts w:ascii="Times New Roman" w:eastAsia="Calibri" w:hAnsi="Times New Roman" w:cs="Simplified Arabic" w:hint="cs"/>
          <w:kern w:val="2"/>
          <w:sz w:val="24"/>
          <w:szCs w:val="28"/>
          <w:rtl/>
          <w:lang w:bidi="ar-EG"/>
          <w14:ligatures w14:val="standardContextual"/>
        </w:rPr>
        <w:t>والمتوسط العام ل</w:t>
      </w:r>
      <w:r w:rsidRPr="00D33272">
        <w:rPr>
          <w:rFonts w:ascii="Times New Roman" w:eastAsia="Calibri" w:hAnsi="Times New Roman" w:cs="Simplified Arabic" w:hint="eastAsia"/>
          <w:kern w:val="2"/>
          <w:sz w:val="24"/>
          <w:szCs w:val="28"/>
          <w:rtl/>
          <w:lang w:bidi="ar-EG"/>
          <w14:ligatures w14:val="standardContextual"/>
        </w:rPr>
        <w:t>لمحور</w:t>
      </w:r>
      <w:r w:rsidRPr="00D33272">
        <w:rPr>
          <w:rFonts w:ascii="Times New Roman" w:eastAsia="Calibri" w:hAnsi="Times New Roman" w:cs="Simplified Arabic"/>
          <w:kern w:val="2"/>
          <w:sz w:val="24"/>
          <w:szCs w:val="28"/>
          <w:rtl/>
          <w:lang w:bidi="ar-EG"/>
          <w14:ligatures w14:val="standardContextual"/>
        </w:rPr>
        <w:t xml:space="preserve"> </w:t>
      </w:r>
      <w:r w:rsidRPr="00D33272">
        <w:rPr>
          <w:rFonts w:ascii="Times New Roman" w:eastAsia="Calibri" w:hAnsi="Times New Roman" w:cs="Simplified Arabic" w:hint="cs"/>
          <w:kern w:val="2"/>
          <w:sz w:val="24"/>
          <w:szCs w:val="28"/>
          <w:rtl/>
          <w:lang w:bidi="ar-EG"/>
          <w14:ligatures w14:val="standardContextual"/>
        </w:rPr>
        <w:t xml:space="preserve">الثالث بالاستبانة </w:t>
      </w:r>
      <w:r w:rsidRPr="00D33272">
        <w:rPr>
          <w:rFonts w:ascii="Times New Roman" w:eastAsia="Calibri" w:hAnsi="Times New Roman" w:cs="Simplified Arabic"/>
          <w:kern w:val="2"/>
          <w:sz w:val="24"/>
          <w:szCs w:val="28"/>
          <w:rtl/>
          <w:lang w:bidi="ar-EG"/>
          <w14:ligatures w14:val="standardContextual"/>
        </w:rPr>
        <w:t>ويوضح نتائجها الجدول التالي:</w:t>
      </w:r>
    </w:p>
    <w:p w14:paraId="202E4261" w14:textId="77777777" w:rsidR="000B3939" w:rsidRPr="00BC50C9" w:rsidRDefault="000B3939" w:rsidP="00D33272">
      <w:pPr>
        <w:pStyle w:val="33333"/>
        <w:rPr>
          <w:rtl/>
        </w:rPr>
      </w:pPr>
      <w:bookmarkStart w:id="96" w:name="_Toc170412853"/>
      <w:bookmarkStart w:id="97" w:name="_Toc195456545"/>
      <w:r w:rsidRPr="00BC50C9">
        <w:rPr>
          <w:rFonts w:hint="cs"/>
          <w:rtl/>
        </w:rPr>
        <w:t>ال</w:t>
      </w:r>
      <w:r w:rsidRPr="00BC50C9">
        <w:rPr>
          <w:rtl/>
        </w:rPr>
        <w:t>جدول</w:t>
      </w:r>
      <w:r w:rsidRPr="00BC50C9">
        <w:rPr>
          <w:rFonts w:hint="cs"/>
          <w:rtl/>
        </w:rPr>
        <w:t xml:space="preserve"> رقم</w:t>
      </w:r>
      <w:r w:rsidRPr="00BC50C9">
        <w:rPr>
          <w:rtl/>
        </w:rPr>
        <w:t xml:space="preserve"> (</w:t>
      </w:r>
      <w:r w:rsidRPr="00BC50C9">
        <w:rPr>
          <w:rFonts w:hint="cs"/>
          <w:rtl/>
        </w:rPr>
        <w:t>3-8</w:t>
      </w:r>
      <w:r w:rsidRPr="00BC50C9">
        <w:rPr>
          <w:rtl/>
        </w:rPr>
        <w:t xml:space="preserve">) معامل ثبات ألفا </w:t>
      </w:r>
      <w:proofErr w:type="spellStart"/>
      <w:r w:rsidRPr="00BC50C9">
        <w:rPr>
          <w:rtl/>
        </w:rPr>
        <w:t>كرونباخ</w:t>
      </w:r>
      <w:proofErr w:type="spellEnd"/>
      <w:r w:rsidRPr="00BC50C9">
        <w:rPr>
          <w:rtl/>
        </w:rPr>
        <w:t xml:space="preserve"> </w:t>
      </w:r>
      <w:r w:rsidRPr="00BC50C9">
        <w:rPr>
          <w:rFonts w:hint="cs"/>
          <w:rtl/>
        </w:rPr>
        <w:t>لعبارات المحور الثالث</w:t>
      </w:r>
      <w:r w:rsidRPr="00BC50C9">
        <w:rPr>
          <w:rtl/>
        </w:rPr>
        <w:t xml:space="preserve"> </w:t>
      </w:r>
      <w:r w:rsidRPr="00BC50C9">
        <w:rPr>
          <w:rFonts w:hint="cs"/>
          <w:rtl/>
        </w:rPr>
        <w:t>والمتوسط العام ل</w:t>
      </w:r>
      <w:r w:rsidRPr="00BC50C9">
        <w:rPr>
          <w:rFonts w:hint="eastAsia"/>
          <w:rtl/>
        </w:rPr>
        <w:t>لمحور</w:t>
      </w:r>
      <w:r w:rsidRPr="00BC50C9">
        <w:rPr>
          <w:rtl/>
        </w:rPr>
        <w:t xml:space="preserve"> </w:t>
      </w:r>
      <w:r w:rsidRPr="00BC50C9">
        <w:rPr>
          <w:rFonts w:hint="cs"/>
          <w:rtl/>
        </w:rPr>
        <w:t>الثالث ب</w:t>
      </w:r>
      <w:r w:rsidRPr="00BC50C9">
        <w:rPr>
          <w:rtl/>
        </w:rPr>
        <w:t>الاستبانة</w:t>
      </w:r>
      <w:bookmarkEnd w:id="96"/>
      <w:bookmarkEnd w:id="97"/>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6110"/>
        <w:gridCol w:w="2352"/>
      </w:tblGrid>
      <w:tr w:rsidR="000B3939" w:rsidRPr="00D33272" w14:paraId="1517DFED" w14:textId="77777777" w:rsidTr="00D33272">
        <w:trPr>
          <w:jc w:val="center"/>
        </w:trPr>
        <w:tc>
          <w:tcPr>
            <w:tcW w:w="33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9B53AB0"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b/>
                <w:bCs/>
                <w:sz w:val="24"/>
                <w:szCs w:val="24"/>
                <w:rtl/>
              </w:rPr>
              <w:t>م</w:t>
            </w:r>
          </w:p>
        </w:tc>
        <w:tc>
          <w:tcPr>
            <w:tcW w:w="337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2899354D"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hint="cs"/>
                <w:b/>
                <w:bCs/>
                <w:sz w:val="24"/>
                <w:szCs w:val="24"/>
                <w:rtl/>
              </w:rPr>
              <w:t>عبارات</w:t>
            </w:r>
            <w:r w:rsidRPr="00D33272">
              <w:rPr>
                <w:rFonts w:ascii="Times New Roman" w:eastAsia="Calibri" w:hAnsi="Times New Roman" w:cs="Simplified Arabic"/>
                <w:b/>
                <w:bCs/>
                <w:sz w:val="24"/>
                <w:szCs w:val="24"/>
                <w:rtl/>
              </w:rPr>
              <w:t xml:space="preserve"> </w:t>
            </w:r>
            <w:r w:rsidRPr="00D33272">
              <w:rPr>
                <w:rFonts w:ascii="Times New Roman" w:eastAsia="Calibri" w:hAnsi="Times New Roman" w:cs="Simplified Arabic" w:hint="eastAsia"/>
                <w:b/>
                <w:bCs/>
                <w:sz w:val="24"/>
                <w:szCs w:val="24"/>
                <w:rtl/>
              </w:rPr>
              <w:t>المحور</w:t>
            </w:r>
            <w:r w:rsidRPr="00D33272">
              <w:rPr>
                <w:rFonts w:ascii="Times New Roman" w:eastAsia="Calibri" w:hAnsi="Times New Roman" w:cs="Simplified Arabic"/>
                <w:b/>
                <w:bCs/>
                <w:sz w:val="24"/>
                <w:szCs w:val="24"/>
                <w:rtl/>
              </w:rPr>
              <w:t xml:space="preserve"> </w:t>
            </w:r>
            <w:r w:rsidRPr="00D33272">
              <w:rPr>
                <w:rFonts w:ascii="Times New Roman" w:eastAsia="Calibri" w:hAnsi="Times New Roman" w:cs="Simplified Arabic" w:hint="eastAsia"/>
                <w:b/>
                <w:bCs/>
                <w:sz w:val="24"/>
                <w:szCs w:val="24"/>
                <w:rtl/>
              </w:rPr>
              <w:t>الثالث</w:t>
            </w:r>
          </w:p>
        </w:tc>
        <w:tc>
          <w:tcPr>
            <w:tcW w:w="129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89E89C4"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b/>
                <w:bCs/>
                <w:sz w:val="24"/>
                <w:szCs w:val="24"/>
                <w:rtl/>
              </w:rPr>
            </w:pPr>
            <w:r w:rsidRPr="00D33272">
              <w:rPr>
                <w:rFonts w:ascii="Times New Roman" w:eastAsia="Calibri" w:hAnsi="Times New Roman" w:cs="Simplified Arabic" w:hint="eastAsia"/>
                <w:b/>
                <w:bCs/>
                <w:sz w:val="24"/>
                <w:szCs w:val="24"/>
                <w:rtl/>
              </w:rPr>
              <w:t>ألفا</w:t>
            </w:r>
            <w:r w:rsidRPr="00D33272">
              <w:rPr>
                <w:rFonts w:ascii="Times New Roman" w:eastAsia="Calibri" w:hAnsi="Times New Roman" w:cs="Simplified Arabic"/>
                <w:b/>
                <w:bCs/>
                <w:sz w:val="24"/>
                <w:szCs w:val="24"/>
                <w:rtl/>
              </w:rPr>
              <w:t xml:space="preserve"> </w:t>
            </w:r>
            <w:proofErr w:type="spellStart"/>
            <w:r w:rsidRPr="00D33272">
              <w:rPr>
                <w:rFonts w:ascii="Times New Roman" w:eastAsia="Calibri" w:hAnsi="Times New Roman" w:cs="Simplified Arabic" w:hint="eastAsia"/>
                <w:b/>
                <w:bCs/>
                <w:sz w:val="24"/>
                <w:szCs w:val="24"/>
                <w:rtl/>
              </w:rPr>
              <w:t>كرونباخ</w:t>
            </w:r>
            <w:proofErr w:type="spellEnd"/>
          </w:p>
        </w:tc>
      </w:tr>
      <w:tr w:rsidR="000B3939" w:rsidRPr="00D33272" w14:paraId="666EF057"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4FF631A8"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33</w:t>
            </w:r>
          </w:p>
        </w:tc>
        <w:tc>
          <w:tcPr>
            <w:tcW w:w="3371" w:type="pct"/>
            <w:tcBorders>
              <w:top w:val="single" w:sz="4" w:space="0" w:color="000000"/>
              <w:left w:val="single" w:sz="4" w:space="0" w:color="000000"/>
              <w:right w:val="single" w:sz="4" w:space="0" w:color="000000"/>
            </w:tcBorders>
          </w:tcPr>
          <w:p w14:paraId="32DBDA77"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يُعتبر التمويل التشاركي أحد العوامل الأساسية لنجاح المشاريع الريادية</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3758D84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.941</w:t>
            </w:r>
          </w:p>
        </w:tc>
      </w:tr>
      <w:tr w:rsidR="000B3939" w:rsidRPr="00D33272" w14:paraId="556CF69D"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490728CC"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34</w:t>
            </w:r>
          </w:p>
        </w:tc>
        <w:tc>
          <w:tcPr>
            <w:tcW w:w="3371" w:type="pct"/>
            <w:tcBorders>
              <w:top w:val="single" w:sz="4" w:space="0" w:color="000000"/>
              <w:left w:val="single" w:sz="4" w:space="0" w:color="000000"/>
              <w:right w:val="single" w:sz="4" w:space="0" w:color="000000"/>
            </w:tcBorders>
          </w:tcPr>
          <w:p w14:paraId="32B5093B"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تُساهم المنصات الإلكترونية في تسهيل الوصول إلى التمويل وتعزيز فرص نجاح المشاريع</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662FDE38"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.941</w:t>
            </w:r>
          </w:p>
        </w:tc>
      </w:tr>
      <w:tr w:rsidR="000B3939" w:rsidRPr="00D33272" w14:paraId="11F876FF"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503DD0E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35</w:t>
            </w:r>
          </w:p>
        </w:tc>
        <w:tc>
          <w:tcPr>
            <w:tcW w:w="3371" w:type="pct"/>
            <w:tcBorders>
              <w:top w:val="single" w:sz="4" w:space="0" w:color="000000"/>
              <w:left w:val="single" w:sz="4" w:space="0" w:color="000000"/>
              <w:right w:val="single" w:sz="4" w:space="0" w:color="000000"/>
            </w:tcBorders>
          </w:tcPr>
          <w:p w14:paraId="6E8529E0"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تُعد الاستثمارات المتنوعة عاملًا مساعدًا في استمرارية المشاريع الريادية</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05A47A67"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.934</w:t>
            </w:r>
          </w:p>
        </w:tc>
      </w:tr>
      <w:tr w:rsidR="000B3939" w:rsidRPr="00D33272" w14:paraId="03EB6EFE"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03F9C33F"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36</w:t>
            </w:r>
          </w:p>
        </w:tc>
        <w:tc>
          <w:tcPr>
            <w:tcW w:w="3371" w:type="pct"/>
            <w:tcBorders>
              <w:top w:val="single" w:sz="4" w:space="0" w:color="000000"/>
              <w:left w:val="single" w:sz="4" w:space="0" w:color="000000"/>
              <w:right w:val="single" w:sz="4" w:space="0" w:color="000000"/>
            </w:tcBorders>
          </w:tcPr>
          <w:p w14:paraId="1FC3FA9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يُساعد الدعم المجتمعي عبر التمويل التشاركي في بناء سمعة قوية للمشاريع الناشئة</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3C7231C0"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.967</w:t>
            </w:r>
          </w:p>
        </w:tc>
      </w:tr>
      <w:tr w:rsidR="000B3939" w:rsidRPr="00D33272" w14:paraId="66B682BA"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7A0DAA63"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37</w:t>
            </w:r>
          </w:p>
        </w:tc>
        <w:tc>
          <w:tcPr>
            <w:tcW w:w="3371" w:type="pct"/>
            <w:tcBorders>
              <w:top w:val="single" w:sz="4" w:space="0" w:color="000000"/>
              <w:left w:val="single" w:sz="4" w:space="0" w:color="000000"/>
              <w:right w:val="single" w:sz="4" w:space="0" w:color="000000"/>
            </w:tcBorders>
          </w:tcPr>
          <w:p w14:paraId="794E86EE"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تَزيد فرص نجاح المشاريع عند توفر خطط واضحة لإدارة التمويل التشاركي</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549B591D"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.941</w:t>
            </w:r>
          </w:p>
        </w:tc>
      </w:tr>
      <w:tr w:rsidR="000B3939" w:rsidRPr="00D33272" w14:paraId="6CDC6232"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02C20792"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38</w:t>
            </w:r>
          </w:p>
        </w:tc>
        <w:tc>
          <w:tcPr>
            <w:tcW w:w="3371" w:type="pct"/>
            <w:tcBorders>
              <w:top w:val="single" w:sz="4" w:space="0" w:color="000000"/>
              <w:left w:val="single" w:sz="4" w:space="0" w:color="000000"/>
              <w:right w:val="single" w:sz="4" w:space="0" w:color="000000"/>
            </w:tcBorders>
          </w:tcPr>
          <w:p w14:paraId="68A91207"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يُساعد التمويل التشاركي على توسيع نطاق المشاريع الريادية في السوق السعودي</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392573E8"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.960</w:t>
            </w:r>
          </w:p>
        </w:tc>
      </w:tr>
      <w:tr w:rsidR="000B3939" w:rsidRPr="00D33272" w14:paraId="3417F082"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5DB00CFA"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39</w:t>
            </w:r>
          </w:p>
        </w:tc>
        <w:tc>
          <w:tcPr>
            <w:tcW w:w="3371" w:type="pct"/>
            <w:tcBorders>
              <w:top w:val="single" w:sz="4" w:space="0" w:color="000000"/>
              <w:left w:val="single" w:sz="4" w:space="0" w:color="000000"/>
              <w:right w:val="single" w:sz="4" w:space="0" w:color="000000"/>
            </w:tcBorders>
          </w:tcPr>
          <w:p w14:paraId="45EEB38D"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تَساهم الاستراتيجيات التسويقية الفعالة في تحسين فرص المشاريع لجذب التمويل والدعم</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716B152A"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.865</w:t>
            </w:r>
          </w:p>
        </w:tc>
      </w:tr>
      <w:tr w:rsidR="000B3939" w:rsidRPr="00D33272" w14:paraId="0AF9932A" w14:textId="77777777" w:rsidTr="00D33272">
        <w:trPr>
          <w:jc w:val="center"/>
        </w:trPr>
        <w:tc>
          <w:tcPr>
            <w:tcW w:w="331" w:type="pct"/>
            <w:tcBorders>
              <w:top w:val="single" w:sz="4" w:space="0" w:color="000000"/>
              <w:left w:val="single" w:sz="4" w:space="0" w:color="000000"/>
              <w:right w:val="single" w:sz="4" w:space="0" w:color="000000"/>
            </w:tcBorders>
            <w:shd w:val="clear" w:color="auto" w:fill="auto"/>
            <w:vAlign w:val="center"/>
          </w:tcPr>
          <w:p w14:paraId="157275A2"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hint="cs"/>
                <w:sz w:val="24"/>
                <w:szCs w:val="24"/>
                <w:rtl/>
              </w:rPr>
              <w:t>40</w:t>
            </w:r>
          </w:p>
        </w:tc>
        <w:tc>
          <w:tcPr>
            <w:tcW w:w="3371" w:type="pct"/>
            <w:tcBorders>
              <w:top w:val="single" w:sz="4" w:space="0" w:color="000000"/>
              <w:left w:val="single" w:sz="4" w:space="0" w:color="000000"/>
              <w:right w:val="single" w:sz="4" w:space="0" w:color="000000"/>
            </w:tcBorders>
          </w:tcPr>
          <w:p w14:paraId="6317897D"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tl/>
              </w:rPr>
            </w:pPr>
            <w:r w:rsidRPr="00D33272">
              <w:rPr>
                <w:rFonts w:ascii="Times New Roman" w:eastAsia="Calibri" w:hAnsi="Times New Roman" w:cs="Simplified Arabic"/>
                <w:sz w:val="24"/>
                <w:szCs w:val="24"/>
                <w:rtl/>
              </w:rPr>
              <w:t>تُعتبر البيئة القانونية والتنظيمية من العوامل المؤثرة في نجاح المشاريع المدعومة بالتمويل التشاركي</w:t>
            </w:r>
            <w:r w:rsidRPr="00D33272">
              <w:rPr>
                <w:rFonts w:ascii="Times New Roman" w:eastAsia="Calibri" w:hAnsi="Times New Roman" w:cs="Simplified Arabic"/>
                <w:sz w:val="24"/>
                <w:szCs w:val="24"/>
              </w:rPr>
              <w:t>.</w:t>
            </w:r>
          </w:p>
        </w:tc>
        <w:tc>
          <w:tcPr>
            <w:tcW w:w="1299" w:type="pct"/>
            <w:tcBorders>
              <w:top w:val="single" w:sz="4" w:space="0" w:color="000000"/>
              <w:left w:val="single" w:sz="4" w:space="0" w:color="000000"/>
              <w:bottom w:val="single" w:sz="4" w:space="0" w:color="auto"/>
              <w:right w:val="single" w:sz="4" w:space="0" w:color="000000"/>
            </w:tcBorders>
            <w:vAlign w:val="center"/>
          </w:tcPr>
          <w:p w14:paraId="19025EBF"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.809</w:t>
            </w:r>
          </w:p>
        </w:tc>
      </w:tr>
      <w:tr w:rsidR="000B3939" w:rsidRPr="00D33272" w14:paraId="73423716" w14:textId="77777777" w:rsidTr="00D33272">
        <w:trPr>
          <w:jc w:val="center"/>
        </w:trPr>
        <w:tc>
          <w:tcPr>
            <w:tcW w:w="3701" w:type="pct"/>
            <w:gridSpan w:val="2"/>
            <w:tcBorders>
              <w:top w:val="single" w:sz="4" w:space="0" w:color="000000"/>
              <w:left w:val="single" w:sz="4" w:space="0" w:color="000000"/>
              <w:right w:val="single" w:sz="4" w:space="0" w:color="000000"/>
            </w:tcBorders>
            <w:shd w:val="clear" w:color="auto" w:fill="auto"/>
            <w:vAlign w:val="center"/>
          </w:tcPr>
          <w:p w14:paraId="238F7A91"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hint="eastAsia"/>
                <w:sz w:val="24"/>
                <w:szCs w:val="24"/>
                <w:rtl/>
              </w:rPr>
              <w:t>المتوسط</w:t>
            </w:r>
            <w:r w:rsidRPr="00D33272">
              <w:rPr>
                <w:rFonts w:ascii="Times New Roman" w:eastAsia="Calibri" w:hAnsi="Times New Roman" w:cs="Simplified Arabic"/>
                <w:sz w:val="24"/>
                <w:szCs w:val="24"/>
                <w:rtl/>
              </w:rPr>
              <w:t xml:space="preserve"> </w:t>
            </w:r>
            <w:r w:rsidRPr="00D33272">
              <w:rPr>
                <w:rFonts w:ascii="Times New Roman" w:eastAsia="Calibri" w:hAnsi="Times New Roman" w:cs="Simplified Arabic" w:hint="eastAsia"/>
                <w:sz w:val="24"/>
                <w:szCs w:val="24"/>
                <w:rtl/>
              </w:rPr>
              <w:t>العام</w:t>
            </w:r>
          </w:p>
        </w:tc>
        <w:tc>
          <w:tcPr>
            <w:tcW w:w="1299" w:type="pct"/>
            <w:tcBorders>
              <w:top w:val="single" w:sz="4" w:space="0" w:color="000000"/>
              <w:left w:val="single" w:sz="4" w:space="0" w:color="000000"/>
              <w:bottom w:val="single" w:sz="4" w:space="0" w:color="auto"/>
              <w:right w:val="single" w:sz="4" w:space="0" w:color="000000"/>
            </w:tcBorders>
            <w:shd w:val="clear" w:color="auto" w:fill="auto"/>
            <w:vAlign w:val="center"/>
          </w:tcPr>
          <w:p w14:paraId="525DCB04" w14:textId="77777777" w:rsidR="000B3939" w:rsidRPr="00D33272" w:rsidRDefault="000B3939" w:rsidP="00D33272">
            <w:pPr>
              <w:autoSpaceDE w:val="0"/>
              <w:autoSpaceDN w:val="0"/>
              <w:bidi/>
              <w:adjustRightInd w:val="0"/>
              <w:spacing w:after="0" w:line="240" w:lineRule="auto"/>
              <w:jc w:val="center"/>
              <w:rPr>
                <w:rFonts w:ascii="Times New Roman" w:eastAsia="Calibri" w:hAnsi="Times New Roman" w:cs="Simplified Arabic"/>
                <w:sz w:val="24"/>
                <w:szCs w:val="24"/>
              </w:rPr>
            </w:pPr>
            <w:r w:rsidRPr="00D33272">
              <w:rPr>
                <w:rFonts w:ascii="Times New Roman" w:eastAsia="Calibri" w:hAnsi="Times New Roman" w:cs="Simplified Arabic"/>
                <w:sz w:val="24"/>
                <w:szCs w:val="24"/>
              </w:rPr>
              <w:t>.957</w:t>
            </w:r>
          </w:p>
        </w:tc>
      </w:tr>
    </w:tbl>
    <w:p w14:paraId="4E4830A4" w14:textId="77777777" w:rsidR="000B3939" w:rsidRPr="00BC50C9" w:rsidRDefault="000B3939" w:rsidP="00D33272">
      <w:pPr>
        <w:pStyle w:val="00000"/>
        <w:rPr>
          <w:rtl/>
        </w:rPr>
      </w:pPr>
      <w:r w:rsidRPr="00BC50C9">
        <w:rPr>
          <w:rFonts w:hint="cs"/>
          <w:rtl/>
        </w:rPr>
        <w:t>يتبين</w:t>
      </w:r>
      <w:r w:rsidRPr="00BC50C9">
        <w:rPr>
          <w:rtl/>
        </w:rPr>
        <w:t xml:space="preserve"> من الجدول السابق أن قيم معاملات الثبات </w:t>
      </w:r>
      <w:r w:rsidRPr="00BC50C9">
        <w:rPr>
          <w:rFonts w:hint="cs"/>
          <w:rtl/>
        </w:rPr>
        <w:t xml:space="preserve">لعبارات </w:t>
      </w:r>
      <w:r w:rsidRPr="00BC50C9">
        <w:rPr>
          <w:rFonts w:hint="eastAsia"/>
          <w:rtl/>
        </w:rPr>
        <w:t>المحور</w:t>
      </w:r>
      <w:r w:rsidRPr="00BC50C9">
        <w:rPr>
          <w:rtl/>
        </w:rPr>
        <w:t xml:space="preserve"> </w:t>
      </w:r>
      <w:r w:rsidRPr="00BC50C9">
        <w:rPr>
          <w:rFonts w:hint="cs"/>
          <w:rtl/>
        </w:rPr>
        <w:t xml:space="preserve">الثالث: نجاح المشاريع الريادية </w:t>
      </w:r>
      <w:r w:rsidRPr="00BC50C9">
        <w:rPr>
          <w:rtl/>
        </w:rPr>
        <w:t xml:space="preserve">جاءت بقيم </w:t>
      </w:r>
      <w:r w:rsidRPr="00BC50C9">
        <w:rPr>
          <w:rFonts w:hint="cs"/>
          <w:rtl/>
        </w:rPr>
        <w:t xml:space="preserve">عالية؛ </w:t>
      </w:r>
      <w:r w:rsidRPr="00BC50C9">
        <w:rPr>
          <w:rtl/>
        </w:rPr>
        <w:t>حيث تراوحت قيم معاملات الثبات</w:t>
      </w:r>
      <w:r w:rsidRPr="00BC50C9">
        <w:rPr>
          <w:rFonts w:hint="cs"/>
          <w:rtl/>
        </w:rPr>
        <w:t xml:space="preserve"> لعبارات</w:t>
      </w:r>
      <w:r w:rsidRPr="00BC50C9">
        <w:rPr>
          <w:rtl/>
        </w:rPr>
        <w:t xml:space="preserve"> </w:t>
      </w:r>
      <w:r w:rsidRPr="00BC50C9">
        <w:rPr>
          <w:rFonts w:hint="eastAsia"/>
          <w:rtl/>
        </w:rPr>
        <w:t>المحور</w:t>
      </w:r>
      <w:r w:rsidRPr="00BC50C9">
        <w:rPr>
          <w:rtl/>
        </w:rPr>
        <w:t xml:space="preserve"> </w:t>
      </w:r>
      <w:r w:rsidRPr="00BC50C9">
        <w:rPr>
          <w:rFonts w:hint="cs"/>
          <w:rtl/>
        </w:rPr>
        <w:t>الثالث بين</w:t>
      </w:r>
      <w:r w:rsidRPr="00BC50C9">
        <w:rPr>
          <w:rtl/>
        </w:rPr>
        <w:t xml:space="preserve"> </w:t>
      </w:r>
      <w:r w:rsidRPr="00BC50C9">
        <w:rPr>
          <w:rFonts w:hint="cs"/>
          <w:rtl/>
        </w:rPr>
        <w:t>(</w:t>
      </w:r>
      <w:r w:rsidRPr="00BC50C9">
        <w:t>.809</w:t>
      </w:r>
      <w:r w:rsidRPr="00BC50C9">
        <w:rPr>
          <w:rFonts w:hint="cs"/>
          <w:rtl/>
        </w:rPr>
        <w:t>-</w:t>
      </w:r>
      <w:r w:rsidRPr="00BC50C9">
        <w:t>.967</w:t>
      </w:r>
      <w:r w:rsidRPr="00BC50C9">
        <w:rPr>
          <w:rFonts w:hint="cs"/>
          <w:rtl/>
        </w:rPr>
        <w:t xml:space="preserve">)، </w:t>
      </w:r>
      <w:r w:rsidRPr="00BC50C9">
        <w:rPr>
          <w:rtl/>
        </w:rPr>
        <w:t xml:space="preserve">وبلغت قيمة معامل الثبات الكلي </w:t>
      </w:r>
      <w:r w:rsidRPr="00BC50C9">
        <w:rPr>
          <w:rFonts w:hint="cs"/>
          <w:rtl/>
        </w:rPr>
        <w:t>لعبارات</w:t>
      </w:r>
      <w:r w:rsidRPr="00BC50C9">
        <w:rPr>
          <w:rtl/>
        </w:rPr>
        <w:t xml:space="preserve"> </w:t>
      </w:r>
      <w:r w:rsidRPr="00BC50C9">
        <w:rPr>
          <w:rFonts w:hint="eastAsia"/>
          <w:rtl/>
        </w:rPr>
        <w:t>المحور</w:t>
      </w:r>
      <w:r w:rsidRPr="00BC50C9">
        <w:rPr>
          <w:rtl/>
        </w:rPr>
        <w:t xml:space="preserve"> </w:t>
      </w:r>
      <w:r w:rsidRPr="00BC50C9">
        <w:rPr>
          <w:rFonts w:hint="cs"/>
          <w:rtl/>
        </w:rPr>
        <w:t>الثالث:</w:t>
      </w:r>
      <w:r w:rsidRPr="00BC50C9">
        <w:rPr>
          <w:rFonts w:hint="eastAsia"/>
          <w:rtl/>
        </w:rPr>
        <w:t xml:space="preserve"> </w:t>
      </w:r>
      <w:r w:rsidRPr="00BC50C9">
        <w:rPr>
          <w:rFonts w:hint="cs"/>
          <w:rtl/>
        </w:rPr>
        <w:t>نجاح المشاريع الريادية (</w:t>
      </w:r>
      <w:r w:rsidRPr="00BC50C9">
        <w:t>.957</w:t>
      </w:r>
      <w:r w:rsidRPr="00BC50C9">
        <w:rPr>
          <w:rFonts w:hint="cs"/>
          <w:rtl/>
        </w:rPr>
        <w:t>)</w:t>
      </w:r>
      <w:r w:rsidRPr="00BC50C9">
        <w:rPr>
          <w:rtl/>
        </w:rPr>
        <w:t>؛ وتشير هذه القيم من معاملات الثبات إلى صلاحية الاستبانة للتطبيق وإمكانية الاعتماد على نتائجها والوثوق بها.</w:t>
      </w:r>
    </w:p>
    <w:p w14:paraId="427EE1EA" w14:textId="560F64B4" w:rsidR="000B3939" w:rsidRPr="00BC50C9" w:rsidRDefault="00D33272" w:rsidP="00BC50C9">
      <w:pPr>
        <w:bidi/>
        <w:spacing w:before="120" w:after="120" w:line="240" w:lineRule="auto"/>
        <w:jc w:val="both"/>
        <w:outlineLvl w:val="1"/>
        <w:rPr>
          <w:rFonts w:ascii="Times New Roman" w:eastAsia="Calibri" w:hAnsi="Times New Roman" w:cs="Simplified Arabic"/>
          <w:b/>
          <w:bCs/>
          <w:sz w:val="24"/>
          <w:szCs w:val="28"/>
          <w:rtl/>
          <w:lang w:bidi="ar-EG"/>
        </w:rPr>
      </w:pPr>
      <w:bookmarkStart w:id="98" w:name="_Toc170412856"/>
      <w:bookmarkStart w:id="99" w:name="_Toc195456546"/>
      <w:r>
        <w:rPr>
          <w:rFonts w:ascii="Times New Roman" w:eastAsia="Calibri" w:hAnsi="Times New Roman" w:cs="Simplified Arabic" w:hint="cs"/>
          <w:b/>
          <w:bCs/>
          <w:sz w:val="24"/>
          <w:szCs w:val="28"/>
          <w:rtl/>
          <w:lang w:bidi="ar-EG"/>
        </w:rPr>
        <w:t xml:space="preserve">5.3 </w:t>
      </w:r>
      <w:r w:rsidR="000B3939" w:rsidRPr="00BC50C9">
        <w:rPr>
          <w:rFonts w:ascii="Times New Roman" w:eastAsia="Calibri" w:hAnsi="Times New Roman" w:cs="Simplified Arabic"/>
          <w:b/>
          <w:bCs/>
          <w:sz w:val="24"/>
          <w:szCs w:val="28"/>
          <w:rtl/>
          <w:lang w:bidi="ar-EG"/>
        </w:rPr>
        <w:t>الأساليب الإحصائية:</w:t>
      </w:r>
      <w:bookmarkEnd w:id="98"/>
      <w:bookmarkEnd w:id="99"/>
      <w:r w:rsidR="000B3939" w:rsidRPr="00BC50C9">
        <w:rPr>
          <w:rFonts w:ascii="Times New Roman" w:eastAsia="Calibri" w:hAnsi="Times New Roman" w:cs="Simplified Arabic"/>
          <w:b/>
          <w:bCs/>
          <w:sz w:val="24"/>
          <w:szCs w:val="28"/>
          <w:rtl/>
          <w:lang w:bidi="ar-EG"/>
        </w:rPr>
        <w:t xml:space="preserve"> </w:t>
      </w:r>
    </w:p>
    <w:p w14:paraId="18AD9BC9" w14:textId="77777777" w:rsidR="000B3939" w:rsidRPr="00BC50C9" w:rsidRDefault="000B3939" w:rsidP="00D33272">
      <w:pPr>
        <w:pStyle w:val="00000"/>
        <w:rPr>
          <w:rtl/>
        </w:rPr>
      </w:pPr>
      <w:r w:rsidRPr="00BC50C9">
        <w:rPr>
          <w:rtl/>
        </w:rPr>
        <w:t>بناء</w:t>
      </w:r>
      <w:r w:rsidRPr="00BC50C9">
        <w:rPr>
          <w:rFonts w:hint="cs"/>
          <w:rtl/>
        </w:rPr>
        <w:t>ً</w:t>
      </w:r>
      <w:r w:rsidRPr="00BC50C9">
        <w:rPr>
          <w:rtl/>
        </w:rPr>
        <w:t xml:space="preserve"> على طبيعة الدراسة والأهداف التي </w:t>
      </w:r>
      <w:r w:rsidRPr="00BC50C9">
        <w:rPr>
          <w:rFonts w:hint="cs"/>
          <w:rtl/>
        </w:rPr>
        <w:t>سعت</w:t>
      </w:r>
      <w:r w:rsidRPr="00BC50C9">
        <w:rPr>
          <w:rtl/>
        </w:rPr>
        <w:t xml:space="preserve"> </w:t>
      </w:r>
      <w:r w:rsidRPr="00BC50C9">
        <w:rPr>
          <w:rFonts w:hint="cs"/>
          <w:rtl/>
        </w:rPr>
        <w:t xml:space="preserve">الباحث </w:t>
      </w:r>
      <w:r w:rsidRPr="00BC50C9">
        <w:rPr>
          <w:rtl/>
        </w:rPr>
        <w:t>إلى تحقيقها، تم تحليل البيانات باستخدام برنامج الحزمة الإحصائية للعلوم الاجتماعية (</w:t>
      </w:r>
      <w:r w:rsidRPr="00BC50C9">
        <w:t>SPSS</w:t>
      </w:r>
      <w:r w:rsidRPr="00BC50C9">
        <w:rPr>
          <w:rtl/>
        </w:rPr>
        <w:t>) واستخراج النتائج وفقاً للأساليب الإحصائية التالية:</w:t>
      </w:r>
    </w:p>
    <w:p w14:paraId="573E3653"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b/>
          <w:bCs/>
          <w:sz w:val="24"/>
          <w:szCs w:val="28"/>
          <w:rtl/>
          <w:lang w:bidi="ar-EG"/>
        </w:rPr>
        <w:t>التكرارات والنسب المئوية:</w:t>
      </w:r>
      <w:r w:rsidRPr="00BC50C9">
        <w:rPr>
          <w:rFonts w:ascii="Times New Roman" w:eastAsia="Calibri" w:hAnsi="Times New Roman" w:cs="Simplified Arabic"/>
          <w:sz w:val="24"/>
          <w:szCs w:val="28"/>
          <w:rtl/>
          <w:lang w:bidi="ar-EG"/>
        </w:rPr>
        <w:t xml:space="preserve"> للتعرف على خصائص أفراد عينة الدراسة وفقاً للبيانات الشخصية.</w:t>
      </w:r>
    </w:p>
    <w:p w14:paraId="08B6F2DC"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b/>
          <w:bCs/>
          <w:sz w:val="24"/>
          <w:szCs w:val="28"/>
          <w:lang w:bidi="ar-EG"/>
        </w:rPr>
      </w:pPr>
      <w:r w:rsidRPr="00BC50C9">
        <w:rPr>
          <w:rFonts w:ascii="Times New Roman" w:eastAsia="Calibri" w:hAnsi="Times New Roman" w:cs="Simplified Arabic"/>
          <w:b/>
          <w:bCs/>
          <w:sz w:val="24"/>
          <w:szCs w:val="28"/>
          <w:rtl/>
          <w:lang w:bidi="ar-EG"/>
        </w:rPr>
        <w:lastRenderedPageBreak/>
        <w:t>المتوسطات الحسابية والانحرافات</w:t>
      </w:r>
      <w:r w:rsidRPr="00BC50C9">
        <w:rPr>
          <w:rFonts w:ascii="Times New Roman" w:eastAsia="Calibri" w:hAnsi="Times New Roman" w:cs="Simplified Arabic" w:hint="cs"/>
          <w:b/>
          <w:bCs/>
          <w:sz w:val="24"/>
          <w:szCs w:val="28"/>
          <w:rtl/>
          <w:lang w:bidi="ar-EG"/>
        </w:rPr>
        <w:t xml:space="preserve"> </w:t>
      </w:r>
      <w:r w:rsidRPr="00BC50C9">
        <w:rPr>
          <w:rFonts w:ascii="Times New Roman" w:eastAsia="Calibri" w:hAnsi="Times New Roman" w:cs="Simplified Arabic"/>
          <w:b/>
          <w:bCs/>
          <w:sz w:val="24"/>
          <w:szCs w:val="28"/>
          <w:rtl/>
          <w:lang w:bidi="ar-EG"/>
        </w:rPr>
        <w:t xml:space="preserve">المعيارية: </w:t>
      </w:r>
      <w:r w:rsidRPr="00BC50C9">
        <w:rPr>
          <w:rFonts w:ascii="Times New Roman" w:eastAsia="Calibri" w:hAnsi="Times New Roman" w:cs="Simplified Arabic"/>
          <w:sz w:val="24"/>
          <w:szCs w:val="28"/>
          <w:rtl/>
          <w:lang w:bidi="ar-EG"/>
        </w:rPr>
        <w:t xml:space="preserve">لحساب متوسطات عبارات </w:t>
      </w:r>
      <w:proofErr w:type="gramStart"/>
      <w:r w:rsidRPr="00BC50C9">
        <w:rPr>
          <w:rFonts w:ascii="Times New Roman" w:eastAsia="Calibri" w:hAnsi="Times New Roman" w:cs="Simplified Arabic"/>
          <w:sz w:val="24"/>
          <w:szCs w:val="28"/>
          <w:rtl/>
          <w:lang w:bidi="ar-EG"/>
        </w:rPr>
        <w:t>الاستبيان</w:t>
      </w:r>
      <w:proofErr w:type="gramEnd"/>
      <w:r w:rsidRPr="00BC50C9">
        <w:rPr>
          <w:rFonts w:ascii="Times New Roman" w:eastAsia="Calibri" w:hAnsi="Times New Roman" w:cs="Simplified Arabic"/>
          <w:sz w:val="24"/>
          <w:szCs w:val="28"/>
          <w:rtl/>
          <w:lang w:bidi="ar-EG"/>
        </w:rPr>
        <w:t xml:space="preserve"> وكذلك الدرجات الكلية </w:t>
      </w:r>
      <w:r w:rsidRPr="00BC50C9">
        <w:rPr>
          <w:rFonts w:ascii="Times New Roman" w:eastAsia="Calibri" w:hAnsi="Times New Roman" w:cs="Simplified Arabic" w:hint="cs"/>
          <w:sz w:val="24"/>
          <w:szCs w:val="28"/>
          <w:rtl/>
          <w:lang w:bidi="ar-EG"/>
        </w:rPr>
        <w:t>لمحاور ا</w:t>
      </w:r>
      <w:r w:rsidRPr="00BC50C9">
        <w:rPr>
          <w:rFonts w:ascii="Times New Roman" w:eastAsia="Calibri" w:hAnsi="Times New Roman" w:cs="Simplified Arabic"/>
          <w:sz w:val="24"/>
          <w:szCs w:val="28"/>
          <w:rtl/>
          <w:lang w:bidi="ar-EG"/>
        </w:rPr>
        <w:t>لاستبانة بناء على استجابات أفراد عينة الدراسة.</w:t>
      </w:r>
    </w:p>
    <w:p w14:paraId="6D8F9A31"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sz w:val="24"/>
          <w:szCs w:val="28"/>
          <w:lang w:bidi="ar-EG"/>
        </w:rPr>
      </w:pPr>
      <w:r w:rsidRPr="00BC50C9">
        <w:rPr>
          <w:rFonts w:ascii="Times New Roman" w:eastAsia="Calibri" w:hAnsi="Times New Roman" w:cs="Simplified Arabic"/>
          <w:b/>
          <w:bCs/>
          <w:sz w:val="24"/>
          <w:szCs w:val="28"/>
          <w:rtl/>
          <w:lang w:bidi="ar-EG"/>
        </w:rPr>
        <w:t xml:space="preserve">معامل ارتباط بيرسون: </w:t>
      </w:r>
      <w:r w:rsidRPr="00BC50C9">
        <w:rPr>
          <w:rFonts w:ascii="Times New Roman" w:eastAsia="Calibri" w:hAnsi="Times New Roman" w:cs="Simplified Arabic"/>
          <w:sz w:val="24"/>
          <w:szCs w:val="28"/>
          <w:rtl/>
          <w:lang w:bidi="ar-EG"/>
        </w:rPr>
        <w:t>لحساب الاتساق الداخلي.</w:t>
      </w:r>
    </w:p>
    <w:p w14:paraId="391B3373"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b/>
          <w:bCs/>
          <w:sz w:val="24"/>
          <w:szCs w:val="28"/>
          <w:lang w:bidi="ar-EG"/>
        </w:rPr>
      </w:pPr>
      <w:r w:rsidRPr="00BC50C9">
        <w:rPr>
          <w:rFonts w:ascii="Times New Roman" w:eastAsia="Calibri" w:hAnsi="Times New Roman" w:cs="Simplified Arabic"/>
          <w:b/>
          <w:bCs/>
          <w:sz w:val="24"/>
          <w:szCs w:val="28"/>
          <w:rtl/>
          <w:lang w:bidi="ar-EG"/>
        </w:rPr>
        <w:t xml:space="preserve">معامل </w:t>
      </w:r>
      <w:proofErr w:type="spellStart"/>
      <w:r w:rsidRPr="00BC50C9">
        <w:rPr>
          <w:rFonts w:ascii="Times New Roman" w:eastAsia="Calibri" w:hAnsi="Times New Roman" w:cs="Simplified Arabic"/>
          <w:b/>
          <w:bCs/>
          <w:sz w:val="24"/>
          <w:szCs w:val="28"/>
          <w:rtl/>
          <w:lang w:bidi="ar-EG"/>
        </w:rPr>
        <w:t>كرونباخ</w:t>
      </w:r>
      <w:proofErr w:type="spellEnd"/>
      <w:r w:rsidRPr="00BC50C9">
        <w:rPr>
          <w:rFonts w:ascii="Times New Roman" w:eastAsia="Calibri" w:hAnsi="Times New Roman" w:cs="Simplified Arabic"/>
          <w:b/>
          <w:bCs/>
          <w:sz w:val="24"/>
          <w:szCs w:val="28"/>
          <w:rtl/>
          <w:lang w:bidi="ar-EG"/>
        </w:rPr>
        <w:t xml:space="preserve"> ألفا: </w:t>
      </w:r>
      <w:r w:rsidRPr="00BC50C9">
        <w:rPr>
          <w:rFonts w:ascii="Times New Roman" w:eastAsia="Calibri" w:hAnsi="Times New Roman" w:cs="Simplified Arabic"/>
          <w:sz w:val="24"/>
          <w:szCs w:val="28"/>
          <w:rtl/>
          <w:lang w:bidi="ar-EG"/>
        </w:rPr>
        <w:t>لحساب الثبات لعبارات الاستبانة.</w:t>
      </w:r>
    </w:p>
    <w:p w14:paraId="6391A11C"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b/>
          <w:bCs/>
          <w:sz w:val="24"/>
          <w:szCs w:val="28"/>
          <w:lang w:bidi="ar-EG"/>
        </w:rPr>
      </w:pPr>
      <w:r w:rsidRPr="00BC50C9">
        <w:rPr>
          <w:rFonts w:ascii="Times New Roman" w:eastAsia="Calibri" w:hAnsi="Times New Roman" w:cs="Simplified Arabic" w:hint="cs"/>
          <w:b/>
          <w:bCs/>
          <w:sz w:val="24"/>
          <w:szCs w:val="28"/>
          <w:rtl/>
          <w:lang w:bidi="ar-EG"/>
        </w:rPr>
        <w:t>تحليل انحدار خطي بسيط: للتحقق من صحة فرضيات الدراسة</w:t>
      </w:r>
    </w:p>
    <w:p w14:paraId="64DEA34F" w14:textId="77777777" w:rsidR="000B3939" w:rsidRPr="00BC50C9" w:rsidRDefault="000B3939">
      <w:pPr>
        <w:numPr>
          <w:ilvl w:val="0"/>
          <w:numId w:val="34"/>
        </w:numPr>
        <w:bidi/>
        <w:spacing w:before="120" w:after="120" w:line="240" w:lineRule="auto"/>
        <w:contextualSpacing/>
        <w:jc w:val="both"/>
        <w:rPr>
          <w:rFonts w:ascii="Times New Roman" w:eastAsia="Calibri" w:hAnsi="Times New Roman" w:cs="Simplified Arabic"/>
          <w:b/>
          <w:bCs/>
          <w:sz w:val="24"/>
          <w:szCs w:val="28"/>
          <w:lang w:bidi="ar-EG"/>
        </w:rPr>
      </w:pPr>
      <w:r w:rsidRPr="00BC50C9">
        <w:rPr>
          <w:rFonts w:ascii="Times New Roman" w:eastAsia="Calibri" w:hAnsi="Times New Roman" w:cs="Simplified Arabic"/>
          <w:b/>
          <w:bCs/>
          <w:sz w:val="24"/>
          <w:szCs w:val="28"/>
          <w:rtl/>
          <w:lang w:bidi="ar-EG"/>
        </w:rPr>
        <w:t>معادلة المدى</w:t>
      </w:r>
      <w:r w:rsidRPr="00BC50C9">
        <w:rPr>
          <w:rFonts w:ascii="Times New Roman" w:eastAsia="Calibri" w:hAnsi="Times New Roman" w:cs="Simplified Arabic"/>
          <w:sz w:val="24"/>
          <w:szCs w:val="28"/>
          <w:rtl/>
          <w:lang w:bidi="ar-EG"/>
        </w:rPr>
        <w:t>: وذلك لوصف المتوسط الحسابي للاستجابات على كل عبارة وبعد على النحو التالي:</w:t>
      </w:r>
    </w:p>
    <w:p w14:paraId="4C2BFC5E" w14:textId="032E5A60" w:rsidR="000B3939" w:rsidRPr="00BC50C9" w:rsidRDefault="000B3939" w:rsidP="00D33272">
      <w:pPr>
        <w:pStyle w:val="00000"/>
        <w:rPr>
          <w:rtl/>
        </w:rPr>
      </w:pPr>
      <w:r w:rsidRPr="00BC50C9">
        <w:rPr>
          <w:rtl/>
        </w:rPr>
        <w:t xml:space="preserve">تم تحديد درجة الاستجابة بحيث يعطي الدرجة </w:t>
      </w:r>
      <w:r w:rsidRPr="00BC50C9">
        <w:rPr>
          <w:rFonts w:hint="cs"/>
          <w:rtl/>
        </w:rPr>
        <w:t>لا أوافق بشدة</w:t>
      </w:r>
      <w:r w:rsidRPr="00BC50C9">
        <w:rPr>
          <w:rtl/>
        </w:rPr>
        <w:t xml:space="preserve"> (1)، </w:t>
      </w:r>
      <w:r w:rsidRPr="00BC50C9">
        <w:rPr>
          <w:rFonts w:hint="cs"/>
          <w:rtl/>
        </w:rPr>
        <w:t>لا أوافق</w:t>
      </w:r>
      <w:r w:rsidRPr="00BC50C9">
        <w:rPr>
          <w:rtl/>
        </w:rPr>
        <w:t xml:space="preserve"> (2)، </w:t>
      </w:r>
      <w:r w:rsidRPr="00BC50C9">
        <w:rPr>
          <w:rFonts w:hint="eastAsia"/>
          <w:rtl/>
        </w:rPr>
        <w:t>محايد</w:t>
      </w:r>
      <w:r w:rsidRPr="00BC50C9">
        <w:rPr>
          <w:rtl/>
        </w:rPr>
        <w:t xml:space="preserve"> (3)، </w:t>
      </w:r>
      <w:r w:rsidRPr="00BC50C9">
        <w:rPr>
          <w:rFonts w:hint="cs"/>
          <w:rtl/>
        </w:rPr>
        <w:t>أوافق</w:t>
      </w:r>
      <w:r w:rsidRPr="00BC50C9">
        <w:rPr>
          <w:rtl/>
        </w:rPr>
        <w:t xml:space="preserve"> (4)، </w:t>
      </w:r>
      <w:r w:rsidRPr="00BC50C9">
        <w:rPr>
          <w:rFonts w:hint="cs"/>
          <w:rtl/>
        </w:rPr>
        <w:t xml:space="preserve">أوافق بشدة </w:t>
      </w:r>
      <w:r w:rsidRPr="00BC50C9">
        <w:rPr>
          <w:rtl/>
        </w:rPr>
        <w:t>(5)، ويتم تحديد درجة التحقق لكل محور بناء على ما يلي:</w:t>
      </w:r>
    </w:p>
    <w:p w14:paraId="4E7D86DA" w14:textId="124A4A02" w:rsidR="000B3939" w:rsidRPr="00D33272" w:rsidRDefault="000B3939" w:rsidP="00BC50C9">
      <w:pPr>
        <w:bidi/>
        <w:spacing w:before="120" w:after="120" w:line="240" w:lineRule="auto"/>
        <w:jc w:val="center"/>
        <w:rPr>
          <w:rFonts w:ascii="Cambria Math" w:eastAsia="Calibri" w:hAnsi="Cambria Math" w:cs="Simplified Arabic"/>
          <w:sz w:val="24"/>
          <w:szCs w:val="28"/>
          <w:rtl/>
          <w:oMath/>
        </w:rPr>
      </w:pPr>
      <w:r w:rsidRPr="00D33272">
        <w:rPr>
          <w:rFonts w:ascii="Times New Roman" w:eastAsia="Calibri" w:hAnsi="Times New Roman" w:cs="Simplified Arabic"/>
          <w:sz w:val="24"/>
          <w:szCs w:val="28"/>
          <w:rtl/>
          <w:lang w:bidi="ar-EG"/>
        </w:rPr>
        <w:t>طول الفئة =</w:t>
      </w:r>
      <m:oMath>
        <m:f>
          <m:fPr>
            <m:ctrlPr>
              <w:rPr>
                <w:rFonts w:ascii="Cambria Math" w:eastAsia="Calibri" w:hAnsi="Cambria Math" w:cs="Simplified Arabic"/>
                <w:i/>
                <w:sz w:val="24"/>
                <w:szCs w:val="28"/>
                <w:lang w:bidi="ar-EG"/>
              </w:rPr>
            </m:ctrlPr>
          </m:fPr>
          <m:num>
            <m:r>
              <w:rPr>
                <w:rFonts w:ascii="Cambria Math" w:eastAsia="Calibri" w:hAnsi="Cambria Math" w:cs="Simplified Arabic"/>
                <w:sz w:val="24"/>
                <w:szCs w:val="28"/>
                <w:rtl/>
              </w:rPr>
              <m:t>الحدالأدني</m:t>
            </m:r>
            <m:r>
              <m:rPr>
                <m:nor/>
              </m:rPr>
              <w:rPr>
                <w:rFonts w:ascii="Times New Roman" w:eastAsia="Calibri" w:hAnsi="Times New Roman" w:cs="Simplified Arabic" w:hint="cs"/>
                <w:sz w:val="24"/>
                <w:szCs w:val="28"/>
                <w:rtl/>
              </w:rPr>
              <m:t xml:space="preserve"> -</m:t>
            </m:r>
            <m:r>
              <w:rPr>
                <w:rFonts w:ascii="Cambria Math" w:eastAsia="Calibri" w:hAnsi="Cambria Math" w:cs="Simplified Arabic"/>
                <w:sz w:val="24"/>
                <w:szCs w:val="28"/>
                <w:lang w:bidi="ar-EG"/>
              </w:rPr>
              <m:t xml:space="preserve"> </m:t>
            </m:r>
            <m:r>
              <m:rPr>
                <m:nor/>
              </m:rPr>
              <w:rPr>
                <w:rFonts w:ascii="Times New Roman" w:eastAsia="Calibri" w:hAnsi="Times New Roman" w:cs="Simplified Arabic" w:hint="cs"/>
                <w:sz w:val="24"/>
                <w:szCs w:val="28"/>
                <w:rtl/>
              </w:rPr>
              <m:t>الحد الأعلي</m:t>
            </m:r>
            <m:r>
              <w:rPr>
                <w:rFonts w:ascii="Cambria Math" w:eastAsia="Calibri" w:hAnsi="Cambria Math" w:cs="Simplified Arabic"/>
                <w:sz w:val="24"/>
                <w:szCs w:val="28"/>
                <w:lang w:bidi="ar-EG"/>
              </w:rPr>
              <m:t xml:space="preserve"> </m:t>
            </m:r>
          </m:num>
          <m:den>
            <m:r>
              <w:rPr>
                <w:rFonts w:ascii="Cambria Math" w:eastAsia="Calibri" w:hAnsi="Cambria Math" w:cs="Simplified Arabic"/>
                <w:sz w:val="24"/>
                <w:szCs w:val="28"/>
                <w:rtl/>
              </w:rPr>
              <m:t xml:space="preserve">عددالمستويات </m:t>
            </m:r>
          </m:den>
        </m:f>
      </m:oMath>
      <w:r w:rsidRPr="00D33272">
        <w:rPr>
          <w:rFonts w:ascii="Times New Roman" w:eastAsia="Calibri" w:hAnsi="Times New Roman" w:cs="Simplified Arabic"/>
          <w:sz w:val="24"/>
          <w:szCs w:val="28"/>
          <w:rtl/>
          <w:lang w:bidi="ar-EG"/>
        </w:rPr>
        <w:t>=</w:t>
      </w:r>
      <w:r w:rsidRPr="00D33272">
        <w:rPr>
          <w:rFonts w:ascii="Times New Roman" w:eastAsia="Calibri" w:hAnsi="Times New Roman" w:cs="Simplified Arabic" w:hint="cs"/>
          <w:sz w:val="24"/>
          <w:szCs w:val="28"/>
          <w:rtl/>
          <w:lang w:bidi="ar-EG"/>
        </w:rPr>
        <w:t xml:space="preserve"> </w:t>
      </w:r>
      <m:oMath>
        <m:f>
          <m:fPr>
            <m:ctrlPr>
              <w:rPr>
                <w:rFonts w:ascii="Cambria Math" w:eastAsia="Calibri" w:hAnsi="Cambria Math" w:cs="Simplified Arabic"/>
                <w:sz w:val="24"/>
                <w:szCs w:val="28"/>
                <w:lang w:bidi="ar-EG"/>
              </w:rPr>
            </m:ctrlPr>
          </m:fPr>
          <m:num>
            <m:r>
              <m:rPr>
                <m:sty m:val="p"/>
              </m:rPr>
              <w:rPr>
                <w:rFonts w:ascii="Cambria Math" w:eastAsia="Calibri" w:hAnsi="Cambria Math" w:cs="Cambria Math" w:hint="cs"/>
                <w:sz w:val="24"/>
                <w:szCs w:val="28"/>
                <w:rtl/>
                <w:lang w:bidi="ar-EG"/>
              </w:rPr>
              <m:t>1-5</m:t>
            </m:r>
            <m:ctrlPr>
              <w:rPr>
                <w:rFonts w:ascii="Cambria Math" w:eastAsia="Calibri" w:hAnsi="Cambria Math" w:cs="Simplified Arabic"/>
                <w:i/>
                <w:sz w:val="24"/>
                <w:szCs w:val="28"/>
                <w:rtl/>
                <w:lang w:bidi="ar-EG"/>
              </w:rPr>
            </m:ctrlPr>
          </m:num>
          <m:den>
            <m:r>
              <m:rPr>
                <m:sty m:val="p"/>
              </m:rPr>
              <w:rPr>
                <w:rFonts w:ascii="Cambria Math" w:eastAsia="Calibri" w:hAnsi="Cambria Math" w:cs="Cambria Math" w:hint="cs"/>
                <w:sz w:val="24"/>
                <w:szCs w:val="28"/>
                <w:rtl/>
                <w:lang w:bidi="ar-EG"/>
              </w:rPr>
              <m:t>5</m:t>
            </m:r>
            <m:ctrlPr>
              <w:rPr>
                <w:rFonts w:ascii="Cambria Math" w:eastAsia="Calibri" w:hAnsi="Cambria Math" w:cs="Simplified Arabic"/>
                <w:i/>
                <w:sz w:val="24"/>
                <w:szCs w:val="28"/>
                <w:rtl/>
                <w:lang w:bidi="ar-EG"/>
              </w:rPr>
            </m:ctrlPr>
          </m:den>
        </m:f>
      </m:oMath>
      <w:r w:rsidRPr="00D33272">
        <w:rPr>
          <w:rFonts w:ascii="Times New Roman" w:eastAsia="Calibri" w:hAnsi="Times New Roman" w:cs="Simplified Arabic"/>
          <w:sz w:val="24"/>
          <w:szCs w:val="28"/>
          <w:rtl/>
          <w:lang w:bidi="ar-EG"/>
        </w:rPr>
        <w:t xml:space="preserve"> = </w:t>
      </w:r>
      <w:r w:rsidRPr="00D33272">
        <w:rPr>
          <w:rFonts w:ascii="Times New Roman" w:eastAsia="Calibri" w:hAnsi="Times New Roman" w:cs="Simplified Arabic"/>
          <w:sz w:val="24"/>
          <w:szCs w:val="28"/>
          <w:lang w:bidi="ar-EG"/>
        </w:rPr>
        <w:t>0.80</w:t>
      </w:r>
    </w:p>
    <w:p w14:paraId="40AB37D4" w14:textId="77777777"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sz w:val="24"/>
          <w:szCs w:val="28"/>
          <w:lang w:bidi="ar-EG"/>
        </w:rPr>
      </w:pPr>
      <w:r w:rsidRPr="00D33272">
        <w:rPr>
          <w:rFonts w:ascii="Times New Roman" w:eastAsia="Calibri" w:hAnsi="Times New Roman" w:cs="Simplified Arabic"/>
          <w:sz w:val="24"/>
          <w:szCs w:val="28"/>
          <w:rtl/>
          <w:lang w:bidi="ar-EG"/>
        </w:rPr>
        <w:t xml:space="preserve">من </w:t>
      </w:r>
      <w:r w:rsidRPr="00D33272">
        <w:rPr>
          <w:rFonts w:ascii="Times New Roman" w:eastAsia="Calibri" w:hAnsi="Times New Roman" w:cs="Simplified Arabic"/>
          <w:sz w:val="24"/>
          <w:szCs w:val="28"/>
          <w:lang w:bidi="ar-EG"/>
        </w:rPr>
        <w:t>1</w:t>
      </w:r>
      <w:r w:rsidRPr="00D33272">
        <w:rPr>
          <w:rFonts w:ascii="Times New Roman" w:eastAsia="Calibri" w:hAnsi="Times New Roman" w:cs="Simplified Arabic"/>
          <w:sz w:val="24"/>
          <w:szCs w:val="28"/>
          <w:rtl/>
          <w:lang w:bidi="ar-EG"/>
        </w:rPr>
        <w:t xml:space="preserve"> إلى أقل من </w:t>
      </w:r>
      <w:r w:rsidRPr="00D33272">
        <w:rPr>
          <w:rFonts w:ascii="Times New Roman" w:eastAsia="Calibri" w:hAnsi="Times New Roman" w:cs="Simplified Arabic"/>
          <w:sz w:val="24"/>
          <w:szCs w:val="28"/>
          <w:lang w:bidi="ar-EG"/>
        </w:rPr>
        <w:t>1.80</w:t>
      </w:r>
      <w:r w:rsidRPr="00D33272">
        <w:rPr>
          <w:rFonts w:ascii="Times New Roman" w:eastAsia="Calibri" w:hAnsi="Times New Roman" w:cs="Simplified Arabic"/>
          <w:sz w:val="24"/>
          <w:szCs w:val="28"/>
          <w:rtl/>
          <w:lang w:bidi="ar-EG"/>
        </w:rPr>
        <w:t xml:space="preserve"> تمثل درجة استجابة (</w:t>
      </w:r>
      <w:r w:rsidRPr="00D33272">
        <w:rPr>
          <w:rFonts w:ascii="Times New Roman" w:eastAsia="Calibri" w:hAnsi="Times New Roman" w:cs="Simplified Arabic" w:hint="cs"/>
          <w:sz w:val="24"/>
          <w:szCs w:val="28"/>
          <w:rtl/>
          <w:lang w:bidi="ar-EG"/>
        </w:rPr>
        <w:t>منخفضة جداً</w:t>
      </w:r>
      <w:r w:rsidRPr="00D33272">
        <w:rPr>
          <w:rFonts w:ascii="Times New Roman" w:eastAsia="Calibri" w:hAnsi="Times New Roman" w:cs="Simplified Arabic"/>
          <w:sz w:val="24"/>
          <w:szCs w:val="28"/>
          <w:rtl/>
          <w:lang w:bidi="ar-EG"/>
        </w:rPr>
        <w:t>).</w:t>
      </w:r>
      <w:r w:rsidRPr="00D33272">
        <w:rPr>
          <w:rFonts w:ascii="Times New Roman" w:eastAsia="Calibri" w:hAnsi="Times New Roman" w:cs="Simplified Arabic" w:hint="cs"/>
          <w:sz w:val="24"/>
          <w:szCs w:val="28"/>
          <w:rtl/>
          <w:lang w:bidi="ar-EG"/>
        </w:rPr>
        <w:t xml:space="preserve"> </w:t>
      </w:r>
    </w:p>
    <w:p w14:paraId="0389A9AB" w14:textId="77777777"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sz w:val="24"/>
          <w:szCs w:val="28"/>
          <w:rtl/>
          <w:lang w:bidi="ar-EG"/>
        </w:rPr>
      </w:pPr>
      <w:r w:rsidRPr="00D33272">
        <w:rPr>
          <w:rFonts w:ascii="Times New Roman" w:eastAsia="Calibri" w:hAnsi="Times New Roman" w:cs="Simplified Arabic"/>
          <w:sz w:val="24"/>
          <w:szCs w:val="28"/>
          <w:rtl/>
          <w:lang w:bidi="ar-EG"/>
        </w:rPr>
        <w:t xml:space="preserve">من </w:t>
      </w:r>
      <w:r w:rsidRPr="00D33272">
        <w:rPr>
          <w:rFonts w:ascii="Times New Roman" w:eastAsia="Calibri" w:hAnsi="Times New Roman" w:cs="Simplified Arabic"/>
          <w:sz w:val="24"/>
          <w:szCs w:val="28"/>
          <w:lang w:bidi="ar-EG"/>
        </w:rPr>
        <w:t>1.80</w:t>
      </w:r>
      <w:r w:rsidRPr="00D33272">
        <w:rPr>
          <w:rFonts w:ascii="Times New Roman" w:eastAsia="Calibri" w:hAnsi="Times New Roman" w:cs="Simplified Arabic"/>
          <w:sz w:val="24"/>
          <w:szCs w:val="28"/>
          <w:rtl/>
          <w:lang w:bidi="ar-EG"/>
        </w:rPr>
        <w:t xml:space="preserve"> إلى أقل من </w:t>
      </w:r>
      <w:r w:rsidRPr="00D33272">
        <w:rPr>
          <w:rFonts w:ascii="Times New Roman" w:eastAsia="Calibri" w:hAnsi="Times New Roman" w:cs="Simplified Arabic"/>
          <w:sz w:val="24"/>
          <w:szCs w:val="28"/>
          <w:lang w:bidi="ar-EG"/>
        </w:rPr>
        <w:t>2.60</w:t>
      </w:r>
      <w:r w:rsidRPr="00D33272">
        <w:rPr>
          <w:rFonts w:ascii="Times New Roman" w:eastAsia="Calibri" w:hAnsi="Times New Roman" w:cs="Simplified Arabic"/>
          <w:sz w:val="24"/>
          <w:szCs w:val="28"/>
          <w:rtl/>
          <w:lang w:bidi="ar-EG"/>
        </w:rPr>
        <w:t xml:space="preserve"> تمثل درجة استجابة (</w:t>
      </w:r>
      <w:r w:rsidRPr="00D33272">
        <w:rPr>
          <w:rFonts w:ascii="Times New Roman" w:eastAsia="Calibri" w:hAnsi="Times New Roman" w:cs="Simplified Arabic" w:hint="cs"/>
          <w:sz w:val="24"/>
          <w:szCs w:val="28"/>
          <w:rtl/>
          <w:lang w:bidi="ar-EG"/>
        </w:rPr>
        <w:t>منخفضة</w:t>
      </w:r>
      <w:r w:rsidRPr="00D33272">
        <w:rPr>
          <w:rFonts w:ascii="Times New Roman" w:eastAsia="Calibri" w:hAnsi="Times New Roman" w:cs="Simplified Arabic"/>
          <w:sz w:val="24"/>
          <w:szCs w:val="28"/>
          <w:rtl/>
          <w:lang w:bidi="ar-EG"/>
        </w:rPr>
        <w:t>).</w:t>
      </w:r>
    </w:p>
    <w:p w14:paraId="533EBCF1" w14:textId="77777777"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sz w:val="24"/>
          <w:szCs w:val="28"/>
          <w:rtl/>
          <w:lang w:bidi="ar-EG"/>
        </w:rPr>
      </w:pPr>
      <w:r w:rsidRPr="00D33272">
        <w:rPr>
          <w:rFonts w:ascii="Times New Roman" w:eastAsia="Calibri" w:hAnsi="Times New Roman" w:cs="Simplified Arabic"/>
          <w:sz w:val="24"/>
          <w:szCs w:val="28"/>
          <w:rtl/>
          <w:lang w:bidi="ar-EG"/>
        </w:rPr>
        <w:t xml:space="preserve">من </w:t>
      </w:r>
      <w:r w:rsidRPr="00D33272">
        <w:rPr>
          <w:rFonts w:ascii="Times New Roman" w:eastAsia="Calibri" w:hAnsi="Times New Roman" w:cs="Simplified Arabic"/>
          <w:sz w:val="24"/>
          <w:szCs w:val="28"/>
          <w:lang w:bidi="ar-EG"/>
        </w:rPr>
        <w:t>2.60</w:t>
      </w:r>
      <w:r w:rsidRPr="00D33272">
        <w:rPr>
          <w:rFonts w:ascii="Times New Roman" w:eastAsia="Calibri" w:hAnsi="Times New Roman" w:cs="Simplified Arabic"/>
          <w:sz w:val="24"/>
          <w:szCs w:val="28"/>
          <w:rtl/>
          <w:lang w:bidi="ar-EG"/>
        </w:rPr>
        <w:t xml:space="preserve"> إلى أقل من </w:t>
      </w:r>
      <w:r w:rsidRPr="00D33272">
        <w:rPr>
          <w:rFonts w:ascii="Times New Roman" w:eastAsia="Calibri" w:hAnsi="Times New Roman" w:cs="Simplified Arabic"/>
          <w:sz w:val="24"/>
          <w:szCs w:val="28"/>
          <w:lang w:bidi="ar-EG"/>
        </w:rPr>
        <w:t>3.40</w:t>
      </w:r>
      <w:r w:rsidRPr="00D33272">
        <w:rPr>
          <w:rFonts w:ascii="Times New Roman" w:eastAsia="Calibri" w:hAnsi="Times New Roman" w:cs="Simplified Arabic"/>
          <w:sz w:val="24"/>
          <w:szCs w:val="28"/>
          <w:rtl/>
          <w:lang w:bidi="ar-EG"/>
        </w:rPr>
        <w:t xml:space="preserve"> تمثل درجة استجابة (</w:t>
      </w:r>
      <w:r w:rsidRPr="00D33272">
        <w:rPr>
          <w:rFonts w:ascii="Times New Roman" w:eastAsia="Calibri" w:hAnsi="Times New Roman" w:cs="Simplified Arabic" w:hint="cs"/>
          <w:sz w:val="24"/>
          <w:szCs w:val="28"/>
          <w:rtl/>
          <w:lang w:bidi="ar-EG"/>
        </w:rPr>
        <w:t>متوسطة</w:t>
      </w:r>
      <w:r w:rsidRPr="00D33272">
        <w:rPr>
          <w:rFonts w:ascii="Times New Roman" w:eastAsia="Calibri" w:hAnsi="Times New Roman" w:cs="Simplified Arabic"/>
          <w:sz w:val="24"/>
          <w:szCs w:val="28"/>
          <w:rtl/>
          <w:lang w:bidi="ar-EG"/>
        </w:rPr>
        <w:t>).</w:t>
      </w:r>
    </w:p>
    <w:p w14:paraId="28E34FC1" w14:textId="77777777"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sz w:val="24"/>
          <w:szCs w:val="28"/>
          <w:lang w:bidi="ar-EG"/>
        </w:rPr>
      </w:pPr>
      <w:r w:rsidRPr="00D33272">
        <w:rPr>
          <w:rFonts w:ascii="Times New Roman" w:eastAsia="Calibri" w:hAnsi="Times New Roman" w:cs="Simplified Arabic"/>
          <w:sz w:val="24"/>
          <w:szCs w:val="28"/>
          <w:rtl/>
          <w:lang w:bidi="ar-EG"/>
        </w:rPr>
        <w:t xml:space="preserve">من </w:t>
      </w:r>
      <w:r w:rsidRPr="00D33272">
        <w:rPr>
          <w:rFonts w:ascii="Times New Roman" w:eastAsia="Calibri" w:hAnsi="Times New Roman" w:cs="Simplified Arabic"/>
          <w:sz w:val="24"/>
          <w:szCs w:val="28"/>
          <w:lang w:bidi="ar-EG"/>
        </w:rPr>
        <w:t>3.40</w:t>
      </w:r>
      <w:r w:rsidRPr="00D33272">
        <w:rPr>
          <w:rFonts w:ascii="Times New Roman" w:eastAsia="Calibri" w:hAnsi="Times New Roman" w:cs="Simplified Arabic"/>
          <w:sz w:val="24"/>
          <w:szCs w:val="28"/>
          <w:rtl/>
          <w:lang w:bidi="ar-EG"/>
        </w:rPr>
        <w:t xml:space="preserve"> إلى أقل من </w:t>
      </w:r>
      <w:r w:rsidRPr="00D33272">
        <w:rPr>
          <w:rFonts w:ascii="Times New Roman" w:eastAsia="Calibri" w:hAnsi="Times New Roman" w:cs="Simplified Arabic"/>
          <w:sz w:val="24"/>
          <w:szCs w:val="28"/>
          <w:lang w:bidi="ar-EG"/>
        </w:rPr>
        <w:t>4.20</w:t>
      </w:r>
      <w:r w:rsidRPr="00D33272">
        <w:rPr>
          <w:rFonts w:ascii="Times New Roman" w:eastAsia="Calibri" w:hAnsi="Times New Roman" w:cs="Simplified Arabic"/>
          <w:sz w:val="24"/>
          <w:szCs w:val="28"/>
          <w:rtl/>
          <w:lang w:bidi="ar-EG"/>
        </w:rPr>
        <w:t xml:space="preserve"> تمثل درجة استجابة (</w:t>
      </w:r>
      <w:r w:rsidRPr="00D33272">
        <w:rPr>
          <w:rFonts w:ascii="Times New Roman" w:eastAsia="Calibri" w:hAnsi="Times New Roman" w:cs="Simplified Arabic" w:hint="cs"/>
          <w:sz w:val="24"/>
          <w:szCs w:val="28"/>
          <w:rtl/>
          <w:lang w:bidi="ar-EG"/>
        </w:rPr>
        <w:t>عالية</w:t>
      </w:r>
      <w:r w:rsidRPr="00D33272">
        <w:rPr>
          <w:rFonts w:ascii="Times New Roman" w:eastAsia="Calibri" w:hAnsi="Times New Roman" w:cs="Simplified Arabic"/>
          <w:sz w:val="24"/>
          <w:szCs w:val="28"/>
          <w:rtl/>
          <w:lang w:bidi="ar-EG"/>
        </w:rPr>
        <w:t>).</w:t>
      </w:r>
    </w:p>
    <w:p w14:paraId="33776FAA" w14:textId="77777777" w:rsidR="000B3939" w:rsidRPr="00D33272" w:rsidRDefault="000B3939">
      <w:pPr>
        <w:pStyle w:val="a3"/>
        <w:numPr>
          <w:ilvl w:val="0"/>
          <w:numId w:val="16"/>
        </w:numPr>
        <w:bidi/>
        <w:spacing w:before="120" w:after="120" w:line="240" w:lineRule="auto"/>
        <w:jc w:val="both"/>
        <w:rPr>
          <w:rFonts w:ascii="Times New Roman" w:eastAsia="Calibri" w:hAnsi="Times New Roman" w:cs="Simplified Arabic"/>
          <w:sz w:val="24"/>
          <w:szCs w:val="28"/>
          <w:lang w:bidi="ar-EG"/>
        </w:rPr>
      </w:pPr>
      <w:r w:rsidRPr="00D33272">
        <w:rPr>
          <w:rFonts w:ascii="Times New Roman" w:eastAsia="Calibri" w:hAnsi="Times New Roman" w:cs="Simplified Arabic"/>
          <w:sz w:val="24"/>
          <w:szCs w:val="28"/>
          <w:rtl/>
          <w:lang w:bidi="ar-EG"/>
        </w:rPr>
        <w:t xml:space="preserve">من </w:t>
      </w:r>
      <w:r w:rsidRPr="00D33272">
        <w:rPr>
          <w:rFonts w:ascii="Times New Roman" w:eastAsia="Calibri" w:hAnsi="Times New Roman" w:cs="Simplified Arabic"/>
          <w:sz w:val="24"/>
          <w:szCs w:val="28"/>
          <w:lang w:bidi="ar-EG"/>
        </w:rPr>
        <w:t>4.20</w:t>
      </w:r>
      <w:r w:rsidRPr="00D33272">
        <w:rPr>
          <w:rFonts w:ascii="Times New Roman" w:eastAsia="Calibri" w:hAnsi="Times New Roman" w:cs="Simplified Arabic"/>
          <w:sz w:val="24"/>
          <w:szCs w:val="28"/>
          <w:rtl/>
          <w:lang w:bidi="ar-EG"/>
        </w:rPr>
        <w:t xml:space="preserve"> إلى </w:t>
      </w:r>
      <w:r w:rsidRPr="00D33272">
        <w:rPr>
          <w:rFonts w:ascii="Times New Roman" w:eastAsia="Calibri" w:hAnsi="Times New Roman" w:cs="Simplified Arabic"/>
          <w:sz w:val="24"/>
          <w:szCs w:val="28"/>
          <w:lang w:bidi="ar-EG"/>
        </w:rPr>
        <w:t>5</w:t>
      </w:r>
      <w:r w:rsidRPr="00D33272">
        <w:rPr>
          <w:rFonts w:ascii="Times New Roman" w:eastAsia="Calibri" w:hAnsi="Times New Roman" w:cs="Simplified Arabic"/>
          <w:sz w:val="24"/>
          <w:szCs w:val="28"/>
          <w:rtl/>
          <w:lang w:bidi="ar-EG"/>
        </w:rPr>
        <w:t xml:space="preserve"> تمثل درجة استجابة (</w:t>
      </w:r>
      <w:r w:rsidRPr="00D33272">
        <w:rPr>
          <w:rFonts w:ascii="Times New Roman" w:eastAsia="Calibri" w:hAnsi="Times New Roman" w:cs="Simplified Arabic" w:hint="eastAsia"/>
          <w:sz w:val="24"/>
          <w:szCs w:val="28"/>
          <w:rtl/>
          <w:lang w:bidi="ar-EG"/>
        </w:rPr>
        <w:t>عالية</w:t>
      </w:r>
      <w:r w:rsidRPr="00D33272">
        <w:rPr>
          <w:rFonts w:ascii="Times New Roman" w:eastAsia="Calibri" w:hAnsi="Times New Roman" w:cs="Simplified Arabic"/>
          <w:sz w:val="24"/>
          <w:szCs w:val="28"/>
          <w:rtl/>
          <w:lang w:bidi="ar-EG"/>
        </w:rPr>
        <w:t xml:space="preserve"> </w:t>
      </w:r>
      <w:r w:rsidRPr="00D33272">
        <w:rPr>
          <w:rFonts w:ascii="Times New Roman" w:eastAsia="Calibri" w:hAnsi="Times New Roman" w:cs="Simplified Arabic" w:hint="eastAsia"/>
          <w:sz w:val="24"/>
          <w:szCs w:val="28"/>
          <w:rtl/>
          <w:lang w:bidi="ar-EG"/>
        </w:rPr>
        <w:t>جداً</w:t>
      </w:r>
      <w:r w:rsidRPr="00D33272">
        <w:rPr>
          <w:rFonts w:ascii="Times New Roman" w:eastAsia="Calibri" w:hAnsi="Times New Roman" w:cs="Simplified Arabic"/>
          <w:sz w:val="24"/>
          <w:szCs w:val="28"/>
          <w:rtl/>
          <w:lang w:bidi="ar-EG"/>
        </w:rPr>
        <w:t>).</w:t>
      </w:r>
    </w:p>
    <w:p w14:paraId="08038A5A" w14:textId="32AB517E" w:rsidR="000B3939" w:rsidRPr="00BC50C9" w:rsidRDefault="001074C7" w:rsidP="00BC50C9">
      <w:pPr>
        <w:bidi/>
        <w:spacing w:before="120" w:after="120" w:line="240" w:lineRule="auto"/>
        <w:jc w:val="both"/>
        <w:outlineLvl w:val="1"/>
        <w:rPr>
          <w:rFonts w:ascii="Times New Roman" w:eastAsia="Calibri" w:hAnsi="Times New Roman" w:cs="Simplified Arabic"/>
          <w:b/>
          <w:bCs/>
          <w:sz w:val="24"/>
          <w:szCs w:val="28"/>
          <w:rtl/>
          <w:lang w:bidi="ar-EG"/>
        </w:rPr>
      </w:pPr>
      <w:bookmarkStart w:id="100" w:name="_Toc195456547"/>
      <w:r>
        <w:rPr>
          <w:rFonts w:ascii="Times New Roman" w:hAnsi="Times New Roman" w:cs="Simplified Arabic" w:hint="cs"/>
          <w:b/>
          <w:bCs/>
          <w:sz w:val="24"/>
          <w:szCs w:val="28"/>
          <w:rtl/>
          <w:lang w:bidi="ar-EG"/>
        </w:rPr>
        <w:t xml:space="preserve">6.3 </w:t>
      </w:r>
      <w:r w:rsidR="000B3939" w:rsidRPr="00BC50C9">
        <w:rPr>
          <w:rFonts w:ascii="Times New Roman" w:hAnsi="Times New Roman" w:cs="Simplified Arabic"/>
          <w:b/>
          <w:bCs/>
          <w:sz w:val="24"/>
          <w:szCs w:val="28"/>
          <w:rtl/>
          <w:lang w:bidi="ar-EG"/>
        </w:rPr>
        <w:t>الخاتمة</w:t>
      </w:r>
      <w:bookmarkEnd w:id="100"/>
      <w:r w:rsidR="000B3939" w:rsidRPr="00BC50C9">
        <w:rPr>
          <w:rFonts w:ascii="Times New Roman" w:hAnsi="Times New Roman" w:cs="Simplified Arabic"/>
          <w:b/>
          <w:bCs/>
          <w:sz w:val="24"/>
          <w:szCs w:val="28"/>
          <w:rtl/>
          <w:lang w:bidi="ar-EG"/>
        </w:rPr>
        <w:t xml:space="preserve"> </w:t>
      </w:r>
    </w:p>
    <w:p w14:paraId="0ADF5E03" w14:textId="77777777" w:rsidR="000B3939" w:rsidRPr="00BC50C9" w:rsidRDefault="000B3939" w:rsidP="00D33272">
      <w:pPr>
        <w:pStyle w:val="00000"/>
      </w:pPr>
      <w:r w:rsidRPr="00BC50C9">
        <w:rPr>
          <w:rtl/>
        </w:rPr>
        <w:t>تناول هذا الفصل الإجراءات المنهجية التي اتبعتها الدراسة لتحقيق أهدافها، حيث تم تحديد منهج البحث بدقة ليكون ملائمًا لطبيعة الدراسة، بالإضافة إلى توضيح مجتمع وعينة الدراسة وأسلوب اختيارها، مما يضمن تمثيلًا دقيقًا للظاهرة المدروسة، كما تم شرح أداة جمع البيانات المستخدمة، والاستناد إلى معايير علمية للتحقق من صدقها وثباتها لضمان موثوقية النتائج. وأخيرًا، تم استعراض الأساليب الإحصائية التي تم توظيفها في تحليل البيانات، والتي أسهمت في الوصول إلى نتائج دقيقة تدعم تفسير الظواهر موضوع البحث، وتعد هذه الإجراءات خطوة أساسية وممهدة للفصل التالي، الذي سيتناول تحليل البيانات ومناقشة النتائج التي تم التوصل إليها</w:t>
      </w:r>
      <w:r w:rsidRPr="00BC50C9">
        <w:t>.</w:t>
      </w:r>
    </w:p>
    <w:p w14:paraId="36265F39"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791FE824"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5819B67F"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6D7B0512"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237E62B3"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48D255F9" w14:textId="22AF1B9A" w:rsidR="00DE2B2A" w:rsidRPr="00BC50C9" w:rsidRDefault="00DE2B2A" w:rsidP="001074C7">
      <w:pPr>
        <w:pStyle w:val="11110"/>
        <w:rPr>
          <w:rtl/>
          <w:lang w:bidi="ar-EG"/>
        </w:rPr>
      </w:pPr>
      <w:bookmarkStart w:id="101" w:name="_Toc195456548"/>
      <w:bookmarkStart w:id="102" w:name="_Hlk193984964"/>
      <w:r w:rsidRPr="00BC50C9">
        <w:rPr>
          <w:rFonts w:hint="cs"/>
          <w:rtl/>
          <w:lang w:bidi="ar-EG"/>
        </w:rPr>
        <w:lastRenderedPageBreak/>
        <w:t>الفصل الرابع</w:t>
      </w:r>
      <w:r w:rsidR="001074C7">
        <w:rPr>
          <w:rFonts w:hint="cs"/>
          <w:rtl/>
          <w:lang w:bidi="ar-EG"/>
        </w:rPr>
        <w:t xml:space="preserve">: </w:t>
      </w:r>
      <w:r w:rsidRPr="00BC50C9">
        <w:rPr>
          <w:rFonts w:hint="cs"/>
          <w:rtl/>
          <w:lang w:bidi="ar-EG"/>
        </w:rPr>
        <w:t>نتائج الدراسة ومناقشتها</w:t>
      </w:r>
      <w:bookmarkEnd w:id="101"/>
    </w:p>
    <w:p w14:paraId="4839114A" w14:textId="6961CCC0" w:rsidR="00DE2B2A" w:rsidRPr="00BC50C9" w:rsidRDefault="001074C7" w:rsidP="001074C7">
      <w:pPr>
        <w:pStyle w:val="22222"/>
        <w:rPr>
          <w:rtl/>
        </w:rPr>
      </w:pPr>
      <w:bookmarkStart w:id="103" w:name="_Toc195456549"/>
      <w:r>
        <w:rPr>
          <w:rFonts w:hint="cs"/>
          <w:rtl/>
        </w:rPr>
        <w:t xml:space="preserve">1.4 </w:t>
      </w:r>
      <w:r w:rsidR="00DE2B2A" w:rsidRPr="00BC50C9">
        <w:rPr>
          <w:rFonts w:hint="cs"/>
          <w:rtl/>
        </w:rPr>
        <w:t>تمهيد</w:t>
      </w:r>
      <w:bookmarkEnd w:id="103"/>
    </w:p>
    <w:p w14:paraId="505929EF" w14:textId="77777777" w:rsidR="00DE2B2A" w:rsidRPr="00BC50C9" w:rsidRDefault="00DE2B2A" w:rsidP="001074C7">
      <w:pPr>
        <w:pStyle w:val="00000"/>
        <w:rPr>
          <w:rtl/>
        </w:rPr>
      </w:pPr>
      <w:r w:rsidRPr="00BC50C9">
        <w:rPr>
          <w:rFonts w:hint="cs"/>
          <w:rtl/>
        </w:rPr>
        <w:t>يتضمن</w:t>
      </w:r>
      <w:r w:rsidRPr="00BC50C9">
        <w:rPr>
          <w:rtl/>
        </w:rPr>
        <w:t xml:space="preserve"> </w:t>
      </w:r>
      <w:r w:rsidRPr="00BC50C9">
        <w:rPr>
          <w:rFonts w:hint="cs"/>
          <w:rtl/>
        </w:rPr>
        <w:t>هذا</w:t>
      </w:r>
      <w:r w:rsidRPr="00BC50C9">
        <w:rPr>
          <w:rtl/>
        </w:rPr>
        <w:t xml:space="preserve"> </w:t>
      </w:r>
      <w:r w:rsidRPr="00BC50C9">
        <w:rPr>
          <w:rFonts w:hint="cs"/>
          <w:rtl/>
        </w:rPr>
        <w:t>الفصل</w:t>
      </w:r>
      <w:r w:rsidRPr="00BC50C9">
        <w:rPr>
          <w:rtl/>
        </w:rPr>
        <w:t xml:space="preserve"> </w:t>
      </w:r>
      <w:r w:rsidRPr="00BC50C9">
        <w:rPr>
          <w:rFonts w:hint="cs"/>
          <w:rtl/>
        </w:rPr>
        <w:t>عرضًا للنتائج</w:t>
      </w:r>
      <w:r w:rsidRPr="00BC50C9">
        <w:rPr>
          <w:rtl/>
        </w:rPr>
        <w:t xml:space="preserve"> </w:t>
      </w:r>
      <w:r w:rsidRPr="00BC50C9">
        <w:rPr>
          <w:rFonts w:hint="cs"/>
          <w:rtl/>
        </w:rPr>
        <w:t>التي</w:t>
      </w:r>
      <w:r w:rsidRPr="00BC50C9">
        <w:rPr>
          <w:rtl/>
        </w:rPr>
        <w:t xml:space="preserve"> </w:t>
      </w:r>
      <w:r w:rsidRPr="00BC50C9">
        <w:rPr>
          <w:rFonts w:hint="cs"/>
          <w:rtl/>
        </w:rPr>
        <w:t>تم</w:t>
      </w:r>
      <w:r w:rsidRPr="00BC50C9">
        <w:rPr>
          <w:rtl/>
        </w:rPr>
        <w:t xml:space="preserve"> </w:t>
      </w:r>
      <w:r w:rsidRPr="00BC50C9">
        <w:rPr>
          <w:rFonts w:hint="cs"/>
          <w:rtl/>
        </w:rPr>
        <w:t>التوصل</w:t>
      </w:r>
      <w:r w:rsidRPr="00BC50C9">
        <w:rPr>
          <w:rtl/>
        </w:rPr>
        <w:t xml:space="preserve"> </w:t>
      </w:r>
      <w:r w:rsidRPr="00BC50C9">
        <w:rPr>
          <w:rFonts w:hint="cs"/>
          <w:rtl/>
        </w:rPr>
        <w:t>إليها</w:t>
      </w:r>
      <w:r w:rsidRPr="00BC50C9">
        <w:rPr>
          <w:rtl/>
        </w:rPr>
        <w:t xml:space="preserve"> </w:t>
      </w:r>
      <w:r w:rsidRPr="00BC50C9">
        <w:rPr>
          <w:rFonts w:hint="cs"/>
          <w:rtl/>
        </w:rPr>
        <w:t>بعد</w:t>
      </w:r>
      <w:r w:rsidRPr="00BC50C9">
        <w:rPr>
          <w:rtl/>
        </w:rPr>
        <w:t xml:space="preserve"> </w:t>
      </w:r>
      <w:r w:rsidRPr="00BC50C9">
        <w:rPr>
          <w:rFonts w:hint="cs"/>
          <w:rtl/>
        </w:rPr>
        <w:t>تطبيق</w:t>
      </w:r>
      <w:r w:rsidRPr="00BC50C9">
        <w:rPr>
          <w:rtl/>
        </w:rPr>
        <w:t xml:space="preserve"> </w:t>
      </w:r>
      <w:r w:rsidRPr="00BC50C9">
        <w:rPr>
          <w:rFonts w:hint="cs"/>
          <w:rtl/>
        </w:rPr>
        <w:t>أدوات</w:t>
      </w:r>
      <w:r w:rsidRPr="00BC50C9">
        <w:rPr>
          <w:rtl/>
        </w:rPr>
        <w:t xml:space="preserve"> </w:t>
      </w:r>
      <w:r w:rsidRPr="00BC50C9">
        <w:rPr>
          <w:rFonts w:hint="cs"/>
          <w:rtl/>
        </w:rPr>
        <w:t>الدراسة</w:t>
      </w:r>
      <w:r w:rsidRPr="00BC50C9">
        <w:rPr>
          <w:rtl/>
        </w:rPr>
        <w:t xml:space="preserve"> </w:t>
      </w:r>
      <w:r w:rsidRPr="00BC50C9">
        <w:rPr>
          <w:rFonts w:hint="cs"/>
          <w:rtl/>
        </w:rPr>
        <w:t>واستخدام</w:t>
      </w:r>
      <w:r w:rsidRPr="00BC50C9">
        <w:rPr>
          <w:rtl/>
        </w:rPr>
        <w:t xml:space="preserve"> </w:t>
      </w:r>
      <w:r w:rsidRPr="00BC50C9">
        <w:rPr>
          <w:rFonts w:hint="cs"/>
          <w:rtl/>
        </w:rPr>
        <w:t>الأساليب</w:t>
      </w:r>
      <w:r w:rsidRPr="00BC50C9">
        <w:rPr>
          <w:rtl/>
        </w:rPr>
        <w:t xml:space="preserve"> </w:t>
      </w:r>
      <w:r w:rsidRPr="00BC50C9">
        <w:rPr>
          <w:rFonts w:hint="cs"/>
          <w:rtl/>
        </w:rPr>
        <w:t>الإحصائية</w:t>
      </w:r>
      <w:r w:rsidRPr="00BC50C9">
        <w:rPr>
          <w:rtl/>
        </w:rPr>
        <w:t xml:space="preserve"> </w:t>
      </w:r>
      <w:r w:rsidRPr="00BC50C9">
        <w:rPr>
          <w:rFonts w:hint="cs"/>
          <w:rtl/>
        </w:rPr>
        <w:t>المشار</w:t>
      </w:r>
      <w:r w:rsidRPr="00BC50C9">
        <w:rPr>
          <w:rtl/>
        </w:rPr>
        <w:t xml:space="preserve"> </w:t>
      </w:r>
      <w:r w:rsidRPr="00BC50C9">
        <w:rPr>
          <w:rFonts w:hint="cs"/>
          <w:rtl/>
        </w:rPr>
        <w:t>إليها،</w:t>
      </w:r>
      <w:r w:rsidRPr="00BC50C9">
        <w:rPr>
          <w:rtl/>
        </w:rPr>
        <w:t xml:space="preserve"> </w:t>
      </w:r>
      <w:r w:rsidRPr="00BC50C9">
        <w:rPr>
          <w:rFonts w:hint="cs"/>
          <w:rtl/>
        </w:rPr>
        <w:t>وذلك</w:t>
      </w:r>
      <w:r w:rsidRPr="00BC50C9">
        <w:rPr>
          <w:rtl/>
        </w:rPr>
        <w:t xml:space="preserve"> </w:t>
      </w:r>
      <w:r w:rsidRPr="00BC50C9">
        <w:rPr>
          <w:rFonts w:hint="cs"/>
          <w:rtl/>
        </w:rPr>
        <w:t>للإجابة</w:t>
      </w:r>
      <w:r w:rsidRPr="00BC50C9">
        <w:rPr>
          <w:rtl/>
        </w:rPr>
        <w:t xml:space="preserve"> </w:t>
      </w:r>
      <w:r w:rsidRPr="00BC50C9">
        <w:rPr>
          <w:rFonts w:hint="cs"/>
          <w:rtl/>
        </w:rPr>
        <w:t>عن</w:t>
      </w:r>
      <w:r w:rsidRPr="00BC50C9">
        <w:rPr>
          <w:rtl/>
        </w:rPr>
        <w:t xml:space="preserve"> </w:t>
      </w:r>
      <w:r w:rsidRPr="00BC50C9">
        <w:rPr>
          <w:rFonts w:hint="cs"/>
          <w:rtl/>
        </w:rPr>
        <w:t>أسئلة</w:t>
      </w:r>
      <w:r w:rsidRPr="00BC50C9">
        <w:rPr>
          <w:rtl/>
        </w:rPr>
        <w:t xml:space="preserve"> </w:t>
      </w:r>
      <w:r w:rsidRPr="00BC50C9">
        <w:rPr>
          <w:rFonts w:hint="cs"/>
          <w:rtl/>
        </w:rPr>
        <w:t>الدراسة،</w:t>
      </w:r>
      <w:r w:rsidRPr="00BC50C9">
        <w:rPr>
          <w:rtl/>
        </w:rPr>
        <w:t xml:space="preserve"> </w:t>
      </w:r>
      <w:r w:rsidRPr="00BC50C9">
        <w:rPr>
          <w:rFonts w:hint="cs"/>
          <w:rtl/>
        </w:rPr>
        <w:t>ويلي</w:t>
      </w:r>
      <w:r w:rsidRPr="00BC50C9">
        <w:rPr>
          <w:rtl/>
        </w:rPr>
        <w:t xml:space="preserve"> </w:t>
      </w:r>
      <w:r w:rsidRPr="00BC50C9">
        <w:rPr>
          <w:rFonts w:hint="cs"/>
          <w:rtl/>
        </w:rPr>
        <w:t>ذلك</w:t>
      </w:r>
      <w:r w:rsidRPr="00BC50C9">
        <w:rPr>
          <w:rtl/>
        </w:rPr>
        <w:t xml:space="preserve"> </w:t>
      </w:r>
      <w:r w:rsidRPr="00BC50C9">
        <w:rPr>
          <w:rFonts w:hint="cs"/>
          <w:rtl/>
        </w:rPr>
        <w:t>تفسير</w:t>
      </w:r>
      <w:r w:rsidRPr="00BC50C9">
        <w:rPr>
          <w:rtl/>
        </w:rPr>
        <w:t xml:space="preserve"> </w:t>
      </w:r>
      <w:r w:rsidRPr="00BC50C9">
        <w:rPr>
          <w:rFonts w:hint="cs"/>
          <w:rtl/>
        </w:rPr>
        <w:t>النتائج</w:t>
      </w:r>
      <w:r w:rsidRPr="00BC50C9">
        <w:rPr>
          <w:rtl/>
        </w:rPr>
        <w:t xml:space="preserve"> </w:t>
      </w:r>
      <w:r w:rsidRPr="00BC50C9">
        <w:rPr>
          <w:rFonts w:hint="cs"/>
          <w:rtl/>
        </w:rPr>
        <w:t>ومناقشتها</w:t>
      </w:r>
      <w:r w:rsidRPr="00BC50C9">
        <w:rPr>
          <w:rtl/>
        </w:rPr>
        <w:t xml:space="preserve"> </w:t>
      </w:r>
      <w:r w:rsidRPr="00BC50C9">
        <w:rPr>
          <w:rFonts w:hint="cs"/>
          <w:rtl/>
        </w:rPr>
        <w:t>في</w:t>
      </w:r>
      <w:r w:rsidRPr="00BC50C9">
        <w:rPr>
          <w:rtl/>
        </w:rPr>
        <w:t xml:space="preserve"> </w:t>
      </w:r>
      <w:r w:rsidRPr="00BC50C9">
        <w:rPr>
          <w:rFonts w:hint="cs"/>
          <w:rtl/>
        </w:rPr>
        <w:t>ضوء</w:t>
      </w:r>
      <w:r w:rsidRPr="00BC50C9">
        <w:rPr>
          <w:rtl/>
        </w:rPr>
        <w:t xml:space="preserve"> </w:t>
      </w:r>
      <w:r w:rsidRPr="00BC50C9">
        <w:rPr>
          <w:rFonts w:hint="cs"/>
          <w:rtl/>
        </w:rPr>
        <w:t>الإطار</w:t>
      </w:r>
      <w:r w:rsidRPr="00BC50C9">
        <w:rPr>
          <w:rtl/>
        </w:rPr>
        <w:t xml:space="preserve"> </w:t>
      </w:r>
      <w:r w:rsidRPr="00BC50C9">
        <w:rPr>
          <w:rFonts w:hint="cs"/>
          <w:rtl/>
        </w:rPr>
        <w:t>النظري</w:t>
      </w:r>
      <w:r w:rsidRPr="00BC50C9">
        <w:rPr>
          <w:rtl/>
        </w:rPr>
        <w:t xml:space="preserve"> </w:t>
      </w:r>
      <w:r w:rsidRPr="00BC50C9">
        <w:rPr>
          <w:rFonts w:hint="cs"/>
          <w:rtl/>
        </w:rPr>
        <w:t>والدراسات</w:t>
      </w:r>
      <w:r w:rsidRPr="00BC50C9">
        <w:rPr>
          <w:rtl/>
        </w:rPr>
        <w:t xml:space="preserve"> </w:t>
      </w:r>
      <w:r w:rsidRPr="00BC50C9">
        <w:rPr>
          <w:rFonts w:hint="cs"/>
          <w:rtl/>
        </w:rPr>
        <w:t>السابقة</w:t>
      </w:r>
      <w:r w:rsidRPr="00BC50C9">
        <w:rPr>
          <w:rtl/>
        </w:rPr>
        <w:t>.</w:t>
      </w:r>
    </w:p>
    <w:p w14:paraId="07AA9ECD" w14:textId="24471EF4" w:rsidR="00DE2B2A" w:rsidRPr="001074C7" w:rsidRDefault="001074C7" w:rsidP="001074C7">
      <w:pPr>
        <w:pStyle w:val="22222"/>
        <w:rPr>
          <w:rtl/>
        </w:rPr>
      </w:pPr>
      <w:bookmarkStart w:id="104" w:name="_Toc195456550"/>
      <w:r>
        <w:rPr>
          <w:rFonts w:hint="cs"/>
          <w:rtl/>
        </w:rPr>
        <w:t xml:space="preserve">2.4 </w:t>
      </w:r>
      <w:r w:rsidR="00DE2B2A" w:rsidRPr="001074C7">
        <w:rPr>
          <w:rFonts w:hint="cs"/>
          <w:rtl/>
        </w:rPr>
        <w:t>القسم الأول: أسئلة الدراسة</w:t>
      </w:r>
      <w:bookmarkEnd w:id="104"/>
    </w:p>
    <w:p w14:paraId="379AE44F" w14:textId="77777777" w:rsidR="00DE2B2A" w:rsidRPr="001074C7" w:rsidRDefault="00DE2B2A">
      <w:pPr>
        <w:pStyle w:val="a3"/>
        <w:numPr>
          <w:ilvl w:val="0"/>
          <w:numId w:val="60"/>
        </w:numPr>
        <w:bidi/>
        <w:spacing w:before="120" w:after="120" w:line="240" w:lineRule="auto"/>
        <w:jc w:val="both"/>
        <w:rPr>
          <w:rFonts w:ascii="Times New Roman" w:hAnsi="Times New Roman" w:cs="Simplified Arabic"/>
          <w:b/>
          <w:bCs/>
          <w:sz w:val="24"/>
          <w:szCs w:val="28"/>
          <w:rtl/>
        </w:rPr>
      </w:pPr>
      <w:r w:rsidRPr="001074C7">
        <w:rPr>
          <w:rFonts w:ascii="Times New Roman" w:hAnsi="Times New Roman" w:cs="Simplified Arabic" w:hint="cs"/>
          <w:b/>
          <w:bCs/>
          <w:sz w:val="24"/>
          <w:szCs w:val="28"/>
          <w:rtl/>
          <w:lang w:bidi="ar-EG"/>
        </w:rPr>
        <w:t>أولاً: عرض ومناقشة وتفسير نتائج السؤال الأول الذي نص على: ما واقع استخدام التمويل التشاركي في المنصات الالكترونية بالمملكة العربية السعودية</w:t>
      </w:r>
      <w:r w:rsidRPr="001074C7">
        <w:rPr>
          <w:rFonts w:ascii="Times New Roman" w:hAnsi="Times New Roman" w:cs="Simplified Arabic" w:hint="cs"/>
          <w:b/>
          <w:bCs/>
          <w:sz w:val="24"/>
          <w:szCs w:val="28"/>
          <w:rtl/>
        </w:rPr>
        <w:t xml:space="preserve">؟ </w:t>
      </w:r>
    </w:p>
    <w:p w14:paraId="4C356944" w14:textId="77777777" w:rsidR="00DE2B2A" w:rsidRPr="00BC50C9" w:rsidRDefault="00DE2B2A" w:rsidP="001074C7">
      <w:pPr>
        <w:pStyle w:val="00000"/>
        <w:rPr>
          <w:rtl/>
        </w:rPr>
      </w:pPr>
      <w:r w:rsidRPr="00BC50C9">
        <w:rPr>
          <w:rFonts w:hint="cs"/>
          <w:rtl/>
        </w:rPr>
        <w:t>وللإجابة على السؤال قد تم حساب التكرارات والنسب المئوية وحساب المتوسطات الحسابية والانحرافات المعيارية للإبعاد المحور الأول: التمويل التشاركي ومن ثم ترتيب هذه العبارات تنازليًا حسب المتوسط الحسابي لكل بعد</w:t>
      </w:r>
      <w:r w:rsidRPr="00BC50C9">
        <w:rPr>
          <w:rFonts w:hint="cs"/>
          <w:b/>
          <w:bCs/>
          <w:rtl/>
        </w:rPr>
        <w:t xml:space="preserve">، </w:t>
      </w:r>
      <w:r w:rsidRPr="00BC50C9">
        <w:rPr>
          <w:rFonts w:hint="cs"/>
          <w:rtl/>
        </w:rPr>
        <w:t xml:space="preserve">ويبين ذلك الجدول التالي: </w:t>
      </w:r>
    </w:p>
    <w:p w14:paraId="381422E1" w14:textId="77777777" w:rsidR="00DE2B2A" w:rsidRPr="00BC50C9" w:rsidRDefault="00DE2B2A" w:rsidP="001074C7">
      <w:pPr>
        <w:pStyle w:val="33333"/>
        <w:rPr>
          <w:rtl/>
        </w:rPr>
      </w:pPr>
      <w:bookmarkStart w:id="105" w:name="_Toc195456551"/>
      <w:r w:rsidRPr="00BC50C9">
        <w:rPr>
          <w:rFonts w:hint="cs"/>
          <w:rtl/>
        </w:rPr>
        <w:t>جدول رقم (4-1) المتوسطات</w:t>
      </w:r>
      <w:r w:rsidRPr="00BC50C9">
        <w:rPr>
          <w:rtl/>
        </w:rPr>
        <w:t xml:space="preserve"> </w:t>
      </w:r>
      <w:r w:rsidRPr="00BC50C9">
        <w:rPr>
          <w:rFonts w:hint="cs"/>
          <w:rtl/>
        </w:rPr>
        <w:t>الحسابية</w:t>
      </w:r>
      <w:r w:rsidRPr="00BC50C9">
        <w:rPr>
          <w:rtl/>
        </w:rPr>
        <w:t xml:space="preserve"> </w:t>
      </w:r>
      <w:r w:rsidRPr="00BC50C9">
        <w:rPr>
          <w:rFonts w:hint="cs"/>
          <w:rtl/>
        </w:rPr>
        <w:t>والانحرافات</w:t>
      </w:r>
      <w:r w:rsidRPr="00BC50C9">
        <w:rPr>
          <w:rtl/>
        </w:rPr>
        <w:t xml:space="preserve"> </w:t>
      </w:r>
      <w:r w:rsidRPr="00BC50C9">
        <w:rPr>
          <w:rFonts w:hint="cs"/>
          <w:rtl/>
        </w:rPr>
        <w:t>المعيارية</w:t>
      </w:r>
      <w:r w:rsidRPr="00BC50C9">
        <w:rPr>
          <w:rtl/>
        </w:rPr>
        <w:t xml:space="preserve"> </w:t>
      </w:r>
      <w:r w:rsidRPr="00BC50C9">
        <w:rPr>
          <w:rFonts w:hint="cs"/>
          <w:rtl/>
        </w:rPr>
        <w:t>لاستجابات</w:t>
      </w:r>
      <w:r w:rsidRPr="00BC50C9">
        <w:rPr>
          <w:rtl/>
        </w:rPr>
        <w:t xml:space="preserve"> </w:t>
      </w:r>
      <w:r w:rsidRPr="00BC50C9">
        <w:rPr>
          <w:rFonts w:hint="cs"/>
          <w:rtl/>
        </w:rPr>
        <w:t>أفراد</w:t>
      </w:r>
      <w:r w:rsidRPr="00BC50C9">
        <w:rPr>
          <w:rtl/>
        </w:rPr>
        <w:t xml:space="preserve"> </w:t>
      </w:r>
      <w:r w:rsidRPr="00BC50C9">
        <w:rPr>
          <w:rFonts w:hint="cs"/>
          <w:rtl/>
        </w:rPr>
        <w:t>العينة للمحور الأول: التمويل التشاركي</w:t>
      </w:r>
      <w:bookmarkEnd w:id="105"/>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1"/>
        <w:gridCol w:w="3279"/>
        <w:gridCol w:w="1556"/>
        <w:gridCol w:w="1608"/>
        <w:gridCol w:w="558"/>
        <w:gridCol w:w="1400"/>
      </w:tblGrid>
      <w:tr w:rsidR="00DE2B2A" w:rsidRPr="00D80B56" w14:paraId="296AD0CE" w14:textId="77777777" w:rsidTr="00D80B56">
        <w:trPr>
          <w:trHeight w:val="70"/>
          <w:jc w:val="center"/>
        </w:trPr>
        <w:tc>
          <w:tcPr>
            <w:tcW w:w="372" w:type="pct"/>
            <w:shd w:val="clear" w:color="auto" w:fill="BFBFBF"/>
            <w:vAlign w:val="center"/>
          </w:tcPr>
          <w:p w14:paraId="778AEF05"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rPr>
            </w:pPr>
            <w:r w:rsidRPr="00D80B56">
              <w:rPr>
                <w:rFonts w:ascii="Times New Roman" w:hAnsi="Times New Roman" w:cs="Simplified Arabic" w:hint="cs"/>
                <w:b/>
                <w:bCs/>
                <w:sz w:val="20"/>
                <w:szCs w:val="20"/>
                <w:rtl/>
              </w:rPr>
              <w:t>الرقم</w:t>
            </w:r>
          </w:p>
        </w:tc>
        <w:tc>
          <w:tcPr>
            <w:tcW w:w="1815" w:type="pct"/>
            <w:shd w:val="clear" w:color="auto" w:fill="BFBFBF"/>
            <w:vAlign w:val="center"/>
          </w:tcPr>
          <w:p w14:paraId="2800987E"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rPr>
            </w:pPr>
            <w:r w:rsidRPr="00D80B56">
              <w:rPr>
                <w:rFonts w:ascii="Times New Roman" w:hAnsi="Times New Roman" w:cs="Simplified Arabic" w:hint="cs"/>
                <w:b/>
                <w:bCs/>
                <w:sz w:val="20"/>
                <w:szCs w:val="20"/>
                <w:rtl/>
              </w:rPr>
              <w:t>أبعاد المحور الأول</w:t>
            </w:r>
          </w:p>
        </w:tc>
        <w:tc>
          <w:tcPr>
            <w:tcW w:w="865" w:type="pct"/>
            <w:shd w:val="clear" w:color="auto" w:fill="BFBFBF"/>
            <w:vAlign w:val="center"/>
          </w:tcPr>
          <w:p w14:paraId="39E6CF0C"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rPr>
            </w:pPr>
            <w:r w:rsidRPr="00D80B56">
              <w:rPr>
                <w:rFonts w:ascii="Times New Roman" w:hAnsi="Times New Roman" w:cs="Simplified Arabic" w:hint="cs"/>
                <w:b/>
                <w:bCs/>
                <w:sz w:val="20"/>
                <w:szCs w:val="20"/>
                <w:rtl/>
              </w:rPr>
              <w:t>المتوسط الحسابي</w:t>
            </w:r>
          </w:p>
        </w:tc>
        <w:tc>
          <w:tcPr>
            <w:tcW w:w="894" w:type="pct"/>
            <w:shd w:val="clear" w:color="auto" w:fill="BFBFBF"/>
            <w:vAlign w:val="center"/>
          </w:tcPr>
          <w:p w14:paraId="66A1DED1"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rPr>
            </w:pPr>
            <w:r w:rsidRPr="00D80B56">
              <w:rPr>
                <w:rFonts w:ascii="Times New Roman" w:hAnsi="Times New Roman" w:cs="Simplified Arabic" w:hint="cs"/>
                <w:b/>
                <w:bCs/>
                <w:sz w:val="20"/>
                <w:szCs w:val="20"/>
                <w:rtl/>
              </w:rPr>
              <w:t>الانحراف المعياري</w:t>
            </w:r>
          </w:p>
        </w:tc>
        <w:tc>
          <w:tcPr>
            <w:tcW w:w="274" w:type="pct"/>
            <w:shd w:val="clear" w:color="auto" w:fill="BFBFBF"/>
            <w:vAlign w:val="center"/>
          </w:tcPr>
          <w:p w14:paraId="6AEDE17F"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rPr>
            </w:pPr>
            <w:r w:rsidRPr="00D80B56">
              <w:rPr>
                <w:rFonts w:ascii="Times New Roman" w:hAnsi="Times New Roman" w:cs="Simplified Arabic" w:hint="cs"/>
                <w:b/>
                <w:bCs/>
                <w:sz w:val="20"/>
                <w:szCs w:val="20"/>
                <w:rtl/>
              </w:rPr>
              <w:t>الرتبة</w:t>
            </w:r>
          </w:p>
        </w:tc>
        <w:tc>
          <w:tcPr>
            <w:tcW w:w="779" w:type="pct"/>
            <w:shd w:val="clear" w:color="auto" w:fill="BFBFBF"/>
            <w:vAlign w:val="center"/>
          </w:tcPr>
          <w:p w14:paraId="42F0C2B7"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b/>
                <w:bCs/>
                <w:sz w:val="20"/>
                <w:szCs w:val="20"/>
                <w:rtl/>
                <w:lang w:bidi="ar-EG"/>
              </w:rPr>
            </w:pPr>
            <w:r w:rsidRPr="00D80B56">
              <w:rPr>
                <w:rFonts w:ascii="Times New Roman" w:hAnsi="Times New Roman" w:cs="Simplified Arabic" w:hint="cs"/>
                <w:b/>
                <w:bCs/>
                <w:sz w:val="20"/>
                <w:szCs w:val="20"/>
                <w:rtl/>
              </w:rPr>
              <w:t>درجة استجابة</w:t>
            </w:r>
          </w:p>
        </w:tc>
      </w:tr>
      <w:tr w:rsidR="00DE2B2A" w:rsidRPr="00D80B56" w14:paraId="7846F999" w14:textId="77777777" w:rsidTr="00D80B56">
        <w:trPr>
          <w:jc w:val="center"/>
        </w:trPr>
        <w:tc>
          <w:tcPr>
            <w:tcW w:w="372" w:type="pct"/>
            <w:vAlign w:val="center"/>
          </w:tcPr>
          <w:p w14:paraId="01D93F03"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tl/>
              </w:rPr>
            </w:pPr>
            <w:r w:rsidRPr="00D80B56">
              <w:rPr>
                <w:rFonts w:ascii="Times New Roman" w:hAnsi="Times New Roman" w:cs="Simplified Arabic" w:hint="cs"/>
                <w:sz w:val="20"/>
                <w:szCs w:val="20"/>
                <w:rtl/>
              </w:rPr>
              <w:t>1</w:t>
            </w:r>
          </w:p>
        </w:tc>
        <w:tc>
          <w:tcPr>
            <w:tcW w:w="1815" w:type="pct"/>
            <w:vAlign w:val="center"/>
          </w:tcPr>
          <w:p w14:paraId="06531735"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tl/>
              </w:rPr>
              <w:t xml:space="preserve">البعد الأول: </w:t>
            </w:r>
            <w:r w:rsidRPr="00D80B56">
              <w:rPr>
                <w:rFonts w:ascii="Times New Roman" w:hAnsi="Times New Roman" w:cs="Simplified Arabic" w:hint="cs"/>
                <w:color w:val="000000"/>
                <w:sz w:val="20"/>
                <w:szCs w:val="20"/>
                <w:rtl/>
              </w:rPr>
              <w:t xml:space="preserve">التمويل </w:t>
            </w:r>
            <w:proofErr w:type="spellStart"/>
            <w:r w:rsidRPr="00D80B56">
              <w:rPr>
                <w:rFonts w:ascii="Times New Roman" w:hAnsi="Times New Roman" w:cs="Simplified Arabic" w:hint="cs"/>
                <w:color w:val="000000"/>
                <w:sz w:val="20"/>
                <w:szCs w:val="20"/>
                <w:rtl/>
              </w:rPr>
              <w:t>التبرعي</w:t>
            </w:r>
            <w:proofErr w:type="spellEnd"/>
          </w:p>
        </w:tc>
        <w:tc>
          <w:tcPr>
            <w:tcW w:w="865" w:type="pct"/>
            <w:vAlign w:val="center"/>
          </w:tcPr>
          <w:p w14:paraId="3CADF9D0"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3.96</w:t>
            </w:r>
          </w:p>
        </w:tc>
        <w:tc>
          <w:tcPr>
            <w:tcW w:w="894" w:type="pct"/>
            <w:vAlign w:val="center"/>
          </w:tcPr>
          <w:p w14:paraId="79557BD0"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.596</w:t>
            </w:r>
          </w:p>
        </w:tc>
        <w:tc>
          <w:tcPr>
            <w:tcW w:w="274" w:type="pct"/>
            <w:vAlign w:val="center"/>
          </w:tcPr>
          <w:p w14:paraId="5F7BD49E"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1</w:t>
            </w:r>
          </w:p>
        </w:tc>
        <w:tc>
          <w:tcPr>
            <w:tcW w:w="779" w:type="pct"/>
            <w:vAlign w:val="center"/>
          </w:tcPr>
          <w:p w14:paraId="2C98AD8E"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Pr>
            </w:pPr>
            <w:r w:rsidRPr="00D80B56">
              <w:rPr>
                <w:rFonts w:ascii="Times New Roman" w:hAnsi="Times New Roman" w:cs="Simplified Arabic" w:hint="cs"/>
                <w:color w:val="000000"/>
                <w:sz w:val="20"/>
                <w:szCs w:val="20"/>
                <w:rtl/>
                <w:lang w:bidi="ar-EG"/>
              </w:rPr>
              <w:t>عالية</w:t>
            </w:r>
          </w:p>
        </w:tc>
      </w:tr>
      <w:tr w:rsidR="00DE2B2A" w:rsidRPr="00D80B56" w14:paraId="5CB6A865" w14:textId="77777777" w:rsidTr="00D80B56">
        <w:trPr>
          <w:jc w:val="center"/>
        </w:trPr>
        <w:tc>
          <w:tcPr>
            <w:tcW w:w="372" w:type="pct"/>
            <w:vAlign w:val="center"/>
          </w:tcPr>
          <w:p w14:paraId="55E25AB1"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tl/>
              </w:rPr>
            </w:pPr>
            <w:r w:rsidRPr="00D80B56">
              <w:rPr>
                <w:rFonts w:ascii="Times New Roman" w:hAnsi="Times New Roman" w:cs="Simplified Arabic" w:hint="cs"/>
                <w:sz w:val="20"/>
                <w:szCs w:val="20"/>
                <w:rtl/>
              </w:rPr>
              <w:t>2</w:t>
            </w:r>
          </w:p>
        </w:tc>
        <w:tc>
          <w:tcPr>
            <w:tcW w:w="1815" w:type="pct"/>
            <w:vAlign w:val="center"/>
          </w:tcPr>
          <w:p w14:paraId="67BE18BB"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lang w:bidi="ar-KW"/>
              </w:rPr>
            </w:pPr>
            <w:r w:rsidRPr="00D80B56">
              <w:rPr>
                <w:rFonts w:ascii="Times New Roman" w:hAnsi="Times New Roman" w:cs="Simplified Arabic"/>
                <w:color w:val="000000"/>
                <w:sz w:val="20"/>
                <w:szCs w:val="20"/>
                <w:rtl/>
              </w:rPr>
              <w:t xml:space="preserve">البعد الثاني: </w:t>
            </w:r>
            <w:r w:rsidRPr="00D80B56">
              <w:rPr>
                <w:rFonts w:ascii="Times New Roman" w:hAnsi="Times New Roman" w:cs="Simplified Arabic" w:hint="cs"/>
                <w:color w:val="000000"/>
                <w:sz w:val="20"/>
                <w:szCs w:val="20"/>
                <w:rtl/>
              </w:rPr>
              <w:t>التمويل القائم على المكافآت</w:t>
            </w:r>
          </w:p>
        </w:tc>
        <w:tc>
          <w:tcPr>
            <w:tcW w:w="865" w:type="pct"/>
            <w:vAlign w:val="center"/>
          </w:tcPr>
          <w:p w14:paraId="02C7B560"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3.86</w:t>
            </w:r>
          </w:p>
        </w:tc>
        <w:tc>
          <w:tcPr>
            <w:tcW w:w="894" w:type="pct"/>
            <w:vAlign w:val="center"/>
          </w:tcPr>
          <w:p w14:paraId="4285C585"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.655</w:t>
            </w:r>
          </w:p>
        </w:tc>
        <w:tc>
          <w:tcPr>
            <w:tcW w:w="274" w:type="pct"/>
            <w:vAlign w:val="center"/>
          </w:tcPr>
          <w:p w14:paraId="20F74827"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3</w:t>
            </w:r>
          </w:p>
        </w:tc>
        <w:tc>
          <w:tcPr>
            <w:tcW w:w="779" w:type="pct"/>
            <w:vAlign w:val="center"/>
          </w:tcPr>
          <w:p w14:paraId="4997B990"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Pr>
            </w:pPr>
            <w:r w:rsidRPr="00D80B56">
              <w:rPr>
                <w:rFonts w:ascii="Times New Roman" w:hAnsi="Times New Roman" w:cs="Simplified Arabic" w:hint="cs"/>
                <w:color w:val="000000"/>
                <w:sz w:val="20"/>
                <w:szCs w:val="20"/>
                <w:rtl/>
                <w:lang w:bidi="ar-EG"/>
              </w:rPr>
              <w:t>عالية</w:t>
            </w:r>
          </w:p>
        </w:tc>
      </w:tr>
      <w:tr w:rsidR="00DE2B2A" w:rsidRPr="00D80B56" w14:paraId="2A0DE139" w14:textId="77777777" w:rsidTr="00D80B56">
        <w:trPr>
          <w:jc w:val="center"/>
        </w:trPr>
        <w:tc>
          <w:tcPr>
            <w:tcW w:w="372" w:type="pct"/>
            <w:vAlign w:val="center"/>
          </w:tcPr>
          <w:p w14:paraId="666717C9"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tl/>
              </w:rPr>
            </w:pPr>
            <w:r w:rsidRPr="00D80B56">
              <w:rPr>
                <w:rFonts w:ascii="Times New Roman" w:hAnsi="Times New Roman" w:cs="Simplified Arabic" w:hint="cs"/>
                <w:sz w:val="20"/>
                <w:szCs w:val="20"/>
                <w:rtl/>
              </w:rPr>
              <w:t>3</w:t>
            </w:r>
          </w:p>
        </w:tc>
        <w:tc>
          <w:tcPr>
            <w:tcW w:w="1815" w:type="pct"/>
            <w:vAlign w:val="center"/>
          </w:tcPr>
          <w:p w14:paraId="1C0865D8"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tl/>
                <w:lang w:bidi="ar-EG"/>
              </w:rPr>
            </w:pPr>
            <w:r w:rsidRPr="00D80B56">
              <w:rPr>
                <w:rFonts w:ascii="Times New Roman" w:hAnsi="Times New Roman" w:cs="Simplified Arabic"/>
                <w:color w:val="000000"/>
                <w:sz w:val="20"/>
                <w:szCs w:val="20"/>
                <w:rtl/>
              </w:rPr>
              <w:t>البعد الثالث</w:t>
            </w:r>
            <w:r w:rsidRPr="00D80B56">
              <w:rPr>
                <w:rFonts w:ascii="Times New Roman" w:hAnsi="Times New Roman" w:cs="Simplified Arabic" w:hint="cs"/>
                <w:color w:val="000000"/>
                <w:sz w:val="20"/>
                <w:szCs w:val="20"/>
                <w:rtl/>
                <w:lang w:bidi="ar-EG"/>
              </w:rPr>
              <w:t>: التمويل التشاركي المختلط</w:t>
            </w:r>
          </w:p>
        </w:tc>
        <w:tc>
          <w:tcPr>
            <w:tcW w:w="865" w:type="pct"/>
            <w:vAlign w:val="center"/>
          </w:tcPr>
          <w:p w14:paraId="0937D18F"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3.91</w:t>
            </w:r>
          </w:p>
        </w:tc>
        <w:tc>
          <w:tcPr>
            <w:tcW w:w="894" w:type="pct"/>
            <w:vAlign w:val="center"/>
          </w:tcPr>
          <w:p w14:paraId="3D6F165E"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.560</w:t>
            </w:r>
          </w:p>
        </w:tc>
        <w:tc>
          <w:tcPr>
            <w:tcW w:w="274" w:type="pct"/>
            <w:vAlign w:val="center"/>
          </w:tcPr>
          <w:p w14:paraId="69B9EF8F"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2</w:t>
            </w:r>
          </w:p>
        </w:tc>
        <w:tc>
          <w:tcPr>
            <w:tcW w:w="779" w:type="pct"/>
            <w:vAlign w:val="center"/>
          </w:tcPr>
          <w:p w14:paraId="1D2831DE"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Pr>
            </w:pPr>
            <w:r w:rsidRPr="00D80B56">
              <w:rPr>
                <w:rFonts w:ascii="Times New Roman" w:hAnsi="Times New Roman" w:cs="Simplified Arabic" w:hint="cs"/>
                <w:color w:val="000000"/>
                <w:sz w:val="20"/>
                <w:szCs w:val="20"/>
                <w:rtl/>
                <w:lang w:bidi="ar-EG"/>
              </w:rPr>
              <w:t>عالية</w:t>
            </w:r>
          </w:p>
        </w:tc>
      </w:tr>
      <w:tr w:rsidR="00DE2B2A" w:rsidRPr="00D80B56" w14:paraId="2C5AC24B" w14:textId="77777777" w:rsidTr="00D80B56">
        <w:trPr>
          <w:jc w:val="center"/>
        </w:trPr>
        <w:tc>
          <w:tcPr>
            <w:tcW w:w="2188" w:type="pct"/>
            <w:gridSpan w:val="2"/>
            <w:shd w:val="clear" w:color="auto" w:fill="BFBFBF"/>
            <w:vAlign w:val="center"/>
          </w:tcPr>
          <w:p w14:paraId="71861DCC"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tl/>
              </w:rPr>
            </w:pPr>
            <w:r w:rsidRPr="00D80B56">
              <w:rPr>
                <w:rFonts w:ascii="Times New Roman" w:hAnsi="Times New Roman" w:cs="Simplified Arabic" w:hint="cs"/>
                <w:sz w:val="20"/>
                <w:szCs w:val="20"/>
                <w:rtl/>
              </w:rPr>
              <w:t>المتوسط العام</w:t>
            </w:r>
          </w:p>
        </w:tc>
        <w:tc>
          <w:tcPr>
            <w:tcW w:w="865" w:type="pct"/>
            <w:shd w:val="clear" w:color="auto" w:fill="BFBFBF"/>
            <w:vAlign w:val="center"/>
          </w:tcPr>
          <w:p w14:paraId="41320FFF" w14:textId="77777777" w:rsidR="00DE2B2A" w:rsidRPr="00D80B56" w:rsidRDefault="00DE2B2A" w:rsidP="00D80B56">
            <w:pPr>
              <w:autoSpaceDE w:val="0"/>
              <w:autoSpaceDN w:val="0"/>
              <w:bidi/>
              <w:adjustRightInd w:val="0"/>
              <w:spacing w:after="0" w:line="240" w:lineRule="auto"/>
              <w:jc w:val="center"/>
              <w:rPr>
                <w:rFonts w:ascii="Times New Roman" w:hAnsi="Times New Roman" w:cs="Simplified Arabic"/>
                <w:sz w:val="20"/>
                <w:szCs w:val="20"/>
              </w:rPr>
            </w:pPr>
            <w:r w:rsidRPr="00D80B56">
              <w:rPr>
                <w:rFonts w:ascii="Times New Roman" w:hAnsi="Times New Roman" w:cs="Simplified Arabic"/>
                <w:color w:val="000000"/>
                <w:sz w:val="20"/>
                <w:szCs w:val="20"/>
              </w:rPr>
              <w:t>3.91</w:t>
            </w:r>
          </w:p>
        </w:tc>
        <w:tc>
          <w:tcPr>
            <w:tcW w:w="894" w:type="pct"/>
            <w:shd w:val="clear" w:color="auto" w:fill="BFBFBF"/>
            <w:vAlign w:val="center"/>
          </w:tcPr>
          <w:p w14:paraId="389C9143"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D80B56">
              <w:rPr>
                <w:rFonts w:ascii="Times New Roman" w:hAnsi="Times New Roman" w:cs="Simplified Arabic"/>
                <w:color w:val="000000"/>
                <w:sz w:val="20"/>
                <w:szCs w:val="20"/>
              </w:rPr>
              <w:t>.528</w:t>
            </w:r>
          </w:p>
        </w:tc>
        <w:tc>
          <w:tcPr>
            <w:tcW w:w="274" w:type="pct"/>
            <w:shd w:val="clear" w:color="auto" w:fill="BFBFBF"/>
            <w:vAlign w:val="center"/>
          </w:tcPr>
          <w:p w14:paraId="697D9932"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lang w:bidi="ar-EG"/>
              </w:rPr>
            </w:pPr>
            <w:r w:rsidRPr="00D80B56">
              <w:rPr>
                <w:rFonts w:ascii="Times New Roman" w:hAnsi="Times New Roman" w:cs="Simplified Arabic" w:hint="cs"/>
                <w:color w:val="000000"/>
                <w:sz w:val="20"/>
                <w:szCs w:val="20"/>
                <w:rtl/>
                <w:lang w:bidi="ar-EG"/>
              </w:rPr>
              <w:t>--</w:t>
            </w:r>
          </w:p>
        </w:tc>
        <w:tc>
          <w:tcPr>
            <w:tcW w:w="779" w:type="pct"/>
            <w:shd w:val="clear" w:color="auto" w:fill="BFBFBF"/>
            <w:vAlign w:val="center"/>
          </w:tcPr>
          <w:p w14:paraId="126AF58C" w14:textId="77777777" w:rsidR="00DE2B2A" w:rsidRPr="00D80B56" w:rsidRDefault="00DE2B2A" w:rsidP="00D80B56">
            <w:pPr>
              <w:autoSpaceDE w:val="0"/>
              <w:autoSpaceDN w:val="0"/>
              <w:bidi/>
              <w:adjustRightInd w:val="0"/>
              <w:spacing w:after="0" w:line="240" w:lineRule="auto"/>
              <w:ind w:left="60" w:right="60"/>
              <w:jc w:val="center"/>
              <w:rPr>
                <w:rFonts w:ascii="Times New Roman" w:hAnsi="Times New Roman" w:cs="Simplified Arabic"/>
                <w:color w:val="000000"/>
                <w:sz w:val="20"/>
                <w:szCs w:val="20"/>
                <w:lang w:bidi="ar-EG"/>
              </w:rPr>
            </w:pPr>
            <w:r w:rsidRPr="00D80B56">
              <w:rPr>
                <w:rFonts w:ascii="Times New Roman" w:hAnsi="Times New Roman" w:cs="Simplified Arabic" w:hint="cs"/>
                <w:color w:val="000000"/>
                <w:sz w:val="20"/>
                <w:szCs w:val="20"/>
                <w:rtl/>
                <w:lang w:bidi="ar-EG"/>
              </w:rPr>
              <w:t>عالية</w:t>
            </w:r>
          </w:p>
        </w:tc>
      </w:tr>
    </w:tbl>
    <w:p w14:paraId="30DC8732" w14:textId="77777777" w:rsidR="00DE2B2A" w:rsidRPr="00BC50C9" w:rsidRDefault="00DE2B2A" w:rsidP="00D80B56">
      <w:pPr>
        <w:pStyle w:val="00000"/>
        <w:rPr>
          <w:rtl/>
        </w:rPr>
      </w:pPr>
      <w:r w:rsidRPr="00BC50C9">
        <w:rPr>
          <w:rtl/>
        </w:rPr>
        <w:t>يتبين من الجدول السابق: أن المتوسط العام للمحور الأول:</w:t>
      </w:r>
      <w:r w:rsidRPr="00BC50C9">
        <w:rPr>
          <w:rFonts w:hint="cs"/>
          <w:rtl/>
        </w:rPr>
        <w:t xml:space="preserve"> التمويل التشاركي </w:t>
      </w:r>
      <w:r w:rsidRPr="00BC50C9">
        <w:rPr>
          <w:rtl/>
        </w:rPr>
        <w:t>جاء بمتوسط حسابي (</w:t>
      </w:r>
      <w:r w:rsidRPr="00BC50C9">
        <w:rPr>
          <w:color w:val="000000"/>
        </w:rPr>
        <w:t>3.91</w:t>
      </w:r>
      <w:r w:rsidRPr="00BC50C9">
        <w:rPr>
          <w:rtl/>
        </w:rPr>
        <w:t>) وانحراف معياري (</w:t>
      </w:r>
      <w:r w:rsidRPr="00BC50C9">
        <w:rPr>
          <w:color w:val="000000"/>
        </w:rPr>
        <w:t>.528</w:t>
      </w:r>
      <w:r w:rsidRPr="00BC50C9">
        <w:rPr>
          <w:rtl/>
        </w:rPr>
        <w:t>) وبدرجة استجابة (</w:t>
      </w:r>
      <w:r w:rsidRPr="00BC50C9">
        <w:rPr>
          <w:rFonts w:hint="cs"/>
          <w:rtl/>
        </w:rPr>
        <w:t>عالية</w:t>
      </w:r>
      <w:r w:rsidRPr="00BC50C9">
        <w:rPr>
          <w:rtl/>
        </w:rPr>
        <w:t xml:space="preserve">)، وجاء في الترتيب الأول (البعد الأول: </w:t>
      </w:r>
      <w:r w:rsidRPr="00BC50C9">
        <w:rPr>
          <w:rFonts w:hint="cs"/>
          <w:rtl/>
        </w:rPr>
        <w:t xml:space="preserve">التمويل </w:t>
      </w:r>
      <w:proofErr w:type="spellStart"/>
      <w:r w:rsidRPr="00BC50C9">
        <w:rPr>
          <w:rFonts w:hint="cs"/>
          <w:rtl/>
        </w:rPr>
        <w:t>التبرعي</w:t>
      </w:r>
      <w:proofErr w:type="spellEnd"/>
      <w:r w:rsidRPr="00BC50C9">
        <w:rPr>
          <w:rtl/>
        </w:rPr>
        <w:t>)، بمتوسط حسابي (</w:t>
      </w:r>
      <w:r w:rsidRPr="00BC50C9">
        <w:rPr>
          <w:color w:val="000000"/>
        </w:rPr>
        <w:t>3.96</w:t>
      </w:r>
      <w:r w:rsidRPr="00BC50C9">
        <w:rPr>
          <w:rtl/>
        </w:rPr>
        <w:t>)، وانحراف معياري (</w:t>
      </w:r>
      <w:r w:rsidRPr="00BC50C9">
        <w:rPr>
          <w:color w:val="000000"/>
        </w:rPr>
        <w:t>.596</w:t>
      </w:r>
      <w:r w:rsidRPr="00BC50C9">
        <w:rPr>
          <w:rtl/>
        </w:rPr>
        <w:t>)، ويليه في الترتيب الثاني (البعد الثالث</w:t>
      </w:r>
      <w:r w:rsidRPr="00BC50C9">
        <w:rPr>
          <w:rFonts w:hint="cs"/>
          <w:rtl/>
        </w:rPr>
        <w:t>: التمويل التشاركي المختلط</w:t>
      </w:r>
      <w:r w:rsidRPr="00BC50C9">
        <w:rPr>
          <w:rtl/>
        </w:rPr>
        <w:t>) بمتوسط حسابي (</w:t>
      </w:r>
      <w:r w:rsidRPr="00BC50C9">
        <w:rPr>
          <w:color w:val="000000"/>
        </w:rPr>
        <w:t>3.91</w:t>
      </w:r>
      <w:r w:rsidRPr="00BC50C9">
        <w:rPr>
          <w:rtl/>
        </w:rPr>
        <w:t>)، وانحراف معياري (</w:t>
      </w:r>
      <w:r w:rsidRPr="00BC50C9">
        <w:rPr>
          <w:color w:val="000000"/>
        </w:rPr>
        <w:t>.560</w:t>
      </w:r>
      <w:r w:rsidRPr="00BC50C9">
        <w:rPr>
          <w:rtl/>
        </w:rPr>
        <w:t xml:space="preserve">)، بينما جاء في </w:t>
      </w:r>
      <w:r w:rsidRPr="00BC50C9">
        <w:rPr>
          <w:rFonts w:hint="cs"/>
          <w:rtl/>
        </w:rPr>
        <w:t>الترتيب الأخير</w:t>
      </w:r>
      <w:r w:rsidRPr="00BC50C9">
        <w:rPr>
          <w:rtl/>
        </w:rPr>
        <w:t xml:space="preserve"> (البعد الثاني: </w:t>
      </w:r>
      <w:r w:rsidRPr="00BC50C9">
        <w:rPr>
          <w:rFonts w:hint="cs"/>
          <w:rtl/>
        </w:rPr>
        <w:t>التمويل القائم على المكافآت</w:t>
      </w:r>
      <w:r w:rsidRPr="00BC50C9">
        <w:rPr>
          <w:rtl/>
        </w:rPr>
        <w:t>) بمتوسط حسابي (</w:t>
      </w:r>
      <w:r w:rsidRPr="00BC50C9">
        <w:rPr>
          <w:color w:val="000000"/>
        </w:rPr>
        <w:t>3.86</w:t>
      </w:r>
      <w:r w:rsidRPr="00BC50C9">
        <w:rPr>
          <w:rtl/>
        </w:rPr>
        <w:t>) وانحراف معياري (</w:t>
      </w:r>
      <w:r w:rsidRPr="00BC50C9">
        <w:rPr>
          <w:color w:val="000000"/>
        </w:rPr>
        <w:t>.655</w:t>
      </w:r>
      <w:r w:rsidRPr="00BC50C9">
        <w:rPr>
          <w:rtl/>
        </w:rPr>
        <w:t>) وجاءت جميع أبعاد المحور الأول بدرجة استجابة (</w:t>
      </w:r>
      <w:r w:rsidRPr="00BC50C9">
        <w:rPr>
          <w:rFonts w:hint="cs"/>
          <w:rtl/>
        </w:rPr>
        <w:t>عالية</w:t>
      </w:r>
      <w:r w:rsidRPr="00BC50C9">
        <w:rPr>
          <w:rtl/>
        </w:rPr>
        <w:t>).</w:t>
      </w:r>
    </w:p>
    <w:p w14:paraId="173B5BBD" w14:textId="77777777" w:rsidR="00DE2B2A" w:rsidRPr="00BC50C9" w:rsidRDefault="00DE2B2A" w:rsidP="00D80B56">
      <w:pPr>
        <w:pStyle w:val="00000"/>
        <w:rPr>
          <w:rtl/>
        </w:rPr>
      </w:pPr>
      <w:r w:rsidRPr="00BC50C9">
        <w:rPr>
          <w:rFonts w:hint="cs"/>
          <w:rtl/>
        </w:rPr>
        <w:t>ويمكن تفسير حصول المتوسط العام للمحور الأول على درجة استجابة (عالية) إلى</w:t>
      </w:r>
      <w:r w:rsidRPr="00BC50C9">
        <w:rPr>
          <w:rtl/>
        </w:rPr>
        <w:t xml:space="preserve"> </w:t>
      </w:r>
      <w:r w:rsidRPr="00BC50C9">
        <w:rPr>
          <w:rFonts w:hint="cs"/>
          <w:rtl/>
        </w:rPr>
        <w:t xml:space="preserve">إن </w:t>
      </w:r>
      <w:r w:rsidRPr="00BC50C9">
        <w:rPr>
          <w:rtl/>
        </w:rPr>
        <w:t>التمويل التشاركي يُعتبر نموذجًا مبتكرًا يعزز من فرص دعم المشاريع الريادية</w:t>
      </w:r>
      <w:r w:rsidRPr="00BC50C9">
        <w:rPr>
          <w:rFonts w:hint="cs"/>
          <w:rtl/>
        </w:rPr>
        <w:t>؛ حيث</w:t>
      </w:r>
      <w:r w:rsidRPr="00BC50C9">
        <w:rPr>
          <w:rtl/>
        </w:rPr>
        <w:t xml:space="preserve"> يقدم </w:t>
      </w:r>
      <w:r w:rsidRPr="00BC50C9">
        <w:rPr>
          <w:rFonts w:hint="cs"/>
          <w:rtl/>
        </w:rPr>
        <w:t>لل</w:t>
      </w:r>
      <w:r w:rsidRPr="00BC50C9">
        <w:rPr>
          <w:rtl/>
        </w:rPr>
        <w:t>أفراد الدعم المالي للمشاريع دون توقع أي مقابل، مما يُسهم في تعزيز المبادرات الاجتماعية والخيرية</w:t>
      </w:r>
      <w:r w:rsidRPr="00BC50C9">
        <w:rPr>
          <w:rFonts w:hint="cs"/>
          <w:rtl/>
        </w:rPr>
        <w:t>،</w:t>
      </w:r>
      <w:r w:rsidRPr="00BC50C9">
        <w:rPr>
          <w:rtl/>
        </w:rPr>
        <w:t xml:space="preserve"> </w:t>
      </w:r>
      <w:r w:rsidRPr="00BC50C9">
        <w:rPr>
          <w:rFonts w:hint="cs"/>
          <w:rtl/>
        </w:rPr>
        <w:t>و</w:t>
      </w:r>
      <w:r w:rsidRPr="00BC50C9">
        <w:rPr>
          <w:rtl/>
        </w:rPr>
        <w:t xml:space="preserve">يحصل الممولون على حوافز ملموسة </w:t>
      </w:r>
      <w:r w:rsidRPr="00BC50C9">
        <w:rPr>
          <w:rFonts w:hint="cs"/>
          <w:rtl/>
        </w:rPr>
        <w:t>ك</w:t>
      </w:r>
      <w:r w:rsidRPr="00BC50C9">
        <w:rPr>
          <w:rtl/>
        </w:rPr>
        <w:t>المنتجات أو الخدمات الخاصة بالمشروع، مما يخلق حافزًا إضافيًا للمشاركة ويعزز من تفاعل الممولين مع المشروع</w:t>
      </w:r>
      <w:r w:rsidRPr="00BC50C9">
        <w:rPr>
          <w:rFonts w:hint="cs"/>
          <w:rtl/>
        </w:rPr>
        <w:t>، ويساهم أيضًا في ت</w:t>
      </w:r>
      <w:r w:rsidRPr="00BC50C9">
        <w:rPr>
          <w:rtl/>
        </w:rPr>
        <w:t>وف</w:t>
      </w:r>
      <w:r w:rsidRPr="00BC50C9">
        <w:rPr>
          <w:rFonts w:hint="cs"/>
          <w:rtl/>
        </w:rPr>
        <w:t>ي</w:t>
      </w:r>
      <w:r w:rsidRPr="00BC50C9">
        <w:rPr>
          <w:rtl/>
        </w:rPr>
        <w:t>ر حلولًا مرنة للمستثمرين ويزيد من فرص نجاح المشاريع</w:t>
      </w:r>
      <w:r w:rsidRPr="00BC50C9">
        <w:rPr>
          <w:rFonts w:hint="cs"/>
          <w:rtl/>
        </w:rPr>
        <w:t>.</w:t>
      </w:r>
    </w:p>
    <w:p w14:paraId="5B3B1B94" w14:textId="77777777" w:rsidR="00DE2B2A" w:rsidRPr="00BC50C9" w:rsidRDefault="00DE2B2A" w:rsidP="00D80B56">
      <w:pPr>
        <w:pStyle w:val="00000"/>
      </w:pPr>
      <w:r w:rsidRPr="00BC50C9">
        <w:rPr>
          <w:rFonts w:hint="cs"/>
          <w:rtl/>
        </w:rPr>
        <w:lastRenderedPageBreak/>
        <w:t xml:space="preserve">ويتفق هذا جزئيًا مع ما توصلت إليه </w:t>
      </w:r>
      <w:r w:rsidRPr="00BC50C9">
        <w:rPr>
          <w:rtl/>
        </w:rPr>
        <w:t>دراسة فلرج الله وحمادي (2022) إسهام التمويل التشاركي كأحد البدائل الحديثة بفعالية في تحقيق البُعد الاجتماعي للتنمية المستدامة؛ حيث يوفر أدوات تمويل مرنة ومتنوعة مثل الوقف والزكاة والصكوك الإسلامية مما يساعد في الحد من الفقر والبطالة، وتعزيز التضامن الاجتماعي، ودعم القطاعات الأكثر تضررًا أثناء الأزمات، كما يُثبت التمويل الإسلامي قدرته على التكيف مع التحديات الاقتصادية والاجتماعية من خلال تقاسم المخاطر والربط بالاقتصاد الحقيقي مما يجعله خيارًا استراتيجيًا لتعزيز الرفاهية المجتمعية وتحقيق الاستقرار الاجتماعي والاقتصادي</w:t>
      </w:r>
      <w:r w:rsidRPr="00BC50C9">
        <w:rPr>
          <w:rFonts w:hint="cs"/>
          <w:rtl/>
        </w:rPr>
        <w:t>.</w:t>
      </w:r>
    </w:p>
    <w:p w14:paraId="059DE645" w14:textId="77777777" w:rsidR="00DE2B2A" w:rsidRPr="00BC50C9" w:rsidRDefault="00DE2B2A" w:rsidP="00BC50C9">
      <w:pPr>
        <w:bidi/>
        <w:spacing w:before="120" w:after="120" w:line="240" w:lineRule="auto"/>
        <w:jc w:val="both"/>
        <w:rPr>
          <w:rFonts w:ascii="Times New Roman" w:hAnsi="Times New Roman" w:cs="Simplified Arabic"/>
          <w:sz w:val="24"/>
          <w:szCs w:val="28"/>
          <w:rtl/>
          <w:lang w:bidi="ar-EG"/>
        </w:rPr>
      </w:pPr>
      <w:r w:rsidRPr="00BC50C9">
        <w:rPr>
          <w:rFonts w:ascii="Times New Roman" w:hAnsi="Times New Roman" w:cs="Simplified Arabic"/>
          <w:b/>
          <w:bCs/>
          <w:sz w:val="24"/>
          <w:szCs w:val="28"/>
          <w:rtl/>
          <w:lang w:bidi="ar-EG"/>
        </w:rPr>
        <w:t xml:space="preserve">وفيما يلي </w:t>
      </w:r>
      <w:r w:rsidRPr="00BC50C9">
        <w:rPr>
          <w:rFonts w:ascii="Times New Roman" w:hAnsi="Times New Roman" w:cs="Simplified Arabic" w:hint="cs"/>
          <w:b/>
          <w:bCs/>
          <w:sz w:val="24"/>
          <w:szCs w:val="28"/>
          <w:rtl/>
          <w:lang w:bidi="ar-EG"/>
        </w:rPr>
        <w:t>تم</w:t>
      </w:r>
      <w:r w:rsidRPr="00BC50C9">
        <w:rPr>
          <w:rFonts w:ascii="Times New Roman" w:hAnsi="Times New Roman" w:cs="Simplified Arabic"/>
          <w:b/>
          <w:bCs/>
          <w:sz w:val="24"/>
          <w:szCs w:val="28"/>
          <w:rtl/>
          <w:lang w:bidi="ar-EG"/>
        </w:rPr>
        <w:t xml:space="preserve"> تناول </w:t>
      </w:r>
      <w:r w:rsidRPr="00BC50C9">
        <w:rPr>
          <w:rFonts w:ascii="Times New Roman" w:hAnsi="Times New Roman" w:cs="Simplified Arabic" w:hint="cs"/>
          <w:b/>
          <w:bCs/>
          <w:sz w:val="24"/>
          <w:szCs w:val="28"/>
          <w:rtl/>
          <w:lang w:bidi="ar-EG"/>
        </w:rPr>
        <w:t xml:space="preserve">أبعاد المحور الأول </w:t>
      </w:r>
      <w:r w:rsidRPr="00BC50C9">
        <w:rPr>
          <w:rFonts w:ascii="Times New Roman" w:hAnsi="Times New Roman" w:cs="Simplified Arabic"/>
          <w:b/>
          <w:bCs/>
          <w:sz w:val="24"/>
          <w:szCs w:val="28"/>
          <w:rtl/>
          <w:lang w:bidi="ar-EG"/>
        </w:rPr>
        <w:t>بمزيد من التفصيل على النحو التالي:</w:t>
      </w:r>
    </w:p>
    <w:p w14:paraId="15978EF4" w14:textId="77777777" w:rsidR="00DE2B2A" w:rsidRPr="00D80B56" w:rsidRDefault="00DE2B2A">
      <w:pPr>
        <w:pStyle w:val="a3"/>
        <w:numPr>
          <w:ilvl w:val="0"/>
          <w:numId w:val="60"/>
        </w:numPr>
        <w:bidi/>
        <w:spacing w:before="120" w:after="120" w:line="240" w:lineRule="auto"/>
        <w:jc w:val="both"/>
        <w:rPr>
          <w:rFonts w:ascii="Times New Roman" w:hAnsi="Times New Roman" w:cs="Simplified Arabic"/>
          <w:b/>
          <w:bCs/>
          <w:sz w:val="24"/>
          <w:szCs w:val="28"/>
          <w:rtl/>
          <w:lang w:bidi="ar-EG"/>
        </w:rPr>
      </w:pPr>
      <w:r w:rsidRPr="00D80B56">
        <w:rPr>
          <w:rFonts w:ascii="Times New Roman" w:hAnsi="Times New Roman" w:cs="Simplified Arabic" w:hint="cs"/>
          <w:b/>
          <w:bCs/>
          <w:sz w:val="24"/>
          <w:szCs w:val="28"/>
          <w:rtl/>
        </w:rPr>
        <w:t xml:space="preserve">البعد الأول: التمويل </w:t>
      </w:r>
      <w:proofErr w:type="spellStart"/>
      <w:r w:rsidRPr="00D80B56">
        <w:rPr>
          <w:rFonts w:ascii="Times New Roman" w:hAnsi="Times New Roman" w:cs="Simplified Arabic" w:hint="cs"/>
          <w:b/>
          <w:bCs/>
          <w:sz w:val="24"/>
          <w:szCs w:val="28"/>
          <w:rtl/>
        </w:rPr>
        <w:t>التبرعي</w:t>
      </w:r>
      <w:proofErr w:type="spellEnd"/>
    </w:p>
    <w:p w14:paraId="7253EEB8" w14:textId="77777777" w:rsidR="00DE2B2A" w:rsidRPr="00BC50C9" w:rsidRDefault="00DE2B2A" w:rsidP="00E977BA">
      <w:pPr>
        <w:pStyle w:val="33333"/>
        <w:rPr>
          <w:lang w:bidi="ar-EG"/>
        </w:rPr>
      </w:pPr>
      <w:bookmarkStart w:id="106" w:name="_Toc195456552"/>
      <w:r w:rsidRPr="00BC50C9">
        <w:rPr>
          <w:rFonts w:hint="cs"/>
          <w:rtl/>
          <w:lang w:bidi="ar-EG"/>
        </w:rPr>
        <w:t>الجدول</w:t>
      </w:r>
      <w:r w:rsidRPr="00BC50C9">
        <w:rPr>
          <w:rtl/>
          <w:lang w:bidi="ar-EG"/>
        </w:rPr>
        <w:t xml:space="preserve"> </w:t>
      </w:r>
      <w:r w:rsidRPr="00BC50C9">
        <w:rPr>
          <w:rFonts w:hint="cs"/>
          <w:rtl/>
          <w:lang w:bidi="ar-EG"/>
        </w:rPr>
        <w:t>رقم</w:t>
      </w:r>
      <w:r w:rsidRPr="00BC50C9">
        <w:rPr>
          <w:rtl/>
          <w:lang w:bidi="ar-EG"/>
        </w:rPr>
        <w:t xml:space="preserve"> (4-</w:t>
      </w:r>
      <w:r w:rsidRPr="00BC50C9">
        <w:rPr>
          <w:rFonts w:hint="cs"/>
          <w:rtl/>
          <w:lang w:bidi="ar-EG"/>
        </w:rPr>
        <w:t>2</w:t>
      </w:r>
      <w:r w:rsidRPr="00BC50C9">
        <w:rPr>
          <w:rtl/>
          <w:lang w:bidi="ar-EG"/>
        </w:rPr>
        <w:t xml:space="preserve">) </w:t>
      </w:r>
      <w:r w:rsidRPr="00BC50C9">
        <w:rPr>
          <w:rFonts w:hint="cs"/>
          <w:rtl/>
          <w:lang w:bidi="ar-EG"/>
        </w:rPr>
        <w:t>التكرارات</w:t>
      </w:r>
      <w:r w:rsidRPr="00BC50C9">
        <w:rPr>
          <w:rtl/>
          <w:lang w:bidi="ar-EG"/>
        </w:rPr>
        <w:t xml:space="preserve"> </w:t>
      </w:r>
      <w:r w:rsidRPr="00BC50C9">
        <w:rPr>
          <w:rFonts w:hint="cs"/>
          <w:rtl/>
          <w:lang w:bidi="ar-EG"/>
        </w:rPr>
        <w:t>والنسب</w:t>
      </w:r>
      <w:r w:rsidRPr="00BC50C9">
        <w:rPr>
          <w:rtl/>
          <w:lang w:bidi="ar-EG"/>
        </w:rPr>
        <w:t xml:space="preserve"> </w:t>
      </w:r>
      <w:r w:rsidRPr="00BC50C9">
        <w:rPr>
          <w:rFonts w:hint="cs"/>
          <w:rtl/>
          <w:lang w:bidi="ar-EG"/>
        </w:rPr>
        <w:t>المئوية</w:t>
      </w:r>
      <w:r w:rsidRPr="00BC50C9">
        <w:rPr>
          <w:rtl/>
          <w:lang w:bidi="ar-EG"/>
        </w:rPr>
        <w:t xml:space="preserve"> </w:t>
      </w:r>
      <w:r w:rsidRPr="00BC50C9">
        <w:rPr>
          <w:rFonts w:hint="cs"/>
          <w:rtl/>
          <w:lang w:bidi="ar-EG"/>
        </w:rPr>
        <w:t>والمتوسطات</w:t>
      </w:r>
      <w:r w:rsidRPr="00BC50C9">
        <w:rPr>
          <w:rtl/>
          <w:lang w:bidi="ar-EG"/>
        </w:rPr>
        <w:t xml:space="preserve"> </w:t>
      </w:r>
      <w:r w:rsidRPr="00BC50C9">
        <w:rPr>
          <w:rFonts w:hint="cs"/>
          <w:rtl/>
          <w:lang w:bidi="ar-EG"/>
        </w:rPr>
        <w:t>الحسابية</w:t>
      </w:r>
      <w:r w:rsidRPr="00BC50C9">
        <w:rPr>
          <w:rtl/>
          <w:lang w:bidi="ar-EG"/>
        </w:rPr>
        <w:t xml:space="preserve"> </w:t>
      </w:r>
      <w:r w:rsidRPr="00BC50C9">
        <w:rPr>
          <w:rFonts w:hint="cs"/>
          <w:rtl/>
          <w:lang w:bidi="ar-EG"/>
        </w:rPr>
        <w:t>والانحرافات</w:t>
      </w:r>
      <w:r w:rsidRPr="00BC50C9">
        <w:rPr>
          <w:rtl/>
          <w:lang w:bidi="ar-EG"/>
        </w:rPr>
        <w:t xml:space="preserve"> </w:t>
      </w:r>
      <w:r w:rsidRPr="00BC50C9">
        <w:rPr>
          <w:rFonts w:hint="cs"/>
          <w:rtl/>
          <w:lang w:bidi="ar-EG"/>
        </w:rPr>
        <w:t>المعيارية</w:t>
      </w:r>
      <w:r w:rsidRPr="00BC50C9">
        <w:rPr>
          <w:rtl/>
          <w:lang w:bidi="ar-EG"/>
        </w:rPr>
        <w:t xml:space="preserve"> </w:t>
      </w:r>
      <w:r w:rsidRPr="00BC50C9">
        <w:rPr>
          <w:rFonts w:hint="cs"/>
          <w:rtl/>
          <w:lang w:bidi="ar-EG"/>
        </w:rPr>
        <w:t>لاستجابات</w:t>
      </w:r>
      <w:r w:rsidRPr="00BC50C9">
        <w:rPr>
          <w:rtl/>
          <w:lang w:bidi="ar-EG"/>
        </w:rPr>
        <w:t xml:space="preserve"> </w:t>
      </w:r>
      <w:r w:rsidRPr="00BC50C9">
        <w:rPr>
          <w:rFonts w:hint="cs"/>
          <w:rtl/>
          <w:lang w:bidi="ar-EG"/>
        </w:rPr>
        <w:t>أفراد</w:t>
      </w:r>
      <w:r w:rsidRPr="00BC50C9">
        <w:rPr>
          <w:rtl/>
          <w:lang w:bidi="ar-EG"/>
        </w:rPr>
        <w:t xml:space="preserve"> </w:t>
      </w:r>
      <w:r w:rsidRPr="00BC50C9">
        <w:rPr>
          <w:rFonts w:hint="cs"/>
          <w:rtl/>
          <w:lang w:bidi="ar-EG"/>
        </w:rPr>
        <w:t>العينة</w:t>
      </w:r>
      <w:r w:rsidRPr="00BC50C9">
        <w:rPr>
          <w:rtl/>
          <w:lang w:bidi="ar-EG"/>
        </w:rPr>
        <w:t xml:space="preserve"> </w:t>
      </w:r>
      <w:r w:rsidRPr="00BC50C9">
        <w:rPr>
          <w:rFonts w:hint="cs"/>
          <w:rtl/>
          <w:lang w:bidi="ar-EG"/>
        </w:rPr>
        <w:t xml:space="preserve">للبعد الأول: التمويل </w:t>
      </w:r>
      <w:proofErr w:type="spellStart"/>
      <w:r w:rsidRPr="00BC50C9">
        <w:rPr>
          <w:rFonts w:hint="cs"/>
          <w:rtl/>
          <w:lang w:bidi="ar-EG"/>
        </w:rPr>
        <w:t>التبرعي</w:t>
      </w:r>
      <w:bookmarkEnd w:id="106"/>
      <w:proofErr w:type="spellEnd"/>
    </w:p>
    <w:tbl>
      <w:tblPr>
        <w:bidiVisual/>
        <w:tblW w:w="9653"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17"/>
        <w:gridCol w:w="2329"/>
        <w:gridCol w:w="419"/>
        <w:gridCol w:w="731"/>
        <w:gridCol w:w="685"/>
        <w:gridCol w:w="685"/>
        <w:gridCol w:w="688"/>
        <w:gridCol w:w="825"/>
        <w:gridCol w:w="838"/>
        <w:gridCol w:w="322"/>
        <w:gridCol w:w="322"/>
        <w:gridCol w:w="636"/>
        <w:gridCol w:w="856"/>
      </w:tblGrid>
      <w:tr w:rsidR="006E7257" w:rsidRPr="0012475B" w14:paraId="3220BBCC" w14:textId="77777777" w:rsidTr="0012475B">
        <w:trPr>
          <w:tblHeader/>
          <w:jc w:val="right"/>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F9FF02"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م</w:t>
            </w:r>
          </w:p>
        </w:tc>
        <w:tc>
          <w:tcPr>
            <w:tcW w:w="232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8B46F"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b/>
                <w:bCs/>
                <w:w w:val="95"/>
                <w:sz w:val="20"/>
                <w:szCs w:val="20"/>
                <w:rtl/>
              </w:rPr>
              <w:t>العبارة</w:t>
            </w:r>
          </w:p>
        </w:tc>
        <w:tc>
          <w:tcPr>
            <w:tcW w:w="3723" w:type="dxa"/>
            <w:gridSpan w:val="5"/>
            <w:tcBorders>
              <w:top w:val="single" w:sz="4" w:space="0" w:color="auto"/>
              <w:left w:val="single" w:sz="4" w:space="0" w:color="auto"/>
              <w:bottom w:val="single" w:sz="4" w:space="0" w:color="auto"/>
            </w:tcBorders>
            <w:shd w:val="clear" w:color="auto" w:fill="BFBFBF" w:themeFill="background1" w:themeFillShade="BF"/>
            <w:vAlign w:val="center"/>
          </w:tcPr>
          <w:p w14:paraId="4DEEF5D1"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b/>
                <w:bCs/>
                <w:w w:val="95"/>
                <w:sz w:val="20"/>
                <w:szCs w:val="20"/>
                <w:rtl/>
              </w:rPr>
              <w:t>درجة الاستجابة</w:t>
            </w:r>
          </w:p>
        </w:tc>
        <w:tc>
          <w:tcPr>
            <w:tcW w:w="0" w:type="auto"/>
            <w:tcBorders>
              <w:top w:val="single" w:sz="4" w:space="0" w:color="auto"/>
              <w:bottom w:val="single" w:sz="4" w:space="0" w:color="auto"/>
            </w:tcBorders>
            <w:shd w:val="clear" w:color="auto" w:fill="BFBFBF" w:themeFill="background1" w:themeFillShade="BF"/>
            <w:vAlign w:val="center"/>
          </w:tcPr>
          <w:p w14:paraId="6359378D"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b/>
                <w:bCs/>
                <w:w w:val="95"/>
                <w:sz w:val="20"/>
                <w:szCs w:val="20"/>
                <w:rtl/>
              </w:rPr>
              <w:t>المتوسط الحسابي</w:t>
            </w:r>
          </w:p>
        </w:tc>
        <w:tc>
          <w:tcPr>
            <w:tcW w:w="0" w:type="auto"/>
            <w:gridSpan w:val="2"/>
            <w:tcBorders>
              <w:top w:val="single" w:sz="4" w:space="0" w:color="auto"/>
              <w:bottom w:val="single" w:sz="4" w:space="0" w:color="auto"/>
            </w:tcBorders>
            <w:shd w:val="clear" w:color="auto" w:fill="BFBFBF" w:themeFill="background1" w:themeFillShade="BF"/>
            <w:vAlign w:val="center"/>
          </w:tcPr>
          <w:p w14:paraId="70B51A40"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b/>
                <w:bCs/>
                <w:w w:val="95"/>
                <w:sz w:val="20"/>
                <w:szCs w:val="20"/>
                <w:rtl/>
              </w:rPr>
              <w:t>الانحراف المعياري</w:t>
            </w:r>
          </w:p>
        </w:tc>
        <w:tc>
          <w:tcPr>
            <w:tcW w:w="0" w:type="auto"/>
            <w:gridSpan w:val="2"/>
            <w:tcBorders>
              <w:top w:val="single" w:sz="4" w:space="0" w:color="auto"/>
              <w:bottom w:val="single" w:sz="4" w:space="0" w:color="auto"/>
              <w:right w:val="single" w:sz="4" w:space="0" w:color="auto"/>
            </w:tcBorders>
            <w:shd w:val="clear" w:color="auto" w:fill="BFBFBF" w:themeFill="background1" w:themeFillShade="BF"/>
            <w:vAlign w:val="center"/>
          </w:tcPr>
          <w:p w14:paraId="6EBCF704"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الترتيب</w:t>
            </w:r>
          </w:p>
        </w:tc>
        <w:tc>
          <w:tcPr>
            <w:tcW w:w="0" w:type="auto"/>
            <w:tcBorders>
              <w:top w:val="single" w:sz="4" w:space="0" w:color="auto"/>
              <w:bottom w:val="single" w:sz="4" w:space="0" w:color="auto"/>
              <w:right w:val="single" w:sz="4" w:space="0" w:color="auto"/>
            </w:tcBorders>
            <w:shd w:val="clear" w:color="auto" w:fill="BFBFBF" w:themeFill="background1" w:themeFillShade="BF"/>
            <w:vAlign w:val="center"/>
          </w:tcPr>
          <w:p w14:paraId="625D58B3"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b/>
                <w:bCs/>
                <w:w w:val="95"/>
                <w:sz w:val="20"/>
                <w:szCs w:val="20"/>
                <w:rtl/>
              </w:rPr>
              <w:t>درجة الاستجابة</w:t>
            </w:r>
          </w:p>
        </w:tc>
      </w:tr>
      <w:tr w:rsidR="006E7257" w:rsidRPr="0012475B" w14:paraId="69202A90" w14:textId="77777777" w:rsidTr="0012475B">
        <w:trPr>
          <w:tblHeader/>
          <w:jc w:val="right"/>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D142C0"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232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FA77B8"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236" w:type="dxa"/>
            <w:tcBorders>
              <w:top w:val="single" w:sz="4" w:space="0" w:color="auto"/>
              <w:left w:val="single" w:sz="4" w:space="0" w:color="auto"/>
            </w:tcBorders>
            <w:shd w:val="clear" w:color="auto" w:fill="BFBFBF" w:themeFill="background1" w:themeFillShade="BF"/>
            <w:vAlign w:val="center"/>
          </w:tcPr>
          <w:p w14:paraId="0DCFC1FC"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0" w:type="auto"/>
            <w:tcBorders>
              <w:top w:val="single" w:sz="4" w:space="0" w:color="auto"/>
              <w:left w:val="single" w:sz="4" w:space="0" w:color="auto"/>
            </w:tcBorders>
            <w:shd w:val="clear" w:color="auto" w:fill="BFBFBF" w:themeFill="background1" w:themeFillShade="BF"/>
            <w:vAlign w:val="center"/>
          </w:tcPr>
          <w:p w14:paraId="7651A900"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أوافق بشدة</w:t>
            </w:r>
          </w:p>
        </w:tc>
        <w:tc>
          <w:tcPr>
            <w:tcW w:w="0" w:type="auto"/>
            <w:tcBorders>
              <w:top w:val="single" w:sz="4" w:space="0" w:color="auto"/>
            </w:tcBorders>
            <w:shd w:val="clear" w:color="auto" w:fill="BFBFBF" w:themeFill="background1" w:themeFillShade="BF"/>
            <w:vAlign w:val="center"/>
          </w:tcPr>
          <w:p w14:paraId="35CD57A4"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أوافق</w:t>
            </w:r>
          </w:p>
        </w:tc>
        <w:tc>
          <w:tcPr>
            <w:tcW w:w="0" w:type="auto"/>
            <w:tcBorders>
              <w:top w:val="single" w:sz="4" w:space="0" w:color="auto"/>
            </w:tcBorders>
            <w:shd w:val="clear" w:color="auto" w:fill="BFBFBF" w:themeFill="background1" w:themeFillShade="BF"/>
            <w:vAlign w:val="center"/>
          </w:tcPr>
          <w:p w14:paraId="21A8051F"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محايد</w:t>
            </w:r>
          </w:p>
        </w:tc>
        <w:tc>
          <w:tcPr>
            <w:tcW w:w="0" w:type="auto"/>
            <w:tcBorders>
              <w:top w:val="single" w:sz="4" w:space="0" w:color="auto"/>
            </w:tcBorders>
            <w:shd w:val="clear" w:color="auto" w:fill="BFBFBF" w:themeFill="background1" w:themeFillShade="BF"/>
            <w:vAlign w:val="center"/>
          </w:tcPr>
          <w:p w14:paraId="45D9483C"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لا أوافق</w:t>
            </w:r>
          </w:p>
        </w:tc>
        <w:tc>
          <w:tcPr>
            <w:tcW w:w="0" w:type="auto"/>
            <w:tcBorders>
              <w:top w:val="single" w:sz="4" w:space="0" w:color="auto"/>
            </w:tcBorders>
            <w:shd w:val="clear" w:color="auto" w:fill="BFBFBF" w:themeFill="background1" w:themeFillShade="BF"/>
            <w:vAlign w:val="center"/>
          </w:tcPr>
          <w:p w14:paraId="3BB4F4B2"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r w:rsidRPr="0012475B">
              <w:rPr>
                <w:rFonts w:ascii="Times New Roman" w:hAnsi="Times New Roman" w:cs="Simplified Arabic" w:hint="cs"/>
                <w:b/>
                <w:bCs/>
                <w:w w:val="95"/>
                <w:sz w:val="20"/>
                <w:szCs w:val="20"/>
                <w:rtl/>
              </w:rPr>
              <w:t>لا أوافق بشدة</w:t>
            </w:r>
          </w:p>
        </w:tc>
        <w:tc>
          <w:tcPr>
            <w:tcW w:w="0" w:type="auto"/>
            <w:tcBorders>
              <w:top w:val="single" w:sz="4" w:space="0" w:color="auto"/>
              <w:bottom w:val="single" w:sz="4" w:space="0" w:color="auto"/>
            </w:tcBorders>
            <w:shd w:val="clear" w:color="auto" w:fill="BFBFBF" w:themeFill="background1" w:themeFillShade="BF"/>
            <w:vAlign w:val="center"/>
          </w:tcPr>
          <w:p w14:paraId="281C34C5"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0" w:type="auto"/>
            <w:gridSpan w:val="2"/>
            <w:tcBorders>
              <w:top w:val="single" w:sz="4" w:space="0" w:color="auto"/>
              <w:bottom w:val="single" w:sz="4" w:space="0" w:color="auto"/>
            </w:tcBorders>
            <w:shd w:val="clear" w:color="auto" w:fill="BFBFBF" w:themeFill="background1" w:themeFillShade="BF"/>
            <w:vAlign w:val="center"/>
          </w:tcPr>
          <w:p w14:paraId="5D2136D1"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0" w:type="auto"/>
            <w:tcBorders>
              <w:top w:val="single" w:sz="4" w:space="0" w:color="auto"/>
              <w:bottom w:val="single" w:sz="4" w:space="0" w:color="auto"/>
              <w:right w:val="single" w:sz="4" w:space="0" w:color="auto"/>
            </w:tcBorders>
            <w:shd w:val="clear" w:color="auto" w:fill="BFBFBF" w:themeFill="background1" w:themeFillShade="BF"/>
            <w:vAlign w:val="center"/>
          </w:tcPr>
          <w:p w14:paraId="5E40D42E"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c>
          <w:tcPr>
            <w:tcW w:w="0" w:type="auto"/>
            <w:tcBorders>
              <w:top w:val="single" w:sz="4" w:space="0" w:color="auto"/>
              <w:bottom w:val="single" w:sz="4" w:space="0" w:color="auto"/>
              <w:right w:val="single" w:sz="4" w:space="0" w:color="auto"/>
            </w:tcBorders>
            <w:shd w:val="clear" w:color="auto" w:fill="BFBFBF" w:themeFill="background1" w:themeFillShade="BF"/>
            <w:vAlign w:val="center"/>
          </w:tcPr>
          <w:p w14:paraId="7818C3E5" w14:textId="77777777" w:rsidR="00DE2B2A" w:rsidRPr="0012475B" w:rsidRDefault="00DE2B2A" w:rsidP="00D971F9">
            <w:pPr>
              <w:bidi/>
              <w:spacing w:after="0" w:line="240" w:lineRule="auto"/>
              <w:jc w:val="center"/>
              <w:rPr>
                <w:rFonts w:ascii="Times New Roman" w:hAnsi="Times New Roman" w:cs="Simplified Arabic"/>
                <w:b/>
                <w:bCs/>
                <w:w w:val="95"/>
                <w:sz w:val="20"/>
                <w:szCs w:val="20"/>
                <w:rtl/>
              </w:rPr>
            </w:pPr>
          </w:p>
        </w:tc>
      </w:tr>
      <w:tr w:rsidR="0012475B" w:rsidRPr="0012475B" w14:paraId="13902916" w14:textId="77777777" w:rsidTr="0012475B">
        <w:trPr>
          <w:jc w:val="right"/>
        </w:trPr>
        <w:tc>
          <w:tcPr>
            <w:tcW w:w="0" w:type="auto"/>
            <w:vMerge w:val="restart"/>
            <w:tcBorders>
              <w:top w:val="single" w:sz="4" w:space="0" w:color="auto"/>
              <w:left w:val="single" w:sz="4" w:space="0" w:color="auto"/>
              <w:right w:val="single" w:sz="4" w:space="0" w:color="auto"/>
            </w:tcBorders>
            <w:vAlign w:val="center"/>
          </w:tcPr>
          <w:p w14:paraId="120DD89E"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hint="cs"/>
                <w:w w:val="95"/>
                <w:sz w:val="20"/>
                <w:szCs w:val="20"/>
                <w:rtl/>
              </w:rPr>
              <w:t>1</w:t>
            </w:r>
          </w:p>
        </w:tc>
        <w:tc>
          <w:tcPr>
            <w:tcW w:w="2329" w:type="dxa"/>
            <w:vMerge w:val="restart"/>
            <w:tcBorders>
              <w:top w:val="single" w:sz="4" w:space="0" w:color="auto"/>
              <w:left w:val="single" w:sz="4" w:space="0" w:color="auto"/>
              <w:right w:val="single" w:sz="4" w:space="0" w:color="auto"/>
            </w:tcBorders>
            <w:vAlign w:val="center"/>
          </w:tcPr>
          <w:p w14:paraId="383BD401" w14:textId="77777777" w:rsidR="00DE2B2A" w:rsidRPr="0012475B" w:rsidRDefault="00DE2B2A" w:rsidP="00D971F9">
            <w:pPr>
              <w:autoSpaceDE w:val="0"/>
              <w:autoSpaceDN w:val="0"/>
              <w:bidi/>
              <w:adjustRightInd w:val="0"/>
              <w:spacing w:after="0" w:line="240" w:lineRule="auto"/>
              <w:jc w:val="center"/>
              <w:rPr>
                <w:rFonts w:ascii="Times New Roman" w:eastAsia="Calibri" w:hAnsi="Times New Roman" w:cs="Simplified Arabic"/>
                <w:w w:val="95"/>
                <w:sz w:val="20"/>
                <w:szCs w:val="20"/>
                <w:rtl/>
                <w:lang w:bidi="ar-EG"/>
              </w:rPr>
            </w:pPr>
            <w:r w:rsidRPr="0012475B">
              <w:rPr>
                <w:rFonts w:ascii="Times New Roman" w:eastAsia="Times New Roman" w:hAnsi="Times New Roman" w:cs="Simplified Arabic"/>
                <w:w w:val="95"/>
                <w:sz w:val="20"/>
                <w:szCs w:val="20"/>
                <w:rtl/>
              </w:rPr>
              <w:t xml:space="preserve">يُساهم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tl/>
              </w:rPr>
              <w:t xml:space="preserve"> في دعم المشاريع الريادية الناشئة دون الحاجة إلى استرداد الأموال</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6A410373"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ك</w:t>
            </w:r>
          </w:p>
        </w:tc>
        <w:tc>
          <w:tcPr>
            <w:tcW w:w="0" w:type="auto"/>
            <w:tcBorders>
              <w:top w:val="single" w:sz="4" w:space="0" w:color="auto"/>
            </w:tcBorders>
            <w:shd w:val="clear" w:color="auto" w:fill="auto"/>
            <w:vAlign w:val="center"/>
          </w:tcPr>
          <w:p w14:paraId="5B2E51DB"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181</w:t>
            </w:r>
          </w:p>
        </w:tc>
        <w:tc>
          <w:tcPr>
            <w:tcW w:w="0" w:type="auto"/>
            <w:tcBorders>
              <w:top w:val="single" w:sz="4" w:space="0" w:color="auto"/>
            </w:tcBorders>
            <w:vAlign w:val="center"/>
          </w:tcPr>
          <w:p w14:paraId="1B071ACC"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93</w:t>
            </w:r>
          </w:p>
        </w:tc>
        <w:tc>
          <w:tcPr>
            <w:tcW w:w="0" w:type="auto"/>
            <w:tcBorders>
              <w:top w:val="single" w:sz="4" w:space="0" w:color="auto"/>
            </w:tcBorders>
            <w:shd w:val="clear" w:color="auto" w:fill="auto"/>
            <w:vAlign w:val="center"/>
          </w:tcPr>
          <w:p w14:paraId="7A9BCE96"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43</w:t>
            </w:r>
          </w:p>
        </w:tc>
        <w:tc>
          <w:tcPr>
            <w:tcW w:w="0" w:type="auto"/>
            <w:tcBorders>
              <w:top w:val="single" w:sz="4" w:space="0" w:color="auto"/>
            </w:tcBorders>
            <w:vAlign w:val="center"/>
          </w:tcPr>
          <w:p w14:paraId="46513F76"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29</w:t>
            </w:r>
          </w:p>
        </w:tc>
        <w:tc>
          <w:tcPr>
            <w:tcW w:w="0" w:type="auto"/>
            <w:tcBorders>
              <w:top w:val="single" w:sz="4" w:space="0" w:color="auto"/>
            </w:tcBorders>
            <w:vAlign w:val="center"/>
          </w:tcPr>
          <w:p w14:paraId="35FC6C2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tl/>
              </w:rPr>
            </w:pPr>
            <w:r w:rsidRPr="0012475B">
              <w:rPr>
                <w:rFonts w:ascii="Times New Roman" w:hAnsi="Times New Roman" w:cs="Simplified Arabic"/>
                <w:color w:val="000000"/>
                <w:w w:val="95"/>
                <w:sz w:val="20"/>
                <w:szCs w:val="20"/>
              </w:rPr>
              <w:t>38</w:t>
            </w:r>
          </w:p>
        </w:tc>
        <w:tc>
          <w:tcPr>
            <w:tcW w:w="0" w:type="auto"/>
            <w:vMerge w:val="restart"/>
            <w:tcBorders>
              <w:top w:val="single" w:sz="4" w:space="0" w:color="auto"/>
            </w:tcBorders>
            <w:vAlign w:val="center"/>
          </w:tcPr>
          <w:p w14:paraId="2FCE0FA7"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color w:val="000000"/>
                <w:w w:val="95"/>
                <w:sz w:val="20"/>
                <w:szCs w:val="20"/>
              </w:rPr>
              <w:t>3.91</w:t>
            </w:r>
          </w:p>
        </w:tc>
        <w:tc>
          <w:tcPr>
            <w:tcW w:w="0" w:type="auto"/>
            <w:gridSpan w:val="2"/>
            <w:vMerge w:val="restart"/>
            <w:tcBorders>
              <w:top w:val="single" w:sz="4" w:space="0" w:color="auto"/>
            </w:tcBorders>
            <w:vAlign w:val="center"/>
          </w:tcPr>
          <w:p w14:paraId="0F3B3A56"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color w:val="000000"/>
                <w:w w:val="95"/>
                <w:sz w:val="20"/>
                <w:szCs w:val="20"/>
              </w:rPr>
              <w:t>1.331</w:t>
            </w:r>
          </w:p>
        </w:tc>
        <w:tc>
          <w:tcPr>
            <w:tcW w:w="0" w:type="auto"/>
            <w:vMerge w:val="restart"/>
            <w:tcBorders>
              <w:top w:val="single" w:sz="4" w:space="0" w:color="auto"/>
              <w:right w:val="single" w:sz="4" w:space="0" w:color="auto"/>
            </w:tcBorders>
            <w:vAlign w:val="center"/>
          </w:tcPr>
          <w:p w14:paraId="6E399F59" w14:textId="77777777" w:rsidR="00DE2B2A" w:rsidRPr="0012475B" w:rsidRDefault="00DE2B2A" w:rsidP="00D971F9">
            <w:pPr>
              <w:bidi/>
              <w:spacing w:after="0" w:line="240" w:lineRule="auto"/>
              <w:jc w:val="center"/>
              <w:rPr>
                <w:rFonts w:ascii="Times New Roman" w:hAnsi="Times New Roman" w:cs="Simplified Arabic"/>
                <w:w w:val="95"/>
                <w:sz w:val="20"/>
                <w:szCs w:val="20"/>
                <w:lang w:bidi="ar-EG"/>
              </w:rPr>
            </w:pPr>
            <w:r w:rsidRPr="0012475B">
              <w:rPr>
                <w:rFonts w:ascii="Times New Roman" w:hAnsi="Times New Roman" w:cs="Simplified Arabic"/>
                <w:w w:val="95"/>
                <w:sz w:val="20"/>
                <w:szCs w:val="20"/>
              </w:rPr>
              <w:t>5</w:t>
            </w:r>
          </w:p>
        </w:tc>
        <w:tc>
          <w:tcPr>
            <w:tcW w:w="0" w:type="auto"/>
            <w:vMerge w:val="restart"/>
            <w:tcBorders>
              <w:top w:val="single" w:sz="4" w:space="0" w:color="auto"/>
              <w:right w:val="single" w:sz="4" w:space="0" w:color="auto"/>
            </w:tcBorders>
            <w:vAlign w:val="center"/>
          </w:tcPr>
          <w:p w14:paraId="33A31CAF"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hint="cs"/>
                <w:w w:val="95"/>
                <w:sz w:val="20"/>
                <w:szCs w:val="20"/>
                <w:rtl/>
              </w:rPr>
              <w:t>عالية</w:t>
            </w:r>
          </w:p>
        </w:tc>
      </w:tr>
      <w:tr w:rsidR="0012475B" w:rsidRPr="0012475B" w14:paraId="217F289B" w14:textId="77777777" w:rsidTr="0012475B">
        <w:trPr>
          <w:jc w:val="right"/>
        </w:trPr>
        <w:tc>
          <w:tcPr>
            <w:tcW w:w="0" w:type="auto"/>
            <w:vMerge/>
            <w:tcBorders>
              <w:left w:val="single" w:sz="4" w:space="0" w:color="auto"/>
              <w:bottom w:val="single" w:sz="4" w:space="0" w:color="auto"/>
              <w:right w:val="single" w:sz="4" w:space="0" w:color="auto"/>
            </w:tcBorders>
            <w:vAlign w:val="center"/>
          </w:tcPr>
          <w:p w14:paraId="1C84FDB9"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bottom w:val="single" w:sz="4" w:space="0" w:color="auto"/>
              <w:right w:val="single" w:sz="4" w:space="0" w:color="auto"/>
            </w:tcBorders>
            <w:vAlign w:val="center"/>
          </w:tcPr>
          <w:p w14:paraId="350655A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4F11EC3F"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w:t>
            </w:r>
          </w:p>
        </w:tc>
        <w:tc>
          <w:tcPr>
            <w:tcW w:w="0" w:type="auto"/>
            <w:shd w:val="clear" w:color="auto" w:fill="auto"/>
            <w:vAlign w:val="center"/>
          </w:tcPr>
          <w:p w14:paraId="7DA10646"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47.1</w:t>
            </w:r>
          </w:p>
        </w:tc>
        <w:tc>
          <w:tcPr>
            <w:tcW w:w="0" w:type="auto"/>
            <w:vAlign w:val="center"/>
          </w:tcPr>
          <w:p w14:paraId="257AA00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24.2</w:t>
            </w:r>
          </w:p>
        </w:tc>
        <w:tc>
          <w:tcPr>
            <w:tcW w:w="0" w:type="auto"/>
            <w:shd w:val="clear" w:color="auto" w:fill="auto"/>
            <w:vAlign w:val="center"/>
          </w:tcPr>
          <w:p w14:paraId="6C59AB91"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11.2</w:t>
            </w:r>
          </w:p>
        </w:tc>
        <w:tc>
          <w:tcPr>
            <w:tcW w:w="0" w:type="auto"/>
            <w:vAlign w:val="center"/>
          </w:tcPr>
          <w:p w14:paraId="4717CC04"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7.6</w:t>
            </w:r>
          </w:p>
        </w:tc>
        <w:tc>
          <w:tcPr>
            <w:tcW w:w="0" w:type="auto"/>
            <w:vAlign w:val="center"/>
          </w:tcPr>
          <w:p w14:paraId="76FA967B"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9.9</w:t>
            </w:r>
          </w:p>
        </w:tc>
        <w:tc>
          <w:tcPr>
            <w:tcW w:w="0" w:type="auto"/>
            <w:vMerge/>
            <w:tcBorders>
              <w:bottom w:val="single" w:sz="4" w:space="0" w:color="auto"/>
            </w:tcBorders>
            <w:vAlign w:val="center"/>
          </w:tcPr>
          <w:p w14:paraId="066BF582"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tcBorders>
              <w:bottom w:val="single" w:sz="4" w:space="0" w:color="auto"/>
            </w:tcBorders>
            <w:vAlign w:val="center"/>
          </w:tcPr>
          <w:p w14:paraId="76B62369"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bottom w:val="single" w:sz="4" w:space="0" w:color="auto"/>
              <w:right w:val="single" w:sz="4" w:space="0" w:color="auto"/>
            </w:tcBorders>
            <w:vAlign w:val="center"/>
          </w:tcPr>
          <w:p w14:paraId="44797346"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bottom w:val="single" w:sz="4" w:space="0" w:color="auto"/>
              <w:right w:val="single" w:sz="4" w:space="0" w:color="auto"/>
            </w:tcBorders>
            <w:vAlign w:val="center"/>
          </w:tcPr>
          <w:p w14:paraId="02480F4A"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1EB43127" w14:textId="77777777" w:rsidTr="0012475B">
        <w:trPr>
          <w:jc w:val="right"/>
        </w:trPr>
        <w:tc>
          <w:tcPr>
            <w:tcW w:w="0" w:type="auto"/>
            <w:vMerge w:val="restart"/>
            <w:tcBorders>
              <w:left w:val="single" w:sz="4" w:space="0" w:color="auto"/>
              <w:right w:val="single" w:sz="4" w:space="0" w:color="auto"/>
            </w:tcBorders>
            <w:vAlign w:val="center"/>
          </w:tcPr>
          <w:p w14:paraId="264587EC"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2</w:t>
            </w:r>
          </w:p>
        </w:tc>
        <w:tc>
          <w:tcPr>
            <w:tcW w:w="2329" w:type="dxa"/>
            <w:vMerge w:val="restart"/>
            <w:tcBorders>
              <w:left w:val="single" w:sz="4" w:space="0" w:color="auto"/>
              <w:right w:val="single" w:sz="4" w:space="0" w:color="auto"/>
            </w:tcBorders>
            <w:vAlign w:val="center"/>
          </w:tcPr>
          <w:p w14:paraId="547C2966" w14:textId="77777777" w:rsidR="00DE2B2A" w:rsidRPr="0012475B" w:rsidRDefault="00DE2B2A" w:rsidP="00D971F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12475B">
              <w:rPr>
                <w:rFonts w:ascii="Times New Roman" w:eastAsia="Times New Roman" w:hAnsi="Times New Roman" w:cs="Simplified Arabic"/>
                <w:w w:val="95"/>
                <w:sz w:val="20"/>
                <w:szCs w:val="20"/>
                <w:rtl/>
              </w:rPr>
              <w:t>تُعزز الشفافية في جمع التبرعات ثقة الممولين في المنصة الإلكترونية</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3A4CFE87"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ك</w:t>
            </w:r>
          </w:p>
        </w:tc>
        <w:tc>
          <w:tcPr>
            <w:tcW w:w="0" w:type="auto"/>
            <w:shd w:val="clear" w:color="auto" w:fill="auto"/>
            <w:vAlign w:val="center"/>
          </w:tcPr>
          <w:p w14:paraId="36CD5E0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206</w:t>
            </w:r>
          </w:p>
        </w:tc>
        <w:tc>
          <w:tcPr>
            <w:tcW w:w="0" w:type="auto"/>
            <w:vAlign w:val="center"/>
          </w:tcPr>
          <w:p w14:paraId="7F9D1C5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96</w:t>
            </w:r>
          </w:p>
        </w:tc>
        <w:tc>
          <w:tcPr>
            <w:tcW w:w="0" w:type="auto"/>
            <w:shd w:val="clear" w:color="auto" w:fill="auto"/>
            <w:vAlign w:val="center"/>
          </w:tcPr>
          <w:p w14:paraId="495521B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35</w:t>
            </w:r>
          </w:p>
        </w:tc>
        <w:tc>
          <w:tcPr>
            <w:tcW w:w="0" w:type="auto"/>
            <w:vAlign w:val="center"/>
          </w:tcPr>
          <w:p w14:paraId="61FBBA9B"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22</w:t>
            </w:r>
          </w:p>
        </w:tc>
        <w:tc>
          <w:tcPr>
            <w:tcW w:w="0" w:type="auto"/>
            <w:vAlign w:val="center"/>
          </w:tcPr>
          <w:p w14:paraId="1132A494"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25</w:t>
            </w:r>
          </w:p>
        </w:tc>
        <w:tc>
          <w:tcPr>
            <w:tcW w:w="0" w:type="auto"/>
            <w:vMerge w:val="restart"/>
            <w:vAlign w:val="center"/>
          </w:tcPr>
          <w:p w14:paraId="5EE07431"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4.14</w:t>
            </w:r>
          </w:p>
        </w:tc>
        <w:tc>
          <w:tcPr>
            <w:tcW w:w="0" w:type="auto"/>
            <w:gridSpan w:val="2"/>
            <w:vMerge w:val="restart"/>
            <w:vAlign w:val="center"/>
          </w:tcPr>
          <w:p w14:paraId="63D65F01"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1.195</w:t>
            </w:r>
          </w:p>
        </w:tc>
        <w:tc>
          <w:tcPr>
            <w:tcW w:w="0" w:type="auto"/>
            <w:vMerge w:val="restart"/>
            <w:tcBorders>
              <w:right w:val="single" w:sz="4" w:space="0" w:color="auto"/>
            </w:tcBorders>
            <w:vAlign w:val="center"/>
          </w:tcPr>
          <w:p w14:paraId="32079616" w14:textId="77777777" w:rsidR="00DE2B2A" w:rsidRPr="0012475B" w:rsidRDefault="00DE2B2A" w:rsidP="00D971F9">
            <w:pPr>
              <w:bidi/>
              <w:spacing w:after="0" w:line="240" w:lineRule="auto"/>
              <w:jc w:val="center"/>
              <w:rPr>
                <w:rFonts w:ascii="Times New Roman" w:hAnsi="Times New Roman" w:cs="Simplified Arabic"/>
                <w:w w:val="95"/>
                <w:sz w:val="20"/>
                <w:szCs w:val="20"/>
                <w:lang w:bidi="ar-EG"/>
              </w:rPr>
            </w:pPr>
            <w:r w:rsidRPr="0012475B">
              <w:rPr>
                <w:rFonts w:ascii="Times New Roman" w:hAnsi="Times New Roman" w:cs="Simplified Arabic"/>
                <w:w w:val="95"/>
                <w:sz w:val="20"/>
                <w:szCs w:val="20"/>
              </w:rPr>
              <w:t>1</w:t>
            </w:r>
          </w:p>
        </w:tc>
        <w:tc>
          <w:tcPr>
            <w:tcW w:w="0" w:type="auto"/>
            <w:vMerge w:val="restart"/>
            <w:tcBorders>
              <w:right w:val="single" w:sz="4" w:space="0" w:color="auto"/>
            </w:tcBorders>
            <w:vAlign w:val="center"/>
          </w:tcPr>
          <w:p w14:paraId="681592F8"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hint="cs"/>
                <w:w w:val="95"/>
                <w:sz w:val="20"/>
                <w:szCs w:val="20"/>
                <w:rtl/>
              </w:rPr>
              <w:t>عالية</w:t>
            </w:r>
          </w:p>
        </w:tc>
      </w:tr>
      <w:tr w:rsidR="0012475B" w:rsidRPr="0012475B" w14:paraId="4DDF5285" w14:textId="77777777" w:rsidTr="0012475B">
        <w:trPr>
          <w:jc w:val="right"/>
        </w:trPr>
        <w:tc>
          <w:tcPr>
            <w:tcW w:w="0" w:type="auto"/>
            <w:vMerge/>
            <w:tcBorders>
              <w:left w:val="single" w:sz="4" w:space="0" w:color="auto"/>
              <w:right w:val="single" w:sz="4" w:space="0" w:color="auto"/>
            </w:tcBorders>
            <w:vAlign w:val="center"/>
          </w:tcPr>
          <w:p w14:paraId="01CE5EB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65145923"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58AC7892"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w:t>
            </w:r>
          </w:p>
        </w:tc>
        <w:tc>
          <w:tcPr>
            <w:tcW w:w="0" w:type="auto"/>
            <w:shd w:val="clear" w:color="auto" w:fill="auto"/>
            <w:vAlign w:val="center"/>
          </w:tcPr>
          <w:p w14:paraId="6B9A563F"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53.6</w:t>
            </w:r>
          </w:p>
        </w:tc>
        <w:tc>
          <w:tcPr>
            <w:tcW w:w="0" w:type="auto"/>
            <w:vAlign w:val="center"/>
          </w:tcPr>
          <w:p w14:paraId="1AEBAD9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25</w:t>
            </w:r>
          </w:p>
        </w:tc>
        <w:tc>
          <w:tcPr>
            <w:tcW w:w="0" w:type="auto"/>
            <w:shd w:val="clear" w:color="auto" w:fill="auto"/>
            <w:vAlign w:val="center"/>
          </w:tcPr>
          <w:p w14:paraId="5E6F59B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9.1</w:t>
            </w:r>
          </w:p>
        </w:tc>
        <w:tc>
          <w:tcPr>
            <w:tcW w:w="0" w:type="auto"/>
            <w:vAlign w:val="center"/>
          </w:tcPr>
          <w:p w14:paraId="70D09AFD"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5.7</w:t>
            </w:r>
          </w:p>
        </w:tc>
        <w:tc>
          <w:tcPr>
            <w:tcW w:w="0" w:type="auto"/>
            <w:vAlign w:val="center"/>
          </w:tcPr>
          <w:p w14:paraId="0DD6C4E3"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6.5</w:t>
            </w:r>
          </w:p>
        </w:tc>
        <w:tc>
          <w:tcPr>
            <w:tcW w:w="0" w:type="auto"/>
            <w:vMerge/>
            <w:vAlign w:val="center"/>
          </w:tcPr>
          <w:p w14:paraId="034BFE61"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156A6E69"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2F1A7B34"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25F5483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2B309479" w14:textId="77777777" w:rsidTr="0012475B">
        <w:trPr>
          <w:jc w:val="right"/>
        </w:trPr>
        <w:tc>
          <w:tcPr>
            <w:tcW w:w="0" w:type="auto"/>
            <w:vMerge w:val="restart"/>
            <w:tcBorders>
              <w:left w:val="single" w:sz="4" w:space="0" w:color="auto"/>
              <w:right w:val="single" w:sz="4" w:space="0" w:color="auto"/>
            </w:tcBorders>
            <w:vAlign w:val="center"/>
          </w:tcPr>
          <w:p w14:paraId="0B6DA68A"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3</w:t>
            </w:r>
          </w:p>
        </w:tc>
        <w:tc>
          <w:tcPr>
            <w:tcW w:w="2329" w:type="dxa"/>
            <w:vMerge w:val="restart"/>
            <w:tcBorders>
              <w:left w:val="single" w:sz="4" w:space="0" w:color="auto"/>
              <w:right w:val="single" w:sz="4" w:space="0" w:color="auto"/>
            </w:tcBorders>
            <w:vAlign w:val="center"/>
          </w:tcPr>
          <w:p w14:paraId="089AB708" w14:textId="77777777" w:rsidR="00DE2B2A" w:rsidRPr="0012475B" w:rsidRDefault="00DE2B2A" w:rsidP="00D971F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12475B">
              <w:rPr>
                <w:rFonts w:ascii="Times New Roman" w:eastAsia="Times New Roman" w:hAnsi="Times New Roman" w:cs="Simplified Arabic"/>
                <w:w w:val="95"/>
                <w:sz w:val="20"/>
                <w:szCs w:val="20"/>
                <w:rtl/>
              </w:rPr>
              <w:t>تُمثل التبرعات مصدرًا هامًا لتمويل المشاريع غير الربحية والمجتمعية</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326C588B"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ك</w:t>
            </w:r>
          </w:p>
        </w:tc>
        <w:tc>
          <w:tcPr>
            <w:tcW w:w="0" w:type="auto"/>
            <w:shd w:val="clear" w:color="auto" w:fill="auto"/>
            <w:vAlign w:val="center"/>
          </w:tcPr>
          <w:p w14:paraId="018D8D8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170</w:t>
            </w:r>
          </w:p>
        </w:tc>
        <w:tc>
          <w:tcPr>
            <w:tcW w:w="0" w:type="auto"/>
            <w:vAlign w:val="center"/>
          </w:tcPr>
          <w:p w14:paraId="2E7B8DB9"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123</w:t>
            </w:r>
          </w:p>
        </w:tc>
        <w:tc>
          <w:tcPr>
            <w:tcW w:w="0" w:type="auto"/>
            <w:shd w:val="clear" w:color="auto" w:fill="auto"/>
            <w:vAlign w:val="center"/>
          </w:tcPr>
          <w:p w14:paraId="54F8BA9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46</w:t>
            </w:r>
          </w:p>
        </w:tc>
        <w:tc>
          <w:tcPr>
            <w:tcW w:w="0" w:type="auto"/>
            <w:vAlign w:val="center"/>
          </w:tcPr>
          <w:p w14:paraId="651B03A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22</w:t>
            </w:r>
          </w:p>
        </w:tc>
        <w:tc>
          <w:tcPr>
            <w:tcW w:w="0" w:type="auto"/>
            <w:vAlign w:val="center"/>
          </w:tcPr>
          <w:p w14:paraId="586879F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23</w:t>
            </w:r>
          </w:p>
        </w:tc>
        <w:tc>
          <w:tcPr>
            <w:tcW w:w="0" w:type="auto"/>
            <w:vMerge w:val="restart"/>
            <w:vAlign w:val="center"/>
          </w:tcPr>
          <w:p w14:paraId="3B1B86BE"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color w:val="000000"/>
                <w:w w:val="95"/>
                <w:sz w:val="20"/>
                <w:szCs w:val="20"/>
              </w:rPr>
              <w:t>4.03</w:t>
            </w:r>
          </w:p>
        </w:tc>
        <w:tc>
          <w:tcPr>
            <w:tcW w:w="0" w:type="auto"/>
            <w:gridSpan w:val="2"/>
            <w:vMerge w:val="restart"/>
            <w:vAlign w:val="center"/>
          </w:tcPr>
          <w:p w14:paraId="2A0CFF97"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color w:val="000000"/>
                <w:w w:val="95"/>
                <w:sz w:val="20"/>
                <w:szCs w:val="20"/>
              </w:rPr>
              <w:t>1.155</w:t>
            </w:r>
          </w:p>
        </w:tc>
        <w:tc>
          <w:tcPr>
            <w:tcW w:w="0" w:type="auto"/>
            <w:vMerge w:val="restart"/>
            <w:tcBorders>
              <w:right w:val="single" w:sz="4" w:space="0" w:color="auto"/>
            </w:tcBorders>
            <w:vAlign w:val="center"/>
          </w:tcPr>
          <w:p w14:paraId="4FB61228" w14:textId="77777777" w:rsidR="00DE2B2A" w:rsidRPr="0012475B" w:rsidRDefault="00DE2B2A" w:rsidP="00D971F9">
            <w:pPr>
              <w:bidi/>
              <w:spacing w:after="0" w:line="240" w:lineRule="auto"/>
              <w:jc w:val="center"/>
              <w:rPr>
                <w:rFonts w:ascii="Times New Roman" w:hAnsi="Times New Roman" w:cs="Simplified Arabic"/>
                <w:w w:val="95"/>
                <w:sz w:val="20"/>
                <w:szCs w:val="20"/>
                <w:lang w:bidi="ar-EG"/>
              </w:rPr>
            </w:pPr>
            <w:r w:rsidRPr="0012475B">
              <w:rPr>
                <w:rFonts w:ascii="Times New Roman" w:hAnsi="Times New Roman" w:cs="Simplified Arabic"/>
                <w:w w:val="95"/>
                <w:sz w:val="20"/>
                <w:szCs w:val="20"/>
              </w:rPr>
              <w:t>4</w:t>
            </w:r>
          </w:p>
        </w:tc>
        <w:tc>
          <w:tcPr>
            <w:tcW w:w="0" w:type="auto"/>
            <w:vMerge w:val="restart"/>
            <w:tcBorders>
              <w:right w:val="single" w:sz="4" w:space="0" w:color="auto"/>
            </w:tcBorders>
            <w:vAlign w:val="center"/>
          </w:tcPr>
          <w:p w14:paraId="16E35B41"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hint="cs"/>
                <w:w w:val="95"/>
                <w:sz w:val="20"/>
                <w:szCs w:val="20"/>
                <w:rtl/>
              </w:rPr>
              <w:t>عالية</w:t>
            </w:r>
          </w:p>
        </w:tc>
      </w:tr>
      <w:tr w:rsidR="0012475B" w:rsidRPr="0012475B" w14:paraId="1FD8032B" w14:textId="77777777" w:rsidTr="0012475B">
        <w:trPr>
          <w:jc w:val="right"/>
        </w:trPr>
        <w:tc>
          <w:tcPr>
            <w:tcW w:w="0" w:type="auto"/>
            <w:vMerge/>
            <w:tcBorders>
              <w:left w:val="single" w:sz="4" w:space="0" w:color="auto"/>
              <w:right w:val="single" w:sz="4" w:space="0" w:color="auto"/>
            </w:tcBorders>
            <w:vAlign w:val="center"/>
          </w:tcPr>
          <w:p w14:paraId="01BCA0DB"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3C739C3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3A3BEB34"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w:t>
            </w:r>
          </w:p>
        </w:tc>
        <w:tc>
          <w:tcPr>
            <w:tcW w:w="0" w:type="auto"/>
            <w:shd w:val="clear" w:color="auto" w:fill="auto"/>
            <w:vAlign w:val="center"/>
          </w:tcPr>
          <w:p w14:paraId="27BB0DD9"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44.3</w:t>
            </w:r>
          </w:p>
        </w:tc>
        <w:tc>
          <w:tcPr>
            <w:tcW w:w="0" w:type="auto"/>
            <w:vAlign w:val="center"/>
          </w:tcPr>
          <w:p w14:paraId="4E0EFD2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32</w:t>
            </w:r>
          </w:p>
        </w:tc>
        <w:tc>
          <w:tcPr>
            <w:tcW w:w="0" w:type="auto"/>
            <w:shd w:val="clear" w:color="auto" w:fill="auto"/>
            <w:vAlign w:val="center"/>
          </w:tcPr>
          <w:p w14:paraId="301260F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12</w:t>
            </w:r>
          </w:p>
        </w:tc>
        <w:tc>
          <w:tcPr>
            <w:tcW w:w="0" w:type="auto"/>
            <w:vAlign w:val="center"/>
          </w:tcPr>
          <w:p w14:paraId="4C1DB1A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5.7</w:t>
            </w:r>
          </w:p>
        </w:tc>
        <w:tc>
          <w:tcPr>
            <w:tcW w:w="0" w:type="auto"/>
            <w:vAlign w:val="center"/>
          </w:tcPr>
          <w:p w14:paraId="2A342A2F"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6</w:t>
            </w:r>
          </w:p>
        </w:tc>
        <w:tc>
          <w:tcPr>
            <w:tcW w:w="0" w:type="auto"/>
            <w:vMerge/>
            <w:vAlign w:val="center"/>
          </w:tcPr>
          <w:p w14:paraId="2E43057F"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5C36AA5C"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3832615E"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7FCE13BC"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68F6D521" w14:textId="77777777" w:rsidTr="0012475B">
        <w:trPr>
          <w:jc w:val="right"/>
        </w:trPr>
        <w:tc>
          <w:tcPr>
            <w:tcW w:w="0" w:type="auto"/>
            <w:vMerge w:val="restart"/>
            <w:tcBorders>
              <w:left w:val="single" w:sz="4" w:space="0" w:color="auto"/>
              <w:right w:val="single" w:sz="4" w:space="0" w:color="auto"/>
            </w:tcBorders>
            <w:vAlign w:val="center"/>
          </w:tcPr>
          <w:p w14:paraId="3CFE437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4</w:t>
            </w:r>
          </w:p>
        </w:tc>
        <w:tc>
          <w:tcPr>
            <w:tcW w:w="2329" w:type="dxa"/>
            <w:vMerge w:val="restart"/>
            <w:tcBorders>
              <w:left w:val="single" w:sz="4" w:space="0" w:color="auto"/>
              <w:right w:val="single" w:sz="4" w:space="0" w:color="auto"/>
            </w:tcBorders>
            <w:vAlign w:val="center"/>
          </w:tcPr>
          <w:p w14:paraId="016E1016" w14:textId="77777777" w:rsidR="00DE2B2A" w:rsidRPr="0012475B" w:rsidRDefault="00DE2B2A" w:rsidP="00D971F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12475B">
              <w:rPr>
                <w:rFonts w:ascii="Times New Roman" w:eastAsia="Times New Roman" w:hAnsi="Times New Roman" w:cs="Simplified Arabic"/>
                <w:w w:val="95"/>
                <w:sz w:val="20"/>
                <w:szCs w:val="20"/>
                <w:rtl/>
              </w:rPr>
              <w:t>ت</w:t>
            </w:r>
            <w:r w:rsidRPr="0012475B">
              <w:rPr>
                <w:rFonts w:ascii="Times New Roman" w:eastAsia="Times New Roman" w:hAnsi="Times New Roman" w:cs="Simplified Arabic" w:hint="cs"/>
                <w:w w:val="95"/>
                <w:sz w:val="20"/>
                <w:szCs w:val="20"/>
                <w:rtl/>
              </w:rPr>
              <w:t>ُ</w:t>
            </w:r>
            <w:r w:rsidRPr="0012475B">
              <w:rPr>
                <w:rFonts w:ascii="Times New Roman" w:eastAsia="Times New Roman" w:hAnsi="Times New Roman" w:cs="Simplified Arabic"/>
                <w:w w:val="95"/>
                <w:sz w:val="20"/>
                <w:szCs w:val="20"/>
                <w:rtl/>
              </w:rPr>
              <w:t xml:space="preserve">زيد الحملات الترويجية الفعالة من فرص نجاح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766BBAC9"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ك</w:t>
            </w:r>
          </w:p>
        </w:tc>
        <w:tc>
          <w:tcPr>
            <w:tcW w:w="0" w:type="auto"/>
            <w:shd w:val="clear" w:color="auto" w:fill="auto"/>
            <w:vAlign w:val="center"/>
          </w:tcPr>
          <w:p w14:paraId="1DE9A3F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216</w:t>
            </w:r>
          </w:p>
        </w:tc>
        <w:tc>
          <w:tcPr>
            <w:tcW w:w="0" w:type="auto"/>
            <w:vAlign w:val="center"/>
          </w:tcPr>
          <w:p w14:paraId="2743EBCF"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76</w:t>
            </w:r>
          </w:p>
        </w:tc>
        <w:tc>
          <w:tcPr>
            <w:tcW w:w="0" w:type="auto"/>
            <w:shd w:val="clear" w:color="auto" w:fill="auto"/>
            <w:vAlign w:val="center"/>
          </w:tcPr>
          <w:p w14:paraId="73BA3D1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36</w:t>
            </w:r>
          </w:p>
        </w:tc>
        <w:tc>
          <w:tcPr>
            <w:tcW w:w="0" w:type="auto"/>
            <w:vAlign w:val="center"/>
          </w:tcPr>
          <w:p w14:paraId="4AC578FC"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31</w:t>
            </w:r>
          </w:p>
        </w:tc>
        <w:tc>
          <w:tcPr>
            <w:tcW w:w="0" w:type="auto"/>
            <w:vAlign w:val="center"/>
          </w:tcPr>
          <w:p w14:paraId="14BF443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25</w:t>
            </w:r>
          </w:p>
        </w:tc>
        <w:tc>
          <w:tcPr>
            <w:tcW w:w="0" w:type="auto"/>
            <w:vMerge w:val="restart"/>
            <w:vAlign w:val="center"/>
          </w:tcPr>
          <w:p w14:paraId="08A90F09"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4.11</w:t>
            </w:r>
          </w:p>
        </w:tc>
        <w:tc>
          <w:tcPr>
            <w:tcW w:w="0" w:type="auto"/>
            <w:gridSpan w:val="2"/>
            <w:vMerge w:val="restart"/>
            <w:vAlign w:val="center"/>
          </w:tcPr>
          <w:p w14:paraId="58B274F4"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1.248</w:t>
            </w:r>
          </w:p>
        </w:tc>
        <w:tc>
          <w:tcPr>
            <w:tcW w:w="0" w:type="auto"/>
            <w:vMerge w:val="restart"/>
            <w:tcBorders>
              <w:right w:val="single" w:sz="4" w:space="0" w:color="auto"/>
            </w:tcBorders>
            <w:vAlign w:val="center"/>
          </w:tcPr>
          <w:p w14:paraId="513DA6AE"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Pr>
              <w:t>2</w:t>
            </w:r>
          </w:p>
        </w:tc>
        <w:tc>
          <w:tcPr>
            <w:tcW w:w="0" w:type="auto"/>
            <w:vMerge w:val="restart"/>
            <w:tcBorders>
              <w:right w:val="single" w:sz="4" w:space="0" w:color="auto"/>
            </w:tcBorders>
            <w:vAlign w:val="center"/>
          </w:tcPr>
          <w:p w14:paraId="45304C95"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hint="cs"/>
                <w:w w:val="95"/>
                <w:sz w:val="20"/>
                <w:szCs w:val="20"/>
                <w:rtl/>
              </w:rPr>
              <w:t>عالية</w:t>
            </w:r>
          </w:p>
        </w:tc>
      </w:tr>
      <w:tr w:rsidR="0012475B" w:rsidRPr="0012475B" w14:paraId="119D3512" w14:textId="77777777" w:rsidTr="0012475B">
        <w:trPr>
          <w:jc w:val="right"/>
        </w:trPr>
        <w:tc>
          <w:tcPr>
            <w:tcW w:w="0" w:type="auto"/>
            <w:vMerge/>
            <w:tcBorders>
              <w:left w:val="single" w:sz="4" w:space="0" w:color="auto"/>
              <w:right w:val="single" w:sz="4" w:space="0" w:color="auto"/>
            </w:tcBorders>
            <w:vAlign w:val="center"/>
          </w:tcPr>
          <w:p w14:paraId="605B4D7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29B8DA4E"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339B9BA8"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w:t>
            </w:r>
          </w:p>
        </w:tc>
        <w:tc>
          <w:tcPr>
            <w:tcW w:w="0" w:type="auto"/>
            <w:shd w:val="clear" w:color="auto" w:fill="auto"/>
            <w:vAlign w:val="center"/>
          </w:tcPr>
          <w:p w14:paraId="73AF542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56.3</w:t>
            </w:r>
          </w:p>
        </w:tc>
        <w:tc>
          <w:tcPr>
            <w:tcW w:w="0" w:type="auto"/>
            <w:vAlign w:val="center"/>
          </w:tcPr>
          <w:p w14:paraId="283C00A9"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19.8</w:t>
            </w:r>
          </w:p>
        </w:tc>
        <w:tc>
          <w:tcPr>
            <w:tcW w:w="0" w:type="auto"/>
            <w:shd w:val="clear" w:color="auto" w:fill="auto"/>
            <w:vAlign w:val="center"/>
          </w:tcPr>
          <w:p w14:paraId="20F2188E"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9.4</w:t>
            </w:r>
          </w:p>
        </w:tc>
        <w:tc>
          <w:tcPr>
            <w:tcW w:w="0" w:type="auto"/>
            <w:vAlign w:val="center"/>
          </w:tcPr>
          <w:p w14:paraId="02A4CC2B"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8.1</w:t>
            </w:r>
          </w:p>
        </w:tc>
        <w:tc>
          <w:tcPr>
            <w:tcW w:w="0" w:type="auto"/>
            <w:vAlign w:val="center"/>
          </w:tcPr>
          <w:p w14:paraId="0739332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6.5</w:t>
            </w:r>
          </w:p>
        </w:tc>
        <w:tc>
          <w:tcPr>
            <w:tcW w:w="0" w:type="auto"/>
            <w:vMerge/>
            <w:vAlign w:val="center"/>
          </w:tcPr>
          <w:p w14:paraId="386C85D0"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365645D5"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26C1DFA9"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76AE23B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7EA1CC48" w14:textId="77777777" w:rsidTr="0012475B">
        <w:trPr>
          <w:jc w:val="right"/>
        </w:trPr>
        <w:tc>
          <w:tcPr>
            <w:tcW w:w="0" w:type="auto"/>
            <w:vMerge w:val="restart"/>
            <w:tcBorders>
              <w:left w:val="single" w:sz="4" w:space="0" w:color="auto"/>
              <w:right w:val="single" w:sz="4" w:space="0" w:color="auto"/>
            </w:tcBorders>
            <w:vAlign w:val="center"/>
          </w:tcPr>
          <w:p w14:paraId="5709A45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5</w:t>
            </w:r>
          </w:p>
        </w:tc>
        <w:tc>
          <w:tcPr>
            <w:tcW w:w="2329" w:type="dxa"/>
            <w:vMerge w:val="restart"/>
            <w:tcBorders>
              <w:left w:val="single" w:sz="4" w:space="0" w:color="auto"/>
              <w:right w:val="single" w:sz="4" w:space="0" w:color="auto"/>
            </w:tcBorders>
            <w:vAlign w:val="center"/>
          </w:tcPr>
          <w:p w14:paraId="27F19AC8" w14:textId="77777777" w:rsidR="00DE2B2A" w:rsidRPr="0012475B" w:rsidRDefault="00DE2B2A" w:rsidP="00D971F9">
            <w:pPr>
              <w:autoSpaceDE w:val="0"/>
              <w:autoSpaceDN w:val="0"/>
              <w:bidi/>
              <w:adjustRightInd w:val="0"/>
              <w:spacing w:after="0" w:line="240" w:lineRule="auto"/>
              <w:jc w:val="center"/>
              <w:rPr>
                <w:rFonts w:ascii="Times New Roman" w:eastAsia="Calibri" w:hAnsi="Times New Roman" w:cs="Simplified Arabic"/>
                <w:w w:val="95"/>
                <w:sz w:val="20"/>
                <w:szCs w:val="20"/>
                <w:rtl/>
                <w:lang w:bidi="ar-KW"/>
              </w:rPr>
            </w:pPr>
            <w:r w:rsidRPr="0012475B">
              <w:rPr>
                <w:rFonts w:ascii="Times New Roman" w:eastAsia="Times New Roman" w:hAnsi="Times New Roman" w:cs="Simplified Arabic"/>
                <w:w w:val="95"/>
                <w:sz w:val="20"/>
                <w:szCs w:val="20"/>
                <w:rtl/>
              </w:rPr>
              <w:t xml:space="preserve">تَعتمد استدامة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tl/>
              </w:rPr>
              <w:t xml:space="preserve"> على وجود رقابة وتنظيم واضحين</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7ACBBEF3"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ك</w:t>
            </w:r>
          </w:p>
        </w:tc>
        <w:tc>
          <w:tcPr>
            <w:tcW w:w="0" w:type="auto"/>
            <w:shd w:val="clear" w:color="auto" w:fill="auto"/>
            <w:vAlign w:val="center"/>
          </w:tcPr>
          <w:p w14:paraId="7569576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169</w:t>
            </w:r>
          </w:p>
        </w:tc>
        <w:tc>
          <w:tcPr>
            <w:tcW w:w="0" w:type="auto"/>
            <w:vAlign w:val="center"/>
          </w:tcPr>
          <w:p w14:paraId="6549FBAD"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91</w:t>
            </w:r>
          </w:p>
        </w:tc>
        <w:tc>
          <w:tcPr>
            <w:tcW w:w="0" w:type="auto"/>
            <w:shd w:val="clear" w:color="auto" w:fill="auto"/>
            <w:vAlign w:val="center"/>
          </w:tcPr>
          <w:p w14:paraId="62491B26"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38</w:t>
            </w:r>
          </w:p>
        </w:tc>
        <w:tc>
          <w:tcPr>
            <w:tcW w:w="0" w:type="auto"/>
            <w:vAlign w:val="center"/>
          </w:tcPr>
          <w:p w14:paraId="29A371F3"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39</w:t>
            </w:r>
          </w:p>
        </w:tc>
        <w:tc>
          <w:tcPr>
            <w:tcW w:w="0" w:type="auto"/>
            <w:vAlign w:val="center"/>
          </w:tcPr>
          <w:p w14:paraId="7E573564"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47</w:t>
            </w:r>
          </w:p>
        </w:tc>
        <w:tc>
          <w:tcPr>
            <w:tcW w:w="0" w:type="auto"/>
            <w:vMerge w:val="restart"/>
            <w:vAlign w:val="center"/>
          </w:tcPr>
          <w:p w14:paraId="72A82D6B"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color w:val="000000"/>
                <w:w w:val="95"/>
                <w:sz w:val="20"/>
                <w:szCs w:val="20"/>
              </w:rPr>
              <w:t>3.77</w:t>
            </w:r>
          </w:p>
        </w:tc>
        <w:tc>
          <w:tcPr>
            <w:tcW w:w="0" w:type="auto"/>
            <w:gridSpan w:val="2"/>
            <w:vMerge w:val="restart"/>
            <w:vAlign w:val="center"/>
          </w:tcPr>
          <w:p w14:paraId="38E357E2"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color w:val="000000"/>
                <w:w w:val="95"/>
                <w:sz w:val="20"/>
                <w:szCs w:val="20"/>
              </w:rPr>
              <w:t>1.414</w:t>
            </w:r>
          </w:p>
        </w:tc>
        <w:tc>
          <w:tcPr>
            <w:tcW w:w="0" w:type="auto"/>
            <w:vMerge w:val="restart"/>
            <w:tcBorders>
              <w:right w:val="single" w:sz="4" w:space="0" w:color="auto"/>
            </w:tcBorders>
            <w:vAlign w:val="center"/>
          </w:tcPr>
          <w:p w14:paraId="04AF563E" w14:textId="77777777" w:rsidR="00DE2B2A" w:rsidRPr="0012475B" w:rsidRDefault="00DE2B2A" w:rsidP="00D971F9">
            <w:pPr>
              <w:bidi/>
              <w:spacing w:after="0" w:line="240" w:lineRule="auto"/>
              <w:jc w:val="center"/>
              <w:rPr>
                <w:rFonts w:ascii="Times New Roman" w:hAnsi="Times New Roman" w:cs="Simplified Arabic"/>
                <w:w w:val="95"/>
                <w:sz w:val="20"/>
                <w:szCs w:val="20"/>
                <w:lang w:bidi="ar-EG"/>
              </w:rPr>
            </w:pPr>
            <w:r w:rsidRPr="0012475B">
              <w:rPr>
                <w:rFonts w:ascii="Times New Roman" w:hAnsi="Times New Roman" w:cs="Simplified Arabic"/>
                <w:w w:val="95"/>
                <w:sz w:val="20"/>
                <w:szCs w:val="20"/>
              </w:rPr>
              <w:t>8</w:t>
            </w:r>
          </w:p>
        </w:tc>
        <w:tc>
          <w:tcPr>
            <w:tcW w:w="0" w:type="auto"/>
            <w:vMerge w:val="restart"/>
            <w:tcBorders>
              <w:right w:val="single" w:sz="4" w:space="0" w:color="auto"/>
            </w:tcBorders>
            <w:vAlign w:val="center"/>
          </w:tcPr>
          <w:p w14:paraId="558C338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عالية</w:t>
            </w:r>
          </w:p>
        </w:tc>
      </w:tr>
      <w:tr w:rsidR="0012475B" w:rsidRPr="0012475B" w14:paraId="707A198E" w14:textId="77777777" w:rsidTr="0012475B">
        <w:trPr>
          <w:jc w:val="right"/>
        </w:trPr>
        <w:tc>
          <w:tcPr>
            <w:tcW w:w="0" w:type="auto"/>
            <w:vMerge/>
            <w:tcBorders>
              <w:left w:val="single" w:sz="4" w:space="0" w:color="auto"/>
              <w:right w:val="single" w:sz="4" w:space="0" w:color="auto"/>
            </w:tcBorders>
            <w:vAlign w:val="center"/>
          </w:tcPr>
          <w:p w14:paraId="2026EB3B"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101B00B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76F63A00"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w w:val="95"/>
                <w:sz w:val="20"/>
                <w:szCs w:val="20"/>
                <w:rtl/>
              </w:rPr>
              <w:t>%</w:t>
            </w:r>
          </w:p>
        </w:tc>
        <w:tc>
          <w:tcPr>
            <w:tcW w:w="0" w:type="auto"/>
            <w:shd w:val="clear" w:color="auto" w:fill="auto"/>
            <w:vAlign w:val="center"/>
          </w:tcPr>
          <w:p w14:paraId="5F1BF893"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44</w:t>
            </w:r>
          </w:p>
        </w:tc>
        <w:tc>
          <w:tcPr>
            <w:tcW w:w="0" w:type="auto"/>
            <w:vAlign w:val="center"/>
          </w:tcPr>
          <w:p w14:paraId="4F1C12DE"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23.7</w:t>
            </w:r>
          </w:p>
        </w:tc>
        <w:tc>
          <w:tcPr>
            <w:tcW w:w="0" w:type="auto"/>
            <w:shd w:val="clear" w:color="auto" w:fill="auto"/>
            <w:vAlign w:val="center"/>
          </w:tcPr>
          <w:p w14:paraId="030CA4F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9.9</w:t>
            </w:r>
          </w:p>
        </w:tc>
        <w:tc>
          <w:tcPr>
            <w:tcW w:w="0" w:type="auto"/>
            <w:vAlign w:val="center"/>
          </w:tcPr>
          <w:p w14:paraId="17217B2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10.2</w:t>
            </w:r>
          </w:p>
        </w:tc>
        <w:tc>
          <w:tcPr>
            <w:tcW w:w="0" w:type="auto"/>
            <w:vAlign w:val="center"/>
          </w:tcPr>
          <w:p w14:paraId="7A7EAF2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12.2</w:t>
            </w:r>
          </w:p>
        </w:tc>
        <w:tc>
          <w:tcPr>
            <w:tcW w:w="0" w:type="auto"/>
            <w:vMerge/>
            <w:vAlign w:val="center"/>
          </w:tcPr>
          <w:p w14:paraId="69128B83"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077F15B5"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3170708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419AF37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095D6A42" w14:textId="77777777" w:rsidTr="0012475B">
        <w:trPr>
          <w:jc w:val="right"/>
        </w:trPr>
        <w:tc>
          <w:tcPr>
            <w:tcW w:w="0" w:type="auto"/>
            <w:vMerge w:val="restart"/>
            <w:tcBorders>
              <w:left w:val="single" w:sz="4" w:space="0" w:color="auto"/>
              <w:right w:val="single" w:sz="4" w:space="0" w:color="auto"/>
            </w:tcBorders>
            <w:vAlign w:val="center"/>
          </w:tcPr>
          <w:p w14:paraId="17333ED2"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6</w:t>
            </w:r>
          </w:p>
        </w:tc>
        <w:tc>
          <w:tcPr>
            <w:tcW w:w="2329" w:type="dxa"/>
            <w:vMerge w:val="restart"/>
            <w:tcBorders>
              <w:left w:val="single" w:sz="4" w:space="0" w:color="auto"/>
              <w:right w:val="single" w:sz="4" w:space="0" w:color="auto"/>
            </w:tcBorders>
            <w:vAlign w:val="center"/>
          </w:tcPr>
          <w:p w14:paraId="23FDB6DD"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eastAsia="Times New Roman" w:hAnsi="Times New Roman" w:cs="Simplified Arabic"/>
                <w:w w:val="95"/>
                <w:sz w:val="20"/>
                <w:szCs w:val="20"/>
                <w:rtl/>
              </w:rPr>
              <w:t xml:space="preserve">يُساعد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tl/>
              </w:rPr>
              <w:t xml:space="preserve"> في تحفيز الابتكار داخل بيئة المشاريع الريادية</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575CF514"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ك</w:t>
            </w:r>
          </w:p>
        </w:tc>
        <w:tc>
          <w:tcPr>
            <w:tcW w:w="0" w:type="auto"/>
            <w:shd w:val="clear" w:color="auto" w:fill="auto"/>
            <w:vAlign w:val="center"/>
          </w:tcPr>
          <w:p w14:paraId="2432F45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181</w:t>
            </w:r>
          </w:p>
        </w:tc>
        <w:tc>
          <w:tcPr>
            <w:tcW w:w="0" w:type="auto"/>
            <w:vAlign w:val="center"/>
          </w:tcPr>
          <w:p w14:paraId="51D4223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117</w:t>
            </w:r>
          </w:p>
        </w:tc>
        <w:tc>
          <w:tcPr>
            <w:tcW w:w="0" w:type="auto"/>
            <w:shd w:val="clear" w:color="auto" w:fill="auto"/>
            <w:vAlign w:val="center"/>
          </w:tcPr>
          <w:p w14:paraId="523180CE"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41</w:t>
            </w:r>
          </w:p>
        </w:tc>
        <w:tc>
          <w:tcPr>
            <w:tcW w:w="0" w:type="auto"/>
            <w:vAlign w:val="center"/>
          </w:tcPr>
          <w:p w14:paraId="50273D1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23</w:t>
            </w:r>
          </w:p>
        </w:tc>
        <w:tc>
          <w:tcPr>
            <w:tcW w:w="0" w:type="auto"/>
            <w:vAlign w:val="center"/>
          </w:tcPr>
          <w:p w14:paraId="0C5FAEE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22</w:t>
            </w:r>
          </w:p>
        </w:tc>
        <w:tc>
          <w:tcPr>
            <w:tcW w:w="0" w:type="auto"/>
            <w:vMerge w:val="restart"/>
            <w:vAlign w:val="center"/>
          </w:tcPr>
          <w:p w14:paraId="4DC52D41"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4.07</w:t>
            </w:r>
          </w:p>
        </w:tc>
        <w:tc>
          <w:tcPr>
            <w:tcW w:w="0" w:type="auto"/>
            <w:gridSpan w:val="2"/>
            <w:vMerge w:val="restart"/>
            <w:vAlign w:val="center"/>
          </w:tcPr>
          <w:p w14:paraId="2065FAF2"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1.154</w:t>
            </w:r>
          </w:p>
        </w:tc>
        <w:tc>
          <w:tcPr>
            <w:tcW w:w="0" w:type="auto"/>
            <w:vMerge w:val="restart"/>
            <w:tcBorders>
              <w:right w:val="single" w:sz="4" w:space="0" w:color="auto"/>
            </w:tcBorders>
            <w:vAlign w:val="center"/>
          </w:tcPr>
          <w:p w14:paraId="0358D1B6"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Pr>
              <w:t>3</w:t>
            </w:r>
          </w:p>
        </w:tc>
        <w:tc>
          <w:tcPr>
            <w:tcW w:w="0" w:type="auto"/>
            <w:vMerge w:val="restart"/>
            <w:tcBorders>
              <w:right w:val="single" w:sz="4" w:space="0" w:color="auto"/>
            </w:tcBorders>
            <w:vAlign w:val="center"/>
          </w:tcPr>
          <w:p w14:paraId="0171E4A6"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عالية</w:t>
            </w:r>
          </w:p>
        </w:tc>
      </w:tr>
      <w:tr w:rsidR="0012475B" w:rsidRPr="0012475B" w14:paraId="4D4DDC21" w14:textId="77777777" w:rsidTr="0012475B">
        <w:trPr>
          <w:jc w:val="right"/>
        </w:trPr>
        <w:tc>
          <w:tcPr>
            <w:tcW w:w="0" w:type="auto"/>
            <w:vMerge/>
            <w:tcBorders>
              <w:left w:val="single" w:sz="4" w:space="0" w:color="auto"/>
              <w:right w:val="single" w:sz="4" w:space="0" w:color="auto"/>
            </w:tcBorders>
            <w:vAlign w:val="center"/>
          </w:tcPr>
          <w:p w14:paraId="5FC2110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331562CD"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567C154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w:t>
            </w:r>
          </w:p>
        </w:tc>
        <w:tc>
          <w:tcPr>
            <w:tcW w:w="0" w:type="auto"/>
            <w:shd w:val="clear" w:color="auto" w:fill="auto"/>
            <w:vAlign w:val="center"/>
          </w:tcPr>
          <w:p w14:paraId="714A526F"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47.1</w:t>
            </w:r>
          </w:p>
        </w:tc>
        <w:tc>
          <w:tcPr>
            <w:tcW w:w="0" w:type="auto"/>
            <w:vAlign w:val="center"/>
          </w:tcPr>
          <w:p w14:paraId="4B496B41"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30.5</w:t>
            </w:r>
          </w:p>
        </w:tc>
        <w:tc>
          <w:tcPr>
            <w:tcW w:w="0" w:type="auto"/>
            <w:shd w:val="clear" w:color="auto" w:fill="auto"/>
            <w:vAlign w:val="center"/>
          </w:tcPr>
          <w:p w14:paraId="5AA46B1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10.7</w:t>
            </w:r>
          </w:p>
        </w:tc>
        <w:tc>
          <w:tcPr>
            <w:tcW w:w="0" w:type="auto"/>
            <w:vAlign w:val="center"/>
          </w:tcPr>
          <w:p w14:paraId="70AC257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6</w:t>
            </w:r>
          </w:p>
        </w:tc>
        <w:tc>
          <w:tcPr>
            <w:tcW w:w="0" w:type="auto"/>
            <w:vAlign w:val="center"/>
          </w:tcPr>
          <w:p w14:paraId="17265293"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5.7</w:t>
            </w:r>
          </w:p>
        </w:tc>
        <w:tc>
          <w:tcPr>
            <w:tcW w:w="0" w:type="auto"/>
            <w:vMerge/>
            <w:vAlign w:val="center"/>
          </w:tcPr>
          <w:p w14:paraId="343A8D1F"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4544AF2F"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77017E8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0F5F124D"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6A8D6A9E" w14:textId="77777777" w:rsidTr="0012475B">
        <w:trPr>
          <w:jc w:val="right"/>
        </w:trPr>
        <w:tc>
          <w:tcPr>
            <w:tcW w:w="0" w:type="auto"/>
            <w:vMerge w:val="restart"/>
            <w:tcBorders>
              <w:left w:val="single" w:sz="4" w:space="0" w:color="auto"/>
              <w:right w:val="single" w:sz="4" w:space="0" w:color="auto"/>
            </w:tcBorders>
            <w:vAlign w:val="center"/>
          </w:tcPr>
          <w:p w14:paraId="3F02B4C1"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7</w:t>
            </w:r>
          </w:p>
        </w:tc>
        <w:tc>
          <w:tcPr>
            <w:tcW w:w="2329" w:type="dxa"/>
            <w:vMerge w:val="restart"/>
            <w:tcBorders>
              <w:left w:val="single" w:sz="4" w:space="0" w:color="auto"/>
              <w:right w:val="single" w:sz="4" w:space="0" w:color="auto"/>
            </w:tcBorders>
            <w:vAlign w:val="center"/>
          </w:tcPr>
          <w:p w14:paraId="65DD36FD"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eastAsia="Times New Roman" w:hAnsi="Times New Roman" w:cs="Simplified Arabic"/>
                <w:w w:val="95"/>
                <w:sz w:val="20"/>
                <w:szCs w:val="20"/>
                <w:rtl/>
              </w:rPr>
              <w:t xml:space="preserve">تُعد الثقة في الجهات المستفيدة من العوامل الأساسية لنجاح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729370C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ك</w:t>
            </w:r>
          </w:p>
        </w:tc>
        <w:tc>
          <w:tcPr>
            <w:tcW w:w="0" w:type="auto"/>
            <w:shd w:val="clear" w:color="auto" w:fill="auto"/>
            <w:vAlign w:val="center"/>
          </w:tcPr>
          <w:p w14:paraId="1D5B9A6E"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169</w:t>
            </w:r>
          </w:p>
        </w:tc>
        <w:tc>
          <w:tcPr>
            <w:tcW w:w="0" w:type="auto"/>
            <w:vAlign w:val="center"/>
          </w:tcPr>
          <w:p w14:paraId="5E4030B8"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104</w:t>
            </w:r>
          </w:p>
        </w:tc>
        <w:tc>
          <w:tcPr>
            <w:tcW w:w="0" w:type="auto"/>
            <w:shd w:val="clear" w:color="auto" w:fill="auto"/>
            <w:vAlign w:val="center"/>
          </w:tcPr>
          <w:p w14:paraId="5F99FCF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43</w:t>
            </w:r>
          </w:p>
        </w:tc>
        <w:tc>
          <w:tcPr>
            <w:tcW w:w="0" w:type="auto"/>
            <w:vAlign w:val="center"/>
          </w:tcPr>
          <w:p w14:paraId="318ADF82"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31</w:t>
            </w:r>
          </w:p>
        </w:tc>
        <w:tc>
          <w:tcPr>
            <w:tcW w:w="0" w:type="auto"/>
            <w:vAlign w:val="center"/>
          </w:tcPr>
          <w:p w14:paraId="37AD4C2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37</w:t>
            </w:r>
          </w:p>
        </w:tc>
        <w:tc>
          <w:tcPr>
            <w:tcW w:w="0" w:type="auto"/>
            <w:vMerge w:val="restart"/>
            <w:vAlign w:val="center"/>
          </w:tcPr>
          <w:p w14:paraId="0E4F4A6A"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3.88</w:t>
            </w:r>
          </w:p>
        </w:tc>
        <w:tc>
          <w:tcPr>
            <w:tcW w:w="0" w:type="auto"/>
            <w:gridSpan w:val="2"/>
            <w:vMerge w:val="restart"/>
            <w:vAlign w:val="center"/>
          </w:tcPr>
          <w:p w14:paraId="12E67A9C"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1.316</w:t>
            </w:r>
          </w:p>
        </w:tc>
        <w:tc>
          <w:tcPr>
            <w:tcW w:w="0" w:type="auto"/>
            <w:vMerge w:val="restart"/>
            <w:tcBorders>
              <w:right w:val="single" w:sz="4" w:space="0" w:color="auto"/>
            </w:tcBorders>
            <w:vAlign w:val="center"/>
          </w:tcPr>
          <w:p w14:paraId="2EFA6BB2"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Pr>
              <w:t>6</w:t>
            </w:r>
          </w:p>
        </w:tc>
        <w:tc>
          <w:tcPr>
            <w:tcW w:w="0" w:type="auto"/>
            <w:vMerge w:val="restart"/>
            <w:tcBorders>
              <w:right w:val="single" w:sz="4" w:space="0" w:color="auto"/>
            </w:tcBorders>
            <w:vAlign w:val="center"/>
          </w:tcPr>
          <w:p w14:paraId="580247E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عالية</w:t>
            </w:r>
          </w:p>
        </w:tc>
      </w:tr>
      <w:tr w:rsidR="0012475B" w:rsidRPr="0012475B" w14:paraId="732F2AD7" w14:textId="77777777" w:rsidTr="0012475B">
        <w:trPr>
          <w:jc w:val="right"/>
        </w:trPr>
        <w:tc>
          <w:tcPr>
            <w:tcW w:w="0" w:type="auto"/>
            <w:vMerge/>
            <w:tcBorders>
              <w:left w:val="single" w:sz="4" w:space="0" w:color="auto"/>
              <w:right w:val="single" w:sz="4" w:space="0" w:color="auto"/>
            </w:tcBorders>
            <w:vAlign w:val="center"/>
          </w:tcPr>
          <w:p w14:paraId="4E401959"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0C193F0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3F93C543"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w:t>
            </w:r>
          </w:p>
        </w:tc>
        <w:tc>
          <w:tcPr>
            <w:tcW w:w="0" w:type="auto"/>
            <w:shd w:val="clear" w:color="auto" w:fill="auto"/>
            <w:vAlign w:val="center"/>
          </w:tcPr>
          <w:p w14:paraId="23036D63"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44</w:t>
            </w:r>
          </w:p>
        </w:tc>
        <w:tc>
          <w:tcPr>
            <w:tcW w:w="0" w:type="auto"/>
            <w:vAlign w:val="center"/>
          </w:tcPr>
          <w:p w14:paraId="558844D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27.1</w:t>
            </w:r>
          </w:p>
        </w:tc>
        <w:tc>
          <w:tcPr>
            <w:tcW w:w="0" w:type="auto"/>
            <w:shd w:val="clear" w:color="auto" w:fill="auto"/>
            <w:vAlign w:val="center"/>
          </w:tcPr>
          <w:p w14:paraId="67C57F5C"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11.2</w:t>
            </w:r>
          </w:p>
        </w:tc>
        <w:tc>
          <w:tcPr>
            <w:tcW w:w="0" w:type="auto"/>
            <w:vAlign w:val="center"/>
          </w:tcPr>
          <w:p w14:paraId="1EB3E06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8.1</w:t>
            </w:r>
          </w:p>
        </w:tc>
        <w:tc>
          <w:tcPr>
            <w:tcW w:w="0" w:type="auto"/>
            <w:vAlign w:val="center"/>
          </w:tcPr>
          <w:p w14:paraId="75B4FCE0"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9.6</w:t>
            </w:r>
          </w:p>
        </w:tc>
        <w:tc>
          <w:tcPr>
            <w:tcW w:w="0" w:type="auto"/>
            <w:vMerge/>
            <w:vAlign w:val="center"/>
          </w:tcPr>
          <w:p w14:paraId="3B560A52"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6ED6C9D2"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41097BEB"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23E3BF50"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12475B" w:rsidRPr="0012475B" w14:paraId="7C3C19D6" w14:textId="77777777" w:rsidTr="0012475B">
        <w:trPr>
          <w:jc w:val="right"/>
        </w:trPr>
        <w:tc>
          <w:tcPr>
            <w:tcW w:w="0" w:type="auto"/>
            <w:vMerge w:val="restart"/>
            <w:tcBorders>
              <w:left w:val="single" w:sz="4" w:space="0" w:color="auto"/>
              <w:right w:val="single" w:sz="4" w:space="0" w:color="auto"/>
            </w:tcBorders>
            <w:vAlign w:val="center"/>
          </w:tcPr>
          <w:p w14:paraId="738B5E95"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8</w:t>
            </w:r>
          </w:p>
        </w:tc>
        <w:tc>
          <w:tcPr>
            <w:tcW w:w="2329" w:type="dxa"/>
            <w:vMerge w:val="restart"/>
            <w:tcBorders>
              <w:left w:val="single" w:sz="4" w:space="0" w:color="auto"/>
              <w:right w:val="single" w:sz="4" w:space="0" w:color="auto"/>
            </w:tcBorders>
            <w:vAlign w:val="center"/>
          </w:tcPr>
          <w:p w14:paraId="44B86A4C"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eastAsia="Times New Roman" w:hAnsi="Times New Roman" w:cs="Simplified Arabic"/>
                <w:w w:val="95"/>
                <w:sz w:val="20"/>
                <w:szCs w:val="20"/>
                <w:rtl/>
              </w:rPr>
              <w:t xml:space="preserve">تَعمل المنصات الإلكترونية المتخصصة على تسهيل عمليات التمويل </w:t>
            </w:r>
            <w:proofErr w:type="spellStart"/>
            <w:r w:rsidRPr="0012475B">
              <w:rPr>
                <w:rFonts w:ascii="Times New Roman" w:eastAsia="Times New Roman" w:hAnsi="Times New Roman" w:cs="Simplified Arabic"/>
                <w:w w:val="95"/>
                <w:sz w:val="20"/>
                <w:szCs w:val="20"/>
                <w:rtl/>
              </w:rPr>
              <w:t>التبرعي</w:t>
            </w:r>
            <w:proofErr w:type="spellEnd"/>
            <w:r w:rsidRPr="0012475B">
              <w:rPr>
                <w:rFonts w:ascii="Times New Roman" w:eastAsia="Times New Roman" w:hAnsi="Times New Roman" w:cs="Simplified Arabic"/>
                <w:w w:val="95"/>
                <w:sz w:val="20"/>
                <w:szCs w:val="20"/>
                <w:rtl/>
              </w:rPr>
              <w:t xml:space="preserve"> بشكل آمن وفعال</w:t>
            </w:r>
            <w:r w:rsidRPr="0012475B">
              <w:rPr>
                <w:rFonts w:ascii="Times New Roman" w:eastAsia="Times New Roman" w:hAnsi="Times New Roman" w:cs="Simplified Arabic"/>
                <w:w w:val="95"/>
                <w:sz w:val="20"/>
                <w:szCs w:val="20"/>
              </w:rPr>
              <w:t>.</w:t>
            </w: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71D2BC4C"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ك</w:t>
            </w:r>
          </w:p>
        </w:tc>
        <w:tc>
          <w:tcPr>
            <w:tcW w:w="0" w:type="auto"/>
            <w:shd w:val="clear" w:color="auto" w:fill="auto"/>
            <w:vAlign w:val="center"/>
          </w:tcPr>
          <w:p w14:paraId="3C8EB5E2"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161</w:t>
            </w:r>
          </w:p>
        </w:tc>
        <w:tc>
          <w:tcPr>
            <w:tcW w:w="0" w:type="auto"/>
            <w:vAlign w:val="center"/>
          </w:tcPr>
          <w:p w14:paraId="49E465C2"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109</w:t>
            </w:r>
          </w:p>
        </w:tc>
        <w:tc>
          <w:tcPr>
            <w:tcW w:w="0" w:type="auto"/>
            <w:shd w:val="clear" w:color="auto" w:fill="auto"/>
            <w:vAlign w:val="center"/>
          </w:tcPr>
          <w:p w14:paraId="5A20A854"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44</w:t>
            </w:r>
          </w:p>
        </w:tc>
        <w:tc>
          <w:tcPr>
            <w:tcW w:w="0" w:type="auto"/>
            <w:vAlign w:val="center"/>
          </w:tcPr>
          <w:p w14:paraId="31E68B1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20</w:t>
            </w:r>
          </w:p>
        </w:tc>
        <w:tc>
          <w:tcPr>
            <w:tcW w:w="0" w:type="auto"/>
            <w:vAlign w:val="center"/>
          </w:tcPr>
          <w:p w14:paraId="7472AC6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50</w:t>
            </w:r>
          </w:p>
        </w:tc>
        <w:tc>
          <w:tcPr>
            <w:tcW w:w="0" w:type="auto"/>
            <w:vMerge w:val="restart"/>
            <w:vAlign w:val="center"/>
          </w:tcPr>
          <w:p w14:paraId="6E4CA3FD"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3.81</w:t>
            </w:r>
          </w:p>
        </w:tc>
        <w:tc>
          <w:tcPr>
            <w:tcW w:w="0" w:type="auto"/>
            <w:gridSpan w:val="2"/>
            <w:vMerge w:val="restart"/>
            <w:vAlign w:val="center"/>
          </w:tcPr>
          <w:p w14:paraId="0D3C0026"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1.372</w:t>
            </w:r>
          </w:p>
        </w:tc>
        <w:tc>
          <w:tcPr>
            <w:tcW w:w="0" w:type="auto"/>
            <w:vMerge w:val="restart"/>
            <w:tcBorders>
              <w:right w:val="single" w:sz="4" w:space="0" w:color="auto"/>
            </w:tcBorders>
            <w:vAlign w:val="center"/>
          </w:tcPr>
          <w:p w14:paraId="51DE602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Pr>
              <w:t>7</w:t>
            </w:r>
          </w:p>
        </w:tc>
        <w:tc>
          <w:tcPr>
            <w:tcW w:w="0" w:type="auto"/>
            <w:vMerge w:val="restart"/>
            <w:tcBorders>
              <w:right w:val="single" w:sz="4" w:space="0" w:color="auto"/>
            </w:tcBorders>
            <w:vAlign w:val="center"/>
          </w:tcPr>
          <w:p w14:paraId="5B1CD59F"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hint="cs"/>
                <w:w w:val="95"/>
                <w:sz w:val="20"/>
                <w:szCs w:val="20"/>
                <w:rtl/>
              </w:rPr>
              <w:t>عالية</w:t>
            </w:r>
          </w:p>
        </w:tc>
      </w:tr>
      <w:tr w:rsidR="0012475B" w:rsidRPr="0012475B" w14:paraId="363F70FE" w14:textId="77777777" w:rsidTr="0012475B">
        <w:trPr>
          <w:jc w:val="right"/>
        </w:trPr>
        <w:tc>
          <w:tcPr>
            <w:tcW w:w="0" w:type="auto"/>
            <w:vMerge/>
            <w:tcBorders>
              <w:left w:val="single" w:sz="4" w:space="0" w:color="auto"/>
              <w:right w:val="single" w:sz="4" w:space="0" w:color="auto"/>
            </w:tcBorders>
            <w:vAlign w:val="center"/>
          </w:tcPr>
          <w:p w14:paraId="28B82838"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29" w:type="dxa"/>
            <w:vMerge/>
            <w:tcBorders>
              <w:left w:val="single" w:sz="4" w:space="0" w:color="auto"/>
              <w:right w:val="single" w:sz="4" w:space="0" w:color="auto"/>
            </w:tcBorders>
            <w:vAlign w:val="center"/>
          </w:tcPr>
          <w:p w14:paraId="3BEBC163"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236" w:type="dxa"/>
            <w:tcBorders>
              <w:top w:val="single" w:sz="4" w:space="0" w:color="auto"/>
              <w:left w:val="single" w:sz="4" w:space="0" w:color="auto"/>
              <w:bottom w:val="single" w:sz="4" w:space="0" w:color="auto"/>
            </w:tcBorders>
            <w:shd w:val="clear" w:color="auto" w:fill="BFBFBF" w:themeFill="background1" w:themeFillShade="BF"/>
            <w:vAlign w:val="center"/>
          </w:tcPr>
          <w:p w14:paraId="5E66D305"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r w:rsidRPr="0012475B">
              <w:rPr>
                <w:rFonts w:ascii="Times New Roman" w:hAnsi="Times New Roman" w:cs="Simplified Arabic"/>
                <w:w w:val="95"/>
                <w:sz w:val="20"/>
                <w:szCs w:val="20"/>
                <w:rtl/>
              </w:rPr>
              <w:t>%</w:t>
            </w:r>
          </w:p>
        </w:tc>
        <w:tc>
          <w:tcPr>
            <w:tcW w:w="0" w:type="auto"/>
            <w:shd w:val="clear" w:color="auto" w:fill="auto"/>
            <w:vAlign w:val="center"/>
          </w:tcPr>
          <w:p w14:paraId="29BA61C7"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41.9</w:t>
            </w:r>
          </w:p>
        </w:tc>
        <w:tc>
          <w:tcPr>
            <w:tcW w:w="0" w:type="auto"/>
            <w:vAlign w:val="center"/>
          </w:tcPr>
          <w:p w14:paraId="6E45C58A"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28.4</w:t>
            </w:r>
          </w:p>
        </w:tc>
        <w:tc>
          <w:tcPr>
            <w:tcW w:w="0" w:type="auto"/>
            <w:shd w:val="clear" w:color="auto" w:fill="auto"/>
            <w:vAlign w:val="center"/>
          </w:tcPr>
          <w:p w14:paraId="05B82C7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11.5</w:t>
            </w:r>
          </w:p>
        </w:tc>
        <w:tc>
          <w:tcPr>
            <w:tcW w:w="0" w:type="auto"/>
            <w:vAlign w:val="center"/>
          </w:tcPr>
          <w:p w14:paraId="058E3895"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5.2</w:t>
            </w:r>
          </w:p>
        </w:tc>
        <w:tc>
          <w:tcPr>
            <w:tcW w:w="0" w:type="auto"/>
            <w:vAlign w:val="center"/>
          </w:tcPr>
          <w:p w14:paraId="3C1D68D2" w14:textId="77777777" w:rsidR="00DE2B2A" w:rsidRPr="0012475B" w:rsidRDefault="00DE2B2A" w:rsidP="00D971F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12475B">
              <w:rPr>
                <w:rFonts w:ascii="Times New Roman" w:hAnsi="Times New Roman" w:cs="Simplified Arabic"/>
                <w:color w:val="000000"/>
                <w:w w:val="95"/>
                <w:sz w:val="20"/>
                <w:szCs w:val="20"/>
              </w:rPr>
              <w:t>13</w:t>
            </w:r>
          </w:p>
        </w:tc>
        <w:tc>
          <w:tcPr>
            <w:tcW w:w="0" w:type="auto"/>
            <w:vMerge/>
            <w:vAlign w:val="center"/>
          </w:tcPr>
          <w:p w14:paraId="4F4B1F13"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gridSpan w:val="2"/>
            <w:vMerge/>
            <w:vAlign w:val="center"/>
          </w:tcPr>
          <w:p w14:paraId="0FF3ED21" w14:textId="77777777" w:rsidR="00DE2B2A" w:rsidRPr="0012475B" w:rsidRDefault="00DE2B2A" w:rsidP="00D971F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1BDCBA92"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7DEE33A0" w14:textId="77777777" w:rsidR="00DE2B2A" w:rsidRPr="0012475B" w:rsidRDefault="00DE2B2A" w:rsidP="00D971F9">
            <w:pPr>
              <w:bidi/>
              <w:spacing w:after="0" w:line="240" w:lineRule="auto"/>
              <w:jc w:val="center"/>
              <w:rPr>
                <w:rFonts w:ascii="Times New Roman" w:hAnsi="Times New Roman" w:cs="Simplified Arabic"/>
                <w:w w:val="95"/>
                <w:sz w:val="20"/>
                <w:szCs w:val="20"/>
                <w:rtl/>
              </w:rPr>
            </w:pPr>
          </w:p>
        </w:tc>
      </w:tr>
      <w:tr w:rsidR="006E7257" w:rsidRPr="0012475B" w14:paraId="2A798AAF" w14:textId="77777777" w:rsidTr="0012475B">
        <w:trPr>
          <w:jc w:val="right"/>
        </w:trPr>
        <w:tc>
          <w:tcPr>
            <w:tcW w:w="0" w:type="auto"/>
            <w:gridSpan w:val="7"/>
            <w:tcBorders>
              <w:left w:val="single" w:sz="4" w:space="0" w:color="auto"/>
            </w:tcBorders>
            <w:shd w:val="clear" w:color="auto" w:fill="BFBFBF" w:themeFill="background1" w:themeFillShade="BF"/>
            <w:vAlign w:val="center"/>
          </w:tcPr>
          <w:p w14:paraId="3ADEA175"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hint="cs"/>
                <w:w w:val="95"/>
                <w:sz w:val="20"/>
                <w:szCs w:val="20"/>
                <w:rtl/>
              </w:rPr>
              <w:t>المتوسط العام</w:t>
            </w:r>
          </w:p>
        </w:tc>
        <w:tc>
          <w:tcPr>
            <w:tcW w:w="0" w:type="auto"/>
            <w:shd w:val="clear" w:color="auto" w:fill="BFBFBF" w:themeFill="background1" w:themeFillShade="BF"/>
            <w:vAlign w:val="center"/>
          </w:tcPr>
          <w:p w14:paraId="09E4CF89" w14:textId="77777777" w:rsidR="00DE2B2A" w:rsidRPr="0012475B" w:rsidRDefault="00DE2B2A" w:rsidP="00D971F9">
            <w:pPr>
              <w:bidi/>
              <w:spacing w:after="0" w:line="240" w:lineRule="auto"/>
              <w:jc w:val="center"/>
              <w:rPr>
                <w:rFonts w:ascii="Times New Roman" w:hAnsi="Times New Roman" w:cs="Simplified Arabic"/>
                <w:w w:val="95"/>
                <w:sz w:val="20"/>
                <w:szCs w:val="20"/>
              </w:rPr>
            </w:pPr>
            <w:r w:rsidRPr="0012475B">
              <w:rPr>
                <w:rFonts w:ascii="Times New Roman" w:hAnsi="Times New Roman" w:cs="Simplified Arabic"/>
                <w:color w:val="000000"/>
                <w:w w:val="95"/>
                <w:sz w:val="20"/>
                <w:szCs w:val="20"/>
              </w:rPr>
              <w:t>3.96</w:t>
            </w:r>
          </w:p>
        </w:tc>
        <w:tc>
          <w:tcPr>
            <w:tcW w:w="0" w:type="auto"/>
            <w:gridSpan w:val="2"/>
            <w:shd w:val="clear" w:color="auto" w:fill="BFBFBF" w:themeFill="background1" w:themeFillShade="BF"/>
            <w:vAlign w:val="center"/>
          </w:tcPr>
          <w:p w14:paraId="29FA7FEE"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color w:val="000000"/>
                <w:w w:val="95"/>
                <w:sz w:val="20"/>
                <w:szCs w:val="20"/>
              </w:rPr>
              <w:t>.596</w:t>
            </w:r>
          </w:p>
        </w:tc>
        <w:tc>
          <w:tcPr>
            <w:tcW w:w="0" w:type="auto"/>
            <w:gridSpan w:val="2"/>
            <w:tcBorders>
              <w:right w:val="single" w:sz="4" w:space="0" w:color="auto"/>
            </w:tcBorders>
            <w:shd w:val="clear" w:color="auto" w:fill="BFBFBF" w:themeFill="background1" w:themeFillShade="BF"/>
            <w:vAlign w:val="center"/>
          </w:tcPr>
          <w:p w14:paraId="0A0A9A0B"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hint="cs"/>
                <w:w w:val="95"/>
                <w:sz w:val="20"/>
                <w:szCs w:val="20"/>
                <w:rtl/>
                <w:lang w:bidi="ar-EG"/>
              </w:rPr>
              <w:t>--</w:t>
            </w:r>
          </w:p>
        </w:tc>
        <w:tc>
          <w:tcPr>
            <w:tcW w:w="0" w:type="auto"/>
            <w:tcBorders>
              <w:right w:val="single" w:sz="4" w:space="0" w:color="auto"/>
            </w:tcBorders>
            <w:shd w:val="clear" w:color="auto" w:fill="BFBFBF" w:themeFill="background1" w:themeFillShade="BF"/>
            <w:vAlign w:val="center"/>
          </w:tcPr>
          <w:p w14:paraId="53C43D89" w14:textId="77777777" w:rsidR="00DE2B2A" w:rsidRPr="0012475B" w:rsidRDefault="00DE2B2A" w:rsidP="00D971F9">
            <w:pPr>
              <w:bidi/>
              <w:spacing w:after="0" w:line="240" w:lineRule="auto"/>
              <w:jc w:val="center"/>
              <w:rPr>
                <w:rFonts w:ascii="Times New Roman" w:hAnsi="Times New Roman" w:cs="Simplified Arabic"/>
                <w:w w:val="95"/>
                <w:sz w:val="20"/>
                <w:szCs w:val="20"/>
                <w:rtl/>
                <w:lang w:bidi="ar-EG"/>
              </w:rPr>
            </w:pPr>
            <w:r w:rsidRPr="0012475B">
              <w:rPr>
                <w:rFonts w:ascii="Times New Roman" w:hAnsi="Times New Roman" w:cs="Simplified Arabic" w:hint="cs"/>
                <w:w w:val="95"/>
                <w:sz w:val="20"/>
                <w:szCs w:val="20"/>
                <w:rtl/>
              </w:rPr>
              <w:t>عالية</w:t>
            </w:r>
          </w:p>
        </w:tc>
      </w:tr>
    </w:tbl>
    <w:p w14:paraId="13CA3438" w14:textId="77777777" w:rsidR="00DE2B2A" w:rsidRPr="00BC50C9" w:rsidRDefault="00DE2B2A" w:rsidP="00F633B5">
      <w:pPr>
        <w:pStyle w:val="00000"/>
        <w:rPr>
          <w:rtl/>
        </w:rPr>
      </w:pPr>
      <w:r w:rsidRPr="00BC50C9">
        <w:rPr>
          <w:rtl/>
        </w:rPr>
        <w:lastRenderedPageBreak/>
        <w:t xml:space="preserve">يتبين من الجدول </w:t>
      </w:r>
      <w:r w:rsidRPr="00BC50C9">
        <w:rPr>
          <w:rFonts w:hint="cs"/>
          <w:rtl/>
        </w:rPr>
        <w:t>السابق</w:t>
      </w:r>
      <w:r w:rsidRPr="00BC50C9">
        <w:rPr>
          <w:rtl/>
        </w:rPr>
        <w:t>: أن</w:t>
      </w:r>
      <w:r w:rsidRPr="00BC50C9">
        <w:rPr>
          <w:rFonts w:hint="cs"/>
          <w:rtl/>
        </w:rPr>
        <w:t xml:space="preserve"> المتوسط العام</w:t>
      </w:r>
      <w:r w:rsidRPr="00BC50C9">
        <w:rPr>
          <w:rtl/>
        </w:rPr>
        <w:t xml:space="preserve"> </w:t>
      </w:r>
      <w:r w:rsidRPr="00BC50C9">
        <w:rPr>
          <w:rFonts w:hint="cs"/>
          <w:rtl/>
        </w:rPr>
        <w:t xml:space="preserve">للبعد الأول: التمويل </w:t>
      </w:r>
      <w:proofErr w:type="spellStart"/>
      <w:r w:rsidRPr="00BC50C9">
        <w:rPr>
          <w:rFonts w:hint="cs"/>
          <w:rtl/>
        </w:rPr>
        <w:t>التبرعي</w:t>
      </w:r>
      <w:proofErr w:type="spellEnd"/>
      <w:r w:rsidRPr="00BC50C9">
        <w:rPr>
          <w:rFonts w:hint="cs"/>
          <w:rtl/>
        </w:rPr>
        <w:t xml:space="preserve"> جاء</w:t>
      </w:r>
      <w:r w:rsidRPr="00BC50C9">
        <w:rPr>
          <w:rtl/>
        </w:rPr>
        <w:t xml:space="preserve"> بدرجة استجابة (</w:t>
      </w:r>
      <w:r w:rsidRPr="00BC50C9">
        <w:rPr>
          <w:rFonts w:hint="cs"/>
          <w:rtl/>
        </w:rPr>
        <w:t>عالية</w:t>
      </w:r>
      <w:r w:rsidRPr="00BC50C9">
        <w:rPr>
          <w:rtl/>
        </w:rPr>
        <w:t xml:space="preserve">)، وبمتوسط حسابي قدرة </w:t>
      </w:r>
      <w:r w:rsidRPr="00BC50C9">
        <w:rPr>
          <w:rFonts w:hint="cs"/>
          <w:rtl/>
        </w:rPr>
        <w:t>(</w:t>
      </w:r>
      <w:r w:rsidRPr="00BC50C9">
        <w:rPr>
          <w:color w:val="000000"/>
        </w:rPr>
        <w:t>3.96</w:t>
      </w:r>
      <w:r w:rsidRPr="00BC50C9">
        <w:rPr>
          <w:rFonts w:hint="cs"/>
          <w:rtl/>
        </w:rPr>
        <w:t>)</w:t>
      </w:r>
      <w:r w:rsidRPr="00BC50C9">
        <w:rPr>
          <w:rtl/>
        </w:rPr>
        <w:t xml:space="preserve">، وانحراف معياري </w:t>
      </w:r>
      <w:r w:rsidRPr="00BC50C9">
        <w:rPr>
          <w:rFonts w:hint="cs"/>
          <w:rtl/>
        </w:rPr>
        <w:t>(</w:t>
      </w:r>
      <w:r w:rsidRPr="00BC50C9">
        <w:rPr>
          <w:color w:val="000000"/>
        </w:rPr>
        <w:t>.596</w:t>
      </w:r>
      <w:r w:rsidRPr="00BC50C9">
        <w:rPr>
          <w:rFonts w:hint="cs"/>
          <w:rtl/>
        </w:rPr>
        <w:t>)</w:t>
      </w:r>
      <w:r w:rsidRPr="00BC50C9">
        <w:rPr>
          <w:rtl/>
        </w:rPr>
        <w:t>،</w:t>
      </w:r>
      <w:r w:rsidRPr="00BC50C9">
        <w:rPr>
          <w:rFonts w:hint="cs"/>
          <w:rtl/>
        </w:rPr>
        <w:t xml:space="preserve"> </w:t>
      </w:r>
      <w:r w:rsidRPr="00BC50C9">
        <w:rPr>
          <w:rtl/>
        </w:rPr>
        <w:t xml:space="preserve">وجاء في الترتيب الأول </w:t>
      </w:r>
      <w:r w:rsidRPr="00BC50C9">
        <w:rPr>
          <w:rFonts w:hint="cs"/>
          <w:rtl/>
        </w:rPr>
        <w:t>العبارة</w:t>
      </w:r>
      <w:r w:rsidRPr="00BC50C9">
        <w:rPr>
          <w:rtl/>
        </w:rPr>
        <w:t xml:space="preserve"> رقم (</w:t>
      </w:r>
      <w:r w:rsidRPr="00BC50C9">
        <w:rPr>
          <w:rFonts w:hint="cs"/>
          <w:rtl/>
        </w:rPr>
        <w:t>2</w:t>
      </w:r>
      <w:r w:rsidRPr="00BC50C9">
        <w:rPr>
          <w:rtl/>
        </w:rPr>
        <w:t>) بمتوسط حسابي (</w:t>
      </w:r>
      <w:r w:rsidRPr="00BC50C9">
        <w:rPr>
          <w:color w:val="000000"/>
        </w:rPr>
        <w:t>4.11</w:t>
      </w:r>
      <w:r w:rsidRPr="00BC50C9">
        <w:rPr>
          <w:rtl/>
        </w:rPr>
        <w:t>)، وانحراف معياري (</w:t>
      </w:r>
      <w:r w:rsidRPr="00BC50C9">
        <w:rPr>
          <w:color w:val="000000"/>
        </w:rPr>
        <w:t>1.195</w:t>
      </w:r>
      <w:r w:rsidRPr="00BC50C9">
        <w:rPr>
          <w:rtl/>
        </w:rPr>
        <w:t>) وبدرجة استجابة (</w:t>
      </w:r>
      <w:r w:rsidRPr="00BC50C9">
        <w:rPr>
          <w:rFonts w:hint="cs"/>
          <w:rtl/>
        </w:rPr>
        <w:t>عالية</w:t>
      </w:r>
      <w:r w:rsidRPr="00BC50C9">
        <w:rPr>
          <w:rtl/>
        </w:rPr>
        <w:t xml:space="preserve">)، وجاء في الترتيب الثاني </w:t>
      </w:r>
      <w:r w:rsidRPr="00BC50C9">
        <w:rPr>
          <w:rFonts w:hint="cs"/>
          <w:rtl/>
        </w:rPr>
        <w:t>العبارة</w:t>
      </w:r>
      <w:r w:rsidRPr="00BC50C9">
        <w:rPr>
          <w:rtl/>
        </w:rPr>
        <w:t xml:space="preserve"> رقم (</w:t>
      </w:r>
      <w:r w:rsidRPr="00BC50C9">
        <w:rPr>
          <w:rFonts w:hint="cs"/>
          <w:rtl/>
        </w:rPr>
        <w:t>4</w:t>
      </w:r>
      <w:r w:rsidRPr="00BC50C9">
        <w:rPr>
          <w:rtl/>
        </w:rPr>
        <w:t>) بمتوسط حسابي (</w:t>
      </w:r>
      <w:r w:rsidRPr="00BC50C9">
        <w:rPr>
          <w:color w:val="000000"/>
        </w:rPr>
        <w:t>4.11</w:t>
      </w:r>
      <w:r w:rsidRPr="00BC50C9">
        <w:rPr>
          <w:rtl/>
        </w:rPr>
        <w:t>)، وانحراف معياري (</w:t>
      </w:r>
      <w:r w:rsidRPr="00BC50C9">
        <w:rPr>
          <w:color w:val="000000"/>
        </w:rPr>
        <w:t>1.248</w:t>
      </w:r>
      <w:r w:rsidRPr="00BC50C9">
        <w:rPr>
          <w:rtl/>
        </w:rPr>
        <w:t>) وبدرجة استجابة (</w:t>
      </w:r>
      <w:r w:rsidRPr="00BC50C9">
        <w:rPr>
          <w:rFonts w:hint="cs"/>
          <w:rtl/>
        </w:rPr>
        <w:t>عالية</w:t>
      </w:r>
      <w:r w:rsidRPr="00BC50C9">
        <w:rPr>
          <w:rtl/>
        </w:rPr>
        <w:t xml:space="preserve">)، ويليه في الترتيب الأخير </w:t>
      </w:r>
      <w:r w:rsidRPr="00BC50C9">
        <w:rPr>
          <w:rFonts w:hint="cs"/>
          <w:rtl/>
        </w:rPr>
        <w:t>العبارة</w:t>
      </w:r>
      <w:r w:rsidRPr="00BC50C9">
        <w:rPr>
          <w:rtl/>
        </w:rPr>
        <w:t xml:space="preserve"> رقم (</w:t>
      </w:r>
      <w:r w:rsidRPr="00BC50C9">
        <w:rPr>
          <w:rFonts w:hint="cs"/>
          <w:rtl/>
        </w:rPr>
        <w:t>5</w:t>
      </w:r>
      <w:r w:rsidRPr="00BC50C9">
        <w:rPr>
          <w:rtl/>
        </w:rPr>
        <w:t>) بمتوسط حسابي (</w:t>
      </w:r>
      <w:r w:rsidRPr="00BC50C9">
        <w:rPr>
          <w:color w:val="000000"/>
        </w:rPr>
        <w:t>3.77</w:t>
      </w:r>
      <w:r w:rsidRPr="00BC50C9">
        <w:rPr>
          <w:rtl/>
        </w:rPr>
        <w:t>)، وانحراف معياري (</w:t>
      </w:r>
      <w:r w:rsidRPr="00BC50C9">
        <w:rPr>
          <w:color w:val="000000"/>
        </w:rPr>
        <w:t>1.414</w:t>
      </w:r>
      <w:r w:rsidRPr="00BC50C9">
        <w:rPr>
          <w:rtl/>
        </w:rPr>
        <w:t>) وبدرجة استجابة (</w:t>
      </w:r>
      <w:r w:rsidRPr="00BC50C9">
        <w:rPr>
          <w:rFonts w:hint="cs"/>
          <w:rtl/>
        </w:rPr>
        <w:t>عالية</w:t>
      </w:r>
      <w:r w:rsidRPr="00BC50C9">
        <w:rPr>
          <w:rtl/>
        </w:rPr>
        <w:t xml:space="preserve">)، وجاءت باقي </w:t>
      </w:r>
      <w:r w:rsidRPr="00BC50C9">
        <w:rPr>
          <w:rFonts w:hint="cs"/>
          <w:rtl/>
        </w:rPr>
        <w:t xml:space="preserve">العبارات </w:t>
      </w:r>
      <w:r w:rsidRPr="00BC50C9">
        <w:rPr>
          <w:rtl/>
        </w:rPr>
        <w:t>بدرجة استجابة (</w:t>
      </w:r>
      <w:r w:rsidRPr="00BC50C9">
        <w:rPr>
          <w:rFonts w:hint="cs"/>
          <w:rtl/>
        </w:rPr>
        <w:t>عالية</w:t>
      </w:r>
      <w:r w:rsidRPr="00BC50C9">
        <w:rPr>
          <w:rtl/>
        </w:rPr>
        <w:t>)</w:t>
      </w:r>
      <w:r w:rsidRPr="00BC50C9">
        <w:rPr>
          <w:rFonts w:hint="cs"/>
          <w:rtl/>
        </w:rPr>
        <w:t xml:space="preserve">، </w:t>
      </w:r>
      <w:r w:rsidRPr="00BC50C9">
        <w:rPr>
          <w:rtl/>
        </w:rPr>
        <w:t xml:space="preserve">بينما تراوحت الانحرافات المعيارية لعبارات </w:t>
      </w:r>
      <w:r w:rsidRPr="00BC50C9">
        <w:rPr>
          <w:rFonts w:hint="cs"/>
          <w:rtl/>
        </w:rPr>
        <w:t>البعد الأول</w:t>
      </w:r>
      <w:r w:rsidRPr="00BC50C9">
        <w:rPr>
          <w:rtl/>
        </w:rPr>
        <w:t xml:space="preserve"> بين </w:t>
      </w:r>
      <w:r w:rsidRPr="00BC50C9">
        <w:rPr>
          <w:rFonts w:hint="cs"/>
          <w:rtl/>
        </w:rPr>
        <w:t>(</w:t>
      </w:r>
      <w:r w:rsidRPr="00BC50C9">
        <w:rPr>
          <w:color w:val="000000"/>
        </w:rPr>
        <w:t>1.154</w:t>
      </w:r>
      <w:r w:rsidRPr="00BC50C9">
        <w:rPr>
          <w:rFonts w:hint="cs"/>
          <w:rtl/>
        </w:rPr>
        <w:t>-</w:t>
      </w:r>
      <w:r w:rsidRPr="00BC50C9">
        <w:rPr>
          <w:color w:val="000000"/>
        </w:rPr>
        <w:t>1.414</w:t>
      </w:r>
      <w:r w:rsidRPr="00BC50C9">
        <w:rPr>
          <w:rFonts w:hint="cs"/>
          <w:rtl/>
        </w:rPr>
        <w:t xml:space="preserve">) </w:t>
      </w:r>
      <w:r w:rsidRPr="00BC50C9">
        <w:rPr>
          <w:rtl/>
        </w:rPr>
        <w:t xml:space="preserve">وهي قيم </w:t>
      </w:r>
      <w:r w:rsidRPr="00BC50C9">
        <w:rPr>
          <w:rFonts w:hint="cs"/>
          <w:rtl/>
        </w:rPr>
        <w:t>مرتفعة</w:t>
      </w:r>
      <w:r w:rsidRPr="00BC50C9">
        <w:rPr>
          <w:rtl/>
        </w:rPr>
        <w:t xml:space="preserve"> مما يدل على </w:t>
      </w:r>
      <w:r w:rsidRPr="00BC50C9">
        <w:rPr>
          <w:rFonts w:hint="cs"/>
          <w:rtl/>
        </w:rPr>
        <w:t>تباين</w:t>
      </w:r>
      <w:r w:rsidRPr="00BC50C9">
        <w:rPr>
          <w:rtl/>
        </w:rPr>
        <w:t xml:space="preserve"> آراء أفراد عينة الدراسة نحو تلك العبارات. </w:t>
      </w:r>
    </w:p>
    <w:p w14:paraId="4F41F740" w14:textId="77777777" w:rsidR="00DE2B2A" w:rsidRPr="00BC50C9" w:rsidRDefault="00DE2B2A" w:rsidP="00F633B5">
      <w:pPr>
        <w:pStyle w:val="00000"/>
      </w:pPr>
      <w:r w:rsidRPr="00BC50C9">
        <w:rPr>
          <w:rFonts w:hint="cs"/>
          <w:rtl/>
        </w:rPr>
        <w:t>ويمكن تفسير حصول المتوسط العام للبعد الأول على درجة استجابة (عالية) إلى إن الت</w:t>
      </w:r>
      <w:r w:rsidRPr="00BC50C9">
        <w:rPr>
          <w:rtl/>
        </w:rPr>
        <w:t xml:space="preserve">مويل </w:t>
      </w:r>
      <w:proofErr w:type="spellStart"/>
      <w:r w:rsidRPr="00BC50C9">
        <w:rPr>
          <w:rtl/>
        </w:rPr>
        <w:t>التبرعي</w:t>
      </w:r>
      <w:proofErr w:type="spellEnd"/>
      <w:r w:rsidRPr="00BC50C9">
        <w:rPr>
          <w:rFonts w:hint="cs"/>
          <w:rtl/>
        </w:rPr>
        <w:t xml:space="preserve"> يُعتبر</w:t>
      </w:r>
      <w:r w:rsidRPr="00BC50C9">
        <w:rPr>
          <w:rtl/>
        </w:rPr>
        <w:t xml:space="preserve"> وسيلة فعالة لدعم المشاريع الريادية الناشئ</w:t>
      </w:r>
      <w:r w:rsidRPr="00BC50C9">
        <w:rPr>
          <w:rFonts w:hint="cs"/>
          <w:rtl/>
        </w:rPr>
        <w:t>ة؛</w:t>
      </w:r>
      <w:r w:rsidRPr="00BC50C9">
        <w:rPr>
          <w:rtl/>
        </w:rPr>
        <w:t xml:space="preserve"> حيث </w:t>
      </w:r>
      <w:r w:rsidRPr="00BC50C9">
        <w:rPr>
          <w:rFonts w:hint="cs"/>
          <w:rtl/>
        </w:rPr>
        <w:t>يساعد</w:t>
      </w:r>
      <w:r w:rsidRPr="00BC50C9">
        <w:rPr>
          <w:rtl/>
        </w:rPr>
        <w:t xml:space="preserve"> أصحاب هذه المشاريع </w:t>
      </w:r>
      <w:r w:rsidRPr="00BC50C9">
        <w:rPr>
          <w:rFonts w:hint="cs"/>
          <w:rtl/>
        </w:rPr>
        <w:t xml:space="preserve">في </w:t>
      </w:r>
      <w:r w:rsidRPr="00BC50C9">
        <w:rPr>
          <w:rtl/>
        </w:rPr>
        <w:t>الحصول على الأموال اللازمة دون الحاجة إلى استردادها، مما يخفف من الأعباء المالية</w:t>
      </w:r>
      <w:r w:rsidRPr="00BC50C9">
        <w:rPr>
          <w:rFonts w:hint="cs"/>
          <w:rtl/>
        </w:rPr>
        <w:t>،</w:t>
      </w:r>
      <w:r w:rsidRPr="00BC50C9">
        <w:rPr>
          <w:rtl/>
        </w:rPr>
        <w:t xml:space="preserve"> </w:t>
      </w:r>
      <w:r w:rsidRPr="00BC50C9">
        <w:rPr>
          <w:rFonts w:hint="cs"/>
          <w:rtl/>
        </w:rPr>
        <w:t>و</w:t>
      </w:r>
      <w:r w:rsidRPr="00BC50C9">
        <w:rPr>
          <w:rtl/>
        </w:rPr>
        <w:t>تُعد التبرعات مصدرًا أساسيًا لتمويل المشاريع غير الربحية والمجتمعية</w:t>
      </w:r>
      <w:r w:rsidRPr="00BC50C9">
        <w:rPr>
          <w:rFonts w:hint="cs"/>
          <w:rtl/>
        </w:rPr>
        <w:t>؛</w:t>
      </w:r>
      <w:r w:rsidRPr="00BC50C9">
        <w:rPr>
          <w:rtl/>
        </w:rPr>
        <w:t xml:space="preserve"> حيث تُسهم في تحقيق أهداف اجتماعية مهمة</w:t>
      </w:r>
      <w:r w:rsidRPr="00BC50C9">
        <w:rPr>
          <w:rFonts w:hint="cs"/>
          <w:rtl/>
        </w:rPr>
        <w:t>،</w:t>
      </w:r>
      <w:r w:rsidRPr="00BC50C9">
        <w:rPr>
          <w:rtl/>
        </w:rPr>
        <w:t xml:space="preserve"> كما أن الحملات الترويجية الفعالة </w:t>
      </w:r>
      <w:r w:rsidRPr="00BC50C9">
        <w:rPr>
          <w:rFonts w:hint="cs"/>
          <w:rtl/>
        </w:rPr>
        <w:t>تُصقل</w:t>
      </w:r>
      <w:r w:rsidRPr="00BC50C9">
        <w:rPr>
          <w:rtl/>
        </w:rPr>
        <w:t xml:space="preserve"> فرص نجاح التمويل </w:t>
      </w:r>
      <w:proofErr w:type="spellStart"/>
      <w:r w:rsidRPr="00BC50C9">
        <w:rPr>
          <w:rtl/>
        </w:rPr>
        <w:t>التبرعي</w:t>
      </w:r>
      <w:proofErr w:type="spellEnd"/>
      <w:r w:rsidRPr="00BC50C9">
        <w:rPr>
          <w:rtl/>
        </w:rPr>
        <w:t>، حيث تجذب انتباه الممولين وتوضح قيمة المشاريع المدعومة</w:t>
      </w:r>
      <w:r w:rsidRPr="00BC50C9">
        <w:rPr>
          <w:rFonts w:hint="cs"/>
          <w:rtl/>
        </w:rPr>
        <w:t xml:space="preserve">، بالإضافة إلى ذلك </w:t>
      </w:r>
      <w:r w:rsidRPr="00BC50C9">
        <w:rPr>
          <w:rtl/>
        </w:rPr>
        <w:t xml:space="preserve">يُساعد التمويل </w:t>
      </w:r>
      <w:proofErr w:type="spellStart"/>
      <w:r w:rsidRPr="00BC50C9">
        <w:rPr>
          <w:rtl/>
        </w:rPr>
        <w:t>التبرعي</w:t>
      </w:r>
      <w:proofErr w:type="spellEnd"/>
      <w:r w:rsidRPr="00BC50C9">
        <w:rPr>
          <w:rtl/>
        </w:rPr>
        <w:t xml:space="preserve"> في تحفيز الابتكار داخل بيئة المشاريع الريادية، حيث تشجع الأموال المجمعة على تطوير أفكار جديدة وتحسين المنتجات والخدمات</w:t>
      </w:r>
      <w:r w:rsidRPr="00BC50C9">
        <w:rPr>
          <w:rFonts w:hint="cs"/>
          <w:rtl/>
        </w:rPr>
        <w:t>،</w:t>
      </w:r>
      <w:r w:rsidRPr="00BC50C9">
        <w:rPr>
          <w:rtl/>
        </w:rPr>
        <w:t xml:space="preserve"> </w:t>
      </w:r>
      <w:r w:rsidRPr="00BC50C9">
        <w:rPr>
          <w:rFonts w:hint="cs"/>
          <w:rtl/>
        </w:rPr>
        <w:t>و</w:t>
      </w:r>
      <w:r w:rsidRPr="00BC50C9">
        <w:rPr>
          <w:rtl/>
        </w:rPr>
        <w:t>تُعتبر الثقة في الجهات المستفيدة من العوامل الأساسية لنجاح هذا النوع من التمويل، حيث يشعر الممولون بالاطمئنان عند معرفة أن تبرعاتهم ستُستخدم بالشكل الصحيح</w:t>
      </w:r>
      <w:r w:rsidRPr="00BC50C9">
        <w:rPr>
          <w:rFonts w:hint="cs"/>
          <w:rtl/>
        </w:rPr>
        <w:t xml:space="preserve">، </w:t>
      </w:r>
      <w:r w:rsidRPr="00BC50C9">
        <w:rPr>
          <w:rtl/>
        </w:rPr>
        <w:t>مما يُعزز من قدرة المشاريع على الوصول إلى الدعم اللازم لتحقيق النجاح والاستدامة</w:t>
      </w:r>
      <w:r w:rsidRPr="00BC50C9">
        <w:t>.</w:t>
      </w:r>
    </w:p>
    <w:p w14:paraId="30B720DA" w14:textId="77777777" w:rsidR="00DE2B2A" w:rsidRPr="00BC50C9" w:rsidRDefault="00DE2B2A" w:rsidP="00F633B5">
      <w:pPr>
        <w:pStyle w:val="00000"/>
        <w:rPr>
          <w:rtl/>
        </w:rPr>
      </w:pPr>
      <w:r w:rsidRPr="00BC50C9">
        <w:rPr>
          <w:rFonts w:hint="cs"/>
          <w:rtl/>
        </w:rPr>
        <w:t xml:space="preserve">ويمكن تفسير حصول الفقرة رقم (2) على الترتيب الأول بدرجة استجابة (عالية) إلى إن  </w:t>
      </w:r>
      <w:r w:rsidRPr="00BC50C9">
        <w:rPr>
          <w:rtl/>
        </w:rPr>
        <w:t>توفير معلومات واضحة ودقيقة حول كيفية جمع الأموال واستخدامها يُعتبر عنصرًا أساسيًا لبناء الثقة بين الممولين والمنصة</w:t>
      </w:r>
      <w:r w:rsidRPr="00BC50C9">
        <w:rPr>
          <w:rFonts w:hint="cs"/>
          <w:rtl/>
        </w:rPr>
        <w:t>،</w:t>
      </w:r>
      <w:r w:rsidRPr="00BC50C9">
        <w:rPr>
          <w:rtl/>
        </w:rPr>
        <w:t xml:space="preserve"> </w:t>
      </w:r>
      <w:r w:rsidRPr="00BC50C9">
        <w:rPr>
          <w:rFonts w:hint="cs"/>
          <w:rtl/>
        </w:rPr>
        <w:t>ف</w:t>
      </w:r>
      <w:r w:rsidRPr="00BC50C9">
        <w:rPr>
          <w:rtl/>
        </w:rPr>
        <w:t xml:space="preserve">عندما يشعر الممولون بأن هناك شفافية في العمليات المالية، </w:t>
      </w:r>
      <w:r w:rsidRPr="00BC50C9">
        <w:rPr>
          <w:rFonts w:hint="cs"/>
          <w:rtl/>
        </w:rPr>
        <w:t>ك</w:t>
      </w:r>
      <w:r w:rsidRPr="00BC50C9">
        <w:rPr>
          <w:rtl/>
        </w:rPr>
        <w:t>تفاصيل المشاريع المدعومة وكيفية توزيع التبرعات، فإنهم يكونون أكثر ميلًا لدعم هذه المشاريع</w:t>
      </w:r>
      <w:r w:rsidRPr="00BC50C9">
        <w:rPr>
          <w:rFonts w:hint="cs"/>
          <w:rtl/>
        </w:rPr>
        <w:t>،</w:t>
      </w:r>
      <w:r w:rsidRPr="00BC50C9">
        <w:rPr>
          <w:rtl/>
        </w:rPr>
        <w:t xml:space="preserve"> </w:t>
      </w:r>
      <w:r w:rsidRPr="00BC50C9">
        <w:rPr>
          <w:rFonts w:hint="cs"/>
          <w:rtl/>
        </w:rPr>
        <w:t xml:space="preserve">وهو ما </w:t>
      </w:r>
      <w:r w:rsidRPr="00BC50C9">
        <w:rPr>
          <w:rtl/>
        </w:rPr>
        <w:t>يعزز من مصداقية المنصة ويشجع المزيد من الأفراد والشركات على المشاركة في التمويل التشاركي، مما يسهم في نجاح المشاريع الريادية ويعزز الاستدامة المالية للمنصة</w:t>
      </w:r>
      <w:r w:rsidRPr="00BC50C9">
        <w:rPr>
          <w:rFonts w:hint="cs"/>
          <w:rtl/>
        </w:rPr>
        <w:t>.</w:t>
      </w:r>
    </w:p>
    <w:p w14:paraId="7C74136C" w14:textId="77777777" w:rsidR="00DE2B2A" w:rsidRPr="00BC50C9" w:rsidRDefault="00DE2B2A" w:rsidP="00F633B5">
      <w:pPr>
        <w:pStyle w:val="00000"/>
        <w:rPr>
          <w:rtl/>
        </w:rPr>
      </w:pPr>
      <w:r w:rsidRPr="00BC50C9">
        <w:rPr>
          <w:rFonts w:hint="cs"/>
          <w:rtl/>
        </w:rPr>
        <w:t xml:space="preserve">ويمكن تفسير حصول الفقرة رقم (5) على الترتيب الأخير بدرجة استجابة (عالية) إلى </w:t>
      </w:r>
      <w:r w:rsidRPr="00BC50C9">
        <w:rPr>
          <w:rtl/>
        </w:rPr>
        <w:t>أن نجاح التمويل التشاركي واستمراريته يتطلبان وجود آليات فعالة لمراقبة وتوجيه كيفية استخدام الأموال المجمعة</w:t>
      </w:r>
      <w:r w:rsidRPr="00BC50C9">
        <w:rPr>
          <w:rFonts w:hint="cs"/>
          <w:rtl/>
        </w:rPr>
        <w:t>،</w:t>
      </w:r>
      <w:r w:rsidRPr="00BC50C9">
        <w:rPr>
          <w:rtl/>
        </w:rPr>
        <w:t xml:space="preserve"> </w:t>
      </w:r>
      <w:r w:rsidRPr="00BC50C9">
        <w:rPr>
          <w:rFonts w:hint="cs"/>
          <w:rtl/>
        </w:rPr>
        <w:t>ف</w:t>
      </w:r>
      <w:r w:rsidRPr="00BC50C9">
        <w:rPr>
          <w:rtl/>
        </w:rPr>
        <w:t>الرقابة والتنظيم يساعدان في ضمان أن التبرعات تُستخدم بالشكل الصحيح وفي المشاريع التي تم التعهد بدعمها</w:t>
      </w:r>
      <w:r w:rsidRPr="00BC50C9">
        <w:rPr>
          <w:rFonts w:hint="cs"/>
          <w:rtl/>
        </w:rPr>
        <w:t>،</w:t>
      </w:r>
      <w:r w:rsidRPr="00BC50C9">
        <w:rPr>
          <w:rtl/>
        </w:rPr>
        <w:t xml:space="preserve"> </w:t>
      </w:r>
      <w:r w:rsidRPr="00BC50C9">
        <w:rPr>
          <w:rFonts w:hint="cs"/>
          <w:rtl/>
        </w:rPr>
        <w:t>و</w:t>
      </w:r>
      <w:r w:rsidRPr="00BC50C9">
        <w:rPr>
          <w:rtl/>
        </w:rPr>
        <w:t>عندما تكون هناك معايير واضحة وإجراءات منظمة، يزداد شعور الممولين بالأمان والثقة في أن تبرعاتهم ستُستخدم لتحقيق الأهداف المحددة، مما يؤدي إلى زيادة الاستثمارات ودعم المشاريع بشكل مستدام</w:t>
      </w:r>
      <w:r w:rsidRPr="00BC50C9">
        <w:rPr>
          <w:rFonts w:hint="cs"/>
          <w:rtl/>
        </w:rPr>
        <w:t>.</w:t>
      </w:r>
    </w:p>
    <w:p w14:paraId="0C1A1A56" w14:textId="77777777" w:rsidR="00DE2B2A" w:rsidRPr="00BC50C9" w:rsidRDefault="00DE2B2A" w:rsidP="00F633B5">
      <w:pPr>
        <w:pStyle w:val="00000"/>
        <w:rPr>
          <w:rtl/>
        </w:rPr>
      </w:pPr>
      <w:r w:rsidRPr="00BC50C9">
        <w:rPr>
          <w:rFonts w:hint="cs"/>
          <w:rtl/>
        </w:rPr>
        <w:t xml:space="preserve">ويتفق هذا جزئيًا مع ما توصلت إليه </w:t>
      </w:r>
      <w:r w:rsidRPr="00BC50C9">
        <w:rPr>
          <w:rtl/>
        </w:rPr>
        <w:t xml:space="preserve">دراسة أحمد (2023) يُعد التمويل الجماعي خيارًا فعالًا لتمويل المشاريع الجامعية؛ حيث يقلل الاعتماد على المؤسسات التقليدية، ويدعم مشاركة المستثمرين والمجتمع </w:t>
      </w:r>
      <w:r w:rsidRPr="00BC50C9">
        <w:rPr>
          <w:rtl/>
        </w:rPr>
        <w:lastRenderedPageBreak/>
        <w:t>المدني في تطوير التعليم العالي مما يعزز الابتكار ويوسع فرص الجامعات في الأسواق، وجاء مستوي استجابات الخبراء حول الرؤية المقترحة لمنصة التمويل الجماعي للجامعات المصرية بدرجة مرتفعة؛ حيث جاء في الترتيب الأول عبارة (التمويل اللازم للمشروعات)، وجاءت عبارة في الترتيب الأخير (دعم الأفكار الابداعية)</w:t>
      </w:r>
      <w:r w:rsidRPr="00BC50C9">
        <w:rPr>
          <w:rFonts w:hint="cs"/>
          <w:rtl/>
        </w:rPr>
        <w:t>.</w:t>
      </w:r>
    </w:p>
    <w:p w14:paraId="607111B5" w14:textId="77777777" w:rsidR="00DE2B2A" w:rsidRPr="0012475B" w:rsidRDefault="00DE2B2A">
      <w:pPr>
        <w:pStyle w:val="a3"/>
        <w:numPr>
          <w:ilvl w:val="0"/>
          <w:numId w:val="60"/>
        </w:numPr>
        <w:bidi/>
        <w:spacing w:before="120" w:after="120" w:line="240" w:lineRule="auto"/>
        <w:jc w:val="both"/>
        <w:rPr>
          <w:rFonts w:ascii="Times New Roman" w:hAnsi="Times New Roman" w:cs="Simplified Arabic"/>
          <w:b/>
          <w:bCs/>
          <w:sz w:val="24"/>
          <w:szCs w:val="28"/>
          <w:rtl/>
          <w:lang w:bidi="ar-EG"/>
        </w:rPr>
      </w:pPr>
      <w:r w:rsidRPr="0012475B">
        <w:rPr>
          <w:rFonts w:ascii="Times New Roman" w:hAnsi="Times New Roman" w:cs="Simplified Arabic" w:hint="cs"/>
          <w:b/>
          <w:bCs/>
          <w:sz w:val="24"/>
          <w:szCs w:val="28"/>
          <w:rtl/>
          <w:lang w:bidi="ar-EG"/>
        </w:rPr>
        <w:t xml:space="preserve">البعد الثاني: </w:t>
      </w:r>
      <w:r w:rsidRPr="0012475B">
        <w:rPr>
          <w:rFonts w:ascii="Times New Roman" w:hAnsi="Times New Roman" w:cs="Simplified Arabic"/>
          <w:b/>
          <w:bCs/>
          <w:sz w:val="24"/>
          <w:szCs w:val="28"/>
          <w:rtl/>
          <w:lang w:bidi="ar-EG"/>
        </w:rPr>
        <w:t>التمويل القائم على المكافآت</w:t>
      </w:r>
    </w:p>
    <w:p w14:paraId="6CC13CFE" w14:textId="77777777" w:rsidR="00DE2B2A" w:rsidRPr="00BC50C9" w:rsidRDefault="00DE2B2A" w:rsidP="0012475B">
      <w:pPr>
        <w:pStyle w:val="33333"/>
        <w:rPr>
          <w:lang w:bidi="ar-EG"/>
        </w:rPr>
      </w:pPr>
      <w:bookmarkStart w:id="107" w:name="_Toc195456553"/>
      <w:r w:rsidRPr="00BC50C9">
        <w:rPr>
          <w:rFonts w:hint="cs"/>
          <w:rtl/>
          <w:lang w:bidi="ar-EG"/>
        </w:rPr>
        <w:t>الجدول</w:t>
      </w:r>
      <w:r w:rsidRPr="00BC50C9">
        <w:rPr>
          <w:rtl/>
          <w:lang w:bidi="ar-EG"/>
        </w:rPr>
        <w:t xml:space="preserve"> </w:t>
      </w:r>
      <w:r w:rsidRPr="00BC50C9">
        <w:rPr>
          <w:rFonts w:hint="cs"/>
          <w:rtl/>
          <w:lang w:bidi="ar-EG"/>
        </w:rPr>
        <w:t>رقم</w:t>
      </w:r>
      <w:r w:rsidRPr="00BC50C9">
        <w:rPr>
          <w:rtl/>
          <w:lang w:bidi="ar-EG"/>
        </w:rPr>
        <w:t xml:space="preserve"> (4-</w:t>
      </w:r>
      <w:r w:rsidRPr="00BC50C9">
        <w:rPr>
          <w:rFonts w:hint="cs"/>
          <w:rtl/>
          <w:lang w:bidi="ar-EG"/>
        </w:rPr>
        <w:t>3</w:t>
      </w:r>
      <w:r w:rsidRPr="00BC50C9">
        <w:rPr>
          <w:rtl/>
          <w:lang w:bidi="ar-EG"/>
        </w:rPr>
        <w:t xml:space="preserve">) </w:t>
      </w:r>
      <w:r w:rsidRPr="00BC50C9">
        <w:rPr>
          <w:rFonts w:hint="cs"/>
          <w:rtl/>
          <w:lang w:bidi="ar-EG"/>
        </w:rPr>
        <w:t>التكرارات</w:t>
      </w:r>
      <w:r w:rsidRPr="00BC50C9">
        <w:rPr>
          <w:rtl/>
          <w:lang w:bidi="ar-EG"/>
        </w:rPr>
        <w:t xml:space="preserve"> </w:t>
      </w:r>
      <w:r w:rsidRPr="00BC50C9">
        <w:rPr>
          <w:rFonts w:hint="cs"/>
          <w:rtl/>
          <w:lang w:bidi="ar-EG"/>
        </w:rPr>
        <w:t>والنسب</w:t>
      </w:r>
      <w:r w:rsidRPr="00BC50C9">
        <w:rPr>
          <w:rtl/>
          <w:lang w:bidi="ar-EG"/>
        </w:rPr>
        <w:t xml:space="preserve"> </w:t>
      </w:r>
      <w:r w:rsidRPr="00BC50C9">
        <w:rPr>
          <w:rFonts w:hint="cs"/>
          <w:rtl/>
          <w:lang w:bidi="ar-EG"/>
        </w:rPr>
        <w:t>المئوية</w:t>
      </w:r>
      <w:r w:rsidRPr="00BC50C9">
        <w:rPr>
          <w:rtl/>
          <w:lang w:bidi="ar-EG"/>
        </w:rPr>
        <w:t xml:space="preserve"> </w:t>
      </w:r>
      <w:r w:rsidRPr="00BC50C9">
        <w:rPr>
          <w:rFonts w:hint="cs"/>
          <w:rtl/>
          <w:lang w:bidi="ar-EG"/>
        </w:rPr>
        <w:t>والمتوسطات</w:t>
      </w:r>
      <w:r w:rsidRPr="00BC50C9">
        <w:rPr>
          <w:rtl/>
          <w:lang w:bidi="ar-EG"/>
        </w:rPr>
        <w:t xml:space="preserve"> </w:t>
      </w:r>
      <w:r w:rsidRPr="00BC50C9">
        <w:rPr>
          <w:rFonts w:hint="cs"/>
          <w:rtl/>
          <w:lang w:bidi="ar-EG"/>
        </w:rPr>
        <w:t>الحسابية</w:t>
      </w:r>
      <w:r w:rsidRPr="00BC50C9">
        <w:rPr>
          <w:rtl/>
          <w:lang w:bidi="ar-EG"/>
        </w:rPr>
        <w:t xml:space="preserve"> </w:t>
      </w:r>
      <w:r w:rsidRPr="00BC50C9">
        <w:rPr>
          <w:rFonts w:hint="cs"/>
          <w:rtl/>
          <w:lang w:bidi="ar-EG"/>
        </w:rPr>
        <w:t>والانحرافات</w:t>
      </w:r>
      <w:r w:rsidRPr="00BC50C9">
        <w:rPr>
          <w:rtl/>
          <w:lang w:bidi="ar-EG"/>
        </w:rPr>
        <w:t xml:space="preserve"> </w:t>
      </w:r>
      <w:r w:rsidRPr="00BC50C9">
        <w:rPr>
          <w:rFonts w:hint="cs"/>
          <w:rtl/>
          <w:lang w:bidi="ar-EG"/>
        </w:rPr>
        <w:t>المعيارية</w:t>
      </w:r>
      <w:r w:rsidRPr="00BC50C9">
        <w:rPr>
          <w:rtl/>
          <w:lang w:bidi="ar-EG"/>
        </w:rPr>
        <w:t xml:space="preserve"> </w:t>
      </w:r>
      <w:r w:rsidRPr="00BC50C9">
        <w:rPr>
          <w:rFonts w:hint="cs"/>
          <w:rtl/>
          <w:lang w:bidi="ar-EG"/>
        </w:rPr>
        <w:t>لاستجابات</w:t>
      </w:r>
      <w:r w:rsidRPr="00BC50C9">
        <w:rPr>
          <w:rtl/>
          <w:lang w:bidi="ar-EG"/>
        </w:rPr>
        <w:t xml:space="preserve"> </w:t>
      </w:r>
      <w:r w:rsidRPr="00BC50C9">
        <w:rPr>
          <w:rFonts w:hint="cs"/>
          <w:rtl/>
          <w:lang w:bidi="ar-EG"/>
        </w:rPr>
        <w:t>أفراد</w:t>
      </w:r>
      <w:r w:rsidRPr="00BC50C9">
        <w:rPr>
          <w:rtl/>
          <w:lang w:bidi="ar-EG"/>
        </w:rPr>
        <w:t xml:space="preserve"> </w:t>
      </w:r>
      <w:r w:rsidRPr="00BC50C9">
        <w:rPr>
          <w:rFonts w:hint="cs"/>
          <w:rtl/>
          <w:lang w:bidi="ar-EG"/>
        </w:rPr>
        <w:t>العينة</w:t>
      </w:r>
      <w:r w:rsidRPr="00BC50C9">
        <w:rPr>
          <w:rtl/>
          <w:lang w:bidi="ar-EG"/>
        </w:rPr>
        <w:t xml:space="preserve"> </w:t>
      </w:r>
      <w:r w:rsidRPr="00BC50C9">
        <w:rPr>
          <w:rFonts w:hint="cs"/>
          <w:rtl/>
          <w:lang w:bidi="ar-EG"/>
        </w:rPr>
        <w:t xml:space="preserve">للبعد الثاني: </w:t>
      </w:r>
      <w:r w:rsidRPr="00BC50C9">
        <w:rPr>
          <w:rtl/>
          <w:lang w:bidi="ar-EG"/>
        </w:rPr>
        <w:t>التمويل القائم على المكافآت</w:t>
      </w:r>
      <w:bookmarkEnd w:id="107"/>
    </w:p>
    <w:tbl>
      <w:tblPr>
        <w:bidiVisual/>
        <w:tblW w:w="96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8"/>
        <w:gridCol w:w="2059"/>
        <w:gridCol w:w="377"/>
        <w:gridCol w:w="732"/>
        <w:gridCol w:w="686"/>
        <w:gridCol w:w="686"/>
        <w:gridCol w:w="610"/>
        <w:gridCol w:w="763"/>
        <w:gridCol w:w="865"/>
        <w:gridCol w:w="879"/>
        <w:gridCol w:w="659"/>
        <w:gridCol w:w="895"/>
      </w:tblGrid>
      <w:tr w:rsidR="00DE2B2A" w:rsidRPr="00BC50C9" w14:paraId="0E816FBA" w14:textId="77777777" w:rsidTr="00111534">
        <w:trPr>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4DE039"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م</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FBF99"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b/>
                <w:bCs/>
                <w:sz w:val="20"/>
                <w:szCs w:val="20"/>
                <w:rtl/>
              </w:rPr>
              <w:t>العبارة</w:t>
            </w:r>
          </w:p>
        </w:tc>
        <w:tc>
          <w:tcPr>
            <w:tcW w:w="0" w:type="auto"/>
            <w:gridSpan w:val="6"/>
            <w:tcBorders>
              <w:top w:val="single" w:sz="4" w:space="0" w:color="auto"/>
              <w:left w:val="single" w:sz="4" w:space="0" w:color="auto"/>
              <w:bottom w:val="single" w:sz="4" w:space="0" w:color="auto"/>
            </w:tcBorders>
            <w:shd w:val="clear" w:color="auto" w:fill="BFBFBF" w:themeFill="background1" w:themeFillShade="BF"/>
            <w:vAlign w:val="center"/>
          </w:tcPr>
          <w:p w14:paraId="25864912"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b/>
                <w:bCs/>
                <w:sz w:val="20"/>
                <w:szCs w:val="20"/>
                <w:rtl/>
              </w:rPr>
              <w:t>درجة الاستجابة</w:t>
            </w:r>
          </w:p>
        </w:tc>
        <w:tc>
          <w:tcPr>
            <w:tcW w:w="0" w:type="auto"/>
            <w:vMerge w:val="restart"/>
            <w:tcBorders>
              <w:top w:val="single" w:sz="4" w:space="0" w:color="auto"/>
              <w:bottom w:val="single" w:sz="4" w:space="0" w:color="auto"/>
            </w:tcBorders>
            <w:shd w:val="clear" w:color="auto" w:fill="BFBFBF" w:themeFill="background1" w:themeFillShade="BF"/>
            <w:vAlign w:val="center"/>
          </w:tcPr>
          <w:p w14:paraId="2BADEE03"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b/>
                <w:bCs/>
                <w:sz w:val="20"/>
                <w:szCs w:val="20"/>
                <w:rtl/>
              </w:rPr>
              <w:t>المتوسط الحسابي</w:t>
            </w:r>
          </w:p>
        </w:tc>
        <w:tc>
          <w:tcPr>
            <w:tcW w:w="0" w:type="auto"/>
            <w:vMerge w:val="restart"/>
            <w:tcBorders>
              <w:top w:val="single" w:sz="4" w:space="0" w:color="auto"/>
              <w:bottom w:val="single" w:sz="4" w:space="0" w:color="auto"/>
            </w:tcBorders>
            <w:shd w:val="clear" w:color="auto" w:fill="BFBFBF" w:themeFill="background1" w:themeFillShade="BF"/>
            <w:vAlign w:val="center"/>
          </w:tcPr>
          <w:p w14:paraId="4A90C4F4"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b/>
                <w:bCs/>
                <w:sz w:val="20"/>
                <w:szCs w:val="20"/>
                <w:rtl/>
              </w:rPr>
              <w:t>الانحراف المعياري</w:t>
            </w:r>
          </w:p>
        </w:tc>
        <w:tc>
          <w:tcPr>
            <w:tcW w:w="0" w:type="auto"/>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2EE092A4"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الترتيب</w:t>
            </w:r>
          </w:p>
        </w:tc>
        <w:tc>
          <w:tcPr>
            <w:tcW w:w="0" w:type="auto"/>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78667AC9"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b/>
                <w:bCs/>
                <w:sz w:val="20"/>
                <w:szCs w:val="20"/>
                <w:rtl/>
              </w:rPr>
              <w:t>درجة الاستجابة</w:t>
            </w:r>
          </w:p>
        </w:tc>
      </w:tr>
      <w:tr w:rsidR="006D2F82" w:rsidRPr="00BC50C9" w14:paraId="3F932FD5" w14:textId="77777777" w:rsidTr="00111534">
        <w:trPr>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A7EC0B"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1721AF"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tcBorders>
              <w:top w:val="single" w:sz="4" w:space="0" w:color="auto"/>
              <w:left w:val="single" w:sz="4" w:space="0" w:color="auto"/>
            </w:tcBorders>
            <w:shd w:val="clear" w:color="auto" w:fill="BFBFBF" w:themeFill="background1" w:themeFillShade="BF"/>
            <w:vAlign w:val="center"/>
          </w:tcPr>
          <w:p w14:paraId="69741F8C"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tcBorders>
              <w:top w:val="single" w:sz="4" w:space="0" w:color="auto"/>
              <w:left w:val="single" w:sz="4" w:space="0" w:color="auto"/>
            </w:tcBorders>
            <w:shd w:val="clear" w:color="auto" w:fill="BFBFBF" w:themeFill="background1" w:themeFillShade="BF"/>
            <w:vAlign w:val="center"/>
          </w:tcPr>
          <w:p w14:paraId="26EB2A0F"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أوافق بشدة</w:t>
            </w:r>
          </w:p>
        </w:tc>
        <w:tc>
          <w:tcPr>
            <w:tcW w:w="0" w:type="auto"/>
            <w:tcBorders>
              <w:top w:val="single" w:sz="4" w:space="0" w:color="auto"/>
            </w:tcBorders>
            <w:shd w:val="clear" w:color="auto" w:fill="BFBFBF" w:themeFill="background1" w:themeFillShade="BF"/>
            <w:vAlign w:val="center"/>
          </w:tcPr>
          <w:p w14:paraId="26B94004"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أوافق</w:t>
            </w:r>
          </w:p>
        </w:tc>
        <w:tc>
          <w:tcPr>
            <w:tcW w:w="0" w:type="auto"/>
            <w:tcBorders>
              <w:top w:val="single" w:sz="4" w:space="0" w:color="auto"/>
            </w:tcBorders>
            <w:shd w:val="clear" w:color="auto" w:fill="BFBFBF" w:themeFill="background1" w:themeFillShade="BF"/>
            <w:vAlign w:val="center"/>
          </w:tcPr>
          <w:p w14:paraId="2BD9A6A1"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محايد</w:t>
            </w:r>
          </w:p>
        </w:tc>
        <w:tc>
          <w:tcPr>
            <w:tcW w:w="0" w:type="auto"/>
            <w:tcBorders>
              <w:top w:val="single" w:sz="4" w:space="0" w:color="auto"/>
            </w:tcBorders>
            <w:shd w:val="clear" w:color="auto" w:fill="BFBFBF" w:themeFill="background1" w:themeFillShade="BF"/>
            <w:vAlign w:val="center"/>
          </w:tcPr>
          <w:p w14:paraId="57DA4BC6"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لا أوافق</w:t>
            </w:r>
          </w:p>
        </w:tc>
        <w:tc>
          <w:tcPr>
            <w:tcW w:w="0" w:type="auto"/>
            <w:tcBorders>
              <w:top w:val="single" w:sz="4" w:space="0" w:color="auto"/>
            </w:tcBorders>
            <w:shd w:val="clear" w:color="auto" w:fill="BFBFBF" w:themeFill="background1" w:themeFillShade="BF"/>
            <w:vAlign w:val="center"/>
          </w:tcPr>
          <w:p w14:paraId="6C99CA3C"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r w:rsidRPr="0012475B">
              <w:rPr>
                <w:rFonts w:ascii="Times New Roman" w:hAnsi="Times New Roman" w:cs="Simplified Arabic" w:hint="cs"/>
                <w:b/>
                <w:bCs/>
                <w:sz w:val="20"/>
                <w:szCs w:val="20"/>
                <w:rtl/>
              </w:rPr>
              <w:t>لا أوافق بشدة</w:t>
            </w:r>
          </w:p>
        </w:tc>
        <w:tc>
          <w:tcPr>
            <w:tcW w:w="0" w:type="auto"/>
            <w:vMerge/>
            <w:tcBorders>
              <w:top w:val="single" w:sz="4" w:space="0" w:color="auto"/>
              <w:bottom w:val="single" w:sz="4" w:space="0" w:color="auto"/>
            </w:tcBorders>
            <w:shd w:val="clear" w:color="auto" w:fill="BFBFBF" w:themeFill="background1" w:themeFillShade="BF"/>
            <w:vAlign w:val="center"/>
          </w:tcPr>
          <w:p w14:paraId="62F061CC"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vMerge/>
            <w:tcBorders>
              <w:top w:val="single" w:sz="4" w:space="0" w:color="auto"/>
              <w:bottom w:val="single" w:sz="4" w:space="0" w:color="auto"/>
            </w:tcBorders>
            <w:shd w:val="clear" w:color="auto" w:fill="BFBFBF" w:themeFill="background1" w:themeFillShade="BF"/>
            <w:vAlign w:val="center"/>
          </w:tcPr>
          <w:p w14:paraId="3AE4AEA5"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vMerge/>
            <w:tcBorders>
              <w:top w:val="single" w:sz="4" w:space="0" w:color="auto"/>
              <w:bottom w:val="single" w:sz="4" w:space="0" w:color="auto"/>
              <w:right w:val="single" w:sz="4" w:space="0" w:color="auto"/>
            </w:tcBorders>
            <w:shd w:val="clear" w:color="auto" w:fill="BFBFBF" w:themeFill="background1" w:themeFillShade="BF"/>
            <w:vAlign w:val="center"/>
          </w:tcPr>
          <w:p w14:paraId="720CBA1E"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c>
          <w:tcPr>
            <w:tcW w:w="0" w:type="auto"/>
            <w:vMerge/>
            <w:tcBorders>
              <w:top w:val="single" w:sz="4" w:space="0" w:color="auto"/>
              <w:bottom w:val="single" w:sz="4" w:space="0" w:color="auto"/>
              <w:right w:val="single" w:sz="4" w:space="0" w:color="auto"/>
            </w:tcBorders>
            <w:shd w:val="clear" w:color="auto" w:fill="BFBFBF" w:themeFill="background1" w:themeFillShade="BF"/>
            <w:vAlign w:val="center"/>
          </w:tcPr>
          <w:p w14:paraId="6D4D0A5B" w14:textId="77777777" w:rsidR="00DE2B2A" w:rsidRPr="0012475B" w:rsidRDefault="00DE2B2A" w:rsidP="0012475B">
            <w:pPr>
              <w:bidi/>
              <w:spacing w:after="0" w:line="240" w:lineRule="auto"/>
              <w:jc w:val="center"/>
              <w:rPr>
                <w:rFonts w:ascii="Times New Roman" w:hAnsi="Times New Roman" w:cs="Simplified Arabic"/>
                <w:b/>
                <w:bCs/>
                <w:sz w:val="20"/>
                <w:szCs w:val="20"/>
                <w:rtl/>
              </w:rPr>
            </w:pPr>
          </w:p>
        </w:tc>
      </w:tr>
      <w:tr w:rsidR="00DE2B2A" w:rsidRPr="00BC50C9" w14:paraId="6908E0A7" w14:textId="77777777" w:rsidTr="00111534">
        <w:trPr>
          <w:jc w:val="center"/>
        </w:trPr>
        <w:tc>
          <w:tcPr>
            <w:tcW w:w="0" w:type="auto"/>
            <w:vMerge w:val="restart"/>
            <w:tcBorders>
              <w:top w:val="single" w:sz="4" w:space="0" w:color="auto"/>
              <w:left w:val="single" w:sz="4" w:space="0" w:color="auto"/>
              <w:right w:val="single" w:sz="4" w:space="0" w:color="auto"/>
            </w:tcBorders>
            <w:vAlign w:val="center"/>
          </w:tcPr>
          <w:p w14:paraId="0C9ED214"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hint="cs"/>
                <w:sz w:val="20"/>
                <w:szCs w:val="20"/>
                <w:rtl/>
              </w:rPr>
              <w:t>9</w:t>
            </w:r>
          </w:p>
        </w:tc>
        <w:tc>
          <w:tcPr>
            <w:tcW w:w="0" w:type="auto"/>
            <w:vMerge w:val="restart"/>
            <w:tcBorders>
              <w:top w:val="single" w:sz="4" w:space="0" w:color="auto"/>
              <w:left w:val="single" w:sz="4" w:space="0" w:color="auto"/>
              <w:right w:val="single" w:sz="4" w:space="0" w:color="auto"/>
            </w:tcBorders>
          </w:tcPr>
          <w:p w14:paraId="43EDF89F" w14:textId="77777777" w:rsidR="00DE2B2A" w:rsidRPr="0012475B" w:rsidRDefault="00DE2B2A" w:rsidP="0012475B">
            <w:pPr>
              <w:autoSpaceDE w:val="0"/>
              <w:autoSpaceDN w:val="0"/>
              <w:bidi/>
              <w:adjustRightInd w:val="0"/>
              <w:spacing w:after="0" w:line="240" w:lineRule="auto"/>
              <w:jc w:val="center"/>
              <w:rPr>
                <w:rFonts w:ascii="Times New Roman" w:eastAsia="Calibri" w:hAnsi="Times New Roman" w:cs="Simplified Arabic"/>
                <w:sz w:val="20"/>
                <w:szCs w:val="20"/>
                <w:rtl/>
                <w:lang w:bidi="ar-KW"/>
              </w:rPr>
            </w:pPr>
            <w:r w:rsidRPr="0012475B">
              <w:rPr>
                <w:rFonts w:ascii="Times New Roman" w:eastAsia="Times New Roman" w:hAnsi="Times New Roman" w:cs="Simplified Arabic"/>
                <w:sz w:val="20"/>
                <w:szCs w:val="20"/>
                <w:rtl/>
              </w:rPr>
              <w:t>يُعد التمويل القائم على المكافآت نموذجًا محفزًا لجذب الممولين للمشاريع الريادية</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B67BDD0"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ك</w:t>
            </w:r>
          </w:p>
        </w:tc>
        <w:tc>
          <w:tcPr>
            <w:tcW w:w="0" w:type="auto"/>
            <w:tcBorders>
              <w:top w:val="single" w:sz="4" w:space="0" w:color="auto"/>
            </w:tcBorders>
            <w:shd w:val="clear" w:color="auto" w:fill="auto"/>
            <w:vAlign w:val="center"/>
          </w:tcPr>
          <w:p w14:paraId="75E98410"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184</w:t>
            </w:r>
          </w:p>
        </w:tc>
        <w:tc>
          <w:tcPr>
            <w:tcW w:w="0" w:type="auto"/>
            <w:tcBorders>
              <w:top w:val="single" w:sz="4" w:space="0" w:color="auto"/>
            </w:tcBorders>
            <w:vAlign w:val="center"/>
          </w:tcPr>
          <w:p w14:paraId="1A7C602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72</w:t>
            </w:r>
          </w:p>
        </w:tc>
        <w:tc>
          <w:tcPr>
            <w:tcW w:w="0" w:type="auto"/>
            <w:tcBorders>
              <w:top w:val="single" w:sz="4" w:space="0" w:color="auto"/>
            </w:tcBorders>
            <w:shd w:val="clear" w:color="auto" w:fill="auto"/>
            <w:vAlign w:val="center"/>
          </w:tcPr>
          <w:p w14:paraId="3081D29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35</w:t>
            </w:r>
          </w:p>
        </w:tc>
        <w:tc>
          <w:tcPr>
            <w:tcW w:w="0" w:type="auto"/>
            <w:tcBorders>
              <w:top w:val="single" w:sz="4" w:space="0" w:color="auto"/>
            </w:tcBorders>
            <w:vAlign w:val="center"/>
          </w:tcPr>
          <w:p w14:paraId="7F78F8EA"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35</w:t>
            </w:r>
          </w:p>
        </w:tc>
        <w:tc>
          <w:tcPr>
            <w:tcW w:w="0" w:type="auto"/>
            <w:tcBorders>
              <w:top w:val="single" w:sz="4" w:space="0" w:color="auto"/>
            </w:tcBorders>
            <w:vAlign w:val="center"/>
          </w:tcPr>
          <w:p w14:paraId="5EF2383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tl/>
              </w:rPr>
            </w:pPr>
            <w:r w:rsidRPr="0012475B">
              <w:rPr>
                <w:rFonts w:ascii="Times New Roman" w:hAnsi="Times New Roman" w:cs="Simplified Arabic"/>
                <w:color w:val="000000"/>
                <w:sz w:val="20"/>
                <w:szCs w:val="20"/>
              </w:rPr>
              <w:t>58</w:t>
            </w:r>
          </w:p>
        </w:tc>
        <w:tc>
          <w:tcPr>
            <w:tcW w:w="0" w:type="auto"/>
            <w:vMerge w:val="restart"/>
            <w:tcBorders>
              <w:top w:val="single" w:sz="4" w:space="0" w:color="auto"/>
            </w:tcBorders>
            <w:vAlign w:val="center"/>
          </w:tcPr>
          <w:p w14:paraId="0D62B481"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color w:val="000000"/>
                <w:sz w:val="20"/>
                <w:szCs w:val="20"/>
              </w:rPr>
              <w:t>3.75</w:t>
            </w:r>
          </w:p>
        </w:tc>
        <w:tc>
          <w:tcPr>
            <w:tcW w:w="0" w:type="auto"/>
            <w:vMerge w:val="restart"/>
            <w:tcBorders>
              <w:top w:val="single" w:sz="4" w:space="0" w:color="auto"/>
            </w:tcBorders>
            <w:vAlign w:val="center"/>
          </w:tcPr>
          <w:p w14:paraId="1EB36047"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color w:val="000000"/>
                <w:sz w:val="20"/>
                <w:szCs w:val="20"/>
              </w:rPr>
              <w:t>1.496</w:t>
            </w:r>
          </w:p>
        </w:tc>
        <w:tc>
          <w:tcPr>
            <w:tcW w:w="0" w:type="auto"/>
            <w:vMerge w:val="restart"/>
            <w:tcBorders>
              <w:top w:val="single" w:sz="4" w:space="0" w:color="auto"/>
              <w:right w:val="single" w:sz="4" w:space="0" w:color="auto"/>
            </w:tcBorders>
            <w:vAlign w:val="center"/>
          </w:tcPr>
          <w:p w14:paraId="62814C19" w14:textId="77777777" w:rsidR="00DE2B2A" w:rsidRPr="0012475B" w:rsidRDefault="00DE2B2A" w:rsidP="0012475B">
            <w:pPr>
              <w:bidi/>
              <w:spacing w:after="0" w:line="240" w:lineRule="auto"/>
              <w:jc w:val="center"/>
              <w:rPr>
                <w:rFonts w:ascii="Times New Roman" w:hAnsi="Times New Roman" w:cs="Simplified Arabic"/>
                <w:sz w:val="20"/>
                <w:szCs w:val="20"/>
                <w:lang w:bidi="ar-EG"/>
              </w:rPr>
            </w:pPr>
            <w:r w:rsidRPr="0012475B">
              <w:rPr>
                <w:rFonts w:ascii="Times New Roman" w:hAnsi="Times New Roman" w:cs="Simplified Arabic"/>
                <w:sz w:val="20"/>
                <w:szCs w:val="20"/>
                <w:lang w:bidi="ar-EG"/>
              </w:rPr>
              <w:t>6</w:t>
            </w:r>
          </w:p>
        </w:tc>
        <w:tc>
          <w:tcPr>
            <w:tcW w:w="0" w:type="auto"/>
            <w:vMerge w:val="restart"/>
            <w:tcBorders>
              <w:top w:val="single" w:sz="4" w:space="0" w:color="auto"/>
              <w:right w:val="single" w:sz="4" w:space="0" w:color="auto"/>
            </w:tcBorders>
            <w:vAlign w:val="center"/>
          </w:tcPr>
          <w:p w14:paraId="15513FCA"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hint="cs"/>
                <w:sz w:val="20"/>
                <w:szCs w:val="20"/>
                <w:rtl/>
                <w:lang w:bidi="ar-EG"/>
              </w:rPr>
              <w:t>عالية</w:t>
            </w:r>
          </w:p>
        </w:tc>
      </w:tr>
      <w:tr w:rsidR="00DE2B2A" w:rsidRPr="00BC50C9" w14:paraId="0900B62E" w14:textId="77777777" w:rsidTr="00111534">
        <w:trPr>
          <w:jc w:val="center"/>
        </w:trPr>
        <w:tc>
          <w:tcPr>
            <w:tcW w:w="0" w:type="auto"/>
            <w:vMerge/>
            <w:tcBorders>
              <w:left w:val="single" w:sz="4" w:space="0" w:color="auto"/>
              <w:bottom w:val="single" w:sz="4" w:space="0" w:color="auto"/>
              <w:right w:val="single" w:sz="4" w:space="0" w:color="auto"/>
            </w:tcBorders>
            <w:vAlign w:val="center"/>
          </w:tcPr>
          <w:p w14:paraId="149F5052"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bottom w:val="single" w:sz="4" w:space="0" w:color="auto"/>
              <w:right w:val="single" w:sz="4" w:space="0" w:color="auto"/>
            </w:tcBorders>
          </w:tcPr>
          <w:p w14:paraId="3ED9119C"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88573E0"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w:t>
            </w:r>
          </w:p>
        </w:tc>
        <w:tc>
          <w:tcPr>
            <w:tcW w:w="0" w:type="auto"/>
            <w:shd w:val="clear" w:color="auto" w:fill="auto"/>
            <w:vAlign w:val="center"/>
          </w:tcPr>
          <w:p w14:paraId="22BB28E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47.9</w:t>
            </w:r>
          </w:p>
        </w:tc>
        <w:tc>
          <w:tcPr>
            <w:tcW w:w="0" w:type="auto"/>
            <w:vAlign w:val="center"/>
          </w:tcPr>
          <w:p w14:paraId="011DC9B1"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18.8</w:t>
            </w:r>
          </w:p>
        </w:tc>
        <w:tc>
          <w:tcPr>
            <w:tcW w:w="0" w:type="auto"/>
            <w:shd w:val="clear" w:color="auto" w:fill="auto"/>
            <w:vAlign w:val="center"/>
          </w:tcPr>
          <w:p w14:paraId="6ECF4A9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9.1</w:t>
            </w:r>
          </w:p>
        </w:tc>
        <w:tc>
          <w:tcPr>
            <w:tcW w:w="0" w:type="auto"/>
            <w:vAlign w:val="center"/>
          </w:tcPr>
          <w:p w14:paraId="216E558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9.1</w:t>
            </w:r>
          </w:p>
        </w:tc>
        <w:tc>
          <w:tcPr>
            <w:tcW w:w="0" w:type="auto"/>
            <w:vAlign w:val="center"/>
          </w:tcPr>
          <w:p w14:paraId="20D4286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15.1</w:t>
            </w:r>
          </w:p>
        </w:tc>
        <w:tc>
          <w:tcPr>
            <w:tcW w:w="0" w:type="auto"/>
            <w:vMerge/>
            <w:tcBorders>
              <w:bottom w:val="single" w:sz="4" w:space="0" w:color="auto"/>
            </w:tcBorders>
            <w:vAlign w:val="center"/>
          </w:tcPr>
          <w:p w14:paraId="061E199D"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bottom w:val="single" w:sz="4" w:space="0" w:color="auto"/>
            </w:tcBorders>
            <w:vAlign w:val="center"/>
          </w:tcPr>
          <w:p w14:paraId="4BC93FA0"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bottom w:val="single" w:sz="4" w:space="0" w:color="auto"/>
              <w:right w:val="single" w:sz="4" w:space="0" w:color="auto"/>
            </w:tcBorders>
            <w:vAlign w:val="center"/>
          </w:tcPr>
          <w:p w14:paraId="029AC1AF"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bottom w:val="single" w:sz="4" w:space="0" w:color="auto"/>
              <w:right w:val="single" w:sz="4" w:space="0" w:color="auto"/>
            </w:tcBorders>
            <w:vAlign w:val="center"/>
          </w:tcPr>
          <w:p w14:paraId="060500EA"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777B2BE4" w14:textId="77777777" w:rsidTr="00111534">
        <w:trPr>
          <w:jc w:val="center"/>
        </w:trPr>
        <w:tc>
          <w:tcPr>
            <w:tcW w:w="0" w:type="auto"/>
            <w:vMerge w:val="restart"/>
            <w:tcBorders>
              <w:left w:val="single" w:sz="4" w:space="0" w:color="auto"/>
              <w:right w:val="single" w:sz="4" w:space="0" w:color="auto"/>
            </w:tcBorders>
            <w:vAlign w:val="center"/>
          </w:tcPr>
          <w:p w14:paraId="7B59AA69"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10</w:t>
            </w:r>
          </w:p>
        </w:tc>
        <w:tc>
          <w:tcPr>
            <w:tcW w:w="0" w:type="auto"/>
            <w:vMerge w:val="restart"/>
            <w:tcBorders>
              <w:left w:val="single" w:sz="4" w:space="0" w:color="auto"/>
              <w:right w:val="single" w:sz="4" w:space="0" w:color="auto"/>
            </w:tcBorders>
          </w:tcPr>
          <w:p w14:paraId="39EB796E" w14:textId="77777777" w:rsidR="00DE2B2A" w:rsidRPr="0012475B" w:rsidRDefault="00DE2B2A" w:rsidP="0012475B">
            <w:pPr>
              <w:autoSpaceDE w:val="0"/>
              <w:autoSpaceDN w:val="0"/>
              <w:bidi/>
              <w:adjustRightInd w:val="0"/>
              <w:spacing w:after="0" w:line="240" w:lineRule="auto"/>
              <w:jc w:val="center"/>
              <w:rPr>
                <w:rFonts w:ascii="Times New Roman" w:hAnsi="Times New Roman" w:cs="Simplified Arabic"/>
                <w:sz w:val="20"/>
                <w:szCs w:val="20"/>
                <w:rtl/>
                <w:lang w:bidi="ar-KW"/>
              </w:rPr>
            </w:pPr>
            <w:r w:rsidRPr="0012475B">
              <w:rPr>
                <w:rFonts w:ascii="Times New Roman" w:eastAsia="Times New Roman" w:hAnsi="Times New Roman" w:cs="Simplified Arabic"/>
                <w:sz w:val="20"/>
                <w:szCs w:val="20"/>
                <w:rtl/>
              </w:rPr>
              <w:t>تَساهم المكافآت المقدمة للممولين في زيادة إقبالهم على دعم المشاريع</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99E4A81"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ك</w:t>
            </w:r>
          </w:p>
        </w:tc>
        <w:tc>
          <w:tcPr>
            <w:tcW w:w="0" w:type="auto"/>
            <w:shd w:val="clear" w:color="auto" w:fill="auto"/>
            <w:vAlign w:val="center"/>
          </w:tcPr>
          <w:p w14:paraId="689CECA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150</w:t>
            </w:r>
          </w:p>
        </w:tc>
        <w:tc>
          <w:tcPr>
            <w:tcW w:w="0" w:type="auto"/>
            <w:vAlign w:val="center"/>
          </w:tcPr>
          <w:p w14:paraId="672FF94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96</w:t>
            </w:r>
          </w:p>
        </w:tc>
        <w:tc>
          <w:tcPr>
            <w:tcW w:w="0" w:type="auto"/>
            <w:shd w:val="clear" w:color="auto" w:fill="auto"/>
            <w:vAlign w:val="center"/>
          </w:tcPr>
          <w:p w14:paraId="367A98C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39</w:t>
            </w:r>
          </w:p>
        </w:tc>
        <w:tc>
          <w:tcPr>
            <w:tcW w:w="0" w:type="auto"/>
            <w:vAlign w:val="center"/>
          </w:tcPr>
          <w:p w14:paraId="18447D96"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w:t>
            </w:r>
          </w:p>
        </w:tc>
        <w:tc>
          <w:tcPr>
            <w:tcW w:w="0" w:type="auto"/>
            <w:vAlign w:val="center"/>
          </w:tcPr>
          <w:p w14:paraId="1692B52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74</w:t>
            </w:r>
          </w:p>
        </w:tc>
        <w:tc>
          <w:tcPr>
            <w:tcW w:w="0" w:type="auto"/>
            <w:vMerge w:val="restart"/>
            <w:vAlign w:val="center"/>
          </w:tcPr>
          <w:p w14:paraId="153CE5A6"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3.58</w:t>
            </w:r>
          </w:p>
        </w:tc>
        <w:tc>
          <w:tcPr>
            <w:tcW w:w="0" w:type="auto"/>
            <w:vMerge w:val="restart"/>
            <w:vAlign w:val="center"/>
          </w:tcPr>
          <w:p w14:paraId="5C42DF87"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1.522</w:t>
            </w:r>
          </w:p>
        </w:tc>
        <w:tc>
          <w:tcPr>
            <w:tcW w:w="0" w:type="auto"/>
            <w:vMerge w:val="restart"/>
            <w:tcBorders>
              <w:right w:val="single" w:sz="4" w:space="0" w:color="auto"/>
            </w:tcBorders>
            <w:vAlign w:val="center"/>
          </w:tcPr>
          <w:p w14:paraId="0C86302A" w14:textId="77777777" w:rsidR="00DE2B2A" w:rsidRPr="0012475B" w:rsidRDefault="00DE2B2A" w:rsidP="0012475B">
            <w:pPr>
              <w:bidi/>
              <w:spacing w:after="0" w:line="240" w:lineRule="auto"/>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w:t>
            </w:r>
          </w:p>
        </w:tc>
        <w:tc>
          <w:tcPr>
            <w:tcW w:w="0" w:type="auto"/>
            <w:vMerge w:val="restart"/>
            <w:tcBorders>
              <w:right w:val="single" w:sz="4" w:space="0" w:color="auto"/>
            </w:tcBorders>
            <w:vAlign w:val="center"/>
          </w:tcPr>
          <w:p w14:paraId="12F260E0"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hint="cs"/>
                <w:sz w:val="20"/>
                <w:szCs w:val="20"/>
                <w:rtl/>
                <w:lang w:bidi="ar-EG"/>
              </w:rPr>
              <w:t>عالية</w:t>
            </w:r>
          </w:p>
        </w:tc>
      </w:tr>
      <w:tr w:rsidR="00DE2B2A" w:rsidRPr="00BC50C9" w14:paraId="3B9390CF" w14:textId="77777777" w:rsidTr="00111534">
        <w:trPr>
          <w:jc w:val="center"/>
        </w:trPr>
        <w:tc>
          <w:tcPr>
            <w:tcW w:w="0" w:type="auto"/>
            <w:vMerge/>
            <w:tcBorders>
              <w:left w:val="single" w:sz="4" w:space="0" w:color="auto"/>
              <w:right w:val="single" w:sz="4" w:space="0" w:color="auto"/>
            </w:tcBorders>
            <w:vAlign w:val="center"/>
          </w:tcPr>
          <w:p w14:paraId="4B4FC4B6"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tcPr>
          <w:p w14:paraId="4E3A4FC2"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E12B6EB"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w:t>
            </w:r>
          </w:p>
        </w:tc>
        <w:tc>
          <w:tcPr>
            <w:tcW w:w="0" w:type="auto"/>
            <w:shd w:val="clear" w:color="auto" w:fill="auto"/>
            <w:vAlign w:val="center"/>
          </w:tcPr>
          <w:p w14:paraId="1F002F5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39.1</w:t>
            </w:r>
          </w:p>
        </w:tc>
        <w:tc>
          <w:tcPr>
            <w:tcW w:w="0" w:type="auto"/>
            <w:vAlign w:val="center"/>
          </w:tcPr>
          <w:p w14:paraId="6525BC07"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w:t>
            </w:r>
          </w:p>
        </w:tc>
        <w:tc>
          <w:tcPr>
            <w:tcW w:w="0" w:type="auto"/>
            <w:shd w:val="clear" w:color="auto" w:fill="auto"/>
            <w:vAlign w:val="center"/>
          </w:tcPr>
          <w:p w14:paraId="73AB500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10.2</w:t>
            </w:r>
          </w:p>
        </w:tc>
        <w:tc>
          <w:tcPr>
            <w:tcW w:w="0" w:type="auto"/>
            <w:vAlign w:val="center"/>
          </w:tcPr>
          <w:p w14:paraId="0E2AF810"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6.5</w:t>
            </w:r>
          </w:p>
        </w:tc>
        <w:tc>
          <w:tcPr>
            <w:tcW w:w="0" w:type="auto"/>
            <w:vAlign w:val="center"/>
          </w:tcPr>
          <w:p w14:paraId="217B42AC"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19.3</w:t>
            </w:r>
          </w:p>
        </w:tc>
        <w:tc>
          <w:tcPr>
            <w:tcW w:w="0" w:type="auto"/>
            <w:vMerge/>
            <w:vAlign w:val="center"/>
          </w:tcPr>
          <w:p w14:paraId="10B9978E"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3AF7D89C"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513DB116"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46BF7FB8"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7B418D49" w14:textId="77777777" w:rsidTr="00111534">
        <w:trPr>
          <w:jc w:val="center"/>
        </w:trPr>
        <w:tc>
          <w:tcPr>
            <w:tcW w:w="0" w:type="auto"/>
            <w:vMerge w:val="restart"/>
            <w:tcBorders>
              <w:left w:val="single" w:sz="4" w:space="0" w:color="auto"/>
              <w:right w:val="single" w:sz="4" w:space="0" w:color="auto"/>
            </w:tcBorders>
            <w:vAlign w:val="center"/>
          </w:tcPr>
          <w:p w14:paraId="27271C4F"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11</w:t>
            </w:r>
          </w:p>
        </w:tc>
        <w:tc>
          <w:tcPr>
            <w:tcW w:w="0" w:type="auto"/>
            <w:vMerge w:val="restart"/>
            <w:tcBorders>
              <w:left w:val="single" w:sz="4" w:space="0" w:color="auto"/>
              <w:right w:val="single" w:sz="4" w:space="0" w:color="auto"/>
            </w:tcBorders>
          </w:tcPr>
          <w:p w14:paraId="2275C4A3" w14:textId="77777777" w:rsidR="00DE2B2A" w:rsidRPr="0012475B" w:rsidRDefault="00DE2B2A" w:rsidP="0012475B">
            <w:pPr>
              <w:autoSpaceDE w:val="0"/>
              <w:autoSpaceDN w:val="0"/>
              <w:bidi/>
              <w:adjustRightInd w:val="0"/>
              <w:spacing w:after="0" w:line="240" w:lineRule="auto"/>
              <w:jc w:val="center"/>
              <w:rPr>
                <w:rFonts w:ascii="Times New Roman" w:hAnsi="Times New Roman" w:cs="Simplified Arabic"/>
                <w:sz w:val="20"/>
                <w:szCs w:val="20"/>
                <w:rtl/>
                <w:lang w:bidi="ar-KW"/>
              </w:rPr>
            </w:pPr>
            <w:r w:rsidRPr="0012475B">
              <w:rPr>
                <w:rFonts w:ascii="Times New Roman" w:eastAsia="Times New Roman" w:hAnsi="Times New Roman" w:cs="Simplified Arabic"/>
                <w:sz w:val="20"/>
                <w:szCs w:val="20"/>
                <w:rtl/>
              </w:rPr>
              <w:t>تُعزز البرامج الترويجية والتسويقية من فعالية التمويل القائم على المكافآت</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B057510"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ك</w:t>
            </w:r>
          </w:p>
        </w:tc>
        <w:tc>
          <w:tcPr>
            <w:tcW w:w="0" w:type="auto"/>
            <w:shd w:val="clear" w:color="auto" w:fill="auto"/>
            <w:vAlign w:val="center"/>
          </w:tcPr>
          <w:p w14:paraId="3B68A41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193</w:t>
            </w:r>
          </w:p>
        </w:tc>
        <w:tc>
          <w:tcPr>
            <w:tcW w:w="0" w:type="auto"/>
            <w:vAlign w:val="center"/>
          </w:tcPr>
          <w:p w14:paraId="386C699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98</w:t>
            </w:r>
          </w:p>
        </w:tc>
        <w:tc>
          <w:tcPr>
            <w:tcW w:w="0" w:type="auto"/>
            <w:shd w:val="clear" w:color="auto" w:fill="auto"/>
            <w:vAlign w:val="center"/>
          </w:tcPr>
          <w:p w14:paraId="321C82A7"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40</w:t>
            </w:r>
          </w:p>
        </w:tc>
        <w:tc>
          <w:tcPr>
            <w:tcW w:w="0" w:type="auto"/>
            <w:vAlign w:val="center"/>
          </w:tcPr>
          <w:p w14:paraId="0ACD199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24</w:t>
            </w:r>
          </w:p>
        </w:tc>
        <w:tc>
          <w:tcPr>
            <w:tcW w:w="0" w:type="auto"/>
            <w:vAlign w:val="center"/>
          </w:tcPr>
          <w:p w14:paraId="795C407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29</w:t>
            </w:r>
          </w:p>
        </w:tc>
        <w:tc>
          <w:tcPr>
            <w:tcW w:w="0" w:type="auto"/>
            <w:vMerge w:val="restart"/>
            <w:vAlign w:val="center"/>
          </w:tcPr>
          <w:p w14:paraId="63216041"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color w:val="000000"/>
                <w:sz w:val="20"/>
                <w:szCs w:val="20"/>
              </w:rPr>
              <w:t>4.05</w:t>
            </w:r>
          </w:p>
        </w:tc>
        <w:tc>
          <w:tcPr>
            <w:tcW w:w="0" w:type="auto"/>
            <w:vMerge w:val="restart"/>
            <w:vAlign w:val="center"/>
          </w:tcPr>
          <w:p w14:paraId="12768DC9"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color w:val="000000"/>
                <w:sz w:val="20"/>
                <w:szCs w:val="20"/>
              </w:rPr>
              <w:t>1.240</w:t>
            </w:r>
          </w:p>
        </w:tc>
        <w:tc>
          <w:tcPr>
            <w:tcW w:w="0" w:type="auto"/>
            <w:vMerge w:val="restart"/>
            <w:tcBorders>
              <w:right w:val="single" w:sz="4" w:space="0" w:color="auto"/>
            </w:tcBorders>
            <w:vAlign w:val="center"/>
          </w:tcPr>
          <w:p w14:paraId="692A0845" w14:textId="77777777" w:rsidR="00DE2B2A" w:rsidRPr="0012475B" w:rsidRDefault="00DE2B2A" w:rsidP="0012475B">
            <w:pPr>
              <w:bidi/>
              <w:spacing w:after="0" w:line="240" w:lineRule="auto"/>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w:t>
            </w:r>
          </w:p>
        </w:tc>
        <w:tc>
          <w:tcPr>
            <w:tcW w:w="0" w:type="auto"/>
            <w:vMerge w:val="restart"/>
            <w:tcBorders>
              <w:right w:val="single" w:sz="4" w:space="0" w:color="auto"/>
            </w:tcBorders>
            <w:vAlign w:val="center"/>
          </w:tcPr>
          <w:p w14:paraId="0C8C3E5F"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hint="cs"/>
                <w:sz w:val="20"/>
                <w:szCs w:val="20"/>
                <w:rtl/>
                <w:lang w:bidi="ar-EG"/>
              </w:rPr>
              <w:t>عالية</w:t>
            </w:r>
          </w:p>
        </w:tc>
      </w:tr>
      <w:tr w:rsidR="00DE2B2A" w:rsidRPr="00BC50C9" w14:paraId="4C0707E4" w14:textId="77777777" w:rsidTr="00111534">
        <w:trPr>
          <w:jc w:val="center"/>
        </w:trPr>
        <w:tc>
          <w:tcPr>
            <w:tcW w:w="0" w:type="auto"/>
            <w:vMerge/>
            <w:tcBorders>
              <w:left w:val="single" w:sz="4" w:space="0" w:color="auto"/>
              <w:right w:val="single" w:sz="4" w:space="0" w:color="auto"/>
            </w:tcBorders>
            <w:vAlign w:val="center"/>
          </w:tcPr>
          <w:p w14:paraId="1CD6345D"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tcPr>
          <w:p w14:paraId="60A39D96"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7FE18078"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w:t>
            </w:r>
          </w:p>
        </w:tc>
        <w:tc>
          <w:tcPr>
            <w:tcW w:w="0" w:type="auto"/>
            <w:shd w:val="clear" w:color="auto" w:fill="auto"/>
            <w:vAlign w:val="center"/>
          </w:tcPr>
          <w:p w14:paraId="090A7AE7"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50.3</w:t>
            </w:r>
          </w:p>
        </w:tc>
        <w:tc>
          <w:tcPr>
            <w:tcW w:w="0" w:type="auto"/>
            <w:vAlign w:val="center"/>
          </w:tcPr>
          <w:p w14:paraId="72199468"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25.5</w:t>
            </w:r>
          </w:p>
        </w:tc>
        <w:tc>
          <w:tcPr>
            <w:tcW w:w="0" w:type="auto"/>
            <w:shd w:val="clear" w:color="auto" w:fill="auto"/>
            <w:vAlign w:val="center"/>
          </w:tcPr>
          <w:p w14:paraId="5A5F453A"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10.4</w:t>
            </w:r>
          </w:p>
        </w:tc>
        <w:tc>
          <w:tcPr>
            <w:tcW w:w="0" w:type="auto"/>
            <w:vAlign w:val="center"/>
          </w:tcPr>
          <w:p w14:paraId="13EFAE3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6.3</w:t>
            </w:r>
          </w:p>
        </w:tc>
        <w:tc>
          <w:tcPr>
            <w:tcW w:w="0" w:type="auto"/>
            <w:vAlign w:val="center"/>
          </w:tcPr>
          <w:p w14:paraId="6CFA6BC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7.6</w:t>
            </w:r>
          </w:p>
        </w:tc>
        <w:tc>
          <w:tcPr>
            <w:tcW w:w="0" w:type="auto"/>
            <w:vMerge/>
            <w:vAlign w:val="center"/>
          </w:tcPr>
          <w:p w14:paraId="5E04E923"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7D70C0B3"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699D7CD3"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59CA96C6"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5F41FF8E" w14:textId="77777777" w:rsidTr="00111534">
        <w:trPr>
          <w:jc w:val="center"/>
        </w:trPr>
        <w:tc>
          <w:tcPr>
            <w:tcW w:w="0" w:type="auto"/>
            <w:vMerge w:val="restart"/>
            <w:tcBorders>
              <w:left w:val="single" w:sz="4" w:space="0" w:color="auto"/>
              <w:right w:val="single" w:sz="4" w:space="0" w:color="auto"/>
            </w:tcBorders>
            <w:vAlign w:val="center"/>
          </w:tcPr>
          <w:p w14:paraId="44C68720"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12</w:t>
            </w:r>
          </w:p>
        </w:tc>
        <w:tc>
          <w:tcPr>
            <w:tcW w:w="0" w:type="auto"/>
            <w:vMerge w:val="restart"/>
            <w:tcBorders>
              <w:left w:val="single" w:sz="4" w:space="0" w:color="auto"/>
              <w:right w:val="single" w:sz="4" w:space="0" w:color="auto"/>
            </w:tcBorders>
          </w:tcPr>
          <w:p w14:paraId="0F3AB38A" w14:textId="77777777" w:rsidR="00DE2B2A" w:rsidRPr="0012475B" w:rsidRDefault="00DE2B2A" w:rsidP="0012475B">
            <w:pPr>
              <w:autoSpaceDE w:val="0"/>
              <w:autoSpaceDN w:val="0"/>
              <w:bidi/>
              <w:adjustRightInd w:val="0"/>
              <w:spacing w:after="0" w:line="240" w:lineRule="auto"/>
              <w:jc w:val="center"/>
              <w:rPr>
                <w:rFonts w:ascii="Times New Roman" w:hAnsi="Times New Roman" w:cs="Simplified Arabic"/>
                <w:sz w:val="20"/>
                <w:szCs w:val="20"/>
                <w:rtl/>
                <w:lang w:bidi="ar-KW"/>
              </w:rPr>
            </w:pPr>
            <w:r w:rsidRPr="0012475B">
              <w:rPr>
                <w:rFonts w:ascii="Times New Roman" w:eastAsia="Times New Roman" w:hAnsi="Times New Roman" w:cs="Simplified Arabic"/>
                <w:sz w:val="20"/>
                <w:szCs w:val="20"/>
                <w:rtl/>
              </w:rPr>
              <w:t>تَحتاج المشاريع الريادية إلى وضع استراتيجيات واضحة لاختيار المكافآت المناسبة</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5A067199"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ك</w:t>
            </w:r>
          </w:p>
        </w:tc>
        <w:tc>
          <w:tcPr>
            <w:tcW w:w="0" w:type="auto"/>
            <w:shd w:val="clear" w:color="auto" w:fill="auto"/>
            <w:vAlign w:val="center"/>
          </w:tcPr>
          <w:p w14:paraId="4440EAD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190</w:t>
            </w:r>
          </w:p>
        </w:tc>
        <w:tc>
          <w:tcPr>
            <w:tcW w:w="0" w:type="auto"/>
            <w:vAlign w:val="center"/>
          </w:tcPr>
          <w:p w14:paraId="097D7E3E"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97</w:t>
            </w:r>
          </w:p>
        </w:tc>
        <w:tc>
          <w:tcPr>
            <w:tcW w:w="0" w:type="auto"/>
            <w:shd w:val="clear" w:color="auto" w:fill="auto"/>
            <w:vAlign w:val="center"/>
          </w:tcPr>
          <w:p w14:paraId="2E60BEF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36</w:t>
            </w:r>
          </w:p>
        </w:tc>
        <w:tc>
          <w:tcPr>
            <w:tcW w:w="0" w:type="auto"/>
            <w:vAlign w:val="center"/>
          </w:tcPr>
          <w:p w14:paraId="508B6E56"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22</w:t>
            </w:r>
          </w:p>
        </w:tc>
        <w:tc>
          <w:tcPr>
            <w:tcW w:w="0" w:type="auto"/>
            <w:vAlign w:val="center"/>
          </w:tcPr>
          <w:p w14:paraId="1014BA3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39</w:t>
            </w:r>
          </w:p>
        </w:tc>
        <w:tc>
          <w:tcPr>
            <w:tcW w:w="0" w:type="auto"/>
            <w:vMerge w:val="restart"/>
            <w:vAlign w:val="center"/>
          </w:tcPr>
          <w:p w14:paraId="06381205"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3.98</w:t>
            </w:r>
          </w:p>
        </w:tc>
        <w:tc>
          <w:tcPr>
            <w:tcW w:w="0" w:type="auto"/>
            <w:vMerge w:val="restart"/>
            <w:vAlign w:val="center"/>
          </w:tcPr>
          <w:p w14:paraId="3017F4FA"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1.318</w:t>
            </w:r>
          </w:p>
        </w:tc>
        <w:tc>
          <w:tcPr>
            <w:tcW w:w="0" w:type="auto"/>
            <w:vMerge w:val="restart"/>
            <w:tcBorders>
              <w:right w:val="single" w:sz="4" w:space="0" w:color="auto"/>
            </w:tcBorders>
            <w:vAlign w:val="center"/>
          </w:tcPr>
          <w:p w14:paraId="221DE646" w14:textId="77777777" w:rsidR="00DE2B2A" w:rsidRPr="0012475B" w:rsidRDefault="00DE2B2A" w:rsidP="0012475B">
            <w:pPr>
              <w:bidi/>
              <w:spacing w:after="0" w:line="240" w:lineRule="auto"/>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w:t>
            </w:r>
          </w:p>
        </w:tc>
        <w:tc>
          <w:tcPr>
            <w:tcW w:w="0" w:type="auto"/>
            <w:vMerge w:val="restart"/>
            <w:tcBorders>
              <w:right w:val="single" w:sz="4" w:space="0" w:color="auto"/>
            </w:tcBorders>
            <w:vAlign w:val="center"/>
          </w:tcPr>
          <w:p w14:paraId="7017E1E5"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hint="cs"/>
                <w:sz w:val="20"/>
                <w:szCs w:val="20"/>
                <w:rtl/>
                <w:lang w:bidi="ar-EG"/>
              </w:rPr>
              <w:t>عالية</w:t>
            </w:r>
          </w:p>
        </w:tc>
      </w:tr>
      <w:tr w:rsidR="00DE2B2A" w:rsidRPr="00BC50C9" w14:paraId="2CDB0FE5" w14:textId="77777777" w:rsidTr="00111534">
        <w:trPr>
          <w:jc w:val="center"/>
        </w:trPr>
        <w:tc>
          <w:tcPr>
            <w:tcW w:w="0" w:type="auto"/>
            <w:vMerge/>
            <w:tcBorders>
              <w:left w:val="single" w:sz="4" w:space="0" w:color="auto"/>
              <w:right w:val="single" w:sz="4" w:space="0" w:color="auto"/>
            </w:tcBorders>
            <w:vAlign w:val="center"/>
          </w:tcPr>
          <w:p w14:paraId="01F5E40C"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tcPr>
          <w:p w14:paraId="513A64B1"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4835CD51"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sz w:val="20"/>
                <w:szCs w:val="20"/>
                <w:rtl/>
              </w:rPr>
              <w:t>%</w:t>
            </w:r>
          </w:p>
        </w:tc>
        <w:tc>
          <w:tcPr>
            <w:tcW w:w="0" w:type="auto"/>
            <w:shd w:val="clear" w:color="auto" w:fill="auto"/>
            <w:vAlign w:val="center"/>
          </w:tcPr>
          <w:p w14:paraId="5312864C"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49.5</w:t>
            </w:r>
          </w:p>
        </w:tc>
        <w:tc>
          <w:tcPr>
            <w:tcW w:w="0" w:type="auto"/>
            <w:vAlign w:val="center"/>
          </w:tcPr>
          <w:p w14:paraId="08B704B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25.3</w:t>
            </w:r>
          </w:p>
        </w:tc>
        <w:tc>
          <w:tcPr>
            <w:tcW w:w="0" w:type="auto"/>
            <w:shd w:val="clear" w:color="auto" w:fill="auto"/>
            <w:vAlign w:val="center"/>
          </w:tcPr>
          <w:p w14:paraId="703C20D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9.4</w:t>
            </w:r>
          </w:p>
        </w:tc>
        <w:tc>
          <w:tcPr>
            <w:tcW w:w="0" w:type="auto"/>
            <w:vAlign w:val="center"/>
          </w:tcPr>
          <w:p w14:paraId="4DC5B65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5.7</w:t>
            </w:r>
          </w:p>
        </w:tc>
        <w:tc>
          <w:tcPr>
            <w:tcW w:w="0" w:type="auto"/>
            <w:vAlign w:val="center"/>
          </w:tcPr>
          <w:p w14:paraId="34F0415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10.2</w:t>
            </w:r>
          </w:p>
        </w:tc>
        <w:tc>
          <w:tcPr>
            <w:tcW w:w="0" w:type="auto"/>
            <w:vMerge/>
            <w:vAlign w:val="center"/>
          </w:tcPr>
          <w:p w14:paraId="00070FAF"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29F149B9"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28A60AF0"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04FE5A4E"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35C5E460" w14:textId="77777777" w:rsidTr="00111534">
        <w:trPr>
          <w:jc w:val="center"/>
        </w:trPr>
        <w:tc>
          <w:tcPr>
            <w:tcW w:w="0" w:type="auto"/>
            <w:vMerge w:val="restart"/>
            <w:tcBorders>
              <w:left w:val="single" w:sz="4" w:space="0" w:color="auto"/>
              <w:right w:val="single" w:sz="4" w:space="0" w:color="auto"/>
            </w:tcBorders>
            <w:vAlign w:val="center"/>
          </w:tcPr>
          <w:p w14:paraId="6AFD8873"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13</w:t>
            </w:r>
          </w:p>
        </w:tc>
        <w:tc>
          <w:tcPr>
            <w:tcW w:w="0" w:type="auto"/>
            <w:vMerge w:val="restart"/>
            <w:tcBorders>
              <w:left w:val="single" w:sz="4" w:space="0" w:color="auto"/>
              <w:right w:val="single" w:sz="4" w:space="0" w:color="auto"/>
            </w:tcBorders>
            <w:vAlign w:val="center"/>
          </w:tcPr>
          <w:p w14:paraId="1B688FD4" w14:textId="77777777" w:rsidR="00DE2B2A" w:rsidRPr="0012475B" w:rsidRDefault="00DE2B2A" w:rsidP="0012475B">
            <w:pPr>
              <w:autoSpaceDE w:val="0"/>
              <w:autoSpaceDN w:val="0"/>
              <w:bidi/>
              <w:adjustRightInd w:val="0"/>
              <w:spacing w:after="0" w:line="240" w:lineRule="auto"/>
              <w:jc w:val="center"/>
              <w:rPr>
                <w:rFonts w:ascii="Times New Roman" w:hAnsi="Times New Roman" w:cs="Simplified Arabic"/>
                <w:sz w:val="20"/>
                <w:szCs w:val="20"/>
                <w:rtl/>
                <w:lang w:bidi="ar-KW"/>
              </w:rPr>
            </w:pPr>
            <w:r w:rsidRPr="0012475B">
              <w:rPr>
                <w:rFonts w:ascii="Times New Roman" w:eastAsia="Times New Roman" w:hAnsi="Times New Roman" w:cs="Simplified Arabic"/>
                <w:sz w:val="20"/>
                <w:szCs w:val="20"/>
                <w:rtl/>
              </w:rPr>
              <w:t>يُساعد التمويل القائم على المكافآت في بناء قاعدة جماهيرية داعمة للمشاريع</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56268CC"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ك</w:t>
            </w:r>
          </w:p>
        </w:tc>
        <w:tc>
          <w:tcPr>
            <w:tcW w:w="0" w:type="auto"/>
            <w:shd w:val="clear" w:color="auto" w:fill="auto"/>
            <w:vAlign w:val="center"/>
          </w:tcPr>
          <w:p w14:paraId="7B5B171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204</w:t>
            </w:r>
          </w:p>
        </w:tc>
        <w:tc>
          <w:tcPr>
            <w:tcW w:w="0" w:type="auto"/>
            <w:vAlign w:val="center"/>
          </w:tcPr>
          <w:p w14:paraId="709214BD"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105</w:t>
            </w:r>
          </w:p>
        </w:tc>
        <w:tc>
          <w:tcPr>
            <w:tcW w:w="0" w:type="auto"/>
            <w:shd w:val="clear" w:color="auto" w:fill="auto"/>
            <w:vAlign w:val="center"/>
          </w:tcPr>
          <w:p w14:paraId="2F327DD6"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40</w:t>
            </w:r>
          </w:p>
        </w:tc>
        <w:tc>
          <w:tcPr>
            <w:tcW w:w="0" w:type="auto"/>
            <w:vAlign w:val="center"/>
          </w:tcPr>
          <w:p w14:paraId="3F12593A"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18</w:t>
            </w:r>
          </w:p>
        </w:tc>
        <w:tc>
          <w:tcPr>
            <w:tcW w:w="0" w:type="auto"/>
            <w:vAlign w:val="center"/>
          </w:tcPr>
          <w:p w14:paraId="3DF5E1C8"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17</w:t>
            </w:r>
          </w:p>
        </w:tc>
        <w:tc>
          <w:tcPr>
            <w:tcW w:w="0" w:type="auto"/>
            <w:vMerge w:val="restart"/>
            <w:vAlign w:val="center"/>
          </w:tcPr>
          <w:p w14:paraId="1CE39C16" w14:textId="77777777" w:rsidR="00DE2B2A" w:rsidRPr="0012475B" w:rsidRDefault="00DE2B2A" w:rsidP="0012475B">
            <w:pPr>
              <w:bidi/>
              <w:spacing w:after="0" w:line="240" w:lineRule="auto"/>
              <w:jc w:val="center"/>
              <w:rPr>
                <w:rFonts w:ascii="Times New Roman" w:hAnsi="Times New Roman" w:cs="Simplified Arabic"/>
                <w:sz w:val="20"/>
                <w:szCs w:val="20"/>
                <w:lang w:bidi="ar-EG"/>
              </w:rPr>
            </w:pPr>
            <w:r w:rsidRPr="0012475B">
              <w:rPr>
                <w:rFonts w:ascii="Times New Roman" w:hAnsi="Times New Roman" w:cs="Simplified Arabic"/>
                <w:color w:val="000000"/>
                <w:sz w:val="20"/>
                <w:szCs w:val="20"/>
              </w:rPr>
              <w:t>4.20</w:t>
            </w:r>
          </w:p>
        </w:tc>
        <w:tc>
          <w:tcPr>
            <w:tcW w:w="0" w:type="auto"/>
            <w:vMerge w:val="restart"/>
            <w:vAlign w:val="center"/>
          </w:tcPr>
          <w:p w14:paraId="62E7B714" w14:textId="77777777" w:rsidR="00DE2B2A" w:rsidRPr="0012475B" w:rsidRDefault="00DE2B2A" w:rsidP="0012475B">
            <w:pPr>
              <w:bidi/>
              <w:spacing w:after="0" w:line="240" w:lineRule="auto"/>
              <w:jc w:val="center"/>
              <w:rPr>
                <w:rFonts w:ascii="Times New Roman" w:hAnsi="Times New Roman" w:cs="Simplified Arabic"/>
                <w:sz w:val="20"/>
                <w:szCs w:val="20"/>
                <w:lang w:bidi="ar-EG"/>
              </w:rPr>
            </w:pPr>
            <w:r w:rsidRPr="0012475B">
              <w:rPr>
                <w:rFonts w:ascii="Times New Roman" w:hAnsi="Times New Roman" w:cs="Simplified Arabic"/>
                <w:color w:val="000000"/>
                <w:sz w:val="20"/>
                <w:szCs w:val="20"/>
              </w:rPr>
              <w:t>1.088</w:t>
            </w:r>
          </w:p>
        </w:tc>
        <w:tc>
          <w:tcPr>
            <w:tcW w:w="0" w:type="auto"/>
            <w:vMerge w:val="restart"/>
            <w:tcBorders>
              <w:right w:val="single" w:sz="4" w:space="0" w:color="auto"/>
            </w:tcBorders>
            <w:vAlign w:val="center"/>
          </w:tcPr>
          <w:p w14:paraId="6E677838"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r w:rsidRPr="0012475B">
              <w:rPr>
                <w:rFonts w:ascii="Times New Roman" w:hAnsi="Times New Roman" w:cs="Simplified Arabic"/>
                <w:color w:val="000000"/>
                <w:sz w:val="20"/>
                <w:szCs w:val="20"/>
              </w:rPr>
              <w:t>1</w:t>
            </w:r>
          </w:p>
        </w:tc>
        <w:tc>
          <w:tcPr>
            <w:tcW w:w="0" w:type="auto"/>
            <w:vMerge w:val="restart"/>
            <w:tcBorders>
              <w:right w:val="single" w:sz="4" w:space="0" w:color="auto"/>
            </w:tcBorders>
            <w:vAlign w:val="center"/>
          </w:tcPr>
          <w:p w14:paraId="127BE326"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lang w:bidi="ar-EG"/>
              </w:rPr>
              <w:t>عالية جدًا</w:t>
            </w:r>
          </w:p>
        </w:tc>
      </w:tr>
      <w:tr w:rsidR="00DE2B2A" w:rsidRPr="00BC50C9" w14:paraId="667A7E27" w14:textId="77777777" w:rsidTr="00111534">
        <w:trPr>
          <w:jc w:val="center"/>
        </w:trPr>
        <w:tc>
          <w:tcPr>
            <w:tcW w:w="0" w:type="auto"/>
            <w:vMerge/>
            <w:tcBorders>
              <w:left w:val="single" w:sz="4" w:space="0" w:color="auto"/>
              <w:right w:val="single" w:sz="4" w:space="0" w:color="auto"/>
            </w:tcBorders>
            <w:vAlign w:val="center"/>
          </w:tcPr>
          <w:p w14:paraId="03D6F9DD"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vAlign w:val="center"/>
          </w:tcPr>
          <w:p w14:paraId="693C5598"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4AAC9EE8"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w:t>
            </w:r>
          </w:p>
        </w:tc>
        <w:tc>
          <w:tcPr>
            <w:tcW w:w="0" w:type="auto"/>
            <w:shd w:val="clear" w:color="auto" w:fill="auto"/>
            <w:vAlign w:val="center"/>
          </w:tcPr>
          <w:p w14:paraId="5B58F95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53.1</w:t>
            </w:r>
          </w:p>
        </w:tc>
        <w:tc>
          <w:tcPr>
            <w:tcW w:w="0" w:type="auto"/>
            <w:vAlign w:val="center"/>
          </w:tcPr>
          <w:p w14:paraId="7F61FD8E"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27.3</w:t>
            </w:r>
          </w:p>
        </w:tc>
        <w:tc>
          <w:tcPr>
            <w:tcW w:w="0" w:type="auto"/>
            <w:shd w:val="clear" w:color="auto" w:fill="auto"/>
            <w:vAlign w:val="center"/>
          </w:tcPr>
          <w:p w14:paraId="6D491BF5"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10.4</w:t>
            </w:r>
          </w:p>
        </w:tc>
        <w:tc>
          <w:tcPr>
            <w:tcW w:w="0" w:type="auto"/>
            <w:vAlign w:val="center"/>
          </w:tcPr>
          <w:p w14:paraId="28C26B15"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4.7</w:t>
            </w:r>
          </w:p>
        </w:tc>
        <w:tc>
          <w:tcPr>
            <w:tcW w:w="0" w:type="auto"/>
            <w:vAlign w:val="center"/>
          </w:tcPr>
          <w:p w14:paraId="4592DFD1"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4.4</w:t>
            </w:r>
          </w:p>
        </w:tc>
        <w:tc>
          <w:tcPr>
            <w:tcW w:w="0" w:type="auto"/>
            <w:vMerge/>
            <w:vAlign w:val="center"/>
          </w:tcPr>
          <w:p w14:paraId="2EA130F0"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78DF431F"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281EF798"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470D5B75"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6F7AAAE2" w14:textId="77777777" w:rsidTr="00111534">
        <w:trPr>
          <w:jc w:val="center"/>
        </w:trPr>
        <w:tc>
          <w:tcPr>
            <w:tcW w:w="0" w:type="auto"/>
            <w:vMerge w:val="restart"/>
            <w:tcBorders>
              <w:left w:val="single" w:sz="4" w:space="0" w:color="auto"/>
              <w:right w:val="single" w:sz="4" w:space="0" w:color="auto"/>
            </w:tcBorders>
            <w:vAlign w:val="center"/>
          </w:tcPr>
          <w:p w14:paraId="04469888"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14</w:t>
            </w:r>
          </w:p>
        </w:tc>
        <w:tc>
          <w:tcPr>
            <w:tcW w:w="0" w:type="auto"/>
            <w:vMerge w:val="restart"/>
            <w:tcBorders>
              <w:left w:val="single" w:sz="4" w:space="0" w:color="auto"/>
              <w:right w:val="single" w:sz="4" w:space="0" w:color="auto"/>
            </w:tcBorders>
            <w:vAlign w:val="center"/>
          </w:tcPr>
          <w:p w14:paraId="23563E46"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eastAsia="Times New Roman" w:hAnsi="Times New Roman" w:cs="Simplified Arabic"/>
                <w:sz w:val="20"/>
                <w:szCs w:val="20"/>
                <w:rtl/>
              </w:rPr>
              <w:t>تُعد الأنظمة القانونية والتنظيمية من العوامل المؤثرة في نجاح هذا النوع من التمويل</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3E9FC4FE"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ك</w:t>
            </w:r>
          </w:p>
        </w:tc>
        <w:tc>
          <w:tcPr>
            <w:tcW w:w="0" w:type="auto"/>
            <w:shd w:val="clear" w:color="auto" w:fill="auto"/>
            <w:vAlign w:val="center"/>
          </w:tcPr>
          <w:p w14:paraId="12551BA5"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215</w:t>
            </w:r>
          </w:p>
        </w:tc>
        <w:tc>
          <w:tcPr>
            <w:tcW w:w="0" w:type="auto"/>
            <w:vAlign w:val="center"/>
          </w:tcPr>
          <w:p w14:paraId="6612347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68</w:t>
            </w:r>
          </w:p>
        </w:tc>
        <w:tc>
          <w:tcPr>
            <w:tcW w:w="0" w:type="auto"/>
            <w:shd w:val="clear" w:color="auto" w:fill="auto"/>
            <w:vAlign w:val="center"/>
          </w:tcPr>
          <w:p w14:paraId="6373F440"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29</w:t>
            </w:r>
          </w:p>
        </w:tc>
        <w:tc>
          <w:tcPr>
            <w:tcW w:w="0" w:type="auto"/>
            <w:vAlign w:val="center"/>
          </w:tcPr>
          <w:p w14:paraId="726E237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30</w:t>
            </w:r>
          </w:p>
        </w:tc>
        <w:tc>
          <w:tcPr>
            <w:tcW w:w="0" w:type="auto"/>
            <w:vAlign w:val="center"/>
          </w:tcPr>
          <w:p w14:paraId="0653CC3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42</w:t>
            </w:r>
          </w:p>
        </w:tc>
        <w:tc>
          <w:tcPr>
            <w:tcW w:w="0" w:type="auto"/>
            <w:vMerge w:val="restart"/>
            <w:vAlign w:val="center"/>
          </w:tcPr>
          <w:p w14:paraId="57CD8217"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4.00</w:t>
            </w:r>
          </w:p>
        </w:tc>
        <w:tc>
          <w:tcPr>
            <w:tcW w:w="0" w:type="auto"/>
            <w:vMerge w:val="restart"/>
            <w:vAlign w:val="center"/>
          </w:tcPr>
          <w:p w14:paraId="020483BA"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1.392</w:t>
            </w:r>
          </w:p>
        </w:tc>
        <w:tc>
          <w:tcPr>
            <w:tcW w:w="0" w:type="auto"/>
            <w:vMerge w:val="restart"/>
            <w:tcBorders>
              <w:right w:val="single" w:sz="4" w:space="0" w:color="auto"/>
            </w:tcBorders>
            <w:vAlign w:val="center"/>
          </w:tcPr>
          <w:p w14:paraId="023E221C"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r w:rsidRPr="0012475B">
              <w:rPr>
                <w:rFonts w:ascii="Times New Roman" w:hAnsi="Times New Roman" w:cs="Simplified Arabic"/>
                <w:color w:val="000000"/>
                <w:sz w:val="20"/>
                <w:szCs w:val="20"/>
              </w:rPr>
              <w:t>3</w:t>
            </w:r>
          </w:p>
        </w:tc>
        <w:tc>
          <w:tcPr>
            <w:tcW w:w="0" w:type="auto"/>
            <w:vMerge w:val="restart"/>
            <w:tcBorders>
              <w:right w:val="single" w:sz="4" w:space="0" w:color="auto"/>
            </w:tcBorders>
            <w:vAlign w:val="center"/>
          </w:tcPr>
          <w:p w14:paraId="24AF2DBE"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lang w:bidi="ar-EG"/>
              </w:rPr>
              <w:t>عالية</w:t>
            </w:r>
          </w:p>
        </w:tc>
      </w:tr>
      <w:tr w:rsidR="00DE2B2A" w:rsidRPr="00BC50C9" w14:paraId="1C73FA9C" w14:textId="77777777" w:rsidTr="00111534">
        <w:trPr>
          <w:jc w:val="center"/>
        </w:trPr>
        <w:tc>
          <w:tcPr>
            <w:tcW w:w="0" w:type="auto"/>
            <w:vMerge/>
            <w:tcBorders>
              <w:left w:val="single" w:sz="4" w:space="0" w:color="auto"/>
              <w:right w:val="single" w:sz="4" w:space="0" w:color="auto"/>
            </w:tcBorders>
            <w:vAlign w:val="center"/>
          </w:tcPr>
          <w:p w14:paraId="4FFA82A2"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vAlign w:val="center"/>
          </w:tcPr>
          <w:p w14:paraId="5872554B"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353F1349"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w:t>
            </w:r>
          </w:p>
        </w:tc>
        <w:tc>
          <w:tcPr>
            <w:tcW w:w="0" w:type="auto"/>
            <w:shd w:val="clear" w:color="auto" w:fill="auto"/>
            <w:vAlign w:val="center"/>
          </w:tcPr>
          <w:p w14:paraId="4FD3A6B8"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56</w:t>
            </w:r>
          </w:p>
        </w:tc>
        <w:tc>
          <w:tcPr>
            <w:tcW w:w="0" w:type="auto"/>
            <w:vAlign w:val="center"/>
          </w:tcPr>
          <w:p w14:paraId="05AFBA76"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17.7</w:t>
            </w:r>
          </w:p>
        </w:tc>
        <w:tc>
          <w:tcPr>
            <w:tcW w:w="0" w:type="auto"/>
            <w:shd w:val="clear" w:color="auto" w:fill="auto"/>
            <w:vAlign w:val="center"/>
          </w:tcPr>
          <w:p w14:paraId="4190FDA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7.6</w:t>
            </w:r>
          </w:p>
        </w:tc>
        <w:tc>
          <w:tcPr>
            <w:tcW w:w="0" w:type="auto"/>
            <w:vAlign w:val="center"/>
          </w:tcPr>
          <w:p w14:paraId="725F159A"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7.8</w:t>
            </w:r>
          </w:p>
        </w:tc>
        <w:tc>
          <w:tcPr>
            <w:tcW w:w="0" w:type="auto"/>
            <w:vAlign w:val="center"/>
          </w:tcPr>
          <w:p w14:paraId="44CCA869"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10.9</w:t>
            </w:r>
          </w:p>
        </w:tc>
        <w:tc>
          <w:tcPr>
            <w:tcW w:w="0" w:type="auto"/>
            <w:vMerge/>
            <w:vAlign w:val="center"/>
          </w:tcPr>
          <w:p w14:paraId="7A659A89"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26E6642B"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6F9D9CC3"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0C93C833"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3D02C410" w14:textId="77777777" w:rsidTr="00111534">
        <w:trPr>
          <w:jc w:val="center"/>
        </w:trPr>
        <w:tc>
          <w:tcPr>
            <w:tcW w:w="0" w:type="auto"/>
            <w:vMerge w:val="restart"/>
            <w:tcBorders>
              <w:left w:val="single" w:sz="4" w:space="0" w:color="auto"/>
              <w:right w:val="single" w:sz="4" w:space="0" w:color="auto"/>
            </w:tcBorders>
            <w:vAlign w:val="center"/>
          </w:tcPr>
          <w:p w14:paraId="28620159"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15</w:t>
            </w:r>
          </w:p>
        </w:tc>
        <w:tc>
          <w:tcPr>
            <w:tcW w:w="0" w:type="auto"/>
            <w:vMerge w:val="restart"/>
            <w:tcBorders>
              <w:left w:val="single" w:sz="4" w:space="0" w:color="auto"/>
              <w:right w:val="single" w:sz="4" w:space="0" w:color="auto"/>
            </w:tcBorders>
            <w:vAlign w:val="center"/>
          </w:tcPr>
          <w:p w14:paraId="52DA8288" w14:textId="77777777" w:rsidR="00DE2B2A" w:rsidRPr="0012475B" w:rsidRDefault="00DE2B2A" w:rsidP="0012475B">
            <w:pPr>
              <w:autoSpaceDE w:val="0"/>
              <w:autoSpaceDN w:val="0"/>
              <w:bidi/>
              <w:adjustRightInd w:val="0"/>
              <w:spacing w:after="0" w:line="240" w:lineRule="auto"/>
              <w:jc w:val="center"/>
              <w:rPr>
                <w:rFonts w:ascii="Times New Roman" w:hAnsi="Times New Roman" w:cs="Simplified Arabic"/>
                <w:sz w:val="20"/>
                <w:szCs w:val="20"/>
                <w:rtl/>
                <w:lang w:bidi="ar-KW"/>
              </w:rPr>
            </w:pPr>
            <w:r w:rsidRPr="0012475B">
              <w:rPr>
                <w:rFonts w:ascii="Times New Roman" w:eastAsia="Times New Roman" w:hAnsi="Times New Roman" w:cs="Simplified Arabic"/>
                <w:sz w:val="20"/>
                <w:szCs w:val="20"/>
                <w:rtl/>
              </w:rPr>
              <w:t>تَزيد موثوقية المنصة الإلكترونية من قدرة المشاريع على جذب التمويل عبر المكافآت</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3CE7506"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ك</w:t>
            </w:r>
          </w:p>
        </w:tc>
        <w:tc>
          <w:tcPr>
            <w:tcW w:w="0" w:type="auto"/>
            <w:shd w:val="clear" w:color="auto" w:fill="auto"/>
            <w:vAlign w:val="center"/>
          </w:tcPr>
          <w:p w14:paraId="426C23F2"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185</w:t>
            </w:r>
          </w:p>
        </w:tc>
        <w:tc>
          <w:tcPr>
            <w:tcW w:w="0" w:type="auto"/>
            <w:vAlign w:val="center"/>
          </w:tcPr>
          <w:p w14:paraId="49ABE0A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75</w:t>
            </w:r>
          </w:p>
        </w:tc>
        <w:tc>
          <w:tcPr>
            <w:tcW w:w="0" w:type="auto"/>
            <w:shd w:val="clear" w:color="auto" w:fill="auto"/>
            <w:vAlign w:val="center"/>
          </w:tcPr>
          <w:p w14:paraId="61D6CD38"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40</w:t>
            </w:r>
          </w:p>
        </w:tc>
        <w:tc>
          <w:tcPr>
            <w:tcW w:w="0" w:type="auto"/>
            <w:vAlign w:val="center"/>
          </w:tcPr>
          <w:p w14:paraId="088BDA07"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37</w:t>
            </w:r>
          </w:p>
        </w:tc>
        <w:tc>
          <w:tcPr>
            <w:tcW w:w="0" w:type="auto"/>
            <w:vAlign w:val="center"/>
          </w:tcPr>
          <w:p w14:paraId="7837FB9B"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47</w:t>
            </w:r>
          </w:p>
        </w:tc>
        <w:tc>
          <w:tcPr>
            <w:tcW w:w="0" w:type="auto"/>
            <w:vMerge w:val="restart"/>
            <w:vAlign w:val="center"/>
          </w:tcPr>
          <w:p w14:paraId="16BC6AF0"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3.82</w:t>
            </w:r>
          </w:p>
        </w:tc>
        <w:tc>
          <w:tcPr>
            <w:tcW w:w="0" w:type="auto"/>
            <w:vMerge w:val="restart"/>
            <w:vAlign w:val="center"/>
          </w:tcPr>
          <w:p w14:paraId="555F35F4"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1.430</w:t>
            </w:r>
          </w:p>
        </w:tc>
        <w:tc>
          <w:tcPr>
            <w:tcW w:w="0" w:type="auto"/>
            <w:vMerge w:val="restart"/>
            <w:tcBorders>
              <w:right w:val="single" w:sz="4" w:space="0" w:color="auto"/>
            </w:tcBorders>
            <w:vAlign w:val="center"/>
          </w:tcPr>
          <w:p w14:paraId="40A5B765"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r w:rsidRPr="0012475B">
              <w:rPr>
                <w:rFonts w:ascii="Times New Roman" w:hAnsi="Times New Roman" w:cs="Simplified Arabic"/>
                <w:color w:val="000000"/>
                <w:sz w:val="20"/>
                <w:szCs w:val="20"/>
              </w:rPr>
              <w:t>5</w:t>
            </w:r>
          </w:p>
        </w:tc>
        <w:tc>
          <w:tcPr>
            <w:tcW w:w="0" w:type="auto"/>
            <w:vMerge w:val="restart"/>
            <w:tcBorders>
              <w:right w:val="single" w:sz="4" w:space="0" w:color="auto"/>
            </w:tcBorders>
            <w:vAlign w:val="center"/>
          </w:tcPr>
          <w:p w14:paraId="30796ACB"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lang w:bidi="ar-EG"/>
              </w:rPr>
              <w:t>عالية</w:t>
            </w:r>
          </w:p>
        </w:tc>
      </w:tr>
      <w:tr w:rsidR="00DE2B2A" w:rsidRPr="00BC50C9" w14:paraId="003021D3" w14:textId="77777777" w:rsidTr="00111534">
        <w:trPr>
          <w:jc w:val="center"/>
        </w:trPr>
        <w:tc>
          <w:tcPr>
            <w:tcW w:w="0" w:type="auto"/>
            <w:vMerge/>
            <w:tcBorders>
              <w:left w:val="single" w:sz="4" w:space="0" w:color="auto"/>
              <w:right w:val="single" w:sz="4" w:space="0" w:color="auto"/>
            </w:tcBorders>
            <w:vAlign w:val="center"/>
          </w:tcPr>
          <w:p w14:paraId="2E287D3E"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vAlign w:val="center"/>
          </w:tcPr>
          <w:p w14:paraId="62598EC9"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0C79801"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w:t>
            </w:r>
          </w:p>
        </w:tc>
        <w:tc>
          <w:tcPr>
            <w:tcW w:w="0" w:type="auto"/>
            <w:shd w:val="clear" w:color="auto" w:fill="auto"/>
            <w:vAlign w:val="center"/>
          </w:tcPr>
          <w:p w14:paraId="241F0FD1"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48.2</w:t>
            </w:r>
          </w:p>
        </w:tc>
        <w:tc>
          <w:tcPr>
            <w:tcW w:w="0" w:type="auto"/>
            <w:vAlign w:val="center"/>
          </w:tcPr>
          <w:p w14:paraId="56AE9A45"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19.5</w:t>
            </w:r>
          </w:p>
        </w:tc>
        <w:tc>
          <w:tcPr>
            <w:tcW w:w="0" w:type="auto"/>
            <w:shd w:val="clear" w:color="auto" w:fill="auto"/>
            <w:vAlign w:val="center"/>
          </w:tcPr>
          <w:p w14:paraId="03611EA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10.4</w:t>
            </w:r>
          </w:p>
        </w:tc>
        <w:tc>
          <w:tcPr>
            <w:tcW w:w="0" w:type="auto"/>
            <w:vAlign w:val="center"/>
          </w:tcPr>
          <w:p w14:paraId="3FE1175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9.6</w:t>
            </w:r>
          </w:p>
        </w:tc>
        <w:tc>
          <w:tcPr>
            <w:tcW w:w="0" w:type="auto"/>
            <w:vAlign w:val="center"/>
          </w:tcPr>
          <w:p w14:paraId="3948A943"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12.2</w:t>
            </w:r>
          </w:p>
        </w:tc>
        <w:tc>
          <w:tcPr>
            <w:tcW w:w="0" w:type="auto"/>
            <w:vMerge/>
            <w:vAlign w:val="center"/>
          </w:tcPr>
          <w:p w14:paraId="33924E93"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0EDD3213"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56D6C01E"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p>
        </w:tc>
        <w:tc>
          <w:tcPr>
            <w:tcW w:w="0" w:type="auto"/>
            <w:vMerge/>
            <w:tcBorders>
              <w:right w:val="single" w:sz="4" w:space="0" w:color="auto"/>
            </w:tcBorders>
            <w:vAlign w:val="center"/>
          </w:tcPr>
          <w:p w14:paraId="0795281A"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79F3E090" w14:textId="77777777" w:rsidTr="00111534">
        <w:trPr>
          <w:jc w:val="center"/>
        </w:trPr>
        <w:tc>
          <w:tcPr>
            <w:tcW w:w="0" w:type="auto"/>
            <w:vMerge w:val="restart"/>
            <w:tcBorders>
              <w:left w:val="single" w:sz="4" w:space="0" w:color="auto"/>
              <w:right w:val="single" w:sz="4" w:space="0" w:color="auto"/>
            </w:tcBorders>
            <w:vAlign w:val="center"/>
          </w:tcPr>
          <w:p w14:paraId="518E4DDB"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rPr>
              <w:t>16</w:t>
            </w:r>
          </w:p>
        </w:tc>
        <w:tc>
          <w:tcPr>
            <w:tcW w:w="0" w:type="auto"/>
            <w:vMerge w:val="restart"/>
            <w:tcBorders>
              <w:left w:val="single" w:sz="4" w:space="0" w:color="auto"/>
              <w:right w:val="single" w:sz="4" w:space="0" w:color="auto"/>
            </w:tcBorders>
            <w:vAlign w:val="center"/>
          </w:tcPr>
          <w:p w14:paraId="5B4D98DC"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eastAsia="Times New Roman" w:hAnsi="Times New Roman" w:cs="Simplified Arabic"/>
                <w:sz w:val="20"/>
                <w:szCs w:val="20"/>
                <w:rtl/>
              </w:rPr>
              <w:t>يُعتبر التمويل القائم على المكافآت خيارًا مثاليًا للمشاريع التي تركز على المنتجات أو الخدمات الابتكارية</w:t>
            </w:r>
            <w:r w:rsidRPr="0012475B">
              <w:rPr>
                <w:rFonts w:ascii="Times New Roman" w:eastAsia="Times New Roman" w:hAnsi="Times New Roman" w:cs="Simplified Arabic"/>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4AEE1107"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ك</w:t>
            </w:r>
          </w:p>
        </w:tc>
        <w:tc>
          <w:tcPr>
            <w:tcW w:w="0" w:type="auto"/>
            <w:shd w:val="clear" w:color="auto" w:fill="auto"/>
            <w:vAlign w:val="center"/>
          </w:tcPr>
          <w:p w14:paraId="2A1022F8"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140</w:t>
            </w:r>
          </w:p>
        </w:tc>
        <w:tc>
          <w:tcPr>
            <w:tcW w:w="0" w:type="auto"/>
            <w:vAlign w:val="center"/>
          </w:tcPr>
          <w:p w14:paraId="481A4D60"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97</w:t>
            </w:r>
          </w:p>
        </w:tc>
        <w:tc>
          <w:tcPr>
            <w:tcW w:w="0" w:type="auto"/>
            <w:shd w:val="clear" w:color="auto" w:fill="auto"/>
            <w:vAlign w:val="center"/>
          </w:tcPr>
          <w:p w14:paraId="3417281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39</w:t>
            </w:r>
          </w:p>
        </w:tc>
        <w:tc>
          <w:tcPr>
            <w:tcW w:w="0" w:type="auto"/>
            <w:vAlign w:val="center"/>
          </w:tcPr>
          <w:p w14:paraId="776956B0"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w:t>
            </w:r>
          </w:p>
        </w:tc>
        <w:tc>
          <w:tcPr>
            <w:tcW w:w="0" w:type="auto"/>
            <w:vAlign w:val="center"/>
          </w:tcPr>
          <w:p w14:paraId="1F2F8C76"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83</w:t>
            </w:r>
          </w:p>
        </w:tc>
        <w:tc>
          <w:tcPr>
            <w:tcW w:w="0" w:type="auto"/>
            <w:vMerge w:val="restart"/>
            <w:vAlign w:val="center"/>
          </w:tcPr>
          <w:p w14:paraId="7E2C3B58"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3.48</w:t>
            </w:r>
          </w:p>
        </w:tc>
        <w:tc>
          <w:tcPr>
            <w:tcW w:w="0" w:type="auto"/>
            <w:vMerge w:val="restart"/>
            <w:vAlign w:val="center"/>
          </w:tcPr>
          <w:p w14:paraId="01ED8CD1"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1.553</w:t>
            </w:r>
          </w:p>
        </w:tc>
        <w:tc>
          <w:tcPr>
            <w:tcW w:w="0" w:type="auto"/>
            <w:vMerge w:val="restart"/>
            <w:tcBorders>
              <w:right w:val="single" w:sz="4" w:space="0" w:color="auto"/>
            </w:tcBorders>
            <w:vAlign w:val="center"/>
          </w:tcPr>
          <w:p w14:paraId="113FEC7E" w14:textId="77777777" w:rsidR="00DE2B2A" w:rsidRPr="0012475B" w:rsidRDefault="00DE2B2A" w:rsidP="0012475B">
            <w:pPr>
              <w:bidi/>
              <w:spacing w:after="0" w:line="240" w:lineRule="auto"/>
              <w:jc w:val="center"/>
              <w:rPr>
                <w:rFonts w:ascii="Times New Roman" w:hAnsi="Times New Roman" w:cs="Simplified Arabic"/>
                <w:color w:val="000000"/>
                <w:sz w:val="20"/>
                <w:szCs w:val="20"/>
                <w:rtl/>
              </w:rPr>
            </w:pPr>
            <w:r w:rsidRPr="0012475B">
              <w:rPr>
                <w:rFonts w:ascii="Times New Roman" w:hAnsi="Times New Roman" w:cs="Simplified Arabic"/>
                <w:color w:val="000000"/>
                <w:sz w:val="20"/>
                <w:szCs w:val="20"/>
              </w:rPr>
              <w:t>8</w:t>
            </w:r>
          </w:p>
        </w:tc>
        <w:tc>
          <w:tcPr>
            <w:tcW w:w="0" w:type="auto"/>
            <w:vMerge w:val="restart"/>
            <w:tcBorders>
              <w:right w:val="single" w:sz="4" w:space="0" w:color="auto"/>
            </w:tcBorders>
            <w:vAlign w:val="center"/>
          </w:tcPr>
          <w:p w14:paraId="5C606AF3"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hint="cs"/>
                <w:sz w:val="20"/>
                <w:szCs w:val="20"/>
                <w:rtl/>
                <w:lang w:bidi="ar-EG"/>
              </w:rPr>
              <w:t>عالية</w:t>
            </w:r>
          </w:p>
        </w:tc>
      </w:tr>
      <w:tr w:rsidR="00DE2B2A" w:rsidRPr="00BC50C9" w14:paraId="7C3FC6EE" w14:textId="77777777" w:rsidTr="00111534">
        <w:trPr>
          <w:jc w:val="center"/>
        </w:trPr>
        <w:tc>
          <w:tcPr>
            <w:tcW w:w="0" w:type="auto"/>
            <w:vMerge/>
            <w:tcBorders>
              <w:left w:val="single" w:sz="4" w:space="0" w:color="auto"/>
              <w:right w:val="single" w:sz="4" w:space="0" w:color="auto"/>
            </w:tcBorders>
            <w:vAlign w:val="center"/>
          </w:tcPr>
          <w:p w14:paraId="1BFAF0EC"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left w:val="single" w:sz="4" w:space="0" w:color="auto"/>
              <w:right w:val="single" w:sz="4" w:space="0" w:color="auto"/>
            </w:tcBorders>
            <w:vAlign w:val="center"/>
          </w:tcPr>
          <w:p w14:paraId="04F943E9"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69AF01A2" w14:textId="77777777" w:rsidR="00DE2B2A" w:rsidRPr="0012475B" w:rsidRDefault="00DE2B2A" w:rsidP="0012475B">
            <w:pPr>
              <w:bidi/>
              <w:spacing w:after="0" w:line="240" w:lineRule="auto"/>
              <w:jc w:val="center"/>
              <w:rPr>
                <w:rFonts w:ascii="Times New Roman" w:hAnsi="Times New Roman" w:cs="Simplified Arabic"/>
                <w:sz w:val="20"/>
                <w:szCs w:val="20"/>
                <w:rtl/>
              </w:rPr>
            </w:pPr>
            <w:r w:rsidRPr="0012475B">
              <w:rPr>
                <w:rFonts w:ascii="Times New Roman" w:hAnsi="Times New Roman" w:cs="Simplified Arabic"/>
                <w:sz w:val="20"/>
                <w:szCs w:val="20"/>
                <w:rtl/>
              </w:rPr>
              <w:t>%</w:t>
            </w:r>
          </w:p>
        </w:tc>
        <w:tc>
          <w:tcPr>
            <w:tcW w:w="0" w:type="auto"/>
            <w:shd w:val="clear" w:color="auto" w:fill="auto"/>
            <w:vAlign w:val="center"/>
          </w:tcPr>
          <w:p w14:paraId="79DE8255"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36.5</w:t>
            </w:r>
          </w:p>
        </w:tc>
        <w:tc>
          <w:tcPr>
            <w:tcW w:w="0" w:type="auto"/>
            <w:vAlign w:val="center"/>
          </w:tcPr>
          <w:p w14:paraId="683AF8F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25.3</w:t>
            </w:r>
          </w:p>
        </w:tc>
        <w:tc>
          <w:tcPr>
            <w:tcW w:w="0" w:type="auto"/>
            <w:shd w:val="clear" w:color="auto" w:fill="auto"/>
            <w:vAlign w:val="center"/>
          </w:tcPr>
          <w:p w14:paraId="396D8F11"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10.2</w:t>
            </w:r>
          </w:p>
        </w:tc>
        <w:tc>
          <w:tcPr>
            <w:tcW w:w="0" w:type="auto"/>
            <w:vAlign w:val="center"/>
          </w:tcPr>
          <w:p w14:paraId="3B1664A1"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6.5</w:t>
            </w:r>
          </w:p>
        </w:tc>
        <w:tc>
          <w:tcPr>
            <w:tcW w:w="0" w:type="auto"/>
            <w:vAlign w:val="center"/>
          </w:tcPr>
          <w:p w14:paraId="651F4C14" w14:textId="77777777" w:rsidR="00DE2B2A" w:rsidRPr="0012475B" w:rsidRDefault="00DE2B2A" w:rsidP="0012475B">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2475B">
              <w:rPr>
                <w:rFonts w:ascii="Times New Roman" w:hAnsi="Times New Roman" w:cs="Simplified Arabic"/>
                <w:color w:val="000000"/>
                <w:sz w:val="20"/>
                <w:szCs w:val="20"/>
              </w:rPr>
              <w:t>21.6</w:t>
            </w:r>
          </w:p>
        </w:tc>
        <w:tc>
          <w:tcPr>
            <w:tcW w:w="0" w:type="auto"/>
            <w:vMerge/>
            <w:vAlign w:val="center"/>
          </w:tcPr>
          <w:p w14:paraId="7CB68210"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vAlign w:val="center"/>
          </w:tcPr>
          <w:p w14:paraId="00A8A81C" w14:textId="77777777" w:rsidR="00DE2B2A" w:rsidRPr="0012475B" w:rsidRDefault="00DE2B2A" w:rsidP="0012475B">
            <w:pPr>
              <w:bidi/>
              <w:spacing w:after="0" w:line="240" w:lineRule="auto"/>
              <w:jc w:val="center"/>
              <w:rPr>
                <w:rFonts w:ascii="Times New Roman" w:hAnsi="Times New Roman" w:cs="Simplified Arabic"/>
                <w:sz w:val="20"/>
                <w:szCs w:val="20"/>
              </w:rPr>
            </w:pPr>
          </w:p>
        </w:tc>
        <w:tc>
          <w:tcPr>
            <w:tcW w:w="0" w:type="auto"/>
            <w:vMerge/>
            <w:tcBorders>
              <w:right w:val="single" w:sz="4" w:space="0" w:color="auto"/>
            </w:tcBorders>
            <w:vAlign w:val="center"/>
          </w:tcPr>
          <w:p w14:paraId="6145FD3B"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c>
          <w:tcPr>
            <w:tcW w:w="0" w:type="auto"/>
            <w:vMerge/>
            <w:tcBorders>
              <w:right w:val="single" w:sz="4" w:space="0" w:color="auto"/>
            </w:tcBorders>
            <w:vAlign w:val="center"/>
          </w:tcPr>
          <w:p w14:paraId="5510B014" w14:textId="77777777" w:rsidR="00DE2B2A" w:rsidRPr="0012475B" w:rsidRDefault="00DE2B2A" w:rsidP="0012475B">
            <w:pPr>
              <w:bidi/>
              <w:spacing w:after="0" w:line="240" w:lineRule="auto"/>
              <w:jc w:val="center"/>
              <w:rPr>
                <w:rFonts w:ascii="Times New Roman" w:hAnsi="Times New Roman" w:cs="Simplified Arabic"/>
                <w:sz w:val="20"/>
                <w:szCs w:val="20"/>
                <w:rtl/>
              </w:rPr>
            </w:pPr>
          </w:p>
        </w:tc>
      </w:tr>
      <w:tr w:rsidR="00DE2B2A" w:rsidRPr="00BC50C9" w14:paraId="35C1AEC6" w14:textId="77777777" w:rsidTr="00111534">
        <w:trPr>
          <w:jc w:val="center"/>
        </w:trPr>
        <w:tc>
          <w:tcPr>
            <w:tcW w:w="0" w:type="auto"/>
            <w:gridSpan w:val="8"/>
            <w:tcBorders>
              <w:left w:val="single" w:sz="4" w:space="0" w:color="auto"/>
            </w:tcBorders>
            <w:shd w:val="clear" w:color="auto" w:fill="BFBFBF" w:themeFill="background1" w:themeFillShade="BF"/>
            <w:vAlign w:val="center"/>
          </w:tcPr>
          <w:p w14:paraId="35BF863B"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hint="cs"/>
                <w:sz w:val="20"/>
                <w:szCs w:val="20"/>
                <w:rtl/>
              </w:rPr>
              <w:t>المتوسط العام</w:t>
            </w:r>
          </w:p>
        </w:tc>
        <w:tc>
          <w:tcPr>
            <w:tcW w:w="0" w:type="auto"/>
            <w:shd w:val="clear" w:color="auto" w:fill="BFBFBF" w:themeFill="background1" w:themeFillShade="BF"/>
            <w:vAlign w:val="center"/>
          </w:tcPr>
          <w:p w14:paraId="0F8D6352" w14:textId="77777777" w:rsidR="00DE2B2A" w:rsidRPr="0012475B" w:rsidRDefault="00DE2B2A" w:rsidP="0012475B">
            <w:pPr>
              <w:bidi/>
              <w:spacing w:after="0" w:line="240" w:lineRule="auto"/>
              <w:jc w:val="center"/>
              <w:rPr>
                <w:rFonts w:ascii="Times New Roman" w:hAnsi="Times New Roman" w:cs="Simplified Arabic"/>
                <w:sz w:val="20"/>
                <w:szCs w:val="20"/>
              </w:rPr>
            </w:pPr>
            <w:r w:rsidRPr="0012475B">
              <w:rPr>
                <w:rFonts w:ascii="Times New Roman" w:hAnsi="Times New Roman" w:cs="Simplified Arabic"/>
                <w:color w:val="000000"/>
                <w:sz w:val="20"/>
                <w:szCs w:val="20"/>
              </w:rPr>
              <w:t>3.86</w:t>
            </w:r>
          </w:p>
        </w:tc>
        <w:tc>
          <w:tcPr>
            <w:tcW w:w="0" w:type="auto"/>
            <w:shd w:val="clear" w:color="auto" w:fill="BFBFBF" w:themeFill="background1" w:themeFillShade="BF"/>
            <w:vAlign w:val="center"/>
          </w:tcPr>
          <w:p w14:paraId="3E280B1E"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color w:val="000000"/>
                <w:sz w:val="20"/>
                <w:szCs w:val="20"/>
              </w:rPr>
              <w:t>.655</w:t>
            </w:r>
          </w:p>
        </w:tc>
        <w:tc>
          <w:tcPr>
            <w:tcW w:w="0" w:type="auto"/>
            <w:tcBorders>
              <w:right w:val="single" w:sz="4" w:space="0" w:color="auto"/>
            </w:tcBorders>
            <w:shd w:val="clear" w:color="auto" w:fill="BFBFBF" w:themeFill="background1" w:themeFillShade="BF"/>
            <w:vAlign w:val="center"/>
          </w:tcPr>
          <w:p w14:paraId="213F5EEF"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hint="cs"/>
                <w:sz w:val="20"/>
                <w:szCs w:val="20"/>
                <w:rtl/>
                <w:lang w:bidi="ar-EG"/>
              </w:rPr>
              <w:t>--</w:t>
            </w:r>
          </w:p>
        </w:tc>
        <w:tc>
          <w:tcPr>
            <w:tcW w:w="0" w:type="auto"/>
            <w:tcBorders>
              <w:right w:val="single" w:sz="4" w:space="0" w:color="auto"/>
            </w:tcBorders>
            <w:shd w:val="clear" w:color="auto" w:fill="BFBFBF" w:themeFill="background1" w:themeFillShade="BF"/>
            <w:vAlign w:val="center"/>
          </w:tcPr>
          <w:p w14:paraId="1729B2EB" w14:textId="77777777" w:rsidR="00DE2B2A" w:rsidRPr="0012475B" w:rsidRDefault="00DE2B2A" w:rsidP="0012475B">
            <w:pPr>
              <w:bidi/>
              <w:spacing w:after="0" w:line="240" w:lineRule="auto"/>
              <w:jc w:val="center"/>
              <w:rPr>
                <w:rFonts w:ascii="Times New Roman" w:hAnsi="Times New Roman" w:cs="Simplified Arabic"/>
                <w:sz w:val="20"/>
                <w:szCs w:val="20"/>
                <w:rtl/>
                <w:lang w:bidi="ar-EG"/>
              </w:rPr>
            </w:pPr>
            <w:r w:rsidRPr="0012475B">
              <w:rPr>
                <w:rFonts w:ascii="Times New Roman" w:hAnsi="Times New Roman" w:cs="Simplified Arabic" w:hint="cs"/>
                <w:sz w:val="20"/>
                <w:szCs w:val="20"/>
                <w:rtl/>
                <w:lang w:bidi="ar-EG"/>
              </w:rPr>
              <w:t>عالية</w:t>
            </w:r>
          </w:p>
        </w:tc>
      </w:tr>
    </w:tbl>
    <w:p w14:paraId="625AADC1" w14:textId="77777777" w:rsidR="00DE2B2A" w:rsidRPr="00BC50C9" w:rsidRDefault="00DE2B2A" w:rsidP="00111534">
      <w:pPr>
        <w:pStyle w:val="00000"/>
        <w:rPr>
          <w:rtl/>
        </w:rPr>
      </w:pPr>
      <w:r w:rsidRPr="00BC50C9">
        <w:rPr>
          <w:rtl/>
        </w:rPr>
        <w:lastRenderedPageBreak/>
        <w:t>يتبين من الجدول</w:t>
      </w:r>
      <w:r w:rsidRPr="00BC50C9">
        <w:rPr>
          <w:rFonts w:hint="cs"/>
          <w:rtl/>
        </w:rPr>
        <w:t xml:space="preserve"> السابق</w:t>
      </w:r>
      <w:r w:rsidRPr="00BC50C9">
        <w:rPr>
          <w:rtl/>
        </w:rPr>
        <w:t>: أن</w:t>
      </w:r>
      <w:r w:rsidRPr="00BC50C9">
        <w:rPr>
          <w:rFonts w:hint="cs"/>
          <w:rtl/>
        </w:rPr>
        <w:t xml:space="preserve"> المتوسط العام</w:t>
      </w:r>
      <w:r w:rsidRPr="00BC50C9">
        <w:rPr>
          <w:rtl/>
        </w:rPr>
        <w:t xml:space="preserve"> </w:t>
      </w:r>
      <w:r w:rsidRPr="00BC50C9">
        <w:rPr>
          <w:rFonts w:hint="cs"/>
          <w:rtl/>
        </w:rPr>
        <w:t xml:space="preserve">للبعد الثاني: </w:t>
      </w:r>
      <w:r w:rsidRPr="00BC50C9">
        <w:rPr>
          <w:rtl/>
        </w:rPr>
        <w:t>التمويل القائم على المكافآت</w:t>
      </w:r>
      <w:r w:rsidRPr="00BC50C9">
        <w:rPr>
          <w:rFonts w:hint="cs"/>
          <w:rtl/>
        </w:rPr>
        <w:t xml:space="preserve"> جاء</w:t>
      </w:r>
      <w:r w:rsidRPr="00BC50C9">
        <w:rPr>
          <w:rtl/>
        </w:rPr>
        <w:t xml:space="preserve"> بدرجة استجابة (</w:t>
      </w:r>
      <w:r w:rsidRPr="00BC50C9">
        <w:rPr>
          <w:rFonts w:hint="cs"/>
          <w:rtl/>
        </w:rPr>
        <w:t>عالية</w:t>
      </w:r>
      <w:r w:rsidRPr="00BC50C9">
        <w:rPr>
          <w:rtl/>
        </w:rPr>
        <w:t xml:space="preserve">)، وبمتوسط حسابي قدرة </w:t>
      </w:r>
      <w:r w:rsidRPr="00BC50C9">
        <w:rPr>
          <w:rFonts w:hint="cs"/>
          <w:rtl/>
        </w:rPr>
        <w:t>(</w:t>
      </w:r>
      <w:r w:rsidRPr="00BC50C9">
        <w:rPr>
          <w:color w:val="000000"/>
        </w:rPr>
        <w:t>3.86</w:t>
      </w:r>
      <w:r w:rsidRPr="00BC50C9">
        <w:rPr>
          <w:rFonts w:hint="cs"/>
          <w:rtl/>
        </w:rPr>
        <w:t>)</w:t>
      </w:r>
      <w:r w:rsidRPr="00BC50C9">
        <w:rPr>
          <w:rtl/>
        </w:rPr>
        <w:t xml:space="preserve">، وانحراف معياري </w:t>
      </w:r>
      <w:r w:rsidRPr="00BC50C9">
        <w:rPr>
          <w:rFonts w:hint="cs"/>
          <w:rtl/>
        </w:rPr>
        <w:t>(</w:t>
      </w:r>
      <w:r w:rsidRPr="00BC50C9">
        <w:rPr>
          <w:color w:val="000000"/>
        </w:rPr>
        <w:t>.655</w:t>
      </w:r>
      <w:r w:rsidRPr="00BC50C9">
        <w:rPr>
          <w:rFonts w:hint="cs"/>
          <w:rtl/>
        </w:rPr>
        <w:t>)</w:t>
      </w:r>
      <w:r w:rsidRPr="00BC50C9">
        <w:rPr>
          <w:rtl/>
        </w:rPr>
        <w:t>،</w:t>
      </w:r>
      <w:r w:rsidRPr="00BC50C9">
        <w:rPr>
          <w:rFonts w:hint="cs"/>
          <w:rtl/>
        </w:rPr>
        <w:t xml:space="preserve"> </w:t>
      </w:r>
      <w:r w:rsidRPr="00BC50C9">
        <w:rPr>
          <w:rtl/>
        </w:rPr>
        <w:t xml:space="preserve">وجاء في الترتيب الأول </w:t>
      </w:r>
      <w:r w:rsidRPr="00BC50C9">
        <w:rPr>
          <w:rFonts w:hint="cs"/>
          <w:rtl/>
        </w:rPr>
        <w:t>العبارة</w:t>
      </w:r>
      <w:r w:rsidRPr="00BC50C9">
        <w:rPr>
          <w:rtl/>
        </w:rPr>
        <w:t xml:space="preserve"> رقم (</w:t>
      </w:r>
      <w:r w:rsidRPr="00BC50C9">
        <w:rPr>
          <w:rFonts w:hint="cs"/>
          <w:rtl/>
        </w:rPr>
        <w:t>13</w:t>
      </w:r>
      <w:r w:rsidRPr="00BC50C9">
        <w:rPr>
          <w:rtl/>
        </w:rPr>
        <w:t>) بمتوسط حسابي (</w:t>
      </w:r>
      <w:r w:rsidRPr="00BC50C9">
        <w:rPr>
          <w:color w:val="000000"/>
        </w:rPr>
        <w:t>4.20</w:t>
      </w:r>
      <w:r w:rsidRPr="00BC50C9">
        <w:rPr>
          <w:rtl/>
        </w:rPr>
        <w:t>)، وانحراف معياري (</w:t>
      </w:r>
      <w:r w:rsidRPr="00BC50C9">
        <w:rPr>
          <w:color w:val="000000"/>
        </w:rPr>
        <w:t>1.088</w:t>
      </w:r>
      <w:r w:rsidRPr="00BC50C9">
        <w:rPr>
          <w:rtl/>
        </w:rPr>
        <w:t>) وبدرجة استجابة (</w:t>
      </w:r>
      <w:r w:rsidRPr="00BC50C9">
        <w:rPr>
          <w:rFonts w:hint="cs"/>
          <w:rtl/>
        </w:rPr>
        <w:t>عالية جدًا</w:t>
      </w:r>
      <w:r w:rsidRPr="00BC50C9">
        <w:rPr>
          <w:rtl/>
        </w:rPr>
        <w:t xml:space="preserve">)، وجاء في الترتيب الثاني </w:t>
      </w:r>
      <w:r w:rsidRPr="00BC50C9">
        <w:rPr>
          <w:rFonts w:hint="cs"/>
          <w:rtl/>
        </w:rPr>
        <w:t>العبارة</w:t>
      </w:r>
      <w:r w:rsidRPr="00BC50C9">
        <w:rPr>
          <w:rtl/>
        </w:rPr>
        <w:t xml:space="preserve"> رقم (</w:t>
      </w:r>
      <w:r w:rsidRPr="00BC50C9">
        <w:rPr>
          <w:rFonts w:hint="cs"/>
          <w:rtl/>
        </w:rPr>
        <w:t>11</w:t>
      </w:r>
      <w:r w:rsidRPr="00BC50C9">
        <w:rPr>
          <w:rtl/>
        </w:rPr>
        <w:t>) بمتوسط حسابي (</w:t>
      </w:r>
      <w:r w:rsidRPr="00BC50C9">
        <w:rPr>
          <w:color w:val="000000"/>
        </w:rPr>
        <w:t>4.05</w:t>
      </w:r>
      <w:r w:rsidRPr="00BC50C9">
        <w:rPr>
          <w:rtl/>
        </w:rPr>
        <w:t>)، وانحراف معياري (</w:t>
      </w:r>
      <w:r w:rsidRPr="00BC50C9">
        <w:rPr>
          <w:color w:val="000000"/>
        </w:rPr>
        <w:t>1.240</w:t>
      </w:r>
      <w:r w:rsidRPr="00BC50C9">
        <w:rPr>
          <w:rtl/>
        </w:rPr>
        <w:t>) وبدرجة استجابة (</w:t>
      </w:r>
      <w:r w:rsidRPr="00BC50C9">
        <w:rPr>
          <w:rFonts w:hint="cs"/>
          <w:rtl/>
        </w:rPr>
        <w:t>عالية</w:t>
      </w:r>
      <w:r w:rsidRPr="00BC50C9">
        <w:rPr>
          <w:rtl/>
        </w:rPr>
        <w:t xml:space="preserve">)، ويليه في الترتيب الأخير </w:t>
      </w:r>
      <w:r w:rsidRPr="00BC50C9">
        <w:rPr>
          <w:rFonts w:hint="cs"/>
          <w:rtl/>
        </w:rPr>
        <w:t>العبارة</w:t>
      </w:r>
      <w:r w:rsidRPr="00BC50C9">
        <w:rPr>
          <w:rtl/>
        </w:rPr>
        <w:t xml:space="preserve"> رقم (</w:t>
      </w:r>
      <w:r w:rsidRPr="00BC50C9">
        <w:rPr>
          <w:rFonts w:hint="cs"/>
          <w:rtl/>
        </w:rPr>
        <w:t>16</w:t>
      </w:r>
      <w:r w:rsidRPr="00BC50C9">
        <w:rPr>
          <w:rtl/>
        </w:rPr>
        <w:t>) بمتوسط حسابي (</w:t>
      </w:r>
      <w:r w:rsidRPr="00BC50C9">
        <w:rPr>
          <w:color w:val="000000"/>
        </w:rPr>
        <w:t>3.48</w:t>
      </w:r>
      <w:r w:rsidRPr="00BC50C9">
        <w:rPr>
          <w:rtl/>
        </w:rPr>
        <w:t>)، وانحراف معياري (</w:t>
      </w:r>
      <w:r w:rsidRPr="00BC50C9">
        <w:rPr>
          <w:color w:val="000000"/>
        </w:rPr>
        <w:t>1.553</w:t>
      </w:r>
      <w:r w:rsidRPr="00BC50C9">
        <w:rPr>
          <w:rtl/>
        </w:rPr>
        <w:t>) وبدرجة استجابة (</w:t>
      </w:r>
      <w:r w:rsidRPr="00BC50C9">
        <w:rPr>
          <w:rFonts w:hint="cs"/>
          <w:rtl/>
        </w:rPr>
        <w:t>عالية</w:t>
      </w:r>
      <w:r w:rsidRPr="00BC50C9">
        <w:rPr>
          <w:rtl/>
        </w:rPr>
        <w:t xml:space="preserve">)، وجاءت باقي </w:t>
      </w:r>
      <w:r w:rsidRPr="00BC50C9">
        <w:rPr>
          <w:rFonts w:hint="cs"/>
          <w:rtl/>
        </w:rPr>
        <w:t xml:space="preserve">العبارات </w:t>
      </w:r>
      <w:r w:rsidRPr="00BC50C9">
        <w:rPr>
          <w:rtl/>
        </w:rPr>
        <w:t>بدرجة استجابة (</w:t>
      </w:r>
      <w:r w:rsidRPr="00BC50C9">
        <w:rPr>
          <w:rFonts w:hint="cs"/>
          <w:rtl/>
        </w:rPr>
        <w:t>عالية</w:t>
      </w:r>
      <w:r w:rsidRPr="00BC50C9">
        <w:rPr>
          <w:rtl/>
        </w:rPr>
        <w:t>)</w:t>
      </w:r>
      <w:r w:rsidRPr="00BC50C9">
        <w:rPr>
          <w:rFonts w:hint="cs"/>
          <w:rtl/>
        </w:rPr>
        <w:t xml:space="preserve">، </w:t>
      </w:r>
      <w:r w:rsidRPr="00BC50C9">
        <w:rPr>
          <w:rtl/>
        </w:rPr>
        <w:t xml:space="preserve">بينما تراوحت الانحرافات المعيارية لعبارات </w:t>
      </w:r>
      <w:r w:rsidRPr="00BC50C9">
        <w:rPr>
          <w:rFonts w:hint="cs"/>
          <w:rtl/>
        </w:rPr>
        <w:t>البعد الثاني</w:t>
      </w:r>
      <w:r w:rsidRPr="00BC50C9">
        <w:rPr>
          <w:rtl/>
        </w:rPr>
        <w:t xml:space="preserve"> بين </w:t>
      </w:r>
      <w:r w:rsidRPr="00BC50C9">
        <w:rPr>
          <w:rFonts w:hint="cs"/>
          <w:rtl/>
        </w:rPr>
        <w:t>(</w:t>
      </w:r>
      <w:r w:rsidRPr="00BC50C9">
        <w:rPr>
          <w:color w:val="000000"/>
        </w:rPr>
        <w:t>1.088</w:t>
      </w:r>
      <w:r w:rsidRPr="00BC50C9">
        <w:rPr>
          <w:rFonts w:hint="cs"/>
          <w:rtl/>
        </w:rPr>
        <w:t>-</w:t>
      </w:r>
      <w:r w:rsidRPr="00BC50C9">
        <w:rPr>
          <w:color w:val="000000"/>
        </w:rPr>
        <w:t>1.553</w:t>
      </w:r>
      <w:r w:rsidRPr="00BC50C9">
        <w:rPr>
          <w:rFonts w:hint="cs"/>
          <w:rtl/>
        </w:rPr>
        <w:t xml:space="preserve">) </w:t>
      </w:r>
      <w:r w:rsidRPr="00BC50C9">
        <w:rPr>
          <w:rtl/>
        </w:rPr>
        <w:t xml:space="preserve">وهي قيم </w:t>
      </w:r>
      <w:r w:rsidRPr="00BC50C9">
        <w:rPr>
          <w:rFonts w:hint="cs"/>
          <w:rtl/>
        </w:rPr>
        <w:t>منخفضة</w:t>
      </w:r>
      <w:r w:rsidRPr="00BC50C9">
        <w:rPr>
          <w:rtl/>
        </w:rPr>
        <w:t xml:space="preserve"> مما يدل على </w:t>
      </w:r>
      <w:r w:rsidRPr="00BC50C9">
        <w:rPr>
          <w:rFonts w:hint="cs"/>
          <w:rtl/>
        </w:rPr>
        <w:t>تجانس</w:t>
      </w:r>
      <w:r w:rsidRPr="00BC50C9">
        <w:rPr>
          <w:rtl/>
        </w:rPr>
        <w:t xml:space="preserve"> آراء أفراد عينة الدراسة نحو تلك العبارات. </w:t>
      </w:r>
    </w:p>
    <w:p w14:paraId="4BC8BE6C" w14:textId="77777777" w:rsidR="00DE2B2A" w:rsidRPr="00BC50C9" w:rsidRDefault="00DE2B2A" w:rsidP="00111534">
      <w:pPr>
        <w:pStyle w:val="00000"/>
        <w:rPr>
          <w:rtl/>
        </w:rPr>
      </w:pPr>
      <w:r w:rsidRPr="00BC50C9">
        <w:rPr>
          <w:rFonts w:hint="cs"/>
          <w:rtl/>
        </w:rPr>
        <w:t xml:space="preserve">ويمكن تفسير حصول المتوسط العام للبعد الثاني على درجة استجابة (عالية) إلى إن </w:t>
      </w:r>
      <w:r w:rsidRPr="00BC50C9">
        <w:rPr>
          <w:rtl/>
        </w:rPr>
        <w:t>التمويل القائم على المكافآت يُعتبر نموذجًا محفزًا لجذب الممولين للمشاريع الريادية</w:t>
      </w:r>
      <w:r w:rsidRPr="00BC50C9">
        <w:rPr>
          <w:rFonts w:hint="cs"/>
          <w:rtl/>
        </w:rPr>
        <w:t>؛</w:t>
      </w:r>
      <w:r w:rsidRPr="00BC50C9">
        <w:rPr>
          <w:rtl/>
        </w:rPr>
        <w:t xml:space="preserve"> حيث يوفر وسيلة مباشرة للمشاريع للحصول على الدعم المالي من الأفراد المهتمين بأفكار جديدة ومبتكرة</w:t>
      </w:r>
      <w:r w:rsidRPr="00BC50C9">
        <w:rPr>
          <w:rFonts w:hint="cs"/>
          <w:rtl/>
        </w:rPr>
        <w:t>،</w:t>
      </w:r>
      <w:r w:rsidRPr="00BC50C9">
        <w:rPr>
          <w:rtl/>
        </w:rPr>
        <w:t xml:space="preserve"> </w:t>
      </w:r>
      <w:r w:rsidRPr="00BC50C9">
        <w:rPr>
          <w:rFonts w:hint="cs"/>
          <w:rtl/>
        </w:rPr>
        <w:t xml:space="preserve">ومن الجدير بالذكر أن </w:t>
      </w:r>
      <w:r w:rsidRPr="00BC50C9">
        <w:rPr>
          <w:rtl/>
        </w:rPr>
        <w:t xml:space="preserve">البرامج الترويجية والتسويقية </w:t>
      </w:r>
      <w:r w:rsidRPr="00BC50C9">
        <w:rPr>
          <w:rFonts w:hint="cs"/>
          <w:rtl/>
        </w:rPr>
        <w:t xml:space="preserve">تزيد </w:t>
      </w:r>
      <w:r w:rsidRPr="00BC50C9">
        <w:rPr>
          <w:rtl/>
        </w:rPr>
        <w:t>من فعالية هذا النوع من التمويل</w:t>
      </w:r>
      <w:r w:rsidRPr="00BC50C9">
        <w:rPr>
          <w:rFonts w:hint="cs"/>
          <w:rtl/>
        </w:rPr>
        <w:t>؛</w:t>
      </w:r>
      <w:r w:rsidRPr="00BC50C9">
        <w:rPr>
          <w:rtl/>
        </w:rPr>
        <w:t xml:space="preserve"> حيث تساعد في جذب الانتباه إلى المشروع وتوضيح قيمة المكافآت المقدمة</w:t>
      </w:r>
      <w:r w:rsidRPr="00BC50C9">
        <w:rPr>
          <w:rFonts w:hint="cs"/>
          <w:rtl/>
        </w:rPr>
        <w:t xml:space="preserve">، ويتم ذلك من خلال </w:t>
      </w:r>
      <w:r w:rsidRPr="00BC50C9">
        <w:rPr>
          <w:rtl/>
        </w:rPr>
        <w:t>وضع استراتيجيات واضحة لاختيار المكافآت المناسبة، مما يضمن تلبية توقعات الممولين وتحفيزهم على المشاركة</w:t>
      </w:r>
      <w:r w:rsidRPr="00BC50C9">
        <w:rPr>
          <w:rFonts w:hint="cs"/>
          <w:rtl/>
        </w:rPr>
        <w:t>.</w:t>
      </w:r>
    </w:p>
    <w:p w14:paraId="6F3E11FE" w14:textId="77777777" w:rsidR="00DE2B2A" w:rsidRPr="00BC50C9" w:rsidRDefault="00DE2B2A" w:rsidP="00111534">
      <w:pPr>
        <w:pStyle w:val="00000"/>
      </w:pPr>
      <w:r w:rsidRPr="00BC50C9">
        <w:rPr>
          <w:rFonts w:hint="cs"/>
          <w:rtl/>
        </w:rPr>
        <w:t>ويمكن تفسير حصول الفقرة رقم (13) على الترتيب الأول بدرجة استجابة (عالية جدًا) إلى إن التمويل</w:t>
      </w:r>
      <w:r w:rsidRPr="00BC50C9">
        <w:rPr>
          <w:rtl/>
        </w:rPr>
        <w:t xml:space="preserve"> القائم على المكافآت يساهم في بناء قاعدة جماهيرية داعمة للمشاريع من خلال تقديم حوافز للممولين</w:t>
      </w:r>
      <w:r w:rsidRPr="00BC50C9">
        <w:rPr>
          <w:rFonts w:hint="cs"/>
          <w:rtl/>
        </w:rPr>
        <w:t>، ف</w:t>
      </w:r>
      <w:r w:rsidRPr="00BC50C9">
        <w:rPr>
          <w:rtl/>
        </w:rPr>
        <w:t>عندما يشارك الأفراد في دعم مشروع معين، يحصلون على مكافآت تتراوح بين منتجات أو خدمات خاصة بالمشروع</w:t>
      </w:r>
      <w:r w:rsidRPr="00BC50C9">
        <w:rPr>
          <w:rFonts w:hint="cs"/>
          <w:rtl/>
        </w:rPr>
        <w:t xml:space="preserve">، وهو ما يوفر لهم </w:t>
      </w:r>
      <w:r w:rsidRPr="00BC50C9">
        <w:rPr>
          <w:rtl/>
        </w:rPr>
        <w:t>تجارب فريدة</w:t>
      </w:r>
      <w:r w:rsidRPr="00BC50C9">
        <w:rPr>
          <w:rFonts w:hint="cs"/>
          <w:rtl/>
        </w:rPr>
        <w:t>، ف</w:t>
      </w:r>
      <w:r w:rsidRPr="00BC50C9">
        <w:rPr>
          <w:rtl/>
        </w:rPr>
        <w:t xml:space="preserve">هذا النوع من التمويل لا يعزز فقط من فرص جمع الأموال، بل يُشجع أيضًا على تفاعل أعمق بين المشروع والممولين، حيث يشعر الداعمون بأنهم جزء </w:t>
      </w:r>
      <w:r w:rsidRPr="00BC50C9">
        <w:rPr>
          <w:rFonts w:hint="cs"/>
          <w:rtl/>
        </w:rPr>
        <w:t xml:space="preserve">لا يتجزأ </w:t>
      </w:r>
      <w:r w:rsidRPr="00BC50C9">
        <w:rPr>
          <w:rtl/>
        </w:rPr>
        <w:t>من رحلة المشروع ويساهمون في نجاحه</w:t>
      </w:r>
      <w:r w:rsidRPr="00BC50C9">
        <w:rPr>
          <w:rFonts w:hint="cs"/>
          <w:rtl/>
        </w:rPr>
        <w:t>.</w:t>
      </w:r>
    </w:p>
    <w:p w14:paraId="3B453888" w14:textId="77777777" w:rsidR="00DE2B2A" w:rsidRPr="00BC50C9" w:rsidRDefault="00DE2B2A" w:rsidP="00111534">
      <w:pPr>
        <w:pStyle w:val="00000"/>
        <w:rPr>
          <w:rtl/>
        </w:rPr>
      </w:pPr>
      <w:r w:rsidRPr="00BC50C9">
        <w:rPr>
          <w:rFonts w:hint="cs"/>
          <w:rtl/>
        </w:rPr>
        <w:t xml:space="preserve">ويمكن تفسير حصول الفقرة رقم (16) على الترتيب الأخير بدرجة استجابة (عالية) إلى إن </w:t>
      </w:r>
      <w:r w:rsidRPr="00BC50C9">
        <w:rPr>
          <w:rtl/>
        </w:rPr>
        <w:t>التمويل القائم على المكافآت يُعتبر خيارًا مثاليًا للمشاريع التي تركز على المنتجات أو الخدمات الابتكارية</w:t>
      </w:r>
      <w:r w:rsidRPr="00BC50C9">
        <w:rPr>
          <w:rFonts w:hint="cs"/>
          <w:rtl/>
        </w:rPr>
        <w:t xml:space="preserve">؛ </w:t>
      </w:r>
      <w:r w:rsidRPr="00BC50C9">
        <w:rPr>
          <w:rtl/>
        </w:rPr>
        <w:t>حيث يوفر وسيلة فعالة لجذب الممولين الذين يتطلعون إلى دعم أفكار جديدة ومبتكر</w:t>
      </w:r>
      <w:r w:rsidRPr="00BC50C9">
        <w:rPr>
          <w:rFonts w:hint="cs"/>
          <w:rtl/>
        </w:rPr>
        <w:t>ة.</w:t>
      </w:r>
    </w:p>
    <w:p w14:paraId="69968B9A" w14:textId="77777777" w:rsidR="00DE2B2A" w:rsidRPr="00BC50C9" w:rsidRDefault="00DE2B2A" w:rsidP="00111534">
      <w:pPr>
        <w:pStyle w:val="00000"/>
        <w:rPr>
          <w:rtl/>
        </w:rPr>
      </w:pPr>
      <w:r w:rsidRPr="00BC50C9">
        <w:rPr>
          <w:rFonts w:hint="cs"/>
          <w:rtl/>
        </w:rPr>
        <w:t xml:space="preserve">ويتفق هذا جزئيًا مع ما توصلت إليه </w:t>
      </w:r>
      <w:r w:rsidRPr="00BC50C9">
        <w:rPr>
          <w:rtl/>
        </w:rPr>
        <w:t xml:space="preserve">دراسة </w:t>
      </w:r>
      <w:proofErr w:type="spellStart"/>
      <w:r w:rsidRPr="00BC50C9">
        <w:rPr>
          <w:rtl/>
        </w:rPr>
        <w:t>بلعور</w:t>
      </w:r>
      <w:proofErr w:type="spellEnd"/>
      <w:r w:rsidRPr="00BC50C9">
        <w:rPr>
          <w:rtl/>
        </w:rPr>
        <w:t xml:space="preserve"> وبن حمدون (2024) إسهام منصات التمويل الجماعي الإسلامي في تقليل الفجوة التمويلية التي تواجه مشاريع ريادة الأعمال الاجتماعية في الدول العربية من خلال توفير آليات تمويل تتماشى مع القيم والمعتقدات الإسلامية</w:t>
      </w:r>
      <w:r w:rsidRPr="00BC50C9">
        <w:rPr>
          <w:rFonts w:hint="cs"/>
          <w:rtl/>
        </w:rPr>
        <w:t>.</w:t>
      </w:r>
    </w:p>
    <w:p w14:paraId="243BEE67" w14:textId="77777777" w:rsidR="00111534" w:rsidRDefault="00111534" w:rsidP="00BC50C9">
      <w:pPr>
        <w:bidi/>
        <w:spacing w:before="120" w:after="120" w:line="240" w:lineRule="auto"/>
        <w:rPr>
          <w:rFonts w:ascii="Times New Roman" w:hAnsi="Times New Roman" w:cs="Simplified Arabic"/>
          <w:b/>
          <w:bCs/>
          <w:sz w:val="24"/>
          <w:szCs w:val="28"/>
          <w:rtl/>
          <w:lang w:bidi="ar-EG"/>
        </w:rPr>
      </w:pPr>
    </w:p>
    <w:p w14:paraId="68F76FAB" w14:textId="77777777" w:rsidR="00111534" w:rsidRDefault="00111534" w:rsidP="00111534">
      <w:pPr>
        <w:bidi/>
        <w:spacing w:before="120" w:after="120" w:line="240" w:lineRule="auto"/>
        <w:rPr>
          <w:rFonts w:ascii="Times New Roman" w:hAnsi="Times New Roman" w:cs="Simplified Arabic"/>
          <w:b/>
          <w:bCs/>
          <w:sz w:val="24"/>
          <w:szCs w:val="28"/>
          <w:rtl/>
          <w:lang w:bidi="ar-EG"/>
        </w:rPr>
      </w:pPr>
    </w:p>
    <w:p w14:paraId="16FBC3CD" w14:textId="77777777" w:rsidR="00111534" w:rsidRDefault="00111534" w:rsidP="00111534">
      <w:pPr>
        <w:bidi/>
        <w:spacing w:before="120" w:after="120" w:line="240" w:lineRule="auto"/>
        <w:rPr>
          <w:rFonts w:ascii="Times New Roman" w:hAnsi="Times New Roman" w:cs="Simplified Arabic"/>
          <w:b/>
          <w:bCs/>
          <w:sz w:val="24"/>
          <w:szCs w:val="28"/>
          <w:rtl/>
          <w:lang w:bidi="ar-EG"/>
        </w:rPr>
      </w:pPr>
    </w:p>
    <w:p w14:paraId="4F7676C0" w14:textId="7783D127" w:rsidR="00DE2B2A" w:rsidRPr="00111534" w:rsidRDefault="00DE2B2A">
      <w:pPr>
        <w:pStyle w:val="a3"/>
        <w:numPr>
          <w:ilvl w:val="0"/>
          <w:numId w:val="60"/>
        </w:numPr>
        <w:bidi/>
        <w:spacing w:before="120" w:after="120" w:line="240" w:lineRule="auto"/>
        <w:rPr>
          <w:rFonts w:ascii="Times New Roman" w:hAnsi="Times New Roman" w:cs="Simplified Arabic"/>
          <w:b/>
          <w:bCs/>
          <w:sz w:val="24"/>
          <w:szCs w:val="28"/>
          <w:rtl/>
          <w:lang w:bidi="ar-EG"/>
        </w:rPr>
      </w:pPr>
      <w:r w:rsidRPr="00111534">
        <w:rPr>
          <w:rFonts w:ascii="Times New Roman" w:hAnsi="Times New Roman" w:cs="Simplified Arabic" w:hint="cs"/>
          <w:b/>
          <w:bCs/>
          <w:sz w:val="24"/>
          <w:szCs w:val="28"/>
          <w:rtl/>
          <w:lang w:bidi="ar-EG"/>
        </w:rPr>
        <w:lastRenderedPageBreak/>
        <w:t>البعد الثالث: التمويل التشاركي المختلط</w:t>
      </w:r>
    </w:p>
    <w:p w14:paraId="0EB67B7F" w14:textId="77777777" w:rsidR="00DE2B2A" w:rsidRPr="00BC50C9" w:rsidRDefault="00DE2B2A" w:rsidP="00111534">
      <w:pPr>
        <w:pStyle w:val="33333"/>
        <w:rPr>
          <w:lang w:bidi="ar-EG"/>
        </w:rPr>
      </w:pPr>
      <w:bookmarkStart w:id="108" w:name="_Toc195456554"/>
      <w:r w:rsidRPr="00BC50C9">
        <w:rPr>
          <w:rFonts w:hint="cs"/>
          <w:rtl/>
          <w:lang w:bidi="ar-EG"/>
        </w:rPr>
        <w:t>الجدول</w:t>
      </w:r>
      <w:r w:rsidRPr="00BC50C9">
        <w:rPr>
          <w:rtl/>
          <w:lang w:bidi="ar-EG"/>
        </w:rPr>
        <w:t xml:space="preserve"> </w:t>
      </w:r>
      <w:r w:rsidRPr="00BC50C9">
        <w:rPr>
          <w:rFonts w:hint="cs"/>
          <w:rtl/>
          <w:lang w:bidi="ar-EG"/>
        </w:rPr>
        <w:t>رقم</w:t>
      </w:r>
      <w:r w:rsidRPr="00BC50C9">
        <w:rPr>
          <w:rtl/>
          <w:lang w:bidi="ar-EG"/>
        </w:rPr>
        <w:t xml:space="preserve"> (4-</w:t>
      </w:r>
      <w:r w:rsidRPr="00BC50C9">
        <w:rPr>
          <w:rFonts w:hint="cs"/>
          <w:rtl/>
          <w:lang w:bidi="ar-EG"/>
        </w:rPr>
        <w:t>4</w:t>
      </w:r>
      <w:r w:rsidRPr="00BC50C9">
        <w:rPr>
          <w:rtl/>
          <w:lang w:bidi="ar-EG"/>
        </w:rPr>
        <w:t xml:space="preserve">) </w:t>
      </w:r>
      <w:r w:rsidRPr="00BC50C9">
        <w:rPr>
          <w:rFonts w:hint="cs"/>
          <w:rtl/>
          <w:lang w:bidi="ar-EG"/>
        </w:rPr>
        <w:t>التكرارات</w:t>
      </w:r>
      <w:r w:rsidRPr="00BC50C9">
        <w:rPr>
          <w:rtl/>
          <w:lang w:bidi="ar-EG"/>
        </w:rPr>
        <w:t xml:space="preserve"> </w:t>
      </w:r>
      <w:r w:rsidRPr="00BC50C9">
        <w:rPr>
          <w:rFonts w:hint="cs"/>
          <w:rtl/>
          <w:lang w:bidi="ar-EG"/>
        </w:rPr>
        <w:t>والنسب</w:t>
      </w:r>
      <w:r w:rsidRPr="00BC50C9">
        <w:rPr>
          <w:rtl/>
          <w:lang w:bidi="ar-EG"/>
        </w:rPr>
        <w:t xml:space="preserve"> </w:t>
      </w:r>
      <w:r w:rsidRPr="00BC50C9">
        <w:rPr>
          <w:rFonts w:hint="cs"/>
          <w:rtl/>
          <w:lang w:bidi="ar-EG"/>
        </w:rPr>
        <w:t>المئوية</w:t>
      </w:r>
      <w:r w:rsidRPr="00BC50C9">
        <w:rPr>
          <w:rtl/>
          <w:lang w:bidi="ar-EG"/>
        </w:rPr>
        <w:t xml:space="preserve"> </w:t>
      </w:r>
      <w:r w:rsidRPr="00BC50C9">
        <w:rPr>
          <w:rFonts w:hint="cs"/>
          <w:rtl/>
          <w:lang w:bidi="ar-EG"/>
        </w:rPr>
        <w:t>والمتوسطات</w:t>
      </w:r>
      <w:r w:rsidRPr="00BC50C9">
        <w:rPr>
          <w:rtl/>
          <w:lang w:bidi="ar-EG"/>
        </w:rPr>
        <w:t xml:space="preserve"> </w:t>
      </w:r>
      <w:r w:rsidRPr="00BC50C9">
        <w:rPr>
          <w:rFonts w:hint="cs"/>
          <w:rtl/>
          <w:lang w:bidi="ar-EG"/>
        </w:rPr>
        <w:t>الحسابية</w:t>
      </w:r>
      <w:r w:rsidRPr="00BC50C9">
        <w:rPr>
          <w:rtl/>
          <w:lang w:bidi="ar-EG"/>
        </w:rPr>
        <w:t xml:space="preserve"> </w:t>
      </w:r>
      <w:r w:rsidRPr="00BC50C9">
        <w:rPr>
          <w:rFonts w:hint="cs"/>
          <w:rtl/>
          <w:lang w:bidi="ar-EG"/>
        </w:rPr>
        <w:t>والانحرافات</w:t>
      </w:r>
      <w:r w:rsidRPr="00BC50C9">
        <w:rPr>
          <w:rtl/>
          <w:lang w:bidi="ar-EG"/>
        </w:rPr>
        <w:t xml:space="preserve"> </w:t>
      </w:r>
      <w:r w:rsidRPr="00BC50C9">
        <w:rPr>
          <w:rFonts w:hint="cs"/>
          <w:rtl/>
          <w:lang w:bidi="ar-EG"/>
        </w:rPr>
        <w:t>المعيارية</w:t>
      </w:r>
      <w:r w:rsidRPr="00BC50C9">
        <w:rPr>
          <w:rtl/>
          <w:lang w:bidi="ar-EG"/>
        </w:rPr>
        <w:t xml:space="preserve"> </w:t>
      </w:r>
      <w:r w:rsidRPr="00BC50C9">
        <w:rPr>
          <w:rFonts w:hint="cs"/>
          <w:rtl/>
          <w:lang w:bidi="ar-EG"/>
        </w:rPr>
        <w:t>لاستجابات</w:t>
      </w:r>
      <w:r w:rsidRPr="00BC50C9">
        <w:rPr>
          <w:rtl/>
          <w:lang w:bidi="ar-EG"/>
        </w:rPr>
        <w:t xml:space="preserve"> </w:t>
      </w:r>
      <w:r w:rsidRPr="00BC50C9">
        <w:rPr>
          <w:rFonts w:hint="cs"/>
          <w:rtl/>
          <w:lang w:bidi="ar-EG"/>
        </w:rPr>
        <w:t>أفراد</w:t>
      </w:r>
      <w:r w:rsidRPr="00BC50C9">
        <w:rPr>
          <w:rtl/>
          <w:lang w:bidi="ar-EG"/>
        </w:rPr>
        <w:t xml:space="preserve"> </w:t>
      </w:r>
      <w:r w:rsidRPr="00BC50C9">
        <w:rPr>
          <w:rFonts w:hint="cs"/>
          <w:rtl/>
          <w:lang w:bidi="ar-EG"/>
        </w:rPr>
        <w:t>العينة</w:t>
      </w:r>
      <w:r w:rsidRPr="00BC50C9">
        <w:rPr>
          <w:rtl/>
          <w:lang w:bidi="ar-EG"/>
        </w:rPr>
        <w:t xml:space="preserve"> </w:t>
      </w:r>
      <w:r w:rsidRPr="00BC50C9">
        <w:rPr>
          <w:rFonts w:hint="cs"/>
          <w:rtl/>
          <w:lang w:bidi="ar-EG"/>
        </w:rPr>
        <w:t>للبعد الثالث: التمويل التشاركي المختلط</w:t>
      </w:r>
      <w:bookmarkEnd w:id="108"/>
    </w:p>
    <w:tbl>
      <w:tblPr>
        <w:bidiVisual/>
        <w:tblW w:w="963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52"/>
        <w:gridCol w:w="1659"/>
        <w:gridCol w:w="401"/>
        <w:gridCol w:w="761"/>
        <w:gridCol w:w="731"/>
        <w:gridCol w:w="731"/>
        <w:gridCol w:w="733"/>
        <w:gridCol w:w="785"/>
        <w:gridCol w:w="875"/>
        <w:gridCol w:w="891"/>
        <w:gridCol w:w="702"/>
        <w:gridCol w:w="918"/>
      </w:tblGrid>
      <w:tr w:rsidR="007F33C9" w:rsidRPr="00111534" w14:paraId="62AFC04B" w14:textId="77777777" w:rsidTr="007F33C9">
        <w:trPr>
          <w:tblHeader/>
          <w:jc w:val="right"/>
        </w:trPr>
        <w:tc>
          <w:tcPr>
            <w:tcW w:w="23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AC5F27"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م</w:t>
            </w:r>
          </w:p>
        </w:tc>
        <w:tc>
          <w:tcPr>
            <w:tcW w:w="86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CB0E7F"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b/>
                <w:bCs/>
                <w:sz w:val="20"/>
                <w:szCs w:val="20"/>
                <w:rtl/>
              </w:rPr>
              <w:t>العبارة</w:t>
            </w:r>
          </w:p>
        </w:tc>
        <w:tc>
          <w:tcPr>
            <w:tcW w:w="2147"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6CF7E1DF"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b/>
                <w:bCs/>
                <w:sz w:val="20"/>
                <w:szCs w:val="20"/>
                <w:rtl/>
              </w:rPr>
              <w:t>درجة الاستجابة</w:t>
            </w:r>
          </w:p>
        </w:tc>
        <w:tc>
          <w:tcPr>
            <w:tcW w:w="454" w:type="pct"/>
            <w:vMerge w:val="restart"/>
            <w:tcBorders>
              <w:top w:val="single" w:sz="4" w:space="0" w:color="auto"/>
              <w:bottom w:val="single" w:sz="4" w:space="0" w:color="auto"/>
            </w:tcBorders>
            <w:shd w:val="clear" w:color="auto" w:fill="BFBFBF" w:themeFill="background1" w:themeFillShade="BF"/>
            <w:vAlign w:val="center"/>
          </w:tcPr>
          <w:p w14:paraId="7CA109A4"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b/>
                <w:bCs/>
                <w:sz w:val="20"/>
                <w:szCs w:val="20"/>
                <w:rtl/>
              </w:rPr>
              <w:t>المتوسط الحسابي</w:t>
            </w:r>
          </w:p>
        </w:tc>
        <w:tc>
          <w:tcPr>
            <w:tcW w:w="462" w:type="pct"/>
            <w:vMerge w:val="restart"/>
            <w:tcBorders>
              <w:top w:val="single" w:sz="4" w:space="0" w:color="auto"/>
              <w:bottom w:val="single" w:sz="4" w:space="0" w:color="auto"/>
            </w:tcBorders>
            <w:shd w:val="clear" w:color="auto" w:fill="BFBFBF" w:themeFill="background1" w:themeFillShade="BF"/>
            <w:vAlign w:val="center"/>
          </w:tcPr>
          <w:p w14:paraId="48FBCC7E"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b/>
                <w:bCs/>
                <w:sz w:val="20"/>
                <w:szCs w:val="20"/>
                <w:rtl/>
              </w:rPr>
              <w:t>الانحراف المعياري</w:t>
            </w:r>
          </w:p>
        </w:tc>
        <w:tc>
          <w:tcPr>
            <w:tcW w:w="364"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7EE0D79C"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الترتيب</w:t>
            </w:r>
          </w:p>
        </w:tc>
        <w:tc>
          <w:tcPr>
            <w:tcW w:w="476"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12BC73B6"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b/>
                <w:bCs/>
                <w:sz w:val="20"/>
                <w:szCs w:val="20"/>
                <w:rtl/>
              </w:rPr>
              <w:t>درجة الاستجابة</w:t>
            </w:r>
          </w:p>
        </w:tc>
      </w:tr>
      <w:tr w:rsidR="007F33C9" w:rsidRPr="00111534" w14:paraId="22445616" w14:textId="77777777" w:rsidTr="007F33C9">
        <w:trPr>
          <w:tblHeader/>
          <w:jc w:val="right"/>
        </w:trPr>
        <w:tc>
          <w:tcPr>
            <w:tcW w:w="235"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70D969"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861"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5154A9"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208" w:type="pct"/>
            <w:tcBorders>
              <w:top w:val="single" w:sz="4" w:space="0" w:color="auto"/>
              <w:left w:val="single" w:sz="4" w:space="0" w:color="auto"/>
            </w:tcBorders>
            <w:shd w:val="clear" w:color="auto" w:fill="BFBFBF" w:themeFill="background1" w:themeFillShade="BF"/>
            <w:vAlign w:val="center"/>
          </w:tcPr>
          <w:p w14:paraId="62297DC2"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395" w:type="pct"/>
            <w:tcBorders>
              <w:top w:val="single" w:sz="4" w:space="0" w:color="auto"/>
              <w:left w:val="single" w:sz="4" w:space="0" w:color="auto"/>
            </w:tcBorders>
            <w:shd w:val="clear" w:color="auto" w:fill="BFBFBF" w:themeFill="background1" w:themeFillShade="BF"/>
            <w:vAlign w:val="center"/>
          </w:tcPr>
          <w:p w14:paraId="6CCA5551"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أوافق بشدة</w:t>
            </w:r>
          </w:p>
        </w:tc>
        <w:tc>
          <w:tcPr>
            <w:tcW w:w="379" w:type="pct"/>
            <w:tcBorders>
              <w:top w:val="single" w:sz="4" w:space="0" w:color="auto"/>
            </w:tcBorders>
            <w:shd w:val="clear" w:color="auto" w:fill="BFBFBF" w:themeFill="background1" w:themeFillShade="BF"/>
            <w:vAlign w:val="center"/>
          </w:tcPr>
          <w:p w14:paraId="2937ED1A"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أوافق</w:t>
            </w:r>
          </w:p>
        </w:tc>
        <w:tc>
          <w:tcPr>
            <w:tcW w:w="379" w:type="pct"/>
            <w:tcBorders>
              <w:top w:val="single" w:sz="4" w:space="0" w:color="auto"/>
            </w:tcBorders>
            <w:shd w:val="clear" w:color="auto" w:fill="BFBFBF" w:themeFill="background1" w:themeFillShade="BF"/>
            <w:vAlign w:val="center"/>
          </w:tcPr>
          <w:p w14:paraId="618FCED7"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محايد</w:t>
            </w:r>
          </w:p>
        </w:tc>
        <w:tc>
          <w:tcPr>
            <w:tcW w:w="380" w:type="pct"/>
            <w:tcBorders>
              <w:top w:val="single" w:sz="4" w:space="0" w:color="auto"/>
            </w:tcBorders>
            <w:shd w:val="clear" w:color="auto" w:fill="BFBFBF" w:themeFill="background1" w:themeFillShade="BF"/>
            <w:vAlign w:val="center"/>
          </w:tcPr>
          <w:p w14:paraId="64FF0A7C"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لا أوافق</w:t>
            </w:r>
          </w:p>
        </w:tc>
        <w:tc>
          <w:tcPr>
            <w:tcW w:w="407" w:type="pct"/>
            <w:tcBorders>
              <w:top w:val="single" w:sz="4" w:space="0" w:color="auto"/>
            </w:tcBorders>
            <w:shd w:val="clear" w:color="auto" w:fill="BFBFBF" w:themeFill="background1" w:themeFillShade="BF"/>
            <w:vAlign w:val="center"/>
          </w:tcPr>
          <w:p w14:paraId="274224F8"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r w:rsidRPr="00111534">
              <w:rPr>
                <w:rFonts w:ascii="Times New Roman" w:hAnsi="Times New Roman" w:cs="Simplified Arabic" w:hint="cs"/>
                <w:b/>
                <w:bCs/>
                <w:sz w:val="20"/>
                <w:szCs w:val="20"/>
                <w:rtl/>
              </w:rPr>
              <w:t>لا أوافق بشدة</w:t>
            </w:r>
          </w:p>
        </w:tc>
        <w:tc>
          <w:tcPr>
            <w:tcW w:w="454" w:type="pct"/>
            <w:vMerge/>
            <w:tcBorders>
              <w:top w:val="single" w:sz="4" w:space="0" w:color="auto"/>
              <w:bottom w:val="single" w:sz="4" w:space="0" w:color="auto"/>
            </w:tcBorders>
            <w:shd w:val="clear" w:color="auto" w:fill="BFBFBF" w:themeFill="background1" w:themeFillShade="BF"/>
            <w:vAlign w:val="center"/>
          </w:tcPr>
          <w:p w14:paraId="2F91037B"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462" w:type="pct"/>
            <w:vMerge/>
            <w:tcBorders>
              <w:top w:val="single" w:sz="4" w:space="0" w:color="auto"/>
              <w:bottom w:val="single" w:sz="4" w:space="0" w:color="auto"/>
            </w:tcBorders>
            <w:shd w:val="clear" w:color="auto" w:fill="BFBFBF" w:themeFill="background1" w:themeFillShade="BF"/>
            <w:vAlign w:val="center"/>
          </w:tcPr>
          <w:p w14:paraId="693F40CD"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364"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3AA5DE60"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c>
          <w:tcPr>
            <w:tcW w:w="476"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0850E3EB" w14:textId="77777777" w:rsidR="00DE2B2A" w:rsidRPr="00111534" w:rsidRDefault="00DE2B2A" w:rsidP="00111534">
            <w:pPr>
              <w:bidi/>
              <w:spacing w:after="0" w:line="240" w:lineRule="auto"/>
              <w:jc w:val="center"/>
              <w:rPr>
                <w:rFonts w:ascii="Times New Roman" w:hAnsi="Times New Roman" w:cs="Simplified Arabic"/>
                <w:b/>
                <w:bCs/>
                <w:sz w:val="20"/>
                <w:szCs w:val="20"/>
                <w:rtl/>
              </w:rPr>
            </w:pPr>
          </w:p>
        </w:tc>
      </w:tr>
      <w:tr w:rsidR="007F33C9" w:rsidRPr="00111534" w14:paraId="3226982C" w14:textId="77777777" w:rsidTr="007F33C9">
        <w:trPr>
          <w:jc w:val="right"/>
        </w:trPr>
        <w:tc>
          <w:tcPr>
            <w:tcW w:w="235" w:type="pct"/>
            <w:vMerge w:val="restart"/>
            <w:tcBorders>
              <w:top w:val="single" w:sz="4" w:space="0" w:color="auto"/>
              <w:left w:val="single" w:sz="4" w:space="0" w:color="auto"/>
              <w:right w:val="single" w:sz="4" w:space="0" w:color="auto"/>
            </w:tcBorders>
            <w:vAlign w:val="center"/>
          </w:tcPr>
          <w:p w14:paraId="32A747CF"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hint="cs"/>
                <w:sz w:val="20"/>
                <w:szCs w:val="20"/>
                <w:rtl/>
              </w:rPr>
              <w:t>17</w:t>
            </w:r>
          </w:p>
        </w:tc>
        <w:tc>
          <w:tcPr>
            <w:tcW w:w="861" w:type="pct"/>
            <w:vMerge w:val="restart"/>
            <w:tcBorders>
              <w:top w:val="single" w:sz="4" w:space="0" w:color="auto"/>
              <w:left w:val="single" w:sz="4" w:space="0" w:color="auto"/>
              <w:right w:val="single" w:sz="4" w:space="0" w:color="auto"/>
            </w:tcBorders>
          </w:tcPr>
          <w:p w14:paraId="567AA46B" w14:textId="77777777" w:rsidR="00DE2B2A" w:rsidRPr="00111534" w:rsidRDefault="00DE2B2A" w:rsidP="00111534">
            <w:pPr>
              <w:autoSpaceDE w:val="0"/>
              <w:autoSpaceDN w:val="0"/>
              <w:bidi/>
              <w:adjustRightInd w:val="0"/>
              <w:spacing w:after="0" w:line="240" w:lineRule="auto"/>
              <w:jc w:val="center"/>
              <w:rPr>
                <w:rFonts w:ascii="Times New Roman" w:eastAsia="Calibri" w:hAnsi="Times New Roman" w:cs="Simplified Arabic"/>
                <w:sz w:val="20"/>
                <w:szCs w:val="20"/>
                <w:rtl/>
                <w:lang w:bidi="ar-KW"/>
              </w:rPr>
            </w:pPr>
            <w:r w:rsidRPr="00111534">
              <w:rPr>
                <w:rFonts w:ascii="Times New Roman" w:eastAsia="Times New Roman" w:hAnsi="Times New Roman" w:cs="Simplified Arabic"/>
                <w:sz w:val="20"/>
                <w:szCs w:val="20"/>
                <w:rtl/>
              </w:rPr>
              <w:t>يُوفر التمويل التشاركي المختلط حلولًا مرنة لدعم المشاريع الريادية</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3A027D01"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ك</w:t>
            </w:r>
          </w:p>
        </w:tc>
        <w:tc>
          <w:tcPr>
            <w:tcW w:w="395" w:type="pct"/>
            <w:tcBorders>
              <w:top w:val="single" w:sz="4" w:space="0" w:color="auto"/>
            </w:tcBorders>
            <w:shd w:val="clear" w:color="auto" w:fill="auto"/>
            <w:vAlign w:val="center"/>
          </w:tcPr>
          <w:p w14:paraId="0C826AE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174</w:t>
            </w:r>
          </w:p>
        </w:tc>
        <w:tc>
          <w:tcPr>
            <w:tcW w:w="379" w:type="pct"/>
            <w:tcBorders>
              <w:top w:val="single" w:sz="4" w:space="0" w:color="auto"/>
            </w:tcBorders>
            <w:vAlign w:val="center"/>
          </w:tcPr>
          <w:p w14:paraId="024CDE98"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103</w:t>
            </w:r>
          </w:p>
        </w:tc>
        <w:tc>
          <w:tcPr>
            <w:tcW w:w="379" w:type="pct"/>
            <w:tcBorders>
              <w:top w:val="single" w:sz="4" w:space="0" w:color="auto"/>
            </w:tcBorders>
            <w:shd w:val="clear" w:color="auto" w:fill="auto"/>
            <w:vAlign w:val="center"/>
          </w:tcPr>
          <w:p w14:paraId="5A040E30"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41</w:t>
            </w:r>
          </w:p>
        </w:tc>
        <w:tc>
          <w:tcPr>
            <w:tcW w:w="380" w:type="pct"/>
            <w:tcBorders>
              <w:top w:val="single" w:sz="4" w:space="0" w:color="auto"/>
            </w:tcBorders>
            <w:vAlign w:val="center"/>
          </w:tcPr>
          <w:p w14:paraId="68A11E48"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29</w:t>
            </w:r>
          </w:p>
        </w:tc>
        <w:tc>
          <w:tcPr>
            <w:tcW w:w="407" w:type="pct"/>
            <w:tcBorders>
              <w:top w:val="single" w:sz="4" w:space="0" w:color="auto"/>
            </w:tcBorders>
            <w:vAlign w:val="center"/>
          </w:tcPr>
          <w:p w14:paraId="08138EA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tl/>
              </w:rPr>
            </w:pPr>
            <w:r w:rsidRPr="00111534">
              <w:rPr>
                <w:rFonts w:ascii="Times New Roman" w:hAnsi="Times New Roman" w:cs="Simplified Arabic"/>
                <w:color w:val="000000"/>
                <w:sz w:val="20"/>
                <w:szCs w:val="20"/>
              </w:rPr>
              <w:t>37</w:t>
            </w:r>
          </w:p>
        </w:tc>
        <w:tc>
          <w:tcPr>
            <w:tcW w:w="454" w:type="pct"/>
            <w:vMerge w:val="restart"/>
            <w:tcBorders>
              <w:top w:val="single" w:sz="4" w:space="0" w:color="auto"/>
            </w:tcBorders>
            <w:vAlign w:val="center"/>
          </w:tcPr>
          <w:p w14:paraId="7154054A"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color w:val="000000"/>
                <w:sz w:val="20"/>
                <w:szCs w:val="20"/>
              </w:rPr>
              <w:t>3.91</w:t>
            </w:r>
          </w:p>
        </w:tc>
        <w:tc>
          <w:tcPr>
            <w:tcW w:w="462" w:type="pct"/>
            <w:vMerge w:val="restart"/>
            <w:tcBorders>
              <w:top w:val="single" w:sz="4" w:space="0" w:color="auto"/>
            </w:tcBorders>
            <w:vAlign w:val="center"/>
          </w:tcPr>
          <w:p w14:paraId="3F5BCE4F"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color w:val="000000"/>
                <w:sz w:val="20"/>
                <w:szCs w:val="20"/>
              </w:rPr>
              <w:t>1.313</w:t>
            </w:r>
          </w:p>
        </w:tc>
        <w:tc>
          <w:tcPr>
            <w:tcW w:w="364" w:type="pct"/>
            <w:vMerge w:val="restart"/>
            <w:tcBorders>
              <w:top w:val="single" w:sz="4" w:space="0" w:color="auto"/>
              <w:right w:val="single" w:sz="4" w:space="0" w:color="auto"/>
            </w:tcBorders>
            <w:vAlign w:val="center"/>
          </w:tcPr>
          <w:p w14:paraId="4006923A" w14:textId="77777777" w:rsidR="00DE2B2A" w:rsidRPr="00111534" w:rsidRDefault="00DE2B2A" w:rsidP="00111534">
            <w:pPr>
              <w:bidi/>
              <w:spacing w:after="0" w:line="240" w:lineRule="auto"/>
              <w:jc w:val="center"/>
              <w:rPr>
                <w:rFonts w:ascii="Times New Roman" w:hAnsi="Times New Roman" w:cs="Simplified Arabic"/>
                <w:sz w:val="20"/>
                <w:szCs w:val="20"/>
                <w:lang w:bidi="ar-EG"/>
              </w:rPr>
            </w:pPr>
            <w:r w:rsidRPr="00111534">
              <w:rPr>
                <w:rFonts w:ascii="Times New Roman" w:hAnsi="Times New Roman" w:cs="Simplified Arabic"/>
                <w:sz w:val="20"/>
                <w:szCs w:val="20"/>
              </w:rPr>
              <w:t>5</w:t>
            </w:r>
          </w:p>
        </w:tc>
        <w:tc>
          <w:tcPr>
            <w:tcW w:w="476" w:type="pct"/>
            <w:vMerge w:val="restart"/>
            <w:tcBorders>
              <w:top w:val="single" w:sz="4" w:space="0" w:color="auto"/>
              <w:right w:val="single" w:sz="4" w:space="0" w:color="auto"/>
            </w:tcBorders>
            <w:vAlign w:val="center"/>
          </w:tcPr>
          <w:p w14:paraId="572499A1"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hint="cs"/>
                <w:sz w:val="20"/>
                <w:szCs w:val="20"/>
                <w:rtl/>
                <w:lang w:bidi="ar-EG"/>
              </w:rPr>
              <w:t>عالية</w:t>
            </w:r>
          </w:p>
        </w:tc>
      </w:tr>
      <w:tr w:rsidR="007F33C9" w:rsidRPr="00111534" w14:paraId="0D8ECEB2" w14:textId="77777777" w:rsidTr="007F33C9">
        <w:trPr>
          <w:jc w:val="right"/>
        </w:trPr>
        <w:tc>
          <w:tcPr>
            <w:tcW w:w="235" w:type="pct"/>
            <w:vMerge/>
            <w:tcBorders>
              <w:left w:val="single" w:sz="4" w:space="0" w:color="auto"/>
              <w:bottom w:val="single" w:sz="4" w:space="0" w:color="auto"/>
              <w:right w:val="single" w:sz="4" w:space="0" w:color="auto"/>
            </w:tcBorders>
            <w:vAlign w:val="center"/>
          </w:tcPr>
          <w:p w14:paraId="0DA88BEE"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bottom w:val="single" w:sz="4" w:space="0" w:color="auto"/>
              <w:right w:val="single" w:sz="4" w:space="0" w:color="auto"/>
            </w:tcBorders>
          </w:tcPr>
          <w:p w14:paraId="160CE8EE"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0850A02C"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w:t>
            </w:r>
          </w:p>
        </w:tc>
        <w:tc>
          <w:tcPr>
            <w:tcW w:w="395" w:type="pct"/>
            <w:shd w:val="clear" w:color="auto" w:fill="auto"/>
            <w:vAlign w:val="center"/>
          </w:tcPr>
          <w:p w14:paraId="181D63D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45.3</w:t>
            </w:r>
          </w:p>
        </w:tc>
        <w:tc>
          <w:tcPr>
            <w:tcW w:w="379" w:type="pct"/>
            <w:vAlign w:val="center"/>
          </w:tcPr>
          <w:p w14:paraId="3A8B2CB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26.8</w:t>
            </w:r>
          </w:p>
        </w:tc>
        <w:tc>
          <w:tcPr>
            <w:tcW w:w="379" w:type="pct"/>
            <w:shd w:val="clear" w:color="auto" w:fill="auto"/>
            <w:vAlign w:val="center"/>
          </w:tcPr>
          <w:p w14:paraId="083FD9A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10.7</w:t>
            </w:r>
          </w:p>
        </w:tc>
        <w:tc>
          <w:tcPr>
            <w:tcW w:w="380" w:type="pct"/>
            <w:vAlign w:val="center"/>
          </w:tcPr>
          <w:p w14:paraId="148E903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7.6</w:t>
            </w:r>
          </w:p>
        </w:tc>
        <w:tc>
          <w:tcPr>
            <w:tcW w:w="407" w:type="pct"/>
            <w:vAlign w:val="center"/>
          </w:tcPr>
          <w:p w14:paraId="3C3FB466"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9.6</w:t>
            </w:r>
          </w:p>
        </w:tc>
        <w:tc>
          <w:tcPr>
            <w:tcW w:w="454" w:type="pct"/>
            <w:vMerge/>
            <w:tcBorders>
              <w:bottom w:val="single" w:sz="4" w:space="0" w:color="auto"/>
            </w:tcBorders>
            <w:vAlign w:val="center"/>
          </w:tcPr>
          <w:p w14:paraId="72F870C9"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tcBorders>
              <w:bottom w:val="single" w:sz="4" w:space="0" w:color="auto"/>
            </w:tcBorders>
            <w:vAlign w:val="center"/>
          </w:tcPr>
          <w:p w14:paraId="400BD704"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bottom w:val="single" w:sz="4" w:space="0" w:color="auto"/>
              <w:right w:val="single" w:sz="4" w:space="0" w:color="auto"/>
            </w:tcBorders>
            <w:vAlign w:val="center"/>
          </w:tcPr>
          <w:p w14:paraId="2144820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bottom w:val="single" w:sz="4" w:space="0" w:color="auto"/>
              <w:right w:val="single" w:sz="4" w:space="0" w:color="auto"/>
            </w:tcBorders>
            <w:vAlign w:val="center"/>
          </w:tcPr>
          <w:p w14:paraId="5C3C3A20"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6D58905D" w14:textId="77777777" w:rsidTr="007F33C9">
        <w:trPr>
          <w:jc w:val="right"/>
        </w:trPr>
        <w:tc>
          <w:tcPr>
            <w:tcW w:w="235" w:type="pct"/>
            <w:vMerge w:val="restart"/>
            <w:tcBorders>
              <w:left w:val="single" w:sz="4" w:space="0" w:color="auto"/>
              <w:right w:val="single" w:sz="4" w:space="0" w:color="auto"/>
            </w:tcBorders>
            <w:vAlign w:val="center"/>
          </w:tcPr>
          <w:p w14:paraId="3A9C39D0"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18</w:t>
            </w:r>
          </w:p>
        </w:tc>
        <w:tc>
          <w:tcPr>
            <w:tcW w:w="861" w:type="pct"/>
            <w:vMerge w:val="restart"/>
            <w:tcBorders>
              <w:left w:val="single" w:sz="4" w:space="0" w:color="auto"/>
              <w:right w:val="single" w:sz="4" w:space="0" w:color="auto"/>
            </w:tcBorders>
          </w:tcPr>
          <w:p w14:paraId="1662AE6A"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lang w:bidi="ar-KW"/>
              </w:rPr>
            </w:pPr>
            <w:r w:rsidRPr="00111534">
              <w:rPr>
                <w:rFonts w:ascii="Times New Roman" w:eastAsia="Times New Roman" w:hAnsi="Times New Roman" w:cs="Simplified Arabic"/>
                <w:sz w:val="20"/>
                <w:szCs w:val="20"/>
                <w:rtl/>
              </w:rPr>
              <w:t>تَزيد فاعلية المنصة الإلكترونية عند دمج أكثر من نوع من التمويل التشاركي</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62C9E7C8"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ك</w:t>
            </w:r>
          </w:p>
        </w:tc>
        <w:tc>
          <w:tcPr>
            <w:tcW w:w="395" w:type="pct"/>
            <w:shd w:val="clear" w:color="auto" w:fill="auto"/>
            <w:vAlign w:val="center"/>
          </w:tcPr>
          <w:p w14:paraId="76CDC43C"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167</w:t>
            </w:r>
          </w:p>
        </w:tc>
        <w:tc>
          <w:tcPr>
            <w:tcW w:w="379" w:type="pct"/>
            <w:vAlign w:val="center"/>
          </w:tcPr>
          <w:p w14:paraId="4EEE372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121</w:t>
            </w:r>
          </w:p>
        </w:tc>
        <w:tc>
          <w:tcPr>
            <w:tcW w:w="379" w:type="pct"/>
            <w:shd w:val="clear" w:color="auto" w:fill="auto"/>
            <w:vAlign w:val="center"/>
          </w:tcPr>
          <w:p w14:paraId="23C752C0"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44</w:t>
            </w:r>
          </w:p>
        </w:tc>
        <w:tc>
          <w:tcPr>
            <w:tcW w:w="380" w:type="pct"/>
            <w:vAlign w:val="center"/>
          </w:tcPr>
          <w:p w14:paraId="30BE595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27</w:t>
            </w:r>
          </w:p>
        </w:tc>
        <w:tc>
          <w:tcPr>
            <w:tcW w:w="407" w:type="pct"/>
            <w:vAlign w:val="center"/>
          </w:tcPr>
          <w:p w14:paraId="1175D398"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25</w:t>
            </w:r>
          </w:p>
        </w:tc>
        <w:tc>
          <w:tcPr>
            <w:tcW w:w="454" w:type="pct"/>
            <w:vMerge w:val="restart"/>
            <w:vAlign w:val="center"/>
          </w:tcPr>
          <w:p w14:paraId="70432D28"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3.98</w:t>
            </w:r>
          </w:p>
        </w:tc>
        <w:tc>
          <w:tcPr>
            <w:tcW w:w="462" w:type="pct"/>
            <w:vMerge w:val="restart"/>
            <w:vAlign w:val="center"/>
          </w:tcPr>
          <w:p w14:paraId="5C28478C"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1.192</w:t>
            </w:r>
          </w:p>
        </w:tc>
        <w:tc>
          <w:tcPr>
            <w:tcW w:w="364" w:type="pct"/>
            <w:vMerge w:val="restart"/>
            <w:tcBorders>
              <w:right w:val="single" w:sz="4" w:space="0" w:color="auto"/>
            </w:tcBorders>
            <w:vAlign w:val="center"/>
          </w:tcPr>
          <w:p w14:paraId="104DB4FB" w14:textId="77777777" w:rsidR="00DE2B2A" w:rsidRPr="00111534" w:rsidRDefault="00DE2B2A" w:rsidP="00111534">
            <w:pPr>
              <w:bidi/>
              <w:spacing w:after="0" w:line="240" w:lineRule="auto"/>
              <w:jc w:val="center"/>
              <w:rPr>
                <w:rFonts w:ascii="Times New Roman" w:hAnsi="Times New Roman" w:cs="Simplified Arabic"/>
                <w:sz w:val="20"/>
                <w:szCs w:val="20"/>
                <w:lang w:bidi="ar-EG"/>
              </w:rPr>
            </w:pPr>
            <w:r w:rsidRPr="00111534">
              <w:rPr>
                <w:rFonts w:ascii="Times New Roman" w:hAnsi="Times New Roman" w:cs="Simplified Arabic"/>
                <w:sz w:val="20"/>
                <w:szCs w:val="20"/>
              </w:rPr>
              <w:t>4</w:t>
            </w:r>
          </w:p>
        </w:tc>
        <w:tc>
          <w:tcPr>
            <w:tcW w:w="476" w:type="pct"/>
            <w:vMerge w:val="restart"/>
            <w:tcBorders>
              <w:right w:val="single" w:sz="4" w:space="0" w:color="auto"/>
            </w:tcBorders>
            <w:vAlign w:val="center"/>
          </w:tcPr>
          <w:p w14:paraId="1024C2F9"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hint="cs"/>
                <w:sz w:val="20"/>
                <w:szCs w:val="20"/>
                <w:rtl/>
                <w:lang w:bidi="ar-EG"/>
              </w:rPr>
              <w:t>عالية</w:t>
            </w:r>
          </w:p>
        </w:tc>
      </w:tr>
      <w:tr w:rsidR="007F33C9" w:rsidRPr="00111534" w14:paraId="7F72B987" w14:textId="77777777" w:rsidTr="007F33C9">
        <w:trPr>
          <w:jc w:val="right"/>
        </w:trPr>
        <w:tc>
          <w:tcPr>
            <w:tcW w:w="235" w:type="pct"/>
            <w:vMerge/>
            <w:tcBorders>
              <w:left w:val="single" w:sz="4" w:space="0" w:color="auto"/>
              <w:right w:val="single" w:sz="4" w:space="0" w:color="auto"/>
            </w:tcBorders>
            <w:vAlign w:val="center"/>
          </w:tcPr>
          <w:p w14:paraId="79A72BAE"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tcPr>
          <w:p w14:paraId="1D43A1A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469C7B39"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w:t>
            </w:r>
          </w:p>
        </w:tc>
        <w:tc>
          <w:tcPr>
            <w:tcW w:w="395" w:type="pct"/>
            <w:shd w:val="clear" w:color="auto" w:fill="auto"/>
            <w:vAlign w:val="center"/>
          </w:tcPr>
          <w:p w14:paraId="7C301C76"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43.5</w:t>
            </w:r>
          </w:p>
        </w:tc>
        <w:tc>
          <w:tcPr>
            <w:tcW w:w="379" w:type="pct"/>
            <w:vAlign w:val="center"/>
          </w:tcPr>
          <w:p w14:paraId="5CC0C424"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31.5</w:t>
            </w:r>
          </w:p>
        </w:tc>
        <w:tc>
          <w:tcPr>
            <w:tcW w:w="379" w:type="pct"/>
            <w:shd w:val="clear" w:color="auto" w:fill="auto"/>
            <w:vAlign w:val="center"/>
          </w:tcPr>
          <w:p w14:paraId="6A317AD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11.5</w:t>
            </w:r>
          </w:p>
        </w:tc>
        <w:tc>
          <w:tcPr>
            <w:tcW w:w="380" w:type="pct"/>
            <w:vAlign w:val="center"/>
          </w:tcPr>
          <w:p w14:paraId="07432557"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w:t>
            </w:r>
          </w:p>
        </w:tc>
        <w:tc>
          <w:tcPr>
            <w:tcW w:w="407" w:type="pct"/>
            <w:vAlign w:val="center"/>
          </w:tcPr>
          <w:p w14:paraId="35FC1ECC"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6.5</w:t>
            </w:r>
          </w:p>
        </w:tc>
        <w:tc>
          <w:tcPr>
            <w:tcW w:w="454" w:type="pct"/>
            <w:vMerge/>
            <w:vAlign w:val="center"/>
          </w:tcPr>
          <w:p w14:paraId="243647AF"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5168DAAB"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3E99A0A5"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26B4C19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75BECA0E" w14:textId="77777777" w:rsidTr="007F33C9">
        <w:trPr>
          <w:jc w:val="right"/>
        </w:trPr>
        <w:tc>
          <w:tcPr>
            <w:tcW w:w="235" w:type="pct"/>
            <w:vMerge w:val="restart"/>
            <w:tcBorders>
              <w:left w:val="single" w:sz="4" w:space="0" w:color="auto"/>
              <w:right w:val="single" w:sz="4" w:space="0" w:color="auto"/>
            </w:tcBorders>
            <w:vAlign w:val="center"/>
          </w:tcPr>
          <w:p w14:paraId="6F4478C9"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19</w:t>
            </w:r>
          </w:p>
        </w:tc>
        <w:tc>
          <w:tcPr>
            <w:tcW w:w="861" w:type="pct"/>
            <w:vMerge w:val="restart"/>
            <w:tcBorders>
              <w:left w:val="single" w:sz="4" w:space="0" w:color="auto"/>
              <w:right w:val="single" w:sz="4" w:space="0" w:color="auto"/>
            </w:tcBorders>
          </w:tcPr>
          <w:p w14:paraId="30DAA3E4"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lang w:bidi="ar-KW"/>
              </w:rPr>
            </w:pPr>
            <w:r w:rsidRPr="00111534">
              <w:rPr>
                <w:rFonts w:ascii="Times New Roman" w:eastAsia="Times New Roman" w:hAnsi="Times New Roman" w:cs="Simplified Arabic"/>
                <w:sz w:val="20"/>
                <w:szCs w:val="20"/>
                <w:rtl/>
              </w:rPr>
              <w:t>تَساهم استراتيجيات التمويل المختلط في تقليل المخاطر المالية للمشاريع الناشئة</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4ECE38D2"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ك</w:t>
            </w:r>
          </w:p>
        </w:tc>
        <w:tc>
          <w:tcPr>
            <w:tcW w:w="395" w:type="pct"/>
            <w:shd w:val="clear" w:color="auto" w:fill="auto"/>
            <w:vAlign w:val="center"/>
          </w:tcPr>
          <w:p w14:paraId="5866A5B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196</w:t>
            </w:r>
          </w:p>
        </w:tc>
        <w:tc>
          <w:tcPr>
            <w:tcW w:w="379" w:type="pct"/>
            <w:vAlign w:val="center"/>
          </w:tcPr>
          <w:p w14:paraId="74EFED4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86</w:t>
            </w:r>
          </w:p>
        </w:tc>
        <w:tc>
          <w:tcPr>
            <w:tcW w:w="379" w:type="pct"/>
            <w:shd w:val="clear" w:color="auto" w:fill="auto"/>
            <w:vAlign w:val="center"/>
          </w:tcPr>
          <w:p w14:paraId="336F163C"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36</w:t>
            </w:r>
          </w:p>
        </w:tc>
        <w:tc>
          <w:tcPr>
            <w:tcW w:w="380" w:type="pct"/>
            <w:vAlign w:val="center"/>
          </w:tcPr>
          <w:p w14:paraId="47B4DA6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39</w:t>
            </w:r>
          </w:p>
        </w:tc>
        <w:tc>
          <w:tcPr>
            <w:tcW w:w="407" w:type="pct"/>
            <w:vAlign w:val="center"/>
          </w:tcPr>
          <w:p w14:paraId="002C979D"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27</w:t>
            </w:r>
          </w:p>
        </w:tc>
        <w:tc>
          <w:tcPr>
            <w:tcW w:w="454" w:type="pct"/>
            <w:vMerge w:val="restart"/>
            <w:vAlign w:val="center"/>
          </w:tcPr>
          <w:p w14:paraId="49C119DB"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color w:val="000000"/>
                <w:sz w:val="20"/>
                <w:szCs w:val="20"/>
              </w:rPr>
              <w:t>4.00</w:t>
            </w:r>
          </w:p>
        </w:tc>
        <w:tc>
          <w:tcPr>
            <w:tcW w:w="462" w:type="pct"/>
            <w:vMerge w:val="restart"/>
            <w:vAlign w:val="center"/>
          </w:tcPr>
          <w:p w14:paraId="1009CCC4"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color w:val="000000"/>
                <w:sz w:val="20"/>
                <w:szCs w:val="20"/>
              </w:rPr>
              <w:t>1.284</w:t>
            </w:r>
          </w:p>
        </w:tc>
        <w:tc>
          <w:tcPr>
            <w:tcW w:w="364" w:type="pct"/>
            <w:vMerge w:val="restart"/>
            <w:tcBorders>
              <w:right w:val="single" w:sz="4" w:space="0" w:color="auto"/>
            </w:tcBorders>
            <w:vAlign w:val="center"/>
          </w:tcPr>
          <w:p w14:paraId="630133C6" w14:textId="77777777" w:rsidR="00DE2B2A" w:rsidRPr="00111534" w:rsidRDefault="00DE2B2A" w:rsidP="00111534">
            <w:pPr>
              <w:bidi/>
              <w:spacing w:after="0" w:line="240" w:lineRule="auto"/>
              <w:jc w:val="center"/>
              <w:rPr>
                <w:rFonts w:ascii="Times New Roman" w:hAnsi="Times New Roman" w:cs="Simplified Arabic"/>
                <w:sz w:val="20"/>
                <w:szCs w:val="20"/>
                <w:lang w:bidi="ar-EG"/>
              </w:rPr>
            </w:pPr>
            <w:r w:rsidRPr="00111534">
              <w:rPr>
                <w:rFonts w:ascii="Times New Roman" w:hAnsi="Times New Roman" w:cs="Simplified Arabic"/>
                <w:sz w:val="20"/>
                <w:szCs w:val="20"/>
              </w:rPr>
              <w:t>3</w:t>
            </w:r>
          </w:p>
        </w:tc>
        <w:tc>
          <w:tcPr>
            <w:tcW w:w="476" w:type="pct"/>
            <w:vMerge w:val="restart"/>
            <w:tcBorders>
              <w:right w:val="single" w:sz="4" w:space="0" w:color="auto"/>
            </w:tcBorders>
            <w:vAlign w:val="center"/>
          </w:tcPr>
          <w:p w14:paraId="402C1217"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hint="cs"/>
                <w:sz w:val="20"/>
                <w:szCs w:val="20"/>
                <w:rtl/>
                <w:lang w:bidi="ar-EG"/>
              </w:rPr>
              <w:t>عالية</w:t>
            </w:r>
          </w:p>
        </w:tc>
      </w:tr>
      <w:tr w:rsidR="007F33C9" w:rsidRPr="00111534" w14:paraId="449559E9" w14:textId="77777777" w:rsidTr="007F33C9">
        <w:trPr>
          <w:jc w:val="right"/>
        </w:trPr>
        <w:tc>
          <w:tcPr>
            <w:tcW w:w="235" w:type="pct"/>
            <w:vMerge/>
            <w:tcBorders>
              <w:left w:val="single" w:sz="4" w:space="0" w:color="auto"/>
              <w:right w:val="single" w:sz="4" w:space="0" w:color="auto"/>
            </w:tcBorders>
            <w:vAlign w:val="center"/>
          </w:tcPr>
          <w:p w14:paraId="335A62CA"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tcPr>
          <w:p w14:paraId="2D8CA1D8"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0729B9BB"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w:t>
            </w:r>
          </w:p>
        </w:tc>
        <w:tc>
          <w:tcPr>
            <w:tcW w:w="395" w:type="pct"/>
            <w:shd w:val="clear" w:color="auto" w:fill="auto"/>
            <w:vAlign w:val="center"/>
          </w:tcPr>
          <w:p w14:paraId="66C701BD"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51</w:t>
            </w:r>
          </w:p>
        </w:tc>
        <w:tc>
          <w:tcPr>
            <w:tcW w:w="379" w:type="pct"/>
            <w:vAlign w:val="center"/>
          </w:tcPr>
          <w:p w14:paraId="7B9AA27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22.4</w:t>
            </w:r>
          </w:p>
        </w:tc>
        <w:tc>
          <w:tcPr>
            <w:tcW w:w="379" w:type="pct"/>
            <w:shd w:val="clear" w:color="auto" w:fill="auto"/>
            <w:vAlign w:val="center"/>
          </w:tcPr>
          <w:p w14:paraId="7656FA1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9.4</w:t>
            </w:r>
          </w:p>
        </w:tc>
        <w:tc>
          <w:tcPr>
            <w:tcW w:w="380" w:type="pct"/>
            <w:vAlign w:val="center"/>
          </w:tcPr>
          <w:p w14:paraId="01C5C00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10.2</w:t>
            </w:r>
          </w:p>
        </w:tc>
        <w:tc>
          <w:tcPr>
            <w:tcW w:w="407" w:type="pct"/>
            <w:vAlign w:val="center"/>
          </w:tcPr>
          <w:p w14:paraId="1A651E9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w:t>
            </w:r>
          </w:p>
        </w:tc>
        <w:tc>
          <w:tcPr>
            <w:tcW w:w="454" w:type="pct"/>
            <w:vMerge/>
            <w:vAlign w:val="center"/>
          </w:tcPr>
          <w:p w14:paraId="34527FD7"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5BFF1972"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6480090C"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1EE7FB03"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7E9C77F1" w14:textId="77777777" w:rsidTr="007F33C9">
        <w:trPr>
          <w:jc w:val="right"/>
        </w:trPr>
        <w:tc>
          <w:tcPr>
            <w:tcW w:w="235" w:type="pct"/>
            <w:vMerge w:val="restart"/>
            <w:tcBorders>
              <w:left w:val="single" w:sz="4" w:space="0" w:color="auto"/>
              <w:right w:val="single" w:sz="4" w:space="0" w:color="auto"/>
            </w:tcBorders>
            <w:vAlign w:val="center"/>
          </w:tcPr>
          <w:p w14:paraId="30A725D9"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20</w:t>
            </w:r>
          </w:p>
        </w:tc>
        <w:tc>
          <w:tcPr>
            <w:tcW w:w="861" w:type="pct"/>
            <w:vMerge w:val="restart"/>
            <w:tcBorders>
              <w:left w:val="single" w:sz="4" w:space="0" w:color="auto"/>
              <w:right w:val="single" w:sz="4" w:space="0" w:color="auto"/>
            </w:tcBorders>
          </w:tcPr>
          <w:p w14:paraId="1763C662"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lang w:bidi="ar-KW"/>
              </w:rPr>
            </w:pPr>
            <w:r w:rsidRPr="00111534">
              <w:rPr>
                <w:rFonts w:ascii="Times New Roman" w:eastAsia="Times New Roman" w:hAnsi="Times New Roman" w:cs="Simplified Arabic"/>
                <w:sz w:val="20"/>
                <w:szCs w:val="20"/>
                <w:rtl/>
              </w:rPr>
              <w:t>تُعزز هذه الاستراتيجية من قدرة المشاريع على تحقيق الاستدامة المالية</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69BE5B31"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ك</w:t>
            </w:r>
          </w:p>
        </w:tc>
        <w:tc>
          <w:tcPr>
            <w:tcW w:w="395" w:type="pct"/>
            <w:shd w:val="clear" w:color="auto" w:fill="auto"/>
            <w:vAlign w:val="center"/>
          </w:tcPr>
          <w:p w14:paraId="46BD4C7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158</w:t>
            </w:r>
          </w:p>
        </w:tc>
        <w:tc>
          <w:tcPr>
            <w:tcW w:w="379" w:type="pct"/>
            <w:vAlign w:val="center"/>
          </w:tcPr>
          <w:p w14:paraId="672BD0D0"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90</w:t>
            </w:r>
          </w:p>
        </w:tc>
        <w:tc>
          <w:tcPr>
            <w:tcW w:w="379" w:type="pct"/>
            <w:shd w:val="clear" w:color="auto" w:fill="auto"/>
            <w:vAlign w:val="center"/>
          </w:tcPr>
          <w:p w14:paraId="16F6BC5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50</w:t>
            </w:r>
          </w:p>
        </w:tc>
        <w:tc>
          <w:tcPr>
            <w:tcW w:w="380" w:type="pct"/>
            <w:vAlign w:val="center"/>
          </w:tcPr>
          <w:p w14:paraId="12A51ED8"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46</w:t>
            </w:r>
          </w:p>
        </w:tc>
        <w:tc>
          <w:tcPr>
            <w:tcW w:w="407" w:type="pct"/>
            <w:vAlign w:val="center"/>
          </w:tcPr>
          <w:p w14:paraId="639CFCE3"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40</w:t>
            </w:r>
          </w:p>
        </w:tc>
        <w:tc>
          <w:tcPr>
            <w:tcW w:w="454" w:type="pct"/>
            <w:vMerge w:val="restart"/>
            <w:vAlign w:val="center"/>
          </w:tcPr>
          <w:p w14:paraId="189E880E"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3.73</w:t>
            </w:r>
          </w:p>
        </w:tc>
        <w:tc>
          <w:tcPr>
            <w:tcW w:w="462" w:type="pct"/>
            <w:vMerge w:val="restart"/>
            <w:vAlign w:val="center"/>
          </w:tcPr>
          <w:p w14:paraId="14D630AB"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1.375</w:t>
            </w:r>
          </w:p>
        </w:tc>
        <w:tc>
          <w:tcPr>
            <w:tcW w:w="364" w:type="pct"/>
            <w:vMerge w:val="restart"/>
            <w:tcBorders>
              <w:right w:val="single" w:sz="4" w:space="0" w:color="auto"/>
            </w:tcBorders>
            <w:vAlign w:val="center"/>
          </w:tcPr>
          <w:p w14:paraId="7815D0B5"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Pr>
              <w:t>7</w:t>
            </w:r>
          </w:p>
        </w:tc>
        <w:tc>
          <w:tcPr>
            <w:tcW w:w="476" w:type="pct"/>
            <w:vMerge w:val="restart"/>
            <w:tcBorders>
              <w:right w:val="single" w:sz="4" w:space="0" w:color="auto"/>
            </w:tcBorders>
            <w:vAlign w:val="center"/>
          </w:tcPr>
          <w:p w14:paraId="77F49F9E"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hint="cs"/>
                <w:sz w:val="20"/>
                <w:szCs w:val="20"/>
                <w:rtl/>
                <w:lang w:bidi="ar-EG"/>
              </w:rPr>
              <w:t>عالية</w:t>
            </w:r>
          </w:p>
        </w:tc>
      </w:tr>
      <w:tr w:rsidR="007F33C9" w:rsidRPr="00111534" w14:paraId="5260D134" w14:textId="77777777" w:rsidTr="007F33C9">
        <w:trPr>
          <w:jc w:val="right"/>
        </w:trPr>
        <w:tc>
          <w:tcPr>
            <w:tcW w:w="235" w:type="pct"/>
            <w:vMerge/>
            <w:tcBorders>
              <w:left w:val="single" w:sz="4" w:space="0" w:color="auto"/>
              <w:right w:val="single" w:sz="4" w:space="0" w:color="auto"/>
            </w:tcBorders>
            <w:vAlign w:val="center"/>
          </w:tcPr>
          <w:p w14:paraId="53B24904"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tcPr>
          <w:p w14:paraId="79A81104"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3FA1BC3E"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sz w:val="20"/>
                <w:szCs w:val="20"/>
                <w:rtl/>
              </w:rPr>
              <w:t>%</w:t>
            </w:r>
          </w:p>
        </w:tc>
        <w:tc>
          <w:tcPr>
            <w:tcW w:w="395" w:type="pct"/>
            <w:shd w:val="clear" w:color="auto" w:fill="auto"/>
            <w:vAlign w:val="center"/>
          </w:tcPr>
          <w:p w14:paraId="3ABF5EA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41.1</w:t>
            </w:r>
          </w:p>
        </w:tc>
        <w:tc>
          <w:tcPr>
            <w:tcW w:w="379" w:type="pct"/>
            <w:vAlign w:val="center"/>
          </w:tcPr>
          <w:p w14:paraId="5AA00FF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23.4</w:t>
            </w:r>
          </w:p>
        </w:tc>
        <w:tc>
          <w:tcPr>
            <w:tcW w:w="379" w:type="pct"/>
            <w:shd w:val="clear" w:color="auto" w:fill="auto"/>
            <w:vAlign w:val="center"/>
          </w:tcPr>
          <w:p w14:paraId="4991D0B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13</w:t>
            </w:r>
          </w:p>
        </w:tc>
        <w:tc>
          <w:tcPr>
            <w:tcW w:w="380" w:type="pct"/>
            <w:vAlign w:val="center"/>
          </w:tcPr>
          <w:p w14:paraId="7A00258F"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12</w:t>
            </w:r>
          </w:p>
        </w:tc>
        <w:tc>
          <w:tcPr>
            <w:tcW w:w="407" w:type="pct"/>
            <w:vAlign w:val="center"/>
          </w:tcPr>
          <w:p w14:paraId="72ADEA8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10.4</w:t>
            </w:r>
          </w:p>
        </w:tc>
        <w:tc>
          <w:tcPr>
            <w:tcW w:w="454" w:type="pct"/>
            <w:vMerge/>
            <w:vAlign w:val="center"/>
          </w:tcPr>
          <w:p w14:paraId="150B9943"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79034CD1"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0EA6F7F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3682C8DF"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10B2417B" w14:textId="77777777" w:rsidTr="007F33C9">
        <w:trPr>
          <w:jc w:val="right"/>
        </w:trPr>
        <w:tc>
          <w:tcPr>
            <w:tcW w:w="235" w:type="pct"/>
            <w:vMerge w:val="restart"/>
            <w:tcBorders>
              <w:left w:val="single" w:sz="4" w:space="0" w:color="auto"/>
              <w:right w:val="single" w:sz="4" w:space="0" w:color="auto"/>
            </w:tcBorders>
            <w:vAlign w:val="center"/>
          </w:tcPr>
          <w:p w14:paraId="67468896"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21</w:t>
            </w:r>
          </w:p>
        </w:tc>
        <w:tc>
          <w:tcPr>
            <w:tcW w:w="861" w:type="pct"/>
            <w:vMerge w:val="restart"/>
            <w:tcBorders>
              <w:left w:val="single" w:sz="4" w:space="0" w:color="auto"/>
              <w:right w:val="single" w:sz="4" w:space="0" w:color="auto"/>
            </w:tcBorders>
            <w:vAlign w:val="center"/>
          </w:tcPr>
          <w:p w14:paraId="17F2D463"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lang w:bidi="ar-KW"/>
              </w:rPr>
            </w:pPr>
            <w:r w:rsidRPr="00111534">
              <w:rPr>
                <w:rFonts w:ascii="Times New Roman" w:eastAsia="Times New Roman" w:hAnsi="Times New Roman" w:cs="Simplified Arabic"/>
                <w:sz w:val="20"/>
                <w:szCs w:val="20"/>
                <w:rtl/>
              </w:rPr>
              <w:t>يُسهل التمويل التشاركي المختلط على المستثمرين اختيار الأنسب لهم حسب احتياجاتهم</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59CA9109"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ك</w:t>
            </w:r>
          </w:p>
        </w:tc>
        <w:tc>
          <w:tcPr>
            <w:tcW w:w="395" w:type="pct"/>
            <w:shd w:val="clear" w:color="auto" w:fill="auto"/>
            <w:vAlign w:val="center"/>
          </w:tcPr>
          <w:p w14:paraId="4B2AF384"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222</w:t>
            </w:r>
          </w:p>
        </w:tc>
        <w:tc>
          <w:tcPr>
            <w:tcW w:w="379" w:type="pct"/>
            <w:vAlign w:val="center"/>
          </w:tcPr>
          <w:p w14:paraId="49CCE259"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72</w:t>
            </w:r>
          </w:p>
        </w:tc>
        <w:tc>
          <w:tcPr>
            <w:tcW w:w="379" w:type="pct"/>
            <w:shd w:val="clear" w:color="auto" w:fill="auto"/>
            <w:vAlign w:val="center"/>
          </w:tcPr>
          <w:p w14:paraId="5414508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34</w:t>
            </w:r>
          </w:p>
        </w:tc>
        <w:tc>
          <w:tcPr>
            <w:tcW w:w="380" w:type="pct"/>
            <w:vAlign w:val="center"/>
          </w:tcPr>
          <w:p w14:paraId="2A62A0A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32</w:t>
            </w:r>
          </w:p>
        </w:tc>
        <w:tc>
          <w:tcPr>
            <w:tcW w:w="407" w:type="pct"/>
            <w:vAlign w:val="center"/>
          </w:tcPr>
          <w:p w14:paraId="24BA6E21"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24</w:t>
            </w:r>
          </w:p>
        </w:tc>
        <w:tc>
          <w:tcPr>
            <w:tcW w:w="454" w:type="pct"/>
            <w:vMerge w:val="restart"/>
            <w:vAlign w:val="center"/>
          </w:tcPr>
          <w:p w14:paraId="1F1FAFB2" w14:textId="77777777" w:rsidR="00DE2B2A" w:rsidRPr="00111534" w:rsidRDefault="00DE2B2A" w:rsidP="00111534">
            <w:pPr>
              <w:bidi/>
              <w:spacing w:after="0" w:line="240" w:lineRule="auto"/>
              <w:jc w:val="center"/>
              <w:rPr>
                <w:rFonts w:ascii="Times New Roman" w:hAnsi="Times New Roman" w:cs="Simplified Arabic"/>
                <w:sz w:val="20"/>
                <w:szCs w:val="20"/>
                <w:lang w:bidi="ar-EG"/>
              </w:rPr>
            </w:pPr>
            <w:r w:rsidRPr="00111534">
              <w:rPr>
                <w:rFonts w:ascii="Times New Roman" w:hAnsi="Times New Roman" w:cs="Simplified Arabic"/>
                <w:color w:val="000000"/>
                <w:sz w:val="20"/>
                <w:szCs w:val="20"/>
              </w:rPr>
              <w:t>4.14</w:t>
            </w:r>
          </w:p>
        </w:tc>
        <w:tc>
          <w:tcPr>
            <w:tcW w:w="462" w:type="pct"/>
            <w:vMerge w:val="restart"/>
            <w:vAlign w:val="center"/>
          </w:tcPr>
          <w:p w14:paraId="1DA412FD" w14:textId="77777777" w:rsidR="00DE2B2A" w:rsidRPr="00111534" w:rsidRDefault="00DE2B2A" w:rsidP="00111534">
            <w:pPr>
              <w:bidi/>
              <w:spacing w:after="0" w:line="240" w:lineRule="auto"/>
              <w:jc w:val="center"/>
              <w:rPr>
                <w:rFonts w:ascii="Times New Roman" w:hAnsi="Times New Roman" w:cs="Simplified Arabic"/>
                <w:sz w:val="20"/>
                <w:szCs w:val="20"/>
                <w:lang w:bidi="ar-EG"/>
              </w:rPr>
            </w:pPr>
            <w:r w:rsidRPr="00111534">
              <w:rPr>
                <w:rFonts w:ascii="Times New Roman" w:hAnsi="Times New Roman" w:cs="Simplified Arabic"/>
                <w:color w:val="000000"/>
                <w:sz w:val="20"/>
                <w:szCs w:val="20"/>
              </w:rPr>
              <w:t>1.244</w:t>
            </w:r>
          </w:p>
        </w:tc>
        <w:tc>
          <w:tcPr>
            <w:tcW w:w="364" w:type="pct"/>
            <w:vMerge w:val="restart"/>
            <w:tcBorders>
              <w:right w:val="single" w:sz="4" w:space="0" w:color="auto"/>
            </w:tcBorders>
            <w:vAlign w:val="center"/>
          </w:tcPr>
          <w:p w14:paraId="3A7926CA"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Pr>
              <w:t>1</w:t>
            </w:r>
          </w:p>
        </w:tc>
        <w:tc>
          <w:tcPr>
            <w:tcW w:w="476" w:type="pct"/>
            <w:vMerge w:val="restart"/>
            <w:tcBorders>
              <w:right w:val="single" w:sz="4" w:space="0" w:color="auto"/>
            </w:tcBorders>
            <w:vAlign w:val="center"/>
          </w:tcPr>
          <w:p w14:paraId="54D1D3AC"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lang w:bidi="ar-EG"/>
              </w:rPr>
              <w:t>عالية</w:t>
            </w:r>
          </w:p>
        </w:tc>
      </w:tr>
      <w:tr w:rsidR="007F33C9" w:rsidRPr="00111534" w14:paraId="418EDAEB" w14:textId="77777777" w:rsidTr="007F33C9">
        <w:trPr>
          <w:jc w:val="right"/>
        </w:trPr>
        <w:tc>
          <w:tcPr>
            <w:tcW w:w="235" w:type="pct"/>
            <w:vMerge/>
            <w:tcBorders>
              <w:left w:val="single" w:sz="4" w:space="0" w:color="auto"/>
              <w:right w:val="single" w:sz="4" w:space="0" w:color="auto"/>
            </w:tcBorders>
            <w:vAlign w:val="center"/>
          </w:tcPr>
          <w:p w14:paraId="2186D6EA"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vAlign w:val="center"/>
          </w:tcPr>
          <w:p w14:paraId="4CEF909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1D8A0868"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w:t>
            </w:r>
          </w:p>
        </w:tc>
        <w:tc>
          <w:tcPr>
            <w:tcW w:w="395" w:type="pct"/>
            <w:shd w:val="clear" w:color="auto" w:fill="auto"/>
            <w:vAlign w:val="center"/>
          </w:tcPr>
          <w:p w14:paraId="53714FAD"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57.8</w:t>
            </w:r>
          </w:p>
        </w:tc>
        <w:tc>
          <w:tcPr>
            <w:tcW w:w="379" w:type="pct"/>
            <w:vAlign w:val="center"/>
          </w:tcPr>
          <w:p w14:paraId="3D0A8E2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18.8</w:t>
            </w:r>
          </w:p>
        </w:tc>
        <w:tc>
          <w:tcPr>
            <w:tcW w:w="379" w:type="pct"/>
            <w:shd w:val="clear" w:color="auto" w:fill="auto"/>
            <w:vAlign w:val="center"/>
          </w:tcPr>
          <w:p w14:paraId="58FBE34D"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8.9</w:t>
            </w:r>
          </w:p>
        </w:tc>
        <w:tc>
          <w:tcPr>
            <w:tcW w:w="380" w:type="pct"/>
            <w:vAlign w:val="center"/>
          </w:tcPr>
          <w:p w14:paraId="524BF436"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8.3</w:t>
            </w:r>
          </w:p>
        </w:tc>
        <w:tc>
          <w:tcPr>
            <w:tcW w:w="407" w:type="pct"/>
            <w:vAlign w:val="center"/>
          </w:tcPr>
          <w:p w14:paraId="46E4A36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6.3</w:t>
            </w:r>
          </w:p>
        </w:tc>
        <w:tc>
          <w:tcPr>
            <w:tcW w:w="454" w:type="pct"/>
            <w:vMerge/>
            <w:vAlign w:val="center"/>
          </w:tcPr>
          <w:p w14:paraId="4C5D231F"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2C193667"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5E48D499"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2B10E0DA"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548F47FD" w14:textId="77777777" w:rsidTr="007F33C9">
        <w:trPr>
          <w:jc w:val="right"/>
        </w:trPr>
        <w:tc>
          <w:tcPr>
            <w:tcW w:w="235" w:type="pct"/>
            <w:vMerge w:val="restart"/>
            <w:tcBorders>
              <w:left w:val="single" w:sz="4" w:space="0" w:color="auto"/>
              <w:right w:val="single" w:sz="4" w:space="0" w:color="auto"/>
            </w:tcBorders>
            <w:vAlign w:val="center"/>
          </w:tcPr>
          <w:p w14:paraId="20714D67"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22</w:t>
            </w:r>
          </w:p>
        </w:tc>
        <w:tc>
          <w:tcPr>
            <w:tcW w:w="861" w:type="pct"/>
            <w:vMerge w:val="restart"/>
            <w:tcBorders>
              <w:left w:val="single" w:sz="4" w:space="0" w:color="auto"/>
              <w:right w:val="single" w:sz="4" w:space="0" w:color="auto"/>
            </w:tcBorders>
            <w:vAlign w:val="center"/>
          </w:tcPr>
          <w:p w14:paraId="35B32EB4"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rPr>
            </w:pPr>
            <w:r w:rsidRPr="00111534">
              <w:rPr>
                <w:rFonts w:ascii="Times New Roman" w:eastAsia="Times New Roman" w:hAnsi="Times New Roman" w:cs="Simplified Arabic"/>
                <w:sz w:val="20"/>
                <w:szCs w:val="20"/>
                <w:rtl/>
              </w:rPr>
              <w:t>تَعمل الشفافية والوضوح في المنصات الإلكترونية على تحسين ثقة الممولين</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36137167"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ك</w:t>
            </w:r>
          </w:p>
        </w:tc>
        <w:tc>
          <w:tcPr>
            <w:tcW w:w="395" w:type="pct"/>
            <w:shd w:val="clear" w:color="auto" w:fill="auto"/>
            <w:vAlign w:val="center"/>
          </w:tcPr>
          <w:p w14:paraId="22F2573C"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158</w:t>
            </w:r>
          </w:p>
        </w:tc>
        <w:tc>
          <w:tcPr>
            <w:tcW w:w="379" w:type="pct"/>
            <w:vAlign w:val="center"/>
          </w:tcPr>
          <w:p w14:paraId="460951F8"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92</w:t>
            </w:r>
          </w:p>
        </w:tc>
        <w:tc>
          <w:tcPr>
            <w:tcW w:w="379" w:type="pct"/>
            <w:shd w:val="clear" w:color="auto" w:fill="auto"/>
            <w:vAlign w:val="center"/>
          </w:tcPr>
          <w:p w14:paraId="6E9A614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39</w:t>
            </w:r>
          </w:p>
        </w:tc>
        <w:tc>
          <w:tcPr>
            <w:tcW w:w="380" w:type="pct"/>
            <w:vAlign w:val="center"/>
          </w:tcPr>
          <w:p w14:paraId="33928D87"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25</w:t>
            </w:r>
          </w:p>
        </w:tc>
        <w:tc>
          <w:tcPr>
            <w:tcW w:w="407" w:type="pct"/>
            <w:vAlign w:val="center"/>
          </w:tcPr>
          <w:p w14:paraId="184C387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70</w:t>
            </w:r>
          </w:p>
        </w:tc>
        <w:tc>
          <w:tcPr>
            <w:tcW w:w="454" w:type="pct"/>
            <w:vMerge w:val="restart"/>
            <w:vAlign w:val="center"/>
          </w:tcPr>
          <w:p w14:paraId="3F1E8DC3"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3.63</w:t>
            </w:r>
          </w:p>
        </w:tc>
        <w:tc>
          <w:tcPr>
            <w:tcW w:w="462" w:type="pct"/>
            <w:vMerge w:val="restart"/>
            <w:vAlign w:val="center"/>
          </w:tcPr>
          <w:p w14:paraId="12314098"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1.512</w:t>
            </w:r>
          </w:p>
        </w:tc>
        <w:tc>
          <w:tcPr>
            <w:tcW w:w="364" w:type="pct"/>
            <w:vMerge w:val="restart"/>
            <w:tcBorders>
              <w:right w:val="single" w:sz="4" w:space="0" w:color="auto"/>
            </w:tcBorders>
            <w:vAlign w:val="center"/>
          </w:tcPr>
          <w:p w14:paraId="0687B707"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Pr>
              <w:t>8</w:t>
            </w:r>
          </w:p>
        </w:tc>
        <w:tc>
          <w:tcPr>
            <w:tcW w:w="476" w:type="pct"/>
            <w:vMerge w:val="restart"/>
            <w:tcBorders>
              <w:right w:val="single" w:sz="4" w:space="0" w:color="auto"/>
            </w:tcBorders>
            <w:vAlign w:val="center"/>
          </w:tcPr>
          <w:p w14:paraId="1F8536AD"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lang w:bidi="ar-EG"/>
              </w:rPr>
              <w:t>عالية</w:t>
            </w:r>
          </w:p>
        </w:tc>
      </w:tr>
      <w:tr w:rsidR="007F33C9" w:rsidRPr="00111534" w14:paraId="605A15AA" w14:textId="77777777" w:rsidTr="007F33C9">
        <w:trPr>
          <w:jc w:val="right"/>
        </w:trPr>
        <w:tc>
          <w:tcPr>
            <w:tcW w:w="235" w:type="pct"/>
            <w:vMerge/>
            <w:tcBorders>
              <w:left w:val="single" w:sz="4" w:space="0" w:color="auto"/>
              <w:right w:val="single" w:sz="4" w:space="0" w:color="auto"/>
            </w:tcBorders>
            <w:vAlign w:val="center"/>
          </w:tcPr>
          <w:p w14:paraId="17C99725"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vAlign w:val="center"/>
          </w:tcPr>
          <w:p w14:paraId="2BB81EF0"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5187B561"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w:t>
            </w:r>
          </w:p>
        </w:tc>
        <w:tc>
          <w:tcPr>
            <w:tcW w:w="395" w:type="pct"/>
            <w:shd w:val="clear" w:color="auto" w:fill="auto"/>
            <w:vAlign w:val="center"/>
          </w:tcPr>
          <w:p w14:paraId="5E461C0F"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41.1</w:t>
            </w:r>
          </w:p>
        </w:tc>
        <w:tc>
          <w:tcPr>
            <w:tcW w:w="379" w:type="pct"/>
            <w:vAlign w:val="center"/>
          </w:tcPr>
          <w:p w14:paraId="42AF52C7"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24</w:t>
            </w:r>
          </w:p>
        </w:tc>
        <w:tc>
          <w:tcPr>
            <w:tcW w:w="379" w:type="pct"/>
            <w:shd w:val="clear" w:color="auto" w:fill="auto"/>
            <w:vAlign w:val="center"/>
          </w:tcPr>
          <w:p w14:paraId="5B076246"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10.2</w:t>
            </w:r>
          </w:p>
        </w:tc>
        <w:tc>
          <w:tcPr>
            <w:tcW w:w="380" w:type="pct"/>
            <w:vAlign w:val="center"/>
          </w:tcPr>
          <w:p w14:paraId="45520A4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6.5</w:t>
            </w:r>
          </w:p>
        </w:tc>
        <w:tc>
          <w:tcPr>
            <w:tcW w:w="407" w:type="pct"/>
            <w:vAlign w:val="center"/>
          </w:tcPr>
          <w:p w14:paraId="7761CA8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18.2</w:t>
            </w:r>
          </w:p>
        </w:tc>
        <w:tc>
          <w:tcPr>
            <w:tcW w:w="454" w:type="pct"/>
            <w:vMerge/>
            <w:vAlign w:val="center"/>
          </w:tcPr>
          <w:p w14:paraId="7DA41487"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1AB47DC0"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1948E839"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1D019266"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5E787690" w14:textId="77777777" w:rsidTr="007F33C9">
        <w:trPr>
          <w:jc w:val="right"/>
        </w:trPr>
        <w:tc>
          <w:tcPr>
            <w:tcW w:w="235" w:type="pct"/>
            <w:vMerge w:val="restart"/>
            <w:tcBorders>
              <w:left w:val="single" w:sz="4" w:space="0" w:color="auto"/>
              <w:right w:val="single" w:sz="4" w:space="0" w:color="auto"/>
            </w:tcBorders>
            <w:vAlign w:val="center"/>
          </w:tcPr>
          <w:p w14:paraId="7AFE06F3"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23</w:t>
            </w:r>
          </w:p>
        </w:tc>
        <w:tc>
          <w:tcPr>
            <w:tcW w:w="861" w:type="pct"/>
            <w:vMerge w:val="restart"/>
            <w:tcBorders>
              <w:left w:val="single" w:sz="4" w:space="0" w:color="auto"/>
              <w:right w:val="single" w:sz="4" w:space="0" w:color="auto"/>
            </w:tcBorders>
            <w:vAlign w:val="center"/>
          </w:tcPr>
          <w:p w14:paraId="7E5DA391" w14:textId="77777777" w:rsidR="00DE2B2A" w:rsidRPr="00111534" w:rsidRDefault="00DE2B2A" w:rsidP="00111534">
            <w:pPr>
              <w:autoSpaceDE w:val="0"/>
              <w:autoSpaceDN w:val="0"/>
              <w:bidi/>
              <w:adjustRightInd w:val="0"/>
              <w:spacing w:after="0" w:line="240" w:lineRule="auto"/>
              <w:jc w:val="center"/>
              <w:rPr>
                <w:rFonts w:ascii="Times New Roman" w:hAnsi="Times New Roman" w:cs="Simplified Arabic"/>
                <w:sz w:val="20"/>
                <w:szCs w:val="20"/>
                <w:rtl/>
                <w:lang w:bidi="ar-KW"/>
              </w:rPr>
            </w:pPr>
            <w:r w:rsidRPr="00111534">
              <w:rPr>
                <w:rFonts w:ascii="Times New Roman" w:eastAsia="Times New Roman" w:hAnsi="Times New Roman" w:cs="Simplified Arabic"/>
                <w:sz w:val="20"/>
                <w:szCs w:val="20"/>
                <w:rtl/>
              </w:rPr>
              <w:t>تَحتاج المشاريع الريادية إلى تطوير نماذج عمل مناسبة للاستفادة من التمويل المختلط</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6958E54A"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ك</w:t>
            </w:r>
          </w:p>
        </w:tc>
        <w:tc>
          <w:tcPr>
            <w:tcW w:w="395" w:type="pct"/>
            <w:shd w:val="clear" w:color="auto" w:fill="auto"/>
            <w:vAlign w:val="center"/>
          </w:tcPr>
          <w:p w14:paraId="12612C37"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172</w:t>
            </w:r>
          </w:p>
        </w:tc>
        <w:tc>
          <w:tcPr>
            <w:tcW w:w="379" w:type="pct"/>
            <w:vAlign w:val="center"/>
          </w:tcPr>
          <w:p w14:paraId="34E9F5C6"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97</w:t>
            </w:r>
          </w:p>
        </w:tc>
        <w:tc>
          <w:tcPr>
            <w:tcW w:w="379" w:type="pct"/>
            <w:shd w:val="clear" w:color="auto" w:fill="auto"/>
            <w:vAlign w:val="center"/>
          </w:tcPr>
          <w:p w14:paraId="0E8684D3"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38</w:t>
            </w:r>
          </w:p>
        </w:tc>
        <w:tc>
          <w:tcPr>
            <w:tcW w:w="380" w:type="pct"/>
            <w:vAlign w:val="center"/>
          </w:tcPr>
          <w:p w14:paraId="59A24899"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28</w:t>
            </w:r>
          </w:p>
        </w:tc>
        <w:tc>
          <w:tcPr>
            <w:tcW w:w="407" w:type="pct"/>
            <w:vAlign w:val="center"/>
          </w:tcPr>
          <w:p w14:paraId="41C80D6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49</w:t>
            </w:r>
          </w:p>
        </w:tc>
        <w:tc>
          <w:tcPr>
            <w:tcW w:w="454" w:type="pct"/>
            <w:vMerge w:val="restart"/>
            <w:vAlign w:val="center"/>
          </w:tcPr>
          <w:p w14:paraId="32B6A02D"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3.82</w:t>
            </w:r>
          </w:p>
        </w:tc>
        <w:tc>
          <w:tcPr>
            <w:tcW w:w="462" w:type="pct"/>
            <w:vMerge w:val="restart"/>
            <w:vAlign w:val="center"/>
          </w:tcPr>
          <w:p w14:paraId="232BB8F0"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1.400</w:t>
            </w:r>
          </w:p>
        </w:tc>
        <w:tc>
          <w:tcPr>
            <w:tcW w:w="364" w:type="pct"/>
            <w:vMerge w:val="restart"/>
            <w:tcBorders>
              <w:right w:val="single" w:sz="4" w:space="0" w:color="auto"/>
            </w:tcBorders>
            <w:vAlign w:val="center"/>
          </w:tcPr>
          <w:p w14:paraId="5F6299D1"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Pr>
              <w:t>6</w:t>
            </w:r>
          </w:p>
        </w:tc>
        <w:tc>
          <w:tcPr>
            <w:tcW w:w="476" w:type="pct"/>
            <w:vMerge w:val="restart"/>
            <w:tcBorders>
              <w:right w:val="single" w:sz="4" w:space="0" w:color="auto"/>
            </w:tcBorders>
            <w:vAlign w:val="center"/>
          </w:tcPr>
          <w:p w14:paraId="64B3BD77"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lang w:bidi="ar-EG"/>
              </w:rPr>
              <w:t>عالية</w:t>
            </w:r>
          </w:p>
        </w:tc>
      </w:tr>
      <w:tr w:rsidR="007F33C9" w:rsidRPr="00111534" w14:paraId="273CDB12" w14:textId="77777777" w:rsidTr="007F33C9">
        <w:trPr>
          <w:jc w:val="right"/>
        </w:trPr>
        <w:tc>
          <w:tcPr>
            <w:tcW w:w="235" w:type="pct"/>
            <w:vMerge/>
            <w:tcBorders>
              <w:left w:val="single" w:sz="4" w:space="0" w:color="auto"/>
              <w:right w:val="single" w:sz="4" w:space="0" w:color="auto"/>
            </w:tcBorders>
            <w:vAlign w:val="center"/>
          </w:tcPr>
          <w:p w14:paraId="4E696793"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vAlign w:val="center"/>
          </w:tcPr>
          <w:p w14:paraId="3CB7568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607E867A"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w:t>
            </w:r>
          </w:p>
        </w:tc>
        <w:tc>
          <w:tcPr>
            <w:tcW w:w="395" w:type="pct"/>
            <w:shd w:val="clear" w:color="auto" w:fill="auto"/>
            <w:vAlign w:val="center"/>
          </w:tcPr>
          <w:p w14:paraId="70F9DA9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44.8</w:t>
            </w:r>
          </w:p>
        </w:tc>
        <w:tc>
          <w:tcPr>
            <w:tcW w:w="379" w:type="pct"/>
            <w:vAlign w:val="center"/>
          </w:tcPr>
          <w:p w14:paraId="3C431497"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25.3</w:t>
            </w:r>
          </w:p>
        </w:tc>
        <w:tc>
          <w:tcPr>
            <w:tcW w:w="379" w:type="pct"/>
            <w:shd w:val="clear" w:color="auto" w:fill="auto"/>
            <w:vAlign w:val="center"/>
          </w:tcPr>
          <w:p w14:paraId="7479C0F1"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9.9</w:t>
            </w:r>
          </w:p>
        </w:tc>
        <w:tc>
          <w:tcPr>
            <w:tcW w:w="380" w:type="pct"/>
            <w:vAlign w:val="center"/>
          </w:tcPr>
          <w:p w14:paraId="7DEBC074"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7.3</w:t>
            </w:r>
          </w:p>
        </w:tc>
        <w:tc>
          <w:tcPr>
            <w:tcW w:w="407" w:type="pct"/>
            <w:vAlign w:val="center"/>
          </w:tcPr>
          <w:p w14:paraId="5843195A"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12.8</w:t>
            </w:r>
          </w:p>
        </w:tc>
        <w:tc>
          <w:tcPr>
            <w:tcW w:w="454" w:type="pct"/>
            <w:vMerge/>
            <w:vAlign w:val="center"/>
          </w:tcPr>
          <w:p w14:paraId="21306B3D"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598EB8F5"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535A78E0"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50DC1C77"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78EA135B" w14:textId="77777777" w:rsidTr="007F33C9">
        <w:trPr>
          <w:jc w:val="right"/>
        </w:trPr>
        <w:tc>
          <w:tcPr>
            <w:tcW w:w="235" w:type="pct"/>
            <w:vMerge w:val="restart"/>
            <w:tcBorders>
              <w:left w:val="single" w:sz="4" w:space="0" w:color="auto"/>
              <w:right w:val="single" w:sz="4" w:space="0" w:color="auto"/>
            </w:tcBorders>
            <w:vAlign w:val="center"/>
          </w:tcPr>
          <w:p w14:paraId="64AD1336"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rPr>
              <w:t>24</w:t>
            </w:r>
          </w:p>
        </w:tc>
        <w:tc>
          <w:tcPr>
            <w:tcW w:w="861" w:type="pct"/>
            <w:vMerge w:val="restart"/>
            <w:tcBorders>
              <w:left w:val="single" w:sz="4" w:space="0" w:color="auto"/>
              <w:right w:val="single" w:sz="4" w:space="0" w:color="auto"/>
            </w:tcBorders>
            <w:vAlign w:val="center"/>
          </w:tcPr>
          <w:p w14:paraId="5EC6D801"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eastAsia="Times New Roman" w:hAnsi="Times New Roman" w:cs="Simplified Arabic"/>
                <w:sz w:val="20"/>
                <w:szCs w:val="20"/>
                <w:rtl/>
              </w:rPr>
              <w:t>تُعد التشريعات المنظمة للتمويل التشاركي عاملاً أساسيًا في نجاح التمويل المختلط</w:t>
            </w:r>
            <w:r w:rsidRPr="00111534">
              <w:rPr>
                <w:rFonts w:ascii="Times New Roman" w:eastAsia="Times New Roman" w:hAnsi="Times New Roman" w:cs="Simplified Arabic"/>
                <w:sz w:val="20"/>
                <w:szCs w:val="20"/>
              </w:rPr>
              <w:t>.</w:t>
            </w: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0D5992F5"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ك</w:t>
            </w:r>
          </w:p>
        </w:tc>
        <w:tc>
          <w:tcPr>
            <w:tcW w:w="395" w:type="pct"/>
            <w:shd w:val="clear" w:color="auto" w:fill="auto"/>
            <w:vAlign w:val="center"/>
          </w:tcPr>
          <w:p w14:paraId="4067666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187</w:t>
            </w:r>
          </w:p>
        </w:tc>
        <w:tc>
          <w:tcPr>
            <w:tcW w:w="379" w:type="pct"/>
            <w:vAlign w:val="center"/>
          </w:tcPr>
          <w:p w14:paraId="59CFFCA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108</w:t>
            </w:r>
          </w:p>
        </w:tc>
        <w:tc>
          <w:tcPr>
            <w:tcW w:w="379" w:type="pct"/>
            <w:shd w:val="clear" w:color="auto" w:fill="auto"/>
            <w:vAlign w:val="center"/>
          </w:tcPr>
          <w:p w14:paraId="1B1D0D0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41</w:t>
            </w:r>
          </w:p>
        </w:tc>
        <w:tc>
          <w:tcPr>
            <w:tcW w:w="380" w:type="pct"/>
            <w:vAlign w:val="center"/>
          </w:tcPr>
          <w:p w14:paraId="4488B3E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20</w:t>
            </w:r>
          </w:p>
        </w:tc>
        <w:tc>
          <w:tcPr>
            <w:tcW w:w="407" w:type="pct"/>
            <w:vAlign w:val="center"/>
          </w:tcPr>
          <w:p w14:paraId="4B69BABF"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28</w:t>
            </w:r>
          </w:p>
        </w:tc>
        <w:tc>
          <w:tcPr>
            <w:tcW w:w="454" w:type="pct"/>
            <w:vMerge w:val="restart"/>
            <w:vAlign w:val="center"/>
          </w:tcPr>
          <w:p w14:paraId="322DFC77"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4.06</w:t>
            </w:r>
          </w:p>
        </w:tc>
        <w:tc>
          <w:tcPr>
            <w:tcW w:w="462" w:type="pct"/>
            <w:vMerge w:val="restart"/>
            <w:vAlign w:val="center"/>
          </w:tcPr>
          <w:p w14:paraId="293B3B39"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1.208</w:t>
            </w:r>
          </w:p>
        </w:tc>
        <w:tc>
          <w:tcPr>
            <w:tcW w:w="364" w:type="pct"/>
            <w:vMerge w:val="restart"/>
            <w:tcBorders>
              <w:right w:val="single" w:sz="4" w:space="0" w:color="auto"/>
            </w:tcBorders>
            <w:vAlign w:val="center"/>
          </w:tcPr>
          <w:p w14:paraId="605BB2F3"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Pr>
              <w:t>2</w:t>
            </w:r>
          </w:p>
        </w:tc>
        <w:tc>
          <w:tcPr>
            <w:tcW w:w="476" w:type="pct"/>
            <w:vMerge w:val="restart"/>
            <w:tcBorders>
              <w:right w:val="single" w:sz="4" w:space="0" w:color="auto"/>
            </w:tcBorders>
            <w:vAlign w:val="center"/>
          </w:tcPr>
          <w:p w14:paraId="38ED0BCA"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hint="cs"/>
                <w:sz w:val="20"/>
                <w:szCs w:val="20"/>
                <w:rtl/>
                <w:lang w:bidi="ar-EG"/>
              </w:rPr>
              <w:t>عالية</w:t>
            </w:r>
          </w:p>
        </w:tc>
      </w:tr>
      <w:tr w:rsidR="007F33C9" w:rsidRPr="00111534" w14:paraId="495961D8" w14:textId="77777777" w:rsidTr="007F33C9">
        <w:trPr>
          <w:jc w:val="right"/>
        </w:trPr>
        <w:tc>
          <w:tcPr>
            <w:tcW w:w="235" w:type="pct"/>
            <w:vMerge/>
            <w:tcBorders>
              <w:left w:val="single" w:sz="4" w:space="0" w:color="auto"/>
              <w:right w:val="single" w:sz="4" w:space="0" w:color="auto"/>
            </w:tcBorders>
            <w:vAlign w:val="center"/>
          </w:tcPr>
          <w:p w14:paraId="46F57522"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861" w:type="pct"/>
            <w:vMerge/>
            <w:tcBorders>
              <w:left w:val="single" w:sz="4" w:space="0" w:color="auto"/>
              <w:right w:val="single" w:sz="4" w:space="0" w:color="auto"/>
            </w:tcBorders>
            <w:vAlign w:val="center"/>
          </w:tcPr>
          <w:p w14:paraId="519B628E"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208" w:type="pct"/>
            <w:tcBorders>
              <w:top w:val="single" w:sz="4" w:space="0" w:color="auto"/>
              <w:left w:val="single" w:sz="4" w:space="0" w:color="auto"/>
              <w:bottom w:val="single" w:sz="4" w:space="0" w:color="auto"/>
            </w:tcBorders>
            <w:shd w:val="clear" w:color="auto" w:fill="BFBFBF" w:themeFill="background1" w:themeFillShade="BF"/>
            <w:vAlign w:val="center"/>
          </w:tcPr>
          <w:p w14:paraId="5120CD2F" w14:textId="77777777" w:rsidR="00DE2B2A" w:rsidRPr="00111534" w:rsidRDefault="00DE2B2A" w:rsidP="00111534">
            <w:pPr>
              <w:bidi/>
              <w:spacing w:after="0" w:line="240" w:lineRule="auto"/>
              <w:jc w:val="center"/>
              <w:rPr>
                <w:rFonts w:ascii="Times New Roman" w:hAnsi="Times New Roman" w:cs="Simplified Arabic"/>
                <w:sz w:val="20"/>
                <w:szCs w:val="20"/>
                <w:rtl/>
              </w:rPr>
            </w:pPr>
            <w:r w:rsidRPr="00111534">
              <w:rPr>
                <w:rFonts w:ascii="Times New Roman" w:hAnsi="Times New Roman" w:cs="Simplified Arabic"/>
                <w:sz w:val="20"/>
                <w:szCs w:val="20"/>
                <w:rtl/>
              </w:rPr>
              <w:t>%</w:t>
            </w:r>
          </w:p>
        </w:tc>
        <w:tc>
          <w:tcPr>
            <w:tcW w:w="395" w:type="pct"/>
            <w:shd w:val="clear" w:color="auto" w:fill="auto"/>
            <w:vAlign w:val="center"/>
          </w:tcPr>
          <w:p w14:paraId="726C579E"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48.7</w:t>
            </w:r>
          </w:p>
        </w:tc>
        <w:tc>
          <w:tcPr>
            <w:tcW w:w="379" w:type="pct"/>
            <w:vAlign w:val="center"/>
          </w:tcPr>
          <w:p w14:paraId="416A368B"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28.1</w:t>
            </w:r>
          </w:p>
        </w:tc>
        <w:tc>
          <w:tcPr>
            <w:tcW w:w="379" w:type="pct"/>
            <w:shd w:val="clear" w:color="auto" w:fill="auto"/>
            <w:vAlign w:val="center"/>
          </w:tcPr>
          <w:p w14:paraId="22BB4CF0"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10.7</w:t>
            </w:r>
          </w:p>
        </w:tc>
        <w:tc>
          <w:tcPr>
            <w:tcW w:w="380" w:type="pct"/>
            <w:vAlign w:val="center"/>
          </w:tcPr>
          <w:p w14:paraId="06834FE2"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5.2</w:t>
            </w:r>
          </w:p>
        </w:tc>
        <w:tc>
          <w:tcPr>
            <w:tcW w:w="407" w:type="pct"/>
            <w:vAlign w:val="center"/>
          </w:tcPr>
          <w:p w14:paraId="769C4985" w14:textId="77777777" w:rsidR="00DE2B2A" w:rsidRPr="00111534" w:rsidRDefault="00DE2B2A" w:rsidP="00111534">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111534">
              <w:rPr>
                <w:rFonts w:ascii="Times New Roman" w:hAnsi="Times New Roman" w:cs="Simplified Arabic"/>
                <w:color w:val="000000"/>
                <w:sz w:val="20"/>
                <w:szCs w:val="20"/>
              </w:rPr>
              <w:t>7.3</w:t>
            </w:r>
          </w:p>
        </w:tc>
        <w:tc>
          <w:tcPr>
            <w:tcW w:w="454" w:type="pct"/>
            <w:vMerge/>
            <w:vAlign w:val="center"/>
          </w:tcPr>
          <w:p w14:paraId="64BD6AE6"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462" w:type="pct"/>
            <w:vMerge/>
            <w:vAlign w:val="center"/>
          </w:tcPr>
          <w:p w14:paraId="51BAF5DC" w14:textId="77777777" w:rsidR="00DE2B2A" w:rsidRPr="00111534" w:rsidRDefault="00DE2B2A" w:rsidP="00111534">
            <w:pPr>
              <w:bidi/>
              <w:spacing w:after="0" w:line="240" w:lineRule="auto"/>
              <w:jc w:val="center"/>
              <w:rPr>
                <w:rFonts w:ascii="Times New Roman" w:hAnsi="Times New Roman" w:cs="Simplified Arabic"/>
                <w:sz w:val="20"/>
                <w:szCs w:val="20"/>
              </w:rPr>
            </w:pPr>
          </w:p>
        </w:tc>
        <w:tc>
          <w:tcPr>
            <w:tcW w:w="364" w:type="pct"/>
            <w:vMerge/>
            <w:tcBorders>
              <w:right w:val="single" w:sz="4" w:space="0" w:color="auto"/>
            </w:tcBorders>
            <w:vAlign w:val="center"/>
          </w:tcPr>
          <w:p w14:paraId="0C76DFE0"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c>
          <w:tcPr>
            <w:tcW w:w="476" w:type="pct"/>
            <w:vMerge/>
            <w:tcBorders>
              <w:right w:val="single" w:sz="4" w:space="0" w:color="auto"/>
            </w:tcBorders>
            <w:vAlign w:val="center"/>
          </w:tcPr>
          <w:p w14:paraId="47775DE1" w14:textId="77777777" w:rsidR="00DE2B2A" w:rsidRPr="00111534" w:rsidRDefault="00DE2B2A" w:rsidP="00111534">
            <w:pPr>
              <w:bidi/>
              <w:spacing w:after="0" w:line="240" w:lineRule="auto"/>
              <w:jc w:val="center"/>
              <w:rPr>
                <w:rFonts w:ascii="Times New Roman" w:hAnsi="Times New Roman" w:cs="Simplified Arabic"/>
                <w:sz w:val="20"/>
                <w:szCs w:val="20"/>
                <w:rtl/>
              </w:rPr>
            </w:pPr>
          </w:p>
        </w:tc>
      </w:tr>
      <w:tr w:rsidR="007F33C9" w:rsidRPr="00111534" w14:paraId="10E5EFC2" w14:textId="77777777" w:rsidTr="007F33C9">
        <w:trPr>
          <w:jc w:val="right"/>
        </w:trPr>
        <w:tc>
          <w:tcPr>
            <w:tcW w:w="3244" w:type="pct"/>
            <w:gridSpan w:val="8"/>
            <w:tcBorders>
              <w:left w:val="single" w:sz="4" w:space="0" w:color="auto"/>
            </w:tcBorders>
            <w:shd w:val="clear" w:color="auto" w:fill="BFBFBF" w:themeFill="background1" w:themeFillShade="BF"/>
            <w:vAlign w:val="center"/>
          </w:tcPr>
          <w:p w14:paraId="050B84E6"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hint="cs"/>
                <w:sz w:val="20"/>
                <w:szCs w:val="20"/>
                <w:rtl/>
              </w:rPr>
              <w:t>المتوسط العام</w:t>
            </w:r>
          </w:p>
        </w:tc>
        <w:tc>
          <w:tcPr>
            <w:tcW w:w="454" w:type="pct"/>
            <w:shd w:val="clear" w:color="auto" w:fill="BFBFBF" w:themeFill="background1" w:themeFillShade="BF"/>
            <w:vAlign w:val="center"/>
          </w:tcPr>
          <w:p w14:paraId="25F60E79" w14:textId="77777777" w:rsidR="00DE2B2A" w:rsidRPr="00111534" w:rsidRDefault="00DE2B2A" w:rsidP="00111534">
            <w:pPr>
              <w:bidi/>
              <w:spacing w:after="0" w:line="240" w:lineRule="auto"/>
              <w:jc w:val="center"/>
              <w:rPr>
                <w:rFonts w:ascii="Times New Roman" w:hAnsi="Times New Roman" w:cs="Simplified Arabic"/>
                <w:sz w:val="20"/>
                <w:szCs w:val="20"/>
              </w:rPr>
            </w:pPr>
            <w:r w:rsidRPr="00111534">
              <w:rPr>
                <w:rFonts w:ascii="Times New Roman" w:hAnsi="Times New Roman" w:cs="Simplified Arabic"/>
                <w:color w:val="000000"/>
                <w:sz w:val="20"/>
                <w:szCs w:val="20"/>
              </w:rPr>
              <w:t>3.91</w:t>
            </w:r>
          </w:p>
        </w:tc>
        <w:tc>
          <w:tcPr>
            <w:tcW w:w="462" w:type="pct"/>
            <w:shd w:val="clear" w:color="auto" w:fill="BFBFBF" w:themeFill="background1" w:themeFillShade="BF"/>
            <w:vAlign w:val="center"/>
          </w:tcPr>
          <w:p w14:paraId="6B960428"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color w:val="000000"/>
                <w:sz w:val="20"/>
                <w:szCs w:val="20"/>
              </w:rPr>
              <w:t>.560</w:t>
            </w:r>
          </w:p>
        </w:tc>
        <w:tc>
          <w:tcPr>
            <w:tcW w:w="364" w:type="pct"/>
            <w:tcBorders>
              <w:right w:val="single" w:sz="4" w:space="0" w:color="auto"/>
            </w:tcBorders>
            <w:shd w:val="clear" w:color="auto" w:fill="BFBFBF" w:themeFill="background1" w:themeFillShade="BF"/>
            <w:vAlign w:val="center"/>
          </w:tcPr>
          <w:p w14:paraId="752A6851"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hint="cs"/>
                <w:sz w:val="20"/>
                <w:szCs w:val="20"/>
                <w:rtl/>
                <w:lang w:bidi="ar-EG"/>
              </w:rPr>
              <w:t>--</w:t>
            </w:r>
          </w:p>
        </w:tc>
        <w:tc>
          <w:tcPr>
            <w:tcW w:w="476" w:type="pct"/>
            <w:tcBorders>
              <w:right w:val="single" w:sz="4" w:space="0" w:color="auto"/>
            </w:tcBorders>
            <w:shd w:val="clear" w:color="auto" w:fill="BFBFBF" w:themeFill="background1" w:themeFillShade="BF"/>
            <w:vAlign w:val="center"/>
          </w:tcPr>
          <w:p w14:paraId="76F0D9F1" w14:textId="77777777" w:rsidR="00DE2B2A" w:rsidRPr="00111534" w:rsidRDefault="00DE2B2A" w:rsidP="00111534">
            <w:pPr>
              <w:bidi/>
              <w:spacing w:after="0" w:line="240" w:lineRule="auto"/>
              <w:jc w:val="center"/>
              <w:rPr>
                <w:rFonts w:ascii="Times New Roman" w:hAnsi="Times New Roman" w:cs="Simplified Arabic"/>
                <w:sz w:val="20"/>
                <w:szCs w:val="20"/>
                <w:rtl/>
                <w:lang w:bidi="ar-EG"/>
              </w:rPr>
            </w:pPr>
            <w:r w:rsidRPr="00111534">
              <w:rPr>
                <w:rFonts w:ascii="Times New Roman" w:hAnsi="Times New Roman" w:cs="Simplified Arabic" w:hint="cs"/>
                <w:sz w:val="20"/>
                <w:szCs w:val="20"/>
                <w:rtl/>
                <w:lang w:bidi="ar-EG"/>
              </w:rPr>
              <w:t>عالية</w:t>
            </w:r>
          </w:p>
        </w:tc>
      </w:tr>
    </w:tbl>
    <w:p w14:paraId="602BAD08" w14:textId="77777777" w:rsidR="00DE2B2A" w:rsidRPr="00BC50C9" w:rsidRDefault="00DE2B2A" w:rsidP="007F33C9">
      <w:pPr>
        <w:pStyle w:val="00000"/>
        <w:rPr>
          <w:rtl/>
        </w:rPr>
      </w:pPr>
      <w:r w:rsidRPr="00BC50C9">
        <w:rPr>
          <w:rtl/>
        </w:rPr>
        <w:lastRenderedPageBreak/>
        <w:t xml:space="preserve">يتبين من الجدول </w:t>
      </w:r>
      <w:r w:rsidRPr="00BC50C9">
        <w:rPr>
          <w:rFonts w:hint="cs"/>
          <w:rtl/>
        </w:rPr>
        <w:t>السابق</w:t>
      </w:r>
      <w:r w:rsidRPr="00BC50C9">
        <w:rPr>
          <w:rtl/>
        </w:rPr>
        <w:t>: أن</w:t>
      </w:r>
      <w:r w:rsidRPr="00BC50C9">
        <w:rPr>
          <w:rFonts w:hint="cs"/>
          <w:rtl/>
        </w:rPr>
        <w:t xml:space="preserve"> المتوسط العام</w:t>
      </w:r>
      <w:r w:rsidRPr="00BC50C9">
        <w:rPr>
          <w:rtl/>
        </w:rPr>
        <w:t xml:space="preserve"> </w:t>
      </w:r>
      <w:r w:rsidRPr="00BC50C9">
        <w:rPr>
          <w:rFonts w:hint="cs"/>
          <w:rtl/>
        </w:rPr>
        <w:t>للبعد الثالث: التمويل التشاركي المختلط  جاء</w:t>
      </w:r>
      <w:r w:rsidRPr="00BC50C9">
        <w:rPr>
          <w:rtl/>
        </w:rPr>
        <w:t xml:space="preserve"> بدرجة استجابة (</w:t>
      </w:r>
      <w:r w:rsidRPr="00BC50C9">
        <w:rPr>
          <w:rFonts w:hint="cs"/>
          <w:rtl/>
        </w:rPr>
        <w:t>عالية</w:t>
      </w:r>
      <w:r w:rsidRPr="00BC50C9">
        <w:rPr>
          <w:rtl/>
        </w:rPr>
        <w:t xml:space="preserve">)، وبمتوسط حسابي قدرة </w:t>
      </w:r>
      <w:r w:rsidRPr="00BC50C9">
        <w:rPr>
          <w:rFonts w:hint="cs"/>
          <w:rtl/>
        </w:rPr>
        <w:t>(</w:t>
      </w:r>
      <w:r w:rsidRPr="00BC50C9">
        <w:rPr>
          <w:color w:val="000000"/>
        </w:rPr>
        <w:t>3.91</w:t>
      </w:r>
      <w:r w:rsidRPr="00BC50C9">
        <w:rPr>
          <w:rFonts w:hint="cs"/>
          <w:rtl/>
        </w:rPr>
        <w:t>)</w:t>
      </w:r>
      <w:r w:rsidRPr="00BC50C9">
        <w:rPr>
          <w:rtl/>
        </w:rPr>
        <w:t xml:space="preserve">، وانحراف معياري </w:t>
      </w:r>
      <w:r w:rsidRPr="00BC50C9">
        <w:rPr>
          <w:rFonts w:hint="cs"/>
          <w:rtl/>
        </w:rPr>
        <w:t>(</w:t>
      </w:r>
      <w:r w:rsidRPr="00BC50C9">
        <w:rPr>
          <w:color w:val="000000"/>
        </w:rPr>
        <w:t>.560</w:t>
      </w:r>
      <w:r w:rsidRPr="00BC50C9">
        <w:rPr>
          <w:rFonts w:hint="cs"/>
          <w:rtl/>
        </w:rPr>
        <w:t>)</w:t>
      </w:r>
      <w:r w:rsidRPr="00BC50C9">
        <w:rPr>
          <w:rtl/>
        </w:rPr>
        <w:t>،</w:t>
      </w:r>
      <w:r w:rsidRPr="00BC50C9">
        <w:rPr>
          <w:rFonts w:hint="cs"/>
          <w:rtl/>
        </w:rPr>
        <w:t xml:space="preserve"> </w:t>
      </w:r>
      <w:r w:rsidRPr="00BC50C9">
        <w:rPr>
          <w:rtl/>
        </w:rPr>
        <w:t xml:space="preserve">وجاء في الترتيب الأول </w:t>
      </w:r>
      <w:r w:rsidRPr="00BC50C9">
        <w:rPr>
          <w:rFonts w:hint="cs"/>
          <w:rtl/>
        </w:rPr>
        <w:t>العبارة</w:t>
      </w:r>
      <w:r w:rsidRPr="00BC50C9">
        <w:rPr>
          <w:rtl/>
        </w:rPr>
        <w:t xml:space="preserve"> رقم (</w:t>
      </w:r>
      <w:r w:rsidRPr="00BC50C9">
        <w:rPr>
          <w:rFonts w:hint="cs"/>
          <w:rtl/>
        </w:rPr>
        <w:t>21</w:t>
      </w:r>
      <w:r w:rsidRPr="00BC50C9">
        <w:rPr>
          <w:rtl/>
        </w:rPr>
        <w:t>) بمتوسط حسابي (</w:t>
      </w:r>
      <w:r w:rsidRPr="00BC50C9">
        <w:rPr>
          <w:color w:val="000000"/>
        </w:rPr>
        <w:t>4.14</w:t>
      </w:r>
      <w:r w:rsidRPr="00BC50C9">
        <w:rPr>
          <w:rtl/>
        </w:rPr>
        <w:t>)، وانحراف معياري (</w:t>
      </w:r>
      <w:r w:rsidRPr="00BC50C9">
        <w:rPr>
          <w:color w:val="000000"/>
        </w:rPr>
        <w:t>1.244</w:t>
      </w:r>
      <w:r w:rsidRPr="00BC50C9">
        <w:rPr>
          <w:rtl/>
        </w:rPr>
        <w:t>) وبدرجة استجابة (</w:t>
      </w:r>
      <w:r w:rsidRPr="00BC50C9">
        <w:rPr>
          <w:rFonts w:hint="cs"/>
          <w:rtl/>
        </w:rPr>
        <w:t>عالية</w:t>
      </w:r>
      <w:r w:rsidRPr="00BC50C9">
        <w:rPr>
          <w:rtl/>
        </w:rPr>
        <w:t xml:space="preserve">)، وجاء في الترتيب الثاني </w:t>
      </w:r>
      <w:r w:rsidRPr="00BC50C9">
        <w:rPr>
          <w:rFonts w:hint="cs"/>
          <w:rtl/>
        </w:rPr>
        <w:t>العبارة</w:t>
      </w:r>
      <w:r w:rsidRPr="00BC50C9">
        <w:rPr>
          <w:rtl/>
        </w:rPr>
        <w:t xml:space="preserve"> رقم (</w:t>
      </w:r>
      <w:r w:rsidRPr="00BC50C9">
        <w:rPr>
          <w:rFonts w:hint="cs"/>
          <w:rtl/>
        </w:rPr>
        <w:t>24</w:t>
      </w:r>
      <w:r w:rsidRPr="00BC50C9">
        <w:rPr>
          <w:rtl/>
        </w:rPr>
        <w:t>) بمتوسط حسابي (</w:t>
      </w:r>
      <w:r w:rsidRPr="00BC50C9">
        <w:rPr>
          <w:color w:val="000000"/>
        </w:rPr>
        <w:t>4.06</w:t>
      </w:r>
      <w:r w:rsidRPr="00BC50C9">
        <w:rPr>
          <w:rtl/>
        </w:rPr>
        <w:t>)، وانحراف معياري (</w:t>
      </w:r>
      <w:r w:rsidRPr="00BC50C9">
        <w:rPr>
          <w:color w:val="000000"/>
        </w:rPr>
        <w:t>1.208</w:t>
      </w:r>
      <w:r w:rsidRPr="00BC50C9">
        <w:rPr>
          <w:rtl/>
        </w:rPr>
        <w:t>) وبدرجة استجابة (</w:t>
      </w:r>
      <w:r w:rsidRPr="00BC50C9">
        <w:rPr>
          <w:rFonts w:hint="cs"/>
          <w:rtl/>
        </w:rPr>
        <w:t>عالية</w:t>
      </w:r>
      <w:r w:rsidRPr="00BC50C9">
        <w:rPr>
          <w:rtl/>
        </w:rPr>
        <w:t xml:space="preserve">)، ويليه في الترتيب الأخير </w:t>
      </w:r>
      <w:r w:rsidRPr="00BC50C9">
        <w:rPr>
          <w:rFonts w:hint="cs"/>
          <w:rtl/>
        </w:rPr>
        <w:t>العبارة</w:t>
      </w:r>
      <w:r w:rsidRPr="00BC50C9">
        <w:rPr>
          <w:rtl/>
        </w:rPr>
        <w:t xml:space="preserve"> رقم (</w:t>
      </w:r>
      <w:r w:rsidRPr="00BC50C9">
        <w:rPr>
          <w:rFonts w:hint="cs"/>
          <w:rtl/>
        </w:rPr>
        <w:t>22</w:t>
      </w:r>
      <w:r w:rsidRPr="00BC50C9">
        <w:rPr>
          <w:rtl/>
        </w:rPr>
        <w:t>) بمتوسط حسابي (</w:t>
      </w:r>
      <w:r w:rsidRPr="00BC50C9">
        <w:rPr>
          <w:color w:val="000000"/>
        </w:rPr>
        <w:t>3.63</w:t>
      </w:r>
      <w:r w:rsidRPr="00BC50C9">
        <w:rPr>
          <w:rtl/>
        </w:rPr>
        <w:t>)، وانحراف معياري (</w:t>
      </w:r>
      <w:r w:rsidRPr="00BC50C9">
        <w:rPr>
          <w:color w:val="000000"/>
        </w:rPr>
        <w:t>1.512</w:t>
      </w:r>
      <w:r w:rsidRPr="00BC50C9">
        <w:rPr>
          <w:rtl/>
        </w:rPr>
        <w:t>) وبدرجة استجابة (</w:t>
      </w:r>
      <w:r w:rsidRPr="00BC50C9">
        <w:rPr>
          <w:rFonts w:hint="cs"/>
          <w:rtl/>
        </w:rPr>
        <w:t>عالية</w:t>
      </w:r>
      <w:r w:rsidRPr="00BC50C9">
        <w:rPr>
          <w:rtl/>
        </w:rPr>
        <w:t xml:space="preserve">)، وجاءت باقي </w:t>
      </w:r>
      <w:r w:rsidRPr="00BC50C9">
        <w:rPr>
          <w:rFonts w:hint="cs"/>
          <w:rtl/>
        </w:rPr>
        <w:t xml:space="preserve">العبارات </w:t>
      </w:r>
      <w:r w:rsidRPr="00BC50C9">
        <w:rPr>
          <w:rtl/>
        </w:rPr>
        <w:t>بدرجة استجابة (</w:t>
      </w:r>
      <w:r w:rsidRPr="00BC50C9">
        <w:rPr>
          <w:rFonts w:hint="cs"/>
          <w:rtl/>
        </w:rPr>
        <w:t>عالية</w:t>
      </w:r>
      <w:r w:rsidRPr="00BC50C9">
        <w:rPr>
          <w:rtl/>
        </w:rPr>
        <w:t>)</w:t>
      </w:r>
      <w:r w:rsidRPr="00BC50C9">
        <w:rPr>
          <w:rFonts w:hint="cs"/>
          <w:rtl/>
        </w:rPr>
        <w:t xml:space="preserve">، </w:t>
      </w:r>
      <w:r w:rsidRPr="00BC50C9">
        <w:rPr>
          <w:rtl/>
        </w:rPr>
        <w:t xml:space="preserve">بينما تراوحت الانحرافات المعيارية لعبارات </w:t>
      </w:r>
      <w:r w:rsidRPr="00BC50C9">
        <w:rPr>
          <w:rFonts w:hint="cs"/>
          <w:rtl/>
        </w:rPr>
        <w:t>البعد الثالث</w:t>
      </w:r>
      <w:r w:rsidRPr="00BC50C9">
        <w:rPr>
          <w:rtl/>
        </w:rPr>
        <w:t xml:space="preserve"> بين </w:t>
      </w:r>
      <w:r w:rsidRPr="00BC50C9">
        <w:rPr>
          <w:rFonts w:hint="cs"/>
          <w:rtl/>
        </w:rPr>
        <w:t>(</w:t>
      </w:r>
      <w:r w:rsidRPr="00BC50C9">
        <w:rPr>
          <w:color w:val="000000"/>
        </w:rPr>
        <w:t>1.192</w:t>
      </w:r>
      <w:r w:rsidRPr="00BC50C9">
        <w:rPr>
          <w:rFonts w:hint="cs"/>
          <w:rtl/>
        </w:rPr>
        <w:t>-</w:t>
      </w:r>
      <w:r w:rsidRPr="00BC50C9">
        <w:rPr>
          <w:color w:val="000000"/>
        </w:rPr>
        <w:t>1.512</w:t>
      </w:r>
      <w:r w:rsidRPr="00BC50C9">
        <w:rPr>
          <w:rFonts w:hint="cs"/>
          <w:rtl/>
        </w:rPr>
        <w:t xml:space="preserve">) </w:t>
      </w:r>
      <w:r w:rsidRPr="00BC50C9">
        <w:rPr>
          <w:rtl/>
        </w:rPr>
        <w:t xml:space="preserve">وهي قيم </w:t>
      </w:r>
      <w:r w:rsidRPr="00BC50C9">
        <w:rPr>
          <w:rFonts w:hint="cs"/>
          <w:rtl/>
        </w:rPr>
        <w:t>مرتفعة</w:t>
      </w:r>
      <w:r w:rsidRPr="00BC50C9">
        <w:rPr>
          <w:rtl/>
        </w:rPr>
        <w:t xml:space="preserve"> مما يدل على </w:t>
      </w:r>
      <w:r w:rsidRPr="00BC50C9">
        <w:rPr>
          <w:rFonts w:hint="cs"/>
          <w:rtl/>
        </w:rPr>
        <w:t>تباين</w:t>
      </w:r>
      <w:r w:rsidRPr="00BC50C9">
        <w:rPr>
          <w:rtl/>
        </w:rPr>
        <w:t xml:space="preserve"> آراء أفراد عينة الدراسة نحو تلك العبارات.</w:t>
      </w:r>
    </w:p>
    <w:p w14:paraId="0699F7A8" w14:textId="77777777" w:rsidR="00DE2B2A" w:rsidRPr="00BC50C9" w:rsidRDefault="00DE2B2A" w:rsidP="007F33C9">
      <w:pPr>
        <w:pStyle w:val="00000"/>
        <w:rPr>
          <w:rtl/>
        </w:rPr>
      </w:pPr>
      <w:r w:rsidRPr="00BC50C9">
        <w:rPr>
          <w:rFonts w:hint="cs"/>
          <w:rtl/>
        </w:rPr>
        <w:t xml:space="preserve">ويمكن تفسير حصول المتوسط العام للبعد الثالث على درجة استجابة (عالية) إلى إن التمويل </w:t>
      </w:r>
      <w:r w:rsidRPr="00BC50C9">
        <w:rPr>
          <w:rtl/>
        </w:rPr>
        <w:t xml:space="preserve">التشاركي المختلط </w:t>
      </w:r>
      <w:r w:rsidRPr="00BC50C9">
        <w:rPr>
          <w:rFonts w:hint="cs"/>
          <w:rtl/>
        </w:rPr>
        <w:t xml:space="preserve">يوفر </w:t>
      </w:r>
      <w:r w:rsidRPr="00BC50C9">
        <w:rPr>
          <w:rtl/>
        </w:rPr>
        <w:t>حلولًا مرنة لدعم المشاريع الريادية</w:t>
      </w:r>
      <w:r w:rsidRPr="00BC50C9">
        <w:rPr>
          <w:rFonts w:hint="cs"/>
          <w:rtl/>
        </w:rPr>
        <w:t xml:space="preserve">؛ </w:t>
      </w:r>
      <w:r w:rsidRPr="00BC50C9">
        <w:rPr>
          <w:rtl/>
        </w:rPr>
        <w:t>حيث يجمع بين أنواع متعددة من التمويل لتلبية احتياجات مختلفة</w:t>
      </w:r>
      <w:r w:rsidRPr="00BC50C9">
        <w:rPr>
          <w:rFonts w:hint="cs"/>
          <w:rtl/>
        </w:rPr>
        <w:t>،</w:t>
      </w:r>
      <w:r w:rsidRPr="00BC50C9">
        <w:rPr>
          <w:rtl/>
        </w:rPr>
        <w:t xml:space="preserve"> </w:t>
      </w:r>
      <w:r w:rsidRPr="00BC50C9">
        <w:rPr>
          <w:rFonts w:hint="cs"/>
          <w:rtl/>
        </w:rPr>
        <w:t xml:space="preserve">وهو ما يزيد من </w:t>
      </w:r>
      <w:r w:rsidRPr="00BC50C9">
        <w:rPr>
          <w:rtl/>
        </w:rPr>
        <w:t>فاعلية المنصة الإلكترونية عند دمج أكثر من نوع من التمويل التشاركي، مما يسهم في جذب شريحة أوسع من المستثمرين</w:t>
      </w:r>
      <w:r w:rsidRPr="00BC50C9">
        <w:rPr>
          <w:rFonts w:hint="cs"/>
          <w:rtl/>
        </w:rPr>
        <w:t xml:space="preserve">، </w:t>
      </w:r>
      <w:r w:rsidRPr="00BC50C9">
        <w:rPr>
          <w:rtl/>
        </w:rPr>
        <w:t xml:space="preserve"> كما تساهم استراتيجيات التمويل المختلط في تقليل المخاطر المالية للمشاريع الناشئة، </w:t>
      </w:r>
      <w:r w:rsidRPr="00BC50C9">
        <w:rPr>
          <w:rFonts w:hint="cs"/>
          <w:rtl/>
        </w:rPr>
        <w:t>ويُعزز من</w:t>
      </w:r>
      <w:r w:rsidRPr="00BC50C9">
        <w:rPr>
          <w:rtl/>
        </w:rPr>
        <w:t xml:space="preserve"> قدرة المشاريع على تحقيق الاستدامة المالية، مما يمكنها من الاستمرار في النمو والتطور</w:t>
      </w:r>
      <w:r w:rsidRPr="00BC50C9">
        <w:rPr>
          <w:rFonts w:hint="cs"/>
          <w:rtl/>
        </w:rPr>
        <w:t>.</w:t>
      </w:r>
    </w:p>
    <w:p w14:paraId="5BBEA326" w14:textId="77777777" w:rsidR="00DE2B2A" w:rsidRPr="00BC50C9" w:rsidRDefault="00DE2B2A" w:rsidP="007F33C9">
      <w:pPr>
        <w:pStyle w:val="00000"/>
        <w:rPr>
          <w:rtl/>
        </w:rPr>
      </w:pPr>
      <w:r w:rsidRPr="00BC50C9">
        <w:rPr>
          <w:rFonts w:hint="cs"/>
          <w:rtl/>
        </w:rPr>
        <w:t xml:space="preserve">ويمكن تفسير حصول الفقرة رقم (21) على الترتيب الأول بدرجة استجابة (عالية) إلى </w:t>
      </w:r>
      <w:r w:rsidRPr="00BC50C9">
        <w:rPr>
          <w:rtl/>
        </w:rPr>
        <w:t>التمويل التشاركي المختلط ي</w:t>
      </w:r>
      <w:r w:rsidRPr="00BC50C9">
        <w:rPr>
          <w:rFonts w:hint="cs"/>
          <w:rtl/>
        </w:rPr>
        <w:t>ُ</w:t>
      </w:r>
      <w:r w:rsidRPr="00BC50C9">
        <w:rPr>
          <w:rtl/>
        </w:rPr>
        <w:t>سهل</w:t>
      </w:r>
      <w:r w:rsidRPr="00BC50C9">
        <w:rPr>
          <w:rFonts w:hint="cs"/>
          <w:rtl/>
        </w:rPr>
        <w:t xml:space="preserve"> </w:t>
      </w:r>
      <w:r w:rsidRPr="00BC50C9">
        <w:rPr>
          <w:rtl/>
        </w:rPr>
        <w:t>على المستثمرين اختيار الأنسب لهم حسب احتياجاتهم من خلال دمج عناصر التمويل القائم على المكافآت والتمويل القائم على الأسهم</w:t>
      </w:r>
      <w:r w:rsidRPr="00BC50C9">
        <w:rPr>
          <w:rFonts w:hint="cs"/>
          <w:rtl/>
        </w:rPr>
        <w:t>،</w:t>
      </w:r>
      <w:r w:rsidRPr="00BC50C9">
        <w:rPr>
          <w:rtl/>
        </w:rPr>
        <w:t xml:space="preserve"> </w:t>
      </w:r>
      <w:r w:rsidRPr="00BC50C9">
        <w:rPr>
          <w:rFonts w:hint="cs"/>
          <w:rtl/>
        </w:rPr>
        <w:t>و</w:t>
      </w:r>
      <w:r w:rsidRPr="00BC50C9">
        <w:rPr>
          <w:rtl/>
        </w:rPr>
        <w:t>يتيح هذا النموذج للمستثمرين خيارات متنوعة تتيح لهم تخصيص استثماراتهم بناءً على رغباتهم وأهدافهم المالية</w:t>
      </w:r>
      <w:r w:rsidRPr="00BC50C9">
        <w:rPr>
          <w:rFonts w:hint="cs"/>
          <w:rtl/>
        </w:rPr>
        <w:t>، و</w:t>
      </w:r>
      <w:r w:rsidRPr="00BC50C9">
        <w:rPr>
          <w:rtl/>
        </w:rPr>
        <w:t>هذا التنوع في الخيارات يُعزز من التجربة الاستثمارية ويُساعد في تلبية احتياجات مجموعة واسعة من المستثمرين، مما يزيد من فرص نجاح المشاريع ويعزز من استدامتها</w:t>
      </w:r>
      <w:r w:rsidRPr="00BC50C9">
        <w:rPr>
          <w:rFonts w:hint="cs"/>
          <w:rtl/>
        </w:rPr>
        <w:t>.</w:t>
      </w:r>
    </w:p>
    <w:p w14:paraId="3B85CEB5" w14:textId="77777777" w:rsidR="00DE2B2A" w:rsidRPr="00BC50C9" w:rsidRDefault="00DE2B2A" w:rsidP="007F33C9">
      <w:pPr>
        <w:pStyle w:val="00000"/>
        <w:rPr>
          <w:rtl/>
        </w:rPr>
      </w:pPr>
      <w:r w:rsidRPr="00BC50C9">
        <w:rPr>
          <w:rFonts w:hint="cs"/>
          <w:rtl/>
        </w:rPr>
        <w:t xml:space="preserve">ويمكن تفسير حصول الفقرة رقم (22) على الترتيب الأخير بدرجة استجابة (عالية) إلى إن </w:t>
      </w:r>
      <w:r w:rsidRPr="00BC50C9">
        <w:rPr>
          <w:rtl/>
        </w:rPr>
        <w:t>المنصات الإلكترونية</w:t>
      </w:r>
      <w:r w:rsidRPr="00BC50C9">
        <w:rPr>
          <w:rFonts w:hint="cs"/>
          <w:rtl/>
        </w:rPr>
        <w:t xml:space="preserve"> </w:t>
      </w:r>
      <w:r w:rsidRPr="00BC50C9">
        <w:rPr>
          <w:rtl/>
        </w:rPr>
        <w:t xml:space="preserve">توفر </w:t>
      </w:r>
      <w:r w:rsidRPr="00BC50C9">
        <w:rPr>
          <w:rFonts w:hint="cs"/>
          <w:rtl/>
        </w:rPr>
        <w:t xml:space="preserve">للممولين </w:t>
      </w:r>
      <w:r w:rsidRPr="00BC50C9">
        <w:rPr>
          <w:rtl/>
        </w:rPr>
        <w:t>معلومات دقيقة ومفصلة حول كيفية استخدام التبرعات والمساهمات</w:t>
      </w:r>
      <w:r w:rsidRPr="00BC50C9">
        <w:rPr>
          <w:rFonts w:hint="cs"/>
          <w:rtl/>
        </w:rPr>
        <w:t>،</w:t>
      </w:r>
      <w:r w:rsidRPr="00BC50C9">
        <w:rPr>
          <w:rtl/>
        </w:rPr>
        <w:t xml:space="preserve"> </w:t>
      </w:r>
      <w:r w:rsidRPr="00BC50C9">
        <w:rPr>
          <w:rFonts w:hint="cs"/>
          <w:rtl/>
        </w:rPr>
        <w:t>ف</w:t>
      </w:r>
      <w:r w:rsidRPr="00BC50C9">
        <w:rPr>
          <w:rtl/>
        </w:rPr>
        <w:t>عندما يكون لدى الممولين رؤية واضحة حول العمليات المالية والمشاريع التي يدعمونها، فإنهم يشعرون بالاطمئنان أن أموالهم تُستخدم بالشكل الصحيح وفي الأغراض المحددة</w:t>
      </w:r>
      <w:r w:rsidRPr="00BC50C9">
        <w:rPr>
          <w:rFonts w:hint="cs"/>
          <w:rtl/>
        </w:rPr>
        <w:t>.</w:t>
      </w:r>
    </w:p>
    <w:p w14:paraId="1757D0CB" w14:textId="77777777" w:rsidR="00DE2B2A" w:rsidRPr="00BC50C9" w:rsidRDefault="00DE2B2A" w:rsidP="007F33C9">
      <w:pPr>
        <w:pStyle w:val="00000"/>
        <w:rPr>
          <w:rtl/>
        </w:rPr>
      </w:pPr>
      <w:r w:rsidRPr="00BC50C9">
        <w:rPr>
          <w:rFonts w:hint="cs"/>
          <w:rtl/>
        </w:rPr>
        <w:t xml:space="preserve">ويتفق هذا جزئيًا مع ما توصلت إليه </w:t>
      </w:r>
      <w:r w:rsidRPr="00BC50C9">
        <w:rPr>
          <w:rtl/>
        </w:rPr>
        <w:t>دراسة خولة وآخرون (2024) يمثل التمويل الجماعي آلية تمويلية فعالة لدعم المؤسسات الناشئة؛ حيث يسهم في تعزيز الابتكار وريادة الأعمال من خلال توفير بديل مرن وسريع مقارنة بالمؤسسات التمويلية التقليدية، كما يُظهر التمويل الجماعي دورًا محوريًا في تحقيق التنمية المستدامة عبر خلق فرص عمل وزيادة الإنتاجية</w:t>
      </w:r>
      <w:r w:rsidRPr="00BC50C9">
        <w:rPr>
          <w:rFonts w:hint="cs"/>
          <w:rtl/>
        </w:rPr>
        <w:t>.</w:t>
      </w:r>
    </w:p>
    <w:p w14:paraId="1EF1C9D3" w14:textId="77777777" w:rsidR="00DE2B2A" w:rsidRPr="00BC50C9" w:rsidRDefault="00DE2B2A" w:rsidP="007F33C9">
      <w:pPr>
        <w:pStyle w:val="00000"/>
      </w:pPr>
      <w:r w:rsidRPr="00BC50C9">
        <w:rPr>
          <w:rFonts w:hint="cs"/>
          <w:rtl/>
        </w:rPr>
        <w:t xml:space="preserve">ويتفق هذا جزئيًا مع ما توصلت إليه </w:t>
      </w:r>
      <w:r w:rsidRPr="00BC50C9">
        <w:rPr>
          <w:rtl/>
        </w:rPr>
        <w:t xml:space="preserve">دراسة محمد (2022) يمنح استخدام الأدوات، والتقنيات المالية الحديثة المنشآت مزايا عديدة، مثل: تقليل التكاليف، سهولة الاستخدام، والتخزين غير المحدود، والتحديث </w:t>
      </w:r>
      <w:r w:rsidRPr="00BC50C9">
        <w:rPr>
          <w:rtl/>
        </w:rPr>
        <w:lastRenderedPageBreak/>
        <w:t xml:space="preserve">التلقائي، والمرونة في التوسع، ومع ذلك تواجه المنشآت تحديات تشمل: </w:t>
      </w:r>
      <w:proofErr w:type="gramStart"/>
      <w:r w:rsidRPr="00BC50C9">
        <w:rPr>
          <w:rtl/>
        </w:rPr>
        <w:t>مخاطر</w:t>
      </w:r>
      <w:proofErr w:type="gramEnd"/>
      <w:r w:rsidRPr="00BC50C9">
        <w:rPr>
          <w:rtl/>
        </w:rPr>
        <w:t xml:space="preserve"> الثقة، وإغلاق مزودي الخدمة، والاختراقات الأمنية، وضعف الشفافية</w:t>
      </w:r>
      <w:r w:rsidRPr="00BC50C9">
        <w:rPr>
          <w:rFonts w:hint="cs"/>
          <w:rtl/>
        </w:rPr>
        <w:t>.</w:t>
      </w:r>
    </w:p>
    <w:p w14:paraId="3CD86178" w14:textId="77777777" w:rsidR="00DE2B2A" w:rsidRPr="007F33C9" w:rsidRDefault="00DE2B2A">
      <w:pPr>
        <w:pStyle w:val="a3"/>
        <w:numPr>
          <w:ilvl w:val="0"/>
          <w:numId w:val="60"/>
        </w:numPr>
        <w:bidi/>
        <w:spacing w:before="120" w:after="120" w:line="240" w:lineRule="auto"/>
        <w:jc w:val="both"/>
        <w:rPr>
          <w:rFonts w:ascii="Times New Roman" w:hAnsi="Times New Roman" w:cs="Simplified Arabic"/>
          <w:b/>
          <w:bCs/>
          <w:sz w:val="24"/>
          <w:szCs w:val="28"/>
          <w:rtl/>
          <w:lang w:bidi="ar-EG"/>
        </w:rPr>
      </w:pPr>
      <w:r w:rsidRPr="007F33C9">
        <w:rPr>
          <w:rFonts w:ascii="Times New Roman" w:hAnsi="Times New Roman" w:cs="Simplified Arabic" w:hint="cs"/>
          <w:b/>
          <w:bCs/>
          <w:sz w:val="24"/>
          <w:szCs w:val="28"/>
          <w:rtl/>
          <w:lang w:bidi="ar-EG"/>
        </w:rPr>
        <w:t>ثانياً: عرض نتائج السؤال الذي نص على:</w:t>
      </w:r>
      <w:r w:rsidRPr="007F33C9">
        <w:rPr>
          <w:rFonts w:ascii="Times New Roman" w:hAnsi="Times New Roman" w:cs="Simplified Arabic" w:hint="cs"/>
          <w:sz w:val="24"/>
          <w:szCs w:val="28"/>
          <w:rtl/>
          <w:lang w:bidi="ar-EG"/>
        </w:rPr>
        <w:t xml:space="preserve"> </w:t>
      </w:r>
      <w:r w:rsidRPr="007F33C9">
        <w:rPr>
          <w:rFonts w:ascii="Times New Roman" w:hAnsi="Times New Roman" w:cs="Simplified Arabic" w:hint="cs"/>
          <w:b/>
          <w:bCs/>
          <w:sz w:val="24"/>
          <w:szCs w:val="28"/>
          <w:rtl/>
          <w:lang w:bidi="ar-EG"/>
        </w:rPr>
        <w:t>ما الأهمية النسبية لدعم المشاريع الريادية بالمملكة العربية السعودية؟</w:t>
      </w:r>
    </w:p>
    <w:p w14:paraId="54200CD0" w14:textId="77777777" w:rsidR="00DE2B2A" w:rsidRPr="00BC50C9" w:rsidRDefault="00DE2B2A" w:rsidP="007F33C9">
      <w:pPr>
        <w:pStyle w:val="00000"/>
        <w:rPr>
          <w:rtl/>
        </w:rPr>
      </w:pPr>
      <w:r w:rsidRPr="00BC50C9">
        <w:rPr>
          <w:rFonts w:hint="cs"/>
          <w:rtl/>
        </w:rPr>
        <w:t xml:space="preserve">وللإجابة على السؤال قد تم حساب التكرارات والنسب المئوية وحساب المتوسطات الحسابية والانحرافات المعيارية لفقرات المحور الثالث: </w:t>
      </w:r>
      <w:r w:rsidRPr="00BC50C9">
        <w:rPr>
          <w:rtl/>
        </w:rPr>
        <w:t>نجاح المشاريع الريادية</w:t>
      </w:r>
      <w:r w:rsidRPr="00BC50C9">
        <w:rPr>
          <w:rFonts w:hint="cs"/>
          <w:rtl/>
        </w:rPr>
        <w:t xml:space="preserve"> ومن ثم ترتيب هذه الفقرات تنازليًا حسب المتوسط الحسابي لكل فقرة، ويبين ذلك الجدول التالي: </w:t>
      </w:r>
    </w:p>
    <w:p w14:paraId="6C9867B1" w14:textId="77777777" w:rsidR="00DE2B2A" w:rsidRPr="00BC50C9" w:rsidRDefault="00DE2B2A" w:rsidP="007F33C9">
      <w:pPr>
        <w:pStyle w:val="33333"/>
        <w:rPr>
          <w:lang w:bidi="ar-EG"/>
        </w:rPr>
      </w:pPr>
      <w:bookmarkStart w:id="109" w:name="_Toc195456555"/>
      <w:r w:rsidRPr="00BC50C9">
        <w:rPr>
          <w:rFonts w:hint="cs"/>
          <w:rtl/>
          <w:lang w:bidi="ar-EG"/>
        </w:rPr>
        <w:t>الجدول</w:t>
      </w:r>
      <w:r w:rsidRPr="00BC50C9">
        <w:rPr>
          <w:rtl/>
          <w:lang w:bidi="ar-EG"/>
        </w:rPr>
        <w:t xml:space="preserve"> </w:t>
      </w:r>
      <w:r w:rsidRPr="00BC50C9">
        <w:rPr>
          <w:rFonts w:hint="cs"/>
          <w:rtl/>
          <w:lang w:bidi="ar-EG"/>
        </w:rPr>
        <w:t>رقم</w:t>
      </w:r>
      <w:r w:rsidRPr="00BC50C9">
        <w:rPr>
          <w:rtl/>
          <w:lang w:bidi="ar-EG"/>
        </w:rPr>
        <w:t xml:space="preserve"> (4-</w:t>
      </w:r>
      <w:r w:rsidRPr="00BC50C9">
        <w:rPr>
          <w:rFonts w:hint="cs"/>
          <w:rtl/>
          <w:lang w:bidi="ar-EG"/>
        </w:rPr>
        <w:t>5</w:t>
      </w:r>
      <w:r w:rsidRPr="00BC50C9">
        <w:rPr>
          <w:rtl/>
          <w:lang w:bidi="ar-EG"/>
        </w:rPr>
        <w:t xml:space="preserve">) </w:t>
      </w:r>
      <w:r w:rsidRPr="00BC50C9">
        <w:rPr>
          <w:rFonts w:hint="cs"/>
          <w:rtl/>
          <w:lang w:bidi="ar-EG"/>
        </w:rPr>
        <w:t>التكرارات</w:t>
      </w:r>
      <w:r w:rsidRPr="00BC50C9">
        <w:rPr>
          <w:rtl/>
          <w:lang w:bidi="ar-EG"/>
        </w:rPr>
        <w:t xml:space="preserve"> </w:t>
      </w:r>
      <w:r w:rsidRPr="00BC50C9">
        <w:rPr>
          <w:rFonts w:hint="cs"/>
          <w:rtl/>
          <w:lang w:bidi="ar-EG"/>
        </w:rPr>
        <w:t>والنسب</w:t>
      </w:r>
      <w:r w:rsidRPr="00BC50C9">
        <w:rPr>
          <w:rtl/>
          <w:lang w:bidi="ar-EG"/>
        </w:rPr>
        <w:t xml:space="preserve"> </w:t>
      </w:r>
      <w:r w:rsidRPr="00BC50C9">
        <w:rPr>
          <w:rFonts w:hint="cs"/>
          <w:rtl/>
          <w:lang w:bidi="ar-EG"/>
        </w:rPr>
        <w:t>المئوية</w:t>
      </w:r>
      <w:r w:rsidRPr="00BC50C9">
        <w:rPr>
          <w:rtl/>
          <w:lang w:bidi="ar-EG"/>
        </w:rPr>
        <w:t xml:space="preserve"> </w:t>
      </w:r>
      <w:r w:rsidRPr="00BC50C9">
        <w:rPr>
          <w:rFonts w:hint="cs"/>
          <w:rtl/>
          <w:lang w:bidi="ar-EG"/>
        </w:rPr>
        <w:t>والمتوسطات</w:t>
      </w:r>
      <w:r w:rsidRPr="00BC50C9">
        <w:rPr>
          <w:rtl/>
          <w:lang w:bidi="ar-EG"/>
        </w:rPr>
        <w:t xml:space="preserve"> </w:t>
      </w:r>
      <w:r w:rsidRPr="00BC50C9">
        <w:rPr>
          <w:rFonts w:hint="cs"/>
          <w:rtl/>
          <w:lang w:bidi="ar-EG"/>
        </w:rPr>
        <w:t>الحسابية</w:t>
      </w:r>
      <w:r w:rsidRPr="00BC50C9">
        <w:rPr>
          <w:rtl/>
          <w:lang w:bidi="ar-EG"/>
        </w:rPr>
        <w:t xml:space="preserve"> </w:t>
      </w:r>
      <w:r w:rsidRPr="00BC50C9">
        <w:rPr>
          <w:rFonts w:hint="cs"/>
          <w:rtl/>
          <w:lang w:bidi="ar-EG"/>
        </w:rPr>
        <w:t>والانحرافات</w:t>
      </w:r>
      <w:r w:rsidRPr="00BC50C9">
        <w:rPr>
          <w:rtl/>
          <w:lang w:bidi="ar-EG"/>
        </w:rPr>
        <w:t xml:space="preserve"> </w:t>
      </w:r>
      <w:r w:rsidRPr="00BC50C9">
        <w:rPr>
          <w:rFonts w:hint="cs"/>
          <w:rtl/>
          <w:lang w:bidi="ar-EG"/>
        </w:rPr>
        <w:t>المعيارية</w:t>
      </w:r>
      <w:r w:rsidRPr="00BC50C9">
        <w:rPr>
          <w:rtl/>
          <w:lang w:bidi="ar-EG"/>
        </w:rPr>
        <w:t xml:space="preserve"> </w:t>
      </w:r>
      <w:r w:rsidRPr="00BC50C9">
        <w:rPr>
          <w:rFonts w:hint="cs"/>
          <w:rtl/>
          <w:lang w:bidi="ar-EG"/>
        </w:rPr>
        <w:t>لاستجابات</w:t>
      </w:r>
      <w:r w:rsidRPr="00BC50C9">
        <w:rPr>
          <w:rtl/>
          <w:lang w:bidi="ar-EG"/>
        </w:rPr>
        <w:t xml:space="preserve"> </w:t>
      </w:r>
      <w:r w:rsidRPr="00BC50C9">
        <w:rPr>
          <w:rFonts w:hint="cs"/>
          <w:rtl/>
          <w:lang w:bidi="ar-EG"/>
        </w:rPr>
        <w:t>أفراد</w:t>
      </w:r>
      <w:r w:rsidRPr="00BC50C9">
        <w:rPr>
          <w:rtl/>
          <w:lang w:bidi="ar-EG"/>
        </w:rPr>
        <w:t xml:space="preserve"> </w:t>
      </w:r>
      <w:r w:rsidRPr="00BC50C9">
        <w:rPr>
          <w:rFonts w:hint="cs"/>
          <w:rtl/>
          <w:lang w:bidi="ar-EG"/>
        </w:rPr>
        <w:t>العينة</w:t>
      </w:r>
      <w:r w:rsidRPr="00BC50C9">
        <w:rPr>
          <w:rtl/>
          <w:lang w:bidi="ar-EG"/>
        </w:rPr>
        <w:t xml:space="preserve"> </w:t>
      </w:r>
      <w:r w:rsidRPr="00BC50C9">
        <w:rPr>
          <w:rFonts w:hint="cs"/>
          <w:rtl/>
          <w:lang w:bidi="ar-EG"/>
        </w:rPr>
        <w:t xml:space="preserve">لفقرات المحور الثالث: </w:t>
      </w:r>
      <w:r w:rsidRPr="00BC50C9">
        <w:rPr>
          <w:rtl/>
          <w:lang w:bidi="ar-EG"/>
        </w:rPr>
        <w:t>نجاح المشاريع الريادية</w:t>
      </w:r>
      <w:bookmarkEnd w:id="109"/>
    </w:p>
    <w:tbl>
      <w:tblPr>
        <w:bidiVisual/>
        <w:tblW w:w="96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2200"/>
        <w:gridCol w:w="369"/>
        <w:gridCol w:w="721"/>
        <w:gridCol w:w="669"/>
        <w:gridCol w:w="669"/>
        <w:gridCol w:w="672"/>
        <w:gridCol w:w="685"/>
        <w:gridCol w:w="856"/>
        <w:gridCol w:w="870"/>
        <w:gridCol w:w="636"/>
        <w:gridCol w:w="876"/>
      </w:tblGrid>
      <w:tr w:rsidR="00DE2B2A" w:rsidRPr="00D93DCA" w14:paraId="23C76424" w14:textId="77777777" w:rsidTr="00D93DCA">
        <w:trPr>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CEF33A"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م</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5D0B5"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b/>
                <w:bCs/>
                <w:w w:val="95"/>
                <w:sz w:val="20"/>
                <w:szCs w:val="20"/>
                <w:rtl/>
              </w:rPr>
              <w:t>العبارة</w:t>
            </w:r>
          </w:p>
        </w:tc>
        <w:tc>
          <w:tcPr>
            <w:tcW w:w="0" w:type="auto"/>
            <w:gridSpan w:val="6"/>
            <w:tcBorders>
              <w:top w:val="single" w:sz="4" w:space="0" w:color="auto"/>
              <w:left w:val="single" w:sz="4" w:space="0" w:color="auto"/>
              <w:bottom w:val="single" w:sz="4" w:space="0" w:color="auto"/>
            </w:tcBorders>
            <w:shd w:val="clear" w:color="auto" w:fill="BFBFBF" w:themeFill="background1" w:themeFillShade="BF"/>
            <w:vAlign w:val="center"/>
          </w:tcPr>
          <w:p w14:paraId="3234AB63"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b/>
                <w:bCs/>
                <w:w w:val="95"/>
                <w:sz w:val="20"/>
                <w:szCs w:val="20"/>
                <w:rtl/>
              </w:rPr>
              <w:t>درجة الاستجابة</w:t>
            </w:r>
          </w:p>
        </w:tc>
        <w:tc>
          <w:tcPr>
            <w:tcW w:w="0" w:type="auto"/>
            <w:vMerge w:val="restart"/>
            <w:tcBorders>
              <w:top w:val="single" w:sz="4" w:space="0" w:color="auto"/>
              <w:bottom w:val="single" w:sz="4" w:space="0" w:color="auto"/>
            </w:tcBorders>
            <w:shd w:val="clear" w:color="auto" w:fill="BFBFBF" w:themeFill="background1" w:themeFillShade="BF"/>
            <w:vAlign w:val="center"/>
          </w:tcPr>
          <w:p w14:paraId="299FC3B7"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b/>
                <w:bCs/>
                <w:w w:val="95"/>
                <w:sz w:val="20"/>
                <w:szCs w:val="20"/>
                <w:rtl/>
              </w:rPr>
              <w:t>المتوسط الحسابي</w:t>
            </w:r>
          </w:p>
        </w:tc>
        <w:tc>
          <w:tcPr>
            <w:tcW w:w="0" w:type="auto"/>
            <w:vMerge w:val="restart"/>
            <w:tcBorders>
              <w:top w:val="single" w:sz="4" w:space="0" w:color="auto"/>
              <w:bottom w:val="single" w:sz="4" w:space="0" w:color="auto"/>
            </w:tcBorders>
            <w:shd w:val="clear" w:color="auto" w:fill="BFBFBF" w:themeFill="background1" w:themeFillShade="BF"/>
            <w:vAlign w:val="center"/>
          </w:tcPr>
          <w:p w14:paraId="712419A5"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b/>
                <w:bCs/>
                <w:w w:val="95"/>
                <w:sz w:val="20"/>
                <w:szCs w:val="20"/>
                <w:rtl/>
              </w:rPr>
              <w:t>الانحراف المعياري</w:t>
            </w:r>
          </w:p>
        </w:tc>
        <w:tc>
          <w:tcPr>
            <w:tcW w:w="0" w:type="auto"/>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10F8CACD"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الترتيب</w:t>
            </w:r>
          </w:p>
        </w:tc>
        <w:tc>
          <w:tcPr>
            <w:tcW w:w="0" w:type="auto"/>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388D7B1"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b/>
                <w:bCs/>
                <w:w w:val="95"/>
                <w:sz w:val="20"/>
                <w:szCs w:val="20"/>
                <w:rtl/>
              </w:rPr>
              <w:t>درجة الاستجابة</w:t>
            </w:r>
          </w:p>
        </w:tc>
      </w:tr>
      <w:tr w:rsidR="00D93DCA" w:rsidRPr="00D93DCA" w14:paraId="52F45350" w14:textId="77777777" w:rsidTr="00D93DCA">
        <w:trPr>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596D74"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C8D3B6"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tcBorders>
              <w:top w:val="single" w:sz="4" w:space="0" w:color="auto"/>
              <w:left w:val="single" w:sz="4" w:space="0" w:color="auto"/>
            </w:tcBorders>
            <w:shd w:val="clear" w:color="auto" w:fill="BFBFBF" w:themeFill="background1" w:themeFillShade="BF"/>
            <w:vAlign w:val="center"/>
          </w:tcPr>
          <w:p w14:paraId="1B6E950E"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tcBorders>
              <w:top w:val="single" w:sz="4" w:space="0" w:color="auto"/>
              <w:left w:val="single" w:sz="4" w:space="0" w:color="auto"/>
            </w:tcBorders>
            <w:shd w:val="clear" w:color="auto" w:fill="BFBFBF" w:themeFill="background1" w:themeFillShade="BF"/>
            <w:vAlign w:val="center"/>
          </w:tcPr>
          <w:p w14:paraId="7C590CCE"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أوافق بشدة</w:t>
            </w:r>
          </w:p>
        </w:tc>
        <w:tc>
          <w:tcPr>
            <w:tcW w:w="0" w:type="auto"/>
            <w:tcBorders>
              <w:top w:val="single" w:sz="4" w:space="0" w:color="auto"/>
            </w:tcBorders>
            <w:shd w:val="clear" w:color="auto" w:fill="BFBFBF" w:themeFill="background1" w:themeFillShade="BF"/>
            <w:vAlign w:val="center"/>
          </w:tcPr>
          <w:p w14:paraId="7F4D290D"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أوافق</w:t>
            </w:r>
          </w:p>
        </w:tc>
        <w:tc>
          <w:tcPr>
            <w:tcW w:w="0" w:type="auto"/>
            <w:tcBorders>
              <w:top w:val="single" w:sz="4" w:space="0" w:color="auto"/>
            </w:tcBorders>
            <w:shd w:val="clear" w:color="auto" w:fill="BFBFBF" w:themeFill="background1" w:themeFillShade="BF"/>
            <w:vAlign w:val="center"/>
          </w:tcPr>
          <w:p w14:paraId="4E2CDF6B"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محايد</w:t>
            </w:r>
          </w:p>
        </w:tc>
        <w:tc>
          <w:tcPr>
            <w:tcW w:w="0" w:type="auto"/>
            <w:tcBorders>
              <w:top w:val="single" w:sz="4" w:space="0" w:color="auto"/>
            </w:tcBorders>
            <w:shd w:val="clear" w:color="auto" w:fill="BFBFBF" w:themeFill="background1" w:themeFillShade="BF"/>
            <w:vAlign w:val="center"/>
          </w:tcPr>
          <w:p w14:paraId="2A83E3EA"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لا أوافق</w:t>
            </w:r>
          </w:p>
        </w:tc>
        <w:tc>
          <w:tcPr>
            <w:tcW w:w="0" w:type="auto"/>
            <w:tcBorders>
              <w:top w:val="single" w:sz="4" w:space="0" w:color="auto"/>
            </w:tcBorders>
            <w:shd w:val="clear" w:color="auto" w:fill="BFBFBF" w:themeFill="background1" w:themeFillShade="BF"/>
            <w:vAlign w:val="center"/>
          </w:tcPr>
          <w:p w14:paraId="20CB4BE5"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r w:rsidRPr="00D93DCA">
              <w:rPr>
                <w:rFonts w:ascii="Times New Roman" w:hAnsi="Times New Roman" w:cs="Simplified Arabic" w:hint="cs"/>
                <w:b/>
                <w:bCs/>
                <w:w w:val="95"/>
                <w:sz w:val="20"/>
                <w:szCs w:val="20"/>
                <w:rtl/>
              </w:rPr>
              <w:t>لا أوافق بشدة</w:t>
            </w:r>
          </w:p>
        </w:tc>
        <w:tc>
          <w:tcPr>
            <w:tcW w:w="0" w:type="auto"/>
            <w:vMerge/>
            <w:tcBorders>
              <w:top w:val="single" w:sz="4" w:space="0" w:color="auto"/>
              <w:bottom w:val="single" w:sz="4" w:space="0" w:color="auto"/>
            </w:tcBorders>
            <w:shd w:val="clear" w:color="auto" w:fill="BFBFBF" w:themeFill="background1" w:themeFillShade="BF"/>
            <w:vAlign w:val="center"/>
          </w:tcPr>
          <w:p w14:paraId="322B5966"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vMerge/>
            <w:tcBorders>
              <w:top w:val="single" w:sz="4" w:space="0" w:color="auto"/>
              <w:bottom w:val="single" w:sz="4" w:space="0" w:color="auto"/>
            </w:tcBorders>
            <w:shd w:val="clear" w:color="auto" w:fill="BFBFBF" w:themeFill="background1" w:themeFillShade="BF"/>
            <w:vAlign w:val="center"/>
          </w:tcPr>
          <w:p w14:paraId="4411634A"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vMerge/>
            <w:tcBorders>
              <w:top w:val="single" w:sz="4" w:space="0" w:color="auto"/>
              <w:bottom w:val="single" w:sz="4" w:space="0" w:color="auto"/>
              <w:right w:val="single" w:sz="4" w:space="0" w:color="auto"/>
            </w:tcBorders>
            <w:shd w:val="clear" w:color="auto" w:fill="BFBFBF" w:themeFill="background1" w:themeFillShade="BF"/>
            <w:vAlign w:val="center"/>
          </w:tcPr>
          <w:p w14:paraId="6A1AE16D"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c>
          <w:tcPr>
            <w:tcW w:w="0" w:type="auto"/>
            <w:vMerge/>
            <w:tcBorders>
              <w:top w:val="single" w:sz="4" w:space="0" w:color="auto"/>
              <w:bottom w:val="single" w:sz="4" w:space="0" w:color="auto"/>
              <w:right w:val="single" w:sz="4" w:space="0" w:color="auto"/>
            </w:tcBorders>
            <w:shd w:val="clear" w:color="auto" w:fill="BFBFBF" w:themeFill="background1" w:themeFillShade="BF"/>
            <w:vAlign w:val="center"/>
          </w:tcPr>
          <w:p w14:paraId="244700BF" w14:textId="77777777" w:rsidR="00DE2B2A" w:rsidRPr="00D93DCA" w:rsidRDefault="00DE2B2A" w:rsidP="007F33C9">
            <w:pPr>
              <w:bidi/>
              <w:spacing w:after="0" w:line="240" w:lineRule="auto"/>
              <w:jc w:val="center"/>
              <w:rPr>
                <w:rFonts w:ascii="Times New Roman" w:hAnsi="Times New Roman" w:cs="Simplified Arabic"/>
                <w:b/>
                <w:bCs/>
                <w:w w:val="95"/>
                <w:sz w:val="20"/>
                <w:szCs w:val="20"/>
                <w:rtl/>
              </w:rPr>
            </w:pPr>
          </w:p>
        </w:tc>
      </w:tr>
      <w:tr w:rsidR="00DE2B2A" w:rsidRPr="00D93DCA" w14:paraId="26F116FC" w14:textId="77777777" w:rsidTr="00D93DCA">
        <w:trPr>
          <w:jc w:val="center"/>
        </w:trPr>
        <w:tc>
          <w:tcPr>
            <w:tcW w:w="0" w:type="auto"/>
            <w:vMerge w:val="restart"/>
            <w:tcBorders>
              <w:top w:val="single" w:sz="4" w:space="0" w:color="auto"/>
              <w:left w:val="single" w:sz="4" w:space="0" w:color="auto"/>
              <w:right w:val="single" w:sz="4" w:space="0" w:color="auto"/>
            </w:tcBorders>
            <w:vAlign w:val="center"/>
          </w:tcPr>
          <w:p w14:paraId="022CF92F"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hint="cs"/>
                <w:w w:val="95"/>
                <w:sz w:val="20"/>
                <w:szCs w:val="20"/>
                <w:rtl/>
              </w:rPr>
              <w:t>33</w:t>
            </w:r>
          </w:p>
        </w:tc>
        <w:tc>
          <w:tcPr>
            <w:tcW w:w="0" w:type="auto"/>
            <w:vMerge w:val="restart"/>
            <w:tcBorders>
              <w:top w:val="single" w:sz="4" w:space="0" w:color="auto"/>
              <w:left w:val="single" w:sz="4" w:space="0" w:color="auto"/>
              <w:right w:val="single" w:sz="4" w:space="0" w:color="auto"/>
            </w:tcBorders>
          </w:tcPr>
          <w:p w14:paraId="126040BE" w14:textId="77777777" w:rsidR="00DE2B2A" w:rsidRPr="00D93DCA" w:rsidRDefault="00DE2B2A" w:rsidP="007F33C9">
            <w:pPr>
              <w:autoSpaceDE w:val="0"/>
              <w:autoSpaceDN w:val="0"/>
              <w:bidi/>
              <w:adjustRightInd w:val="0"/>
              <w:spacing w:after="0" w:line="240" w:lineRule="auto"/>
              <w:jc w:val="center"/>
              <w:rPr>
                <w:rFonts w:ascii="Times New Roman" w:eastAsia="Calibri" w:hAnsi="Times New Roman" w:cs="Simplified Arabic"/>
                <w:w w:val="95"/>
                <w:sz w:val="20"/>
                <w:szCs w:val="20"/>
                <w:rtl/>
                <w:lang w:bidi="ar-KW"/>
              </w:rPr>
            </w:pPr>
            <w:r w:rsidRPr="00D93DCA">
              <w:rPr>
                <w:rFonts w:ascii="Times New Roman" w:eastAsia="Times New Roman" w:hAnsi="Times New Roman" w:cs="Simplified Arabic"/>
                <w:w w:val="95"/>
                <w:sz w:val="20"/>
                <w:szCs w:val="20"/>
                <w:rtl/>
              </w:rPr>
              <w:t>يُعتبر التمويل التشاركي أحد العوامل الأساسية لنجاح المشاريع الريادية</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1A06323"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ك</w:t>
            </w:r>
          </w:p>
        </w:tc>
        <w:tc>
          <w:tcPr>
            <w:tcW w:w="0" w:type="auto"/>
            <w:tcBorders>
              <w:top w:val="single" w:sz="4" w:space="0" w:color="auto"/>
            </w:tcBorders>
            <w:shd w:val="clear" w:color="auto" w:fill="auto"/>
            <w:vAlign w:val="center"/>
          </w:tcPr>
          <w:p w14:paraId="5108035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186</w:t>
            </w:r>
          </w:p>
        </w:tc>
        <w:tc>
          <w:tcPr>
            <w:tcW w:w="0" w:type="auto"/>
            <w:tcBorders>
              <w:top w:val="single" w:sz="4" w:space="0" w:color="auto"/>
            </w:tcBorders>
            <w:vAlign w:val="center"/>
          </w:tcPr>
          <w:p w14:paraId="3B75015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96</w:t>
            </w:r>
          </w:p>
        </w:tc>
        <w:tc>
          <w:tcPr>
            <w:tcW w:w="0" w:type="auto"/>
            <w:tcBorders>
              <w:top w:val="single" w:sz="4" w:space="0" w:color="auto"/>
            </w:tcBorders>
            <w:shd w:val="clear" w:color="auto" w:fill="auto"/>
            <w:vAlign w:val="center"/>
          </w:tcPr>
          <w:p w14:paraId="12C12D31"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40</w:t>
            </w:r>
          </w:p>
        </w:tc>
        <w:tc>
          <w:tcPr>
            <w:tcW w:w="0" w:type="auto"/>
            <w:tcBorders>
              <w:top w:val="single" w:sz="4" w:space="0" w:color="auto"/>
            </w:tcBorders>
            <w:vAlign w:val="center"/>
          </w:tcPr>
          <w:p w14:paraId="17EF685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40</w:t>
            </w:r>
          </w:p>
        </w:tc>
        <w:tc>
          <w:tcPr>
            <w:tcW w:w="0" w:type="auto"/>
            <w:tcBorders>
              <w:top w:val="single" w:sz="4" w:space="0" w:color="auto"/>
            </w:tcBorders>
            <w:vAlign w:val="center"/>
          </w:tcPr>
          <w:p w14:paraId="5682027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tl/>
              </w:rPr>
            </w:pPr>
            <w:r w:rsidRPr="00D93DCA">
              <w:rPr>
                <w:rFonts w:ascii="Times New Roman" w:hAnsi="Times New Roman" w:cs="Simplified Arabic"/>
                <w:color w:val="000000"/>
                <w:w w:val="95"/>
                <w:sz w:val="20"/>
                <w:szCs w:val="20"/>
              </w:rPr>
              <w:t>22</w:t>
            </w:r>
          </w:p>
        </w:tc>
        <w:tc>
          <w:tcPr>
            <w:tcW w:w="0" w:type="auto"/>
            <w:vMerge w:val="restart"/>
            <w:tcBorders>
              <w:top w:val="single" w:sz="4" w:space="0" w:color="auto"/>
            </w:tcBorders>
            <w:vAlign w:val="center"/>
          </w:tcPr>
          <w:p w14:paraId="54A609B7"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color w:val="000000"/>
                <w:w w:val="95"/>
                <w:sz w:val="20"/>
                <w:szCs w:val="20"/>
              </w:rPr>
              <w:t>4.00</w:t>
            </w:r>
          </w:p>
        </w:tc>
        <w:tc>
          <w:tcPr>
            <w:tcW w:w="0" w:type="auto"/>
            <w:vMerge w:val="restart"/>
            <w:tcBorders>
              <w:top w:val="single" w:sz="4" w:space="0" w:color="auto"/>
            </w:tcBorders>
            <w:vAlign w:val="center"/>
          </w:tcPr>
          <w:p w14:paraId="00CF93F1"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color w:val="000000"/>
                <w:w w:val="95"/>
                <w:sz w:val="20"/>
                <w:szCs w:val="20"/>
              </w:rPr>
              <w:t>1.235</w:t>
            </w:r>
          </w:p>
        </w:tc>
        <w:tc>
          <w:tcPr>
            <w:tcW w:w="0" w:type="auto"/>
            <w:vMerge w:val="restart"/>
            <w:tcBorders>
              <w:top w:val="single" w:sz="4" w:space="0" w:color="auto"/>
              <w:right w:val="single" w:sz="4" w:space="0" w:color="auto"/>
            </w:tcBorders>
            <w:vAlign w:val="center"/>
          </w:tcPr>
          <w:p w14:paraId="366B2B97" w14:textId="77777777" w:rsidR="00DE2B2A" w:rsidRPr="00D93DCA" w:rsidRDefault="00DE2B2A" w:rsidP="007F33C9">
            <w:pPr>
              <w:bidi/>
              <w:spacing w:after="0" w:line="240" w:lineRule="auto"/>
              <w:jc w:val="center"/>
              <w:rPr>
                <w:rFonts w:ascii="Times New Roman" w:hAnsi="Times New Roman" w:cs="Simplified Arabic"/>
                <w:w w:val="95"/>
                <w:sz w:val="20"/>
                <w:szCs w:val="20"/>
                <w:lang w:bidi="ar-EG"/>
              </w:rPr>
            </w:pPr>
            <w:r w:rsidRPr="00D93DCA">
              <w:rPr>
                <w:rFonts w:ascii="Times New Roman" w:hAnsi="Times New Roman" w:cs="Simplified Arabic"/>
                <w:w w:val="95"/>
                <w:sz w:val="20"/>
                <w:szCs w:val="20"/>
              </w:rPr>
              <w:t>5</w:t>
            </w:r>
          </w:p>
        </w:tc>
        <w:tc>
          <w:tcPr>
            <w:tcW w:w="0" w:type="auto"/>
            <w:vMerge w:val="restart"/>
            <w:tcBorders>
              <w:top w:val="single" w:sz="4" w:space="0" w:color="auto"/>
              <w:right w:val="single" w:sz="4" w:space="0" w:color="auto"/>
            </w:tcBorders>
            <w:vAlign w:val="center"/>
          </w:tcPr>
          <w:p w14:paraId="48740BAF"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hint="cs"/>
                <w:w w:val="95"/>
                <w:sz w:val="20"/>
                <w:szCs w:val="20"/>
                <w:rtl/>
                <w:lang w:bidi="ar-EG"/>
              </w:rPr>
              <w:t>عالية</w:t>
            </w:r>
          </w:p>
        </w:tc>
      </w:tr>
      <w:tr w:rsidR="00DE2B2A" w:rsidRPr="00D93DCA" w14:paraId="014B6152" w14:textId="77777777" w:rsidTr="00D93DCA">
        <w:trPr>
          <w:jc w:val="center"/>
        </w:trPr>
        <w:tc>
          <w:tcPr>
            <w:tcW w:w="0" w:type="auto"/>
            <w:vMerge/>
            <w:tcBorders>
              <w:left w:val="single" w:sz="4" w:space="0" w:color="auto"/>
              <w:bottom w:val="single" w:sz="4" w:space="0" w:color="auto"/>
              <w:right w:val="single" w:sz="4" w:space="0" w:color="auto"/>
            </w:tcBorders>
            <w:vAlign w:val="center"/>
          </w:tcPr>
          <w:p w14:paraId="0A0B964B"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bottom w:val="single" w:sz="4" w:space="0" w:color="auto"/>
              <w:right w:val="single" w:sz="4" w:space="0" w:color="auto"/>
            </w:tcBorders>
          </w:tcPr>
          <w:p w14:paraId="79917F6D"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5DD2840A"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w:t>
            </w:r>
          </w:p>
        </w:tc>
        <w:tc>
          <w:tcPr>
            <w:tcW w:w="0" w:type="auto"/>
            <w:shd w:val="clear" w:color="auto" w:fill="auto"/>
            <w:vAlign w:val="center"/>
          </w:tcPr>
          <w:p w14:paraId="70204ED1"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48.4</w:t>
            </w:r>
          </w:p>
        </w:tc>
        <w:tc>
          <w:tcPr>
            <w:tcW w:w="0" w:type="auto"/>
            <w:vAlign w:val="center"/>
          </w:tcPr>
          <w:p w14:paraId="227CAA4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25</w:t>
            </w:r>
          </w:p>
        </w:tc>
        <w:tc>
          <w:tcPr>
            <w:tcW w:w="0" w:type="auto"/>
            <w:shd w:val="clear" w:color="auto" w:fill="auto"/>
            <w:vAlign w:val="center"/>
          </w:tcPr>
          <w:p w14:paraId="239E27E9"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10.4</w:t>
            </w:r>
          </w:p>
        </w:tc>
        <w:tc>
          <w:tcPr>
            <w:tcW w:w="0" w:type="auto"/>
            <w:vAlign w:val="center"/>
          </w:tcPr>
          <w:p w14:paraId="056DEA9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10.4</w:t>
            </w:r>
          </w:p>
        </w:tc>
        <w:tc>
          <w:tcPr>
            <w:tcW w:w="0" w:type="auto"/>
            <w:vAlign w:val="center"/>
          </w:tcPr>
          <w:p w14:paraId="64CE621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5.7</w:t>
            </w:r>
          </w:p>
        </w:tc>
        <w:tc>
          <w:tcPr>
            <w:tcW w:w="0" w:type="auto"/>
            <w:vMerge/>
            <w:tcBorders>
              <w:bottom w:val="single" w:sz="4" w:space="0" w:color="auto"/>
            </w:tcBorders>
            <w:vAlign w:val="center"/>
          </w:tcPr>
          <w:p w14:paraId="5C973E57"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bottom w:val="single" w:sz="4" w:space="0" w:color="auto"/>
            </w:tcBorders>
            <w:vAlign w:val="center"/>
          </w:tcPr>
          <w:p w14:paraId="313F6BD8"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bottom w:val="single" w:sz="4" w:space="0" w:color="auto"/>
              <w:right w:val="single" w:sz="4" w:space="0" w:color="auto"/>
            </w:tcBorders>
            <w:vAlign w:val="center"/>
          </w:tcPr>
          <w:p w14:paraId="691907F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bottom w:val="single" w:sz="4" w:space="0" w:color="auto"/>
              <w:right w:val="single" w:sz="4" w:space="0" w:color="auto"/>
            </w:tcBorders>
            <w:vAlign w:val="center"/>
          </w:tcPr>
          <w:p w14:paraId="0052BDE3"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795E5112" w14:textId="77777777" w:rsidTr="00D93DCA">
        <w:trPr>
          <w:jc w:val="center"/>
        </w:trPr>
        <w:tc>
          <w:tcPr>
            <w:tcW w:w="0" w:type="auto"/>
            <w:vMerge w:val="restart"/>
            <w:tcBorders>
              <w:left w:val="single" w:sz="4" w:space="0" w:color="auto"/>
              <w:right w:val="single" w:sz="4" w:space="0" w:color="auto"/>
            </w:tcBorders>
            <w:vAlign w:val="center"/>
          </w:tcPr>
          <w:p w14:paraId="43E12E94"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34</w:t>
            </w:r>
          </w:p>
        </w:tc>
        <w:tc>
          <w:tcPr>
            <w:tcW w:w="0" w:type="auto"/>
            <w:vMerge w:val="restart"/>
            <w:tcBorders>
              <w:left w:val="single" w:sz="4" w:space="0" w:color="auto"/>
              <w:right w:val="single" w:sz="4" w:space="0" w:color="auto"/>
            </w:tcBorders>
          </w:tcPr>
          <w:p w14:paraId="30C4B6ED" w14:textId="77777777" w:rsidR="00DE2B2A" w:rsidRPr="00D93DCA" w:rsidRDefault="00DE2B2A" w:rsidP="007F33C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D93DCA">
              <w:rPr>
                <w:rFonts w:ascii="Times New Roman" w:eastAsia="Times New Roman" w:hAnsi="Times New Roman" w:cs="Simplified Arabic"/>
                <w:w w:val="95"/>
                <w:sz w:val="20"/>
                <w:szCs w:val="20"/>
                <w:rtl/>
              </w:rPr>
              <w:t>تُساهم المنصات الإلكترونية في تسهيل الوصول إلى التمويل وتعزيز فرص نجاح المشاريع</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05AA6204"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ك</w:t>
            </w:r>
          </w:p>
        </w:tc>
        <w:tc>
          <w:tcPr>
            <w:tcW w:w="0" w:type="auto"/>
            <w:shd w:val="clear" w:color="auto" w:fill="auto"/>
            <w:vAlign w:val="center"/>
          </w:tcPr>
          <w:p w14:paraId="747EE49A"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184</w:t>
            </w:r>
          </w:p>
        </w:tc>
        <w:tc>
          <w:tcPr>
            <w:tcW w:w="0" w:type="auto"/>
            <w:vAlign w:val="center"/>
          </w:tcPr>
          <w:p w14:paraId="4314EE2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98</w:t>
            </w:r>
          </w:p>
        </w:tc>
        <w:tc>
          <w:tcPr>
            <w:tcW w:w="0" w:type="auto"/>
            <w:shd w:val="clear" w:color="auto" w:fill="auto"/>
            <w:vAlign w:val="center"/>
          </w:tcPr>
          <w:p w14:paraId="1500C135"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36</w:t>
            </w:r>
          </w:p>
        </w:tc>
        <w:tc>
          <w:tcPr>
            <w:tcW w:w="0" w:type="auto"/>
            <w:vAlign w:val="center"/>
          </w:tcPr>
          <w:p w14:paraId="5900D7D5"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38</w:t>
            </w:r>
          </w:p>
        </w:tc>
        <w:tc>
          <w:tcPr>
            <w:tcW w:w="0" w:type="auto"/>
            <w:vAlign w:val="center"/>
          </w:tcPr>
          <w:p w14:paraId="1064EE75"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28</w:t>
            </w:r>
          </w:p>
        </w:tc>
        <w:tc>
          <w:tcPr>
            <w:tcW w:w="0" w:type="auto"/>
            <w:vMerge w:val="restart"/>
            <w:vAlign w:val="center"/>
          </w:tcPr>
          <w:p w14:paraId="0B1CBD72"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3.97</w:t>
            </w:r>
          </w:p>
        </w:tc>
        <w:tc>
          <w:tcPr>
            <w:tcW w:w="0" w:type="auto"/>
            <w:vMerge w:val="restart"/>
            <w:vAlign w:val="center"/>
          </w:tcPr>
          <w:p w14:paraId="689C8811"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1.276</w:t>
            </w:r>
          </w:p>
        </w:tc>
        <w:tc>
          <w:tcPr>
            <w:tcW w:w="0" w:type="auto"/>
            <w:vMerge w:val="restart"/>
            <w:tcBorders>
              <w:right w:val="single" w:sz="4" w:space="0" w:color="auto"/>
            </w:tcBorders>
            <w:vAlign w:val="center"/>
          </w:tcPr>
          <w:p w14:paraId="581CE338" w14:textId="77777777" w:rsidR="00DE2B2A" w:rsidRPr="00D93DCA" w:rsidRDefault="00DE2B2A" w:rsidP="007F33C9">
            <w:pPr>
              <w:bidi/>
              <w:spacing w:after="0" w:line="240" w:lineRule="auto"/>
              <w:jc w:val="center"/>
              <w:rPr>
                <w:rFonts w:ascii="Times New Roman" w:hAnsi="Times New Roman" w:cs="Simplified Arabic"/>
                <w:w w:val="95"/>
                <w:sz w:val="20"/>
                <w:szCs w:val="20"/>
                <w:lang w:bidi="ar-EG"/>
              </w:rPr>
            </w:pPr>
            <w:r w:rsidRPr="00D93DCA">
              <w:rPr>
                <w:rFonts w:ascii="Times New Roman" w:hAnsi="Times New Roman" w:cs="Simplified Arabic"/>
                <w:w w:val="95"/>
                <w:sz w:val="20"/>
                <w:szCs w:val="20"/>
              </w:rPr>
              <w:t>6</w:t>
            </w:r>
          </w:p>
        </w:tc>
        <w:tc>
          <w:tcPr>
            <w:tcW w:w="0" w:type="auto"/>
            <w:vMerge w:val="restart"/>
            <w:tcBorders>
              <w:right w:val="single" w:sz="4" w:space="0" w:color="auto"/>
            </w:tcBorders>
            <w:vAlign w:val="center"/>
          </w:tcPr>
          <w:p w14:paraId="6745BC86"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hint="cs"/>
                <w:w w:val="95"/>
                <w:sz w:val="20"/>
                <w:szCs w:val="20"/>
                <w:rtl/>
                <w:lang w:bidi="ar-EG"/>
              </w:rPr>
              <w:t>عالية</w:t>
            </w:r>
          </w:p>
        </w:tc>
      </w:tr>
      <w:tr w:rsidR="00DE2B2A" w:rsidRPr="00D93DCA" w14:paraId="191CC605" w14:textId="77777777" w:rsidTr="00D93DCA">
        <w:trPr>
          <w:jc w:val="center"/>
        </w:trPr>
        <w:tc>
          <w:tcPr>
            <w:tcW w:w="0" w:type="auto"/>
            <w:vMerge/>
            <w:tcBorders>
              <w:left w:val="single" w:sz="4" w:space="0" w:color="auto"/>
              <w:right w:val="single" w:sz="4" w:space="0" w:color="auto"/>
            </w:tcBorders>
            <w:vAlign w:val="center"/>
          </w:tcPr>
          <w:p w14:paraId="32590B10"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tcPr>
          <w:p w14:paraId="1D0A3177"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B18751A"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w:t>
            </w:r>
          </w:p>
        </w:tc>
        <w:tc>
          <w:tcPr>
            <w:tcW w:w="0" w:type="auto"/>
            <w:shd w:val="clear" w:color="auto" w:fill="auto"/>
            <w:vAlign w:val="center"/>
          </w:tcPr>
          <w:p w14:paraId="64513C3C"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47.9</w:t>
            </w:r>
          </w:p>
        </w:tc>
        <w:tc>
          <w:tcPr>
            <w:tcW w:w="0" w:type="auto"/>
            <w:vAlign w:val="center"/>
          </w:tcPr>
          <w:p w14:paraId="1B80C92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25.5</w:t>
            </w:r>
          </w:p>
        </w:tc>
        <w:tc>
          <w:tcPr>
            <w:tcW w:w="0" w:type="auto"/>
            <w:shd w:val="clear" w:color="auto" w:fill="auto"/>
            <w:vAlign w:val="center"/>
          </w:tcPr>
          <w:p w14:paraId="36B2951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9.4</w:t>
            </w:r>
          </w:p>
        </w:tc>
        <w:tc>
          <w:tcPr>
            <w:tcW w:w="0" w:type="auto"/>
            <w:vAlign w:val="center"/>
          </w:tcPr>
          <w:p w14:paraId="7C0E9A1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9.9</w:t>
            </w:r>
          </w:p>
        </w:tc>
        <w:tc>
          <w:tcPr>
            <w:tcW w:w="0" w:type="auto"/>
            <w:vAlign w:val="center"/>
          </w:tcPr>
          <w:p w14:paraId="5739BB5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7.3</w:t>
            </w:r>
          </w:p>
        </w:tc>
        <w:tc>
          <w:tcPr>
            <w:tcW w:w="0" w:type="auto"/>
            <w:vMerge/>
            <w:vAlign w:val="center"/>
          </w:tcPr>
          <w:p w14:paraId="5CD5F7B6"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178CF6E8"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15E8EA71"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2376A175"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5A03ED7E" w14:textId="77777777" w:rsidTr="00D93DCA">
        <w:trPr>
          <w:jc w:val="center"/>
        </w:trPr>
        <w:tc>
          <w:tcPr>
            <w:tcW w:w="0" w:type="auto"/>
            <w:vMerge w:val="restart"/>
            <w:tcBorders>
              <w:left w:val="single" w:sz="4" w:space="0" w:color="auto"/>
              <w:right w:val="single" w:sz="4" w:space="0" w:color="auto"/>
            </w:tcBorders>
            <w:vAlign w:val="center"/>
          </w:tcPr>
          <w:p w14:paraId="7FE57059"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35</w:t>
            </w:r>
          </w:p>
        </w:tc>
        <w:tc>
          <w:tcPr>
            <w:tcW w:w="0" w:type="auto"/>
            <w:vMerge w:val="restart"/>
            <w:tcBorders>
              <w:left w:val="single" w:sz="4" w:space="0" w:color="auto"/>
              <w:right w:val="single" w:sz="4" w:space="0" w:color="auto"/>
            </w:tcBorders>
          </w:tcPr>
          <w:p w14:paraId="201411ED" w14:textId="77777777" w:rsidR="00DE2B2A" w:rsidRPr="00D93DCA" w:rsidRDefault="00DE2B2A" w:rsidP="007F33C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D93DCA">
              <w:rPr>
                <w:rFonts w:ascii="Times New Roman" w:eastAsia="Times New Roman" w:hAnsi="Times New Roman" w:cs="Simplified Arabic"/>
                <w:w w:val="95"/>
                <w:sz w:val="20"/>
                <w:szCs w:val="20"/>
                <w:rtl/>
              </w:rPr>
              <w:t>تُعد الاستثمارات المتنوعة عاملًا مساعدًا في استمرارية المشاريع الريادية</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3D0073DC"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ك</w:t>
            </w:r>
          </w:p>
        </w:tc>
        <w:tc>
          <w:tcPr>
            <w:tcW w:w="0" w:type="auto"/>
            <w:shd w:val="clear" w:color="auto" w:fill="auto"/>
            <w:vAlign w:val="center"/>
          </w:tcPr>
          <w:p w14:paraId="556992B1"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189</w:t>
            </w:r>
          </w:p>
        </w:tc>
        <w:tc>
          <w:tcPr>
            <w:tcW w:w="0" w:type="auto"/>
            <w:vAlign w:val="center"/>
          </w:tcPr>
          <w:p w14:paraId="4E2D6CF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104</w:t>
            </w:r>
          </w:p>
        </w:tc>
        <w:tc>
          <w:tcPr>
            <w:tcW w:w="0" w:type="auto"/>
            <w:shd w:val="clear" w:color="auto" w:fill="auto"/>
            <w:vAlign w:val="center"/>
          </w:tcPr>
          <w:p w14:paraId="3FBAF3D6"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40</w:t>
            </w:r>
          </w:p>
        </w:tc>
        <w:tc>
          <w:tcPr>
            <w:tcW w:w="0" w:type="auto"/>
            <w:vAlign w:val="center"/>
          </w:tcPr>
          <w:p w14:paraId="02292EF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34</w:t>
            </w:r>
          </w:p>
        </w:tc>
        <w:tc>
          <w:tcPr>
            <w:tcW w:w="0" w:type="auto"/>
            <w:vAlign w:val="center"/>
          </w:tcPr>
          <w:p w14:paraId="00FC560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17</w:t>
            </w:r>
          </w:p>
        </w:tc>
        <w:tc>
          <w:tcPr>
            <w:tcW w:w="0" w:type="auto"/>
            <w:vMerge w:val="restart"/>
            <w:vAlign w:val="center"/>
          </w:tcPr>
          <w:p w14:paraId="6B7C6A1C"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color w:val="000000"/>
                <w:w w:val="95"/>
                <w:sz w:val="20"/>
                <w:szCs w:val="20"/>
              </w:rPr>
              <w:t>4.08</w:t>
            </w:r>
          </w:p>
        </w:tc>
        <w:tc>
          <w:tcPr>
            <w:tcW w:w="0" w:type="auto"/>
            <w:vMerge w:val="restart"/>
            <w:vAlign w:val="center"/>
          </w:tcPr>
          <w:p w14:paraId="1EFFADC7"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color w:val="000000"/>
                <w:w w:val="95"/>
                <w:sz w:val="20"/>
                <w:szCs w:val="20"/>
              </w:rPr>
              <w:t>1.160</w:t>
            </w:r>
          </w:p>
        </w:tc>
        <w:tc>
          <w:tcPr>
            <w:tcW w:w="0" w:type="auto"/>
            <w:vMerge w:val="restart"/>
            <w:tcBorders>
              <w:right w:val="single" w:sz="4" w:space="0" w:color="auto"/>
            </w:tcBorders>
            <w:vAlign w:val="center"/>
          </w:tcPr>
          <w:p w14:paraId="51BA6A75" w14:textId="77777777" w:rsidR="00DE2B2A" w:rsidRPr="00D93DCA" w:rsidRDefault="00DE2B2A" w:rsidP="007F33C9">
            <w:pPr>
              <w:bidi/>
              <w:spacing w:after="0" w:line="240" w:lineRule="auto"/>
              <w:jc w:val="center"/>
              <w:rPr>
                <w:rFonts w:ascii="Times New Roman" w:hAnsi="Times New Roman" w:cs="Simplified Arabic"/>
                <w:w w:val="95"/>
                <w:sz w:val="20"/>
                <w:szCs w:val="20"/>
                <w:lang w:bidi="ar-EG"/>
              </w:rPr>
            </w:pPr>
            <w:r w:rsidRPr="00D93DCA">
              <w:rPr>
                <w:rFonts w:ascii="Times New Roman" w:hAnsi="Times New Roman" w:cs="Simplified Arabic"/>
                <w:w w:val="95"/>
                <w:sz w:val="20"/>
                <w:szCs w:val="20"/>
              </w:rPr>
              <w:t>3</w:t>
            </w:r>
          </w:p>
        </w:tc>
        <w:tc>
          <w:tcPr>
            <w:tcW w:w="0" w:type="auto"/>
            <w:vMerge w:val="restart"/>
            <w:tcBorders>
              <w:right w:val="single" w:sz="4" w:space="0" w:color="auto"/>
            </w:tcBorders>
            <w:vAlign w:val="center"/>
          </w:tcPr>
          <w:p w14:paraId="7792E90F"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hint="cs"/>
                <w:w w:val="95"/>
                <w:sz w:val="20"/>
                <w:szCs w:val="20"/>
                <w:rtl/>
                <w:lang w:bidi="ar-EG"/>
              </w:rPr>
              <w:t>عالية</w:t>
            </w:r>
          </w:p>
        </w:tc>
      </w:tr>
      <w:tr w:rsidR="00DE2B2A" w:rsidRPr="00D93DCA" w14:paraId="0BD90432" w14:textId="77777777" w:rsidTr="00D93DCA">
        <w:trPr>
          <w:jc w:val="center"/>
        </w:trPr>
        <w:tc>
          <w:tcPr>
            <w:tcW w:w="0" w:type="auto"/>
            <w:vMerge/>
            <w:tcBorders>
              <w:left w:val="single" w:sz="4" w:space="0" w:color="auto"/>
              <w:right w:val="single" w:sz="4" w:space="0" w:color="auto"/>
            </w:tcBorders>
            <w:vAlign w:val="center"/>
          </w:tcPr>
          <w:p w14:paraId="63BADD27"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tcPr>
          <w:p w14:paraId="12C30DF8"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5FFB8CAD"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w:t>
            </w:r>
          </w:p>
        </w:tc>
        <w:tc>
          <w:tcPr>
            <w:tcW w:w="0" w:type="auto"/>
            <w:shd w:val="clear" w:color="auto" w:fill="auto"/>
            <w:vAlign w:val="center"/>
          </w:tcPr>
          <w:p w14:paraId="5050C1C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49.2</w:t>
            </w:r>
          </w:p>
        </w:tc>
        <w:tc>
          <w:tcPr>
            <w:tcW w:w="0" w:type="auto"/>
            <w:vAlign w:val="center"/>
          </w:tcPr>
          <w:p w14:paraId="4526F5F0"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27.1</w:t>
            </w:r>
          </w:p>
        </w:tc>
        <w:tc>
          <w:tcPr>
            <w:tcW w:w="0" w:type="auto"/>
            <w:shd w:val="clear" w:color="auto" w:fill="auto"/>
            <w:vAlign w:val="center"/>
          </w:tcPr>
          <w:p w14:paraId="02B5E1B1"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10.4</w:t>
            </w:r>
          </w:p>
        </w:tc>
        <w:tc>
          <w:tcPr>
            <w:tcW w:w="0" w:type="auto"/>
            <w:vAlign w:val="center"/>
          </w:tcPr>
          <w:p w14:paraId="169FED30"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8.9</w:t>
            </w:r>
          </w:p>
        </w:tc>
        <w:tc>
          <w:tcPr>
            <w:tcW w:w="0" w:type="auto"/>
            <w:vAlign w:val="center"/>
          </w:tcPr>
          <w:p w14:paraId="105B1286"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4.4</w:t>
            </w:r>
          </w:p>
        </w:tc>
        <w:tc>
          <w:tcPr>
            <w:tcW w:w="0" w:type="auto"/>
            <w:vMerge/>
            <w:vAlign w:val="center"/>
          </w:tcPr>
          <w:p w14:paraId="10E25F1F"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5767E3D4"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479C255D"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4C524976"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2A9A49BF" w14:textId="77777777" w:rsidTr="00D93DCA">
        <w:trPr>
          <w:jc w:val="center"/>
        </w:trPr>
        <w:tc>
          <w:tcPr>
            <w:tcW w:w="0" w:type="auto"/>
            <w:vMerge w:val="restart"/>
            <w:tcBorders>
              <w:left w:val="single" w:sz="4" w:space="0" w:color="auto"/>
              <w:right w:val="single" w:sz="4" w:space="0" w:color="auto"/>
            </w:tcBorders>
            <w:vAlign w:val="center"/>
          </w:tcPr>
          <w:p w14:paraId="1F829ADA"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36</w:t>
            </w:r>
          </w:p>
        </w:tc>
        <w:tc>
          <w:tcPr>
            <w:tcW w:w="0" w:type="auto"/>
            <w:vMerge w:val="restart"/>
            <w:tcBorders>
              <w:left w:val="single" w:sz="4" w:space="0" w:color="auto"/>
              <w:right w:val="single" w:sz="4" w:space="0" w:color="auto"/>
            </w:tcBorders>
          </w:tcPr>
          <w:p w14:paraId="707B68DF" w14:textId="77777777" w:rsidR="00DE2B2A" w:rsidRPr="00D93DCA" w:rsidRDefault="00DE2B2A" w:rsidP="007F33C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D93DCA">
              <w:rPr>
                <w:rFonts w:ascii="Times New Roman" w:eastAsia="Times New Roman" w:hAnsi="Times New Roman" w:cs="Simplified Arabic"/>
                <w:w w:val="95"/>
                <w:sz w:val="20"/>
                <w:szCs w:val="20"/>
                <w:rtl/>
              </w:rPr>
              <w:t>يُساعد الدعم المجتمعي عبر التمويل التشاركي في بناء سمعة قوية للمشاريع الناشئة</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49731E62"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ك</w:t>
            </w:r>
          </w:p>
        </w:tc>
        <w:tc>
          <w:tcPr>
            <w:tcW w:w="0" w:type="auto"/>
            <w:shd w:val="clear" w:color="auto" w:fill="auto"/>
            <w:vAlign w:val="center"/>
          </w:tcPr>
          <w:p w14:paraId="60617AA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230</w:t>
            </w:r>
          </w:p>
        </w:tc>
        <w:tc>
          <w:tcPr>
            <w:tcW w:w="0" w:type="auto"/>
            <w:vAlign w:val="center"/>
          </w:tcPr>
          <w:p w14:paraId="16AC405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70</w:t>
            </w:r>
          </w:p>
        </w:tc>
        <w:tc>
          <w:tcPr>
            <w:tcW w:w="0" w:type="auto"/>
            <w:shd w:val="clear" w:color="auto" w:fill="auto"/>
            <w:vAlign w:val="center"/>
          </w:tcPr>
          <w:p w14:paraId="692C8532"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29</w:t>
            </w:r>
          </w:p>
        </w:tc>
        <w:tc>
          <w:tcPr>
            <w:tcW w:w="0" w:type="auto"/>
            <w:vAlign w:val="center"/>
          </w:tcPr>
          <w:p w14:paraId="6BFEAF3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33</w:t>
            </w:r>
          </w:p>
        </w:tc>
        <w:tc>
          <w:tcPr>
            <w:tcW w:w="0" w:type="auto"/>
            <w:vAlign w:val="center"/>
          </w:tcPr>
          <w:p w14:paraId="2494F24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22</w:t>
            </w:r>
          </w:p>
        </w:tc>
        <w:tc>
          <w:tcPr>
            <w:tcW w:w="0" w:type="auto"/>
            <w:vMerge w:val="restart"/>
            <w:vAlign w:val="center"/>
          </w:tcPr>
          <w:p w14:paraId="012050AA"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4.18</w:t>
            </w:r>
          </w:p>
        </w:tc>
        <w:tc>
          <w:tcPr>
            <w:tcW w:w="0" w:type="auto"/>
            <w:vMerge w:val="restart"/>
            <w:vAlign w:val="center"/>
          </w:tcPr>
          <w:p w14:paraId="4FC33152"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1.227</w:t>
            </w:r>
          </w:p>
        </w:tc>
        <w:tc>
          <w:tcPr>
            <w:tcW w:w="0" w:type="auto"/>
            <w:vMerge w:val="restart"/>
            <w:tcBorders>
              <w:right w:val="single" w:sz="4" w:space="0" w:color="auto"/>
            </w:tcBorders>
            <w:vAlign w:val="center"/>
          </w:tcPr>
          <w:p w14:paraId="0E47ED09"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Pr>
              <w:t>1</w:t>
            </w:r>
          </w:p>
        </w:tc>
        <w:tc>
          <w:tcPr>
            <w:tcW w:w="0" w:type="auto"/>
            <w:vMerge w:val="restart"/>
            <w:tcBorders>
              <w:right w:val="single" w:sz="4" w:space="0" w:color="auto"/>
            </w:tcBorders>
            <w:vAlign w:val="center"/>
          </w:tcPr>
          <w:p w14:paraId="785D33D4"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hint="cs"/>
                <w:w w:val="95"/>
                <w:sz w:val="20"/>
                <w:szCs w:val="20"/>
                <w:rtl/>
                <w:lang w:bidi="ar-EG"/>
              </w:rPr>
              <w:t>عالية</w:t>
            </w:r>
          </w:p>
        </w:tc>
      </w:tr>
      <w:tr w:rsidR="00DE2B2A" w:rsidRPr="00D93DCA" w14:paraId="0BBD4219" w14:textId="77777777" w:rsidTr="00D93DCA">
        <w:trPr>
          <w:jc w:val="center"/>
        </w:trPr>
        <w:tc>
          <w:tcPr>
            <w:tcW w:w="0" w:type="auto"/>
            <w:vMerge/>
            <w:tcBorders>
              <w:left w:val="single" w:sz="4" w:space="0" w:color="auto"/>
              <w:right w:val="single" w:sz="4" w:space="0" w:color="auto"/>
            </w:tcBorders>
            <w:vAlign w:val="center"/>
          </w:tcPr>
          <w:p w14:paraId="7C0BF66E"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tcPr>
          <w:p w14:paraId="71F9D630"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89AF5F0"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w w:val="95"/>
                <w:sz w:val="20"/>
                <w:szCs w:val="20"/>
                <w:rtl/>
              </w:rPr>
              <w:t>%</w:t>
            </w:r>
          </w:p>
        </w:tc>
        <w:tc>
          <w:tcPr>
            <w:tcW w:w="0" w:type="auto"/>
            <w:shd w:val="clear" w:color="auto" w:fill="auto"/>
            <w:vAlign w:val="center"/>
          </w:tcPr>
          <w:p w14:paraId="0BD9AD7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59.9</w:t>
            </w:r>
          </w:p>
        </w:tc>
        <w:tc>
          <w:tcPr>
            <w:tcW w:w="0" w:type="auto"/>
            <w:vAlign w:val="center"/>
          </w:tcPr>
          <w:p w14:paraId="38E0675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18.2</w:t>
            </w:r>
          </w:p>
        </w:tc>
        <w:tc>
          <w:tcPr>
            <w:tcW w:w="0" w:type="auto"/>
            <w:shd w:val="clear" w:color="auto" w:fill="auto"/>
            <w:vAlign w:val="center"/>
          </w:tcPr>
          <w:p w14:paraId="13E8C4B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7.6</w:t>
            </w:r>
          </w:p>
        </w:tc>
        <w:tc>
          <w:tcPr>
            <w:tcW w:w="0" w:type="auto"/>
            <w:vAlign w:val="center"/>
          </w:tcPr>
          <w:p w14:paraId="63CFEAC9"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8.6</w:t>
            </w:r>
          </w:p>
        </w:tc>
        <w:tc>
          <w:tcPr>
            <w:tcW w:w="0" w:type="auto"/>
            <w:vAlign w:val="center"/>
          </w:tcPr>
          <w:p w14:paraId="3A6F0B5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5.7</w:t>
            </w:r>
          </w:p>
        </w:tc>
        <w:tc>
          <w:tcPr>
            <w:tcW w:w="0" w:type="auto"/>
            <w:vMerge/>
            <w:vAlign w:val="center"/>
          </w:tcPr>
          <w:p w14:paraId="5112FF24"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60D2EF8D"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173CEE8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1796B57D"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3DDE2C0B" w14:textId="77777777" w:rsidTr="00D93DCA">
        <w:trPr>
          <w:jc w:val="center"/>
        </w:trPr>
        <w:tc>
          <w:tcPr>
            <w:tcW w:w="0" w:type="auto"/>
            <w:vMerge w:val="restart"/>
            <w:tcBorders>
              <w:left w:val="single" w:sz="4" w:space="0" w:color="auto"/>
              <w:right w:val="single" w:sz="4" w:space="0" w:color="auto"/>
            </w:tcBorders>
            <w:vAlign w:val="center"/>
          </w:tcPr>
          <w:p w14:paraId="769D69B5"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37</w:t>
            </w:r>
          </w:p>
        </w:tc>
        <w:tc>
          <w:tcPr>
            <w:tcW w:w="0" w:type="auto"/>
            <w:vMerge w:val="restart"/>
            <w:tcBorders>
              <w:left w:val="single" w:sz="4" w:space="0" w:color="auto"/>
              <w:right w:val="single" w:sz="4" w:space="0" w:color="auto"/>
            </w:tcBorders>
          </w:tcPr>
          <w:p w14:paraId="0FED408A" w14:textId="77777777" w:rsidR="00DE2B2A" w:rsidRPr="00D93DCA" w:rsidRDefault="00DE2B2A" w:rsidP="007F33C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D93DCA">
              <w:rPr>
                <w:rFonts w:ascii="Times New Roman" w:eastAsia="Times New Roman" w:hAnsi="Times New Roman" w:cs="Simplified Arabic"/>
                <w:w w:val="95"/>
                <w:sz w:val="20"/>
                <w:szCs w:val="20"/>
                <w:rtl/>
              </w:rPr>
              <w:t>تَزيد فرص نجاح المشاريع عند توفر خطط واضحة لإدارة التمويل التشاركي</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1BD1A44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ك</w:t>
            </w:r>
          </w:p>
        </w:tc>
        <w:tc>
          <w:tcPr>
            <w:tcW w:w="0" w:type="auto"/>
            <w:shd w:val="clear" w:color="auto" w:fill="auto"/>
            <w:vAlign w:val="center"/>
          </w:tcPr>
          <w:p w14:paraId="54992AB0"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184</w:t>
            </w:r>
          </w:p>
        </w:tc>
        <w:tc>
          <w:tcPr>
            <w:tcW w:w="0" w:type="auto"/>
            <w:vAlign w:val="center"/>
          </w:tcPr>
          <w:p w14:paraId="1307806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76</w:t>
            </w:r>
          </w:p>
        </w:tc>
        <w:tc>
          <w:tcPr>
            <w:tcW w:w="0" w:type="auto"/>
            <w:shd w:val="clear" w:color="auto" w:fill="auto"/>
            <w:vAlign w:val="center"/>
          </w:tcPr>
          <w:p w14:paraId="21D68AF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42</w:t>
            </w:r>
          </w:p>
        </w:tc>
        <w:tc>
          <w:tcPr>
            <w:tcW w:w="0" w:type="auto"/>
            <w:vAlign w:val="center"/>
          </w:tcPr>
          <w:p w14:paraId="3E9D4C5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53</w:t>
            </w:r>
          </w:p>
        </w:tc>
        <w:tc>
          <w:tcPr>
            <w:tcW w:w="0" w:type="auto"/>
            <w:vAlign w:val="center"/>
          </w:tcPr>
          <w:p w14:paraId="33868B0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29</w:t>
            </w:r>
          </w:p>
        </w:tc>
        <w:tc>
          <w:tcPr>
            <w:tcW w:w="0" w:type="auto"/>
            <w:vMerge w:val="restart"/>
            <w:vAlign w:val="center"/>
          </w:tcPr>
          <w:p w14:paraId="4B91960A" w14:textId="77777777" w:rsidR="00DE2B2A" w:rsidRPr="00D93DCA" w:rsidRDefault="00DE2B2A" w:rsidP="007F33C9">
            <w:pPr>
              <w:bidi/>
              <w:spacing w:after="0" w:line="240" w:lineRule="auto"/>
              <w:jc w:val="center"/>
              <w:rPr>
                <w:rFonts w:ascii="Times New Roman" w:hAnsi="Times New Roman" w:cs="Simplified Arabic"/>
                <w:w w:val="95"/>
                <w:sz w:val="20"/>
                <w:szCs w:val="20"/>
                <w:lang w:bidi="ar-EG"/>
              </w:rPr>
            </w:pPr>
            <w:r w:rsidRPr="00D93DCA">
              <w:rPr>
                <w:rFonts w:ascii="Times New Roman" w:hAnsi="Times New Roman" w:cs="Simplified Arabic"/>
                <w:color w:val="000000"/>
                <w:w w:val="95"/>
                <w:sz w:val="20"/>
                <w:szCs w:val="20"/>
              </w:rPr>
              <w:t>3.87</w:t>
            </w:r>
          </w:p>
        </w:tc>
        <w:tc>
          <w:tcPr>
            <w:tcW w:w="0" w:type="auto"/>
            <w:vMerge w:val="restart"/>
            <w:vAlign w:val="center"/>
          </w:tcPr>
          <w:p w14:paraId="2B35E470" w14:textId="77777777" w:rsidR="00DE2B2A" w:rsidRPr="00D93DCA" w:rsidRDefault="00DE2B2A" w:rsidP="007F33C9">
            <w:pPr>
              <w:bidi/>
              <w:spacing w:after="0" w:line="240" w:lineRule="auto"/>
              <w:jc w:val="center"/>
              <w:rPr>
                <w:rFonts w:ascii="Times New Roman" w:hAnsi="Times New Roman" w:cs="Simplified Arabic"/>
                <w:w w:val="95"/>
                <w:sz w:val="20"/>
                <w:szCs w:val="20"/>
                <w:lang w:bidi="ar-EG"/>
              </w:rPr>
            </w:pPr>
            <w:r w:rsidRPr="00D93DCA">
              <w:rPr>
                <w:rFonts w:ascii="Times New Roman" w:hAnsi="Times New Roman" w:cs="Simplified Arabic"/>
                <w:color w:val="000000"/>
                <w:w w:val="95"/>
                <w:sz w:val="20"/>
                <w:szCs w:val="20"/>
              </w:rPr>
              <w:t>1.344</w:t>
            </w:r>
          </w:p>
        </w:tc>
        <w:tc>
          <w:tcPr>
            <w:tcW w:w="0" w:type="auto"/>
            <w:vMerge w:val="restart"/>
            <w:tcBorders>
              <w:right w:val="single" w:sz="4" w:space="0" w:color="auto"/>
            </w:tcBorders>
            <w:vAlign w:val="center"/>
          </w:tcPr>
          <w:p w14:paraId="4D895841"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Pr>
              <w:t>7</w:t>
            </w:r>
          </w:p>
        </w:tc>
        <w:tc>
          <w:tcPr>
            <w:tcW w:w="0" w:type="auto"/>
            <w:vMerge w:val="restart"/>
            <w:tcBorders>
              <w:right w:val="single" w:sz="4" w:space="0" w:color="auto"/>
            </w:tcBorders>
            <w:vAlign w:val="center"/>
          </w:tcPr>
          <w:p w14:paraId="290B9EF7"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lang w:bidi="ar-EG"/>
              </w:rPr>
              <w:t>عالية</w:t>
            </w:r>
          </w:p>
        </w:tc>
      </w:tr>
      <w:tr w:rsidR="00DE2B2A" w:rsidRPr="00D93DCA" w14:paraId="6124E4BC" w14:textId="77777777" w:rsidTr="00D93DCA">
        <w:trPr>
          <w:jc w:val="center"/>
        </w:trPr>
        <w:tc>
          <w:tcPr>
            <w:tcW w:w="0" w:type="auto"/>
            <w:vMerge/>
            <w:tcBorders>
              <w:left w:val="single" w:sz="4" w:space="0" w:color="auto"/>
              <w:right w:val="single" w:sz="4" w:space="0" w:color="auto"/>
            </w:tcBorders>
            <w:vAlign w:val="center"/>
          </w:tcPr>
          <w:p w14:paraId="0F4C7253"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vAlign w:val="center"/>
          </w:tcPr>
          <w:p w14:paraId="02CA82D8"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2E0A3DC9"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w:t>
            </w:r>
          </w:p>
        </w:tc>
        <w:tc>
          <w:tcPr>
            <w:tcW w:w="0" w:type="auto"/>
            <w:shd w:val="clear" w:color="auto" w:fill="auto"/>
            <w:vAlign w:val="center"/>
          </w:tcPr>
          <w:p w14:paraId="59F10D0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47.9</w:t>
            </w:r>
          </w:p>
        </w:tc>
        <w:tc>
          <w:tcPr>
            <w:tcW w:w="0" w:type="auto"/>
            <w:vAlign w:val="center"/>
          </w:tcPr>
          <w:p w14:paraId="0F8DC18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19.8</w:t>
            </w:r>
          </w:p>
        </w:tc>
        <w:tc>
          <w:tcPr>
            <w:tcW w:w="0" w:type="auto"/>
            <w:shd w:val="clear" w:color="auto" w:fill="auto"/>
            <w:vAlign w:val="center"/>
          </w:tcPr>
          <w:p w14:paraId="4C47094D"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10.9</w:t>
            </w:r>
          </w:p>
        </w:tc>
        <w:tc>
          <w:tcPr>
            <w:tcW w:w="0" w:type="auto"/>
            <w:vAlign w:val="center"/>
          </w:tcPr>
          <w:p w14:paraId="5C3CA8F6"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13.8</w:t>
            </w:r>
          </w:p>
        </w:tc>
        <w:tc>
          <w:tcPr>
            <w:tcW w:w="0" w:type="auto"/>
            <w:vAlign w:val="center"/>
          </w:tcPr>
          <w:p w14:paraId="1E2AC4FA"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7.6</w:t>
            </w:r>
          </w:p>
        </w:tc>
        <w:tc>
          <w:tcPr>
            <w:tcW w:w="0" w:type="auto"/>
            <w:vMerge/>
            <w:vAlign w:val="center"/>
          </w:tcPr>
          <w:p w14:paraId="69D37BF7"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7147A811"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65077F3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6BA98374"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153A82AB" w14:textId="77777777" w:rsidTr="00D93DCA">
        <w:trPr>
          <w:jc w:val="center"/>
        </w:trPr>
        <w:tc>
          <w:tcPr>
            <w:tcW w:w="0" w:type="auto"/>
            <w:vMerge w:val="restart"/>
            <w:tcBorders>
              <w:left w:val="single" w:sz="4" w:space="0" w:color="auto"/>
              <w:right w:val="single" w:sz="4" w:space="0" w:color="auto"/>
            </w:tcBorders>
            <w:vAlign w:val="center"/>
          </w:tcPr>
          <w:p w14:paraId="5F67FA34"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38</w:t>
            </w:r>
          </w:p>
        </w:tc>
        <w:tc>
          <w:tcPr>
            <w:tcW w:w="0" w:type="auto"/>
            <w:vMerge w:val="restart"/>
            <w:tcBorders>
              <w:left w:val="single" w:sz="4" w:space="0" w:color="auto"/>
              <w:right w:val="single" w:sz="4" w:space="0" w:color="auto"/>
            </w:tcBorders>
            <w:vAlign w:val="center"/>
          </w:tcPr>
          <w:p w14:paraId="32F68B09"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eastAsia="Times New Roman" w:hAnsi="Times New Roman" w:cs="Simplified Arabic"/>
                <w:w w:val="95"/>
                <w:sz w:val="20"/>
                <w:szCs w:val="20"/>
                <w:rtl/>
              </w:rPr>
              <w:t>يُساعد التمويل التشاركي على توسيع نطاق المشاريع الريادية في السوق السعودي</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3740B28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ك</w:t>
            </w:r>
          </w:p>
        </w:tc>
        <w:tc>
          <w:tcPr>
            <w:tcW w:w="0" w:type="auto"/>
            <w:shd w:val="clear" w:color="auto" w:fill="auto"/>
            <w:vAlign w:val="center"/>
          </w:tcPr>
          <w:p w14:paraId="480EED11"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172</w:t>
            </w:r>
          </w:p>
        </w:tc>
        <w:tc>
          <w:tcPr>
            <w:tcW w:w="0" w:type="auto"/>
            <w:vAlign w:val="center"/>
          </w:tcPr>
          <w:p w14:paraId="7FA98C3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76</w:t>
            </w:r>
          </w:p>
        </w:tc>
        <w:tc>
          <w:tcPr>
            <w:tcW w:w="0" w:type="auto"/>
            <w:shd w:val="clear" w:color="auto" w:fill="auto"/>
            <w:vAlign w:val="center"/>
          </w:tcPr>
          <w:p w14:paraId="2674775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46</w:t>
            </w:r>
          </w:p>
        </w:tc>
        <w:tc>
          <w:tcPr>
            <w:tcW w:w="0" w:type="auto"/>
            <w:vAlign w:val="center"/>
          </w:tcPr>
          <w:p w14:paraId="5D1407E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44</w:t>
            </w:r>
          </w:p>
        </w:tc>
        <w:tc>
          <w:tcPr>
            <w:tcW w:w="0" w:type="auto"/>
            <w:vAlign w:val="center"/>
          </w:tcPr>
          <w:p w14:paraId="6480BA1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46</w:t>
            </w:r>
          </w:p>
        </w:tc>
        <w:tc>
          <w:tcPr>
            <w:tcW w:w="0" w:type="auto"/>
            <w:vMerge w:val="restart"/>
            <w:vAlign w:val="center"/>
          </w:tcPr>
          <w:p w14:paraId="397081B0"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3.74</w:t>
            </w:r>
          </w:p>
        </w:tc>
        <w:tc>
          <w:tcPr>
            <w:tcW w:w="0" w:type="auto"/>
            <w:vMerge w:val="restart"/>
            <w:vAlign w:val="center"/>
          </w:tcPr>
          <w:p w14:paraId="2C2C1BA6"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1.429</w:t>
            </w:r>
          </w:p>
        </w:tc>
        <w:tc>
          <w:tcPr>
            <w:tcW w:w="0" w:type="auto"/>
            <w:vMerge w:val="restart"/>
            <w:tcBorders>
              <w:right w:val="single" w:sz="4" w:space="0" w:color="auto"/>
            </w:tcBorders>
            <w:vAlign w:val="center"/>
          </w:tcPr>
          <w:p w14:paraId="332D798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Pr>
              <w:t>8</w:t>
            </w:r>
          </w:p>
        </w:tc>
        <w:tc>
          <w:tcPr>
            <w:tcW w:w="0" w:type="auto"/>
            <w:vMerge w:val="restart"/>
            <w:tcBorders>
              <w:right w:val="single" w:sz="4" w:space="0" w:color="auto"/>
            </w:tcBorders>
            <w:vAlign w:val="center"/>
          </w:tcPr>
          <w:p w14:paraId="729D3D03"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lang w:bidi="ar-EG"/>
              </w:rPr>
              <w:t>عالية</w:t>
            </w:r>
          </w:p>
        </w:tc>
      </w:tr>
      <w:tr w:rsidR="00DE2B2A" w:rsidRPr="00D93DCA" w14:paraId="2F81B0C0" w14:textId="77777777" w:rsidTr="00D93DCA">
        <w:trPr>
          <w:jc w:val="center"/>
        </w:trPr>
        <w:tc>
          <w:tcPr>
            <w:tcW w:w="0" w:type="auto"/>
            <w:vMerge/>
            <w:tcBorders>
              <w:left w:val="single" w:sz="4" w:space="0" w:color="auto"/>
              <w:right w:val="single" w:sz="4" w:space="0" w:color="auto"/>
            </w:tcBorders>
            <w:vAlign w:val="center"/>
          </w:tcPr>
          <w:p w14:paraId="00B3A73A"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vAlign w:val="center"/>
          </w:tcPr>
          <w:p w14:paraId="07230C07"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6691259C"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w:t>
            </w:r>
          </w:p>
        </w:tc>
        <w:tc>
          <w:tcPr>
            <w:tcW w:w="0" w:type="auto"/>
            <w:shd w:val="clear" w:color="auto" w:fill="auto"/>
            <w:vAlign w:val="center"/>
          </w:tcPr>
          <w:p w14:paraId="695CB86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44.8</w:t>
            </w:r>
          </w:p>
        </w:tc>
        <w:tc>
          <w:tcPr>
            <w:tcW w:w="0" w:type="auto"/>
            <w:vAlign w:val="center"/>
          </w:tcPr>
          <w:p w14:paraId="251C6BE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19.8</w:t>
            </w:r>
          </w:p>
        </w:tc>
        <w:tc>
          <w:tcPr>
            <w:tcW w:w="0" w:type="auto"/>
            <w:shd w:val="clear" w:color="auto" w:fill="auto"/>
            <w:vAlign w:val="center"/>
          </w:tcPr>
          <w:p w14:paraId="4E64D7E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12</w:t>
            </w:r>
          </w:p>
        </w:tc>
        <w:tc>
          <w:tcPr>
            <w:tcW w:w="0" w:type="auto"/>
            <w:vAlign w:val="center"/>
          </w:tcPr>
          <w:p w14:paraId="0DBCC332"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11.5</w:t>
            </w:r>
          </w:p>
        </w:tc>
        <w:tc>
          <w:tcPr>
            <w:tcW w:w="0" w:type="auto"/>
            <w:vAlign w:val="center"/>
          </w:tcPr>
          <w:p w14:paraId="1D9900B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12</w:t>
            </w:r>
          </w:p>
        </w:tc>
        <w:tc>
          <w:tcPr>
            <w:tcW w:w="0" w:type="auto"/>
            <w:vMerge/>
            <w:vAlign w:val="center"/>
          </w:tcPr>
          <w:p w14:paraId="11BC9AF6"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0B91913C"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6A7D514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64A52B79"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7EA61BB4" w14:textId="77777777" w:rsidTr="00D93DCA">
        <w:trPr>
          <w:jc w:val="center"/>
        </w:trPr>
        <w:tc>
          <w:tcPr>
            <w:tcW w:w="0" w:type="auto"/>
            <w:vMerge w:val="restart"/>
            <w:tcBorders>
              <w:left w:val="single" w:sz="4" w:space="0" w:color="auto"/>
              <w:right w:val="single" w:sz="4" w:space="0" w:color="auto"/>
            </w:tcBorders>
            <w:vAlign w:val="center"/>
          </w:tcPr>
          <w:p w14:paraId="1D668FE4"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39</w:t>
            </w:r>
          </w:p>
        </w:tc>
        <w:tc>
          <w:tcPr>
            <w:tcW w:w="0" w:type="auto"/>
            <w:vMerge w:val="restart"/>
            <w:tcBorders>
              <w:left w:val="single" w:sz="4" w:space="0" w:color="auto"/>
              <w:right w:val="single" w:sz="4" w:space="0" w:color="auto"/>
            </w:tcBorders>
            <w:vAlign w:val="center"/>
          </w:tcPr>
          <w:p w14:paraId="02AAE504" w14:textId="77777777" w:rsidR="00DE2B2A" w:rsidRPr="00D93DCA" w:rsidRDefault="00DE2B2A" w:rsidP="007F33C9">
            <w:pPr>
              <w:autoSpaceDE w:val="0"/>
              <w:autoSpaceDN w:val="0"/>
              <w:bidi/>
              <w:adjustRightInd w:val="0"/>
              <w:spacing w:after="0" w:line="240" w:lineRule="auto"/>
              <w:jc w:val="center"/>
              <w:rPr>
                <w:rFonts w:ascii="Times New Roman" w:hAnsi="Times New Roman" w:cs="Simplified Arabic"/>
                <w:w w:val="95"/>
                <w:sz w:val="20"/>
                <w:szCs w:val="20"/>
                <w:rtl/>
                <w:lang w:bidi="ar-KW"/>
              </w:rPr>
            </w:pPr>
            <w:r w:rsidRPr="00D93DCA">
              <w:rPr>
                <w:rFonts w:ascii="Times New Roman" w:eastAsia="Times New Roman" w:hAnsi="Times New Roman" w:cs="Simplified Arabic"/>
                <w:w w:val="95"/>
                <w:sz w:val="20"/>
                <w:szCs w:val="20"/>
                <w:rtl/>
              </w:rPr>
              <w:t>تَساهم الاستراتيجيات التسويقية الفعالة في تحسين فرص المشاريع لجذب التمويل والدعم</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71206CFE"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ك</w:t>
            </w:r>
          </w:p>
        </w:tc>
        <w:tc>
          <w:tcPr>
            <w:tcW w:w="0" w:type="auto"/>
            <w:shd w:val="clear" w:color="auto" w:fill="auto"/>
            <w:vAlign w:val="center"/>
          </w:tcPr>
          <w:p w14:paraId="0402425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187</w:t>
            </w:r>
          </w:p>
        </w:tc>
        <w:tc>
          <w:tcPr>
            <w:tcW w:w="0" w:type="auto"/>
            <w:vAlign w:val="center"/>
          </w:tcPr>
          <w:p w14:paraId="65B8BE8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96</w:t>
            </w:r>
          </w:p>
        </w:tc>
        <w:tc>
          <w:tcPr>
            <w:tcW w:w="0" w:type="auto"/>
            <w:shd w:val="clear" w:color="auto" w:fill="auto"/>
            <w:vAlign w:val="center"/>
          </w:tcPr>
          <w:p w14:paraId="7B722B96"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45</w:t>
            </w:r>
          </w:p>
        </w:tc>
        <w:tc>
          <w:tcPr>
            <w:tcW w:w="0" w:type="auto"/>
            <w:vAlign w:val="center"/>
          </w:tcPr>
          <w:p w14:paraId="65FF24E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29</w:t>
            </w:r>
          </w:p>
        </w:tc>
        <w:tc>
          <w:tcPr>
            <w:tcW w:w="0" w:type="auto"/>
            <w:vAlign w:val="center"/>
          </w:tcPr>
          <w:p w14:paraId="0838C00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27</w:t>
            </w:r>
          </w:p>
        </w:tc>
        <w:tc>
          <w:tcPr>
            <w:tcW w:w="0" w:type="auto"/>
            <w:vMerge w:val="restart"/>
            <w:vAlign w:val="center"/>
          </w:tcPr>
          <w:p w14:paraId="042B0F1B"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4.01</w:t>
            </w:r>
          </w:p>
        </w:tc>
        <w:tc>
          <w:tcPr>
            <w:tcW w:w="0" w:type="auto"/>
            <w:vMerge w:val="restart"/>
            <w:vAlign w:val="center"/>
          </w:tcPr>
          <w:p w14:paraId="02EF3463"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1.242</w:t>
            </w:r>
          </w:p>
        </w:tc>
        <w:tc>
          <w:tcPr>
            <w:tcW w:w="0" w:type="auto"/>
            <w:vMerge w:val="restart"/>
            <w:tcBorders>
              <w:right w:val="single" w:sz="4" w:space="0" w:color="auto"/>
            </w:tcBorders>
            <w:vAlign w:val="center"/>
          </w:tcPr>
          <w:p w14:paraId="2DB9689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Pr>
              <w:t>4</w:t>
            </w:r>
          </w:p>
        </w:tc>
        <w:tc>
          <w:tcPr>
            <w:tcW w:w="0" w:type="auto"/>
            <w:vMerge w:val="restart"/>
            <w:tcBorders>
              <w:right w:val="single" w:sz="4" w:space="0" w:color="auto"/>
            </w:tcBorders>
            <w:vAlign w:val="center"/>
          </w:tcPr>
          <w:p w14:paraId="3CED822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lang w:bidi="ar-EG"/>
              </w:rPr>
              <w:t>عالية</w:t>
            </w:r>
          </w:p>
        </w:tc>
      </w:tr>
      <w:tr w:rsidR="00DE2B2A" w:rsidRPr="00D93DCA" w14:paraId="30C22B48" w14:textId="77777777" w:rsidTr="00D93DCA">
        <w:trPr>
          <w:jc w:val="center"/>
        </w:trPr>
        <w:tc>
          <w:tcPr>
            <w:tcW w:w="0" w:type="auto"/>
            <w:vMerge/>
            <w:tcBorders>
              <w:left w:val="single" w:sz="4" w:space="0" w:color="auto"/>
              <w:right w:val="single" w:sz="4" w:space="0" w:color="auto"/>
            </w:tcBorders>
            <w:vAlign w:val="center"/>
          </w:tcPr>
          <w:p w14:paraId="4581C1ED"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vAlign w:val="center"/>
          </w:tcPr>
          <w:p w14:paraId="1DF96C8E"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04C633B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w:t>
            </w:r>
          </w:p>
        </w:tc>
        <w:tc>
          <w:tcPr>
            <w:tcW w:w="0" w:type="auto"/>
            <w:shd w:val="clear" w:color="auto" w:fill="auto"/>
            <w:vAlign w:val="center"/>
          </w:tcPr>
          <w:p w14:paraId="42B9D84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48.7</w:t>
            </w:r>
          </w:p>
        </w:tc>
        <w:tc>
          <w:tcPr>
            <w:tcW w:w="0" w:type="auto"/>
            <w:vAlign w:val="center"/>
          </w:tcPr>
          <w:p w14:paraId="6EABFB5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25</w:t>
            </w:r>
          </w:p>
        </w:tc>
        <w:tc>
          <w:tcPr>
            <w:tcW w:w="0" w:type="auto"/>
            <w:shd w:val="clear" w:color="auto" w:fill="auto"/>
            <w:vAlign w:val="center"/>
          </w:tcPr>
          <w:p w14:paraId="56D6B5C9"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11.7</w:t>
            </w:r>
          </w:p>
        </w:tc>
        <w:tc>
          <w:tcPr>
            <w:tcW w:w="0" w:type="auto"/>
            <w:vAlign w:val="center"/>
          </w:tcPr>
          <w:p w14:paraId="0608D73C"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7.6</w:t>
            </w:r>
          </w:p>
        </w:tc>
        <w:tc>
          <w:tcPr>
            <w:tcW w:w="0" w:type="auto"/>
            <w:vAlign w:val="center"/>
          </w:tcPr>
          <w:p w14:paraId="1C35CBE7"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7</w:t>
            </w:r>
          </w:p>
        </w:tc>
        <w:tc>
          <w:tcPr>
            <w:tcW w:w="0" w:type="auto"/>
            <w:vMerge/>
            <w:vAlign w:val="center"/>
          </w:tcPr>
          <w:p w14:paraId="56DC0BBF"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52BB8C61"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000557F5"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680C0900"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709875C4" w14:textId="77777777" w:rsidTr="00D93DCA">
        <w:trPr>
          <w:jc w:val="center"/>
        </w:trPr>
        <w:tc>
          <w:tcPr>
            <w:tcW w:w="0" w:type="auto"/>
            <w:vMerge w:val="restart"/>
            <w:tcBorders>
              <w:left w:val="single" w:sz="4" w:space="0" w:color="auto"/>
              <w:right w:val="single" w:sz="4" w:space="0" w:color="auto"/>
            </w:tcBorders>
            <w:vAlign w:val="center"/>
          </w:tcPr>
          <w:p w14:paraId="2403282C"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rPr>
              <w:t>40</w:t>
            </w:r>
          </w:p>
        </w:tc>
        <w:tc>
          <w:tcPr>
            <w:tcW w:w="0" w:type="auto"/>
            <w:vMerge w:val="restart"/>
            <w:tcBorders>
              <w:left w:val="single" w:sz="4" w:space="0" w:color="auto"/>
              <w:right w:val="single" w:sz="4" w:space="0" w:color="auto"/>
            </w:tcBorders>
            <w:vAlign w:val="center"/>
          </w:tcPr>
          <w:p w14:paraId="2828F09C"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eastAsia="Times New Roman" w:hAnsi="Times New Roman" w:cs="Simplified Arabic"/>
                <w:w w:val="95"/>
                <w:sz w:val="20"/>
                <w:szCs w:val="20"/>
                <w:rtl/>
              </w:rPr>
              <w:t>تُعتبر البيئة القانونية والتنظيمية من العوامل المؤثرة في نجاح المشاريع المدعومة بالتمويل التشاركي</w:t>
            </w:r>
            <w:r w:rsidRPr="00D93DCA">
              <w:rPr>
                <w:rFonts w:ascii="Times New Roman" w:eastAsia="Times New Roman" w:hAnsi="Times New Roman" w:cs="Simplified Arabic"/>
                <w:w w:val="95"/>
                <w:sz w:val="20"/>
                <w:szCs w:val="20"/>
              </w:rPr>
              <w:t>.</w:t>
            </w: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45A3553B"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ك</w:t>
            </w:r>
          </w:p>
        </w:tc>
        <w:tc>
          <w:tcPr>
            <w:tcW w:w="0" w:type="auto"/>
            <w:shd w:val="clear" w:color="auto" w:fill="auto"/>
            <w:vAlign w:val="center"/>
          </w:tcPr>
          <w:p w14:paraId="260999FE"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198</w:t>
            </w:r>
          </w:p>
        </w:tc>
        <w:tc>
          <w:tcPr>
            <w:tcW w:w="0" w:type="auto"/>
            <w:vAlign w:val="center"/>
          </w:tcPr>
          <w:p w14:paraId="59656BC8"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99</w:t>
            </w:r>
          </w:p>
        </w:tc>
        <w:tc>
          <w:tcPr>
            <w:tcW w:w="0" w:type="auto"/>
            <w:shd w:val="clear" w:color="auto" w:fill="auto"/>
            <w:vAlign w:val="center"/>
          </w:tcPr>
          <w:p w14:paraId="22E4AE9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41</w:t>
            </w:r>
          </w:p>
        </w:tc>
        <w:tc>
          <w:tcPr>
            <w:tcW w:w="0" w:type="auto"/>
            <w:vAlign w:val="center"/>
          </w:tcPr>
          <w:p w14:paraId="3A0A0BDA"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21</w:t>
            </w:r>
          </w:p>
        </w:tc>
        <w:tc>
          <w:tcPr>
            <w:tcW w:w="0" w:type="auto"/>
            <w:vAlign w:val="center"/>
          </w:tcPr>
          <w:p w14:paraId="2E758ADB"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25</w:t>
            </w:r>
          </w:p>
        </w:tc>
        <w:tc>
          <w:tcPr>
            <w:tcW w:w="0" w:type="auto"/>
            <w:vMerge w:val="restart"/>
            <w:vAlign w:val="center"/>
          </w:tcPr>
          <w:p w14:paraId="6E5CB32C"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4.10</w:t>
            </w:r>
          </w:p>
        </w:tc>
        <w:tc>
          <w:tcPr>
            <w:tcW w:w="0" w:type="auto"/>
            <w:vMerge w:val="restart"/>
            <w:vAlign w:val="center"/>
          </w:tcPr>
          <w:p w14:paraId="755280FD"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1.192</w:t>
            </w:r>
          </w:p>
        </w:tc>
        <w:tc>
          <w:tcPr>
            <w:tcW w:w="0" w:type="auto"/>
            <w:vMerge w:val="restart"/>
            <w:tcBorders>
              <w:right w:val="single" w:sz="4" w:space="0" w:color="auto"/>
            </w:tcBorders>
            <w:vAlign w:val="center"/>
          </w:tcPr>
          <w:p w14:paraId="792B5A39"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Pr>
              <w:t>2</w:t>
            </w:r>
          </w:p>
        </w:tc>
        <w:tc>
          <w:tcPr>
            <w:tcW w:w="0" w:type="auto"/>
            <w:vMerge w:val="restart"/>
            <w:tcBorders>
              <w:right w:val="single" w:sz="4" w:space="0" w:color="auto"/>
            </w:tcBorders>
            <w:vAlign w:val="center"/>
          </w:tcPr>
          <w:p w14:paraId="0F3147B4"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hint="cs"/>
                <w:w w:val="95"/>
                <w:sz w:val="20"/>
                <w:szCs w:val="20"/>
                <w:rtl/>
                <w:lang w:bidi="ar-EG"/>
              </w:rPr>
              <w:t>عالية</w:t>
            </w:r>
          </w:p>
        </w:tc>
      </w:tr>
      <w:tr w:rsidR="00DE2B2A" w:rsidRPr="00D93DCA" w14:paraId="3033E8BD" w14:textId="77777777" w:rsidTr="00D93DCA">
        <w:trPr>
          <w:jc w:val="center"/>
        </w:trPr>
        <w:tc>
          <w:tcPr>
            <w:tcW w:w="0" w:type="auto"/>
            <w:vMerge/>
            <w:tcBorders>
              <w:left w:val="single" w:sz="4" w:space="0" w:color="auto"/>
              <w:right w:val="single" w:sz="4" w:space="0" w:color="auto"/>
            </w:tcBorders>
            <w:vAlign w:val="center"/>
          </w:tcPr>
          <w:p w14:paraId="23EAD4F2"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left w:val="single" w:sz="4" w:space="0" w:color="auto"/>
              <w:right w:val="single" w:sz="4" w:space="0" w:color="auto"/>
            </w:tcBorders>
            <w:vAlign w:val="center"/>
          </w:tcPr>
          <w:p w14:paraId="02F7FB65"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tcBorders>
              <w:top w:val="single" w:sz="4" w:space="0" w:color="auto"/>
              <w:left w:val="single" w:sz="4" w:space="0" w:color="auto"/>
              <w:bottom w:val="single" w:sz="4" w:space="0" w:color="auto"/>
            </w:tcBorders>
            <w:shd w:val="clear" w:color="auto" w:fill="BFBFBF" w:themeFill="background1" w:themeFillShade="BF"/>
            <w:vAlign w:val="center"/>
          </w:tcPr>
          <w:p w14:paraId="7E73FCF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r w:rsidRPr="00D93DCA">
              <w:rPr>
                <w:rFonts w:ascii="Times New Roman" w:hAnsi="Times New Roman" w:cs="Simplified Arabic"/>
                <w:w w:val="95"/>
                <w:sz w:val="20"/>
                <w:szCs w:val="20"/>
                <w:rtl/>
              </w:rPr>
              <w:t>%</w:t>
            </w:r>
          </w:p>
        </w:tc>
        <w:tc>
          <w:tcPr>
            <w:tcW w:w="0" w:type="auto"/>
            <w:shd w:val="clear" w:color="auto" w:fill="auto"/>
            <w:vAlign w:val="center"/>
          </w:tcPr>
          <w:p w14:paraId="42BDC26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51.6</w:t>
            </w:r>
          </w:p>
        </w:tc>
        <w:tc>
          <w:tcPr>
            <w:tcW w:w="0" w:type="auto"/>
            <w:vAlign w:val="center"/>
          </w:tcPr>
          <w:p w14:paraId="04D75B8F"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25.8</w:t>
            </w:r>
          </w:p>
        </w:tc>
        <w:tc>
          <w:tcPr>
            <w:tcW w:w="0" w:type="auto"/>
            <w:shd w:val="clear" w:color="auto" w:fill="auto"/>
            <w:vAlign w:val="center"/>
          </w:tcPr>
          <w:p w14:paraId="54E03FA2"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10.7</w:t>
            </w:r>
          </w:p>
        </w:tc>
        <w:tc>
          <w:tcPr>
            <w:tcW w:w="0" w:type="auto"/>
            <w:vAlign w:val="center"/>
          </w:tcPr>
          <w:p w14:paraId="39F61D04"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5.5</w:t>
            </w:r>
          </w:p>
        </w:tc>
        <w:tc>
          <w:tcPr>
            <w:tcW w:w="0" w:type="auto"/>
            <w:vAlign w:val="center"/>
          </w:tcPr>
          <w:p w14:paraId="31C40343" w14:textId="77777777" w:rsidR="00DE2B2A" w:rsidRPr="00D93DCA" w:rsidRDefault="00DE2B2A" w:rsidP="007F33C9">
            <w:pPr>
              <w:autoSpaceDE w:val="0"/>
              <w:autoSpaceDN w:val="0"/>
              <w:bidi/>
              <w:adjustRightInd w:val="0"/>
              <w:spacing w:after="0" w:line="240" w:lineRule="auto"/>
              <w:ind w:left="60" w:right="60"/>
              <w:jc w:val="center"/>
              <w:rPr>
                <w:rFonts w:ascii="Times New Roman" w:hAnsi="Times New Roman" w:cs="Simplified Arabic"/>
                <w:color w:val="000000"/>
                <w:w w:val="95"/>
                <w:sz w:val="20"/>
                <w:szCs w:val="20"/>
              </w:rPr>
            </w:pPr>
            <w:r w:rsidRPr="00D93DCA">
              <w:rPr>
                <w:rFonts w:ascii="Times New Roman" w:hAnsi="Times New Roman" w:cs="Simplified Arabic"/>
                <w:color w:val="000000"/>
                <w:w w:val="95"/>
                <w:sz w:val="20"/>
                <w:szCs w:val="20"/>
              </w:rPr>
              <w:t>6.5</w:t>
            </w:r>
          </w:p>
        </w:tc>
        <w:tc>
          <w:tcPr>
            <w:tcW w:w="0" w:type="auto"/>
            <w:vMerge/>
            <w:vAlign w:val="center"/>
          </w:tcPr>
          <w:p w14:paraId="47BDEEE4"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vAlign w:val="center"/>
          </w:tcPr>
          <w:p w14:paraId="5C827A97" w14:textId="77777777" w:rsidR="00DE2B2A" w:rsidRPr="00D93DCA" w:rsidRDefault="00DE2B2A" w:rsidP="007F33C9">
            <w:pPr>
              <w:bidi/>
              <w:spacing w:after="0" w:line="240" w:lineRule="auto"/>
              <w:jc w:val="center"/>
              <w:rPr>
                <w:rFonts w:ascii="Times New Roman" w:hAnsi="Times New Roman" w:cs="Simplified Arabic"/>
                <w:w w:val="95"/>
                <w:sz w:val="20"/>
                <w:szCs w:val="20"/>
              </w:rPr>
            </w:pPr>
          </w:p>
        </w:tc>
        <w:tc>
          <w:tcPr>
            <w:tcW w:w="0" w:type="auto"/>
            <w:vMerge/>
            <w:tcBorders>
              <w:right w:val="single" w:sz="4" w:space="0" w:color="auto"/>
            </w:tcBorders>
            <w:vAlign w:val="center"/>
          </w:tcPr>
          <w:p w14:paraId="14A5E3ED"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c>
          <w:tcPr>
            <w:tcW w:w="0" w:type="auto"/>
            <w:vMerge/>
            <w:tcBorders>
              <w:right w:val="single" w:sz="4" w:space="0" w:color="auto"/>
            </w:tcBorders>
            <w:vAlign w:val="center"/>
          </w:tcPr>
          <w:p w14:paraId="3B25B23F" w14:textId="77777777" w:rsidR="00DE2B2A" w:rsidRPr="00D93DCA" w:rsidRDefault="00DE2B2A" w:rsidP="007F33C9">
            <w:pPr>
              <w:bidi/>
              <w:spacing w:after="0" w:line="240" w:lineRule="auto"/>
              <w:jc w:val="center"/>
              <w:rPr>
                <w:rFonts w:ascii="Times New Roman" w:hAnsi="Times New Roman" w:cs="Simplified Arabic"/>
                <w:w w:val="95"/>
                <w:sz w:val="20"/>
                <w:szCs w:val="20"/>
                <w:rtl/>
              </w:rPr>
            </w:pPr>
          </w:p>
        </w:tc>
      </w:tr>
      <w:tr w:rsidR="00DE2B2A" w:rsidRPr="00D93DCA" w14:paraId="0766F5B3" w14:textId="77777777" w:rsidTr="00D93DCA">
        <w:trPr>
          <w:jc w:val="center"/>
        </w:trPr>
        <w:tc>
          <w:tcPr>
            <w:tcW w:w="0" w:type="auto"/>
            <w:gridSpan w:val="8"/>
            <w:tcBorders>
              <w:left w:val="single" w:sz="4" w:space="0" w:color="auto"/>
            </w:tcBorders>
            <w:shd w:val="clear" w:color="auto" w:fill="BFBFBF" w:themeFill="background1" w:themeFillShade="BF"/>
            <w:vAlign w:val="center"/>
          </w:tcPr>
          <w:p w14:paraId="527469EF"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hint="cs"/>
                <w:w w:val="95"/>
                <w:sz w:val="20"/>
                <w:szCs w:val="20"/>
                <w:rtl/>
              </w:rPr>
              <w:t>المتوسط العام</w:t>
            </w:r>
          </w:p>
        </w:tc>
        <w:tc>
          <w:tcPr>
            <w:tcW w:w="0" w:type="auto"/>
            <w:shd w:val="clear" w:color="auto" w:fill="BFBFBF" w:themeFill="background1" w:themeFillShade="BF"/>
            <w:vAlign w:val="center"/>
          </w:tcPr>
          <w:p w14:paraId="5710D668" w14:textId="77777777" w:rsidR="00DE2B2A" w:rsidRPr="00D93DCA" w:rsidRDefault="00DE2B2A" w:rsidP="007F33C9">
            <w:pPr>
              <w:bidi/>
              <w:spacing w:after="0" w:line="240" w:lineRule="auto"/>
              <w:jc w:val="center"/>
              <w:rPr>
                <w:rFonts w:ascii="Times New Roman" w:hAnsi="Times New Roman" w:cs="Simplified Arabic"/>
                <w:w w:val="95"/>
                <w:sz w:val="20"/>
                <w:szCs w:val="20"/>
              </w:rPr>
            </w:pPr>
            <w:r w:rsidRPr="00D93DCA">
              <w:rPr>
                <w:rFonts w:ascii="Times New Roman" w:hAnsi="Times New Roman" w:cs="Simplified Arabic"/>
                <w:color w:val="000000"/>
                <w:w w:val="95"/>
                <w:sz w:val="20"/>
                <w:szCs w:val="20"/>
              </w:rPr>
              <w:t>3.99</w:t>
            </w:r>
          </w:p>
        </w:tc>
        <w:tc>
          <w:tcPr>
            <w:tcW w:w="0" w:type="auto"/>
            <w:shd w:val="clear" w:color="auto" w:fill="BFBFBF" w:themeFill="background1" w:themeFillShade="BF"/>
            <w:vAlign w:val="center"/>
          </w:tcPr>
          <w:p w14:paraId="3BFE32CA"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color w:val="000000"/>
                <w:w w:val="95"/>
                <w:sz w:val="20"/>
                <w:szCs w:val="20"/>
              </w:rPr>
              <w:t>.693</w:t>
            </w:r>
          </w:p>
        </w:tc>
        <w:tc>
          <w:tcPr>
            <w:tcW w:w="0" w:type="auto"/>
            <w:tcBorders>
              <w:right w:val="single" w:sz="4" w:space="0" w:color="auto"/>
            </w:tcBorders>
            <w:shd w:val="clear" w:color="auto" w:fill="BFBFBF" w:themeFill="background1" w:themeFillShade="BF"/>
            <w:vAlign w:val="center"/>
          </w:tcPr>
          <w:p w14:paraId="21EF5583"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hint="cs"/>
                <w:w w:val="95"/>
                <w:sz w:val="20"/>
                <w:szCs w:val="20"/>
                <w:rtl/>
                <w:lang w:bidi="ar-EG"/>
              </w:rPr>
              <w:t>--</w:t>
            </w:r>
          </w:p>
        </w:tc>
        <w:tc>
          <w:tcPr>
            <w:tcW w:w="0" w:type="auto"/>
            <w:tcBorders>
              <w:right w:val="single" w:sz="4" w:space="0" w:color="auto"/>
            </w:tcBorders>
            <w:shd w:val="clear" w:color="auto" w:fill="BFBFBF" w:themeFill="background1" w:themeFillShade="BF"/>
            <w:vAlign w:val="center"/>
          </w:tcPr>
          <w:p w14:paraId="75B04C2B" w14:textId="77777777" w:rsidR="00DE2B2A" w:rsidRPr="00D93DCA" w:rsidRDefault="00DE2B2A" w:rsidP="007F33C9">
            <w:pPr>
              <w:bidi/>
              <w:spacing w:after="0" w:line="240" w:lineRule="auto"/>
              <w:jc w:val="center"/>
              <w:rPr>
                <w:rFonts w:ascii="Times New Roman" w:hAnsi="Times New Roman" w:cs="Simplified Arabic"/>
                <w:w w:val="95"/>
                <w:sz w:val="20"/>
                <w:szCs w:val="20"/>
                <w:rtl/>
                <w:lang w:bidi="ar-EG"/>
              </w:rPr>
            </w:pPr>
            <w:r w:rsidRPr="00D93DCA">
              <w:rPr>
                <w:rFonts w:ascii="Times New Roman" w:hAnsi="Times New Roman" w:cs="Simplified Arabic" w:hint="cs"/>
                <w:w w:val="95"/>
                <w:sz w:val="20"/>
                <w:szCs w:val="20"/>
                <w:rtl/>
                <w:lang w:bidi="ar-EG"/>
              </w:rPr>
              <w:t>عالية</w:t>
            </w:r>
          </w:p>
        </w:tc>
      </w:tr>
    </w:tbl>
    <w:p w14:paraId="13EC930C" w14:textId="77777777" w:rsidR="00DE2B2A" w:rsidRPr="00BC50C9" w:rsidRDefault="00DE2B2A" w:rsidP="00D93DCA">
      <w:pPr>
        <w:pStyle w:val="00000"/>
        <w:rPr>
          <w:rtl/>
        </w:rPr>
      </w:pPr>
      <w:r w:rsidRPr="00BC50C9">
        <w:rPr>
          <w:rtl/>
        </w:rPr>
        <w:lastRenderedPageBreak/>
        <w:t xml:space="preserve">يتبين من الجدول </w:t>
      </w:r>
      <w:r w:rsidRPr="00BC50C9">
        <w:rPr>
          <w:rFonts w:hint="cs"/>
          <w:rtl/>
        </w:rPr>
        <w:t>السابق</w:t>
      </w:r>
      <w:r w:rsidRPr="00BC50C9">
        <w:rPr>
          <w:rtl/>
        </w:rPr>
        <w:t>: أن</w:t>
      </w:r>
      <w:r w:rsidRPr="00BC50C9">
        <w:rPr>
          <w:rFonts w:hint="cs"/>
          <w:rtl/>
        </w:rPr>
        <w:t xml:space="preserve"> المتوسط العام</w:t>
      </w:r>
      <w:r w:rsidRPr="00BC50C9">
        <w:rPr>
          <w:rtl/>
        </w:rPr>
        <w:t xml:space="preserve"> </w:t>
      </w:r>
      <w:r w:rsidRPr="00BC50C9">
        <w:rPr>
          <w:rFonts w:hint="cs"/>
          <w:rtl/>
        </w:rPr>
        <w:t xml:space="preserve">للمحور الثالث: </w:t>
      </w:r>
      <w:r w:rsidRPr="00BC50C9">
        <w:rPr>
          <w:rtl/>
        </w:rPr>
        <w:t>نجاح المشاريع الريادية</w:t>
      </w:r>
      <w:r w:rsidRPr="00BC50C9">
        <w:rPr>
          <w:rFonts w:hint="cs"/>
          <w:rtl/>
        </w:rPr>
        <w:t xml:space="preserve"> جاء</w:t>
      </w:r>
      <w:r w:rsidRPr="00BC50C9">
        <w:rPr>
          <w:rtl/>
        </w:rPr>
        <w:t xml:space="preserve"> بدرجة استجابة (</w:t>
      </w:r>
      <w:r w:rsidRPr="00BC50C9">
        <w:rPr>
          <w:rFonts w:hint="cs"/>
          <w:rtl/>
        </w:rPr>
        <w:t>عالية</w:t>
      </w:r>
      <w:r w:rsidRPr="00BC50C9">
        <w:rPr>
          <w:rtl/>
        </w:rPr>
        <w:t xml:space="preserve">)، وبمتوسط حسابي قدرة </w:t>
      </w:r>
      <w:r w:rsidRPr="00BC50C9">
        <w:rPr>
          <w:rFonts w:hint="cs"/>
          <w:rtl/>
        </w:rPr>
        <w:t>(</w:t>
      </w:r>
      <w:r w:rsidRPr="00BC50C9">
        <w:rPr>
          <w:color w:val="000000"/>
        </w:rPr>
        <w:t>3.99</w:t>
      </w:r>
      <w:r w:rsidRPr="00BC50C9">
        <w:rPr>
          <w:rFonts w:hint="cs"/>
          <w:rtl/>
        </w:rPr>
        <w:t>)</w:t>
      </w:r>
      <w:r w:rsidRPr="00BC50C9">
        <w:rPr>
          <w:rtl/>
        </w:rPr>
        <w:t xml:space="preserve">، وانحراف معياري </w:t>
      </w:r>
      <w:r w:rsidRPr="00BC50C9">
        <w:rPr>
          <w:rFonts w:hint="cs"/>
          <w:rtl/>
        </w:rPr>
        <w:t>(</w:t>
      </w:r>
      <w:r w:rsidRPr="00BC50C9">
        <w:rPr>
          <w:color w:val="000000"/>
        </w:rPr>
        <w:t>.693</w:t>
      </w:r>
      <w:r w:rsidRPr="00BC50C9">
        <w:rPr>
          <w:rFonts w:hint="cs"/>
          <w:rtl/>
        </w:rPr>
        <w:t>)</w:t>
      </w:r>
      <w:r w:rsidRPr="00BC50C9">
        <w:rPr>
          <w:rtl/>
        </w:rPr>
        <w:t>،</w:t>
      </w:r>
      <w:r w:rsidRPr="00BC50C9">
        <w:rPr>
          <w:rFonts w:hint="cs"/>
          <w:rtl/>
        </w:rPr>
        <w:t xml:space="preserve"> </w:t>
      </w:r>
      <w:r w:rsidRPr="00BC50C9">
        <w:rPr>
          <w:rtl/>
        </w:rPr>
        <w:t xml:space="preserve">وجاء في الترتيب الأول </w:t>
      </w:r>
      <w:r w:rsidRPr="00BC50C9">
        <w:rPr>
          <w:rFonts w:hint="cs"/>
          <w:rtl/>
        </w:rPr>
        <w:t>العبارة</w:t>
      </w:r>
      <w:r w:rsidRPr="00BC50C9">
        <w:rPr>
          <w:rtl/>
        </w:rPr>
        <w:t xml:space="preserve"> رقم (</w:t>
      </w:r>
      <w:r w:rsidRPr="00BC50C9">
        <w:rPr>
          <w:rFonts w:hint="cs"/>
          <w:rtl/>
        </w:rPr>
        <w:t>36</w:t>
      </w:r>
      <w:r w:rsidRPr="00BC50C9">
        <w:rPr>
          <w:rtl/>
        </w:rPr>
        <w:t>) بمتوسط حسابي (</w:t>
      </w:r>
      <w:r w:rsidRPr="00BC50C9">
        <w:rPr>
          <w:color w:val="000000"/>
        </w:rPr>
        <w:t>4.18</w:t>
      </w:r>
      <w:r w:rsidRPr="00BC50C9">
        <w:rPr>
          <w:rtl/>
        </w:rPr>
        <w:t>)، وانحراف معياري (</w:t>
      </w:r>
      <w:r w:rsidRPr="00BC50C9">
        <w:rPr>
          <w:color w:val="000000"/>
        </w:rPr>
        <w:t>1.227</w:t>
      </w:r>
      <w:r w:rsidRPr="00BC50C9">
        <w:rPr>
          <w:rtl/>
        </w:rPr>
        <w:t>) وبدرجة استجابة (</w:t>
      </w:r>
      <w:r w:rsidRPr="00BC50C9">
        <w:rPr>
          <w:rFonts w:hint="cs"/>
          <w:rtl/>
        </w:rPr>
        <w:t>عالية</w:t>
      </w:r>
      <w:r w:rsidRPr="00BC50C9">
        <w:rPr>
          <w:rtl/>
        </w:rPr>
        <w:t xml:space="preserve">)، وجاء في الترتيب الثاني </w:t>
      </w:r>
      <w:r w:rsidRPr="00BC50C9">
        <w:rPr>
          <w:rFonts w:hint="cs"/>
          <w:rtl/>
        </w:rPr>
        <w:t>العبارة</w:t>
      </w:r>
      <w:r w:rsidRPr="00BC50C9">
        <w:rPr>
          <w:rtl/>
        </w:rPr>
        <w:t xml:space="preserve"> رقم (</w:t>
      </w:r>
      <w:r w:rsidRPr="00BC50C9">
        <w:rPr>
          <w:rFonts w:hint="cs"/>
          <w:rtl/>
        </w:rPr>
        <w:t>40</w:t>
      </w:r>
      <w:r w:rsidRPr="00BC50C9">
        <w:rPr>
          <w:rtl/>
        </w:rPr>
        <w:t>) (</w:t>
      </w:r>
      <w:r w:rsidRPr="00BC50C9">
        <w:rPr>
          <w:rFonts w:hint="cs"/>
          <w:color w:val="000000"/>
          <w:rtl/>
        </w:rPr>
        <w:t>عالية</w:t>
      </w:r>
      <w:r w:rsidRPr="00BC50C9">
        <w:rPr>
          <w:rtl/>
        </w:rPr>
        <w:t>) بمتوسط حسابي (</w:t>
      </w:r>
      <w:r w:rsidRPr="00BC50C9">
        <w:rPr>
          <w:color w:val="000000"/>
        </w:rPr>
        <w:t>4.10</w:t>
      </w:r>
      <w:r w:rsidRPr="00BC50C9">
        <w:rPr>
          <w:rtl/>
        </w:rPr>
        <w:t>)، وانحراف معياري (</w:t>
      </w:r>
      <w:r w:rsidRPr="00BC50C9">
        <w:rPr>
          <w:color w:val="000000"/>
        </w:rPr>
        <w:t>1.192</w:t>
      </w:r>
      <w:r w:rsidRPr="00BC50C9">
        <w:rPr>
          <w:rtl/>
        </w:rPr>
        <w:t>) وبدرجة استجابة (</w:t>
      </w:r>
      <w:r w:rsidRPr="00BC50C9">
        <w:rPr>
          <w:rFonts w:hint="cs"/>
          <w:rtl/>
        </w:rPr>
        <w:t>عالية</w:t>
      </w:r>
      <w:r w:rsidRPr="00BC50C9">
        <w:rPr>
          <w:rtl/>
        </w:rPr>
        <w:t xml:space="preserve">)، ويليه في الترتيب الأخير </w:t>
      </w:r>
      <w:r w:rsidRPr="00BC50C9">
        <w:rPr>
          <w:rFonts w:hint="cs"/>
          <w:rtl/>
        </w:rPr>
        <w:t>العبارة</w:t>
      </w:r>
      <w:r w:rsidRPr="00BC50C9">
        <w:rPr>
          <w:rtl/>
        </w:rPr>
        <w:t xml:space="preserve"> رقم (</w:t>
      </w:r>
      <w:r w:rsidRPr="00BC50C9">
        <w:rPr>
          <w:rFonts w:hint="cs"/>
          <w:rtl/>
        </w:rPr>
        <w:t>38</w:t>
      </w:r>
      <w:r w:rsidRPr="00BC50C9">
        <w:rPr>
          <w:rtl/>
        </w:rPr>
        <w:t>) بمتوسط حسابي (</w:t>
      </w:r>
      <w:r w:rsidRPr="00BC50C9">
        <w:rPr>
          <w:color w:val="000000"/>
        </w:rPr>
        <w:t>3.74</w:t>
      </w:r>
      <w:r w:rsidRPr="00BC50C9">
        <w:rPr>
          <w:rtl/>
        </w:rPr>
        <w:t>)، وانحراف معياري (</w:t>
      </w:r>
      <w:r w:rsidRPr="00BC50C9">
        <w:rPr>
          <w:color w:val="000000"/>
        </w:rPr>
        <w:t>1.429</w:t>
      </w:r>
      <w:r w:rsidRPr="00BC50C9">
        <w:rPr>
          <w:rtl/>
        </w:rPr>
        <w:t>) وبدرجة استجابة (</w:t>
      </w:r>
      <w:r w:rsidRPr="00BC50C9">
        <w:rPr>
          <w:rFonts w:hint="cs"/>
          <w:rtl/>
        </w:rPr>
        <w:t>عالية</w:t>
      </w:r>
      <w:r w:rsidRPr="00BC50C9">
        <w:rPr>
          <w:rtl/>
        </w:rPr>
        <w:t xml:space="preserve">)، وجاءت باقي </w:t>
      </w:r>
      <w:r w:rsidRPr="00BC50C9">
        <w:rPr>
          <w:rFonts w:hint="cs"/>
          <w:rtl/>
        </w:rPr>
        <w:t xml:space="preserve">العبارات </w:t>
      </w:r>
      <w:r w:rsidRPr="00BC50C9">
        <w:rPr>
          <w:rtl/>
        </w:rPr>
        <w:t>بدرجة استجابة (</w:t>
      </w:r>
      <w:r w:rsidRPr="00BC50C9">
        <w:rPr>
          <w:rFonts w:hint="cs"/>
          <w:rtl/>
        </w:rPr>
        <w:t>عالية</w:t>
      </w:r>
      <w:r w:rsidRPr="00BC50C9">
        <w:rPr>
          <w:rtl/>
        </w:rPr>
        <w:t>)</w:t>
      </w:r>
      <w:r w:rsidRPr="00BC50C9">
        <w:rPr>
          <w:rFonts w:hint="cs"/>
          <w:rtl/>
        </w:rPr>
        <w:t xml:space="preserve">، </w:t>
      </w:r>
      <w:r w:rsidRPr="00BC50C9">
        <w:rPr>
          <w:rtl/>
        </w:rPr>
        <w:t xml:space="preserve">بينما تراوحت الانحرافات المعيارية </w:t>
      </w:r>
      <w:r w:rsidRPr="00BC50C9">
        <w:rPr>
          <w:rFonts w:hint="cs"/>
          <w:rtl/>
        </w:rPr>
        <w:t>لفقرات المحور الثالث</w:t>
      </w:r>
      <w:r w:rsidRPr="00BC50C9">
        <w:rPr>
          <w:rtl/>
        </w:rPr>
        <w:t xml:space="preserve"> بين </w:t>
      </w:r>
      <w:r w:rsidRPr="00BC50C9">
        <w:rPr>
          <w:rFonts w:hint="cs"/>
          <w:rtl/>
        </w:rPr>
        <w:t>(</w:t>
      </w:r>
      <w:r w:rsidRPr="00BC50C9">
        <w:rPr>
          <w:color w:val="000000"/>
        </w:rPr>
        <w:t>1.160</w:t>
      </w:r>
      <w:r w:rsidRPr="00BC50C9">
        <w:rPr>
          <w:rFonts w:hint="cs"/>
          <w:rtl/>
        </w:rPr>
        <w:t>-</w:t>
      </w:r>
      <w:r w:rsidRPr="00BC50C9">
        <w:rPr>
          <w:color w:val="000000"/>
        </w:rPr>
        <w:t>1.429</w:t>
      </w:r>
      <w:r w:rsidRPr="00BC50C9">
        <w:rPr>
          <w:rFonts w:hint="cs"/>
          <w:rtl/>
        </w:rPr>
        <w:t xml:space="preserve">) </w:t>
      </w:r>
      <w:r w:rsidRPr="00BC50C9">
        <w:rPr>
          <w:rtl/>
        </w:rPr>
        <w:t xml:space="preserve">وهي قيم </w:t>
      </w:r>
      <w:r w:rsidRPr="00BC50C9">
        <w:rPr>
          <w:rFonts w:hint="cs"/>
          <w:rtl/>
        </w:rPr>
        <w:t>مرتفعة</w:t>
      </w:r>
      <w:r w:rsidRPr="00BC50C9">
        <w:rPr>
          <w:rtl/>
        </w:rPr>
        <w:t xml:space="preserve"> مما يدل على </w:t>
      </w:r>
      <w:r w:rsidRPr="00BC50C9">
        <w:rPr>
          <w:rFonts w:hint="cs"/>
          <w:rtl/>
        </w:rPr>
        <w:t>تباين</w:t>
      </w:r>
      <w:r w:rsidRPr="00BC50C9">
        <w:rPr>
          <w:rtl/>
        </w:rPr>
        <w:t xml:space="preserve"> آراء أفراد عينة الدراسة نحو تلك </w:t>
      </w:r>
      <w:r w:rsidRPr="00BC50C9">
        <w:rPr>
          <w:rFonts w:hint="cs"/>
          <w:rtl/>
        </w:rPr>
        <w:t>الفقرات</w:t>
      </w:r>
      <w:r w:rsidRPr="00BC50C9">
        <w:rPr>
          <w:rtl/>
        </w:rPr>
        <w:t xml:space="preserve">. </w:t>
      </w:r>
    </w:p>
    <w:p w14:paraId="75D1DD9E" w14:textId="77777777" w:rsidR="00DE2B2A" w:rsidRPr="00BC50C9" w:rsidRDefault="00DE2B2A" w:rsidP="00D93DCA">
      <w:pPr>
        <w:pStyle w:val="00000"/>
        <w:rPr>
          <w:rtl/>
        </w:rPr>
      </w:pPr>
      <w:r w:rsidRPr="00BC50C9">
        <w:rPr>
          <w:rFonts w:hint="cs"/>
          <w:rtl/>
        </w:rPr>
        <w:t xml:space="preserve">ويمكن تفسير حصول المتوسط العام للمحور الثالث على درجة استجابة (عالية) إلى إن نجاح المشاريع الريادية يتحقق من خلال </w:t>
      </w:r>
      <w:r w:rsidRPr="00BC50C9">
        <w:rPr>
          <w:rtl/>
        </w:rPr>
        <w:t xml:space="preserve">المنصات الإلكترونية </w:t>
      </w:r>
      <w:r w:rsidRPr="00BC50C9">
        <w:rPr>
          <w:rFonts w:hint="cs"/>
          <w:rtl/>
        </w:rPr>
        <w:t>التي</w:t>
      </w:r>
      <w:r w:rsidRPr="00BC50C9">
        <w:rPr>
          <w:rtl/>
        </w:rPr>
        <w:t xml:space="preserve"> تسهل الوصول إلى التمويل وتعزز فرص نجاح المشاريع</w:t>
      </w:r>
      <w:r w:rsidRPr="00BC50C9">
        <w:rPr>
          <w:rFonts w:hint="cs"/>
          <w:rtl/>
        </w:rPr>
        <w:t>؛</w:t>
      </w:r>
      <w:r w:rsidRPr="00BC50C9">
        <w:rPr>
          <w:rtl/>
        </w:rPr>
        <w:t xml:space="preserve"> حيث توفر واجهات سهلة الاستخدام تتيح للمشاريع عرض أفكارها والتفاعل مع الممولين بشكل فعال</w:t>
      </w:r>
      <w:r w:rsidRPr="00BC50C9">
        <w:rPr>
          <w:rFonts w:hint="cs"/>
          <w:rtl/>
        </w:rPr>
        <w:t>،</w:t>
      </w:r>
      <w:r w:rsidRPr="00BC50C9">
        <w:rPr>
          <w:rtl/>
        </w:rPr>
        <w:t xml:space="preserve"> هذه المنصات تُعزز من الشفافية وتسمح للممولين باتخاذ قرارات مستنيرة، مما يزيد من احتمالية الحصول على الدعم</w:t>
      </w:r>
      <w:r w:rsidRPr="00BC50C9">
        <w:rPr>
          <w:rFonts w:hint="cs"/>
          <w:rtl/>
        </w:rPr>
        <w:t>، و</w:t>
      </w:r>
      <w:r w:rsidRPr="00BC50C9">
        <w:rPr>
          <w:rtl/>
        </w:rPr>
        <w:t>تُعد الاستثمارات المتنوعة عاملًا مساعدًا في استمرارية المشاريع الريادية</w:t>
      </w:r>
      <w:r w:rsidRPr="00BC50C9">
        <w:rPr>
          <w:rFonts w:hint="cs"/>
          <w:rtl/>
        </w:rPr>
        <w:t xml:space="preserve">؛ حيث </w:t>
      </w:r>
      <w:r w:rsidRPr="00BC50C9">
        <w:rPr>
          <w:rtl/>
        </w:rPr>
        <w:t>ت</w:t>
      </w:r>
      <w:r w:rsidRPr="00BC50C9">
        <w:rPr>
          <w:rFonts w:hint="cs"/>
          <w:rtl/>
        </w:rPr>
        <w:t>ُ</w:t>
      </w:r>
      <w:r w:rsidRPr="00BC50C9">
        <w:rPr>
          <w:rtl/>
        </w:rPr>
        <w:t xml:space="preserve">زيد </w:t>
      </w:r>
      <w:r w:rsidRPr="00BC50C9">
        <w:rPr>
          <w:rFonts w:hint="cs"/>
          <w:rtl/>
        </w:rPr>
        <w:t xml:space="preserve">من </w:t>
      </w:r>
      <w:r w:rsidRPr="00BC50C9">
        <w:rPr>
          <w:rtl/>
        </w:rPr>
        <w:t>فرص نجاح المشاريع عند توفر خطط واضحة لإدارة التمويل التشاركي</w:t>
      </w:r>
      <w:r w:rsidRPr="00BC50C9">
        <w:rPr>
          <w:rFonts w:hint="cs"/>
          <w:rtl/>
        </w:rPr>
        <w:t>.</w:t>
      </w:r>
    </w:p>
    <w:p w14:paraId="0F2FE153" w14:textId="77777777" w:rsidR="00DE2B2A" w:rsidRPr="00BC50C9" w:rsidRDefault="00DE2B2A" w:rsidP="00D93DCA">
      <w:pPr>
        <w:pStyle w:val="00000"/>
        <w:rPr>
          <w:rtl/>
        </w:rPr>
      </w:pPr>
      <w:r w:rsidRPr="00BC50C9">
        <w:rPr>
          <w:rFonts w:hint="cs"/>
          <w:rtl/>
        </w:rPr>
        <w:t xml:space="preserve">ويمكن تفسير حصول الفقرة رقم (36) على الترتيب الأول بدرجة استجابة (عالية) إلى </w:t>
      </w:r>
      <w:r w:rsidRPr="00BC50C9">
        <w:rPr>
          <w:rtl/>
        </w:rPr>
        <w:t>الدعم المجتمعي عبر التمويل التشاركي يُعتبر عنصرًا حيويًا في بناء سمعة قوية للمشاريع الناشئة</w:t>
      </w:r>
      <w:r w:rsidRPr="00BC50C9">
        <w:rPr>
          <w:rFonts w:hint="cs"/>
          <w:rtl/>
        </w:rPr>
        <w:t>،</w:t>
      </w:r>
      <w:r w:rsidRPr="00BC50C9">
        <w:rPr>
          <w:rtl/>
        </w:rPr>
        <w:t xml:space="preserve"> </w:t>
      </w:r>
      <w:r w:rsidRPr="00BC50C9">
        <w:rPr>
          <w:rFonts w:hint="cs"/>
          <w:rtl/>
        </w:rPr>
        <w:t>ف</w:t>
      </w:r>
      <w:r w:rsidRPr="00BC50C9">
        <w:rPr>
          <w:rtl/>
        </w:rPr>
        <w:t xml:space="preserve">عندما يشارك الأفراد في تمويل مشروع معين، فإنهم لا يدعمون فقط </w:t>
      </w:r>
      <w:proofErr w:type="gramStart"/>
      <w:r w:rsidRPr="00BC50C9">
        <w:rPr>
          <w:rtl/>
        </w:rPr>
        <w:t>الفكرة</w:t>
      </w:r>
      <w:proofErr w:type="gramEnd"/>
      <w:r w:rsidRPr="00BC50C9">
        <w:rPr>
          <w:rtl/>
        </w:rPr>
        <w:t xml:space="preserve"> بل يصبحون جزءًا من قصة نجاحها</w:t>
      </w:r>
      <w:r w:rsidRPr="00BC50C9">
        <w:rPr>
          <w:rFonts w:hint="cs"/>
          <w:rtl/>
        </w:rPr>
        <w:t>، و</w:t>
      </w:r>
      <w:r w:rsidRPr="00BC50C9">
        <w:rPr>
          <w:rtl/>
        </w:rPr>
        <w:t>هذا الانخراط المجتمعي يُعزز من مصداقية المشروع ويُظهر التزامًا جماعيًا تجاه تحقيق أهدافه</w:t>
      </w:r>
      <w:r w:rsidRPr="00BC50C9">
        <w:rPr>
          <w:rFonts w:hint="cs"/>
          <w:rtl/>
        </w:rPr>
        <w:t>،</w:t>
      </w:r>
      <w:r w:rsidRPr="00BC50C9">
        <w:rPr>
          <w:rtl/>
        </w:rPr>
        <w:t xml:space="preserve"> كما يُساهم الدعم المجتمعي في خلق شبكة من المؤيدين والمناصرين، مما يزيد من وعي الجمهور بالمشروع</w:t>
      </w:r>
      <w:r w:rsidRPr="00BC50C9">
        <w:rPr>
          <w:rFonts w:hint="cs"/>
          <w:rtl/>
        </w:rPr>
        <w:t xml:space="preserve">، </w:t>
      </w:r>
      <w:r w:rsidRPr="00BC50C9">
        <w:rPr>
          <w:rtl/>
        </w:rPr>
        <w:t>ويعزز من فرص نجاحه في المستقبل</w:t>
      </w:r>
      <w:r w:rsidRPr="00BC50C9">
        <w:rPr>
          <w:rFonts w:hint="cs"/>
          <w:rtl/>
        </w:rPr>
        <w:t>.</w:t>
      </w:r>
    </w:p>
    <w:p w14:paraId="3AE3E86C" w14:textId="77777777" w:rsidR="00DE2B2A" w:rsidRPr="00BC50C9" w:rsidRDefault="00DE2B2A" w:rsidP="00D93DCA">
      <w:pPr>
        <w:pStyle w:val="00000"/>
        <w:rPr>
          <w:rtl/>
        </w:rPr>
      </w:pPr>
      <w:r w:rsidRPr="00BC50C9">
        <w:rPr>
          <w:rFonts w:hint="cs"/>
          <w:rtl/>
        </w:rPr>
        <w:t xml:space="preserve">ويمكن تفسير حصول الفقرة رقم (38) على الترتيب الأخير بدرجة استجابة (عالية) إلى </w:t>
      </w:r>
      <w:r w:rsidRPr="00BC50C9">
        <w:rPr>
          <w:rtl/>
        </w:rPr>
        <w:t>التمويل التشاركي يُعتبر أداة فعالة لتوسيع نطاق المشاريع الريادية في السوق السعودي</w:t>
      </w:r>
      <w:r w:rsidRPr="00BC50C9">
        <w:rPr>
          <w:rFonts w:hint="cs"/>
          <w:rtl/>
        </w:rPr>
        <w:t>؛</w:t>
      </w:r>
      <w:r w:rsidRPr="00BC50C9">
        <w:rPr>
          <w:rtl/>
        </w:rPr>
        <w:t xml:space="preserve"> حيث يوفر فرصًا جديدة للمستثمرين وأصحاب المشاريع على حد سواء</w:t>
      </w:r>
      <w:r w:rsidRPr="00BC50C9">
        <w:rPr>
          <w:rFonts w:hint="cs"/>
          <w:rtl/>
        </w:rPr>
        <w:t>،</w:t>
      </w:r>
      <w:r w:rsidRPr="00BC50C9">
        <w:rPr>
          <w:rtl/>
        </w:rPr>
        <w:t xml:space="preserve"> </w:t>
      </w:r>
      <w:r w:rsidRPr="00BC50C9">
        <w:rPr>
          <w:rFonts w:hint="cs"/>
          <w:rtl/>
        </w:rPr>
        <w:t>و</w:t>
      </w:r>
      <w:r w:rsidRPr="00BC50C9">
        <w:rPr>
          <w:rtl/>
        </w:rPr>
        <w:t>من خلال تمكين أصحاب المشاريع من الوصول إلى شريحة واسعة من الممولين، يُعزز التمويل التشاركي من قدراتهم على جمع الأموال اللازمة لتطوير أفكارهم وتنفيذها.</w:t>
      </w:r>
    </w:p>
    <w:p w14:paraId="545844B6" w14:textId="77777777" w:rsidR="00DE2B2A" w:rsidRPr="00D93DCA" w:rsidRDefault="00DE2B2A">
      <w:pPr>
        <w:pStyle w:val="a3"/>
        <w:numPr>
          <w:ilvl w:val="0"/>
          <w:numId w:val="60"/>
        </w:numPr>
        <w:bidi/>
        <w:spacing w:before="120" w:after="120" w:line="240" w:lineRule="auto"/>
        <w:jc w:val="both"/>
        <w:rPr>
          <w:rFonts w:ascii="Times New Roman" w:hAnsi="Times New Roman" w:cs="Simplified Arabic"/>
          <w:b/>
          <w:bCs/>
          <w:sz w:val="24"/>
          <w:szCs w:val="28"/>
          <w:lang w:bidi="ar-EG"/>
        </w:rPr>
      </w:pPr>
      <w:r w:rsidRPr="00D93DCA">
        <w:rPr>
          <w:rFonts w:ascii="Times New Roman" w:hAnsi="Times New Roman" w:cs="Simplified Arabic" w:hint="cs"/>
          <w:b/>
          <w:bCs/>
          <w:sz w:val="24"/>
          <w:szCs w:val="28"/>
          <w:rtl/>
          <w:lang w:bidi="ar-EG"/>
        </w:rPr>
        <w:t>عرض نتائج السؤال الذي نص على:</w:t>
      </w:r>
      <w:r w:rsidRPr="00D93DCA">
        <w:rPr>
          <w:rFonts w:ascii="Times New Roman" w:hAnsi="Times New Roman" w:cs="Simplified Arabic" w:hint="cs"/>
          <w:sz w:val="24"/>
          <w:szCs w:val="28"/>
          <w:rtl/>
          <w:lang w:bidi="ar-EG"/>
        </w:rPr>
        <w:t xml:space="preserve"> </w:t>
      </w:r>
      <w:r w:rsidRPr="00D93DCA">
        <w:rPr>
          <w:rFonts w:ascii="Times New Roman" w:hAnsi="Times New Roman" w:cs="Simplified Arabic" w:hint="cs"/>
          <w:b/>
          <w:bCs/>
          <w:sz w:val="24"/>
          <w:szCs w:val="28"/>
          <w:rtl/>
          <w:lang w:bidi="ar-EG"/>
        </w:rPr>
        <w:t>ما الأهمية النسبية للاستدامة المالية بالمملكة العربية السعودية؟</w:t>
      </w:r>
    </w:p>
    <w:p w14:paraId="5950CCE9" w14:textId="77777777" w:rsidR="00DE2B2A" w:rsidRPr="00BC50C9" w:rsidRDefault="00DE2B2A" w:rsidP="00D93DCA">
      <w:pPr>
        <w:pStyle w:val="00000"/>
        <w:rPr>
          <w:rtl/>
        </w:rPr>
      </w:pPr>
      <w:r w:rsidRPr="00BC50C9">
        <w:rPr>
          <w:rFonts w:hint="cs"/>
          <w:rtl/>
        </w:rPr>
        <w:t xml:space="preserve">وللإجابة على السؤال قد تم حساب التكرارات والنسب المئوية وحساب المتوسطات الحسابية والانحرافات المعيارية لفقرات المحور الثاني: الاستدامة المالية ومن ثم ترتيب هذه الفقرات تنازليًا حسب المتوسط الحسابي لكل فقرة، ويبين ذلك الجدول التالي: </w:t>
      </w:r>
    </w:p>
    <w:p w14:paraId="0BD1FBD6" w14:textId="77777777" w:rsidR="00DE2B2A" w:rsidRPr="00BC50C9" w:rsidRDefault="00DE2B2A" w:rsidP="00D93DCA">
      <w:pPr>
        <w:pStyle w:val="33333"/>
        <w:rPr>
          <w:lang w:bidi="ar-EG"/>
        </w:rPr>
      </w:pPr>
      <w:bookmarkStart w:id="110" w:name="_Toc195456556"/>
      <w:r w:rsidRPr="00BC50C9">
        <w:rPr>
          <w:rFonts w:hint="cs"/>
          <w:rtl/>
          <w:lang w:bidi="ar-EG"/>
        </w:rPr>
        <w:lastRenderedPageBreak/>
        <w:t>الجدول</w:t>
      </w:r>
      <w:r w:rsidRPr="00BC50C9">
        <w:rPr>
          <w:rtl/>
          <w:lang w:bidi="ar-EG"/>
        </w:rPr>
        <w:t xml:space="preserve"> </w:t>
      </w:r>
      <w:r w:rsidRPr="00BC50C9">
        <w:rPr>
          <w:rFonts w:hint="cs"/>
          <w:rtl/>
          <w:lang w:bidi="ar-EG"/>
        </w:rPr>
        <w:t>رقم</w:t>
      </w:r>
      <w:r w:rsidRPr="00BC50C9">
        <w:rPr>
          <w:rtl/>
          <w:lang w:bidi="ar-EG"/>
        </w:rPr>
        <w:t xml:space="preserve"> (4-</w:t>
      </w:r>
      <w:r w:rsidRPr="00BC50C9">
        <w:rPr>
          <w:rFonts w:hint="cs"/>
          <w:rtl/>
          <w:lang w:bidi="ar-EG"/>
        </w:rPr>
        <w:t>6</w:t>
      </w:r>
      <w:r w:rsidRPr="00BC50C9">
        <w:rPr>
          <w:rtl/>
          <w:lang w:bidi="ar-EG"/>
        </w:rPr>
        <w:t xml:space="preserve">) </w:t>
      </w:r>
      <w:r w:rsidRPr="00BC50C9">
        <w:rPr>
          <w:rFonts w:hint="cs"/>
          <w:rtl/>
          <w:lang w:bidi="ar-EG"/>
        </w:rPr>
        <w:t>التكرارات</w:t>
      </w:r>
      <w:r w:rsidRPr="00BC50C9">
        <w:rPr>
          <w:rtl/>
          <w:lang w:bidi="ar-EG"/>
        </w:rPr>
        <w:t xml:space="preserve"> </w:t>
      </w:r>
      <w:r w:rsidRPr="00BC50C9">
        <w:rPr>
          <w:rFonts w:hint="cs"/>
          <w:rtl/>
          <w:lang w:bidi="ar-EG"/>
        </w:rPr>
        <w:t>والنسب</w:t>
      </w:r>
      <w:r w:rsidRPr="00BC50C9">
        <w:rPr>
          <w:rtl/>
          <w:lang w:bidi="ar-EG"/>
        </w:rPr>
        <w:t xml:space="preserve"> </w:t>
      </w:r>
      <w:r w:rsidRPr="00BC50C9">
        <w:rPr>
          <w:rFonts w:hint="cs"/>
          <w:rtl/>
          <w:lang w:bidi="ar-EG"/>
        </w:rPr>
        <w:t>المئوية</w:t>
      </w:r>
      <w:r w:rsidRPr="00BC50C9">
        <w:rPr>
          <w:rtl/>
          <w:lang w:bidi="ar-EG"/>
        </w:rPr>
        <w:t xml:space="preserve"> </w:t>
      </w:r>
      <w:r w:rsidRPr="00BC50C9">
        <w:rPr>
          <w:rFonts w:hint="cs"/>
          <w:rtl/>
          <w:lang w:bidi="ar-EG"/>
        </w:rPr>
        <w:t>والمتوسطات</w:t>
      </w:r>
      <w:r w:rsidRPr="00BC50C9">
        <w:rPr>
          <w:rtl/>
          <w:lang w:bidi="ar-EG"/>
        </w:rPr>
        <w:t xml:space="preserve"> </w:t>
      </w:r>
      <w:r w:rsidRPr="00BC50C9">
        <w:rPr>
          <w:rFonts w:hint="cs"/>
          <w:rtl/>
          <w:lang w:bidi="ar-EG"/>
        </w:rPr>
        <w:t>الحسابية</w:t>
      </w:r>
      <w:r w:rsidRPr="00BC50C9">
        <w:rPr>
          <w:rtl/>
          <w:lang w:bidi="ar-EG"/>
        </w:rPr>
        <w:t xml:space="preserve"> </w:t>
      </w:r>
      <w:r w:rsidRPr="00BC50C9">
        <w:rPr>
          <w:rFonts w:hint="cs"/>
          <w:rtl/>
          <w:lang w:bidi="ar-EG"/>
        </w:rPr>
        <w:t>والانحرافات</w:t>
      </w:r>
      <w:r w:rsidRPr="00BC50C9">
        <w:rPr>
          <w:rtl/>
          <w:lang w:bidi="ar-EG"/>
        </w:rPr>
        <w:t xml:space="preserve"> </w:t>
      </w:r>
      <w:r w:rsidRPr="00BC50C9">
        <w:rPr>
          <w:rFonts w:hint="cs"/>
          <w:rtl/>
          <w:lang w:bidi="ar-EG"/>
        </w:rPr>
        <w:t>المعيارية</w:t>
      </w:r>
      <w:r w:rsidRPr="00BC50C9">
        <w:rPr>
          <w:rtl/>
          <w:lang w:bidi="ar-EG"/>
        </w:rPr>
        <w:t xml:space="preserve"> </w:t>
      </w:r>
      <w:r w:rsidRPr="00BC50C9">
        <w:rPr>
          <w:rFonts w:hint="cs"/>
          <w:rtl/>
          <w:lang w:bidi="ar-EG"/>
        </w:rPr>
        <w:t>لاستجابات</w:t>
      </w:r>
      <w:r w:rsidRPr="00BC50C9">
        <w:rPr>
          <w:rtl/>
          <w:lang w:bidi="ar-EG"/>
        </w:rPr>
        <w:t xml:space="preserve"> </w:t>
      </w:r>
      <w:r w:rsidRPr="00BC50C9">
        <w:rPr>
          <w:rFonts w:hint="cs"/>
          <w:rtl/>
          <w:lang w:bidi="ar-EG"/>
        </w:rPr>
        <w:t>أفراد</w:t>
      </w:r>
      <w:r w:rsidRPr="00BC50C9">
        <w:rPr>
          <w:rtl/>
          <w:lang w:bidi="ar-EG"/>
        </w:rPr>
        <w:t xml:space="preserve"> </w:t>
      </w:r>
      <w:r w:rsidRPr="00BC50C9">
        <w:rPr>
          <w:rFonts w:hint="cs"/>
          <w:rtl/>
          <w:lang w:bidi="ar-EG"/>
        </w:rPr>
        <w:t>العينة</w:t>
      </w:r>
      <w:r w:rsidRPr="00BC50C9">
        <w:rPr>
          <w:rtl/>
          <w:lang w:bidi="ar-EG"/>
        </w:rPr>
        <w:t xml:space="preserve"> </w:t>
      </w:r>
      <w:r w:rsidRPr="00BC50C9">
        <w:rPr>
          <w:rFonts w:hint="cs"/>
          <w:rtl/>
          <w:lang w:bidi="ar-EG"/>
        </w:rPr>
        <w:t>لفقرات المحور الثاني: الاستدامة المالية</w:t>
      </w:r>
      <w:bookmarkEnd w:id="110"/>
    </w:p>
    <w:tbl>
      <w:tblPr>
        <w:bidiVisual/>
        <w:tblW w:w="525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33"/>
        <w:gridCol w:w="1979"/>
        <w:gridCol w:w="377"/>
        <w:gridCol w:w="727"/>
        <w:gridCol w:w="727"/>
        <w:gridCol w:w="727"/>
        <w:gridCol w:w="618"/>
        <w:gridCol w:w="786"/>
        <w:gridCol w:w="791"/>
        <w:gridCol w:w="806"/>
        <w:gridCol w:w="693"/>
        <w:gridCol w:w="867"/>
      </w:tblGrid>
      <w:tr w:rsidR="00DE2B2A" w:rsidRPr="00807F32" w14:paraId="3E01369E" w14:textId="77777777" w:rsidTr="00B976EC">
        <w:trPr>
          <w:tblHeader/>
          <w:jc w:val="center"/>
        </w:trPr>
        <w:tc>
          <w:tcPr>
            <w:tcW w:w="23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B6F785"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م</w:t>
            </w:r>
          </w:p>
        </w:tc>
        <w:tc>
          <w:tcPr>
            <w:tcW w:w="104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425454"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b/>
                <w:bCs/>
                <w:sz w:val="20"/>
                <w:szCs w:val="20"/>
                <w:rtl/>
              </w:rPr>
              <w:t>العبارة</w:t>
            </w:r>
          </w:p>
        </w:tc>
        <w:tc>
          <w:tcPr>
            <w:tcW w:w="2052"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12A9D809"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b/>
                <w:bCs/>
                <w:sz w:val="20"/>
                <w:szCs w:val="20"/>
                <w:rtl/>
              </w:rPr>
              <w:t>درجة الاستجابة</w:t>
            </w:r>
          </w:p>
        </w:tc>
        <w:tc>
          <w:tcPr>
            <w:tcW w:w="419" w:type="pct"/>
            <w:vMerge w:val="restart"/>
            <w:tcBorders>
              <w:top w:val="single" w:sz="4" w:space="0" w:color="auto"/>
              <w:bottom w:val="single" w:sz="4" w:space="0" w:color="auto"/>
            </w:tcBorders>
            <w:shd w:val="clear" w:color="auto" w:fill="BFBFBF" w:themeFill="background1" w:themeFillShade="BF"/>
            <w:vAlign w:val="center"/>
          </w:tcPr>
          <w:p w14:paraId="18D1899E"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b/>
                <w:bCs/>
                <w:sz w:val="20"/>
                <w:szCs w:val="20"/>
                <w:rtl/>
              </w:rPr>
              <w:t>المتوسط الحسابي</w:t>
            </w:r>
          </w:p>
        </w:tc>
        <w:tc>
          <w:tcPr>
            <w:tcW w:w="427" w:type="pct"/>
            <w:vMerge w:val="restart"/>
            <w:tcBorders>
              <w:top w:val="single" w:sz="4" w:space="0" w:color="auto"/>
              <w:bottom w:val="single" w:sz="4" w:space="0" w:color="auto"/>
            </w:tcBorders>
            <w:shd w:val="clear" w:color="auto" w:fill="BFBFBF" w:themeFill="background1" w:themeFillShade="BF"/>
            <w:vAlign w:val="center"/>
          </w:tcPr>
          <w:p w14:paraId="39993CA7"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b/>
                <w:bCs/>
                <w:sz w:val="20"/>
                <w:szCs w:val="20"/>
                <w:rtl/>
              </w:rPr>
              <w:t>الانحراف المعياري</w:t>
            </w:r>
          </w:p>
        </w:tc>
        <w:tc>
          <w:tcPr>
            <w:tcW w:w="368"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6B8ACBB"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الترتيب</w:t>
            </w:r>
          </w:p>
        </w:tc>
        <w:tc>
          <w:tcPr>
            <w:tcW w:w="459"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5C76883"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b/>
                <w:bCs/>
                <w:sz w:val="20"/>
                <w:szCs w:val="20"/>
                <w:rtl/>
              </w:rPr>
              <w:t>درجة الاستجابة</w:t>
            </w:r>
          </w:p>
        </w:tc>
      </w:tr>
      <w:tr w:rsidR="006D2F82" w:rsidRPr="00807F32" w14:paraId="2DF671BD" w14:textId="77777777" w:rsidTr="00B976EC">
        <w:trPr>
          <w:tblHeader/>
          <w:jc w:val="center"/>
        </w:trPr>
        <w:tc>
          <w:tcPr>
            <w:tcW w:w="232"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91ABF"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1043"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3F8F0"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148" w:type="pct"/>
            <w:tcBorders>
              <w:top w:val="single" w:sz="4" w:space="0" w:color="auto"/>
              <w:left w:val="single" w:sz="4" w:space="0" w:color="auto"/>
            </w:tcBorders>
            <w:shd w:val="clear" w:color="auto" w:fill="BFBFBF" w:themeFill="background1" w:themeFillShade="BF"/>
            <w:vAlign w:val="center"/>
          </w:tcPr>
          <w:p w14:paraId="1091EA14"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386" w:type="pct"/>
            <w:tcBorders>
              <w:top w:val="single" w:sz="4" w:space="0" w:color="auto"/>
              <w:left w:val="single" w:sz="4" w:space="0" w:color="auto"/>
            </w:tcBorders>
            <w:shd w:val="clear" w:color="auto" w:fill="BFBFBF" w:themeFill="background1" w:themeFillShade="BF"/>
            <w:vAlign w:val="center"/>
          </w:tcPr>
          <w:p w14:paraId="48CDC167"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أوافق بشدة</w:t>
            </w:r>
          </w:p>
        </w:tc>
        <w:tc>
          <w:tcPr>
            <w:tcW w:w="386" w:type="pct"/>
            <w:tcBorders>
              <w:top w:val="single" w:sz="4" w:space="0" w:color="auto"/>
            </w:tcBorders>
            <w:shd w:val="clear" w:color="auto" w:fill="BFBFBF" w:themeFill="background1" w:themeFillShade="BF"/>
            <w:vAlign w:val="center"/>
          </w:tcPr>
          <w:p w14:paraId="188178D8"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أوافق</w:t>
            </w:r>
          </w:p>
        </w:tc>
        <w:tc>
          <w:tcPr>
            <w:tcW w:w="386" w:type="pct"/>
            <w:tcBorders>
              <w:top w:val="single" w:sz="4" w:space="0" w:color="auto"/>
            </w:tcBorders>
            <w:shd w:val="clear" w:color="auto" w:fill="BFBFBF" w:themeFill="background1" w:themeFillShade="BF"/>
            <w:vAlign w:val="center"/>
          </w:tcPr>
          <w:p w14:paraId="3A05A394"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محايد</w:t>
            </w:r>
          </w:p>
        </w:tc>
        <w:tc>
          <w:tcPr>
            <w:tcW w:w="329" w:type="pct"/>
            <w:tcBorders>
              <w:top w:val="single" w:sz="4" w:space="0" w:color="auto"/>
            </w:tcBorders>
            <w:shd w:val="clear" w:color="auto" w:fill="BFBFBF" w:themeFill="background1" w:themeFillShade="BF"/>
            <w:vAlign w:val="center"/>
          </w:tcPr>
          <w:p w14:paraId="05612595"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لا أوافق</w:t>
            </w:r>
          </w:p>
        </w:tc>
        <w:tc>
          <w:tcPr>
            <w:tcW w:w="417" w:type="pct"/>
            <w:tcBorders>
              <w:top w:val="single" w:sz="4" w:space="0" w:color="auto"/>
            </w:tcBorders>
            <w:shd w:val="clear" w:color="auto" w:fill="BFBFBF" w:themeFill="background1" w:themeFillShade="BF"/>
            <w:vAlign w:val="center"/>
          </w:tcPr>
          <w:p w14:paraId="7AEB7D2C"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r w:rsidRPr="00807F32">
              <w:rPr>
                <w:rFonts w:ascii="Times New Roman" w:hAnsi="Times New Roman" w:cs="Simplified Arabic" w:hint="cs"/>
                <w:b/>
                <w:bCs/>
                <w:sz w:val="20"/>
                <w:szCs w:val="20"/>
                <w:rtl/>
              </w:rPr>
              <w:t>لا أوافق بشدة</w:t>
            </w:r>
          </w:p>
        </w:tc>
        <w:tc>
          <w:tcPr>
            <w:tcW w:w="419" w:type="pct"/>
            <w:vMerge/>
            <w:tcBorders>
              <w:top w:val="single" w:sz="4" w:space="0" w:color="auto"/>
              <w:bottom w:val="single" w:sz="4" w:space="0" w:color="auto"/>
            </w:tcBorders>
            <w:shd w:val="clear" w:color="auto" w:fill="BFBFBF" w:themeFill="background1" w:themeFillShade="BF"/>
            <w:vAlign w:val="center"/>
          </w:tcPr>
          <w:p w14:paraId="372DFC18"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427" w:type="pct"/>
            <w:vMerge/>
            <w:tcBorders>
              <w:top w:val="single" w:sz="4" w:space="0" w:color="auto"/>
              <w:bottom w:val="single" w:sz="4" w:space="0" w:color="auto"/>
            </w:tcBorders>
            <w:shd w:val="clear" w:color="auto" w:fill="BFBFBF" w:themeFill="background1" w:themeFillShade="BF"/>
            <w:vAlign w:val="center"/>
          </w:tcPr>
          <w:p w14:paraId="7A2CE8FA"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368"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27F2AADE"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c>
          <w:tcPr>
            <w:tcW w:w="459"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2391DDCB" w14:textId="77777777" w:rsidR="00DE2B2A" w:rsidRPr="00807F32" w:rsidRDefault="00DE2B2A" w:rsidP="00807F32">
            <w:pPr>
              <w:bidi/>
              <w:spacing w:after="0" w:line="240" w:lineRule="auto"/>
              <w:jc w:val="center"/>
              <w:rPr>
                <w:rFonts w:ascii="Times New Roman" w:hAnsi="Times New Roman" w:cs="Simplified Arabic"/>
                <w:b/>
                <w:bCs/>
                <w:sz w:val="20"/>
                <w:szCs w:val="20"/>
                <w:rtl/>
              </w:rPr>
            </w:pPr>
          </w:p>
        </w:tc>
      </w:tr>
      <w:tr w:rsidR="00DE2B2A" w:rsidRPr="00807F32" w14:paraId="37BCE2BD" w14:textId="77777777" w:rsidTr="00B976EC">
        <w:trPr>
          <w:jc w:val="center"/>
        </w:trPr>
        <w:tc>
          <w:tcPr>
            <w:tcW w:w="232" w:type="pct"/>
            <w:vMerge w:val="restart"/>
            <w:tcBorders>
              <w:top w:val="single" w:sz="4" w:space="0" w:color="auto"/>
              <w:left w:val="single" w:sz="4" w:space="0" w:color="auto"/>
              <w:right w:val="single" w:sz="4" w:space="0" w:color="auto"/>
            </w:tcBorders>
            <w:vAlign w:val="center"/>
          </w:tcPr>
          <w:p w14:paraId="627633F4"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hint="cs"/>
                <w:sz w:val="20"/>
                <w:szCs w:val="20"/>
                <w:rtl/>
              </w:rPr>
              <w:t>25</w:t>
            </w:r>
          </w:p>
        </w:tc>
        <w:tc>
          <w:tcPr>
            <w:tcW w:w="1043" w:type="pct"/>
            <w:vMerge w:val="restart"/>
            <w:tcBorders>
              <w:top w:val="single" w:sz="4" w:space="0" w:color="auto"/>
              <w:left w:val="single" w:sz="4" w:space="0" w:color="auto"/>
              <w:right w:val="single" w:sz="4" w:space="0" w:color="auto"/>
            </w:tcBorders>
          </w:tcPr>
          <w:p w14:paraId="6BB3FEBD" w14:textId="77777777" w:rsidR="00DE2B2A" w:rsidRPr="00807F32" w:rsidRDefault="00DE2B2A" w:rsidP="00807F32">
            <w:pPr>
              <w:autoSpaceDE w:val="0"/>
              <w:autoSpaceDN w:val="0"/>
              <w:bidi/>
              <w:adjustRightInd w:val="0"/>
              <w:spacing w:after="0" w:line="240" w:lineRule="auto"/>
              <w:jc w:val="center"/>
              <w:rPr>
                <w:rFonts w:ascii="Times New Roman" w:eastAsia="Calibri" w:hAnsi="Times New Roman" w:cs="Simplified Arabic"/>
                <w:sz w:val="20"/>
                <w:szCs w:val="20"/>
                <w:rtl/>
                <w:lang w:bidi="ar-KW"/>
              </w:rPr>
            </w:pPr>
            <w:r w:rsidRPr="00807F32">
              <w:rPr>
                <w:rFonts w:ascii="Times New Roman" w:eastAsia="Times New Roman" w:hAnsi="Times New Roman" w:cs="Simplified Arabic"/>
                <w:sz w:val="20"/>
                <w:szCs w:val="20"/>
                <w:rtl/>
              </w:rPr>
              <w:t>تُعد الاستدامة المالية هدفًا رئيسيًا للمشاريع الريادية في المملكة العربية السعودية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73409676"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ك</w:t>
            </w:r>
          </w:p>
        </w:tc>
        <w:tc>
          <w:tcPr>
            <w:tcW w:w="386" w:type="pct"/>
            <w:tcBorders>
              <w:top w:val="single" w:sz="4" w:space="0" w:color="auto"/>
            </w:tcBorders>
            <w:shd w:val="clear" w:color="auto" w:fill="auto"/>
            <w:vAlign w:val="center"/>
          </w:tcPr>
          <w:p w14:paraId="0FD92C2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172</w:t>
            </w:r>
          </w:p>
        </w:tc>
        <w:tc>
          <w:tcPr>
            <w:tcW w:w="386" w:type="pct"/>
            <w:tcBorders>
              <w:top w:val="single" w:sz="4" w:space="0" w:color="auto"/>
            </w:tcBorders>
            <w:vAlign w:val="center"/>
          </w:tcPr>
          <w:p w14:paraId="19805ED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86</w:t>
            </w:r>
          </w:p>
        </w:tc>
        <w:tc>
          <w:tcPr>
            <w:tcW w:w="386" w:type="pct"/>
            <w:tcBorders>
              <w:top w:val="single" w:sz="4" w:space="0" w:color="auto"/>
            </w:tcBorders>
            <w:shd w:val="clear" w:color="auto" w:fill="auto"/>
            <w:vAlign w:val="center"/>
          </w:tcPr>
          <w:p w14:paraId="6CC3233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41</w:t>
            </w:r>
          </w:p>
        </w:tc>
        <w:tc>
          <w:tcPr>
            <w:tcW w:w="329" w:type="pct"/>
            <w:tcBorders>
              <w:top w:val="single" w:sz="4" w:space="0" w:color="auto"/>
            </w:tcBorders>
            <w:vAlign w:val="center"/>
          </w:tcPr>
          <w:p w14:paraId="1529D46A"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36</w:t>
            </w:r>
          </w:p>
        </w:tc>
        <w:tc>
          <w:tcPr>
            <w:tcW w:w="417" w:type="pct"/>
            <w:tcBorders>
              <w:top w:val="single" w:sz="4" w:space="0" w:color="auto"/>
            </w:tcBorders>
            <w:vAlign w:val="center"/>
          </w:tcPr>
          <w:p w14:paraId="00C6903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tl/>
              </w:rPr>
            </w:pPr>
            <w:r w:rsidRPr="00807F32">
              <w:rPr>
                <w:rFonts w:ascii="Times New Roman" w:hAnsi="Times New Roman" w:cs="Simplified Arabic"/>
                <w:color w:val="000000"/>
                <w:sz w:val="20"/>
                <w:szCs w:val="20"/>
              </w:rPr>
              <w:t>49</w:t>
            </w:r>
          </w:p>
        </w:tc>
        <w:tc>
          <w:tcPr>
            <w:tcW w:w="419" w:type="pct"/>
            <w:vMerge w:val="restart"/>
            <w:tcBorders>
              <w:top w:val="single" w:sz="4" w:space="0" w:color="auto"/>
            </w:tcBorders>
            <w:vAlign w:val="center"/>
          </w:tcPr>
          <w:p w14:paraId="5C987B08"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color w:val="000000"/>
                <w:sz w:val="20"/>
                <w:szCs w:val="20"/>
              </w:rPr>
              <w:t>3.77</w:t>
            </w:r>
          </w:p>
        </w:tc>
        <w:tc>
          <w:tcPr>
            <w:tcW w:w="427" w:type="pct"/>
            <w:vMerge w:val="restart"/>
            <w:tcBorders>
              <w:top w:val="single" w:sz="4" w:space="0" w:color="auto"/>
            </w:tcBorders>
            <w:vAlign w:val="center"/>
          </w:tcPr>
          <w:p w14:paraId="60B4B9F2"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color w:val="000000"/>
                <w:sz w:val="20"/>
                <w:szCs w:val="20"/>
              </w:rPr>
              <w:t>1.425</w:t>
            </w:r>
          </w:p>
        </w:tc>
        <w:tc>
          <w:tcPr>
            <w:tcW w:w="368" w:type="pct"/>
            <w:vMerge w:val="restart"/>
            <w:tcBorders>
              <w:top w:val="single" w:sz="4" w:space="0" w:color="auto"/>
              <w:right w:val="single" w:sz="4" w:space="0" w:color="auto"/>
            </w:tcBorders>
            <w:vAlign w:val="center"/>
          </w:tcPr>
          <w:p w14:paraId="104E6EA1" w14:textId="77777777" w:rsidR="00DE2B2A" w:rsidRPr="00807F32" w:rsidRDefault="00DE2B2A" w:rsidP="00807F32">
            <w:pPr>
              <w:bidi/>
              <w:spacing w:after="0" w:line="240" w:lineRule="auto"/>
              <w:jc w:val="center"/>
              <w:rPr>
                <w:rFonts w:ascii="Times New Roman" w:hAnsi="Times New Roman" w:cs="Simplified Arabic"/>
                <w:sz w:val="20"/>
                <w:szCs w:val="20"/>
                <w:lang w:bidi="ar-EG"/>
              </w:rPr>
            </w:pPr>
            <w:r w:rsidRPr="00807F32">
              <w:rPr>
                <w:rFonts w:ascii="Times New Roman" w:hAnsi="Times New Roman" w:cs="Simplified Arabic"/>
                <w:sz w:val="20"/>
                <w:szCs w:val="20"/>
              </w:rPr>
              <w:t>8</w:t>
            </w:r>
          </w:p>
        </w:tc>
        <w:tc>
          <w:tcPr>
            <w:tcW w:w="459" w:type="pct"/>
            <w:vMerge w:val="restart"/>
            <w:tcBorders>
              <w:top w:val="single" w:sz="4" w:space="0" w:color="auto"/>
              <w:right w:val="single" w:sz="4" w:space="0" w:color="auto"/>
            </w:tcBorders>
            <w:vAlign w:val="center"/>
          </w:tcPr>
          <w:p w14:paraId="2BF6D7AD"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hint="cs"/>
                <w:sz w:val="20"/>
                <w:szCs w:val="20"/>
                <w:rtl/>
                <w:lang w:bidi="ar-EG"/>
              </w:rPr>
              <w:t>عالية</w:t>
            </w:r>
          </w:p>
        </w:tc>
      </w:tr>
      <w:tr w:rsidR="00DE2B2A" w:rsidRPr="00807F32" w14:paraId="24D7AF28" w14:textId="77777777" w:rsidTr="00B976EC">
        <w:trPr>
          <w:jc w:val="center"/>
        </w:trPr>
        <w:tc>
          <w:tcPr>
            <w:tcW w:w="232" w:type="pct"/>
            <w:vMerge/>
            <w:tcBorders>
              <w:left w:val="single" w:sz="4" w:space="0" w:color="auto"/>
              <w:bottom w:val="single" w:sz="4" w:space="0" w:color="auto"/>
              <w:right w:val="single" w:sz="4" w:space="0" w:color="auto"/>
            </w:tcBorders>
            <w:vAlign w:val="center"/>
          </w:tcPr>
          <w:p w14:paraId="64532CC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bottom w:val="single" w:sz="4" w:space="0" w:color="auto"/>
              <w:right w:val="single" w:sz="4" w:space="0" w:color="auto"/>
            </w:tcBorders>
          </w:tcPr>
          <w:p w14:paraId="65EA7A87"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6F6B86E0"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w:t>
            </w:r>
          </w:p>
        </w:tc>
        <w:tc>
          <w:tcPr>
            <w:tcW w:w="386" w:type="pct"/>
            <w:shd w:val="clear" w:color="auto" w:fill="auto"/>
            <w:vAlign w:val="center"/>
          </w:tcPr>
          <w:p w14:paraId="0B22268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44.8</w:t>
            </w:r>
          </w:p>
        </w:tc>
        <w:tc>
          <w:tcPr>
            <w:tcW w:w="386" w:type="pct"/>
            <w:vAlign w:val="center"/>
          </w:tcPr>
          <w:p w14:paraId="382DCDB5"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22.4</w:t>
            </w:r>
          </w:p>
        </w:tc>
        <w:tc>
          <w:tcPr>
            <w:tcW w:w="386" w:type="pct"/>
            <w:shd w:val="clear" w:color="auto" w:fill="auto"/>
            <w:vAlign w:val="center"/>
          </w:tcPr>
          <w:p w14:paraId="5039747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10.7</w:t>
            </w:r>
          </w:p>
        </w:tc>
        <w:tc>
          <w:tcPr>
            <w:tcW w:w="329" w:type="pct"/>
            <w:vAlign w:val="center"/>
          </w:tcPr>
          <w:p w14:paraId="4735DFA8"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9.4</w:t>
            </w:r>
          </w:p>
        </w:tc>
        <w:tc>
          <w:tcPr>
            <w:tcW w:w="417" w:type="pct"/>
            <w:vAlign w:val="center"/>
          </w:tcPr>
          <w:p w14:paraId="78D2157B"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12.8</w:t>
            </w:r>
          </w:p>
        </w:tc>
        <w:tc>
          <w:tcPr>
            <w:tcW w:w="419" w:type="pct"/>
            <w:vMerge/>
            <w:tcBorders>
              <w:bottom w:val="single" w:sz="4" w:space="0" w:color="auto"/>
            </w:tcBorders>
            <w:vAlign w:val="center"/>
          </w:tcPr>
          <w:p w14:paraId="2E8F0DA4"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tcBorders>
              <w:bottom w:val="single" w:sz="4" w:space="0" w:color="auto"/>
            </w:tcBorders>
            <w:vAlign w:val="center"/>
          </w:tcPr>
          <w:p w14:paraId="410B0D17"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bottom w:val="single" w:sz="4" w:space="0" w:color="auto"/>
              <w:right w:val="single" w:sz="4" w:space="0" w:color="auto"/>
            </w:tcBorders>
            <w:vAlign w:val="center"/>
          </w:tcPr>
          <w:p w14:paraId="60021441"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bottom w:val="single" w:sz="4" w:space="0" w:color="auto"/>
              <w:right w:val="single" w:sz="4" w:space="0" w:color="auto"/>
            </w:tcBorders>
            <w:vAlign w:val="center"/>
          </w:tcPr>
          <w:p w14:paraId="4ACFE6D7"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4990DA24" w14:textId="77777777" w:rsidTr="00B976EC">
        <w:trPr>
          <w:jc w:val="center"/>
        </w:trPr>
        <w:tc>
          <w:tcPr>
            <w:tcW w:w="232" w:type="pct"/>
            <w:vMerge w:val="restart"/>
            <w:tcBorders>
              <w:left w:val="single" w:sz="4" w:space="0" w:color="auto"/>
              <w:right w:val="single" w:sz="4" w:space="0" w:color="auto"/>
            </w:tcBorders>
            <w:vAlign w:val="center"/>
          </w:tcPr>
          <w:p w14:paraId="01675E56"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26</w:t>
            </w:r>
          </w:p>
        </w:tc>
        <w:tc>
          <w:tcPr>
            <w:tcW w:w="1043" w:type="pct"/>
            <w:vMerge w:val="restart"/>
            <w:tcBorders>
              <w:left w:val="single" w:sz="4" w:space="0" w:color="auto"/>
              <w:right w:val="single" w:sz="4" w:space="0" w:color="auto"/>
            </w:tcBorders>
          </w:tcPr>
          <w:p w14:paraId="759AC3AF" w14:textId="77777777" w:rsidR="00DE2B2A" w:rsidRPr="00807F32" w:rsidRDefault="00DE2B2A" w:rsidP="00807F32">
            <w:pPr>
              <w:autoSpaceDE w:val="0"/>
              <w:autoSpaceDN w:val="0"/>
              <w:bidi/>
              <w:adjustRightInd w:val="0"/>
              <w:spacing w:after="0" w:line="240" w:lineRule="auto"/>
              <w:jc w:val="center"/>
              <w:rPr>
                <w:rFonts w:ascii="Times New Roman" w:hAnsi="Times New Roman" w:cs="Simplified Arabic"/>
                <w:sz w:val="20"/>
                <w:szCs w:val="20"/>
                <w:rtl/>
                <w:lang w:bidi="ar-KW"/>
              </w:rPr>
            </w:pPr>
            <w:r w:rsidRPr="00807F32">
              <w:rPr>
                <w:rFonts w:ascii="Times New Roman" w:eastAsia="Times New Roman" w:hAnsi="Times New Roman" w:cs="Simplified Arabic"/>
                <w:sz w:val="20"/>
                <w:szCs w:val="20"/>
                <w:rtl/>
              </w:rPr>
              <w:t>يُساهم التنوع في مصادر التمويل في تعزيز الاستدامة المالية للمشاريع الناشئة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4D52047D"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ك</w:t>
            </w:r>
          </w:p>
        </w:tc>
        <w:tc>
          <w:tcPr>
            <w:tcW w:w="386" w:type="pct"/>
            <w:shd w:val="clear" w:color="auto" w:fill="auto"/>
            <w:vAlign w:val="center"/>
          </w:tcPr>
          <w:p w14:paraId="5E8314C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194</w:t>
            </w:r>
          </w:p>
        </w:tc>
        <w:tc>
          <w:tcPr>
            <w:tcW w:w="386" w:type="pct"/>
            <w:vAlign w:val="center"/>
          </w:tcPr>
          <w:p w14:paraId="65C15A0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105</w:t>
            </w:r>
          </w:p>
        </w:tc>
        <w:tc>
          <w:tcPr>
            <w:tcW w:w="386" w:type="pct"/>
            <w:shd w:val="clear" w:color="auto" w:fill="auto"/>
            <w:vAlign w:val="center"/>
          </w:tcPr>
          <w:p w14:paraId="45A6C34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45</w:t>
            </w:r>
          </w:p>
        </w:tc>
        <w:tc>
          <w:tcPr>
            <w:tcW w:w="329" w:type="pct"/>
            <w:vAlign w:val="center"/>
          </w:tcPr>
          <w:p w14:paraId="299EA914"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23</w:t>
            </w:r>
          </w:p>
        </w:tc>
        <w:tc>
          <w:tcPr>
            <w:tcW w:w="417" w:type="pct"/>
            <w:vAlign w:val="center"/>
          </w:tcPr>
          <w:p w14:paraId="46C92AC6"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w:t>
            </w:r>
          </w:p>
        </w:tc>
        <w:tc>
          <w:tcPr>
            <w:tcW w:w="419" w:type="pct"/>
            <w:vMerge w:val="restart"/>
            <w:vAlign w:val="center"/>
          </w:tcPr>
          <w:p w14:paraId="2E7AC4D9"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4.14</w:t>
            </w:r>
          </w:p>
        </w:tc>
        <w:tc>
          <w:tcPr>
            <w:tcW w:w="427" w:type="pct"/>
            <w:vMerge w:val="restart"/>
            <w:vAlign w:val="center"/>
          </w:tcPr>
          <w:p w14:paraId="36DE8748"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1.116</w:t>
            </w:r>
          </w:p>
        </w:tc>
        <w:tc>
          <w:tcPr>
            <w:tcW w:w="368" w:type="pct"/>
            <w:vMerge w:val="restart"/>
            <w:tcBorders>
              <w:right w:val="single" w:sz="4" w:space="0" w:color="auto"/>
            </w:tcBorders>
            <w:vAlign w:val="center"/>
          </w:tcPr>
          <w:p w14:paraId="11F8B5D1" w14:textId="77777777" w:rsidR="00DE2B2A" w:rsidRPr="00807F32" w:rsidRDefault="00DE2B2A" w:rsidP="00807F32">
            <w:pPr>
              <w:bidi/>
              <w:spacing w:after="0" w:line="240" w:lineRule="auto"/>
              <w:jc w:val="center"/>
              <w:rPr>
                <w:rFonts w:ascii="Times New Roman" w:hAnsi="Times New Roman" w:cs="Simplified Arabic"/>
                <w:sz w:val="20"/>
                <w:szCs w:val="20"/>
                <w:lang w:bidi="ar-EG"/>
              </w:rPr>
            </w:pPr>
            <w:r w:rsidRPr="00807F32">
              <w:rPr>
                <w:rFonts w:ascii="Times New Roman" w:hAnsi="Times New Roman" w:cs="Simplified Arabic"/>
                <w:sz w:val="20"/>
                <w:szCs w:val="20"/>
              </w:rPr>
              <w:t>2</w:t>
            </w:r>
          </w:p>
        </w:tc>
        <w:tc>
          <w:tcPr>
            <w:tcW w:w="459" w:type="pct"/>
            <w:vMerge w:val="restart"/>
            <w:tcBorders>
              <w:right w:val="single" w:sz="4" w:space="0" w:color="auto"/>
            </w:tcBorders>
            <w:vAlign w:val="center"/>
          </w:tcPr>
          <w:p w14:paraId="0D63D28B"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hint="cs"/>
                <w:sz w:val="20"/>
                <w:szCs w:val="20"/>
                <w:rtl/>
                <w:lang w:bidi="ar-EG"/>
              </w:rPr>
              <w:t>عالية</w:t>
            </w:r>
          </w:p>
        </w:tc>
      </w:tr>
      <w:tr w:rsidR="00DE2B2A" w:rsidRPr="00807F32" w14:paraId="7160B1CC" w14:textId="77777777" w:rsidTr="00B976EC">
        <w:trPr>
          <w:jc w:val="center"/>
        </w:trPr>
        <w:tc>
          <w:tcPr>
            <w:tcW w:w="232" w:type="pct"/>
            <w:vMerge/>
            <w:tcBorders>
              <w:left w:val="single" w:sz="4" w:space="0" w:color="auto"/>
              <w:right w:val="single" w:sz="4" w:space="0" w:color="auto"/>
            </w:tcBorders>
            <w:vAlign w:val="center"/>
          </w:tcPr>
          <w:p w14:paraId="550D6108"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tcPr>
          <w:p w14:paraId="7D505475"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0DC50391"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w:t>
            </w:r>
          </w:p>
        </w:tc>
        <w:tc>
          <w:tcPr>
            <w:tcW w:w="386" w:type="pct"/>
            <w:shd w:val="clear" w:color="auto" w:fill="auto"/>
            <w:vAlign w:val="center"/>
          </w:tcPr>
          <w:p w14:paraId="5A269D4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50.5</w:t>
            </w:r>
          </w:p>
        </w:tc>
        <w:tc>
          <w:tcPr>
            <w:tcW w:w="386" w:type="pct"/>
            <w:vAlign w:val="center"/>
          </w:tcPr>
          <w:p w14:paraId="166C9133"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27.3</w:t>
            </w:r>
          </w:p>
        </w:tc>
        <w:tc>
          <w:tcPr>
            <w:tcW w:w="386" w:type="pct"/>
            <w:shd w:val="clear" w:color="auto" w:fill="auto"/>
            <w:vAlign w:val="center"/>
          </w:tcPr>
          <w:p w14:paraId="5E0B144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11.7</w:t>
            </w:r>
          </w:p>
        </w:tc>
        <w:tc>
          <w:tcPr>
            <w:tcW w:w="329" w:type="pct"/>
            <w:vAlign w:val="center"/>
          </w:tcPr>
          <w:p w14:paraId="6A162EA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6</w:t>
            </w:r>
          </w:p>
        </w:tc>
        <w:tc>
          <w:tcPr>
            <w:tcW w:w="417" w:type="pct"/>
            <w:vAlign w:val="center"/>
          </w:tcPr>
          <w:p w14:paraId="7008995A"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4.4</w:t>
            </w:r>
          </w:p>
        </w:tc>
        <w:tc>
          <w:tcPr>
            <w:tcW w:w="419" w:type="pct"/>
            <w:vMerge/>
            <w:vAlign w:val="center"/>
          </w:tcPr>
          <w:p w14:paraId="14F005FD"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57226ACA"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5E67A3D8"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490574DA"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017F6A12" w14:textId="77777777" w:rsidTr="00B976EC">
        <w:trPr>
          <w:jc w:val="center"/>
        </w:trPr>
        <w:tc>
          <w:tcPr>
            <w:tcW w:w="232" w:type="pct"/>
            <w:vMerge w:val="restart"/>
            <w:tcBorders>
              <w:left w:val="single" w:sz="4" w:space="0" w:color="auto"/>
              <w:right w:val="single" w:sz="4" w:space="0" w:color="auto"/>
            </w:tcBorders>
            <w:vAlign w:val="center"/>
          </w:tcPr>
          <w:p w14:paraId="2591E0D0"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27</w:t>
            </w:r>
          </w:p>
        </w:tc>
        <w:tc>
          <w:tcPr>
            <w:tcW w:w="1043" w:type="pct"/>
            <w:vMerge w:val="restart"/>
            <w:tcBorders>
              <w:left w:val="single" w:sz="4" w:space="0" w:color="auto"/>
              <w:right w:val="single" w:sz="4" w:space="0" w:color="auto"/>
            </w:tcBorders>
          </w:tcPr>
          <w:p w14:paraId="686A4F38" w14:textId="77777777" w:rsidR="00DE2B2A" w:rsidRPr="00807F32" w:rsidRDefault="00DE2B2A" w:rsidP="00807F32">
            <w:pPr>
              <w:autoSpaceDE w:val="0"/>
              <w:autoSpaceDN w:val="0"/>
              <w:bidi/>
              <w:adjustRightInd w:val="0"/>
              <w:spacing w:after="0" w:line="240" w:lineRule="auto"/>
              <w:jc w:val="center"/>
              <w:rPr>
                <w:rFonts w:ascii="Times New Roman" w:hAnsi="Times New Roman" w:cs="Simplified Arabic"/>
                <w:sz w:val="20"/>
                <w:szCs w:val="20"/>
                <w:rtl/>
                <w:lang w:bidi="ar-KW"/>
              </w:rPr>
            </w:pPr>
            <w:r w:rsidRPr="00807F32">
              <w:rPr>
                <w:rFonts w:ascii="Times New Roman" w:eastAsia="Times New Roman" w:hAnsi="Times New Roman" w:cs="Simplified Arabic"/>
                <w:sz w:val="20"/>
                <w:szCs w:val="20"/>
                <w:rtl/>
              </w:rPr>
              <w:t>تُساعد المنصات الإلكترونية في توفير فرص تمويل أكثر استقرارًا للمشاريع</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516E185F"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ك</w:t>
            </w:r>
          </w:p>
        </w:tc>
        <w:tc>
          <w:tcPr>
            <w:tcW w:w="386" w:type="pct"/>
            <w:shd w:val="clear" w:color="auto" w:fill="auto"/>
            <w:vAlign w:val="center"/>
          </w:tcPr>
          <w:p w14:paraId="07A9C61D"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210</w:t>
            </w:r>
          </w:p>
        </w:tc>
        <w:tc>
          <w:tcPr>
            <w:tcW w:w="386" w:type="pct"/>
            <w:vAlign w:val="center"/>
          </w:tcPr>
          <w:p w14:paraId="1721F29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69</w:t>
            </w:r>
          </w:p>
        </w:tc>
        <w:tc>
          <w:tcPr>
            <w:tcW w:w="386" w:type="pct"/>
            <w:shd w:val="clear" w:color="auto" w:fill="auto"/>
            <w:vAlign w:val="center"/>
          </w:tcPr>
          <w:p w14:paraId="0C648392"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36</w:t>
            </w:r>
          </w:p>
        </w:tc>
        <w:tc>
          <w:tcPr>
            <w:tcW w:w="329" w:type="pct"/>
            <w:vAlign w:val="center"/>
          </w:tcPr>
          <w:p w14:paraId="07181D0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36</w:t>
            </w:r>
          </w:p>
        </w:tc>
        <w:tc>
          <w:tcPr>
            <w:tcW w:w="417" w:type="pct"/>
            <w:vAlign w:val="center"/>
          </w:tcPr>
          <w:p w14:paraId="431F7196"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33</w:t>
            </w:r>
          </w:p>
        </w:tc>
        <w:tc>
          <w:tcPr>
            <w:tcW w:w="419" w:type="pct"/>
            <w:vMerge w:val="restart"/>
            <w:vAlign w:val="center"/>
          </w:tcPr>
          <w:p w14:paraId="2855569E"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color w:val="000000"/>
                <w:sz w:val="20"/>
                <w:szCs w:val="20"/>
              </w:rPr>
              <w:t>4.01</w:t>
            </w:r>
          </w:p>
        </w:tc>
        <w:tc>
          <w:tcPr>
            <w:tcW w:w="427" w:type="pct"/>
            <w:vMerge w:val="restart"/>
            <w:vAlign w:val="center"/>
          </w:tcPr>
          <w:p w14:paraId="6CE8BE0B"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color w:val="000000"/>
                <w:sz w:val="20"/>
                <w:szCs w:val="20"/>
              </w:rPr>
              <w:t>1.339</w:t>
            </w:r>
          </w:p>
        </w:tc>
        <w:tc>
          <w:tcPr>
            <w:tcW w:w="368" w:type="pct"/>
            <w:vMerge w:val="restart"/>
            <w:tcBorders>
              <w:right w:val="single" w:sz="4" w:space="0" w:color="auto"/>
            </w:tcBorders>
            <w:vAlign w:val="center"/>
          </w:tcPr>
          <w:p w14:paraId="37CF9340" w14:textId="77777777" w:rsidR="00DE2B2A" w:rsidRPr="00807F32" w:rsidRDefault="00DE2B2A" w:rsidP="00807F32">
            <w:pPr>
              <w:bidi/>
              <w:spacing w:after="0" w:line="240" w:lineRule="auto"/>
              <w:jc w:val="center"/>
              <w:rPr>
                <w:rFonts w:ascii="Times New Roman" w:hAnsi="Times New Roman" w:cs="Simplified Arabic"/>
                <w:sz w:val="20"/>
                <w:szCs w:val="20"/>
                <w:lang w:bidi="ar-EG"/>
              </w:rPr>
            </w:pPr>
            <w:r w:rsidRPr="00807F32">
              <w:rPr>
                <w:rFonts w:ascii="Times New Roman" w:hAnsi="Times New Roman" w:cs="Simplified Arabic"/>
                <w:sz w:val="20"/>
                <w:szCs w:val="20"/>
              </w:rPr>
              <w:t>5</w:t>
            </w:r>
          </w:p>
        </w:tc>
        <w:tc>
          <w:tcPr>
            <w:tcW w:w="459" w:type="pct"/>
            <w:vMerge w:val="restart"/>
            <w:tcBorders>
              <w:right w:val="single" w:sz="4" w:space="0" w:color="auto"/>
            </w:tcBorders>
            <w:vAlign w:val="center"/>
          </w:tcPr>
          <w:p w14:paraId="3150BD6A"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hint="cs"/>
                <w:sz w:val="20"/>
                <w:szCs w:val="20"/>
                <w:rtl/>
                <w:lang w:bidi="ar-EG"/>
              </w:rPr>
              <w:t>عالية</w:t>
            </w:r>
          </w:p>
        </w:tc>
      </w:tr>
      <w:tr w:rsidR="00DE2B2A" w:rsidRPr="00807F32" w14:paraId="20960285" w14:textId="77777777" w:rsidTr="00B976EC">
        <w:trPr>
          <w:jc w:val="center"/>
        </w:trPr>
        <w:tc>
          <w:tcPr>
            <w:tcW w:w="232" w:type="pct"/>
            <w:vMerge/>
            <w:tcBorders>
              <w:left w:val="single" w:sz="4" w:space="0" w:color="auto"/>
              <w:right w:val="single" w:sz="4" w:space="0" w:color="auto"/>
            </w:tcBorders>
            <w:vAlign w:val="center"/>
          </w:tcPr>
          <w:p w14:paraId="1014F0D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tcPr>
          <w:p w14:paraId="0E68E3DE"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68FA869D"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w:t>
            </w:r>
          </w:p>
        </w:tc>
        <w:tc>
          <w:tcPr>
            <w:tcW w:w="386" w:type="pct"/>
            <w:shd w:val="clear" w:color="auto" w:fill="auto"/>
            <w:vAlign w:val="center"/>
          </w:tcPr>
          <w:p w14:paraId="6E0B17C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54.7</w:t>
            </w:r>
          </w:p>
        </w:tc>
        <w:tc>
          <w:tcPr>
            <w:tcW w:w="386" w:type="pct"/>
            <w:vAlign w:val="center"/>
          </w:tcPr>
          <w:p w14:paraId="3A9B19A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18</w:t>
            </w:r>
          </w:p>
        </w:tc>
        <w:tc>
          <w:tcPr>
            <w:tcW w:w="386" w:type="pct"/>
            <w:shd w:val="clear" w:color="auto" w:fill="auto"/>
            <w:vAlign w:val="center"/>
          </w:tcPr>
          <w:p w14:paraId="6B352F0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9.4</w:t>
            </w:r>
          </w:p>
        </w:tc>
        <w:tc>
          <w:tcPr>
            <w:tcW w:w="329" w:type="pct"/>
            <w:vAlign w:val="center"/>
          </w:tcPr>
          <w:p w14:paraId="725930C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9.4</w:t>
            </w:r>
          </w:p>
        </w:tc>
        <w:tc>
          <w:tcPr>
            <w:tcW w:w="417" w:type="pct"/>
            <w:vAlign w:val="center"/>
          </w:tcPr>
          <w:p w14:paraId="62B1F0A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8.6</w:t>
            </w:r>
          </w:p>
        </w:tc>
        <w:tc>
          <w:tcPr>
            <w:tcW w:w="419" w:type="pct"/>
            <w:vMerge/>
            <w:vAlign w:val="center"/>
          </w:tcPr>
          <w:p w14:paraId="5F692754"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6016AF5C"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61524133"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2B9C2722"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40E14FB0" w14:textId="77777777" w:rsidTr="00B976EC">
        <w:trPr>
          <w:jc w:val="center"/>
        </w:trPr>
        <w:tc>
          <w:tcPr>
            <w:tcW w:w="232" w:type="pct"/>
            <w:vMerge w:val="restart"/>
            <w:tcBorders>
              <w:left w:val="single" w:sz="4" w:space="0" w:color="auto"/>
              <w:right w:val="single" w:sz="4" w:space="0" w:color="auto"/>
            </w:tcBorders>
            <w:vAlign w:val="center"/>
          </w:tcPr>
          <w:p w14:paraId="35EB6083"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28</w:t>
            </w:r>
          </w:p>
        </w:tc>
        <w:tc>
          <w:tcPr>
            <w:tcW w:w="1043" w:type="pct"/>
            <w:vMerge w:val="restart"/>
            <w:tcBorders>
              <w:left w:val="single" w:sz="4" w:space="0" w:color="auto"/>
              <w:right w:val="single" w:sz="4" w:space="0" w:color="auto"/>
            </w:tcBorders>
          </w:tcPr>
          <w:p w14:paraId="21E26446" w14:textId="77777777" w:rsidR="00DE2B2A" w:rsidRPr="00807F32" w:rsidRDefault="00DE2B2A" w:rsidP="00807F32">
            <w:pPr>
              <w:autoSpaceDE w:val="0"/>
              <w:autoSpaceDN w:val="0"/>
              <w:bidi/>
              <w:adjustRightInd w:val="0"/>
              <w:spacing w:after="0" w:line="240" w:lineRule="auto"/>
              <w:jc w:val="center"/>
              <w:rPr>
                <w:rFonts w:ascii="Times New Roman" w:hAnsi="Times New Roman" w:cs="Simplified Arabic"/>
                <w:sz w:val="20"/>
                <w:szCs w:val="20"/>
                <w:rtl/>
                <w:lang w:bidi="ar-KW"/>
              </w:rPr>
            </w:pPr>
            <w:r w:rsidRPr="00807F32">
              <w:rPr>
                <w:rFonts w:ascii="Times New Roman" w:eastAsia="Times New Roman" w:hAnsi="Times New Roman" w:cs="Simplified Arabic"/>
                <w:sz w:val="20"/>
                <w:szCs w:val="20"/>
                <w:rtl/>
              </w:rPr>
              <w:t>تُعد الشفافية والمصداقية في إدارة الأموال عوامل أساسية لتحقيق الاستدامة المالية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052D8D60"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ك</w:t>
            </w:r>
          </w:p>
        </w:tc>
        <w:tc>
          <w:tcPr>
            <w:tcW w:w="386" w:type="pct"/>
            <w:shd w:val="clear" w:color="auto" w:fill="auto"/>
            <w:vAlign w:val="center"/>
          </w:tcPr>
          <w:p w14:paraId="3F955B5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195</w:t>
            </w:r>
          </w:p>
        </w:tc>
        <w:tc>
          <w:tcPr>
            <w:tcW w:w="386" w:type="pct"/>
            <w:vAlign w:val="center"/>
          </w:tcPr>
          <w:p w14:paraId="5FDDECA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98</w:t>
            </w:r>
          </w:p>
        </w:tc>
        <w:tc>
          <w:tcPr>
            <w:tcW w:w="386" w:type="pct"/>
            <w:shd w:val="clear" w:color="auto" w:fill="auto"/>
            <w:vAlign w:val="center"/>
          </w:tcPr>
          <w:p w14:paraId="5FCD7B0B"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35</w:t>
            </w:r>
          </w:p>
        </w:tc>
        <w:tc>
          <w:tcPr>
            <w:tcW w:w="329" w:type="pct"/>
            <w:vAlign w:val="center"/>
          </w:tcPr>
          <w:p w14:paraId="68F638C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27</w:t>
            </w:r>
          </w:p>
        </w:tc>
        <w:tc>
          <w:tcPr>
            <w:tcW w:w="417" w:type="pct"/>
            <w:vAlign w:val="center"/>
          </w:tcPr>
          <w:p w14:paraId="48EDE83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29</w:t>
            </w:r>
          </w:p>
        </w:tc>
        <w:tc>
          <w:tcPr>
            <w:tcW w:w="419" w:type="pct"/>
            <w:vMerge w:val="restart"/>
            <w:vAlign w:val="center"/>
          </w:tcPr>
          <w:p w14:paraId="69F2545A"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4.05</w:t>
            </w:r>
          </w:p>
        </w:tc>
        <w:tc>
          <w:tcPr>
            <w:tcW w:w="427" w:type="pct"/>
            <w:vMerge w:val="restart"/>
            <w:vAlign w:val="center"/>
          </w:tcPr>
          <w:p w14:paraId="109B00C0"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1.250</w:t>
            </w:r>
          </w:p>
        </w:tc>
        <w:tc>
          <w:tcPr>
            <w:tcW w:w="368" w:type="pct"/>
            <w:vMerge w:val="restart"/>
            <w:tcBorders>
              <w:right w:val="single" w:sz="4" w:space="0" w:color="auto"/>
            </w:tcBorders>
            <w:vAlign w:val="center"/>
          </w:tcPr>
          <w:p w14:paraId="2578897D"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Pr>
              <w:t>4</w:t>
            </w:r>
          </w:p>
        </w:tc>
        <w:tc>
          <w:tcPr>
            <w:tcW w:w="459" w:type="pct"/>
            <w:vMerge w:val="restart"/>
            <w:tcBorders>
              <w:right w:val="single" w:sz="4" w:space="0" w:color="auto"/>
            </w:tcBorders>
            <w:vAlign w:val="center"/>
          </w:tcPr>
          <w:p w14:paraId="1C3F3BAE"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hint="cs"/>
                <w:sz w:val="20"/>
                <w:szCs w:val="20"/>
                <w:rtl/>
                <w:lang w:bidi="ar-EG"/>
              </w:rPr>
              <w:t>عالية</w:t>
            </w:r>
          </w:p>
        </w:tc>
      </w:tr>
      <w:tr w:rsidR="00DE2B2A" w:rsidRPr="00807F32" w14:paraId="43025EF2" w14:textId="77777777" w:rsidTr="00B976EC">
        <w:trPr>
          <w:jc w:val="center"/>
        </w:trPr>
        <w:tc>
          <w:tcPr>
            <w:tcW w:w="232" w:type="pct"/>
            <w:vMerge/>
            <w:tcBorders>
              <w:left w:val="single" w:sz="4" w:space="0" w:color="auto"/>
              <w:right w:val="single" w:sz="4" w:space="0" w:color="auto"/>
            </w:tcBorders>
            <w:vAlign w:val="center"/>
          </w:tcPr>
          <w:p w14:paraId="1EBAE5B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tcPr>
          <w:p w14:paraId="030C2C20"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05057E67"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sz w:val="20"/>
                <w:szCs w:val="20"/>
                <w:rtl/>
              </w:rPr>
              <w:t>%</w:t>
            </w:r>
          </w:p>
        </w:tc>
        <w:tc>
          <w:tcPr>
            <w:tcW w:w="386" w:type="pct"/>
            <w:shd w:val="clear" w:color="auto" w:fill="auto"/>
            <w:vAlign w:val="center"/>
          </w:tcPr>
          <w:p w14:paraId="3ECEE06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50.8</w:t>
            </w:r>
          </w:p>
        </w:tc>
        <w:tc>
          <w:tcPr>
            <w:tcW w:w="386" w:type="pct"/>
            <w:vAlign w:val="center"/>
          </w:tcPr>
          <w:p w14:paraId="2184B07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25.5</w:t>
            </w:r>
          </w:p>
        </w:tc>
        <w:tc>
          <w:tcPr>
            <w:tcW w:w="386" w:type="pct"/>
            <w:shd w:val="clear" w:color="auto" w:fill="auto"/>
            <w:vAlign w:val="center"/>
          </w:tcPr>
          <w:p w14:paraId="7A72D85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9.1</w:t>
            </w:r>
          </w:p>
        </w:tc>
        <w:tc>
          <w:tcPr>
            <w:tcW w:w="329" w:type="pct"/>
            <w:vAlign w:val="center"/>
          </w:tcPr>
          <w:p w14:paraId="22E16468"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7</w:t>
            </w:r>
          </w:p>
        </w:tc>
        <w:tc>
          <w:tcPr>
            <w:tcW w:w="417" w:type="pct"/>
            <w:vAlign w:val="center"/>
          </w:tcPr>
          <w:p w14:paraId="3BD5C0A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7.6</w:t>
            </w:r>
          </w:p>
        </w:tc>
        <w:tc>
          <w:tcPr>
            <w:tcW w:w="419" w:type="pct"/>
            <w:vMerge/>
            <w:vAlign w:val="center"/>
          </w:tcPr>
          <w:p w14:paraId="124B819C"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75B7FC16"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2E4EBD99"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1DCC55C0"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2F39663A" w14:textId="77777777" w:rsidTr="00B976EC">
        <w:trPr>
          <w:jc w:val="center"/>
        </w:trPr>
        <w:tc>
          <w:tcPr>
            <w:tcW w:w="232" w:type="pct"/>
            <w:vMerge w:val="restart"/>
            <w:tcBorders>
              <w:left w:val="single" w:sz="4" w:space="0" w:color="auto"/>
              <w:right w:val="single" w:sz="4" w:space="0" w:color="auto"/>
            </w:tcBorders>
            <w:vAlign w:val="center"/>
          </w:tcPr>
          <w:p w14:paraId="4D014C98"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29</w:t>
            </w:r>
          </w:p>
        </w:tc>
        <w:tc>
          <w:tcPr>
            <w:tcW w:w="1043" w:type="pct"/>
            <w:vMerge w:val="restart"/>
            <w:tcBorders>
              <w:left w:val="single" w:sz="4" w:space="0" w:color="auto"/>
              <w:right w:val="single" w:sz="4" w:space="0" w:color="auto"/>
            </w:tcBorders>
          </w:tcPr>
          <w:p w14:paraId="45E44586" w14:textId="77777777" w:rsidR="00DE2B2A" w:rsidRPr="00807F32" w:rsidRDefault="00DE2B2A" w:rsidP="00807F32">
            <w:pPr>
              <w:autoSpaceDE w:val="0"/>
              <w:autoSpaceDN w:val="0"/>
              <w:bidi/>
              <w:adjustRightInd w:val="0"/>
              <w:spacing w:after="0" w:line="240" w:lineRule="auto"/>
              <w:jc w:val="center"/>
              <w:rPr>
                <w:rFonts w:ascii="Times New Roman" w:hAnsi="Times New Roman" w:cs="Simplified Arabic"/>
                <w:sz w:val="20"/>
                <w:szCs w:val="20"/>
                <w:rtl/>
                <w:lang w:bidi="ar-KW"/>
              </w:rPr>
            </w:pPr>
            <w:r w:rsidRPr="00807F32">
              <w:rPr>
                <w:rFonts w:ascii="Times New Roman" w:eastAsia="Times New Roman" w:hAnsi="Times New Roman" w:cs="Simplified Arabic"/>
                <w:sz w:val="20"/>
                <w:szCs w:val="20"/>
                <w:rtl/>
              </w:rPr>
              <w:t>يُسهم التمويل التشاركي في سد الفجوة التمويلية التي تواجهها المشاريع الناشئة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614C0B81"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ك</w:t>
            </w:r>
          </w:p>
        </w:tc>
        <w:tc>
          <w:tcPr>
            <w:tcW w:w="386" w:type="pct"/>
            <w:shd w:val="clear" w:color="auto" w:fill="auto"/>
            <w:vAlign w:val="center"/>
          </w:tcPr>
          <w:p w14:paraId="3D624E4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181</w:t>
            </w:r>
          </w:p>
        </w:tc>
        <w:tc>
          <w:tcPr>
            <w:tcW w:w="386" w:type="pct"/>
            <w:vAlign w:val="center"/>
          </w:tcPr>
          <w:p w14:paraId="7F628BCD"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100</w:t>
            </w:r>
          </w:p>
        </w:tc>
        <w:tc>
          <w:tcPr>
            <w:tcW w:w="386" w:type="pct"/>
            <w:shd w:val="clear" w:color="auto" w:fill="auto"/>
            <w:vAlign w:val="center"/>
          </w:tcPr>
          <w:p w14:paraId="029A41A5"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39</w:t>
            </w:r>
          </w:p>
        </w:tc>
        <w:tc>
          <w:tcPr>
            <w:tcW w:w="329" w:type="pct"/>
            <w:vAlign w:val="center"/>
          </w:tcPr>
          <w:p w14:paraId="72D5085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22</w:t>
            </w:r>
          </w:p>
        </w:tc>
        <w:tc>
          <w:tcPr>
            <w:tcW w:w="417" w:type="pct"/>
            <w:vAlign w:val="center"/>
          </w:tcPr>
          <w:p w14:paraId="71AD002A"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42</w:t>
            </w:r>
          </w:p>
        </w:tc>
        <w:tc>
          <w:tcPr>
            <w:tcW w:w="419" w:type="pct"/>
            <w:vMerge w:val="restart"/>
            <w:vAlign w:val="center"/>
          </w:tcPr>
          <w:p w14:paraId="14EC3C07" w14:textId="77777777" w:rsidR="00DE2B2A" w:rsidRPr="00807F32" w:rsidRDefault="00DE2B2A" w:rsidP="00807F32">
            <w:pPr>
              <w:bidi/>
              <w:spacing w:after="0" w:line="240" w:lineRule="auto"/>
              <w:jc w:val="center"/>
              <w:rPr>
                <w:rFonts w:ascii="Times New Roman" w:hAnsi="Times New Roman" w:cs="Simplified Arabic"/>
                <w:sz w:val="20"/>
                <w:szCs w:val="20"/>
                <w:lang w:bidi="ar-EG"/>
              </w:rPr>
            </w:pPr>
            <w:r w:rsidRPr="00807F32">
              <w:rPr>
                <w:rFonts w:ascii="Times New Roman" w:hAnsi="Times New Roman" w:cs="Simplified Arabic"/>
                <w:color w:val="000000"/>
                <w:sz w:val="20"/>
                <w:szCs w:val="20"/>
              </w:rPr>
              <w:t>3.93</w:t>
            </w:r>
          </w:p>
        </w:tc>
        <w:tc>
          <w:tcPr>
            <w:tcW w:w="427" w:type="pct"/>
            <w:vMerge w:val="restart"/>
            <w:vAlign w:val="center"/>
          </w:tcPr>
          <w:p w14:paraId="45C79A41" w14:textId="77777777" w:rsidR="00DE2B2A" w:rsidRPr="00807F32" w:rsidRDefault="00DE2B2A" w:rsidP="00807F32">
            <w:pPr>
              <w:bidi/>
              <w:spacing w:after="0" w:line="240" w:lineRule="auto"/>
              <w:jc w:val="center"/>
              <w:rPr>
                <w:rFonts w:ascii="Times New Roman" w:hAnsi="Times New Roman" w:cs="Simplified Arabic"/>
                <w:sz w:val="20"/>
                <w:szCs w:val="20"/>
                <w:lang w:bidi="ar-EG"/>
              </w:rPr>
            </w:pPr>
            <w:r w:rsidRPr="00807F32">
              <w:rPr>
                <w:rFonts w:ascii="Times New Roman" w:hAnsi="Times New Roman" w:cs="Simplified Arabic"/>
                <w:color w:val="000000"/>
                <w:sz w:val="20"/>
                <w:szCs w:val="20"/>
              </w:rPr>
              <w:t>1.336</w:t>
            </w:r>
          </w:p>
        </w:tc>
        <w:tc>
          <w:tcPr>
            <w:tcW w:w="368" w:type="pct"/>
            <w:vMerge w:val="restart"/>
            <w:tcBorders>
              <w:right w:val="single" w:sz="4" w:space="0" w:color="auto"/>
            </w:tcBorders>
            <w:vAlign w:val="center"/>
          </w:tcPr>
          <w:p w14:paraId="157594EB"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Pr>
              <w:t>6</w:t>
            </w:r>
          </w:p>
        </w:tc>
        <w:tc>
          <w:tcPr>
            <w:tcW w:w="459" w:type="pct"/>
            <w:vMerge w:val="restart"/>
            <w:tcBorders>
              <w:right w:val="single" w:sz="4" w:space="0" w:color="auto"/>
            </w:tcBorders>
            <w:vAlign w:val="center"/>
          </w:tcPr>
          <w:p w14:paraId="5ADEC506"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lang w:bidi="ar-EG"/>
              </w:rPr>
              <w:t>عالية</w:t>
            </w:r>
          </w:p>
        </w:tc>
      </w:tr>
      <w:tr w:rsidR="00DE2B2A" w:rsidRPr="00807F32" w14:paraId="4E2C671A" w14:textId="77777777" w:rsidTr="00B976EC">
        <w:trPr>
          <w:jc w:val="center"/>
        </w:trPr>
        <w:tc>
          <w:tcPr>
            <w:tcW w:w="232" w:type="pct"/>
            <w:vMerge/>
            <w:tcBorders>
              <w:left w:val="single" w:sz="4" w:space="0" w:color="auto"/>
              <w:right w:val="single" w:sz="4" w:space="0" w:color="auto"/>
            </w:tcBorders>
            <w:vAlign w:val="center"/>
          </w:tcPr>
          <w:p w14:paraId="481379E4"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vAlign w:val="center"/>
          </w:tcPr>
          <w:p w14:paraId="2E37E9D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32136215"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w:t>
            </w:r>
          </w:p>
        </w:tc>
        <w:tc>
          <w:tcPr>
            <w:tcW w:w="386" w:type="pct"/>
            <w:shd w:val="clear" w:color="auto" w:fill="auto"/>
            <w:vAlign w:val="center"/>
          </w:tcPr>
          <w:p w14:paraId="2CA68C35"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47.1</w:t>
            </w:r>
          </w:p>
        </w:tc>
        <w:tc>
          <w:tcPr>
            <w:tcW w:w="386" w:type="pct"/>
            <w:vAlign w:val="center"/>
          </w:tcPr>
          <w:p w14:paraId="0C5D992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26</w:t>
            </w:r>
          </w:p>
        </w:tc>
        <w:tc>
          <w:tcPr>
            <w:tcW w:w="386" w:type="pct"/>
            <w:shd w:val="clear" w:color="auto" w:fill="auto"/>
            <w:vAlign w:val="center"/>
          </w:tcPr>
          <w:p w14:paraId="7DC96D7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10.2</w:t>
            </w:r>
          </w:p>
        </w:tc>
        <w:tc>
          <w:tcPr>
            <w:tcW w:w="329" w:type="pct"/>
            <w:vAlign w:val="center"/>
          </w:tcPr>
          <w:p w14:paraId="3378870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5.7</w:t>
            </w:r>
          </w:p>
        </w:tc>
        <w:tc>
          <w:tcPr>
            <w:tcW w:w="417" w:type="pct"/>
            <w:vAlign w:val="center"/>
          </w:tcPr>
          <w:p w14:paraId="31E1F96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10.9</w:t>
            </w:r>
          </w:p>
        </w:tc>
        <w:tc>
          <w:tcPr>
            <w:tcW w:w="419" w:type="pct"/>
            <w:vMerge/>
            <w:vAlign w:val="center"/>
          </w:tcPr>
          <w:p w14:paraId="452AC687"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150F1385"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7E6C8D0F"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256C7E0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7C40D9B7" w14:textId="77777777" w:rsidTr="00B976EC">
        <w:trPr>
          <w:jc w:val="center"/>
        </w:trPr>
        <w:tc>
          <w:tcPr>
            <w:tcW w:w="232" w:type="pct"/>
            <w:vMerge w:val="restart"/>
            <w:tcBorders>
              <w:left w:val="single" w:sz="4" w:space="0" w:color="auto"/>
              <w:right w:val="single" w:sz="4" w:space="0" w:color="auto"/>
            </w:tcBorders>
            <w:vAlign w:val="center"/>
          </w:tcPr>
          <w:p w14:paraId="187C3AFF"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30</w:t>
            </w:r>
          </w:p>
        </w:tc>
        <w:tc>
          <w:tcPr>
            <w:tcW w:w="1043" w:type="pct"/>
            <w:vMerge w:val="restart"/>
            <w:tcBorders>
              <w:left w:val="single" w:sz="4" w:space="0" w:color="auto"/>
              <w:right w:val="single" w:sz="4" w:space="0" w:color="auto"/>
            </w:tcBorders>
            <w:vAlign w:val="center"/>
          </w:tcPr>
          <w:p w14:paraId="70F00759"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eastAsia="Times New Roman" w:hAnsi="Times New Roman" w:cs="Simplified Arabic"/>
                <w:sz w:val="20"/>
                <w:szCs w:val="20"/>
                <w:rtl/>
              </w:rPr>
              <w:t>تُساعد التكنولوجيا المالية</w:t>
            </w:r>
            <w:r w:rsidRPr="00807F32">
              <w:rPr>
                <w:rFonts w:ascii="Times New Roman" w:eastAsia="Times New Roman" w:hAnsi="Times New Roman" w:cs="Simplified Arabic"/>
                <w:sz w:val="20"/>
                <w:szCs w:val="20"/>
              </w:rPr>
              <w:t xml:space="preserve"> (FinTech) </w:t>
            </w:r>
            <w:r w:rsidRPr="00807F32">
              <w:rPr>
                <w:rFonts w:ascii="Times New Roman" w:eastAsia="Times New Roman" w:hAnsi="Times New Roman" w:cs="Simplified Arabic"/>
                <w:sz w:val="20"/>
                <w:szCs w:val="20"/>
                <w:rtl/>
              </w:rPr>
              <w:t>في تعزيز الاستدامة المالية عبر حلول مبتكرة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4356E2CF"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ك</w:t>
            </w:r>
          </w:p>
        </w:tc>
        <w:tc>
          <w:tcPr>
            <w:tcW w:w="386" w:type="pct"/>
            <w:shd w:val="clear" w:color="auto" w:fill="auto"/>
            <w:vAlign w:val="center"/>
          </w:tcPr>
          <w:p w14:paraId="7747F43D"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213</w:t>
            </w:r>
          </w:p>
        </w:tc>
        <w:tc>
          <w:tcPr>
            <w:tcW w:w="386" w:type="pct"/>
            <w:vAlign w:val="center"/>
          </w:tcPr>
          <w:p w14:paraId="1E71CE95"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98</w:t>
            </w:r>
          </w:p>
        </w:tc>
        <w:tc>
          <w:tcPr>
            <w:tcW w:w="386" w:type="pct"/>
            <w:shd w:val="clear" w:color="auto" w:fill="auto"/>
            <w:vAlign w:val="center"/>
          </w:tcPr>
          <w:p w14:paraId="0F0EFEE0"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39</w:t>
            </w:r>
          </w:p>
        </w:tc>
        <w:tc>
          <w:tcPr>
            <w:tcW w:w="329" w:type="pct"/>
            <w:vAlign w:val="center"/>
          </w:tcPr>
          <w:p w14:paraId="4D549B8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w:t>
            </w:r>
          </w:p>
        </w:tc>
        <w:tc>
          <w:tcPr>
            <w:tcW w:w="417" w:type="pct"/>
            <w:vAlign w:val="center"/>
          </w:tcPr>
          <w:p w14:paraId="41E0A20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w:t>
            </w:r>
          </w:p>
        </w:tc>
        <w:tc>
          <w:tcPr>
            <w:tcW w:w="419" w:type="pct"/>
            <w:vMerge w:val="restart"/>
            <w:vAlign w:val="center"/>
          </w:tcPr>
          <w:p w14:paraId="61B4C1A7"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4.23</w:t>
            </w:r>
          </w:p>
        </w:tc>
        <w:tc>
          <w:tcPr>
            <w:tcW w:w="427" w:type="pct"/>
            <w:vMerge w:val="restart"/>
            <w:vAlign w:val="center"/>
          </w:tcPr>
          <w:p w14:paraId="6E761F13"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1.087</w:t>
            </w:r>
          </w:p>
        </w:tc>
        <w:tc>
          <w:tcPr>
            <w:tcW w:w="368" w:type="pct"/>
            <w:vMerge w:val="restart"/>
            <w:tcBorders>
              <w:right w:val="single" w:sz="4" w:space="0" w:color="auto"/>
            </w:tcBorders>
            <w:vAlign w:val="center"/>
          </w:tcPr>
          <w:p w14:paraId="4492FBF6"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Pr>
              <w:t>1</w:t>
            </w:r>
          </w:p>
        </w:tc>
        <w:tc>
          <w:tcPr>
            <w:tcW w:w="459" w:type="pct"/>
            <w:vMerge w:val="restart"/>
            <w:tcBorders>
              <w:right w:val="single" w:sz="4" w:space="0" w:color="auto"/>
            </w:tcBorders>
            <w:vAlign w:val="center"/>
          </w:tcPr>
          <w:p w14:paraId="55D8E11C"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lang w:bidi="ar-EG"/>
              </w:rPr>
              <w:t>عالية جدًا</w:t>
            </w:r>
          </w:p>
        </w:tc>
      </w:tr>
      <w:tr w:rsidR="00DE2B2A" w:rsidRPr="00807F32" w14:paraId="52B15ED1" w14:textId="77777777" w:rsidTr="00B976EC">
        <w:trPr>
          <w:jc w:val="center"/>
        </w:trPr>
        <w:tc>
          <w:tcPr>
            <w:tcW w:w="232" w:type="pct"/>
            <w:vMerge/>
            <w:tcBorders>
              <w:left w:val="single" w:sz="4" w:space="0" w:color="auto"/>
              <w:right w:val="single" w:sz="4" w:space="0" w:color="auto"/>
            </w:tcBorders>
            <w:vAlign w:val="center"/>
          </w:tcPr>
          <w:p w14:paraId="5EED4CE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vAlign w:val="center"/>
          </w:tcPr>
          <w:p w14:paraId="50ACD4E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11713DC0"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w:t>
            </w:r>
          </w:p>
        </w:tc>
        <w:tc>
          <w:tcPr>
            <w:tcW w:w="386" w:type="pct"/>
            <w:shd w:val="clear" w:color="auto" w:fill="auto"/>
            <w:vAlign w:val="center"/>
          </w:tcPr>
          <w:p w14:paraId="405AA453"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55.5</w:t>
            </w:r>
          </w:p>
        </w:tc>
        <w:tc>
          <w:tcPr>
            <w:tcW w:w="386" w:type="pct"/>
            <w:vAlign w:val="center"/>
          </w:tcPr>
          <w:p w14:paraId="705ED91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25.5</w:t>
            </w:r>
          </w:p>
        </w:tc>
        <w:tc>
          <w:tcPr>
            <w:tcW w:w="386" w:type="pct"/>
            <w:shd w:val="clear" w:color="auto" w:fill="auto"/>
            <w:vAlign w:val="center"/>
          </w:tcPr>
          <w:p w14:paraId="01BC535B"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10.2</w:t>
            </w:r>
          </w:p>
        </w:tc>
        <w:tc>
          <w:tcPr>
            <w:tcW w:w="329" w:type="pct"/>
            <w:vAlign w:val="center"/>
          </w:tcPr>
          <w:p w14:paraId="30D67C7D"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4.4</w:t>
            </w:r>
          </w:p>
        </w:tc>
        <w:tc>
          <w:tcPr>
            <w:tcW w:w="417" w:type="pct"/>
            <w:vAlign w:val="center"/>
          </w:tcPr>
          <w:p w14:paraId="2F72844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4.4</w:t>
            </w:r>
          </w:p>
        </w:tc>
        <w:tc>
          <w:tcPr>
            <w:tcW w:w="419" w:type="pct"/>
            <w:vMerge/>
            <w:vAlign w:val="center"/>
          </w:tcPr>
          <w:p w14:paraId="57488EF9"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15A1CCBD"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7B381FCF"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33294E66"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69F09F9C" w14:textId="77777777" w:rsidTr="00B976EC">
        <w:trPr>
          <w:jc w:val="center"/>
        </w:trPr>
        <w:tc>
          <w:tcPr>
            <w:tcW w:w="232" w:type="pct"/>
            <w:vMerge w:val="restart"/>
            <w:tcBorders>
              <w:left w:val="single" w:sz="4" w:space="0" w:color="auto"/>
              <w:right w:val="single" w:sz="4" w:space="0" w:color="auto"/>
            </w:tcBorders>
            <w:vAlign w:val="center"/>
          </w:tcPr>
          <w:p w14:paraId="798F67DE"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31</w:t>
            </w:r>
          </w:p>
        </w:tc>
        <w:tc>
          <w:tcPr>
            <w:tcW w:w="1043" w:type="pct"/>
            <w:vMerge w:val="restart"/>
            <w:tcBorders>
              <w:left w:val="single" w:sz="4" w:space="0" w:color="auto"/>
              <w:right w:val="single" w:sz="4" w:space="0" w:color="auto"/>
            </w:tcBorders>
            <w:vAlign w:val="center"/>
          </w:tcPr>
          <w:p w14:paraId="0D9097BA" w14:textId="77777777" w:rsidR="00DE2B2A" w:rsidRPr="00807F32" w:rsidRDefault="00DE2B2A" w:rsidP="00807F32">
            <w:pPr>
              <w:autoSpaceDE w:val="0"/>
              <w:autoSpaceDN w:val="0"/>
              <w:bidi/>
              <w:adjustRightInd w:val="0"/>
              <w:spacing w:after="0" w:line="240" w:lineRule="auto"/>
              <w:jc w:val="center"/>
              <w:rPr>
                <w:rFonts w:ascii="Times New Roman" w:hAnsi="Times New Roman" w:cs="Simplified Arabic"/>
                <w:sz w:val="20"/>
                <w:szCs w:val="20"/>
                <w:rtl/>
                <w:lang w:bidi="ar-KW"/>
              </w:rPr>
            </w:pPr>
            <w:r w:rsidRPr="00807F32">
              <w:rPr>
                <w:rFonts w:ascii="Times New Roman" w:eastAsia="Times New Roman" w:hAnsi="Times New Roman" w:cs="Simplified Arabic"/>
                <w:sz w:val="20"/>
                <w:szCs w:val="20"/>
                <w:rtl/>
              </w:rPr>
              <w:t>يُعد التخطيط المالي الجيد من العوامل الحاسمة لضمان استدامة المشاريع الريادية</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7F197995"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ك</w:t>
            </w:r>
          </w:p>
        </w:tc>
        <w:tc>
          <w:tcPr>
            <w:tcW w:w="386" w:type="pct"/>
            <w:shd w:val="clear" w:color="auto" w:fill="auto"/>
            <w:vAlign w:val="center"/>
          </w:tcPr>
          <w:p w14:paraId="0F5A401E"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223</w:t>
            </w:r>
          </w:p>
        </w:tc>
        <w:tc>
          <w:tcPr>
            <w:tcW w:w="386" w:type="pct"/>
            <w:vAlign w:val="center"/>
          </w:tcPr>
          <w:p w14:paraId="145A8376"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67</w:t>
            </w:r>
          </w:p>
        </w:tc>
        <w:tc>
          <w:tcPr>
            <w:tcW w:w="386" w:type="pct"/>
            <w:shd w:val="clear" w:color="auto" w:fill="auto"/>
            <w:vAlign w:val="center"/>
          </w:tcPr>
          <w:p w14:paraId="6F72010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32</w:t>
            </w:r>
          </w:p>
        </w:tc>
        <w:tc>
          <w:tcPr>
            <w:tcW w:w="329" w:type="pct"/>
            <w:vAlign w:val="center"/>
          </w:tcPr>
          <w:p w14:paraId="039F8953"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32</w:t>
            </w:r>
          </w:p>
        </w:tc>
        <w:tc>
          <w:tcPr>
            <w:tcW w:w="417" w:type="pct"/>
            <w:vAlign w:val="center"/>
          </w:tcPr>
          <w:p w14:paraId="1A63E5C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30</w:t>
            </w:r>
          </w:p>
        </w:tc>
        <w:tc>
          <w:tcPr>
            <w:tcW w:w="419" w:type="pct"/>
            <w:vMerge w:val="restart"/>
            <w:vAlign w:val="center"/>
          </w:tcPr>
          <w:p w14:paraId="0572FF14"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4.10</w:t>
            </w:r>
          </w:p>
        </w:tc>
        <w:tc>
          <w:tcPr>
            <w:tcW w:w="427" w:type="pct"/>
            <w:vMerge w:val="restart"/>
            <w:vAlign w:val="center"/>
          </w:tcPr>
          <w:p w14:paraId="27B05871"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1.302</w:t>
            </w:r>
          </w:p>
        </w:tc>
        <w:tc>
          <w:tcPr>
            <w:tcW w:w="368" w:type="pct"/>
            <w:vMerge w:val="restart"/>
            <w:tcBorders>
              <w:right w:val="single" w:sz="4" w:space="0" w:color="auto"/>
            </w:tcBorders>
            <w:vAlign w:val="center"/>
          </w:tcPr>
          <w:p w14:paraId="333DA70A"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Pr>
              <w:t>3</w:t>
            </w:r>
          </w:p>
        </w:tc>
        <w:tc>
          <w:tcPr>
            <w:tcW w:w="459" w:type="pct"/>
            <w:vMerge w:val="restart"/>
            <w:tcBorders>
              <w:right w:val="single" w:sz="4" w:space="0" w:color="auto"/>
            </w:tcBorders>
            <w:vAlign w:val="center"/>
          </w:tcPr>
          <w:p w14:paraId="5F3E091E"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lang w:bidi="ar-EG"/>
              </w:rPr>
              <w:t>عالية</w:t>
            </w:r>
          </w:p>
        </w:tc>
      </w:tr>
      <w:tr w:rsidR="00DE2B2A" w:rsidRPr="00807F32" w14:paraId="2877EB6B" w14:textId="77777777" w:rsidTr="00B976EC">
        <w:trPr>
          <w:jc w:val="center"/>
        </w:trPr>
        <w:tc>
          <w:tcPr>
            <w:tcW w:w="232" w:type="pct"/>
            <w:vMerge/>
            <w:tcBorders>
              <w:left w:val="single" w:sz="4" w:space="0" w:color="auto"/>
              <w:right w:val="single" w:sz="4" w:space="0" w:color="auto"/>
            </w:tcBorders>
            <w:vAlign w:val="center"/>
          </w:tcPr>
          <w:p w14:paraId="4F280A19"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vAlign w:val="center"/>
          </w:tcPr>
          <w:p w14:paraId="4E184689"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1456CD5D"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w:t>
            </w:r>
          </w:p>
        </w:tc>
        <w:tc>
          <w:tcPr>
            <w:tcW w:w="386" w:type="pct"/>
            <w:shd w:val="clear" w:color="auto" w:fill="auto"/>
            <w:vAlign w:val="center"/>
          </w:tcPr>
          <w:p w14:paraId="6111293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58.1</w:t>
            </w:r>
          </w:p>
        </w:tc>
        <w:tc>
          <w:tcPr>
            <w:tcW w:w="386" w:type="pct"/>
            <w:vAlign w:val="center"/>
          </w:tcPr>
          <w:p w14:paraId="6A6751A3"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17.4</w:t>
            </w:r>
          </w:p>
        </w:tc>
        <w:tc>
          <w:tcPr>
            <w:tcW w:w="386" w:type="pct"/>
            <w:shd w:val="clear" w:color="auto" w:fill="auto"/>
            <w:vAlign w:val="center"/>
          </w:tcPr>
          <w:p w14:paraId="18B3C391"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8.3</w:t>
            </w:r>
          </w:p>
        </w:tc>
        <w:tc>
          <w:tcPr>
            <w:tcW w:w="329" w:type="pct"/>
            <w:vAlign w:val="center"/>
          </w:tcPr>
          <w:p w14:paraId="436253FD"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8.3</w:t>
            </w:r>
          </w:p>
        </w:tc>
        <w:tc>
          <w:tcPr>
            <w:tcW w:w="417" w:type="pct"/>
            <w:vAlign w:val="center"/>
          </w:tcPr>
          <w:p w14:paraId="2E3CE13C"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7.8</w:t>
            </w:r>
          </w:p>
        </w:tc>
        <w:tc>
          <w:tcPr>
            <w:tcW w:w="419" w:type="pct"/>
            <w:vMerge/>
            <w:vAlign w:val="center"/>
          </w:tcPr>
          <w:p w14:paraId="709989D8"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4D4A1582"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2E2807C0"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50BE1D53"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3F2F9B2C" w14:textId="77777777" w:rsidTr="00B976EC">
        <w:trPr>
          <w:jc w:val="center"/>
        </w:trPr>
        <w:tc>
          <w:tcPr>
            <w:tcW w:w="232" w:type="pct"/>
            <w:vMerge w:val="restart"/>
            <w:tcBorders>
              <w:left w:val="single" w:sz="4" w:space="0" w:color="auto"/>
              <w:right w:val="single" w:sz="4" w:space="0" w:color="auto"/>
            </w:tcBorders>
            <w:vAlign w:val="center"/>
          </w:tcPr>
          <w:p w14:paraId="1B8F41CA"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rPr>
              <w:t>32</w:t>
            </w:r>
          </w:p>
        </w:tc>
        <w:tc>
          <w:tcPr>
            <w:tcW w:w="1043" w:type="pct"/>
            <w:vMerge w:val="restart"/>
            <w:tcBorders>
              <w:left w:val="single" w:sz="4" w:space="0" w:color="auto"/>
              <w:right w:val="single" w:sz="4" w:space="0" w:color="auto"/>
            </w:tcBorders>
            <w:vAlign w:val="center"/>
          </w:tcPr>
          <w:p w14:paraId="61DB94A8"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eastAsia="Times New Roman" w:hAnsi="Times New Roman" w:cs="Simplified Arabic"/>
                <w:sz w:val="20"/>
                <w:szCs w:val="20"/>
                <w:rtl/>
              </w:rPr>
              <w:t>تُعتبر الشراكات مع الجهات الداعمة عنصرًا مهمًا في تحقيق الاستدامة المالية للمشاريع</w:t>
            </w:r>
            <w:r w:rsidRPr="00807F32">
              <w:rPr>
                <w:rFonts w:ascii="Times New Roman" w:eastAsia="Times New Roman" w:hAnsi="Times New Roman" w:cs="Simplified Arabic"/>
                <w:sz w:val="20"/>
                <w:szCs w:val="20"/>
              </w:rPr>
              <w:t>.</w:t>
            </w: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3FE2ECAA"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ك</w:t>
            </w:r>
          </w:p>
        </w:tc>
        <w:tc>
          <w:tcPr>
            <w:tcW w:w="386" w:type="pct"/>
            <w:shd w:val="clear" w:color="auto" w:fill="auto"/>
            <w:vAlign w:val="center"/>
          </w:tcPr>
          <w:p w14:paraId="7F9E045B"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176</w:t>
            </w:r>
          </w:p>
        </w:tc>
        <w:tc>
          <w:tcPr>
            <w:tcW w:w="386" w:type="pct"/>
            <w:vAlign w:val="center"/>
          </w:tcPr>
          <w:p w14:paraId="6C1A05A6"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91</w:t>
            </w:r>
          </w:p>
        </w:tc>
        <w:tc>
          <w:tcPr>
            <w:tcW w:w="386" w:type="pct"/>
            <w:shd w:val="clear" w:color="auto" w:fill="auto"/>
            <w:vAlign w:val="center"/>
          </w:tcPr>
          <w:p w14:paraId="3D57B567"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42</w:t>
            </w:r>
          </w:p>
        </w:tc>
        <w:tc>
          <w:tcPr>
            <w:tcW w:w="329" w:type="pct"/>
            <w:vAlign w:val="center"/>
          </w:tcPr>
          <w:p w14:paraId="68D7133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37</w:t>
            </w:r>
          </w:p>
        </w:tc>
        <w:tc>
          <w:tcPr>
            <w:tcW w:w="417" w:type="pct"/>
            <w:vAlign w:val="center"/>
          </w:tcPr>
          <w:p w14:paraId="1E0A4822"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38</w:t>
            </w:r>
          </w:p>
        </w:tc>
        <w:tc>
          <w:tcPr>
            <w:tcW w:w="419" w:type="pct"/>
            <w:vMerge w:val="restart"/>
            <w:vAlign w:val="center"/>
          </w:tcPr>
          <w:p w14:paraId="0B7DF794"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3.86</w:t>
            </w:r>
          </w:p>
        </w:tc>
        <w:tc>
          <w:tcPr>
            <w:tcW w:w="427" w:type="pct"/>
            <w:vMerge w:val="restart"/>
            <w:vAlign w:val="center"/>
          </w:tcPr>
          <w:p w14:paraId="7A8F9738"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1.352</w:t>
            </w:r>
          </w:p>
        </w:tc>
        <w:tc>
          <w:tcPr>
            <w:tcW w:w="368" w:type="pct"/>
            <w:vMerge w:val="restart"/>
            <w:tcBorders>
              <w:right w:val="single" w:sz="4" w:space="0" w:color="auto"/>
            </w:tcBorders>
            <w:vAlign w:val="center"/>
          </w:tcPr>
          <w:p w14:paraId="71A930DB"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Pr>
              <w:t>7</w:t>
            </w:r>
          </w:p>
        </w:tc>
        <w:tc>
          <w:tcPr>
            <w:tcW w:w="459" w:type="pct"/>
            <w:vMerge w:val="restart"/>
            <w:tcBorders>
              <w:right w:val="single" w:sz="4" w:space="0" w:color="auto"/>
            </w:tcBorders>
            <w:vAlign w:val="center"/>
          </w:tcPr>
          <w:p w14:paraId="02C448F5"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hint="cs"/>
                <w:sz w:val="20"/>
                <w:szCs w:val="20"/>
                <w:rtl/>
                <w:lang w:bidi="ar-EG"/>
              </w:rPr>
              <w:t>عالية</w:t>
            </w:r>
          </w:p>
        </w:tc>
      </w:tr>
      <w:tr w:rsidR="00DE2B2A" w:rsidRPr="00807F32" w14:paraId="2E3DB1F4" w14:textId="77777777" w:rsidTr="00B976EC">
        <w:trPr>
          <w:jc w:val="center"/>
        </w:trPr>
        <w:tc>
          <w:tcPr>
            <w:tcW w:w="232" w:type="pct"/>
            <w:vMerge/>
            <w:tcBorders>
              <w:left w:val="single" w:sz="4" w:space="0" w:color="auto"/>
              <w:right w:val="single" w:sz="4" w:space="0" w:color="auto"/>
            </w:tcBorders>
            <w:vAlign w:val="center"/>
          </w:tcPr>
          <w:p w14:paraId="2060BB5C"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043" w:type="pct"/>
            <w:vMerge/>
            <w:tcBorders>
              <w:left w:val="single" w:sz="4" w:space="0" w:color="auto"/>
              <w:right w:val="single" w:sz="4" w:space="0" w:color="auto"/>
            </w:tcBorders>
            <w:vAlign w:val="center"/>
          </w:tcPr>
          <w:p w14:paraId="3A0070C5"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148" w:type="pct"/>
            <w:tcBorders>
              <w:top w:val="single" w:sz="4" w:space="0" w:color="auto"/>
              <w:left w:val="single" w:sz="4" w:space="0" w:color="auto"/>
              <w:bottom w:val="single" w:sz="4" w:space="0" w:color="auto"/>
            </w:tcBorders>
            <w:shd w:val="clear" w:color="auto" w:fill="BFBFBF" w:themeFill="background1" w:themeFillShade="BF"/>
            <w:vAlign w:val="center"/>
          </w:tcPr>
          <w:p w14:paraId="3DF2FFD2" w14:textId="77777777" w:rsidR="00DE2B2A" w:rsidRPr="00807F32" w:rsidRDefault="00DE2B2A" w:rsidP="00807F32">
            <w:pPr>
              <w:bidi/>
              <w:spacing w:after="0" w:line="240" w:lineRule="auto"/>
              <w:jc w:val="center"/>
              <w:rPr>
                <w:rFonts w:ascii="Times New Roman" w:hAnsi="Times New Roman" w:cs="Simplified Arabic"/>
                <w:sz w:val="20"/>
                <w:szCs w:val="20"/>
                <w:rtl/>
              </w:rPr>
            </w:pPr>
            <w:r w:rsidRPr="00807F32">
              <w:rPr>
                <w:rFonts w:ascii="Times New Roman" w:hAnsi="Times New Roman" w:cs="Simplified Arabic"/>
                <w:sz w:val="20"/>
                <w:szCs w:val="20"/>
                <w:rtl/>
              </w:rPr>
              <w:t>%</w:t>
            </w:r>
          </w:p>
        </w:tc>
        <w:tc>
          <w:tcPr>
            <w:tcW w:w="386" w:type="pct"/>
            <w:shd w:val="clear" w:color="auto" w:fill="auto"/>
            <w:vAlign w:val="center"/>
          </w:tcPr>
          <w:p w14:paraId="2E4CF55B"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45.8</w:t>
            </w:r>
          </w:p>
        </w:tc>
        <w:tc>
          <w:tcPr>
            <w:tcW w:w="386" w:type="pct"/>
            <w:vAlign w:val="center"/>
          </w:tcPr>
          <w:p w14:paraId="596D6445"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23.7</w:t>
            </w:r>
          </w:p>
        </w:tc>
        <w:tc>
          <w:tcPr>
            <w:tcW w:w="386" w:type="pct"/>
            <w:shd w:val="clear" w:color="auto" w:fill="auto"/>
            <w:vAlign w:val="center"/>
          </w:tcPr>
          <w:p w14:paraId="54AC9E74"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10.9</w:t>
            </w:r>
          </w:p>
        </w:tc>
        <w:tc>
          <w:tcPr>
            <w:tcW w:w="329" w:type="pct"/>
            <w:vAlign w:val="center"/>
          </w:tcPr>
          <w:p w14:paraId="7D47BDD9"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9.6</w:t>
            </w:r>
          </w:p>
        </w:tc>
        <w:tc>
          <w:tcPr>
            <w:tcW w:w="417" w:type="pct"/>
            <w:vAlign w:val="center"/>
          </w:tcPr>
          <w:p w14:paraId="444B3BBF" w14:textId="77777777" w:rsidR="00DE2B2A" w:rsidRPr="00807F32" w:rsidRDefault="00DE2B2A" w:rsidP="00807F32">
            <w:pPr>
              <w:autoSpaceDE w:val="0"/>
              <w:autoSpaceDN w:val="0"/>
              <w:bidi/>
              <w:adjustRightInd w:val="0"/>
              <w:spacing w:after="0" w:line="240" w:lineRule="auto"/>
              <w:ind w:left="60" w:right="60"/>
              <w:jc w:val="center"/>
              <w:rPr>
                <w:rFonts w:ascii="Times New Roman" w:hAnsi="Times New Roman" w:cs="Simplified Arabic"/>
                <w:color w:val="000000"/>
                <w:sz w:val="20"/>
                <w:szCs w:val="20"/>
              </w:rPr>
            </w:pPr>
            <w:r w:rsidRPr="00807F32">
              <w:rPr>
                <w:rFonts w:ascii="Times New Roman" w:hAnsi="Times New Roman" w:cs="Simplified Arabic"/>
                <w:color w:val="000000"/>
                <w:sz w:val="20"/>
                <w:szCs w:val="20"/>
              </w:rPr>
              <w:t>9.9</w:t>
            </w:r>
          </w:p>
        </w:tc>
        <w:tc>
          <w:tcPr>
            <w:tcW w:w="419" w:type="pct"/>
            <w:vMerge/>
            <w:vAlign w:val="center"/>
          </w:tcPr>
          <w:p w14:paraId="153FE96D"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427" w:type="pct"/>
            <w:vMerge/>
            <w:vAlign w:val="center"/>
          </w:tcPr>
          <w:p w14:paraId="4FEAC8AC" w14:textId="77777777" w:rsidR="00DE2B2A" w:rsidRPr="00807F32" w:rsidRDefault="00DE2B2A" w:rsidP="00807F32">
            <w:pPr>
              <w:bidi/>
              <w:spacing w:after="0" w:line="240" w:lineRule="auto"/>
              <w:jc w:val="center"/>
              <w:rPr>
                <w:rFonts w:ascii="Times New Roman" w:hAnsi="Times New Roman" w:cs="Simplified Arabic"/>
                <w:sz w:val="20"/>
                <w:szCs w:val="20"/>
              </w:rPr>
            </w:pPr>
          </w:p>
        </w:tc>
        <w:tc>
          <w:tcPr>
            <w:tcW w:w="368" w:type="pct"/>
            <w:vMerge/>
            <w:tcBorders>
              <w:right w:val="single" w:sz="4" w:space="0" w:color="auto"/>
            </w:tcBorders>
            <w:vAlign w:val="center"/>
          </w:tcPr>
          <w:p w14:paraId="7D2152A9"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c>
          <w:tcPr>
            <w:tcW w:w="459" w:type="pct"/>
            <w:vMerge/>
            <w:tcBorders>
              <w:right w:val="single" w:sz="4" w:space="0" w:color="auto"/>
            </w:tcBorders>
            <w:vAlign w:val="center"/>
          </w:tcPr>
          <w:p w14:paraId="026D17FB" w14:textId="77777777" w:rsidR="00DE2B2A" w:rsidRPr="00807F32" w:rsidRDefault="00DE2B2A" w:rsidP="00807F32">
            <w:pPr>
              <w:bidi/>
              <w:spacing w:after="0" w:line="240" w:lineRule="auto"/>
              <w:jc w:val="center"/>
              <w:rPr>
                <w:rFonts w:ascii="Times New Roman" w:hAnsi="Times New Roman" w:cs="Simplified Arabic"/>
                <w:sz w:val="20"/>
                <w:szCs w:val="20"/>
                <w:rtl/>
              </w:rPr>
            </w:pPr>
          </w:p>
        </w:tc>
      </w:tr>
      <w:tr w:rsidR="00DE2B2A" w:rsidRPr="00807F32" w14:paraId="7BD62EBE" w14:textId="77777777" w:rsidTr="00B976EC">
        <w:trPr>
          <w:jc w:val="center"/>
        </w:trPr>
        <w:tc>
          <w:tcPr>
            <w:tcW w:w="3327" w:type="pct"/>
            <w:gridSpan w:val="8"/>
            <w:tcBorders>
              <w:left w:val="single" w:sz="4" w:space="0" w:color="auto"/>
            </w:tcBorders>
            <w:shd w:val="clear" w:color="auto" w:fill="BFBFBF" w:themeFill="background1" w:themeFillShade="BF"/>
            <w:vAlign w:val="center"/>
          </w:tcPr>
          <w:p w14:paraId="0FE0B935"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hint="cs"/>
                <w:sz w:val="20"/>
                <w:szCs w:val="20"/>
                <w:rtl/>
              </w:rPr>
              <w:t>المتوسط العام</w:t>
            </w:r>
          </w:p>
        </w:tc>
        <w:tc>
          <w:tcPr>
            <w:tcW w:w="419" w:type="pct"/>
            <w:shd w:val="clear" w:color="auto" w:fill="BFBFBF" w:themeFill="background1" w:themeFillShade="BF"/>
            <w:vAlign w:val="center"/>
          </w:tcPr>
          <w:p w14:paraId="3B2DEF62" w14:textId="77777777" w:rsidR="00DE2B2A" w:rsidRPr="00807F32" w:rsidRDefault="00DE2B2A" w:rsidP="00807F32">
            <w:pPr>
              <w:bidi/>
              <w:spacing w:after="0" w:line="240" w:lineRule="auto"/>
              <w:jc w:val="center"/>
              <w:rPr>
                <w:rFonts w:ascii="Times New Roman" w:hAnsi="Times New Roman" w:cs="Simplified Arabic"/>
                <w:sz w:val="20"/>
                <w:szCs w:val="20"/>
              </w:rPr>
            </w:pPr>
            <w:r w:rsidRPr="00807F32">
              <w:rPr>
                <w:rFonts w:ascii="Times New Roman" w:hAnsi="Times New Roman" w:cs="Simplified Arabic"/>
                <w:color w:val="000000"/>
                <w:sz w:val="20"/>
                <w:szCs w:val="20"/>
              </w:rPr>
              <w:t>4.01</w:t>
            </w:r>
          </w:p>
        </w:tc>
        <w:tc>
          <w:tcPr>
            <w:tcW w:w="427" w:type="pct"/>
            <w:shd w:val="clear" w:color="auto" w:fill="BFBFBF" w:themeFill="background1" w:themeFillShade="BF"/>
            <w:vAlign w:val="center"/>
          </w:tcPr>
          <w:p w14:paraId="6C45673A"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color w:val="000000"/>
                <w:sz w:val="20"/>
                <w:szCs w:val="20"/>
              </w:rPr>
              <w:t>.626</w:t>
            </w:r>
          </w:p>
        </w:tc>
        <w:tc>
          <w:tcPr>
            <w:tcW w:w="368" w:type="pct"/>
            <w:tcBorders>
              <w:right w:val="single" w:sz="4" w:space="0" w:color="auto"/>
            </w:tcBorders>
            <w:shd w:val="clear" w:color="auto" w:fill="BFBFBF" w:themeFill="background1" w:themeFillShade="BF"/>
            <w:vAlign w:val="center"/>
          </w:tcPr>
          <w:p w14:paraId="3D961A1A"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hint="cs"/>
                <w:sz w:val="20"/>
                <w:szCs w:val="20"/>
                <w:rtl/>
                <w:lang w:bidi="ar-EG"/>
              </w:rPr>
              <w:t>--</w:t>
            </w:r>
          </w:p>
        </w:tc>
        <w:tc>
          <w:tcPr>
            <w:tcW w:w="459" w:type="pct"/>
            <w:tcBorders>
              <w:right w:val="single" w:sz="4" w:space="0" w:color="auto"/>
            </w:tcBorders>
            <w:shd w:val="clear" w:color="auto" w:fill="BFBFBF" w:themeFill="background1" w:themeFillShade="BF"/>
            <w:vAlign w:val="center"/>
          </w:tcPr>
          <w:p w14:paraId="42741F01" w14:textId="77777777" w:rsidR="00DE2B2A" w:rsidRPr="00807F32" w:rsidRDefault="00DE2B2A" w:rsidP="00807F32">
            <w:pPr>
              <w:bidi/>
              <w:spacing w:after="0" w:line="240" w:lineRule="auto"/>
              <w:jc w:val="center"/>
              <w:rPr>
                <w:rFonts w:ascii="Times New Roman" w:hAnsi="Times New Roman" w:cs="Simplified Arabic"/>
                <w:sz w:val="20"/>
                <w:szCs w:val="20"/>
                <w:rtl/>
                <w:lang w:bidi="ar-EG"/>
              </w:rPr>
            </w:pPr>
            <w:r w:rsidRPr="00807F32">
              <w:rPr>
                <w:rFonts w:ascii="Times New Roman" w:hAnsi="Times New Roman" w:cs="Simplified Arabic" w:hint="cs"/>
                <w:sz w:val="20"/>
                <w:szCs w:val="20"/>
                <w:rtl/>
                <w:lang w:bidi="ar-EG"/>
              </w:rPr>
              <w:t>عالية</w:t>
            </w:r>
          </w:p>
        </w:tc>
      </w:tr>
    </w:tbl>
    <w:p w14:paraId="62CC36DE" w14:textId="77777777" w:rsidR="00DE2B2A" w:rsidRPr="00BC50C9" w:rsidRDefault="00DE2B2A" w:rsidP="00B976EC">
      <w:pPr>
        <w:pStyle w:val="00000"/>
        <w:rPr>
          <w:rtl/>
        </w:rPr>
      </w:pPr>
      <w:r w:rsidRPr="00BC50C9">
        <w:rPr>
          <w:rtl/>
        </w:rPr>
        <w:t xml:space="preserve">يتبين من الجدول </w:t>
      </w:r>
      <w:r w:rsidRPr="00BC50C9">
        <w:rPr>
          <w:rFonts w:hint="cs"/>
          <w:rtl/>
        </w:rPr>
        <w:t>السابق</w:t>
      </w:r>
      <w:r w:rsidRPr="00BC50C9">
        <w:rPr>
          <w:rtl/>
        </w:rPr>
        <w:t>: أن</w:t>
      </w:r>
      <w:r w:rsidRPr="00BC50C9">
        <w:rPr>
          <w:rFonts w:hint="cs"/>
          <w:rtl/>
        </w:rPr>
        <w:t xml:space="preserve"> المتوسط العام</w:t>
      </w:r>
      <w:r w:rsidRPr="00BC50C9">
        <w:rPr>
          <w:rtl/>
        </w:rPr>
        <w:t xml:space="preserve"> </w:t>
      </w:r>
      <w:r w:rsidRPr="00BC50C9">
        <w:rPr>
          <w:rFonts w:hint="cs"/>
          <w:rtl/>
        </w:rPr>
        <w:t>للمحور الثاني: الاستدامة المالية جاء</w:t>
      </w:r>
      <w:r w:rsidRPr="00BC50C9">
        <w:rPr>
          <w:rtl/>
        </w:rPr>
        <w:t xml:space="preserve"> بدرجة استجابة (</w:t>
      </w:r>
      <w:r w:rsidRPr="00BC50C9">
        <w:rPr>
          <w:rFonts w:hint="cs"/>
          <w:rtl/>
        </w:rPr>
        <w:t>عالية</w:t>
      </w:r>
      <w:r w:rsidRPr="00BC50C9">
        <w:rPr>
          <w:rtl/>
        </w:rPr>
        <w:t xml:space="preserve">)، وبمتوسط حسابي قدرة </w:t>
      </w:r>
      <w:r w:rsidRPr="00BC50C9">
        <w:rPr>
          <w:rFonts w:hint="cs"/>
          <w:rtl/>
        </w:rPr>
        <w:t>(</w:t>
      </w:r>
      <w:r w:rsidRPr="00BC50C9">
        <w:rPr>
          <w:color w:val="000000"/>
        </w:rPr>
        <w:t>4.01</w:t>
      </w:r>
      <w:r w:rsidRPr="00BC50C9">
        <w:rPr>
          <w:rFonts w:hint="cs"/>
          <w:rtl/>
        </w:rPr>
        <w:t>)</w:t>
      </w:r>
      <w:r w:rsidRPr="00BC50C9">
        <w:rPr>
          <w:rtl/>
        </w:rPr>
        <w:t xml:space="preserve">، وانحراف معياري </w:t>
      </w:r>
      <w:r w:rsidRPr="00BC50C9">
        <w:rPr>
          <w:rFonts w:hint="cs"/>
          <w:rtl/>
        </w:rPr>
        <w:t>(</w:t>
      </w:r>
      <w:r w:rsidRPr="00BC50C9">
        <w:rPr>
          <w:color w:val="000000"/>
        </w:rPr>
        <w:t>.626</w:t>
      </w:r>
      <w:r w:rsidRPr="00BC50C9">
        <w:rPr>
          <w:rFonts w:hint="cs"/>
          <w:rtl/>
        </w:rPr>
        <w:t>)</w:t>
      </w:r>
      <w:r w:rsidRPr="00BC50C9">
        <w:rPr>
          <w:rtl/>
        </w:rPr>
        <w:t>،</w:t>
      </w:r>
      <w:r w:rsidRPr="00BC50C9">
        <w:rPr>
          <w:rFonts w:hint="cs"/>
          <w:rtl/>
        </w:rPr>
        <w:t xml:space="preserve"> </w:t>
      </w:r>
      <w:r w:rsidRPr="00BC50C9">
        <w:rPr>
          <w:rtl/>
        </w:rPr>
        <w:t xml:space="preserve">وجاء في الترتيب الأول </w:t>
      </w:r>
      <w:r w:rsidRPr="00BC50C9">
        <w:rPr>
          <w:rFonts w:hint="cs"/>
          <w:rtl/>
        </w:rPr>
        <w:t>العبارة</w:t>
      </w:r>
      <w:r w:rsidRPr="00BC50C9">
        <w:rPr>
          <w:rtl/>
        </w:rPr>
        <w:t xml:space="preserve"> رقم (</w:t>
      </w:r>
      <w:r w:rsidRPr="00BC50C9">
        <w:rPr>
          <w:rFonts w:hint="cs"/>
          <w:rtl/>
        </w:rPr>
        <w:t>30</w:t>
      </w:r>
      <w:r w:rsidRPr="00BC50C9">
        <w:rPr>
          <w:rtl/>
        </w:rPr>
        <w:t>) بمتوسط حسابي (</w:t>
      </w:r>
      <w:r w:rsidRPr="00BC50C9">
        <w:rPr>
          <w:color w:val="000000"/>
        </w:rPr>
        <w:t>4.23</w:t>
      </w:r>
      <w:r w:rsidRPr="00BC50C9">
        <w:rPr>
          <w:rtl/>
        </w:rPr>
        <w:t>)، وانحراف معياري (</w:t>
      </w:r>
      <w:r w:rsidRPr="00BC50C9">
        <w:rPr>
          <w:color w:val="000000"/>
        </w:rPr>
        <w:t>1.087</w:t>
      </w:r>
      <w:r w:rsidRPr="00BC50C9">
        <w:rPr>
          <w:rtl/>
        </w:rPr>
        <w:t>) وبدرجة استجابة (</w:t>
      </w:r>
      <w:r w:rsidRPr="00BC50C9">
        <w:rPr>
          <w:rFonts w:hint="cs"/>
          <w:rtl/>
        </w:rPr>
        <w:t>عالية جدًا</w:t>
      </w:r>
      <w:r w:rsidRPr="00BC50C9">
        <w:rPr>
          <w:rtl/>
        </w:rPr>
        <w:t xml:space="preserve">)، وجاء في الترتيب الثاني </w:t>
      </w:r>
      <w:r w:rsidRPr="00BC50C9">
        <w:rPr>
          <w:rFonts w:hint="cs"/>
          <w:rtl/>
        </w:rPr>
        <w:t>العبارة</w:t>
      </w:r>
      <w:r w:rsidRPr="00BC50C9">
        <w:rPr>
          <w:rtl/>
        </w:rPr>
        <w:t xml:space="preserve"> رقم (</w:t>
      </w:r>
      <w:r w:rsidRPr="00BC50C9">
        <w:rPr>
          <w:rFonts w:hint="cs"/>
          <w:rtl/>
        </w:rPr>
        <w:t>26</w:t>
      </w:r>
      <w:r w:rsidRPr="00BC50C9">
        <w:rPr>
          <w:rtl/>
        </w:rPr>
        <w:t>) بمتوسط حسابي (</w:t>
      </w:r>
      <w:r w:rsidRPr="00BC50C9">
        <w:rPr>
          <w:color w:val="000000"/>
        </w:rPr>
        <w:t>4.14</w:t>
      </w:r>
      <w:r w:rsidRPr="00BC50C9">
        <w:rPr>
          <w:rtl/>
        </w:rPr>
        <w:t>)، وانحراف معياري (</w:t>
      </w:r>
      <w:r w:rsidRPr="00BC50C9">
        <w:rPr>
          <w:color w:val="000000"/>
        </w:rPr>
        <w:t>1.116</w:t>
      </w:r>
      <w:r w:rsidRPr="00BC50C9">
        <w:rPr>
          <w:rtl/>
        </w:rPr>
        <w:t>) وبدرجة استجابة (</w:t>
      </w:r>
      <w:r w:rsidRPr="00BC50C9">
        <w:rPr>
          <w:rFonts w:hint="cs"/>
          <w:rtl/>
        </w:rPr>
        <w:t>عالية</w:t>
      </w:r>
      <w:r w:rsidRPr="00BC50C9">
        <w:rPr>
          <w:rtl/>
        </w:rPr>
        <w:t xml:space="preserve">)، ويليه في الترتيب الأخير </w:t>
      </w:r>
      <w:r w:rsidRPr="00BC50C9">
        <w:rPr>
          <w:rFonts w:hint="cs"/>
          <w:rtl/>
        </w:rPr>
        <w:t>العبارة</w:t>
      </w:r>
      <w:r w:rsidRPr="00BC50C9">
        <w:rPr>
          <w:rtl/>
        </w:rPr>
        <w:t xml:space="preserve"> رقم (</w:t>
      </w:r>
      <w:r w:rsidRPr="00BC50C9">
        <w:rPr>
          <w:rFonts w:hint="cs"/>
          <w:rtl/>
        </w:rPr>
        <w:t>25</w:t>
      </w:r>
      <w:r w:rsidRPr="00BC50C9">
        <w:rPr>
          <w:rtl/>
        </w:rPr>
        <w:t>) بمتوسط حسابي (</w:t>
      </w:r>
      <w:r w:rsidRPr="00BC50C9">
        <w:rPr>
          <w:color w:val="000000"/>
        </w:rPr>
        <w:t>3.77</w:t>
      </w:r>
      <w:r w:rsidRPr="00BC50C9">
        <w:rPr>
          <w:rtl/>
        </w:rPr>
        <w:t>)، وانحراف معياري (</w:t>
      </w:r>
      <w:r w:rsidRPr="00BC50C9">
        <w:rPr>
          <w:color w:val="000000"/>
        </w:rPr>
        <w:t>1.425</w:t>
      </w:r>
      <w:r w:rsidRPr="00BC50C9">
        <w:rPr>
          <w:rtl/>
        </w:rPr>
        <w:t>) وبدرجة استجابة (</w:t>
      </w:r>
      <w:r w:rsidRPr="00BC50C9">
        <w:rPr>
          <w:rFonts w:hint="cs"/>
          <w:rtl/>
        </w:rPr>
        <w:t>عالية</w:t>
      </w:r>
      <w:r w:rsidRPr="00BC50C9">
        <w:rPr>
          <w:rtl/>
        </w:rPr>
        <w:t xml:space="preserve">)، وجاءت باقي </w:t>
      </w:r>
      <w:r w:rsidRPr="00BC50C9">
        <w:rPr>
          <w:rFonts w:hint="cs"/>
          <w:rtl/>
        </w:rPr>
        <w:t xml:space="preserve">العبارات </w:t>
      </w:r>
      <w:r w:rsidRPr="00BC50C9">
        <w:rPr>
          <w:rtl/>
        </w:rPr>
        <w:t>بدرجة استجابة (</w:t>
      </w:r>
      <w:r w:rsidRPr="00BC50C9">
        <w:rPr>
          <w:rFonts w:hint="cs"/>
          <w:rtl/>
        </w:rPr>
        <w:t>عالية</w:t>
      </w:r>
      <w:r w:rsidRPr="00BC50C9">
        <w:rPr>
          <w:rtl/>
        </w:rPr>
        <w:t>)</w:t>
      </w:r>
      <w:r w:rsidRPr="00BC50C9">
        <w:rPr>
          <w:rFonts w:hint="cs"/>
          <w:rtl/>
        </w:rPr>
        <w:t xml:space="preserve">، </w:t>
      </w:r>
      <w:r w:rsidRPr="00BC50C9">
        <w:rPr>
          <w:rtl/>
        </w:rPr>
        <w:t xml:space="preserve">بينما تراوحت الانحرافات المعيارية </w:t>
      </w:r>
      <w:r w:rsidRPr="00BC50C9">
        <w:rPr>
          <w:rFonts w:hint="cs"/>
          <w:rtl/>
        </w:rPr>
        <w:t>لفقرات المحور الثاني</w:t>
      </w:r>
      <w:r w:rsidRPr="00BC50C9">
        <w:rPr>
          <w:rtl/>
        </w:rPr>
        <w:t xml:space="preserve"> بين </w:t>
      </w:r>
      <w:r w:rsidRPr="00BC50C9">
        <w:rPr>
          <w:rFonts w:hint="cs"/>
          <w:rtl/>
        </w:rPr>
        <w:t>(</w:t>
      </w:r>
      <w:r w:rsidRPr="00BC50C9">
        <w:rPr>
          <w:color w:val="000000"/>
        </w:rPr>
        <w:t>1.087</w:t>
      </w:r>
      <w:r w:rsidRPr="00BC50C9">
        <w:rPr>
          <w:rFonts w:hint="cs"/>
          <w:rtl/>
        </w:rPr>
        <w:t>-</w:t>
      </w:r>
      <w:r w:rsidRPr="00BC50C9">
        <w:rPr>
          <w:color w:val="000000"/>
        </w:rPr>
        <w:t>1.425</w:t>
      </w:r>
      <w:r w:rsidRPr="00BC50C9">
        <w:rPr>
          <w:rFonts w:hint="cs"/>
          <w:rtl/>
        </w:rPr>
        <w:t xml:space="preserve">) </w:t>
      </w:r>
      <w:r w:rsidRPr="00BC50C9">
        <w:rPr>
          <w:rtl/>
        </w:rPr>
        <w:t xml:space="preserve">وهي قيم </w:t>
      </w:r>
      <w:r w:rsidRPr="00BC50C9">
        <w:rPr>
          <w:rFonts w:hint="cs"/>
          <w:rtl/>
        </w:rPr>
        <w:t>مرتفعة</w:t>
      </w:r>
      <w:r w:rsidRPr="00BC50C9">
        <w:rPr>
          <w:rtl/>
        </w:rPr>
        <w:t xml:space="preserve"> مما يدل على </w:t>
      </w:r>
      <w:r w:rsidRPr="00BC50C9">
        <w:rPr>
          <w:rFonts w:hint="cs"/>
          <w:rtl/>
        </w:rPr>
        <w:t>تباين</w:t>
      </w:r>
      <w:r w:rsidRPr="00BC50C9">
        <w:rPr>
          <w:rtl/>
        </w:rPr>
        <w:t xml:space="preserve"> آراء أفراد عينة الدراسة نحو تلك العبارات.  </w:t>
      </w:r>
    </w:p>
    <w:p w14:paraId="4F61C8A0" w14:textId="77777777" w:rsidR="00DE2B2A" w:rsidRPr="00BC50C9" w:rsidRDefault="00DE2B2A" w:rsidP="00B976EC">
      <w:pPr>
        <w:pStyle w:val="00000"/>
      </w:pPr>
      <w:r w:rsidRPr="00BC50C9">
        <w:rPr>
          <w:rFonts w:hint="cs"/>
          <w:rtl/>
        </w:rPr>
        <w:lastRenderedPageBreak/>
        <w:t xml:space="preserve">ويمكن تفسير حصول المتوسط العام للمحور الثاني على درجة استجابة (عالية) إلى إن </w:t>
      </w:r>
      <w:r w:rsidRPr="00BC50C9">
        <w:rPr>
          <w:rtl/>
        </w:rPr>
        <w:t xml:space="preserve">التنوع في مصادر التمويل </w:t>
      </w:r>
      <w:r w:rsidRPr="00BC50C9">
        <w:rPr>
          <w:rFonts w:hint="cs"/>
          <w:rtl/>
        </w:rPr>
        <w:t>يساهم في</w:t>
      </w:r>
      <w:r w:rsidRPr="00BC50C9">
        <w:rPr>
          <w:rtl/>
        </w:rPr>
        <w:t xml:space="preserve"> تعزيز الاستدامة المالية للمشاريع الناشئة</w:t>
      </w:r>
      <w:r w:rsidRPr="00BC50C9">
        <w:rPr>
          <w:rFonts w:hint="cs"/>
          <w:rtl/>
        </w:rPr>
        <w:t xml:space="preserve">؛ </w:t>
      </w:r>
      <w:r w:rsidRPr="00BC50C9">
        <w:rPr>
          <w:rtl/>
        </w:rPr>
        <w:t>حيث يتيح لها الاعتماد على مصادر متعددة لتلبية احتياجاتها المالية</w:t>
      </w:r>
      <w:r w:rsidRPr="00BC50C9">
        <w:rPr>
          <w:rFonts w:hint="cs"/>
          <w:rtl/>
        </w:rPr>
        <w:t xml:space="preserve">، وهو ما يساهم في توفير </w:t>
      </w:r>
      <w:r w:rsidRPr="00BC50C9">
        <w:rPr>
          <w:rtl/>
        </w:rPr>
        <w:t>فرص تمويل أكثر استقرارًا للمشاريع، مما يسهل على رواد الأعمال الوصول إلى الدعم المالي اللازم</w:t>
      </w:r>
      <w:r w:rsidRPr="00BC50C9">
        <w:rPr>
          <w:rFonts w:hint="cs"/>
          <w:rtl/>
        </w:rPr>
        <w:t>، ف</w:t>
      </w:r>
      <w:r w:rsidRPr="00BC50C9">
        <w:rPr>
          <w:rtl/>
        </w:rPr>
        <w:t>تُعد الشفافية والمصداقية في إدارة الأموال عوامل أساسية لتحقيق الاستدامة المالية، حيث تضمن بناء ثقة بين المستثمرين وأصحاب المشاريع</w:t>
      </w:r>
      <w:r w:rsidRPr="00BC50C9">
        <w:rPr>
          <w:rFonts w:hint="cs"/>
          <w:rtl/>
        </w:rPr>
        <w:t>.</w:t>
      </w:r>
    </w:p>
    <w:p w14:paraId="755A8421" w14:textId="77777777" w:rsidR="00DE2B2A" w:rsidRPr="00BC50C9" w:rsidRDefault="00DE2B2A" w:rsidP="00B976EC">
      <w:pPr>
        <w:pStyle w:val="00000"/>
        <w:rPr>
          <w:rtl/>
        </w:rPr>
      </w:pPr>
      <w:r w:rsidRPr="00BC50C9">
        <w:rPr>
          <w:rFonts w:hint="cs"/>
          <w:rtl/>
        </w:rPr>
        <w:t xml:space="preserve">ويمكن تفسير حصول الفقرة رقم (30) على الترتيب الأول بدرجة استجابة (عالية) إلى إن </w:t>
      </w:r>
      <w:r w:rsidRPr="00BC50C9">
        <w:rPr>
          <w:rtl/>
        </w:rPr>
        <w:t>التكنولوجيا المالية</w:t>
      </w:r>
      <w:r w:rsidRPr="00BC50C9">
        <w:t xml:space="preserve"> (FinTech) </w:t>
      </w:r>
      <w:r w:rsidRPr="00BC50C9">
        <w:rPr>
          <w:rFonts w:hint="cs"/>
          <w:rtl/>
        </w:rPr>
        <w:t>تُ</w:t>
      </w:r>
      <w:r w:rsidRPr="00BC50C9">
        <w:rPr>
          <w:rtl/>
        </w:rPr>
        <w:t>ساعد</w:t>
      </w:r>
      <w:r w:rsidRPr="00BC50C9">
        <w:rPr>
          <w:rFonts w:hint="cs"/>
          <w:rtl/>
        </w:rPr>
        <w:t xml:space="preserve"> </w:t>
      </w:r>
      <w:r w:rsidRPr="00BC50C9">
        <w:rPr>
          <w:rtl/>
        </w:rPr>
        <w:t>في تعزيز الاستدامة المالية عبر حلول مبتكرة</w:t>
      </w:r>
      <w:r w:rsidRPr="00BC50C9">
        <w:rPr>
          <w:rFonts w:hint="cs"/>
          <w:rtl/>
        </w:rPr>
        <w:t>؛ حيث</w:t>
      </w:r>
      <w:r w:rsidRPr="00BC50C9">
        <w:rPr>
          <w:rtl/>
        </w:rPr>
        <w:t xml:space="preserve"> تُحدث تحولًا جذريًا في كيفية إدارة الأموال وتقديم الخدمات المالية</w:t>
      </w:r>
      <w:r w:rsidRPr="00BC50C9">
        <w:rPr>
          <w:rFonts w:hint="cs"/>
          <w:rtl/>
        </w:rPr>
        <w:t>، ف</w:t>
      </w:r>
      <w:r w:rsidRPr="00BC50C9">
        <w:rPr>
          <w:rtl/>
        </w:rPr>
        <w:t xml:space="preserve">من خلال تطبيقات الهواتف الذكية، ومنصات التمويل الجماعي، وخدمات الدفع الرقمي، تُتيح التكنولوجيا المالية للأفراد والشركات الوصول إلى مجموعة متنوعة من الأدوات المالية بسهولة وفاعلية. </w:t>
      </w:r>
    </w:p>
    <w:p w14:paraId="2C8BD64F" w14:textId="77777777" w:rsidR="00DE2B2A" w:rsidRPr="00BC50C9" w:rsidRDefault="00DE2B2A" w:rsidP="00B976EC">
      <w:pPr>
        <w:pStyle w:val="00000"/>
        <w:rPr>
          <w:rtl/>
        </w:rPr>
      </w:pPr>
      <w:r w:rsidRPr="00BC50C9">
        <w:rPr>
          <w:rFonts w:hint="cs"/>
          <w:rtl/>
        </w:rPr>
        <w:t>ويمكن تفسير حصول الفقرة رقم (25) على الترتيب الأخير بدرجة استجابة (عالية)</w:t>
      </w:r>
      <w:r w:rsidRPr="00BC50C9">
        <w:rPr>
          <w:rtl/>
        </w:rPr>
        <w:t xml:space="preserve"> إلى </w:t>
      </w:r>
      <w:r w:rsidRPr="00BC50C9">
        <w:rPr>
          <w:rFonts w:hint="cs"/>
          <w:rtl/>
        </w:rPr>
        <w:t xml:space="preserve">المشاريع تسعى إلى </w:t>
      </w:r>
      <w:r w:rsidRPr="00BC50C9">
        <w:rPr>
          <w:rtl/>
        </w:rPr>
        <w:t>تحقيق التوازن بين تحقيق الأرباح وضمان استمرارية النمو</w:t>
      </w:r>
      <w:r w:rsidRPr="00BC50C9">
        <w:rPr>
          <w:rFonts w:hint="cs"/>
          <w:rtl/>
        </w:rPr>
        <w:t>،</w:t>
      </w:r>
      <w:r w:rsidRPr="00BC50C9">
        <w:rPr>
          <w:rtl/>
        </w:rPr>
        <w:t xml:space="preserve"> من خلال التركيز على الاستدامة المالية، </w:t>
      </w:r>
      <w:r w:rsidRPr="00BC50C9">
        <w:rPr>
          <w:rFonts w:hint="cs"/>
          <w:rtl/>
        </w:rPr>
        <w:t>ف</w:t>
      </w:r>
      <w:r w:rsidRPr="00BC50C9">
        <w:rPr>
          <w:rtl/>
        </w:rPr>
        <w:t>يمكن للمشاريع الريادية تطوير استراتيجيات فعالة تُمكنها من مواجهة التحديات الاقتصادية وتلبية احتياجات السوق المتغيرة</w:t>
      </w:r>
    </w:p>
    <w:p w14:paraId="0BA952F8" w14:textId="77777777" w:rsidR="00DE2B2A" w:rsidRPr="00B976EC" w:rsidRDefault="00DE2B2A">
      <w:pPr>
        <w:pStyle w:val="a3"/>
        <w:numPr>
          <w:ilvl w:val="0"/>
          <w:numId w:val="60"/>
        </w:numPr>
        <w:bidi/>
        <w:spacing w:before="120" w:after="120" w:line="240" w:lineRule="auto"/>
        <w:jc w:val="both"/>
        <w:rPr>
          <w:rFonts w:ascii="Times New Roman" w:hAnsi="Times New Roman" w:cs="Simplified Arabic"/>
          <w:b/>
          <w:bCs/>
          <w:sz w:val="24"/>
          <w:szCs w:val="28"/>
          <w:rtl/>
        </w:rPr>
      </w:pPr>
      <w:r w:rsidRPr="00B976EC">
        <w:rPr>
          <w:rFonts w:ascii="Times New Roman" w:hAnsi="Times New Roman" w:cs="Simplified Arabic" w:hint="cs"/>
          <w:b/>
          <w:bCs/>
          <w:sz w:val="24"/>
          <w:szCs w:val="28"/>
          <w:rtl/>
          <w:lang w:bidi="ar-EG"/>
        </w:rPr>
        <w:t xml:space="preserve">عرض نتائج السؤال الذي نص على: هل توجد علاقة ذات دلالة إحصائية عند مستوى دلالة (0.01) بين استخدام التمويل التشاركي في المنصات الالكترونية ودعم </w:t>
      </w:r>
      <w:r w:rsidRPr="00B976EC">
        <w:rPr>
          <w:rFonts w:ascii="Times New Roman" w:hAnsi="Times New Roman" w:cs="Simplified Arabic"/>
          <w:b/>
          <w:bCs/>
          <w:sz w:val="24"/>
          <w:szCs w:val="28"/>
          <w:rtl/>
          <w:lang w:bidi="ar-EG"/>
        </w:rPr>
        <w:t>المشاريع الريادية وتعزيز الاستدامة المالية</w:t>
      </w:r>
      <w:r w:rsidRPr="00B976EC">
        <w:rPr>
          <w:rFonts w:ascii="Times New Roman" w:hAnsi="Times New Roman" w:cs="Simplified Arabic" w:hint="cs"/>
          <w:b/>
          <w:bCs/>
          <w:sz w:val="24"/>
          <w:szCs w:val="28"/>
          <w:rtl/>
          <w:lang w:bidi="ar-EG"/>
        </w:rPr>
        <w:t xml:space="preserve"> بالمملكة العربية السعودية؟</w:t>
      </w:r>
      <w:r w:rsidRPr="00B976EC">
        <w:rPr>
          <w:rFonts w:ascii="Times New Roman" w:hAnsi="Times New Roman" w:cs="Simplified Arabic" w:hint="cs"/>
          <w:sz w:val="24"/>
          <w:szCs w:val="28"/>
          <w:rtl/>
        </w:rPr>
        <w:t xml:space="preserve"> </w:t>
      </w:r>
    </w:p>
    <w:p w14:paraId="79E0A565" w14:textId="77777777" w:rsidR="00DE2B2A" w:rsidRPr="00BC50C9" w:rsidRDefault="00DE2B2A" w:rsidP="00B976EC">
      <w:pPr>
        <w:pStyle w:val="00000"/>
        <w:rPr>
          <w:rtl/>
        </w:rPr>
      </w:pPr>
      <w:r w:rsidRPr="00BC50C9">
        <w:rPr>
          <w:rtl/>
        </w:rPr>
        <w:t xml:space="preserve">للإجابة على هذا السؤال تم </w:t>
      </w:r>
      <w:r w:rsidRPr="00BC50C9">
        <w:rPr>
          <w:rFonts w:hint="cs"/>
          <w:rtl/>
        </w:rPr>
        <w:t>استخدام</w:t>
      </w:r>
      <w:r w:rsidRPr="00BC50C9">
        <w:rPr>
          <w:rtl/>
        </w:rPr>
        <w:t xml:space="preserve"> معامل ارتباط بيرسون (</w:t>
      </w:r>
      <w:r w:rsidRPr="00BC50C9">
        <w:t>Pearson</w:t>
      </w:r>
      <w:r w:rsidRPr="00BC50C9">
        <w:rPr>
          <w:rtl/>
        </w:rPr>
        <w:t>) بين</w:t>
      </w:r>
      <w:r w:rsidRPr="00BC50C9">
        <w:t xml:space="preserve"> </w:t>
      </w:r>
      <w:r w:rsidRPr="00BC50C9">
        <w:rPr>
          <w:rFonts w:hint="cs"/>
          <w:rtl/>
        </w:rPr>
        <w:t xml:space="preserve">استخدام التمويل التشاركي في المنصات الالكترونية ودعم </w:t>
      </w:r>
      <w:r w:rsidRPr="00BC50C9">
        <w:rPr>
          <w:rtl/>
        </w:rPr>
        <w:t>المشاريع الريادية وتعزيز الاستدامة المالية</w:t>
      </w:r>
      <w:r w:rsidRPr="00BC50C9">
        <w:rPr>
          <w:rFonts w:hint="cs"/>
          <w:rtl/>
        </w:rPr>
        <w:t xml:space="preserve"> بالمملكة العربية السعودية، </w:t>
      </w:r>
      <w:r w:rsidRPr="00BC50C9">
        <w:rPr>
          <w:rFonts w:hint="eastAsia"/>
          <w:rtl/>
        </w:rPr>
        <w:t>على</w:t>
      </w:r>
      <w:r w:rsidRPr="00BC50C9">
        <w:rPr>
          <w:rtl/>
        </w:rPr>
        <w:t xml:space="preserve"> </w:t>
      </w:r>
      <w:r w:rsidRPr="00BC50C9">
        <w:rPr>
          <w:rFonts w:hint="eastAsia"/>
          <w:rtl/>
        </w:rPr>
        <w:t>النحو</w:t>
      </w:r>
      <w:r w:rsidRPr="00BC50C9">
        <w:rPr>
          <w:rtl/>
        </w:rPr>
        <w:t xml:space="preserve"> </w:t>
      </w:r>
      <w:r w:rsidRPr="00BC50C9">
        <w:rPr>
          <w:rFonts w:hint="eastAsia"/>
          <w:rtl/>
        </w:rPr>
        <w:t>التالي</w:t>
      </w:r>
      <w:r w:rsidRPr="00BC50C9">
        <w:rPr>
          <w:rFonts w:hint="cs"/>
          <w:rtl/>
        </w:rPr>
        <w:t>:</w:t>
      </w:r>
    </w:p>
    <w:p w14:paraId="3A360176" w14:textId="77777777" w:rsidR="00DE2B2A" w:rsidRPr="00BC50C9" w:rsidRDefault="00DE2B2A" w:rsidP="00B976EC">
      <w:pPr>
        <w:pStyle w:val="33333"/>
        <w:rPr>
          <w:rtl/>
          <w:lang w:bidi="ar-EG"/>
        </w:rPr>
      </w:pPr>
      <w:bookmarkStart w:id="111" w:name="_Toc195456557"/>
      <w:r w:rsidRPr="00BC50C9">
        <w:rPr>
          <w:rFonts w:hint="cs"/>
          <w:rtl/>
          <w:lang w:bidi="ar-EG"/>
        </w:rPr>
        <w:t xml:space="preserve">الجدول رقم (4-7) </w:t>
      </w:r>
      <w:r w:rsidRPr="00BC50C9">
        <w:rPr>
          <w:rtl/>
          <w:lang w:bidi="ar-EG"/>
        </w:rPr>
        <w:t>معامل ارتباط بيرسون (</w:t>
      </w:r>
      <w:r w:rsidRPr="00BC50C9">
        <w:rPr>
          <w:lang w:bidi="ar-EG"/>
        </w:rPr>
        <w:t>Pearson</w:t>
      </w:r>
      <w:r w:rsidRPr="00BC50C9">
        <w:rPr>
          <w:rtl/>
          <w:lang w:bidi="ar-EG"/>
        </w:rPr>
        <w:t xml:space="preserve">) بين </w:t>
      </w:r>
      <w:r w:rsidRPr="00BC50C9">
        <w:rPr>
          <w:rFonts w:hint="cs"/>
          <w:rtl/>
          <w:lang w:bidi="ar-EG"/>
        </w:rPr>
        <w:t xml:space="preserve">استخدام التمويل التشاركي في المنصات الالكترونية ودعم </w:t>
      </w:r>
      <w:r w:rsidRPr="00BC50C9">
        <w:rPr>
          <w:rtl/>
          <w:lang w:bidi="ar-EG"/>
        </w:rPr>
        <w:t>المشاريع الريادية وتعزيز الاستدامة المالية</w:t>
      </w:r>
      <w:r w:rsidRPr="00BC50C9">
        <w:rPr>
          <w:rFonts w:hint="cs"/>
          <w:rtl/>
          <w:lang w:bidi="ar-EG"/>
        </w:rPr>
        <w:t xml:space="preserve"> بالمملكة العربية السعودية</w:t>
      </w:r>
      <w:bookmarkEnd w:id="111"/>
    </w:p>
    <w:tbl>
      <w:tblPr>
        <w:bidiVisual/>
        <w:tblW w:w="5000" w:type="pct"/>
        <w:shd w:val="clear" w:color="auto" w:fill="FFFFFF"/>
        <w:tblCellMar>
          <w:left w:w="0" w:type="dxa"/>
          <w:right w:w="0" w:type="dxa"/>
        </w:tblCellMar>
        <w:tblLook w:val="04A0" w:firstRow="1" w:lastRow="0" w:firstColumn="1" w:lastColumn="0" w:noHBand="0" w:noVBand="1"/>
      </w:tblPr>
      <w:tblGrid>
        <w:gridCol w:w="2256"/>
        <w:gridCol w:w="1874"/>
        <w:gridCol w:w="1524"/>
        <w:gridCol w:w="1698"/>
        <w:gridCol w:w="1700"/>
      </w:tblGrid>
      <w:tr w:rsidR="00DE2B2A" w:rsidRPr="00B976EC" w14:paraId="74590B15" w14:textId="77777777" w:rsidTr="00B976EC">
        <w:tc>
          <w:tcPr>
            <w:tcW w:w="1246" w:type="pct"/>
            <w:vMerge w:val="restart"/>
            <w:tcBorders>
              <w:top w:val="single" w:sz="8" w:space="0" w:color="auto"/>
              <w:left w:val="single" w:sz="8" w:space="0" w:color="auto"/>
              <w:right w:val="single" w:sz="8" w:space="0" w:color="auto"/>
            </w:tcBorders>
            <w:shd w:val="clear" w:color="auto" w:fill="A6A6A6" w:themeFill="background1" w:themeFillShade="A6"/>
            <w:tcMar>
              <w:top w:w="0" w:type="dxa"/>
              <w:left w:w="108" w:type="dxa"/>
              <w:bottom w:w="0" w:type="dxa"/>
              <w:right w:w="108" w:type="dxa"/>
            </w:tcMar>
            <w:vAlign w:val="center"/>
          </w:tcPr>
          <w:p w14:paraId="44E2E9C1" w14:textId="77777777" w:rsidR="00DE2B2A" w:rsidRPr="00B976EC" w:rsidRDefault="00DE2B2A" w:rsidP="00B976EC">
            <w:pPr>
              <w:bidi/>
              <w:spacing w:after="0" w:line="240" w:lineRule="auto"/>
              <w:jc w:val="center"/>
              <w:rPr>
                <w:rFonts w:ascii="Times New Roman" w:eastAsia="Times New Roman" w:hAnsi="Times New Roman" w:cs="Simplified Arabic"/>
                <w:b/>
                <w:bCs/>
                <w:sz w:val="20"/>
                <w:szCs w:val="20"/>
                <w:lang w:bidi="ar-EG"/>
              </w:rPr>
            </w:pPr>
            <w:r w:rsidRPr="00B976EC">
              <w:rPr>
                <w:rFonts w:ascii="Times New Roman" w:eastAsia="Times New Roman" w:hAnsi="Times New Roman" w:cs="Simplified Arabic" w:hint="cs"/>
                <w:b/>
                <w:bCs/>
                <w:sz w:val="20"/>
                <w:szCs w:val="20"/>
                <w:rtl/>
                <w:lang w:bidi="ar-EG"/>
              </w:rPr>
              <w:t>المحور الأول: التمويل التشاركي</w:t>
            </w:r>
          </w:p>
        </w:tc>
        <w:tc>
          <w:tcPr>
            <w:tcW w:w="1877" w:type="pct"/>
            <w:gridSpan w:val="2"/>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vAlign w:val="center"/>
            <w:hideMark/>
          </w:tcPr>
          <w:p w14:paraId="502E5B71" w14:textId="77777777" w:rsidR="00DE2B2A" w:rsidRPr="00B976EC" w:rsidRDefault="00DE2B2A" w:rsidP="00B976EC">
            <w:pPr>
              <w:bidi/>
              <w:spacing w:after="0" w:line="240" w:lineRule="auto"/>
              <w:rPr>
                <w:rFonts w:ascii="Times New Roman" w:eastAsia="Times New Roman" w:hAnsi="Times New Roman" w:cs="Simplified Arabic"/>
                <w:b/>
                <w:bCs/>
                <w:sz w:val="20"/>
                <w:szCs w:val="20"/>
                <w:rtl/>
              </w:rPr>
            </w:pPr>
            <w:r w:rsidRPr="00B976EC">
              <w:rPr>
                <w:rFonts w:ascii="Times New Roman" w:eastAsia="Times New Roman" w:hAnsi="Times New Roman" w:cs="Simplified Arabic" w:hint="cs"/>
                <w:b/>
                <w:bCs/>
                <w:sz w:val="20"/>
                <w:szCs w:val="20"/>
                <w:rtl/>
              </w:rPr>
              <w:t>المحور الثاني: تعزيز الاستدامة المالية</w:t>
            </w:r>
          </w:p>
        </w:tc>
        <w:tc>
          <w:tcPr>
            <w:tcW w:w="1877" w:type="pct"/>
            <w:gridSpan w:val="2"/>
            <w:tcBorders>
              <w:top w:val="single" w:sz="8" w:space="0" w:color="auto"/>
              <w:left w:val="nil"/>
              <w:bottom w:val="single" w:sz="8" w:space="0" w:color="auto"/>
              <w:right w:val="single" w:sz="8" w:space="0" w:color="auto"/>
            </w:tcBorders>
            <w:shd w:val="clear" w:color="auto" w:fill="A6A6A6" w:themeFill="background1" w:themeFillShade="A6"/>
          </w:tcPr>
          <w:p w14:paraId="1D76DF16" w14:textId="77777777" w:rsidR="00DE2B2A" w:rsidRPr="00B976EC" w:rsidRDefault="00DE2B2A" w:rsidP="00B976EC">
            <w:pPr>
              <w:bidi/>
              <w:spacing w:after="0" w:line="240" w:lineRule="auto"/>
              <w:rPr>
                <w:rFonts w:ascii="Times New Roman" w:eastAsia="Times New Roman" w:hAnsi="Times New Roman" w:cs="Simplified Arabic"/>
                <w:b/>
                <w:bCs/>
                <w:sz w:val="20"/>
                <w:szCs w:val="20"/>
                <w:rtl/>
              </w:rPr>
            </w:pPr>
            <w:r w:rsidRPr="00B976EC">
              <w:rPr>
                <w:rFonts w:ascii="Times New Roman" w:eastAsia="Times New Roman" w:hAnsi="Times New Roman" w:cs="Simplified Arabic" w:hint="cs"/>
                <w:b/>
                <w:bCs/>
                <w:sz w:val="20"/>
                <w:szCs w:val="20"/>
                <w:rtl/>
              </w:rPr>
              <w:t>المحور الثالث: دعم المشاريع الريادية</w:t>
            </w:r>
          </w:p>
        </w:tc>
      </w:tr>
      <w:tr w:rsidR="00DE2B2A" w:rsidRPr="00B976EC" w14:paraId="13D0EF19" w14:textId="77777777" w:rsidTr="00B976EC">
        <w:trPr>
          <w:trHeight w:val="60"/>
        </w:trPr>
        <w:tc>
          <w:tcPr>
            <w:tcW w:w="1246" w:type="pct"/>
            <w:vMerge/>
            <w:tcBorders>
              <w:left w:val="single" w:sz="8" w:space="0" w:color="auto"/>
              <w:right w:val="single" w:sz="8" w:space="0" w:color="auto"/>
            </w:tcBorders>
            <w:shd w:val="clear" w:color="auto" w:fill="A6A6A6" w:themeFill="background1" w:themeFillShade="A6"/>
            <w:vAlign w:val="center"/>
          </w:tcPr>
          <w:p w14:paraId="170B1865" w14:textId="77777777" w:rsidR="00DE2B2A" w:rsidRPr="00B976EC" w:rsidRDefault="00DE2B2A" w:rsidP="00B976EC">
            <w:pPr>
              <w:bidi/>
              <w:spacing w:after="0" w:line="240" w:lineRule="auto"/>
              <w:jc w:val="center"/>
              <w:rPr>
                <w:rFonts w:ascii="Times New Roman" w:eastAsia="Times New Roman" w:hAnsi="Times New Roman" w:cs="Simplified Arabic"/>
                <w:sz w:val="20"/>
                <w:szCs w:val="20"/>
              </w:rPr>
            </w:pPr>
          </w:p>
        </w:tc>
        <w:tc>
          <w:tcPr>
            <w:tcW w:w="1035" w:type="pct"/>
            <w:tcBorders>
              <w:top w:val="nil"/>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vAlign w:val="center"/>
            <w:hideMark/>
          </w:tcPr>
          <w:p w14:paraId="1FB3A699" w14:textId="77777777" w:rsidR="00DE2B2A" w:rsidRPr="00B976EC" w:rsidRDefault="00DE2B2A" w:rsidP="00B976EC">
            <w:pPr>
              <w:bidi/>
              <w:spacing w:after="0" w:line="240" w:lineRule="auto"/>
              <w:jc w:val="center"/>
              <w:rPr>
                <w:rFonts w:ascii="Times New Roman" w:eastAsia="Times New Roman" w:hAnsi="Times New Roman" w:cs="Simplified Arabic"/>
                <w:sz w:val="20"/>
                <w:szCs w:val="20"/>
              </w:rPr>
            </w:pPr>
            <w:r w:rsidRPr="00B976EC">
              <w:rPr>
                <w:rFonts w:ascii="Times New Roman" w:eastAsia="Times New Roman" w:hAnsi="Times New Roman" w:cs="Simplified Arabic"/>
                <w:b/>
                <w:bCs/>
                <w:sz w:val="20"/>
                <w:szCs w:val="20"/>
                <w:rtl/>
              </w:rPr>
              <w:t>معامل الارتباط</w:t>
            </w:r>
          </w:p>
        </w:tc>
        <w:tc>
          <w:tcPr>
            <w:tcW w:w="842" w:type="pct"/>
            <w:tcBorders>
              <w:top w:val="nil"/>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vAlign w:val="center"/>
            <w:hideMark/>
          </w:tcPr>
          <w:p w14:paraId="4A0AEF22" w14:textId="77777777" w:rsidR="00DE2B2A" w:rsidRPr="00B976EC" w:rsidRDefault="00DE2B2A" w:rsidP="00B976EC">
            <w:pPr>
              <w:bidi/>
              <w:spacing w:after="0" w:line="240" w:lineRule="auto"/>
              <w:jc w:val="center"/>
              <w:rPr>
                <w:rFonts w:ascii="Times New Roman" w:eastAsia="Times New Roman" w:hAnsi="Times New Roman" w:cs="Simplified Arabic"/>
                <w:sz w:val="20"/>
                <w:szCs w:val="20"/>
              </w:rPr>
            </w:pPr>
            <w:r w:rsidRPr="00B976EC">
              <w:rPr>
                <w:rFonts w:ascii="Times New Roman" w:eastAsia="Times New Roman" w:hAnsi="Times New Roman" w:cs="Simplified Arabic"/>
                <w:b/>
                <w:bCs/>
                <w:sz w:val="20"/>
                <w:szCs w:val="20"/>
                <w:rtl/>
              </w:rPr>
              <w:t>الدلالة الإحصائية</w:t>
            </w:r>
          </w:p>
        </w:tc>
        <w:tc>
          <w:tcPr>
            <w:tcW w:w="938" w:type="pct"/>
            <w:tcBorders>
              <w:top w:val="nil"/>
              <w:left w:val="nil"/>
              <w:bottom w:val="single" w:sz="8" w:space="0" w:color="auto"/>
              <w:right w:val="single" w:sz="8" w:space="0" w:color="auto"/>
            </w:tcBorders>
            <w:shd w:val="clear" w:color="auto" w:fill="A6A6A6" w:themeFill="background1" w:themeFillShade="A6"/>
            <w:vAlign w:val="center"/>
          </w:tcPr>
          <w:p w14:paraId="2084C3FE" w14:textId="77777777" w:rsidR="00DE2B2A" w:rsidRPr="00B976EC" w:rsidRDefault="00DE2B2A" w:rsidP="00B976EC">
            <w:pPr>
              <w:bidi/>
              <w:spacing w:after="0" w:line="240" w:lineRule="auto"/>
              <w:jc w:val="center"/>
              <w:rPr>
                <w:rFonts w:ascii="Times New Roman" w:eastAsia="Times New Roman" w:hAnsi="Times New Roman" w:cs="Simplified Arabic"/>
                <w:b/>
                <w:bCs/>
                <w:sz w:val="20"/>
                <w:szCs w:val="20"/>
                <w:rtl/>
              </w:rPr>
            </w:pPr>
            <w:r w:rsidRPr="00B976EC">
              <w:rPr>
                <w:rFonts w:ascii="Times New Roman" w:eastAsia="Times New Roman" w:hAnsi="Times New Roman" w:cs="Simplified Arabic"/>
                <w:b/>
                <w:bCs/>
                <w:sz w:val="20"/>
                <w:szCs w:val="20"/>
                <w:rtl/>
              </w:rPr>
              <w:t>معامل الارتباط</w:t>
            </w:r>
          </w:p>
        </w:tc>
        <w:tc>
          <w:tcPr>
            <w:tcW w:w="939" w:type="pct"/>
            <w:tcBorders>
              <w:top w:val="nil"/>
              <w:left w:val="nil"/>
              <w:bottom w:val="single" w:sz="8" w:space="0" w:color="auto"/>
              <w:right w:val="single" w:sz="8" w:space="0" w:color="auto"/>
            </w:tcBorders>
            <w:shd w:val="clear" w:color="auto" w:fill="A6A6A6" w:themeFill="background1" w:themeFillShade="A6"/>
            <w:vAlign w:val="center"/>
          </w:tcPr>
          <w:p w14:paraId="205FBC8B" w14:textId="77777777" w:rsidR="00DE2B2A" w:rsidRPr="00B976EC" w:rsidRDefault="00DE2B2A" w:rsidP="00B976EC">
            <w:pPr>
              <w:bidi/>
              <w:spacing w:after="0" w:line="240" w:lineRule="auto"/>
              <w:jc w:val="center"/>
              <w:rPr>
                <w:rFonts w:ascii="Times New Roman" w:eastAsia="Times New Roman" w:hAnsi="Times New Roman" w:cs="Simplified Arabic"/>
                <w:b/>
                <w:bCs/>
                <w:sz w:val="20"/>
                <w:szCs w:val="20"/>
                <w:rtl/>
              </w:rPr>
            </w:pPr>
            <w:r w:rsidRPr="00B976EC">
              <w:rPr>
                <w:rFonts w:ascii="Times New Roman" w:eastAsia="Times New Roman" w:hAnsi="Times New Roman" w:cs="Simplified Arabic"/>
                <w:b/>
                <w:bCs/>
                <w:sz w:val="20"/>
                <w:szCs w:val="20"/>
                <w:rtl/>
              </w:rPr>
              <w:t>الدلالة الإحصائية</w:t>
            </w:r>
          </w:p>
        </w:tc>
      </w:tr>
      <w:tr w:rsidR="00DE2B2A" w:rsidRPr="00B976EC" w14:paraId="5F29A358" w14:textId="77777777" w:rsidTr="00B976EC">
        <w:trPr>
          <w:trHeight w:val="277"/>
        </w:trPr>
        <w:tc>
          <w:tcPr>
            <w:tcW w:w="1246" w:type="pct"/>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1715A50" w14:textId="77777777" w:rsidR="00DE2B2A" w:rsidRPr="00B976EC" w:rsidRDefault="00DE2B2A" w:rsidP="00B976EC">
            <w:pPr>
              <w:bidi/>
              <w:spacing w:after="0" w:line="240" w:lineRule="auto"/>
              <w:jc w:val="center"/>
              <w:rPr>
                <w:rFonts w:ascii="Times New Roman" w:eastAsia="Times New Roman" w:hAnsi="Times New Roman" w:cs="Simplified Arabic"/>
                <w:b/>
                <w:bCs/>
                <w:sz w:val="20"/>
                <w:szCs w:val="20"/>
              </w:rPr>
            </w:pPr>
          </w:p>
        </w:tc>
        <w:tc>
          <w:tcPr>
            <w:tcW w:w="10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4A28CCD" w14:textId="77777777" w:rsidR="00DE2B2A" w:rsidRPr="00B976EC" w:rsidRDefault="00DE2B2A" w:rsidP="00B976EC">
            <w:pPr>
              <w:bidi/>
              <w:spacing w:after="0" w:line="240" w:lineRule="auto"/>
              <w:jc w:val="center"/>
              <w:rPr>
                <w:rFonts w:ascii="Times New Roman" w:hAnsi="Times New Roman" w:cs="Simplified Arabic"/>
                <w:color w:val="000000"/>
                <w:sz w:val="20"/>
                <w:szCs w:val="20"/>
              </w:rPr>
            </w:pPr>
            <w:r w:rsidRPr="00B976EC">
              <w:rPr>
                <w:rFonts w:ascii="Times New Roman" w:hAnsi="Times New Roman" w:cs="Simplified Arabic"/>
                <w:color w:val="000000"/>
                <w:sz w:val="20"/>
                <w:szCs w:val="20"/>
              </w:rPr>
              <w:t>.808</w:t>
            </w:r>
            <w:r w:rsidRPr="00B976EC">
              <w:rPr>
                <w:rFonts w:ascii="Times New Roman" w:hAnsi="Times New Roman" w:cs="Simplified Arabic"/>
                <w:color w:val="000000"/>
                <w:sz w:val="20"/>
                <w:szCs w:val="20"/>
                <w:vertAlign w:val="superscript"/>
              </w:rPr>
              <w:t>**</w:t>
            </w:r>
          </w:p>
        </w:tc>
        <w:tc>
          <w:tcPr>
            <w:tcW w:w="84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B0050DD" w14:textId="77777777" w:rsidR="00DE2B2A" w:rsidRPr="00B976EC" w:rsidRDefault="00DE2B2A" w:rsidP="00B976EC">
            <w:pPr>
              <w:bidi/>
              <w:spacing w:after="0" w:line="240" w:lineRule="auto"/>
              <w:jc w:val="center"/>
              <w:rPr>
                <w:rFonts w:ascii="Times New Roman" w:hAnsi="Times New Roman" w:cs="Simplified Arabic"/>
                <w:sz w:val="20"/>
                <w:szCs w:val="20"/>
              </w:rPr>
            </w:pPr>
            <w:r w:rsidRPr="00B976EC">
              <w:rPr>
                <w:rFonts w:ascii="Times New Roman" w:hAnsi="Times New Roman" w:cs="Simplified Arabic"/>
                <w:color w:val="000000"/>
                <w:sz w:val="20"/>
                <w:szCs w:val="20"/>
              </w:rPr>
              <w:t>.000</w:t>
            </w:r>
          </w:p>
        </w:tc>
        <w:tc>
          <w:tcPr>
            <w:tcW w:w="938" w:type="pct"/>
            <w:tcBorders>
              <w:top w:val="nil"/>
              <w:left w:val="nil"/>
              <w:bottom w:val="single" w:sz="8" w:space="0" w:color="auto"/>
              <w:right w:val="single" w:sz="8" w:space="0" w:color="auto"/>
            </w:tcBorders>
            <w:shd w:val="clear" w:color="auto" w:fill="FFFFFF"/>
          </w:tcPr>
          <w:p w14:paraId="062B1790" w14:textId="77777777" w:rsidR="00DE2B2A" w:rsidRPr="00B976EC" w:rsidRDefault="00DE2B2A" w:rsidP="00B976EC">
            <w:pPr>
              <w:bidi/>
              <w:spacing w:after="0" w:line="240" w:lineRule="auto"/>
              <w:jc w:val="center"/>
              <w:rPr>
                <w:rFonts w:ascii="Times New Roman" w:hAnsi="Times New Roman" w:cs="Simplified Arabic"/>
                <w:sz w:val="20"/>
                <w:szCs w:val="20"/>
              </w:rPr>
            </w:pPr>
            <w:r w:rsidRPr="00B976EC">
              <w:rPr>
                <w:rFonts w:ascii="Times New Roman" w:hAnsi="Times New Roman" w:cs="Simplified Arabic"/>
                <w:color w:val="000000"/>
                <w:sz w:val="20"/>
                <w:szCs w:val="20"/>
              </w:rPr>
              <w:t>.770</w:t>
            </w:r>
            <w:r w:rsidRPr="00B976EC">
              <w:rPr>
                <w:rFonts w:ascii="Times New Roman" w:hAnsi="Times New Roman" w:cs="Simplified Arabic"/>
                <w:color w:val="000000"/>
                <w:sz w:val="20"/>
                <w:szCs w:val="20"/>
                <w:vertAlign w:val="superscript"/>
              </w:rPr>
              <w:t>**</w:t>
            </w:r>
          </w:p>
        </w:tc>
        <w:tc>
          <w:tcPr>
            <w:tcW w:w="939" w:type="pct"/>
            <w:tcBorders>
              <w:top w:val="nil"/>
              <w:left w:val="nil"/>
              <w:bottom w:val="single" w:sz="8" w:space="0" w:color="auto"/>
              <w:right w:val="single" w:sz="8" w:space="0" w:color="auto"/>
            </w:tcBorders>
            <w:shd w:val="clear" w:color="auto" w:fill="FFFFFF"/>
          </w:tcPr>
          <w:p w14:paraId="3E33AABB" w14:textId="77777777" w:rsidR="00DE2B2A" w:rsidRPr="00B976EC" w:rsidRDefault="00DE2B2A" w:rsidP="00B976EC">
            <w:pPr>
              <w:bidi/>
              <w:spacing w:after="0" w:line="240" w:lineRule="auto"/>
              <w:jc w:val="center"/>
              <w:rPr>
                <w:rFonts w:ascii="Times New Roman" w:hAnsi="Times New Roman" w:cs="Simplified Arabic"/>
                <w:sz w:val="20"/>
                <w:szCs w:val="20"/>
              </w:rPr>
            </w:pPr>
            <w:r w:rsidRPr="00B976EC">
              <w:rPr>
                <w:rFonts w:ascii="Times New Roman" w:hAnsi="Times New Roman" w:cs="Simplified Arabic"/>
                <w:color w:val="000000"/>
                <w:sz w:val="20"/>
                <w:szCs w:val="20"/>
              </w:rPr>
              <w:t>.000</w:t>
            </w:r>
          </w:p>
        </w:tc>
      </w:tr>
    </w:tbl>
    <w:p w14:paraId="5B6C57E2" w14:textId="77777777" w:rsidR="00DE2B2A" w:rsidRPr="00BC50C9" w:rsidRDefault="00DE2B2A" w:rsidP="00BC50C9">
      <w:pPr>
        <w:pStyle w:val="af9"/>
        <w:spacing w:before="120" w:after="120"/>
        <w:ind w:firstLine="0"/>
        <w:jc w:val="left"/>
        <w:rPr>
          <w:rFonts w:ascii="Times New Roman" w:hAnsi="Times New Roman" w:cs="Simplified Arabic"/>
          <w:sz w:val="24"/>
          <w:szCs w:val="28"/>
        </w:rPr>
      </w:pPr>
      <w:r w:rsidRPr="00BC50C9">
        <w:rPr>
          <w:rFonts w:ascii="Times New Roman" w:hAnsi="Times New Roman" w:cs="Simplified Arabic"/>
          <w:sz w:val="24"/>
          <w:szCs w:val="28"/>
          <w:rtl/>
        </w:rPr>
        <w:t>** الارتباط دال عند مستوى الدلالة (</w:t>
      </w:r>
      <w:r w:rsidRPr="00BC50C9">
        <w:rPr>
          <w:rFonts w:ascii="Times New Roman" w:hAnsi="Times New Roman" w:cs="Simplified Arabic"/>
          <w:sz w:val="24"/>
          <w:szCs w:val="28"/>
        </w:rPr>
        <w:t>0.01</w:t>
      </w:r>
      <w:r w:rsidRPr="00BC50C9">
        <w:rPr>
          <w:rFonts w:ascii="Times New Roman" w:hAnsi="Times New Roman" w:cs="Simplified Arabic"/>
          <w:sz w:val="24"/>
          <w:szCs w:val="28"/>
          <w:rtl/>
        </w:rPr>
        <w:t>).</w:t>
      </w:r>
    </w:p>
    <w:p w14:paraId="66746F09" w14:textId="77777777" w:rsidR="00DE2B2A" w:rsidRPr="00BC50C9" w:rsidRDefault="00DE2B2A" w:rsidP="00B976EC">
      <w:pPr>
        <w:pStyle w:val="00000"/>
        <w:rPr>
          <w:rtl/>
        </w:rPr>
      </w:pPr>
      <w:r w:rsidRPr="00BC50C9">
        <w:rPr>
          <w:rtl/>
        </w:rPr>
        <w:t xml:space="preserve">يتبين من الجدول </w:t>
      </w:r>
      <w:r w:rsidRPr="00BC50C9">
        <w:rPr>
          <w:rFonts w:hint="cs"/>
          <w:rtl/>
        </w:rPr>
        <w:t xml:space="preserve">السابق: </w:t>
      </w:r>
      <w:r w:rsidRPr="00BC50C9">
        <w:rPr>
          <w:rtl/>
        </w:rPr>
        <w:t>وجود علاقة ارتباطيه موجبة ذات دلالة إحصائية بين</w:t>
      </w:r>
      <w:r w:rsidRPr="00BC50C9">
        <w:rPr>
          <w:rFonts w:hint="cs"/>
          <w:rtl/>
        </w:rPr>
        <w:t xml:space="preserve"> استخدام التمويل التشاركي في المنصات الالكترونية ودعم </w:t>
      </w:r>
      <w:r w:rsidRPr="00BC50C9">
        <w:rPr>
          <w:rtl/>
        </w:rPr>
        <w:t>المشاريع الريادية وتعزيز الاستدامة المالية</w:t>
      </w:r>
      <w:r w:rsidRPr="00BC50C9">
        <w:rPr>
          <w:rFonts w:hint="cs"/>
          <w:rtl/>
        </w:rPr>
        <w:t xml:space="preserve"> بالمملكة العربية السعودية؛ حيث بلغ معامل الارتباط بين التمويل التشاركي في المنصات الالكترونية، وتعزيز الاستدامة المالية (</w:t>
      </w:r>
      <w:r w:rsidRPr="00BC50C9">
        <w:t>.808**</w:t>
      </w:r>
      <w:r w:rsidRPr="00BC50C9">
        <w:rPr>
          <w:rFonts w:hint="cs"/>
          <w:rtl/>
        </w:rPr>
        <w:t xml:space="preserve">)، وبلغ معامل الارتباط بين التمويل التشاركي في المنصات الالكترونية، ودعم </w:t>
      </w:r>
      <w:r w:rsidRPr="00BC50C9">
        <w:rPr>
          <w:rtl/>
        </w:rPr>
        <w:t xml:space="preserve">المشاريع </w:t>
      </w:r>
      <w:r w:rsidRPr="00BC50C9">
        <w:rPr>
          <w:rFonts w:hint="cs"/>
          <w:rtl/>
        </w:rPr>
        <w:lastRenderedPageBreak/>
        <w:t xml:space="preserve">الريادية </w:t>
      </w:r>
      <w:r w:rsidRPr="00BC50C9">
        <w:rPr>
          <w:rtl/>
        </w:rPr>
        <w:t>(</w:t>
      </w:r>
      <w:r w:rsidRPr="00BC50C9">
        <w:t>.770**</w:t>
      </w:r>
      <w:r w:rsidRPr="00BC50C9">
        <w:rPr>
          <w:rFonts w:hint="cs"/>
          <w:rtl/>
        </w:rPr>
        <w:t xml:space="preserve">)، ويمكن تفسير ذلك إلى إن </w:t>
      </w:r>
      <w:r w:rsidRPr="00BC50C9">
        <w:rPr>
          <w:rtl/>
        </w:rPr>
        <w:t>تزايد استخدام هذه المنصات يُسهم في توفير موارد مالية جديدة ويعزز من قدرة المشاريع على تحقيق أهدافها التنموية</w:t>
      </w:r>
      <w:r w:rsidRPr="00BC50C9">
        <w:rPr>
          <w:rFonts w:hint="cs"/>
          <w:rtl/>
        </w:rPr>
        <w:t>، ف</w:t>
      </w:r>
      <w:r w:rsidRPr="00BC50C9">
        <w:rPr>
          <w:rtl/>
        </w:rPr>
        <w:t>من خلال تمكين رواد الأعمال من الوصول إلى مجموعة واسعة من الممولين، يُعزز التمويل التشاركي من فرص نجاح المشاريع ويُسهم في بناء بيئة استثمارية أكثر ديناميكية</w:t>
      </w:r>
      <w:r w:rsidRPr="00BC50C9">
        <w:rPr>
          <w:rFonts w:hint="cs"/>
          <w:rtl/>
        </w:rPr>
        <w:t>،</w:t>
      </w:r>
      <w:r w:rsidRPr="00BC50C9">
        <w:rPr>
          <w:rtl/>
        </w:rPr>
        <w:t xml:space="preserve"> كما أن الدعم المالي المستمد من التمويل التشاركي يُساعد في تحسين استدامة المشاريع من خلال توفير التمويل اللازم لتطويرها وتوسيع نطاقها</w:t>
      </w:r>
      <w:r w:rsidRPr="00BC50C9">
        <w:rPr>
          <w:rFonts w:hint="cs"/>
          <w:rtl/>
        </w:rPr>
        <w:t>.</w:t>
      </w:r>
    </w:p>
    <w:p w14:paraId="1BD4A8BA" w14:textId="77777777" w:rsidR="00DE2B2A" w:rsidRPr="00BC50C9" w:rsidRDefault="00DE2B2A" w:rsidP="00B976EC">
      <w:pPr>
        <w:pStyle w:val="00000"/>
      </w:pPr>
      <w:r w:rsidRPr="00BC50C9">
        <w:rPr>
          <w:rFonts w:hint="cs"/>
          <w:rtl/>
        </w:rPr>
        <w:t xml:space="preserve">ويتفق هذا جزئيًا مع ما توصلت إليه </w:t>
      </w:r>
      <w:r w:rsidRPr="00BC50C9">
        <w:rPr>
          <w:rtl/>
        </w:rPr>
        <w:t>دراسة محمد (2022)</w:t>
      </w:r>
      <w:r w:rsidRPr="00BC50C9">
        <w:rPr>
          <w:rFonts w:hint="cs"/>
          <w:rtl/>
        </w:rPr>
        <w:t xml:space="preserve"> </w:t>
      </w:r>
      <w:r w:rsidRPr="00BC50C9">
        <w:rPr>
          <w:rtl/>
        </w:rPr>
        <w:t>أن هناك علاقة طردية قوية بين استخدام الأدوات والتقنيات المالية الحديثة والاستدامة المالية للمنشآت</w:t>
      </w:r>
      <w:r w:rsidRPr="00BC50C9">
        <w:rPr>
          <w:rFonts w:hint="cs"/>
          <w:rtl/>
        </w:rPr>
        <w:t>.</w:t>
      </w:r>
    </w:p>
    <w:p w14:paraId="4859B618" w14:textId="6692656F" w:rsidR="00DE2B2A" w:rsidRPr="00BC50C9" w:rsidRDefault="005E4B54" w:rsidP="00B976EC">
      <w:pPr>
        <w:pStyle w:val="22222"/>
        <w:rPr>
          <w:rtl/>
        </w:rPr>
      </w:pPr>
      <w:bookmarkStart w:id="112" w:name="_Toc195456558"/>
      <w:r>
        <w:rPr>
          <w:rFonts w:hint="cs"/>
          <w:rtl/>
        </w:rPr>
        <w:t xml:space="preserve">3.4 </w:t>
      </w:r>
      <w:r w:rsidR="00DE2B2A" w:rsidRPr="00BC50C9">
        <w:rPr>
          <w:rFonts w:hint="cs"/>
          <w:rtl/>
        </w:rPr>
        <w:t>القسم الثاني: فرضيات الدراسة:</w:t>
      </w:r>
      <w:bookmarkEnd w:id="112"/>
    </w:p>
    <w:p w14:paraId="34AB9E58"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 xml:space="preserve">لا يوجد تأثير إيجابي ذو دلالة إحصائية عند مستوى دلالة (0.05) للتمويل </w:t>
      </w:r>
      <w:proofErr w:type="spellStart"/>
      <w:r w:rsidRPr="00BC50C9">
        <w:rPr>
          <w:rFonts w:ascii="Times New Roman" w:hAnsi="Times New Roman" w:cs="Simplified Arabic" w:hint="cs"/>
          <w:b/>
          <w:bCs/>
          <w:sz w:val="24"/>
          <w:szCs w:val="28"/>
          <w:rtl/>
        </w:rPr>
        <w:t>التبرعي</w:t>
      </w:r>
      <w:proofErr w:type="spellEnd"/>
      <w:r w:rsidRPr="00BC50C9">
        <w:rPr>
          <w:rFonts w:ascii="Times New Roman" w:hAnsi="Times New Roman" w:cs="Simplified Arabic" w:hint="cs"/>
          <w:b/>
          <w:bCs/>
          <w:sz w:val="24"/>
          <w:szCs w:val="28"/>
          <w:rtl/>
        </w:rPr>
        <w:t xml:space="preserve"> على الاستدامة المالية بالمملكة العربية السعودية.</w:t>
      </w:r>
    </w:p>
    <w:p w14:paraId="36E677D3" w14:textId="77777777" w:rsidR="00DE2B2A" w:rsidRPr="00BC50C9" w:rsidRDefault="00DE2B2A" w:rsidP="00BA5301">
      <w:pPr>
        <w:pStyle w:val="00000"/>
        <w:rPr>
          <w:rtl/>
        </w:rPr>
      </w:pPr>
      <w:r w:rsidRPr="00BC50C9">
        <w:rPr>
          <w:rtl/>
        </w:rPr>
        <w:t xml:space="preserve">تم استخدام اختبار تحليل </w:t>
      </w:r>
      <w:r w:rsidRPr="00BC50C9">
        <w:rPr>
          <w:rFonts w:hint="cs"/>
          <w:rtl/>
        </w:rPr>
        <w:t xml:space="preserve">الانحدار لمعرفة وجود أثر ذو دلالة إحصائية للتمويل </w:t>
      </w:r>
      <w:proofErr w:type="spellStart"/>
      <w:r w:rsidRPr="00BC50C9">
        <w:rPr>
          <w:rFonts w:hint="cs"/>
          <w:rtl/>
        </w:rPr>
        <w:t>التبرعي</w:t>
      </w:r>
      <w:proofErr w:type="spellEnd"/>
      <w:r w:rsidRPr="00BC50C9">
        <w:rPr>
          <w:rFonts w:hint="cs"/>
          <w:rtl/>
        </w:rPr>
        <w:t xml:space="preserve"> على الاستدامة المالية بالمملكة العربية السعودية</w:t>
      </w:r>
      <w:r w:rsidRPr="00BC50C9">
        <w:rPr>
          <w:rtl/>
        </w:rPr>
        <w:t xml:space="preserve"> </w:t>
      </w:r>
    </w:p>
    <w:p w14:paraId="428FBC09" w14:textId="77777777" w:rsidR="00DE2B2A" w:rsidRPr="00BC50C9" w:rsidRDefault="00DE2B2A" w:rsidP="00D66005">
      <w:pPr>
        <w:pStyle w:val="33333"/>
        <w:rPr>
          <w:rtl/>
        </w:rPr>
      </w:pPr>
      <w:bookmarkStart w:id="113" w:name="_Toc195456559"/>
      <w:r w:rsidRPr="00BC50C9">
        <w:rPr>
          <w:rtl/>
        </w:rPr>
        <w:t>الجدول رقم (</w:t>
      </w:r>
      <w:r w:rsidRPr="00BC50C9">
        <w:rPr>
          <w:rFonts w:hint="cs"/>
          <w:rtl/>
        </w:rPr>
        <w:t>4</w:t>
      </w:r>
      <w:r w:rsidRPr="00BC50C9">
        <w:rPr>
          <w:rtl/>
        </w:rPr>
        <w:t>-</w:t>
      </w:r>
      <w:r w:rsidRPr="00BC50C9">
        <w:rPr>
          <w:rFonts w:hint="cs"/>
          <w:rtl/>
        </w:rPr>
        <w:t>8</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للتمويل </w:t>
      </w:r>
      <w:proofErr w:type="spellStart"/>
      <w:r w:rsidRPr="00BC50C9">
        <w:rPr>
          <w:rFonts w:hint="cs"/>
          <w:rtl/>
        </w:rPr>
        <w:t>التبرعي</w:t>
      </w:r>
      <w:proofErr w:type="spellEnd"/>
      <w:r w:rsidRPr="00BC50C9">
        <w:rPr>
          <w:rFonts w:hint="cs"/>
          <w:rtl/>
        </w:rPr>
        <w:t xml:space="preserve"> على الاستدامة المالية بالمملكة العربية السعودية</w:t>
      </w:r>
      <w:bookmarkEnd w:id="113"/>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D66005" w14:paraId="0C094B9F" w14:textId="77777777" w:rsidTr="00D66005">
        <w:trPr>
          <w:jc w:val="center"/>
        </w:trPr>
        <w:tc>
          <w:tcPr>
            <w:tcW w:w="945" w:type="pct"/>
            <w:shd w:val="clear" w:color="auto" w:fill="BFBFBF" w:themeFill="background1" w:themeFillShade="BF"/>
            <w:vAlign w:val="center"/>
          </w:tcPr>
          <w:p w14:paraId="1F2D6BB4" w14:textId="77777777" w:rsidR="00DE2B2A" w:rsidRPr="00D66005" w:rsidRDefault="00DE2B2A" w:rsidP="00D66005">
            <w:pPr>
              <w:pStyle w:val="afe"/>
              <w:spacing w:line="240" w:lineRule="auto"/>
              <w:rPr>
                <w:sz w:val="20"/>
                <w:szCs w:val="20"/>
                <w:rtl/>
              </w:rPr>
            </w:pPr>
            <w:bookmarkStart w:id="114" w:name="_Toc136282274"/>
            <w:bookmarkStart w:id="115" w:name="_Toc195456560"/>
            <w:r w:rsidRPr="00D66005">
              <w:rPr>
                <w:sz w:val="20"/>
                <w:szCs w:val="20"/>
                <w:rtl/>
              </w:rPr>
              <w:t>المتغير المستقل</w:t>
            </w:r>
            <w:bookmarkEnd w:id="114"/>
            <w:bookmarkEnd w:id="115"/>
          </w:p>
        </w:tc>
        <w:tc>
          <w:tcPr>
            <w:tcW w:w="434" w:type="pct"/>
            <w:shd w:val="clear" w:color="auto" w:fill="BFBFBF" w:themeFill="background1" w:themeFillShade="BF"/>
            <w:vAlign w:val="center"/>
          </w:tcPr>
          <w:p w14:paraId="2C89A857" w14:textId="77777777" w:rsidR="00DE2B2A" w:rsidRPr="00D66005" w:rsidRDefault="00DE2B2A" w:rsidP="00D66005">
            <w:pPr>
              <w:pStyle w:val="afe"/>
              <w:spacing w:line="240" w:lineRule="auto"/>
              <w:rPr>
                <w:sz w:val="20"/>
                <w:szCs w:val="20"/>
                <w:rtl/>
              </w:rPr>
            </w:pPr>
            <w:bookmarkStart w:id="116" w:name="_Toc136282275"/>
            <w:bookmarkStart w:id="117" w:name="_Toc195456561"/>
            <w:r w:rsidRPr="00D66005">
              <w:rPr>
                <w:sz w:val="20"/>
                <w:szCs w:val="20"/>
              </w:rPr>
              <w:t>B</w:t>
            </w:r>
            <w:bookmarkEnd w:id="116"/>
            <w:bookmarkEnd w:id="117"/>
          </w:p>
        </w:tc>
        <w:tc>
          <w:tcPr>
            <w:tcW w:w="686" w:type="pct"/>
            <w:shd w:val="clear" w:color="auto" w:fill="BFBFBF" w:themeFill="background1" w:themeFillShade="BF"/>
            <w:vAlign w:val="center"/>
          </w:tcPr>
          <w:p w14:paraId="380BE42D" w14:textId="77777777" w:rsidR="00DE2B2A" w:rsidRPr="00D66005" w:rsidRDefault="00DE2B2A" w:rsidP="00D66005">
            <w:pPr>
              <w:pStyle w:val="afe"/>
              <w:spacing w:line="240" w:lineRule="auto"/>
              <w:rPr>
                <w:sz w:val="20"/>
                <w:szCs w:val="20"/>
                <w:rtl/>
              </w:rPr>
            </w:pPr>
            <w:bookmarkStart w:id="118" w:name="_Toc136282276"/>
            <w:bookmarkStart w:id="119" w:name="_Toc195456562"/>
            <w:r w:rsidRPr="00D66005">
              <w:rPr>
                <w:sz w:val="20"/>
                <w:szCs w:val="20"/>
              </w:rPr>
              <w:t>Beta</w:t>
            </w:r>
            <w:bookmarkEnd w:id="118"/>
            <w:bookmarkEnd w:id="119"/>
          </w:p>
        </w:tc>
        <w:tc>
          <w:tcPr>
            <w:tcW w:w="691" w:type="pct"/>
            <w:shd w:val="clear" w:color="auto" w:fill="BFBFBF" w:themeFill="background1" w:themeFillShade="BF"/>
            <w:vAlign w:val="center"/>
          </w:tcPr>
          <w:p w14:paraId="3B3D72A2" w14:textId="77777777" w:rsidR="00DE2B2A" w:rsidRPr="00D66005" w:rsidRDefault="00DE2B2A" w:rsidP="00D66005">
            <w:pPr>
              <w:pStyle w:val="afe"/>
              <w:spacing w:line="240" w:lineRule="auto"/>
              <w:rPr>
                <w:sz w:val="20"/>
                <w:szCs w:val="20"/>
                <w:rtl/>
              </w:rPr>
            </w:pPr>
            <w:bookmarkStart w:id="120" w:name="_Toc136282277"/>
            <w:bookmarkStart w:id="121" w:name="_Toc195456563"/>
            <w:r w:rsidRPr="00D66005">
              <w:rPr>
                <w:sz w:val="20"/>
                <w:szCs w:val="20"/>
              </w:rPr>
              <w:t>R</w:t>
            </w:r>
            <w:bookmarkEnd w:id="120"/>
            <w:bookmarkEnd w:id="121"/>
          </w:p>
        </w:tc>
        <w:tc>
          <w:tcPr>
            <w:tcW w:w="681" w:type="pct"/>
            <w:shd w:val="clear" w:color="auto" w:fill="BFBFBF" w:themeFill="background1" w:themeFillShade="BF"/>
            <w:vAlign w:val="center"/>
          </w:tcPr>
          <w:p w14:paraId="3F6373FD" w14:textId="77777777" w:rsidR="00DE2B2A" w:rsidRPr="00D66005" w:rsidRDefault="00DE2B2A" w:rsidP="00D66005">
            <w:pPr>
              <w:pStyle w:val="afe"/>
              <w:spacing w:line="240" w:lineRule="auto"/>
              <w:rPr>
                <w:sz w:val="20"/>
                <w:szCs w:val="20"/>
                <w:rtl/>
              </w:rPr>
            </w:pPr>
            <w:bookmarkStart w:id="122" w:name="_Toc136282278"/>
            <w:bookmarkStart w:id="123" w:name="_Toc195456564"/>
            <w:r w:rsidRPr="00D66005">
              <w:rPr>
                <w:sz w:val="20"/>
                <w:szCs w:val="20"/>
              </w:rPr>
              <w:t>R2</w:t>
            </w:r>
            <w:bookmarkEnd w:id="122"/>
            <w:bookmarkEnd w:id="123"/>
          </w:p>
        </w:tc>
        <w:tc>
          <w:tcPr>
            <w:tcW w:w="713" w:type="pct"/>
            <w:shd w:val="clear" w:color="auto" w:fill="BFBFBF" w:themeFill="background1" w:themeFillShade="BF"/>
            <w:vAlign w:val="center"/>
          </w:tcPr>
          <w:p w14:paraId="65658128" w14:textId="77777777" w:rsidR="00DE2B2A" w:rsidRPr="00D66005" w:rsidRDefault="00DE2B2A" w:rsidP="00D66005">
            <w:pPr>
              <w:pStyle w:val="afe"/>
              <w:spacing w:line="240" w:lineRule="auto"/>
              <w:rPr>
                <w:sz w:val="20"/>
                <w:szCs w:val="20"/>
              </w:rPr>
            </w:pPr>
            <w:bookmarkStart w:id="124" w:name="_Toc136282279"/>
            <w:bookmarkStart w:id="125" w:name="_Toc195456565"/>
            <w:proofErr w:type="spellStart"/>
            <w:r w:rsidRPr="00D66005">
              <w:rPr>
                <w:sz w:val="20"/>
                <w:szCs w:val="20"/>
              </w:rPr>
              <w:t>T.value</w:t>
            </w:r>
            <w:bookmarkEnd w:id="124"/>
            <w:bookmarkEnd w:id="125"/>
            <w:proofErr w:type="spellEnd"/>
          </w:p>
        </w:tc>
        <w:tc>
          <w:tcPr>
            <w:tcW w:w="850" w:type="pct"/>
            <w:shd w:val="clear" w:color="auto" w:fill="BFBFBF" w:themeFill="background1" w:themeFillShade="BF"/>
            <w:vAlign w:val="center"/>
          </w:tcPr>
          <w:p w14:paraId="0218C9FB" w14:textId="77777777" w:rsidR="00DE2B2A" w:rsidRPr="00D66005" w:rsidRDefault="00DE2B2A" w:rsidP="00D66005">
            <w:pPr>
              <w:pStyle w:val="afe"/>
              <w:spacing w:line="240" w:lineRule="auto"/>
              <w:rPr>
                <w:sz w:val="20"/>
                <w:szCs w:val="20"/>
                <w:rtl/>
              </w:rPr>
            </w:pPr>
            <w:bookmarkStart w:id="126" w:name="_Toc136282280"/>
            <w:bookmarkStart w:id="127" w:name="_Toc195456566"/>
            <w:proofErr w:type="spellStart"/>
            <w:r w:rsidRPr="00D66005">
              <w:rPr>
                <w:sz w:val="20"/>
                <w:szCs w:val="20"/>
              </w:rPr>
              <w:t>Sig.T</w:t>
            </w:r>
            <w:bookmarkEnd w:id="126"/>
            <w:bookmarkEnd w:id="127"/>
            <w:proofErr w:type="spellEnd"/>
          </w:p>
        </w:tc>
      </w:tr>
      <w:tr w:rsidR="00DE2B2A" w:rsidRPr="00D66005" w14:paraId="2DAA711C" w14:textId="77777777" w:rsidTr="00D66005">
        <w:trPr>
          <w:jc w:val="center"/>
        </w:trPr>
        <w:tc>
          <w:tcPr>
            <w:tcW w:w="945" w:type="pct"/>
            <w:shd w:val="clear" w:color="auto" w:fill="BFBFBF" w:themeFill="background1" w:themeFillShade="BF"/>
            <w:vAlign w:val="center"/>
          </w:tcPr>
          <w:p w14:paraId="5BA6D766" w14:textId="77777777" w:rsidR="00DE2B2A" w:rsidRPr="00D66005" w:rsidRDefault="00DE2B2A" w:rsidP="00D66005">
            <w:pPr>
              <w:pStyle w:val="afe"/>
              <w:spacing w:line="240" w:lineRule="auto"/>
              <w:rPr>
                <w:sz w:val="20"/>
                <w:szCs w:val="20"/>
                <w:rtl/>
              </w:rPr>
            </w:pPr>
            <w:bookmarkStart w:id="128" w:name="_Toc195456567"/>
            <w:r w:rsidRPr="00D66005">
              <w:rPr>
                <w:rFonts w:hint="cs"/>
                <w:sz w:val="20"/>
                <w:szCs w:val="20"/>
                <w:rtl/>
              </w:rPr>
              <w:t xml:space="preserve">التمويل </w:t>
            </w:r>
            <w:proofErr w:type="spellStart"/>
            <w:r w:rsidRPr="00D66005">
              <w:rPr>
                <w:rFonts w:hint="cs"/>
                <w:sz w:val="20"/>
                <w:szCs w:val="20"/>
                <w:rtl/>
              </w:rPr>
              <w:t>التبرعي</w:t>
            </w:r>
            <w:bookmarkEnd w:id="128"/>
            <w:proofErr w:type="spellEnd"/>
          </w:p>
        </w:tc>
        <w:tc>
          <w:tcPr>
            <w:tcW w:w="434" w:type="pct"/>
            <w:vAlign w:val="center"/>
          </w:tcPr>
          <w:p w14:paraId="2AA23D36"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.786</w:t>
            </w:r>
          </w:p>
        </w:tc>
        <w:tc>
          <w:tcPr>
            <w:tcW w:w="686" w:type="pct"/>
            <w:vAlign w:val="center"/>
          </w:tcPr>
          <w:p w14:paraId="2D131104"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.748</w:t>
            </w:r>
          </w:p>
        </w:tc>
        <w:tc>
          <w:tcPr>
            <w:tcW w:w="691" w:type="pct"/>
            <w:vAlign w:val="center"/>
          </w:tcPr>
          <w:p w14:paraId="4F809C78"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.748</w:t>
            </w:r>
            <w:r w:rsidRPr="00D66005">
              <w:rPr>
                <w:rFonts w:ascii="Times New Roman" w:hAnsi="Times New Roman" w:cs="Simplified Arabic"/>
                <w:color w:val="000000"/>
                <w:sz w:val="20"/>
                <w:szCs w:val="20"/>
                <w:vertAlign w:val="superscript"/>
              </w:rPr>
              <w:t>a</w:t>
            </w:r>
          </w:p>
        </w:tc>
        <w:tc>
          <w:tcPr>
            <w:tcW w:w="681" w:type="pct"/>
            <w:vAlign w:val="center"/>
          </w:tcPr>
          <w:p w14:paraId="13FF9584"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.559</w:t>
            </w:r>
          </w:p>
        </w:tc>
        <w:tc>
          <w:tcPr>
            <w:tcW w:w="713" w:type="pct"/>
            <w:vAlign w:val="center"/>
          </w:tcPr>
          <w:p w14:paraId="4F17AE56"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22.022</w:t>
            </w:r>
          </w:p>
        </w:tc>
        <w:tc>
          <w:tcPr>
            <w:tcW w:w="850" w:type="pct"/>
            <w:vAlign w:val="center"/>
          </w:tcPr>
          <w:p w14:paraId="5A87FAB9"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
        </w:tc>
      </w:tr>
      <w:tr w:rsidR="00DE2B2A" w:rsidRPr="00D66005" w14:paraId="455505A1" w14:textId="77777777" w:rsidTr="00D66005">
        <w:trPr>
          <w:jc w:val="center"/>
        </w:trPr>
        <w:tc>
          <w:tcPr>
            <w:tcW w:w="945" w:type="pct"/>
            <w:shd w:val="clear" w:color="auto" w:fill="BFBFBF" w:themeFill="background1" w:themeFillShade="BF"/>
            <w:vAlign w:val="center"/>
          </w:tcPr>
          <w:p w14:paraId="7EC21A35" w14:textId="77777777" w:rsidR="00DE2B2A" w:rsidRPr="00D66005" w:rsidRDefault="00DE2B2A" w:rsidP="00D66005">
            <w:pPr>
              <w:pStyle w:val="afe"/>
              <w:spacing w:line="240" w:lineRule="auto"/>
              <w:rPr>
                <w:sz w:val="20"/>
                <w:szCs w:val="20"/>
                <w:rtl/>
              </w:rPr>
            </w:pPr>
            <w:bookmarkStart w:id="129" w:name="_Toc136282282"/>
            <w:bookmarkStart w:id="130" w:name="_Toc195456568"/>
            <w:r w:rsidRPr="00D66005">
              <w:rPr>
                <w:sz w:val="20"/>
                <w:szCs w:val="20"/>
                <w:rtl/>
              </w:rPr>
              <w:t>المعامل الثابت</w:t>
            </w:r>
            <w:bookmarkEnd w:id="129"/>
            <w:bookmarkEnd w:id="130"/>
          </w:p>
        </w:tc>
        <w:tc>
          <w:tcPr>
            <w:tcW w:w="4055" w:type="pct"/>
            <w:gridSpan w:val="6"/>
            <w:vAlign w:val="center"/>
          </w:tcPr>
          <w:p w14:paraId="777457B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.895</w:t>
            </w:r>
          </w:p>
        </w:tc>
      </w:tr>
      <w:tr w:rsidR="00DE2B2A" w:rsidRPr="00D66005" w14:paraId="7FB88994" w14:textId="77777777" w:rsidTr="00D66005">
        <w:trPr>
          <w:jc w:val="center"/>
        </w:trPr>
        <w:tc>
          <w:tcPr>
            <w:tcW w:w="945" w:type="pct"/>
            <w:shd w:val="clear" w:color="auto" w:fill="BFBFBF" w:themeFill="background1" w:themeFillShade="BF"/>
            <w:vAlign w:val="center"/>
          </w:tcPr>
          <w:p w14:paraId="69C5D3B8" w14:textId="77777777" w:rsidR="00DE2B2A" w:rsidRPr="00D66005" w:rsidRDefault="00DE2B2A" w:rsidP="00D66005">
            <w:pPr>
              <w:pStyle w:val="afe"/>
              <w:spacing w:line="240" w:lineRule="auto"/>
              <w:rPr>
                <w:sz w:val="20"/>
                <w:szCs w:val="20"/>
              </w:rPr>
            </w:pPr>
            <w:bookmarkStart w:id="131" w:name="_Toc136282283"/>
            <w:bookmarkStart w:id="132" w:name="_Toc195456569"/>
            <w:r w:rsidRPr="00D66005">
              <w:rPr>
                <w:sz w:val="20"/>
                <w:szCs w:val="20"/>
              </w:rPr>
              <w:t>Adj R2</w:t>
            </w:r>
            <w:bookmarkEnd w:id="131"/>
            <w:bookmarkEnd w:id="132"/>
          </w:p>
        </w:tc>
        <w:tc>
          <w:tcPr>
            <w:tcW w:w="4055" w:type="pct"/>
            <w:gridSpan w:val="6"/>
            <w:vAlign w:val="center"/>
          </w:tcPr>
          <w:p w14:paraId="655818B3"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.558</w:t>
            </w:r>
          </w:p>
        </w:tc>
      </w:tr>
      <w:tr w:rsidR="00DE2B2A" w:rsidRPr="00D66005" w14:paraId="3EA0274B" w14:textId="77777777" w:rsidTr="00D66005">
        <w:trPr>
          <w:jc w:val="center"/>
        </w:trPr>
        <w:tc>
          <w:tcPr>
            <w:tcW w:w="945" w:type="pct"/>
            <w:shd w:val="clear" w:color="auto" w:fill="BFBFBF" w:themeFill="background1" w:themeFillShade="BF"/>
            <w:vAlign w:val="center"/>
          </w:tcPr>
          <w:p w14:paraId="6582EAF3" w14:textId="77777777" w:rsidR="00DE2B2A" w:rsidRPr="00D66005" w:rsidRDefault="00DE2B2A" w:rsidP="00D66005">
            <w:pPr>
              <w:pStyle w:val="afe"/>
              <w:spacing w:line="240" w:lineRule="auto"/>
              <w:rPr>
                <w:sz w:val="20"/>
                <w:szCs w:val="20"/>
              </w:rPr>
            </w:pPr>
            <w:bookmarkStart w:id="133" w:name="_Toc136282284"/>
            <w:bookmarkStart w:id="134" w:name="_Toc195456570"/>
            <w:r w:rsidRPr="00D66005">
              <w:rPr>
                <w:sz w:val="20"/>
                <w:szCs w:val="20"/>
                <w:rtl/>
              </w:rPr>
              <w:t xml:space="preserve">قيمة </w:t>
            </w:r>
            <w:r w:rsidRPr="00D66005">
              <w:rPr>
                <w:sz w:val="20"/>
                <w:szCs w:val="20"/>
              </w:rPr>
              <w:t>F</w:t>
            </w:r>
            <w:bookmarkEnd w:id="133"/>
            <w:bookmarkEnd w:id="134"/>
          </w:p>
        </w:tc>
        <w:tc>
          <w:tcPr>
            <w:tcW w:w="4055" w:type="pct"/>
            <w:gridSpan w:val="6"/>
            <w:vAlign w:val="center"/>
          </w:tcPr>
          <w:p w14:paraId="6A7C539A"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484.976</w:t>
            </w:r>
          </w:p>
        </w:tc>
      </w:tr>
      <w:tr w:rsidR="00DE2B2A" w:rsidRPr="00D66005" w14:paraId="5BD70D9C" w14:textId="77777777" w:rsidTr="00D66005">
        <w:trPr>
          <w:trHeight w:val="70"/>
          <w:jc w:val="center"/>
        </w:trPr>
        <w:tc>
          <w:tcPr>
            <w:tcW w:w="945" w:type="pct"/>
            <w:shd w:val="clear" w:color="auto" w:fill="BFBFBF" w:themeFill="background1" w:themeFillShade="BF"/>
            <w:vAlign w:val="center"/>
          </w:tcPr>
          <w:p w14:paraId="211034C0" w14:textId="77777777" w:rsidR="00DE2B2A" w:rsidRPr="00D66005" w:rsidRDefault="00DE2B2A" w:rsidP="00D66005">
            <w:pPr>
              <w:pStyle w:val="afe"/>
              <w:spacing w:line="240" w:lineRule="auto"/>
              <w:rPr>
                <w:sz w:val="20"/>
                <w:szCs w:val="20"/>
              </w:rPr>
            </w:pPr>
            <w:bookmarkStart w:id="135" w:name="_Toc136282285"/>
            <w:bookmarkStart w:id="136" w:name="_Toc195456571"/>
            <w:r w:rsidRPr="00D66005">
              <w:rPr>
                <w:sz w:val="20"/>
                <w:szCs w:val="20"/>
              </w:rPr>
              <w:t>Sig F</w:t>
            </w:r>
            <w:bookmarkEnd w:id="135"/>
            <w:bookmarkEnd w:id="136"/>
          </w:p>
        </w:tc>
        <w:tc>
          <w:tcPr>
            <w:tcW w:w="4055" w:type="pct"/>
            <w:gridSpan w:val="6"/>
            <w:vAlign w:val="center"/>
          </w:tcPr>
          <w:p w14:paraId="05C46EB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roofErr w:type="gramStart"/>
            <w:r w:rsidRPr="00D66005">
              <w:rPr>
                <w:rFonts w:ascii="Times New Roman" w:hAnsi="Times New Roman" w:cs="Simplified Arabic"/>
                <w:color w:val="000000"/>
                <w:sz w:val="20"/>
                <w:szCs w:val="20"/>
              </w:rPr>
              <w:t xml:space="preserve">b </w:t>
            </w:r>
            <w:r w:rsidRPr="00D66005">
              <w:rPr>
                <w:rFonts w:ascii="Times New Roman" w:hAnsi="Times New Roman" w:cs="Simplified Arabic" w:hint="cs"/>
                <w:color w:val="000000"/>
                <w:sz w:val="20"/>
                <w:szCs w:val="20"/>
                <w:rtl/>
              </w:rPr>
              <w:t xml:space="preserve"> نموذج</w:t>
            </w:r>
            <w:proofErr w:type="gramEnd"/>
            <w:r w:rsidRPr="00D66005">
              <w:rPr>
                <w:rFonts w:ascii="Times New Roman" w:hAnsi="Times New Roman" w:cs="Simplified Arabic" w:hint="cs"/>
                <w:color w:val="000000"/>
                <w:sz w:val="20"/>
                <w:szCs w:val="20"/>
                <w:rtl/>
              </w:rPr>
              <w:t xml:space="preserve"> معنوي</w:t>
            </w:r>
          </w:p>
        </w:tc>
      </w:tr>
    </w:tbl>
    <w:p w14:paraId="6431F1EF" w14:textId="77777777" w:rsidR="00DE2B2A" w:rsidRPr="00BC50C9" w:rsidRDefault="00DE2B2A" w:rsidP="00D66005">
      <w:pPr>
        <w:pStyle w:val="00000"/>
        <w:rPr>
          <w:rtl/>
        </w:rPr>
      </w:pPr>
      <w:r w:rsidRPr="00BC50C9">
        <w:rPr>
          <w:rFonts w:hint="cs"/>
          <w:rtl/>
        </w:rPr>
        <w:t xml:space="preserve">يتبين من الجدول السابق وجود أثر إيجابي ذو دلالة إحصائية للتمويل </w:t>
      </w:r>
      <w:proofErr w:type="spellStart"/>
      <w:r w:rsidRPr="00BC50C9">
        <w:rPr>
          <w:rFonts w:hint="cs"/>
          <w:rtl/>
        </w:rPr>
        <w:t>التبرعي</w:t>
      </w:r>
      <w:proofErr w:type="spellEnd"/>
      <w:r w:rsidRPr="00BC50C9">
        <w:rPr>
          <w:rFonts w:hint="cs"/>
          <w:rtl/>
        </w:rPr>
        <w:t xml:space="preserve"> على الاستدامة المالية بالمملكة العربية السعودية؛ وبذلك تم التحقق من خطأ الفرضية حيث جاءت قيمة (</w:t>
      </w:r>
      <w:r w:rsidRPr="00BC50C9">
        <w:t>R</w:t>
      </w:r>
      <w:r w:rsidRPr="00BC50C9">
        <w:rPr>
          <w:rFonts w:hint="cs"/>
          <w:rtl/>
        </w:rPr>
        <w:t>) (</w:t>
      </w:r>
      <w:r w:rsidRPr="00BC50C9">
        <w:t>.748a</w:t>
      </w:r>
      <w:r w:rsidRPr="00BC50C9">
        <w:rPr>
          <w:rFonts w:hint="cs"/>
          <w:rtl/>
        </w:rPr>
        <w:t>) بمستوى دلالة (</w:t>
      </w:r>
      <w:r w:rsidRPr="00BC50C9">
        <w:t>.000b</w:t>
      </w:r>
      <w:r w:rsidRPr="00BC50C9">
        <w:rPr>
          <w:rFonts w:hint="cs"/>
          <w:rtl/>
        </w:rPr>
        <w:t xml:space="preserve">)؛ حيث أن </w:t>
      </w:r>
      <w:r w:rsidRPr="00BC50C9">
        <w:rPr>
          <w:rtl/>
        </w:rPr>
        <w:t xml:space="preserve">التمويل </w:t>
      </w:r>
      <w:proofErr w:type="spellStart"/>
      <w:r w:rsidRPr="00BC50C9">
        <w:rPr>
          <w:rtl/>
        </w:rPr>
        <w:t>التبرعي</w:t>
      </w:r>
      <w:proofErr w:type="spellEnd"/>
      <w:r w:rsidRPr="00BC50C9">
        <w:rPr>
          <w:rtl/>
        </w:rPr>
        <w:t xml:space="preserve"> يُعتبر وسيلة فعالة لدعم المشاريع الاجتماعية والخيرية</w:t>
      </w:r>
      <w:r w:rsidRPr="00BC50C9">
        <w:rPr>
          <w:rFonts w:hint="cs"/>
          <w:rtl/>
        </w:rPr>
        <w:t>؛</w:t>
      </w:r>
      <w:r w:rsidRPr="00BC50C9">
        <w:rPr>
          <w:rtl/>
        </w:rPr>
        <w:t xml:space="preserve"> حيث يتيح لأصحاب المشاريع الحصول على موارد مالية دون الحاجة إلى سدادها</w:t>
      </w:r>
      <w:r w:rsidRPr="00BC50C9">
        <w:rPr>
          <w:rFonts w:hint="cs"/>
          <w:rtl/>
        </w:rPr>
        <w:t>، ف</w:t>
      </w:r>
      <w:r w:rsidRPr="00BC50C9">
        <w:rPr>
          <w:rtl/>
        </w:rPr>
        <w:t>هذا النوع من التمويل يُعزز من قدرة المشاريع على تحقيق أهدافها الاجتماعية والاقتصادية، مما يُسهم في تحسين مستوى الخدمة المقدمة للمجتمع ويعزز من استدامتها المالية.</w:t>
      </w:r>
    </w:p>
    <w:p w14:paraId="6B1B5CFA" w14:textId="77777777" w:rsidR="00DE2B2A" w:rsidRPr="00BC50C9" w:rsidRDefault="00DE2B2A" w:rsidP="00D66005">
      <w:pPr>
        <w:pStyle w:val="00000"/>
        <w:rPr>
          <w:rtl/>
        </w:rPr>
      </w:pPr>
      <w:r w:rsidRPr="00BC50C9">
        <w:rPr>
          <w:rFonts w:hint="cs"/>
          <w:rtl/>
        </w:rPr>
        <w:t xml:space="preserve">ويتفق هذا مع ما توصلت إليه </w:t>
      </w:r>
      <w:proofErr w:type="spellStart"/>
      <w:r w:rsidRPr="00BC50C9">
        <w:rPr>
          <w:rFonts w:hint="cs"/>
          <w:rtl/>
        </w:rPr>
        <w:t>دراسة</w:t>
      </w:r>
      <w:r w:rsidRPr="00BC50C9">
        <w:rPr>
          <w:rtl/>
        </w:rPr>
        <w:t>"كاليك</w:t>
      </w:r>
      <w:proofErr w:type="spellEnd"/>
      <w:r w:rsidRPr="00BC50C9">
        <w:rPr>
          <w:rtl/>
        </w:rPr>
        <w:t xml:space="preserve">، </w:t>
      </w:r>
      <w:proofErr w:type="spellStart"/>
      <w:r w:rsidRPr="00BC50C9">
        <w:rPr>
          <w:rtl/>
        </w:rPr>
        <w:t>وموساكوفسكي</w:t>
      </w:r>
      <w:proofErr w:type="spellEnd"/>
      <w:r w:rsidRPr="00BC50C9">
        <w:rPr>
          <w:rtl/>
        </w:rPr>
        <w:t>" (</w:t>
      </w:r>
      <w:proofErr w:type="spellStart"/>
      <w:r w:rsidRPr="00BC50C9">
        <w:t>Calic</w:t>
      </w:r>
      <w:proofErr w:type="spellEnd"/>
      <w:r w:rsidRPr="00BC50C9">
        <w:t xml:space="preserve"> &amp; Mosakowski, 2016</w:t>
      </w:r>
      <w:r w:rsidRPr="00BC50C9">
        <w:rPr>
          <w:rtl/>
        </w:rPr>
        <w:t>) وجود تأثير إيجابي للتوجه نحو الاستدامة على نجاح التمويل الاشتراكي للمشاريع، كما أن المشاريع التي تتبنى توجه مستدام، سواء كان اجتماعيًا أو بيئيًا، يحقق نجاحًا أكبر في جمع التمويل مقارنة بالمشاريع التجارية</w:t>
      </w:r>
      <w:r w:rsidRPr="00BC50C9">
        <w:rPr>
          <w:rFonts w:hint="cs"/>
          <w:rtl/>
        </w:rPr>
        <w:t>.</w:t>
      </w:r>
    </w:p>
    <w:p w14:paraId="13CAC607"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lastRenderedPageBreak/>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القائم على المكافآت على الاستدامة المالية بالمملكة العربية السعودية.</w:t>
      </w:r>
    </w:p>
    <w:p w14:paraId="651BC0E6" w14:textId="77777777" w:rsidR="00DE2B2A" w:rsidRPr="00BC50C9" w:rsidRDefault="00DE2B2A" w:rsidP="00D66005">
      <w:pPr>
        <w:pStyle w:val="00000"/>
        <w:rPr>
          <w:rtl/>
        </w:rPr>
      </w:pPr>
      <w:r w:rsidRPr="00BC50C9">
        <w:rPr>
          <w:rtl/>
        </w:rPr>
        <w:t xml:space="preserve">تم استخدام اختبار تحليل </w:t>
      </w:r>
      <w:r w:rsidRPr="00BC50C9">
        <w:rPr>
          <w:rFonts w:hint="cs"/>
          <w:rtl/>
        </w:rPr>
        <w:t>الانحدار لمعرفة وجود أثر ذو دلالة إحصائية للتمويل القائم على المكافآت على الاستدامة المالية بالمملكة العربية السعودية</w:t>
      </w:r>
      <w:r w:rsidRPr="00BC50C9">
        <w:rPr>
          <w:rtl/>
        </w:rPr>
        <w:t xml:space="preserve"> </w:t>
      </w:r>
    </w:p>
    <w:p w14:paraId="74C426E5" w14:textId="77777777" w:rsidR="00DE2B2A" w:rsidRPr="00BC50C9" w:rsidRDefault="00DE2B2A" w:rsidP="00D66005">
      <w:pPr>
        <w:pStyle w:val="33333"/>
        <w:rPr>
          <w:rtl/>
        </w:rPr>
      </w:pPr>
      <w:bookmarkStart w:id="137" w:name="_Toc195456572"/>
      <w:r w:rsidRPr="00BC50C9">
        <w:rPr>
          <w:rtl/>
        </w:rPr>
        <w:t>الجدول رقم (</w:t>
      </w:r>
      <w:r w:rsidRPr="00BC50C9">
        <w:rPr>
          <w:rFonts w:hint="cs"/>
          <w:rtl/>
        </w:rPr>
        <w:t>4</w:t>
      </w:r>
      <w:r w:rsidRPr="00BC50C9">
        <w:rPr>
          <w:rtl/>
        </w:rPr>
        <w:t>-</w:t>
      </w:r>
      <w:r w:rsidRPr="00BC50C9">
        <w:rPr>
          <w:rFonts w:hint="cs"/>
          <w:rtl/>
        </w:rPr>
        <w:t>9</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التمويل القائم على المكافآت على الاستدامة المالية بالمملكة العربية السعودية</w:t>
      </w:r>
      <w:bookmarkEnd w:id="137"/>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D66005" w14:paraId="5E5E4D13" w14:textId="77777777" w:rsidTr="00D66005">
        <w:trPr>
          <w:jc w:val="center"/>
        </w:trPr>
        <w:tc>
          <w:tcPr>
            <w:tcW w:w="945" w:type="pct"/>
            <w:shd w:val="clear" w:color="auto" w:fill="BFBFBF" w:themeFill="background1" w:themeFillShade="BF"/>
            <w:vAlign w:val="center"/>
          </w:tcPr>
          <w:p w14:paraId="24151C40" w14:textId="77777777" w:rsidR="00DE2B2A" w:rsidRPr="00D66005" w:rsidRDefault="00DE2B2A" w:rsidP="00D66005">
            <w:pPr>
              <w:pStyle w:val="afe"/>
              <w:spacing w:line="240" w:lineRule="auto"/>
              <w:rPr>
                <w:sz w:val="20"/>
                <w:szCs w:val="20"/>
                <w:rtl/>
              </w:rPr>
            </w:pPr>
            <w:bookmarkStart w:id="138" w:name="_Toc195456573"/>
            <w:r w:rsidRPr="00D66005">
              <w:rPr>
                <w:sz w:val="20"/>
                <w:szCs w:val="20"/>
                <w:rtl/>
              </w:rPr>
              <w:t>المتغير المستقل</w:t>
            </w:r>
            <w:bookmarkEnd w:id="138"/>
          </w:p>
        </w:tc>
        <w:tc>
          <w:tcPr>
            <w:tcW w:w="434" w:type="pct"/>
            <w:shd w:val="clear" w:color="auto" w:fill="BFBFBF" w:themeFill="background1" w:themeFillShade="BF"/>
            <w:vAlign w:val="center"/>
          </w:tcPr>
          <w:p w14:paraId="58E97CDE" w14:textId="77777777" w:rsidR="00DE2B2A" w:rsidRPr="00D66005" w:rsidRDefault="00DE2B2A" w:rsidP="00D66005">
            <w:pPr>
              <w:pStyle w:val="afe"/>
              <w:spacing w:line="240" w:lineRule="auto"/>
              <w:rPr>
                <w:sz w:val="20"/>
                <w:szCs w:val="20"/>
                <w:rtl/>
              </w:rPr>
            </w:pPr>
            <w:bookmarkStart w:id="139" w:name="_Toc195456574"/>
            <w:r w:rsidRPr="00D66005">
              <w:rPr>
                <w:sz w:val="20"/>
                <w:szCs w:val="20"/>
              </w:rPr>
              <w:t>B</w:t>
            </w:r>
            <w:bookmarkEnd w:id="139"/>
          </w:p>
        </w:tc>
        <w:tc>
          <w:tcPr>
            <w:tcW w:w="686" w:type="pct"/>
            <w:shd w:val="clear" w:color="auto" w:fill="BFBFBF" w:themeFill="background1" w:themeFillShade="BF"/>
            <w:vAlign w:val="center"/>
          </w:tcPr>
          <w:p w14:paraId="106844A4" w14:textId="77777777" w:rsidR="00DE2B2A" w:rsidRPr="00D66005" w:rsidRDefault="00DE2B2A" w:rsidP="00D66005">
            <w:pPr>
              <w:pStyle w:val="afe"/>
              <w:spacing w:line="240" w:lineRule="auto"/>
              <w:rPr>
                <w:sz w:val="20"/>
                <w:szCs w:val="20"/>
                <w:rtl/>
              </w:rPr>
            </w:pPr>
            <w:bookmarkStart w:id="140" w:name="_Toc195456575"/>
            <w:r w:rsidRPr="00D66005">
              <w:rPr>
                <w:sz w:val="20"/>
                <w:szCs w:val="20"/>
              </w:rPr>
              <w:t>Beta</w:t>
            </w:r>
            <w:bookmarkEnd w:id="140"/>
          </w:p>
        </w:tc>
        <w:tc>
          <w:tcPr>
            <w:tcW w:w="691" w:type="pct"/>
            <w:shd w:val="clear" w:color="auto" w:fill="BFBFBF" w:themeFill="background1" w:themeFillShade="BF"/>
            <w:vAlign w:val="center"/>
          </w:tcPr>
          <w:p w14:paraId="0B1E01F3" w14:textId="77777777" w:rsidR="00DE2B2A" w:rsidRPr="00D66005" w:rsidRDefault="00DE2B2A" w:rsidP="00D66005">
            <w:pPr>
              <w:pStyle w:val="afe"/>
              <w:spacing w:line="240" w:lineRule="auto"/>
              <w:rPr>
                <w:sz w:val="20"/>
                <w:szCs w:val="20"/>
                <w:rtl/>
              </w:rPr>
            </w:pPr>
            <w:bookmarkStart w:id="141" w:name="_Toc195456576"/>
            <w:r w:rsidRPr="00D66005">
              <w:rPr>
                <w:sz w:val="20"/>
                <w:szCs w:val="20"/>
              </w:rPr>
              <w:t>R</w:t>
            </w:r>
            <w:bookmarkEnd w:id="141"/>
          </w:p>
        </w:tc>
        <w:tc>
          <w:tcPr>
            <w:tcW w:w="681" w:type="pct"/>
            <w:shd w:val="clear" w:color="auto" w:fill="BFBFBF" w:themeFill="background1" w:themeFillShade="BF"/>
            <w:vAlign w:val="center"/>
          </w:tcPr>
          <w:p w14:paraId="193D8DDD" w14:textId="77777777" w:rsidR="00DE2B2A" w:rsidRPr="00D66005" w:rsidRDefault="00DE2B2A" w:rsidP="00D66005">
            <w:pPr>
              <w:pStyle w:val="afe"/>
              <w:spacing w:line="240" w:lineRule="auto"/>
              <w:rPr>
                <w:sz w:val="20"/>
                <w:szCs w:val="20"/>
                <w:rtl/>
              </w:rPr>
            </w:pPr>
            <w:bookmarkStart w:id="142" w:name="_Toc195456577"/>
            <w:r w:rsidRPr="00D66005">
              <w:rPr>
                <w:sz w:val="20"/>
                <w:szCs w:val="20"/>
              </w:rPr>
              <w:t>R2</w:t>
            </w:r>
            <w:bookmarkEnd w:id="142"/>
          </w:p>
        </w:tc>
        <w:tc>
          <w:tcPr>
            <w:tcW w:w="713" w:type="pct"/>
            <w:shd w:val="clear" w:color="auto" w:fill="BFBFBF" w:themeFill="background1" w:themeFillShade="BF"/>
            <w:vAlign w:val="center"/>
          </w:tcPr>
          <w:p w14:paraId="69780ECE" w14:textId="77777777" w:rsidR="00DE2B2A" w:rsidRPr="00D66005" w:rsidRDefault="00DE2B2A" w:rsidP="00D66005">
            <w:pPr>
              <w:pStyle w:val="afe"/>
              <w:spacing w:line="240" w:lineRule="auto"/>
              <w:rPr>
                <w:sz w:val="20"/>
                <w:szCs w:val="20"/>
              </w:rPr>
            </w:pPr>
            <w:bookmarkStart w:id="143" w:name="_Toc195456578"/>
            <w:proofErr w:type="spellStart"/>
            <w:r w:rsidRPr="00D66005">
              <w:rPr>
                <w:sz w:val="20"/>
                <w:szCs w:val="20"/>
              </w:rPr>
              <w:t>T.value</w:t>
            </w:r>
            <w:bookmarkEnd w:id="143"/>
            <w:proofErr w:type="spellEnd"/>
          </w:p>
        </w:tc>
        <w:tc>
          <w:tcPr>
            <w:tcW w:w="850" w:type="pct"/>
            <w:shd w:val="clear" w:color="auto" w:fill="BFBFBF" w:themeFill="background1" w:themeFillShade="BF"/>
            <w:vAlign w:val="center"/>
          </w:tcPr>
          <w:p w14:paraId="3DDCE587" w14:textId="77777777" w:rsidR="00DE2B2A" w:rsidRPr="00D66005" w:rsidRDefault="00DE2B2A" w:rsidP="00D66005">
            <w:pPr>
              <w:pStyle w:val="afe"/>
              <w:spacing w:line="240" w:lineRule="auto"/>
              <w:rPr>
                <w:sz w:val="20"/>
                <w:szCs w:val="20"/>
                <w:rtl/>
              </w:rPr>
            </w:pPr>
            <w:bookmarkStart w:id="144" w:name="_Toc195456579"/>
            <w:proofErr w:type="spellStart"/>
            <w:r w:rsidRPr="00D66005">
              <w:rPr>
                <w:sz w:val="20"/>
                <w:szCs w:val="20"/>
              </w:rPr>
              <w:t>Sig.T</w:t>
            </w:r>
            <w:bookmarkEnd w:id="144"/>
            <w:proofErr w:type="spellEnd"/>
          </w:p>
        </w:tc>
      </w:tr>
      <w:tr w:rsidR="00DE2B2A" w:rsidRPr="00D66005" w14:paraId="7B4347CC" w14:textId="77777777" w:rsidTr="00D66005">
        <w:trPr>
          <w:jc w:val="center"/>
        </w:trPr>
        <w:tc>
          <w:tcPr>
            <w:tcW w:w="945" w:type="pct"/>
            <w:shd w:val="clear" w:color="auto" w:fill="BFBFBF" w:themeFill="background1" w:themeFillShade="BF"/>
            <w:vAlign w:val="center"/>
          </w:tcPr>
          <w:p w14:paraId="62BFB45B" w14:textId="77777777" w:rsidR="00DE2B2A" w:rsidRPr="00D66005" w:rsidRDefault="00DE2B2A" w:rsidP="00D66005">
            <w:pPr>
              <w:pStyle w:val="afe"/>
              <w:spacing w:line="240" w:lineRule="auto"/>
              <w:rPr>
                <w:sz w:val="20"/>
                <w:szCs w:val="20"/>
                <w:rtl/>
              </w:rPr>
            </w:pPr>
            <w:bookmarkStart w:id="145" w:name="_Toc195456580"/>
            <w:r w:rsidRPr="00D66005">
              <w:rPr>
                <w:rFonts w:hint="cs"/>
                <w:sz w:val="20"/>
                <w:szCs w:val="20"/>
                <w:rtl/>
              </w:rPr>
              <w:t>التمويل القائم على المكافآت</w:t>
            </w:r>
            <w:bookmarkEnd w:id="145"/>
          </w:p>
        </w:tc>
        <w:tc>
          <w:tcPr>
            <w:tcW w:w="434" w:type="pct"/>
            <w:vAlign w:val="center"/>
          </w:tcPr>
          <w:p w14:paraId="6F76FAD2"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.652</w:t>
            </w:r>
          </w:p>
        </w:tc>
        <w:tc>
          <w:tcPr>
            <w:tcW w:w="686" w:type="pct"/>
            <w:vAlign w:val="center"/>
          </w:tcPr>
          <w:p w14:paraId="42813C7B"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.682</w:t>
            </w:r>
          </w:p>
        </w:tc>
        <w:tc>
          <w:tcPr>
            <w:tcW w:w="691" w:type="pct"/>
            <w:vAlign w:val="center"/>
          </w:tcPr>
          <w:p w14:paraId="72FA0DA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.682</w:t>
            </w:r>
            <w:r w:rsidRPr="00D66005">
              <w:rPr>
                <w:rFonts w:ascii="Times New Roman" w:hAnsi="Times New Roman" w:cs="Simplified Arabic"/>
                <w:color w:val="000000"/>
                <w:sz w:val="20"/>
                <w:szCs w:val="20"/>
                <w:vertAlign w:val="superscript"/>
              </w:rPr>
              <w:t>a</w:t>
            </w:r>
          </w:p>
        </w:tc>
        <w:tc>
          <w:tcPr>
            <w:tcW w:w="681" w:type="pct"/>
            <w:vAlign w:val="center"/>
          </w:tcPr>
          <w:p w14:paraId="7DE9B63F"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.466</w:t>
            </w:r>
          </w:p>
        </w:tc>
        <w:tc>
          <w:tcPr>
            <w:tcW w:w="713" w:type="pct"/>
            <w:vAlign w:val="center"/>
          </w:tcPr>
          <w:p w14:paraId="0A018A4C"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18.241</w:t>
            </w:r>
          </w:p>
        </w:tc>
        <w:tc>
          <w:tcPr>
            <w:tcW w:w="850" w:type="pct"/>
            <w:vAlign w:val="center"/>
          </w:tcPr>
          <w:p w14:paraId="78233F6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
        </w:tc>
      </w:tr>
      <w:tr w:rsidR="00DE2B2A" w:rsidRPr="00D66005" w14:paraId="2824224F" w14:textId="77777777" w:rsidTr="00D66005">
        <w:trPr>
          <w:jc w:val="center"/>
        </w:trPr>
        <w:tc>
          <w:tcPr>
            <w:tcW w:w="945" w:type="pct"/>
            <w:shd w:val="clear" w:color="auto" w:fill="BFBFBF" w:themeFill="background1" w:themeFillShade="BF"/>
            <w:vAlign w:val="center"/>
          </w:tcPr>
          <w:p w14:paraId="5F265C1C" w14:textId="77777777" w:rsidR="00DE2B2A" w:rsidRPr="00D66005" w:rsidRDefault="00DE2B2A" w:rsidP="00D66005">
            <w:pPr>
              <w:pStyle w:val="afe"/>
              <w:spacing w:line="240" w:lineRule="auto"/>
              <w:rPr>
                <w:sz w:val="20"/>
                <w:szCs w:val="20"/>
                <w:rtl/>
              </w:rPr>
            </w:pPr>
            <w:bookmarkStart w:id="146" w:name="_Toc195456581"/>
            <w:r w:rsidRPr="00D66005">
              <w:rPr>
                <w:sz w:val="20"/>
                <w:szCs w:val="20"/>
                <w:rtl/>
              </w:rPr>
              <w:t>المعامل الثابت</w:t>
            </w:r>
            <w:bookmarkEnd w:id="146"/>
          </w:p>
        </w:tc>
        <w:tc>
          <w:tcPr>
            <w:tcW w:w="4055" w:type="pct"/>
            <w:gridSpan w:val="6"/>
            <w:vAlign w:val="center"/>
          </w:tcPr>
          <w:p w14:paraId="5DA899E1"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1.493</w:t>
            </w:r>
          </w:p>
        </w:tc>
      </w:tr>
      <w:tr w:rsidR="00DE2B2A" w:rsidRPr="00D66005" w14:paraId="5D03C0EE" w14:textId="77777777" w:rsidTr="00D66005">
        <w:trPr>
          <w:jc w:val="center"/>
        </w:trPr>
        <w:tc>
          <w:tcPr>
            <w:tcW w:w="945" w:type="pct"/>
            <w:shd w:val="clear" w:color="auto" w:fill="BFBFBF" w:themeFill="background1" w:themeFillShade="BF"/>
            <w:vAlign w:val="center"/>
          </w:tcPr>
          <w:p w14:paraId="0D44F4D0" w14:textId="77777777" w:rsidR="00DE2B2A" w:rsidRPr="00D66005" w:rsidRDefault="00DE2B2A" w:rsidP="00D66005">
            <w:pPr>
              <w:pStyle w:val="afe"/>
              <w:spacing w:line="240" w:lineRule="auto"/>
              <w:rPr>
                <w:sz w:val="20"/>
                <w:szCs w:val="20"/>
              </w:rPr>
            </w:pPr>
            <w:bookmarkStart w:id="147" w:name="_Toc195456582"/>
            <w:r w:rsidRPr="00D66005">
              <w:rPr>
                <w:sz w:val="20"/>
                <w:szCs w:val="20"/>
              </w:rPr>
              <w:t>Adj R2</w:t>
            </w:r>
            <w:bookmarkEnd w:id="147"/>
          </w:p>
        </w:tc>
        <w:tc>
          <w:tcPr>
            <w:tcW w:w="4055" w:type="pct"/>
            <w:gridSpan w:val="6"/>
            <w:vAlign w:val="center"/>
          </w:tcPr>
          <w:p w14:paraId="2970875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.464</w:t>
            </w:r>
          </w:p>
        </w:tc>
      </w:tr>
      <w:tr w:rsidR="00DE2B2A" w:rsidRPr="00D66005" w14:paraId="09F843F9" w14:textId="77777777" w:rsidTr="00D66005">
        <w:trPr>
          <w:jc w:val="center"/>
        </w:trPr>
        <w:tc>
          <w:tcPr>
            <w:tcW w:w="945" w:type="pct"/>
            <w:shd w:val="clear" w:color="auto" w:fill="BFBFBF" w:themeFill="background1" w:themeFillShade="BF"/>
            <w:vAlign w:val="center"/>
          </w:tcPr>
          <w:p w14:paraId="740D657E" w14:textId="77777777" w:rsidR="00DE2B2A" w:rsidRPr="00D66005" w:rsidRDefault="00DE2B2A" w:rsidP="00D66005">
            <w:pPr>
              <w:pStyle w:val="afe"/>
              <w:spacing w:line="240" w:lineRule="auto"/>
              <w:rPr>
                <w:sz w:val="20"/>
                <w:szCs w:val="20"/>
              </w:rPr>
            </w:pPr>
            <w:bookmarkStart w:id="148" w:name="_Toc195456583"/>
            <w:r w:rsidRPr="00D66005">
              <w:rPr>
                <w:sz w:val="20"/>
                <w:szCs w:val="20"/>
                <w:rtl/>
              </w:rPr>
              <w:t xml:space="preserve">قيمة </w:t>
            </w:r>
            <w:r w:rsidRPr="00D66005">
              <w:rPr>
                <w:sz w:val="20"/>
                <w:szCs w:val="20"/>
              </w:rPr>
              <w:t>F</w:t>
            </w:r>
            <w:bookmarkEnd w:id="148"/>
          </w:p>
        </w:tc>
        <w:tc>
          <w:tcPr>
            <w:tcW w:w="4055" w:type="pct"/>
            <w:gridSpan w:val="6"/>
            <w:vAlign w:val="center"/>
          </w:tcPr>
          <w:p w14:paraId="40FB765A"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332.717</w:t>
            </w:r>
          </w:p>
        </w:tc>
      </w:tr>
      <w:tr w:rsidR="00DE2B2A" w:rsidRPr="00D66005" w14:paraId="5164D40C" w14:textId="77777777" w:rsidTr="00D66005">
        <w:trPr>
          <w:trHeight w:val="70"/>
          <w:jc w:val="center"/>
        </w:trPr>
        <w:tc>
          <w:tcPr>
            <w:tcW w:w="945" w:type="pct"/>
            <w:shd w:val="clear" w:color="auto" w:fill="BFBFBF" w:themeFill="background1" w:themeFillShade="BF"/>
            <w:vAlign w:val="center"/>
          </w:tcPr>
          <w:p w14:paraId="145462CE" w14:textId="77777777" w:rsidR="00DE2B2A" w:rsidRPr="00D66005" w:rsidRDefault="00DE2B2A" w:rsidP="00D66005">
            <w:pPr>
              <w:pStyle w:val="afe"/>
              <w:spacing w:line="240" w:lineRule="auto"/>
              <w:rPr>
                <w:sz w:val="20"/>
                <w:szCs w:val="20"/>
              </w:rPr>
            </w:pPr>
            <w:bookmarkStart w:id="149" w:name="_Toc195456584"/>
            <w:r w:rsidRPr="00D66005">
              <w:rPr>
                <w:sz w:val="20"/>
                <w:szCs w:val="20"/>
              </w:rPr>
              <w:t>Sig F</w:t>
            </w:r>
            <w:bookmarkEnd w:id="149"/>
          </w:p>
        </w:tc>
        <w:tc>
          <w:tcPr>
            <w:tcW w:w="4055" w:type="pct"/>
            <w:gridSpan w:val="6"/>
            <w:vAlign w:val="center"/>
          </w:tcPr>
          <w:p w14:paraId="045F26EC"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roofErr w:type="gramStart"/>
            <w:r w:rsidRPr="00D66005">
              <w:rPr>
                <w:rFonts w:ascii="Times New Roman" w:hAnsi="Times New Roman" w:cs="Simplified Arabic"/>
                <w:color w:val="000000"/>
                <w:sz w:val="20"/>
                <w:szCs w:val="20"/>
              </w:rPr>
              <w:t xml:space="preserve">b </w:t>
            </w:r>
            <w:r w:rsidRPr="00D66005">
              <w:rPr>
                <w:rFonts w:ascii="Times New Roman" w:hAnsi="Times New Roman" w:cs="Simplified Arabic" w:hint="cs"/>
                <w:color w:val="000000"/>
                <w:sz w:val="20"/>
                <w:szCs w:val="20"/>
                <w:rtl/>
              </w:rPr>
              <w:t xml:space="preserve"> نموذج</w:t>
            </w:r>
            <w:proofErr w:type="gramEnd"/>
            <w:r w:rsidRPr="00D66005">
              <w:rPr>
                <w:rFonts w:ascii="Times New Roman" w:hAnsi="Times New Roman" w:cs="Simplified Arabic" w:hint="cs"/>
                <w:color w:val="000000"/>
                <w:sz w:val="20"/>
                <w:szCs w:val="20"/>
                <w:rtl/>
              </w:rPr>
              <w:t xml:space="preserve"> معنوي</w:t>
            </w:r>
          </w:p>
        </w:tc>
      </w:tr>
    </w:tbl>
    <w:p w14:paraId="24279F90" w14:textId="77777777" w:rsidR="00DE2B2A" w:rsidRPr="00BC50C9" w:rsidRDefault="00DE2B2A" w:rsidP="00D66005">
      <w:pPr>
        <w:pStyle w:val="00000"/>
        <w:rPr>
          <w:rtl/>
        </w:rPr>
      </w:pPr>
      <w:r w:rsidRPr="00BC50C9">
        <w:rPr>
          <w:rFonts w:hint="cs"/>
          <w:rtl/>
        </w:rPr>
        <w:t>يتبين من الجدول السابق وجود أثر إيجابي ذو دلالة إحصائية للتمويل القائم على المكافآت على الاستدامة المالية بالمملكة العربية السعودية؛ حيث جاءت قيمة (</w:t>
      </w:r>
      <w:r w:rsidRPr="00BC50C9">
        <w:t>R</w:t>
      </w:r>
      <w:r w:rsidRPr="00BC50C9">
        <w:rPr>
          <w:rFonts w:hint="cs"/>
          <w:rtl/>
        </w:rPr>
        <w:t>) (</w:t>
      </w:r>
      <w:r w:rsidRPr="00BC50C9">
        <w:t>.682a</w:t>
      </w:r>
      <w:r w:rsidRPr="00BC50C9">
        <w:rPr>
          <w:rFonts w:hint="cs"/>
          <w:rtl/>
        </w:rPr>
        <w:t>) بمستوى دلالة (</w:t>
      </w:r>
      <w:r w:rsidRPr="00BC50C9">
        <w:t>.000</w:t>
      </w:r>
      <w:proofErr w:type="gramStart"/>
      <w:r w:rsidRPr="00BC50C9">
        <w:t xml:space="preserve">b </w:t>
      </w:r>
      <w:r w:rsidRPr="00BC50C9">
        <w:rPr>
          <w:rFonts w:hint="cs"/>
          <w:rtl/>
        </w:rPr>
        <w:t>)</w:t>
      </w:r>
      <w:proofErr w:type="gramEnd"/>
      <w:r w:rsidRPr="00BC50C9">
        <w:rPr>
          <w:rFonts w:hint="cs"/>
          <w:rtl/>
        </w:rPr>
        <w:t xml:space="preserve">؛ وبذلك تم التحقق من خطأ الفرضية حيث </w:t>
      </w:r>
      <w:proofErr w:type="gramStart"/>
      <w:r w:rsidRPr="00BC50C9">
        <w:rPr>
          <w:rFonts w:hint="cs"/>
          <w:rtl/>
        </w:rPr>
        <w:t>أن</w:t>
      </w:r>
      <w:proofErr w:type="gramEnd"/>
      <w:r w:rsidRPr="00BC50C9">
        <w:rPr>
          <w:rFonts w:hint="cs"/>
          <w:rtl/>
        </w:rPr>
        <w:t xml:space="preserve"> ي</w:t>
      </w:r>
      <w:r w:rsidRPr="00BC50C9">
        <w:rPr>
          <w:rtl/>
        </w:rPr>
        <w:t xml:space="preserve">تيح هذا النوع من التمويل لرواد الأعمال الحصول على الدعم المالي من خلال تقديم مزايا ملموسة للمستثمرين، </w:t>
      </w:r>
      <w:r w:rsidRPr="00BC50C9">
        <w:rPr>
          <w:rFonts w:hint="cs"/>
          <w:rtl/>
        </w:rPr>
        <w:t xml:space="preserve">وهو ما </w:t>
      </w:r>
      <w:r w:rsidRPr="00BC50C9">
        <w:rPr>
          <w:rtl/>
        </w:rPr>
        <w:t>يشجع على زيادة المشاركة من قبل الأفراد والمستثمرين، وبالتالي يوفر موارد مالية ضرورية لتطوير المشاريع.</w:t>
      </w:r>
    </w:p>
    <w:p w14:paraId="1F210A91"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التشاركي المختلط على الاستدامة المالية بالمملكة العربية السعودية.</w:t>
      </w:r>
    </w:p>
    <w:p w14:paraId="519F1971" w14:textId="77777777" w:rsidR="00DE2B2A" w:rsidRPr="00BC50C9" w:rsidRDefault="00DE2B2A" w:rsidP="00D66005">
      <w:pPr>
        <w:pStyle w:val="00000"/>
        <w:rPr>
          <w:rtl/>
        </w:rPr>
      </w:pPr>
      <w:r w:rsidRPr="00BC50C9">
        <w:rPr>
          <w:rtl/>
        </w:rPr>
        <w:t xml:space="preserve">تم استخدام اختبار تحليل </w:t>
      </w:r>
      <w:r w:rsidRPr="00BC50C9">
        <w:rPr>
          <w:rFonts w:hint="cs"/>
          <w:rtl/>
        </w:rPr>
        <w:t>الانحدار لمعرفة وجود أثر ذو دلالة إحصائية للتمويل التشاركي المختلط على الاستدامة المالية بالمملكة العربية السعودية</w:t>
      </w:r>
      <w:r w:rsidRPr="00BC50C9">
        <w:rPr>
          <w:rtl/>
        </w:rPr>
        <w:t xml:space="preserve"> </w:t>
      </w:r>
    </w:p>
    <w:p w14:paraId="5F9FE9CD" w14:textId="77777777" w:rsidR="00DE2B2A" w:rsidRPr="00BC50C9" w:rsidRDefault="00DE2B2A" w:rsidP="00D66005">
      <w:pPr>
        <w:pStyle w:val="33333"/>
        <w:rPr>
          <w:rtl/>
        </w:rPr>
      </w:pPr>
      <w:bookmarkStart w:id="150" w:name="_Toc195456585"/>
      <w:r w:rsidRPr="00BC50C9">
        <w:rPr>
          <w:rtl/>
        </w:rPr>
        <w:t>الجدول رقم (</w:t>
      </w:r>
      <w:r w:rsidRPr="00BC50C9">
        <w:rPr>
          <w:rFonts w:hint="cs"/>
          <w:rtl/>
        </w:rPr>
        <w:t>4</w:t>
      </w:r>
      <w:r w:rsidRPr="00BC50C9">
        <w:rPr>
          <w:rtl/>
        </w:rPr>
        <w:t>-</w:t>
      </w:r>
      <w:r w:rsidRPr="00BC50C9">
        <w:rPr>
          <w:rFonts w:hint="cs"/>
          <w:rtl/>
        </w:rPr>
        <w:t>10</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التمويل التشاركي المختلط على الاستدامة المالية بالمملكة العربية السعودية</w:t>
      </w:r>
      <w:bookmarkEnd w:id="150"/>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D66005" w14:paraId="5D6821E8" w14:textId="77777777" w:rsidTr="00D66005">
        <w:trPr>
          <w:jc w:val="center"/>
        </w:trPr>
        <w:tc>
          <w:tcPr>
            <w:tcW w:w="945" w:type="pct"/>
            <w:shd w:val="clear" w:color="auto" w:fill="BFBFBF" w:themeFill="background1" w:themeFillShade="BF"/>
            <w:vAlign w:val="center"/>
          </w:tcPr>
          <w:p w14:paraId="14D950F1" w14:textId="77777777" w:rsidR="00DE2B2A" w:rsidRPr="00D66005" w:rsidRDefault="00DE2B2A" w:rsidP="00D66005">
            <w:pPr>
              <w:pStyle w:val="afe"/>
              <w:spacing w:line="240" w:lineRule="auto"/>
              <w:rPr>
                <w:sz w:val="20"/>
                <w:szCs w:val="20"/>
                <w:rtl/>
              </w:rPr>
            </w:pPr>
            <w:bookmarkStart w:id="151" w:name="_Toc195456586"/>
            <w:r w:rsidRPr="00D66005">
              <w:rPr>
                <w:sz w:val="20"/>
                <w:szCs w:val="20"/>
                <w:rtl/>
              </w:rPr>
              <w:t>المتغير المستقل</w:t>
            </w:r>
            <w:bookmarkEnd w:id="151"/>
          </w:p>
        </w:tc>
        <w:tc>
          <w:tcPr>
            <w:tcW w:w="434" w:type="pct"/>
            <w:shd w:val="clear" w:color="auto" w:fill="BFBFBF" w:themeFill="background1" w:themeFillShade="BF"/>
            <w:vAlign w:val="center"/>
          </w:tcPr>
          <w:p w14:paraId="7002DD81" w14:textId="77777777" w:rsidR="00DE2B2A" w:rsidRPr="00D66005" w:rsidRDefault="00DE2B2A" w:rsidP="00D66005">
            <w:pPr>
              <w:pStyle w:val="afe"/>
              <w:spacing w:line="240" w:lineRule="auto"/>
              <w:rPr>
                <w:sz w:val="20"/>
                <w:szCs w:val="20"/>
                <w:rtl/>
              </w:rPr>
            </w:pPr>
            <w:bookmarkStart w:id="152" w:name="_Toc195456587"/>
            <w:r w:rsidRPr="00D66005">
              <w:rPr>
                <w:sz w:val="20"/>
                <w:szCs w:val="20"/>
              </w:rPr>
              <w:t>B</w:t>
            </w:r>
            <w:bookmarkEnd w:id="152"/>
          </w:p>
        </w:tc>
        <w:tc>
          <w:tcPr>
            <w:tcW w:w="686" w:type="pct"/>
            <w:shd w:val="clear" w:color="auto" w:fill="BFBFBF" w:themeFill="background1" w:themeFillShade="BF"/>
            <w:vAlign w:val="center"/>
          </w:tcPr>
          <w:p w14:paraId="38F8814B" w14:textId="77777777" w:rsidR="00DE2B2A" w:rsidRPr="00D66005" w:rsidRDefault="00DE2B2A" w:rsidP="00D66005">
            <w:pPr>
              <w:pStyle w:val="afe"/>
              <w:spacing w:line="240" w:lineRule="auto"/>
              <w:rPr>
                <w:sz w:val="20"/>
                <w:szCs w:val="20"/>
                <w:rtl/>
              </w:rPr>
            </w:pPr>
            <w:bookmarkStart w:id="153" w:name="_Toc195456588"/>
            <w:r w:rsidRPr="00D66005">
              <w:rPr>
                <w:sz w:val="20"/>
                <w:szCs w:val="20"/>
              </w:rPr>
              <w:t>Beta</w:t>
            </w:r>
            <w:bookmarkEnd w:id="153"/>
          </w:p>
        </w:tc>
        <w:tc>
          <w:tcPr>
            <w:tcW w:w="691" w:type="pct"/>
            <w:shd w:val="clear" w:color="auto" w:fill="BFBFBF" w:themeFill="background1" w:themeFillShade="BF"/>
            <w:vAlign w:val="center"/>
          </w:tcPr>
          <w:p w14:paraId="3084F596" w14:textId="77777777" w:rsidR="00DE2B2A" w:rsidRPr="00D66005" w:rsidRDefault="00DE2B2A" w:rsidP="00D66005">
            <w:pPr>
              <w:pStyle w:val="afe"/>
              <w:spacing w:line="240" w:lineRule="auto"/>
              <w:rPr>
                <w:sz w:val="20"/>
                <w:szCs w:val="20"/>
                <w:rtl/>
              </w:rPr>
            </w:pPr>
            <w:bookmarkStart w:id="154" w:name="_Toc195456589"/>
            <w:r w:rsidRPr="00D66005">
              <w:rPr>
                <w:sz w:val="20"/>
                <w:szCs w:val="20"/>
              </w:rPr>
              <w:t>R</w:t>
            </w:r>
            <w:bookmarkEnd w:id="154"/>
          </w:p>
        </w:tc>
        <w:tc>
          <w:tcPr>
            <w:tcW w:w="681" w:type="pct"/>
            <w:shd w:val="clear" w:color="auto" w:fill="BFBFBF" w:themeFill="background1" w:themeFillShade="BF"/>
            <w:vAlign w:val="center"/>
          </w:tcPr>
          <w:p w14:paraId="77CE3F13" w14:textId="77777777" w:rsidR="00DE2B2A" w:rsidRPr="00D66005" w:rsidRDefault="00DE2B2A" w:rsidP="00D66005">
            <w:pPr>
              <w:pStyle w:val="afe"/>
              <w:spacing w:line="240" w:lineRule="auto"/>
              <w:rPr>
                <w:sz w:val="20"/>
                <w:szCs w:val="20"/>
                <w:rtl/>
              </w:rPr>
            </w:pPr>
            <w:bookmarkStart w:id="155" w:name="_Toc195456590"/>
            <w:r w:rsidRPr="00D66005">
              <w:rPr>
                <w:sz w:val="20"/>
                <w:szCs w:val="20"/>
              </w:rPr>
              <w:t>R2</w:t>
            </w:r>
            <w:bookmarkEnd w:id="155"/>
          </w:p>
        </w:tc>
        <w:tc>
          <w:tcPr>
            <w:tcW w:w="713" w:type="pct"/>
            <w:shd w:val="clear" w:color="auto" w:fill="BFBFBF" w:themeFill="background1" w:themeFillShade="BF"/>
            <w:vAlign w:val="center"/>
          </w:tcPr>
          <w:p w14:paraId="3E56B5F6" w14:textId="77777777" w:rsidR="00DE2B2A" w:rsidRPr="00D66005" w:rsidRDefault="00DE2B2A" w:rsidP="00D66005">
            <w:pPr>
              <w:pStyle w:val="afe"/>
              <w:spacing w:line="240" w:lineRule="auto"/>
              <w:rPr>
                <w:sz w:val="20"/>
                <w:szCs w:val="20"/>
              </w:rPr>
            </w:pPr>
            <w:bookmarkStart w:id="156" w:name="_Toc195456591"/>
            <w:proofErr w:type="spellStart"/>
            <w:r w:rsidRPr="00D66005">
              <w:rPr>
                <w:sz w:val="20"/>
                <w:szCs w:val="20"/>
              </w:rPr>
              <w:t>T.value</w:t>
            </w:r>
            <w:bookmarkEnd w:id="156"/>
            <w:proofErr w:type="spellEnd"/>
          </w:p>
        </w:tc>
        <w:tc>
          <w:tcPr>
            <w:tcW w:w="850" w:type="pct"/>
            <w:shd w:val="clear" w:color="auto" w:fill="BFBFBF" w:themeFill="background1" w:themeFillShade="BF"/>
            <w:vAlign w:val="center"/>
          </w:tcPr>
          <w:p w14:paraId="1F8F742A" w14:textId="77777777" w:rsidR="00DE2B2A" w:rsidRPr="00D66005" w:rsidRDefault="00DE2B2A" w:rsidP="00D66005">
            <w:pPr>
              <w:pStyle w:val="afe"/>
              <w:spacing w:line="240" w:lineRule="auto"/>
              <w:rPr>
                <w:sz w:val="20"/>
                <w:szCs w:val="20"/>
                <w:rtl/>
              </w:rPr>
            </w:pPr>
            <w:bookmarkStart w:id="157" w:name="_Toc195456592"/>
            <w:proofErr w:type="spellStart"/>
            <w:r w:rsidRPr="00D66005">
              <w:rPr>
                <w:sz w:val="20"/>
                <w:szCs w:val="20"/>
              </w:rPr>
              <w:t>Sig.T</w:t>
            </w:r>
            <w:bookmarkEnd w:id="157"/>
            <w:proofErr w:type="spellEnd"/>
          </w:p>
        </w:tc>
      </w:tr>
      <w:tr w:rsidR="00DE2B2A" w:rsidRPr="00D66005" w14:paraId="6601E2C5" w14:textId="77777777" w:rsidTr="00D66005">
        <w:trPr>
          <w:jc w:val="center"/>
        </w:trPr>
        <w:tc>
          <w:tcPr>
            <w:tcW w:w="945" w:type="pct"/>
            <w:shd w:val="clear" w:color="auto" w:fill="BFBFBF" w:themeFill="background1" w:themeFillShade="BF"/>
            <w:vAlign w:val="center"/>
          </w:tcPr>
          <w:p w14:paraId="7EE9B963" w14:textId="77777777" w:rsidR="00DE2B2A" w:rsidRPr="00D66005" w:rsidRDefault="00DE2B2A" w:rsidP="00D66005">
            <w:pPr>
              <w:pStyle w:val="afe"/>
              <w:spacing w:line="240" w:lineRule="auto"/>
              <w:rPr>
                <w:sz w:val="20"/>
                <w:szCs w:val="20"/>
                <w:rtl/>
              </w:rPr>
            </w:pPr>
            <w:bookmarkStart w:id="158" w:name="_Toc195456593"/>
            <w:r w:rsidRPr="00D66005">
              <w:rPr>
                <w:rFonts w:hint="cs"/>
                <w:sz w:val="20"/>
                <w:szCs w:val="20"/>
                <w:rtl/>
              </w:rPr>
              <w:t>التمويل التشاركي المختلط</w:t>
            </w:r>
            <w:bookmarkEnd w:id="158"/>
          </w:p>
        </w:tc>
        <w:tc>
          <w:tcPr>
            <w:tcW w:w="434" w:type="pct"/>
            <w:vAlign w:val="center"/>
          </w:tcPr>
          <w:p w14:paraId="677A11AF"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.778</w:t>
            </w:r>
          </w:p>
        </w:tc>
        <w:tc>
          <w:tcPr>
            <w:tcW w:w="686" w:type="pct"/>
            <w:vAlign w:val="center"/>
          </w:tcPr>
          <w:p w14:paraId="51055731"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.696</w:t>
            </w:r>
          </w:p>
        </w:tc>
        <w:tc>
          <w:tcPr>
            <w:tcW w:w="691" w:type="pct"/>
            <w:vAlign w:val="center"/>
          </w:tcPr>
          <w:p w14:paraId="54EECCDD"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.696</w:t>
            </w:r>
            <w:r w:rsidRPr="00D66005">
              <w:rPr>
                <w:rFonts w:ascii="Times New Roman" w:hAnsi="Times New Roman" w:cs="Simplified Arabic"/>
                <w:color w:val="000000"/>
                <w:sz w:val="20"/>
                <w:szCs w:val="20"/>
                <w:vertAlign w:val="superscript"/>
              </w:rPr>
              <w:t>a</w:t>
            </w:r>
          </w:p>
        </w:tc>
        <w:tc>
          <w:tcPr>
            <w:tcW w:w="681" w:type="pct"/>
            <w:vAlign w:val="center"/>
          </w:tcPr>
          <w:p w14:paraId="683620DC"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.484</w:t>
            </w:r>
          </w:p>
        </w:tc>
        <w:tc>
          <w:tcPr>
            <w:tcW w:w="713" w:type="pct"/>
            <w:vAlign w:val="center"/>
          </w:tcPr>
          <w:p w14:paraId="7F978B4F"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18.942</w:t>
            </w:r>
          </w:p>
        </w:tc>
        <w:tc>
          <w:tcPr>
            <w:tcW w:w="850" w:type="pct"/>
            <w:vAlign w:val="center"/>
          </w:tcPr>
          <w:p w14:paraId="73C84B69"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
        </w:tc>
      </w:tr>
      <w:tr w:rsidR="00DE2B2A" w:rsidRPr="00D66005" w14:paraId="6B6F53DF" w14:textId="77777777" w:rsidTr="00D66005">
        <w:trPr>
          <w:jc w:val="center"/>
        </w:trPr>
        <w:tc>
          <w:tcPr>
            <w:tcW w:w="945" w:type="pct"/>
            <w:shd w:val="clear" w:color="auto" w:fill="BFBFBF" w:themeFill="background1" w:themeFillShade="BF"/>
            <w:vAlign w:val="center"/>
          </w:tcPr>
          <w:p w14:paraId="7165817F" w14:textId="77777777" w:rsidR="00DE2B2A" w:rsidRPr="00D66005" w:rsidRDefault="00DE2B2A" w:rsidP="00D66005">
            <w:pPr>
              <w:pStyle w:val="afe"/>
              <w:spacing w:line="240" w:lineRule="auto"/>
              <w:rPr>
                <w:sz w:val="20"/>
                <w:szCs w:val="20"/>
                <w:rtl/>
              </w:rPr>
            </w:pPr>
            <w:bookmarkStart w:id="159" w:name="_Toc195456594"/>
            <w:r w:rsidRPr="00D66005">
              <w:rPr>
                <w:sz w:val="20"/>
                <w:szCs w:val="20"/>
                <w:rtl/>
              </w:rPr>
              <w:t>المعامل الثابت</w:t>
            </w:r>
            <w:bookmarkEnd w:id="159"/>
          </w:p>
        </w:tc>
        <w:tc>
          <w:tcPr>
            <w:tcW w:w="4055" w:type="pct"/>
            <w:gridSpan w:val="6"/>
            <w:vAlign w:val="center"/>
          </w:tcPr>
          <w:p w14:paraId="5E25CE7C"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.968</w:t>
            </w:r>
          </w:p>
        </w:tc>
      </w:tr>
      <w:tr w:rsidR="00DE2B2A" w:rsidRPr="00D66005" w14:paraId="5BE85454" w14:textId="77777777" w:rsidTr="00D66005">
        <w:trPr>
          <w:jc w:val="center"/>
        </w:trPr>
        <w:tc>
          <w:tcPr>
            <w:tcW w:w="945" w:type="pct"/>
            <w:shd w:val="clear" w:color="auto" w:fill="BFBFBF" w:themeFill="background1" w:themeFillShade="BF"/>
            <w:vAlign w:val="center"/>
          </w:tcPr>
          <w:p w14:paraId="28F17046" w14:textId="77777777" w:rsidR="00DE2B2A" w:rsidRPr="00D66005" w:rsidRDefault="00DE2B2A" w:rsidP="00D66005">
            <w:pPr>
              <w:pStyle w:val="afe"/>
              <w:spacing w:line="240" w:lineRule="auto"/>
              <w:rPr>
                <w:sz w:val="20"/>
                <w:szCs w:val="20"/>
              </w:rPr>
            </w:pPr>
            <w:bookmarkStart w:id="160" w:name="_Toc195456595"/>
            <w:r w:rsidRPr="00D66005">
              <w:rPr>
                <w:sz w:val="20"/>
                <w:szCs w:val="20"/>
              </w:rPr>
              <w:t>Adj R2</w:t>
            </w:r>
            <w:bookmarkEnd w:id="160"/>
          </w:p>
        </w:tc>
        <w:tc>
          <w:tcPr>
            <w:tcW w:w="4055" w:type="pct"/>
            <w:gridSpan w:val="6"/>
            <w:vAlign w:val="center"/>
          </w:tcPr>
          <w:p w14:paraId="516CF463"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.483</w:t>
            </w:r>
          </w:p>
        </w:tc>
      </w:tr>
      <w:tr w:rsidR="00DE2B2A" w:rsidRPr="00D66005" w14:paraId="7510000A" w14:textId="77777777" w:rsidTr="00D66005">
        <w:trPr>
          <w:jc w:val="center"/>
        </w:trPr>
        <w:tc>
          <w:tcPr>
            <w:tcW w:w="945" w:type="pct"/>
            <w:shd w:val="clear" w:color="auto" w:fill="BFBFBF" w:themeFill="background1" w:themeFillShade="BF"/>
            <w:vAlign w:val="center"/>
          </w:tcPr>
          <w:p w14:paraId="7AF7F699" w14:textId="77777777" w:rsidR="00DE2B2A" w:rsidRPr="00D66005" w:rsidRDefault="00DE2B2A" w:rsidP="00D66005">
            <w:pPr>
              <w:pStyle w:val="afe"/>
              <w:spacing w:line="240" w:lineRule="auto"/>
              <w:rPr>
                <w:sz w:val="20"/>
                <w:szCs w:val="20"/>
              </w:rPr>
            </w:pPr>
            <w:bookmarkStart w:id="161" w:name="_Toc195456596"/>
            <w:r w:rsidRPr="00D66005">
              <w:rPr>
                <w:sz w:val="20"/>
                <w:szCs w:val="20"/>
                <w:rtl/>
              </w:rPr>
              <w:t xml:space="preserve">قيمة </w:t>
            </w:r>
            <w:r w:rsidRPr="00D66005">
              <w:rPr>
                <w:sz w:val="20"/>
                <w:szCs w:val="20"/>
              </w:rPr>
              <w:t>F</w:t>
            </w:r>
            <w:bookmarkEnd w:id="161"/>
          </w:p>
        </w:tc>
        <w:tc>
          <w:tcPr>
            <w:tcW w:w="4055" w:type="pct"/>
            <w:gridSpan w:val="6"/>
            <w:vAlign w:val="center"/>
          </w:tcPr>
          <w:p w14:paraId="15BC54DB"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358.786</w:t>
            </w:r>
          </w:p>
        </w:tc>
      </w:tr>
      <w:tr w:rsidR="00DE2B2A" w:rsidRPr="00D66005" w14:paraId="7937982F" w14:textId="77777777" w:rsidTr="00D66005">
        <w:trPr>
          <w:jc w:val="center"/>
        </w:trPr>
        <w:tc>
          <w:tcPr>
            <w:tcW w:w="945" w:type="pct"/>
            <w:shd w:val="clear" w:color="auto" w:fill="BFBFBF" w:themeFill="background1" w:themeFillShade="BF"/>
            <w:vAlign w:val="center"/>
          </w:tcPr>
          <w:p w14:paraId="01DE7F77" w14:textId="77777777" w:rsidR="00DE2B2A" w:rsidRPr="00D66005" w:rsidRDefault="00DE2B2A" w:rsidP="00D66005">
            <w:pPr>
              <w:pStyle w:val="afe"/>
              <w:spacing w:line="240" w:lineRule="auto"/>
              <w:rPr>
                <w:sz w:val="20"/>
                <w:szCs w:val="20"/>
              </w:rPr>
            </w:pPr>
            <w:bookmarkStart w:id="162" w:name="_Toc195456597"/>
            <w:r w:rsidRPr="00D66005">
              <w:rPr>
                <w:sz w:val="20"/>
                <w:szCs w:val="20"/>
              </w:rPr>
              <w:t>Sig F</w:t>
            </w:r>
            <w:bookmarkEnd w:id="162"/>
          </w:p>
        </w:tc>
        <w:tc>
          <w:tcPr>
            <w:tcW w:w="4055" w:type="pct"/>
            <w:gridSpan w:val="6"/>
            <w:vAlign w:val="center"/>
          </w:tcPr>
          <w:p w14:paraId="4FCCA736"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roofErr w:type="gramStart"/>
            <w:r w:rsidRPr="00D66005">
              <w:rPr>
                <w:rFonts w:ascii="Times New Roman" w:hAnsi="Times New Roman" w:cs="Simplified Arabic"/>
                <w:color w:val="000000"/>
                <w:sz w:val="20"/>
                <w:szCs w:val="20"/>
              </w:rPr>
              <w:t xml:space="preserve">b </w:t>
            </w:r>
            <w:r w:rsidRPr="00D66005">
              <w:rPr>
                <w:rFonts w:ascii="Times New Roman" w:hAnsi="Times New Roman" w:cs="Simplified Arabic" w:hint="cs"/>
                <w:color w:val="000000"/>
                <w:sz w:val="20"/>
                <w:szCs w:val="20"/>
                <w:rtl/>
              </w:rPr>
              <w:t xml:space="preserve"> نموذج</w:t>
            </w:r>
            <w:proofErr w:type="gramEnd"/>
            <w:r w:rsidRPr="00D66005">
              <w:rPr>
                <w:rFonts w:ascii="Times New Roman" w:hAnsi="Times New Roman" w:cs="Simplified Arabic" w:hint="cs"/>
                <w:color w:val="000000"/>
                <w:sz w:val="20"/>
                <w:szCs w:val="20"/>
                <w:rtl/>
              </w:rPr>
              <w:t xml:space="preserve"> معنوي</w:t>
            </w:r>
          </w:p>
        </w:tc>
      </w:tr>
    </w:tbl>
    <w:p w14:paraId="64D6448C" w14:textId="77777777" w:rsidR="00DE2B2A" w:rsidRPr="00BC50C9" w:rsidRDefault="00DE2B2A" w:rsidP="00D66005">
      <w:pPr>
        <w:pStyle w:val="00000"/>
        <w:rPr>
          <w:rtl/>
        </w:rPr>
      </w:pPr>
      <w:r w:rsidRPr="00BC50C9">
        <w:rPr>
          <w:rFonts w:hint="cs"/>
          <w:rtl/>
        </w:rPr>
        <w:lastRenderedPageBreak/>
        <w:t>يتبين من الجدول السابق وجود أثر إيجابي ذو دلالة إحصائية للتمويل القائم على المكافآت على الاستدامة المالية بالمملكة العربية السعودية؛ حيث جاءت قيمة (</w:t>
      </w:r>
      <w:r w:rsidRPr="00BC50C9">
        <w:t>R</w:t>
      </w:r>
      <w:r w:rsidRPr="00BC50C9">
        <w:rPr>
          <w:rFonts w:hint="cs"/>
          <w:rtl/>
        </w:rPr>
        <w:t>) (</w:t>
      </w:r>
      <w:r w:rsidRPr="00BC50C9">
        <w:t>.696a</w:t>
      </w:r>
      <w:r w:rsidRPr="00BC50C9">
        <w:rPr>
          <w:rFonts w:hint="cs"/>
          <w:rtl/>
        </w:rPr>
        <w:t>) بمستوى دلالة (</w:t>
      </w:r>
      <w:r w:rsidRPr="00BC50C9">
        <w:t>.000b</w:t>
      </w:r>
      <w:r w:rsidRPr="00BC50C9">
        <w:rPr>
          <w:rFonts w:hint="cs"/>
          <w:rtl/>
        </w:rPr>
        <w:t xml:space="preserve">)؛ وبذلك تم التحقق من خطأ الفرضية ورفضها، حيث إن </w:t>
      </w:r>
      <w:r w:rsidRPr="00BC50C9">
        <w:rPr>
          <w:rtl/>
        </w:rPr>
        <w:t xml:space="preserve">يُظهر التمويل التشاركي المختلط يجمع  بين عناصر التمويل </w:t>
      </w:r>
      <w:proofErr w:type="spellStart"/>
      <w:r w:rsidRPr="00BC50C9">
        <w:rPr>
          <w:rtl/>
        </w:rPr>
        <w:t>التبرعي</w:t>
      </w:r>
      <w:proofErr w:type="spellEnd"/>
      <w:r w:rsidRPr="00BC50C9">
        <w:rPr>
          <w:rtl/>
        </w:rPr>
        <w:t xml:space="preserve"> والتمويل القائم على المكافآت، مما يوفر للمستثمرين خيارات متعددة تناسب احتياجاتهم</w:t>
      </w:r>
      <w:r w:rsidRPr="00BC50C9">
        <w:rPr>
          <w:rFonts w:hint="cs"/>
          <w:rtl/>
        </w:rPr>
        <w:t>،</w:t>
      </w:r>
      <w:r w:rsidRPr="00BC50C9">
        <w:rPr>
          <w:rtl/>
        </w:rPr>
        <w:t xml:space="preserve"> </w:t>
      </w:r>
      <w:r w:rsidRPr="00BC50C9">
        <w:rPr>
          <w:rFonts w:hint="cs"/>
          <w:rtl/>
        </w:rPr>
        <w:t>و</w:t>
      </w:r>
      <w:r w:rsidRPr="00BC50C9">
        <w:rPr>
          <w:rtl/>
        </w:rPr>
        <w:t>من خلال دمج هذين النوعين، تستطيع المشاريع الريادية جذب مجموعة متنوعة من الممولين، مما يُعزز من فرص نجاحها واستدامتها</w:t>
      </w:r>
      <w:r w:rsidRPr="00BC50C9">
        <w:rPr>
          <w:rFonts w:hint="cs"/>
          <w:rtl/>
        </w:rPr>
        <w:t xml:space="preserve">، وبذلك تمت التحقق من خطأ الفرضية الرئيسية الأولى التي نصت على: </w:t>
      </w:r>
      <w:r w:rsidRPr="00BC50C9">
        <w:rPr>
          <w:rFonts w:hint="cs"/>
          <w:b/>
          <w:bCs/>
          <w:rtl/>
        </w:rPr>
        <w:t>لا يوجد تأثير إيجابي ذو دلالة إحصائية عند مستوى دلالة (0.05) للتمويل التشاركي على الاستدامة المالية بالمملكة العربية السعودية</w:t>
      </w:r>
      <w:r w:rsidRPr="00BC50C9">
        <w:rPr>
          <w:rFonts w:hint="cs"/>
          <w:rtl/>
        </w:rPr>
        <w:t>، ورفضها.</w:t>
      </w:r>
    </w:p>
    <w:p w14:paraId="0B10AA45" w14:textId="77777777" w:rsidR="00DE2B2A" w:rsidRPr="00BC50C9" w:rsidRDefault="00DE2B2A" w:rsidP="00D66005">
      <w:pPr>
        <w:pStyle w:val="00000"/>
        <w:rPr>
          <w:rtl/>
        </w:rPr>
      </w:pPr>
      <w:r w:rsidRPr="00BC50C9">
        <w:rPr>
          <w:rFonts w:hint="cs"/>
          <w:rtl/>
        </w:rPr>
        <w:t xml:space="preserve">ويتفق هذا جزئيًا مع ما توصلت إليه </w:t>
      </w:r>
      <w:r w:rsidRPr="00BC50C9">
        <w:rPr>
          <w:rtl/>
        </w:rPr>
        <w:t>دراسة</w:t>
      </w:r>
      <w:r w:rsidRPr="00BC50C9">
        <w:rPr>
          <w:rFonts w:hint="cs"/>
          <w:rtl/>
        </w:rPr>
        <w:t xml:space="preserve"> </w:t>
      </w:r>
      <w:r w:rsidRPr="00BC50C9">
        <w:rPr>
          <w:rtl/>
        </w:rPr>
        <w:t>كل من "</w:t>
      </w:r>
      <w:proofErr w:type="spellStart"/>
      <w:r w:rsidRPr="00BC50C9">
        <w:rPr>
          <w:rtl/>
        </w:rPr>
        <w:t>مامارو</w:t>
      </w:r>
      <w:proofErr w:type="spellEnd"/>
      <w:r w:rsidRPr="00BC50C9">
        <w:rPr>
          <w:rtl/>
        </w:rPr>
        <w:t xml:space="preserve">، </w:t>
      </w:r>
      <w:proofErr w:type="spellStart"/>
      <w:r w:rsidRPr="00BC50C9">
        <w:rPr>
          <w:rtl/>
        </w:rPr>
        <w:t>شبيندي</w:t>
      </w:r>
      <w:proofErr w:type="spellEnd"/>
      <w:r w:rsidRPr="00BC50C9">
        <w:rPr>
          <w:rtl/>
        </w:rPr>
        <w:t>" (</w:t>
      </w:r>
      <w:proofErr w:type="spellStart"/>
      <w:r w:rsidRPr="00BC50C9">
        <w:t>Mamaro</w:t>
      </w:r>
      <w:proofErr w:type="spellEnd"/>
      <w:r w:rsidRPr="00BC50C9">
        <w:t xml:space="preserve"> &amp; Sibindi, 2022</w:t>
      </w:r>
      <w:r w:rsidRPr="00BC50C9">
        <w:rPr>
          <w:rtl/>
        </w:rPr>
        <w:t>) تمثلت أبرز العوامل المؤثرة على نجاح حملات التمويل التشاركي، في المبلغ المقدم؛ حيث يؤثر بشكل إيجابي على نجاح حملات التمويل التشاركي فكلما ذاد المبلغ المقدم ذاد نجاح الحملة، وكذلك كان عدد الداعمين، والتحديثات المتكررة لهما تأثير إيجابي على نجاح الحملة</w:t>
      </w:r>
      <w:r w:rsidRPr="00BC50C9">
        <w:rPr>
          <w:rFonts w:hint="cs"/>
          <w:rtl/>
        </w:rPr>
        <w:t>.</w:t>
      </w:r>
    </w:p>
    <w:p w14:paraId="1960D2C4"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 xml:space="preserve">لا يوجد تأثير إيجابي ذو دلالة إحصائية عند مستوى دلالة (0.05) للتمويل </w:t>
      </w:r>
      <w:proofErr w:type="spellStart"/>
      <w:r w:rsidRPr="00BC50C9">
        <w:rPr>
          <w:rFonts w:ascii="Times New Roman" w:hAnsi="Times New Roman" w:cs="Simplified Arabic" w:hint="cs"/>
          <w:b/>
          <w:bCs/>
          <w:sz w:val="24"/>
          <w:szCs w:val="28"/>
          <w:rtl/>
        </w:rPr>
        <w:t>التبرعي</w:t>
      </w:r>
      <w:proofErr w:type="spellEnd"/>
      <w:r w:rsidRPr="00BC50C9">
        <w:rPr>
          <w:rFonts w:ascii="Times New Roman" w:hAnsi="Times New Roman" w:cs="Simplified Arabic" w:hint="cs"/>
          <w:b/>
          <w:bCs/>
          <w:sz w:val="24"/>
          <w:szCs w:val="28"/>
          <w:rtl/>
        </w:rPr>
        <w:t xml:space="preserve"> على نجاح المشاريع الريادية بالمملكة العربية السعودية.</w:t>
      </w:r>
    </w:p>
    <w:p w14:paraId="3282576F" w14:textId="77777777" w:rsidR="00DE2B2A" w:rsidRPr="00BC50C9" w:rsidRDefault="00DE2B2A" w:rsidP="00D66005">
      <w:pPr>
        <w:pStyle w:val="00000"/>
        <w:rPr>
          <w:rtl/>
        </w:rPr>
      </w:pPr>
      <w:r w:rsidRPr="00BC50C9">
        <w:rPr>
          <w:rtl/>
        </w:rPr>
        <w:t xml:space="preserve">تم استخدام اختبار تحليل </w:t>
      </w:r>
      <w:r w:rsidRPr="00BC50C9">
        <w:rPr>
          <w:rFonts w:hint="cs"/>
          <w:rtl/>
        </w:rPr>
        <w:t xml:space="preserve">الانحدار لمعرفة وجود أثر ذو دلالة إحصائية للتمويل </w:t>
      </w:r>
      <w:proofErr w:type="spellStart"/>
      <w:r w:rsidRPr="00BC50C9">
        <w:rPr>
          <w:rFonts w:hint="cs"/>
          <w:rtl/>
        </w:rPr>
        <w:t>التبرعي</w:t>
      </w:r>
      <w:proofErr w:type="spellEnd"/>
      <w:r w:rsidRPr="00BC50C9">
        <w:rPr>
          <w:rFonts w:hint="cs"/>
          <w:rtl/>
        </w:rPr>
        <w:t xml:space="preserve"> على نجاح المشاريع الريادية بالمملكة العربية السعودية</w:t>
      </w:r>
      <w:r w:rsidRPr="00BC50C9">
        <w:rPr>
          <w:rtl/>
        </w:rPr>
        <w:t xml:space="preserve"> </w:t>
      </w:r>
    </w:p>
    <w:p w14:paraId="4D6119EF" w14:textId="77777777" w:rsidR="00DE2B2A" w:rsidRPr="00BC50C9" w:rsidRDefault="00DE2B2A" w:rsidP="00D66005">
      <w:pPr>
        <w:pStyle w:val="33333"/>
        <w:rPr>
          <w:rtl/>
        </w:rPr>
      </w:pPr>
      <w:bookmarkStart w:id="163" w:name="_Toc195456598"/>
      <w:r w:rsidRPr="00BC50C9">
        <w:rPr>
          <w:rtl/>
        </w:rPr>
        <w:t>الجدول رقم (</w:t>
      </w:r>
      <w:r w:rsidRPr="00BC50C9">
        <w:rPr>
          <w:rFonts w:hint="cs"/>
          <w:rtl/>
        </w:rPr>
        <w:t>4</w:t>
      </w:r>
      <w:r w:rsidRPr="00BC50C9">
        <w:rPr>
          <w:rtl/>
        </w:rPr>
        <w:t>-</w:t>
      </w:r>
      <w:r w:rsidRPr="00BC50C9">
        <w:rPr>
          <w:rFonts w:hint="cs"/>
          <w:rtl/>
        </w:rPr>
        <w:t>11</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للتمويل </w:t>
      </w:r>
      <w:proofErr w:type="spellStart"/>
      <w:r w:rsidRPr="00BC50C9">
        <w:rPr>
          <w:rFonts w:hint="cs"/>
          <w:rtl/>
        </w:rPr>
        <w:t>التبرعي</w:t>
      </w:r>
      <w:proofErr w:type="spellEnd"/>
      <w:r w:rsidRPr="00BC50C9">
        <w:rPr>
          <w:rFonts w:hint="cs"/>
          <w:rtl/>
        </w:rPr>
        <w:t xml:space="preserve"> على نجاح المشاريع الريادية بالمملكة العربية السعودية</w:t>
      </w:r>
      <w:bookmarkEnd w:id="163"/>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D66005" w14:paraId="2CACFC5C" w14:textId="77777777" w:rsidTr="00D66005">
        <w:trPr>
          <w:jc w:val="center"/>
        </w:trPr>
        <w:tc>
          <w:tcPr>
            <w:tcW w:w="945" w:type="pct"/>
            <w:shd w:val="clear" w:color="auto" w:fill="BFBFBF" w:themeFill="background1" w:themeFillShade="BF"/>
            <w:vAlign w:val="center"/>
          </w:tcPr>
          <w:p w14:paraId="212CD326" w14:textId="77777777" w:rsidR="00DE2B2A" w:rsidRPr="00D66005" w:rsidRDefault="00DE2B2A" w:rsidP="00D66005">
            <w:pPr>
              <w:pStyle w:val="afe"/>
              <w:spacing w:line="240" w:lineRule="auto"/>
              <w:rPr>
                <w:sz w:val="20"/>
                <w:szCs w:val="20"/>
                <w:rtl/>
              </w:rPr>
            </w:pPr>
            <w:bookmarkStart w:id="164" w:name="_Toc195456599"/>
            <w:r w:rsidRPr="00D66005">
              <w:rPr>
                <w:sz w:val="20"/>
                <w:szCs w:val="20"/>
                <w:rtl/>
              </w:rPr>
              <w:t>المتغير المستقل</w:t>
            </w:r>
            <w:bookmarkEnd w:id="164"/>
          </w:p>
        </w:tc>
        <w:tc>
          <w:tcPr>
            <w:tcW w:w="434" w:type="pct"/>
            <w:shd w:val="clear" w:color="auto" w:fill="BFBFBF" w:themeFill="background1" w:themeFillShade="BF"/>
            <w:vAlign w:val="center"/>
          </w:tcPr>
          <w:p w14:paraId="4FAD0CCE" w14:textId="77777777" w:rsidR="00DE2B2A" w:rsidRPr="00D66005" w:rsidRDefault="00DE2B2A" w:rsidP="00D66005">
            <w:pPr>
              <w:pStyle w:val="afe"/>
              <w:spacing w:line="240" w:lineRule="auto"/>
              <w:rPr>
                <w:sz w:val="20"/>
                <w:szCs w:val="20"/>
                <w:rtl/>
              </w:rPr>
            </w:pPr>
            <w:bookmarkStart w:id="165" w:name="_Toc195456600"/>
            <w:r w:rsidRPr="00D66005">
              <w:rPr>
                <w:sz w:val="20"/>
                <w:szCs w:val="20"/>
              </w:rPr>
              <w:t>B</w:t>
            </w:r>
            <w:bookmarkEnd w:id="165"/>
          </w:p>
        </w:tc>
        <w:tc>
          <w:tcPr>
            <w:tcW w:w="686" w:type="pct"/>
            <w:shd w:val="clear" w:color="auto" w:fill="BFBFBF" w:themeFill="background1" w:themeFillShade="BF"/>
            <w:vAlign w:val="center"/>
          </w:tcPr>
          <w:p w14:paraId="3CD116EC" w14:textId="77777777" w:rsidR="00DE2B2A" w:rsidRPr="00D66005" w:rsidRDefault="00DE2B2A" w:rsidP="00D66005">
            <w:pPr>
              <w:pStyle w:val="afe"/>
              <w:spacing w:line="240" w:lineRule="auto"/>
              <w:rPr>
                <w:sz w:val="20"/>
                <w:szCs w:val="20"/>
                <w:rtl/>
              </w:rPr>
            </w:pPr>
            <w:bookmarkStart w:id="166" w:name="_Toc195456601"/>
            <w:r w:rsidRPr="00D66005">
              <w:rPr>
                <w:sz w:val="20"/>
                <w:szCs w:val="20"/>
              </w:rPr>
              <w:t>Beta</w:t>
            </w:r>
            <w:bookmarkEnd w:id="166"/>
          </w:p>
        </w:tc>
        <w:tc>
          <w:tcPr>
            <w:tcW w:w="691" w:type="pct"/>
            <w:shd w:val="clear" w:color="auto" w:fill="BFBFBF" w:themeFill="background1" w:themeFillShade="BF"/>
            <w:vAlign w:val="center"/>
          </w:tcPr>
          <w:p w14:paraId="3C693EA4" w14:textId="77777777" w:rsidR="00DE2B2A" w:rsidRPr="00D66005" w:rsidRDefault="00DE2B2A" w:rsidP="00D66005">
            <w:pPr>
              <w:pStyle w:val="afe"/>
              <w:spacing w:line="240" w:lineRule="auto"/>
              <w:rPr>
                <w:sz w:val="20"/>
                <w:szCs w:val="20"/>
                <w:rtl/>
              </w:rPr>
            </w:pPr>
            <w:bookmarkStart w:id="167" w:name="_Toc195456602"/>
            <w:r w:rsidRPr="00D66005">
              <w:rPr>
                <w:sz w:val="20"/>
                <w:szCs w:val="20"/>
              </w:rPr>
              <w:t>R</w:t>
            </w:r>
            <w:bookmarkEnd w:id="167"/>
          </w:p>
        </w:tc>
        <w:tc>
          <w:tcPr>
            <w:tcW w:w="681" w:type="pct"/>
            <w:shd w:val="clear" w:color="auto" w:fill="BFBFBF" w:themeFill="background1" w:themeFillShade="BF"/>
            <w:vAlign w:val="center"/>
          </w:tcPr>
          <w:p w14:paraId="2C94EA6D" w14:textId="77777777" w:rsidR="00DE2B2A" w:rsidRPr="00D66005" w:rsidRDefault="00DE2B2A" w:rsidP="00D66005">
            <w:pPr>
              <w:pStyle w:val="afe"/>
              <w:spacing w:line="240" w:lineRule="auto"/>
              <w:rPr>
                <w:sz w:val="20"/>
                <w:szCs w:val="20"/>
                <w:rtl/>
              </w:rPr>
            </w:pPr>
            <w:bookmarkStart w:id="168" w:name="_Toc195456603"/>
            <w:r w:rsidRPr="00D66005">
              <w:rPr>
                <w:sz w:val="20"/>
                <w:szCs w:val="20"/>
              </w:rPr>
              <w:t>R2</w:t>
            </w:r>
            <w:bookmarkEnd w:id="168"/>
          </w:p>
        </w:tc>
        <w:tc>
          <w:tcPr>
            <w:tcW w:w="713" w:type="pct"/>
            <w:shd w:val="clear" w:color="auto" w:fill="BFBFBF" w:themeFill="background1" w:themeFillShade="BF"/>
            <w:vAlign w:val="center"/>
          </w:tcPr>
          <w:p w14:paraId="67F2310F" w14:textId="77777777" w:rsidR="00DE2B2A" w:rsidRPr="00D66005" w:rsidRDefault="00DE2B2A" w:rsidP="00D66005">
            <w:pPr>
              <w:pStyle w:val="afe"/>
              <w:spacing w:line="240" w:lineRule="auto"/>
              <w:rPr>
                <w:sz w:val="20"/>
                <w:szCs w:val="20"/>
              </w:rPr>
            </w:pPr>
            <w:bookmarkStart w:id="169" w:name="_Toc195456604"/>
            <w:proofErr w:type="spellStart"/>
            <w:r w:rsidRPr="00D66005">
              <w:rPr>
                <w:sz w:val="20"/>
                <w:szCs w:val="20"/>
              </w:rPr>
              <w:t>T.value</w:t>
            </w:r>
            <w:bookmarkEnd w:id="169"/>
            <w:proofErr w:type="spellEnd"/>
          </w:p>
        </w:tc>
        <w:tc>
          <w:tcPr>
            <w:tcW w:w="850" w:type="pct"/>
            <w:shd w:val="clear" w:color="auto" w:fill="BFBFBF" w:themeFill="background1" w:themeFillShade="BF"/>
            <w:vAlign w:val="center"/>
          </w:tcPr>
          <w:p w14:paraId="51510801" w14:textId="77777777" w:rsidR="00DE2B2A" w:rsidRPr="00D66005" w:rsidRDefault="00DE2B2A" w:rsidP="00D66005">
            <w:pPr>
              <w:pStyle w:val="afe"/>
              <w:spacing w:line="240" w:lineRule="auto"/>
              <w:rPr>
                <w:sz w:val="20"/>
                <w:szCs w:val="20"/>
                <w:rtl/>
              </w:rPr>
            </w:pPr>
            <w:bookmarkStart w:id="170" w:name="_Toc195456605"/>
            <w:proofErr w:type="spellStart"/>
            <w:r w:rsidRPr="00D66005">
              <w:rPr>
                <w:sz w:val="20"/>
                <w:szCs w:val="20"/>
              </w:rPr>
              <w:t>Sig.T</w:t>
            </w:r>
            <w:bookmarkEnd w:id="170"/>
            <w:proofErr w:type="spellEnd"/>
          </w:p>
        </w:tc>
      </w:tr>
      <w:tr w:rsidR="00DE2B2A" w:rsidRPr="00D66005" w14:paraId="0A6624D2" w14:textId="77777777" w:rsidTr="00D66005">
        <w:trPr>
          <w:jc w:val="center"/>
        </w:trPr>
        <w:tc>
          <w:tcPr>
            <w:tcW w:w="945" w:type="pct"/>
            <w:shd w:val="clear" w:color="auto" w:fill="BFBFBF" w:themeFill="background1" w:themeFillShade="BF"/>
            <w:vAlign w:val="center"/>
          </w:tcPr>
          <w:p w14:paraId="035A21C7" w14:textId="77777777" w:rsidR="00DE2B2A" w:rsidRPr="00D66005" w:rsidRDefault="00DE2B2A" w:rsidP="00D66005">
            <w:pPr>
              <w:pStyle w:val="afe"/>
              <w:spacing w:line="240" w:lineRule="auto"/>
              <w:rPr>
                <w:sz w:val="20"/>
                <w:szCs w:val="20"/>
                <w:rtl/>
              </w:rPr>
            </w:pPr>
            <w:bookmarkStart w:id="171" w:name="_Toc195456606"/>
            <w:r w:rsidRPr="00D66005">
              <w:rPr>
                <w:rFonts w:hint="cs"/>
                <w:sz w:val="20"/>
                <w:szCs w:val="20"/>
                <w:rtl/>
              </w:rPr>
              <w:t xml:space="preserve">التمويل </w:t>
            </w:r>
            <w:proofErr w:type="spellStart"/>
            <w:r w:rsidRPr="00D66005">
              <w:rPr>
                <w:rFonts w:hint="cs"/>
                <w:sz w:val="20"/>
                <w:szCs w:val="20"/>
                <w:rtl/>
              </w:rPr>
              <w:t>التبرعي</w:t>
            </w:r>
            <w:bookmarkEnd w:id="171"/>
            <w:proofErr w:type="spellEnd"/>
          </w:p>
        </w:tc>
        <w:tc>
          <w:tcPr>
            <w:tcW w:w="434" w:type="pct"/>
            <w:vAlign w:val="center"/>
          </w:tcPr>
          <w:p w14:paraId="33CE864B"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.883</w:t>
            </w:r>
          </w:p>
        </w:tc>
        <w:tc>
          <w:tcPr>
            <w:tcW w:w="686" w:type="pct"/>
            <w:vAlign w:val="center"/>
          </w:tcPr>
          <w:p w14:paraId="1502AB2A"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.759</w:t>
            </w:r>
          </w:p>
        </w:tc>
        <w:tc>
          <w:tcPr>
            <w:tcW w:w="691" w:type="pct"/>
            <w:vAlign w:val="center"/>
          </w:tcPr>
          <w:p w14:paraId="226D1B6A"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.759</w:t>
            </w:r>
            <w:r w:rsidRPr="00D66005">
              <w:rPr>
                <w:rFonts w:ascii="Times New Roman" w:hAnsi="Times New Roman" w:cs="Simplified Arabic"/>
                <w:color w:val="000000"/>
                <w:sz w:val="20"/>
                <w:szCs w:val="20"/>
                <w:vertAlign w:val="superscript"/>
              </w:rPr>
              <w:t>a</w:t>
            </w:r>
          </w:p>
        </w:tc>
        <w:tc>
          <w:tcPr>
            <w:tcW w:w="681" w:type="pct"/>
            <w:vAlign w:val="center"/>
          </w:tcPr>
          <w:p w14:paraId="4EC16AFA"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.576</w:t>
            </w:r>
          </w:p>
        </w:tc>
        <w:tc>
          <w:tcPr>
            <w:tcW w:w="713" w:type="pct"/>
            <w:vAlign w:val="center"/>
          </w:tcPr>
          <w:p w14:paraId="6D31DEDF"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22.779</w:t>
            </w:r>
          </w:p>
        </w:tc>
        <w:tc>
          <w:tcPr>
            <w:tcW w:w="850" w:type="pct"/>
            <w:vAlign w:val="center"/>
          </w:tcPr>
          <w:p w14:paraId="2D3FF9FD"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
        </w:tc>
      </w:tr>
      <w:tr w:rsidR="00DE2B2A" w:rsidRPr="00D66005" w14:paraId="3F77016A" w14:textId="77777777" w:rsidTr="00D66005">
        <w:trPr>
          <w:jc w:val="center"/>
        </w:trPr>
        <w:tc>
          <w:tcPr>
            <w:tcW w:w="945" w:type="pct"/>
            <w:shd w:val="clear" w:color="auto" w:fill="BFBFBF" w:themeFill="background1" w:themeFillShade="BF"/>
            <w:vAlign w:val="center"/>
          </w:tcPr>
          <w:p w14:paraId="0B9F51D3" w14:textId="77777777" w:rsidR="00DE2B2A" w:rsidRPr="00D66005" w:rsidRDefault="00DE2B2A" w:rsidP="00D66005">
            <w:pPr>
              <w:pStyle w:val="afe"/>
              <w:spacing w:line="240" w:lineRule="auto"/>
              <w:rPr>
                <w:sz w:val="20"/>
                <w:szCs w:val="20"/>
                <w:rtl/>
              </w:rPr>
            </w:pPr>
            <w:bookmarkStart w:id="172" w:name="_Toc195456607"/>
            <w:r w:rsidRPr="00D66005">
              <w:rPr>
                <w:sz w:val="20"/>
                <w:szCs w:val="20"/>
                <w:rtl/>
              </w:rPr>
              <w:t>المعامل الثابت</w:t>
            </w:r>
            <w:bookmarkEnd w:id="172"/>
          </w:p>
        </w:tc>
        <w:tc>
          <w:tcPr>
            <w:tcW w:w="4055" w:type="pct"/>
            <w:gridSpan w:val="6"/>
            <w:vAlign w:val="center"/>
          </w:tcPr>
          <w:p w14:paraId="7A12D4B4"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.575</w:t>
            </w:r>
          </w:p>
        </w:tc>
      </w:tr>
      <w:tr w:rsidR="00DE2B2A" w:rsidRPr="00D66005" w14:paraId="32A7BDB1" w14:textId="77777777" w:rsidTr="00D66005">
        <w:trPr>
          <w:jc w:val="center"/>
        </w:trPr>
        <w:tc>
          <w:tcPr>
            <w:tcW w:w="945" w:type="pct"/>
            <w:shd w:val="clear" w:color="auto" w:fill="BFBFBF" w:themeFill="background1" w:themeFillShade="BF"/>
            <w:vAlign w:val="center"/>
          </w:tcPr>
          <w:p w14:paraId="537E1B72" w14:textId="77777777" w:rsidR="00DE2B2A" w:rsidRPr="00D66005" w:rsidRDefault="00DE2B2A" w:rsidP="00D66005">
            <w:pPr>
              <w:pStyle w:val="afe"/>
              <w:spacing w:line="240" w:lineRule="auto"/>
              <w:rPr>
                <w:sz w:val="20"/>
                <w:szCs w:val="20"/>
              </w:rPr>
            </w:pPr>
            <w:bookmarkStart w:id="173" w:name="_Toc195456608"/>
            <w:r w:rsidRPr="00D66005">
              <w:rPr>
                <w:sz w:val="20"/>
                <w:szCs w:val="20"/>
              </w:rPr>
              <w:t>Adj R2</w:t>
            </w:r>
            <w:bookmarkEnd w:id="173"/>
          </w:p>
        </w:tc>
        <w:tc>
          <w:tcPr>
            <w:tcW w:w="4055" w:type="pct"/>
            <w:gridSpan w:val="6"/>
            <w:vAlign w:val="center"/>
          </w:tcPr>
          <w:p w14:paraId="27EFB962"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.492</w:t>
            </w:r>
          </w:p>
        </w:tc>
      </w:tr>
      <w:tr w:rsidR="00DE2B2A" w:rsidRPr="00D66005" w14:paraId="026419C9" w14:textId="77777777" w:rsidTr="00D66005">
        <w:trPr>
          <w:jc w:val="center"/>
        </w:trPr>
        <w:tc>
          <w:tcPr>
            <w:tcW w:w="945" w:type="pct"/>
            <w:shd w:val="clear" w:color="auto" w:fill="BFBFBF" w:themeFill="background1" w:themeFillShade="BF"/>
            <w:vAlign w:val="center"/>
          </w:tcPr>
          <w:p w14:paraId="68250804" w14:textId="77777777" w:rsidR="00DE2B2A" w:rsidRPr="00D66005" w:rsidRDefault="00DE2B2A" w:rsidP="00D66005">
            <w:pPr>
              <w:pStyle w:val="afe"/>
              <w:spacing w:line="240" w:lineRule="auto"/>
              <w:rPr>
                <w:sz w:val="20"/>
                <w:szCs w:val="20"/>
              </w:rPr>
            </w:pPr>
            <w:bookmarkStart w:id="174" w:name="_Toc195456609"/>
            <w:r w:rsidRPr="00D66005">
              <w:rPr>
                <w:sz w:val="20"/>
                <w:szCs w:val="20"/>
                <w:rtl/>
              </w:rPr>
              <w:t xml:space="preserve">قيمة </w:t>
            </w:r>
            <w:r w:rsidRPr="00D66005">
              <w:rPr>
                <w:sz w:val="20"/>
                <w:szCs w:val="20"/>
              </w:rPr>
              <w:t>F</w:t>
            </w:r>
            <w:bookmarkEnd w:id="174"/>
          </w:p>
        </w:tc>
        <w:tc>
          <w:tcPr>
            <w:tcW w:w="4055" w:type="pct"/>
            <w:gridSpan w:val="6"/>
            <w:vAlign w:val="center"/>
          </w:tcPr>
          <w:p w14:paraId="6FB15DB0"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518.896</w:t>
            </w:r>
          </w:p>
        </w:tc>
      </w:tr>
      <w:tr w:rsidR="00DE2B2A" w:rsidRPr="00D66005" w14:paraId="7362DA85" w14:textId="77777777" w:rsidTr="00D66005">
        <w:trPr>
          <w:trHeight w:val="70"/>
          <w:jc w:val="center"/>
        </w:trPr>
        <w:tc>
          <w:tcPr>
            <w:tcW w:w="945" w:type="pct"/>
            <w:shd w:val="clear" w:color="auto" w:fill="BFBFBF" w:themeFill="background1" w:themeFillShade="BF"/>
            <w:vAlign w:val="center"/>
          </w:tcPr>
          <w:p w14:paraId="553DD669" w14:textId="77777777" w:rsidR="00DE2B2A" w:rsidRPr="00D66005" w:rsidRDefault="00DE2B2A" w:rsidP="00D66005">
            <w:pPr>
              <w:pStyle w:val="afe"/>
              <w:spacing w:line="240" w:lineRule="auto"/>
              <w:rPr>
                <w:sz w:val="20"/>
                <w:szCs w:val="20"/>
              </w:rPr>
            </w:pPr>
            <w:bookmarkStart w:id="175" w:name="_Toc195456610"/>
            <w:r w:rsidRPr="00D66005">
              <w:rPr>
                <w:sz w:val="20"/>
                <w:szCs w:val="20"/>
              </w:rPr>
              <w:t>Sig F</w:t>
            </w:r>
            <w:bookmarkEnd w:id="175"/>
          </w:p>
        </w:tc>
        <w:tc>
          <w:tcPr>
            <w:tcW w:w="4055" w:type="pct"/>
            <w:gridSpan w:val="6"/>
            <w:vAlign w:val="center"/>
          </w:tcPr>
          <w:p w14:paraId="4057624C" w14:textId="77777777" w:rsidR="00DE2B2A" w:rsidRPr="00D66005" w:rsidRDefault="00DE2B2A" w:rsidP="00D66005">
            <w:pPr>
              <w:widowControl w:val="0"/>
              <w:bidi/>
              <w:jc w:val="center"/>
              <w:rPr>
                <w:rFonts w:ascii="Times New Roman" w:hAnsi="Times New Roman" w:cs="Simplified Arabic"/>
                <w:color w:val="000000"/>
                <w:sz w:val="20"/>
                <w:szCs w:val="20"/>
                <w:rtl/>
                <w:lang w:bidi="ar-EG"/>
              </w:rPr>
            </w:pPr>
            <w:r w:rsidRPr="00D66005">
              <w:rPr>
                <w:rFonts w:ascii="Times New Roman" w:hAnsi="Times New Roman" w:cs="Simplified Arabic"/>
                <w:color w:val="000000"/>
                <w:sz w:val="20"/>
                <w:szCs w:val="20"/>
              </w:rPr>
              <w:t>.000</w:t>
            </w:r>
            <w:proofErr w:type="gramStart"/>
            <w:r w:rsidRPr="00D66005">
              <w:rPr>
                <w:rFonts w:ascii="Times New Roman" w:hAnsi="Times New Roman" w:cs="Simplified Arabic"/>
                <w:color w:val="000000"/>
                <w:sz w:val="20"/>
                <w:szCs w:val="20"/>
              </w:rPr>
              <w:t xml:space="preserve">b </w:t>
            </w:r>
            <w:r w:rsidRPr="00D66005">
              <w:rPr>
                <w:rFonts w:ascii="Times New Roman" w:hAnsi="Times New Roman" w:cs="Simplified Arabic" w:hint="cs"/>
                <w:color w:val="000000"/>
                <w:sz w:val="20"/>
                <w:szCs w:val="20"/>
                <w:rtl/>
              </w:rPr>
              <w:t xml:space="preserve"> نموذج</w:t>
            </w:r>
            <w:proofErr w:type="gramEnd"/>
            <w:r w:rsidRPr="00D66005">
              <w:rPr>
                <w:rFonts w:ascii="Times New Roman" w:hAnsi="Times New Roman" w:cs="Simplified Arabic" w:hint="cs"/>
                <w:color w:val="000000"/>
                <w:sz w:val="20"/>
                <w:szCs w:val="20"/>
                <w:rtl/>
              </w:rPr>
              <w:t xml:space="preserve"> معنوي</w:t>
            </w:r>
          </w:p>
        </w:tc>
      </w:tr>
    </w:tbl>
    <w:p w14:paraId="32660326" w14:textId="77777777" w:rsidR="00DE2B2A" w:rsidRPr="00BC50C9" w:rsidRDefault="00DE2B2A" w:rsidP="00D66005">
      <w:pPr>
        <w:pStyle w:val="00000"/>
        <w:rPr>
          <w:rtl/>
        </w:rPr>
      </w:pPr>
      <w:r w:rsidRPr="00BC50C9">
        <w:rPr>
          <w:rFonts w:hint="cs"/>
          <w:rtl/>
        </w:rPr>
        <w:t xml:space="preserve">يتبين من الجدول السابق وجود أثر إيجابي ذو دلالة إحصائية للتمويل </w:t>
      </w:r>
      <w:proofErr w:type="spellStart"/>
      <w:r w:rsidRPr="00BC50C9">
        <w:rPr>
          <w:rFonts w:hint="cs"/>
          <w:rtl/>
        </w:rPr>
        <w:t>التبرعي</w:t>
      </w:r>
      <w:proofErr w:type="spellEnd"/>
      <w:r w:rsidRPr="00BC50C9">
        <w:rPr>
          <w:rFonts w:hint="cs"/>
          <w:rtl/>
        </w:rPr>
        <w:t xml:space="preserve"> على نجاح المشاريع الريادية بالمملكة العربية السعودية؛ حيث جاءت قيمة (</w:t>
      </w:r>
      <w:r w:rsidRPr="00BC50C9">
        <w:t>R</w:t>
      </w:r>
      <w:r w:rsidRPr="00BC50C9">
        <w:rPr>
          <w:rFonts w:hint="cs"/>
          <w:rtl/>
        </w:rPr>
        <w:t>) (</w:t>
      </w:r>
      <w:r w:rsidRPr="00BC50C9">
        <w:t>.759a</w:t>
      </w:r>
      <w:r w:rsidRPr="00BC50C9">
        <w:rPr>
          <w:rFonts w:hint="cs"/>
          <w:rtl/>
        </w:rPr>
        <w:t>) بمستوى دلالة (</w:t>
      </w:r>
      <w:r w:rsidRPr="00BC50C9">
        <w:t>.000b</w:t>
      </w:r>
      <w:r w:rsidRPr="00BC50C9">
        <w:rPr>
          <w:rFonts w:hint="cs"/>
          <w:rtl/>
        </w:rPr>
        <w:t xml:space="preserve">)، وبذلك تم التحقق من خطأ الفرضية حيث إن </w:t>
      </w:r>
      <w:r w:rsidRPr="00BC50C9">
        <w:rPr>
          <w:rtl/>
        </w:rPr>
        <w:t xml:space="preserve">التمويل </w:t>
      </w:r>
      <w:proofErr w:type="spellStart"/>
      <w:r w:rsidRPr="00BC50C9">
        <w:rPr>
          <w:rtl/>
        </w:rPr>
        <w:t>التبرعي</w:t>
      </w:r>
      <w:proofErr w:type="spellEnd"/>
      <w:r w:rsidRPr="00BC50C9">
        <w:rPr>
          <w:rtl/>
        </w:rPr>
        <w:t xml:space="preserve"> </w:t>
      </w:r>
      <w:r w:rsidRPr="00BC50C9">
        <w:rPr>
          <w:rFonts w:hint="cs"/>
          <w:rtl/>
        </w:rPr>
        <w:t xml:space="preserve">يُعتبر </w:t>
      </w:r>
      <w:r w:rsidRPr="00BC50C9">
        <w:rPr>
          <w:rtl/>
        </w:rPr>
        <w:t>وسيلة فعالة لدعم المشاريع</w:t>
      </w:r>
      <w:r w:rsidRPr="00BC50C9">
        <w:rPr>
          <w:rFonts w:hint="cs"/>
          <w:rtl/>
        </w:rPr>
        <w:t>؛</w:t>
      </w:r>
      <w:r w:rsidRPr="00BC50C9">
        <w:rPr>
          <w:rtl/>
        </w:rPr>
        <w:t xml:space="preserve"> حيث يُساعد رواد الأعمال في الحصول على الموارد المالية اللازمة لتطوير أفكارهم وتنفيذها</w:t>
      </w:r>
      <w:r w:rsidRPr="00BC50C9">
        <w:rPr>
          <w:rFonts w:hint="cs"/>
          <w:rtl/>
        </w:rPr>
        <w:t>، و</w:t>
      </w:r>
      <w:r w:rsidRPr="00BC50C9">
        <w:rPr>
          <w:rtl/>
        </w:rPr>
        <w:t xml:space="preserve">هذا النوع من التمويل يعزز من فرص الابتكار والنمو، مما يؤدي إلى تحقيق نجاح أكبر للمشاريع الريادية. </w:t>
      </w:r>
    </w:p>
    <w:p w14:paraId="0E9392C3"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lastRenderedPageBreak/>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القائم على المكافآت على نجاح المشاريع الريادية بالمملكة العربية السعودية.</w:t>
      </w:r>
    </w:p>
    <w:p w14:paraId="4E720108" w14:textId="77777777" w:rsidR="00DE2B2A" w:rsidRPr="00BC50C9" w:rsidRDefault="00DE2B2A" w:rsidP="00D66005">
      <w:pPr>
        <w:pStyle w:val="00000"/>
        <w:rPr>
          <w:rtl/>
        </w:rPr>
      </w:pPr>
      <w:r w:rsidRPr="00BC50C9">
        <w:rPr>
          <w:rtl/>
        </w:rPr>
        <w:t xml:space="preserve">تم استخدام اختبار تحليل </w:t>
      </w:r>
      <w:r w:rsidRPr="00BC50C9">
        <w:rPr>
          <w:rFonts w:hint="cs"/>
          <w:rtl/>
        </w:rPr>
        <w:t>الانحدار لمعرفة وجود أثر ذو دلالة إحصائية للتمويل القائم على المكافآت على نجاح المشاريع الريادية بالمملكة العربية السعودية</w:t>
      </w:r>
      <w:r w:rsidRPr="00BC50C9">
        <w:rPr>
          <w:rtl/>
        </w:rPr>
        <w:t xml:space="preserve"> </w:t>
      </w:r>
    </w:p>
    <w:p w14:paraId="069E609C" w14:textId="77777777" w:rsidR="00DE2B2A" w:rsidRPr="00BC50C9" w:rsidRDefault="00DE2B2A" w:rsidP="006F1E2B">
      <w:pPr>
        <w:pStyle w:val="33333"/>
        <w:rPr>
          <w:rtl/>
        </w:rPr>
      </w:pPr>
      <w:bookmarkStart w:id="176" w:name="_Toc195456611"/>
      <w:r w:rsidRPr="00BC50C9">
        <w:rPr>
          <w:rtl/>
        </w:rPr>
        <w:t>الجدول رقم (</w:t>
      </w:r>
      <w:r w:rsidRPr="00BC50C9">
        <w:rPr>
          <w:rFonts w:hint="cs"/>
          <w:rtl/>
        </w:rPr>
        <w:t>4</w:t>
      </w:r>
      <w:r w:rsidRPr="00BC50C9">
        <w:rPr>
          <w:rtl/>
        </w:rPr>
        <w:t>-</w:t>
      </w:r>
      <w:r w:rsidRPr="00BC50C9">
        <w:rPr>
          <w:rFonts w:hint="cs"/>
          <w:rtl/>
        </w:rPr>
        <w:t>12</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التمويل القائم على المكافآت على نجاح المشاريع الريادية بالمملكة العربية السعودية</w:t>
      </w:r>
      <w:bookmarkEnd w:id="176"/>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6F1E2B" w14:paraId="0905EA37" w14:textId="77777777" w:rsidTr="006F1E2B">
        <w:trPr>
          <w:jc w:val="center"/>
        </w:trPr>
        <w:tc>
          <w:tcPr>
            <w:tcW w:w="945" w:type="pct"/>
            <w:shd w:val="clear" w:color="auto" w:fill="BFBFBF" w:themeFill="background1" w:themeFillShade="BF"/>
            <w:vAlign w:val="center"/>
          </w:tcPr>
          <w:p w14:paraId="04ECE5D7" w14:textId="77777777" w:rsidR="00DE2B2A" w:rsidRPr="006F1E2B" w:rsidRDefault="00DE2B2A" w:rsidP="006F1E2B">
            <w:pPr>
              <w:pStyle w:val="afe"/>
              <w:spacing w:line="240" w:lineRule="auto"/>
              <w:rPr>
                <w:sz w:val="20"/>
                <w:szCs w:val="20"/>
                <w:rtl/>
              </w:rPr>
            </w:pPr>
            <w:bookmarkStart w:id="177" w:name="_Toc195456612"/>
            <w:r w:rsidRPr="006F1E2B">
              <w:rPr>
                <w:sz w:val="20"/>
                <w:szCs w:val="20"/>
                <w:rtl/>
              </w:rPr>
              <w:t>المتغير المستقل</w:t>
            </w:r>
            <w:bookmarkEnd w:id="177"/>
          </w:p>
        </w:tc>
        <w:tc>
          <w:tcPr>
            <w:tcW w:w="434" w:type="pct"/>
            <w:shd w:val="clear" w:color="auto" w:fill="BFBFBF" w:themeFill="background1" w:themeFillShade="BF"/>
            <w:vAlign w:val="center"/>
          </w:tcPr>
          <w:p w14:paraId="0F3A202E" w14:textId="77777777" w:rsidR="00DE2B2A" w:rsidRPr="006F1E2B" w:rsidRDefault="00DE2B2A" w:rsidP="006F1E2B">
            <w:pPr>
              <w:pStyle w:val="afe"/>
              <w:spacing w:line="240" w:lineRule="auto"/>
              <w:rPr>
                <w:sz w:val="20"/>
                <w:szCs w:val="20"/>
                <w:rtl/>
              </w:rPr>
            </w:pPr>
            <w:bookmarkStart w:id="178" w:name="_Toc195456613"/>
            <w:r w:rsidRPr="006F1E2B">
              <w:rPr>
                <w:sz w:val="20"/>
                <w:szCs w:val="20"/>
              </w:rPr>
              <w:t>B</w:t>
            </w:r>
            <w:bookmarkEnd w:id="178"/>
          </w:p>
        </w:tc>
        <w:tc>
          <w:tcPr>
            <w:tcW w:w="686" w:type="pct"/>
            <w:shd w:val="clear" w:color="auto" w:fill="BFBFBF" w:themeFill="background1" w:themeFillShade="BF"/>
            <w:vAlign w:val="center"/>
          </w:tcPr>
          <w:p w14:paraId="43F14B98" w14:textId="77777777" w:rsidR="00DE2B2A" w:rsidRPr="006F1E2B" w:rsidRDefault="00DE2B2A" w:rsidP="006F1E2B">
            <w:pPr>
              <w:pStyle w:val="afe"/>
              <w:spacing w:line="240" w:lineRule="auto"/>
              <w:rPr>
                <w:sz w:val="20"/>
                <w:szCs w:val="20"/>
                <w:rtl/>
              </w:rPr>
            </w:pPr>
            <w:bookmarkStart w:id="179" w:name="_Toc195456614"/>
            <w:r w:rsidRPr="006F1E2B">
              <w:rPr>
                <w:sz w:val="20"/>
                <w:szCs w:val="20"/>
              </w:rPr>
              <w:t>Beta</w:t>
            </w:r>
            <w:bookmarkEnd w:id="179"/>
          </w:p>
        </w:tc>
        <w:tc>
          <w:tcPr>
            <w:tcW w:w="691" w:type="pct"/>
            <w:shd w:val="clear" w:color="auto" w:fill="BFBFBF" w:themeFill="background1" w:themeFillShade="BF"/>
            <w:vAlign w:val="center"/>
          </w:tcPr>
          <w:p w14:paraId="1AEDD99E" w14:textId="77777777" w:rsidR="00DE2B2A" w:rsidRPr="006F1E2B" w:rsidRDefault="00DE2B2A" w:rsidP="006F1E2B">
            <w:pPr>
              <w:pStyle w:val="afe"/>
              <w:spacing w:line="240" w:lineRule="auto"/>
              <w:rPr>
                <w:sz w:val="20"/>
                <w:szCs w:val="20"/>
                <w:rtl/>
              </w:rPr>
            </w:pPr>
            <w:bookmarkStart w:id="180" w:name="_Toc195456615"/>
            <w:r w:rsidRPr="006F1E2B">
              <w:rPr>
                <w:sz w:val="20"/>
                <w:szCs w:val="20"/>
              </w:rPr>
              <w:t>R</w:t>
            </w:r>
            <w:bookmarkEnd w:id="180"/>
          </w:p>
        </w:tc>
        <w:tc>
          <w:tcPr>
            <w:tcW w:w="681" w:type="pct"/>
            <w:shd w:val="clear" w:color="auto" w:fill="BFBFBF" w:themeFill="background1" w:themeFillShade="BF"/>
            <w:vAlign w:val="center"/>
          </w:tcPr>
          <w:p w14:paraId="31C23C3F" w14:textId="77777777" w:rsidR="00DE2B2A" w:rsidRPr="006F1E2B" w:rsidRDefault="00DE2B2A" w:rsidP="006F1E2B">
            <w:pPr>
              <w:pStyle w:val="afe"/>
              <w:spacing w:line="240" w:lineRule="auto"/>
              <w:rPr>
                <w:sz w:val="20"/>
                <w:szCs w:val="20"/>
                <w:rtl/>
              </w:rPr>
            </w:pPr>
            <w:bookmarkStart w:id="181" w:name="_Toc195456616"/>
            <w:r w:rsidRPr="006F1E2B">
              <w:rPr>
                <w:sz w:val="20"/>
                <w:szCs w:val="20"/>
              </w:rPr>
              <w:t>R2</w:t>
            </w:r>
            <w:bookmarkEnd w:id="181"/>
          </w:p>
        </w:tc>
        <w:tc>
          <w:tcPr>
            <w:tcW w:w="713" w:type="pct"/>
            <w:shd w:val="clear" w:color="auto" w:fill="BFBFBF" w:themeFill="background1" w:themeFillShade="BF"/>
            <w:vAlign w:val="center"/>
          </w:tcPr>
          <w:p w14:paraId="038DF90F" w14:textId="77777777" w:rsidR="00DE2B2A" w:rsidRPr="006F1E2B" w:rsidRDefault="00DE2B2A" w:rsidP="006F1E2B">
            <w:pPr>
              <w:pStyle w:val="afe"/>
              <w:spacing w:line="240" w:lineRule="auto"/>
              <w:rPr>
                <w:sz w:val="20"/>
                <w:szCs w:val="20"/>
              </w:rPr>
            </w:pPr>
            <w:bookmarkStart w:id="182" w:name="_Toc195456617"/>
            <w:proofErr w:type="spellStart"/>
            <w:r w:rsidRPr="006F1E2B">
              <w:rPr>
                <w:sz w:val="20"/>
                <w:szCs w:val="20"/>
              </w:rPr>
              <w:t>T.value</w:t>
            </w:r>
            <w:bookmarkEnd w:id="182"/>
            <w:proofErr w:type="spellEnd"/>
          </w:p>
        </w:tc>
        <w:tc>
          <w:tcPr>
            <w:tcW w:w="850" w:type="pct"/>
            <w:shd w:val="clear" w:color="auto" w:fill="BFBFBF" w:themeFill="background1" w:themeFillShade="BF"/>
            <w:vAlign w:val="center"/>
          </w:tcPr>
          <w:p w14:paraId="78986274" w14:textId="77777777" w:rsidR="00DE2B2A" w:rsidRPr="006F1E2B" w:rsidRDefault="00DE2B2A" w:rsidP="006F1E2B">
            <w:pPr>
              <w:pStyle w:val="afe"/>
              <w:spacing w:line="240" w:lineRule="auto"/>
              <w:rPr>
                <w:sz w:val="20"/>
                <w:szCs w:val="20"/>
                <w:rtl/>
              </w:rPr>
            </w:pPr>
            <w:bookmarkStart w:id="183" w:name="_Toc195456618"/>
            <w:proofErr w:type="spellStart"/>
            <w:r w:rsidRPr="006F1E2B">
              <w:rPr>
                <w:sz w:val="20"/>
                <w:szCs w:val="20"/>
              </w:rPr>
              <w:t>Sig.T</w:t>
            </w:r>
            <w:bookmarkEnd w:id="183"/>
            <w:proofErr w:type="spellEnd"/>
          </w:p>
        </w:tc>
      </w:tr>
      <w:tr w:rsidR="00DE2B2A" w:rsidRPr="006F1E2B" w14:paraId="4D8F299E" w14:textId="77777777" w:rsidTr="006F1E2B">
        <w:trPr>
          <w:jc w:val="center"/>
        </w:trPr>
        <w:tc>
          <w:tcPr>
            <w:tcW w:w="945" w:type="pct"/>
            <w:shd w:val="clear" w:color="auto" w:fill="BFBFBF" w:themeFill="background1" w:themeFillShade="BF"/>
            <w:vAlign w:val="center"/>
          </w:tcPr>
          <w:p w14:paraId="42F6ED03" w14:textId="77777777" w:rsidR="00DE2B2A" w:rsidRPr="006F1E2B" w:rsidRDefault="00DE2B2A" w:rsidP="006F1E2B">
            <w:pPr>
              <w:pStyle w:val="afe"/>
              <w:spacing w:line="240" w:lineRule="auto"/>
              <w:rPr>
                <w:sz w:val="20"/>
                <w:szCs w:val="20"/>
                <w:rtl/>
              </w:rPr>
            </w:pPr>
            <w:bookmarkStart w:id="184" w:name="_Toc195456619"/>
            <w:r w:rsidRPr="006F1E2B">
              <w:rPr>
                <w:rFonts w:hint="cs"/>
                <w:sz w:val="20"/>
                <w:szCs w:val="20"/>
                <w:rtl/>
              </w:rPr>
              <w:t>التمويل القائم على المكافآت</w:t>
            </w:r>
            <w:bookmarkEnd w:id="184"/>
          </w:p>
        </w:tc>
        <w:tc>
          <w:tcPr>
            <w:tcW w:w="434" w:type="pct"/>
            <w:vAlign w:val="center"/>
          </w:tcPr>
          <w:p w14:paraId="15EF6C4D"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.763</w:t>
            </w:r>
          </w:p>
        </w:tc>
        <w:tc>
          <w:tcPr>
            <w:tcW w:w="686" w:type="pct"/>
            <w:vAlign w:val="center"/>
          </w:tcPr>
          <w:p w14:paraId="1D1A8224"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.720</w:t>
            </w:r>
          </w:p>
        </w:tc>
        <w:tc>
          <w:tcPr>
            <w:tcW w:w="691" w:type="pct"/>
            <w:vAlign w:val="center"/>
          </w:tcPr>
          <w:p w14:paraId="1CFF7373"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.720</w:t>
            </w:r>
            <w:r w:rsidRPr="006F1E2B">
              <w:rPr>
                <w:rFonts w:ascii="Times New Roman" w:hAnsi="Times New Roman" w:cs="Simplified Arabic"/>
                <w:color w:val="000000"/>
                <w:sz w:val="20"/>
                <w:szCs w:val="20"/>
                <w:vertAlign w:val="superscript"/>
              </w:rPr>
              <w:t>a</w:t>
            </w:r>
          </w:p>
        </w:tc>
        <w:tc>
          <w:tcPr>
            <w:tcW w:w="681" w:type="pct"/>
            <w:vAlign w:val="center"/>
          </w:tcPr>
          <w:p w14:paraId="0EFCCA7D"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.518</w:t>
            </w:r>
          </w:p>
        </w:tc>
        <w:tc>
          <w:tcPr>
            <w:tcW w:w="713" w:type="pct"/>
            <w:vAlign w:val="center"/>
          </w:tcPr>
          <w:p w14:paraId="12F0CA5F"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20.278</w:t>
            </w:r>
          </w:p>
        </w:tc>
        <w:tc>
          <w:tcPr>
            <w:tcW w:w="850" w:type="pct"/>
            <w:vAlign w:val="center"/>
          </w:tcPr>
          <w:p w14:paraId="3A905164"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.000</w:t>
            </w:r>
          </w:p>
        </w:tc>
      </w:tr>
      <w:tr w:rsidR="00DE2B2A" w:rsidRPr="006F1E2B" w14:paraId="423D4E4C" w14:textId="77777777" w:rsidTr="006F1E2B">
        <w:trPr>
          <w:jc w:val="center"/>
        </w:trPr>
        <w:tc>
          <w:tcPr>
            <w:tcW w:w="945" w:type="pct"/>
            <w:shd w:val="clear" w:color="auto" w:fill="BFBFBF" w:themeFill="background1" w:themeFillShade="BF"/>
            <w:vAlign w:val="center"/>
          </w:tcPr>
          <w:p w14:paraId="083C6666" w14:textId="77777777" w:rsidR="00DE2B2A" w:rsidRPr="006F1E2B" w:rsidRDefault="00DE2B2A" w:rsidP="006F1E2B">
            <w:pPr>
              <w:pStyle w:val="afe"/>
              <w:spacing w:line="240" w:lineRule="auto"/>
              <w:rPr>
                <w:sz w:val="20"/>
                <w:szCs w:val="20"/>
                <w:rtl/>
              </w:rPr>
            </w:pPr>
            <w:bookmarkStart w:id="185" w:name="_Toc195456620"/>
            <w:r w:rsidRPr="006F1E2B">
              <w:rPr>
                <w:sz w:val="20"/>
                <w:szCs w:val="20"/>
                <w:rtl/>
              </w:rPr>
              <w:t>المعامل الثابت</w:t>
            </w:r>
            <w:bookmarkEnd w:id="185"/>
          </w:p>
        </w:tc>
        <w:tc>
          <w:tcPr>
            <w:tcW w:w="4055" w:type="pct"/>
            <w:gridSpan w:val="6"/>
            <w:vAlign w:val="center"/>
          </w:tcPr>
          <w:p w14:paraId="1030FBEC"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1.051</w:t>
            </w:r>
          </w:p>
        </w:tc>
      </w:tr>
      <w:tr w:rsidR="00DE2B2A" w:rsidRPr="006F1E2B" w14:paraId="5C1692C6" w14:textId="77777777" w:rsidTr="006F1E2B">
        <w:trPr>
          <w:jc w:val="center"/>
        </w:trPr>
        <w:tc>
          <w:tcPr>
            <w:tcW w:w="945" w:type="pct"/>
            <w:shd w:val="clear" w:color="auto" w:fill="BFBFBF" w:themeFill="background1" w:themeFillShade="BF"/>
            <w:vAlign w:val="center"/>
          </w:tcPr>
          <w:p w14:paraId="44F190FA" w14:textId="77777777" w:rsidR="00DE2B2A" w:rsidRPr="006F1E2B" w:rsidRDefault="00DE2B2A" w:rsidP="006F1E2B">
            <w:pPr>
              <w:pStyle w:val="afe"/>
              <w:spacing w:line="240" w:lineRule="auto"/>
              <w:rPr>
                <w:sz w:val="20"/>
                <w:szCs w:val="20"/>
              </w:rPr>
            </w:pPr>
            <w:bookmarkStart w:id="186" w:name="_Toc195456621"/>
            <w:r w:rsidRPr="006F1E2B">
              <w:rPr>
                <w:sz w:val="20"/>
                <w:szCs w:val="20"/>
              </w:rPr>
              <w:t>Adj R2</w:t>
            </w:r>
            <w:bookmarkEnd w:id="186"/>
          </w:p>
        </w:tc>
        <w:tc>
          <w:tcPr>
            <w:tcW w:w="4055" w:type="pct"/>
            <w:gridSpan w:val="6"/>
            <w:vAlign w:val="center"/>
          </w:tcPr>
          <w:p w14:paraId="025398B9"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.517</w:t>
            </w:r>
          </w:p>
        </w:tc>
      </w:tr>
      <w:tr w:rsidR="00DE2B2A" w:rsidRPr="006F1E2B" w14:paraId="32B7C2DB" w14:textId="77777777" w:rsidTr="006F1E2B">
        <w:trPr>
          <w:jc w:val="center"/>
        </w:trPr>
        <w:tc>
          <w:tcPr>
            <w:tcW w:w="945" w:type="pct"/>
            <w:shd w:val="clear" w:color="auto" w:fill="BFBFBF" w:themeFill="background1" w:themeFillShade="BF"/>
            <w:vAlign w:val="center"/>
          </w:tcPr>
          <w:p w14:paraId="69099E28" w14:textId="77777777" w:rsidR="00DE2B2A" w:rsidRPr="006F1E2B" w:rsidRDefault="00DE2B2A" w:rsidP="006F1E2B">
            <w:pPr>
              <w:pStyle w:val="afe"/>
              <w:spacing w:line="240" w:lineRule="auto"/>
              <w:rPr>
                <w:sz w:val="20"/>
                <w:szCs w:val="20"/>
              </w:rPr>
            </w:pPr>
            <w:bookmarkStart w:id="187" w:name="_Toc195456622"/>
            <w:r w:rsidRPr="006F1E2B">
              <w:rPr>
                <w:sz w:val="20"/>
                <w:szCs w:val="20"/>
                <w:rtl/>
              </w:rPr>
              <w:t xml:space="preserve">قيمة </w:t>
            </w:r>
            <w:r w:rsidRPr="006F1E2B">
              <w:rPr>
                <w:sz w:val="20"/>
                <w:szCs w:val="20"/>
              </w:rPr>
              <w:t>F</w:t>
            </w:r>
            <w:bookmarkEnd w:id="187"/>
          </w:p>
        </w:tc>
        <w:tc>
          <w:tcPr>
            <w:tcW w:w="4055" w:type="pct"/>
            <w:gridSpan w:val="6"/>
            <w:vAlign w:val="center"/>
          </w:tcPr>
          <w:p w14:paraId="31054869"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411.183</w:t>
            </w:r>
          </w:p>
        </w:tc>
      </w:tr>
      <w:tr w:rsidR="00DE2B2A" w:rsidRPr="006F1E2B" w14:paraId="1D452EB4" w14:textId="77777777" w:rsidTr="006F1E2B">
        <w:trPr>
          <w:trHeight w:val="70"/>
          <w:jc w:val="center"/>
        </w:trPr>
        <w:tc>
          <w:tcPr>
            <w:tcW w:w="945" w:type="pct"/>
            <w:shd w:val="clear" w:color="auto" w:fill="BFBFBF" w:themeFill="background1" w:themeFillShade="BF"/>
            <w:vAlign w:val="center"/>
          </w:tcPr>
          <w:p w14:paraId="4EBB15D0" w14:textId="77777777" w:rsidR="00DE2B2A" w:rsidRPr="006F1E2B" w:rsidRDefault="00DE2B2A" w:rsidP="006F1E2B">
            <w:pPr>
              <w:pStyle w:val="afe"/>
              <w:spacing w:line="240" w:lineRule="auto"/>
              <w:rPr>
                <w:sz w:val="20"/>
                <w:szCs w:val="20"/>
              </w:rPr>
            </w:pPr>
            <w:bookmarkStart w:id="188" w:name="_Toc195456623"/>
            <w:r w:rsidRPr="006F1E2B">
              <w:rPr>
                <w:sz w:val="20"/>
                <w:szCs w:val="20"/>
              </w:rPr>
              <w:t>Sig F</w:t>
            </w:r>
            <w:bookmarkEnd w:id="188"/>
          </w:p>
        </w:tc>
        <w:tc>
          <w:tcPr>
            <w:tcW w:w="4055" w:type="pct"/>
            <w:gridSpan w:val="6"/>
            <w:vAlign w:val="center"/>
          </w:tcPr>
          <w:p w14:paraId="7A40A6A0"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 xml:space="preserve">.000b </w:t>
            </w:r>
            <w:r w:rsidRPr="006F1E2B">
              <w:rPr>
                <w:rFonts w:ascii="Times New Roman" w:hAnsi="Times New Roman" w:cs="Simplified Arabic" w:hint="cs"/>
                <w:color w:val="000000"/>
                <w:sz w:val="20"/>
                <w:szCs w:val="20"/>
                <w:rtl/>
              </w:rPr>
              <w:t>نموذج معنوي</w:t>
            </w:r>
          </w:p>
        </w:tc>
      </w:tr>
    </w:tbl>
    <w:p w14:paraId="021D7C7F" w14:textId="77777777" w:rsidR="00DE2B2A" w:rsidRPr="00BC50C9" w:rsidRDefault="00DE2B2A" w:rsidP="006F1E2B">
      <w:pPr>
        <w:pStyle w:val="00000"/>
      </w:pPr>
      <w:r w:rsidRPr="00BC50C9">
        <w:rPr>
          <w:rFonts w:hint="cs"/>
          <w:rtl/>
        </w:rPr>
        <w:t>يتبين من الجدول السابق وجود أثر إيجابي ذو دلالة إحصائية للتمويل القائم على المكافآت على نجاح المشاريع الريادية بالمملكة العربية السعودية؛ حيث جاءت قيمة (</w:t>
      </w:r>
      <w:r w:rsidRPr="00BC50C9">
        <w:t>R</w:t>
      </w:r>
      <w:r w:rsidRPr="00BC50C9">
        <w:rPr>
          <w:rFonts w:hint="cs"/>
          <w:rtl/>
        </w:rPr>
        <w:t>) (</w:t>
      </w:r>
      <w:r w:rsidRPr="00BC50C9">
        <w:rPr>
          <w:color w:val="000000"/>
        </w:rPr>
        <w:t>.720</w:t>
      </w:r>
      <w:r w:rsidRPr="00BC50C9">
        <w:rPr>
          <w:color w:val="000000"/>
          <w:vertAlign w:val="superscript"/>
        </w:rPr>
        <w:t>a</w:t>
      </w:r>
      <w:r w:rsidRPr="00BC50C9">
        <w:rPr>
          <w:rFonts w:hint="cs"/>
          <w:rtl/>
        </w:rPr>
        <w:t>) بمستوى دلالة (</w:t>
      </w:r>
      <w:r w:rsidRPr="00BC50C9">
        <w:t>.000b</w:t>
      </w:r>
      <w:r w:rsidRPr="00BC50C9">
        <w:rPr>
          <w:rFonts w:hint="cs"/>
          <w:rtl/>
        </w:rPr>
        <w:t xml:space="preserve">)؛ وبذلك تم التحقق من خطأ الفرضية حيث </w:t>
      </w:r>
      <w:r w:rsidRPr="00BC50C9">
        <w:rPr>
          <w:rtl/>
        </w:rPr>
        <w:t>التمويل القائم على المكافآت يوفر لرواد الأعمال إمكانية تجميع الأموال من مجموعة واسعة من الممولين من خلال تقديم مكافآت مغرية،</w:t>
      </w:r>
      <w:r w:rsidRPr="00BC50C9">
        <w:rPr>
          <w:rFonts w:hint="cs"/>
          <w:rtl/>
        </w:rPr>
        <w:t xml:space="preserve"> وهو ما </w:t>
      </w:r>
      <w:r w:rsidRPr="00BC50C9">
        <w:rPr>
          <w:rtl/>
        </w:rPr>
        <w:t xml:space="preserve">يُشجع على زيادة المشاركة والدعم من المستثمرين، مما يُعزز من فرص نجاح المشاريع. </w:t>
      </w:r>
    </w:p>
    <w:p w14:paraId="403DC417"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عرض و</w:t>
      </w:r>
      <w:r w:rsidRPr="00BC50C9">
        <w:rPr>
          <w:rFonts w:ascii="Times New Roman" w:hAnsi="Times New Roman" w:cs="Simplified Arabic" w:hint="cs"/>
          <w:b/>
          <w:bCs/>
          <w:sz w:val="24"/>
          <w:szCs w:val="28"/>
          <w:rtl/>
        </w:rPr>
        <w:t>مناقشة وتفسير</w:t>
      </w:r>
      <w:r w:rsidRPr="00BC50C9">
        <w:rPr>
          <w:rFonts w:ascii="Times New Roman" w:hAnsi="Times New Roman" w:cs="Simplified Arabic"/>
          <w:b/>
          <w:bCs/>
          <w:sz w:val="24"/>
          <w:szCs w:val="28"/>
          <w:rtl/>
        </w:rPr>
        <w:t xml:space="preserve"> 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التشاركي المختلط على نجاح المشاريع الريادية بالمملكة العربية السعودية.</w:t>
      </w:r>
    </w:p>
    <w:p w14:paraId="1C9889CA" w14:textId="77777777" w:rsidR="00DE2B2A" w:rsidRPr="00BC50C9" w:rsidRDefault="00DE2B2A" w:rsidP="006F1E2B">
      <w:pPr>
        <w:pStyle w:val="00000"/>
        <w:rPr>
          <w:rtl/>
        </w:rPr>
      </w:pPr>
      <w:r w:rsidRPr="00BC50C9">
        <w:rPr>
          <w:rtl/>
        </w:rPr>
        <w:t xml:space="preserve">تم استخدام اختبار تحليل </w:t>
      </w:r>
      <w:r w:rsidRPr="00BC50C9">
        <w:rPr>
          <w:rFonts w:hint="cs"/>
          <w:rtl/>
        </w:rPr>
        <w:t>الانحدار لمعرفة وجود أثر ذو دلالة إحصائية للتمويل التشاركي المختلط على نجاح المشاريع الريادية بالمملكة العربية السعودية</w:t>
      </w:r>
      <w:r w:rsidRPr="00BC50C9">
        <w:rPr>
          <w:rtl/>
        </w:rPr>
        <w:t xml:space="preserve"> </w:t>
      </w:r>
    </w:p>
    <w:p w14:paraId="22EAD64A" w14:textId="77777777" w:rsidR="00DE2B2A" w:rsidRPr="00BC50C9" w:rsidRDefault="00DE2B2A" w:rsidP="006F1E2B">
      <w:pPr>
        <w:pStyle w:val="33333"/>
        <w:rPr>
          <w:rtl/>
        </w:rPr>
      </w:pPr>
      <w:bookmarkStart w:id="189" w:name="_Toc195456624"/>
      <w:r w:rsidRPr="00BC50C9">
        <w:rPr>
          <w:rtl/>
        </w:rPr>
        <w:t>الجدول رقم (</w:t>
      </w:r>
      <w:r w:rsidRPr="00BC50C9">
        <w:rPr>
          <w:rFonts w:hint="cs"/>
          <w:rtl/>
        </w:rPr>
        <w:t>4</w:t>
      </w:r>
      <w:r w:rsidRPr="00BC50C9">
        <w:rPr>
          <w:rtl/>
        </w:rPr>
        <w:t>-</w:t>
      </w:r>
      <w:r w:rsidRPr="00BC50C9">
        <w:rPr>
          <w:rFonts w:hint="cs"/>
          <w:rtl/>
        </w:rPr>
        <w:t>13</w:t>
      </w:r>
      <w:r w:rsidRPr="00BC50C9">
        <w:rPr>
          <w:rtl/>
        </w:rPr>
        <w:t>) نتائج "</w:t>
      </w:r>
      <w:r w:rsidRPr="00BC50C9">
        <w:rPr>
          <w:rFonts w:hint="cs"/>
          <w:rtl/>
        </w:rPr>
        <w:t>تحليل الانحدار</w:t>
      </w:r>
      <w:r w:rsidRPr="00BC50C9">
        <w:rPr>
          <w:rtl/>
        </w:rPr>
        <w:t>"</w:t>
      </w:r>
      <w:r w:rsidRPr="00BC50C9">
        <w:rPr>
          <w:rFonts w:hint="cs"/>
          <w:rtl/>
        </w:rPr>
        <w:t xml:space="preserve"> للأثر </w:t>
      </w:r>
      <w:r w:rsidRPr="00BC50C9">
        <w:rPr>
          <w:rFonts w:hint="cs"/>
          <w:rtl/>
          <w:lang w:bidi="ar-EG"/>
        </w:rPr>
        <w:t>في</w:t>
      </w:r>
      <w:r w:rsidRPr="00BC50C9">
        <w:rPr>
          <w:rFonts w:hint="cs"/>
          <w:rtl/>
        </w:rPr>
        <w:t xml:space="preserve"> التمويل التشاركي المختلط على نجاح المشاريع الريادية بالمملكة العربية السعودية</w:t>
      </w:r>
      <w:bookmarkEnd w:id="189"/>
    </w:p>
    <w:tbl>
      <w:tblPr>
        <w:tblStyle w:val="af6"/>
        <w:bidiVisual/>
        <w:tblW w:w="5000" w:type="pct"/>
        <w:jc w:val="center"/>
        <w:tblLook w:val="04A0" w:firstRow="1" w:lastRow="0" w:firstColumn="1" w:lastColumn="0" w:noHBand="0" w:noVBand="1"/>
      </w:tblPr>
      <w:tblGrid>
        <w:gridCol w:w="1713"/>
        <w:gridCol w:w="787"/>
        <w:gridCol w:w="1243"/>
        <w:gridCol w:w="1252"/>
        <w:gridCol w:w="1234"/>
        <w:gridCol w:w="1292"/>
        <w:gridCol w:w="1541"/>
      </w:tblGrid>
      <w:tr w:rsidR="00DE2B2A" w:rsidRPr="006F1E2B" w14:paraId="2CE81C9E" w14:textId="77777777" w:rsidTr="006F1E2B">
        <w:trPr>
          <w:jc w:val="center"/>
        </w:trPr>
        <w:tc>
          <w:tcPr>
            <w:tcW w:w="945" w:type="pct"/>
            <w:shd w:val="clear" w:color="auto" w:fill="BFBFBF" w:themeFill="background1" w:themeFillShade="BF"/>
            <w:vAlign w:val="center"/>
          </w:tcPr>
          <w:p w14:paraId="262B886F" w14:textId="77777777" w:rsidR="00DE2B2A" w:rsidRPr="006F1E2B" w:rsidRDefault="00DE2B2A" w:rsidP="006F1E2B">
            <w:pPr>
              <w:pStyle w:val="afe"/>
              <w:spacing w:line="240" w:lineRule="auto"/>
              <w:rPr>
                <w:sz w:val="20"/>
                <w:szCs w:val="20"/>
                <w:rtl/>
              </w:rPr>
            </w:pPr>
            <w:bookmarkStart w:id="190" w:name="_Toc195456625"/>
            <w:r w:rsidRPr="006F1E2B">
              <w:rPr>
                <w:sz w:val="20"/>
                <w:szCs w:val="20"/>
                <w:rtl/>
              </w:rPr>
              <w:t>المتغير المستقل</w:t>
            </w:r>
            <w:bookmarkEnd w:id="190"/>
          </w:p>
        </w:tc>
        <w:tc>
          <w:tcPr>
            <w:tcW w:w="434" w:type="pct"/>
            <w:shd w:val="clear" w:color="auto" w:fill="BFBFBF" w:themeFill="background1" w:themeFillShade="BF"/>
            <w:vAlign w:val="center"/>
          </w:tcPr>
          <w:p w14:paraId="6F1DE2F6" w14:textId="77777777" w:rsidR="00DE2B2A" w:rsidRPr="006F1E2B" w:rsidRDefault="00DE2B2A" w:rsidP="006F1E2B">
            <w:pPr>
              <w:pStyle w:val="afe"/>
              <w:spacing w:line="240" w:lineRule="auto"/>
              <w:rPr>
                <w:sz w:val="20"/>
                <w:szCs w:val="20"/>
                <w:rtl/>
              </w:rPr>
            </w:pPr>
            <w:bookmarkStart w:id="191" w:name="_Toc195456626"/>
            <w:r w:rsidRPr="006F1E2B">
              <w:rPr>
                <w:sz w:val="20"/>
                <w:szCs w:val="20"/>
              </w:rPr>
              <w:t>B</w:t>
            </w:r>
            <w:bookmarkEnd w:id="191"/>
          </w:p>
        </w:tc>
        <w:tc>
          <w:tcPr>
            <w:tcW w:w="686" w:type="pct"/>
            <w:shd w:val="clear" w:color="auto" w:fill="BFBFBF" w:themeFill="background1" w:themeFillShade="BF"/>
            <w:vAlign w:val="center"/>
          </w:tcPr>
          <w:p w14:paraId="6898F2FF" w14:textId="77777777" w:rsidR="00DE2B2A" w:rsidRPr="006F1E2B" w:rsidRDefault="00DE2B2A" w:rsidP="006F1E2B">
            <w:pPr>
              <w:pStyle w:val="afe"/>
              <w:spacing w:line="240" w:lineRule="auto"/>
              <w:rPr>
                <w:sz w:val="20"/>
                <w:szCs w:val="20"/>
                <w:rtl/>
              </w:rPr>
            </w:pPr>
            <w:bookmarkStart w:id="192" w:name="_Toc195456627"/>
            <w:r w:rsidRPr="006F1E2B">
              <w:rPr>
                <w:sz w:val="20"/>
                <w:szCs w:val="20"/>
              </w:rPr>
              <w:t>Beta</w:t>
            </w:r>
            <w:bookmarkEnd w:id="192"/>
          </w:p>
        </w:tc>
        <w:tc>
          <w:tcPr>
            <w:tcW w:w="691" w:type="pct"/>
            <w:shd w:val="clear" w:color="auto" w:fill="BFBFBF" w:themeFill="background1" w:themeFillShade="BF"/>
            <w:vAlign w:val="center"/>
          </w:tcPr>
          <w:p w14:paraId="4EAF15C0" w14:textId="77777777" w:rsidR="00DE2B2A" w:rsidRPr="006F1E2B" w:rsidRDefault="00DE2B2A" w:rsidP="006F1E2B">
            <w:pPr>
              <w:pStyle w:val="afe"/>
              <w:spacing w:line="240" w:lineRule="auto"/>
              <w:rPr>
                <w:sz w:val="20"/>
                <w:szCs w:val="20"/>
                <w:rtl/>
              </w:rPr>
            </w:pPr>
            <w:bookmarkStart w:id="193" w:name="_Toc195456628"/>
            <w:r w:rsidRPr="006F1E2B">
              <w:rPr>
                <w:sz w:val="20"/>
                <w:szCs w:val="20"/>
              </w:rPr>
              <w:t>R</w:t>
            </w:r>
            <w:bookmarkEnd w:id="193"/>
          </w:p>
        </w:tc>
        <w:tc>
          <w:tcPr>
            <w:tcW w:w="681" w:type="pct"/>
            <w:shd w:val="clear" w:color="auto" w:fill="BFBFBF" w:themeFill="background1" w:themeFillShade="BF"/>
            <w:vAlign w:val="center"/>
          </w:tcPr>
          <w:p w14:paraId="2DE23CEB" w14:textId="77777777" w:rsidR="00DE2B2A" w:rsidRPr="006F1E2B" w:rsidRDefault="00DE2B2A" w:rsidP="006F1E2B">
            <w:pPr>
              <w:pStyle w:val="afe"/>
              <w:spacing w:line="240" w:lineRule="auto"/>
              <w:rPr>
                <w:sz w:val="20"/>
                <w:szCs w:val="20"/>
                <w:rtl/>
              </w:rPr>
            </w:pPr>
            <w:bookmarkStart w:id="194" w:name="_Toc195456629"/>
            <w:r w:rsidRPr="006F1E2B">
              <w:rPr>
                <w:sz w:val="20"/>
                <w:szCs w:val="20"/>
              </w:rPr>
              <w:t>R2</w:t>
            </w:r>
            <w:bookmarkEnd w:id="194"/>
          </w:p>
        </w:tc>
        <w:tc>
          <w:tcPr>
            <w:tcW w:w="713" w:type="pct"/>
            <w:shd w:val="clear" w:color="auto" w:fill="BFBFBF" w:themeFill="background1" w:themeFillShade="BF"/>
            <w:vAlign w:val="center"/>
          </w:tcPr>
          <w:p w14:paraId="5B47D8DD" w14:textId="77777777" w:rsidR="00DE2B2A" w:rsidRPr="006F1E2B" w:rsidRDefault="00DE2B2A" w:rsidP="006F1E2B">
            <w:pPr>
              <w:pStyle w:val="afe"/>
              <w:spacing w:line="240" w:lineRule="auto"/>
              <w:rPr>
                <w:sz w:val="20"/>
                <w:szCs w:val="20"/>
              </w:rPr>
            </w:pPr>
            <w:bookmarkStart w:id="195" w:name="_Toc195456630"/>
            <w:proofErr w:type="spellStart"/>
            <w:r w:rsidRPr="006F1E2B">
              <w:rPr>
                <w:sz w:val="20"/>
                <w:szCs w:val="20"/>
              </w:rPr>
              <w:t>T.value</w:t>
            </w:r>
            <w:bookmarkEnd w:id="195"/>
            <w:proofErr w:type="spellEnd"/>
          </w:p>
        </w:tc>
        <w:tc>
          <w:tcPr>
            <w:tcW w:w="850" w:type="pct"/>
            <w:shd w:val="clear" w:color="auto" w:fill="BFBFBF" w:themeFill="background1" w:themeFillShade="BF"/>
            <w:vAlign w:val="center"/>
          </w:tcPr>
          <w:p w14:paraId="6E5779CA" w14:textId="77777777" w:rsidR="00DE2B2A" w:rsidRPr="006F1E2B" w:rsidRDefault="00DE2B2A" w:rsidP="006F1E2B">
            <w:pPr>
              <w:pStyle w:val="afe"/>
              <w:spacing w:line="240" w:lineRule="auto"/>
              <w:rPr>
                <w:sz w:val="20"/>
                <w:szCs w:val="20"/>
                <w:rtl/>
              </w:rPr>
            </w:pPr>
            <w:bookmarkStart w:id="196" w:name="_Toc195456631"/>
            <w:proofErr w:type="spellStart"/>
            <w:r w:rsidRPr="006F1E2B">
              <w:rPr>
                <w:sz w:val="20"/>
                <w:szCs w:val="20"/>
              </w:rPr>
              <w:t>Sig.T</w:t>
            </w:r>
            <w:bookmarkEnd w:id="196"/>
            <w:proofErr w:type="spellEnd"/>
          </w:p>
        </w:tc>
      </w:tr>
      <w:tr w:rsidR="00DE2B2A" w:rsidRPr="006F1E2B" w14:paraId="5F94CA8D" w14:textId="77777777" w:rsidTr="006F1E2B">
        <w:trPr>
          <w:jc w:val="center"/>
        </w:trPr>
        <w:tc>
          <w:tcPr>
            <w:tcW w:w="945" w:type="pct"/>
            <w:shd w:val="clear" w:color="auto" w:fill="BFBFBF" w:themeFill="background1" w:themeFillShade="BF"/>
            <w:vAlign w:val="center"/>
          </w:tcPr>
          <w:p w14:paraId="5F9E91F8" w14:textId="77777777" w:rsidR="00DE2B2A" w:rsidRPr="006F1E2B" w:rsidRDefault="00DE2B2A" w:rsidP="006F1E2B">
            <w:pPr>
              <w:pStyle w:val="afe"/>
              <w:spacing w:line="240" w:lineRule="auto"/>
              <w:rPr>
                <w:sz w:val="20"/>
                <w:szCs w:val="20"/>
                <w:rtl/>
              </w:rPr>
            </w:pPr>
            <w:bookmarkStart w:id="197" w:name="_Toc195456632"/>
            <w:r w:rsidRPr="006F1E2B">
              <w:rPr>
                <w:rFonts w:hint="cs"/>
                <w:sz w:val="20"/>
                <w:szCs w:val="20"/>
                <w:rtl/>
              </w:rPr>
              <w:t>التمويل التشاركي المختلط</w:t>
            </w:r>
            <w:bookmarkEnd w:id="197"/>
          </w:p>
        </w:tc>
        <w:tc>
          <w:tcPr>
            <w:tcW w:w="434" w:type="pct"/>
            <w:vAlign w:val="center"/>
          </w:tcPr>
          <w:p w14:paraId="6152B640"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.658</w:t>
            </w:r>
          </w:p>
        </w:tc>
        <w:tc>
          <w:tcPr>
            <w:tcW w:w="686" w:type="pct"/>
            <w:vAlign w:val="center"/>
          </w:tcPr>
          <w:p w14:paraId="3D26A950"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.531</w:t>
            </w:r>
          </w:p>
        </w:tc>
        <w:tc>
          <w:tcPr>
            <w:tcW w:w="691" w:type="pct"/>
            <w:vAlign w:val="center"/>
          </w:tcPr>
          <w:p w14:paraId="0F3A49C4"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.531</w:t>
            </w:r>
            <w:r w:rsidRPr="006F1E2B">
              <w:rPr>
                <w:rFonts w:ascii="Times New Roman" w:hAnsi="Times New Roman" w:cs="Simplified Arabic"/>
                <w:color w:val="000000"/>
                <w:sz w:val="20"/>
                <w:szCs w:val="20"/>
                <w:vertAlign w:val="superscript"/>
              </w:rPr>
              <w:t>a</w:t>
            </w:r>
          </w:p>
        </w:tc>
        <w:tc>
          <w:tcPr>
            <w:tcW w:w="681" w:type="pct"/>
            <w:vAlign w:val="center"/>
          </w:tcPr>
          <w:p w14:paraId="4A2CA6AA"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.282</w:t>
            </w:r>
          </w:p>
        </w:tc>
        <w:tc>
          <w:tcPr>
            <w:tcW w:w="713" w:type="pct"/>
            <w:vAlign w:val="center"/>
          </w:tcPr>
          <w:p w14:paraId="2E02A605"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12.257</w:t>
            </w:r>
          </w:p>
        </w:tc>
        <w:tc>
          <w:tcPr>
            <w:tcW w:w="850" w:type="pct"/>
            <w:vAlign w:val="center"/>
          </w:tcPr>
          <w:p w14:paraId="36A7D4A0"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.000</w:t>
            </w:r>
          </w:p>
        </w:tc>
      </w:tr>
      <w:tr w:rsidR="00DE2B2A" w:rsidRPr="006F1E2B" w14:paraId="43075721" w14:textId="77777777" w:rsidTr="006F1E2B">
        <w:trPr>
          <w:jc w:val="center"/>
        </w:trPr>
        <w:tc>
          <w:tcPr>
            <w:tcW w:w="945" w:type="pct"/>
            <w:shd w:val="clear" w:color="auto" w:fill="BFBFBF" w:themeFill="background1" w:themeFillShade="BF"/>
            <w:vAlign w:val="center"/>
          </w:tcPr>
          <w:p w14:paraId="6A2B678D" w14:textId="77777777" w:rsidR="00DE2B2A" w:rsidRPr="006F1E2B" w:rsidRDefault="00DE2B2A" w:rsidP="006F1E2B">
            <w:pPr>
              <w:pStyle w:val="afe"/>
              <w:spacing w:line="240" w:lineRule="auto"/>
              <w:rPr>
                <w:sz w:val="20"/>
                <w:szCs w:val="20"/>
                <w:rtl/>
              </w:rPr>
            </w:pPr>
            <w:bookmarkStart w:id="198" w:name="_Toc195456633"/>
            <w:r w:rsidRPr="006F1E2B">
              <w:rPr>
                <w:sz w:val="20"/>
                <w:szCs w:val="20"/>
                <w:rtl/>
              </w:rPr>
              <w:t>المعامل الثابت</w:t>
            </w:r>
            <w:bookmarkEnd w:id="198"/>
          </w:p>
        </w:tc>
        <w:tc>
          <w:tcPr>
            <w:tcW w:w="4055" w:type="pct"/>
            <w:gridSpan w:val="6"/>
            <w:vAlign w:val="center"/>
          </w:tcPr>
          <w:p w14:paraId="1E306E62"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1.422</w:t>
            </w:r>
          </w:p>
        </w:tc>
      </w:tr>
      <w:tr w:rsidR="00DE2B2A" w:rsidRPr="006F1E2B" w14:paraId="68A573B7" w14:textId="77777777" w:rsidTr="006F1E2B">
        <w:trPr>
          <w:jc w:val="center"/>
        </w:trPr>
        <w:tc>
          <w:tcPr>
            <w:tcW w:w="945" w:type="pct"/>
            <w:shd w:val="clear" w:color="auto" w:fill="BFBFBF" w:themeFill="background1" w:themeFillShade="BF"/>
            <w:vAlign w:val="center"/>
          </w:tcPr>
          <w:p w14:paraId="0BA6694E" w14:textId="77777777" w:rsidR="00DE2B2A" w:rsidRPr="006F1E2B" w:rsidRDefault="00DE2B2A" w:rsidP="006F1E2B">
            <w:pPr>
              <w:pStyle w:val="afe"/>
              <w:spacing w:line="240" w:lineRule="auto"/>
              <w:rPr>
                <w:sz w:val="20"/>
                <w:szCs w:val="20"/>
              </w:rPr>
            </w:pPr>
            <w:bookmarkStart w:id="199" w:name="_Toc195456634"/>
            <w:r w:rsidRPr="006F1E2B">
              <w:rPr>
                <w:sz w:val="20"/>
                <w:szCs w:val="20"/>
              </w:rPr>
              <w:t>Adj R2</w:t>
            </w:r>
            <w:bookmarkEnd w:id="199"/>
          </w:p>
        </w:tc>
        <w:tc>
          <w:tcPr>
            <w:tcW w:w="4055" w:type="pct"/>
            <w:gridSpan w:val="6"/>
            <w:vAlign w:val="center"/>
          </w:tcPr>
          <w:p w14:paraId="0A22806C"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.280</w:t>
            </w:r>
          </w:p>
        </w:tc>
      </w:tr>
      <w:tr w:rsidR="00DE2B2A" w:rsidRPr="006F1E2B" w14:paraId="6733772E" w14:textId="77777777" w:rsidTr="006F1E2B">
        <w:trPr>
          <w:jc w:val="center"/>
        </w:trPr>
        <w:tc>
          <w:tcPr>
            <w:tcW w:w="945" w:type="pct"/>
            <w:shd w:val="clear" w:color="auto" w:fill="BFBFBF" w:themeFill="background1" w:themeFillShade="BF"/>
            <w:vAlign w:val="center"/>
          </w:tcPr>
          <w:p w14:paraId="2E55346F" w14:textId="77777777" w:rsidR="00DE2B2A" w:rsidRPr="006F1E2B" w:rsidRDefault="00DE2B2A" w:rsidP="006F1E2B">
            <w:pPr>
              <w:pStyle w:val="afe"/>
              <w:spacing w:line="240" w:lineRule="auto"/>
              <w:rPr>
                <w:sz w:val="20"/>
                <w:szCs w:val="20"/>
              </w:rPr>
            </w:pPr>
            <w:bookmarkStart w:id="200" w:name="_Toc195456635"/>
            <w:r w:rsidRPr="006F1E2B">
              <w:rPr>
                <w:sz w:val="20"/>
                <w:szCs w:val="20"/>
                <w:rtl/>
              </w:rPr>
              <w:t xml:space="preserve">قيمة </w:t>
            </w:r>
            <w:r w:rsidRPr="006F1E2B">
              <w:rPr>
                <w:sz w:val="20"/>
                <w:szCs w:val="20"/>
              </w:rPr>
              <w:t>F</w:t>
            </w:r>
            <w:bookmarkEnd w:id="200"/>
          </w:p>
        </w:tc>
        <w:tc>
          <w:tcPr>
            <w:tcW w:w="4055" w:type="pct"/>
            <w:gridSpan w:val="6"/>
            <w:vAlign w:val="center"/>
          </w:tcPr>
          <w:p w14:paraId="15C950F5"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150.223</w:t>
            </w:r>
          </w:p>
        </w:tc>
      </w:tr>
      <w:tr w:rsidR="00DE2B2A" w:rsidRPr="006F1E2B" w14:paraId="3821EF15" w14:textId="77777777" w:rsidTr="006F1E2B">
        <w:trPr>
          <w:trHeight w:val="70"/>
          <w:jc w:val="center"/>
        </w:trPr>
        <w:tc>
          <w:tcPr>
            <w:tcW w:w="945" w:type="pct"/>
            <w:shd w:val="clear" w:color="auto" w:fill="BFBFBF" w:themeFill="background1" w:themeFillShade="BF"/>
            <w:vAlign w:val="center"/>
          </w:tcPr>
          <w:p w14:paraId="3C70180C" w14:textId="77777777" w:rsidR="00DE2B2A" w:rsidRPr="006F1E2B" w:rsidRDefault="00DE2B2A" w:rsidP="006F1E2B">
            <w:pPr>
              <w:pStyle w:val="afe"/>
              <w:spacing w:line="240" w:lineRule="auto"/>
              <w:rPr>
                <w:sz w:val="20"/>
                <w:szCs w:val="20"/>
              </w:rPr>
            </w:pPr>
            <w:bookmarkStart w:id="201" w:name="_Toc195456636"/>
            <w:r w:rsidRPr="006F1E2B">
              <w:rPr>
                <w:sz w:val="20"/>
                <w:szCs w:val="20"/>
              </w:rPr>
              <w:t>Sig F</w:t>
            </w:r>
            <w:bookmarkEnd w:id="201"/>
          </w:p>
        </w:tc>
        <w:tc>
          <w:tcPr>
            <w:tcW w:w="4055" w:type="pct"/>
            <w:gridSpan w:val="6"/>
            <w:vAlign w:val="center"/>
          </w:tcPr>
          <w:p w14:paraId="33575343" w14:textId="77777777" w:rsidR="00DE2B2A" w:rsidRPr="006F1E2B" w:rsidRDefault="00DE2B2A" w:rsidP="006F1E2B">
            <w:pPr>
              <w:widowControl w:val="0"/>
              <w:bidi/>
              <w:jc w:val="center"/>
              <w:rPr>
                <w:rFonts w:ascii="Times New Roman" w:hAnsi="Times New Roman" w:cs="Simplified Arabic"/>
                <w:color w:val="000000"/>
                <w:sz w:val="20"/>
                <w:szCs w:val="20"/>
                <w:rtl/>
                <w:lang w:bidi="ar-EG"/>
              </w:rPr>
            </w:pPr>
            <w:r w:rsidRPr="006F1E2B">
              <w:rPr>
                <w:rFonts w:ascii="Times New Roman" w:hAnsi="Times New Roman" w:cs="Simplified Arabic"/>
                <w:color w:val="000000"/>
                <w:sz w:val="20"/>
                <w:szCs w:val="20"/>
              </w:rPr>
              <w:t>.000</w:t>
            </w:r>
            <w:proofErr w:type="gramStart"/>
            <w:r w:rsidRPr="006F1E2B">
              <w:rPr>
                <w:rFonts w:ascii="Times New Roman" w:hAnsi="Times New Roman" w:cs="Simplified Arabic"/>
                <w:color w:val="000000"/>
                <w:sz w:val="20"/>
                <w:szCs w:val="20"/>
              </w:rPr>
              <w:t xml:space="preserve">b </w:t>
            </w:r>
            <w:r w:rsidRPr="006F1E2B">
              <w:rPr>
                <w:rFonts w:ascii="Times New Roman" w:hAnsi="Times New Roman" w:cs="Simplified Arabic" w:hint="cs"/>
                <w:color w:val="000000"/>
                <w:sz w:val="20"/>
                <w:szCs w:val="20"/>
                <w:rtl/>
              </w:rPr>
              <w:t xml:space="preserve"> نموذج</w:t>
            </w:r>
            <w:proofErr w:type="gramEnd"/>
            <w:r w:rsidRPr="006F1E2B">
              <w:rPr>
                <w:rFonts w:ascii="Times New Roman" w:hAnsi="Times New Roman" w:cs="Simplified Arabic" w:hint="cs"/>
                <w:color w:val="000000"/>
                <w:sz w:val="20"/>
                <w:szCs w:val="20"/>
                <w:rtl/>
              </w:rPr>
              <w:t xml:space="preserve"> معنوي</w:t>
            </w:r>
          </w:p>
        </w:tc>
      </w:tr>
    </w:tbl>
    <w:p w14:paraId="08DDC5E2" w14:textId="77777777" w:rsidR="00DE2B2A" w:rsidRPr="00BC50C9" w:rsidRDefault="00DE2B2A" w:rsidP="006F1E2B">
      <w:pPr>
        <w:pStyle w:val="00000"/>
        <w:rPr>
          <w:b/>
          <w:bCs/>
          <w:rtl/>
        </w:rPr>
      </w:pPr>
      <w:r w:rsidRPr="00BC50C9">
        <w:rPr>
          <w:rFonts w:hint="cs"/>
          <w:rtl/>
        </w:rPr>
        <w:lastRenderedPageBreak/>
        <w:t>يتبين من الجدول السابق وجود أثر إيجابي ذو دلالة إحصائية للتمويل القائم على المكافآت على نجاح المشاريع الريادية بالمملكة العربية السعودية؛ حيث جاءت قيمة (</w:t>
      </w:r>
      <w:r w:rsidRPr="00BC50C9">
        <w:t>R</w:t>
      </w:r>
      <w:r w:rsidRPr="00BC50C9">
        <w:rPr>
          <w:rFonts w:hint="cs"/>
          <w:rtl/>
        </w:rPr>
        <w:t>) (</w:t>
      </w:r>
      <w:r w:rsidRPr="00BC50C9">
        <w:rPr>
          <w:color w:val="000000"/>
        </w:rPr>
        <w:t>.531</w:t>
      </w:r>
      <w:r w:rsidRPr="00BC50C9">
        <w:rPr>
          <w:color w:val="000000"/>
          <w:vertAlign w:val="superscript"/>
        </w:rPr>
        <w:t>a</w:t>
      </w:r>
      <w:r w:rsidRPr="00BC50C9">
        <w:rPr>
          <w:rFonts w:hint="cs"/>
          <w:rtl/>
        </w:rPr>
        <w:t>) بمستوى دلالة (</w:t>
      </w:r>
      <w:r w:rsidRPr="00BC50C9">
        <w:t>.000b</w:t>
      </w:r>
      <w:r w:rsidRPr="00BC50C9">
        <w:rPr>
          <w:rFonts w:hint="cs"/>
          <w:rtl/>
        </w:rPr>
        <w:t xml:space="preserve">)؛ وبذلك تم التحقق من خطأ الفرضية حيث أن </w:t>
      </w:r>
      <w:r w:rsidRPr="00BC50C9">
        <w:rPr>
          <w:rtl/>
        </w:rPr>
        <w:t>يُعتبر التمويل التشاركي المختلط عاملًا إيجابيًا ذو دلالة إحصائية على نجاح المشاريع الريادية في المملكة</w:t>
      </w:r>
      <w:r w:rsidRPr="00BC50C9">
        <w:rPr>
          <w:rFonts w:hint="cs"/>
          <w:rtl/>
        </w:rPr>
        <w:t>، ف</w:t>
      </w:r>
      <w:r w:rsidRPr="00BC50C9">
        <w:rPr>
          <w:rtl/>
        </w:rPr>
        <w:t xml:space="preserve">يجمع بين عناصر التمويل </w:t>
      </w:r>
      <w:proofErr w:type="spellStart"/>
      <w:r w:rsidRPr="00BC50C9">
        <w:rPr>
          <w:rtl/>
        </w:rPr>
        <w:t>التبرعي</w:t>
      </w:r>
      <w:proofErr w:type="spellEnd"/>
      <w:r w:rsidRPr="00BC50C9">
        <w:rPr>
          <w:rtl/>
        </w:rPr>
        <w:t xml:space="preserve"> والتمويل القائم على المكافآت، مما يُتيح لرواد الأعمال تنويع مصادر التمويل وزيادة فرص الحصول على الدعم اللازم</w:t>
      </w:r>
      <w:r w:rsidRPr="00BC50C9">
        <w:rPr>
          <w:rFonts w:hint="cs"/>
          <w:rtl/>
        </w:rPr>
        <w:t xml:space="preserve">، وبذلك تمت التحقق من خطأ الفرضية الرئيسية الثانية التي نصت على: </w:t>
      </w:r>
      <w:r w:rsidRPr="00BC50C9">
        <w:rPr>
          <w:rFonts w:hint="cs"/>
          <w:b/>
          <w:bCs/>
          <w:rtl/>
        </w:rPr>
        <w:t>لا</w:t>
      </w:r>
      <w:r w:rsidRPr="00BC50C9">
        <w:rPr>
          <w:rFonts w:hint="cs"/>
          <w:rtl/>
        </w:rPr>
        <w:t xml:space="preserve"> </w:t>
      </w:r>
      <w:r w:rsidRPr="00BC50C9">
        <w:rPr>
          <w:rFonts w:hint="cs"/>
          <w:b/>
          <w:bCs/>
          <w:rtl/>
        </w:rPr>
        <w:t xml:space="preserve">يوجد تأثير إيجابي ذو دلالة إحصائية عند مستوى دلالة (0.05) للتمويل التشاركي على نجاح المشاريع الريادية بالمملكة العربية السعودية، ورفضها. </w:t>
      </w:r>
    </w:p>
    <w:p w14:paraId="3EFD2CFE" w14:textId="77777777" w:rsidR="00DE2B2A" w:rsidRPr="00BC50C9" w:rsidRDefault="00DE2B2A" w:rsidP="006F1E2B">
      <w:pPr>
        <w:pStyle w:val="00000"/>
        <w:rPr>
          <w:rtl/>
        </w:rPr>
      </w:pPr>
      <w:r w:rsidRPr="00BC50C9">
        <w:rPr>
          <w:rFonts w:hint="cs"/>
          <w:rtl/>
        </w:rPr>
        <w:t xml:space="preserve">ويتفق هذا جزئيًا مع ما توصلت إليه </w:t>
      </w:r>
      <w:r w:rsidRPr="00BC50C9">
        <w:rPr>
          <w:rtl/>
        </w:rPr>
        <w:t>دراسة</w:t>
      </w:r>
      <w:r w:rsidRPr="00BC50C9">
        <w:rPr>
          <w:rFonts w:hint="cs"/>
          <w:rtl/>
        </w:rPr>
        <w:t xml:space="preserve"> </w:t>
      </w:r>
      <w:r w:rsidRPr="00BC50C9">
        <w:rPr>
          <w:rtl/>
        </w:rPr>
        <w:t>أبو أمونه (2018أ) وجود أثر معنوي دال إحصائيًا للتكنولوجيا المالية على ريادة الأعمال</w:t>
      </w:r>
      <w:r w:rsidRPr="00BC50C9">
        <w:rPr>
          <w:rFonts w:hint="cs"/>
          <w:rtl/>
        </w:rPr>
        <w:t>، و</w:t>
      </w:r>
      <w:r w:rsidRPr="00BC50C9">
        <w:rPr>
          <w:rtl/>
        </w:rPr>
        <w:t xml:space="preserve">وجود أثر معنوي دال إحصائيًا للخصائص المالية للتمويل التشاركي الإلكتروني على المشاريع الريادية، إذ </w:t>
      </w:r>
      <w:proofErr w:type="gramStart"/>
      <w:r w:rsidRPr="00BC50C9">
        <w:rPr>
          <w:rFonts w:hint="cs"/>
          <w:rtl/>
        </w:rPr>
        <w:t>حظى</w:t>
      </w:r>
      <w:proofErr w:type="gramEnd"/>
      <w:r w:rsidRPr="00BC50C9">
        <w:rPr>
          <w:rtl/>
        </w:rPr>
        <w:t xml:space="preserve"> التمويل التشاركي الإلكتروني بأهمية كبيرة في تمويل المشاريع الريادية وتحقيقه لكفاءة التمويل وتحفيض التكاليف</w:t>
      </w:r>
      <w:r w:rsidRPr="00BC50C9">
        <w:rPr>
          <w:rFonts w:hint="cs"/>
          <w:rtl/>
        </w:rPr>
        <w:t>.</w:t>
      </w:r>
    </w:p>
    <w:p w14:paraId="11B3E777" w14:textId="77777777" w:rsidR="00DE2B2A" w:rsidRDefault="00DE2B2A" w:rsidP="00BC50C9">
      <w:pPr>
        <w:bidi/>
        <w:spacing w:before="120" w:after="120" w:line="240" w:lineRule="auto"/>
        <w:rPr>
          <w:rFonts w:ascii="Times New Roman" w:hAnsi="Times New Roman" w:cs="Simplified Arabic"/>
          <w:b/>
          <w:bCs/>
          <w:sz w:val="24"/>
          <w:szCs w:val="28"/>
          <w:rtl/>
        </w:rPr>
      </w:pPr>
    </w:p>
    <w:p w14:paraId="6BFBE64A" w14:textId="77777777" w:rsidR="009F0D73" w:rsidRDefault="009F0D73" w:rsidP="009F0D73">
      <w:pPr>
        <w:bidi/>
        <w:spacing w:before="120" w:after="120" w:line="240" w:lineRule="auto"/>
        <w:rPr>
          <w:rFonts w:ascii="Times New Roman" w:hAnsi="Times New Roman" w:cs="Simplified Arabic"/>
          <w:b/>
          <w:bCs/>
          <w:sz w:val="24"/>
          <w:szCs w:val="28"/>
          <w:rtl/>
        </w:rPr>
      </w:pPr>
    </w:p>
    <w:p w14:paraId="5DED7B7C" w14:textId="77777777" w:rsidR="009F0D73" w:rsidRDefault="009F0D73" w:rsidP="009F0D73">
      <w:pPr>
        <w:bidi/>
        <w:spacing w:before="120" w:after="120" w:line="240" w:lineRule="auto"/>
        <w:rPr>
          <w:rFonts w:ascii="Times New Roman" w:hAnsi="Times New Roman" w:cs="Simplified Arabic"/>
          <w:b/>
          <w:bCs/>
          <w:sz w:val="24"/>
          <w:szCs w:val="28"/>
          <w:rtl/>
        </w:rPr>
      </w:pPr>
    </w:p>
    <w:p w14:paraId="7A23A8C3" w14:textId="77777777" w:rsidR="009F0D73" w:rsidRDefault="009F0D73" w:rsidP="009F0D73">
      <w:pPr>
        <w:bidi/>
        <w:spacing w:before="120" w:after="120" w:line="240" w:lineRule="auto"/>
        <w:rPr>
          <w:rFonts w:ascii="Times New Roman" w:hAnsi="Times New Roman" w:cs="Simplified Arabic"/>
          <w:b/>
          <w:bCs/>
          <w:sz w:val="24"/>
          <w:szCs w:val="28"/>
          <w:rtl/>
        </w:rPr>
      </w:pPr>
    </w:p>
    <w:p w14:paraId="4B783C0F" w14:textId="77777777" w:rsidR="009F0D73" w:rsidRDefault="009F0D73" w:rsidP="009F0D73">
      <w:pPr>
        <w:bidi/>
        <w:spacing w:before="120" w:after="120" w:line="240" w:lineRule="auto"/>
        <w:rPr>
          <w:rFonts w:ascii="Times New Roman" w:hAnsi="Times New Roman" w:cs="Simplified Arabic"/>
          <w:b/>
          <w:bCs/>
          <w:sz w:val="24"/>
          <w:szCs w:val="28"/>
          <w:rtl/>
        </w:rPr>
      </w:pPr>
    </w:p>
    <w:p w14:paraId="75FD4510" w14:textId="77777777" w:rsidR="009F0D73" w:rsidRDefault="009F0D73" w:rsidP="009F0D73">
      <w:pPr>
        <w:bidi/>
        <w:spacing w:before="120" w:after="120" w:line="240" w:lineRule="auto"/>
        <w:rPr>
          <w:rFonts w:ascii="Times New Roman" w:hAnsi="Times New Roman" w:cs="Simplified Arabic"/>
          <w:b/>
          <w:bCs/>
          <w:sz w:val="24"/>
          <w:szCs w:val="28"/>
          <w:rtl/>
        </w:rPr>
      </w:pPr>
    </w:p>
    <w:p w14:paraId="50FDA400" w14:textId="77777777" w:rsidR="009F0D73" w:rsidRDefault="009F0D73" w:rsidP="009F0D73">
      <w:pPr>
        <w:bidi/>
        <w:spacing w:before="120" w:after="120" w:line="240" w:lineRule="auto"/>
        <w:rPr>
          <w:rFonts w:ascii="Times New Roman" w:hAnsi="Times New Roman" w:cs="Simplified Arabic"/>
          <w:b/>
          <w:bCs/>
          <w:sz w:val="24"/>
          <w:szCs w:val="28"/>
          <w:rtl/>
        </w:rPr>
      </w:pPr>
    </w:p>
    <w:p w14:paraId="0B254FD8" w14:textId="77777777" w:rsidR="009F0D73" w:rsidRDefault="009F0D73" w:rsidP="009F0D73">
      <w:pPr>
        <w:bidi/>
        <w:spacing w:before="120" w:after="120" w:line="240" w:lineRule="auto"/>
        <w:rPr>
          <w:rFonts w:ascii="Times New Roman" w:hAnsi="Times New Roman" w:cs="Simplified Arabic"/>
          <w:b/>
          <w:bCs/>
          <w:sz w:val="24"/>
          <w:szCs w:val="28"/>
          <w:rtl/>
        </w:rPr>
      </w:pPr>
    </w:p>
    <w:p w14:paraId="66C5B451" w14:textId="77777777" w:rsidR="009F0D73" w:rsidRDefault="009F0D73" w:rsidP="009F0D73">
      <w:pPr>
        <w:bidi/>
        <w:spacing w:before="120" w:after="120" w:line="240" w:lineRule="auto"/>
        <w:rPr>
          <w:rFonts w:ascii="Times New Roman" w:hAnsi="Times New Roman" w:cs="Simplified Arabic"/>
          <w:b/>
          <w:bCs/>
          <w:sz w:val="24"/>
          <w:szCs w:val="28"/>
          <w:rtl/>
        </w:rPr>
      </w:pPr>
    </w:p>
    <w:p w14:paraId="210A2380" w14:textId="77777777" w:rsidR="009F0D73" w:rsidRDefault="009F0D73" w:rsidP="009F0D73">
      <w:pPr>
        <w:bidi/>
        <w:spacing w:before="120" w:after="120" w:line="240" w:lineRule="auto"/>
        <w:rPr>
          <w:rFonts w:ascii="Times New Roman" w:hAnsi="Times New Roman" w:cs="Simplified Arabic"/>
          <w:b/>
          <w:bCs/>
          <w:sz w:val="24"/>
          <w:szCs w:val="28"/>
          <w:rtl/>
        </w:rPr>
      </w:pPr>
    </w:p>
    <w:p w14:paraId="3C6C4FCF" w14:textId="77777777" w:rsidR="009F0D73" w:rsidRPr="00BC50C9" w:rsidRDefault="009F0D73" w:rsidP="009F0D73">
      <w:pPr>
        <w:bidi/>
        <w:spacing w:before="120" w:after="120" w:line="240" w:lineRule="auto"/>
        <w:rPr>
          <w:rFonts w:ascii="Times New Roman" w:hAnsi="Times New Roman" w:cs="Simplified Arabic"/>
          <w:b/>
          <w:bCs/>
          <w:sz w:val="24"/>
          <w:szCs w:val="28"/>
          <w:rtl/>
        </w:rPr>
      </w:pPr>
    </w:p>
    <w:p w14:paraId="3DC375E1" w14:textId="77777777" w:rsidR="00DE2B2A" w:rsidRPr="00BC50C9" w:rsidRDefault="00DE2B2A" w:rsidP="00BC50C9">
      <w:pPr>
        <w:bidi/>
        <w:spacing w:before="120" w:after="120" w:line="240" w:lineRule="auto"/>
        <w:jc w:val="center"/>
        <w:rPr>
          <w:rFonts w:ascii="Times New Roman" w:hAnsi="Times New Roman" w:cs="Simplified Arabic"/>
          <w:b/>
          <w:bCs/>
          <w:sz w:val="24"/>
          <w:szCs w:val="28"/>
          <w:rtl/>
        </w:rPr>
      </w:pPr>
    </w:p>
    <w:p w14:paraId="0E8E14AE" w14:textId="77777777" w:rsidR="00DE2B2A" w:rsidRPr="00BC50C9" w:rsidRDefault="00DE2B2A" w:rsidP="00BC50C9">
      <w:pPr>
        <w:bidi/>
        <w:spacing w:before="120" w:after="120" w:line="240" w:lineRule="auto"/>
        <w:jc w:val="center"/>
        <w:rPr>
          <w:rFonts w:ascii="Times New Roman" w:hAnsi="Times New Roman" w:cs="Simplified Arabic"/>
          <w:b/>
          <w:bCs/>
          <w:sz w:val="24"/>
          <w:szCs w:val="28"/>
          <w:rtl/>
        </w:rPr>
      </w:pPr>
    </w:p>
    <w:p w14:paraId="3EEE6F71" w14:textId="77777777" w:rsidR="006F1E2B" w:rsidRDefault="006F1E2B" w:rsidP="00BC50C9">
      <w:pPr>
        <w:bidi/>
        <w:spacing w:before="120" w:after="120" w:line="240" w:lineRule="auto"/>
        <w:jc w:val="center"/>
        <w:rPr>
          <w:rFonts w:ascii="Times New Roman" w:hAnsi="Times New Roman" w:cs="Simplified Arabic"/>
          <w:b/>
          <w:bCs/>
          <w:sz w:val="24"/>
          <w:szCs w:val="28"/>
          <w:rtl/>
        </w:rPr>
      </w:pPr>
    </w:p>
    <w:p w14:paraId="2442FB35" w14:textId="77777777" w:rsidR="006F1E2B" w:rsidRDefault="006F1E2B" w:rsidP="006F1E2B">
      <w:pPr>
        <w:bidi/>
        <w:spacing w:before="120" w:after="120" w:line="240" w:lineRule="auto"/>
        <w:jc w:val="center"/>
        <w:rPr>
          <w:rFonts w:ascii="Times New Roman" w:hAnsi="Times New Roman" w:cs="Simplified Arabic"/>
          <w:b/>
          <w:bCs/>
          <w:sz w:val="24"/>
          <w:szCs w:val="28"/>
          <w:rtl/>
        </w:rPr>
      </w:pPr>
    </w:p>
    <w:p w14:paraId="0586D71F" w14:textId="3F63D055" w:rsidR="00DE2B2A" w:rsidRPr="00BC50C9" w:rsidRDefault="00DE2B2A" w:rsidP="006F1E2B">
      <w:pPr>
        <w:pStyle w:val="11110"/>
        <w:rPr>
          <w:rtl/>
        </w:rPr>
      </w:pPr>
      <w:bookmarkStart w:id="202" w:name="_Toc195456637"/>
      <w:r w:rsidRPr="00BC50C9">
        <w:rPr>
          <w:rFonts w:hint="cs"/>
          <w:rtl/>
        </w:rPr>
        <w:lastRenderedPageBreak/>
        <w:t>الفصل</w:t>
      </w:r>
      <w:r w:rsidRPr="00BC50C9">
        <w:rPr>
          <w:rtl/>
        </w:rPr>
        <w:t xml:space="preserve"> </w:t>
      </w:r>
      <w:r w:rsidRPr="00BC50C9">
        <w:rPr>
          <w:rFonts w:hint="cs"/>
          <w:rtl/>
        </w:rPr>
        <w:t>الخامس</w:t>
      </w:r>
      <w:r w:rsidR="006F1E2B">
        <w:rPr>
          <w:rFonts w:hint="cs"/>
          <w:rtl/>
        </w:rPr>
        <w:t xml:space="preserve">: </w:t>
      </w:r>
      <w:r w:rsidRPr="00BC50C9">
        <w:rPr>
          <w:rFonts w:hint="cs"/>
          <w:rtl/>
        </w:rPr>
        <w:t>ملخص نتائج</w:t>
      </w:r>
      <w:r w:rsidRPr="00BC50C9">
        <w:rPr>
          <w:rtl/>
        </w:rPr>
        <w:t xml:space="preserve"> </w:t>
      </w:r>
      <w:r w:rsidRPr="00BC50C9">
        <w:rPr>
          <w:rFonts w:hint="cs"/>
          <w:rtl/>
        </w:rPr>
        <w:t>الدراسة</w:t>
      </w:r>
      <w:r w:rsidRPr="00BC50C9">
        <w:rPr>
          <w:rtl/>
        </w:rPr>
        <w:t xml:space="preserve"> </w:t>
      </w:r>
      <w:r w:rsidRPr="00BC50C9">
        <w:rPr>
          <w:rFonts w:hint="cs"/>
          <w:rtl/>
        </w:rPr>
        <w:t>والتوصيات</w:t>
      </w:r>
      <w:r w:rsidRPr="00BC50C9">
        <w:rPr>
          <w:rtl/>
        </w:rPr>
        <w:t xml:space="preserve"> </w:t>
      </w:r>
      <w:r w:rsidRPr="00BC50C9">
        <w:rPr>
          <w:rFonts w:hint="cs"/>
          <w:rtl/>
        </w:rPr>
        <w:t>والمقترحات</w:t>
      </w:r>
      <w:bookmarkEnd w:id="202"/>
    </w:p>
    <w:p w14:paraId="20F770F8" w14:textId="77777777" w:rsidR="00DE2B2A" w:rsidRPr="00BC50C9" w:rsidRDefault="00DE2B2A" w:rsidP="00BC50C9">
      <w:pPr>
        <w:bidi/>
        <w:spacing w:before="120" w:after="120" w:line="240" w:lineRule="auto"/>
        <w:rPr>
          <w:rFonts w:ascii="Times New Roman" w:hAnsi="Times New Roman" w:cs="Simplified Arabic"/>
          <w:sz w:val="24"/>
          <w:szCs w:val="28"/>
          <w:rtl/>
        </w:rPr>
      </w:pPr>
      <w:r w:rsidRPr="00BC50C9">
        <w:rPr>
          <w:rFonts w:ascii="Times New Roman" w:hAnsi="Times New Roman" w:cs="Simplified Arabic"/>
          <w:b/>
          <w:bCs/>
          <w:sz w:val="24"/>
          <w:szCs w:val="28"/>
          <w:rtl/>
        </w:rPr>
        <w:tab/>
      </w:r>
      <w:r w:rsidRPr="00BC50C9">
        <w:rPr>
          <w:rFonts w:ascii="Times New Roman" w:hAnsi="Times New Roman" w:cs="Simplified Arabic" w:hint="cs"/>
          <w:sz w:val="24"/>
          <w:szCs w:val="28"/>
          <w:rtl/>
        </w:rPr>
        <w:t>يقدم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هذا</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الفصل</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ملخصًا لما</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تم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عرضه</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في</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الفصول</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السابقة،</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والنتائج</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التي</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تم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التوصل</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إليها،</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يلي</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ذلك</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عدد</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من</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التوصيات</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والمقترحات</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على</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نتائج</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الدراسة</w:t>
      </w:r>
      <w:r w:rsidRPr="00BC50C9">
        <w:rPr>
          <w:rFonts w:ascii="Times New Roman" w:hAnsi="Times New Roman" w:cs="Simplified Arabic"/>
          <w:sz w:val="24"/>
          <w:szCs w:val="28"/>
          <w:rtl/>
        </w:rPr>
        <w:t>.</w:t>
      </w:r>
    </w:p>
    <w:p w14:paraId="4FB5901E" w14:textId="60AB25C6" w:rsidR="00DE2B2A" w:rsidRPr="00BC50C9" w:rsidRDefault="006F1E2B" w:rsidP="006F1E2B">
      <w:pPr>
        <w:pStyle w:val="22222"/>
        <w:rPr>
          <w:rtl/>
        </w:rPr>
      </w:pPr>
      <w:bookmarkStart w:id="203" w:name="_Toc195456638"/>
      <w:r>
        <w:rPr>
          <w:rFonts w:hint="cs"/>
          <w:rtl/>
        </w:rPr>
        <w:t xml:space="preserve">1.5 </w:t>
      </w:r>
      <w:r w:rsidR="00DE2B2A" w:rsidRPr="00BC50C9">
        <w:rPr>
          <w:rFonts w:hint="cs"/>
          <w:rtl/>
        </w:rPr>
        <w:t>ملخص الدراسة:</w:t>
      </w:r>
      <w:bookmarkEnd w:id="203"/>
      <w:r w:rsidR="00DE2B2A" w:rsidRPr="00BC50C9">
        <w:rPr>
          <w:rFonts w:hint="cs"/>
          <w:rtl/>
        </w:rPr>
        <w:t xml:space="preserve"> </w:t>
      </w:r>
    </w:p>
    <w:p w14:paraId="0366A751"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نتائج </w:t>
      </w:r>
      <w:r w:rsidRPr="00BC50C9">
        <w:rPr>
          <w:rFonts w:ascii="Times New Roman" w:hAnsi="Times New Roman" w:cs="Simplified Arabic"/>
          <w:b/>
          <w:bCs/>
          <w:sz w:val="24"/>
          <w:szCs w:val="28"/>
          <w:rtl/>
        </w:rPr>
        <w:t>السؤال الذي نص على</w:t>
      </w:r>
      <w:r w:rsidRPr="006F1E2B">
        <w:rPr>
          <w:rFonts w:ascii="Times New Roman" w:hAnsi="Times New Roman" w:cs="Simplified Arabic" w:hint="cs"/>
          <w:b/>
          <w:bCs/>
          <w:sz w:val="24"/>
          <w:szCs w:val="28"/>
          <w:rtl/>
        </w:rPr>
        <w:t xml:space="preserve">: </w:t>
      </w:r>
      <w:r w:rsidRPr="00BC50C9">
        <w:rPr>
          <w:rFonts w:ascii="Times New Roman" w:hAnsi="Times New Roman" w:cs="Simplified Arabic" w:hint="cs"/>
          <w:b/>
          <w:bCs/>
          <w:sz w:val="24"/>
          <w:szCs w:val="28"/>
          <w:rtl/>
        </w:rPr>
        <w:t>ما واقع استخدام التمويل التشاركي في المنصات الالكترونية بالمملكة العربية السعودية؟</w:t>
      </w:r>
    </w:p>
    <w:p w14:paraId="142D8ECB" w14:textId="77777777" w:rsidR="00DE2B2A" w:rsidRPr="00BC50C9" w:rsidRDefault="00DE2B2A">
      <w:pPr>
        <w:pStyle w:val="a3"/>
        <w:numPr>
          <w:ilvl w:val="0"/>
          <w:numId w:val="41"/>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 المتوسط العام للمحور الأول:</w:t>
      </w:r>
      <w:r w:rsidRPr="00BC50C9">
        <w:rPr>
          <w:rFonts w:ascii="Times New Roman" w:hAnsi="Times New Roman" w:cs="Simplified Arabic" w:hint="cs"/>
          <w:sz w:val="24"/>
          <w:szCs w:val="28"/>
          <w:rtl/>
        </w:rPr>
        <w:t xml:space="preserve"> التمويل التشاركي </w:t>
      </w:r>
      <w:r w:rsidRPr="00BC50C9">
        <w:rPr>
          <w:rFonts w:ascii="Times New Roman" w:hAnsi="Times New Roman" w:cs="Simplified Arabic"/>
          <w:sz w:val="24"/>
          <w:szCs w:val="28"/>
          <w:rtl/>
        </w:rPr>
        <w:t>جاء بمتوسط حسابي (</w:t>
      </w:r>
      <w:r w:rsidRPr="00BC50C9">
        <w:rPr>
          <w:rFonts w:ascii="Times New Roman" w:hAnsi="Times New Roman" w:cs="Simplified Arabic"/>
          <w:sz w:val="24"/>
          <w:szCs w:val="28"/>
        </w:rPr>
        <w:t>3.91</w:t>
      </w:r>
      <w:r w:rsidRPr="00BC50C9">
        <w:rPr>
          <w:rFonts w:ascii="Times New Roman" w:hAnsi="Times New Roman" w:cs="Simplified Arabic"/>
          <w:sz w:val="24"/>
          <w:szCs w:val="28"/>
          <w:rtl/>
        </w:rPr>
        <w:t>) وانحراف معياري (</w:t>
      </w:r>
      <w:r w:rsidRPr="00BC50C9">
        <w:rPr>
          <w:rFonts w:ascii="Times New Roman" w:hAnsi="Times New Roman" w:cs="Simplified Arabic"/>
          <w:sz w:val="24"/>
          <w:szCs w:val="28"/>
        </w:rPr>
        <w:t>.528</w:t>
      </w:r>
      <w:r w:rsidRPr="00BC50C9">
        <w:rPr>
          <w:rFonts w:ascii="Times New Roman" w:hAnsi="Times New Roman" w:cs="Simplified Arabic"/>
          <w:sz w:val="24"/>
          <w:szCs w:val="28"/>
          <w:rtl/>
        </w:rPr>
        <w:t>) وبدرجة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w:t>
      </w:r>
      <w:r w:rsidRPr="00BC50C9">
        <w:rPr>
          <w:rFonts w:ascii="Times New Roman" w:hAnsi="Times New Roman" w:cs="Simplified Arabic" w:hint="cs"/>
          <w:sz w:val="24"/>
          <w:szCs w:val="28"/>
          <w:rtl/>
        </w:rPr>
        <w:t>.</w:t>
      </w:r>
    </w:p>
    <w:p w14:paraId="32CBB659" w14:textId="77777777" w:rsidR="00DE2B2A" w:rsidRPr="00BC50C9" w:rsidRDefault="00DE2B2A">
      <w:pPr>
        <w:pStyle w:val="a3"/>
        <w:numPr>
          <w:ilvl w:val="0"/>
          <w:numId w:val="41"/>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w:t>
      </w:r>
      <w:r w:rsidRPr="00BC50C9">
        <w:rPr>
          <w:rFonts w:ascii="Times New Roman" w:hAnsi="Times New Roman" w:cs="Simplified Arabic" w:hint="cs"/>
          <w:sz w:val="24"/>
          <w:szCs w:val="28"/>
          <w:rtl/>
        </w:rPr>
        <w:t xml:space="preserve"> المتوسط العام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 xml:space="preserve">للبعد الأول: التمويل </w:t>
      </w:r>
      <w:proofErr w:type="spellStart"/>
      <w:r w:rsidRPr="00BC50C9">
        <w:rPr>
          <w:rFonts w:ascii="Times New Roman" w:hAnsi="Times New Roman" w:cs="Simplified Arabic" w:hint="cs"/>
          <w:sz w:val="24"/>
          <w:szCs w:val="28"/>
          <w:rtl/>
        </w:rPr>
        <w:t>التبرعي</w:t>
      </w:r>
      <w:proofErr w:type="spellEnd"/>
      <w:r w:rsidRPr="00BC50C9">
        <w:rPr>
          <w:rFonts w:ascii="Times New Roman" w:hAnsi="Times New Roman" w:cs="Simplified Arabic" w:hint="cs"/>
          <w:sz w:val="24"/>
          <w:szCs w:val="28"/>
          <w:rtl/>
        </w:rPr>
        <w:t xml:space="preserve"> جاء</w:t>
      </w:r>
      <w:r w:rsidRPr="00BC50C9">
        <w:rPr>
          <w:rFonts w:ascii="Times New Roman" w:hAnsi="Times New Roman" w:cs="Simplified Arabic"/>
          <w:sz w:val="24"/>
          <w:szCs w:val="28"/>
          <w:rtl/>
        </w:rPr>
        <w:t xml:space="preserve"> 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 xml:space="preserve">)، وبمتوسط حسابي قدرة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3.96</w:t>
      </w:r>
      <w:r w:rsidRPr="00BC50C9">
        <w:rPr>
          <w:rFonts w:ascii="Times New Roman" w:hAnsi="Times New Roman" w:cs="Simplified Arabic" w:hint="cs"/>
          <w:sz w:val="24"/>
          <w:szCs w:val="28"/>
          <w:rtl/>
        </w:rPr>
        <w:t>)</w:t>
      </w:r>
      <w:r w:rsidRPr="00BC50C9">
        <w:rPr>
          <w:rFonts w:ascii="Times New Roman" w:hAnsi="Times New Roman" w:cs="Simplified Arabic"/>
          <w:sz w:val="24"/>
          <w:szCs w:val="28"/>
          <w:rtl/>
        </w:rPr>
        <w:t xml:space="preserve">، وانحراف معياري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.596</w:t>
      </w:r>
      <w:r w:rsidRPr="00BC50C9">
        <w:rPr>
          <w:rFonts w:ascii="Times New Roman" w:hAnsi="Times New Roman" w:cs="Simplified Arabic" w:hint="cs"/>
          <w:sz w:val="24"/>
          <w:szCs w:val="28"/>
          <w:rtl/>
        </w:rPr>
        <w:t>).</w:t>
      </w:r>
    </w:p>
    <w:p w14:paraId="4C1F3B70" w14:textId="77777777" w:rsidR="00DE2B2A" w:rsidRPr="00BC50C9" w:rsidRDefault="00DE2B2A">
      <w:pPr>
        <w:pStyle w:val="a3"/>
        <w:numPr>
          <w:ilvl w:val="0"/>
          <w:numId w:val="41"/>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w:t>
      </w:r>
      <w:r w:rsidRPr="00BC50C9">
        <w:rPr>
          <w:rFonts w:ascii="Times New Roman" w:hAnsi="Times New Roman" w:cs="Simplified Arabic" w:hint="cs"/>
          <w:sz w:val="24"/>
          <w:szCs w:val="28"/>
          <w:rtl/>
        </w:rPr>
        <w:t xml:space="preserve"> المتوسط العام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 xml:space="preserve">للبعد الثاني: </w:t>
      </w:r>
      <w:r w:rsidRPr="00BC50C9">
        <w:rPr>
          <w:rFonts w:ascii="Times New Roman" w:hAnsi="Times New Roman" w:cs="Simplified Arabic"/>
          <w:sz w:val="24"/>
          <w:szCs w:val="28"/>
          <w:rtl/>
        </w:rPr>
        <w:t>التمويل القائم على المكافآت</w:t>
      </w:r>
      <w:r w:rsidRPr="00BC50C9">
        <w:rPr>
          <w:rFonts w:ascii="Times New Roman" w:hAnsi="Times New Roman" w:cs="Simplified Arabic" w:hint="cs"/>
          <w:sz w:val="24"/>
          <w:szCs w:val="28"/>
          <w:rtl/>
        </w:rPr>
        <w:t xml:space="preserve"> جاء</w:t>
      </w:r>
      <w:r w:rsidRPr="00BC50C9">
        <w:rPr>
          <w:rFonts w:ascii="Times New Roman" w:hAnsi="Times New Roman" w:cs="Simplified Arabic"/>
          <w:sz w:val="24"/>
          <w:szCs w:val="28"/>
          <w:rtl/>
        </w:rPr>
        <w:t xml:space="preserve"> 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 xml:space="preserve">)، وبمتوسط حسابي قدرة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3.86</w:t>
      </w:r>
      <w:r w:rsidRPr="00BC50C9">
        <w:rPr>
          <w:rFonts w:ascii="Times New Roman" w:hAnsi="Times New Roman" w:cs="Simplified Arabic" w:hint="cs"/>
          <w:sz w:val="24"/>
          <w:szCs w:val="28"/>
          <w:rtl/>
        </w:rPr>
        <w:t>)</w:t>
      </w:r>
      <w:r w:rsidRPr="00BC50C9">
        <w:rPr>
          <w:rFonts w:ascii="Times New Roman" w:hAnsi="Times New Roman" w:cs="Simplified Arabic"/>
          <w:sz w:val="24"/>
          <w:szCs w:val="28"/>
          <w:rtl/>
        </w:rPr>
        <w:t xml:space="preserve">، وانحراف معياري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.655</w:t>
      </w:r>
      <w:r w:rsidRPr="00BC50C9">
        <w:rPr>
          <w:rFonts w:ascii="Times New Roman" w:hAnsi="Times New Roman" w:cs="Simplified Arabic" w:hint="cs"/>
          <w:sz w:val="24"/>
          <w:szCs w:val="28"/>
          <w:rtl/>
        </w:rPr>
        <w:t>).</w:t>
      </w:r>
    </w:p>
    <w:p w14:paraId="65381FFC" w14:textId="77777777" w:rsidR="00DE2B2A" w:rsidRPr="00BC50C9" w:rsidRDefault="00DE2B2A">
      <w:pPr>
        <w:pStyle w:val="a3"/>
        <w:numPr>
          <w:ilvl w:val="0"/>
          <w:numId w:val="41"/>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w:t>
      </w:r>
      <w:r w:rsidRPr="00BC50C9">
        <w:rPr>
          <w:rFonts w:ascii="Times New Roman" w:hAnsi="Times New Roman" w:cs="Simplified Arabic" w:hint="cs"/>
          <w:sz w:val="24"/>
          <w:szCs w:val="28"/>
          <w:rtl/>
        </w:rPr>
        <w:t xml:space="preserve"> المتوسط العام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للبعد الثالث: التمويل التشاركي المختلط جاء</w:t>
      </w:r>
      <w:r w:rsidRPr="00BC50C9">
        <w:rPr>
          <w:rFonts w:ascii="Times New Roman" w:hAnsi="Times New Roman" w:cs="Simplified Arabic"/>
          <w:sz w:val="24"/>
          <w:szCs w:val="28"/>
          <w:rtl/>
        </w:rPr>
        <w:t xml:space="preserve"> 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 xml:space="preserve">)، وبمتوسط حسابي قدرة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3.91</w:t>
      </w:r>
      <w:r w:rsidRPr="00BC50C9">
        <w:rPr>
          <w:rFonts w:ascii="Times New Roman" w:hAnsi="Times New Roman" w:cs="Simplified Arabic" w:hint="cs"/>
          <w:sz w:val="24"/>
          <w:szCs w:val="28"/>
          <w:rtl/>
        </w:rPr>
        <w:t>)</w:t>
      </w:r>
      <w:r w:rsidRPr="00BC50C9">
        <w:rPr>
          <w:rFonts w:ascii="Times New Roman" w:hAnsi="Times New Roman" w:cs="Simplified Arabic"/>
          <w:sz w:val="24"/>
          <w:szCs w:val="28"/>
          <w:rtl/>
        </w:rPr>
        <w:t xml:space="preserve">، وانحراف معياري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.560</w:t>
      </w:r>
      <w:r w:rsidRPr="00BC50C9">
        <w:rPr>
          <w:rFonts w:ascii="Times New Roman" w:hAnsi="Times New Roman" w:cs="Simplified Arabic" w:hint="cs"/>
          <w:sz w:val="24"/>
          <w:szCs w:val="28"/>
          <w:rtl/>
        </w:rPr>
        <w:t>).</w:t>
      </w:r>
    </w:p>
    <w:p w14:paraId="353000C2"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نتائج </w:t>
      </w:r>
      <w:r w:rsidRPr="00BC50C9">
        <w:rPr>
          <w:rFonts w:ascii="Times New Roman" w:hAnsi="Times New Roman" w:cs="Simplified Arabic"/>
          <w:b/>
          <w:bCs/>
          <w:sz w:val="24"/>
          <w:szCs w:val="28"/>
          <w:rtl/>
        </w:rPr>
        <w:t>السؤال الذي نص على</w:t>
      </w:r>
      <w:r w:rsidRPr="006F1E2B">
        <w:rPr>
          <w:rFonts w:ascii="Times New Roman" w:hAnsi="Times New Roman" w:cs="Simplified Arabic" w:hint="cs"/>
          <w:b/>
          <w:bCs/>
          <w:sz w:val="24"/>
          <w:szCs w:val="28"/>
          <w:rtl/>
        </w:rPr>
        <w:t xml:space="preserve">: </w:t>
      </w:r>
      <w:r w:rsidRPr="00BC50C9">
        <w:rPr>
          <w:rFonts w:ascii="Times New Roman" w:hAnsi="Times New Roman" w:cs="Simplified Arabic" w:hint="cs"/>
          <w:b/>
          <w:bCs/>
          <w:sz w:val="24"/>
          <w:szCs w:val="28"/>
          <w:rtl/>
        </w:rPr>
        <w:t>ما الأهمية النسبية لدعم المشاريع الريادية بالمملكة العربية السعودية؟</w:t>
      </w:r>
    </w:p>
    <w:p w14:paraId="0D99CFC5"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w:t>
      </w:r>
      <w:r w:rsidRPr="00BC50C9">
        <w:rPr>
          <w:rFonts w:ascii="Times New Roman" w:hAnsi="Times New Roman" w:cs="Simplified Arabic" w:hint="cs"/>
          <w:sz w:val="24"/>
          <w:szCs w:val="28"/>
          <w:rtl/>
        </w:rPr>
        <w:t xml:space="preserve"> المتوسط العام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 xml:space="preserve">للمحور الثالث: </w:t>
      </w:r>
      <w:r w:rsidRPr="00BC50C9">
        <w:rPr>
          <w:rFonts w:ascii="Times New Roman" w:hAnsi="Times New Roman" w:cs="Simplified Arabic"/>
          <w:sz w:val="24"/>
          <w:szCs w:val="28"/>
          <w:rtl/>
        </w:rPr>
        <w:t>نجاح المشاريع الريادية</w:t>
      </w:r>
      <w:r w:rsidRPr="00BC50C9">
        <w:rPr>
          <w:rFonts w:ascii="Times New Roman" w:hAnsi="Times New Roman" w:cs="Simplified Arabic" w:hint="cs"/>
          <w:sz w:val="24"/>
          <w:szCs w:val="28"/>
          <w:rtl/>
        </w:rPr>
        <w:t xml:space="preserve"> جاء</w:t>
      </w:r>
      <w:r w:rsidRPr="00BC50C9">
        <w:rPr>
          <w:rFonts w:ascii="Times New Roman" w:hAnsi="Times New Roman" w:cs="Simplified Arabic"/>
          <w:sz w:val="24"/>
          <w:szCs w:val="28"/>
          <w:rtl/>
        </w:rPr>
        <w:t xml:space="preserve"> 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 xml:space="preserve">)، وبمتوسط حسابي قدرة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3.99</w:t>
      </w:r>
      <w:r w:rsidRPr="00BC50C9">
        <w:rPr>
          <w:rFonts w:ascii="Times New Roman" w:hAnsi="Times New Roman" w:cs="Simplified Arabic" w:hint="cs"/>
          <w:sz w:val="24"/>
          <w:szCs w:val="28"/>
          <w:rtl/>
        </w:rPr>
        <w:t>)</w:t>
      </w:r>
      <w:r w:rsidRPr="00BC50C9">
        <w:rPr>
          <w:rFonts w:ascii="Times New Roman" w:hAnsi="Times New Roman" w:cs="Simplified Arabic"/>
          <w:sz w:val="24"/>
          <w:szCs w:val="28"/>
          <w:rtl/>
        </w:rPr>
        <w:t xml:space="preserve">، وانحراف معياري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.693</w:t>
      </w:r>
      <w:r w:rsidRPr="00BC50C9">
        <w:rPr>
          <w:rFonts w:ascii="Times New Roman" w:hAnsi="Times New Roman" w:cs="Simplified Arabic" w:hint="cs"/>
          <w:sz w:val="24"/>
          <w:szCs w:val="28"/>
          <w:rtl/>
        </w:rPr>
        <w:t>).</w:t>
      </w:r>
    </w:p>
    <w:p w14:paraId="60C4825E"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نتائج </w:t>
      </w:r>
      <w:r w:rsidRPr="00BC50C9">
        <w:rPr>
          <w:rFonts w:ascii="Times New Roman" w:hAnsi="Times New Roman" w:cs="Simplified Arabic"/>
          <w:b/>
          <w:bCs/>
          <w:sz w:val="24"/>
          <w:szCs w:val="28"/>
          <w:rtl/>
        </w:rPr>
        <w:t>السؤال الذي نص على</w:t>
      </w:r>
      <w:r w:rsidRPr="006F1E2B">
        <w:rPr>
          <w:rFonts w:ascii="Times New Roman" w:hAnsi="Times New Roman" w:cs="Simplified Arabic" w:hint="cs"/>
          <w:b/>
          <w:bCs/>
          <w:sz w:val="24"/>
          <w:szCs w:val="28"/>
          <w:rtl/>
        </w:rPr>
        <w:t xml:space="preserve">: </w:t>
      </w:r>
      <w:r w:rsidRPr="00BC50C9">
        <w:rPr>
          <w:rFonts w:ascii="Times New Roman" w:hAnsi="Times New Roman" w:cs="Simplified Arabic" w:hint="cs"/>
          <w:b/>
          <w:bCs/>
          <w:sz w:val="24"/>
          <w:szCs w:val="28"/>
          <w:rtl/>
        </w:rPr>
        <w:t>ما الأهمية النسبية للاستدامة المالية بالمملكة العربية السعودية؟</w:t>
      </w:r>
    </w:p>
    <w:p w14:paraId="6DCA4D20"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sz w:val="24"/>
          <w:szCs w:val="28"/>
          <w:rtl/>
        </w:rPr>
        <w:t>أن</w:t>
      </w:r>
      <w:r w:rsidRPr="00BC50C9">
        <w:rPr>
          <w:rFonts w:ascii="Times New Roman" w:hAnsi="Times New Roman" w:cs="Simplified Arabic" w:hint="cs"/>
          <w:sz w:val="24"/>
          <w:szCs w:val="28"/>
          <w:rtl/>
        </w:rPr>
        <w:t xml:space="preserve"> المتوسط العام</w:t>
      </w:r>
      <w:r w:rsidRPr="00BC50C9">
        <w:rPr>
          <w:rFonts w:ascii="Times New Roman" w:hAnsi="Times New Roman" w:cs="Simplified Arabic"/>
          <w:sz w:val="24"/>
          <w:szCs w:val="28"/>
          <w:rtl/>
        </w:rPr>
        <w:t xml:space="preserve"> </w:t>
      </w:r>
      <w:r w:rsidRPr="00BC50C9">
        <w:rPr>
          <w:rFonts w:ascii="Times New Roman" w:hAnsi="Times New Roman" w:cs="Simplified Arabic" w:hint="cs"/>
          <w:sz w:val="24"/>
          <w:szCs w:val="28"/>
          <w:rtl/>
        </w:rPr>
        <w:t>للمحور الثاني: الاستدامة المالية جاء</w:t>
      </w:r>
      <w:r w:rsidRPr="00BC50C9">
        <w:rPr>
          <w:rFonts w:ascii="Times New Roman" w:hAnsi="Times New Roman" w:cs="Simplified Arabic"/>
          <w:sz w:val="24"/>
          <w:szCs w:val="28"/>
          <w:rtl/>
        </w:rPr>
        <w:t xml:space="preserve"> بدرجة استجابة (</w:t>
      </w:r>
      <w:r w:rsidRPr="00BC50C9">
        <w:rPr>
          <w:rFonts w:ascii="Times New Roman" w:hAnsi="Times New Roman" w:cs="Simplified Arabic" w:hint="cs"/>
          <w:sz w:val="24"/>
          <w:szCs w:val="28"/>
          <w:rtl/>
        </w:rPr>
        <w:t>عالية</w:t>
      </w:r>
      <w:r w:rsidRPr="00BC50C9">
        <w:rPr>
          <w:rFonts w:ascii="Times New Roman" w:hAnsi="Times New Roman" w:cs="Simplified Arabic"/>
          <w:sz w:val="24"/>
          <w:szCs w:val="28"/>
          <w:rtl/>
        </w:rPr>
        <w:t xml:space="preserve">)، وبمتوسط حسابي قدرة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4.01</w:t>
      </w:r>
      <w:r w:rsidRPr="00BC50C9">
        <w:rPr>
          <w:rFonts w:ascii="Times New Roman" w:hAnsi="Times New Roman" w:cs="Simplified Arabic" w:hint="cs"/>
          <w:sz w:val="24"/>
          <w:szCs w:val="28"/>
          <w:rtl/>
        </w:rPr>
        <w:t>)</w:t>
      </w:r>
      <w:r w:rsidRPr="00BC50C9">
        <w:rPr>
          <w:rFonts w:ascii="Times New Roman" w:hAnsi="Times New Roman" w:cs="Simplified Arabic"/>
          <w:sz w:val="24"/>
          <w:szCs w:val="28"/>
          <w:rtl/>
        </w:rPr>
        <w:t xml:space="preserve">، وانحراف معياري </w:t>
      </w:r>
      <w:r w:rsidRPr="00BC50C9">
        <w:rPr>
          <w:rFonts w:ascii="Times New Roman" w:hAnsi="Times New Roman" w:cs="Simplified Arabic" w:hint="cs"/>
          <w:sz w:val="24"/>
          <w:szCs w:val="28"/>
          <w:rtl/>
        </w:rPr>
        <w:t>(</w:t>
      </w:r>
      <w:r w:rsidRPr="00BC50C9">
        <w:rPr>
          <w:rFonts w:ascii="Times New Roman" w:hAnsi="Times New Roman" w:cs="Simplified Arabic"/>
          <w:sz w:val="24"/>
          <w:szCs w:val="28"/>
        </w:rPr>
        <w:t>.626</w:t>
      </w:r>
      <w:r w:rsidRPr="00BC50C9">
        <w:rPr>
          <w:rFonts w:ascii="Times New Roman" w:hAnsi="Times New Roman" w:cs="Simplified Arabic" w:hint="cs"/>
          <w:sz w:val="24"/>
          <w:szCs w:val="28"/>
          <w:rtl/>
        </w:rPr>
        <w:t>).</w:t>
      </w:r>
    </w:p>
    <w:p w14:paraId="04FDC3EF"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نتائج السؤال الذي نص على: هل توجد علاقة ذات دلالة إحصائية عند مستوى دلالة (0.01) بين استخدام التمويل التشاركي في المنصات الالكترونية ودعم </w:t>
      </w:r>
      <w:r w:rsidRPr="00BC50C9">
        <w:rPr>
          <w:rFonts w:ascii="Times New Roman" w:hAnsi="Times New Roman" w:cs="Simplified Arabic"/>
          <w:b/>
          <w:bCs/>
          <w:sz w:val="24"/>
          <w:szCs w:val="28"/>
          <w:rtl/>
        </w:rPr>
        <w:t>المشاريع الريادية وتعزيز الاستدامة المالية</w:t>
      </w:r>
      <w:r w:rsidRPr="00BC50C9">
        <w:rPr>
          <w:rFonts w:ascii="Times New Roman" w:hAnsi="Times New Roman" w:cs="Simplified Arabic" w:hint="cs"/>
          <w:b/>
          <w:bCs/>
          <w:sz w:val="24"/>
          <w:szCs w:val="28"/>
          <w:rtl/>
        </w:rPr>
        <w:t xml:space="preserve"> بالمملكة العربية السعودية؟</w:t>
      </w:r>
      <w:r w:rsidRPr="006F1E2B">
        <w:rPr>
          <w:rFonts w:ascii="Times New Roman" w:hAnsi="Times New Roman" w:cs="Simplified Arabic" w:hint="cs"/>
          <w:b/>
          <w:bCs/>
          <w:sz w:val="24"/>
          <w:szCs w:val="28"/>
          <w:rtl/>
        </w:rPr>
        <w:t xml:space="preserve"> </w:t>
      </w:r>
    </w:p>
    <w:p w14:paraId="16524C51"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b/>
          <w:bCs/>
          <w:sz w:val="24"/>
          <w:szCs w:val="28"/>
          <w:rtl/>
        </w:rPr>
      </w:pPr>
      <w:r w:rsidRPr="00BC50C9">
        <w:rPr>
          <w:rFonts w:ascii="Times New Roman" w:hAnsi="Times New Roman" w:cs="Simplified Arabic"/>
          <w:sz w:val="24"/>
          <w:szCs w:val="28"/>
          <w:rtl/>
          <w:lang w:bidi="ar-EG"/>
        </w:rPr>
        <w:t>وجود علاقة ارتباطيه موجبة ذات دلالة إحصائية بين</w:t>
      </w:r>
      <w:r w:rsidRPr="00BC50C9">
        <w:rPr>
          <w:rFonts w:ascii="Times New Roman" w:hAnsi="Times New Roman" w:cs="Simplified Arabic" w:hint="cs"/>
          <w:sz w:val="24"/>
          <w:szCs w:val="28"/>
          <w:rtl/>
          <w:lang w:bidi="ar-EG"/>
        </w:rPr>
        <w:t xml:space="preserve"> استخدام التمويل التشاركي في المنصات الالكترونية ودعم </w:t>
      </w:r>
      <w:r w:rsidRPr="00BC50C9">
        <w:rPr>
          <w:rFonts w:ascii="Times New Roman" w:hAnsi="Times New Roman" w:cs="Simplified Arabic"/>
          <w:sz w:val="24"/>
          <w:szCs w:val="28"/>
          <w:rtl/>
          <w:lang w:bidi="ar-EG"/>
        </w:rPr>
        <w:t>المشاريع الريادية وتعزيز الاستدامة المالية</w:t>
      </w:r>
      <w:r w:rsidRPr="00BC50C9">
        <w:rPr>
          <w:rFonts w:ascii="Times New Roman" w:hAnsi="Times New Roman" w:cs="Simplified Arabic" w:hint="cs"/>
          <w:sz w:val="24"/>
          <w:szCs w:val="28"/>
          <w:rtl/>
          <w:lang w:bidi="ar-EG"/>
        </w:rPr>
        <w:t xml:space="preserve"> بالمملكة العربية السعودية؛ حيث بلغ معامل الارتباط بين التمويل التشاركي في المنصات الالكترونية، وتعزيز الاستدامة المالية </w:t>
      </w:r>
      <w:r w:rsidRPr="00BC50C9">
        <w:rPr>
          <w:rFonts w:ascii="Times New Roman" w:hAnsi="Times New Roman" w:cs="Simplified Arabic" w:hint="cs"/>
          <w:sz w:val="24"/>
          <w:szCs w:val="28"/>
          <w:rtl/>
          <w:lang w:bidi="ar-EG"/>
        </w:rPr>
        <w:lastRenderedPageBreak/>
        <w:t>(</w:t>
      </w:r>
      <w:r w:rsidRPr="00BC50C9">
        <w:rPr>
          <w:rFonts w:ascii="Times New Roman" w:hAnsi="Times New Roman" w:cs="Simplified Arabic"/>
          <w:sz w:val="24"/>
          <w:szCs w:val="28"/>
          <w:lang w:bidi="ar-EG"/>
        </w:rPr>
        <w:t>.808**</w:t>
      </w:r>
      <w:r w:rsidRPr="00BC50C9">
        <w:rPr>
          <w:rFonts w:ascii="Times New Roman" w:hAnsi="Times New Roman" w:cs="Simplified Arabic" w:hint="cs"/>
          <w:sz w:val="24"/>
          <w:szCs w:val="28"/>
          <w:rtl/>
          <w:lang w:bidi="ar-EG"/>
        </w:rPr>
        <w:t xml:space="preserve">)، وبلغ معامل الارتباط بين التمويل التشاركي في المنصات الالكترونية، ودعم </w:t>
      </w:r>
      <w:r w:rsidRPr="00BC50C9">
        <w:rPr>
          <w:rFonts w:ascii="Times New Roman" w:hAnsi="Times New Roman" w:cs="Simplified Arabic"/>
          <w:sz w:val="24"/>
          <w:szCs w:val="28"/>
          <w:rtl/>
          <w:lang w:bidi="ar-EG"/>
        </w:rPr>
        <w:t xml:space="preserve">المشاريع </w:t>
      </w:r>
      <w:r w:rsidRPr="00BC50C9">
        <w:rPr>
          <w:rFonts w:ascii="Times New Roman" w:hAnsi="Times New Roman" w:cs="Simplified Arabic" w:hint="cs"/>
          <w:sz w:val="24"/>
          <w:szCs w:val="28"/>
          <w:rtl/>
          <w:lang w:bidi="ar-EG"/>
        </w:rPr>
        <w:t xml:space="preserve">الريادية </w:t>
      </w:r>
      <w:r w:rsidRPr="00BC50C9">
        <w:rPr>
          <w:rFonts w:ascii="Times New Roman" w:hAnsi="Times New Roman" w:cs="Simplified Arabic"/>
          <w:sz w:val="24"/>
          <w:szCs w:val="28"/>
          <w:rtl/>
          <w:lang w:bidi="ar-EG"/>
        </w:rPr>
        <w:t>(</w:t>
      </w:r>
      <w:r w:rsidRPr="00BC50C9">
        <w:rPr>
          <w:rFonts w:ascii="Times New Roman" w:hAnsi="Times New Roman" w:cs="Simplified Arabic"/>
          <w:sz w:val="24"/>
          <w:szCs w:val="28"/>
          <w:lang w:bidi="ar-EG"/>
        </w:rPr>
        <w:t>.770**</w:t>
      </w:r>
      <w:r w:rsidRPr="00BC50C9">
        <w:rPr>
          <w:rFonts w:ascii="Times New Roman" w:hAnsi="Times New Roman" w:cs="Simplified Arabic" w:hint="cs"/>
          <w:sz w:val="24"/>
          <w:szCs w:val="28"/>
          <w:rtl/>
          <w:lang w:bidi="ar-EG"/>
        </w:rPr>
        <w:t>).</w:t>
      </w:r>
    </w:p>
    <w:p w14:paraId="6E468482"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w:t>
      </w:r>
      <w:r w:rsidRPr="00BC50C9">
        <w:rPr>
          <w:rFonts w:ascii="Times New Roman" w:hAnsi="Times New Roman" w:cs="Simplified Arabic"/>
          <w:b/>
          <w:bCs/>
          <w:sz w:val="24"/>
          <w:szCs w:val="28"/>
          <w:rtl/>
        </w:rPr>
        <w:t xml:space="preserve">نتائج </w:t>
      </w:r>
      <w:r w:rsidRPr="00BC50C9">
        <w:rPr>
          <w:rFonts w:ascii="Times New Roman" w:hAnsi="Times New Roman" w:cs="Simplified Arabic" w:hint="cs"/>
          <w:b/>
          <w:bCs/>
          <w:sz w:val="24"/>
          <w:szCs w:val="28"/>
          <w:rtl/>
        </w:rPr>
        <w:t>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 xml:space="preserve">لا يوجد تأثير إيجابي ذو دلالة إحصائية عند مستوى دلالة (0.05) للتمويل </w:t>
      </w:r>
      <w:proofErr w:type="spellStart"/>
      <w:r w:rsidRPr="00BC50C9">
        <w:rPr>
          <w:rFonts w:ascii="Times New Roman" w:hAnsi="Times New Roman" w:cs="Simplified Arabic" w:hint="cs"/>
          <w:b/>
          <w:bCs/>
          <w:sz w:val="24"/>
          <w:szCs w:val="28"/>
          <w:rtl/>
        </w:rPr>
        <w:t>التبرعي</w:t>
      </w:r>
      <w:proofErr w:type="spellEnd"/>
      <w:r w:rsidRPr="00BC50C9">
        <w:rPr>
          <w:rFonts w:ascii="Times New Roman" w:hAnsi="Times New Roman" w:cs="Simplified Arabic" w:hint="cs"/>
          <w:b/>
          <w:bCs/>
          <w:sz w:val="24"/>
          <w:szCs w:val="28"/>
          <w:rtl/>
        </w:rPr>
        <w:t xml:space="preserve"> على الاستدامة المالية بالمملكة العربية السعودية.</w:t>
      </w:r>
    </w:p>
    <w:p w14:paraId="22565B33"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b/>
          <w:bCs/>
          <w:sz w:val="24"/>
          <w:szCs w:val="28"/>
          <w:rtl/>
        </w:rPr>
      </w:pPr>
      <w:r w:rsidRPr="00BC50C9">
        <w:rPr>
          <w:rFonts w:ascii="Times New Roman" w:hAnsi="Times New Roman" w:cs="Simplified Arabic" w:hint="cs"/>
          <w:sz w:val="24"/>
          <w:szCs w:val="28"/>
          <w:rtl/>
        </w:rPr>
        <w:t xml:space="preserve">وجود أثر إيجابي ذو دلالة إحصائية للتمويل </w:t>
      </w:r>
      <w:proofErr w:type="spellStart"/>
      <w:r w:rsidRPr="00BC50C9">
        <w:rPr>
          <w:rFonts w:ascii="Times New Roman" w:hAnsi="Times New Roman" w:cs="Simplified Arabic" w:hint="cs"/>
          <w:sz w:val="24"/>
          <w:szCs w:val="28"/>
          <w:rtl/>
        </w:rPr>
        <w:t>التبرعي</w:t>
      </w:r>
      <w:proofErr w:type="spellEnd"/>
      <w:r w:rsidRPr="00BC50C9">
        <w:rPr>
          <w:rFonts w:ascii="Times New Roman" w:hAnsi="Times New Roman" w:cs="Simplified Arabic" w:hint="cs"/>
          <w:sz w:val="24"/>
          <w:szCs w:val="28"/>
          <w:rtl/>
        </w:rPr>
        <w:t xml:space="preserve"> على الاستدامة المالية بالمملكة العربية السعودية؛ وبذلك تم التحقق من خطأ الفرضية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.748a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.000b</w:t>
      </w:r>
      <w:r w:rsidRPr="00BC50C9">
        <w:rPr>
          <w:rFonts w:ascii="Times New Roman" w:hAnsi="Times New Roman" w:cs="Simplified Arabic" w:hint="cs"/>
          <w:sz w:val="24"/>
          <w:szCs w:val="28"/>
          <w:rtl/>
        </w:rPr>
        <w:t>)</w:t>
      </w:r>
    </w:p>
    <w:p w14:paraId="65F583A0"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ملخص الفرضية التي نصت على:</w:t>
      </w: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القائم على المكافآت على الاستدامة المالية بالمملكة العربية السعودية.</w:t>
      </w:r>
    </w:p>
    <w:p w14:paraId="16C771A3"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hint="cs"/>
          <w:sz w:val="24"/>
          <w:szCs w:val="28"/>
          <w:rtl/>
        </w:rPr>
        <w:t>وجود أثر إيجابي ذو دلالة إحصائية للتمويل القائم على المكافآت على الاستدامة المالية بالمملكة العربية السعودية؛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.682a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w:t>
      </w:r>
      <w:proofErr w:type="gramStart"/>
      <w:r w:rsidRPr="00BC50C9">
        <w:rPr>
          <w:rFonts w:ascii="Times New Roman" w:hAnsi="Times New Roman" w:cs="Simplified Arabic"/>
          <w:sz w:val="24"/>
          <w:szCs w:val="28"/>
        </w:rPr>
        <w:t xml:space="preserve">b </w:t>
      </w:r>
      <w:r w:rsidRPr="00BC50C9">
        <w:rPr>
          <w:rFonts w:ascii="Times New Roman" w:hAnsi="Times New Roman" w:cs="Simplified Arabic" w:hint="cs"/>
          <w:sz w:val="24"/>
          <w:szCs w:val="28"/>
          <w:rtl/>
        </w:rPr>
        <w:t>)</w:t>
      </w:r>
      <w:proofErr w:type="gramEnd"/>
      <w:r w:rsidRPr="00BC50C9">
        <w:rPr>
          <w:rFonts w:ascii="Times New Roman" w:hAnsi="Times New Roman" w:cs="Simplified Arabic" w:hint="cs"/>
          <w:sz w:val="24"/>
          <w:szCs w:val="28"/>
          <w:rtl/>
        </w:rPr>
        <w:t>.</w:t>
      </w:r>
    </w:p>
    <w:p w14:paraId="7C5F2BE4"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bookmarkStart w:id="204" w:name="_Hlk193984958"/>
      <w:r w:rsidRPr="00BC50C9">
        <w:rPr>
          <w:rFonts w:ascii="Times New Roman" w:hAnsi="Times New Roman" w:cs="Simplified Arabic" w:hint="cs"/>
          <w:b/>
          <w:bCs/>
          <w:sz w:val="24"/>
          <w:szCs w:val="28"/>
          <w:rtl/>
        </w:rPr>
        <w:t>ملخص نتائج الفرضية التي نصت على</w:t>
      </w:r>
      <w:bookmarkEnd w:id="204"/>
      <w:r w:rsidRPr="00BC50C9">
        <w:rPr>
          <w:rFonts w:ascii="Times New Roman" w:hAnsi="Times New Roman" w:cs="Simplified Arabic" w:hint="cs"/>
          <w:b/>
          <w:bCs/>
          <w:sz w:val="24"/>
          <w:szCs w:val="28"/>
          <w:rtl/>
        </w:rPr>
        <w:t>: لا يوجد تأثير إيجابي ذو دلالة إحصائية عند مستوى دلالة (0.05) للتمويل التشاركي المختلط على الاستدامة المالية بالمملكة العربية السعودية.</w:t>
      </w:r>
    </w:p>
    <w:p w14:paraId="6A23B413"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hint="cs"/>
          <w:sz w:val="24"/>
          <w:szCs w:val="28"/>
          <w:rtl/>
        </w:rPr>
        <w:t>وجود أثر إيجابي ذو دلالة إحصائية للتمويل القائم على المكافآت على الاستدامة المالية بالمملكة العربية السعودية؛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.696a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.000b</w:t>
      </w:r>
      <w:r w:rsidRPr="00BC50C9">
        <w:rPr>
          <w:rFonts w:ascii="Times New Roman" w:hAnsi="Times New Roman" w:cs="Simplified Arabic" w:hint="cs"/>
          <w:sz w:val="24"/>
          <w:szCs w:val="28"/>
          <w:rtl/>
        </w:rPr>
        <w:t>).</w:t>
      </w:r>
    </w:p>
    <w:p w14:paraId="76C02C9E"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 xml:space="preserve">ملخص نتائج الفرضية التي نصت على لا يوجد تأثير إيجابي ذو دلالة إحصائية عند مستوى دلالة (0.05) للتمويل </w:t>
      </w:r>
      <w:proofErr w:type="spellStart"/>
      <w:r w:rsidRPr="00BC50C9">
        <w:rPr>
          <w:rFonts w:ascii="Times New Roman" w:hAnsi="Times New Roman" w:cs="Simplified Arabic" w:hint="cs"/>
          <w:b/>
          <w:bCs/>
          <w:sz w:val="24"/>
          <w:szCs w:val="28"/>
          <w:rtl/>
        </w:rPr>
        <w:t>التبرعي</w:t>
      </w:r>
      <w:proofErr w:type="spellEnd"/>
      <w:r w:rsidRPr="00BC50C9">
        <w:rPr>
          <w:rFonts w:ascii="Times New Roman" w:hAnsi="Times New Roman" w:cs="Simplified Arabic" w:hint="cs"/>
          <w:b/>
          <w:bCs/>
          <w:sz w:val="24"/>
          <w:szCs w:val="28"/>
          <w:rtl/>
        </w:rPr>
        <w:t xml:space="preserve"> على نجاح المشاريع الريادية بالمملكة العربية السعودية.</w:t>
      </w:r>
    </w:p>
    <w:p w14:paraId="457CA2EF"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hint="cs"/>
          <w:sz w:val="24"/>
          <w:szCs w:val="28"/>
          <w:rtl/>
        </w:rPr>
        <w:t xml:space="preserve">وجود أثر إيجابي ذو دلالة إحصائية للتمويل </w:t>
      </w:r>
      <w:proofErr w:type="spellStart"/>
      <w:r w:rsidRPr="00BC50C9">
        <w:rPr>
          <w:rFonts w:ascii="Times New Roman" w:hAnsi="Times New Roman" w:cs="Simplified Arabic" w:hint="cs"/>
          <w:sz w:val="24"/>
          <w:szCs w:val="28"/>
          <w:rtl/>
        </w:rPr>
        <w:t>التبرعي</w:t>
      </w:r>
      <w:proofErr w:type="spellEnd"/>
      <w:r w:rsidRPr="00BC50C9">
        <w:rPr>
          <w:rFonts w:ascii="Times New Roman" w:hAnsi="Times New Roman" w:cs="Simplified Arabic" w:hint="cs"/>
          <w:sz w:val="24"/>
          <w:szCs w:val="28"/>
          <w:rtl/>
        </w:rPr>
        <w:t xml:space="preserve"> على نجاح المشاريع الريادية بالمملكة العربية السعودية؛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.759a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.000b</w:t>
      </w:r>
      <w:r w:rsidRPr="00BC50C9">
        <w:rPr>
          <w:rFonts w:ascii="Times New Roman" w:hAnsi="Times New Roman" w:cs="Simplified Arabic" w:hint="cs"/>
          <w:sz w:val="24"/>
          <w:szCs w:val="28"/>
          <w:rtl/>
        </w:rPr>
        <w:t>).</w:t>
      </w:r>
    </w:p>
    <w:p w14:paraId="59837647"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ملخص نتائج الفرضية التي نصت على: لا يوجد تأثير إيجابي ذو دلالة إحصائية عند مستوى دلالة (0.05) للتمويل القائم على المكافآت على نجاح المشاريع الريادية بالمملكة العربية السعودية.</w:t>
      </w:r>
    </w:p>
    <w:p w14:paraId="235D5843"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hint="cs"/>
          <w:sz w:val="24"/>
          <w:szCs w:val="28"/>
          <w:rtl/>
        </w:rPr>
        <w:t>وجود أثر إيجابي ذو دلالة إحصائية للتمويل القائم على المكافآت على نجاح المشاريع الريادية بالمملكة العربية السعودية؛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.720a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.000b</w:t>
      </w:r>
      <w:r w:rsidRPr="00BC50C9">
        <w:rPr>
          <w:rFonts w:ascii="Times New Roman" w:hAnsi="Times New Roman" w:cs="Simplified Arabic" w:hint="cs"/>
          <w:sz w:val="24"/>
          <w:szCs w:val="28"/>
          <w:rtl/>
        </w:rPr>
        <w:t>).</w:t>
      </w:r>
    </w:p>
    <w:p w14:paraId="4F0FCD58" w14:textId="77777777" w:rsidR="00DE2B2A" w:rsidRPr="00BC50C9" w:rsidRDefault="00DE2B2A">
      <w:pPr>
        <w:pStyle w:val="a3"/>
        <w:numPr>
          <w:ilvl w:val="0"/>
          <w:numId w:val="61"/>
        </w:numPr>
        <w:bidi/>
        <w:spacing w:before="120" w:after="120" w:line="240" w:lineRule="auto"/>
        <w:jc w:val="both"/>
        <w:rPr>
          <w:rFonts w:ascii="Times New Roman" w:hAnsi="Times New Roman" w:cs="Simplified Arabic"/>
          <w:b/>
          <w:bCs/>
          <w:sz w:val="24"/>
          <w:szCs w:val="28"/>
          <w:rtl/>
        </w:rPr>
      </w:pPr>
      <w:r w:rsidRPr="00BC50C9">
        <w:rPr>
          <w:rFonts w:ascii="Times New Roman" w:hAnsi="Times New Roman" w:cs="Simplified Arabic" w:hint="cs"/>
          <w:b/>
          <w:bCs/>
          <w:sz w:val="24"/>
          <w:szCs w:val="28"/>
          <w:rtl/>
        </w:rPr>
        <w:t>ملخص نتائج الفرضية التي نصت على</w:t>
      </w:r>
      <w:proofErr w:type="gramStart"/>
      <w:r w:rsidRPr="00BC50C9">
        <w:rPr>
          <w:rFonts w:ascii="Times New Roman" w:hAnsi="Times New Roman" w:cs="Simplified Arabic" w:hint="cs"/>
          <w:b/>
          <w:bCs/>
          <w:sz w:val="24"/>
          <w:szCs w:val="28"/>
          <w:rtl/>
        </w:rPr>
        <w:t>: :</w:t>
      </w:r>
      <w:proofErr w:type="gramEnd"/>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لا يوجد تأثير إيجابي ذو دلالة إحصائية عند مستوى دلالة (0.05) للتمويل التشاركي المختلط على نجاح المشاريع الريادية بالمملكة العربية السعودية.</w:t>
      </w:r>
    </w:p>
    <w:p w14:paraId="2C457BFE" w14:textId="77777777" w:rsidR="00DE2B2A" w:rsidRPr="00BC50C9" w:rsidRDefault="00DE2B2A">
      <w:pPr>
        <w:pStyle w:val="a3"/>
        <w:numPr>
          <w:ilvl w:val="0"/>
          <w:numId w:val="42"/>
        </w:numPr>
        <w:bidi/>
        <w:spacing w:before="120" w:after="120" w:line="240" w:lineRule="auto"/>
        <w:ind w:left="720"/>
        <w:jc w:val="both"/>
        <w:rPr>
          <w:rFonts w:ascii="Times New Roman" w:hAnsi="Times New Roman" w:cs="Simplified Arabic"/>
          <w:sz w:val="24"/>
          <w:szCs w:val="28"/>
          <w:rtl/>
        </w:rPr>
      </w:pPr>
      <w:r w:rsidRPr="00BC50C9">
        <w:rPr>
          <w:rFonts w:ascii="Times New Roman" w:hAnsi="Times New Roman" w:cs="Simplified Arabic" w:hint="cs"/>
          <w:sz w:val="24"/>
          <w:szCs w:val="28"/>
          <w:rtl/>
        </w:rPr>
        <w:t>وجود أثر إيجابي ذو دلالة إحصائية للتمويل القائم على المكافآت على نجاح المشاريع الريادية بالمملكة العربية السعودية؛ حيث جاءت قيمة (</w:t>
      </w:r>
      <w:r w:rsidRPr="00BC50C9">
        <w:rPr>
          <w:rFonts w:ascii="Times New Roman" w:hAnsi="Times New Roman" w:cs="Simplified Arabic"/>
          <w:sz w:val="24"/>
          <w:szCs w:val="28"/>
        </w:rPr>
        <w:t>R</w:t>
      </w:r>
      <w:r w:rsidRPr="00BC50C9">
        <w:rPr>
          <w:rFonts w:ascii="Times New Roman" w:hAnsi="Times New Roman" w:cs="Simplified Arabic" w:hint="cs"/>
          <w:sz w:val="24"/>
          <w:szCs w:val="28"/>
          <w:rtl/>
        </w:rPr>
        <w:t>) (</w:t>
      </w:r>
      <w:r w:rsidRPr="00BC50C9">
        <w:rPr>
          <w:rFonts w:ascii="Times New Roman" w:hAnsi="Times New Roman" w:cs="Simplified Arabic"/>
          <w:sz w:val="24"/>
          <w:szCs w:val="28"/>
        </w:rPr>
        <w:t>.531a</w:t>
      </w:r>
      <w:r w:rsidRPr="00BC50C9">
        <w:rPr>
          <w:rFonts w:ascii="Times New Roman" w:hAnsi="Times New Roman" w:cs="Simplified Arabic" w:hint="cs"/>
          <w:sz w:val="24"/>
          <w:szCs w:val="28"/>
          <w:rtl/>
        </w:rPr>
        <w:t>) بمستوى دلالة (</w:t>
      </w:r>
      <w:r w:rsidRPr="00BC50C9">
        <w:rPr>
          <w:rFonts w:ascii="Times New Roman" w:hAnsi="Times New Roman" w:cs="Simplified Arabic"/>
          <w:sz w:val="24"/>
          <w:szCs w:val="28"/>
        </w:rPr>
        <w:t>.000b</w:t>
      </w:r>
      <w:r w:rsidRPr="00BC50C9">
        <w:rPr>
          <w:rFonts w:ascii="Times New Roman" w:hAnsi="Times New Roman" w:cs="Simplified Arabic" w:hint="cs"/>
          <w:sz w:val="24"/>
          <w:szCs w:val="28"/>
          <w:rtl/>
        </w:rPr>
        <w:t>).</w:t>
      </w:r>
    </w:p>
    <w:p w14:paraId="3EC3DCEC" w14:textId="77777777" w:rsidR="006F1E2B" w:rsidRDefault="006F1E2B" w:rsidP="00BC50C9">
      <w:pPr>
        <w:bidi/>
        <w:spacing w:before="120" w:after="120" w:line="240" w:lineRule="auto"/>
        <w:rPr>
          <w:rFonts w:ascii="Times New Roman" w:hAnsi="Times New Roman" w:cs="Simplified Arabic"/>
          <w:b/>
          <w:bCs/>
          <w:sz w:val="24"/>
          <w:szCs w:val="28"/>
          <w:rtl/>
        </w:rPr>
      </w:pPr>
    </w:p>
    <w:p w14:paraId="00B27CA5" w14:textId="78207944" w:rsidR="00DE2B2A" w:rsidRPr="00BC50C9" w:rsidRDefault="006F1E2B" w:rsidP="006F1E2B">
      <w:pPr>
        <w:pStyle w:val="22222"/>
        <w:rPr>
          <w:rtl/>
        </w:rPr>
      </w:pPr>
      <w:bookmarkStart w:id="205" w:name="_Toc195456639"/>
      <w:r>
        <w:rPr>
          <w:rFonts w:hint="cs"/>
          <w:rtl/>
        </w:rPr>
        <w:lastRenderedPageBreak/>
        <w:t xml:space="preserve">2.5 </w:t>
      </w:r>
      <w:r w:rsidR="00DE2B2A" w:rsidRPr="00BC50C9">
        <w:rPr>
          <w:rFonts w:hint="cs"/>
          <w:rtl/>
        </w:rPr>
        <w:t>توصيات الدراسة:</w:t>
      </w:r>
      <w:bookmarkEnd w:id="205"/>
      <w:r w:rsidR="00DE2B2A" w:rsidRPr="00BC50C9">
        <w:rPr>
          <w:rFonts w:hint="cs"/>
          <w:rtl/>
        </w:rPr>
        <w:t xml:space="preserve"> </w:t>
      </w:r>
    </w:p>
    <w:p w14:paraId="5A647059"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hint="cs"/>
          <w:sz w:val="24"/>
          <w:szCs w:val="28"/>
          <w:rtl/>
        </w:rPr>
        <w:t>تحديد</w:t>
      </w:r>
      <w:r w:rsidRPr="006F1E2B">
        <w:rPr>
          <w:rFonts w:ascii="Times New Roman" w:hAnsi="Times New Roman" w:cs="Simplified Arabic"/>
          <w:sz w:val="24"/>
          <w:szCs w:val="28"/>
          <w:rtl/>
        </w:rPr>
        <w:t xml:space="preserve"> أهداف واضحة ومحددة للمنصة</w:t>
      </w:r>
      <w:r w:rsidRPr="006F1E2B">
        <w:rPr>
          <w:rFonts w:ascii="Times New Roman" w:hAnsi="Times New Roman" w:cs="Simplified Arabic" w:hint="cs"/>
          <w:sz w:val="24"/>
          <w:szCs w:val="28"/>
          <w:rtl/>
        </w:rPr>
        <w:t xml:space="preserve"> الإلكترونية</w:t>
      </w:r>
      <w:r w:rsidRPr="006F1E2B">
        <w:rPr>
          <w:rFonts w:ascii="Times New Roman" w:hAnsi="Times New Roman" w:cs="Simplified Arabic"/>
          <w:sz w:val="24"/>
          <w:szCs w:val="28"/>
          <w:rtl/>
        </w:rPr>
        <w:t>، مثل زيادة عدد المشاريع المدعومة وتحقيق نسبة نجاح مرتفعة</w:t>
      </w:r>
      <w:r w:rsidRPr="006F1E2B">
        <w:rPr>
          <w:rFonts w:ascii="Times New Roman" w:hAnsi="Times New Roman" w:cs="Simplified Arabic" w:hint="cs"/>
          <w:sz w:val="24"/>
          <w:szCs w:val="28"/>
          <w:rtl/>
        </w:rPr>
        <w:t>.</w:t>
      </w:r>
      <w:r w:rsidRPr="006F1E2B">
        <w:rPr>
          <w:rFonts w:ascii="Times New Roman" w:hAnsi="Times New Roman" w:cs="Simplified Arabic"/>
          <w:sz w:val="24"/>
          <w:szCs w:val="28"/>
        </w:rPr>
        <w:t xml:space="preserve"> </w:t>
      </w:r>
    </w:p>
    <w:p w14:paraId="5A36FF31"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إنشاء واجهة مستخدم سهلة الاستخدام وجذابة، تتيح للمستثمرين ورواد الأعمال التفاعل بسهولة</w:t>
      </w:r>
      <w:r w:rsidRPr="006F1E2B">
        <w:rPr>
          <w:rFonts w:ascii="Times New Roman" w:hAnsi="Times New Roman" w:cs="Simplified Arabic" w:hint="cs"/>
          <w:sz w:val="24"/>
          <w:szCs w:val="28"/>
          <w:rtl/>
        </w:rPr>
        <w:t>.</w:t>
      </w:r>
    </w:p>
    <w:p w14:paraId="0AE8DF95" w14:textId="22300DB8"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توفير معلومات واضحة حول المشاريع، بما في ذلك التكاليف، الأهداف، والمكافآت</w:t>
      </w:r>
      <w:r w:rsidRPr="006F1E2B">
        <w:rPr>
          <w:rFonts w:ascii="Times New Roman" w:hAnsi="Times New Roman" w:cs="Simplified Arabic" w:hint="cs"/>
          <w:sz w:val="24"/>
          <w:szCs w:val="28"/>
          <w:rtl/>
        </w:rPr>
        <w:t>.</w:t>
      </w:r>
    </w:p>
    <w:p w14:paraId="22D6165F" w14:textId="3FFD069E"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 xml:space="preserve">تقديم خيارات تمويل متنوعة </w:t>
      </w:r>
      <w:r w:rsidRPr="006F1E2B">
        <w:rPr>
          <w:rFonts w:ascii="Times New Roman" w:hAnsi="Times New Roman" w:cs="Simplified Arabic" w:hint="cs"/>
          <w:sz w:val="24"/>
          <w:szCs w:val="28"/>
          <w:rtl/>
        </w:rPr>
        <w:t>تتضمن</w:t>
      </w:r>
      <w:r w:rsidRPr="006F1E2B">
        <w:rPr>
          <w:rFonts w:ascii="Times New Roman" w:hAnsi="Times New Roman" w:cs="Simplified Arabic"/>
          <w:sz w:val="24"/>
          <w:szCs w:val="28"/>
          <w:rtl/>
        </w:rPr>
        <w:t xml:space="preserve"> التمويل </w:t>
      </w:r>
      <w:proofErr w:type="spellStart"/>
      <w:r w:rsidRPr="006F1E2B">
        <w:rPr>
          <w:rFonts w:ascii="Times New Roman" w:hAnsi="Times New Roman" w:cs="Simplified Arabic"/>
          <w:sz w:val="24"/>
          <w:szCs w:val="28"/>
          <w:rtl/>
        </w:rPr>
        <w:t>التبرعي</w:t>
      </w:r>
      <w:proofErr w:type="spellEnd"/>
      <w:r w:rsidRPr="006F1E2B">
        <w:rPr>
          <w:rFonts w:ascii="Times New Roman" w:hAnsi="Times New Roman" w:cs="Simplified Arabic"/>
          <w:sz w:val="24"/>
          <w:szCs w:val="28"/>
          <w:rtl/>
        </w:rPr>
        <w:t>، التمويل القائم على المكافآت، والتمويل القائم على الأسهم</w:t>
      </w:r>
      <w:r w:rsidRPr="006F1E2B">
        <w:rPr>
          <w:rFonts w:ascii="Times New Roman" w:hAnsi="Times New Roman" w:cs="Simplified Arabic" w:hint="cs"/>
          <w:sz w:val="24"/>
          <w:szCs w:val="28"/>
          <w:rtl/>
        </w:rPr>
        <w:t>.</w:t>
      </w:r>
    </w:p>
    <w:p w14:paraId="0A24F9AE"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وضع آليات واضحة لمراقبة وتقييم المشاريع</w:t>
      </w: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 xml:space="preserve"> مما يزيد من ثقة المستثمرين</w:t>
      </w:r>
      <w:r w:rsidRPr="006F1E2B">
        <w:rPr>
          <w:rFonts w:ascii="Times New Roman" w:hAnsi="Times New Roman" w:cs="Simplified Arabic" w:hint="cs"/>
          <w:sz w:val="24"/>
          <w:szCs w:val="28"/>
          <w:rtl/>
        </w:rPr>
        <w:t>.</w:t>
      </w:r>
    </w:p>
    <w:p w14:paraId="478B4068"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تنظيم ورش عمل وندوات عبر الإنترنت</w:t>
      </w: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 xml:space="preserve"> لتعزيز المعرفة حول التمويل التشاركي</w:t>
      </w:r>
      <w:r w:rsidRPr="006F1E2B">
        <w:rPr>
          <w:rFonts w:ascii="Times New Roman" w:hAnsi="Times New Roman" w:cs="Simplified Arabic"/>
          <w:sz w:val="24"/>
          <w:szCs w:val="28"/>
        </w:rPr>
        <w:t>.</w:t>
      </w:r>
    </w:p>
    <w:p w14:paraId="4432B876"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التعاون مع مؤثرين ورواد أعمال مشهورين</w:t>
      </w: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 xml:space="preserve"> لزيادة الوعي</w:t>
      </w:r>
      <w:r w:rsidRPr="006F1E2B">
        <w:rPr>
          <w:rFonts w:ascii="Times New Roman" w:hAnsi="Times New Roman" w:cs="Simplified Arabic" w:hint="cs"/>
          <w:sz w:val="24"/>
          <w:szCs w:val="28"/>
          <w:rtl/>
        </w:rPr>
        <w:t xml:space="preserve"> بأهمية</w:t>
      </w:r>
      <w:r w:rsidRPr="006F1E2B">
        <w:rPr>
          <w:rFonts w:ascii="Times New Roman" w:hAnsi="Times New Roman" w:cs="Simplified Arabic"/>
          <w:sz w:val="24"/>
          <w:szCs w:val="28"/>
          <w:rtl/>
        </w:rPr>
        <w:t xml:space="preserve"> المنص</w:t>
      </w:r>
      <w:r w:rsidRPr="006F1E2B">
        <w:rPr>
          <w:rFonts w:ascii="Times New Roman" w:hAnsi="Times New Roman" w:cs="Simplified Arabic" w:hint="cs"/>
          <w:sz w:val="24"/>
          <w:szCs w:val="28"/>
          <w:rtl/>
        </w:rPr>
        <w:t>ة الإلكترونية</w:t>
      </w:r>
      <w:r w:rsidRPr="006F1E2B">
        <w:rPr>
          <w:rFonts w:ascii="Times New Roman" w:hAnsi="Times New Roman" w:cs="Simplified Arabic"/>
          <w:sz w:val="24"/>
          <w:szCs w:val="28"/>
        </w:rPr>
        <w:t>.</w:t>
      </w:r>
    </w:p>
    <w:p w14:paraId="68DB692C"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sz w:val="24"/>
          <w:szCs w:val="28"/>
          <w:rtl/>
        </w:rPr>
        <w:t>إجراء تقييمات دورية لجمع الملاحظات وتحسين الخدمات المقدمة بناءً على احتياجات المستخدمين</w:t>
      </w:r>
      <w:r w:rsidRPr="006F1E2B">
        <w:rPr>
          <w:rFonts w:ascii="Times New Roman" w:hAnsi="Times New Roman" w:cs="Simplified Arabic"/>
          <w:sz w:val="24"/>
          <w:szCs w:val="28"/>
        </w:rPr>
        <w:t>.</w:t>
      </w:r>
    </w:p>
    <w:p w14:paraId="445EA2D0"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hint="cs"/>
          <w:sz w:val="24"/>
          <w:szCs w:val="28"/>
          <w:rtl/>
        </w:rPr>
        <w:t>ت</w:t>
      </w:r>
      <w:r w:rsidRPr="006F1E2B">
        <w:rPr>
          <w:rFonts w:ascii="Times New Roman" w:hAnsi="Times New Roman" w:cs="Simplified Arabic"/>
          <w:sz w:val="24"/>
          <w:szCs w:val="28"/>
          <w:rtl/>
        </w:rPr>
        <w:t xml:space="preserve">قديم حوافز </w:t>
      </w:r>
      <w:r w:rsidRPr="006F1E2B">
        <w:rPr>
          <w:rFonts w:ascii="Times New Roman" w:hAnsi="Times New Roman" w:cs="Simplified Arabic" w:hint="cs"/>
          <w:sz w:val="24"/>
          <w:szCs w:val="28"/>
          <w:rtl/>
        </w:rPr>
        <w:t xml:space="preserve">مميزة، </w:t>
      </w:r>
      <w:r w:rsidRPr="006F1E2B">
        <w:rPr>
          <w:rFonts w:ascii="Times New Roman" w:hAnsi="Times New Roman" w:cs="Simplified Arabic"/>
          <w:sz w:val="24"/>
          <w:szCs w:val="28"/>
          <w:rtl/>
        </w:rPr>
        <w:t>مثل</w:t>
      </w: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 xml:space="preserve"> خصومات أو مزايا للمستثمرين الذين يساهمون في مشاريع متعدد</w:t>
      </w:r>
      <w:r w:rsidRPr="006F1E2B">
        <w:rPr>
          <w:rFonts w:ascii="Times New Roman" w:hAnsi="Times New Roman" w:cs="Simplified Arabic" w:hint="cs"/>
          <w:sz w:val="24"/>
          <w:szCs w:val="28"/>
          <w:rtl/>
        </w:rPr>
        <w:t>.</w:t>
      </w:r>
    </w:p>
    <w:p w14:paraId="7D98D9A1"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Pr>
      </w:pPr>
      <w:r w:rsidRPr="006F1E2B">
        <w:rPr>
          <w:rFonts w:ascii="Times New Roman" w:hAnsi="Times New Roman" w:cs="Simplified Arabic" w:hint="cs"/>
          <w:sz w:val="24"/>
          <w:szCs w:val="28"/>
          <w:rtl/>
        </w:rPr>
        <w:t>ت</w:t>
      </w:r>
      <w:r w:rsidRPr="006F1E2B">
        <w:rPr>
          <w:rFonts w:ascii="Times New Roman" w:hAnsi="Times New Roman" w:cs="Simplified Arabic"/>
          <w:sz w:val="24"/>
          <w:szCs w:val="28"/>
          <w:rtl/>
        </w:rPr>
        <w:t>ضمين معايير الاستدامة المالية في تقييم المشاريع المدعومة</w:t>
      </w: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 xml:space="preserve"> مما يعزز من نجاحها على المدى الطويل</w:t>
      </w:r>
      <w:r w:rsidRPr="006F1E2B">
        <w:rPr>
          <w:rFonts w:ascii="Times New Roman" w:hAnsi="Times New Roman" w:cs="Simplified Arabic"/>
          <w:sz w:val="24"/>
          <w:szCs w:val="28"/>
        </w:rPr>
        <w:t>.</w:t>
      </w:r>
    </w:p>
    <w:p w14:paraId="6BE1EE0C" w14:textId="2F382FC5" w:rsidR="00DE2B2A" w:rsidRPr="00BC50C9" w:rsidRDefault="006F1E2B" w:rsidP="006F1E2B">
      <w:pPr>
        <w:pStyle w:val="22222"/>
        <w:rPr>
          <w:rtl/>
        </w:rPr>
      </w:pPr>
      <w:bookmarkStart w:id="206" w:name="_Toc195456640"/>
      <w:r>
        <w:rPr>
          <w:rFonts w:hint="cs"/>
          <w:rtl/>
        </w:rPr>
        <w:t xml:space="preserve">3.5 </w:t>
      </w:r>
      <w:r w:rsidR="00DE2B2A" w:rsidRPr="00BC50C9">
        <w:rPr>
          <w:rFonts w:hint="cs"/>
          <w:rtl/>
        </w:rPr>
        <w:t>مقترحات الدراسة: عمل دراسات مستقبلية:</w:t>
      </w:r>
      <w:bookmarkEnd w:id="206"/>
    </w:p>
    <w:p w14:paraId="5576263D"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tl/>
        </w:rPr>
      </w:pPr>
      <w:r w:rsidRPr="006F1E2B">
        <w:rPr>
          <w:rFonts w:ascii="Times New Roman" w:hAnsi="Times New Roman" w:cs="Simplified Arabic" w:hint="cs"/>
          <w:sz w:val="24"/>
          <w:szCs w:val="28"/>
          <w:rtl/>
        </w:rPr>
        <w:t>"</w:t>
      </w:r>
      <w:r w:rsidRPr="006F1E2B">
        <w:rPr>
          <w:rFonts w:ascii="Times New Roman" w:hAnsi="Times New Roman" w:cs="Simplified Arabic"/>
          <w:sz w:val="24"/>
          <w:szCs w:val="28"/>
          <w:rtl/>
        </w:rPr>
        <w:t>استخدام تقنيات الذكاء الاصطناعي في تحليل المخاطر في منصات التمويل التشاركي</w:t>
      </w:r>
      <w:r w:rsidRPr="006F1E2B">
        <w:rPr>
          <w:rFonts w:ascii="Times New Roman" w:hAnsi="Times New Roman" w:cs="Simplified Arabic" w:hint="cs"/>
          <w:sz w:val="24"/>
          <w:szCs w:val="28"/>
          <w:rtl/>
        </w:rPr>
        <w:t>".</w:t>
      </w:r>
      <w:r w:rsidRPr="006F1E2B">
        <w:rPr>
          <w:rFonts w:ascii="Times New Roman" w:hAnsi="Times New Roman" w:cs="Simplified Arabic"/>
          <w:sz w:val="24"/>
          <w:szCs w:val="28"/>
        </w:rPr>
        <w:t xml:space="preserve"> </w:t>
      </w:r>
    </w:p>
    <w:p w14:paraId="30A5D0F2" w14:textId="77777777" w:rsidR="00DE2B2A" w:rsidRPr="006F1E2B" w:rsidRDefault="00DE2B2A">
      <w:pPr>
        <w:pStyle w:val="a3"/>
        <w:numPr>
          <w:ilvl w:val="0"/>
          <w:numId w:val="61"/>
        </w:numPr>
        <w:bidi/>
        <w:spacing w:before="120" w:after="120" w:line="240" w:lineRule="auto"/>
        <w:jc w:val="both"/>
        <w:rPr>
          <w:rFonts w:ascii="Times New Roman" w:hAnsi="Times New Roman" w:cs="Simplified Arabic"/>
          <w:sz w:val="24"/>
          <w:szCs w:val="28"/>
          <w:rtl/>
        </w:rPr>
      </w:pPr>
      <w:r w:rsidRPr="006F1E2B">
        <w:rPr>
          <w:rFonts w:ascii="Times New Roman" w:hAnsi="Times New Roman" w:cs="Simplified Arabic" w:hint="cs"/>
          <w:sz w:val="24"/>
          <w:szCs w:val="28"/>
          <w:rtl/>
        </w:rPr>
        <w:t>"د</w:t>
      </w:r>
      <w:r w:rsidRPr="006F1E2B">
        <w:rPr>
          <w:rFonts w:ascii="Times New Roman" w:hAnsi="Times New Roman" w:cs="Simplified Arabic"/>
          <w:sz w:val="24"/>
          <w:szCs w:val="28"/>
          <w:rtl/>
        </w:rPr>
        <w:t>ور التمويل التشاركي في سد الفجوة التمويلية للمشاريع الصغيرة والمتوسطة</w:t>
      </w:r>
      <w:r w:rsidRPr="006F1E2B">
        <w:rPr>
          <w:rFonts w:ascii="Times New Roman" w:hAnsi="Times New Roman" w:cs="Simplified Arabic"/>
          <w:sz w:val="24"/>
          <w:szCs w:val="28"/>
        </w:rPr>
        <w:t>."</w:t>
      </w:r>
    </w:p>
    <w:p w14:paraId="644DA522" w14:textId="77777777" w:rsidR="00DE2B2A" w:rsidRPr="00BC50C9" w:rsidRDefault="00DE2B2A" w:rsidP="00BC50C9">
      <w:pPr>
        <w:bidi/>
        <w:spacing w:before="120" w:after="120" w:line="240" w:lineRule="auto"/>
        <w:rPr>
          <w:rFonts w:ascii="Times New Roman" w:hAnsi="Times New Roman" w:cs="Simplified Arabic"/>
          <w:sz w:val="24"/>
          <w:szCs w:val="28"/>
        </w:rPr>
      </w:pPr>
    </w:p>
    <w:bookmarkEnd w:id="102"/>
    <w:p w14:paraId="11C505A9" w14:textId="77777777" w:rsidR="00DE2B2A" w:rsidRPr="00BC50C9" w:rsidRDefault="00DE2B2A" w:rsidP="00BC50C9">
      <w:pPr>
        <w:bidi/>
        <w:spacing w:before="120" w:after="120" w:line="240" w:lineRule="auto"/>
        <w:rPr>
          <w:rFonts w:ascii="Times New Roman" w:hAnsi="Times New Roman" w:cs="Simplified Arabic"/>
          <w:sz w:val="24"/>
          <w:szCs w:val="28"/>
          <w:lang w:bidi="ar-EG"/>
        </w:rPr>
      </w:pPr>
    </w:p>
    <w:p w14:paraId="0E43F45B" w14:textId="77777777" w:rsidR="00DE2B2A" w:rsidRPr="00BC50C9" w:rsidRDefault="00DE2B2A" w:rsidP="00BC50C9">
      <w:pPr>
        <w:bidi/>
        <w:spacing w:before="120" w:after="120" w:line="240" w:lineRule="auto"/>
        <w:rPr>
          <w:rFonts w:ascii="Times New Roman" w:hAnsi="Times New Roman" w:cs="Simplified Arabic"/>
          <w:sz w:val="24"/>
          <w:szCs w:val="28"/>
          <w:rtl/>
        </w:rPr>
      </w:pPr>
    </w:p>
    <w:p w14:paraId="429D3AE1"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24E89904"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0A42E8AD"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43E4ED7E"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4077E0E7"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51FBC77F"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43213B36" w14:textId="77777777" w:rsidR="000B3939" w:rsidRPr="00BC50C9" w:rsidRDefault="000B3939" w:rsidP="00BC50C9">
      <w:pPr>
        <w:bidi/>
        <w:spacing w:before="120" w:after="120" w:line="240" w:lineRule="auto"/>
        <w:rPr>
          <w:rFonts w:ascii="Times New Roman" w:hAnsi="Times New Roman" w:cs="Simplified Arabic"/>
          <w:sz w:val="24"/>
          <w:szCs w:val="28"/>
          <w:rtl/>
        </w:rPr>
      </w:pPr>
    </w:p>
    <w:p w14:paraId="2959E0D5" w14:textId="77777777" w:rsidR="00BA740A" w:rsidRPr="00BC50C9" w:rsidRDefault="00BA740A" w:rsidP="006F1E2B">
      <w:pPr>
        <w:pStyle w:val="11110"/>
        <w:rPr>
          <w:rtl/>
          <w:lang w:bidi="ar-EG"/>
        </w:rPr>
      </w:pPr>
      <w:bookmarkStart w:id="207" w:name="_Toc195456641"/>
      <w:r w:rsidRPr="00BC50C9">
        <w:rPr>
          <w:rtl/>
          <w:lang w:bidi="ar-EG"/>
        </w:rPr>
        <w:lastRenderedPageBreak/>
        <w:t>قائمة المراجع</w:t>
      </w:r>
      <w:bookmarkEnd w:id="207"/>
    </w:p>
    <w:p w14:paraId="78130200" w14:textId="77777777" w:rsidR="00BA740A" w:rsidRPr="00BC50C9" w:rsidRDefault="00BA740A" w:rsidP="006F1E2B">
      <w:pPr>
        <w:pStyle w:val="22222"/>
      </w:pPr>
      <w:bookmarkStart w:id="208" w:name="_Toc195456642"/>
      <w:r w:rsidRPr="00BC50C9">
        <w:rPr>
          <w:rtl/>
        </w:rPr>
        <w:t>أولًا المراجع العربية:</w:t>
      </w:r>
      <w:bookmarkEnd w:id="208"/>
    </w:p>
    <w:p w14:paraId="3FDC757D" w14:textId="489DA45D"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أحلام، فرج الله؛ </w:t>
      </w:r>
      <w:proofErr w:type="spellStart"/>
      <w:r w:rsidRPr="00BC50C9">
        <w:rPr>
          <w:rFonts w:ascii="Times New Roman" w:eastAsia="Calibri" w:hAnsi="Times New Roman" w:cs="Simplified Arabic"/>
          <w:sz w:val="24"/>
          <w:szCs w:val="28"/>
          <w:rtl/>
          <w:lang w:bidi="ar-EG"/>
        </w:rPr>
        <w:t>موراد</w:t>
      </w:r>
      <w:proofErr w:type="spellEnd"/>
      <w:r w:rsidRPr="00BC50C9">
        <w:rPr>
          <w:rFonts w:ascii="Times New Roman" w:eastAsia="Calibri" w:hAnsi="Times New Roman" w:cs="Simplified Arabic"/>
          <w:sz w:val="24"/>
          <w:szCs w:val="28"/>
          <w:rtl/>
          <w:lang w:bidi="ar-EG"/>
        </w:rPr>
        <w:t xml:space="preserve">، حمادي. (2022). أهمية التمويل التشاركي في تحقيق التنمية الاجتماعية المستدامة دراسة لبعض الصناديق الوقفية. </w:t>
      </w:r>
      <w:r w:rsidRPr="00BC50C9">
        <w:rPr>
          <w:rFonts w:ascii="Times New Roman" w:eastAsia="Calibri" w:hAnsi="Times New Roman" w:cs="Simplified Arabic"/>
          <w:i/>
          <w:iCs/>
          <w:sz w:val="24"/>
          <w:szCs w:val="28"/>
          <w:rtl/>
          <w:lang w:bidi="ar-EG"/>
        </w:rPr>
        <w:t>مجلة الاقتصاد والتنمية المستدامة. 5</w:t>
      </w:r>
      <w:r w:rsidRPr="00D035A1">
        <w:rPr>
          <w:rFonts w:ascii="Times New Roman" w:eastAsia="Calibri" w:hAnsi="Times New Roman" w:cs="Simplified Arabic"/>
          <w:sz w:val="24"/>
          <w:szCs w:val="28"/>
          <w:rtl/>
          <w:lang w:bidi="ar-EG"/>
        </w:rPr>
        <w:t>(2)</w:t>
      </w:r>
      <w:r>
        <w:rPr>
          <w:rFonts w:ascii="Times New Roman" w:eastAsia="Calibri" w:hAnsi="Times New Roman" w:cs="Simplified Arabic" w:hint="cs"/>
          <w:sz w:val="24"/>
          <w:szCs w:val="28"/>
          <w:rtl/>
          <w:lang w:bidi="ar-EG"/>
        </w:rPr>
        <w:t>،</w:t>
      </w:r>
      <w:r w:rsidRPr="00BC50C9">
        <w:rPr>
          <w:rFonts w:ascii="Times New Roman" w:eastAsia="Calibri" w:hAnsi="Times New Roman" w:cs="Simplified Arabic"/>
          <w:i/>
          <w:iCs/>
          <w:sz w:val="24"/>
          <w:szCs w:val="28"/>
          <w:rtl/>
          <w:lang w:bidi="ar-EG"/>
        </w:rPr>
        <w:t xml:space="preserve"> </w:t>
      </w:r>
      <w:r w:rsidRPr="00BC50C9">
        <w:rPr>
          <w:rFonts w:ascii="Times New Roman" w:eastAsia="Calibri" w:hAnsi="Times New Roman" w:cs="Simplified Arabic"/>
          <w:sz w:val="24"/>
          <w:szCs w:val="28"/>
          <w:rtl/>
          <w:lang w:bidi="ar-EG"/>
        </w:rPr>
        <w:t xml:space="preserve">653-672. </w:t>
      </w:r>
    </w:p>
    <w:p w14:paraId="10BB8899"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 xml:space="preserve">أحمد، مصطفى أحمد </w:t>
      </w:r>
      <w:proofErr w:type="gramStart"/>
      <w:r w:rsidRPr="00BC50C9">
        <w:rPr>
          <w:rFonts w:ascii="Times New Roman" w:hAnsi="Times New Roman" w:cs="Simplified Arabic"/>
          <w:sz w:val="24"/>
          <w:szCs w:val="28"/>
          <w:rtl/>
          <w:lang w:bidi="ar-EG"/>
        </w:rPr>
        <w:t>عبدالله</w:t>
      </w:r>
      <w:proofErr w:type="gramEnd"/>
      <w:r w:rsidRPr="00BC50C9">
        <w:rPr>
          <w:rFonts w:ascii="Times New Roman" w:hAnsi="Times New Roman" w:cs="Simplified Arabic"/>
          <w:sz w:val="24"/>
          <w:szCs w:val="28"/>
          <w:rtl/>
          <w:lang w:bidi="ar-EG"/>
        </w:rPr>
        <w:t>. (2023). منصات التمويل الجماعي كصيغة مقترحة لتنويع مصادر تمويل التعليم الجامعي المصري على ضوء تجربة بعض جامعات المملكة المتحدة.</w:t>
      </w:r>
      <w:r w:rsidRPr="00BC50C9">
        <w:rPr>
          <w:rFonts w:ascii="Times New Roman" w:hAnsi="Times New Roman" w:cs="Simplified Arabic"/>
          <w:i/>
          <w:iCs/>
          <w:sz w:val="24"/>
          <w:szCs w:val="28"/>
          <w:rtl/>
          <w:lang w:bidi="ar-EG"/>
        </w:rPr>
        <w:t xml:space="preserve"> مجلة العلوم التربوية، 4</w:t>
      </w:r>
      <w:r w:rsidRPr="00BC50C9">
        <w:rPr>
          <w:rFonts w:ascii="Times New Roman" w:hAnsi="Times New Roman" w:cs="Simplified Arabic"/>
          <w:sz w:val="24"/>
          <w:szCs w:val="28"/>
          <w:rtl/>
          <w:lang w:bidi="ar-EG"/>
        </w:rPr>
        <w:t>(4)، 90- 267.</w:t>
      </w:r>
    </w:p>
    <w:p w14:paraId="1073F0F6"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الاسكوا. (2021). </w:t>
      </w:r>
      <w:r w:rsidRPr="00BC50C9">
        <w:rPr>
          <w:rFonts w:ascii="Times New Roman" w:hAnsi="Times New Roman" w:cs="Simplified Arabic"/>
          <w:i/>
          <w:iCs/>
          <w:sz w:val="24"/>
          <w:szCs w:val="28"/>
          <w:rtl/>
        </w:rPr>
        <w:t>المرأة إلى ريادة الأعمال في المنطقة العربية دور تكنولوجيا المعلومات والاتصالات</w:t>
      </w:r>
      <w:r w:rsidRPr="00BC50C9">
        <w:rPr>
          <w:rFonts w:ascii="Times New Roman" w:hAnsi="Times New Roman" w:cs="Simplified Arabic"/>
          <w:sz w:val="24"/>
          <w:szCs w:val="28"/>
          <w:rtl/>
        </w:rPr>
        <w:t xml:space="preserve">. الأمم المتحدة. </w:t>
      </w:r>
    </w:p>
    <w:p w14:paraId="4AEFC08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إسماعيل، رضا </w:t>
      </w:r>
      <w:proofErr w:type="spellStart"/>
      <w:r w:rsidRPr="00BC50C9">
        <w:rPr>
          <w:rFonts w:ascii="Times New Roman" w:eastAsia="Calibri" w:hAnsi="Times New Roman" w:cs="Simplified Arabic"/>
          <w:sz w:val="24"/>
          <w:szCs w:val="28"/>
          <w:rtl/>
          <w:lang w:bidi="ar-EG"/>
        </w:rPr>
        <w:t>مصليحي</w:t>
      </w:r>
      <w:proofErr w:type="spellEnd"/>
      <w:r w:rsidRPr="00BC50C9">
        <w:rPr>
          <w:rFonts w:ascii="Times New Roman" w:eastAsia="Calibri" w:hAnsi="Times New Roman" w:cs="Simplified Arabic"/>
          <w:sz w:val="24"/>
          <w:szCs w:val="28"/>
          <w:rtl/>
          <w:lang w:bidi="ar-EG"/>
        </w:rPr>
        <w:t xml:space="preserve"> أحمد. (2015). العوامل المؤثرة في إقامة المشاريع الريادية: دراسة ميدانية على شركات الاتصالات في مصر. </w:t>
      </w:r>
      <w:r w:rsidRPr="00BC50C9">
        <w:rPr>
          <w:rFonts w:ascii="Times New Roman" w:eastAsia="Calibri" w:hAnsi="Times New Roman" w:cs="Simplified Arabic"/>
          <w:i/>
          <w:iCs/>
          <w:sz w:val="24"/>
          <w:szCs w:val="28"/>
          <w:rtl/>
          <w:lang w:bidi="ar-EG"/>
        </w:rPr>
        <w:t>المجلة العلمية للاقتصاد والتجارة</w:t>
      </w:r>
      <w:r w:rsidRPr="00BC50C9">
        <w:rPr>
          <w:rFonts w:ascii="Times New Roman" w:eastAsia="Calibri" w:hAnsi="Times New Roman" w:cs="Simplified Arabic"/>
          <w:sz w:val="24"/>
          <w:szCs w:val="28"/>
          <w:rtl/>
          <w:lang w:bidi="ar-EG"/>
        </w:rPr>
        <w:t>، (2)، 331-359.</w:t>
      </w:r>
    </w:p>
    <w:p w14:paraId="6ABA70A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الأعرجي، كاظم سعد عبد الرضا؛ السلطاني، ياسين نادب علي خليل. (2021). تحليل واقع </w:t>
      </w:r>
      <w:proofErr w:type="spellStart"/>
      <w:r w:rsidRPr="00BC50C9">
        <w:rPr>
          <w:rFonts w:ascii="Times New Roman" w:eastAsia="Calibri" w:hAnsi="Times New Roman" w:cs="Simplified Arabic"/>
          <w:sz w:val="24"/>
          <w:szCs w:val="28"/>
          <w:rtl/>
          <w:lang w:bidi="ar-EG"/>
        </w:rPr>
        <w:t>الإستدامة</w:t>
      </w:r>
      <w:proofErr w:type="spellEnd"/>
      <w:r w:rsidRPr="00BC50C9">
        <w:rPr>
          <w:rFonts w:ascii="Times New Roman" w:eastAsia="Calibri" w:hAnsi="Times New Roman" w:cs="Simplified Arabic"/>
          <w:sz w:val="24"/>
          <w:szCs w:val="28"/>
          <w:rtl/>
          <w:lang w:bidi="ar-EG"/>
        </w:rPr>
        <w:t xml:space="preserve"> المالية في العراق للمدة (2004-2019). </w:t>
      </w:r>
      <w:r w:rsidRPr="00BC50C9">
        <w:rPr>
          <w:rFonts w:ascii="Times New Roman" w:eastAsia="Calibri" w:hAnsi="Times New Roman" w:cs="Simplified Arabic"/>
          <w:i/>
          <w:iCs/>
          <w:sz w:val="24"/>
          <w:szCs w:val="28"/>
          <w:rtl/>
          <w:lang w:bidi="ar-EG"/>
        </w:rPr>
        <w:t>مجلة كلية الإدارة والاقتصاد للدراسات الاقتصادية والإدارية والمالية</w:t>
      </w:r>
      <w:r w:rsidRPr="00BC50C9">
        <w:rPr>
          <w:rFonts w:ascii="Times New Roman" w:eastAsia="Calibri" w:hAnsi="Times New Roman" w:cs="Simplified Arabic"/>
          <w:sz w:val="24"/>
          <w:szCs w:val="28"/>
          <w:rtl/>
          <w:lang w:bidi="ar-EG"/>
        </w:rPr>
        <w:t>،</w:t>
      </w:r>
      <w:r w:rsidRPr="00BC50C9">
        <w:rPr>
          <w:rFonts w:ascii="Times New Roman" w:eastAsia="Calibri" w:hAnsi="Times New Roman" w:cs="Simplified Arabic"/>
          <w:i/>
          <w:iCs/>
          <w:sz w:val="24"/>
          <w:szCs w:val="28"/>
          <w:rtl/>
          <w:lang w:bidi="ar-EG"/>
        </w:rPr>
        <w:t xml:space="preserve"> 13</w:t>
      </w:r>
      <w:r w:rsidRPr="00BC50C9">
        <w:rPr>
          <w:rFonts w:ascii="Times New Roman" w:eastAsia="Calibri" w:hAnsi="Times New Roman" w:cs="Simplified Arabic"/>
          <w:sz w:val="24"/>
          <w:szCs w:val="28"/>
          <w:rtl/>
          <w:lang w:bidi="ar-EG"/>
        </w:rPr>
        <w:t>(1)، 33-53.</w:t>
      </w:r>
    </w:p>
    <w:p w14:paraId="205B7F03"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proofErr w:type="spellStart"/>
      <w:r w:rsidRPr="00BC50C9">
        <w:rPr>
          <w:rFonts w:ascii="Times New Roman" w:hAnsi="Times New Roman" w:cs="Simplified Arabic"/>
          <w:sz w:val="24"/>
          <w:szCs w:val="28"/>
          <w:rtl/>
        </w:rPr>
        <w:t>الإمبابي</w:t>
      </w:r>
      <w:proofErr w:type="spellEnd"/>
      <w:r w:rsidRPr="00BC50C9">
        <w:rPr>
          <w:rFonts w:ascii="Times New Roman" w:hAnsi="Times New Roman" w:cs="Simplified Arabic"/>
          <w:sz w:val="24"/>
          <w:szCs w:val="28"/>
          <w:rtl/>
        </w:rPr>
        <w:t xml:space="preserve">، محمد </w:t>
      </w:r>
      <w:proofErr w:type="gramStart"/>
      <w:r w:rsidRPr="00BC50C9">
        <w:rPr>
          <w:rFonts w:ascii="Times New Roman" w:hAnsi="Times New Roman" w:cs="Simplified Arabic"/>
          <w:sz w:val="24"/>
          <w:szCs w:val="28"/>
          <w:rtl/>
        </w:rPr>
        <w:t>عبدالحميد</w:t>
      </w:r>
      <w:proofErr w:type="gramEnd"/>
      <w:r w:rsidRPr="00BC50C9">
        <w:rPr>
          <w:rFonts w:ascii="Times New Roman" w:hAnsi="Times New Roman" w:cs="Simplified Arabic"/>
          <w:sz w:val="24"/>
          <w:szCs w:val="28"/>
          <w:rtl/>
        </w:rPr>
        <w:t xml:space="preserve"> أحمد. (2022). العلاقة بين التمويل الريادي والتنمية المستدامة في الاقتصاد المصري.</w:t>
      </w:r>
      <w:r w:rsidRPr="00BC50C9">
        <w:rPr>
          <w:rFonts w:ascii="Times New Roman" w:hAnsi="Times New Roman" w:cs="Simplified Arabic"/>
          <w:i/>
          <w:iCs/>
          <w:sz w:val="24"/>
          <w:szCs w:val="28"/>
          <w:rtl/>
        </w:rPr>
        <w:t xml:space="preserve"> مجلة البحوث المالية والتجارية بجامعة بورسعيد،</w:t>
      </w:r>
      <w:r w:rsidRPr="00BC50C9">
        <w:rPr>
          <w:rFonts w:ascii="Times New Roman" w:hAnsi="Times New Roman" w:cs="Simplified Arabic"/>
          <w:sz w:val="24"/>
          <w:szCs w:val="28"/>
          <w:rtl/>
        </w:rPr>
        <w:t xml:space="preserve"> (4)، 373-406.</w:t>
      </w:r>
    </w:p>
    <w:p w14:paraId="71244990"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أمدور، ريان؛ </w:t>
      </w:r>
      <w:proofErr w:type="spellStart"/>
      <w:r w:rsidRPr="00BC50C9">
        <w:rPr>
          <w:rFonts w:ascii="Times New Roman" w:eastAsia="Calibri" w:hAnsi="Times New Roman" w:cs="Simplified Arabic"/>
          <w:sz w:val="24"/>
          <w:szCs w:val="28"/>
          <w:rtl/>
          <w:lang w:bidi="ar-EG"/>
        </w:rPr>
        <w:t>محمداتني</w:t>
      </w:r>
      <w:proofErr w:type="spellEnd"/>
      <w:r w:rsidRPr="00BC50C9">
        <w:rPr>
          <w:rFonts w:ascii="Times New Roman" w:eastAsia="Calibri" w:hAnsi="Times New Roman" w:cs="Simplified Arabic"/>
          <w:sz w:val="24"/>
          <w:szCs w:val="28"/>
          <w:rtl/>
          <w:lang w:bidi="ar-EG"/>
        </w:rPr>
        <w:t xml:space="preserve">، المعتز بالله؛ </w:t>
      </w:r>
      <w:proofErr w:type="spellStart"/>
      <w:r w:rsidRPr="00BC50C9">
        <w:rPr>
          <w:rFonts w:ascii="Times New Roman" w:eastAsia="Calibri" w:hAnsi="Times New Roman" w:cs="Simplified Arabic"/>
          <w:sz w:val="24"/>
          <w:szCs w:val="28"/>
          <w:rtl/>
          <w:lang w:bidi="ar-EG"/>
        </w:rPr>
        <w:t>بوخناف</w:t>
      </w:r>
      <w:proofErr w:type="spellEnd"/>
      <w:r w:rsidRPr="00BC50C9">
        <w:rPr>
          <w:rFonts w:ascii="Times New Roman" w:eastAsia="Calibri" w:hAnsi="Times New Roman" w:cs="Simplified Arabic"/>
          <w:sz w:val="24"/>
          <w:szCs w:val="28"/>
          <w:rtl/>
          <w:lang w:bidi="ar-EG"/>
        </w:rPr>
        <w:t xml:space="preserve">، حمزة. (2023). </w:t>
      </w:r>
      <w:r w:rsidRPr="00BC50C9">
        <w:rPr>
          <w:rFonts w:ascii="Times New Roman" w:eastAsia="Calibri" w:hAnsi="Times New Roman" w:cs="Simplified Arabic"/>
          <w:i/>
          <w:iCs/>
          <w:sz w:val="24"/>
          <w:szCs w:val="28"/>
          <w:rtl/>
          <w:lang w:bidi="ar-EG"/>
        </w:rPr>
        <w:t xml:space="preserve">دور المنصات الرقمية التعليمية في تحصيل الطالب الجامعي - منصة </w:t>
      </w:r>
      <w:proofErr w:type="spellStart"/>
      <w:r w:rsidRPr="00BC50C9">
        <w:rPr>
          <w:rFonts w:ascii="Times New Roman" w:eastAsia="Calibri" w:hAnsi="Times New Roman" w:cs="Simplified Arabic"/>
          <w:i/>
          <w:iCs/>
          <w:sz w:val="24"/>
          <w:szCs w:val="28"/>
          <w:rtl/>
          <w:lang w:bidi="ar-EG"/>
        </w:rPr>
        <w:t>موودل</w:t>
      </w:r>
      <w:proofErr w:type="spellEnd"/>
      <w:r w:rsidRPr="00BC50C9">
        <w:rPr>
          <w:rFonts w:ascii="Times New Roman" w:eastAsia="Calibri" w:hAnsi="Times New Roman" w:cs="Simplified Arabic"/>
          <w:i/>
          <w:iCs/>
          <w:sz w:val="24"/>
          <w:szCs w:val="28"/>
          <w:rtl/>
          <w:lang w:bidi="ar-EG"/>
        </w:rPr>
        <w:t xml:space="preserve"> نموذجا - دراسة على طلبة كلية العلوم الإنسانية والاجتماعية - جامعة 08 ماي 1945 قالمة. </w:t>
      </w:r>
      <w:r w:rsidRPr="00BC50C9">
        <w:rPr>
          <w:rFonts w:ascii="Times New Roman" w:eastAsia="Calibri" w:hAnsi="Times New Roman" w:cs="Simplified Arabic"/>
          <w:sz w:val="24"/>
          <w:szCs w:val="28"/>
          <w:rtl/>
          <w:lang w:bidi="ar-EG"/>
        </w:rPr>
        <w:t xml:space="preserve">(رسالة ماجستير غير منشورة). جامعة 8 ماي 1945 قالمة، الجزائر. </w:t>
      </w:r>
    </w:p>
    <w:p w14:paraId="1827115A" w14:textId="69F61A34" w:rsidR="00D035A1" w:rsidRPr="00BC50C9" w:rsidRDefault="008A1BCA"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أبو </w:t>
      </w:r>
      <w:r w:rsidR="00D035A1" w:rsidRPr="00BC50C9">
        <w:rPr>
          <w:rFonts w:ascii="Times New Roman" w:hAnsi="Times New Roman" w:cs="Simplified Arabic"/>
          <w:sz w:val="24"/>
          <w:szCs w:val="28"/>
          <w:rtl/>
        </w:rPr>
        <w:t xml:space="preserve">أمونه، يوسف محمد يوسف. (2018أ). أثر التكنولوجيا المالية على نماذج الأعمال الإلكترونية: دراسة ميدانية على مواقع التمويل التشاركي الإلكتروني. </w:t>
      </w:r>
      <w:r w:rsidR="00D035A1" w:rsidRPr="00BC50C9">
        <w:rPr>
          <w:rFonts w:ascii="Times New Roman" w:hAnsi="Times New Roman" w:cs="Simplified Arabic"/>
          <w:i/>
          <w:iCs/>
          <w:sz w:val="24"/>
          <w:szCs w:val="28"/>
          <w:rtl/>
        </w:rPr>
        <w:t>المجلة العلمية للدراسات التجارية والبيئية، 9</w:t>
      </w:r>
      <w:r w:rsidR="00D035A1" w:rsidRPr="00BC50C9">
        <w:rPr>
          <w:rFonts w:ascii="Times New Roman" w:hAnsi="Times New Roman" w:cs="Simplified Arabic"/>
          <w:sz w:val="24"/>
          <w:szCs w:val="28"/>
          <w:rtl/>
        </w:rPr>
        <w:t xml:space="preserve">(4)، 348-371. </w:t>
      </w:r>
    </w:p>
    <w:p w14:paraId="53E4B32C" w14:textId="3750BE32" w:rsidR="00D035A1" w:rsidRPr="00BC50C9" w:rsidRDefault="008A1BCA" w:rsidP="00D035A1">
      <w:pPr>
        <w:pStyle w:val="a4"/>
        <w:bidi/>
        <w:spacing w:before="120" w:after="120"/>
        <w:ind w:left="283" w:hanging="283"/>
        <w:jc w:val="both"/>
        <w:rPr>
          <w:rFonts w:ascii="Times New Roman" w:hAnsi="Times New Roman" w:cs="Simplified Arabic"/>
          <w:sz w:val="24"/>
          <w:szCs w:val="28"/>
          <w:lang w:bidi="ar-EG"/>
        </w:rPr>
      </w:pPr>
      <w:r w:rsidRPr="00BC50C9">
        <w:rPr>
          <w:rFonts w:ascii="Times New Roman" w:hAnsi="Times New Roman" w:cs="Simplified Arabic"/>
          <w:sz w:val="24"/>
          <w:szCs w:val="28"/>
          <w:rtl/>
        </w:rPr>
        <w:t xml:space="preserve">أبو </w:t>
      </w:r>
      <w:r w:rsidR="00D035A1" w:rsidRPr="00BC50C9">
        <w:rPr>
          <w:rFonts w:ascii="Times New Roman" w:hAnsi="Times New Roman" w:cs="Simplified Arabic"/>
          <w:sz w:val="24"/>
          <w:szCs w:val="28"/>
          <w:rtl/>
        </w:rPr>
        <w:t xml:space="preserve">أمونه، يوسف محمد يوسف. (2018ب). الخصائص المالية للتمويل التشاركي الإلكتروني وأثرها على المشاريع الريادية. </w:t>
      </w:r>
      <w:r w:rsidR="00D035A1" w:rsidRPr="00BC50C9">
        <w:rPr>
          <w:rFonts w:ascii="Times New Roman" w:hAnsi="Times New Roman" w:cs="Simplified Arabic"/>
          <w:i/>
          <w:iCs/>
          <w:sz w:val="24"/>
          <w:szCs w:val="28"/>
          <w:rtl/>
        </w:rPr>
        <w:t>المجلة العلمية للدراسات التجارية والبيئية، 9</w:t>
      </w:r>
      <w:r w:rsidR="00D035A1" w:rsidRPr="00BC50C9">
        <w:rPr>
          <w:rFonts w:ascii="Times New Roman" w:hAnsi="Times New Roman" w:cs="Simplified Arabic"/>
          <w:sz w:val="24"/>
          <w:szCs w:val="28"/>
          <w:rtl/>
        </w:rPr>
        <w:t xml:space="preserve">(4)، 372-396. </w:t>
      </w:r>
    </w:p>
    <w:p w14:paraId="07BA88D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باتلر</w:t>
      </w:r>
      <w:proofErr w:type="spellEnd"/>
      <w:r w:rsidRPr="00BC50C9">
        <w:rPr>
          <w:rFonts w:ascii="Times New Roman" w:eastAsia="Calibri" w:hAnsi="Times New Roman" w:cs="Simplified Arabic"/>
          <w:sz w:val="24"/>
          <w:szCs w:val="28"/>
          <w:rtl/>
          <w:lang w:bidi="ar-EG"/>
        </w:rPr>
        <w:t xml:space="preserve">، </w:t>
      </w:r>
      <w:proofErr w:type="spellStart"/>
      <w:r w:rsidRPr="00BC50C9">
        <w:rPr>
          <w:rFonts w:ascii="Times New Roman" w:eastAsia="Calibri" w:hAnsi="Times New Roman" w:cs="Simplified Arabic"/>
          <w:sz w:val="24"/>
          <w:szCs w:val="28"/>
          <w:rtl/>
          <w:lang w:bidi="ar-EG"/>
        </w:rPr>
        <w:t>إيمون</w:t>
      </w:r>
      <w:proofErr w:type="spellEnd"/>
      <w:r w:rsidRPr="00BC50C9">
        <w:rPr>
          <w:rFonts w:ascii="Times New Roman" w:eastAsia="Calibri" w:hAnsi="Times New Roman" w:cs="Simplified Arabic"/>
          <w:sz w:val="24"/>
          <w:szCs w:val="28"/>
          <w:rtl/>
          <w:lang w:bidi="ar-EG"/>
        </w:rPr>
        <w:t xml:space="preserve">. (2021). </w:t>
      </w:r>
      <w:r w:rsidRPr="00BC50C9">
        <w:rPr>
          <w:rFonts w:ascii="Times New Roman" w:eastAsia="Calibri" w:hAnsi="Times New Roman" w:cs="Simplified Arabic"/>
          <w:i/>
          <w:iCs/>
          <w:sz w:val="24"/>
          <w:szCs w:val="28"/>
          <w:rtl/>
          <w:lang w:bidi="ar-EG"/>
        </w:rPr>
        <w:t>مدخل إلى ريادة الأعمال</w:t>
      </w:r>
      <w:r w:rsidRPr="00BC50C9">
        <w:rPr>
          <w:rFonts w:ascii="Times New Roman" w:eastAsia="Calibri" w:hAnsi="Times New Roman" w:cs="Simplified Arabic"/>
          <w:sz w:val="24"/>
          <w:szCs w:val="28"/>
          <w:rtl/>
          <w:lang w:bidi="ar-EG"/>
        </w:rPr>
        <w:t xml:space="preserve"> (محمد مطيع، مترجم). منشورات المركز العربي للأبحاث. (العمل الأصلي نشر في2021).</w:t>
      </w:r>
    </w:p>
    <w:p w14:paraId="1A212CA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rtl/>
          <w:lang w:bidi="ar-EG"/>
          <w14:ligatures w14:val="standardContextual"/>
        </w:rPr>
      </w:pPr>
      <w:proofErr w:type="spellStart"/>
      <w:r w:rsidRPr="00BC50C9">
        <w:rPr>
          <w:rFonts w:ascii="Times New Roman" w:eastAsia="Calibri" w:hAnsi="Times New Roman" w:cs="Simplified Arabic" w:hint="cs"/>
          <w:kern w:val="2"/>
          <w:sz w:val="24"/>
          <w:szCs w:val="28"/>
          <w:rtl/>
          <w:lang w:bidi="ar-EG"/>
          <w14:ligatures w14:val="standardContextual"/>
        </w:rPr>
        <w:t>بازرعة</w:t>
      </w:r>
      <w:proofErr w:type="spellEnd"/>
      <w:r w:rsidRPr="00BC50C9">
        <w:rPr>
          <w:rFonts w:ascii="Times New Roman" w:eastAsia="Calibri" w:hAnsi="Times New Roman" w:cs="Simplified Arabic" w:hint="cs"/>
          <w:kern w:val="2"/>
          <w:sz w:val="24"/>
          <w:szCs w:val="28"/>
          <w:rtl/>
          <w:lang w:bidi="ar-EG"/>
          <w14:ligatures w14:val="standardContextual"/>
        </w:rPr>
        <w:t xml:space="preserve">، محمود صادق. </w:t>
      </w:r>
      <w:r w:rsidRPr="00BC50C9">
        <w:rPr>
          <w:rFonts w:ascii="Times New Roman" w:eastAsia="Calibri" w:hAnsi="Times New Roman" w:cs="Simplified Arabic"/>
          <w:kern w:val="2"/>
          <w:sz w:val="24"/>
          <w:szCs w:val="28"/>
          <w:rtl/>
          <w:lang w:bidi="ar-EG"/>
          <w14:ligatures w14:val="standardContextual"/>
        </w:rPr>
        <w:t>(</w:t>
      </w:r>
      <w:r w:rsidRPr="00BC50C9">
        <w:rPr>
          <w:rFonts w:ascii="Times New Roman" w:eastAsia="Calibri" w:hAnsi="Times New Roman" w:cs="Simplified Arabic" w:hint="cs"/>
          <w:kern w:val="2"/>
          <w:sz w:val="24"/>
          <w:szCs w:val="28"/>
          <w:rtl/>
          <w:lang w:bidi="ar-EG"/>
          <w14:ligatures w14:val="standardContextual"/>
        </w:rPr>
        <w:t>2001). إدارة التسويق. مصر: المكتبة الأكاديمية.</w:t>
      </w:r>
    </w:p>
    <w:p w14:paraId="66EA7B1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hint="cs"/>
          <w:kern w:val="2"/>
          <w:sz w:val="24"/>
          <w:szCs w:val="28"/>
          <w:rtl/>
          <w:lang w:bidi="ar-EG"/>
          <w14:ligatures w14:val="standardContextual"/>
        </w:rPr>
        <w:lastRenderedPageBreak/>
        <w:t xml:space="preserve">باهي، مصطفي؛ الأزهري، </w:t>
      </w:r>
      <w:proofErr w:type="gramStart"/>
      <w:r w:rsidRPr="00BC50C9">
        <w:rPr>
          <w:rFonts w:ascii="Times New Roman" w:eastAsia="Calibri" w:hAnsi="Times New Roman" w:cs="Simplified Arabic" w:hint="cs"/>
          <w:kern w:val="2"/>
          <w:sz w:val="24"/>
          <w:szCs w:val="28"/>
          <w:rtl/>
          <w:lang w:bidi="ar-EG"/>
          <w14:ligatures w14:val="standardContextual"/>
        </w:rPr>
        <w:t>مني.(</w:t>
      </w:r>
      <w:proofErr w:type="gramEnd"/>
      <w:r w:rsidRPr="00BC50C9">
        <w:rPr>
          <w:rFonts w:ascii="Times New Roman" w:eastAsia="Calibri" w:hAnsi="Times New Roman" w:cs="Simplified Arabic" w:hint="cs"/>
          <w:kern w:val="2"/>
          <w:sz w:val="24"/>
          <w:szCs w:val="28"/>
          <w:rtl/>
          <w:lang w:bidi="ar-EG"/>
          <w14:ligatures w14:val="standardContextual"/>
        </w:rPr>
        <w:t>2010). معجم المصطلحات الإحصائية. القاهرة: مكتبة الأنجلو المصرية.</w:t>
      </w:r>
    </w:p>
    <w:p w14:paraId="4C81E0ED"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proofErr w:type="spellStart"/>
      <w:r w:rsidRPr="00BC50C9">
        <w:rPr>
          <w:rFonts w:ascii="Times New Roman" w:hAnsi="Times New Roman" w:cs="Simplified Arabic"/>
          <w:sz w:val="24"/>
          <w:szCs w:val="28"/>
          <w:rtl/>
        </w:rPr>
        <w:t>البراشدية</w:t>
      </w:r>
      <w:proofErr w:type="spellEnd"/>
      <w:r w:rsidRPr="00BC50C9">
        <w:rPr>
          <w:rFonts w:ascii="Times New Roman" w:hAnsi="Times New Roman" w:cs="Simplified Arabic"/>
          <w:sz w:val="24"/>
          <w:szCs w:val="28"/>
          <w:rtl/>
        </w:rPr>
        <w:t xml:space="preserve">، حفيظة سليمان. (2021). ريادة الأعمال الرقمية ظل جائحة كورونا (كوفيد (19) الفرص والتحديات. </w:t>
      </w:r>
      <w:r w:rsidRPr="00BC50C9">
        <w:rPr>
          <w:rFonts w:ascii="Times New Roman" w:hAnsi="Times New Roman" w:cs="Simplified Arabic"/>
          <w:i/>
          <w:iCs/>
          <w:sz w:val="24"/>
          <w:szCs w:val="28"/>
          <w:rtl/>
        </w:rPr>
        <w:t>مجلة المكتبات والمعلومات والتكنولوجيا. 4(1).</w:t>
      </w:r>
      <w:r w:rsidRPr="00BC50C9">
        <w:rPr>
          <w:rFonts w:ascii="Times New Roman" w:hAnsi="Times New Roman" w:cs="Simplified Arabic"/>
          <w:sz w:val="24"/>
          <w:szCs w:val="28"/>
          <w:rtl/>
        </w:rPr>
        <w:t xml:space="preserve"> 1-17.</w:t>
      </w:r>
    </w:p>
    <w:p w14:paraId="3C2BE5E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بلال، ريان. (2022). تقييم وقاع المهارات الريادية لصحاب المشاريع الصغيرة والمتوسطة: دراسة ميدانية في الساحل السوري. </w:t>
      </w:r>
      <w:r w:rsidRPr="00BC50C9">
        <w:rPr>
          <w:rFonts w:ascii="Times New Roman" w:eastAsia="Calibri" w:hAnsi="Times New Roman" w:cs="Simplified Arabic"/>
          <w:i/>
          <w:iCs/>
          <w:sz w:val="24"/>
          <w:szCs w:val="28"/>
          <w:rtl/>
          <w:lang w:bidi="ar-EG"/>
        </w:rPr>
        <w:t>مجلة جامعة تشرين للبحوث والدراسات العلمية- سلسلة العلوم الاقتصادية والقانونية</w:t>
      </w:r>
      <w:r w:rsidRPr="00BC50C9">
        <w:rPr>
          <w:rFonts w:ascii="Times New Roman" w:eastAsia="Calibri" w:hAnsi="Times New Roman" w:cs="Simplified Arabic"/>
          <w:b/>
          <w:bCs/>
          <w:i/>
          <w:iCs/>
          <w:sz w:val="24"/>
          <w:szCs w:val="28"/>
          <w:rtl/>
          <w:lang w:bidi="ar-EG"/>
        </w:rPr>
        <w:t xml:space="preserve">، </w:t>
      </w:r>
      <w:r w:rsidRPr="00BC50C9">
        <w:rPr>
          <w:rFonts w:ascii="Times New Roman" w:eastAsia="Calibri" w:hAnsi="Times New Roman" w:cs="Simplified Arabic"/>
          <w:i/>
          <w:iCs/>
          <w:sz w:val="24"/>
          <w:szCs w:val="28"/>
          <w:rtl/>
          <w:lang w:bidi="ar-EG"/>
        </w:rPr>
        <w:t>44</w:t>
      </w:r>
      <w:r w:rsidRPr="00BC50C9">
        <w:rPr>
          <w:rFonts w:ascii="Times New Roman" w:eastAsia="Calibri" w:hAnsi="Times New Roman" w:cs="Simplified Arabic"/>
          <w:sz w:val="24"/>
          <w:szCs w:val="28"/>
          <w:rtl/>
          <w:lang w:bidi="ar-EG"/>
        </w:rPr>
        <w:t>(4)، 157-179.</w:t>
      </w:r>
    </w:p>
    <w:p w14:paraId="7B1FC141"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Pr>
      </w:pPr>
      <w:proofErr w:type="spellStart"/>
      <w:r w:rsidRPr="00BC50C9">
        <w:rPr>
          <w:rFonts w:ascii="Times New Roman" w:hAnsi="Times New Roman" w:cs="Simplified Arabic"/>
          <w:sz w:val="24"/>
          <w:szCs w:val="28"/>
          <w:rtl/>
        </w:rPr>
        <w:t>بلعور</w:t>
      </w:r>
      <w:proofErr w:type="spellEnd"/>
      <w:r w:rsidRPr="00BC50C9">
        <w:rPr>
          <w:rFonts w:ascii="Times New Roman" w:hAnsi="Times New Roman" w:cs="Simplified Arabic"/>
          <w:sz w:val="24"/>
          <w:szCs w:val="28"/>
          <w:rtl/>
        </w:rPr>
        <w:t xml:space="preserve">، سليمان؛ بن حمدون، خديجة. (2024). منصات التمويل الجماعي الإسلامي كآلية لدعم ريادة الأعمال الاجتماعية – دراسة استعراضية لبعض المنصات النشطة في الوطن العربي. </w:t>
      </w:r>
      <w:r w:rsidRPr="00BC50C9">
        <w:rPr>
          <w:rFonts w:ascii="Times New Roman" w:hAnsi="Times New Roman" w:cs="Simplified Arabic"/>
          <w:i/>
          <w:iCs/>
          <w:sz w:val="24"/>
          <w:szCs w:val="28"/>
          <w:rtl/>
        </w:rPr>
        <w:t>مجلة معهد العلوم الاقتصادية، 27</w:t>
      </w:r>
      <w:r w:rsidRPr="00BC50C9">
        <w:rPr>
          <w:rFonts w:ascii="Times New Roman" w:hAnsi="Times New Roman" w:cs="Simplified Arabic"/>
          <w:sz w:val="24"/>
          <w:szCs w:val="28"/>
          <w:rtl/>
        </w:rPr>
        <w:t>(1)، 105- 125.</w:t>
      </w:r>
    </w:p>
    <w:p w14:paraId="0C45E1D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بلواضح</w:t>
      </w:r>
      <w:proofErr w:type="spellEnd"/>
      <w:r w:rsidRPr="00BC50C9">
        <w:rPr>
          <w:rFonts w:ascii="Times New Roman" w:eastAsia="Calibri" w:hAnsi="Times New Roman" w:cs="Simplified Arabic"/>
          <w:sz w:val="24"/>
          <w:szCs w:val="28"/>
          <w:rtl/>
          <w:lang w:bidi="ar-EG"/>
        </w:rPr>
        <w:t xml:space="preserve">، عبد العزيز. (2021). متطلبات تحقيق </w:t>
      </w:r>
      <w:proofErr w:type="spellStart"/>
      <w:r w:rsidRPr="00BC50C9">
        <w:rPr>
          <w:rFonts w:ascii="Times New Roman" w:eastAsia="Calibri" w:hAnsi="Times New Roman" w:cs="Simplified Arabic"/>
          <w:sz w:val="24"/>
          <w:szCs w:val="28"/>
          <w:rtl/>
          <w:lang w:bidi="ar-EG"/>
        </w:rPr>
        <w:t>إستدامة</w:t>
      </w:r>
      <w:proofErr w:type="spellEnd"/>
      <w:r w:rsidRPr="00BC50C9">
        <w:rPr>
          <w:rFonts w:ascii="Times New Roman" w:eastAsia="Calibri" w:hAnsi="Times New Roman" w:cs="Simplified Arabic"/>
          <w:sz w:val="24"/>
          <w:szCs w:val="28"/>
          <w:rtl/>
          <w:lang w:bidi="ar-EG"/>
        </w:rPr>
        <w:t xml:space="preserve"> المالية العامة للدولة في الجزائر. </w:t>
      </w:r>
      <w:r w:rsidRPr="00BC50C9">
        <w:rPr>
          <w:rFonts w:ascii="Times New Roman" w:eastAsia="Calibri" w:hAnsi="Times New Roman" w:cs="Simplified Arabic"/>
          <w:i/>
          <w:iCs/>
          <w:sz w:val="24"/>
          <w:szCs w:val="28"/>
          <w:rtl/>
          <w:lang w:bidi="ar-EG"/>
        </w:rPr>
        <w:t>مجلة دفاتر 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12</w:t>
      </w:r>
      <w:r w:rsidRPr="00BC50C9">
        <w:rPr>
          <w:rFonts w:ascii="Times New Roman" w:eastAsia="Calibri" w:hAnsi="Times New Roman" w:cs="Simplified Arabic"/>
          <w:sz w:val="24"/>
          <w:szCs w:val="28"/>
          <w:rtl/>
          <w:lang w:bidi="ar-EG"/>
        </w:rPr>
        <w:t>(2)، 395-412.</w:t>
      </w:r>
    </w:p>
    <w:p w14:paraId="60066990"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بوربيعة</w:t>
      </w:r>
      <w:proofErr w:type="spellEnd"/>
      <w:r w:rsidRPr="00BC50C9">
        <w:rPr>
          <w:rFonts w:ascii="Times New Roman" w:eastAsia="Calibri" w:hAnsi="Times New Roman" w:cs="Simplified Arabic"/>
          <w:sz w:val="24"/>
          <w:szCs w:val="28"/>
          <w:rtl/>
          <w:lang w:bidi="ar-EG"/>
        </w:rPr>
        <w:t xml:space="preserve">، غنية. (2022). نحو تحقيق الاستدامة المالية في الدول العربية: أثر تداعيات جائحة كورونا. </w:t>
      </w:r>
      <w:r w:rsidRPr="00BC50C9">
        <w:rPr>
          <w:rFonts w:ascii="Times New Roman" w:eastAsia="Calibri" w:hAnsi="Times New Roman" w:cs="Simplified Arabic"/>
          <w:i/>
          <w:iCs/>
          <w:sz w:val="24"/>
          <w:szCs w:val="28"/>
          <w:rtl/>
          <w:lang w:bidi="ar-EG"/>
        </w:rPr>
        <w:t>مجلة الاقتصاد والبيئة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5</w:t>
      </w:r>
      <w:r w:rsidRPr="00BC50C9">
        <w:rPr>
          <w:rFonts w:ascii="Times New Roman" w:eastAsia="Calibri" w:hAnsi="Times New Roman" w:cs="Simplified Arabic"/>
          <w:sz w:val="24"/>
          <w:szCs w:val="28"/>
          <w:rtl/>
          <w:lang w:bidi="ar-EG"/>
        </w:rPr>
        <w:t>(2)، 208-227.</w:t>
      </w:r>
    </w:p>
    <w:p w14:paraId="710CA6A1"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بومامش</w:t>
      </w:r>
      <w:proofErr w:type="spellEnd"/>
      <w:r w:rsidRPr="00BC50C9">
        <w:rPr>
          <w:rFonts w:ascii="Times New Roman" w:eastAsia="Calibri" w:hAnsi="Times New Roman" w:cs="Simplified Arabic"/>
          <w:sz w:val="24"/>
          <w:szCs w:val="28"/>
          <w:rtl/>
          <w:lang w:bidi="ar-EG"/>
        </w:rPr>
        <w:t xml:space="preserve">، أسامة؛ </w:t>
      </w:r>
      <w:proofErr w:type="spellStart"/>
      <w:r w:rsidRPr="00BC50C9">
        <w:rPr>
          <w:rFonts w:ascii="Times New Roman" w:eastAsia="Calibri" w:hAnsi="Times New Roman" w:cs="Simplified Arabic"/>
          <w:sz w:val="24"/>
          <w:szCs w:val="28"/>
          <w:rtl/>
          <w:lang w:bidi="ar-EG"/>
        </w:rPr>
        <w:t>بوكفوس</w:t>
      </w:r>
      <w:proofErr w:type="spellEnd"/>
      <w:r w:rsidRPr="00BC50C9">
        <w:rPr>
          <w:rFonts w:ascii="Times New Roman" w:eastAsia="Calibri" w:hAnsi="Times New Roman" w:cs="Simplified Arabic"/>
          <w:sz w:val="24"/>
          <w:szCs w:val="28"/>
          <w:rtl/>
          <w:lang w:bidi="ar-EG"/>
        </w:rPr>
        <w:t xml:space="preserve">، عبد الباسط. (2023). دور التمويل الرقمي في تعزيز التنمية الاقتصادية دراسة تجارب دولية. </w:t>
      </w:r>
      <w:r w:rsidRPr="00BC50C9">
        <w:rPr>
          <w:rFonts w:ascii="Times New Roman" w:eastAsia="Calibri" w:hAnsi="Times New Roman" w:cs="Simplified Arabic"/>
          <w:sz w:val="24"/>
          <w:szCs w:val="28"/>
          <w:rtl/>
        </w:rPr>
        <w:t xml:space="preserve">(رسالة ماجستير غير منشورة). معهد العلوم الاقتصادية والتجارية وعلوم التسيير، الجزائر. </w:t>
      </w:r>
    </w:p>
    <w:p w14:paraId="0D616F38"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proofErr w:type="spellStart"/>
      <w:r w:rsidRPr="00BC50C9">
        <w:rPr>
          <w:rFonts w:ascii="Times New Roman" w:hAnsi="Times New Roman" w:cs="Simplified Arabic"/>
          <w:sz w:val="24"/>
          <w:szCs w:val="28"/>
          <w:rtl/>
          <w:lang w:bidi="ar-EG"/>
        </w:rPr>
        <w:t>بيكيرز</w:t>
      </w:r>
      <w:proofErr w:type="spellEnd"/>
      <w:r w:rsidRPr="00BC50C9">
        <w:rPr>
          <w:rFonts w:ascii="Times New Roman" w:hAnsi="Times New Roman" w:cs="Simplified Arabic"/>
          <w:sz w:val="24"/>
          <w:szCs w:val="28"/>
          <w:rtl/>
          <w:lang w:bidi="ar-EG"/>
        </w:rPr>
        <w:t>، فيكتور. (2019). الابتكار في القطاع العام الربط بين القدرة والقيادة. (ترجمة: بندر بن قاسم الهجن)، المملكة العربية السعودية: مركز البحوث والدراسات</w:t>
      </w:r>
      <w:r w:rsidRPr="00BC50C9">
        <w:rPr>
          <w:rFonts w:ascii="Times New Roman" w:hAnsi="Times New Roman" w:cs="Simplified Arabic"/>
          <w:sz w:val="24"/>
          <w:szCs w:val="28"/>
          <w:lang w:bidi="ar-EG"/>
        </w:rPr>
        <w:t>.</w:t>
      </w:r>
    </w:p>
    <w:p w14:paraId="550EC7D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التبيني</w:t>
      </w:r>
      <w:proofErr w:type="spellEnd"/>
      <w:r w:rsidRPr="00BC50C9">
        <w:rPr>
          <w:rFonts w:ascii="Times New Roman" w:eastAsia="Calibri" w:hAnsi="Times New Roman" w:cs="Simplified Arabic"/>
          <w:sz w:val="24"/>
          <w:szCs w:val="28"/>
          <w:rtl/>
          <w:lang w:bidi="ar-EG"/>
        </w:rPr>
        <w:t xml:space="preserve">، قيس خالد ضيف </w:t>
      </w:r>
      <w:proofErr w:type="spellStart"/>
      <w:r w:rsidRPr="00BC50C9">
        <w:rPr>
          <w:rFonts w:ascii="Times New Roman" w:eastAsia="Calibri" w:hAnsi="Times New Roman" w:cs="Simplified Arabic"/>
          <w:sz w:val="24"/>
          <w:szCs w:val="28"/>
          <w:rtl/>
          <w:lang w:bidi="ar-EG"/>
        </w:rPr>
        <w:t>ااالله</w:t>
      </w:r>
      <w:proofErr w:type="spellEnd"/>
      <w:r w:rsidRPr="00BC50C9">
        <w:rPr>
          <w:rFonts w:ascii="Times New Roman" w:eastAsia="Calibri" w:hAnsi="Times New Roman" w:cs="Simplified Arabic"/>
          <w:sz w:val="24"/>
          <w:szCs w:val="28"/>
          <w:rtl/>
          <w:lang w:bidi="ar-EG"/>
        </w:rPr>
        <w:t xml:space="preserve">؛ العون، سالم سفاح حنيان. (2020). </w:t>
      </w:r>
      <w:r w:rsidRPr="00BC50C9">
        <w:rPr>
          <w:rFonts w:ascii="Times New Roman" w:eastAsia="Calibri" w:hAnsi="Times New Roman" w:cs="Simplified Arabic"/>
          <w:i/>
          <w:iCs/>
          <w:sz w:val="24"/>
          <w:szCs w:val="28"/>
          <w:rtl/>
          <w:lang w:bidi="ar-EG"/>
        </w:rPr>
        <w:t>أثر حاضنات الأعمال في تطوير المشاريع الريادية في الأردن</w:t>
      </w:r>
      <w:r w:rsidRPr="00BC50C9">
        <w:rPr>
          <w:rFonts w:ascii="Times New Roman" w:eastAsia="Calibri" w:hAnsi="Times New Roman" w:cs="Simplified Arabic"/>
          <w:sz w:val="24"/>
          <w:szCs w:val="28"/>
          <w:rtl/>
          <w:lang w:bidi="ar-EG"/>
        </w:rPr>
        <w:t>. (رسالة ماجستير غير منشورة)، جامعة آل البيت، الأردن.</w:t>
      </w:r>
    </w:p>
    <w:p w14:paraId="3314B269"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تريكي، بن يحيي. (2023). </w:t>
      </w:r>
      <w:r w:rsidRPr="00BC50C9">
        <w:rPr>
          <w:rFonts w:ascii="Times New Roman" w:eastAsia="Calibri" w:hAnsi="Times New Roman" w:cs="Simplified Arabic"/>
          <w:i/>
          <w:iCs/>
          <w:sz w:val="24"/>
          <w:szCs w:val="28"/>
          <w:rtl/>
          <w:lang w:bidi="ar-EG"/>
        </w:rPr>
        <w:t xml:space="preserve">دور المنصات الرقمية في المكتبات الرئيسية للمطالعة العمومية: دراسة تقييميه لمنصة </w:t>
      </w:r>
      <w:proofErr w:type="spellStart"/>
      <w:r w:rsidRPr="00BC50C9">
        <w:rPr>
          <w:rFonts w:ascii="Times New Roman" w:eastAsia="Calibri" w:hAnsi="Times New Roman" w:cs="Simplified Arabic"/>
          <w:i/>
          <w:iCs/>
          <w:sz w:val="24"/>
          <w:szCs w:val="28"/>
          <w:lang w:bidi="ar-EG"/>
        </w:rPr>
        <w:t>scholarvox</w:t>
      </w:r>
      <w:proofErr w:type="spellEnd"/>
      <w:r w:rsidRPr="00BC50C9">
        <w:rPr>
          <w:rFonts w:ascii="Times New Roman" w:eastAsia="Calibri" w:hAnsi="Times New Roman" w:cs="Simplified Arabic"/>
          <w:i/>
          <w:iCs/>
          <w:sz w:val="24"/>
          <w:szCs w:val="28"/>
          <w:lang w:bidi="ar-EG"/>
        </w:rPr>
        <w:t xml:space="preserve"> international</w:t>
      </w:r>
      <w:r w:rsidRPr="00BC50C9">
        <w:rPr>
          <w:rFonts w:ascii="Times New Roman" w:eastAsia="Calibri" w:hAnsi="Times New Roman" w:cs="Simplified Arabic"/>
          <w:i/>
          <w:iCs/>
          <w:sz w:val="24"/>
          <w:szCs w:val="28"/>
          <w:rtl/>
          <w:lang w:bidi="ar-EG"/>
        </w:rPr>
        <w:t xml:space="preserve">" بالمكتبة الرئيسية للمطالعة العمومية البشير الابراهيمي </w:t>
      </w:r>
      <w:proofErr w:type="spellStart"/>
      <w:r w:rsidRPr="00BC50C9">
        <w:rPr>
          <w:rFonts w:ascii="Times New Roman" w:eastAsia="Calibri" w:hAnsi="Times New Roman" w:cs="Simplified Arabic"/>
          <w:i/>
          <w:iCs/>
          <w:sz w:val="24"/>
          <w:szCs w:val="28"/>
          <w:rtl/>
          <w:lang w:bidi="ar-EG"/>
        </w:rPr>
        <w:t>بالاغواط</w:t>
      </w:r>
      <w:proofErr w:type="spellEnd"/>
      <w:r w:rsidRPr="00BC50C9">
        <w:rPr>
          <w:rFonts w:ascii="Times New Roman" w:eastAsia="Calibri" w:hAnsi="Times New Roman" w:cs="Simplified Arabic"/>
          <w:i/>
          <w:iCs/>
          <w:sz w:val="24"/>
          <w:szCs w:val="28"/>
          <w:rtl/>
          <w:lang w:bidi="ar-EG"/>
        </w:rPr>
        <w:t>.</w:t>
      </w:r>
      <w:r w:rsidRPr="00BC50C9">
        <w:rPr>
          <w:rFonts w:ascii="Times New Roman" w:eastAsia="Calibri" w:hAnsi="Times New Roman" w:cs="Simplified Arabic"/>
          <w:sz w:val="24"/>
          <w:szCs w:val="28"/>
          <w:rtl/>
          <w:lang w:bidi="ar-EG"/>
        </w:rPr>
        <w:t xml:space="preserve"> (رسالة ماجستير غير منشورة). جامعة ابن خلدون-تيارت. الجزائر. </w:t>
      </w:r>
    </w:p>
    <w:p w14:paraId="3C0D27EF"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 xml:space="preserve">توكل، فادي. (2023). التمويل التشاركي </w:t>
      </w:r>
      <w:r w:rsidRPr="00BC50C9">
        <w:rPr>
          <w:rFonts w:ascii="Times New Roman" w:hAnsi="Times New Roman" w:cs="Simplified Arabic"/>
          <w:sz w:val="24"/>
          <w:szCs w:val="28"/>
          <w:lang w:bidi="ar-EG"/>
        </w:rPr>
        <w:t>Crowdfunding</w:t>
      </w:r>
      <w:r w:rsidRPr="00BC50C9">
        <w:rPr>
          <w:rFonts w:ascii="Times New Roman" w:hAnsi="Times New Roman" w:cs="Simplified Arabic"/>
          <w:sz w:val="24"/>
          <w:szCs w:val="28"/>
          <w:rtl/>
          <w:lang w:bidi="ar-EG"/>
        </w:rPr>
        <w:t xml:space="preserve"> باستخدام البلوك تشين (</w:t>
      </w:r>
      <w:r w:rsidRPr="00BC50C9">
        <w:rPr>
          <w:rFonts w:ascii="Times New Roman" w:hAnsi="Times New Roman" w:cs="Simplified Arabic"/>
          <w:sz w:val="24"/>
          <w:szCs w:val="28"/>
          <w:lang w:bidi="ar-EG"/>
        </w:rPr>
        <w:t>Blockchain</w:t>
      </w:r>
      <w:r w:rsidRPr="00BC50C9">
        <w:rPr>
          <w:rFonts w:ascii="Times New Roman" w:hAnsi="Times New Roman" w:cs="Simplified Arabic"/>
          <w:sz w:val="24"/>
          <w:szCs w:val="28"/>
          <w:rtl/>
          <w:lang w:bidi="ar-EG"/>
        </w:rPr>
        <w:t>) وفقًا للنظام القانوني الإماراتي.</w:t>
      </w:r>
      <w:r w:rsidRPr="00BC50C9">
        <w:rPr>
          <w:rFonts w:ascii="Times New Roman" w:hAnsi="Times New Roman" w:cs="Simplified Arabic"/>
          <w:i/>
          <w:iCs/>
          <w:sz w:val="24"/>
          <w:szCs w:val="28"/>
          <w:rtl/>
          <w:lang w:bidi="ar-EG"/>
        </w:rPr>
        <w:t xml:space="preserve"> المجلة الدولية للفقه والقضاء والتشريع، 4</w:t>
      </w:r>
      <w:r w:rsidRPr="00BC50C9">
        <w:rPr>
          <w:rFonts w:ascii="Times New Roman" w:hAnsi="Times New Roman" w:cs="Simplified Arabic"/>
          <w:sz w:val="24"/>
          <w:szCs w:val="28"/>
          <w:rtl/>
          <w:lang w:bidi="ar-EG"/>
        </w:rPr>
        <w:t>(1)، 96- 143.</w:t>
      </w:r>
    </w:p>
    <w:p w14:paraId="27320ED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i/>
          <w:iCs/>
          <w:sz w:val="24"/>
          <w:szCs w:val="28"/>
          <w:rtl/>
          <w:lang w:bidi="ar-EG"/>
        </w:rPr>
      </w:pPr>
      <w:r w:rsidRPr="00BC50C9">
        <w:rPr>
          <w:rFonts w:ascii="Times New Roman" w:eastAsia="Calibri" w:hAnsi="Times New Roman" w:cs="Simplified Arabic"/>
          <w:sz w:val="24"/>
          <w:szCs w:val="28"/>
          <w:rtl/>
          <w:lang w:bidi="ar-EG"/>
        </w:rPr>
        <w:t xml:space="preserve">ثابت، طارق عادل. (2016). </w:t>
      </w:r>
      <w:r w:rsidRPr="00BC50C9">
        <w:rPr>
          <w:rFonts w:ascii="Times New Roman" w:eastAsia="Calibri" w:hAnsi="Times New Roman" w:cs="Simplified Arabic"/>
          <w:i/>
          <w:iCs/>
          <w:sz w:val="24"/>
          <w:szCs w:val="28"/>
          <w:rtl/>
          <w:lang w:bidi="ar-EG"/>
        </w:rPr>
        <w:t>العوامل المؤثرة في نجاح اختيرا المشاريع الريادية ضمن برنامج "مبادرون"</w:t>
      </w:r>
      <w:r w:rsidRPr="00BC50C9">
        <w:rPr>
          <w:rFonts w:ascii="Times New Roman" w:eastAsia="Calibri" w:hAnsi="Times New Roman" w:cs="Simplified Arabic"/>
          <w:sz w:val="24"/>
          <w:szCs w:val="28"/>
          <w:rtl/>
          <w:lang w:bidi="ar-EG"/>
        </w:rPr>
        <w:t>. (رسالة ماجستير غير منشورة)، الجامعة الإسلامية-غزة، فلسطين.</w:t>
      </w:r>
    </w:p>
    <w:p w14:paraId="466FCA6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الجابري، إلهام بدر بن عوض. (2023). أهم مرتكزات الاستدامة المالية في الهدى النبوي: العهد المدني نموذجا. </w:t>
      </w:r>
      <w:r w:rsidRPr="00BC50C9">
        <w:rPr>
          <w:rFonts w:ascii="Times New Roman" w:eastAsia="Calibri" w:hAnsi="Times New Roman" w:cs="Simplified Arabic"/>
          <w:i/>
          <w:iCs/>
          <w:sz w:val="24"/>
          <w:szCs w:val="28"/>
          <w:rtl/>
          <w:lang w:bidi="ar-EG"/>
        </w:rPr>
        <w:t>أبحاث</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10</w:t>
      </w:r>
      <w:r w:rsidRPr="00BC50C9">
        <w:rPr>
          <w:rFonts w:ascii="Times New Roman" w:eastAsia="Calibri" w:hAnsi="Times New Roman" w:cs="Simplified Arabic"/>
          <w:sz w:val="24"/>
          <w:szCs w:val="28"/>
          <w:rtl/>
          <w:lang w:bidi="ar-EG"/>
        </w:rPr>
        <w:t>(4)، 367-400.</w:t>
      </w:r>
    </w:p>
    <w:p w14:paraId="49B5E1FC"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الجاسم، صلاح الدين. (2021). التمويل الجماعي في المنظمات غير الحكومية: دراسة ميدانية على المنظمات في شمال سوريا. </w:t>
      </w:r>
      <w:r w:rsidRPr="00BC50C9">
        <w:rPr>
          <w:rFonts w:ascii="Times New Roman" w:hAnsi="Times New Roman" w:cs="Simplified Arabic"/>
          <w:i/>
          <w:iCs/>
          <w:sz w:val="24"/>
          <w:szCs w:val="28"/>
          <w:rtl/>
        </w:rPr>
        <w:t>المجلة الدولية للبحوث الاقتصادية والإدارية، 4</w:t>
      </w:r>
      <w:r w:rsidRPr="00BC50C9">
        <w:rPr>
          <w:rFonts w:ascii="Times New Roman" w:hAnsi="Times New Roman" w:cs="Simplified Arabic"/>
          <w:sz w:val="24"/>
          <w:szCs w:val="28"/>
          <w:rtl/>
        </w:rPr>
        <w:t xml:space="preserve">(2)، 187-204. </w:t>
      </w:r>
    </w:p>
    <w:p w14:paraId="0602164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جمعية قضاء. (2025). </w:t>
      </w:r>
      <w:r w:rsidRPr="00BC50C9">
        <w:rPr>
          <w:rFonts w:ascii="Times New Roman" w:eastAsia="Calibri" w:hAnsi="Times New Roman" w:cs="Simplified Arabic"/>
          <w:i/>
          <w:iCs/>
          <w:sz w:val="24"/>
          <w:szCs w:val="28"/>
          <w:rtl/>
          <w:lang w:bidi="ar-EG"/>
        </w:rPr>
        <w:t>التمويل الجماعي-دراسة فقهية تطبيقية</w:t>
      </w:r>
      <w:r w:rsidRPr="00BC50C9">
        <w:rPr>
          <w:rFonts w:ascii="Times New Roman" w:eastAsia="Calibri" w:hAnsi="Times New Roman" w:cs="Simplified Arabic"/>
          <w:sz w:val="24"/>
          <w:szCs w:val="28"/>
          <w:rtl/>
          <w:lang w:bidi="ar-EG"/>
        </w:rPr>
        <w:t xml:space="preserve">. السعودية. </w:t>
      </w:r>
    </w:p>
    <w:p w14:paraId="191D5CC4"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i/>
          <w:iCs/>
          <w:sz w:val="24"/>
          <w:szCs w:val="28"/>
          <w:rtl/>
          <w:lang w:bidi="ar-EG"/>
        </w:rPr>
      </w:pPr>
      <w:r w:rsidRPr="00BC50C9">
        <w:rPr>
          <w:rFonts w:ascii="Times New Roman" w:eastAsia="Calibri" w:hAnsi="Times New Roman" w:cs="Simplified Arabic"/>
          <w:sz w:val="24"/>
          <w:szCs w:val="28"/>
          <w:rtl/>
          <w:lang w:bidi="ar-EG"/>
        </w:rPr>
        <w:t xml:space="preserve">جنيدي، قرني جنيدي قرني. (نوفمبر، 2022). التمويل الجماعي في ضوء أحكام القانون الدولي الخاص. </w:t>
      </w:r>
      <w:r w:rsidRPr="00BC50C9">
        <w:rPr>
          <w:rFonts w:ascii="Times New Roman" w:eastAsia="Calibri" w:hAnsi="Times New Roman" w:cs="Simplified Arabic"/>
          <w:i/>
          <w:iCs/>
          <w:sz w:val="24"/>
          <w:szCs w:val="28"/>
          <w:rtl/>
          <w:lang w:bidi="ar-EG"/>
        </w:rPr>
        <w:t xml:space="preserve">مجلة القانون والاقتصاد. (عدد خاص). </w:t>
      </w:r>
      <w:r w:rsidRPr="00BC50C9">
        <w:rPr>
          <w:rFonts w:ascii="Times New Roman" w:eastAsia="Calibri" w:hAnsi="Times New Roman" w:cs="Simplified Arabic"/>
          <w:sz w:val="24"/>
          <w:szCs w:val="28"/>
          <w:rtl/>
          <w:lang w:bidi="ar-EG"/>
        </w:rPr>
        <w:t xml:space="preserve">247-306. </w:t>
      </w:r>
    </w:p>
    <w:p w14:paraId="167C7CC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i/>
          <w:iCs/>
          <w:sz w:val="24"/>
          <w:szCs w:val="28"/>
          <w:rtl/>
          <w:lang w:bidi="ar-EG"/>
        </w:rPr>
      </w:pPr>
      <w:r w:rsidRPr="00BC50C9">
        <w:rPr>
          <w:rFonts w:ascii="Times New Roman" w:eastAsia="Calibri" w:hAnsi="Times New Roman" w:cs="Simplified Arabic"/>
          <w:sz w:val="24"/>
          <w:szCs w:val="28"/>
          <w:rtl/>
          <w:lang w:bidi="ar-EG"/>
        </w:rPr>
        <w:t xml:space="preserve">جودي، أمينة؛ بن غزال، ابتسام. (2020). دور التعليم الريادي في تنمية مهارات رائد الأعمال في ظل اقتصاد المعرفة: دراسة استطلاعية لآراء عينة من أعضاء هيئة التدريس بجامعة بسكرة- الجزائر. </w:t>
      </w:r>
      <w:r w:rsidRPr="00BC50C9">
        <w:rPr>
          <w:rFonts w:ascii="Times New Roman" w:eastAsia="Calibri" w:hAnsi="Times New Roman" w:cs="Simplified Arabic"/>
          <w:i/>
          <w:iCs/>
          <w:sz w:val="24"/>
          <w:szCs w:val="28"/>
          <w:rtl/>
          <w:lang w:bidi="ar-EG"/>
        </w:rPr>
        <w:t>مجلة البحوث الإدارية والاقتصادية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4</w:t>
      </w:r>
      <w:r w:rsidRPr="00BC50C9">
        <w:rPr>
          <w:rFonts w:ascii="Times New Roman" w:eastAsia="Calibri" w:hAnsi="Times New Roman" w:cs="Simplified Arabic"/>
          <w:sz w:val="24"/>
          <w:szCs w:val="28"/>
          <w:rtl/>
          <w:lang w:bidi="ar-EG"/>
        </w:rPr>
        <w:t>(7)، 13-24.</w:t>
      </w:r>
    </w:p>
    <w:p w14:paraId="40CCCE1E"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الحاوري</w:t>
      </w:r>
      <w:proofErr w:type="spellEnd"/>
      <w:r w:rsidRPr="00BC50C9">
        <w:rPr>
          <w:rFonts w:ascii="Times New Roman" w:eastAsia="Calibri" w:hAnsi="Times New Roman" w:cs="Simplified Arabic"/>
          <w:sz w:val="24"/>
          <w:szCs w:val="28"/>
          <w:rtl/>
          <w:lang w:bidi="ar-EG"/>
        </w:rPr>
        <w:t xml:space="preserve">، محمد أحمد علي. (2015). تحليل استدامة المالية العامة في اليمن في ظل تراجع إنتاج النفط. </w:t>
      </w:r>
      <w:r w:rsidRPr="00BC50C9">
        <w:rPr>
          <w:rFonts w:ascii="Times New Roman" w:eastAsia="Calibri" w:hAnsi="Times New Roman" w:cs="Simplified Arabic"/>
          <w:i/>
          <w:iCs/>
          <w:sz w:val="24"/>
          <w:szCs w:val="28"/>
          <w:rtl/>
          <w:lang w:bidi="ar-EG"/>
        </w:rPr>
        <w:t>مجلة الدراسات الاجتماعية</w:t>
      </w:r>
      <w:r w:rsidRPr="00BC50C9">
        <w:rPr>
          <w:rFonts w:ascii="Times New Roman" w:eastAsia="Calibri" w:hAnsi="Times New Roman" w:cs="Simplified Arabic"/>
          <w:sz w:val="24"/>
          <w:szCs w:val="28"/>
          <w:rtl/>
          <w:lang w:bidi="ar-EG"/>
        </w:rPr>
        <w:t>، (44)، 273-343.</w:t>
      </w:r>
    </w:p>
    <w:p w14:paraId="0C0C223A"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حسانين،</w:t>
      </w:r>
      <w:r w:rsidRPr="00BC50C9">
        <w:rPr>
          <w:rFonts w:ascii="Times New Roman" w:hAnsi="Times New Roman" w:cs="Simplified Arabic"/>
          <w:sz w:val="24"/>
          <w:szCs w:val="28"/>
          <w:rtl/>
        </w:rPr>
        <w:t xml:space="preserve"> </w:t>
      </w:r>
      <w:r w:rsidRPr="00BC50C9">
        <w:rPr>
          <w:rFonts w:ascii="Times New Roman" w:hAnsi="Times New Roman" w:cs="Simplified Arabic"/>
          <w:sz w:val="24"/>
          <w:szCs w:val="28"/>
          <w:rtl/>
          <w:lang w:bidi="ar-EG"/>
        </w:rPr>
        <w:t>حازم حسانين محمد. (2023).</w:t>
      </w:r>
      <w:r w:rsidRPr="00BC50C9">
        <w:rPr>
          <w:rFonts w:ascii="Times New Roman" w:hAnsi="Times New Roman" w:cs="Simplified Arabic"/>
          <w:sz w:val="24"/>
          <w:szCs w:val="28"/>
          <w:rtl/>
        </w:rPr>
        <w:t xml:space="preserve"> </w:t>
      </w:r>
      <w:r w:rsidRPr="00BC50C9">
        <w:rPr>
          <w:rFonts w:ascii="Times New Roman" w:hAnsi="Times New Roman" w:cs="Simplified Arabic"/>
          <w:sz w:val="24"/>
          <w:szCs w:val="28"/>
          <w:rtl/>
          <w:lang w:bidi="ar-EG"/>
        </w:rPr>
        <w:t>تصور مقترح لاستخدام منصات التمويل الجماعي لأدوات المالية الإسلامية: دراسة وصفية تحليلية للاقتصاد السعودي.</w:t>
      </w:r>
      <w:r w:rsidRPr="00BC50C9">
        <w:rPr>
          <w:rFonts w:ascii="Times New Roman" w:hAnsi="Times New Roman" w:cs="Simplified Arabic"/>
          <w:i/>
          <w:iCs/>
          <w:sz w:val="24"/>
          <w:szCs w:val="28"/>
          <w:rtl/>
          <w:lang w:bidi="ar-EG"/>
        </w:rPr>
        <w:t xml:space="preserve"> مجلة المسلم المعاصر، 45</w:t>
      </w:r>
      <w:r w:rsidRPr="00BC50C9">
        <w:rPr>
          <w:rFonts w:ascii="Times New Roman" w:hAnsi="Times New Roman" w:cs="Simplified Arabic"/>
          <w:sz w:val="24"/>
          <w:szCs w:val="28"/>
          <w:rtl/>
          <w:lang w:bidi="ar-EG"/>
        </w:rPr>
        <w:t>(177)، 219-250.</w:t>
      </w:r>
    </w:p>
    <w:p w14:paraId="51EC7B6E"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lang w:bidi="ar-EG"/>
        </w:rPr>
      </w:pPr>
      <w:r w:rsidRPr="00BC50C9">
        <w:rPr>
          <w:rFonts w:ascii="Times New Roman" w:hAnsi="Times New Roman" w:cs="Simplified Arabic"/>
          <w:sz w:val="24"/>
          <w:szCs w:val="28"/>
          <w:rtl/>
          <w:lang w:bidi="ar-EG"/>
        </w:rPr>
        <w:t xml:space="preserve">حسنين، صلاح حامد </w:t>
      </w:r>
      <w:proofErr w:type="gramStart"/>
      <w:r w:rsidRPr="00BC50C9">
        <w:rPr>
          <w:rFonts w:ascii="Times New Roman" w:hAnsi="Times New Roman" w:cs="Simplified Arabic"/>
          <w:sz w:val="24"/>
          <w:szCs w:val="28"/>
          <w:rtl/>
          <w:lang w:bidi="ar-EG"/>
        </w:rPr>
        <w:t>محمد .</w:t>
      </w:r>
      <w:proofErr w:type="gramEnd"/>
      <w:r w:rsidRPr="00BC50C9">
        <w:rPr>
          <w:rFonts w:ascii="Times New Roman" w:hAnsi="Times New Roman" w:cs="Simplified Arabic"/>
          <w:sz w:val="24"/>
          <w:szCs w:val="28"/>
          <w:rtl/>
          <w:lang w:bidi="ar-EG"/>
        </w:rPr>
        <w:t>(2023). الشمول المالي ودوره في تعزيز النمو والاستقرار الاقتصادي: دراسة تحليلية. مجلة العلوم القانونية والاقتصادية، 65(2)، 261-361.</w:t>
      </w:r>
    </w:p>
    <w:p w14:paraId="78480360"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الحسون، إبراهيم محمد. (2021). المنشآت الصغيرة والمتوسطة في المملكة العربية السعودية: التحديات والمعالجات.</w:t>
      </w:r>
      <w:r w:rsidRPr="00BC50C9">
        <w:rPr>
          <w:rFonts w:ascii="Times New Roman" w:hAnsi="Times New Roman" w:cs="Simplified Arabic"/>
          <w:i/>
          <w:iCs/>
          <w:sz w:val="24"/>
          <w:szCs w:val="28"/>
          <w:rtl/>
          <w:lang w:bidi="ar-EG"/>
        </w:rPr>
        <w:t xml:space="preserve"> مجلة العلوم الإدارية والاقتصادية، 14</w:t>
      </w:r>
      <w:r w:rsidRPr="00BC50C9">
        <w:rPr>
          <w:rFonts w:ascii="Times New Roman" w:hAnsi="Times New Roman" w:cs="Simplified Arabic"/>
          <w:sz w:val="24"/>
          <w:szCs w:val="28"/>
          <w:rtl/>
          <w:lang w:bidi="ar-EG"/>
        </w:rPr>
        <w:t>(2)، 112- 135.</w:t>
      </w:r>
    </w:p>
    <w:p w14:paraId="58A4CEF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خن، فتحي. (2016). البعد الإسلامي لحوكمة إدارة المال العام بما يضمن الاستدامة المالية ويحقق المصلحة العامة للأجيال المتعاقبة. </w:t>
      </w:r>
      <w:r w:rsidRPr="00BC50C9">
        <w:rPr>
          <w:rFonts w:ascii="Times New Roman" w:eastAsia="Calibri" w:hAnsi="Times New Roman" w:cs="Simplified Arabic"/>
          <w:i/>
          <w:iCs/>
          <w:sz w:val="24"/>
          <w:szCs w:val="28"/>
          <w:rtl/>
          <w:lang w:bidi="ar-EG"/>
        </w:rPr>
        <w:t>مجلة الاقتصاد الإسلامي العالمية</w:t>
      </w:r>
      <w:r w:rsidRPr="00BC50C9">
        <w:rPr>
          <w:rFonts w:ascii="Times New Roman" w:eastAsia="Calibri" w:hAnsi="Times New Roman" w:cs="Simplified Arabic"/>
          <w:sz w:val="24"/>
          <w:szCs w:val="28"/>
          <w:rtl/>
          <w:lang w:bidi="ar-EG"/>
        </w:rPr>
        <w:t>، (51)، 73-82.</w:t>
      </w:r>
    </w:p>
    <w:p w14:paraId="45A567B2"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Pr>
      </w:pPr>
      <w:r w:rsidRPr="00BC50C9">
        <w:rPr>
          <w:rFonts w:ascii="Times New Roman" w:hAnsi="Times New Roman" w:cs="Simplified Arabic"/>
          <w:sz w:val="24"/>
          <w:szCs w:val="28"/>
          <w:rtl/>
        </w:rPr>
        <w:t xml:space="preserve">خولة، مأمون؛ </w:t>
      </w:r>
      <w:proofErr w:type="spellStart"/>
      <w:r w:rsidRPr="00BC50C9">
        <w:rPr>
          <w:rFonts w:ascii="Times New Roman" w:hAnsi="Times New Roman" w:cs="Simplified Arabic"/>
          <w:sz w:val="24"/>
          <w:szCs w:val="28"/>
          <w:rtl/>
        </w:rPr>
        <w:t>باية</w:t>
      </w:r>
      <w:proofErr w:type="spellEnd"/>
      <w:r w:rsidRPr="00BC50C9">
        <w:rPr>
          <w:rFonts w:ascii="Times New Roman" w:hAnsi="Times New Roman" w:cs="Simplified Arabic"/>
          <w:sz w:val="24"/>
          <w:szCs w:val="28"/>
          <w:rtl/>
        </w:rPr>
        <w:t xml:space="preserve">، عبيدي؛ </w:t>
      </w:r>
      <w:proofErr w:type="spellStart"/>
      <w:r w:rsidRPr="00BC50C9">
        <w:rPr>
          <w:rFonts w:ascii="Times New Roman" w:hAnsi="Times New Roman" w:cs="Simplified Arabic"/>
          <w:sz w:val="24"/>
          <w:szCs w:val="28"/>
          <w:rtl/>
        </w:rPr>
        <w:t>شادلية</w:t>
      </w:r>
      <w:proofErr w:type="spellEnd"/>
      <w:r w:rsidRPr="00BC50C9">
        <w:rPr>
          <w:rFonts w:ascii="Times New Roman" w:hAnsi="Times New Roman" w:cs="Simplified Arabic"/>
          <w:sz w:val="24"/>
          <w:szCs w:val="28"/>
          <w:rtl/>
        </w:rPr>
        <w:t xml:space="preserve">، </w:t>
      </w:r>
      <w:proofErr w:type="spellStart"/>
      <w:proofErr w:type="gramStart"/>
      <w:r w:rsidRPr="00BC50C9">
        <w:rPr>
          <w:rFonts w:ascii="Times New Roman" w:hAnsi="Times New Roman" w:cs="Simplified Arabic"/>
          <w:sz w:val="24"/>
          <w:szCs w:val="28"/>
          <w:rtl/>
        </w:rPr>
        <w:t>زيد؛خولة</w:t>
      </w:r>
      <w:proofErr w:type="spellEnd"/>
      <w:proofErr w:type="gramEnd"/>
      <w:r w:rsidRPr="00BC50C9">
        <w:rPr>
          <w:rFonts w:ascii="Times New Roman" w:hAnsi="Times New Roman" w:cs="Simplified Arabic"/>
          <w:sz w:val="24"/>
          <w:szCs w:val="28"/>
          <w:rtl/>
        </w:rPr>
        <w:t>، قرفي. (2024). التمويل الجماعي كآلية مستحدثة لتمويل المؤسسات الناشئة "دراسة تطبيقية في الدول العربية والإسلامية. (رسالة ماجستير غير منشورة)، الجزائر: جامعة الشهيد حمه لخضر بالوادي.</w:t>
      </w:r>
    </w:p>
    <w:p w14:paraId="758802C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دباب، انيس؛ صالحي، ناجية. (2022). عوامل توجه الطلبة الجامعيين نحو إقامة المؤسسات المصغرة الريادية: دراسة حالة طلبة الماستر بجامعة الوادي. </w:t>
      </w:r>
      <w:r w:rsidRPr="00BC50C9">
        <w:rPr>
          <w:rFonts w:ascii="Times New Roman" w:eastAsia="Calibri" w:hAnsi="Times New Roman" w:cs="Simplified Arabic"/>
          <w:i/>
          <w:iCs/>
          <w:sz w:val="24"/>
          <w:szCs w:val="28"/>
          <w:rtl/>
          <w:lang w:bidi="ar-EG"/>
        </w:rPr>
        <w:t>مجلة الدراسات الاقتصادية والمالية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15</w:t>
      </w:r>
      <w:r w:rsidRPr="00BC50C9">
        <w:rPr>
          <w:rFonts w:ascii="Times New Roman" w:eastAsia="Calibri" w:hAnsi="Times New Roman" w:cs="Simplified Arabic"/>
          <w:sz w:val="24"/>
          <w:szCs w:val="28"/>
          <w:rtl/>
          <w:lang w:bidi="ar-EG"/>
        </w:rPr>
        <w:t>، 166-184.</w:t>
      </w:r>
    </w:p>
    <w:p w14:paraId="7DE0B5A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hint="cs"/>
          <w:kern w:val="2"/>
          <w:sz w:val="24"/>
          <w:szCs w:val="28"/>
          <w:rtl/>
          <w:lang w:bidi="ar-EG"/>
          <w14:ligatures w14:val="standardContextual"/>
        </w:rPr>
        <w:lastRenderedPageBreak/>
        <w:t>درويش،</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محمود</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أحمد</w:t>
      </w:r>
      <w:r w:rsidRPr="00BC50C9">
        <w:rPr>
          <w:rFonts w:ascii="Times New Roman" w:eastAsia="Calibri" w:hAnsi="Times New Roman" w:cs="Simplified Arabic"/>
          <w:kern w:val="2"/>
          <w:sz w:val="24"/>
          <w:szCs w:val="28"/>
          <w:rtl/>
          <w:lang w:bidi="ar-EG"/>
          <w14:ligatures w14:val="standardContextual"/>
        </w:rPr>
        <w:t xml:space="preserve">. (2018). </w:t>
      </w:r>
      <w:r w:rsidRPr="00BC50C9">
        <w:rPr>
          <w:rFonts w:ascii="Times New Roman" w:eastAsia="Calibri" w:hAnsi="Times New Roman" w:cs="Simplified Arabic" w:hint="cs"/>
          <w:kern w:val="2"/>
          <w:sz w:val="24"/>
          <w:szCs w:val="28"/>
          <w:rtl/>
          <w:lang w:bidi="ar-EG"/>
          <w14:ligatures w14:val="standardContextual"/>
        </w:rPr>
        <w:t>مناهج</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البحث</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في</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العلوم</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الإنسانية</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مصر</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مؤسسة</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الأمة</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العربية</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للنشر</w:t>
      </w:r>
      <w:r w:rsidRPr="00BC50C9">
        <w:rPr>
          <w:rFonts w:ascii="Times New Roman" w:eastAsia="Calibri" w:hAnsi="Times New Roman" w:cs="Simplified Arabic"/>
          <w:kern w:val="2"/>
          <w:sz w:val="24"/>
          <w:szCs w:val="28"/>
          <w:rtl/>
          <w:lang w:bidi="ar-EG"/>
          <w14:ligatures w14:val="standardContextual"/>
        </w:rPr>
        <w:t xml:space="preserve"> </w:t>
      </w:r>
      <w:r w:rsidRPr="00BC50C9">
        <w:rPr>
          <w:rFonts w:ascii="Times New Roman" w:eastAsia="Calibri" w:hAnsi="Times New Roman" w:cs="Simplified Arabic" w:hint="cs"/>
          <w:kern w:val="2"/>
          <w:sz w:val="24"/>
          <w:szCs w:val="28"/>
          <w:rtl/>
          <w:lang w:bidi="ar-EG"/>
          <w14:ligatures w14:val="standardContextual"/>
        </w:rPr>
        <w:t>والتوزيع</w:t>
      </w:r>
      <w:r w:rsidRPr="00BC50C9">
        <w:rPr>
          <w:rFonts w:ascii="Times New Roman" w:eastAsia="Calibri" w:hAnsi="Times New Roman" w:cs="Simplified Arabic"/>
          <w:kern w:val="2"/>
          <w:sz w:val="24"/>
          <w:szCs w:val="28"/>
          <w:rtl/>
          <w:lang w:bidi="ar-EG"/>
          <w14:ligatures w14:val="standardContextual"/>
        </w:rPr>
        <w:t>.</w:t>
      </w:r>
    </w:p>
    <w:p w14:paraId="38870004"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الدلو، محمد حمدي عاشور؛ الشرفا، ياسر عبد طه. (2018). </w:t>
      </w:r>
      <w:r w:rsidRPr="00BC50C9">
        <w:rPr>
          <w:rFonts w:ascii="Times New Roman" w:eastAsia="Calibri" w:hAnsi="Times New Roman" w:cs="Simplified Arabic"/>
          <w:i/>
          <w:iCs/>
          <w:sz w:val="24"/>
          <w:szCs w:val="28"/>
          <w:rtl/>
          <w:lang w:bidi="ar-EG"/>
        </w:rPr>
        <w:t>واقع العوامل الريادية: دراسة حالة حاضنة الأعمال والتكنولوجيا في الجامعة الإسلامية</w:t>
      </w:r>
      <w:r w:rsidRPr="00BC50C9">
        <w:rPr>
          <w:rFonts w:ascii="Times New Roman" w:eastAsia="Calibri" w:hAnsi="Times New Roman" w:cs="Simplified Arabic"/>
          <w:sz w:val="24"/>
          <w:szCs w:val="28"/>
          <w:rtl/>
          <w:lang w:bidi="ar-EG"/>
        </w:rPr>
        <w:t>. (رسالة ماجستير غير منشورة)، الجامعة الإسلامية (غزة)، فلسطين.</w:t>
      </w:r>
    </w:p>
    <w:p w14:paraId="2E185EEA"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الدليمي، عصام حسن؛ صالح، علي عبد الرحيم. (2014). البحث العلمي أسسه ومناهجه. الأردن: دار الرضوان للنشر والتوزيع.</w:t>
      </w:r>
    </w:p>
    <w:p w14:paraId="77FDF917"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proofErr w:type="spellStart"/>
      <w:r w:rsidRPr="00BC50C9">
        <w:rPr>
          <w:rFonts w:ascii="Times New Roman" w:hAnsi="Times New Roman" w:cs="Simplified Arabic"/>
          <w:sz w:val="24"/>
          <w:szCs w:val="28"/>
          <w:rtl/>
        </w:rPr>
        <w:t>دمدوم</w:t>
      </w:r>
      <w:proofErr w:type="spellEnd"/>
      <w:r w:rsidRPr="00BC50C9">
        <w:rPr>
          <w:rFonts w:ascii="Times New Roman" w:hAnsi="Times New Roman" w:cs="Simplified Arabic"/>
          <w:sz w:val="24"/>
          <w:szCs w:val="28"/>
          <w:rtl/>
        </w:rPr>
        <w:t xml:space="preserve">، </w:t>
      </w:r>
      <w:proofErr w:type="spellStart"/>
      <w:r w:rsidRPr="00BC50C9">
        <w:rPr>
          <w:rFonts w:ascii="Times New Roman" w:hAnsi="Times New Roman" w:cs="Simplified Arabic"/>
          <w:sz w:val="24"/>
          <w:szCs w:val="28"/>
          <w:rtl/>
        </w:rPr>
        <w:t>زكرياء</w:t>
      </w:r>
      <w:proofErr w:type="spellEnd"/>
      <w:r w:rsidRPr="00BC50C9">
        <w:rPr>
          <w:rFonts w:ascii="Times New Roman" w:hAnsi="Times New Roman" w:cs="Simplified Arabic"/>
          <w:sz w:val="24"/>
          <w:szCs w:val="28"/>
          <w:rtl/>
        </w:rPr>
        <w:t xml:space="preserve">؛ مرغني، وليد؛ بكوش، لطيفة. (2020). الحاجة إلى التمويل الجماعي كآلية لدعم المؤسسات الناشئة. </w:t>
      </w:r>
      <w:r w:rsidRPr="00BC50C9">
        <w:rPr>
          <w:rFonts w:ascii="Times New Roman" w:hAnsi="Times New Roman" w:cs="Simplified Arabic"/>
          <w:i/>
          <w:iCs/>
          <w:sz w:val="24"/>
          <w:szCs w:val="28"/>
          <w:rtl/>
        </w:rPr>
        <w:t>حوليات جامعة بشار في العلوم الاقتصادية، 7</w:t>
      </w:r>
      <w:r w:rsidRPr="00BC50C9">
        <w:rPr>
          <w:rFonts w:ascii="Times New Roman" w:hAnsi="Times New Roman" w:cs="Simplified Arabic"/>
          <w:sz w:val="24"/>
          <w:szCs w:val="28"/>
          <w:rtl/>
        </w:rPr>
        <w:t xml:space="preserve">(3)، 437-453. </w:t>
      </w:r>
    </w:p>
    <w:p w14:paraId="6075DCF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الدوري، جمال أحمد؛ الحيت، أحمد فتحي محمد. (2017). أثر خصائص الريادي في إدارة الأزمة: دراسة استطلاعية لآراء عينة من العاملين في البنك الإسلامي الأردني. </w:t>
      </w:r>
      <w:r w:rsidRPr="00BC50C9">
        <w:rPr>
          <w:rFonts w:ascii="Times New Roman" w:eastAsia="Calibri" w:hAnsi="Times New Roman" w:cs="Simplified Arabic"/>
          <w:i/>
          <w:iCs/>
          <w:sz w:val="24"/>
          <w:szCs w:val="28"/>
          <w:rtl/>
          <w:lang w:bidi="ar-EG"/>
        </w:rPr>
        <w:t>مجلة كلية بغداد للعلوم الاقتصادية الجامعة</w:t>
      </w:r>
      <w:r w:rsidRPr="00BC50C9">
        <w:rPr>
          <w:rFonts w:ascii="Times New Roman" w:eastAsia="Calibri" w:hAnsi="Times New Roman" w:cs="Simplified Arabic"/>
          <w:sz w:val="24"/>
          <w:szCs w:val="28"/>
          <w:rtl/>
          <w:lang w:bidi="ar-EG"/>
        </w:rPr>
        <w:t>، (53)، 1-18.</w:t>
      </w:r>
    </w:p>
    <w:p w14:paraId="24ABA76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دينار، كرار حسن؛ الدليمي، حيدر علي محمد. (2023). الاقتصاد </w:t>
      </w:r>
      <w:proofErr w:type="spellStart"/>
      <w:r w:rsidRPr="00BC50C9">
        <w:rPr>
          <w:rFonts w:ascii="Times New Roman" w:eastAsia="Calibri" w:hAnsi="Times New Roman" w:cs="Simplified Arabic"/>
          <w:sz w:val="24"/>
          <w:szCs w:val="28"/>
          <w:rtl/>
          <w:lang w:bidi="ar-EG"/>
        </w:rPr>
        <w:t>الريعي</w:t>
      </w:r>
      <w:proofErr w:type="spellEnd"/>
      <w:r w:rsidRPr="00BC50C9">
        <w:rPr>
          <w:rFonts w:ascii="Times New Roman" w:eastAsia="Calibri" w:hAnsi="Times New Roman" w:cs="Simplified Arabic"/>
          <w:sz w:val="24"/>
          <w:szCs w:val="28"/>
          <w:rtl/>
          <w:lang w:bidi="ar-EG"/>
        </w:rPr>
        <w:t xml:space="preserve"> وتحديات الاستدامة المالية في العراق: دراسة تحليلية. </w:t>
      </w:r>
      <w:r w:rsidRPr="00BC50C9">
        <w:rPr>
          <w:rFonts w:ascii="Times New Roman" w:eastAsia="Calibri" w:hAnsi="Times New Roman" w:cs="Simplified Arabic"/>
          <w:i/>
          <w:iCs/>
          <w:sz w:val="24"/>
          <w:szCs w:val="28"/>
          <w:rtl/>
          <w:lang w:bidi="ar-EG"/>
        </w:rPr>
        <w:t>مجلة كلية الإدارة والاقتصاد للدراسات الاقتصادية والإدارية والمالية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15</w:t>
      </w:r>
      <w:r w:rsidRPr="00BC50C9">
        <w:rPr>
          <w:rFonts w:ascii="Times New Roman" w:eastAsia="Calibri" w:hAnsi="Times New Roman" w:cs="Simplified Arabic"/>
          <w:sz w:val="24"/>
          <w:szCs w:val="28"/>
          <w:rtl/>
          <w:lang w:bidi="ar-EG"/>
        </w:rPr>
        <w:t>(4)، 171-192.</w:t>
      </w:r>
    </w:p>
    <w:p w14:paraId="684318C6"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راضي، مازن عيسى صادق الشيخ؛ كاظم، كامل علاوي؛ كاظم، كريم لطفي. (2018). تحليل الاستدامة المالية في العراق. </w:t>
      </w:r>
      <w:r w:rsidRPr="00BC50C9">
        <w:rPr>
          <w:rFonts w:ascii="Times New Roman" w:eastAsia="Calibri" w:hAnsi="Times New Roman" w:cs="Simplified Arabic"/>
          <w:i/>
          <w:iCs/>
          <w:sz w:val="24"/>
          <w:szCs w:val="28"/>
          <w:rtl/>
          <w:lang w:bidi="ar-EG"/>
        </w:rPr>
        <w:t>مجلة كلية التربية للبنات للعلوم الإنسانية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12</w:t>
      </w:r>
      <w:r w:rsidRPr="00BC50C9">
        <w:rPr>
          <w:rFonts w:ascii="Times New Roman" w:eastAsia="Calibri" w:hAnsi="Times New Roman" w:cs="Simplified Arabic"/>
          <w:sz w:val="24"/>
          <w:szCs w:val="28"/>
          <w:rtl/>
          <w:lang w:bidi="ar-EG"/>
        </w:rPr>
        <w:t>(22)، 15-34.</w:t>
      </w:r>
    </w:p>
    <w:p w14:paraId="711A60C2"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الرفاعي، علاء بن سعد بن رجاء الله؛ كنة، الوليد نور الهدى أحمد. (2025). واقع تطبيق مبادئ الحوكمة في القطاع العام ودورها في تعزيز الاستدامة المالية في المملكة العربية السعودية.</w:t>
      </w:r>
      <w:r w:rsidRPr="00BC50C9">
        <w:rPr>
          <w:rFonts w:ascii="Times New Roman" w:hAnsi="Times New Roman" w:cs="Simplified Arabic"/>
          <w:i/>
          <w:iCs/>
          <w:sz w:val="24"/>
          <w:szCs w:val="28"/>
          <w:rtl/>
        </w:rPr>
        <w:t xml:space="preserve"> مجلة جامعة الأندلس للعلوم الإنسانية والاجتماعية،</w:t>
      </w:r>
      <w:r w:rsidRPr="00BC50C9">
        <w:rPr>
          <w:rFonts w:ascii="Times New Roman" w:hAnsi="Times New Roman" w:cs="Simplified Arabic"/>
          <w:sz w:val="24"/>
          <w:szCs w:val="28"/>
          <w:rtl/>
        </w:rPr>
        <w:t xml:space="preserve"> (115)، 141-163.</w:t>
      </w:r>
    </w:p>
    <w:p w14:paraId="1C77A891"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روابحية</w:t>
      </w:r>
      <w:proofErr w:type="spellEnd"/>
      <w:r w:rsidRPr="00BC50C9">
        <w:rPr>
          <w:rFonts w:ascii="Times New Roman" w:eastAsia="Calibri" w:hAnsi="Times New Roman" w:cs="Simplified Arabic"/>
          <w:sz w:val="24"/>
          <w:szCs w:val="28"/>
          <w:rtl/>
          <w:lang w:bidi="ar-EG"/>
        </w:rPr>
        <w:t xml:space="preserve">، أسامة؛ </w:t>
      </w:r>
      <w:proofErr w:type="spellStart"/>
      <w:r w:rsidRPr="00BC50C9">
        <w:rPr>
          <w:rFonts w:ascii="Times New Roman" w:eastAsia="Calibri" w:hAnsi="Times New Roman" w:cs="Simplified Arabic"/>
          <w:sz w:val="24"/>
          <w:szCs w:val="28"/>
          <w:rtl/>
          <w:lang w:bidi="ar-EG"/>
        </w:rPr>
        <w:t>عواسة</w:t>
      </w:r>
      <w:proofErr w:type="spellEnd"/>
      <w:r w:rsidRPr="00BC50C9">
        <w:rPr>
          <w:rFonts w:ascii="Times New Roman" w:eastAsia="Calibri" w:hAnsi="Times New Roman" w:cs="Simplified Arabic"/>
          <w:sz w:val="24"/>
          <w:szCs w:val="28"/>
          <w:rtl/>
          <w:lang w:bidi="ar-EG"/>
        </w:rPr>
        <w:t xml:space="preserve">، إلهام، داودي، أمال. (2024). </w:t>
      </w:r>
      <w:r w:rsidRPr="00BC50C9">
        <w:rPr>
          <w:rFonts w:ascii="Times New Roman" w:eastAsia="Calibri" w:hAnsi="Times New Roman" w:cs="Simplified Arabic"/>
          <w:i/>
          <w:iCs/>
          <w:sz w:val="24"/>
          <w:szCs w:val="28"/>
          <w:rtl/>
          <w:lang w:bidi="ar-EG"/>
        </w:rPr>
        <w:t xml:space="preserve">استخدام المنصات الرقمية في حملات التسويق للمؤسسات الصغيرة والمتوسطة. </w:t>
      </w:r>
      <w:r w:rsidRPr="00BC50C9">
        <w:rPr>
          <w:rFonts w:ascii="Times New Roman" w:eastAsia="Calibri" w:hAnsi="Times New Roman" w:cs="Simplified Arabic"/>
          <w:sz w:val="24"/>
          <w:szCs w:val="28"/>
          <w:rtl/>
          <w:lang w:bidi="ar-EG"/>
        </w:rPr>
        <w:t xml:space="preserve">(رسالة ماجستير غير منشورة). جامعة 8 ماي 1945 قالمة، الجزائر. </w:t>
      </w:r>
    </w:p>
    <w:p w14:paraId="358A8703"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الزبيدي، حيدر حمودي علي؛ نعيم، محمد عبد السادة. (2022). أبعاد المالية السلوكية في الاستدامة المالية. </w:t>
      </w:r>
      <w:r w:rsidRPr="00BC50C9">
        <w:rPr>
          <w:rFonts w:ascii="Times New Roman" w:eastAsia="Calibri" w:hAnsi="Times New Roman" w:cs="Simplified Arabic"/>
          <w:i/>
          <w:iCs/>
          <w:sz w:val="24"/>
          <w:szCs w:val="28"/>
          <w:rtl/>
          <w:lang w:bidi="ar-EG"/>
        </w:rPr>
        <w:t>مجلة الغري للعلوم الاقتصادية والإدارية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18</w:t>
      </w:r>
      <w:r w:rsidRPr="00BC50C9">
        <w:rPr>
          <w:rFonts w:ascii="Times New Roman" w:eastAsia="Calibri" w:hAnsi="Times New Roman" w:cs="Simplified Arabic"/>
          <w:sz w:val="24"/>
          <w:szCs w:val="28"/>
          <w:rtl/>
          <w:lang w:bidi="ar-EG"/>
        </w:rPr>
        <w:t>(3)، 745-766.</w:t>
      </w:r>
    </w:p>
    <w:p w14:paraId="6EC22DE4"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الزميع، فهد علي. (2019). الإطار القانوني لعمليات التمويل الجماعي للمشاريع الصغيرة والمتوسطة: دراسة مقارنة.</w:t>
      </w:r>
      <w:r w:rsidRPr="00BC50C9">
        <w:rPr>
          <w:rFonts w:ascii="Times New Roman" w:hAnsi="Times New Roman" w:cs="Simplified Arabic"/>
          <w:i/>
          <w:iCs/>
          <w:sz w:val="24"/>
          <w:szCs w:val="28"/>
          <w:rtl/>
          <w:lang w:bidi="ar-EG"/>
        </w:rPr>
        <w:t xml:space="preserve"> مجلة الحقوق،</w:t>
      </w:r>
      <w:r w:rsidRPr="00BC50C9">
        <w:rPr>
          <w:rFonts w:ascii="Times New Roman" w:hAnsi="Times New Roman" w:cs="Simplified Arabic"/>
          <w:sz w:val="24"/>
          <w:szCs w:val="28"/>
          <w:rtl/>
          <w:lang w:bidi="ar-EG"/>
        </w:rPr>
        <w:t xml:space="preserve"> (4)، 67- 117.</w:t>
      </w:r>
    </w:p>
    <w:p w14:paraId="2A677FFC" w14:textId="1922E2E0" w:rsidR="00D035A1" w:rsidRPr="00BC50C9" w:rsidRDefault="008A1BCA"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أبو </w:t>
      </w:r>
      <w:r w:rsidR="00D035A1" w:rsidRPr="00BC50C9">
        <w:rPr>
          <w:rFonts w:ascii="Times New Roman" w:eastAsia="Calibri" w:hAnsi="Times New Roman" w:cs="Simplified Arabic"/>
          <w:sz w:val="24"/>
          <w:szCs w:val="28"/>
          <w:rtl/>
          <w:lang w:bidi="ar-EG"/>
        </w:rPr>
        <w:t xml:space="preserve">سل، محمد ماجد؛ </w:t>
      </w:r>
      <w:proofErr w:type="spellStart"/>
      <w:r w:rsidR="00D035A1" w:rsidRPr="00BC50C9">
        <w:rPr>
          <w:rFonts w:ascii="Times New Roman" w:eastAsia="Calibri" w:hAnsi="Times New Roman" w:cs="Simplified Arabic"/>
          <w:sz w:val="24"/>
          <w:szCs w:val="28"/>
          <w:rtl/>
          <w:lang w:bidi="ar-EG"/>
        </w:rPr>
        <w:t>الهابيل</w:t>
      </w:r>
      <w:proofErr w:type="spellEnd"/>
      <w:r w:rsidR="00D035A1" w:rsidRPr="00BC50C9">
        <w:rPr>
          <w:rFonts w:ascii="Times New Roman" w:eastAsia="Calibri" w:hAnsi="Times New Roman" w:cs="Simplified Arabic"/>
          <w:sz w:val="24"/>
          <w:szCs w:val="28"/>
          <w:rtl/>
          <w:lang w:bidi="ar-EG"/>
        </w:rPr>
        <w:t xml:space="preserve">، وسيم إسماعيل. (2018). </w:t>
      </w:r>
      <w:r w:rsidR="00D035A1" w:rsidRPr="00BC50C9">
        <w:rPr>
          <w:rFonts w:ascii="Times New Roman" w:eastAsia="Calibri" w:hAnsi="Times New Roman" w:cs="Simplified Arabic"/>
          <w:i/>
          <w:iCs/>
          <w:sz w:val="24"/>
          <w:szCs w:val="28"/>
          <w:rtl/>
          <w:lang w:bidi="ar-EG"/>
        </w:rPr>
        <w:t>مدى فاعلية برامج تمويل المشاريع الصغيرة في تنمية الاعمال الريادية: دراسة حالة الإغاثة الإسلامية- فلسطين</w:t>
      </w:r>
      <w:r w:rsidR="00D035A1" w:rsidRPr="00BC50C9">
        <w:rPr>
          <w:rFonts w:ascii="Times New Roman" w:eastAsia="Calibri" w:hAnsi="Times New Roman" w:cs="Simplified Arabic"/>
          <w:sz w:val="24"/>
          <w:szCs w:val="28"/>
          <w:rtl/>
          <w:lang w:bidi="ar-EG"/>
        </w:rPr>
        <w:t>. (رسالة ماجستير غير منشورة)، الجامعة الإسلامية (غزة)، فلسطين.</w:t>
      </w:r>
    </w:p>
    <w:p w14:paraId="5FA5BFA3"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سلطان، سعدية محمد شاهر. (2016). مستوى توفر الخصائص الريادية وعلاقته ببعض المتغيرات الشخصية: دراسة تطبيقية على طلبة البكالوريوس تخصص "إدارة الأعمال" في جامعات جنوب الضفة الغربية. </w:t>
      </w:r>
      <w:r w:rsidRPr="00BC50C9">
        <w:rPr>
          <w:rFonts w:ascii="Times New Roman" w:eastAsia="Calibri" w:hAnsi="Times New Roman" w:cs="Simplified Arabic"/>
          <w:i/>
          <w:iCs/>
          <w:sz w:val="24"/>
          <w:szCs w:val="28"/>
          <w:rtl/>
          <w:lang w:bidi="ar-EG"/>
        </w:rPr>
        <w:t>مجلة الجامعة الإسلامية للدراسات الاقتصادية والإدارية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24</w:t>
      </w:r>
      <w:r w:rsidRPr="00BC50C9">
        <w:rPr>
          <w:rFonts w:ascii="Times New Roman" w:eastAsia="Calibri" w:hAnsi="Times New Roman" w:cs="Simplified Arabic"/>
          <w:sz w:val="24"/>
          <w:szCs w:val="28"/>
          <w:rtl/>
          <w:lang w:bidi="ar-EG"/>
        </w:rPr>
        <w:t>(2)، 102-123.</w:t>
      </w:r>
    </w:p>
    <w:p w14:paraId="74B5A8E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rPr>
        <w:t>السلموني</w:t>
      </w:r>
      <w:proofErr w:type="spellEnd"/>
      <w:r w:rsidRPr="00BC50C9">
        <w:rPr>
          <w:rFonts w:ascii="Times New Roman" w:eastAsia="Calibri" w:hAnsi="Times New Roman" w:cs="Simplified Arabic"/>
          <w:sz w:val="24"/>
          <w:szCs w:val="28"/>
          <w:rtl/>
        </w:rPr>
        <w:t xml:space="preserve">، تامر محمد رمضان؛ الجارحي، فريد محرم. (2023). أثر الاستدامة المالية على الأداء المالي للمؤسسات "دراسة تطبيقية على قطاع البترول في مصر". </w:t>
      </w:r>
      <w:r w:rsidRPr="00BC50C9">
        <w:rPr>
          <w:rFonts w:ascii="Times New Roman" w:eastAsia="Calibri" w:hAnsi="Times New Roman" w:cs="Simplified Arabic"/>
          <w:i/>
          <w:iCs/>
          <w:sz w:val="24"/>
          <w:szCs w:val="28"/>
          <w:rtl/>
        </w:rPr>
        <w:t>المجلة العلمية للدراسات التجارية والبيئية</w:t>
      </w:r>
      <w:r w:rsidRPr="00BC50C9">
        <w:rPr>
          <w:rFonts w:ascii="Times New Roman" w:eastAsia="Calibri" w:hAnsi="Times New Roman" w:cs="Simplified Arabic"/>
          <w:sz w:val="24"/>
          <w:szCs w:val="28"/>
          <w:rtl/>
        </w:rPr>
        <w:t xml:space="preserve">، </w:t>
      </w:r>
      <w:r w:rsidRPr="00BC50C9">
        <w:rPr>
          <w:rFonts w:ascii="Times New Roman" w:eastAsia="Calibri" w:hAnsi="Times New Roman" w:cs="Simplified Arabic"/>
          <w:i/>
          <w:iCs/>
          <w:sz w:val="24"/>
          <w:szCs w:val="28"/>
          <w:rtl/>
        </w:rPr>
        <w:t>14</w:t>
      </w:r>
      <w:r w:rsidRPr="00BC50C9">
        <w:rPr>
          <w:rFonts w:ascii="Times New Roman" w:eastAsia="Calibri" w:hAnsi="Times New Roman" w:cs="Simplified Arabic"/>
          <w:sz w:val="24"/>
          <w:szCs w:val="28"/>
          <w:rtl/>
        </w:rPr>
        <w:t>(3)، 1101-1127.</w:t>
      </w:r>
    </w:p>
    <w:p w14:paraId="781E8EB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سناني، ريمة؛ </w:t>
      </w:r>
      <w:proofErr w:type="spellStart"/>
      <w:r w:rsidRPr="00BC50C9">
        <w:rPr>
          <w:rFonts w:ascii="Times New Roman" w:eastAsia="Calibri" w:hAnsi="Times New Roman" w:cs="Simplified Arabic"/>
          <w:sz w:val="24"/>
          <w:szCs w:val="28"/>
          <w:rtl/>
          <w:lang w:bidi="ar-EG"/>
        </w:rPr>
        <w:t>بوعلاق</w:t>
      </w:r>
      <w:proofErr w:type="spellEnd"/>
      <w:r w:rsidRPr="00BC50C9">
        <w:rPr>
          <w:rFonts w:ascii="Times New Roman" w:eastAsia="Calibri" w:hAnsi="Times New Roman" w:cs="Simplified Arabic"/>
          <w:sz w:val="24"/>
          <w:szCs w:val="28"/>
          <w:rtl/>
          <w:lang w:bidi="ar-EG"/>
        </w:rPr>
        <w:t xml:space="preserve">، إخلاص. (2024). </w:t>
      </w:r>
      <w:r w:rsidRPr="00BC50C9">
        <w:rPr>
          <w:rFonts w:ascii="Times New Roman" w:eastAsia="Calibri" w:hAnsi="Times New Roman" w:cs="Simplified Arabic"/>
          <w:i/>
          <w:iCs/>
          <w:sz w:val="24"/>
          <w:szCs w:val="28"/>
          <w:rtl/>
          <w:lang w:bidi="ar-EG"/>
        </w:rPr>
        <w:t>التمويل التشاركي كآلية لتمويل المؤسسات الناشئة "</w:t>
      </w:r>
      <w:proofErr w:type="spellStart"/>
      <w:r w:rsidRPr="00BC50C9">
        <w:rPr>
          <w:rFonts w:ascii="Times New Roman" w:eastAsia="Calibri" w:hAnsi="Times New Roman" w:cs="Simplified Arabic"/>
          <w:i/>
          <w:iCs/>
          <w:sz w:val="24"/>
          <w:szCs w:val="28"/>
          <w:lang w:bidi="ar-EG"/>
        </w:rPr>
        <w:t>Ethis</w:t>
      </w:r>
      <w:proofErr w:type="spellEnd"/>
      <w:r w:rsidRPr="00BC50C9">
        <w:rPr>
          <w:rFonts w:ascii="Times New Roman" w:eastAsia="Calibri" w:hAnsi="Times New Roman" w:cs="Simplified Arabic"/>
          <w:i/>
          <w:iCs/>
          <w:sz w:val="24"/>
          <w:szCs w:val="28"/>
          <w:rtl/>
          <w:lang w:bidi="ar-EG"/>
        </w:rPr>
        <w:t>" و "</w:t>
      </w:r>
      <w:r w:rsidRPr="00BC50C9">
        <w:rPr>
          <w:rFonts w:ascii="Times New Roman" w:eastAsia="Calibri" w:hAnsi="Times New Roman" w:cs="Simplified Arabic"/>
          <w:i/>
          <w:iCs/>
          <w:sz w:val="24"/>
          <w:szCs w:val="28"/>
          <w:lang w:bidi="ar-EG"/>
        </w:rPr>
        <w:t>Kickstarter</w:t>
      </w:r>
      <w:r w:rsidRPr="00BC50C9">
        <w:rPr>
          <w:rFonts w:ascii="Times New Roman" w:eastAsia="Calibri" w:hAnsi="Times New Roman" w:cs="Simplified Arabic"/>
          <w:i/>
          <w:iCs/>
          <w:sz w:val="24"/>
          <w:szCs w:val="28"/>
          <w:rtl/>
          <w:lang w:bidi="ar-EG"/>
        </w:rPr>
        <w:t>" دراسة.</w:t>
      </w:r>
      <w:r w:rsidRPr="00BC50C9">
        <w:rPr>
          <w:rFonts w:ascii="Times New Roman" w:eastAsia="Calibri" w:hAnsi="Times New Roman" w:cs="Simplified Arabic"/>
          <w:sz w:val="24"/>
          <w:szCs w:val="28"/>
          <w:rtl/>
          <w:lang w:bidi="ar-EG"/>
        </w:rPr>
        <w:t xml:space="preserve"> (رسالة ماجستير غير منشورة). جامعة 8 ماي 1945، الجزائر. </w:t>
      </w:r>
    </w:p>
    <w:p w14:paraId="4755339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السيد، مصطفى حسني؛ البرماوي، أدهم محمد السيد؛ راضي، محمد </w:t>
      </w:r>
      <w:proofErr w:type="spellStart"/>
      <w:r w:rsidRPr="00BC50C9">
        <w:rPr>
          <w:rFonts w:ascii="Times New Roman" w:eastAsia="Calibri" w:hAnsi="Times New Roman" w:cs="Simplified Arabic"/>
          <w:sz w:val="24"/>
          <w:szCs w:val="28"/>
          <w:rtl/>
          <w:lang w:bidi="ar-EG"/>
        </w:rPr>
        <w:t>محمد</w:t>
      </w:r>
      <w:proofErr w:type="spellEnd"/>
      <w:r w:rsidRPr="00BC50C9">
        <w:rPr>
          <w:rFonts w:ascii="Times New Roman" w:eastAsia="Calibri" w:hAnsi="Times New Roman" w:cs="Simplified Arabic"/>
          <w:sz w:val="24"/>
          <w:szCs w:val="28"/>
          <w:rtl/>
          <w:lang w:bidi="ar-EG"/>
        </w:rPr>
        <w:t xml:space="preserve"> السيد. (2024). قياس الاستدامة المالية بالتطبيق على الاقتصاد المصري. </w:t>
      </w:r>
      <w:r w:rsidRPr="00BC50C9">
        <w:rPr>
          <w:rFonts w:ascii="Times New Roman" w:eastAsia="Calibri" w:hAnsi="Times New Roman" w:cs="Simplified Arabic"/>
          <w:i/>
          <w:iCs/>
          <w:sz w:val="24"/>
          <w:szCs w:val="28"/>
          <w:rtl/>
          <w:lang w:bidi="ar-EG"/>
        </w:rPr>
        <w:t>مجلة التجارة والتمويل</w:t>
      </w:r>
      <w:r w:rsidRPr="00BC50C9">
        <w:rPr>
          <w:rFonts w:ascii="Times New Roman" w:eastAsia="Calibri" w:hAnsi="Times New Roman" w:cs="Simplified Arabic"/>
          <w:sz w:val="24"/>
          <w:szCs w:val="28"/>
          <w:rtl/>
          <w:lang w:bidi="ar-EG"/>
        </w:rPr>
        <w:t>، (1)، 999-1037.</w:t>
      </w:r>
    </w:p>
    <w:p w14:paraId="2AA8AAC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شحادة، مها خليل يوسف. (2022). التحول الرقمي وريادة الأعمال الرقمية. </w:t>
      </w:r>
      <w:r w:rsidRPr="00BC50C9">
        <w:rPr>
          <w:rFonts w:ascii="Times New Roman" w:eastAsia="Calibri" w:hAnsi="Times New Roman" w:cs="Simplified Arabic"/>
          <w:i/>
          <w:iCs/>
          <w:sz w:val="24"/>
          <w:szCs w:val="28"/>
          <w:rtl/>
          <w:lang w:bidi="ar-EG"/>
        </w:rPr>
        <w:t xml:space="preserve">مجلة رماح للبحوث والدراسات. (62). </w:t>
      </w:r>
      <w:r w:rsidRPr="00BC50C9">
        <w:rPr>
          <w:rFonts w:ascii="Times New Roman" w:eastAsia="Calibri" w:hAnsi="Times New Roman" w:cs="Simplified Arabic"/>
          <w:sz w:val="24"/>
          <w:szCs w:val="28"/>
          <w:rtl/>
          <w:lang w:bidi="ar-EG"/>
        </w:rPr>
        <w:t xml:space="preserve">37-61. </w:t>
      </w:r>
    </w:p>
    <w:p w14:paraId="23AC715B"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 xml:space="preserve">شركة ثمار. (2023). </w:t>
      </w:r>
      <w:r w:rsidRPr="00BC50C9">
        <w:rPr>
          <w:rFonts w:ascii="Times New Roman" w:hAnsi="Times New Roman" w:cs="Simplified Arabic"/>
          <w:i/>
          <w:iCs/>
          <w:sz w:val="24"/>
          <w:szCs w:val="28"/>
          <w:rtl/>
          <w:lang w:bidi="ar-EG"/>
        </w:rPr>
        <w:t xml:space="preserve">أنواع التمويل في المملكة العربية السعودية. </w:t>
      </w:r>
      <w:r w:rsidRPr="00BC50C9">
        <w:rPr>
          <w:rFonts w:ascii="Times New Roman" w:hAnsi="Times New Roman" w:cs="Simplified Arabic"/>
          <w:sz w:val="24"/>
          <w:szCs w:val="28"/>
          <w:rtl/>
        </w:rPr>
        <w:t xml:space="preserve">تم الاسترجاع بتاريخ 27-2-20255، من </w:t>
      </w:r>
      <w:hyperlink r:id="rId19" w:history="1">
        <w:r w:rsidRPr="00BC50C9">
          <w:rPr>
            <w:rStyle w:val="Hyperlink"/>
            <w:rFonts w:ascii="Times New Roman" w:hAnsi="Times New Roman" w:cs="Simplified Arabic"/>
            <w:sz w:val="24"/>
            <w:szCs w:val="28"/>
          </w:rPr>
          <w:t>https://2u.pw/uqga46TI</w:t>
        </w:r>
      </w:hyperlink>
      <w:r w:rsidRPr="00BC50C9">
        <w:rPr>
          <w:rFonts w:ascii="Times New Roman" w:hAnsi="Times New Roman" w:cs="Simplified Arabic"/>
          <w:sz w:val="24"/>
          <w:szCs w:val="28"/>
          <w:rtl/>
        </w:rPr>
        <w:t xml:space="preserve"> </w:t>
      </w:r>
    </w:p>
    <w:p w14:paraId="2A6D6AFC" w14:textId="77777777" w:rsidR="00D035A1" w:rsidRPr="00BC50C9" w:rsidRDefault="00D035A1" w:rsidP="00D035A1">
      <w:pPr>
        <w:pStyle w:val="a4"/>
        <w:bidi/>
        <w:spacing w:before="120" w:after="120"/>
        <w:ind w:left="283" w:hanging="283"/>
        <w:jc w:val="both"/>
        <w:rPr>
          <w:rFonts w:ascii="Times New Roman" w:hAnsi="Times New Roman" w:cs="Simplified Arabic"/>
          <w:i/>
          <w:iCs/>
          <w:sz w:val="24"/>
          <w:szCs w:val="28"/>
          <w:rtl/>
          <w:lang w:bidi="ar-EG"/>
        </w:rPr>
      </w:pPr>
      <w:r w:rsidRPr="00BC50C9">
        <w:rPr>
          <w:rFonts w:ascii="Times New Roman" w:hAnsi="Times New Roman" w:cs="Simplified Arabic"/>
          <w:sz w:val="24"/>
          <w:szCs w:val="28"/>
          <w:rtl/>
          <w:lang w:bidi="ar-EG"/>
        </w:rPr>
        <w:t xml:space="preserve">شركة ثمار. (2023). </w:t>
      </w:r>
      <w:r w:rsidRPr="00BC50C9">
        <w:rPr>
          <w:rFonts w:ascii="Times New Roman" w:hAnsi="Times New Roman" w:cs="Simplified Arabic"/>
          <w:i/>
          <w:iCs/>
          <w:sz w:val="24"/>
          <w:szCs w:val="28"/>
          <w:rtl/>
          <w:lang w:bidi="ar-EG"/>
        </w:rPr>
        <w:t xml:space="preserve">منصات التمويل الجماعي بالدين المرخصة بالسعودية. </w:t>
      </w:r>
      <w:r w:rsidRPr="00BC50C9">
        <w:rPr>
          <w:rFonts w:ascii="Times New Roman" w:hAnsi="Times New Roman" w:cs="Simplified Arabic"/>
          <w:sz w:val="24"/>
          <w:szCs w:val="28"/>
          <w:rtl/>
        </w:rPr>
        <w:t xml:space="preserve">تم الاسترجاع بتاريخ 27-2-20255، من </w:t>
      </w:r>
      <w:hyperlink r:id="rId20" w:history="1">
        <w:r w:rsidRPr="00BC50C9">
          <w:rPr>
            <w:rStyle w:val="Hyperlink"/>
            <w:rFonts w:ascii="Times New Roman" w:hAnsi="Times New Roman" w:cs="Simplified Arabic"/>
            <w:sz w:val="24"/>
            <w:szCs w:val="28"/>
          </w:rPr>
          <w:t>https://2u.pw/IkJ2H9lO</w:t>
        </w:r>
      </w:hyperlink>
      <w:r w:rsidRPr="00BC50C9">
        <w:rPr>
          <w:rFonts w:ascii="Times New Roman" w:hAnsi="Times New Roman" w:cs="Simplified Arabic"/>
          <w:sz w:val="24"/>
          <w:szCs w:val="28"/>
          <w:rtl/>
        </w:rPr>
        <w:t xml:space="preserve"> </w:t>
      </w:r>
    </w:p>
    <w:p w14:paraId="2B282AF6" w14:textId="77777777" w:rsidR="00D035A1" w:rsidRPr="00BC50C9" w:rsidRDefault="00D035A1" w:rsidP="00D035A1">
      <w:pPr>
        <w:pStyle w:val="a4"/>
        <w:bidi/>
        <w:spacing w:before="120" w:after="120"/>
        <w:ind w:left="283" w:hanging="283"/>
        <w:jc w:val="both"/>
        <w:rPr>
          <w:rFonts w:ascii="Times New Roman" w:hAnsi="Times New Roman" w:cs="Simplified Arabic"/>
          <w:i/>
          <w:iCs/>
          <w:sz w:val="24"/>
          <w:szCs w:val="28"/>
          <w:rtl/>
          <w:lang w:bidi="ar-EG"/>
        </w:rPr>
      </w:pPr>
      <w:r w:rsidRPr="00BC50C9">
        <w:rPr>
          <w:rFonts w:ascii="Times New Roman" w:hAnsi="Times New Roman" w:cs="Simplified Arabic"/>
          <w:sz w:val="24"/>
          <w:szCs w:val="28"/>
          <w:rtl/>
        </w:rPr>
        <w:t>شركة ثمار. (2025).</w:t>
      </w:r>
      <w:r w:rsidRPr="00BC50C9">
        <w:rPr>
          <w:rFonts w:ascii="Times New Roman" w:hAnsi="Times New Roman" w:cs="Simplified Arabic"/>
          <w:i/>
          <w:iCs/>
          <w:sz w:val="24"/>
          <w:szCs w:val="28"/>
          <w:rtl/>
        </w:rPr>
        <w:t xml:space="preserve"> تحديات ريادة الأعمال في المنطقة العربية.</w:t>
      </w:r>
      <w:r w:rsidRPr="00BC50C9">
        <w:rPr>
          <w:rFonts w:ascii="Times New Roman" w:hAnsi="Times New Roman" w:cs="Simplified Arabic"/>
          <w:sz w:val="24"/>
          <w:szCs w:val="28"/>
          <w:rtl/>
        </w:rPr>
        <w:t xml:space="preserve"> تم الاسترجاع بتاريخ 27-2-20255، من </w:t>
      </w:r>
      <w:hyperlink r:id="rId21" w:history="1">
        <w:r w:rsidRPr="00BC50C9">
          <w:rPr>
            <w:rStyle w:val="Hyperlink"/>
            <w:rFonts w:ascii="Times New Roman" w:hAnsi="Times New Roman" w:cs="Simplified Arabic"/>
            <w:sz w:val="24"/>
            <w:szCs w:val="28"/>
          </w:rPr>
          <w:t>https://2u.pw/sYlSiThF</w:t>
        </w:r>
      </w:hyperlink>
      <w:r w:rsidRPr="00BC50C9">
        <w:rPr>
          <w:rFonts w:ascii="Times New Roman" w:hAnsi="Times New Roman" w:cs="Simplified Arabic"/>
          <w:sz w:val="24"/>
          <w:szCs w:val="28"/>
          <w:rtl/>
        </w:rPr>
        <w:t xml:space="preserve"> </w:t>
      </w:r>
    </w:p>
    <w:p w14:paraId="3F04EC6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الشمراني، نوال بنت محمد مستور؛ الشريف، عبد </w:t>
      </w:r>
      <w:proofErr w:type="spellStart"/>
      <w:r w:rsidRPr="00BC50C9">
        <w:rPr>
          <w:rFonts w:ascii="Times New Roman" w:eastAsia="Calibri" w:hAnsi="Times New Roman" w:cs="Simplified Arabic"/>
          <w:sz w:val="24"/>
          <w:szCs w:val="28"/>
          <w:rtl/>
          <w:lang w:bidi="ar-EG"/>
        </w:rPr>
        <w:t>ااالله</w:t>
      </w:r>
      <w:proofErr w:type="spellEnd"/>
      <w:r w:rsidRPr="00BC50C9">
        <w:rPr>
          <w:rFonts w:ascii="Times New Roman" w:eastAsia="Calibri" w:hAnsi="Times New Roman" w:cs="Simplified Arabic"/>
          <w:sz w:val="24"/>
          <w:szCs w:val="28"/>
          <w:rtl/>
          <w:lang w:bidi="ar-EG"/>
        </w:rPr>
        <w:t xml:space="preserve"> بن عبد العزيز بن عبد المطلب. (2024). واقع الاستدامة المالية بجامعة تبوك ومتطلبات تطويرها من وجهة نظر القيادات الأكاديمية. </w:t>
      </w:r>
      <w:r w:rsidRPr="00BC50C9">
        <w:rPr>
          <w:rFonts w:ascii="Times New Roman" w:eastAsia="Calibri" w:hAnsi="Times New Roman" w:cs="Simplified Arabic"/>
          <w:i/>
          <w:iCs/>
          <w:sz w:val="24"/>
          <w:szCs w:val="28"/>
          <w:rtl/>
          <w:lang w:bidi="ar-EG"/>
        </w:rPr>
        <w:t>دراسات عربية في التربية وعلم النفس</w:t>
      </w:r>
      <w:r w:rsidRPr="00BC50C9">
        <w:rPr>
          <w:rFonts w:ascii="Times New Roman" w:eastAsia="Calibri" w:hAnsi="Times New Roman" w:cs="Simplified Arabic"/>
          <w:sz w:val="24"/>
          <w:szCs w:val="28"/>
          <w:rtl/>
          <w:lang w:bidi="ar-EG"/>
        </w:rPr>
        <w:t>، (150)، 267-302.</w:t>
      </w:r>
    </w:p>
    <w:p w14:paraId="3AEDAE0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الشهراني، محمد بن معيض بن سعد آل دواس. (2021). التمويل التشاركي صيغه ومخاطره، ووسائل السيطرة عليها. </w:t>
      </w:r>
      <w:r w:rsidRPr="00BC50C9">
        <w:rPr>
          <w:rFonts w:ascii="Times New Roman" w:eastAsia="Calibri" w:hAnsi="Times New Roman" w:cs="Simplified Arabic"/>
          <w:i/>
          <w:iCs/>
          <w:sz w:val="24"/>
          <w:szCs w:val="28"/>
          <w:rtl/>
          <w:lang w:bidi="ar-EG"/>
        </w:rPr>
        <w:t>مجلة العلوم الشرعية. (60).</w:t>
      </w:r>
      <w:r w:rsidRPr="00BC50C9">
        <w:rPr>
          <w:rFonts w:ascii="Times New Roman" w:eastAsia="Calibri" w:hAnsi="Times New Roman" w:cs="Simplified Arabic"/>
          <w:sz w:val="24"/>
          <w:szCs w:val="28"/>
          <w:rtl/>
          <w:lang w:bidi="ar-EG"/>
        </w:rPr>
        <w:t xml:space="preserve"> 155-270.</w:t>
      </w:r>
    </w:p>
    <w:p w14:paraId="4B3A9D2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lastRenderedPageBreak/>
        <w:t>الشيبي</w:t>
      </w:r>
      <w:proofErr w:type="spellEnd"/>
      <w:r w:rsidRPr="00BC50C9">
        <w:rPr>
          <w:rFonts w:ascii="Times New Roman" w:eastAsia="Calibri" w:hAnsi="Times New Roman" w:cs="Simplified Arabic"/>
          <w:sz w:val="24"/>
          <w:szCs w:val="28"/>
          <w:rtl/>
          <w:lang w:bidi="ar-EG"/>
        </w:rPr>
        <w:t xml:space="preserve">، محمد بن عبد المحسن. (2022). مدى مساهمة تنوع الإيراد في الاستدامة المالية للمنشآت غير الهادفة للربح: دراسة ميدانية على بعض الجمعيات الخيرية بمنطقة مكة المكرمة. </w:t>
      </w:r>
      <w:r w:rsidRPr="00BC50C9">
        <w:rPr>
          <w:rFonts w:ascii="Times New Roman" w:eastAsia="Calibri" w:hAnsi="Times New Roman" w:cs="Simplified Arabic"/>
          <w:i/>
          <w:iCs/>
          <w:sz w:val="24"/>
          <w:szCs w:val="28"/>
          <w:rtl/>
          <w:lang w:bidi="ar-EG"/>
        </w:rPr>
        <w:t>المجلة العلمية لقطاع كليات التجارة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27</w:t>
      </w:r>
      <w:r w:rsidRPr="00BC50C9">
        <w:rPr>
          <w:rFonts w:ascii="Times New Roman" w:eastAsia="Calibri" w:hAnsi="Times New Roman" w:cs="Simplified Arabic"/>
          <w:sz w:val="24"/>
          <w:szCs w:val="28"/>
          <w:rtl/>
          <w:lang w:bidi="ar-EG"/>
        </w:rPr>
        <w:t>(1)، 61-102.</w:t>
      </w:r>
    </w:p>
    <w:p w14:paraId="22ACEEF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i/>
          <w:iCs/>
          <w:sz w:val="24"/>
          <w:szCs w:val="28"/>
          <w:rtl/>
          <w:lang w:bidi="ar-EG"/>
        </w:rPr>
      </w:pPr>
      <w:r w:rsidRPr="00BC50C9">
        <w:rPr>
          <w:rFonts w:ascii="Times New Roman" w:eastAsia="Calibri" w:hAnsi="Times New Roman" w:cs="Simplified Arabic"/>
          <w:sz w:val="24"/>
          <w:szCs w:val="28"/>
          <w:rtl/>
          <w:lang w:bidi="ar-EG"/>
        </w:rPr>
        <w:t xml:space="preserve">صالح الدين، سعودي؛ عبد الرؤوف، حماني. (2020). منصات التمويل الجماعي كآلية حديثة لتمويل المؤسسات الصغيرة والمتوسطة. </w:t>
      </w:r>
      <w:r w:rsidRPr="00BC50C9">
        <w:rPr>
          <w:rFonts w:ascii="Times New Roman" w:eastAsia="Calibri" w:hAnsi="Times New Roman" w:cs="Simplified Arabic"/>
          <w:i/>
          <w:iCs/>
          <w:sz w:val="24"/>
          <w:szCs w:val="28"/>
          <w:rtl/>
          <w:lang w:bidi="ar-EG"/>
        </w:rPr>
        <w:t xml:space="preserve">مجلة البحوث الإدارية والاقتصادية. 4(2). </w:t>
      </w:r>
      <w:r w:rsidRPr="00BC50C9">
        <w:rPr>
          <w:rFonts w:ascii="Times New Roman" w:eastAsia="Calibri" w:hAnsi="Times New Roman" w:cs="Simplified Arabic"/>
          <w:sz w:val="24"/>
          <w:szCs w:val="28"/>
          <w:rtl/>
          <w:lang w:bidi="ar-EG"/>
        </w:rPr>
        <w:t>51-60.</w:t>
      </w:r>
      <w:r w:rsidRPr="00BC50C9">
        <w:rPr>
          <w:rFonts w:ascii="Times New Roman" w:eastAsia="Calibri" w:hAnsi="Times New Roman" w:cs="Simplified Arabic"/>
          <w:i/>
          <w:iCs/>
          <w:sz w:val="24"/>
          <w:szCs w:val="28"/>
          <w:rtl/>
          <w:lang w:bidi="ar-EG"/>
        </w:rPr>
        <w:t xml:space="preserve"> </w:t>
      </w:r>
    </w:p>
    <w:p w14:paraId="5F5839DE"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 xml:space="preserve">الصاوي، سماح محمد </w:t>
      </w:r>
      <w:proofErr w:type="spellStart"/>
      <w:r w:rsidRPr="00BC50C9">
        <w:rPr>
          <w:rFonts w:ascii="Times New Roman" w:hAnsi="Times New Roman" w:cs="Simplified Arabic"/>
          <w:sz w:val="24"/>
          <w:szCs w:val="28"/>
          <w:rtl/>
          <w:lang w:bidi="ar-EG"/>
        </w:rPr>
        <w:t>محمد</w:t>
      </w:r>
      <w:proofErr w:type="spellEnd"/>
      <w:r w:rsidRPr="00BC50C9">
        <w:rPr>
          <w:rFonts w:ascii="Times New Roman" w:hAnsi="Times New Roman" w:cs="Simplified Arabic"/>
          <w:sz w:val="24"/>
          <w:szCs w:val="28"/>
          <w:rtl/>
          <w:lang w:bidi="ar-EG"/>
        </w:rPr>
        <w:t xml:space="preserve"> أحمد. (2022). إعادة تدوير عوادم المشاريع التطبيقية للملابس في منتجات معاصرة صديقة للبيئة كنماذج للمشروعات الريادية للشباب.</w:t>
      </w:r>
      <w:r w:rsidRPr="00BC50C9">
        <w:rPr>
          <w:rFonts w:ascii="Times New Roman" w:hAnsi="Times New Roman" w:cs="Simplified Arabic"/>
          <w:i/>
          <w:iCs/>
          <w:sz w:val="24"/>
          <w:szCs w:val="28"/>
          <w:rtl/>
          <w:lang w:bidi="ar-EG"/>
        </w:rPr>
        <w:t xml:space="preserve"> مجلة البحوث في مجالات التربية النوعية بجامعة المنيا، 8</w:t>
      </w:r>
      <w:r w:rsidRPr="00BC50C9">
        <w:rPr>
          <w:rFonts w:ascii="Times New Roman" w:hAnsi="Times New Roman" w:cs="Simplified Arabic"/>
          <w:sz w:val="24"/>
          <w:szCs w:val="28"/>
          <w:rtl/>
          <w:lang w:bidi="ar-EG"/>
        </w:rPr>
        <w:t>(43)، 1973- 2016.</w:t>
      </w:r>
    </w:p>
    <w:p w14:paraId="5B77140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صباح، محمد عزيز </w:t>
      </w:r>
      <w:proofErr w:type="spellStart"/>
      <w:r w:rsidRPr="00BC50C9">
        <w:rPr>
          <w:rFonts w:ascii="Times New Roman" w:eastAsia="Calibri" w:hAnsi="Times New Roman" w:cs="Simplified Arabic"/>
          <w:sz w:val="24"/>
          <w:szCs w:val="28"/>
          <w:rtl/>
          <w:lang w:bidi="ar-EG"/>
        </w:rPr>
        <w:t>زعيل</w:t>
      </w:r>
      <w:proofErr w:type="spellEnd"/>
      <w:r w:rsidRPr="00BC50C9">
        <w:rPr>
          <w:rFonts w:ascii="Times New Roman" w:eastAsia="Calibri" w:hAnsi="Times New Roman" w:cs="Simplified Arabic"/>
          <w:sz w:val="24"/>
          <w:szCs w:val="28"/>
          <w:rtl/>
          <w:lang w:bidi="ar-EG"/>
        </w:rPr>
        <w:t xml:space="preserve">. (2024). استخدام التكنولوجيا في إدارة المشاريع البلدية ودور رئيس القسم في تعزيز التحول الرقمي. </w:t>
      </w:r>
      <w:r w:rsidRPr="00BC50C9">
        <w:rPr>
          <w:rFonts w:ascii="Times New Roman" w:eastAsia="Calibri" w:hAnsi="Times New Roman" w:cs="Simplified Arabic"/>
          <w:i/>
          <w:iCs/>
          <w:sz w:val="24"/>
          <w:szCs w:val="28"/>
          <w:rtl/>
          <w:lang w:bidi="ar-EG"/>
        </w:rPr>
        <w:t xml:space="preserve">مجلة المجتمع العربي لنشر الدراسات العلمية. (78). </w:t>
      </w:r>
      <w:r w:rsidRPr="00BC50C9">
        <w:rPr>
          <w:rFonts w:ascii="Times New Roman" w:eastAsia="Calibri" w:hAnsi="Times New Roman" w:cs="Simplified Arabic"/>
          <w:sz w:val="24"/>
          <w:szCs w:val="28"/>
          <w:rtl/>
          <w:lang w:bidi="ar-EG"/>
        </w:rPr>
        <w:t xml:space="preserve">171-189. </w:t>
      </w:r>
    </w:p>
    <w:p w14:paraId="024777E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صخري، عبد الوهاب. (2022). نحو تعزيز تمويل المشروعات الصغيرة والمتوسطة من خلال التمويل الجماعي وإقراض النظير للنظير. </w:t>
      </w:r>
      <w:r w:rsidRPr="00BC50C9">
        <w:rPr>
          <w:rFonts w:ascii="Times New Roman" w:eastAsia="Calibri" w:hAnsi="Times New Roman" w:cs="Simplified Arabic"/>
          <w:i/>
          <w:iCs/>
          <w:sz w:val="24"/>
          <w:szCs w:val="28"/>
          <w:rtl/>
          <w:lang w:bidi="ar-EG"/>
        </w:rPr>
        <w:t xml:space="preserve">مجلة اقتصاديات شمال إفريقيا. 18(28). </w:t>
      </w:r>
      <w:r w:rsidRPr="00BC50C9">
        <w:rPr>
          <w:rFonts w:ascii="Times New Roman" w:eastAsia="Calibri" w:hAnsi="Times New Roman" w:cs="Simplified Arabic"/>
          <w:sz w:val="24"/>
          <w:szCs w:val="28"/>
          <w:rtl/>
          <w:lang w:bidi="ar-EG"/>
        </w:rPr>
        <w:t xml:space="preserve">317-338. </w:t>
      </w:r>
    </w:p>
    <w:p w14:paraId="5DB8E643"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proofErr w:type="spellStart"/>
      <w:r w:rsidRPr="00BC50C9">
        <w:rPr>
          <w:rFonts w:ascii="Times New Roman" w:hAnsi="Times New Roman" w:cs="Simplified Arabic"/>
          <w:sz w:val="24"/>
          <w:szCs w:val="28"/>
          <w:rtl/>
          <w:lang w:bidi="ar-EG"/>
        </w:rPr>
        <w:t>الصرن</w:t>
      </w:r>
      <w:proofErr w:type="spellEnd"/>
      <w:r w:rsidRPr="00BC50C9">
        <w:rPr>
          <w:rFonts w:ascii="Times New Roman" w:hAnsi="Times New Roman" w:cs="Simplified Arabic"/>
          <w:sz w:val="24"/>
          <w:szCs w:val="28"/>
          <w:rtl/>
          <w:lang w:bidi="ar-EG"/>
        </w:rPr>
        <w:t xml:space="preserve">، رعد حسن. (2004). نظريات الإدارة </w:t>
      </w:r>
      <w:proofErr w:type="spellStart"/>
      <w:r w:rsidRPr="00BC50C9">
        <w:rPr>
          <w:rFonts w:ascii="Times New Roman" w:hAnsi="Times New Roman" w:cs="Simplified Arabic"/>
          <w:sz w:val="24"/>
          <w:szCs w:val="28"/>
          <w:rtl/>
          <w:lang w:bidi="ar-EG"/>
        </w:rPr>
        <w:t>والأهمال</w:t>
      </w:r>
      <w:proofErr w:type="spellEnd"/>
      <w:r w:rsidRPr="00BC50C9">
        <w:rPr>
          <w:rFonts w:ascii="Times New Roman" w:hAnsi="Times New Roman" w:cs="Simplified Arabic"/>
          <w:sz w:val="24"/>
          <w:szCs w:val="28"/>
          <w:rtl/>
          <w:lang w:bidi="ar-EG"/>
        </w:rPr>
        <w:t>: دراسة ل 401 نظرية في الإدارة وممارساتها ووظائفها. دار الرضا للنشر</w:t>
      </w:r>
      <w:r w:rsidRPr="00BC50C9">
        <w:rPr>
          <w:rFonts w:ascii="Times New Roman" w:hAnsi="Times New Roman" w:cs="Simplified Arabic"/>
          <w:sz w:val="24"/>
          <w:szCs w:val="28"/>
          <w:lang w:bidi="ar-EG"/>
        </w:rPr>
        <w:t>.</w:t>
      </w:r>
    </w:p>
    <w:p w14:paraId="1966738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i/>
          <w:iCs/>
          <w:sz w:val="24"/>
          <w:szCs w:val="28"/>
          <w:rtl/>
          <w:lang w:bidi="ar-EG"/>
        </w:rPr>
      </w:pPr>
      <w:r w:rsidRPr="00BC50C9">
        <w:rPr>
          <w:rFonts w:ascii="Times New Roman" w:eastAsia="Calibri" w:hAnsi="Times New Roman" w:cs="Simplified Arabic"/>
          <w:sz w:val="24"/>
          <w:szCs w:val="28"/>
          <w:rtl/>
          <w:lang w:bidi="ar-EG"/>
        </w:rPr>
        <w:t xml:space="preserve">صلاح الدين، عبد العزيز؛ بدر الدين، عاشوري. (2024). </w:t>
      </w:r>
      <w:r w:rsidRPr="00BC50C9">
        <w:rPr>
          <w:rFonts w:ascii="Times New Roman" w:eastAsia="Calibri" w:hAnsi="Times New Roman" w:cs="Simplified Arabic"/>
          <w:sz w:val="24"/>
          <w:szCs w:val="28"/>
          <w:rtl/>
        </w:rPr>
        <w:t xml:space="preserve">منصات التمويل الجماعي كبديل واعد لتمويل المؤسسات الناشئة والصغيرة والمتوسطة </w:t>
      </w:r>
      <w:r w:rsidRPr="00BC50C9">
        <w:rPr>
          <w:rFonts w:ascii="Times New Roman" w:eastAsia="Calibri" w:hAnsi="Times New Roman" w:cs="Simplified Arabic"/>
          <w:sz w:val="24"/>
          <w:szCs w:val="28"/>
        </w:rPr>
        <w:t>-</w:t>
      </w:r>
      <w:r w:rsidRPr="00BC50C9">
        <w:rPr>
          <w:rFonts w:ascii="Times New Roman" w:eastAsia="Calibri" w:hAnsi="Times New Roman" w:cs="Simplified Arabic"/>
          <w:sz w:val="24"/>
          <w:szCs w:val="28"/>
          <w:rtl/>
        </w:rPr>
        <w:t>الجزائرية</w:t>
      </w:r>
      <w:r w:rsidRPr="00BC50C9">
        <w:rPr>
          <w:rFonts w:ascii="Times New Roman" w:eastAsia="Calibri" w:hAnsi="Times New Roman" w:cs="Simplified Arabic"/>
          <w:sz w:val="24"/>
          <w:szCs w:val="28"/>
        </w:rPr>
        <w:t xml:space="preserve">) CHRIKY </w:t>
      </w:r>
      <w:r w:rsidRPr="00BC50C9">
        <w:rPr>
          <w:rFonts w:ascii="Times New Roman" w:eastAsia="Calibri" w:hAnsi="Times New Roman" w:cs="Simplified Arabic"/>
          <w:sz w:val="24"/>
          <w:szCs w:val="28"/>
          <w:rtl/>
        </w:rPr>
        <w:t xml:space="preserve">شريكي منصة حالة دراسة).  </w:t>
      </w:r>
      <w:r w:rsidRPr="00BC50C9">
        <w:rPr>
          <w:rFonts w:ascii="Times New Roman" w:eastAsia="Calibri" w:hAnsi="Times New Roman" w:cs="Simplified Arabic"/>
          <w:i/>
          <w:iCs/>
          <w:sz w:val="24"/>
          <w:szCs w:val="28"/>
          <w:rtl/>
        </w:rPr>
        <w:t xml:space="preserve">مجلة أراء للدراسات الاقتصادية والإدارية. 10(10). </w:t>
      </w:r>
      <w:r w:rsidRPr="00BC50C9">
        <w:rPr>
          <w:rFonts w:ascii="Times New Roman" w:eastAsia="Calibri" w:hAnsi="Times New Roman" w:cs="Simplified Arabic"/>
          <w:sz w:val="24"/>
          <w:szCs w:val="28"/>
          <w:rtl/>
        </w:rPr>
        <w:t xml:space="preserve">1-20. </w:t>
      </w:r>
      <w:r w:rsidRPr="00BC50C9">
        <w:rPr>
          <w:rFonts w:ascii="Times New Roman" w:eastAsia="Calibri" w:hAnsi="Times New Roman" w:cs="Simplified Arabic"/>
          <w:i/>
          <w:iCs/>
          <w:sz w:val="24"/>
          <w:szCs w:val="28"/>
          <w:rtl/>
        </w:rPr>
        <w:t xml:space="preserve"> </w:t>
      </w:r>
    </w:p>
    <w:p w14:paraId="0A6A820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صندوق النقد العربي. (2019). </w:t>
      </w:r>
      <w:r w:rsidRPr="00BC50C9">
        <w:rPr>
          <w:rFonts w:ascii="Times New Roman" w:eastAsia="Calibri" w:hAnsi="Times New Roman" w:cs="Simplified Arabic"/>
          <w:i/>
          <w:iCs/>
          <w:sz w:val="24"/>
          <w:szCs w:val="28"/>
          <w:rtl/>
          <w:lang w:bidi="ar-EG"/>
        </w:rPr>
        <w:t>منصات التمويل الجماعي: الآفاق والأطر التنظيمية.</w:t>
      </w:r>
      <w:r w:rsidRPr="00BC50C9">
        <w:rPr>
          <w:rFonts w:ascii="Times New Roman" w:eastAsia="Calibri" w:hAnsi="Times New Roman" w:cs="Simplified Arabic"/>
          <w:sz w:val="24"/>
          <w:szCs w:val="28"/>
          <w:rtl/>
          <w:lang w:bidi="ar-EG"/>
        </w:rPr>
        <w:t xml:space="preserve"> الكويت. </w:t>
      </w:r>
    </w:p>
    <w:p w14:paraId="330BB9D6"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الصواوية</w:t>
      </w:r>
      <w:proofErr w:type="spellEnd"/>
      <w:r w:rsidRPr="00BC50C9">
        <w:rPr>
          <w:rFonts w:ascii="Times New Roman" w:eastAsia="Calibri" w:hAnsi="Times New Roman" w:cs="Simplified Arabic"/>
          <w:sz w:val="24"/>
          <w:szCs w:val="28"/>
          <w:rtl/>
          <w:lang w:bidi="ar-EG"/>
        </w:rPr>
        <w:t xml:space="preserve">، محمد عبد الحميد عوض؛ أبو قاعود، غازي رسمي عايد. (2018). </w:t>
      </w:r>
      <w:r w:rsidRPr="00BC50C9">
        <w:rPr>
          <w:rFonts w:ascii="Times New Roman" w:eastAsia="Calibri" w:hAnsi="Times New Roman" w:cs="Simplified Arabic"/>
          <w:i/>
          <w:iCs/>
          <w:sz w:val="24"/>
          <w:szCs w:val="28"/>
          <w:rtl/>
          <w:lang w:bidi="ar-EG"/>
        </w:rPr>
        <w:t>مدى توافر أبعاد فرق العمل وأثرها في نجاح المشاريع الريادية: دراسة تطبيقية على المشاريع الريادية في محافظة الكرك</w:t>
      </w:r>
      <w:r w:rsidRPr="00BC50C9">
        <w:rPr>
          <w:rFonts w:ascii="Times New Roman" w:eastAsia="Calibri" w:hAnsi="Times New Roman" w:cs="Simplified Arabic"/>
          <w:sz w:val="24"/>
          <w:szCs w:val="28"/>
          <w:rtl/>
          <w:lang w:bidi="ar-EG"/>
        </w:rPr>
        <w:t>. (رسالة ماجستير غير منشورة)، جمعة مؤتى، الأردن.</w:t>
      </w:r>
    </w:p>
    <w:p w14:paraId="63E5186A"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صويلحي</w:t>
      </w:r>
      <w:proofErr w:type="spellEnd"/>
      <w:r w:rsidRPr="00BC50C9">
        <w:rPr>
          <w:rFonts w:ascii="Times New Roman" w:eastAsia="Calibri" w:hAnsi="Times New Roman" w:cs="Simplified Arabic"/>
          <w:sz w:val="24"/>
          <w:szCs w:val="28"/>
          <w:rtl/>
          <w:lang w:bidi="ar-EG"/>
        </w:rPr>
        <w:t xml:space="preserve">، نور الدين. (2024). مستقبل تمويل الشركات الناشئة: نظرة على العملات المشفرة والتمويل الجماعي. </w:t>
      </w:r>
      <w:r w:rsidRPr="00BC50C9">
        <w:rPr>
          <w:rFonts w:ascii="Times New Roman" w:eastAsia="Calibri" w:hAnsi="Times New Roman" w:cs="Simplified Arabic"/>
          <w:i/>
          <w:iCs/>
          <w:sz w:val="24"/>
          <w:szCs w:val="28"/>
          <w:rtl/>
          <w:lang w:bidi="ar-EG"/>
        </w:rPr>
        <w:t xml:space="preserve">مجلة اقتصاد المال والأعمال. 8(2). </w:t>
      </w:r>
      <w:r w:rsidRPr="00BC50C9">
        <w:rPr>
          <w:rFonts w:ascii="Times New Roman" w:eastAsia="Calibri" w:hAnsi="Times New Roman" w:cs="Simplified Arabic"/>
          <w:sz w:val="24"/>
          <w:szCs w:val="28"/>
          <w:rtl/>
          <w:lang w:bidi="ar-EG"/>
        </w:rPr>
        <w:t xml:space="preserve">625-644.  </w:t>
      </w:r>
    </w:p>
    <w:p w14:paraId="66E673E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lang w:bidi="ar-EG"/>
          <w14:ligatures w14:val="standardContextual"/>
        </w:rPr>
      </w:pPr>
      <w:r w:rsidRPr="00BC50C9">
        <w:rPr>
          <w:rFonts w:ascii="Times New Roman" w:eastAsia="Calibri" w:hAnsi="Times New Roman" w:cs="Simplified Arabic" w:hint="cs"/>
          <w:kern w:val="2"/>
          <w:sz w:val="24"/>
          <w:szCs w:val="28"/>
          <w:rtl/>
          <w:lang w:bidi="ar-EG"/>
          <w14:ligatures w14:val="standardContextual"/>
        </w:rPr>
        <w:t>الضامن، منذر. (2007). أساسيات البحث العلمي. ط1، عمان: دار المسيرة للنشر والتوزيع.</w:t>
      </w:r>
    </w:p>
    <w:p w14:paraId="31F90CC8" w14:textId="53C81233" w:rsidR="00D035A1" w:rsidRPr="00BC50C9" w:rsidRDefault="008A1BCA" w:rsidP="00D035A1">
      <w:pPr>
        <w:bidi/>
        <w:spacing w:before="120" w:after="120" w:line="240" w:lineRule="auto"/>
        <w:ind w:left="283" w:hanging="283"/>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kern w:val="2"/>
          <w:sz w:val="24"/>
          <w:szCs w:val="28"/>
          <w:rtl/>
          <w:lang w:bidi="ar-EG"/>
          <w14:ligatures w14:val="standardContextual"/>
        </w:rPr>
        <w:t xml:space="preserve">أبو </w:t>
      </w:r>
      <w:r w:rsidR="00D035A1" w:rsidRPr="00BC50C9">
        <w:rPr>
          <w:rFonts w:ascii="Times New Roman" w:eastAsia="Calibri" w:hAnsi="Times New Roman" w:cs="Simplified Arabic"/>
          <w:kern w:val="2"/>
          <w:sz w:val="24"/>
          <w:szCs w:val="28"/>
          <w:rtl/>
          <w:lang w:bidi="ar-EG"/>
          <w14:ligatures w14:val="standardContextual"/>
        </w:rPr>
        <w:t>ضاهر، كامل سالم. (2017). العينات الإحصائية. العراق: الجامعة المستنصرية.</w:t>
      </w:r>
    </w:p>
    <w:p w14:paraId="3A6C2069"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طالب، علاء فرحان؛ البناء، زينب مكي محمود. (2012). استراتيجية المحيط الأزرق والميزة التنافسية المستدامة. الأردن: دار الحامد للنشر والتوزيع</w:t>
      </w:r>
      <w:r w:rsidRPr="00BC50C9">
        <w:rPr>
          <w:rFonts w:ascii="Times New Roman" w:hAnsi="Times New Roman" w:cs="Simplified Arabic"/>
          <w:sz w:val="24"/>
          <w:szCs w:val="28"/>
          <w:lang w:bidi="ar-EG"/>
        </w:rPr>
        <w:t>.</w:t>
      </w:r>
    </w:p>
    <w:p w14:paraId="43240E25" w14:textId="3C743940" w:rsidR="00D035A1" w:rsidRPr="00BC50C9" w:rsidRDefault="008A1BCA"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آل </w:t>
      </w:r>
      <w:r w:rsidR="00D035A1" w:rsidRPr="00BC50C9">
        <w:rPr>
          <w:rFonts w:ascii="Times New Roman" w:eastAsia="Calibri" w:hAnsi="Times New Roman" w:cs="Simplified Arabic"/>
          <w:sz w:val="24"/>
          <w:szCs w:val="28"/>
          <w:rtl/>
          <w:lang w:bidi="ar-EG"/>
        </w:rPr>
        <w:t>طعمة، حيدر حسين أحمد محمد. (2019). استخدام منهجية (</w:t>
      </w:r>
      <w:r w:rsidR="00D035A1" w:rsidRPr="00BC50C9">
        <w:rPr>
          <w:rFonts w:ascii="Times New Roman" w:eastAsia="Calibri" w:hAnsi="Times New Roman" w:cs="Simplified Arabic"/>
          <w:sz w:val="24"/>
          <w:szCs w:val="28"/>
          <w:lang w:bidi="ar-EG"/>
        </w:rPr>
        <w:t>NARDL</w:t>
      </w:r>
      <w:r w:rsidR="00D035A1" w:rsidRPr="00BC50C9">
        <w:rPr>
          <w:rFonts w:ascii="Times New Roman" w:eastAsia="Calibri" w:hAnsi="Times New Roman" w:cs="Simplified Arabic"/>
          <w:sz w:val="24"/>
          <w:szCs w:val="28"/>
          <w:rtl/>
          <w:lang w:bidi="ar-EG"/>
        </w:rPr>
        <w:t xml:space="preserve">) في تحليل استدامة الدين العام في العراق. </w:t>
      </w:r>
      <w:r w:rsidR="00D035A1" w:rsidRPr="00BC50C9">
        <w:rPr>
          <w:rFonts w:ascii="Times New Roman" w:eastAsia="Calibri" w:hAnsi="Times New Roman" w:cs="Simplified Arabic"/>
          <w:i/>
          <w:iCs/>
          <w:sz w:val="24"/>
          <w:szCs w:val="28"/>
          <w:rtl/>
          <w:lang w:bidi="ar-EG"/>
        </w:rPr>
        <w:t xml:space="preserve">مجلة </w:t>
      </w:r>
      <w:proofErr w:type="spellStart"/>
      <w:r w:rsidR="00D035A1" w:rsidRPr="00BC50C9">
        <w:rPr>
          <w:rFonts w:ascii="Times New Roman" w:eastAsia="Calibri" w:hAnsi="Times New Roman" w:cs="Simplified Arabic"/>
          <w:i/>
          <w:iCs/>
          <w:sz w:val="24"/>
          <w:szCs w:val="28"/>
          <w:rtl/>
          <w:lang w:bidi="ar-EG"/>
        </w:rPr>
        <w:t>الأقتصادي</w:t>
      </w:r>
      <w:proofErr w:type="spellEnd"/>
      <w:r w:rsidR="00D035A1" w:rsidRPr="00BC50C9">
        <w:rPr>
          <w:rFonts w:ascii="Times New Roman" w:eastAsia="Calibri" w:hAnsi="Times New Roman" w:cs="Simplified Arabic"/>
          <w:i/>
          <w:iCs/>
          <w:sz w:val="24"/>
          <w:szCs w:val="28"/>
          <w:rtl/>
          <w:lang w:bidi="ar-EG"/>
        </w:rPr>
        <w:t xml:space="preserve"> الخليجي</w:t>
      </w:r>
      <w:r w:rsidR="00D035A1" w:rsidRPr="00BC50C9">
        <w:rPr>
          <w:rFonts w:ascii="Times New Roman" w:eastAsia="Calibri" w:hAnsi="Times New Roman" w:cs="Simplified Arabic"/>
          <w:sz w:val="24"/>
          <w:szCs w:val="28"/>
          <w:rtl/>
          <w:lang w:bidi="ar-EG"/>
        </w:rPr>
        <w:t>، (39)، 111-134.</w:t>
      </w:r>
    </w:p>
    <w:p w14:paraId="593F75F6"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طلب، محمد عبد العظيم؛ سجوه، محمد عبد الرحمن هاشم. (2015). الاستدامة المالية للدين العام: النماذج القياسية وأهم النتائج. </w:t>
      </w:r>
      <w:r w:rsidRPr="00BC50C9">
        <w:rPr>
          <w:rFonts w:ascii="Times New Roman" w:eastAsia="Calibri" w:hAnsi="Times New Roman" w:cs="Simplified Arabic"/>
          <w:i/>
          <w:iCs/>
          <w:sz w:val="24"/>
          <w:szCs w:val="28"/>
          <w:rtl/>
          <w:lang w:bidi="ar-EG"/>
        </w:rPr>
        <w:t>مجلة كلية التجارة للبحوث العلمية</w:t>
      </w:r>
      <w:r w:rsidRPr="00BC50C9">
        <w:rPr>
          <w:rFonts w:ascii="Times New Roman" w:eastAsia="Calibri" w:hAnsi="Times New Roman" w:cs="Simplified Arabic"/>
          <w:sz w:val="24"/>
          <w:szCs w:val="28"/>
          <w:rtl/>
          <w:lang w:bidi="ar-EG"/>
        </w:rPr>
        <w:t>، (58)، 137-182.</w:t>
      </w:r>
    </w:p>
    <w:p w14:paraId="729D340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طوبال، أمينة؛ بن دعاس، زهير. (2023). </w:t>
      </w:r>
      <w:proofErr w:type="spellStart"/>
      <w:r w:rsidRPr="00BC50C9">
        <w:rPr>
          <w:rFonts w:ascii="Times New Roman" w:eastAsia="Calibri" w:hAnsi="Times New Roman" w:cs="Simplified Arabic"/>
          <w:sz w:val="24"/>
          <w:szCs w:val="28"/>
          <w:rtl/>
          <w:lang w:bidi="ar-EG"/>
        </w:rPr>
        <w:t>إختبار</w:t>
      </w:r>
      <w:proofErr w:type="spellEnd"/>
      <w:r w:rsidRPr="00BC50C9">
        <w:rPr>
          <w:rFonts w:ascii="Times New Roman" w:eastAsia="Calibri" w:hAnsi="Times New Roman" w:cs="Simplified Arabic"/>
          <w:sz w:val="24"/>
          <w:szCs w:val="28"/>
          <w:rtl/>
          <w:lang w:bidi="ar-EG"/>
        </w:rPr>
        <w:t xml:space="preserve"> علاقة مؤشرات </w:t>
      </w:r>
      <w:proofErr w:type="spellStart"/>
      <w:r w:rsidRPr="00BC50C9">
        <w:rPr>
          <w:rFonts w:ascii="Times New Roman" w:eastAsia="Calibri" w:hAnsi="Times New Roman" w:cs="Simplified Arabic"/>
          <w:sz w:val="24"/>
          <w:szCs w:val="28"/>
          <w:rtl/>
          <w:lang w:bidi="ar-EG"/>
        </w:rPr>
        <w:t>الإستدامة</w:t>
      </w:r>
      <w:proofErr w:type="spellEnd"/>
      <w:r w:rsidRPr="00BC50C9">
        <w:rPr>
          <w:rFonts w:ascii="Times New Roman" w:eastAsia="Calibri" w:hAnsi="Times New Roman" w:cs="Simplified Arabic"/>
          <w:sz w:val="24"/>
          <w:szCs w:val="28"/>
          <w:rtl/>
          <w:lang w:bidi="ar-EG"/>
        </w:rPr>
        <w:t xml:space="preserve"> المالية بالناتج المحلي الإجمالي في الجزائر خلال الفترة 1990-2019. </w:t>
      </w:r>
      <w:r w:rsidRPr="00BC50C9">
        <w:rPr>
          <w:rFonts w:ascii="Times New Roman" w:eastAsia="Calibri" w:hAnsi="Times New Roman" w:cs="Simplified Arabic"/>
          <w:i/>
          <w:iCs/>
          <w:sz w:val="24"/>
          <w:szCs w:val="28"/>
          <w:rtl/>
          <w:lang w:bidi="ar-EG"/>
        </w:rPr>
        <w:t>مجلة أبحاث ودراسات التنمية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10</w:t>
      </w:r>
      <w:r w:rsidRPr="00BC50C9">
        <w:rPr>
          <w:rFonts w:ascii="Times New Roman" w:eastAsia="Calibri" w:hAnsi="Times New Roman" w:cs="Simplified Arabic"/>
          <w:sz w:val="24"/>
          <w:szCs w:val="28"/>
          <w:rtl/>
          <w:lang w:bidi="ar-EG"/>
        </w:rPr>
        <w:t>(1)، 197-216.</w:t>
      </w:r>
    </w:p>
    <w:p w14:paraId="13E1222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عادل، فاطمة الزهراء؛ بلحسين، فاطمة الزهراء. (2021). الحاضنات الجامعية كآلية لمرافقة ودعم مشاريع البحث الابتكارية </w:t>
      </w:r>
      <w:proofErr w:type="spellStart"/>
      <w:r w:rsidRPr="00BC50C9">
        <w:rPr>
          <w:rFonts w:ascii="Times New Roman" w:eastAsia="Calibri" w:hAnsi="Times New Roman" w:cs="Simplified Arabic"/>
          <w:sz w:val="24"/>
          <w:szCs w:val="28"/>
          <w:rtl/>
          <w:lang w:bidi="ar-EG"/>
        </w:rPr>
        <w:t>النائشة</w:t>
      </w:r>
      <w:proofErr w:type="spellEnd"/>
      <w:r w:rsidRPr="00BC50C9">
        <w:rPr>
          <w:rFonts w:ascii="Times New Roman" w:eastAsia="Calibri" w:hAnsi="Times New Roman" w:cs="Simplified Arabic"/>
          <w:sz w:val="24"/>
          <w:szCs w:val="28"/>
          <w:rtl/>
          <w:lang w:bidi="ar-EG"/>
        </w:rPr>
        <w:t xml:space="preserve">: حالة جامعة طاهري محمد بشار. </w:t>
      </w:r>
      <w:r w:rsidRPr="00BC50C9">
        <w:rPr>
          <w:rFonts w:ascii="Times New Roman" w:eastAsia="Calibri" w:hAnsi="Times New Roman" w:cs="Simplified Arabic"/>
          <w:i/>
          <w:iCs/>
          <w:sz w:val="24"/>
          <w:szCs w:val="28"/>
          <w:rtl/>
          <w:lang w:bidi="ar-EG"/>
        </w:rPr>
        <w:t>مجلة الاقتصاد والبيئة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4</w:t>
      </w:r>
      <w:r w:rsidRPr="00BC50C9">
        <w:rPr>
          <w:rFonts w:ascii="Times New Roman" w:eastAsia="Calibri" w:hAnsi="Times New Roman" w:cs="Simplified Arabic"/>
          <w:sz w:val="24"/>
          <w:szCs w:val="28"/>
          <w:rtl/>
          <w:lang w:bidi="ar-EG"/>
        </w:rPr>
        <w:t>(2)، 12-34.</w:t>
      </w:r>
    </w:p>
    <w:p w14:paraId="76CA3C15"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hint="eastAsia"/>
          <w:sz w:val="24"/>
          <w:szCs w:val="28"/>
          <w:rtl/>
        </w:rPr>
        <w:t>عاروري،</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فتحي</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أحمد</w:t>
      </w:r>
      <w:r w:rsidRPr="00BC50C9">
        <w:rPr>
          <w:rFonts w:ascii="Times New Roman" w:hAnsi="Times New Roman" w:cs="Simplified Arabic"/>
          <w:sz w:val="24"/>
          <w:szCs w:val="28"/>
          <w:rtl/>
        </w:rPr>
        <w:t>. (2013</w:t>
      </w:r>
      <w:proofErr w:type="gramStart"/>
      <w:r w:rsidRPr="00BC50C9">
        <w:rPr>
          <w:rFonts w:ascii="Times New Roman" w:hAnsi="Times New Roman" w:cs="Simplified Arabic"/>
          <w:sz w:val="24"/>
          <w:szCs w:val="28"/>
          <w:rtl/>
        </w:rPr>
        <w:t>).</w:t>
      </w:r>
      <w:r w:rsidRPr="00BC50C9">
        <w:rPr>
          <w:rFonts w:ascii="Times New Roman" w:hAnsi="Times New Roman" w:cs="Simplified Arabic" w:hint="eastAsia"/>
          <w:sz w:val="24"/>
          <w:szCs w:val="28"/>
          <w:rtl/>
        </w:rPr>
        <w:t>المعاينة</w:t>
      </w:r>
      <w:proofErr w:type="gramEnd"/>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الإحصائية</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طرقها</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واستخداماتها</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عمان</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دار</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الأكاديميون</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للنشر</w:t>
      </w:r>
      <w:r w:rsidRPr="00BC50C9">
        <w:rPr>
          <w:rFonts w:ascii="Times New Roman" w:hAnsi="Times New Roman" w:cs="Simplified Arabic"/>
          <w:sz w:val="24"/>
          <w:szCs w:val="28"/>
          <w:rtl/>
        </w:rPr>
        <w:t xml:space="preserve"> </w:t>
      </w:r>
      <w:r w:rsidRPr="00BC50C9">
        <w:rPr>
          <w:rFonts w:ascii="Times New Roman" w:hAnsi="Times New Roman" w:cs="Simplified Arabic" w:hint="eastAsia"/>
          <w:sz w:val="24"/>
          <w:szCs w:val="28"/>
          <w:rtl/>
        </w:rPr>
        <w:t>والتوزيع</w:t>
      </w:r>
      <w:r w:rsidRPr="00BC50C9">
        <w:rPr>
          <w:rFonts w:ascii="Times New Roman" w:hAnsi="Times New Roman" w:cs="Simplified Arabic"/>
          <w:sz w:val="24"/>
          <w:szCs w:val="28"/>
          <w:rtl/>
        </w:rPr>
        <w:t>.</w:t>
      </w:r>
    </w:p>
    <w:p w14:paraId="2B1C1B75"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العاصي، محمد أحمد محمد رزق؛ منصورة، محمود إبراهيم. (2025). دور التمويل الجماعي في تمويل مواجهة الأزمات بالتطبيق على قطاع الطاقة في مصر.</w:t>
      </w:r>
      <w:r w:rsidRPr="00BC50C9">
        <w:rPr>
          <w:rFonts w:ascii="Times New Roman" w:hAnsi="Times New Roman" w:cs="Simplified Arabic"/>
          <w:i/>
          <w:iCs/>
          <w:sz w:val="24"/>
          <w:szCs w:val="28"/>
          <w:rtl/>
          <w:lang w:bidi="ar-EG"/>
        </w:rPr>
        <w:t xml:space="preserve"> مجلة راية الدولية للعلوم التجارية بدمياط الجديدة، 4</w:t>
      </w:r>
      <w:r w:rsidRPr="00BC50C9">
        <w:rPr>
          <w:rFonts w:ascii="Times New Roman" w:hAnsi="Times New Roman" w:cs="Simplified Arabic"/>
          <w:sz w:val="24"/>
          <w:szCs w:val="28"/>
          <w:rtl/>
          <w:lang w:bidi="ar-EG"/>
        </w:rPr>
        <w:t>(12)، 1630- 1686.</w:t>
      </w:r>
    </w:p>
    <w:p w14:paraId="705620A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العبادلة، خالد مصطفى؛ راضي، تامر عبد المنعم؛ عباس، محمد. (2023). أدوات التمويل الإسلامي ودورها في دعم المشاريع الريادية في الاقتصاد الفلسطيني. </w:t>
      </w:r>
      <w:r w:rsidRPr="00BC50C9">
        <w:rPr>
          <w:rFonts w:ascii="Times New Roman" w:eastAsia="Calibri" w:hAnsi="Times New Roman" w:cs="Simplified Arabic"/>
          <w:i/>
          <w:iCs/>
          <w:sz w:val="24"/>
          <w:szCs w:val="28"/>
          <w:rtl/>
          <w:lang w:bidi="ar-EG"/>
        </w:rPr>
        <w:t>المجلة العلمية للاقتصاد والتجارة</w:t>
      </w:r>
      <w:r w:rsidRPr="00BC50C9">
        <w:rPr>
          <w:rFonts w:ascii="Times New Roman" w:eastAsia="Calibri" w:hAnsi="Times New Roman" w:cs="Simplified Arabic"/>
          <w:sz w:val="24"/>
          <w:szCs w:val="28"/>
          <w:rtl/>
          <w:lang w:bidi="ar-EG"/>
        </w:rPr>
        <w:t>، (1)، 99-126.</w:t>
      </w:r>
    </w:p>
    <w:p w14:paraId="332ECB7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عبد أبو السعود، سارة أحمد؛ ساري، حلمي خضر محمد. (2017). </w:t>
      </w:r>
      <w:r w:rsidRPr="00BC50C9">
        <w:rPr>
          <w:rFonts w:ascii="Times New Roman" w:eastAsia="Calibri" w:hAnsi="Times New Roman" w:cs="Simplified Arabic"/>
          <w:i/>
          <w:iCs/>
          <w:sz w:val="24"/>
          <w:szCs w:val="28"/>
          <w:rtl/>
          <w:lang w:bidi="ar-EG"/>
        </w:rPr>
        <w:t>المشاريع الريادية للمهندسات الزراعيات الأردنيات: دراسة ميدانية- تحليلية</w:t>
      </w:r>
      <w:r w:rsidRPr="00BC50C9">
        <w:rPr>
          <w:rFonts w:ascii="Times New Roman" w:eastAsia="Calibri" w:hAnsi="Times New Roman" w:cs="Simplified Arabic"/>
          <w:sz w:val="24"/>
          <w:szCs w:val="28"/>
          <w:rtl/>
          <w:lang w:bidi="ar-EG"/>
        </w:rPr>
        <w:t>. (رسالة ماجستير غير منشورة)، الجامعة الأردنية، الأردن.</w:t>
      </w:r>
    </w:p>
    <w:p w14:paraId="2541056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عبد التواب، نورهان محمد. (2024). معالجة المنصات الرقمية لقضايا تمكين المرأة وعلاقتها بمستوى الحضور الاتصالي لدى مستخدميها.</w:t>
      </w:r>
      <w:r w:rsidRPr="00BC50C9">
        <w:rPr>
          <w:rFonts w:ascii="Times New Roman" w:eastAsia="Calibri" w:hAnsi="Times New Roman" w:cs="Simplified Arabic"/>
          <w:sz w:val="24"/>
          <w:szCs w:val="28"/>
          <w:rtl/>
        </w:rPr>
        <w:t xml:space="preserve"> </w:t>
      </w:r>
      <w:r w:rsidRPr="00BC50C9">
        <w:rPr>
          <w:rFonts w:ascii="Times New Roman" w:eastAsia="Calibri" w:hAnsi="Times New Roman" w:cs="Simplified Arabic"/>
          <w:i/>
          <w:iCs/>
          <w:sz w:val="24"/>
          <w:szCs w:val="28"/>
          <w:rtl/>
        </w:rPr>
        <w:t xml:space="preserve">المجلة العلمية لبحوث المرأة والإعلام والمجتمع. 1(2). </w:t>
      </w:r>
      <w:r w:rsidRPr="00BC50C9">
        <w:rPr>
          <w:rFonts w:ascii="Times New Roman" w:eastAsia="Calibri" w:hAnsi="Times New Roman" w:cs="Simplified Arabic"/>
          <w:sz w:val="24"/>
          <w:szCs w:val="28"/>
          <w:rtl/>
        </w:rPr>
        <w:t xml:space="preserve">338-363. </w:t>
      </w:r>
    </w:p>
    <w:p w14:paraId="4A79F4F9"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عبد الحليم، عصام حسني محمد. (2017). الاستدامة المالية في ضوء الفكر الاقتصادي والتجارب الدولية مع التطبيق على مصر. </w:t>
      </w:r>
      <w:r w:rsidRPr="00BC50C9">
        <w:rPr>
          <w:rFonts w:ascii="Times New Roman" w:eastAsia="Calibri" w:hAnsi="Times New Roman" w:cs="Simplified Arabic"/>
          <w:i/>
          <w:iCs/>
          <w:sz w:val="24"/>
          <w:szCs w:val="28"/>
          <w:rtl/>
          <w:lang w:bidi="ar-EG"/>
        </w:rPr>
        <w:t>مجلة البحوث القانونية والاقتصادية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27</w:t>
      </w:r>
      <w:r w:rsidRPr="00BC50C9">
        <w:rPr>
          <w:rFonts w:ascii="Times New Roman" w:eastAsia="Calibri" w:hAnsi="Times New Roman" w:cs="Simplified Arabic"/>
          <w:sz w:val="24"/>
          <w:szCs w:val="28"/>
          <w:rtl/>
          <w:lang w:bidi="ar-EG"/>
        </w:rPr>
        <w:t>(45)، 408-523.</w:t>
      </w:r>
    </w:p>
    <w:p w14:paraId="43B7CE2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kern w:val="2"/>
          <w:sz w:val="24"/>
          <w:szCs w:val="28"/>
          <w:rtl/>
          <w:lang w:bidi="ar-EG"/>
          <w14:ligatures w14:val="standardContextual"/>
        </w:rPr>
      </w:pPr>
      <w:r w:rsidRPr="00BC50C9">
        <w:rPr>
          <w:rFonts w:ascii="Times New Roman" w:eastAsia="Calibri" w:hAnsi="Times New Roman" w:cs="Simplified Arabic" w:hint="cs"/>
          <w:kern w:val="2"/>
          <w:sz w:val="24"/>
          <w:szCs w:val="28"/>
          <w:rtl/>
          <w:lang w:bidi="ar-EG"/>
          <w14:ligatures w14:val="standardContextual"/>
        </w:rPr>
        <w:t>عبد الرحمن، سعد. (2008). القياس النفسي النظرية والتطبيق. طـ5، مصر: هبة النيل العربية للنشر والتوزيع.</w:t>
      </w:r>
    </w:p>
    <w:p w14:paraId="7D6C4B89"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عبد الرحمن، نجلاء إبراهيم؛ </w:t>
      </w:r>
      <w:proofErr w:type="spellStart"/>
      <w:r w:rsidRPr="00BC50C9">
        <w:rPr>
          <w:rFonts w:ascii="Times New Roman" w:eastAsia="Calibri" w:hAnsi="Times New Roman" w:cs="Simplified Arabic"/>
          <w:sz w:val="24"/>
          <w:szCs w:val="28"/>
          <w:rtl/>
          <w:lang w:bidi="ar-EG"/>
        </w:rPr>
        <w:t>النفيعي</w:t>
      </w:r>
      <w:proofErr w:type="spellEnd"/>
      <w:r w:rsidRPr="00BC50C9">
        <w:rPr>
          <w:rFonts w:ascii="Times New Roman" w:eastAsia="Calibri" w:hAnsi="Times New Roman" w:cs="Simplified Arabic"/>
          <w:sz w:val="24"/>
          <w:szCs w:val="28"/>
          <w:rtl/>
          <w:lang w:bidi="ar-EG"/>
        </w:rPr>
        <w:t xml:space="preserve">، ريا محمد. (2020). مدى ارتباط المساءلة المالية بتحقيق الاستدامة المالية في الوحدات الحكومية: دراسة تطبيقية على ديوان المحاسبة العام بمنطقة مكة المكرمة. </w:t>
      </w:r>
      <w:r w:rsidRPr="00BC50C9">
        <w:rPr>
          <w:rFonts w:ascii="Times New Roman" w:eastAsia="Calibri" w:hAnsi="Times New Roman" w:cs="Simplified Arabic"/>
          <w:i/>
          <w:iCs/>
          <w:sz w:val="24"/>
          <w:szCs w:val="28"/>
          <w:rtl/>
          <w:lang w:bidi="ar-EG"/>
        </w:rPr>
        <w:t>مجلة الاقتصاد والمالية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6</w:t>
      </w:r>
      <w:r w:rsidRPr="00BC50C9">
        <w:rPr>
          <w:rFonts w:ascii="Times New Roman" w:eastAsia="Calibri" w:hAnsi="Times New Roman" w:cs="Simplified Arabic"/>
          <w:sz w:val="24"/>
          <w:szCs w:val="28"/>
          <w:rtl/>
          <w:lang w:bidi="ar-EG"/>
        </w:rPr>
        <w:t>(2)، 1-27.</w:t>
      </w:r>
    </w:p>
    <w:p w14:paraId="3E9ACEC4"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عبد العزيز، سلوى محمد. (2020). الاستدامة المالية في الدول المصدرة للنفط: دراسة حالة دول مجلس التعاون الخليجي. </w:t>
      </w:r>
      <w:r w:rsidRPr="00BC50C9">
        <w:rPr>
          <w:rFonts w:ascii="Times New Roman" w:eastAsia="Calibri" w:hAnsi="Times New Roman" w:cs="Simplified Arabic"/>
          <w:i/>
          <w:iCs/>
          <w:sz w:val="24"/>
          <w:szCs w:val="28"/>
          <w:rtl/>
          <w:lang w:bidi="ar-EG"/>
        </w:rPr>
        <w:t>مجلة السياسة والاقتصاد</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9</w:t>
      </w:r>
      <w:r w:rsidRPr="00BC50C9">
        <w:rPr>
          <w:rFonts w:ascii="Times New Roman" w:eastAsia="Calibri" w:hAnsi="Times New Roman" w:cs="Simplified Arabic"/>
          <w:sz w:val="24"/>
          <w:szCs w:val="28"/>
          <w:rtl/>
          <w:lang w:bidi="ar-EG"/>
        </w:rPr>
        <w:t>(8)، 1-53.</w:t>
      </w:r>
    </w:p>
    <w:p w14:paraId="53FB02C1"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Pr>
      </w:pPr>
      <w:r w:rsidRPr="00BC50C9">
        <w:rPr>
          <w:rFonts w:ascii="Times New Roman" w:hAnsi="Times New Roman" w:cs="Simplified Arabic"/>
          <w:sz w:val="24"/>
          <w:szCs w:val="28"/>
          <w:rtl/>
        </w:rPr>
        <w:t xml:space="preserve">عبد الوهاب، صخري. (2021). نحو تعزيز تمويل المشروعات الصغيرة والمتوسطة من خلال التمويل الجماعي ولإقراض النظير للنظير. </w:t>
      </w:r>
      <w:r w:rsidRPr="00BC50C9">
        <w:rPr>
          <w:rFonts w:ascii="Times New Roman" w:hAnsi="Times New Roman" w:cs="Simplified Arabic"/>
          <w:i/>
          <w:iCs/>
          <w:sz w:val="24"/>
          <w:szCs w:val="28"/>
          <w:rtl/>
        </w:rPr>
        <w:t>مجلة اقتصاديات شمال افريقيا</w:t>
      </w:r>
      <w:r w:rsidRPr="00BC50C9">
        <w:rPr>
          <w:rFonts w:ascii="Times New Roman" w:hAnsi="Times New Roman" w:cs="Simplified Arabic"/>
          <w:sz w:val="24"/>
          <w:szCs w:val="28"/>
          <w:rtl/>
        </w:rPr>
        <w:t xml:space="preserve">، </w:t>
      </w:r>
      <w:r w:rsidRPr="00BC50C9">
        <w:rPr>
          <w:rFonts w:ascii="Times New Roman" w:hAnsi="Times New Roman" w:cs="Simplified Arabic"/>
          <w:i/>
          <w:iCs/>
          <w:sz w:val="24"/>
          <w:szCs w:val="28"/>
          <w:rtl/>
        </w:rPr>
        <w:t>18</w:t>
      </w:r>
      <w:r w:rsidRPr="00BC50C9">
        <w:rPr>
          <w:rFonts w:ascii="Times New Roman" w:hAnsi="Times New Roman" w:cs="Simplified Arabic"/>
          <w:sz w:val="24"/>
          <w:szCs w:val="28"/>
          <w:rtl/>
        </w:rPr>
        <w:t>(28)، 317- 338.</w:t>
      </w:r>
    </w:p>
    <w:p w14:paraId="5FA57FE0"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عبده، هاني سعيد. (2015). أثر خصائص الريادة في تكوين الاتجاهات نحو تأسيس المشاريع الريادية بعد التخرج: دراسة مقارنة لطلاب جامعة تبوك ودامعة فهد بن سلطان. </w:t>
      </w:r>
      <w:r w:rsidRPr="00BC50C9">
        <w:rPr>
          <w:rFonts w:ascii="Times New Roman" w:eastAsia="Calibri" w:hAnsi="Times New Roman" w:cs="Simplified Arabic"/>
          <w:i/>
          <w:iCs/>
          <w:sz w:val="24"/>
          <w:szCs w:val="28"/>
          <w:rtl/>
          <w:lang w:bidi="ar-EG"/>
        </w:rPr>
        <w:t>مجلة مركز صالح كامل للاقتصاد الإسلامي</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19</w:t>
      </w:r>
      <w:r w:rsidRPr="00BC50C9">
        <w:rPr>
          <w:rFonts w:ascii="Times New Roman" w:eastAsia="Calibri" w:hAnsi="Times New Roman" w:cs="Simplified Arabic"/>
          <w:sz w:val="24"/>
          <w:szCs w:val="28"/>
          <w:rtl/>
          <w:lang w:bidi="ar-EG"/>
        </w:rPr>
        <w:t>(57)، 283-345.</w:t>
      </w:r>
    </w:p>
    <w:p w14:paraId="6B27A571" w14:textId="0543E0AA" w:rsidR="00D035A1" w:rsidRPr="00BC50C9" w:rsidRDefault="00262F52"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أبو </w:t>
      </w:r>
      <w:r w:rsidR="00D035A1" w:rsidRPr="00BC50C9">
        <w:rPr>
          <w:rFonts w:ascii="Times New Roman" w:eastAsia="Calibri" w:hAnsi="Times New Roman" w:cs="Simplified Arabic"/>
          <w:sz w:val="24"/>
          <w:szCs w:val="28"/>
          <w:rtl/>
          <w:lang w:bidi="ar-EG"/>
        </w:rPr>
        <w:t xml:space="preserve">عجيلة، علاء مصطفى عبد المقصود؛ صبيح، وائل علي أحمد. (2023). دور المشروعات الريادية في الحد من أسباب الفقر في مصر (2000-2021): دراسة تطبيقية. </w:t>
      </w:r>
      <w:r w:rsidR="00D035A1" w:rsidRPr="00BC50C9">
        <w:rPr>
          <w:rFonts w:ascii="Times New Roman" w:eastAsia="Calibri" w:hAnsi="Times New Roman" w:cs="Simplified Arabic"/>
          <w:i/>
          <w:iCs/>
          <w:sz w:val="24"/>
          <w:szCs w:val="28"/>
          <w:rtl/>
          <w:lang w:bidi="ar-EG"/>
        </w:rPr>
        <w:t>مجلة البحوث التجارية- كلية التجارة جامعة الزقازيق</w:t>
      </w:r>
      <w:r w:rsidR="00D035A1" w:rsidRPr="00BC50C9">
        <w:rPr>
          <w:rFonts w:ascii="Times New Roman" w:eastAsia="Calibri" w:hAnsi="Times New Roman" w:cs="Simplified Arabic"/>
          <w:sz w:val="24"/>
          <w:szCs w:val="28"/>
          <w:rtl/>
          <w:lang w:bidi="ar-EG"/>
        </w:rPr>
        <w:t xml:space="preserve">، </w:t>
      </w:r>
      <w:r w:rsidR="00D035A1" w:rsidRPr="00BC50C9">
        <w:rPr>
          <w:rFonts w:ascii="Times New Roman" w:eastAsia="Calibri" w:hAnsi="Times New Roman" w:cs="Simplified Arabic"/>
          <w:i/>
          <w:iCs/>
          <w:sz w:val="24"/>
          <w:szCs w:val="28"/>
          <w:rtl/>
          <w:lang w:bidi="ar-EG"/>
        </w:rPr>
        <w:t>45</w:t>
      </w:r>
      <w:r w:rsidR="00D035A1" w:rsidRPr="00BC50C9">
        <w:rPr>
          <w:rFonts w:ascii="Times New Roman" w:eastAsia="Calibri" w:hAnsi="Times New Roman" w:cs="Simplified Arabic"/>
          <w:sz w:val="24"/>
          <w:szCs w:val="28"/>
          <w:rtl/>
          <w:lang w:bidi="ar-EG"/>
        </w:rPr>
        <w:t>(1)، 561-611.</w:t>
      </w:r>
    </w:p>
    <w:p w14:paraId="6B02BD8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عرفات، سمية. (2024). رؤية مستقبلية لتأثير المنصات الرقمية على مستخدميها. </w:t>
      </w:r>
      <w:r w:rsidRPr="00BC50C9">
        <w:rPr>
          <w:rFonts w:ascii="Times New Roman" w:eastAsia="Calibri" w:hAnsi="Times New Roman" w:cs="Simplified Arabic"/>
          <w:i/>
          <w:iCs/>
          <w:sz w:val="24"/>
          <w:szCs w:val="28"/>
          <w:rtl/>
          <w:lang w:bidi="ar-EG"/>
        </w:rPr>
        <w:t>مجلة الإعلام الرقمي والتنمية المستدامة. (1).</w:t>
      </w:r>
      <w:r w:rsidRPr="00BC50C9">
        <w:rPr>
          <w:rFonts w:ascii="Times New Roman" w:eastAsia="Calibri" w:hAnsi="Times New Roman" w:cs="Simplified Arabic"/>
          <w:sz w:val="24"/>
          <w:szCs w:val="28"/>
          <w:rtl/>
          <w:lang w:bidi="ar-EG"/>
        </w:rPr>
        <w:t xml:space="preserve"> 4-127. </w:t>
      </w:r>
    </w:p>
    <w:p w14:paraId="1ECC199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عصماني، مختار؛ </w:t>
      </w:r>
      <w:proofErr w:type="spellStart"/>
      <w:r w:rsidRPr="00BC50C9">
        <w:rPr>
          <w:rFonts w:ascii="Times New Roman" w:eastAsia="Calibri" w:hAnsi="Times New Roman" w:cs="Simplified Arabic"/>
          <w:sz w:val="24"/>
          <w:szCs w:val="28"/>
          <w:rtl/>
          <w:lang w:bidi="ar-EG"/>
        </w:rPr>
        <w:t>أوكيل</w:t>
      </w:r>
      <w:proofErr w:type="spellEnd"/>
      <w:r w:rsidRPr="00BC50C9">
        <w:rPr>
          <w:rFonts w:ascii="Times New Roman" w:eastAsia="Calibri" w:hAnsi="Times New Roman" w:cs="Simplified Arabic"/>
          <w:sz w:val="24"/>
          <w:szCs w:val="28"/>
          <w:rtl/>
          <w:lang w:bidi="ar-EG"/>
        </w:rPr>
        <w:t xml:space="preserve">، رابح. (2020). تقييم الاستدامة المالية للميزانية العامة في الجزائر. </w:t>
      </w:r>
      <w:r w:rsidRPr="00BC50C9">
        <w:rPr>
          <w:rFonts w:ascii="Times New Roman" w:eastAsia="Calibri" w:hAnsi="Times New Roman" w:cs="Simplified Arabic"/>
          <w:i/>
          <w:iCs/>
          <w:sz w:val="24"/>
          <w:szCs w:val="28"/>
          <w:rtl/>
          <w:lang w:bidi="ar-EG"/>
        </w:rPr>
        <w:t>مجلة العلوم الاقتصادية وعلوم التسيير</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20</w:t>
      </w:r>
      <w:r w:rsidRPr="00BC50C9">
        <w:rPr>
          <w:rFonts w:ascii="Times New Roman" w:eastAsia="Calibri" w:hAnsi="Times New Roman" w:cs="Simplified Arabic"/>
          <w:sz w:val="24"/>
          <w:szCs w:val="28"/>
          <w:rtl/>
          <w:lang w:bidi="ar-EG"/>
        </w:rPr>
        <w:t>(1)، 320-331.</w:t>
      </w:r>
    </w:p>
    <w:p w14:paraId="16FF36D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العكاوي، محمد عيسى قاسم؛ مقدام، محمد إبراهيم حسين. (2018). </w:t>
      </w:r>
      <w:r w:rsidRPr="00BC50C9">
        <w:rPr>
          <w:rFonts w:ascii="Times New Roman" w:eastAsia="Calibri" w:hAnsi="Times New Roman" w:cs="Simplified Arabic"/>
          <w:i/>
          <w:iCs/>
          <w:sz w:val="24"/>
          <w:szCs w:val="28"/>
          <w:rtl/>
          <w:lang w:bidi="ar-EG"/>
        </w:rPr>
        <w:t>دور التمويل بصيغة المضاربة في إنجاح المشاريع الريادية في فلسطين: دراسة حالة: حاضنة أعمال الجامعة الإسلامية وحاضنة الكلية الجامعية في غزة</w:t>
      </w:r>
      <w:r w:rsidRPr="00BC50C9">
        <w:rPr>
          <w:rFonts w:ascii="Times New Roman" w:eastAsia="Calibri" w:hAnsi="Times New Roman" w:cs="Simplified Arabic"/>
          <w:sz w:val="24"/>
          <w:szCs w:val="28"/>
          <w:rtl/>
          <w:lang w:bidi="ar-EG"/>
        </w:rPr>
        <w:t>. (رسالة ماجستير غير منشورة)، الجامعة الإسلامية (غزة)، فلسطين.</w:t>
      </w:r>
    </w:p>
    <w:p w14:paraId="57E870C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عكور، روان فيصل يوسف؛ عبد النسور، مروان محمد. (2020). </w:t>
      </w:r>
      <w:r w:rsidRPr="00BC50C9">
        <w:rPr>
          <w:rFonts w:ascii="Times New Roman" w:eastAsia="Calibri" w:hAnsi="Times New Roman" w:cs="Simplified Arabic"/>
          <w:i/>
          <w:iCs/>
          <w:sz w:val="24"/>
          <w:szCs w:val="28"/>
          <w:rtl/>
          <w:lang w:bidi="ar-EG"/>
        </w:rPr>
        <w:t>أثر استراتيجية العمليات على الخصائص الريادية الديناميكية في المشاريع الريادية الأردنية الصغيرة والمتوسطة الحجم</w:t>
      </w:r>
      <w:r w:rsidRPr="00BC50C9">
        <w:rPr>
          <w:rFonts w:ascii="Times New Roman" w:eastAsia="Calibri" w:hAnsi="Times New Roman" w:cs="Simplified Arabic"/>
          <w:sz w:val="24"/>
          <w:szCs w:val="28"/>
          <w:rtl/>
          <w:lang w:bidi="ar-EG"/>
        </w:rPr>
        <w:t>. (رسالة ماجستير غير منشورة)، جامعة البلقاء التطبيقية، الأردن.</w:t>
      </w:r>
    </w:p>
    <w:p w14:paraId="0B3C9BB4"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علام، أحمد علي. (2023). دراسة ميدانية لقياس مدى استجابة الطلاب لثقافة ريادة الأعمال. </w:t>
      </w:r>
      <w:r w:rsidRPr="00BC50C9">
        <w:rPr>
          <w:rFonts w:ascii="Times New Roman" w:eastAsia="Calibri" w:hAnsi="Times New Roman" w:cs="Simplified Arabic"/>
          <w:i/>
          <w:iCs/>
          <w:sz w:val="24"/>
          <w:szCs w:val="28"/>
          <w:rtl/>
          <w:lang w:bidi="ar-EG"/>
        </w:rPr>
        <w:t>مجلة كلية التربية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34</w:t>
      </w:r>
      <w:r w:rsidRPr="00BC50C9">
        <w:rPr>
          <w:rFonts w:ascii="Times New Roman" w:eastAsia="Calibri" w:hAnsi="Times New Roman" w:cs="Simplified Arabic"/>
          <w:sz w:val="24"/>
          <w:szCs w:val="28"/>
          <w:rtl/>
          <w:lang w:bidi="ar-EG"/>
        </w:rPr>
        <w:t>(136)، 83-106.</w:t>
      </w:r>
    </w:p>
    <w:p w14:paraId="2F2E0E73"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علي، محمد جبار حمد؛ </w:t>
      </w:r>
      <w:proofErr w:type="spellStart"/>
      <w:r w:rsidRPr="00BC50C9">
        <w:rPr>
          <w:rFonts w:ascii="Times New Roman" w:eastAsia="Calibri" w:hAnsi="Times New Roman" w:cs="Simplified Arabic"/>
          <w:sz w:val="24"/>
          <w:szCs w:val="28"/>
          <w:rtl/>
          <w:lang w:bidi="ar-EG"/>
        </w:rPr>
        <w:t>سماقهيى</w:t>
      </w:r>
      <w:proofErr w:type="spellEnd"/>
      <w:r w:rsidRPr="00BC50C9">
        <w:rPr>
          <w:rFonts w:ascii="Times New Roman" w:eastAsia="Calibri" w:hAnsi="Times New Roman" w:cs="Simplified Arabic"/>
          <w:sz w:val="24"/>
          <w:szCs w:val="28"/>
          <w:rtl/>
          <w:lang w:bidi="ar-EG"/>
        </w:rPr>
        <w:t xml:space="preserve">، أيوب أنور حمد. (2024). قياس أثر الاستدامة المالية في إقليم كوردستان- العراق: دراسة مالية فلسفية. </w:t>
      </w:r>
      <w:r w:rsidRPr="00BC50C9">
        <w:rPr>
          <w:rFonts w:ascii="Times New Roman" w:eastAsia="Calibri" w:hAnsi="Times New Roman" w:cs="Simplified Arabic"/>
          <w:i/>
          <w:iCs/>
          <w:sz w:val="24"/>
          <w:szCs w:val="28"/>
          <w:rtl/>
          <w:lang w:bidi="ar-EG"/>
        </w:rPr>
        <w:t>العلوم الاقتصادية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19</w:t>
      </w:r>
      <w:r w:rsidRPr="00BC50C9">
        <w:rPr>
          <w:rFonts w:ascii="Times New Roman" w:eastAsia="Calibri" w:hAnsi="Times New Roman" w:cs="Simplified Arabic"/>
          <w:sz w:val="24"/>
          <w:szCs w:val="28"/>
          <w:rtl/>
          <w:lang w:bidi="ar-EG"/>
        </w:rPr>
        <w:t>(72)، 68-90.</w:t>
      </w:r>
    </w:p>
    <w:p w14:paraId="14ED2540"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علي، </w:t>
      </w:r>
      <w:proofErr w:type="spellStart"/>
      <w:r w:rsidRPr="00BC50C9">
        <w:rPr>
          <w:rFonts w:ascii="Times New Roman" w:eastAsia="Calibri" w:hAnsi="Times New Roman" w:cs="Simplified Arabic"/>
          <w:sz w:val="24"/>
          <w:szCs w:val="28"/>
          <w:rtl/>
          <w:lang w:bidi="ar-EG"/>
        </w:rPr>
        <w:t>يوسفات</w:t>
      </w:r>
      <w:proofErr w:type="spellEnd"/>
      <w:r w:rsidRPr="00BC50C9">
        <w:rPr>
          <w:rFonts w:ascii="Times New Roman" w:eastAsia="Calibri" w:hAnsi="Times New Roman" w:cs="Simplified Arabic"/>
          <w:sz w:val="24"/>
          <w:szCs w:val="28"/>
          <w:rtl/>
          <w:lang w:bidi="ar-EG"/>
        </w:rPr>
        <w:t xml:space="preserve">. (2024). التمويل الجماعي (الجماهيري)-الماهية والأساسيات. </w:t>
      </w:r>
      <w:r w:rsidRPr="00BC50C9">
        <w:rPr>
          <w:rFonts w:ascii="Times New Roman" w:eastAsia="Calibri" w:hAnsi="Times New Roman" w:cs="Simplified Arabic"/>
          <w:i/>
          <w:iCs/>
          <w:sz w:val="24"/>
          <w:szCs w:val="28"/>
          <w:rtl/>
          <w:lang w:bidi="ar-EG"/>
        </w:rPr>
        <w:t>مجلة النمو الاقتصادي وريادة الأعمال. 7(3).</w:t>
      </w:r>
      <w:r w:rsidRPr="00BC50C9">
        <w:rPr>
          <w:rFonts w:ascii="Times New Roman" w:eastAsia="Calibri" w:hAnsi="Times New Roman" w:cs="Simplified Arabic"/>
          <w:sz w:val="24"/>
          <w:szCs w:val="28"/>
          <w:rtl/>
          <w:lang w:bidi="ar-EG"/>
        </w:rPr>
        <w:t xml:space="preserve"> 69-90. </w:t>
      </w:r>
    </w:p>
    <w:p w14:paraId="68BAC910"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عيسى، ثروت عبد الحميد عبد الحافظ؛ حسين، محمد فتحي عبد الفتاح. (2019). تحقيق الاستدامة المالية بالجامعات المصرية في ضوء تجارب بعض الجامعات الأجنبية: دراسة تحليلية. </w:t>
      </w:r>
      <w:r w:rsidRPr="00BC50C9">
        <w:rPr>
          <w:rFonts w:ascii="Times New Roman" w:eastAsia="Calibri" w:hAnsi="Times New Roman" w:cs="Simplified Arabic"/>
          <w:i/>
          <w:iCs/>
          <w:sz w:val="24"/>
          <w:szCs w:val="28"/>
          <w:rtl/>
          <w:lang w:bidi="ar-EG"/>
        </w:rPr>
        <w:t>مجلة الإدارة التربوية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6</w:t>
      </w:r>
      <w:r w:rsidRPr="00BC50C9">
        <w:rPr>
          <w:rFonts w:ascii="Times New Roman" w:eastAsia="Calibri" w:hAnsi="Times New Roman" w:cs="Simplified Arabic"/>
          <w:sz w:val="24"/>
          <w:szCs w:val="28"/>
          <w:rtl/>
          <w:lang w:bidi="ar-EG"/>
        </w:rPr>
        <w:t>(22)، 11-110.</w:t>
      </w:r>
    </w:p>
    <w:p w14:paraId="60C0493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غازي، سمر الأمير غازي عبد الحميد؛ الجزار، فاروق فتحي السيد. (2020). دور ريادة الأعمال في تحقيق أهداف التنمية المستدامة مع الإشارة إلى الواقع المصري. </w:t>
      </w:r>
      <w:r w:rsidRPr="00BC50C9">
        <w:rPr>
          <w:rFonts w:ascii="Times New Roman" w:eastAsia="Calibri" w:hAnsi="Times New Roman" w:cs="Simplified Arabic"/>
          <w:i/>
          <w:iCs/>
          <w:sz w:val="24"/>
          <w:szCs w:val="28"/>
          <w:rtl/>
          <w:lang w:bidi="ar-EG"/>
        </w:rPr>
        <w:t>مجلة التجارة والتمويل</w:t>
      </w:r>
      <w:r w:rsidRPr="00BC50C9">
        <w:rPr>
          <w:rFonts w:ascii="Times New Roman" w:eastAsia="Calibri" w:hAnsi="Times New Roman" w:cs="Simplified Arabic"/>
          <w:sz w:val="24"/>
          <w:szCs w:val="28"/>
          <w:rtl/>
          <w:lang w:bidi="ar-EG"/>
        </w:rPr>
        <w:t>، 1-35.</w:t>
      </w:r>
    </w:p>
    <w:p w14:paraId="4BC5E473"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غدار، رفيق. (2021). الوساطة المالية وعدم النمو الاقتصادي: أهميتها وآلياتها بين المدخلين التقليدي والإسلامي- دراسة حالة الجزائر. </w:t>
      </w:r>
      <w:r w:rsidRPr="00BC50C9">
        <w:rPr>
          <w:rFonts w:ascii="Times New Roman" w:eastAsia="Calibri" w:hAnsi="Times New Roman" w:cs="Simplified Arabic"/>
          <w:i/>
          <w:iCs/>
          <w:sz w:val="24"/>
          <w:szCs w:val="28"/>
          <w:rtl/>
          <w:lang w:bidi="ar-EG"/>
        </w:rPr>
        <w:t>المجلة الجزائرية للتنمية الاقتصادية.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 xml:space="preserve">8(2). </w:t>
      </w:r>
      <w:r w:rsidRPr="00BC50C9">
        <w:rPr>
          <w:rFonts w:ascii="Times New Roman" w:eastAsia="Calibri" w:hAnsi="Times New Roman" w:cs="Simplified Arabic"/>
          <w:sz w:val="24"/>
          <w:szCs w:val="28"/>
          <w:rtl/>
          <w:lang w:bidi="ar-EG"/>
        </w:rPr>
        <w:t xml:space="preserve">297-312. </w:t>
      </w:r>
    </w:p>
    <w:p w14:paraId="01D9FA54"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غلاب، فاتح. (2022). التقرير ومراجعة الاستدامة: حالة مؤسسة سابك "</w:t>
      </w:r>
      <w:r w:rsidRPr="00BC50C9">
        <w:rPr>
          <w:rFonts w:ascii="Times New Roman" w:eastAsia="Calibri" w:hAnsi="Times New Roman" w:cs="Simplified Arabic"/>
          <w:sz w:val="24"/>
          <w:szCs w:val="28"/>
          <w:lang w:bidi="ar-EG"/>
        </w:rPr>
        <w:t>SABIC</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مجلة دفاتر اقتصادية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13</w:t>
      </w:r>
      <w:r w:rsidRPr="00BC50C9">
        <w:rPr>
          <w:rFonts w:ascii="Times New Roman" w:eastAsia="Calibri" w:hAnsi="Times New Roman" w:cs="Simplified Arabic"/>
          <w:sz w:val="24"/>
          <w:szCs w:val="28"/>
          <w:rtl/>
          <w:lang w:bidi="ar-EG"/>
        </w:rPr>
        <w:t>(1)، 80-96.</w:t>
      </w:r>
    </w:p>
    <w:p w14:paraId="2265273C"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غندور، حمزة؛ طايبي، رتيبة. (2022). ريادة الأعمال الرقمية ودورها في تحقيق تنافسية المؤسسات الاقتصادية (دراسة تحليلية). </w:t>
      </w:r>
      <w:r w:rsidRPr="00BC50C9">
        <w:rPr>
          <w:rFonts w:ascii="Times New Roman" w:hAnsi="Times New Roman" w:cs="Simplified Arabic"/>
          <w:i/>
          <w:iCs/>
          <w:sz w:val="24"/>
          <w:szCs w:val="28"/>
          <w:rtl/>
        </w:rPr>
        <w:t>مجلة العلوم القانونية والاجتماعية. 7(2).</w:t>
      </w:r>
      <w:r w:rsidRPr="00BC50C9">
        <w:rPr>
          <w:rFonts w:ascii="Times New Roman" w:hAnsi="Times New Roman" w:cs="Simplified Arabic"/>
          <w:sz w:val="24"/>
          <w:szCs w:val="28"/>
          <w:rtl/>
        </w:rPr>
        <w:t xml:space="preserve"> 1121-1137.</w:t>
      </w:r>
    </w:p>
    <w:p w14:paraId="72A62FE7"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Pr>
      </w:pPr>
      <w:r w:rsidRPr="00BC50C9">
        <w:rPr>
          <w:rFonts w:ascii="Times New Roman" w:hAnsi="Times New Roman" w:cs="Simplified Arabic"/>
          <w:sz w:val="24"/>
          <w:szCs w:val="28"/>
          <w:rtl/>
        </w:rPr>
        <w:t xml:space="preserve">فرج الله، أحلام؛ حمادي، </w:t>
      </w:r>
      <w:proofErr w:type="spellStart"/>
      <w:r w:rsidRPr="00BC50C9">
        <w:rPr>
          <w:rFonts w:ascii="Times New Roman" w:hAnsi="Times New Roman" w:cs="Simplified Arabic"/>
          <w:sz w:val="24"/>
          <w:szCs w:val="28"/>
          <w:rtl/>
        </w:rPr>
        <w:t>موراد</w:t>
      </w:r>
      <w:proofErr w:type="spellEnd"/>
      <w:r w:rsidRPr="00BC50C9">
        <w:rPr>
          <w:rFonts w:ascii="Times New Roman" w:hAnsi="Times New Roman" w:cs="Simplified Arabic"/>
          <w:sz w:val="24"/>
          <w:szCs w:val="28"/>
          <w:rtl/>
        </w:rPr>
        <w:t xml:space="preserve">. (2022).  أهمية التمويل التشاركي في تحقيق التنمية الاجتماعية المستدامة "دراسة لبعض الصناديق الوقفية". </w:t>
      </w:r>
      <w:r w:rsidRPr="00BC50C9">
        <w:rPr>
          <w:rFonts w:ascii="Times New Roman" w:hAnsi="Times New Roman" w:cs="Simplified Arabic"/>
          <w:i/>
          <w:iCs/>
          <w:sz w:val="24"/>
          <w:szCs w:val="28"/>
          <w:rtl/>
        </w:rPr>
        <w:t>مجلة الاقتصاد والتنمية المستدامة</w:t>
      </w:r>
      <w:r w:rsidRPr="00BC50C9">
        <w:rPr>
          <w:rFonts w:ascii="Times New Roman" w:hAnsi="Times New Roman" w:cs="Simplified Arabic"/>
          <w:sz w:val="24"/>
          <w:szCs w:val="28"/>
          <w:rtl/>
        </w:rPr>
        <w:t xml:space="preserve">، </w:t>
      </w:r>
      <w:r w:rsidRPr="00BC50C9">
        <w:rPr>
          <w:rFonts w:ascii="Times New Roman" w:hAnsi="Times New Roman" w:cs="Simplified Arabic"/>
          <w:i/>
          <w:iCs/>
          <w:sz w:val="24"/>
          <w:szCs w:val="28"/>
          <w:rtl/>
        </w:rPr>
        <w:t>5</w:t>
      </w:r>
      <w:r w:rsidRPr="00BC50C9">
        <w:rPr>
          <w:rFonts w:ascii="Times New Roman" w:hAnsi="Times New Roman" w:cs="Simplified Arabic"/>
          <w:sz w:val="24"/>
          <w:szCs w:val="28"/>
          <w:rtl/>
        </w:rPr>
        <w:t>(2)، 653- 672.</w:t>
      </w:r>
    </w:p>
    <w:p w14:paraId="6C88AE4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فرحات، حسام محمد سليمان؛ حلس، سالم عبد </w:t>
      </w:r>
      <w:proofErr w:type="spellStart"/>
      <w:r w:rsidRPr="00BC50C9">
        <w:rPr>
          <w:rFonts w:ascii="Times New Roman" w:eastAsia="Calibri" w:hAnsi="Times New Roman" w:cs="Simplified Arabic"/>
          <w:sz w:val="24"/>
          <w:szCs w:val="28"/>
          <w:rtl/>
          <w:lang w:bidi="ar-EG"/>
        </w:rPr>
        <w:t>ااالله</w:t>
      </w:r>
      <w:proofErr w:type="spellEnd"/>
      <w:r w:rsidRPr="00BC50C9">
        <w:rPr>
          <w:rFonts w:ascii="Times New Roman" w:eastAsia="Calibri" w:hAnsi="Times New Roman" w:cs="Simplified Arabic"/>
          <w:sz w:val="24"/>
          <w:szCs w:val="28"/>
          <w:rtl/>
          <w:lang w:bidi="ar-EG"/>
        </w:rPr>
        <w:t xml:space="preserve"> سالم. (2018). </w:t>
      </w:r>
      <w:r w:rsidRPr="00BC50C9">
        <w:rPr>
          <w:rFonts w:ascii="Times New Roman" w:eastAsia="Calibri" w:hAnsi="Times New Roman" w:cs="Simplified Arabic"/>
          <w:i/>
          <w:iCs/>
          <w:sz w:val="24"/>
          <w:szCs w:val="28"/>
          <w:rtl/>
          <w:lang w:bidi="ar-EG"/>
        </w:rPr>
        <w:t xml:space="preserve">أثر استخدام البرامج المحاسبية المحوسبة على تسحين الأداء المالي للمشاريع الريادية في فلسطين: دراسة حالة: حاضنة </w:t>
      </w:r>
      <w:proofErr w:type="spellStart"/>
      <w:r w:rsidRPr="00BC50C9">
        <w:rPr>
          <w:rFonts w:ascii="Times New Roman" w:eastAsia="Calibri" w:hAnsi="Times New Roman" w:cs="Simplified Arabic"/>
          <w:i/>
          <w:iCs/>
          <w:sz w:val="24"/>
          <w:szCs w:val="28"/>
          <w:rtl/>
          <w:lang w:bidi="ar-EG"/>
        </w:rPr>
        <w:t>يوكاس</w:t>
      </w:r>
      <w:proofErr w:type="spellEnd"/>
      <w:r w:rsidRPr="00BC50C9">
        <w:rPr>
          <w:rFonts w:ascii="Times New Roman" w:eastAsia="Calibri" w:hAnsi="Times New Roman" w:cs="Simplified Arabic"/>
          <w:i/>
          <w:iCs/>
          <w:sz w:val="24"/>
          <w:szCs w:val="28"/>
          <w:rtl/>
          <w:lang w:bidi="ar-EG"/>
        </w:rPr>
        <w:t xml:space="preserve"> التكنولوجية- الكلية الجامعية للعلوم التطبيقية</w:t>
      </w:r>
      <w:r w:rsidRPr="00BC50C9">
        <w:rPr>
          <w:rFonts w:ascii="Times New Roman" w:eastAsia="Calibri" w:hAnsi="Times New Roman" w:cs="Simplified Arabic"/>
          <w:sz w:val="24"/>
          <w:szCs w:val="28"/>
          <w:rtl/>
          <w:lang w:bidi="ar-EG"/>
        </w:rPr>
        <w:t>. (رسالة ماجستير غير منشورة)، الجامعة الإسلامية (غزة)، فلسطين.</w:t>
      </w:r>
    </w:p>
    <w:p w14:paraId="529288E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فرقة البحث إدارة الأعمال </w:t>
      </w:r>
      <w:proofErr w:type="spellStart"/>
      <w:r w:rsidRPr="00BC50C9">
        <w:rPr>
          <w:rFonts w:ascii="Times New Roman" w:eastAsia="Calibri" w:hAnsi="Times New Roman" w:cs="Simplified Arabic"/>
          <w:sz w:val="24"/>
          <w:szCs w:val="28"/>
          <w:rtl/>
          <w:lang w:bidi="ar-EG"/>
        </w:rPr>
        <w:t>المقاولاتية</w:t>
      </w:r>
      <w:proofErr w:type="spellEnd"/>
      <w:r w:rsidRPr="00BC50C9">
        <w:rPr>
          <w:rFonts w:ascii="Times New Roman" w:eastAsia="Calibri" w:hAnsi="Times New Roman" w:cs="Simplified Arabic"/>
          <w:sz w:val="24"/>
          <w:szCs w:val="28"/>
          <w:rtl/>
          <w:lang w:bidi="ar-EG"/>
        </w:rPr>
        <w:t xml:space="preserve"> والتنمية المحلية المستدامة. (2019). </w:t>
      </w:r>
      <w:r w:rsidRPr="00BC50C9">
        <w:rPr>
          <w:rFonts w:ascii="Times New Roman" w:eastAsia="Calibri" w:hAnsi="Times New Roman" w:cs="Simplified Arabic"/>
          <w:i/>
          <w:iCs/>
          <w:sz w:val="24"/>
          <w:szCs w:val="28"/>
          <w:rtl/>
          <w:lang w:bidi="ar-EG"/>
        </w:rPr>
        <w:t>الإبداع، ريادة الأعمال والتنمية الإقليمية (المحلية) المستدامة: دراسات ميدانية وتجارب رائدة</w:t>
      </w:r>
      <w:r w:rsidRPr="00BC50C9">
        <w:rPr>
          <w:rFonts w:ascii="Times New Roman" w:eastAsia="Calibri" w:hAnsi="Times New Roman" w:cs="Simplified Arabic"/>
          <w:sz w:val="24"/>
          <w:szCs w:val="28"/>
          <w:rtl/>
          <w:lang w:bidi="ar-EG"/>
        </w:rPr>
        <w:t>. منشورات مخبر الطرق الكمية في العلوم الاقتصادية وعلوم إدارة الأعمال وتطبيقاتها من أجل التنمية المستدامة.</w:t>
      </w:r>
    </w:p>
    <w:p w14:paraId="4C432414"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lang w:bidi="ar-EG"/>
        </w:rPr>
      </w:pPr>
      <w:r w:rsidRPr="00BC50C9">
        <w:rPr>
          <w:rFonts w:ascii="Times New Roman" w:hAnsi="Times New Roman" w:cs="Simplified Arabic" w:hint="cs"/>
          <w:sz w:val="24"/>
          <w:szCs w:val="28"/>
          <w:rtl/>
          <w:lang w:bidi="ar-EG"/>
        </w:rPr>
        <w:t>الفضل، مؤيد عبد الحسين. (2019</w:t>
      </w:r>
      <w:proofErr w:type="gramStart"/>
      <w:r w:rsidRPr="00BC50C9">
        <w:rPr>
          <w:rFonts w:ascii="Times New Roman" w:hAnsi="Times New Roman" w:cs="Simplified Arabic" w:hint="cs"/>
          <w:sz w:val="24"/>
          <w:szCs w:val="28"/>
          <w:rtl/>
          <w:lang w:bidi="ar-EG"/>
        </w:rPr>
        <w:t>).</w:t>
      </w:r>
      <w:r w:rsidRPr="00BC50C9">
        <w:rPr>
          <w:rFonts w:ascii="Times New Roman" w:hAnsi="Times New Roman" w:cs="Simplified Arabic" w:hint="eastAsia"/>
          <w:sz w:val="24"/>
          <w:szCs w:val="28"/>
          <w:rtl/>
          <w:lang w:bidi="ar-EG"/>
        </w:rPr>
        <w:t>المنهج</w:t>
      </w:r>
      <w:proofErr w:type="gramEnd"/>
      <w:r w:rsidRPr="00BC50C9">
        <w:rPr>
          <w:rFonts w:ascii="Times New Roman" w:hAnsi="Times New Roman" w:cs="Simplified Arabic"/>
          <w:sz w:val="24"/>
          <w:szCs w:val="28"/>
          <w:rtl/>
          <w:lang w:bidi="ar-EG"/>
        </w:rPr>
        <w:t xml:space="preserve"> </w:t>
      </w:r>
      <w:r w:rsidRPr="00BC50C9">
        <w:rPr>
          <w:rFonts w:ascii="Times New Roman" w:hAnsi="Times New Roman" w:cs="Simplified Arabic" w:hint="eastAsia"/>
          <w:sz w:val="24"/>
          <w:szCs w:val="28"/>
          <w:rtl/>
          <w:lang w:bidi="ar-EG"/>
        </w:rPr>
        <w:t>الكمي</w:t>
      </w:r>
      <w:r w:rsidRPr="00BC50C9">
        <w:rPr>
          <w:rFonts w:ascii="Times New Roman" w:hAnsi="Times New Roman" w:cs="Simplified Arabic"/>
          <w:sz w:val="24"/>
          <w:szCs w:val="28"/>
          <w:rtl/>
          <w:lang w:bidi="ar-EG"/>
        </w:rPr>
        <w:t xml:space="preserve"> </w:t>
      </w:r>
      <w:r w:rsidRPr="00BC50C9">
        <w:rPr>
          <w:rFonts w:ascii="Times New Roman" w:hAnsi="Times New Roman" w:cs="Simplified Arabic" w:hint="eastAsia"/>
          <w:sz w:val="24"/>
          <w:szCs w:val="28"/>
          <w:rtl/>
          <w:lang w:bidi="ar-EG"/>
        </w:rPr>
        <w:t>في</w:t>
      </w:r>
      <w:r w:rsidRPr="00BC50C9">
        <w:rPr>
          <w:rFonts w:ascii="Times New Roman" w:hAnsi="Times New Roman" w:cs="Simplified Arabic"/>
          <w:sz w:val="24"/>
          <w:szCs w:val="28"/>
          <w:rtl/>
          <w:lang w:bidi="ar-EG"/>
        </w:rPr>
        <w:t xml:space="preserve"> </w:t>
      </w:r>
      <w:r w:rsidRPr="00BC50C9">
        <w:rPr>
          <w:rFonts w:ascii="Times New Roman" w:hAnsi="Times New Roman" w:cs="Simplified Arabic" w:hint="eastAsia"/>
          <w:sz w:val="24"/>
          <w:szCs w:val="28"/>
          <w:rtl/>
          <w:lang w:bidi="ar-EG"/>
        </w:rPr>
        <w:t>اتخاذ</w:t>
      </w:r>
      <w:r w:rsidRPr="00BC50C9">
        <w:rPr>
          <w:rFonts w:ascii="Times New Roman" w:hAnsi="Times New Roman" w:cs="Simplified Arabic"/>
          <w:sz w:val="24"/>
          <w:szCs w:val="28"/>
          <w:rtl/>
          <w:lang w:bidi="ar-EG"/>
        </w:rPr>
        <w:t xml:space="preserve"> </w:t>
      </w:r>
      <w:r w:rsidRPr="00BC50C9">
        <w:rPr>
          <w:rFonts w:ascii="Times New Roman" w:hAnsi="Times New Roman" w:cs="Simplified Arabic" w:hint="eastAsia"/>
          <w:sz w:val="24"/>
          <w:szCs w:val="28"/>
          <w:rtl/>
          <w:lang w:bidi="ar-EG"/>
        </w:rPr>
        <w:t>القرارات</w:t>
      </w:r>
      <w:r w:rsidRPr="00BC50C9">
        <w:rPr>
          <w:rFonts w:ascii="Times New Roman" w:hAnsi="Times New Roman" w:cs="Simplified Arabic"/>
          <w:sz w:val="24"/>
          <w:szCs w:val="28"/>
          <w:rtl/>
          <w:lang w:bidi="ar-EG"/>
        </w:rPr>
        <w:t xml:space="preserve"> </w:t>
      </w:r>
      <w:r w:rsidRPr="00BC50C9">
        <w:rPr>
          <w:rFonts w:ascii="Times New Roman" w:hAnsi="Times New Roman" w:cs="Simplified Arabic" w:hint="cs"/>
          <w:sz w:val="24"/>
          <w:szCs w:val="28"/>
          <w:rtl/>
          <w:lang w:bidi="ar-EG"/>
        </w:rPr>
        <w:t>الإدارية</w:t>
      </w:r>
      <w:r w:rsidRPr="00BC50C9">
        <w:rPr>
          <w:rFonts w:ascii="Times New Roman" w:hAnsi="Times New Roman" w:cs="Simplified Arabic"/>
          <w:sz w:val="24"/>
          <w:szCs w:val="28"/>
          <w:rtl/>
          <w:lang w:bidi="ar-EG"/>
        </w:rPr>
        <w:t xml:space="preserve"> </w:t>
      </w:r>
      <w:r w:rsidRPr="00BC50C9">
        <w:rPr>
          <w:rFonts w:ascii="Times New Roman" w:hAnsi="Times New Roman" w:cs="Simplified Arabic" w:hint="eastAsia"/>
          <w:sz w:val="24"/>
          <w:szCs w:val="28"/>
          <w:rtl/>
          <w:lang w:bidi="ar-EG"/>
        </w:rPr>
        <w:t>المثلى</w:t>
      </w:r>
      <w:r w:rsidRPr="00BC50C9">
        <w:rPr>
          <w:rFonts w:ascii="Times New Roman" w:hAnsi="Times New Roman" w:cs="Simplified Arabic" w:hint="cs"/>
          <w:sz w:val="24"/>
          <w:szCs w:val="28"/>
          <w:rtl/>
          <w:lang w:bidi="ar-EG"/>
        </w:rPr>
        <w:t>. عمان: دار اليازوري العلمية للنشر والتوزيع.</w:t>
      </w:r>
    </w:p>
    <w:p w14:paraId="46CBEBD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الفليت</w:t>
      </w:r>
      <w:proofErr w:type="spellEnd"/>
      <w:r w:rsidRPr="00BC50C9">
        <w:rPr>
          <w:rFonts w:ascii="Times New Roman" w:eastAsia="Calibri" w:hAnsi="Times New Roman" w:cs="Simplified Arabic"/>
          <w:sz w:val="24"/>
          <w:szCs w:val="28"/>
          <w:rtl/>
          <w:lang w:bidi="ar-EG"/>
        </w:rPr>
        <w:t xml:space="preserve">، خلود عطية أحمد؛ بحر، محمد خضر عبد. (2021). الإدارة الفعالة للموارد المادية والمالية ودورها في جودة مخرجات المشاريع الريادية: دراسة تطبيقية مقارنة على حاضنات الأعمال في الكلية الجامعية للعلوم التطبيقية والجامعة الإسلامية بغزة- فلسطين. </w:t>
      </w:r>
      <w:r w:rsidRPr="00BC50C9">
        <w:rPr>
          <w:rFonts w:ascii="Times New Roman" w:eastAsia="Calibri" w:hAnsi="Times New Roman" w:cs="Simplified Arabic"/>
          <w:i/>
          <w:iCs/>
          <w:sz w:val="24"/>
          <w:szCs w:val="28"/>
          <w:rtl/>
          <w:lang w:bidi="ar-EG"/>
        </w:rPr>
        <w:t>المجلة العالمية للاقتصاد والأعمال</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11</w:t>
      </w:r>
      <w:r w:rsidRPr="00BC50C9">
        <w:rPr>
          <w:rFonts w:ascii="Times New Roman" w:eastAsia="Calibri" w:hAnsi="Times New Roman" w:cs="Simplified Arabic"/>
          <w:sz w:val="24"/>
          <w:szCs w:val="28"/>
          <w:rtl/>
          <w:lang w:bidi="ar-EG"/>
        </w:rPr>
        <w:t>(2)، 204-228.</w:t>
      </w:r>
    </w:p>
    <w:p w14:paraId="182318A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قصقص، جواد محمود؛ </w:t>
      </w:r>
      <w:proofErr w:type="spellStart"/>
      <w:r w:rsidRPr="00BC50C9">
        <w:rPr>
          <w:rFonts w:ascii="Times New Roman" w:eastAsia="Calibri" w:hAnsi="Times New Roman" w:cs="Simplified Arabic"/>
          <w:sz w:val="24"/>
          <w:szCs w:val="28"/>
          <w:rtl/>
          <w:lang w:bidi="ar-EG"/>
        </w:rPr>
        <w:t>العواطلي</w:t>
      </w:r>
      <w:proofErr w:type="spellEnd"/>
      <w:r w:rsidRPr="00BC50C9">
        <w:rPr>
          <w:rFonts w:ascii="Times New Roman" w:eastAsia="Calibri" w:hAnsi="Times New Roman" w:cs="Simplified Arabic"/>
          <w:sz w:val="24"/>
          <w:szCs w:val="28"/>
          <w:rtl/>
          <w:lang w:bidi="ar-EG"/>
        </w:rPr>
        <w:t xml:space="preserve">، محمود توفيق؛ الطالب، غسان سالم صالح. (2015). </w:t>
      </w:r>
      <w:r w:rsidRPr="00BC50C9">
        <w:rPr>
          <w:rFonts w:ascii="Times New Roman" w:eastAsia="Calibri" w:hAnsi="Times New Roman" w:cs="Simplified Arabic"/>
          <w:i/>
          <w:iCs/>
          <w:sz w:val="24"/>
          <w:szCs w:val="28"/>
          <w:rtl/>
          <w:lang w:bidi="ar-EG"/>
        </w:rPr>
        <w:t>أثر استخدام صيغ التمويل الإسلامي في مميزات مشاريع الأعمال الريادية: دراسة استكشافية على المصارف الإسلامية العاملة في الأردن</w:t>
      </w:r>
      <w:r w:rsidRPr="00BC50C9">
        <w:rPr>
          <w:rFonts w:ascii="Times New Roman" w:eastAsia="Calibri" w:hAnsi="Times New Roman" w:cs="Simplified Arabic"/>
          <w:sz w:val="24"/>
          <w:szCs w:val="28"/>
          <w:rtl/>
          <w:lang w:bidi="ar-EG"/>
        </w:rPr>
        <w:t>. (رسالة دكتوراة غير منشورة)، جامعة العلوم الإسلامية العالمية، الأردن.</w:t>
      </w:r>
    </w:p>
    <w:p w14:paraId="15769DE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قندوز، عبد الكريم أحمد موسى. (2020). تطوير مقاييس ومؤشرات للقدرة والاستدامة المالية للأوقاف. </w:t>
      </w:r>
      <w:r w:rsidRPr="00BC50C9">
        <w:rPr>
          <w:rFonts w:ascii="Times New Roman" w:eastAsia="Calibri" w:hAnsi="Times New Roman" w:cs="Simplified Arabic"/>
          <w:i/>
          <w:iCs/>
          <w:sz w:val="24"/>
          <w:szCs w:val="28"/>
          <w:rtl/>
          <w:lang w:bidi="ar-EG"/>
        </w:rPr>
        <w:t>مجلة وقف</w:t>
      </w:r>
      <w:r w:rsidRPr="00BC50C9">
        <w:rPr>
          <w:rFonts w:ascii="Times New Roman" w:eastAsia="Calibri" w:hAnsi="Times New Roman" w:cs="Simplified Arabic"/>
          <w:sz w:val="24"/>
          <w:szCs w:val="28"/>
          <w:rtl/>
          <w:lang w:bidi="ar-EG"/>
        </w:rPr>
        <w:t>، (1)، 75-133.</w:t>
      </w:r>
    </w:p>
    <w:p w14:paraId="0295A1AF"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قيطون</w:t>
      </w:r>
      <w:proofErr w:type="spellEnd"/>
      <w:r w:rsidRPr="00BC50C9">
        <w:rPr>
          <w:rFonts w:ascii="Times New Roman" w:eastAsia="Calibri" w:hAnsi="Times New Roman" w:cs="Simplified Arabic"/>
          <w:sz w:val="24"/>
          <w:szCs w:val="28"/>
          <w:rtl/>
          <w:lang w:bidi="ar-EG"/>
        </w:rPr>
        <w:t xml:space="preserve">، أمينة؛ عمر، شهرزاد؛ طوال، سمية. (2022). </w:t>
      </w:r>
      <w:r w:rsidRPr="00BC50C9">
        <w:rPr>
          <w:rFonts w:ascii="Times New Roman" w:eastAsia="Calibri" w:hAnsi="Times New Roman" w:cs="Simplified Arabic"/>
          <w:i/>
          <w:iCs/>
          <w:sz w:val="24"/>
          <w:szCs w:val="28"/>
          <w:rtl/>
          <w:lang w:bidi="ar-EG"/>
        </w:rPr>
        <w:t>الأرشفة الإلكترونية للوثائق في الجامعة الجزائرية رئاسة جامعة الجلفة زيان عاشور نموذجًا</w:t>
      </w:r>
      <w:r w:rsidRPr="00BC50C9">
        <w:rPr>
          <w:rFonts w:ascii="Times New Roman" w:eastAsia="Calibri" w:hAnsi="Times New Roman" w:cs="Simplified Arabic"/>
          <w:sz w:val="24"/>
          <w:szCs w:val="28"/>
          <w:rtl/>
          <w:lang w:bidi="ar-EG"/>
        </w:rPr>
        <w:t xml:space="preserve">. (رسالة ماجستير غير منشورة). جامعة ابن خلدون – تيارت، الجزائر. </w:t>
      </w:r>
    </w:p>
    <w:p w14:paraId="4168717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الكيلاني، عادل عبد </w:t>
      </w:r>
      <w:proofErr w:type="spellStart"/>
      <w:r w:rsidRPr="00BC50C9">
        <w:rPr>
          <w:rFonts w:ascii="Times New Roman" w:eastAsia="Calibri" w:hAnsi="Times New Roman" w:cs="Simplified Arabic"/>
          <w:sz w:val="24"/>
          <w:szCs w:val="28"/>
          <w:rtl/>
          <w:lang w:bidi="ar-EG"/>
        </w:rPr>
        <w:t>االله</w:t>
      </w:r>
      <w:proofErr w:type="spellEnd"/>
      <w:r w:rsidRPr="00BC50C9">
        <w:rPr>
          <w:rFonts w:ascii="Times New Roman" w:eastAsia="Calibri" w:hAnsi="Times New Roman" w:cs="Simplified Arabic"/>
          <w:sz w:val="24"/>
          <w:szCs w:val="28"/>
          <w:rtl/>
          <w:lang w:bidi="ar-EG"/>
        </w:rPr>
        <w:t xml:space="preserve">؛ ابن عمر، أحمد عثمان؛ </w:t>
      </w:r>
      <w:proofErr w:type="spellStart"/>
      <w:r w:rsidRPr="00BC50C9">
        <w:rPr>
          <w:rFonts w:ascii="Times New Roman" w:eastAsia="Calibri" w:hAnsi="Times New Roman" w:cs="Simplified Arabic"/>
          <w:sz w:val="24"/>
          <w:szCs w:val="28"/>
          <w:rtl/>
          <w:lang w:bidi="ar-EG"/>
        </w:rPr>
        <w:t>دلعاب</w:t>
      </w:r>
      <w:proofErr w:type="spellEnd"/>
      <w:r w:rsidRPr="00BC50C9">
        <w:rPr>
          <w:rFonts w:ascii="Times New Roman" w:eastAsia="Calibri" w:hAnsi="Times New Roman" w:cs="Simplified Arabic"/>
          <w:sz w:val="24"/>
          <w:szCs w:val="28"/>
          <w:rtl/>
          <w:lang w:bidi="ar-EG"/>
        </w:rPr>
        <w:t xml:space="preserve">، أبو بكر خليفة. (2017). استدامة السياسة المالية. </w:t>
      </w:r>
      <w:r w:rsidRPr="00BC50C9">
        <w:rPr>
          <w:rFonts w:ascii="Times New Roman" w:eastAsia="Calibri" w:hAnsi="Times New Roman" w:cs="Simplified Arabic"/>
          <w:i/>
          <w:iCs/>
          <w:sz w:val="24"/>
          <w:szCs w:val="28"/>
          <w:rtl/>
          <w:lang w:bidi="ar-EG"/>
        </w:rPr>
        <w:t>مجلة الاقتصاد الإسلامي العالمية</w:t>
      </w:r>
      <w:r w:rsidRPr="00BC50C9">
        <w:rPr>
          <w:rFonts w:ascii="Times New Roman" w:eastAsia="Calibri" w:hAnsi="Times New Roman" w:cs="Simplified Arabic"/>
          <w:sz w:val="24"/>
          <w:szCs w:val="28"/>
          <w:rtl/>
          <w:lang w:bidi="ar-EG"/>
        </w:rPr>
        <w:t>، (58)، 38-44.</w:t>
      </w:r>
    </w:p>
    <w:p w14:paraId="5ED5D99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ماضي، رونق؛ </w:t>
      </w:r>
      <w:proofErr w:type="spellStart"/>
      <w:r w:rsidRPr="00BC50C9">
        <w:rPr>
          <w:rFonts w:ascii="Times New Roman" w:eastAsia="Calibri" w:hAnsi="Times New Roman" w:cs="Simplified Arabic"/>
          <w:sz w:val="24"/>
          <w:szCs w:val="28"/>
          <w:rtl/>
          <w:lang w:bidi="ar-EG"/>
        </w:rPr>
        <w:t>بوشريط</w:t>
      </w:r>
      <w:proofErr w:type="spellEnd"/>
      <w:r w:rsidRPr="00BC50C9">
        <w:rPr>
          <w:rFonts w:ascii="Times New Roman" w:eastAsia="Calibri" w:hAnsi="Times New Roman" w:cs="Simplified Arabic"/>
          <w:sz w:val="24"/>
          <w:szCs w:val="28"/>
          <w:rtl/>
          <w:lang w:bidi="ar-EG"/>
        </w:rPr>
        <w:t xml:space="preserve">، ابتسام؛ سعادة، سارة. (2023). </w:t>
      </w:r>
      <w:r w:rsidRPr="00BC50C9">
        <w:rPr>
          <w:rFonts w:ascii="Times New Roman" w:eastAsia="Calibri" w:hAnsi="Times New Roman" w:cs="Simplified Arabic"/>
          <w:i/>
          <w:iCs/>
          <w:sz w:val="24"/>
          <w:szCs w:val="28"/>
          <w:rtl/>
          <w:lang w:bidi="ar-EG"/>
        </w:rPr>
        <w:t>صناعة المحتوى التعليمي في المنصات الرقمية دراسة ميدانية على شباب ولاية قالمة</w:t>
      </w:r>
      <w:r w:rsidRPr="00BC50C9">
        <w:rPr>
          <w:rFonts w:ascii="Times New Roman" w:eastAsia="Calibri" w:hAnsi="Times New Roman" w:cs="Simplified Arabic"/>
          <w:sz w:val="24"/>
          <w:szCs w:val="28"/>
          <w:rtl/>
          <w:lang w:bidi="ar-EG"/>
        </w:rPr>
        <w:t xml:space="preserve">. (رسالة ماجستير غير منشورة). جامعة 8 ماي 1945 قالمة، الجزائر. </w:t>
      </w:r>
    </w:p>
    <w:p w14:paraId="58026446"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محروس، رانيا حسن؛ حماده، أسماء شعبان. (2023). آليات مقترحة لتفعيل ريادة الأعمال الرقمية بالجامعات المصرية.</w:t>
      </w:r>
      <w:r w:rsidRPr="00BC50C9">
        <w:rPr>
          <w:rFonts w:ascii="Times New Roman" w:hAnsi="Times New Roman" w:cs="Simplified Arabic"/>
          <w:i/>
          <w:iCs/>
          <w:sz w:val="24"/>
          <w:szCs w:val="28"/>
          <w:rtl/>
          <w:lang w:bidi="ar-EG"/>
        </w:rPr>
        <w:t xml:space="preserve"> مجلة كلية التربية بجامعة عين شمس، 1</w:t>
      </w:r>
      <w:r w:rsidRPr="00BC50C9">
        <w:rPr>
          <w:rFonts w:ascii="Times New Roman" w:hAnsi="Times New Roman" w:cs="Simplified Arabic"/>
          <w:sz w:val="24"/>
          <w:szCs w:val="28"/>
          <w:rtl/>
          <w:lang w:bidi="ar-EG"/>
        </w:rPr>
        <w:t>(47)، 393-486.</w:t>
      </w:r>
    </w:p>
    <w:p w14:paraId="53B36907"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 xml:space="preserve">محسن، مها مزهر؛ </w:t>
      </w:r>
      <w:proofErr w:type="gramStart"/>
      <w:r w:rsidRPr="00BC50C9">
        <w:rPr>
          <w:rFonts w:ascii="Times New Roman" w:hAnsi="Times New Roman" w:cs="Simplified Arabic"/>
          <w:sz w:val="24"/>
          <w:szCs w:val="28"/>
          <w:rtl/>
          <w:lang w:bidi="ar-EG"/>
        </w:rPr>
        <w:t>عبدالحميد</w:t>
      </w:r>
      <w:proofErr w:type="gramEnd"/>
      <w:r w:rsidRPr="00BC50C9">
        <w:rPr>
          <w:rFonts w:ascii="Times New Roman" w:hAnsi="Times New Roman" w:cs="Simplified Arabic"/>
          <w:sz w:val="24"/>
          <w:szCs w:val="28"/>
          <w:rtl/>
          <w:lang w:bidi="ar-EG"/>
        </w:rPr>
        <w:t xml:space="preserve">، </w:t>
      </w:r>
      <w:proofErr w:type="gramStart"/>
      <w:r w:rsidRPr="00BC50C9">
        <w:rPr>
          <w:rFonts w:ascii="Times New Roman" w:hAnsi="Times New Roman" w:cs="Simplified Arabic"/>
          <w:sz w:val="24"/>
          <w:szCs w:val="28"/>
          <w:rtl/>
          <w:lang w:bidi="ar-EG"/>
        </w:rPr>
        <w:t>عبدالعزيز</w:t>
      </w:r>
      <w:proofErr w:type="gramEnd"/>
      <w:r w:rsidRPr="00BC50C9">
        <w:rPr>
          <w:rFonts w:ascii="Times New Roman" w:hAnsi="Times New Roman" w:cs="Simplified Arabic"/>
          <w:sz w:val="24"/>
          <w:szCs w:val="28"/>
          <w:rtl/>
          <w:lang w:bidi="ar-EG"/>
        </w:rPr>
        <w:t xml:space="preserve"> </w:t>
      </w:r>
      <w:proofErr w:type="spellStart"/>
      <w:r w:rsidRPr="00BC50C9">
        <w:rPr>
          <w:rFonts w:ascii="Times New Roman" w:hAnsi="Times New Roman" w:cs="Simplified Arabic"/>
          <w:sz w:val="24"/>
          <w:szCs w:val="28"/>
          <w:rtl/>
          <w:lang w:bidi="ar-EG"/>
        </w:rPr>
        <w:t>شويش</w:t>
      </w:r>
      <w:proofErr w:type="spellEnd"/>
      <w:r w:rsidRPr="00BC50C9">
        <w:rPr>
          <w:rFonts w:ascii="Times New Roman" w:hAnsi="Times New Roman" w:cs="Simplified Arabic"/>
          <w:sz w:val="24"/>
          <w:szCs w:val="28"/>
          <w:rtl/>
          <w:lang w:bidi="ar-EG"/>
        </w:rPr>
        <w:t xml:space="preserve">. (2023). دور التمويل الجماعي القائم على </w:t>
      </w:r>
      <w:proofErr w:type="spellStart"/>
      <w:r w:rsidRPr="00BC50C9">
        <w:rPr>
          <w:rFonts w:ascii="Times New Roman" w:hAnsi="Times New Roman" w:cs="Simplified Arabic"/>
          <w:sz w:val="24"/>
          <w:szCs w:val="28"/>
          <w:rtl/>
          <w:lang w:bidi="ar-EG"/>
        </w:rPr>
        <w:t>الأقراض</w:t>
      </w:r>
      <w:proofErr w:type="spellEnd"/>
      <w:r w:rsidRPr="00BC50C9">
        <w:rPr>
          <w:rFonts w:ascii="Times New Roman" w:hAnsi="Times New Roman" w:cs="Simplified Arabic"/>
          <w:sz w:val="24"/>
          <w:szCs w:val="28"/>
          <w:rtl/>
          <w:lang w:bidi="ar-EG"/>
        </w:rPr>
        <w:t xml:space="preserve"> في تعزيز الشمول المالي للمشاريع الصغيرة والمتوسطة والمتناهية الصغر: دراسة تحليلية في منصات التمويل الجماعي في </w:t>
      </w:r>
      <w:proofErr w:type="spellStart"/>
      <w:r w:rsidRPr="00BC50C9">
        <w:rPr>
          <w:rFonts w:ascii="Times New Roman" w:hAnsi="Times New Roman" w:cs="Simplified Arabic"/>
          <w:sz w:val="24"/>
          <w:szCs w:val="28"/>
          <w:rtl/>
          <w:lang w:bidi="ar-EG"/>
        </w:rPr>
        <w:t>أندونيسيا</w:t>
      </w:r>
      <w:proofErr w:type="spellEnd"/>
      <w:r w:rsidRPr="00BC50C9">
        <w:rPr>
          <w:rFonts w:ascii="Times New Roman" w:hAnsi="Times New Roman" w:cs="Simplified Arabic"/>
          <w:sz w:val="24"/>
          <w:szCs w:val="28"/>
          <w:rtl/>
          <w:lang w:bidi="ar-EG"/>
        </w:rPr>
        <w:t>.</w:t>
      </w:r>
      <w:r w:rsidRPr="00BC50C9">
        <w:rPr>
          <w:rFonts w:ascii="Times New Roman" w:hAnsi="Times New Roman" w:cs="Simplified Arabic"/>
          <w:i/>
          <w:iCs/>
          <w:sz w:val="24"/>
          <w:szCs w:val="28"/>
          <w:rtl/>
          <w:lang w:bidi="ar-EG"/>
        </w:rPr>
        <w:t xml:space="preserve"> مجلة اقتصاديات الأعمال للبحوث التطبيقية، 4</w:t>
      </w:r>
      <w:r w:rsidRPr="00BC50C9">
        <w:rPr>
          <w:rFonts w:ascii="Times New Roman" w:hAnsi="Times New Roman" w:cs="Simplified Arabic"/>
          <w:sz w:val="24"/>
          <w:szCs w:val="28"/>
          <w:rtl/>
          <w:lang w:bidi="ar-EG"/>
        </w:rPr>
        <w:t>(6)، 353-376.</w:t>
      </w:r>
    </w:p>
    <w:p w14:paraId="24D10C3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محفوظ، هنداوي. (2022). فرص العمل عبر المنصات الرقمية بين عولمة المهارات وزيادة الرابط الشبكي. </w:t>
      </w:r>
      <w:r w:rsidRPr="00BC50C9">
        <w:rPr>
          <w:rFonts w:ascii="Times New Roman" w:eastAsia="Calibri" w:hAnsi="Times New Roman" w:cs="Simplified Arabic"/>
          <w:i/>
          <w:iCs/>
          <w:sz w:val="24"/>
          <w:szCs w:val="28"/>
          <w:rtl/>
          <w:lang w:bidi="ar-EG"/>
        </w:rPr>
        <w:t>مجلة (المدبّر). 9(عدد خاص).</w:t>
      </w:r>
      <w:r w:rsidRPr="00BC50C9">
        <w:rPr>
          <w:rFonts w:ascii="Times New Roman" w:eastAsia="Calibri" w:hAnsi="Times New Roman" w:cs="Simplified Arabic"/>
          <w:sz w:val="24"/>
          <w:szCs w:val="28"/>
          <w:rtl/>
          <w:lang w:bidi="ar-EG"/>
        </w:rPr>
        <w:t xml:space="preserve"> 84-113.</w:t>
      </w:r>
    </w:p>
    <w:p w14:paraId="02CE1ED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محمد، سحر محمد أبو راضي. (2024). مسارات لتحقيق الاستدامة المالية للجامعات الحكومية المصرية على ضوء الاستراتيجية الوطنية لتعليم العالي والبحث العلمي 2030. </w:t>
      </w:r>
      <w:r w:rsidRPr="00BC50C9">
        <w:rPr>
          <w:rFonts w:ascii="Times New Roman" w:eastAsia="Calibri" w:hAnsi="Times New Roman" w:cs="Simplified Arabic"/>
          <w:i/>
          <w:iCs/>
          <w:sz w:val="24"/>
          <w:szCs w:val="28"/>
          <w:rtl/>
          <w:lang w:bidi="ar-EG"/>
        </w:rPr>
        <w:t>مجلة كلية التربية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35</w:t>
      </w:r>
      <w:r w:rsidRPr="00BC50C9">
        <w:rPr>
          <w:rFonts w:ascii="Times New Roman" w:eastAsia="Calibri" w:hAnsi="Times New Roman" w:cs="Simplified Arabic"/>
          <w:sz w:val="24"/>
          <w:szCs w:val="28"/>
          <w:rtl/>
          <w:lang w:bidi="ar-EG"/>
        </w:rPr>
        <w:t>(137)، 410-552.</w:t>
      </w:r>
    </w:p>
    <w:p w14:paraId="60BC5FC4"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محمد، كريمة حسن محمد. (2022). أثر استخدام الأدوات والتقنيات المالية الحديثة على الاستدامة المالية للمشروعات المتوسطة والصغيرة: دراسة ميدانية. </w:t>
      </w:r>
      <w:r w:rsidRPr="00BC50C9">
        <w:rPr>
          <w:rFonts w:ascii="Times New Roman" w:hAnsi="Times New Roman" w:cs="Simplified Arabic"/>
          <w:i/>
          <w:iCs/>
          <w:sz w:val="24"/>
          <w:szCs w:val="28"/>
          <w:rtl/>
        </w:rPr>
        <w:t>المجلة العلمية للبحوث التجارية</w:t>
      </w:r>
      <w:r w:rsidRPr="00BC50C9">
        <w:rPr>
          <w:rFonts w:ascii="Times New Roman" w:hAnsi="Times New Roman" w:cs="Simplified Arabic"/>
          <w:sz w:val="24"/>
          <w:szCs w:val="28"/>
          <w:rtl/>
        </w:rPr>
        <w:t>، (4)، 10-52.</w:t>
      </w:r>
    </w:p>
    <w:p w14:paraId="27BEE2D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محمود، وفاء عبد الفتاح. (2020). الاستدامة المالية في التعليم الأساسي لتلبية متطلبات رؤية مصر 2030م. </w:t>
      </w:r>
      <w:r w:rsidRPr="00BC50C9">
        <w:rPr>
          <w:rFonts w:ascii="Times New Roman" w:eastAsia="Calibri" w:hAnsi="Times New Roman" w:cs="Simplified Arabic"/>
          <w:i/>
          <w:iCs/>
          <w:sz w:val="24"/>
          <w:szCs w:val="28"/>
          <w:rtl/>
          <w:lang w:bidi="ar-EG"/>
        </w:rPr>
        <w:t>مجلة جامعة الفيوم للعلوم التربوية والنفسية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10</w:t>
      </w:r>
      <w:r w:rsidRPr="00BC50C9">
        <w:rPr>
          <w:rFonts w:ascii="Times New Roman" w:eastAsia="Calibri" w:hAnsi="Times New Roman" w:cs="Simplified Arabic"/>
          <w:sz w:val="24"/>
          <w:szCs w:val="28"/>
          <w:rtl/>
          <w:lang w:bidi="ar-EG"/>
        </w:rPr>
        <w:t>(4)، 128-227.</w:t>
      </w:r>
    </w:p>
    <w:p w14:paraId="4C5C1351"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lastRenderedPageBreak/>
        <w:t xml:space="preserve">مرابط، </w:t>
      </w:r>
      <w:proofErr w:type="gramStart"/>
      <w:r w:rsidRPr="00BC50C9">
        <w:rPr>
          <w:rFonts w:ascii="Times New Roman" w:hAnsi="Times New Roman" w:cs="Simplified Arabic"/>
          <w:sz w:val="24"/>
          <w:szCs w:val="28"/>
          <w:rtl/>
          <w:lang w:bidi="ar-EG"/>
        </w:rPr>
        <w:t>عبدالجليل</w:t>
      </w:r>
      <w:proofErr w:type="gramEnd"/>
      <w:r w:rsidRPr="00BC50C9">
        <w:rPr>
          <w:rFonts w:ascii="Times New Roman" w:hAnsi="Times New Roman" w:cs="Simplified Arabic"/>
          <w:sz w:val="24"/>
          <w:szCs w:val="28"/>
          <w:rtl/>
          <w:lang w:bidi="ar-EG"/>
        </w:rPr>
        <w:t xml:space="preserve">؛ </w:t>
      </w:r>
      <w:proofErr w:type="gramStart"/>
      <w:r w:rsidRPr="00BC50C9">
        <w:rPr>
          <w:rFonts w:ascii="Times New Roman" w:hAnsi="Times New Roman" w:cs="Simplified Arabic"/>
          <w:sz w:val="24"/>
          <w:szCs w:val="28"/>
          <w:rtl/>
          <w:lang w:bidi="ar-EG"/>
        </w:rPr>
        <w:t>عبدالهادي</w:t>
      </w:r>
      <w:proofErr w:type="gramEnd"/>
      <w:r w:rsidRPr="00BC50C9">
        <w:rPr>
          <w:rFonts w:ascii="Times New Roman" w:hAnsi="Times New Roman" w:cs="Simplified Arabic"/>
          <w:sz w:val="24"/>
          <w:szCs w:val="28"/>
          <w:rtl/>
          <w:lang w:bidi="ar-EG"/>
        </w:rPr>
        <w:t>، مختار. (2024).</w:t>
      </w:r>
      <w:r w:rsidRPr="00BC50C9">
        <w:rPr>
          <w:rFonts w:ascii="Times New Roman" w:hAnsi="Times New Roman" w:cs="Simplified Arabic"/>
          <w:sz w:val="24"/>
          <w:szCs w:val="28"/>
          <w:rtl/>
        </w:rPr>
        <w:t xml:space="preserve"> </w:t>
      </w:r>
      <w:r w:rsidRPr="00BC50C9">
        <w:rPr>
          <w:rFonts w:ascii="Times New Roman" w:hAnsi="Times New Roman" w:cs="Simplified Arabic"/>
          <w:sz w:val="24"/>
          <w:szCs w:val="28"/>
          <w:rtl/>
          <w:lang w:bidi="ar-EG"/>
        </w:rPr>
        <w:t>منصات التمويل الجماعي آلية مبتكرة لتمويل المؤسسات الناشئة في الجزائر مع الإشارة إلى حالة منصة شريكي.</w:t>
      </w:r>
      <w:r w:rsidRPr="00BC50C9">
        <w:rPr>
          <w:rFonts w:ascii="Times New Roman" w:hAnsi="Times New Roman" w:cs="Simplified Arabic"/>
          <w:i/>
          <w:iCs/>
          <w:sz w:val="24"/>
          <w:szCs w:val="28"/>
          <w:rtl/>
          <w:lang w:bidi="ar-EG"/>
        </w:rPr>
        <w:t xml:space="preserve"> مجلة الدراسات التجارية والاقتصادية المعاصرة بجامعة ابن خلدون تيارت، 7</w:t>
      </w:r>
      <w:r w:rsidRPr="00BC50C9">
        <w:rPr>
          <w:rFonts w:ascii="Times New Roman" w:hAnsi="Times New Roman" w:cs="Simplified Arabic"/>
          <w:sz w:val="24"/>
          <w:szCs w:val="28"/>
          <w:rtl/>
          <w:lang w:bidi="ar-EG"/>
        </w:rPr>
        <w:t>(2)، 315- 328.</w:t>
      </w:r>
    </w:p>
    <w:p w14:paraId="035DF06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مرزاق، أميمة. (2024). توازن المالية العمومية وسؤال الاستدامة: السياق والمتغيرات. </w:t>
      </w:r>
      <w:r w:rsidRPr="00BC50C9">
        <w:rPr>
          <w:rFonts w:ascii="Times New Roman" w:eastAsia="Calibri" w:hAnsi="Times New Roman" w:cs="Simplified Arabic"/>
          <w:i/>
          <w:iCs/>
          <w:sz w:val="24"/>
          <w:szCs w:val="28"/>
          <w:rtl/>
          <w:lang w:bidi="ar-EG"/>
        </w:rPr>
        <w:t>مجلة قراءات علمية في الأبحاث والدراسات القانونية والإدارية</w:t>
      </w:r>
      <w:r w:rsidRPr="00BC50C9">
        <w:rPr>
          <w:rFonts w:ascii="Times New Roman" w:eastAsia="Calibri" w:hAnsi="Times New Roman" w:cs="Simplified Arabic"/>
          <w:sz w:val="24"/>
          <w:szCs w:val="28"/>
          <w:rtl/>
          <w:lang w:bidi="ar-EG"/>
        </w:rPr>
        <w:t>، (37)، 434-452.</w:t>
      </w:r>
    </w:p>
    <w:p w14:paraId="375DFC8E"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rPr>
        <w:t xml:space="preserve">مرزوق، سماح </w:t>
      </w:r>
      <w:proofErr w:type="gramStart"/>
      <w:r w:rsidRPr="00BC50C9">
        <w:rPr>
          <w:rFonts w:ascii="Times New Roman" w:hAnsi="Times New Roman" w:cs="Simplified Arabic"/>
          <w:sz w:val="24"/>
          <w:szCs w:val="28"/>
          <w:rtl/>
        </w:rPr>
        <w:t>عبدالفتاح</w:t>
      </w:r>
      <w:proofErr w:type="gramEnd"/>
      <w:r w:rsidRPr="00BC50C9">
        <w:rPr>
          <w:rFonts w:ascii="Times New Roman" w:hAnsi="Times New Roman" w:cs="Simplified Arabic"/>
          <w:sz w:val="24"/>
          <w:szCs w:val="28"/>
          <w:rtl/>
        </w:rPr>
        <w:t xml:space="preserve"> محمد. (2018). إستراتيجية مقترحة لتوظيف بنك المعرفة في الأنشطة العلمية لطفل الروضة. </w:t>
      </w:r>
      <w:r w:rsidRPr="00BC50C9">
        <w:rPr>
          <w:rFonts w:ascii="Times New Roman" w:hAnsi="Times New Roman" w:cs="Simplified Arabic"/>
          <w:i/>
          <w:iCs/>
          <w:sz w:val="24"/>
          <w:szCs w:val="28"/>
          <w:rtl/>
        </w:rPr>
        <w:t>المجلة العلمية لكلية رياض الأطفال بجامعة أسيوط</w:t>
      </w:r>
      <w:r w:rsidRPr="00BC50C9">
        <w:rPr>
          <w:rFonts w:ascii="Times New Roman" w:hAnsi="Times New Roman" w:cs="Simplified Arabic"/>
          <w:sz w:val="24"/>
          <w:szCs w:val="28"/>
          <w:rtl/>
        </w:rPr>
        <w:t>، (7)، 158-201</w:t>
      </w:r>
      <w:r w:rsidRPr="00BC50C9">
        <w:rPr>
          <w:rFonts w:ascii="Times New Roman" w:hAnsi="Times New Roman" w:cs="Simplified Arabic"/>
          <w:sz w:val="24"/>
          <w:szCs w:val="28"/>
        </w:rPr>
        <w:t>.</w:t>
      </w:r>
    </w:p>
    <w:p w14:paraId="2BAE91C7"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lang w:bidi="ar-EG"/>
        </w:rPr>
        <w:t>مهداوي، هند؛ مراد؛ إسماعيل. (2022). صيغ التمويل التشاركي (المشاركة والمضاربة) آلية لتحقيق الأمن الاقتصادي.</w:t>
      </w:r>
      <w:r w:rsidRPr="00BC50C9">
        <w:rPr>
          <w:rFonts w:ascii="Times New Roman" w:hAnsi="Times New Roman" w:cs="Simplified Arabic"/>
          <w:i/>
          <w:iCs/>
          <w:sz w:val="24"/>
          <w:szCs w:val="28"/>
          <w:rtl/>
          <w:lang w:bidi="ar-EG"/>
        </w:rPr>
        <w:t xml:space="preserve"> مجلة الإحياء، 22</w:t>
      </w:r>
      <w:r w:rsidRPr="00BC50C9">
        <w:rPr>
          <w:rFonts w:ascii="Times New Roman" w:hAnsi="Times New Roman" w:cs="Simplified Arabic"/>
          <w:sz w:val="24"/>
          <w:szCs w:val="28"/>
          <w:rtl/>
          <w:lang w:bidi="ar-EG"/>
        </w:rPr>
        <w:t>(31)، 557- 570.</w:t>
      </w:r>
    </w:p>
    <w:p w14:paraId="29D88ECE"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مؤسسة التمويل الدولية. (2023). </w:t>
      </w:r>
      <w:r w:rsidRPr="00BC50C9">
        <w:rPr>
          <w:rFonts w:ascii="Times New Roman" w:eastAsia="Calibri" w:hAnsi="Times New Roman" w:cs="Simplified Arabic"/>
          <w:i/>
          <w:iCs/>
          <w:sz w:val="24"/>
          <w:szCs w:val="28"/>
          <w:rtl/>
          <w:lang w:bidi="ar-EG"/>
        </w:rPr>
        <w:t>بناء مستقبل أفضل</w:t>
      </w:r>
      <w:r w:rsidRPr="00BC50C9">
        <w:rPr>
          <w:rFonts w:ascii="Times New Roman" w:eastAsia="Calibri" w:hAnsi="Times New Roman" w:cs="Simplified Arabic"/>
          <w:sz w:val="24"/>
          <w:szCs w:val="28"/>
          <w:rtl/>
          <w:lang w:bidi="ar-EG"/>
        </w:rPr>
        <w:t xml:space="preserve">. الولايات المتحدة. </w:t>
      </w:r>
    </w:p>
    <w:p w14:paraId="73EB2BE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مؤسسة سليمان بن عبد العزيز الراجحي الخيرية. (2020). </w:t>
      </w:r>
      <w:r w:rsidRPr="00BC50C9">
        <w:rPr>
          <w:rFonts w:ascii="Times New Roman" w:eastAsia="Calibri" w:hAnsi="Times New Roman" w:cs="Simplified Arabic"/>
          <w:i/>
          <w:iCs/>
          <w:sz w:val="24"/>
          <w:szCs w:val="28"/>
          <w:rtl/>
          <w:lang w:bidi="ar-EG"/>
        </w:rPr>
        <w:t>دراسة منصات التمويل الجماعي التعاوني في المملكة العربية السعودية</w:t>
      </w:r>
      <w:r w:rsidRPr="00BC50C9">
        <w:rPr>
          <w:rFonts w:ascii="Times New Roman" w:eastAsia="Calibri" w:hAnsi="Times New Roman" w:cs="Simplified Arabic"/>
          <w:sz w:val="24"/>
          <w:szCs w:val="28"/>
          <w:rtl/>
          <w:lang w:bidi="ar-EG"/>
        </w:rPr>
        <w:t xml:space="preserve">. السعودية. </w:t>
      </w:r>
    </w:p>
    <w:p w14:paraId="20005087"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الموقع الرسمي لجامعة القدس المفتوحة. (2025). </w:t>
      </w:r>
      <w:r w:rsidRPr="00BC50C9">
        <w:rPr>
          <w:rFonts w:ascii="Times New Roman" w:hAnsi="Times New Roman" w:cs="Simplified Arabic"/>
          <w:i/>
          <w:iCs/>
          <w:sz w:val="24"/>
          <w:szCs w:val="28"/>
          <w:rtl/>
        </w:rPr>
        <w:t>نبذة عن برنامج ماجستير إدارة الأعمال الرقمية</w:t>
      </w:r>
      <w:r w:rsidRPr="00BC50C9">
        <w:rPr>
          <w:rFonts w:ascii="Times New Roman" w:hAnsi="Times New Roman" w:cs="Simplified Arabic"/>
          <w:sz w:val="24"/>
          <w:szCs w:val="28"/>
          <w:rtl/>
        </w:rPr>
        <w:t>. تم الدخول على الموقع بتاريخ: 27/2/2025، المتاح على الرابط التالي:</w:t>
      </w:r>
      <w:r w:rsidRPr="00BC50C9">
        <w:rPr>
          <w:rFonts w:ascii="Times New Roman" w:hAnsi="Times New Roman" w:cs="Simplified Arabic"/>
          <w:sz w:val="24"/>
          <w:szCs w:val="28"/>
        </w:rPr>
        <w:t xml:space="preserve"> </w:t>
      </w:r>
      <w:hyperlink r:id="rId22" w:history="1">
        <w:r w:rsidRPr="00BC50C9">
          <w:rPr>
            <w:rStyle w:val="Hyperlink"/>
            <w:rFonts w:ascii="Times New Roman" w:hAnsi="Times New Roman" w:cs="Simplified Arabic"/>
            <w:sz w:val="24"/>
            <w:szCs w:val="28"/>
          </w:rPr>
          <w:t>https://www.qou.edu/ar/faculties/hstdy/digital-business-management/index.jsp</w:t>
        </w:r>
      </w:hyperlink>
      <w:r w:rsidRPr="00BC50C9">
        <w:rPr>
          <w:rFonts w:ascii="Times New Roman" w:hAnsi="Times New Roman" w:cs="Simplified Arabic"/>
          <w:sz w:val="24"/>
          <w:szCs w:val="28"/>
          <w:rtl/>
        </w:rPr>
        <w:t xml:space="preserve">. </w:t>
      </w:r>
    </w:p>
    <w:p w14:paraId="69884EA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لجامعة المستنصرية. (2021). </w:t>
      </w:r>
      <w:r w:rsidRPr="00BC50C9">
        <w:rPr>
          <w:rFonts w:ascii="Times New Roman" w:eastAsia="Calibri" w:hAnsi="Times New Roman" w:cs="Simplified Arabic"/>
          <w:i/>
          <w:iCs/>
          <w:sz w:val="24"/>
          <w:szCs w:val="28"/>
          <w:rtl/>
          <w:lang w:bidi="ar-EG"/>
        </w:rPr>
        <w:t>البوابات والمنصات الرقمية</w:t>
      </w:r>
      <w:r w:rsidRPr="00BC50C9">
        <w:rPr>
          <w:rFonts w:ascii="Times New Roman" w:eastAsia="Calibri" w:hAnsi="Times New Roman" w:cs="Simplified Arabic"/>
          <w:sz w:val="24"/>
          <w:szCs w:val="28"/>
          <w:rtl/>
          <w:lang w:bidi="ar-EG"/>
        </w:rPr>
        <w:t xml:space="preserve">. تم الدخول على الموقع بتاريخ: 18/3/2025، المتاح على الرابط التالي: </w:t>
      </w:r>
      <w:hyperlink r:id="rId23" w:history="1">
        <w:r w:rsidRPr="00BC50C9">
          <w:rPr>
            <w:rFonts w:ascii="Times New Roman" w:eastAsia="Calibri" w:hAnsi="Times New Roman" w:cs="Simplified Arabic"/>
            <w:color w:val="0563C1"/>
            <w:sz w:val="24"/>
            <w:szCs w:val="28"/>
            <w:u w:val="single"/>
            <w:lang w:bidi="ar-EG"/>
          </w:rPr>
          <w:t>https://uomustansiriyah.edu.iq/media/lectures/8/8_2021_03_31!12_28_08_AM.pdf</w:t>
        </w:r>
      </w:hyperlink>
      <w:r w:rsidRPr="00BC50C9">
        <w:rPr>
          <w:rFonts w:ascii="Times New Roman" w:eastAsia="Calibri" w:hAnsi="Times New Roman" w:cs="Simplified Arabic"/>
          <w:sz w:val="24"/>
          <w:szCs w:val="28"/>
          <w:rtl/>
          <w:lang w:bidi="ar-EG"/>
        </w:rPr>
        <w:t xml:space="preserve">. </w:t>
      </w:r>
    </w:p>
    <w:p w14:paraId="2D3D9D81"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لجامعة حمد بن خليفة. (2025). </w:t>
      </w:r>
      <w:r w:rsidRPr="00BC50C9">
        <w:rPr>
          <w:rFonts w:ascii="Times New Roman" w:eastAsia="Calibri" w:hAnsi="Times New Roman" w:cs="Simplified Arabic"/>
          <w:i/>
          <w:iCs/>
          <w:sz w:val="24"/>
          <w:szCs w:val="28"/>
          <w:rtl/>
          <w:lang w:bidi="ar-EG"/>
        </w:rPr>
        <w:t>الإنسان التمويل الأخضر من أجل تحقيق أهداف التنمية المستدامة: إمكانات التمويل الإسلامي.</w:t>
      </w:r>
      <w:r w:rsidRPr="00BC50C9">
        <w:rPr>
          <w:rFonts w:ascii="Times New Roman" w:eastAsia="Calibri" w:hAnsi="Times New Roman" w:cs="Simplified Arabic"/>
          <w:sz w:val="24"/>
          <w:szCs w:val="28"/>
          <w:rtl/>
          <w:lang w:bidi="ar-EG"/>
        </w:rPr>
        <w:t xml:space="preserve"> تم الدخول على الموقع بتاريخ 20/3/2025، المتاح على الرابط التالي: </w:t>
      </w:r>
      <w:hyperlink r:id="rId24" w:history="1">
        <w:r w:rsidRPr="00BC50C9">
          <w:rPr>
            <w:rFonts w:ascii="Times New Roman" w:eastAsia="Calibri" w:hAnsi="Times New Roman" w:cs="Simplified Arabic"/>
            <w:color w:val="0563C1"/>
            <w:sz w:val="24"/>
            <w:szCs w:val="28"/>
            <w:u w:val="single"/>
            <w:lang w:bidi="ar-EG"/>
          </w:rPr>
          <w:t>https://www.hbku.edu.qa/ar/news/green-finance-sdgs</w:t>
        </w:r>
      </w:hyperlink>
      <w:r w:rsidRPr="00BC50C9">
        <w:rPr>
          <w:rFonts w:ascii="Times New Roman" w:eastAsia="Calibri" w:hAnsi="Times New Roman" w:cs="Simplified Arabic"/>
          <w:sz w:val="24"/>
          <w:szCs w:val="28"/>
          <w:rtl/>
          <w:lang w:bidi="ar-EG"/>
        </w:rPr>
        <w:t xml:space="preserve">. </w:t>
      </w:r>
    </w:p>
    <w:p w14:paraId="2FD032FC"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للاتحاد العربي للاقتصاد الرقمي. (2025). </w:t>
      </w:r>
      <w:r w:rsidRPr="00BC50C9">
        <w:rPr>
          <w:rFonts w:ascii="Times New Roman" w:eastAsia="Calibri" w:hAnsi="Times New Roman" w:cs="Simplified Arabic"/>
          <w:i/>
          <w:iCs/>
          <w:sz w:val="24"/>
          <w:szCs w:val="28"/>
          <w:rtl/>
          <w:lang w:bidi="ar-EG"/>
        </w:rPr>
        <w:t>مبادرة مليون رائد أعمال رقمي عربي.</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sz w:val="24"/>
          <w:szCs w:val="28"/>
          <w:shd w:val="clear" w:color="auto" w:fill="FFFFFF"/>
          <w:rtl/>
        </w:rPr>
        <w:t xml:space="preserve">تم الدخول على الموقع بتاريخ 20/3/2025، المتاح على الرابط التالي: </w:t>
      </w:r>
      <w:hyperlink r:id="rId25" w:history="1">
        <w:r w:rsidRPr="00BC50C9">
          <w:rPr>
            <w:rFonts w:ascii="Times New Roman" w:eastAsia="Calibri" w:hAnsi="Times New Roman" w:cs="Simplified Arabic"/>
            <w:color w:val="0563C1"/>
            <w:sz w:val="24"/>
            <w:szCs w:val="28"/>
            <w:u w:val="single"/>
            <w:shd w:val="clear" w:color="auto" w:fill="FFFFFF"/>
          </w:rPr>
          <w:t>https://1made.org</w:t>
        </w:r>
        <w:r w:rsidRPr="00BC50C9">
          <w:rPr>
            <w:rFonts w:ascii="Times New Roman" w:eastAsia="Calibri" w:hAnsi="Times New Roman" w:cs="Simplified Arabic"/>
            <w:color w:val="0563C1"/>
            <w:sz w:val="24"/>
            <w:szCs w:val="28"/>
            <w:u w:val="single"/>
            <w:shd w:val="clear" w:color="auto" w:fill="FFFFFF"/>
            <w:rtl/>
          </w:rPr>
          <w:t>/</w:t>
        </w:r>
      </w:hyperlink>
      <w:r w:rsidRPr="00BC50C9">
        <w:rPr>
          <w:rFonts w:ascii="Times New Roman" w:eastAsia="Calibri" w:hAnsi="Times New Roman" w:cs="Simplified Arabic"/>
          <w:sz w:val="24"/>
          <w:szCs w:val="28"/>
          <w:shd w:val="clear" w:color="auto" w:fill="FFFFFF"/>
          <w:rtl/>
        </w:rPr>
        <w:t xml:space="preserve">. </w:t>
      </w:r>
    </w:p>
    <w:p w14:paraId="6140AE35" w14:textId="74131FAF"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w:t>
      </w:r>
      <w:proofErr w:type="spellStart"/>
      <w:r w:rsidRPr="00BC50C9">
        <w:rPr>
          <w:rFonts w:ascii="Times New Roman" w:eastAsia="Calibri" w:hAnsi="Times New Roman" w:cs="Simplified Arabic"/>
          <w:sz w:val="24"/>
          <w:szCs w:val="28"/>
          <w:rtl/>
          <w:lang w:bidi="ar-EG"/>
        </w:rPr>
        <w:t>للاسكوا</w:t>
      </w:r>
      <w:proofErr w:type="spellEnd"/>
      <w:r w:rsidRPr="00BC50C9">
        <w:rPr>
          <w:rFonts w:ascii="Times New Roman" w:eastAsia="Calibri" w:hAnsi="Times New Roman" w:cs="Simplified Arabic"/>
          <w:sz w:val="24"/>
          <w:szCs w:val="28"/>
          <w:rtl/>
          <w:lang w:bidi="ar-EG"/>
        </w:rPr>
        <w:t xml:space="preserve">. (2019). </w:t>
      </w:r>
      <w:r w:rsidRPr="00BC50C9">
        <w:rPr>
          <w:rFonts w:ascii="Times New Roman" w:eastAsia="Calibri" w:hAnsi="Times New Roman" w:cs="Simplified Arabic"/>
          <w:i/>
          <w:iCs/>
          <w:sz w:val="24"/>
          <w:szCs w:val="28"/>
          <w:rtl/>
          <w:lang w:bidi="ar-EG"/>
        </w:rPr>
        <w:t>المنصة الإلكترونية للمشاريع الصغيرة والمتوسطة في المنطقة العربية.</w:t>
      </w:r>
      <w:r w:rsidRPr="00BC50C9">
        <w:rPr>
          <w:rFonts w:ascii="Times New Roman" w:eastAsia="Calibri" w:hAnsi="Times New Roman" w:cs="Simplified Arabic"/>
          <w:sz w:val="24"/>
          <w:szCs w:val="28"/>
          <w:rtl/>
          <w:lang w:bidi="ar-EG"/>
        </w:rPr>
        <w:t xml:space="preserve"> تم الدخول على الموقع بتاريخ: 18/3/2025، المتاح على الرابط التالي: </w:t>
      </w:r>
      <w:r w:rsidR="005848C9" w:rsidRPr="005848C9">
        <w:rPr>
          <w:rFonts w:ascii="Times New Roman" w:hAnsi="Times New Roman" w:cs="Times New Roman"/>
          <w:sz w:val="24"/>
          <w:szCs w:val="24"/>
        </w:rPr>
        <w:t>https://2u.pw/Y30X6</w:t>
      </w:r>
      <w:r w:rsidRPr="00BC50C9">
        <w:rPr>
          <w:rFonts w:ascii="Times New Roman" w:eastAsia="Calibri" w:hAnsi="Times New Roman" w:cs="Simplified Arabic"/>
          <w:sz w:val="24"/>
          <w:szCs w:val="28"/>
          <w:rtl/>
          <w:lang w:bidi="ar-EG"/>
        </w:rPr>
        <w:t xml:space="preserve">. </w:t>
      </w:r>
    </w:p>
    <w:p w14:paraId="09681E18"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لمركز الأهرامات للدراسات السياسية والاستراتيجية. (2024). </w:t>
      </w:r>
      <w:r w:rsidRPr="00BC50C9">
        <w:rPr>
          <w:rFonts w:ascii="Times New Roman" w:eastAsia="Calibri" w:hAnsi="Times New Roman" w:cs="Simplified Arabic"/>
          <w:i/>
          <w:iCs/>
          <w:sz w:val="24"/>
          <w:szCs w:val="28"/>
          <w:rtl/>
          <w:lang w:bidi="ar-EG"/>
        </w:rPr>
        <w:t>المنصات الرقمية: الدور وحدود التأثير</w:t>
      </w:r>
      <w:r w:rsidRPr="00BC50C9">
        <w:rPr>
          <w:rFonts w:ascii="Times New Roman" w:eastAsia="Calibri" w:hAnsi="Times New Roman" w:cs="Simplified Arabic"/>
          <w:sz w:val="24"/>
          <w:szCs w:val="28"/>
          <w:rtl/>
          <w:lang w:bidi="ar-EG"/>
        </w:rPr>
        <w:t xml:space="preserve">. تم الدخول على الموقع بتاريخ 20/3/2025، المتاح على الرابط التالي: </w:t>
      </w:r>
      <w:hyperlink r:id="rId26" w:history="1">
        <w:r w:rsidRPr="00BC50C9">
          <w:rPr>
            <w:rFonts w:ascii="Times New Roman" w:eastAsia="Calibri" w:hAnsi="Times New Roman" w:cs="Simplified Arabic"/>
            <w:color w:val="0563C1"/>
            <w:sz w:val="24"/>
            <w:szCs w:val="28"/>
            <w:u w:val="single"/>
            <w:lang w:bidi="ar-EG"/>
          </w:rPr>
          <w:t>https://acpss.ahram.org.eg/News/21180.aspx</w:t>
        </w:r>
      </w:hyperlink>
      <w:r w:rsidRPr="00BC50C9">
        <w:rPr>
          <w:rFonts w:ascii="Times New Roman" w:eastAsia="Calibri" w:hAnsi="Times New Roman" w:cs="Simplified Arabic"/>
          <w:sz w:val="24"/>
          <w:szCs w:val="28"/>
          <w:rtl/>
          <w:lang w:bidi="ar-EG"/>
        </w:rPr>
        <w:t xml:space="preserve">. </w:t>
      </w:r>
    </w:p>
    <w:p w14:paraId="7A57355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lastRenderedPageBreak/>
        <w:t xml:space="preserve">الموقع الرسمي لمركز ريادة الأعمال الرقمية. (2025). </w:t>
      </w:r>
      <w:r w:rsidRPr="00BC50C9">
        <w:rPr>
          <w:rFonts w:ascii="Times New Roman" w:eastAsia="Calibri" w:hAnsi="Times New Roman" w:cs="Simplified Arabic"/>
          <w:i/>
          <w:iCs/>
          <w:sz w:val="24"/>
          <w:szCs w:val="28"/>
          <w:rtl/>
          <w:lang w:bidi="ar-EG"/>
        </w:rPr>
        <w:t>أهداف المنصات الرقمية في ريادة الأعمال.</w:t>
      </w:r>
      <w:r w:rsidRPr="00BC50C9">
        <w:rPr>
          <w:rFonts w:ascii="Times New Roman" w:eastAsia="Calibri" w:hAnsi="Times New Roman" w:cs="Simplified Arabic"/>
          <w:sz w:val="24"/>
          <w:szCs w:val="28"/>
          <w:rtl/>
          <w:lang w:bidi="ar-EG"/>
        </w:rPr>
        <w:t xml:space="preserve"> تم الدخول على الموقع بتاريخ 20/3/2025، المتاح على الرابط التالي: </w:t>
      </w:r>
      <w:hyperlink r:id="rId27" w:history="1">
        <w:r w:rsidRPr="00BC50C9">
          <w:rPr>
            <w:rFonts w:ascii="Times New Roman" w:eastAsia="Calibri" w:hAnsi="Times New Roman" w:cs="Simplified Arabic"/>
            <w:color w:val="0563C1"/>
            <w:sz w:val="24"/>
            <w:szCs w:val="28"/>
            <w:u w:val="single"/>
            <w:lang w:bidi="ar-EG"/>
          </w:rPr>
          <w:t>https://code.mcit.gov.sa/ar/Innovation-Lab/center-digital-entrepreneurship</w:t>
        </w:r>
      </w:hyperlink>
      <w:r w:rsidRPr="00BC50C9">
        <w:rPr>
          <w:rFonts w:ascii="Times New Roman" w:eastAsia="Calibri" w:hAnsi="Times New Roman" w:cs="Simplified Arabic"/>
          <w:sz w:val="24"/>
          <w:szCs w:val="28"/>
          <w:rtl/>
          <w:lang w:bidi="ar-EG"/>
        </w:rPr>
        <w:t xml:space="preserve">. </w:t>
      </w:r>
    </w:p>
    <w:p w14:paraId="7EA6346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لهيئة تنمية صناعة تكنولوجيا المعلومات. (2021). </w:t>
      </w:r>
      <w:r w:rsidRPr="00BC50C9">
        <w:rPr>
          <w:rFonts w:ascii="Times New Roman" w:eastAsia="Calibri" w:hAnsi="Times New Roman" w:cs="Simplified Arabic"/>
          <w:i/>
          <w:iCs/>
          <w:sz w:val="24"/>
          <w:szCs w:val="28"/>
          <w:shd w:val="clear" w:color="auto" w:fill="FFFFFF"/>
        </w:rPr>
        <w:t>"</w:t>
      </w:r>
      <w:proofErr w:type="spellStart"/>
      <w:r w:rsidRPr="00BC50C9">
        <w:rPr>
          <w:rFonts w:ascii="Times New Roman" w:eastAsia="Calibri" w:hAnsi="Times New Roman" w:cs="Simplified Arabic"/>
          <w:i/>
          <w:iCs/>
          <w:sz w:val="24"/>
          <w:szCs w:val="28"/>
          <w:shd w:val="clear" w:color="auto" w:fill="FFFFFF"/>
          <w:rtl/>
        </w:rPr>
        <w:t>ايتيدا</w:t>
      </w:r>
      <w:proofErr w:type="spellEnd"/>
      <w:r w:rsidRPr="00BC50C9">
        <w:rPr>
          <w:rFonts w:ascii="Times New Roman" w:eastAsia="Calibri" w:hAnsi="Times New Roman" w:cs="Simplified Arabic"/>
          <w:i/>
          <w:iCs/>
          <w:sz w:val="24"/>
          <w:szCs w:val="28"/>
          <w:shd w:val="clear" w:color="auto" w:fill="FFFFFF"/>
          <w:rtl/>
        </w:rPr>
        <w:t>": منصة تعليمية مجانية لتطوير المهارات العملية لرواد الأعمال والشركات الناشئة بالتعاون مع "فيزا</w:t>
      </w:r>
      <w:r w:rsidRPr="00BC50C9">
        <w:rPr>
          <w:rFonts w:ascii="Times New Roman" w:eastAsia="Calibri" w:hAnsi="Times New Roman" w:cs="Simplified Arabic"/>
          <w:i/>
          <w:iCs/>
          <w:sz w:val="24"/>
          <w:szCs w:val="28"/>
          <w:shd w:val="clear" w:color="auto" w:fill="FFFFFF"/>
        </w:rPr>
        <w:t>"</w:t>
      </w:r>
      <w:r w:rsidRPr="00BC50C9">
        <w:rPr>
          <w:rFonts w:ascii="Times New Roman" w:eastAsia="Calibri" w:hAnsi="Times New Roman" w:cs="Simplified Arabic"/>
          <w:i/>
          <w:iCs/>
          <w:sz w:val="24"/>
          <w:szCs w:val="28"/>
          <w:shd w:val="clear" w:color="auto" w:fill="FFFFFF"/>
          <w:rtl/>
        </w:rPr>
        <w:t xml:space="preserve">. </w:t>
      </w:r>
      <w:r w:rsidRPr="00BC50C9">
        <w:rPr>
          <w:rFonts w:ascii="Times New Roman" w:eastAsia="Calibri" w:hAnsi="Times New Roman" w:cs="Simplified Arabic"/>
          <w:sz w:val="24"/>
          <w:szCs w:val="28"/>
          <w:shd w:val="clear" w:color="auto" w:fill="FFFFFF"/>
          <w:rtl/>
        </w:rPr>
        <w:t xml:space="preserve">تم الدخول على الموقع بتاريخ 20/3/2025، المتاح على الرابط التالي: </w:t>
      </w:r>
      <w:hyperlink r:id="rId28" w:history="1">
        <w:r w:rsidRPr="00BC50C9">
          <w:rPr>
            <w:rFonts w:ascii="Times New Roman" w:eastAsia="Calibri" w:hAnsi="Times New Roman" w:cs="Simplified Arabic"/>
            <w:color w:val="0563C1"/>
            <w:sz w:val="24"/>
            <w:szCs w:val="28"/>
            <w:u w:val="single"/>
            <w:shd w:val="clear" w:color="auto" w:fill="FFFFFF"/>
          </w:rPr>
          <w:t>https://tiec.gov.eg/Arabic/MediaCenter/PressReleases/Pages/ITIDA-VISA-Collab.aspx</w:t>
        </w:r>
      </w:hyperlink>
      <w:r w:rsidRPr="00BC50C9">
        <w:rPr>
          <w:rFonts w:ascii="Times New Roman" w:eastAsia="Calibri" w:hAnsi="Times New Roman" w:cs="Simplified Arabic"/>
          <w:sz w:val="24"/>
          <w:szCs w:val="28"/>
          <w:shd w:val="clear" w:color="auto" w:fill="FFFFFF"/>
          <w:rtl/>
        </w:rPr>
        <w:t xml:space="preserve">. </w:t>
      </w:r>
    </w:p>
    <w:p w14:paraId="49353F8A"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الموقع الرسمي لوكالة الأنباء الأردنية. (2022). </w:t>
      </w:r>
      <w:r w:rsidRPr="00BC50C9">
        <w:rPr>
          <w:rFonts w:ascii="Times New Roman" w:eastAsia="Calibri" w:hAnsi="Times New Roman" w:cs="Simplified Arabic"/>
          <w:i/>
          <w:iCs/>
          <w:sz w:val="24"/>
          <w:szCs w:val="28"/>
          <w:rtl/>
          <w:lang w:bidi="ar-EG"/>
        </w:rPr>
        <w:t>إطلاق المنصة الرقمية لريادة الأعمال.</w:t>
      </w:r>
      <w:r w:rsidRPr="00BC50C9">
        <w:rPr>
          <w:rFonts w:ascii="Times New Roman" w:eastAsia="Calibri" w:hAnsi="Times New Roman" w:cs="Simplified Arabic"/>
          <w:sz w:val="24"/>
          <w:szCs w:val="28"/>
          <w:rtl/>
          <w:lang w:bidi="ar-EG"/>
        </w:rPr>
        <w:t xml:space="preserve"> تم الدخول على الموقع بتاريخ 20/3/2025، المتاح على الرابط التالي: </w:t>
      </w:r>
      <w:hyperlink r:id="rId29" w:history="1">
        <w:r w:rsidRPr="00BC50C9">
          <w:rPr>
            <w:rFonts w:ascii="Times New Roman" w:eastAsia="Calibri" w:hAnsi="Times New Roman" w:cs="Simplified Arabic"/>
            <w:color w:val="0563C1"/>
            <w:sz w:val="24"/>
            <w:szCs w:val="28"/>
            <w:u w:val="single"/>
            <w:lang w:bidi="ar-EG"/>
          </w:rPr>
          <w:t>https://www.petra.gov.jo/Include/InnerPage.jsp?ID=214155&amp;lang=ar&amp;name=news</w:t>
        </w:r>
      </w:hyperlink>
      <w:r w:rsidRPr="00BC50C9">
        <w:rPr>
          <w:rFonts w:ascii="Times New Roman" w:eastAsia="Calibri" w:hAnsi="Times New Roman" w:cs="Simplified Arabic"/>
          <w:sz w:val="24"/>
          <w:szCs w:val="28"/>
          <w:rtl/>
          <w:lang w:bidi="ar-EG"/>
        </w:rPr>
        <w:t xml:space="preserve">. </w:t>
      </w:r>
    </w:p>
    <w:p w14:paraId="1AD36F2C" w14:textId="04693818" w:rsidR="00D035A1" w:rsidRPr="00BC50C9" w:rsidRDefault="005848C9"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أبو </w:t>
      </w:r>
      <w:r w:rsidR="00D035A1" w:rsidRPr="00BC50C9">
        <w:rPr>
          <w:rFonts w:ascii="Times New Roman" w:eastAsia="Calibri" w:hAnsi="Times New Roman" w:cs="Simplified Arabic"/>
          <w:sz w:val="24"/>
          <w:szCs w:val="28"/>
          <w:rtl/>
          <w:lang w:bidi="ar-EG"/>
        </w:rPr>
        <w:t xml:space="preserve">النجا، لمياء فتحي صابر. (2024). المنصات الرقمية وأثرها على الدراما التلفزيونية. </w:t>
      </w:r>
      <w:r w:rsidR="00D035A1" w:rsidRPr="00BC50C9">
        <w:rPr>
          <w:rFonts w:ascii="Times New Roman" w:eastAsia="Calibri" w:hAnsi="Times New Roman" w:cs="Simplified Arabic"/>
          <w:i/>
          <w:iCs/>
          <w:sz w:val="24"/>
          <w:szCs w:val="28"/>
          <w:rtl/>
          <w:lang w:bidi="ar-EG"/>
        </w:rPr>
        <w:t>مجلة التراث والتصميم. 4(19).</w:t>
      </w:r>
      <w:r w:rsidR="00D035A1" w:rsidRPr="00BC50C9">
        <w:rPr>
          <w:rFonts w:ascii="Times New Roman" w:eastAsia="Calibri" w:hAnsi="Times New Roman" w:cs="Simplified Arabic"/>
          <w:sz w:val="24"/>
          <w:szCs w:val="28"/>
          <w:rtl/>
          <w:lang w:bidi="ar-EG"/>
        </w:rPr>
        <w:t xml:space="preserve"> 113-133. </w:t>
      </w:r>
    </w:p>
    <w:p w14:paraId="3C5C9CE3"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نسرين، </w:t>
      </w:r>
      <w:proofErr w:type="spellStart"/>
      <w:r w:rsidRPr="00BC50C9">
        <w:rPr>
          <w:rFonts w:ascii="Times New Roman" w:eastAsia="Calibri" w:hAnsi="Times New Roman" w:cs="Simplified Arabic"/>
          <w:sz w:val="24"/>
          <w:szCs w:val="28"/>
          <w:rtl/>
          <w:lang w:bidi="ar-EG"/>
        </w:rPr>
        <w:t>بوطاروس</w:t>
      </w:r>
      <w:proofErr w:type="spellEnd"/>
      <w:r w:rsidRPr="00BC50C9">
        <w:rPr>
          <w:rFonts w:ascii="Times New Roman" w:eastAsia="Calibri" w:hAnsi="Times New Roman" w:cs="Simplified Arabic"/>
          <w:sz w:val="24"/>
          <w:szCs w:val="28"/>
          <w:rtl/>
          <w:lang w:bidi="ar-EG"/>
        </w:rPr>
        <w:t xml:space="preserve">؛ الجمعي، حجام. (2024). المنصات الرقمية الإعلامية الجزائرية بين تحدي الواقع والتطلع نحو المستقبل. </w:t>
      </w:r>
      <w:r w:rsidRPr="00BC50C9">
        <w:rPr>
          <w:rFonts w:ascii="Times New Roman" w:eastAsia="Calibri" w:hAnsi="Times New Roman" w:cs="Simplified Arabic"/>
          <w:i/>
          <w:iCs/>
          <w:sz w:val="24"/>
          <w:szCs w:val="28"/>
          <w:rtl/>
          <w:lang w:bidi="ar-EG"/>
        </w:rPr>
        <w:t xml:space="preserve">مجلة الإعلام والمجتمع. 8(1). </w:t>
      </w:r>
      <w:r w:rsidRPr="00BC50C9">
        <w:rPr>
          <w:rFonts w:ascii="Times New Roman" w:eastAsia="Calibri" w:hAnsi="Times New Roman" w:cs="Simplified Arabic"/>
          <w:sz w:val="24"/>
          <w:szCs w:val="28"/>
          <w:rtl/>
          <w:lang w:bidi="ar-EG"/>
        </w:rPr>
        <w:t xml:space="preserve">345-358. </w:t>
      </w:r>
    </w:p>
    <w:p w14:paraId="47FB8941"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proofErr w:type="spellStart"/>
      <w:r w:rsidRPr="00BC50C9">
        <w:rPr>
          <w:rFonts w:ascii="Times New Roman" w:eastAsia="Calibri" w:hAnsi="Times New Roman" w:cs="Simplified Arabic"/>
          <w:sz w:val="24"/>
          <w:szCs w:val="28"/>
          <w:rtl/>
          <w:lang w:bidi="ar-EG"/>
        </w:rPr>
        <w:t>النواجي</w:t>
      </w:r>
      <w:proofErr w:type="spellEnd"/>
      <w:r w:rsidRPr="00BC50C9">
        <w:rPr>
          <w:rFonts w:ascii="Times New Roman" w:eastAsia="Calibri" w:hAnsi="Times New Roman" w:cs="Simplified Arabic"/>
          <w:sz w:val="24"/>
          <w:szCs w:val="28"/>
          <w:rtl/>
          <w:lang w:bidi="ar-EG"/>
        </w:rPr>
        <w:t xml:space="preserve">، هديل محمد سالم؛ عربيات، عبد الله رضوان محمد. (2024). </w:t>
      </w:r>
      <w:r w:rsidRPr="00BC50C9">
        <w:rPr>
          <w:rFonts w:ascii="Times New Roman" w:eastAsia="Calibri" w:hAnsi="Times New Roman" w:cs="Simplified Arabic"/>
          <w:i/>
          <w:iCs/>
          <w:sz w:val="24"/>
          <w:szCs w:val="28"/>
          <w:rtl/>
          <w:lang w:bidi="ar-EG"/>
        </w:rPr>
        <w:t>أثر تطبيق الاستراتيجيات الريادية على أداء المشاريع: حالة دراسية المشاريع الإنشائية الحكومية في الأردن</w:t>
      </w:r>
      <w:r w:rsidRPr="00BC50C9">
        <w:rPr>
          <w:rFonts w:ascii="Times New Roman" w:eastAsia="Calibri" w:hAnsi="Times New Roman" w:cs="Simplified Arabic"/>
          <w:sz w:val="24"/>
          <w:szCs w:val="28"/>
          <w:rtl/>
          <w:lang w:bidi="ar-EG"/>
        </w:rPr>
        <w:t>. (رسالة ماجستير غير منشورة)، جامعة البلقاء التطبيقية، الأردن.</w:t>
      </w:r>
    </w:p>
    <w:p w14:paraId="17CD65D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نوفل، إيمان محمد </w:t>
      </w:r>
      <w:proofErr w:type="spellStart"/>
      <w:r w:rsidRPr="00BC50C9">
        <w:rPr>
          <w:rFonts w:ascii="Times New Roman" w:eastAsia="Calibri" w:hAnsi="Times New Roman" w:cs="Simplified Arabic"/>
          <w:sz w:val="24"/>
          <w:szCs w:val="28"/>
          <w:rtl/>
          <w:lang w:bidi="ar-EG"/>
        </w:rPr>
        <w:t>محمد</w:t>
      </w:r>
      <w:proofErr w:type="spellEnd"/>
      <w:r w:rsidRPr="00BC50C9">
        <w:rPr>
          <w:rFonts w:ascii="Times New Roman" w:eastAsia="Calibri" w:hAnsi="Times New Roman" w:cs="Simplified Arabic"/>
          <w:sz w:val="24"/>
          <w:szCs w:val="28"/>
          <w:rtl/>
          <w:lang w:bidi="ar-EG"/>
        </w:rPr>
        <w:t xml:space="preserve">؛ عيسى، ثروت عبد الحميد عبد الحافظ؛ كفافي، إيمان مصطفى محمد. (2021). إدارة الأصول الاستراتيجية بجامعة الزهر كمدخل للتحول نحو الجامعة المنتجة وتحقيق الاستدامة المالية. </w:t>
      </w:r>
      <w:r w:rsidRPr="00BC50C9">
        <w:rPr>
          <w:rFonts w:ascii="Times New Roman" w:eastAsia="Calibri" w:hAnsi="Times New Roman" w:cs="Simplified Arabic"/>
          <w:i/>
          <w:iCs/>
          <w:sz w:val="24"/>
          <w:szCs w:val="28"/>
          <w:rtl/>
          <w:lang w:bidi="ar-EG"/>
        </w:rPr>
        <w:t>مجلة التربية</w:t>
      </w:r>
      <w:r w:rsidRPr="00BC50C9">
        <w:rPr>
          <w:rFonts w:ascii="Times New Roman" w:eastAsia="Calibri" w:hAnsi="Times New Roman" w:cs="Simplified Arabic"/>
          <w:sz w:val="24"/>
          <w:szCs w:val="28"/>
          <w:rtl/>
          <w:lang w:bidi="ar-EG"/>
        </w:rPr>
        <w:t>، (192)، 599-647.</w:t>
      </w:r>
    </w:p>
    <w:p w14:paraId="3DC7EFA6"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النويران، ثامر علي. (2020). تحليل استدامة الدين العام في الأردن للفترة من 2000-2020. </w:t>
      </w:r>
      <w:r w:rsidRPr="00BC50C9">
        <w:rPr>
          <w:rFonts w:ascii="Times New Roman" w:eastAsia="Calibri" w:hAnsi="Times New Roman" w:cs="Simplified Arabic"/>
          <w:i/>
          <w:iCs/>
          <w:sz w:val="24"/>
          <w:szCs w:val="28"/>
          <w:rtl/>
          <w:lang w:bidi="ar-EG"/>
        </w:rPr>
        <w:t>مجلة اقتصاديات شمال إفريقيا</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17</w:t>
      </w:r>
      <w:r w:rsidRPr="00BC50C9">
        <w:rPr>
          <w:rFonts w:ascii="Times New Roman" w:eastAsia="Calibri" w:hAnsi="Times New Roman" w:cs="Simplified Arabic"/>
          <w:sz w:val="24"/>
          <w:szCs w:val="28"/>
          <w:rtl/>
          <w:lang w:bidi="ar-EG"/>
        </w:rPr>
        <w:t>(26)، 181-196.</w:t>
      </w:r>
    </w:p>
    <w:p w14:paraId="3A417C49"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الهرش، أحمد فايز. (2021). آليات التمويل التشاركي للمؤسسات الناشئة. </w:t>
      </w:r>
      <w:r w:rsidRPr="00BC50C9">
        <w:rPr>
          <w:rFonts w:ascii="Times New Roman" w:eastAsia="Calibri" w:hAnsi="Times New Roman" w:cs="Simplified Arabic"/>
          <w:i/>
          <w:iCs/>
          <w:sz w:val="24"/>
          <w:szCs w:val="28"/>
          <w:rtl/>
          <w:lang w:bidi="ar-EG"/>
        </w:rPr>
        <w:t xml:space="preserve">مجلة البحوث الإدارية والاقتصادية. 5(1). </w:t>
      </w:r>
      <w:r w:rsidRPr="00BC50C9">
        <w:rPr>
          <w:rFonts w:ascii="Times New Roman" w:eastAsia="Calibri" w:hAnsi="Times New Roman" w:cs="Simplified Arabic"/>
          <w:sz w:val="24"/>
          <w:szCs w:val="28"/>
          <w:rtl/>
          <w:lang w:bidi="ar-EG"/>
        </w:rPr>
        <w:t xml:space="preserve">21-36. </w:t>
      </w:r>
    </w:p>
    <w:p w14:paraId="7D49D335"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هنداوي، محفوظ. (2023). اليقظة الاستراتيجية ودورها في نمو المشاريع الريادية. </w:t>
      </w:r>
      <w:r w:rsidRPr="00BC50C9">
        <w:rPr>
          <w:rFonts w:ascii="Times New Roman" w:eastAsia="Calibri" w:hAnsi="Times New Roman" w:cs="Simplified Arabic"/>
          <w:i/>
          <w:iCs/>
          <w:sz w:val="24"/>
          <w:szCs w:val="28"/>
          <w:rtl/>
          <w:lang w:bidi="ar-EG"/>
        </w:rPr>
        <w:t>مجلة الباحث الاقتصادي</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11</w:t>
      </w:r>
      <w:r w:rsidRPr="00BC50C9">
        <w:rPr>
          <w:rFonts w:ascii="Times New Roman" w:eastAsia="Calibri" w:hAnsi="Times New Roman" w:cs="Simplified Arabic"/>
          <w:sz w:val="24"/>
          <w:szCs w:val="28"/>
          <w:rtl/>
          <w:lang w:bidi="ar-EG"/>
        </w:rPr>
        <w:t>(1)، 334-350.</w:t>
      </w:r>
    </w:p>
    <w:p w14:paraId="14389E87"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هيئة الأوراق والأسواق المالية السورية. (2025). </w:t>
      </w:r>
      <w:r w:rsidRPr="00BC50C9">
        <w:rPr>
          <w:rFonts w:ascii="Times New Roman" w:eastAsia="Calibri" w:hAnsi="Times New Roman" w:cs="Simplified Arabic"/>
          <w:i/>
          <w:iCs/>
          <w:sz w:val="24"/>
          <w:szCs w:val="28"/>
          <w:rtl/>
          <w:lang w:bidi="ar-EG"/>
        </w:rPr>
        <w:t>دور منصات التمويل الجماعي في دعم المشاريع الصغيرة والمتناهية الصغر.</w:t>
      </w:r>
      <w:r w:rsidRPr="00BC50C9">
        <w:rPr>
          <w:rFonts w:ascii="Times New Roman" w:eastAsia="Calibri" w:hAnsi="Times New Roman" w:cs="Simplified Arabic"/>
          <w:sz w:val="24"/>
          <w:szCs w:val="28"/>
          <w:rtl/>
          <w:lang w:bidi="ar-EG"/>
        </w:rPr>
        <w:t xml:space="preserve"> سوريا. </w:t>
      </w:r>
    </w:p>
    <w:p w14:paraId="5B2667B3"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rPr>
        <w:lastRenderedPageBreak/>
        <w:t>الهيئة العامة للمنشآت الصغيرة والمتوسطة. (2021).</w:t>
      </w:r>
      <w:r w:rsidRPr="00BC50C9">
        <w:rPr>
          <w:rFonts w:ascii="Times New Roman" w:hAnsi="Times New Roman" w:cs="Simplified Arabic"/>
          <w:i/>
          <w:iCs/>
          <w:sz w:val="24"/>
          <w:szCs w:val="28"/>
          <w:rtl/>
        </w:rPr>
        <w:t xml:space="preserve"> 59 تحديا تواجه المنشآت الصغيرة والمتوسطة و300 ألف غير كافية للتمويل.</w:t>
      </w:r>
      <w:r w:rsidRPr="00BC50C9">
        <w:rPr>
          <w:rFonts w:ascii="Times New Roman" w:hAnsi="Times New Roman" w:cs="Simplified Arabic"/>
          <w:sz w:val="24"/>
          <w:szCs w:val="28"/>
          <w:rtl/>
        </w:rPr>
        <w:t xml:space="preserve"> تم الاسترجاع بتاريخ 27-2-20255، من </w:t>
      </w:r>
      <w:hyperlink r:id="rId30" w:history="1">
        <w:r w:rsidRPr="00BC50C9">
          <w:rPr>
            <w:rStyle w:val="Hyperlink"/>
            <w:rFonts w:ascii="Times New Roman" w:hAnsi="Times New Roman" w:cs="Simplified Arabic"/>
            <w:sz w:val="24"/>
            <w:szCs w:val="28"/>
          </w:rPr>
          <w:t>https://www.monshaat.gov.sa/ar/node/2405</w:t>
        </w:r>
      </w:hyperlink>
      <w:r w:rsidRPr="00BC50C9">
        <w:rPr>
          <w:rFonts w:ascii="Times New Roman" w:hAnsi="Times New Roman" w:cs="Simplified Arabic"/>
          <w:sz w:val="24"/>
          <w:szCs w:val="28"/>
          <w:rtl/>
        </w:rPr>
        <w:t xml:space="preserve"> </w:t>
      </w:r>
    </w:p>
    <w:p w14:paraId="6B6522E1"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rPr>
        <w:t>الهيئة العامة للمنشآت الصغيرة والمتوسطة. (2021).</w:t>
      </w:r>
      <w:r w:rsidRPr="00BC50C9">
        <w:rPr>
          <w:rFonts w:ascii="Times New Roman" w:hAnsi="Times New Roman" w:cs="Simplified Arabic"/>
          <w:i/>
          <w:iCs/>
          <w:sz w:val="24"/>
          <w:szCs w:val="28"/>
          <w:rtl/>
        </w:rPr>
        <w:t xml:space="preserve"> 59 تحديا تواجه المنشآت الصغيرة والمتوسطة و300 ألف غير كافية للتمويل.</w:t>
      </w:r>
      <w:r w:rsidRPr="00BC50C9">
        <w:rPr>
          <w:rFonts w:ascii="Times New Roman" w:hAnsi="Times New Roman" w:cs="Simplified Arabic"/>
          <w:sz w:val="24"/>
          <w:szCs w:val="28"/>
          <w:rtl/>
        </w:rPr>
        <w:t xml:space="preserve"> تم الاسترجاع بتاريخ 27-2-20255، من </w:t>
      </w:r>
      <w:hyperlink r:id="rId31" w:history="1">
        <w:r w:rsidRPr="00BC50C9">
          <w:rPr>
            <w:rStyle w:val="Hyperlink"/>
            <w:rFonts w:ascii="Times New Roman" w:hAnsi="Times New Roman" w:cs="Simplified Arabic"/>
            <w:sz w:val="24"/>
            <w:szCs w:val="28"/>
          </w:rPr>
          <w:t>https://www.monshaat.gov.sa/ar/node/2405</w:t>
        </w:r>
      </w:hyperlink>
      <w:r w:rsidRPr="00BC50C9">
        <w:rPr>
          <w:rFonts w:ascii="Times New Roman" w:hAnsi="Times New Roman" w:cs="Simplified Arabic"/>
          <w:sz w:val="24"/>
          <w:szCs w:val="28"/>
          <w:rtl/>
        </w:rPr>
        <w:t xml:space="preserve"> </w:t>
      </w:r>
    </w:p>
    <w:p w14:paraId="21F7FE50"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lang w:bidi="ar-EG"/>
        </w:rPr>
      </w:pPr>
      <w:r w:rsidRPr="00BC50C9">
        <w:rPr>
          <w:rFonts w:ascii="Times New Roman" w:hAnsi="Times New Roman" w:cs="Simplified Arabic"/>
          <w:sz w:val="24"/>
          <w:szCs w:val="28"/>
          <w:rtl/>
        </w:rPr>
        <w:t xml:space="preserve">وزارة الاتصالات وتقنية المعلومات. (2021). </w:t>
      </w:r>
      <w:r w:rsidRPr="00BC50C9">
        <w:rPr>
          <w:rFonts w:ascii="Times New Roman" w:hAnsi="Times New Roman" w:cs="Simplified Arabic"/>
          <w:i/>
          <w:iCs/>
          <w:sz w:val="24"/>
          <w:szCs w:val="28"/>
          <w:rtl/>
        </w:rPr>
        <w:t>سياسة ريادة الأعمال الرقمية.</w:t>
      </w:r>
      <w:r w:rsidRPr="00BC50C9">
        <w:rPr>
          <w:rFonts w:ascii="Times New Roman" w:hAnsi="Times New Roman" w:cs="Simplified Arabic"/>
          <w:sz w:val="24"/>
          <w:szCs w:val="28"/>
          <w:rtl/>
        </w:rPr>
        <w:t xml:space="preserve"> مصر.</w:t>
      </w:r>
    </w:p>
    <w:p w14:paraId="629B109D"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وزارة الاتصالات وتقنية المعلومات. (2025). </w:t>
      </w:r>
      <w:r w:rsidRPr="00BC50C9">
        <w:rPr>
          <w:rFonts w:ascii="Times New Roman" w:eastAsia="Calibri" w:hAnsi="Times New Roman" w:cs="Simplified Arabic"/>
          <w:i/>
          <w:iCs/>
          <w:sz w:val="24"/>
          <w:szCs w:val="28"/>
          <w:rtl/>
          <w:lang w:bidi="ar-EG"/>
        </w:rPr>
        <w:t>سياسة المنصات الرقمية الوطنية.</w:t>
      </w:r>
      <w:r w:rsidRPr="00BC50C9">
        <w:rPr>
          <w:rFonts w:ascii="Times New Roman" w:eastAsia="Calibri" w:hAnsi="Times New Roman" w:cs="Simplified Arabic"/>
          <w:sz w:val="24"/>
          <w:szCs w:val="28"/>
          <w:rtl/>
          <w:lang w:bidi="ar-EG"/>
        </w:rPr>
        <w:t xml:space="preserve"> مصر. </w:t>
      </w:r>
    </w:p>
    <w:p w14:paraId="71D93212"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وزارة الاقتصاد الرقمي والريادة. (2024). </w:t>
      </w:r>
      <w:r w:rsidRPr="00BC50C9">
        <w:rPr>
          <w:rFonts w:ascii="Times New Roman" w:eastAsia="Calibri" w:hAnsi="Times New Roman" w:cs="Simplified Arabic"/>
          <w:i/>
          <w:iCs/>
          <w:sz w:val="24"/>
          <w:szCs w:val="28"/>
          <w:rtl/>
          <w:lang w:bidi="ar-EG"/>
        </w:rPr>
        <w:t>استراتيجية وزارة الاقتصاد الرقمي والريادة.</w:t>
      </w:r>
      <w:r w:rsidRPr="00BC50C9">
        <w:rPr>
          <w:rFonts w:ascii="Times New Roman" w:eastAsia="Calibri" w:hAnsi="Times New Roman" w:cs="Simplified Arabic"/>
          <w:sz w:val="24"/>
          <w:szCs w:val="28"/>
          <w:rtl/>
          <w:lang w:bidi="ar-EG"/>
        </w:rPr>
        <w:t xml:space="preserve"> الأردن. </w:t>
      </w:r>
    </w:p>
    <w:p w14:paraId="3462D0FB"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اليزيدي، رزق الله بن عبد الله. (2024). دور ريادة الأعمال في تعززي التنمية الاقتصادية: دراسة ميدانية على عدد من المشروعات الريادية بمحافظة جدة. </w:t>
      </w:r>
      <w:r w:rsidRPr="00BC50C9">
        <w:rPr>
          <w:rFonts w:ascii="Times New Roman" w:eastAsia="Calibri" w:hAnsi="Times New Roman" w:cs="Simplified Arabic"/>
          <w:i/>
          <w:iCs/>
          <w:sz w:val="24"/>
          <w:szCs w:val="28"/>
          <w:rtl/>
          <w:lang w:bidi="ar-EG"/>
        </w:rPr>
        <w:t>المجلة العربية للإدارة</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44</w:t>
      </w:r>
      <w:r w:rsidRPr="00BC50C9">
        <w:rPr>
          <w:rFonts w:ascii="Times New Roman" w:eastAsia="Calibri" w:hAnsi="Times New Roman" w:cs="Simplified Arabic"/>
          <w:sz w:val="24"/>
          <w:szCs w:val="28"/>
          <w:rtl/>
          <w:lang w:bidi="ar-EG"/>
        </w:rPr>
        <w:t>(6)، 3-22.</w:t>
      </w:r>
    </w:p>
    <w:p w14:paraId="4DF7EB26"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يغمور، سهى عصام محمد. (2022). الشراكة المجتمعية بالجامعات السعودية ودورها في تحقيق الاستدامة المالية.</w:t>
      </w:r>
      <w:r w:rsidRPr="00BC50C9">
        <w:rPr>
          <w:rFonts w:ascii="Times New Roman" w:hAnsi="Times New Roman" w:cs="Simplified Arabic"/>
          <w:i/>
          <w:iCs/>
          <w:sz w:val="24"/>
          <w:szCs w:val="28"/>
          <w:rtl/>
        </w:rPr>
        <w:t xml:space="preserve"> مجلة كلية التربية بجامعة منها، 33</w:t>
      </w:r>
      <w:r w:rsidRPr="00BC50C9">
        <w:rPr>
          <w:rFonts w:ascii="Times New Roman" w:hAnsi="Times New Roman" w:cs="Simplified Arabic"/>
          <w:sz w:val="24"/>
          <w:szCs w:val="28"/>
          <w:rtl/>
        </w:rPr>
        <w:t>(129)، 671-700.</w:t>
      </w:r>
    </w:p>
    <w:p w14:paraId="3B04F2F6" w14:textId="77777777" w:rsidR="00D035A1" w:rsidRPr="00BC50C9" w:rsidRDefault="00D035A1" w:rsidP="00D035A1">
      <w:pPr>
        <w:pStyle w:val="a4"/>
        <w:bidi/>
        <w:spacing w:before="120" w:after="120"/>
        <w:ind w:left="283" w:hanging="283"/>
        <w:jc w:val="both"/>
        <w:rPr>
          <w:rFonts w:ascii="Times New Roman" w:hAnsi="Times New Roman" w:cs="Simplified Arabic"/>
          <w:sz w:val="24"/>
          <w:szCs w:val="28"/>
          <w:rtl/>
        </w:rPr>
      </w:pPr>
      <w:r w:rsidRPr="00BC50C9">
        <w:rPr>
          <w:rFonts w:ascii="Times New Roman" w:hAnsi="Times New Roman" w:cs="Simplified Arabic"/>
          <w:sz w:val="24"/>
          <w:szCs w:val="28"/>
          <w:rtl/>
        </w:rPr>
        <w:t>يغمور، سهى عصام محمد. (2022). الشراكة المجتمعية بالجامعات السعودية ودورها في تحقيق الاستدامة المالية.</w:t>
      </w:r>
      <w:r w:rsidRPr="00BC50C9">
        <w:rPr>
          <w:rFonts w:ascii="Times New Roman" w:hAnsi="Times New Roman" w:cs="Simplified Arabic"/>
          <w:i/>
          <w:iCs/>
          <w:sz w:val="24"/>
          <w:szCs w:val="28"/>
          <w:rtl/>
        </w:rPr>
        <w:t xml:space="preserve"> مجلة كلية التربية بجامعة منها، 33</w:t>
      </w:r>
      <w:r w:rsidRPr="00BC50C9">
        <w:rPr>
          <w:rFonts w:ascii="Times New Roman" w:hAnsi="Times New Roman" w:cs="Simplified Arabic"/>
          <w:sz w:val="24"/>
          <w:szCs w:val="28"/>
          <w:rtl/>
        </w:rPr>
        <w:t>(129)، 671-700.</w:t>
      </w:r>
    </w:p>
    <w:p w14:paraId="688F8349" w14:textId="77777777" w:rsidR="00D035A1" w:rsidRPr="00BC50C9" w:rsidRDefault="00D035A1" w:rsidP="00D035A1">
      <w:pPr>
        <w:bidi/>
        <w:spacing w:before="120" w:after="120" w:line="240" w:lineRule="auto"/>
        <w:ind w:left="283" w:hanging="283"/>
        <w:jc w:val="both"/>
        <w:rPr>
          <w:rFonts w:ascii="Times New Roman" w:eastAsia="Calibri" w:hAnsi="Times New Roman" w:cs="Simplified Arabic"/>
          <w:sz w:val="24"/>
          <w:szCs w:val="28"/>
          <w:rtl/>
          <w:lang w:bidi="ar-EG"/>
        </w:rPr>
      </w:pPr>
      <w:r w:rsidRPr="00BC50C9">
        <w:rPr>
          <w:rFonts w:ascii="Times New Roman" w:eastAsia="Calibri" w:hAnsi="Times New Roman" w:cs="Simplified Arabic"/>
          <w:sz w:val="24"/>
          <w:szCs w:val="28"/>
          <w:rtl/>
          <w:lang w:bidi="ar-EG"/>
        </w:rPr>
        <w:t xml:space="preserve">يوسف، محمد. (2024). الديون والاستدامة المالية في أفريقيا: الواقع </w:t>
      </w:r>
      <w:proofErr w:type="spellStart"/>
      <w:r w:rsidRPr="00BC50C9">
        <w:rPr>
          <w:rFonts w:ascii="Times New Roman" w:eastAsia="Calibri" w:hAnsi="Times New Roman" w:cs="Simplified Arabic"/>
          <w:sz w:val="24"/>
          <w:szCs w:val="28"/>
          <w:rtl/>
          <w:lang w:bidi="ar-EG"/>
        </w:rPr>
        <w:t>والمآلات</w:t>
      </w:r>
      <w:proofErr w:type="spellEnd"/>
      <w:r w:rsidRPr="00BC50C9">
        <w:rPr>
          <w:rFonts w:ascii="Times New Roman" w:eastAsia="Calibri" w:hAnsi="Times New Roman" w:cs="Simplified Arabic"/>
          <w:sz w:val="24"/>
          <w:szCs w:val="28"/>
          <w:rtl/>
          <w:lang w:bidi="ar-EG"/>
        </w:rPr>
        <w:t xml:space="preserve"> في عالم مأزوم. </w:t>
      </w:r>
      <w:r w:rsidRPr="00BC50C9">
        <w:rPr>
          <w:rFonts w:ascii="Times New Roman" w:eastAsia="Calibri" w:hAnsi="Times New Roman" w:cs="Simplified Arabic"/>
          <w:i/>
          <w:iCs/>
          <w:sz w:val="24"/>
          <w:szCs w:val="28"/>
          <w:rtl/>
          <w:lang w:bidi="ar-EG"/>
        </w:rPr>
        <w:t>المستقبل العربي</w:t>
      </w:r>
      <w:r w:rsidRPr="00BC50C9">
        <w:rPr>
          <w:rFonts w:ascii="Times New Roman" w:eastAsia="Calibri" w:hAnsi="Times New Roman" w:cs="Simplified Arabic"/>
          <w:sz w:val="24"/>
          <w:szCs w:val="28"/>
          <w:rtl/>
          <w:lang w:bidi="ar-EG"/>
        </w:rPr>
        <w:t xml:space="preserve">، </w:t>
      </w:r>
      <w:r w:rsidRPr="00BC50C9">
        <w:rPr>
          <w:rFonts w:ascii="Times New Roman" w:eastAsia="Calibri" w:hAnsi="Times New Roman" w:cs="Simplified Arabic"/>
          <w:i/>
          <w:iCs/>
          <w:sz w:val="24"/>
          <w:szCs w:val="28"/>
          <w:rtl/>
          <w:lang w:bidi="ar-EG"/>
        </w:rPr>
        <w:t>46</w:t>
      </w:r>
      <w:r w:rsidRPr="00BC50C9">
        <w:rPr>
          <w:rFonts w:ascii="Times New Roman" w:eastAsia="Calibri" w:hAnsi="Times New Roman" w:cs="Simplified Arabic"/>
          <w:sz w:val="24"/>
          <w:szCs w:val="28"/>
          <w:rtl/>
          <w:lang w:bidi="ar-EG"/>
        </w:rPr>
        <w:t>(541)، 126-135.</w:t>
      </w:r>
    </w:p>
    <w:p w14:paraId="36C44E86" w14:textId="126828B9" w:rsidR="00BA740A" w:rsidRPr="00BC50C9" w:rsidRDefault="00BA740A" w:rsidP="005848C9">
      <w:pPr>
        <w:pStyle w:val="22222"/>
      </w:pPr>
      <w:bookmarkStart w:id="209" w:name="_Toc195456643"/>
      <w:r w:rsidRPr="00BC50C9">
        <w:rPr>
          <w:rtl/>
        </w:rPr>
        <w:t>ثانيًا</w:t>
      </w:r>
      <w:r w:rsidRPr="00BC50C9">
        <w:t>:</w:t>
      </w:r>
      <w:r w:rsidRPr="00BC50C9">
        <w:rPr>
          <w:rtl/>
        </w:rPr>
        <w:t xml:space="preserve"> المراجع الأجنبية:</w:t>
      </w:r>
      <w:bookmarkEnd w:id="209"/>
    </w:p>
    <w:bookmarkEnd w:id="0"/>
    <w:p w14:paraId="58614D06"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Pr>
      </w:pPr>
      <w:proofErr w:type="spellStart"/>
      <w:r w:rsidRPr="00BC50C9">
        <w:rPr>
          <w:rFonts w:ascii="Times New Roman" w:hAnsi="Times New Roman" w:cs="Simplified Arabic"/>
          <w:color w:val="222222"/>
          <w:sz w:val="24"/>
          <w:szCs w:val="28"/>
          <w:shd w:val="clear" w:color="auto" w:fill="FFFFFF"/>
        </w:rPr>
        <w:t>Aladdasi</w:t>
      </w:r>
      <w:proofErr w:type="spellEnd"/>
      <w:r w:rsidRPr="00BC50C9">
        <w:rPr>
          <w:rFonts w:ascii="Times New Roman" w:hAnsi="Times New Roman" w:cs="Simplified Arabic"/>
          <w:color w:val="222222"/>
          <w:sz w:val="24"/>
          <w:szCs w:val="28"/>
          <w:shd w:val="clear" w:color="auto" w:fill="FFFFFF"/>
        </w:rPr>
        <w:t>, M., Ari, I., &amp; Koc, M. (2021). Equity crowdfunding and venture capital as complementary financing models for sustainable entrepreneurs: A comprehensive review. </w:t>
      </w:r>
      <w:r w:rsidRPr="00BC50C9">
        <w:rPr>
          <w:rFonts w:ascii="Times New Roman" w:hAnsi="Times New Roman" w:cs="Simplified Arabic"/>
          <w:i/>
          <w:iCs/>
          <w:color w:val="222222"/>
          <w:sz w:val="24"/>
          <w:szCs w:val="28"/>
          <w:shd w:val="clear" w:color="auto" w:fill="FFFFFF"/>
        </w:rPr>
        <w:t>Available at SSRN 4023847</w:t>
      </w:r>
      <w:r w:rsidRPr="00BC50C9">
        <w:rPr>
          <w:rFonts w:ascii="Times New Roman" w:hAnsi="Times New Roman" w:cs="Simplified Arabic"/>
          <w:color w:val="222222"/>
          <w:sz w:val="24"/>
          <w:szCs w:val="28"/>
          <w:shd w:val="clear" w:color="auto" w:fill="FFFFFF"/>
        </w:rPr>
        <w:t>. 1-43.</w:t>
      </w:r>
      <w:r w:rsidRPr="00BC50C9">
        <w:rPr>
          <w:rFonts w:ascii="Times New Roman" w:hAnsi="Times New Roman" w:cs="Simplified Arabic"/>
          <w:color w:val="222222"/>
          <w:sz w:val="24"/>
          <w:szCs w:val="28"/>
          <w:shd w:val="clear" w:color="auto" w:fill="FFFFFF"/>
          <w:rtl/>
        </w:rPr>
        <w:t>‏</w:t>
      </w:r>
    </w:p>
    <w:p w14:paraId="27D4D72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sz w:val="24"/>
          <w:szCs w:val="28"/>
        </w:rPr>
        <w:t>ALLISON, M. (2023). STRATEGIC ENTREPRENEURSHIP AND FIRM PERFORMANCE: A CONCEPTUAL REVIEW GABRIEL, PEACE IFIDON (PhD). DEPARTMENT OF CORPORATE ENTREPRENEURSHIP, FACULTY OF ENTREPRENEURIAL STUDIES, RIVERS STATE UNIVERSITY, NKPOLU-OROWORUKWO, PORT HARCOURT, RIVERS STATE,140-147.</w:t>
      </w:r>
    </w:p>
    <w:p w14:paraId="2B4E5280"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proofErr w:type="spellStart"/>
      <w:r w:rsidRPr="00BC50C9">
        <w:rPr>
          <w:rFonts w:ascii="Times New Roman" w:hAnsi="Times New Roman" w:cs="Simplified Arabic"/>
          <w:color w:val="222222"/>
          <w:sz w:val="24"/>
          <w:szCs w:val="28"/>
          <w:shd w:val="clear" w:color="auto" w:fill="FFFFFF"/>
        </w:rPr>
        <w:t>Almulhim</w:t>
      </w:r>
      <w:proofErr w:type="spellEnd"/>
      <w:r w:rsidRPr="00BC50C9">
        <w:rPr>
          <w:rFonts w:ascii="Times New Roman" w:hAnsi="Times New Roman" w:cs="Simplified Arabic"/>
          <w:color w:val="222222"/>
          <w:sz w:val="24"/>
          <w:szCs w:val="28"/>
          <w:shd w:val="clear" w:color="auto" w:fill="FFFFFF"/>
        </w:rPr>
        <w:t xml:space="preserve">, A. A., </w:t>
      </w:r>
      <w:proofErr w:type="spellStart"/>
      <w:r w:rsidRPr="00BC50C9">
        <w:rPr>
          <w:rFonts w:ascii="Times New Roman" w:hAnsi="Times New Roman" w:cs="Simplified Arabic"/>
          <w:color w:val="222222"/>
          <w:sz w:val="24"/>
          <w:szCs w:val="28"/>
          <w:shd w:val="clear" w:color="auto" w:fill="FFFFFF"/>
        </w:rPr>
        <w:t>Aljughaiman</w:t>
      </w:r>
      <w:proofErr w:type="spellEnd"/>
      <w:r w:rsidRPr="00BC50C9">
        <w:rPr>
          <w:rFonts w:ascii="Times New Roman" w:hAnsi="Times New Roman" w:cs="Simplified Arabic"/>
          <w:color w:val="222222"/>
          <w:sz w:val="24"/>
          <w:szCs w:val="28"/>
          <w:shd w:val="clear" w:color="auto" w:fill="FFFFFF"/>
        </w:rPr>
        <w:t>, A. A., Al Barrak, T., Chebbi, K., &amp; Amin, N. (2024). The power of ESG in shaping dividend policy: Illuminating the role of financial sustainability in an emerging market. </w:t>
      </w:r>
      <w:proofErr w:type="spellStart"/>
      <w:r w:rsidRPr="00BC50C9">
        <w:rPr>
          <w:rFonts w:ascii="Times New Roman" w:hAnsi="Times New Roman" w:cs="Simplified Arabic"/>
          <w:i/>
          <w:iCs/>
          <w:color w:val="222222"/>
          <w:sz w:val="24"/>
          <w:szCs w:val="28"/>
          <w:shd w:val="clear" w:color="auto" w:fill="FFFFFF"/>
        </w:rPr>
        <w:t>PloS</w:t>
      </w:r>
      <w:proofErr w:type="spellEnd"/>
      <w:r w:rsidRPr="00BC50C9">
        <w:rPr>
          <w:rFonts w:ascii="Times New Roman" w:hAnsi="Times New Roman" w:cs="Simplified Arabic"/>
          <w:i/>
          <w:iCs/>
          <w:color w:val="222222"/>
          <w:sz w:val="24"/>
          <w:szCs w:val="28"/>
          <w:shd w:val="clear" w:color="auto" w:fill="FFFFFF"/>
        </w:rPr>
        <w:t xml:space="preserve"> one</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19</w:t>
      </w:r>
      <w:r w:rsidRPr="00BC50C9">
        <w:rPr>
          <w:rFonts w:ascii="Times New Roman" w:hAnsi="Times New Roman" w:cs="Simplified Arabic"/>
          <w:color w:val="222222"/>
          <w:sz w:val="24"/>
          <w:szCs w:val="28"/>
          <w:shd w:val="clear" w:color="auto" w:fill="FFFFFF"/>
        </w:rPr>
        <w:t>(12), e0312290.</w:t>
      </w:r>
      <w:r w:rsidRPr="00BC50C9">
        <w:rPr>
          <w:rFonts w:ascii="Times New Roman" w:hAnsi="Times New Roman" w:cs="Simplified Arabic"/>
          <w:color w:val="222222"/>
          <w:sz w:val="24"/>
          <w:szCs w:val="28"/>
          <w:shd w:val="clear" w:color="auto" w:fill="FFFFFF"/>
          <w:rtl/>
        </w:rPr>
        <w:t>‏</w:t>
      </w:r>
    </w:p>
    <w:p w14:paraId="76BFCAD8"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rPr>
        <w:t>Almutairi, U. A. A. (2014). </w:t>
      </w:r>
      <w:r w:rsidRPr="00BC50C9">
        <w:rPr>
          <w:rFonts w:ascii="Times New Roman" w:hAnsi="Times New Roman" w:cs="Simplified Arabic"/>
          <w:i/>
          <w:iCs/>
          <w:color w:val="222222"/>
          <w:sz w:val="24"/>
          <w:szCs w:val="28"/>
          <w:shd w:val="clear" w:color="auto" w:fill="FFFFFF"/>
        </w:rPr>
        <w:t>The Role of a Project Management Office (PMO) in Reducing IT Project Failure in Saudi Arabia</w:t>
      </w:r>
      <w:r w:rsidRPr="00BC50C9">
        <w:rPr>
          <w:rFonts w:ascii="Times New Roman" w:hAnsi="Times New Roman" w:cs="Simplified Arabic"/>
          <w:color w:val="222222"/>
          <w:sz w:val="24"/>
          <w:szCs w:val="28"/>
          <w:shd w:val="clear" w:color="auto" w:fill="FFFFFF"/>
        </w:rPr>
        <w:t>. Unpublished Master Thesis, The University of Manchester (United Kingdom).</w:t>
      </w:r>
    </w:p>
    <w:p w14:paraId="36D5B236"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t>Al-Shaikh, M. S., &amp; Al-</w:t>
      </w:r>
      <w:proofErr w:type="spellStart"/>
      <w:r w:rsidRPr="00BC50C9">
        <w:rPr>
          <w:rFonts w:ascii="Times New Roman" w:hAnsi="Times New Roman" w:cs="Simplified Arabic"/>
          <w:color w:val="222222"/>
          <w:sz w:val="24"/>
          <w:szCs w:val="28"/>
          <w:shd w:val="clear" w:color="auto" w:fill="FFFFFF"/>
        </w:rPr>
        <w:t>bderat</w:t>
      </w:r>
      <w:proofErr w:type="spellEnd"/>
      <w:r w:rsidRPr="00BC50C9">
        <w:rPr>
          <w:rFonts w:ascii="Times New Roman" w:hAnsi="Times New Roman" w:cs="Simplified Arabic"/>
          <w:color w:val="222222"/>
          <w:sz w:val="24"/>
          <w:szCs w:val="28"/>
          <w:shd w:val="clear" w:color="auto" w:fill="FFFFFF"/>
        </w:rPr>
        <w:t xml:space="preserve">, H. R. (2023). </w:t>
      </w:r>
      <w:r w:rsidRPr="00BC50C9">
        <w:rPr>
          <w:rFonts w:ascii="Times New Roman" w:hAnsi="Times New Roman" w:cs="Simplified Arabic"/>
          <w:i/>
          <w:iCs/>
          <w:color w:val="222222"/>
          <w:sz w:val="24"/>
          <w:szCs w:val="28"/>
          <w:shd w:val="clear" w:color="auto" w:fill="FFFFFF"/>
        </w:rPr>
        <w:t>Artificial Intelligence (AI) and Finance</w:t>
      </w:r>
      <w:r w:rsidRPr="00BC50C9">
        <w:rPr>
          <w:rFonts w:ascii="Times New Roman" w:hAnsi="Times New Roman" w:cs="Simplified Arabic"/>
          <w:color w:val="222222"/>
          <w:sz w:val="24"/>
          <w:szCs w:val="28"/>
          <w:shd w:val="clear" w:color="auto" w:fill="FFFFFF"/>
        </w:rPr>
        <w:t>. Cham: Springer Nature Switzerland.</w:t>
      </w:r>
      <w:r w:rsidRPr="00BC50C9">
        <w:rPr>
          <w:rFonts w:ascii="Times New Roman" w:hAnsi="Times New Roman" w:cs="Simplified Arabic"/>
          <w:color w:val="222222"/>
          <w:sz w:val="24"/>
          <w:szCs w:val="28"/>
          <w:shd w:val="clear" w:color="auto" w:fill="FFFFFF"/>
          <w:rtl/>
        </w:rPr>
        <w:t>‏</w:t>
      </w:r>
    </w:p>
    <w:p w14:paraId="2C2BBAC4" w14:textId="77777777" w:rsidR="005848C9" w:rsidRPr="00BC50C9" w:rsidRDefault="005848C9" w:rsidP="005848C9">
      <w:pPr>
        <w:pStyle w:val="a4"/>
        <w:spacing w:before="120" w:after="120"/>
        <w:ind w:left="426" w:hanging="426"/>
        <w:contextualSpacing/>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lastRenderedPageBreak/>
        <w:t>Aly A., S., &amp; Salah M, A. (2022). The Relation between digital transformation and sustainable Development study Egypt case. </w:t>
      </w:r>
      <w:r w:rsidRPr="00BC50C9">
        <w:rPr>
          <w:rFonts w:ascii="Times New Roman" w:hAnsi="Times New Roman" w:cs="Simplified Arabic"/>
          <w:i/>
          <w:iCs/>
          <w:sz w:val="24"/>
          <w:szCs w:val="28"/>
        </w:rPr>
        <w:t>Scientific Journal for Economic&amp; Commerce</w:t>
      </w:r>
      <w:r w:rsidRPr="00BC50C9">
        <w:rPr>
          <w:rFonts w:ascii="Times New Roman" w:hAnsi="Times New Roman" w:cs="Simplified Arabic"/>
          <w:i/>
          <w:iCs/>
          <w:color w:val="222222"/>
          <w:sz w:val="24"/>
          <w:szCs w:val="28"/>
          <w:shd w:val="clear" w:color="auto" w:fill="FFFFFF"/>
        </w:rPr>
        <w:t>, 52</w:t>
      </w:r>
      <w:r w:rsidRPr="00BC50C9">
        <w:rPr>
          <w:rFonts w:ascii="Times New Roman" w:hAnsi="Times New Roman" w:cs="Simplified Arabic"/>
          <w:color w:val="222222"/>
          <w:sz w:val="24"/>
          <w:szCs w:val="28"/>
          <w:shd w:val="clear" w:color="auto" w:fill="FFFFFF"/>
        </w:rPr>
        <w:t xml:space="preserve">(4), 13-42. </w:t>
      </w:r>
      <w:r w:rsidRPr="00BC50C9">
        <w:rPr>
          <w:rFonts w:ascii="Times New Roman" w:hAnsi="Times New Roman" w:cs="Simplified Arabic"/>
          <w:color w:val="222222"/>
          <w:sz w:val="24"/>
          <w:szCs w:val="28"/>
          <w:shd w:val="clear" w:color="auto" w:fill="FFFFFF"/>
          <w:cs/>
        </w:rPr>
        <w:t>‎</w:t>
      </w:r>
    </w:p>
    <w:p w14:paraId="24A8BB9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proofErr w:type="spellStart"/>
      <w:r w:rsidRPr="00BC50C9">
        <w:rPr>
          <w:rFonts w:ascii="Times New Roman" w:hAnsi="Times New Roman" w:cs="Simplified Arabic"/>
          <w:sz w:val="24"/>
          <w:szCs w:val="28"/>
        </w:rPr>
        <w:t>Bagader</w:t>
      </w:r>
      <w:proofErr w:type="spellEnd"/>
      <w:r w:rsidRPr="00BC50C9">
        <w:rPr>
          <w:rFonts w:ascii="Times New Roman" w:hAnsi="Times New Roman" w:cs="Simplified Arabic"/>
          <w:sz w:val="24"/>
          <w:szCs w:val="28"/>
        </w:rPr>
        <w:t xml:space="preserve">, A., &amp; Basel S. (2022). A Review on Implementation of Strategic Management in Saudi Arabia Construction Companies Towards Achieving Sustainable Development Goals. </w:t>
      </w:r>
      <w:r w:rsidRPr="00BC50C9">
        <w:rPr>
          <w:rFonts w:ascii="Times New Roman" w:hAnsi="Times New Roman" w:cs="Simplified Arabic"/>
          <w:i/>
          <w:iCs/>
          <w:sz w:val="24"/>
          <w:szCs w:val="28"/>
        </w:rPr>
        <w:t>Journal of Civil Engineering Research &amp; Technology, 4</w:t>
      </w:r>
      <w:r w:rsidRPr="00BC50C9">
        <w:rPr>
          <w:rFonts w:ascii="Times New Roman" w:hAnsi="Times New Roman" w:cs="Simplified Arabic"/>
          <w:sz w:val="24"/>
          <w:szCs w:val="28"/>
        </w:rPr>
        <w:t>(2), 1-9</w:t>
      </w:r>
      <w:r w:rsidRPr="00BC50C9">
        <w:rPr>
          <w:rFonts w:ascii="Times New Roman" w:hAnsi="Times New Roman" w:cs="Simplified Arabic"/>
          <w:sz w:val="24"/>
          <w:szCs w:val="28"/>
          <w:lang w:bidi="ar-EG"/>
        </w:rPr>
        <w:t>.</w:t>
      </w:r>
    </w:p>
    <w:p w14:paraId="7832114E"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27679E">
        <w:rPr>
          <w:rFonts w:ascii="Times New Roman" w:hAnsi="Times New Roman" w:cs="Simplified Arabic"/>
          <w:color w:val="222222"/>
          <w:sz w:val="24"/>
          <w:szCs w:val="28"/>
          <w:shd w:val="clear" w:color="auto" w:fill="FFFFFF"/>
        </w:rPr>
        <w:t xml:space="preserve">Bernardino, S., &amp; Santos, J. F. (2020). </w:t>
      </w:r>
      <w:r w:rsidRPr="00BC50C9">
        <w:rPr>
          <w:rFonts w:ascii="Times New Roman" w:hAnsi="Times New Roman" w:cs="Simplified Arabic"/>
          <w:color w:val="222222"/>
          <w:sz w:val="24"/>
          <w:szCs w:val="28"/>
          <w:shd w:val="clear" w:color="auto" w:fill="FFFFFF"/>
        </w:rPr>
        <w:t>Crowdfunding: an exploratory study on knowledge, benefits and barriers perceived by young potential entrepreneurs. </w:t>
      </w:r>
      <w:r w:rsidRPr="00BC50C9">
        <w:rPr>
          <w:rFonts w:ascii="Times New Roman" w:hAnsi="Times New Roman" w:cs="Simplified Arabic"/>
          <w:i/>
          <w:iCs/>
          <w:color w:val="222222"/>
          <w:sz w:val="24"/>
          <w:szCs w:val="28"/>
          <w:shd w:val="clear" w:color="auto" w:fill="FFFFFF"/>
        </w:rPr>
        <w:t>Journal of Risk and Financial Management</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13</w:t>
      </w:r>
      <w:r w:rsidRPr="00BC50C9">
        <w:rPr>
          <w:rFonts w:ascii="Times New Roman" w:hAnsi="Times New Roman" w:cs="Simplified Arabic"/>
          <w:color w:val="222222"/>
          <w:sz w:val="24"/>
          <w:szCs w:val="28"/>
          <w:shd w:val="clear" w:color="auto" w:fill="FFFFFF"/>
        </w:rPr>
        <w:t>(4), 1-24.</w:t>
      </w:r>
      <w:r w:rsidRPr="00BC50C9">
        <w:rPr>
          <w:rFonts w:ascii="Times New Roman" w:hAnsi="Times New Roman" w:cs="Simplified Arabic"/>
          <w:color w:val="222222"/>
          <w:sz w:val="24"/>
          <w:szCs w:val="28"/>
          <w:shd w:val="clear" w:color="auto" w:fill="FFFFFF"/>
          <w:rtl/>
        </w:rPr>
        <w:t>‏</w:t>
      </w:r>
    </w:p>
    <w:p w14:paraId="22C2411F"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Bouncken</w:t>
      </w:r>
      <w:proofErr w:type="spellEnd"/>
      <w:r w:rsidRPr="00BC50C9">
        <w:rPr>
          <w:rFonts w:ascii="Times New Roman" w:hAnsi="Times New Roman" w:cs="Simplified Arabic"/>
          <w:color w:val="222222"/>
          <w:sz w:val="24"/>
          <w:szCs w:val="28"/>
          <w:shd w:val="clear" w:color="auto" w:fill="FFFFFF"/>
        </w:rPr>
        <w:t>, R. B., Komorek, M., &amp; Kraus, S. (2015). Crowdfunding: The current state of research. </w:t>
      </w:r>
      <w:r w:rsidRPr="00BC50C9">
        <w:rPr>
          <w:rFonts w:ascii="Times New Roman" w:hAnsi="Times New Roman" w:cs="Simplified Arabic"/>
          <w:i/>
          <w:iCs/>
          <w:color w:val="222222"/>
          <w:sz w:val="24"/>
          <w:szCs w:val="28"/>
          <w:shd w:val="clear" w:color="auto" w:fill="FFFFFF"/>
        </w:rPr>
        <w:t>International Business &amp; Economics Research Journal</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14</w:t>
      </w:r>
      <w:r w:rsidRPr="00BC50C9">
        <w:rPr>
          <w:rFonts w:ascii="Times New Roman" w:hAnsi="Times New Roman" w:cs="Simplified Arabic"/>
          <w:color w:val="222222"/>
          <w:sz w:val="24"/>
          <w:szCs w:val="28"/>
          <w:shd w:val="clear" w:color="auto" w:fill="FFFFFF"/>
        </w:rPr>
        <w:t>(3), 407-416.</w:t>
      </w:r>
    </w:p>
    <w:p w14:paraId="1149118A"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Pr>
      </w:pPr>
      <w:proofErr w:type="spellStart"/>
      <w:r w:rsidRPr="00BC50C9">
        <w:rPr>
          <w:rFonts w:ascii="Times New Roman" w:hAnsi="Times New Roman" w:cs="Simplified Arabic"/>
          <w:color w:val="222222"/>
          <w:sz w:val="24"/>
          <w:szCs w:val="28"/>
          <w:shd w:val="clear" w:color="auto" w:fill="FFFFFF"/>
        </w:rPr>
        <w:t>Calic</w:t>
      </w:r>
      <w:proofErr w:type="spellEnd"/>
      <w:r w:rsidRPr="00BC50C9">
        <w:rPr>
          <w:rFonts w:ascii="Times New Roman" w:hAnsi="Times New Roman" w:cs="Simplified Arabic"/>
          <w:color w:val="222222"/>
          <w:sz w:val="24"/>
          <w:szCs w:val="28"/>
          <w:shd w:val="clear" w:color="auto" w:fill="FFFFFF"/>
        </w:rPr>
        <w:t>, G., &amp; Mosakowski, E. (2016). Kicking off social entrepreneurship: How a sustainability orientation influences crowdfunding success. </w:t>
      </w:r>
      <w:r w:rsidRPr="00BC50C9">
        <w:rPr>
          <w:rFonts w:ascii="Times New Roman" w:hAnsi="Times New Roman" w:cs="Simplified Arabic"/>
          <w:i/>
          <w:iCs/>
          <w:color w:val="222222"/>
          <w:sz w:val="24"/>
          <w:szCs w:val="28"/>
          <w:shd w:val="clear" w:color="auto" w:fill="FFFFFF"/>
        </w:rPr>
        <w:t>Journal of Management Studies</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53</w:t>
      </w:r>
      <w:r w:rsidRPr="00BC50C9">
        <w:rPr>
          <w:rFonts w:ascii="Times New Roman" w:hAnsi="Times New Roman" w:cs="Simplified Arabic"/>
          <w:color w:val="222222"/>
          <w:sz w:val="24"/>
          <w:szCs w:val="28"/>
          <w:shd w:val="clear" w:color="auto" w:fill="FFFFFF"/>
        </w:rPr>
        <w:t>(5), 738-767.</w:t>
      </w:r>
      <w:r w:rsidRPr="00BC50C9">
        <w:rPr>
          <w:rFonts w:ascii="Times New Roman" w:hAnsi="Times New Roman" w:cs="Simplified Arabic"/>
          <w:color w:val="222222"/>
          <w:sz w:val="24"/>
          <w:szCs w:val="28"/>
          <w:shd w:val="clear" w:color="auto" w:fill="FFFFFF"/>
          <w:rtl/>
        </w:rPr>
        <w:t>‏</w:t>
      </w:r>
    </w:p>
    <w:p w14:paraId="3B32955A"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Cicchiello</w:t>
      </w:r>
      <w:proofErr w:type="spellEnd"/>
      <w:r w:rsidRPr="00BC50C9">
        <w:rPr>
          <w:rFonts w:ascii="Times New Roman" w:hAnsi="Times New Roman" w:cs="Simplified Arabic"/>
          <w:color w:val="222222"/>
          <w:sz w:val="24"/>
          <w:szCs w:val="28"/>
          <w:shd w:val="clear" w:color="auto" w:fill="FFFFFF"/>
        </w:rPr>
        <w:t>, A. F. (2019). Building an entrepreneurial ecosystem based on crowdfunding in Europe: the role of public policy. </w:t>
      </w:r>
      <w:r w:rsidRPr="00BC50C9">
        <w:rPr>
          <w:rFonts w:ascii="Times New Roman" w:hAnsi="Times New Roman" w:cs="Simplified Arabic"/>
          <w:i/>
          <w:iCs/>
          <w:color w:val="222222"/>
          <w:sz w:val="24"/>
          <w:szCs w:val="28"/>
          <w:shd w:val="clear" w:color="auto" w:fill="FFFFFF"/>
        </w:rPr>
        <w:t>Journal of Entrepreneurship and Public Policy</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8</w:t>
      </w:r>
      <w:r w:rsidRPr="00BC50C9">
        <w:rPr>
          <w:rFonts w:ascii="Times New Roman" w:hAnsi="Times New Roman" w:cs="Simplified Arabic"/>
          <w:color w:val="222222"/>
          <w:sz w:val="24"/>
          <w:szCs w:val="28"/>
          <w:shd w:val="clear" w:color="auto" w:fill="FFFFFF"/>
        </w:rPr>
        <w:t>(3), 297-318.</w:t>
      </w:r>
      <w:r w:rsidRPr="00BC50C9">
        <w:rPr>
          <w:rFonts w:ascii="Times New Roman" w:hAnsi="Times New Roman" w:cs="Simplified Arabic"/>
          <w:color w:val="222222"/>
          <w:sz w:val="24"/>
          <w:szCs w:val="28"/>
          <w:shd w:val="clear" w:color="auto" w:fill="FFFFFF"/>
          <w:rtl/>
        </w:rPr>
        <w:t>‏</w:t>
      </w:r>
    </w:p>
    <w:p w14:paraId="5AF4EB8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rPr>
        <w:t xml:space="preserve">Dahlgren, F., Taylor, S., &amp; Andersson, C. (2021). </w:t>
      </w:r>
      <w:r w:rsidRPr="00BC50C9">
        <w:rPr>
          <w:rFonts w:ascii="Times New Roman" w:hAnsi="Times New Roman" w:cs="Simplified Arabic"/>
          <w:i/>
          <w:iCs/>
          <w:color w:val="222222"/>
          <w:sz w:val="24"/>
          <w:szCs w:val="28"/>
          <w:shd w:val="clear" w:color="auto" w:fill="FFFFFF"/>
        </w:rPr>
        <w:t>Narrowing the Financing Gap in Resource-Constrained Environments</w:t>
      </w:r>
      <w:r w:rsidRPr="00BC50C9">
        <w:rPr>
          <w:rFonts w:ascii="Times New Roman" w:hAnsi="Times New Roman" w:cs="Simplified Arabic"/>
          <w:color w:val="222222"/>
          <w:sz w:val="24"/>
          <w:szCs w:val="28"/>
          <w:shd w:val="clear" w:color="auto" w:fill="FFFFFF"/>
        </w:rPr>
        <w:t xml:space="preserve"> (</w:t>
      </w:r>
      <w:proofErr w:type="spellStart"/>
      <w:r w:rsidRPr="00BC50C9">
        <w:rPr>
          <w:rFonts w:ascii="Times New Roman" w:hAnsi="Times New Roman" w:cs="Simplified Arabic"/>
          <w:color w:val="222222"/>
          <w:sz w:val="24"/>
          <w:szCs w:val="28"/>
          <w:shd w:val="clear" w:color="auto" w:fill="FFFFFF"/>
        </w:rPr>
        <w:t>Unpblished</w:t>
      </w:r>
      <w:proofErr w:type="spellEnd"/>
      <w:r w:rsidRPr="00BC50C9">
        <w:rPr>
          <w:rFonts w:ascii="Times New Roman" w:hAnsi="Times New Roman" w:cs="Simplified Arabic"/>
          <w:color w:val="222222"/>
          <w:sz w:val="24"/>
          <w:szCs w:val="28"/>
          <w:shd w:val="clear" w:color="auto" w:fill="FFFFFF"/>
        </w:rPr>
        <w:t xml:space="preserve"> Bachelor Thesis), Lunds Universitet.</w:t>
      </w:r>
    </w:p>
    <w:p w14:paraId="6207374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proofErr w:type="spellStart"/>
      <w:r w:rsidRPr="00BC50C9">
        <w:rPr>
          <w:rFonts w:ascii="Times New Roman" w:hAnsi="Times New Roman" w:cs="Simplified Arabic"/>
          <w:color w:val="222222"/>
          <w:sz w:val="24"/>
          <w:szCs w:val="28"/>
          <w:shd w:val="clear" w:color="auto" w:fill="FFFFFF"/>
        </w:rPr>
        <w:t>Dalcher</w:t>
      </w:r>
      <w:proofErr w:type="spellEnd"/>
      <w:r w:rsidRPr="00BC50C9">
        <w:rPr>
          <w:rFonts w:ascii="Times New Roman" w:hAnsi="Times New Roman" w:cs="Simplified Arabic"/>
          <w:color w:val="222222"/>
          <w:sz w:val="24"/>
          <w:szCs w:val="28"/>
          <w:shd w:val="clear" w:color="auto" w:fill="FFFFFF"/>
        </w:rPr>
        <w:t xml:space="preserve">, D. (2019). Moving beyond project delivery: Reflecting on the life cycle concept as way for </w:t>
      </w:r>
      <w:proofErr w:type="spellStart"/>
      <w:r w:rsidRPr="00BC50C9">
        <w:rPr>
          <w:rFonts w:ascii="Times New Roman" w:hAnsi="Times New Roman" w:cs="Simplified Arabic"/>
          <w:color w:val="222222"/>
          <w:sz w:val="24"/>
          <w:szCs w:val="28"/>
          <w:shd w:val="clear" w:color="auto" w:fill="FFFFFF"/>
        </w:rPr>
        <w:t>organising</w:t>
      </w:r>
      <w:proofErr w:type="spellEnd"/>
      <w:r w:rsidRPr="00BC50C9">
        <w:rPr>
          <w:rFonts w:ascii="Times New Roman" w:hAnsi="Times New Roman" w:cs="Simplified Arabic"/>
          <w:color w:val="222222"/>
          <w:sz w:val="24"/>
          <w:szCs w:val="28"/>
          <w:shd w:val="clear" w:color="auto" w:fill="FFFFFF"/>
        </w:rPr>
        <w:t xml:space="preserve"> project work. </w:t>
      </w:r>
      <w:r w:rsidRPr="00BC50C9">
        <w:rPr>
          <w:rFonts w:ascii="Times New Roman" w:hAnsi="Times New Roman" w:cs="Simplified Arabic"/>
          <w:i/>
          <w:iCs/>
          <w:color w:val="222222"/>
          <w:sz w:val="24"/>
          <w:szCs w:val="28"/>
          <w:shd w:val="clear" w:color="auto" w:fill="FFFFFF"/>
        </w:rPr>
        <w:t>PM World Journal</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8</w:t>
      </w:r>
      <w:r w:rsidRPr="00BC50C9">
        <w:rPr>
          <w:rFonts w:ascii="Times New Roman" w:hAnsi="Times New Roman" w:cs="Simplified Arabic"/>
          <w:color w:val="222222"/>
          <w:sz w:val="24"/>
          <w:szCs w:val="28"/>
          <w:shd w:val="clear" w:color="auto" w:fill="FFFFFF"/>
        </w:rPr>
        <w:t>(1), 1-15.</w:t>
      </w:r>
    </w:p>
    <w:p w14:paraId="49E01102"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r w:rsidRPr="00BC50C9">
        <w:rPr>
          <w:rFonts w:ascii="Times New Roman" w:hAnsi="Times New Roman" w:cs="Simplified Arabic"/>
          <w:color w:val="222222"/>
          <w:sz w:val="24"/>
          <w:szCs w:val="28"/>
          <w:shd w:val="clear" w:color="auto" w:fill="FFFFFF"/>
        </w:rPr>
        <w:t xml:space="preserve">Davydenko, N., </w:t>
      </w:r>
      <w:proofErr w:type="spellStart"/>
      <w:r w:rsidRPr="00BC50C9">
        <w:rPr>
          <w:rFonts w:ascii="Times New Roman" w:hAnsi="Times New Roman" w:cs="Simplified Arabic"/>
          <w:color w:val="222222"/>
          <w:sz w:val="24"/>
          <w:szCs w:val="28"/>
          <w:shd w:val="clear" w:color="auto" w:fill="FFFFFF"/>
        </w:rPr>
        <w:t>Nehoda</w:t>
      </w:r>
      <w:proofErr w:type="spellEnd"/>
      <w:r w:rsidRPr="00BC50C9">
        <w:rPr>
          <w:rFonts w:ascii="Times New Roman" w:hAnsi="Times New Roman" w:cs="Simplified Arabic"/>
          <w:color w:val="222222"/>
          <w:sz w:val="24"/>
          <w:szCs w:val="28"/>
          <w:shd w:val="clear" w:color="auto" w:fill="FFFFFF"/>
        </w:rPr>
        <w:t xml:space="preserve">, Y., </w:t>
      </w:r>
      <w:proofErr w:type="spellStart"/>
      <w:r w:rsidRPr="00BC50C9">
        <w:rPr>
          <w:rFonts w:ascii="Times New Roman" w:hAnsi="Times New Roman" w:cs="Simplified Arabic"/>
          <w:color w:val="222222"/>
          <w:sz w:val="24"/>
          <w:szCs w:val="28"/>
          <w:shd w:val="clear" w:color="auto" w:fill="FFFFFF"/>
        </w:rPr>
        <w:t>Tytarchuk</w:t>
      </w:r>
      <w:proofErr w:type="spellEnd"/>
      <w:r w:rsidRPr="00BC50C9">
        <w:rPr>
          <w:rFonts w:ascii="Times New Roman" w:hAnsi="Times New Roman" w:cs="Simplified Arabic"/>
          <w:color w:val="222222"/>
          <w:sz w:val="24"/>
          <w:szCs w:val="28"/>
          <w:shd w:val="clear" w:color="auto" w:fill="FFFFFF"/>
        </w:rPr>
        <w:t>, I., &amp; Wasilewska, N. (2019). Mechanism of ensuring financial sustainability of agricultural enterprises. </w:t>
      </w:r>
      <w:proofErr w:type="spellStart"/>
      <w:r w:rsidRPr="00BC50C9">
        <w:rPr>
          <w:rFonts w:ascii="Times New Roman" w:hAnsi="Times New Roman" w:cs="Simplified Arabic"/>
          <w:i/>
          <w:iCs/>
          <w:color w:val="222222"/>
          <w:sz w:val="24"/>
          <w:szCs w:val="28"/>
          <w:shd w:val="clear" w:color="auto" w:fill="FFFFFF"/>
        </w:rPr>
        <w:t>Roczniki</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Naukowe</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Ekonomii</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Rolnictwa</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i</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Rozwoju</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Obszarów</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Wiejskich</w:t>
      </w:r>
      <w:proofErr w:type="spellEnd"/>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106</w:t>
      </w:r>
      <w:r w:rsidRPr="00BC50C9">
        <w:rPr>
          <w:rFonts w:ascii="Times New Roman" w:hAnsi="Times New Roman" w:cs="Simplified Arabic"/>
          <w:color w:val="222222"/>
          <w:sz w:val="24"/>
          <w:szCs w:val="28"/>
          <w:shd w:val="clear" w:color="auto" w:fill="FFFFFF"/>
        </w:rPr>
        <w:t>(1), 7-21.</w:t>
      </w:r>
      <w:r w:rsidRPr="00BC50C9">
        <w:rPr>
          <w:rFonts w:ascii="Times New Roman" w:hAnsi="Times New Roman" w:cs="Simplified Arabic"/>
          <w:color w:val="222222"/>
          <w:sz w:val="24"/>
          <w:szCs w:val="28"/>
          <w:shd w:val="clear" w:color="auto" w:fill="FFFFFF"/>
          <w:rtl/>
        </w:rPr>
        <w:t>‏</w:t>
      </w:r>
    </w:p>
    <w:p w14:paraId="33F94ED9"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Pr>
      </w:pPr>
      <w:r w:rsidRPr="00BC50C9">
        <w:rPr>
          <w:rFonts w:ascii="Times New Roman" w:hAnsi="Times New Roman" w:cs="Simplified Arabic"/>
          <w:color w:val="222222"/>
          <w:sz w:val="24"/>
          <w:szCs w:val="28"/>
          <w:shd w:val="clear" w:color="auto" w:fill="FFFFFF"/>
        </w:rPr>
        <w:t>Dinh, J. M., Isaak, A. J., &amp; Wehner, M. C. (2024). Sustainability-oriented crowdfunding: An integrative literature review. </w:t>
      </w:r>
      <w:r w:rsidRPr="00BC50C9">
        <w:rPr>
          <w:rFonts w:ascii="Times New Roman" w:hAnsi="Times New Roman" w:cs="Simplified Arabic"/>
          <w:i/>
          <w:iCs/>
          <w:color w:val="222222"/>
          <w:sz w:val="24"/>
          <w:szCs w:val="28"/>
          <w:shd w:val="clear" w:color="auto" w:fill="FFFFFF"/>
        </w:rPr>
        <w:t>Journal of Cleaner Production</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448</w:t>
      </w:r>
      <w:r w:rsidRPr="00BC50C9">
        <w:rPr>
          <w:rFonts w:ascii="Times New Roman" w:hAnsi="Times New Roman" w:cs="Simplified Arabic"/>
          <w:color w:val="222222"/>
          <w:sz w:val="24"/>
          <w:szCs w:val="28"/>
          <w:shd w:val="clear" w:color="auto" w:fill="FFFFFF"/>
        </w:rPr>
        <w:t>, 1-7.</w:t>
      </w:r>
    </w:p>
    <w:p w14:paraId="7E529B7E"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27679E">
        <w:rPr>
          <w:rFonts w:ascii="Times New Roman" w:hAnsi="Times New Roman" w:cs="Simplified Arabic"/>
          <w:color w:val="222222"/>
          <w:sz w:val="24"/>
          <w:szCs w:val="28"/>
          <w:shd w:val="clear" w:color="auto" w:fill="FFFFFF"/>
        </w:rPr>
        <w:t xml:space="preserve">Essawi, E. S., &amp; Kaoud, H. (2023). </w:t>
      </w:r>
      <w:r w:rsidRPr="00BC50C9">
        <w:rPr>
          <w:rFonts w:ascii="Times New Roman" w:hAnsi="Times New Roman" w:cs="Simplified Arabic"/>
          <w:color w:val="222222"/>
          <w:sz w:val="24"/>
          <w:szCs w:val="28"/>
          <w:shd w:val="clear" w:color="auto" w:fill="FFFFFF"/>
        </w:rPr>
        <w:t>Applicability and Readiness of Crowdfunding in the Egyptian Ecosystem. </w:t>
      </w:r>
      <w:r w:rsidRPr="00BC50C9">
        <w:rPr>
          <w:rFonts w:ascii="Times New Roman" w:hAnsi="Times New Roman" w:cs="Simplified Arabic"/>
          <w:i/>
          <w:iCs/>
          <w:color w:val="222222"/>
          <w:sz w:val="24"/>
          <w:szCs w:val="28"/>
          <w:shd w:val="clear" w:color="auto" w:fill="FFFFFF"/>
        </w:rPr>
        <w:t>Arab Journal of STI Policies</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4</w:t>
      </w:r>
      <w:r w:rsidRPr="00BC50C9">
        <w:rPr>
          <w:rFonts w:ascii="Times New Roman" w:hAnsi="Times New Roman" w:cs="Simplified Arabic"/>
          <w:color w:val="222222"/>
          <w:sz w:val="24"/>
          <w:szCs w:val="28"/>
          <w:shd w:val="clear" w:color="auto" w:fill="FFFFFF"/>
        </w:rPr>
        <w:t>(4), 65-82.</w:t>
      </w:r>
    </w:p>
    <w:p w14:paraId="001068D0"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27679E">
        <w:rPr>
          <w:rFonts w:ascii="Times New Roman" w:hAnsi="Times New Roman" w:cs="Simplified Arabic"/>
          <w:sz w:val="24"/>
          <w:szCs w:val="28"/>
        </w:rPr>
        <w:t xml:space="preserve">Fu, H. P., Yeh, H., &amp; Ma, R. L. (2018). </w:t>
      </w:r>
      <w:r w:rsidRPr="00BC50C9">
        <w:rPr>
          <w:rFonts w:ascii="Times New Roman" w:hAnsi="Times New Roman" w:cs="Simplified Arabic"/>
          <w:sz w:val="24"/>
          <w:szCs w:val="28"/>
        </w:rPr>
        <w:t>A study of the CSFs of an e-cluster platform adoption for microenterprises. Information Technology and Management, 19, 231-243.</w:t>
      </w:r>
      <w:r w:rsidRPr="00BC50C9">
        <w:rPr>
          <w:rFonts w:ascii="Times New Roman" w:hAnsi="Times New Roman" w:cs="Simplified Arabic"/>
          <w:sz w:val="24"/>
          <w:szCs w:val="28"/>
          <w:rtl/>
        </w:rPr>
        <w:t>‏</w:t>
      </w:r>
    </w:p>
    <w:p w14:paraId="10919E93"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Gkrimpizi</w:t>
      </w:r>
      <w:proofErr w:type="spellEnd"/>
      <w:r w:rsidRPr="00BC50C9">
        <w:rPr>
          <w:rFonts w:ascii="Times New Roman" w:hAnsi="Times New Roman" w:cs="Simplified Arabic"/>
          <w:color w:val="222222"/>
          <w:sz w:val="24"/>
          <w:szCs w:val="28"/>
          <w:shd w:val="clear" w:color="auto" w:fill="FFFFFF"/>
        </w:rPr>
        <w:t xml:space="preserve">, T., &amp; </w:t>
      </w:r>
      <w:proofErr w:type="spellStart"/>
      <w:r w:rsidRPr="00BC50C9">
        <w:rPr>
          <w:rFonts w:ascii="Times New Roman" w:hAnsi="Times New Roman" w:cs="Simplified Arabic"/>
          <w:color w:val="222222"/>
          <w:sz w:val="24"/>
          <w:szCs w:val="28"/>
          <w:shd w:val="clear" w:color="auto" w:fill="FFFFFF"/>
        </w:rPr>
        <w:t>Peristeras</w:t>
      </w:r>
      <w:proofErr w:type="spellEnd"/>
      <w:r w:rsidRPr="00BC50C9">
        <w:rPr>
          <w:rFonts w:ascii="Times New Roman" w:hAnsi="Times New Roman" w:cs="Simplified Arabic"/>
          <w:color w:val="222222"/>
          <w:sz w:val="24"/>
          <w:szCs w:val="28"/>
          <w:shd w:val="clear" w:color="auto" w:fill="FFFFFF"/>
        </w:rPr>
        <w:t>, V. (2022, October). Barriers to digital transformation in higher education institutions, Paper presented at </w:t>
      </w:r>
      <w:r w:rsidRPr="00BC50C9">
        <w:rPr>
          <w:rFonts w:ascii="Times New Roman" w:hAnsi="Times New Roman" w:cs="Simplified Arabic"/>
          <w:i/>
          <w:iCs/>
          <w:color w:val="222222"/>
          <w:sz w:val="24"/>
          <w:szCs w:val="28"/>
          <w:shd w:val="clear" w:color="auto" w:fill="FFFFFF"/>
        </w:rPr>
        <w:t>Proceedings of the 15th International Conference on Theory and Practice of Electronic Governance</w:t>
      </w:r>
      <w:r w:rsidRPr="00BC50C9">
        <w:rPr>
          <w:rFonts w:ascii="Times New Roman" w:hAnsi="Times New Roman" w:cs="Simplified Arabic"/>
          <w:color w:val="222222"/>
          <w:sz w:val="24"/>
          <w:szCs w:val="28"/>
          <w:shd w:val="clear" w:color="auto" w:fill="FFFFFF"/>
        </w:rPr>
        <w:t>.</w:t>
      </w:r>
    </w:p>
    <w:p w14:paraId="3D7D2AE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rPr>
      </w:pPr>
      <w:proofErr w:type="spellStart"/>
      <w:r w:rsidRPr="00BC50C9">
        <w:rPr>
          <w:rFonts w:ascii="Times New Roman" w:hAnsi="Times New Roman" w:cs="Simplified Arabic"/>
          <w:color w:val="222222"/>
          <w:sz w:val="24"/>
          <w:szCs w:val="28"/>
          <w:shd w:val="clear" w:color="auto" w:fill="FFFFFF"/>
        </w:rPr>
        <w:t>Gleißner</w:t>
      </w:r>
      <w:proofErr w:type="spellEnd"/>
      <w:r w:rsidRPr="00BC50C9">
        <w:rPr>
          <w:rFonts w:ascii="Times New Roman" w:hAnsi="Times New Roman" w:cs="Simplified Arabic"/>
          <w:color w:val="222222"/>
          <w:sz w:val="24"/>
          <w:szCs w:val="28"/>
          <w:shd w:val="clear" w:color="auto" w:fill="FFFFFF"/>
        </w:rPr>
        <w:t xml:space="preserve">, W., Günther, T., &amp; </w:t>
      </w:r>
      <w:proofErr w:type="spellStart"/>
      <w:r w:rsidRPr="00BC50C9">
        <w:rPr>
          <w:rFonts w:ascii="Times New Roman" w:hAnsi="Times New Roman" w:cs="Simplified Arabic"/>
          <w:color w:val="222222"/>
          <w:sz w:val="24"/>
          <w:szCs w:val="28"/>
          <w:shd w:val="clear" w:color="auto" w:fill="FFFFFF"/>
        </w:rPr>
        <w:t>Walkshäusl</w:t>
      </w:r>
      <w:proofErr w:type="spellEnd"/>
      <w:r w:rsidRPr="00BC50C9">
        <w:rPr>
          <w:rFonts w:ascii="Times New Roman" w:hAnsi="Times New Roman" w:cs="Simplified Arabic"/>
          <w:color w:val="222222"/>
          <w:sz w:val="24"/>
          <w:szCs w:val="28"/>
          <w:shd w:val="clear" w:color="auto" w:fill="FFFFFF"/>
        </w:rPr>
        <w:t>, C. (2022). Financial sustainability: measurement and empirical evidence. </w:t>
      </w:r>
      <w:r w:rsidRPr="00BC50C9">
        <w:rPr>
          <w:rFonts w:ascii="Times New Roman" w:hAnsi="Times New Roman" w:cs="Simplified Arabic"/>
          <w:i/>
          <w:iCs/>
          <w:color w:val="222222"/>
          <w:sz w:val="24"/>
          <w:szCs w:val="28"/>
          <w:shd w:val="clear" w:color="auto" w:fill="FFFFFF"/>
        </w:rPr>
        <w:t>Journal of Business Economics</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92</w:t>
      </w:r>
      <w:r w:rsidRPr="00BC50C9">
        <w:rPr>
          <w:rFonts w:ascii="Times New Roman" w:hAnsi="Times New Roman" w:cs="Simplified Arabic"/>
          <w:color w:val="222222"/>
          <w:sz w:val="24"/>
          <w:szCs w:val="28"/>
          <w:shd w:val="clear" w:color="auto" w:fill="FFFFFF"/>
        </w:rPr>
        <w:t>(3), 467-516.</w:t>
      </w:r>
      <w:r w:rsidRPr="00BC50C9">
        <w:rPr>
          <w:rFonts w:ascii="Times New Roman" w:hAnsi="Times New Roman" w:cs="Simplified Arabic"/>
          <w:color w:val="222222"/>
          <w:sz w:val="24"/>
          <w:szCs w:val="28"/>
          <w:shd w:val="clear" w:color="auto" w:fill="FFFFFF"/>
          <w:rtl/>
        </w:rPr>
        <w:t>‏</w:t>
      </w:r>
    </w:p>
    <w:p w14:paraId="05E465BD"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proofErr w:type="spellStart"/>
      <w:r w:rsidRPr="00BC50C9">
        <w:rPr>
          <w:rFonts w:ascii="Times New Roman" w:hAnsi="Times New Roman" w:cs="Simplified Arabic"/>
          <w:color w:val="222222"/>
          <w:sz w:val="24"/>
          <w:szCs w:val="28"/>
          <w:shd w:val="clear" w:color="auto" w:fill="FFFFFF"/>
        </w:rPr>
        <w:t>Gwóźdź</w:t>
      </w:r>
      <w:proofErr w:type="spellEnd"/>
      <w:r w:rsidRPr="00BC50C9">
        <w:rPr>
          <w:rFonts w:ascii="Times New Roman" w:hAnsi="Times New Roman" w:cs="Simplified Arabic"/>
          <w:color w:val="222222"/>
          <w:sz w:val="24"/>
          <w:szCs w:val="28"/>
          <w:shd w:val="clear" w:color="auto" w:fill="FFFFFF"/>
        </w:rPr>
        <w:t xml:space="preserve">, T. D., &amp; </w:t>
      </w:r>
      <w:proofErr w:type="spellStart"/>
      <w:r w:rsidRPr="00BC50C9">
        <w:rPr>
          <w:rFonts w:ascii="Times New Roman" w:hAnsi="Times New Roman" w:cs="Simplified Arabic"/>
          <w:color w:val="222222"/>
          <w:sz w:val="24"/>
          <w:szCs w:val="28"/>
          <w:shd w:val="clear" w:color="auto" w:fill="FFFFFF"/>
        </w:rPr>
        <w:t>Kołodziej</w:t>
      </w:r>
      <w:proofErr w:type="spellEnd"/>
      <w:r w:rsidRPr="00BC50C9">
        <w:rPr>
          <w:rFonts w:ascii="Times New Roman" w:hAnsi="Times New Roman" w:cs="Simplified Arabic"/>
          <w:color w:val="222222"/>
          <w:sz w:val="24"/>
          <w:szCs w:val="28"/>
          <w:shd w:val="clear" w:color="auto" w:fill="FFFFFF"/>
        </w:rPr>
        <w:t>, D. (2024). Fiscal sustainability-a comparative approach. </w:t>
      </w:r>
      <w:proofErr w:type="spellStart"/>
      <w:r w:rsidRPr="00BC50C9">
        <w:rPr>
          <w:rFonts w:ascii="Times New Roman" w:hAnsi="Times New Roman" w:cs="Simplified Arabic"/>
          <w:i/>
          <w:iCs/>
          <w:color w:val="222222"/>
          <w:sz w:val="24"/>
          <w:szCs w:val="28"/>
          <w:shd w:val="clear" w:color="auto" w:fill="FFFFFF"/>
        </w:rPr>
        <w:t>Roczniki</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Administracji</w:t>
      </w:r>
      <w:proofErr w:type="spellEnd"/>
      <w:r w:rsidRPr="00BC50C9">
        <w:rPr>
          <w:rFonts w:ascii="Times New Roman" w:hAnsi="Times New Roman" w:cs="Simplified Arabic"/>
          <w:i/>
          <w:iCs/>
          <w:color w:val="222222"/>
          <w:sz w:val="24"/>
          <w:szCs w:val="28"/>
          <w:shd w:val="clear" w:color="auto" w:fill="FFFFFF"/>
        </w:rPr>
        <w:t xml:space="preserve"> </w:t>
      </w:r>
      <w:proofErr w:type="spellStart"/>
      <w:r w:rsidRPr="00BC50C9">
        <w:rPr>
          <w:rFonts w:ascii="Times New Roman" w:hAnsi="Times New Roman" w:cs="Simplified Arabic"/>
          <w:i/>
          <w:iCs/>
          <w:color w:val="222222"/>
          <w:sz w:val="24"/>
          <w:szCs w:val="28"/>
          <w:shd w:val="clear" w:color="auto" w:fill="FFFFFF"/>
        </w:rPr>
        <w:t>i</w:t>
      </w:r>
      <w:proofErr w:type="spellEnd"/>
      <w:r w:rsidRPr="00BC50C9">
        <w:rPr>
          <w:rFonts w:ascii="Times New Roman" w:hAnsi="Times New Roman" w:cs="Simplified Arabic"/>
          <w:i/>
          <w:iCs/>
          <w:color w:val="222222"/>
          <w:sz w:val="24"/>
          <w:szCs w:val="28"/>
          <w:shd w:val="clear" w:color="auto" w:fill="FFFFFF"/>
        </w:rPr>
        <w:t xml:space="preserve"> Prawa</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24</w:t>
      </w:r>
      <w:r w:rsidRPr="00BC50C9">
        <w:rPr>
          <w:rFonts w:ascii="Times New Roman" w:hAnsi="Times New Roman" w:cs="Simplified Arabic"/>
          <w:color w:val="222222"/>
          <w:sz w:val="24"/>
          <w:szCs w:val="28"/>
          <w:shd w:val="clear" w:color="auto" w:fill="FFFFFF"/>
        </w:rPr>
        <w:t>(1).</w:t>
      </w:r>
      <w:r w:rsidRPr="00BC50C9">
        <w:rPr>
          <w:rFonts w:ascii="Times New Roman" w:hAnsi="Times New Roman" w:cs="Simplified Arabic"/>
          <w:color w:val="222222"/>
          <w:sz w:val="24"/>
          <w:szCs w:val="28"/>
          <w:shd w:val="clear" w:color="auto" w:fill="FFFFFF"/>
          <w:rtl/>
        </w:rPr>
        <w:t>‏</w:t>
      </w:r>
      <w:r w:rsidRPr="00BC50C9">
        <w:rPr>
          <w:rFonts w:ascii="Times New Roman" w:hAnsi="Times New Roman" w:cs="Simplified Arabic"/>
          <w:color w:val="222222"/>
          <w:sz w:val="24"/>
          <w:szCs w:val="28"/>
          <w:shd w:val="clear" w:color="auto" w:fill="FFFFFF"/>
        </w:rPr>
        <w:t xml:space="preserve"> 115-132.</w:t>
      </w:r>
    </w:p>
    <w:p w14:paraId="261FC84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Hadačová</w:t>
      </w:r>
      <w:proofErr w:type="spellEnd"/>
      <w:r w:rsidRPr="00BC50C9">
        <w:rPr>
          <w:rFonts w:ascii="Times New Roman" w:hAnsi="Times New Roman" w:cs="Simplified Arabic"/>
          <w:color w:val="222222"/>
          <w:sz w:val="24"/>
          <w:szCs w:val="28"/>
          <w:shd w:val="clear" w:color="auto" w:fill="FFFFFF"/>
        </w:rPr>
        <w:t xml:space="preserve">, D., &amp; </w:t>
      </w:r>
      <w:proofErr w:type="spellStart"/>
      <w:r w:rsidRPr="00BC50C9">
        <w:rPr>
          <w:rFonts w:ascii="Times New Roman" w:hAnsi="Times New Roman" w:cs="Simplified Arabic"/>
          <w:color w:val="222222"/>
          <w:sz w:val="24"/>
          <w:szCs w:val="28"/>
          <w:shd w:val="clear" w:color="auto" w:fill="FFFFFF"/>
        </w:rPr>
        <w:t>Maličká</w:t>
      </w:r>
      <w:proofErr w:type="spellEnd"/>
      <w:r w:rsidRPr="00BC50C9">
        <w:rPr>
          <w:rFonts w:ascii="Times New Roman" w:hAnsi="Times New Roman" w:cs="Simplified Arabic"/>
          <w:color w:val="222222"/>
          <w:sz w:val="24"/>
          <w:szCs w:val="28"/>
          <w:shd w:val="clear" w:color="auto" w:fill="FFFFFF"/>
        </w:rPr>
        <w:t xml:space="preserve">, L. (2022). Reward-Based Crowdfunding. How to Make it </w:t>
      </w:r>
      <w:proofErr w:type="gramStart"/>
      <w:r w:rsidRPr="00BC50C9">
        <w:rPr>
          <w:rFonts w:ascii="Times New Roman" w:hAnsi="Times New Roman" w:cs="Simplified Arabic"/>
          <w:color w:val="222222"/>
          <w:sz w:val="24"/>
          <w:szCs w:val="28"/>
          <w:shd w:val="clear" w:color="auto" w:fill="FFFFFF"/>
        </w:rPr>
        <w:t>Work?.</w:t>
      </w:r>
      <w:proofErr w:type="gramEnd"/>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Theory, Methodology, Practice–Review of Business and Management</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18</w:t>
      </w:r>
      <w:r w:rsidRPr="00BC50C9">
        <w:rPr>
          <w:rFonts w:ascii="Times New Roman" w:hAnsi="Times New Roman" w:cs="Simplified Arabic"/>
          <w:color w:val="222222"/>
          <w:sz w:val="24"/>
          <w:szCs w:val="28"/>
          <w:shd w:val="clear" w:color="auto" w:fill="FFFFFF"/>
        </w:rPr>
        <w:t>(01), 45-59.</w:t>
      </w:r>
    </w:p>
    <w:p w14:paraId="2C53CDC6"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rPr>
        <w:t xml:space="preserve">Haq, S., </w:t>
      </w:r>
      <w:proofErr w:type="spellStart"/>
      <w:r w:rsidRPr="00BC50C9">
        <w:rPr>
          <w:rFonts w:ascii="Times New Roman" w:hAnsi="Times New Roman" w:cs="Simplified Arabic"/>
          <w:color w:val="222222"/>
          <w:sz w:val="24"/>
          <w:szCs w:val="28"/>
          <w:shd w:val="clear" w:color="auto" w:fill="FFFFFF"/>
        </w:rPr>
        <w:t>Jalinus</w:t>
      </w:r>
      <w:proofErr w:type="spellEnd"/>
      <w:r w:rsidRPr="00BC50C9">
        <w:rPr>
          <w:rFonts w:ascii="Times New Roman" w:hAnsi="Times New Roman" w:cs="Simplified Arabic"/>
          <w:color w:val="222222"/>
          <w:sz w:val="24"/>
          <w:szCs w:val="28"/>
          <w:shd w:val="clear" w:color="auto" w:fill="FFFFFF"/>
        </w:rPr>
        <w:t xml:space="preserve">, N., &amp; </w:t>
      </w:r>
      <w:proofErr w:type="spellStart"/>
      <w:r w:rsidRPr="00BC50C9">
        <w:rPr>
          <w:rFonts w:ascii="Times New Roman" w:hAnsi="Times New Roman" w:cs="Simplified Arabic"/>
          <w:color w:val="222222"/>
          <w:sz w:val="24"/>
          <w:szCs w:val="28"/>
          <w:shd w:val="clear" w:color="auto" w:fill="FFFFFF"/>
        </w:rPr>
        <w:t>Giatman</w:t>
      </w:r>
      <w:proofErr w:type="spellEnd"/>
      <w:r w:rsidRPr="00BC50C9">
        <w:rPr>
          <w:rFonts w:ascii="Times New Roman" w:hAnsi="Times New Roman" w:cs="Simplified Arabic"/>
          <w:color w:val="222222"/>
          <w:sz w:val="24"/>
          <w:szCs w:val="28"/>
          <w:shd w:val="clear" w:color="auto" w:fill="FFFFFF"/>
        </w:rPr>
        <w:t>, M. (2024). Entrepreneurship Project-Based Practical Learning Model: Development and Implementation. </w:t>
      </w:r>
      <w:r w:rsidRPr="00BC50C9">
        <w:rPr>
          <w:rFonts w:ascii="Times New Roman" w:hAnsi="Times New Roman" w:cs="Simplified Arabic"/>
          <w:i/>
          <w:iCs/>
          <w:color w:val="222222"/>
          <w:sz w:val="24"/>
          <w:szCs w:val="28"/>
          <w:shd w:val="clear" w:color="auto" w:fill="FFFFFF"/>
        </w:rPr>
        <w:t>TEM Journal</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13</w:t>
      </w:r>
      <w:r w:rsidRPr="00BC50C9">
        <w:rPr>
          <w:rFonts w:ascii="Times New Roman" w:hAnsi="Times New Roman" w:cs="Simplified Arabic"/>
          <w:color w:val="222222"/>
          <w:sz w:val="24"/>
          <w:szCs w:val="28"/>
          <w:shd w:val="clear" w:color="auto" w:fill="FFFFFF"/>
        </w:rPr>
        <w:t>(3), 2418-2428.</w:t>
      </w:r>
    </w:p>
    <w:p w14:paraId="2609E751"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proofErr w:type="spellStart"/>
      <w:r w:rsidRPr="0027679E">
        <w:rPr>
          <w:rFonts w:ascii="Times New Roman" w:hAnsi="Times New Roman" w:cs="Simplified Arabic"/>
          <w:color w:val="222222"/>
          <w:sz w:val="24"/>
          <w:szCs w:val="28"/>
          <w:shd w:val="clear" w:color="auto" w:fill="FFFFFF"/>
        </w:rPr>
        <w:t>Hendratmi</w:t>
      </w:r>
      <w:proofErr w:type="spellEnd"/>
      <w:r w:rsidRPr="0027679E">
        <w:rPr>
          <w:rFonts w:ascii="Times New Roman" w:hAnsi="Times New Roman" w:cs="Simplified Arabic"/>
          <w:color w:val="222222"/>
          <w:sz w:val="24"/>
          <w:szCs w:val="28"/>
          <w:shd w:val="clear" w:color="auto" w:fill="FFFFFF"/>
        </w:rPr>
        <w:t xml:space="preserve">, A., </w:t>
      </w:r>
      <w:proofErr w:type="spellStart"/>
      <w:r w:rsidRPr="0027679E">
        <w:rPr>
          <w:rFonts w:ascii="Times New Roman" w:hAnsi="Times New Roman" w:cs="Simplified Arabic"/>
          <w:color w:val="222222"/>
          <w:sz w:val="24"/>
          <w:szCs w:val="28"/>
          <w:shd w:val="clear" w:color="auto" w:fill="FFFFFF"/>
        </w:rPr>
        <w:t>Ryandono</w:t>
      </w:r>
      <w:proofErr w:type="spellEnd"/>
      <w:r w:rsidRPr="0027679E">
        <w:rPr>
          <w:rFonts w:ascii="Times New Roman" w:hAnsi="Times New Roman" w:cs="Simplified Arabic"/>
          <w:color w:val="222222"/>
          <w:sz w:val="24"/>
          <w:szCs w:val="28"/>
          <w:shd w:val="clear" w:color="auto" w:fill="FFFFFF"/>
        </w:rPr>
        <w:t xml:space="preserve">, M. N. H., &amp; </w:t>
      </w:r>
      <w:proofErr w:type="spellStart"/>
      <w:r w:rsidRPr="0027679E">
        <w:rPr>
          <w:rFonts w:ascii="Times New Roman" w:hAnsi="Times New Roman" w:cs="Simplified Arabic"/>
          <w:color w:val="222222"/>
          <w:sz w:val="24"/>
          <w:szCs w:val="28"/>
          <w:shd w:val="clear" w:color="auto" w:fill="FFFFFF"/>
        </w:rPr>
        <w:t>Sukmaningrum</w:t>
      </w:r>
      <w:proofErr w:type="spellEnd"/>
      <w:r w:rsidRPr="0027679E">
        <w:rPr>
          <w:rFonts w:ascii="Times New Roman" w:hAnsi="Times New Roman" w:cs="Simplified Arabic"/>
          <w:color w:val="222222"/>
          <w:sz w:val="24"/>
          <w:szCs w:val="28"/>
          <w:shd w:val="clear" w:color="auto" w:fill="FFFFFF"/>
        </w:rPr>
        <w:t xml:space="preserve">, P. S. (2020). </w:t>
      </w:r>
      <w:r w:rsidRPr="00BC50C9">
        <w:rPr>
          <w:rFonts w:ascii="Times New Roman" w:hAnsi="Times New Roman" w:cs="Simplified Arabic"/>
          <w:color w:val="222222"/>
          <w:sz w:val="24"/>
          <w:szCs w:val="28"/>
          <w:shd w:val="clear" w:color="auto" w:fill="FFFFFF"/>
        </w:rPr>
        <w:t>Developing Islamic crowdfunding website platform for startup companies in Indonesia. </w:t>
      </w:r>
      <w:r w:rsidRPr="00BC50C9">
        <w:rPr>
          <w:rFonts w:ascii="Times New Roman" w:hAnsi="Times New Roman" w:cs="Simplified Arabic"/>
          <w:i/>
          <w:iCs/>
          <w:color w:val="222222"/>
          <w:sz w:val="24"/>
          <w:szCs w:val="28"/>
          <w:shd w:val="clear" w:color="auto" w:fill="FFFFFF"/>
        </w:rPr>
        <w:t>Journal of Islamic Marketing</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11</w:t>
      </w:r>
      <w:r w:rsidRPr="00BC50C9">
        <w:rPr>
          <w:rFonts w:ascii="Times New Roman" w:hAnsi="Times New Roman" w:cs="Simplified Arabic"/>
          <w:color w:val="222222"/>
          <w:sz w:val="24"/>
          <w:szCs w:val="28"/>
          <w:shd w:val="clear" w:color="auto" w:fill="FFFFFF"/>
        </w:rPr>
        <w:t>(5), 1041-1053.</w:t>
      </w:r>
      <w:r w:rsidRPr="00BC50C9">
        <w:rPr>
          <w:rFonts w:ascii="Times New Roman" w:hAnsi="Times New Roman" w:cs="Simplified Arabic"/>
          <w:color w:val="222222"/>
          <w:sz w:val="24"/>
          <w:szCs w:val="28"/>
          <w:shd w:val="clear" w:color="auto" w:fill="FFFFFF"/>
          <w:rtl/>
        </w:rPr>
        <w:t>‏</w:t>
      </w:r>
    </w:p>
    <w:p w14:paraId="2EA88EC6" w14:textId="7A135972"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rPr>
        <w:lastRenderedPageBreak/>
        <w:t xml:space="preserve">Hervé, F., &amp; </w:t>
      </w:r>
      <w:proofErr w:type="spellStart"/>
      <w:r w:rsidRPr="00BC50C9">
        <w:rPr>
          <w:rFonts w:ascii="Times New Roman" w:hAnsi="Times New Roman" w:cs="Simplified Arabic"/>
          <w:color w:val="222222"/>
          <w:sz w:val="24"/>
          <w:szCs w:val="28"/>
          <w:shd w:val="clear" w:color="auto" w:fill="FFFFFF"/>
        </w:rPr>
        <w:t>Schwienbacher</w:t>
      </w:r>
      <w:proofErr w:type="spellEnd"/>
      <w:r w:rsidRPr="00BC50C9">
        <w:rPr>
          <w:rFonts w:ascii="Times New Roman" w:hAnsi="Times New Roman" w:cs="Simplified Arabic"/>
          <w:color w:val="222222"/>
          <w:sz w:val="24"/>
          <w:szCs w:val="28"/>
          <w:shd w:val="clear" w:color="auto" w:fill="FFFFFF"/>
        </w:rPr>
        <w:t>, A. (2019). Crowdfunding and innovation. </w:t>
      </w:r>
      <w:r w:rsidRPr="00BC50C9">
        <w:rPr>
          <w:rFonts w:ascii="Times New Roman" w:hAnsi="Times New Roman" w:cs="Simplified Arabic"/>
          <w:i/>
          <w:iCs/>
          <w:color w:val="222222"/>
          <w:sz w:val="24"/>
          <w:szCs w:val="28"/>
          <w:shd w:val="clear" w:color="auto" w:fill="FFFFFF"/>
        </w:rPr>
        <w:t>Contemporary topics in finance: a collection of literature surveys</w:t>
      </w:r>
      <w:r w:rsidRPr="00BC50C9">
        <w:rPr>
          <w:rFonts w:ascii="Times New Roman" w:hAnsi="Times New Roman" w:cs="Simplified Arabic"/>
          <w:color w:val="222222"/>
          <w:sz w:val="24"/>
          <w:szCs w:val="28"/>
          <w:shd w:val="clear" w:color="auto" w:fill="FFFFFF"/>
        </w:rPr>
        <w:t xml:space="preserve">, </w:t>
      </w:r>
      <w:r w:rsidR="0004377A">
        <w:rPr>
          <w:rFonts w:ascii="Times New Roman" w:hAnsi="Times New Roman" w:cs="Simplified Arabic"/>
          <w:color w:val="222222"/>
          <w:sz w:val="24"/>
          <w:szCs w:val="28"/>
          <w:shd w:val="clear" w:color="auto" w:fill="FFFFFF"/>
          <w:lang w:bidi="ar-EG"/>
        </w:rPr>
        <w:t>1</w:t>
      </w:r>
      <w:r w:rsidRPr="00BC50C9">
        <w:rPr>
          <w:rFonts w:ascii="Times New Roman" w:hAnsi="Times New Roman" w:cs="Simplified Arabic"/>
          <w:color w:val="222222"/>
          <w:sz w:val="24"/>
          <w:szCs w:val="28"/>
          <w:shd w:val="clear" w:color="auto" w:fill="FFFFFF"/>
          <w:lang w:bidi="ar-EG"/>
        </w:rPr>
        <w:t>-28.</w:t>
      </w:r>
    </w:p>
    <w:p w14:paraId="137A0DF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t xml:space="preserve">Jaque, R., </w:t>
      </w:r>
      <w:proofErr w:type="spellStart"/>
      <w:r w:rsidRPr="00BC50C9">
        <w:rPr>
          <w:rFonts w:ascii="Times New Roman" w:hAnsi="Times New Roman" w:cs="Simplified Arabic"/>
          <w:color w:val="222222"/>
          <w:sz w:val="24"/>
          <w:szCs w:val="28"/>
          <w:shd w:val="clear" w:color="auto" w:fill="FFFFFF"/>
        </w:rPr>
        <w:t>Sarygulov</w:t>
      </w:r>
      <w:proofErr w:type="spellEnd"/>
      <w:r w:rsidRPr="00BC50C9">
        <w:rPr>
          <w:rFonts w:ascii="Times New Roman" w:hAnsi="Times New Roman" w:cs="Simplified Arabic"/>
          <w:color w:val="222222"/>
          <w:sz w:val="24"/>
          <w:szCs w:val="28"/>
          <w:shd w:val="clear" w:color="auto" w:fill="FFFFFF"/>
        </w:rPr>
        <w:t xml:space="preserve">, M., &amp; Leitao, J. (2018). Electronic platforms as a new ecosystem of </w:t>
      </w:r>
      <w:proofErr w:type="gramStart"/>
      <w:r w:rsidRPr="00BC50C9">
        <w:rPr>
          <w:rFonts w:ascii="Times New Roman" w:hAnsi="Times New Roman" w:cs="Simplified Arabic"/>
          <w:color w:val="222222"/>
          <w:sz w:val="24"/>
          <w:szCs w:val="28"/>
          <w:shd w:val="clear" w:color="auto" w:fill="FFFFFF"/>
        </w:rPr>
        <w:t>the organization</w:t>
      </w:r>
      <w:proofErr w:type="gramEnd"/>
      <w:r w:rsidRPr="00BC50C9">
        <w:rPr>
          <w:rFonts w:ascii="Times New Roman" w:hAnsi="Times New Roman" w:cs="Simplified Arabic"/>
          <w:color w:val="222222"/>
          <w:sz w:val="24"/>
          <w:szCs w:val="28"/>
          <w:shd w:val="clear" w:color="auto" w:fill="FFFFFF"/>
        </w:rPr>
        <w:t xml:space="preserve"> and the conduct of business. In </w:t>
      </w:r>
      <w:r w:rsidRPr="00BC50C9">
        <w:rPr>
          <w:rFonts w:ascii="Times New Roman" w:hAnsi="Times New Roman" w:cs="Simplified Arabic"/>
          <w:i/>
          <w:iCs/>
          <w:color w:val="222222"/>
          <w:sz w:val="24"/>
          <w:szCs w:val="28"/>
          <w:shd w:val="clear" w:color="auto" w:fill="FFFFFF"/>
        </w:rPr>
        <w:t>SHS Web of Conferences</w:t>
      </w:r>
      <w:r w:rsidRPr="00BC50C9">
        <w:rPr>
          <w:rFonts w:ascii="Times New Roman" w:hAnsi="Times New Roman" w:cs="Simplified Arabic"/>
          <w:color w:val="222222"/>
          <w:sz w:val="24"/>
          <w:szCs w:val="28"/>
          <w:shd w:val="clear" w:color="auto" w:fill="FFFFFF"/>
        </w:rPr>
        <w:t> (Vol. 44, p. 00042). EDP Sciences.</w:t>
      </w:r>
    </w:p>
    <w:p w14:paraId="1593AFA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proofErr w:type="spellStart"/>
      <w:r w:rsidRPr="00BC50C9">
        <w:rPr>
          <w:rFonts w:ascii="Times New Roman" w:hAnsi="Times New Roman" w:cs="Simplified Arabic"/>
          <w:color w:val="222222"/>
          <w:sz w:val="24"/>
          <w:szCs w:val="28"/>
          <w:shd w:val="clear" w:color="auto" w:fill="FFFFFF"/>
        </w:rPr>
        <w:t>Jelinčić</w:t>
      </w:r>
      <w:proofErr w:type="spellEnd"/>
      <w:r w:rsidRPr="00BC50C9">
        <w:rPr>
          <w:rFonts w:ascii="Times New Roman" w:hAnsi="Times New Roman" w:cs="Simplified Arabic"/>
          <w:color w:val="222222"/>
          <w:sz w:val="24"/>
          <w:szCs w:val="28"/>
          <w:shd w:val="clear" w:color="auto" w:fill="FFFFFF"/>
        </w:rPr>
        <w:t xml:space="preserve">, D. A., &amp; </w:t>
      </w:r>
      <w:proofErr w:type="spellStart"/>
      <w:r w:rsidRPr="00BC50C9">
        <w:rPr>
          <w:rFonts w:ascii="Times New Roman" w:hAnsi="Times New Roman" w:cs="Simplified Arabic"/>
          <w:color w:val="222222"/>
          <w:sz w:val="24"/>
          <w:szCs w:val="28"/>
          <w:shd w:val="clear" w:color="auto" w:fill="FFFFFF"/>
        </w:rPr>
        <w:t>Šveb</w:t>
      </w:r>
      <w:proofErr w:type="spellEnd"/>
      <w:r w:rsidRPr="00BC50C9">
        <w:rPr>
          <w:rFonts w:ascii="Times New Roman" w:hAnsi="Times New Roman" w:cs="Simplified Arabic"/>
          <w:color w:val="222222"/>
          <w:sz w:val="24"/>
          <w:szCs w:val="28"/>
          <w:shd w:val="clear" w:color="auto" w:fill="FFFFFF"/>
        </w:rPr>
        <w:t>, M. (2021). Financial sustainability of cultural heritage: A review of crowdfunding in Europe. </w:t>
      </w:r>
      <w:r w:rsidRPr="00BC50C9">
        <w:rPr>
          <w:rFonts w:ascii="Times New Roman" w:hAnsi="Times New Roman" w:cs="Simplified Arabic"/>
          <w:i/>
          <w:iCs/>
          <w:color w:val="222222"/>
          <w:sz w:val="24"/>
          <w:szCs w:val="28"/>
          <w:shd w:val="clear" w:color="auto" w:fill="FFFFFF"/>
        </w:rPr>
        <w:t>Journal of Risk and Financial Management</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14</w:t>
      </w:r>
      <w:r w:rsidRPr="00BC50C9">
        <w:rPr>
          <w:rFonts w:ascii="Times New Roman" w:hAnsi="Times New Roman" w:cs="Simplified Arabic"/>
          <w:color w:val="222222"/>
          <w:sz w:val="24"/>
          <w:szCs w:val="28"/>
          <w:shd w:val="clear" w:color="auto" w:fill="FFFFFF"/>
        </w:rPr>
        <w:t>(3), 101.</w:t>
      </w:r>
      <w:r w:rsidRPr="00BC50C9">
        <w:rPr>
          <w:rFonts w:ascii="Times New Roman" w:hAnsi="Times New Roman" w:cs="Simplified Arabic"/>
          <w:color w:val="222222"/>
          <w:sz w:val="24"/>
          <w:szCs w:val="28"/>
          <w:shd w:val="clear" w:color="auto" w:fill="FFFFFF"/>
          <w:rtl/>
        </w:rPr>
        <w:t>‏</w:t>
      </w:r>
    </w:p>
    <w:p w14:paraId="37B671A3"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sz w:val="24"/>
          <w:szCs w:val="28"/>
        </w:rPr>
        <w:t xml:space="preserve">Kapesa, T., </w:t>
      </w:r>
      <w:proofErr w:type="spellStart"/>
      <w:r w:rsidRPr="00BC50C9">
        <w:rPr>
          <w:rFonts w:ascii="Times New Roman" w:hAnsi="Times New Roman" w:cs="Simplified Arabic"/>
          <w:sz w:val="24"/>
          <w:szCs w:val="28"/>
        </w:rPr>
        <w:t>Dorasamy</w:t>
      </w:r>
      <w:proofErr w:type="spellEnd"/>
      <w:r w:rsidRPr="00BC50C9">
        <w:rPr>
          <w:rFonts w:ascii="Times New Roman" w:hAnsi="Times New Roman" w:cs="Simplified Arabic"/>
          <w:sz w:val="24"/>
          <w:szCs w:val="28"/>
        </w:rPr>
        <w:t xml:space="preserve">, N. (2025). </w:t>
      </w:r>
      <w:r w:rsidRPr="00BC50C9">
        <w:rPr>
          <w:rFonts w:ascii="Times New Roman" w:hAnsi="Times New Roman" w:cs="Simplified Arabic"/>
          <w:i/>
          <w:iCs/>
          <w:sz w:val="24"/>
          <w:szCs w:val="28"/>
        </w:rPr>
        <w:t>Financial Sustainability of Local Governments in Southern Africa in Pursuit of Sustainable Cities and Communities</w:t>
      </w:r>
      <w:r w:rsidRPr="00BC50C9">
        <w:rPr>
          <w:rFonts w:ascii="Times New Roman" w:hAnsi="Times New Roman" w:cs="Simplified Arabic"/>
          <w:sz w:val="24"/>
          <w:szCs w:val="28"/>
          <w:rtl/>
        </w:rPr>
        <w:t>.</w:t>
      </w:r>
      <w:r w:rsidRPr="00BC50C9">
        <w:rPr>
          <w:rFonts w:ascii="Times New Roman" w:hAnsi="Times New Roman" w:cs="Simplified Arabic"/>
          <w:sz w:val="24"/>
          <w:szCs w:val="28"/>
        </w:rPr>
        <w:t xml:space="preserve"> (</w:t>
      </w:r>
      <w:r w:rsidRPr="00BC50C9">
        <w:rPr>
          <w:rFonts w:ascii="Times New Roman" w:hAnsi="Times New Roman" w:cs="Simplified Arabic"/>
          <w:sz w:val="24"/>
          <w:szCs w:val="28"/>
          <w:lang w:bidi="ar-EG"/>
        </w:rPr>
        <w:t>pp.</w:t>
      </w:r>
      <w:r w:rsidRPr="00BC50C9">
        <w:rPr>
          <w:rFonts w:ascii="Times New Roman" w:hAnsi="Times New Roman" w:cs="Simplified Arabic"/>
          <w:sz w:val="24"/>
          <w:szCs w:val="28"/>
        </w:rPr>
        <w:t>1-8). London: Routledge.</w:t>
      </w:r>
    </w:p>
    <w:p w14:paraId="6D323F99"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sz w:val="24"/>
          <w:szCs w:val="28"/>
        </w:rPr>
        <w:t xml:space="preserve">Kumar, S. (2019). The McKinsey 7S Model helps in Strategy implementation: A Theoretical Foundation. </w:t>
      </w:r>
      <w:proofErr w:type="spellStart"/>
      <w:r w:rsidRPr="00BC50C9">
        <w:rPr>
          <w:rFonts w:ascii="Times New Roman" w:hAnsi="Times New Roman" w:cs="Simplified Arabic"/>
          <w:i/>
          <w:iCs/>
          <w:sz w:val="24"/>
          <w:szCs w:val="28"/>
        </w:rPr>
        <w:t>Tecnia</w:t>
      </w:r>
      <w:proofErr w:type="spellEnd"/>
      <w:r w:rsidRPr="00BC50C9">
        <w:rPr>
          <w:rFonts w:ascii="Times New Roman" w:hAnsi="Times New Roman" w:cs="Simplified Arabic"/>
          <w:i/>
          <w:iCs/>
          <w:sz w:val="24"/>
          <w:szCs w:val="28"/>
        </w:rPr>
        <w:t xml:space="preserve"> Journal of Management Studies</w:t>
      </w:r>
      <w:r w:rsidRPr="00BC50C9">
        <w:rPr>
          <w:rFonts w:ascii="Times New Roman" w:hAnsi="Times New Roman" w:cs="Simplified Arabic"/>
          <w:sz w:val="24"/>
          <w:szCs w:val="28"/>
        </w:rPr>
        <w:t>, 14(1), 7- 12.</w:t>
      </w:r>
    </w:p>
    <w:p w14:paraId="1DC1F5CB" w14:textId="3A7F3D11"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Leoński</w:t>
      </w:r>
      <w:proofErr w:type="spellEnd"/>
      <w:r w:rsidRPr="00BC50C9">
        <w:rPr>
          <w:rFonts w:ascii="Times New Roman" w:hAnsi="Times New Roman" w:cs="Simplified Arabic"/>
          <w:color w:val="222222"/>
          <w:sz w:val="24"/>
          <w:szCs w:val="28"/>
          <w:shd w:val="clear" w:color="auto" w:fill="FFFFFF"/>
        </w:rPr>
        <w:t>, W. (2022). Crowdfunding as an innovative source of financing business initiatives in Poland. </w:t>
      </w:r>
      <w:r w:rsidRPr="00BC50C9">
        <w:rPr>
          <w:rFonts w:ascii="Times New Roman" w:hAnsi="Times New Roman" w:cs="Simplified Arabic"/>
          <w:i/>
          <w:iCs/>
          <w:color w:val="222222"/>
          <w:sz w:val="24"/>
          <w:szCs w:val="28"/>
          <w:shd w:val="clear" w:color="auto" w:fill="FFFFFF"/>
        </w:rPr>
        <w:t>Procedia Computer Science</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207</w:t>
      </w:r>
      <w:r w:rsidRPr="00BC50C9">
        <w:rPr>
          <w:rFonts w:ascii="Times New Roman" w:hAnsi="Times New Roman" w:cs="Simplified Arabic"/>
          <w:color w:val="222222"/>
          <w:sz w:val="24"/>
          <w:szCs w:val="28"/>
          <w:shd w:val="clear" w:color="auto" w:fill="FFFFFF"/>
        </w:rPr>
        <w:t>, 29</w:t>
      </w:r>
      <w:r w:rsidR="00342CFB">
        <w:rPr>
          <w:rFonts w:ascii="Times New Roman" w:hAnsi="Times New Roman" w:cs="Simplified Arabic"/>
          <w:color w:val="222222"/>
          <w:sz w:val="24"/>
          <w:szCs w:val="28"/>
          <w:shd w:val="clear" w:color="auto" w:fill="FFFFFF"/>
        </w:rPr>
        <w:t>15</w:t>
      </w:r>
      <w:r w:rsidRPr="00BC50C9">
        <w:rPr>
          <w:rFonts w:ascii="Times New Roman" w:hAnsi="Times New Roman" w:cs="Simplified Arabic"/>
          <w:color w:val="222222"/>
          <w:sz w:val="24"/>
          <w:szCs w:val="28"/>
          <w:shd w:val="clear" w:color="auto" w:fill="FFFFFF"/>
        </w:rPr>
        <w:t>-292</w:t>
      </w:r>
      <w:r w:rsidR="00342CFB">
        <w:rPr>
          <w:rFonts w:ascii="Times New Roman" w:hAnsi="Times New Roman" w:cs="Simplified Arabic"/>
          <w:color w:val="222222"/>
          <w:sz w:val="24"/>
          <w:szCs w:val="28"/>
          <w:shd w:val="clear" w:color="auto" w:fill="FFFFFF"/>
        </w:rPr>
        <w:t>3</w:t>
      </w:r>
      <w:r w:rsidRPr="00BC50C9">
        <w:rPr>
          <w:rFonts w:ascii="Times New Roman" w:hAnsi="Times New Roman" w:cs="Simplified Arabic"/>
          <w:color w:val="222222"/>
          <w:sz w:val="24"/>
          <w:szCs w:val="28"/>
          <w:shd w:val="clear" w:color="auto" w:fill="FFFFFF"/>
        </w:rPr>
        <w:t>.</w:t>
      </w:r>
    </w:p>
    <w:p w14:paraId="34FF286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color w:val="222222"/>
          <w:sz w:val="24"/>
          <w:szCs w:val="28"/>
          <w:shd w:val="clear" w:color="auto" w:fill="FFFFFF"/>
        </w:rPr>
        <w:t>Łobejko</w:t>
      </w:r>
      <w:proofErr w:type="spellEnd"/>
      <w:r w:rsidRPr="00BC50C9">
        <w:rPr>
          <w:rFonts w:ascii="Times New Roman" w:hAnsi="Times New Roman" w:cs="Simplified Arabic"/>
          <w:color w:val="222222"/>
          <w:sz w:val="24"/>
          <w:szCs w:val="28"/>
          <w:shd w:val="clear" w:color="auto" w:fill="FFFFFF"/>
        </w:rPr>
        <w:t>, S., &amp; Bartczak, K. (2021). </w:t>
      </w:r>
      <w:r w:rsidRPr="00BC50C9">
        <w:rPr>
          <w:rFonts w:ascii="Times New Roman" w:hAnsi="Times New Roman" w:cs="Simplified Arabic"/>
          <w:i/>
          <w:iCs/>
          <w:color w:val="222222"/>
          <w:sz w:val="24"/>
          <w:szCs w:val="28"/>
          <w:shd w:val="clear" w:color="auto" w:fill="FFFFFF"/>
        </w:rPr>
        <w:t>The Role of Digital Technology Platforms in the Context of Changes in Consumption and Production Patterns. Sustainability 2021, 13, 1-15.</w:t>
      </w:r>
    </w:p>
    <w:p w14:paraId="3BBD4E48"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BC50C9">
        <w:rPr>
          <w:rFonts w:ascii="Times New Roman" w:hAnsi="Times New Roman" w:cs="Simplified Arabic"/>
          <w:sz w:val="24"/>
          <w:szCs w:val="28"/>
        </w:rPr>
        <w:t>Lögdal</w:t>
      </w:r>
      <w:proofErr w:type="spellEnd"/>
      <w:r w:rsidRPr="00BC50C9">
        <w:rPr>
          <w:rFonts w:ascii="Times New Roman" w:hAnsi="Times New Roman" w:cs="Simplified Arabic"/>
          <w:sz w:val="24"/>
          <w:szCs w:val="28"/>
        </w:rPr>
        <w:t xml:space="preserve">, N. &amp; </w:t>
      </w:r>
      <w:proofErr w:type="spellStart"/>
      <w:r w:rsidRPr="00BC50C9">
        <w:rPr>
          <w:rFonts w:ascii="Times New Roman" w:hAnsi="Times New Roman" w:cs="Simplified Arabic"/>
          <w:sz w:val="24"/>
          <w:szCs w:val="28"/>
        </w:rPr>
        <w:t>Calissendorff</w:t>
      </w:r>
      <w:proofErr w:type="spellEnd"/>
      <w:r w:rsidRPr="00BC50C9">
        <w:rPr>
          <w:rFonts w:ascii="Times New Roman" w:hAnsi="Times New Roman" w:cs="Simplified Arabic"/>
          <w:sz w:val="24"/>
          <w:szCs w:val="28"/>
        </w:rPr>
        <w:t>. (2018). Digital platforms challenges and opportunities: Evidence from a traditional market sector. Unpublished Master Thesis, UMEA University.</w:t>
      </w:r>
    </w:p>
    <w:p w14:paraId="687104B5"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r w:rsidRPr="00BC50C9">
        <w:rPr>
          <w:rFonts w:ascii="Times New Roman" w:hAnsi="Times New Roman" w:cs="Simplified Arabic"/>
          <w:color w:val="222222"/>
          <w:sz w:val="24"/>
          <w:szCs w:val="28"/>
          <w:shd w:val="clear" w:color="auto" w:fill="FFFFFF"/>
        </w:rPr>
        <w:t>Lubega, H. (2021). </w:t>
      </w:r>
      <w:proofErr w:type="gramStart"/>
      <w:r w:rsidRPr="00BC50C9">
        <w:rPr>
          <w:rFonts w:ascii="Times New Roman" w:hAnsi="Times New Roman" w:cs="Simplified Arabic"/>
          <w:i/>
          <w:iCs/>
          <w:color w:val="222222"/>
          <w:sz w:val="24"/>
          <w:szCs w:val="28"/>
          <w:shd w:val="clear" w:color="auto" w:fill="FFFFFF"/>
        </w:rPr>
        <w:t>Assessing of</w:t>
      </w:r>
      <w:proofErr w:type="gramEnd"/>
      <w:r w:rsidRPr="00BC50C9">
        <w:rPr>
          <w:rFonts w:ascii="Times New Roman" w:hAnsi="Times New Roman" w:cs="Simplified Arabic"/>
          <w:i/>
          <w:iCs/>
          <w:color w:val="222222"/>
          <w:sz w:val="24"/>
          <w:szCs w:val="28"/>
          <w:shd w:val="clear" w:color="auto" w:fill="FFFFFF"/>
        </w:rPr>
        <w:t xml:space="preserve"> Financial Sustainability</w:t>
      </w:r>
      <w:r w:rsidRPr="00BC50C9">
        <w:rPr>
          <w:rFonts w:ascii="Times New Roman" w:hAnsi="Times New Roman" w:cs="Simplified Arabic"/>
          <w:color w:val="222222"/>
          <w:sz w:val="24"/>
          <w:szCs w:val="28"/>
          <w:shd w:val="clear" w:color="auto" w:fill="FFFFFF"/>
        </w:rPr>
        <w:t> (Doctoral dissertation, Makerere University Business School).</w:t>
      </w:r>
      <w:r w:rsidRPr="00BC50C9">
        <w:rPr>
          <w:rFonts w:ascii="Times New Roman" w:hAnsi="Times New Roman" w:cs="Simplified Arabic"/>
          <w:color w:val="222222"/>
          <w:sz w:val="24"/>
          <w:szCs w:val="28"/>
          <w:shd w:val="clear" w:color="auto" w:fill="FFFFFF"/>
          <w:rtl/>
        </w:rPr>
        <w:t>‏</w:t>
      </w:r>
    </w:p>
    <w:p w14:paraId="52CE8AD0"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Pr>
      </w:pPr>
      <w:r w:rsidRPr="00BC50C9">
        <w:rPr>
          <w:rFonts w:ascii="Times New Roman" w:hAnsi="Times New Roman" w:cs="Simplified Arabic"/>
          <w:color w:val="222222"/>
          <w:sz w:val="24"/>
          <w:szCs w:val="28"/>
          <w:shd w:val="clear" w:color="auto" w:fill="FFFFFF"/>
          <w:lang w:val="it-IT"/>
        </w:rPr>
        <w:t xml:space="preserve">Mamaro, L. P., &amp; Sibindi, A. B. (2022). </w:t>
      </w:r>
      <w:r w:rsidRPr="00BC50C9">
        <w:rPr>
          <w:rFonts w:ascii="Times New Roman" w:hAnsi="Times New Roman" w:cs="Simplified Arabic"/>
          <w:color w:val="222222"/>
          <w:sz w:val="24"/>
          <w:szCs w:val="28"/>
          <w:shd w:val="clear" w:color="auto" w:fill="FFFFFF"/>
        </w:rPr>
        <w:t>Financial Sustainability of African Small-to-Medium Enterprises during the COVID-19 Pandemic: Determinants of Crowdfunding Success. </w:t>
      </w:r>
      <w:r w:rsidRPr="00BC50C9">
        <w:rPr>
          <w:rFonts w:ascii="Times New Roman" w:hAnsi="Times New Roman" w:cs="Simplified Arabic"/>
          <w:i/>
          <w:iCs/>
          <w:color w:val="222222"/>
          <w:sz w:val="24"/>
          <w:szCs w:val="28"/>
          <w:shd w:val="clear" w:color="auto" w:fill="FFFFFF"/>
        </w:rPr>
        <w:t>Sustainability</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14</w:t>
      </w:r>
      <w:r w:rsidRPr="00BC50C9">
        <w:rPr>
          <w:rFonts w:ascii="Times New Roman" w:hAnsi="Times New Roman" w:cs="Simplified Arabic"/>
          <w:color w:val="222222"/>
          <w:sz w:val="24"/>
          <w:szCs w:val="28"/>
          <w:shd w:val="clear" w:color="auto" w:fill="FFFFFF"/>
        </w:rPr>
        <w:t>(23), 1-14.</w:t>
      </w:r>
    </w:p>
    <w:p w14:paraId="58B03F7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r w:rsidRPr="0027679E">
        <w:rPr>
          <w:rFonts w:ascii="Times New Roman" w:hAnsi="Times New Roman" w:cs="Simplified Arabic"/>
          <w:color w:val="222222"/>
          <w:sz w:val="24"/>
          <w:szCs w:val="28"/>
          <w:shd w:val="clear" w:color="auto" w:fill="FFFFFF"/>
        </w:rPr>
        <w:t xml:space="preserve">Martínez-Climent, C., Costa-Climent, R., &amp; </w:t>
      </w:r>
      <w:proofErr w:type="spellStart"/>
      <w:r w:rsidRPr="0027679E">
        <w:rPr>
          <w:rFonts w:ascii="Times New Roman" w:hAnsi="Times New Roman" w:cs="Simplified Arabic"/>
          <w:color w:val="222222"/>
          <w:sz w:val="24"/>
          <w:szCs w:val="28"/>
          <w:shd w:val="clear" w:color="auto" w:fill="FFFFFF"/>
        </w:rPr>
        <w:t>Oghazi</w:t>
      </w:r>
      <w:proofErr w:type="spellEnd"/>
      <w:r w:rsidRPr="0027679E">
        <w:rPr>
          <w:rFonts w:ascii="Times New Roman" w:hAnsi="Times New Roman" w:cs="Simplified Arabic"/>
          <w:color w:val="222222"/>
          <w:sz w:val="24"/>
          <w:szCs w:val="28"/>
          <w:shd w:val="clear" w:color="auto" w:fill="FFFFFF"/>
        </w:rPr>
        <w:t xml:space="preserve">, P. (2019). </w:t>
      </w:r>
      <w:r w:rsidRPr="00BC50C9">
        <w:rPr>
          <w:rFonts w:ascii="Times New Roman" w:hAnsi="Times New Roman" w:cs="Simplified Arabic"/>
          <w:color w:val="222222"/>
          <w:sz w:val="24"/>
          <w:szCs w:val="28"/>
          <w:shd w:val="clear" w:color="auto" w:fill="FFFFFF"/>
        </w:rPr>
        <w:t>Sustainable financing through crowdfunding. </w:t>
      </w:r>
      <w:r w:rsidRPr="00BC50C9">
        <w:rPr>
          <w:rFonts w:ascii="Times New Roman" w:hAnsi="Times New Roman" w:cs="Simplified Arabic"/>
          <w:i/>
          <w:iCs/>
          <w:color w:val="222222"/>
          <w:sz w:val="24"/>
          <w:szCs w:val="28"/>
          <w:shd w:val="clear" w:color="auto" w:fill="FFFFFF"/>
        </w:rPr>
        <w:t>Sustainability</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11</w:t>
      </w:r>
      <w:r w:rsidRPr="00BC50C9">
        <w:rPr>
          <w:rFonts w:ascii="Times New Roman" w:hAnsi="Times New Roman" w:cs="Simplified Arabic"/>
          <w:color w:val="222222"/>
          <w:sz w:val="24"/>
          <w:szCs w:val="28"/>
          <w:shd w:val="clear" w:color="auto" w:fill="FFFFFF"/>
        </w:rPr>
        <w:t>(3), 1-16.</w:t>
      </w:r>
    </w:p>
    <w:p w14:paraId="345E4EA6"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proofErr w:type="spellStart"/>
      <w:r w:rsidRPr="00BC50C9">
        <w:rPr>
          <w:rFonts w:ascii="Times New Roman" w:hAnsi="Times New Roman" w:cs="Simplified Arabic"/>
          <w:color w:val="222222"/>
          <w:sz w:val="24"/>
          <w:szCs w:val="28"/>
          <w:shd w:val="clear" w:color="auto" w:fill="FFFFFF"/>
        </w:rPr>
        <w:t>Meirkhanova</w:t>
      </w:r>
      <w:proofErr w:type="spellEnd"/>
      <w:r w:rsidRPr="00BC50C9">
        <w:rPr>
          <w:rFonts w:ascii="Times New Roman" w:hAnsi="Times New Roman" w:cs="Simplified Arabic"/>
          <w:color w:val="222222"/>
          <w:sz w:val="24"/>
          <w:szCs w:val="28"/>
          <w:shd w:val="clear" w:color="auto" w:fill="FFFFFF"/>
        </w:rPr>
        <w:t xml:space="preserve">, Y., </w:t>
      </w:r>
      <w:proofErr w:type="spellStart"/>
      <w:r w:rsidRPr="00BC50C9">
        <w:rPr>
          <w:rFonts w:ascii="Times New Roman" w:hAnsi="Times New Roman" w:cs="Simplified Arabic"/>
          <w:color w:val="222222"/>
          <w:sz w:val="24"/>
          <w:szCs w:val="28"/>
          <w:shd w:val="clear" w:color="auto" w:fill="FFFFFF"/>
        </w:rPr>
        <w:t>Kupeshova</w:t>
      </w:r>
      <w:proofErr w:type="spellEnd"/>
      <w:r w:rsidRPr="00BC50C9">
        <w:rPr>
          <w:rFonts w:ascii="Times New Roman" w:hAnsi="Times New Roman" w:cs="Simplified Arabic"/>
          <w:color w:val="222222"/>
          <w:sz w:val="24"/>
          <w:szCs w:val="28"/>
          <w:shd w:val="clear" w:color="auto" w:fill="FFFFFF"/>
        </w:rPr>
        <w:t xml:space="preserve">, S., </w:t>
      </w:r>
      <w:proofErr w:type="spellStart"/>
      <w:r w:rsidRPr="00BC50C9">
        <w:rPr>
          <w:rFonts w:ascii="Times New Roman" w:hAnsi="Times New Roman" w:cs="Simplified Arabic"/>
          <w:color w:val="222222"/>
          <w:sz w:val="24"/>
          <w:szCs w:val="28"/>
          <w:shd w:val="clear" w:color="auto" w:fill="FFFFFF"/>
        </w:rPr>
        <w:t>Mottaeva</w:t>
      </w:r>
      <w:proofErr w:type="spellEnd"/>
      <w:r w:rsidRPr="00BC50C9">
        <w:rPr>
          <w:rFonts w:ascii="Times New Roman" w:hAnsi="Times New Roman" w:cs="Simplified Arabic"/>
          <w:color w:val="222222"/>
          <w:sz w:val="24"/>
          <w:szCs w:val="28"/>
          <w:shd w:val="clear" w:color="auto" w:fill="FFFFFF"/>
        </w:rPr>
        <w:t xml:space="preserve">, A., </w:t>
      </w:r>
      <w:proofErr w:type="spellStart"/>
      <w:r w:rsidRPr="00BC50C9">
        <w:rPr>
          <w:rFonts w:ascii="Times New Roman" w:hAnsi="Times New Roman" w:cs="Simplified Arabic"/>
          <w:color w:val="222222"/>
          <w:sz w:val="24"/>
          <w:szCs w:val="28"/>
          <w:shd w:val="clear" w:color="auto" w:fill="FFFFFF"/>
        </w:rPr>
        <w:t>Dzholdosheva</w:t>
      </w:r>
      <w:proofErr w:type="spellEnd"/>
      <w:r w:rsidRPr="00BC50C9">
        <w:rPr>
          <w:rFonts w:ascii="Times New Roman" w:hAnsi="Times New Roman" w:cs="Simplified Arabic"/>
          <w:color w:val="222222"/>
          <w:sz w:val="24"/>
          <w:szCs w:val="28"/>
          <w:shd w:val="clear" w:color="auto" w:fill="FFFFFF"/>
        </w:rPr>
        <w:t xml:space="preserve">, T., &amp; </w:t>
      </w:r>
      <w:proofErr w:type="spellStart"/>
      <w:r w:rsidRPr="00BC50C9">
        <w:rPr>
          <w:rFonts w:ascii="Times New Roman" w:hAnsi="Times New Roman" w:cs="Simplified Arabic"/>
          <w:color w:val="222222"/>
          <w:sz w:val="24"/>
          <w:szCs w:val="28"/>
          <w:shd w:val="clear" w:color="auto" w:fill="FFFFFF"/>
        </w:rPr>
        <w:t>Kamchibekov</w:t>
      </w:r>
      <w:proofErr w:type="spellEnd"/>
      <w:r w:rsidRPr="00BC50C9">
        <w:rPr>
          <w:rFonts w:ascii="Times New Roman" w:hAnsi="Times New Roman" w:cs="Simplified Arabic"/>
          <w:color w:val="222222"/>
          <w:sz w:val="24"/>
          <w:szCs w:val="28"/>
          <w:shd w:val="clear" w:color="auto" w:fill="FFFFFF"/>
        </w:rPr>
        <w:t>, T. (2023). Project management in the system of education. In </w:t>
      </w:r>
      <w:r w:rsidRPr="00BC50C9">
        <w:rPr>
          <w:rFonts w:ascii="Times New Roman" w:hAnsi="Times New Roman" w:cs="Simplified Arabic"/>
          <w:i/>
          <w:iCs/>
          <w:color w:val="222222"/>
          <w:sz w:val="24"/>
          <w:szCs w:val="28"/>
          <w:shd w:val="clear" w:color="auto" w:fill="FFFFFF"/>
        </w:rPr>
        <w:t>E3S Web of Conferences</w:t>
      </w:r>
      <w:r w:rsidRPr="00BC50C9">
        <w:rPr>
          <w:rFonts w:ascii="Times New Roman" w:hAnsi="Times New Roman" w:cs="Simplified Arabic"/>
          <w:color w:val="222222"/>
          <w:sz w:val="24"/>
          <w:szCs w:val="28"/>
          <w:shd w:val="clear" w:color="auto" w:fill="FFFFFF"/>
        </w:rPr>
        <w:t> (Vol. 381, P.02014). EDP Sciences.</w:t>
      </w:r>
    </w:p>
    <w:p w14:paraId="20FC09DA" w14:textId="77777777" w:rsidR="005848C9" w:rsidRPr="00BC50C9" w:rsidRDefault="005848C9" w:rsidP="005848C9">
      <w:pPr>
        <w:shd w:val="clear" w:color="auto" w:fill="FFFFFF"/>
        <w:spacing w:before="120" w:after="120" w:line="240" w:lineRule="auto"/>
        <w:ind w:left="426" w:hanging="426"/>
        <w:contextualSpacing/>
        <w:jc w:val="both"/>
        <w:rPr>
          <w:rFonts w:ascii="Times New Roman" w:eastAsia="Times New Roman" w:hAnsi="Times New Roman" w:cs="Simplified Arabic"/>
          <w:sz w:val="24"/>
          <w:szCs w:val="28"/>
        </w:rPr>
      </w:pPr>
      <w:proofErr w:type="spellStart"/>
      <w:r w:rsidRPr="00BC50C9">
        <w:rPr>
          <w:rFonts w:ascii="Times New Roman" w:hAnsi="Times New Roman" w:cs="Simplified Arabic"/>
          <w:sz w:val="24"/>
          <w:szCs w:val="28"/>
        </w:rPr>
        <w:t>Mikalef</w:t>
      </w:r>
      <w:proofErr w:type="spellEnd"/>
      <w:r w:rsidRPr="00BC50C9">
        <w:rPr>
          <w:rFonts w:ascii="Times New Roman" w:hAnsi="Times New Roman" w:cs="Simplified Arabic"/>
          <w:sz w:val="24"/>
          <w:szCs w:val="28"/>
        </w:rPr>
        <w:t xml:space="preserve">, P.&amp; </w:t>
      </w:r>
      <w:proofErr w:type="spellStart"/>
      <w:r w:rsidRPr="00BC50C9">
        <w:rPr>
          <w:rFonts w:ascii="Times New Roman" w:hAnsi="Times New Roman" w:cs="Simplified Arabic"/>
          <w:sz w:val="24"/>
          <w:szCs w:val="28"/>
        </w:rPr>
        <w:t>Parmiggiani</w:t>
      </w:r>
      <w:proofErr w:type="spellEnd"/>
      <w:r w:rsidRPr="00BC50C9">
        <w:rPr>
          <w:rFonts w:ascii="Times New Roman" w:hAnsi="Times New Roman" w:cs="Simplified Arabic"/>
          <w:sz w:val="24"/>
          <w:szCs w:val="28"/>
        </w:rPr>
        <w:t xml:space="preserve">, E. (2022). </w:t>
      </w:r>
      <w:r w:rsidRPr="00BC50C9">
        <w:rPr>
          <w:rFonts w:ascii="Times New Roman" w:hAnsi="Times New Roman" w:cs="Simplified Arabic"/>
          <w:i/>
          <w:iCs/>
          <w:sz w:val="24"/>
          <w:szCs w:val="28"/>
        </w:rPr>
        <w:t>An Introduction to Digital Transformation</w:t>
      </w:r>
      <w:r w:rsidRPr="00BC50C9">
        <w:rPr>
          <w:rFonts w:ascii="Times New Roman" w:hAnsi="Times New Roman" w:cs="Simplified Arabic"/>
          <w:sz w:val="24"/>
          <w:szCs w:val="28"/>
        </w:rPr>
        <w:t xml:space="preserve">. </w:t>
      </w:r>
      <w:r w:rsidRPr="00BC50C9">
        <w:rPr>
          <w:rFonts w:ascii="Times New Roman" w:eastAsia="Times New Roman" w:hAnsi="Times New Roman" w:cs="Simplified Arabic"/>
          <w:sz w:val="24"/>
          <w:szCs w:val="28"/>
        </w:rPr>
        <w:t>In Digital Transformation in Norwegian Enterprises (pp. 1-10).</w:t>
      </w:r>
      <w:r w:rsidRPr="00BC50C9">
        <w:rPr>
          <w:rFonts w:ascii="Times New Roman" w:hAnsi="Times New Roman" w:cs="Simplified Arabic"/>
          <w:sz w:val="24"/>
          <w:szCs w:val="28"/>
          <w:shd w:val="clear" w:color="auto" w:fill="FFFFFF"/>
        </w:rPr>
        <w:t xml:space="preserve"> Springer Nature</w:t>
      </w:r>
      <w:r w:rsidRPr="00BC50C9">
        <w:rPr>
          <w:rFonts w:ascii="Times New Roman" w:eastAsia="Times New Roman" w:hAnsi="Times New Roman" w:cs="Simplified Arabic"/>
          <w:sz w:val="24"/>
          <w:szCs w:val="28"/>
        </w:rPr>
        <w:t>, Switzerland.</w:t>
      </w:r>
    </w:p>
    <w:p w14:paraId="0012B7FB"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t>Miranda, I. J. (2020). </w:t>
      </w:r>
      <w:r w:rsidRPr="00BC50C9">
        <w:rPr>
          <w:rFonts w:ascii="Times New Roman" w:hAnsi="Times New Roman" w:cs="Simplified Arabic"/>
          <w:i/>
          <w:iCs/>
          <w:color w:val="222222"/>
          <w:sz w:val="24"/>
          <w:szCs w:val="28"/>
          <w:shd w:val="clear" w:color="auto" w:fill="FFFFFF"/>
        </w:rPr>
        <w:t>The importance of crowdfunding in small and medium-sized enterprises</w:t>
      </w:r>
      <w:r w:rsidRPr="00BC50C9">
        <w:rPr>
          <w:rFonts w:ascii="Times New Roman" w:hAnsi="Times New Roman" w:cs="Simplified Arabic"/>
          <w:color w:val="222222"/>
          <w:sz w:val="24"/>
          <w:szCs w:val="28"/>
          <w:shd w:val="clear" w:color="auto" w:fill="FFFFFF"/>
        </w:rPr>
        <w:t> (</w:t>
      </w:r>
      <w:proofErr w:type="gramStart"/>
      <w:r w:rsidRPr="00BC50C9">
        <w:rPr>
          <w:rFonts w:ascii="Times New Roman" w:hAnsi="Times New Roman" w:cs="Simplified Arabic"/>
          <w:color w:val="222222"/>
          <w:sz w:val="24"/>
          <w:szCs w:val="28"/>
          <w:shd w:val="clear" w:color="auto" w:fill="FFFFFF"/>
        </w:rPr>
        <w:t>Master's</w:t>
      </w:r>
      <w:proofErr w:type="gramEnd"/>
      <w:r w:rsidRPr="00BC50C9">
        <w:rPr>
          <w:rFonts w:ascii="Times New Roman" w:hAnsi="Times New Roman" w:cs="Simplified Arabic"/>
          <w:color w:val="222222"/>
          <w:sz w:val="24"/>
          <w:szCs w:val="28"/>
          <w:shd w:val="clear" w:color="auto" w:fill="FFFFFF"/>
        </w:rPr>
        <w:t xml:space="preserve"> thesis, ISCTE-Instituto Universitario de Lisboa (Portugal)).</w:t>
      </w:r>
    </w:p>
    <w:p w14:paraId="6928CC1B"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t>Mishra, K. (2020). Project management: theory and practice from different countries. </w:t>
      </w:r>
      <w:r w:rsidRPr="00BC50C9">
        <w:rPr>
          <w:rFonts w:ascii="Times New Roman" w:hAnsi="Times New Roman" w:cs="Simplified Arabic"/>
          <w:i/>
          <w:iCs/>
          <w:color w:val="222222"/>
          <w:sz w:val="24"/>
          <w:szCs w:val="28"/>
          <w:shd w:val="clear" w:color="auto" w:fill="FFFFFF"/>
        </w:rPr>
        <w:t xml:space="preserve">PROJECT MANAGEMENT: THEORY AND PRACTICE FROM DIFFERENT COUNTRIES, DK International Research Foundation, </w:t>
      </w:r>
      <w:proofErr w:type="spellStart"/>
      <w:r w:rsidRPr="00BC50C9">
        <w:rPr>
          <w:rFonts w:ascii="Times New Roman" w:hAnsi="Times New Roman" w:cs="Simplified Arabic"/>
          <w:i/>
          <w:iCs/>
          <w:color w:val="222222"/>
          <w:sz w:val="24"/>
          <w:szCs w:val="28"/>
          <w:shd w:val="clear" w:color="auto" w:fill="FFFFFF"/>
        </w:rPr>
        <w:t>Tamilnadu</w:t>
      </w:r>
      <w:proofErr w:type="spellEnd"/>
      <w:r w:rsidRPr="00BC50C9">
        <w:rPr>
          <w:rFonts w:ascii="Times New Roman" w:hAnsi="Times New Roman" w:cs="Simplified Arabic"/>
          <w:color w:val="222222"/>
          <w:sz w:val="24"/>
          <w:szCs w:val="28"/>
          <w:shd w:val="clear" w:color="auto" w:fill="FFFFFF"/>
        </w:rPr>
        <w:t>, 345.</w:t>
      </w:r>
    </w:p>
    <w:p w14:paraId="5D2B234A"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lang w:val="it-IT"/>
        </w:rPr>
        <w:t xml:space="preserve">Navarro-Galera, A., Rodríguez-Bolívar, M. P., Alcaide-Muñoz, L., &amp; López-Subires, M. D. (2016). </w:t>
      </w:r>
      <w:r w:rsidRPr="00BC50C9">
        <w:rPr>
          <w:rFonts w:ascii="Times New Roman" w:hAnsi="Times New Roman" w:cs="Simplified Arabic"/>
          <w:color w:val="222222"/>
          <w:sz w:val="24"/>
          <w:szCs w:val="28"/>
          <w:shd w:val="clear" w:color="auto" w:fill="FFFFFF"/>
        </w:rPr>
        <w:t xml:space="preserve">Measuring </w:t>
      </w:r>
      <w:proofErr w:type="gramStart"/>
      <w:r w:rsidRPr="00BC50C9">
        <w:rPr>
          <w:rFonts w:ascii="Times New Roman" w:hAnsi="Times New Roman" w:cs="Simplified Arabic"/>
          <w:color w:val="222222"/>
          <w:sz w:val="24"/>
          <w:szCs w:val="28"/>
          <w:shd w:val="clear" w:color="auto" w:fill="FFFFFF"/>
        </w:rPr>
        <w:t>the financial</w:t>
      </w:r>
      <w:proofErr w:type="gramEnd"/>
      <w:r w:rsidRPr="00BC50C9">
        <w:rPr>
          <w:rFonts w:ascii="Times New Roman" w:hAnsi="Times New Roman" w:cs="Simplified Arabic"/>
          <w:color w:val="222222"/>
          <w:sz w:val="24"/>
          <w:szCs w:val="28"/>
          <w:shd w:val="clear" w:color="auto" w:fill="FFFFFF"/>
        </w:rPr>
        <w:t xml:space="preserve"> sustainability and its influential factors in local governments. </w:t>
      </w:r>
      <w:r w:rsidRPr="00BC50C9">
        <w:rPr>
          <w:rFonts w:ascii="Times New Roman" w:hAnsi="Times New Roman" w:cs="Simplified Arabic"/>
          <w:i/>
          <w:iCs/>
          <w:color w:val="222222"/>
          <w:sz w:val="24"/>
          <w:szCs w:val="28"/>
          <w:shd w:val="clear" w:color="auto" w:fill="FFFFFF"/>
        </w:rPr>
        <w:t>Applied Economics</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48</w:t>
      </w:r>
      <w:r w:rsidRPr="00BC50C9">
        <w:rPr>
          <w:rFonts w:ascii="Times New Roman" w:hAnsi="Times New Roman" w:cs="Simplified Arabic"/>
          <w:color w:val="222222"/>
          <w:sz w:val="24"/>
          <w:szCs w:val="28"/>
          <w:shd w:val="clear" w:color="auto" w:fill="FFFFFF"/>
        </w:rPr>
        <w:t>(41), 3961-3975.</w:t>
      </w:r>
      <w:r w:rsidRPr="00BC50C9">
        <w:rPr>
          <w:rFonts w:ascii="Times New Roman" w:hAnsi="Times New Roman" w:cs="Simplified Arabic"/>
          <w:color w:val="222222"/>
          <w:sz w:val="24"/>
          <w:szCs w:val="28"/>
          <w:shd w:val="clear" w:color="auto" w:fill="FFFFFF"/>
          <w:rtl/>
        </w:rPr>
        <w:t>‏</w:t>
      </w:r>
    </w:p>
    <w:p w14:paraId="5AF5C28B" w14:textId="77777777" w:rsidR="005848C9" w:rsidRPr="00BC50C9" w:rsidRDefault="005848C9" w:rsidP="005848C9">
      <w:pPr>
        <w:spacing w:before="120" w:after="120" w:line="240" w:lineRule="auto"/>
        <w:ind w:left="426" w:hanging="426"/>
        <w:jc w:val="both"/>
        <w:rPr>
          <w:rFonts w:ascii="Times New Roman" w:hAnsi="Times New Roman" w:cs="Simplified Arabic"/>
          <w:color w:val="000000" w:themeColor="text1"/>
          <w:sz w:val="24"/>
          <w:szCs w:val="28"/>
        </w:rPr>
      </w:pPr>
      <w:r w:rsidRPr="00BC50C9">
        <w:rPr>
          <w:rFonts w:ascii="Times New Roman" w:hAnsi="Times New Roman" w:cs="Simplified Arabic"/>
          <w:color w:val="000000" w:themeColor="text1"/>
          <w:sz w:val="24"/>
          <w:szCs w:val="28"/>
        </w:rPr>
        <w:t>Nooh, M. N. (2022). A review of the entrepreneurial mindset. </w:t>
      </w:r>
      <w:r w:rsidRPr="00BC50C9">
        <w:rPr>
          <w:rFonts w:ascii="Times New Roman" w:hAnsi="Times New Roman" w:cs="Simplified Arabic"/>
          <w:i/>
          <w:iCs/>
          <w:color w:val="000000" w:themeColor="text1"/>
          <w:sz w:val="24"/>
          <w:szCs w:val="28"/>
        </w:rPr>
        <w:t>Voice of Academia</w:t>
      </w:r>
      <w:r w:rsidRPr="00BC50C9">
        <w:rPr>
          <w:rFonts w:ascii="Times New Roman" w:hAnsi="Times New Roman" w:cs="Simplified Arabic"/>
          <w:color w:val="000000" w:themeColor="text1"/>
          <w:sz w:val="24"/>
          <w:szCs w:val="28"/>
        </w:rPr>
        <w:t>, </w:t>
      </w:r>
      <w:r w:rsidRPr="00BC50C9">
        <w:rPr>
          <w:rFonts w:ascii="Times New Roman" w:hAnsi="Times New Roman" w:cs="Simplified Arabic"/>
          <w:i/>
          <w:iCs/>
          <w:color w:val="000000" w:themeColor="text1"/>
          <w:sz w:val="24"/>
          <w:szCs w:val="28"/>
        </w:rPr>
        <w:t>18</w:t>
      </w:r>
      <w:r w:rsidRPr="00BC50C9">
        <w:rPr>
          <w:rFonts w:ascii="Times New Roman" w:hAnsi="Times New Roman" w:cs="Simplified Arabic"/>
          <w:color w:val="000000" w:themeColor="text1"/>
          <w:sz w:val="24"/>
          <w:szCs w:val="28"/>
        </w:rPr>
        <w:t>(2), 178-198.</w:t>
      </w:r>
    </w:p>
    <w:p w14:paraId="21354795"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color w:val="222222"/>
          <w:sz w:val="24"/>
          <w:szCs w:val="28"/>
          <w:shd w:val="clear" w:color="auto" w:fill="FFFFFF"/>
        </w:rPr>
        <w:t>Park, H. (2019). </w:t>
      </w:r>
      <w:r w:rsidRPr="00BC50C9">
        <w:rPr>
          <w:rFonts w:ascii="Times New Roman" w:hAnsi="Times New Roman" w:cs="Simplified Arabic"/>
          <w:i/>
          <w:iCs/>
          <w:color w:val="222222"/>
          <w:sz w:val="24"/>
          <w:szCs w:val="28"/>
          <w:shd w:val="clear" w:color="auto" w:fill="FFFFFF"/>
        </w:rPr>
        <w:t>Financial sustainability of nonprofit organizations</w:t>
      </w:r>
      <w:r w:rsidRPr="00BC50C9">
        <w:rPr>
          <w:rFonts w:ascii="Times New Roman" w:hAnsi="Times New Roman" w:cs="Simplified Arabic"/>
          <w:color w:val="222222"/>
          <w:sz w:val="24"/>
          <w:szCs w:val="28"/>
          <w:shd w:val="clear" w:color="auto" w:fill="FFFFFF"/>
        </w:rPr>
        <w:t> (Doctoral dissertation, KDI School).</w:t>
      </w:r>
      <w:r w:rsidRPr="00BC50C9">
        <w:rPr>
          <w:rFonts w:ascii="Times New Roman" w:hAnsi="Times New Roman" w:cs="Simplified Arabic"/>
          <w:color w:val="222222"/>
          <w:sz w:val="24"/>
          <w:szCs w:val="28"/>
          <w:shd w:val="clear" w:color="auto" w:fill="FFFFFF"/>
          <w:rtl/>
        </w:rPr>
        <w:t>‏</w:t>
      </w:r>
    </w:p>
    <w:p w14:paraId="1407E6FD"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tl/>
          <w:lang w:bidi="ar-EG"/>
        </w:rPr>
      </w:pPr>
      <w:proofErr w:type="spellStart"/>
      <w:r w:rsidRPr="00BC50C9">
        <w:rPr>
          <w:rFonts w:ascii="Times New Roman" w:hAnsi="Times New Roman" w:cs="Simplified Arabic"/>
          <w:color w:val="222222"/>
          <w:sz w:val="24"/>
          <w:szCs w:val="28"/>
          <w:shd w:val="clear" w:color="auto" w:fill="FFFFFF"/>
        </w:rPr>
        <w:t>Petrushenko</w:t>
      </w:r>
      <w:proofErr w:type="spellEnd"/>
      <w:r w:rsidRPr="00BC50C9">
        <w:rPr>
          <w:rFonts w:ascii="Times New Roman" w:hAnsi="Times New Roman" w:cs="Simplified Arabic"/>
          <w:color w:val="222222"/>
          <w:sz w:val="24"/>
          <w:szCs w:val="28"/>
          <w:shd w:val="clear" w:color="auto" w:fill="FFFFFF"/>
        </w:rPr>
        <w:t xml:space="preserve">, Y., Kostyuchenko, N., </w:t>
      </w:r>
      <w:proofErr w:type="spellStart"/>
      <w:r w:rsidRPr="00BC50C9">
        <w:rPr>
          <w:rFonts w:ascii="Times New Roman" w:hAnsi="Times New Roman" w:cs="Simplified Arabic"/>
          <w:color w:val="222222"/>
          <w:sz w:val="24"/>
          <w:szCs w:val="28"/>
          <w:shd w:val="clear" w:color="auto" w:fill="FFFFFF"/>
        </w:rPr>
        <w:t>Smolennikov</w:t>
      </w:r>
      <w:proofErr w:type="spellEnd"/>
      <w:r w:rsidRPr="00BC50C9">
        <w:rPr>
          <w:rFonts w:ascii="Times New Roman" w:hAnsi="Times New Roman" w:cs="Simplified Arabic"/>
          <w:color w:val="222222"/>
          <w:sz w:val="24"/>
          <w:szCs w:val="28"/>
          <w:shd w:val="clear" w:color="auto" w:fill="FFFFFF"/>
        </w:rPr>
        <w:t>, D., &amp; Vorontsova, A. (2017). Impact of the participatory financing of international development projects on social capital of the local communities. </w:t>
      </w:r>
      <w:r w:rsidRPr="00BC50C9">
        <w:rPr>
          <w:rFonts w:ascii="Times New Roman" w:hAnsi="Times New Roman" w:cs="Simplified Arabic"/>
          <w:i/>
          <w:iCs/>
          <w:color w:val="222222"/>
          <w:sz w:val="24"/>
          <w:szCs w:val="28"/>
          <w:shd w:val="clear" w:color="auto" w:fill="FFFFFF"/>
        </w:rPr>
        <w:t>Problems and Perspectives in Management</w:t>
      </w:r>
      <w:r w:rsidRPr="00BC50C9">
        <w:rPr>
          <w:rFonts w:ascii="Times New Roman" w:hAnsi="Times New Roman" w:cs="Simplified Arabic"/>
          <w:color w:val="222222"/>
          <w:sz w:val="24"/>
          <w:szCs w:val="28"/>
          <w:shd w:val="clear" w:color="auto" w:fill="FFFFFF"/>
        </w:rPr>
        <w:t xml:space="preserve">, </w:t>
      </w:r>
      <w:r w:rsidRPr="00BC50C9">
        <w:rPr>
          <w:rFonts w:ascii="Times New Roman" w:hAnsi="Times New Roman" w:cs="Simplified Arabic"/>
          <w:i/>
          <w:iCs/>
          <w:color w:val="222222"/>
          <w:sz w:val="24"/>
          <w:szCs w:val="28"/>
          <w:shd w:val="clear" w:color="auto" w:fill="FFFFFF"/>
        </w:rPr>
        <w:t>15</w:t>
      </w:r>
      <w:r w:rsidRPr="00BC50C9">
        <w:rPr>
          <w:rFonts w:ascii="Times New Roman" w:hAnsi="Times New Roman" w:cs="Simplified Arabic"/>
          <w:color w:val="222222"/>
          <w:sz w:val="24"/>
          <w:szCs w:val="28"/>
          <w:shd w:val="clear" w:color="auto" w:fill="FFFFFF"/>
        </w:rPr>
        <w:t>(3), 183-192.</w:t>
      </w:r>
    </w:p>
    <w:p w14:paraId="0E3532CF" w14:textId="77777777" w:rsidR="005848C9" w:rsidRPr="00BC50C9" w:rsidRDefault="005848C9" w:rsidP="005848C9">
      <w:pPr>
        <w:spacing w:before="120" w:after="120" w:line="240" w:lineRule="auto"/>
        <w:ind w:left="426" w:hanging="426"/>
        <w:jc w:val="both"/>
        <w:rPr>
          <w:rFonts w:ascii="Times New Roman" w:hAnsi="Times New Roman" w:cs="Simplified Arabic"/>
          <w:color w:val="000000" w:themeColor="text1"/>
          <w:sz w:val="24"/>
          <w:szCs w:val="28"/>
        </w:rPr>
      </w:pPr>
      <w:r w:rsidRPr="00BC50C9">
        <w:rPr>
          <w:rFonts w:ascii="Times New Roman" w:hAnsi="Times New Roman" w:cs="Simplified Arabic"/>
          <w:color w:val="000000" w:themeColor="text1"/>
          <w:sz w:val="24"/>
          <w:szCs w:val="28"/>
        </w:rPr>
        <w:lastRenderedPageBreak/>
        <w:t>Poi, G. (2020). Entrepreneurial culture: A literature review. </w:t>
      </w:r>
      <w:r w:rsidRPr="00BC50C9">
        <w:rPr>
          <w:rFonts w:ascii="Times New Roman" w:hAnsi="Times New Roman" w:cs="Simplified Arabic"/>
          <w:i/>
          <w:iCs/>
          <w:color w:val="000000" w:themeColor="text1"/>
          <w:sz w:val="24"/>
          <w:szCs w:val="28"/>
        </w:rPr>
        <w:t>International Journal of Business &amp; Entrepreneurship Research</w:t>
      </w:r>
      <w:r w:rsidRPr="00BC50C9">
        <w:rPr>
          <w:rFonts w:ascii="Times New Roman" w:hAnsi="Times New Roman" w:cs="Simplified Arabic"/>
          <w:color w:val="000000" w:themeColor="text1"/>
          <w:sz w:val="24"/>
          <w:szCs w:val="28"/>
        </w:rPr>
        <w:t>, </w:t>
      </w:r>
      <w:r w:rsidRPr="00BC50C9">
        <w:rPr>
          <w:rFonts w:ascii="Times New Roman" w:hAnsi="Times New Roman" w:cs="Simplified Arabic"/>
          <w:i/>
          <w:iCs/>
          <w:color w:val="000000" w:themeColor="text1"/>
          <w:sz w:val="24"/>
          <w:szCs w:val="28"/>
        </w:rPr>
        <w:t>13</w:t>
      </w:r>
      <w:r w:rsidRPr="00BC50C9">
        <w:rPr>
          <w:rFonts w:ascii="Times New Roman" w:hAnsi="Times New Roman" w:cs="Simplified Arabic"/>
          <w:color w:val="000000" w:themeColor="text1"/>
          <w:sz w:val="24"/>
          <w:szCs w:val="28"/>
        </w:rPr>
        <w:t>(3), 59-72.</w:t>
      </w:r>
    </w:p>
    <w:p w14:paraId="29EAD9D6"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tl/>
        </w:rPr>
      </w:pPr>
      <w:r w:rsidRPr="00BC50C9">
        <w:rPr>
          <w:rFonts w:ascii="Times New Roman" w:hAnsi="Times New Roman" w:cs="Simplified Arabic"/>
          <w:color w:val="222222"/>
          <w:sz w:val="24"/>
          <w:szCs w:val="28"/>
          <w:shd w:val="clear" w:color="auto" w:fill="FFFFFF"/>
          <w:lang w:val="it-IT"/>
        </w:rPr>
        <w:t xml:space="preserve">Raza, H., Gillani, S. M. A. H., Ramakrishnan, S., Gillani, S. M. A. H., &amp; Imran, M. (2020). </w:t>
      </w:r>
      <w:r w:rsidRPr="00BC50C9">
        <w:rPr>
          <w:rFonts w:ascii="Times New Roman" w:hAnsi="Times New Roman" w:cs="Simplified Arabic"/>
          <w:color w:val="222222"/>
          <w:sz w:val="24"/>
          <w:szCs w:val="28"/>
          <w:shd w:val="clear" w:color="auto" w:fill="FFFFFF"/>
        </w:rPr>
        <w:t>Nonsystematic review of financial sustainability and financial distress. </w:t>
      </w:r>
      <w:r w:rsidRPr="00BC50C9">
        <w:rPr>
          <w:rFonts w:ascii="Times New Roman" w:hAnsi="Times New Roman" w:cs="Simplified Arabic"/>
          <w:i/>
          <w:iCs/>
          <w:color w:val="222222"/>
          <w:sz w:val="24"/>
          <w:szCs w:val="28"/>
          <w:shd w:val="clear" w:color="auto" w:fill="FFFFFF"/>
        </w:rPr>
        <w:t>International Journal of Psychosocial Rehabilitation</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24</w:t>
      </w:r>
      <w:r w:rsidRPr="00BC50C9">
        <w:rPr>
          <w:rFonts w:ascii="Times New Roman" w:hAnsi="Times New Roman" w:cs="Simplified Arabic"/>
          <w:color w:val="222222"/>
          <w:sz w:val="24"/>
          <w:szCs w:val="28"/>
          <w:shd w:val="clear" w:color="auto" w:fill="FFFFFF"/>
        </w:rPr>
        <w:t>(06), 885-900.</w:t>
      </w:r>
      <w:r w:rsidRPr="00BC50C9">
        <w:rPr>
          <w:rFonts w:ascii="Times New Roman" w:hAnsi="Times New Roman" w:cs="Simplified Arabic"/>
          <w:color w:val="222222"/>
          <w:sz w:val="24"/>
          <w:szCs w:val="28"/>
          <w:shd w:val="clear" w:color="auto" w:fill="FFFFFF"/>
          <w:rtl/>
        </w:rPr>
        <w:t>‏</w:t>
      </w:r>
    </w:p>
    <w:p w14:paraId="1444D90E"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Pr>
      </w:pPr>
      <w:r w:rsidRPr="00BC50C9">
        <w:rPr>
          <w:rFonts w:ascii="Times New Roman" w:hAnsi="Times New Roman" w:cs="Simplified Arabic"/>
          <w:color w:val="222222"/>
          <w:sz w:val="24"/>
          <w:szCs w:val="28"/>
          <w:shd w:val="clear" w:color="auto" w:fill="FFFFFF"/>
          <w:lang w:val="it-IT"/>
        </w:rPr>
        <w:t xml:space="preserve">Saluzzo, F. M., &amp; Alegre, I. (2021). </w:t>
      </w:r>
      <w:r w:rsidRPr="00BC50C9">
        <w:rPr>
          <w:rFonts w:ascii="Times New Roman" w:hAnsi="Times New Roman" w:cs="Simplified Arabic"/>
          <w:color w:val="222222"/>
          <w:sz w:val="24"/>
          <w:szCs w:val="28"/>
          <w:shd w:val="clear" w:color="auto" w:fill="FFFFFF"/>
        </w:rPr>
        <w:t>Supporting entrepreneurs: The role of third-party endorsement in crowdfunding platforms. </w:t>
      </w:r>
      <w:r w:rsidRPr="00BC50C9">
        <w:rPr>
          <w:rFonts w:ascii="Times New Roman" w:hAnsi="Times New Roman" w:cs="Simplified Arabic"/>
          <w:i/>
          <w:iCs/>
          <w:color w:val="222222"/>
          <w:sz w:val="24"/>
          <w:szCs w:val="28"/>
          <w:shd w:val="clear" w:color="auto" w:fill="FFFFFF"/>
        </w:rPr>
        <w:t>Technological Forecasting and Social Change</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162</w:t>
      </w:r>
      <w:r w:rsidRPr="00BC50C9">
        <w:rPr>
          <w:rFonts w:ascii="Times New Roman" w:hAnsi="Times New Roman" w:cs="Simplified Arabic"/>
          <w:color w:val="222222"/>
          <w:sz w:val="24"/>
          <w:szCs w:val="28"/>
          <w:shd w:val="clear" w:color="auto" w:fill="FFFFFF"/>
        </w:rPr>
        <w:t>, 1-11.</w:t>
      </w:r>
    </w:p>
    <w:p w14:paraId="49BA043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proofErr w:type="spellStart"/>
      <w:r w:rsidRPr="0027679E">
        <w:rPr>
          <w:rFonts w:ascii="Times New Roman" w:hAnsi="Times New Roman" w:cs="Simplified Arabic"/>
          <w:color w:val="222222"/>
          <w:sz w:val="24"/>
          <w:szCs w:val="28"/>
          <w:shd w:val="clear" w:color="auto" w:fill="FFFFFF"/>
        </w:rPr>
        <w:t>Seemma</w:t>
      </w:r>
      <w:proofErr w:type="spellEnd"/>
      <w:r w:rsidRPr="0027679E">
        <w:rPr>
          <w:rFonts w:ascii="Times New Roman" w:hAnsi="Times New Roman" w:cs="Simplified Arabic"/>
          <w:color w:val="222222"/>
          <w:sz w:val="24"/>
          <w:szCs w:val="28"/>
          <w:shd w:val="clear" w:color="auto" w:fill="FFFFFF"/>
        </w:rPr>
        <w:t xml:space="preserve">, P.S., Nandhini, S., &amp; Sowmiya, M. (2018). </w:t>
      </w:r>
      <w:r w:rsidRPr="00BC50C9">
        <w:rPr>
          <w:rFonts w:ascii="Times New Roman" w:hAnsi="Times New Roman" w:cs="Simplified Arabic"/>
          <w:color w:val="222222"/>
          <w:sz w:val="24"/>
          <w:szCs w:val="28"/>
          <w:shd w:val="clear" w:color="auto" w:fill="FFFFFF"/>
        </w:rPr>
        <w:t>Overview of cyber security. </w:t>
      </w:r>
      <w:r w:rsidRPr="00BC50C9">
        <w:rPr>
          <w:rFonts w:ascii="Times New Roman" w:hAnsi="Times New Roman" w:cs="Simplified Arabic"/>
          <w:i/>
          <w:iCs/>
          <w:color w:val="222222"/>
          <w:sz w:val="24"/>
          <w:szCs w:val="28"/>
          <w:shd w:val="clear" w:color="auto" w:fill="FFFFFF"/>
        </w:rPr>
        <w:t>International Journal of Advanced Research in Computer and Communication Engineering</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7</w:t>
      </w:r>
      <w:r w:rsidRPr="00BC50C9">
        <w:rPr>
          <w:rFonts w:ascii="Times New Roman" w:hAnsi="Times New Roman" w:cs="Simplified Arabic"/>
          <w:color w:val="222222"/>
          <w:sz w:val="24"/>
          <w:szCs w:val="28"/>
          <w:shd w:val="clear" w:color="auto" w:fill="FFFFFF"/>
        </w:rPr>
        <w:t>(11), 125-128.</w:t>
      </w:r>
    </w:p>
    <w:p w14:paraId="004028EB" w14:textId="77777777" w:rsidR="005848C9" w:rsidRPr="00BC50C9" w:rsidRDefault="005848C9" w:rsidP="005848C9">
      <w:pPr>
        <w:spacing w:before="120" w:after="120" w:line="240" w:lineRule="auto"/>
        <w:ind w:left="426" w:hanging="426"/>
        <w:jc w:val="both"/>
        <w:rPr>
          <w:rFonts w:ascii="Times New Roman" w:hAnsi="Times New Roman" w:cs="Simplified Arabic"/>
          <w:color w:val="000000" w:themeColor="text1"/>
          <w:sz w:val="24"/>
          <w:szCs w:val="28"/>
          <w:lang w:bidi="ar-EG"/>
        </w:rPr>
      </w:pPr>
      <w:r w:rsidRPr="00BC50C9">
        <w:rPr>
          <w:rFonts w:ascii="Times New Roman" w:hAnsi="Times New Roman" w:cs="Simplified Arabic"/>
          <w:color w:val="000000" w:themeColor="text1"/>
          <w:sz w:val="24"/>
          <w:szCs w:val="28"/>
        </w:rPr>
        <w:t>Soomro, B. A., Shah, N., &amp; Mangi, S. (2019). Factors affecting the entrepreneurial leadership in small-and medium-sized enterprises (SMEs) of Pakistan: Empirical evidence. </w:t>
      </w:r>
      <w:r w:rsidRPr="00BC50C9">
        <w:rPr>
          <w:rFonts w:ascii="Times New Roman" w:hAnsi="Times New Roman" w:cs="Simplified Arabic"/>
          <w:i/>
          <w:iCs/>
          <w:color w:val="000000" w:themeColor="text1"/>
          <w:sz w:val="24"/>
          <w:szCs w:val="28"/>
        </w:rPr>
        <w:t>World Journal of Entrepreneurship, Management and Sustainable Development</w:t>
      </w:r>
      <w:r w:rsidRPr="00BC50C9">
        <w:rPr>
          <w:rFonts w:ascii="Times New Roman" w:hAnsi="Times New Roman" w:cs="Simplified Arabic"/>
          <w:color w:val="000000" w:themeColor="text1"/>
          <w:sz w:val="24"/>
          <w:szCs w:val="28"/>
        </w:rPr>
        <w:t>, </w:t>
      </w:r>
      <w:r w:rsidRPr="00BC50C9">
        <w:rPr>
          <w:rFonts w:ascii="Times New Roman" w:hAnsi="Times New Roman" w:cs="Simplified Arabic"/>
          <w:i/>
          <w:iCs/>
          <w:color w:val="000000" w:themeColor="text1"/>
          <w:sz w:val="24"/>
          <w:szCs w:val="28"/>
        </w:rPr>
        <w:t>15</w:t>
      </w:r>
      <w:r w:rsidRPr="00BC50C9">
        <w:rPr>
          <w:rFonts w:ascii="Times New Roman" w:hAnsi="Times New Roman" w:cs="Simplified Arabic"/>
          <w:color w:val="000000" w:themeColor="text1"/>
          <w:sz w:val="24"/>
          <w:szCs w:val="28"/>
        </w:rPr>
        <w:t>(1), 31-44.</w:t>
      </w:r>
    </w:p>
    <w:p w14:paraId="386E73AC"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sz w:val="24"/>
          <w:szCs w:val="28"/>
        </w:rPr>
        <w:t xml:space="preserve">Testa, S., Nielsen, K. R., Bogers, M., &amp; Cincotti, S. (2019). The Role of Crowdfunding in Moving towards a Sustainable Society. </w:t>
      </w:r>
      <w:r w:rsidRPr="00BC50C9">
        <w:rPr>
          <w:rFonts w:ascii="Times New Roman" w:hAnsi="Times New Roman" w:cs="Simplified Arabic"/>
          <w:i/>
          <w:iCs/>
          <w:sz w:val="24"/>
          <w:szCs w:val="28"/>
        </w:rPr>
        <w:t>Technological Forecasting and Social Change</w:t>
      </w:r>
      <w:r w:rsidRPr="00BC50C9">
        <w:rPr>
          <w:rFonts w:ascii="Times New Roman" w:hAnsi="Times New Roman" w:cs="Simplified Arabic"/>
          <w:sz w:val="24"/>
          <w:szCs w:val="28"/>
        </w:rPr>
        <w:t>, 141, 1-21.</w:t>
      </w:r>
    </w:p>
    <w:p w14:paraId="00585F16"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lang w:bidi="ar-EG"/>
        </w:rPr>
      </w:pPr>
      <w:r w:rsidRPr="00BC50C9">
        <w:rPr>
          <w:rFonts w:ascii="Times New Roman" w:hAnsi="Times New Roman" w:cs="Simplified Arabic"/>
          <w:color w:val="222222"/>
          <w:sz w:val="24"/>
          <w:szCs w:val="28"/>
          <w:shd w:val="clear" w:color="auto" w:fill="FFFFFF"/>
        </w:rPr>
        <w:t xml:space="preserve">Wangchuk, </w:t>
      </w:r>
      <w:proofErr w:type="gramStart"/>
      <w:r w:rsidRPr="00BC50C9">
        <w:rPr>
          <w:rFonts w:ascii="Times New Roman" w:hAnsi="Times New Roman" w:cs="Simplified Arabic"/>
          <w:color w:val="222222"/>
          <w:sz w:val="24"/>
          <w:szCs w:val="28"/>
          <w:shd w:val="clear" w:color="auto" w:fill="FFFFFF"/>
        </w:rPr>
        <w:t>P.(</w:t>
      </w:r>
      <w:proofErr w:type="gramEnd"/>
      <w:r w:rsidRPr="00BC50C9">
        <w:rPr>
          <w:rFonts w:ascii="Times New Roman" w:hAnsi="Times New Roman" w:cs="Simplified Arabic"/>
          <w:color w:val="222222"/>
          <w:sz w:val="24"/>
          <w:szCs w:val="28"/>
          <w:shd w:val="clear" w:color="auto" w:fill="FFFFFF"/>
        </w:rPr>
        <w:t>2021). Common types of Crowdfunding Models, Related Concepts and Its Impact on Business: A Brief.</w:t>
      </w:r>
      <w:r w:rsidRPr="00BC50C9">
        <w:rPr>
          <w:rFonts w:ascii="Times New Roman" w:hAnsi="Times New Roman" w:cs="Simplified Arabic"/>
          <w:color w:val="222222"/>
          <w:sz w:val="24"/>
          <w:szCs w:val="28"/>
          <w:shd w:val="clear" w:color="auto" w:fill="FFFFFF"/>
          <w:rtl/>
        </w:rPr>
        <w:t xml:space="preserve"> </w:t>
      </w:r>
      <w:r w:rsidRPr="00BC50C9">
        <w:rPr>
          <w:rFonts w:ascii="Times New Roman" w:hAnsi="Times New Roman" w:cs="Simplified Arabic"/>
          <w:i/>
          <w:iCs/>
          <w:sz w:val="24"/>
          <w:szCs w:val="28"/>
        </w:rPr>
        <w:t>Asian Journal of Economics, Business and Accounting, 21</w:t>
      </w:r>
      <w:r w:rsidRPr="00BC50C9">
        <w:rPr>
          <w:rFonts w:ascii="Times New Roman" w:hAnsi="Times New Roman" w:cs="Simplified Arabic"/>
          <w:sz w:val="24"/>
          <w:szCs w:val="28"/>
        </w:rPr>
        <w:t>(14): 56-63.</w:t>
      </w:r>
    </w:p>
    <w:p w14:paraId="5944896F"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proofErr w:type="spellStart"/>
      <w:r w:rsidRPr="00BC50C9">
        <w:rPr>
          <w:rFonts w:ascii="Times New Roman" w:hAnsi="Times New Roman" w:cs="Simplified Arabic"/>
          <w:sz w:val="24"/>
          <w:szCs w:val="28"/>
        </w:rPr>
        <w:t>Widokarti</w:t>
      </w:r>
      <w:proofErr w:type="spellEnd"/>
      <w:r w:rsidRPr="00BC50C9">
        <w:rPr>
          <w:rFonts w:ascii="Times New Roman" w:hAnsi="Times New Roman" w:cs="Simplified Arabic"/>
          <w:sz w:val="24"/>
          <w:szCs w:val="28"/>
        </w:rPr>
        <w:t xml:space="preserve">, J. R., &amp; Ginting, G. (2020, May). Strengthening public value through reinforcing entrepreneurial orientation and organization: preliminary step toward entrepreneurial universities. In </w:t>
      </w:r>
      <w:proofErr w:type="gramStart"/>
      <w:r w:rsidRPr="00BC50C9">
        <w:rPr>
          <w:rFonts w:ascii="Times New Roman" w:hAnsi="Times New Roman" w:cs="Simplified Arabic"/>
          <w:sz w:val="24"/>
          <w:szCs w:val="28"/>
        </w:rPr>
        <w:t>2nd</w:t>
      </w:r>
      <w:proofErr w:type="gramEnd"/>
      <w:r w:rsidRPr="00BC50C9">
        <w:rPr>
          <w:rFonts w:ascii="Times New Roman" w:hAnsi="Times New Roman" w:cs="Simplified Arabic"/>
          <w:sz w:val="24"/>
          <w:szCs w:val="28"/>
        </w:rPr>
        <w:t xml:space="preserve"> International Seminar on Business, Economics, Social Science and Technology (ISBEST 2019) (pp. 176-180). Atlantis Press.</w:t>
      </w:r>
      <w:r w:rsidRPr="00BC50C9">
        <w:rPr>
          <w:rFonts w:ascii="Times New Roman" w:hAnsi="Times New Roman" w:cs="Simplified Arabic"/>
          <w:sz w:val="24"/>
          <w:szCs w:val="28"/>
          <w:rtl/>
        </w:rPr>
        <w:t>‏</w:t>
      </w:r>
    </w:p>
    <w:p w14:paraId="35595B3E"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sz w:val="24"/>
          <w:szCs w:val="28"/>
        </w:rPr>
        <w:t>Wright, M., &amp; Hitt, M. A. (2017). Strategic entrepreneurship and SEJ: Development and current progress. Strategic Entrepreneurship Journal, 11(3), 200-210.</w:t>
      </w:r>
      <w:r w:rsidRPr="00BC50C9">
        <w:rPr>
          <w:rFonts w:ascii="Times New Roman" w:hAnsi="Times New Roman" w:cs="Simplified Arabic"/>
          <w:sz w:val="24"/>
          <w:szCs w:val="28"/>
          <w:rtl/>
        </w:rPr>
        <w:t>‏</w:t>
      </w:r>
    </w:p>
    <w:p w14:paraId="400E1B50"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tl/>
          <w:lang w:bidi="ar-EG"/>
        </w:rPr>
      </w:pPr>
      <w:r w:rsidRPr="00BC50C9">
        <w:rPr>
          <w:rFonts w:ascii="Times New Roman" w:hAnsi="Times New Roman" w:cs="Simplified Arabic"/>
          <w:sz w:val="24"/>
          <w:szCs w:val="28"/>
        </w:rPr>
        <w:t>Yan, G. (2019). Research on the Application of Project Management Mode in the Innovation and Entrepreneurship Education of Higher Vocational Education,175-179.</w:t>
      </w:r>
    </w:p>
    <w:p w14:paraId="783A91F8"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tl/>
        </w:rPr>
      </w:pPr>
      <w:r w:rsidRPr="00BC50C9">
        <w:rPr>
          <w:rFonts w:ascii="Times New Roman" w:hAnsi="Times New Roman" w:cs="Simplified Arabic"/>
          <w:color w:val="222222"/>
          <w:sz w:val="24"/>
          <w:szCs w:val="28"/>
          <w:shd w:val="clear" w:color="auto" w:fill="FFFFFF"/>
          <w:lang w:val="it-IT"/>
        </w:rPr>
        <w:t xml:space="preserve">Yáñez-Valdés, C., &amp; Guerrero, M. (2024). </w:t>
      </w:r>
      <w:r w:rsidRPr="00BC50C9">
        <w:rPr>
          <w:rFonts w:ascii="Times New Roman" w:hAnsi="Times New Roman" w:cs="Simplified Arabic"/>
          <w:color w:val="222222"/>
          <w:sz w:val="24"/>
          <w:szCs w:val="28"/>
          <w:shd w:val="clear" w:color="auto" w:fill="FFFFFF"/>
        </w:rPr>
        <w:t>Equity crowdfunding platforms and sustainable impacts: encountering investors and technological initiatives for tackling social and environmental challenges. </w:t>
      </w:r>
      <w:r w:rsidRPr="00BC50C9">
        <w:rPr>
          <w:rFonts w:ascii="Times New Roman" w:hAnsi="Times New Roman" w:cs="Simplified Arabic"/>
          <w:i/>
          <w:iCs/>
          <w:color w:val="222222"/>
          <w:sz w:val="24"/>
          <w:szCs w:val="28"/>
          <w:shd w:val="clear" w:color="auto" w:fill="FFFFFF"/>
        </w:rPr>
        <w:t>European Journal of Innovation Management</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27</w:t>
      </w:r>
      <w:r w:rsidRPr="00BC50C9">
        <w:rPr>
          <w:rFonts w:ascii="Times New Roman" w:hAnsi="Times New Roman" w:cs="Simplified Arabic"/>
          <w:color w:val="222222"/>
          <w:sz w:val="24"/>
          <w:szCs w:val="28"/>
          <w:shd w:val="clear" w:color="auto" w:fill="FFFFFF"/>
        </w:rPr>
        <w:t>(7), 2326-2350.</w:t>
      </w:r>
      <w:r w:rsidRPr="00BC50C9">
        <w:rPr>
          <w:rFonts w:ascii="Times New Roman" w:hAnsi="Times New Roman" w:cs="Simplified Arabic"/>
          <w:color w:val="222222"/>
          <w:sz w:val="24"/>
          <w:szCs w:val="28"/>
          <w:shd w:val="clear" w:color="auto" w:fill="FFFFFF"/>
          <w:rtl/>
        </w:rPr>
        <w:t>‏</w:t>
      </w:r>
    </w:p>
    <w:p w14:paraId="3D8B5354" w14:textId="77777777" w:rsidR="005848C9" w:rsidRPr="00BC50C9" w:rsidRDefault="005848C9" w:rsidP="005848C9">
      <w:pPr>
        <w:pStyle w:val="a4"/>
        <w:spacing w:before="120" w:after="120"/>
        <w:ind w:left="426" w:hanging="426"/>
        <w:jc w:val="both"/>
        <w:rPr>
          <w:rFonts w:ascii="Times New Roman" w:hAnsi="Times New Roman" w:cs="Simplified Arabic"/>
          <w:sz w:val="24"/>
          <w:szCs w:val="28"/>
        </w:rPr>
      </w:pPr>
      <w:proofErr w:type="spellStart"/>
      <w:r w:rsidRPr="00BC50C9">
        <w:rPr>
          <w:rFonts w:ascii="Times New Roman" w:hAnsi="Times New Roman" w:cs="Simplified Arabic"/>
          <w:color w:val="222222"/>
          <w:sz w:val="24"/>
          <w:szCs w:val="28"/>
          <w:shd w:val="clear" w:color="auto" w:fill="FFFFFF"/>
        </w:rPr>
        <w:t>Zabolotnyy</w:t>
      </w:r>
      <w:proofErr w:type="spellEnd"/>
      <w:r w:rsidRPr="00BC50C9">
        <w:rPr>
          <w:rFonts w:ascii="Times New Roman" w:hAnsi="Times New Roman" w:cs="Simplified Arabic"/>
          <w:color w:val="222222"/>
          <w:sz w:val="24"/>
          <w:szCs w:val="28"/>
          <w:shd w:val="clear" w:color="auto" w:fill="FFFFFF"/>
        </w:rPr>
        <w:t>, S., &amp; Wasilewski, M. (2019). The concept of financial sustainability measurement: A case of food companies from Northern Europe. </w:t>
      </w:r>
      <w:r w:rsidRPr="00BC50C9">
        <w:rPr>
          <w:rFonts w:ascii="Times New Roman" w:hAnsi="Times New Roman" w:cs="Simplified Arabic"/>
          <w:i/>
          <w:iCs/>
          <w:color w:val="222222"/>
          <w:sz w:val="24"/>
          <w:szCs w:val="28"/>
          <w:shd w:val="clear" w:color="auto" w:fill="FFFFFF"/>
        </w:rPr>
        <w:t>Sustainability</w:t>
      </w:r>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11</w:t>
      </w:r>
      <w:r w:rsidRPr="00BC50C9">
        <w:rPr>
          <w:rFonts w:ascii="Times New Roman" w:hAnsi="Times New Roman" w:cs="Simplified Arabic"/>
          <w:color w:val="222222"/>
          <w:sz w:val="24"/>
          <w:szCs w:val="28"/>
          <w:shd w:val="clear" w:color="auto" w:fill="FFFFFF"/>
        </w:rPr>
        <w:t>(18), 5139.</w:t>
      </w:r>
      <w:r w:rsidRPr="00BC50C9">
        <w:rPr>
          <w:rFonts w:ascii="Times New Roman" w:hAnsi="Times New Roman" w:cs="Simplified Arabic"/>
          <w:color w:val="222222"/>
          <w:sz w:val="24"/>
          <w:szCs w:val="28"/>
          <w:shd w:val="clear" w:color="auto" w:fill="FFFFFF"/>
          <w:rtl/>
        </w:rPr>
        <w:t>‏</w:t>
      </w:r>
    </w:p>
    <w:p w14:paraId="25089B41" w14:textId="77777777" w:rsidR="005848C9" w:rsidRPr="00BC50C9" w:rsidRDefault="005848C9" w:rsidP="005848C9">
      <w:pPr>
        <w:pStyle w:val="a4"/>
        <w:spacing w:before="120" w:after="120"/>
        <w:ind w:left="426" w:hanging="426"/>
        <w:jc w:val="both"/>
        <w:rPr>
          <w:rFonts w:ascii="Times New Roman" w:hAnsi="Times New Roman" w:cs="Simplified Arabic"/>
          <w:color w:val="222222"/>
          <w:sz w:val="24"/>
          <w:szCs w:val="28"/>
          <w:shd w:val="clear" w:color="auto" w:fill="FFFFFF"/>
          <w:rtl/>
        </w:rPr>
      </w:pPr>
      <w:r w:rsidRPr="00BC50C9">
        <w:rPr>
          <w:rFonts w:ascii="Times New Roman" w:hAnsi="Times New Roman" w:cs="Simplified Arabic"/>
          <w:color w:val="222222"/>
          <w:sz w:val="24"/>
          <w:szCs w:val="28"/>
          <w:shd w:val="clear" w:color="auto" w:fill="FFFFFF"/>
        </w:rPr>
        <w:t xml:space="preserve">Zhao, L., &amp; Shneor, R. (2020). Donation crowdfunding: Principles and donor </w:t>
      </w:r>
      <w:proofErr w:type="spellStart"/>
      <w:r w:rsidRPr="00BC50C9">
        <w:rPr>
          <w:rFonts w:ascii="Times New Roman" w:hAnsi="Times New Roman" w:cs="Simplified Arabic"/>
          <w:color w:val="222222"/>
          <w:sz w:val="24"/>
          <w:szCs w:val="28"/>
          <w:shd w:val="clear" w:color="auto" w:fill="FFFFFF"/>
        </w:rPr>
        <w:t>behaviour</w:t>
      </w:r>
      <w:proofErr w:type="spellEnd"/>
      <w:r w:rsidRPr="00BC50C9">
        <w:rPr>
          <w:rFonts w:ascii="Times New Roman" w:hAnsi="Times New Roman" w:cs="Simplified Arabic"/>
          <w:color w:val="222222"/>
          <w:sz w:val="24"/>
          <w:szCs w:val="28"/>
          <w:shd w:val="clear" w:color="auto" w:fill="FFFFFF"/>
        </w:rPr>
        <w:t>. </w:t>
      </w:r>
      <w:r w:rsidRPr="00BC50C9">
        <w:rPr>
          <w:rFonts w:ascii="Times New Roman" w:hAnsi="Times New Roman" w:cs="Simplified Arabic"/>
          <w:i/>
          <w:iCs/>
          <w:color w:val="222222"/>
          <w:sz w:val="24"/>
          <w:szCs w:val="28"/>
          <w:shd w:val="clear" w:color="auto" w:fill="FFFFFF"/>
        </w:rPr>
        <w:t>Advances in crowdfunding: Research and practice</w:t>
      </w:r>
      <w:r w:rsidRPr="00BC50C9">
        <w:rPr>
          <w:rFonts w:ascii="Times New Roman" w:hAnsi="Times New Roman" w:cs="Simplified Arabic"/>
          <w:color w:val="222222"/>
          <w:sz w:val="24"/>
          <w:szCs w:val="28"/>
          <w:shd w:val="clear" w:color="auto" w:fill="FFFFFF"/>
        </w:rPr>
        <w:t>, 145-160.</w:t>
      </w:r>
    </w:p>
    <w:p w14:paraId="37FDB4D6" w14:textId="77777777" w:rsidR="00642DD9" w:rsidRPr="00BC50C9" w:rsidRDefault="00642DD9" w:rsidP="00BC50C9">
      <w:pPr>
        <w:pStyle w:val="a4"/>
        <w:spacing w:before="120" w:after="120"/>
        <w:ind w:left="1080" w:hanging="1080"/>
        <w:jc w:val="both"/>
        <w:rPr>
          <w:rFonts w:ascii="Times New Roman" w:hAnsi="Times New Roman" w:cs="Simplified Arabic"/>
          <w:color w:val="222222"/>
          <w:sz w:val="24"/>
          <w:szCs w:val="28"/>
          <w:shd w:val="clear" w:color="auto" w:fill="FFFFFF"/>
          <w:rtl/>
        </w:rPr>
      </w:pPr>
    </w:p>
    <w:p w14:paraId="31D50230" w14:textId="77777777" w:rsidR="00642DD9" w:rsidRPr="00BC50C9" w:rsidRDefault="00642DD9" w:rsidP="00BC50C9">
      <w:pPr>
        <w:pStyle w:val="a4"/>
        <w:spacing w:before="120" w:after="120"/>
        <w:ind w:left="1080" w:hanging="1080"/>
        <w:jc w:val="both"/>
        <w:rPr>
          <w:rFonts w:ascii="Times New Roman" w:hAnsi="Times New Roman" w:cs="Simplified Arabic"/>
          <w:color w:val="222222"/>
          <w:sz w:val="24"/>
          <w:szCs w:val="28"/>
          <w:shd w:val="clear" w:color="auto" w:fill="FFFFFF"/>
          <w:rtl/>
        </w:rPr>
      </w:pPr>
    </w:p>
    <w:p w14:paraId="4810F0A0" w14:textId="77777777" w:rsidR="00642DD9" w:rsidRPr="00BC50C9" w:rsidRDefault="00642DD9" w:rsidP="00BC50C9">
      <w:pPr>
        <w:pStyle w:val="a4"/>
        <w:spacing w:before="120" w:after="120"/>
        <w:ind w:left="1080" w:hanging="1080"/>
        <w:jc w:val="both"/>
        <w:rPr>
          <w:rFonts w:ascii="Times New Roman" w:hAnsi="Times New Roman" w:cs="Simplified Arabic"/>
          <w:color w:val="222222"/>
          <w:sz w:val="24"/>
          <w:szCs w:val="28"/>
          <w:shd w:val="clear" w:color="auto" w:fill="FFFFFF"/>
          <w:rtl/>
        </w:rPr>
      </w:pPr>
    </w:p>
    <w:p w14:paraId="156C6BE3" w14:textId="77777777" w:rsidR="00642DD9" w:rsidRPr="00BC50C9" w:rsidRDefault="00642DD9" w:rsidP="00BC50C9">
      <w:pPr>
        <w:pStyle w:val="a4"/>
        <w:spacing w:before="120" w:after="120"/>
        <w:ind w:left="1080" w:hanging="1080"/>
        <w:jc w:val="both"/>
        <w:rPr>
          <w:rFonts w:ascii="Times New Roman" w:hAnsi="Times New Roman" w:cs="Simplified Arabic"/>
          <w:color w:val="222222"/>
          <w:sz w:val="24"/>
          <w:szCs w:val="28"/>
          <w:shd w:val="clear" w:color="auto" w:fill="FFFFFF"/>
          <w:rtl/>
        </w:rPr>
      </w:pPr>
    </w:p>
    <w:p w14:paraId="1FA8883D" w14:textId="77777777" w:rsidR="00642DD9" w:rsidRPr="00BC50C9" w:rsidRDefault="00642DD9" w:rsidP="00BC50C9">
      <w:pPr>
        <w:pStyle w:val="a4"/>
        <w:spacing w:before="120" w:after="120"/>
        <w:ind w:left="1080" w:hanging="1080"/>
        <w:jc w:val="both"/>
        <w:rPr>
          <w:rFonts w:ascii="Times New Roman" w:hAnsi="Times New Roman" w:cs="Simplified Arabic"/>
          <w:color w:val="222222"/>
          <w:sz w:val="24"/>
          <w:szCs w:val="28"/>
          <w:shd w:val="clear" w:color="auto" w:fill="FFFFFF"/>
          <w:rtl/>
        </w:rPr>
      </w:pPr>
    </w:p>
    <w:p w14:paraId="1B180E5A" w14:textId="34AC038D" w:rsidR="00342CFB" w:rsidRDefault="00342CFB" w:rsidP="00342CFB">
      <w:pPr>
        <w:pStyle w:val="11110"/>
        <w:bidi w:val="0"/>
        <w:rPr>
          <w:rtl/>
          <w:lang w:bidi="ar-EG"/>
        </w:rPr>
      </w:pPr>
      <w:bookmarkStart w:id="210" w:name="_Toc195456644"/>
      <w:r>
        <w:rPr>
          <w:rFonts w:hint="cs"/>
          <w:rtl/>
          <w:lang w:bidi="ar-EG"/>
        </w:rPr>
        <w:lastRenderedPageBreak/>
        <w:t>الملاحق</w:t>
      </w:r>
      <w:bookmarkEnd w:id="210"/>
    </w:p>
    <w:p w14:paraId="41FD3081" w14:textId="3E569828" w:rsidR="00642DD9" w:rsidRPr="00BC50C9" w:rsidRDefault="00642DD9" w:rsidP="00342CFB">
      <w:pPr>
        <w:pStyle w:val="22222"/>
        <w:jc w:val="center"/>
        <w:rPr>
          <w:rtl/>
        </w:rPr>
      </w:pPr>
      <w:bookmarkStart w:id="211" w:name="_Toc195456645"/>
      <w:r w:rsidRPr="00BC50C9">
        <w:rPr>
          <w:rFonts w:hint="cs"/>
          <w:rtl/>
        </w:rPr>
        <w:t>ملحق (1) الاستبانة</w:t>
      </w:r>
      <w:bookmarkEnd w:id="211"/>
    </w:p>
    <w:p w14:paraId="293A9749" w14:textId="77777777" w:rsidR="00642DD9" w:rsidRPr="00BC50C9" w:rsidRDefault="00642DD9" w:rsidP="00BC50C9">
      <w:pPr>
        <w:bidi/>
        <w:spacing w:before="120" w:after="120" w:line="240" w:lineRule="auto"/>
        <w:contextualSpacing/>
        <w:jc w:val="center"/>
        <w:rPr>
          <w:rFonts w:ascii="Times New Roman" w:hAnsi="Times New Roman" w:cs="Simplified Arabic"/>
          <w:b/>
          <w:bCs/>
          <w:sz w:val="24"/>
          <w:szCs w:val="28"/>
          <w:rtl/>
        </w:rPr>
      </w:pPr>
      <w:r w:rsidRPr="00BC50C9">
        <w:rPr>
          <w:rFonts w:ascii="Times New Roman" w:hAnsi="Times New Roman" w:cs="Simplified Arabic"/>
          <w:b/>
          <w:bCs/>
          <w:sz w:val="24"/>
          <w:szCs w:val="28"/>
          <w:rtl/>
        </w:rPr>
        <w:t>بسم الله الرحمن الرحيم</w:t>
      </w:r>
    </w:p>
    <w:p w14:paraId="47CA9DDE" w14:textId="77777777" w:rsidR="00642DD9" w:rsidRPr="00BC50C9" w:rsidRDefault="00642DD9" w:rsidP="00BC50C9">
      <w:pPr>
        <w:bidi/>
        <w:spacing w:before="120" w:after="120" w:line="240" w:lineRule="auto"/>
        <w:contextualSpacing/>
        <w:jc w:val="both"/>
        <w:rPr>
          <w:rFonts w:ascii="Times New Roman" w:hAnsi="Times New Roman" w:cs="Simplified Arabic"/>
          <w:sz w:val="24"/>
          <w:szCs w:val="28"/>
          <w:rtl/>
        </w:rPr>
      </w:pPr>
      <w:r w:rsidRPr="00BC50C9">
        <w:rPr>
          <w:rFonts w:ascii="Times New Roman" w:hAnsi="Times New Roman" w:cs="Simplified Arabic"/>
          <w:sz w:val="24"/>
          <w:szCs w:val="28"/>
          <w:rtl/>
        </w:rPr>
        <w:t xml:space="preserve">الاستاذ/ة الفاضل/ة .............................. </w:t>
      </w:r>
      <w:r w:rsidRPr="00BC50C9">
        <w:rPr>
          <w:rFonts w:ascii="Times New Roman" w:hAnsi="Times New Roman" w:cs="Simplified Arabic"/>
          <w:sz w:val="24"/>
          <w:szCs w:val="28"/>
          <w:rtl/>
        </w:rPr>
        <w:tab/>
      </w:r>
      <w:r w:rsidRPr="00BC50C9">
        <w:rPr>
          <w:rFonts w:ascii="Times New Roman" w:hAnsi="Times New Roman" w:cs="Simplified Arabic"/>
          <w:sz w:val="24"/>
          <w:szCs w:val="28"/>
          <w:rtl/>
        </w:rPr>
        <w:tab/>
        <w:t>المحترم/ة</w:t>
      </w:r>
    </w:p>
    <w:p w14:paraId="43171907" w14:textId="77777777" w:rsidR="00642DD9" w:rsidRPr="00BC50C9" w:rsidRDefault="00642DD9" w:rsidP="00BC50C9">
      <w:pPr>
        <w:bidi/>
        <w:spacing w:before="120" w:after="120" w:line="240" w:lineRule="auto"/>
        <w:contextualSpacing/>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السلام عليكم ورحمة الله وبركاته ... وبعد،</w:t>
      </w:r>
    </w:p>
    <w:p w14:paraId="6827F10A" w14:textId="77777777" w:rsidR="00642DD9" w:rsidRPr="00BC50C9" w:rsidRDefault="00642DD9" w:rsidP="00BC50C9">
      <w:pPr>
        <w:bidi/>
        <w:spacing w:before="120" w:after="120" w:line="240" w:lineRule="auto"/>
        <w:contextualSpacing/>
        <w:jc w:val="both"/>
        <w:rPr>
          <w:rFonts w:ascii="Times New Roman" w:hAnsi="Times New Roman" w:cs="Simplified Arabic"/>
          <w:b/>
          <w:bCs/>
          <w:sz w:val="24"/>
          <w:szCs w:val="28"/>
          <w:u w:val="single"/>
          <w:rtl/>
          <w:lang w:bidi="ar-TN"/>
        </w:rPr>
      </w:pPr>
      <w:r w:rsidRPr="00BC50C9">
        <w:rPr>
          <w:rFonts w:ascii="Times New Roman" w:hAnsi="Times New Roman" w:cs="Simplified Arabic"/>
          <w:sz w:val="24"/>
          <w:szCs w:val="28"/>
          <w:rtl/>
          <w:lang w:bidi="ar-TN"/>
        </w:rPr>
        <w:t>تقوم الباحثة بإجراء دراسة حول "</w:t>
      </w:r>
      <w:r w:rsidRPr="00BC50C9">
        <w:rPr>
          <w:rFonts w:ascii="Times New Roman" w:hAnsi="Times New Roman" w:cs="Simplified Arabic"/>
          <w:sz w:val="24"/>
          <w:szCs w:val="28"/>
          <w:rtl/>
        </w:rPr>
        <w:t xml:space="preserve"> </w:t>
      </w:r>
      <w:r w:rsidRPr="00BC50C9">
        <w:rPr>
          <w:rFonts w:ascii="Times New Roman" w:hAnsi="Times New Roman" w:cs="Simplified Arabic"/>
          <w:b/>
          <w:bCs/>
          <w:sz w:val="24"/>
          <w:szCs w:val="28"/>
          <w:u w:val="single"/>
          <w:rtl/>
        </w:rPr>
        <w:t xml:space="preserve">استراتيجيه مقترحه لتطوير منصة الكترونية معتمدة على التمويل التشاركي لدعم المشاريع الريادية </w:t>
      </w:r>
      <w:r w:rsidRPr="00BC50C9">
        <w:rPr>
          <w:rFonts w:ascii="Times New Roman" w:hAnsi="Times New Roman" w:cs="Simplified Arabic" w:hint="cs"/>
          <w:b/>
          <w:bCs/>
          <w:sz w:val="24"/>
          <w:szCs w:val="28"/>
          <w:u w:val="single"/>
          <w:rtl/>
        </w:rPr>
        <w:t>وتعزيز</w:t>
      </w:r>
      <w:r w:rsidRPr="00BC50C9">
        <w:rPr>
          <w:rFonts w:ascii="Times New Roman" w:hAnsi="Times New Roman" w:cs="Simplified Arabic"/>
          <w:b/>
          <w:bCs/>
          <w:sz w:val="24"/>
          <w:szCs w:val="28"/>
          <w:u w:val="single"/>
          <w:rtl/>
        </w:rPr>
        <w:t xml:space="preserve"> </w:t>
      </w:r>
      <w:r w:rsidRPr="00BC50C9">
        <w:rPr>
          <w:rFonts w:ascii="Times New Roman" w:hAnsi="Times New Roman" w:cs="Simplified Arabic" w:hint="cs"/>
          <w:b/>
          <w:bCs/>
          <w:sz w:val="24"/>
          <w:szCs w:val="28"/>
          <w:u w:val="single"/>
          <w:rtl/>
        </w:rPr>
        <w:t>الاستدامة</w:t>
      </w:r>
      <w:r w:rsidRPr="00BC50C9">
        <w:rPr>
          <w:rFonts w:ascii="Times New Roman" w:hAnsi="Times New Roman" w:cs="Simplified Arabic"/>
          <w:b/>
          <w:bCs/>
          <w:sz w:val="24"/>
          <w:szCs w:val="28"/>
          <w:u w:val="single"/>
          <w:rtl/>
        </w:rPr>
        <w:t xml:space="preserve"> </w:t>
      </w:r>
      <w:r w:rsidRPr="00BC50C9">
        <w:rPr>
          <w:rFonts w:ascii="Times New Roman" w:hAnsi="Times New Roman" w:cs="Simplified Arabic" w:hint="cs"/>
          <w:b/>
          <w:bCs/>
          <w:sz w:val="24"/>
          <w:szCs w:val="28"/>
          <w:u w:val="single"/>
          <w:rtl/>
        </w:rPr>
        <w:t>المالية</w:t>
      </w:r>
      <w:r w:rsidRPr="00BC50C9">
        <w:rPr>
          <w:rFonts w:ascii="Times New Roman" w:hAnsi="Times New Roman" w:cs="Simplified Arabic"/>
          <w:sz w:val="24"/>
          <w:szCs w:val="28"/>
          <w:rtl/>
          <w:lang w:bidi="ar-TN"/>
        </w:rPr>
        <w:t>"</w:t>
      </w:r>
    </w:p>
    <w:p w14:paraId="5F57021E" w14:textId="77777777" w:rsidR="00642DD9" w:rsidRPr="00BC50C9" w:rsidRDefault="00642DD9" w:rsidP="00BC50C9">
      <w:pPr>
        <w:bidi/>
        <w:spacing w:before="120" w:after="120" w:line="240" w:lineRule="auto"/>
        <w:ind w:firstLine="720"/>
        <w:contextualSpacing/>
        <w:jc w:val="both"/>
        <w:rPr>
          <w:rFonts w:ascii="Times New Roman" w:hAnsi="Times New Roman" w:cs="Simplified Arabic"/>
          <w:sz w:val="24"/>
          <w:szCs w:val="28"/>
          <w:rtl/>
          <w:lang w:bidi="ar-TN"/>
        </w:rPr>
      </w:pPr>
      <w:r w:rsidRPr="00BC50C9">
        <w:rPr>
          <w:rFonts w:ascii="Times New Roman" w:hAnsi="Times New Roman" w:cs="Simplified Arabic"/>
          <w:sz w:val="24"/>
          <w:szCs w:val="28"/>
          <w:rtl/>
          <w:lang w:bidi="ar-TN"/>
        </w:rPr>
        <w:t xml:space="preserve">وعليه تتشرف الباحثة بأن تضع بين أيديكم هذه الاستبانة، </w:t>
      </w:r>
      <w:proofErr w:type="spellStart"/>
      <w:r w:rsidRPr="00BC50C9">
        <w:rPr>
          <w:rFonts w:ascii="Times New Roman" w:hAnsi="Times New Roman" w:cs="Simplified Arabic"/>
          <w:sz w:val="24"/>
          <w:szCs w:val="28"/>
          <w:rtl/>
          <w:lang w:bidi="ar-TN"/>
        </w:rPr>
        <w:t>آملًة</w:t>
      </w:r>
      <w:proofErr w:type="spellEnd"/>
      <w:r w:rsidRPr="00BC50C9">
        <w:rPr>
          <w:rFonts w:ascii="Times New Roman" w:hAnsi="Times New Roman" w:cs="Simplified Arabic"/>
          <w:sz w:val="24"/>
          <w:szCs w:val="28"/>
          <w:rtl/>
          <w:lang w:bidi="ar-TN"/>
        </w:rPr>
        <w:t xml:space="preserve"> منكم التكرم بالإجابة على فقراتها وذلك بوضع علامة (</w:t>
      </w:r>
      <w:r w:rsidRPr="00BC50C9">
        <w:rPr>
          <w:rFonts w:ascii="Times New Roman" w:hAnsi="Times New Roman" w:cs="Simplified Arabic"/>
          <w:b/>
          <w:bCs/>
          <w:sz w:val="24"/>
          <w:szCs w:val="28"/>
        </w:rPr>
        <w:t>√</w:t>
      </w:r>
      <w:r w:rsidRPr="00BC50C9">
        <w:rPr>
          <w:rFonts w:ascii="Times New Roman" w:hAnsi="Times New Roman" w:cs="Simplified Arabic"/>
          <w:sz w:val="24"/>
          <w:szCs w:val="28"/>
          <w:rtl/>
          <w:lang w:bidi="ar-TN"/>
        </w:rPr>
        <w:t>) في الخانة التي تعبر عن وجهة نظركم بدقة وموضوعية وأمانة، لأن نتائج الدراسة تتوقف على ذلك.</w:t>
      </w:r>
    </w:p>
    <w:p w14:paraId="27F931E9" w14:textId="77777777" w:rsidR="00642DD9" w:rsidRPr="00BC50C9" w:rsidRDefault="00642DD9" w:rsidP="00BC50C9">
      <w:pPr>
        <w:bidi/>
        <w:spacing w:before="120" w:after="120" w:line="240" w:lineRule="auto"/>
        <w:ind w:firstLine="720"/>
        <w:contextualSpacing/>
        <w:jc w:val="both"/>
        <w:rPr>
          <w:rFonts w:ascii="Times New Roman" w:hAnsi="Times New Roman" w:cs="Simplified Arabic"/>
          <w:sz w:val="24"/>
          <w:szCs w:val="28"/>
          <w:rtl/>
        </w:rPr>
      </w:pPr>
      <w:r w:rsidRPr="00BC50C9">
        <w:rPr>
          <w:rFonts w:ascii="Times New Roman" w:hAnsi="Times New Roman" w:cs="Simplified Arabic"/>
          <w:sz w:val="24"/>
          <w:szCs w:val="28"/>
          <w:rtl/>
          <w:lang w:bidi="ar-TN"/>
        </w:rPr>
        <w:t xml:space="preserve">هذا وتؤكد لكم الباحثة بأن جميع المعلومات الواردة في الاستبانة سوف تحاط بالسرية التامة، وسيكون استخدامها بحسب ما تقتضيه أخلاقيات البحث العلمي فقط. </w:t>
      </w:r>
    </w:p>
    <w:p w14:paraId="1DFC7889" w14:textId="77777777" w:rsidR="00642DD9" w:rsidRPr="00BC50C9" w:rsidRDefault="00642DD9" w:rsidP="00BC50C9">
      <w:pPr>
        <w:bidi/>
        <w:spacing w:before="120" w:after="120" w:line="240" w:lineRule="auto"/>
        <w:ind w:firstLine="720"/>
        <w:contextualSpacing/>
        <w:jc w:val="both"/>
        <w:rPr>
          <w:rFonts w:ascii="Times New Roman" w:hAnsi="Times New Roman" w:cs="Simplified Arabic"/>
          <w:sz w:val="24"/>
          <w:szCs w:val="28"/>
          <w:rtl/>
          <w:lang w:bidi="ar-TN"/>
        </w:rPr>
      </w:pPr>
      <w:r w:rsidRPr="00BC50C9">
        <w:rPr>
          <w:rFonts w:ascii="Times New Roman" w:hAnsi="Times New Roman" w:cs="Simplified Arabic"/>
          <w:sz w:val="24"/>
          <w:szCs w:val="28"/>
          <w:rtl/>
        </w:rPr>
        <w:t>وأخيرا أتوجه بكل الشكر والتقدير لكل من ساهم في هذه الاستبانة والإجابة والمشورة، راجية من الله تعالى، أن يجزيهم عني أحسن الجزاء.</w:t>
      </w:r>
      <w:r w:rsidRPr="00BC50C9">
        <w:rPr>
          <w:rFonts w:ascii="Times New Roman" w:hAnsi="Times New Roman" w:cs="Simplified Arabic"/>
          <w:sz w:val="24"/>
          <w:szCs w:val="28"/>
          <w:rtl/>
          <w:lang w:bidi="ar-TN"/>
        </w:rPr>
        <w:t xml:space="preserve">  </w:t>
      </w:r>
    </w:p>
    <w:p w14:paraId="79A8DEC8" w14:textId="77777777" w:rsidR="00642DD9" w:rsidRPr="00BC50C9" w:rsidRDefault="00642DD9" w:rsidP="00BC50C9">
      <w:pPr>
        <w:bidi/>
        <w:spacing w:before="120" w:after="120" w:line="240" w:lineRule="auto"/>
        <w:contextualSpacing/>
        <w:jc w:val="both"/>
        <w:rPr>
          <w:rFonts w:ascii="Times New Roman" w:hAnsi="Times New Roman" w:cs="Simplified Arabic"/>
          <w:b/>
          <w:bCs/>
          <w:sz w:val="24"/>
          <w:szCs w:val="28"/>
          <w:rtl/>
        </w:rPr>
      </w:pPr>
      <w:r w:rsidRPr="00BC50C9">
        <w:rPr>
          <w:rFonts w:ascii="Times New Roman" w:hAnsi="Times New Roman" w:cs="Simplified Arabic"/>
          <w:b/>
          <w:bCs/>
          <w:sz w:val="24"/>
          <w:szCs w:val="28"/>
          <w:rtl/>
        </w:rPr>
        <w:t xml:space="preserve">     </w:t>
      </w:r>
    </w:p>
    <w:p w14:paraId="5E7795A4" w14:textId="77777777" w:rsidR="00642DD9" w:rsidRPr="00BC50C9" w:rsidRDefault="00642DD9" w:rsidP="00BC50C9">
      <w:pPr>
        <w:bidi/>
        <w:spacing w:before="120" w:after="120" w:line="240" w:lineRule="auto"/>
        <w:contextualSpacing/>
        <w:jc w:val="both"/>
        <w:rPr>
          <w:rFonts w:ascii="Times New Roman" w:hAnsi="Times New Roman" w:cs="Simplified Arabic"/>
          <w:b/>
          <w:bCs/>
          <w:sz w:val="24"/>
          <w:szCs w:val="28"/>
          <w:rtl/>
        </w:rPr>
      </w:pPr>
    </w:p>
    <w:p w14:paraId="2CB49F81" w14:textId="7E822466" w:rsidR="00642DD9" w:rsidRPr="00BC50C9" w:rsidRDefault="00642DD9" w:rsidP="00BC50C9">
      <w:pPr>
        <w:bidi/>
        <w:spacing w:before="120" w:after="120" w:line="240" w:lineRule="auto"/>
        <w:contextualSpacing/>
        <w:jc w:val="both"/>
        <w:rPr>
          <w:rFonts w:ascii="Times New Roman" w:hAnsi="Times New Roman" w:cs="Simplified Arabic"/>
          <w:sz w:val="24"/>
          <w:szCs w:val="28"/>
          <w:rtl/>
          <w:lang w:bidi="ar-TN"/>
        </w:rPr>
      </w:pPr>
      <w:r w:rsidRPr="00BC50C9">
        <w:rPr>
          <w:rFonts w:ascii="Times New Roman" w:hAnsi="Times New Roman" w:cs="Simplified Arabic"/>
          <w:b/>
          <w:bCs/>
          <w:sz w:val="24"/>
          <w:szCs w:val="28"/>
          <w:rtl/>
        </w:rPr>
        <w:t xml:space="preserve">                            </w:t>
      </w:r>
      <w:r w:rsidRPr="00BC50C9">
        <w:rPr>
          <w:rFonts w:ascii="Times New Roman" w:hAnsi="Times New Roman" w:cs="Simplified Arabic" w:hint="cs"/>
          <w:b/>
          <w:bCs/>
          <w:sz w:val="24"/>
          <w:szCs w:val="28"/>
          <w:rtl/>
        </w:rPr>
        <w:t>ِ</w:t>
      </w:r>
      <w:r w:rsidRPr="00BC50C9">
        <w:rPr>
          <w:rFonts w:ascii="Times New Roman" w:hAnsi="Times New Roman" w:cs="Simplified Arabic"/>
          <w:b/>
          <w:bCs/>
          <w:sz w:val="24"/>
          <w:szCs w:val="28"/>
          <w:rtl/>
        </w:rPr>
        <w:t xml:space="preserve">                                                    الباحثة</w:t>
      </w:r>
    </w:p>
    <w:p w14:paraId="2857D30F" w14:textId="77777777" w:rsidR="00642DD9" w:rsidRDefault="00642DD9" w:rsidP="00BC50C9">
      <w:pPr>
        <w:bidi/>
        <w:spacing w:before="120" w:after="120" w:line="240" w:lineRule="auto"/>
        <w:jc w:val="right"/>
        <w:rPr>
          <w:rFonts w:ascii="Times New Roman" w:hAnsi="Times New Roman" w:cs="Simplified Arabic"/>
          <w:b/>
          <w:bCs/>
          <w:sz w:val="24"/>
          <w:szCs w:val="28"/>
          <w:rtl/>
          <w:lang w:bidi="ar-EG"/>
        </w:rPr>
      </w:pPr>
    </w:p>
    <w:p w14:paraId="69ADF8E6"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779404B9"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2C12B51A"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5DA8126E"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5C04E965"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51D8D87C" w14:textId="77777777" w:rsidR="00342CFB" w:rsidRDefault="00342CFB" w:rsidP="00342CFB">
      <w:pPr>
        <w:bidi/>
        <w:spacing w:before="120" w:after="120" w:line="240" w:lineRule="auto"/>
        <w:jc w:val="right"/>
        <w:rPr>
          <w:rFonts w:ascii="Times New Roman" w:hAnsi="Times New Roman" w:cs="Simplified Arabic"/>
          <w:b/>
          <w:bCs/>
          <w:sz w:val="24"/>
          <w:szCs w:val="28"/>
          <w:rtl/>
          <w:lang w:bidi="ar-EG"/>
        </w:rPr>
      </w:pPr>
    </w:p>
    <w:p w14:paraId="290E8EDC" w14:textId="77777777" w:rsidR="00801C1D" w:rsidRDefault="00801C1D" w:rsidP="00801C1D">
      <w:pPr>
        <w:bidi/>
        <w:spacing w:before="120" w:after="120" w:line="240" w:lineRule="auto"/>
        <w:jc w:val="right"/>
        <w:rPr>
          <w:rFonts w:ascii="Times New Roman" w:hAnsi="Times New Roman" w:cs="Simplified Arabic"/>
          <w:b/>
          <w:bCs/>
          <w:sz w:val="24"/>
          <w:szCs w:val="28"/>
          <w:rtl/>
          <w:lang w:bidi="ar-EG"/>
        </w:rPr>
      </w:pPr>
    </w:p>
    <w:p w14:paraId="34AB3A6D" w14:textId="77777777" w:rsidR="00801C1D" w:rsidRDefault="00801C1D" w:rsidP="00801C1D">
      <w:pPr>
        <w:bidi/>
        <w:spacing w:before="120" w:after="120" w:line="240" w:lineRule="auto"/>
        <w:jc w:val="right"/>
        <w:rPr>
          <w:rFonts w:ascii="Times New Roman" w:hAnsi="Times New Roman" w:cs="Simplified Arabic"/>
          <w:b/>
          <w:bCs/>
          <w:sz w:val="24"/>
          <w:szCs w:val="28"/>
          <w:rtl/>
          <w:lang w:bidi="ar-EG"/>
        </w:rPr>
      </w:pPr>
    </w:p>
    <w:p w14:paraId="545BB2B4" w14:textId="77777777" w:rsidR="00801C1D" w:rsidRPr="00BC50C9" w:rsidRDefault="00801C1D" w:rsidP="00801C1D">
      <w:pPr>
        <w:bidi/>
        <w:spacing w:before="120" w:after="120" w:line="240" w:lineRule="auto"/>
        <w:jc w:val="right"/>
        <w:rPr>
          <w:rFonts w:ascii="Times New Roman" w:hAnsi="Times New Roman" w:cs="Simplified Arabic"/>
          <w:b/>
          <w:bCs/>
          <w:sz w:val="24"/>
          <w:szCs w:val="28"/>
          <w:rtl/>
          <w:lang w:bidi="ar-EG"/>
        </w:rPr>
      </w:pPr>
    </w:p>
    <w:p w14:paraId="3729712F" w14:textId="77777777" w:rsidR="00642DD9" w:rsidRPr="00BC50C9" w:rsidRDefault="00642DD9" w:rsidP="00BC50C9">
      <w:pPr>
        <w:bidi/>
        <w:spacing w:before="120" w:after="120" w:line="240" w:lineRule="auto"/>
        <w:rPr>
          <w:rFonts w:ascii="Times New Roman" w:eastAsia="Times New Roman" w:hAnsi="Times New Roman" w:cs="Simplified Arabic"/>
          <w:b/>
          <w:bCs/>
          <w:sz w:val="24"/>
          <w:szCs w:val="28"/>
          <w:u w:val="single"/>
          <w:rtl/>
        </w:rPr>
      </w:pPr>
      <w:r w:rsidRPr="00BC50C9">
        <w:rPr>
          <w:rFonts w:ascii="Times New Roman" w:eastAsia="Times New Roman" w:hAnsi="Times New Roman" w:cs="Simplified Arabic"/>
          <w:b/>
          <w:bCs/>
          <w:sz w:val="24"/>
          <w:szCs w:val="28"/>
          <w:u w:val="single"/>
          <w:rtl/>
        </w:rPr>
        <w:lastRenderedPageBreak/>
        <w:t xml:space="preserve">أولاً: البيانات </w:t>
      </w:r>
      <w:r w:rsidRPr="00BC50C9">
        <w:rPr>
          <w:rFonts w:ascii="Times New Roman" w:eastAsia="Times New Roman" w:hAnsi="Times New Roman" w:cs="Simplified Arabic" w:hint="cs"/>
          <w:b/>
          <w:bCs/>
          <w:sz w:val="24"/>
          <w:szCs w:val="28"/>
          <w:u w:val="single"/>
          <w:rtl/>
        </w:rPr>
        <w:t>الديموغرافية</w:t>
      </w:r>
    </w:p>
    <w:p w14:paraId="4BE7F8BB" w14:textId="77777777" w:rsidR="00642DD9" w:rsidRPr="00BC50C9" w:rsidRDefault="00642DD9">
      <w:pPr>
        <w:numPr>
          <w:ilvl w:val="0"/>
          <w:numId w:val="44"/>
        </w:numPr>
        <w:tabs>
          <w:tab w:val="clear" w:pos="720"/>
        </w:tabs>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b/>
          <w:bCs/>
          <w:sz w:val="24"/>
          <w:szCs w:val="28"/>
          <w:rtl/>
        </w:rPr>
        <w:t>الجنس</w:t>
      </w:r>
      <w:r w:rsidRPr="00BC50C9">
        <w:rPr>
          <w:rFonts w:ascii="Times New Roman" w:eastAsia="Times New Roman" w:hAnsi="Times New Roman" w:cs="Simplified Arabic"/>
          <w:b/>
          <w:bCs/>
          <w:sz w:val="24"/>
          <w:szCs w:val="28"/>
        </w:rPr>
        <w:t>:</w:t>
      </w:r>
    </w:p>
    <w:p w14:paraId="1D3E03EA" w14:textId="77777777" w:rsidR="00642DD9" w:rsidRPr="00BC50C9" w:rsidRDefault="00642DD9">
      <w:pPr>
        <w:numPr>
          <w:ilvl w:val="1"/>
          <w:numId w:val="4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ذكر</w:t>
      </w:r>
    </w:p>
    <w:p w14:paraId="6F28E3A6" w14:textId="77777777" w:rsidR="00642DD9" w:rsidRPr="00BC50C9" w:rsidRDefault="00642DD9">
      <w:pPr>
        <w:numPr>
          <w:ilvl w:val="1"/>
          <w:numId w:val="4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أنثى</w:t>
      </w:r>
    </w:p>
    <w:p w14:paraId="0EB247A0" w14:textId="77777777" w:rsidR="00642DD9" w:rsidRPr="00BC50C9" w:rsidRDefault="00642DD9">
      <w:pPr>
        <w:numPr>
          <w:ilvl w:val="0"/>
          <w:numId w:val="45"/>
        </w:numPr>
        <w:tabs>
          <w:tab w:val="clear" w:pos="720"/>
        </w:tabs>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b/>
          <w:bCs/>
          <w:sz w:val="24"/>
          <w:szCs w:val="28"/>
          <w:rtl/>
        </w:rPr>
        <w:t>العمر</w:t>
      </w:r>
      <w:r w:rsidRPr="00BC50C9">
        <w:rPr>
          <w:rFonts w:ascii="Times New Roman" w:eastAsia="Times New Roman" w:hAnsi="Times New Roman" w:cs="Simplified Arabic"/>
          <w:b/>
          <w:bCs/>
          <w:sz w:val="24"/>
          <w:szCs w:val="28"/>
        </w:rPr>
        <w:t>:</w:t>
      </w:r>
    </w:p>
    <w:p w14:paraId="68728363" w14:textId="77777777" w:rsidR="00642DD9" w:rsidRPr="00BC50C9" w:rsidRDefault="00642DD9">
      <w:pPr>
        <w:numPr>
          <w:ilvl w:val="1"/>
          <w:numId w:val="5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أقل من 25 سنة</w:t>
      </w:r>
    </w:p>
    <w:p w14:paraId="0C276AFF" w14:textId="77777777" w:rsidR="00642DD9" w:rsidRPr="00BC50C9" w:rsidRDefault="00642DD9">
      <w:pPr>
        <w:numPr>
          <w:ilvl w:val="1"/>
          <w:numId w:val="5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 xml:space="preserve">25-34 </w:t>
      </w:r>
      <w:r w:rsidRPr="00BC50C9">
        <w:rPr>
          <w:rFonts w:ascii="Times New Roman" w:eastAsia="Times New Roman" w:hAnsi="Times New Roman" w:cs="Simplified Arabic"/>
          <w:sz w:val="24"/>
          <w:szCs w:val="28"/>
          <w:rtl/>
        </w:rPr>
        <w:t>سنة</w:t>
      </w:r>
    </w:p>
    <w:p w14:paraId="5F40800B" w14:textId="77777777" w:rsidR="00642DD9" w:rsidRPr="00BC50C9" w:rsidRDefault="00642DD9">
      <w:pPr>
        <w:numPr>
          <w:ilvl w:val="1"/>
          <w:numId w:val="5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 xml:space="preserve">35-44 </w:t>
      </w:r>
      <w:r w:rsidRPr="00BC50C9">
        <w:rPr>
          <w:rFonts w:ascii="Times New Roman" w:eastAsia="Times New Roman" w:hAnsi="Times New Roman" w:cs="Simplified Arabic"/>
          <w:sz w:val="24"/>
          <w:szCs w:val="28"/>
          <w:rtl/>
        </w:rPr>
        <w:t>سنة</w:t>
      </w:r>
    </w:p>
    <w:p w14:paraId="487D03CE" w14:textId="77777777" w:rsidR="00642DD9" w:rsidRPr="00BC50C9" w:rsidRDefault="00642DD9">
      <w:pPr>
        <w:numPr>
          <w:ilvl w:val="1"/>
          <w:numId w:val="5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45-54</w:t>
      </w:r>
      <w:r w:rsidRPr="00BC50C9">
        <w:rPr>
          <w:rFonts w:ascii="Times New Roman" w:eastAsia="Times New Roman" w:hAnsi="Times New Roman" w:cs="Simplified Arabic"/>
          <w:sz w:val="24"/>
          <w:szCs w:val="28"/>
        </w:rPr>
        <w:t xml:space="preserve"> </w:t>
      </w:r>
      <w:r w:rsidRPr="00BC50C9">
        <w:rPr>
          <w:rFonts w:ascii="Times New Roman" w:eastAsia="Times New Roman" w:hAnsi="Times New Roman" w:cs="Simplified Arabic"/>
          <w:sz w:val="24"/>
          <w:szCs w:val="28"/>
          <w:rtl/>
        </w:rPr>
        <w:t>سنة</w:t>
      </w:r>
    </w:p>
    <w:p w14:paraId="7F07DF8E" w14:textId="77777777" w:rsidR="00642DD9" w:rsidRPr="00BC50C9" w:rsidRDefault="00642DD9">
      <w:pPr>
        <w:numPr>
          <w:ilvl w:val="1"/>
          <w:numId w:val="5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55</w:t>
      </w:r>
      <w:r w:rsidRPr="00BC50C9">
        <w:rPr>
          <w:rFonts w:ascii="Times New Roman" w:eastAsia="Times New Roman" w:hAnsi="Times New Roman" w:cs="Simplified Arabic"/>
          <w:sz w:val="24"/>
          <w:szCs w:val="28"/>
        </w:rPr>
        <w:t xml:space="preserve"> </w:t>
      </w:r>
      <w:r w:rsidRPr="00BC50C9">
        <w:rPr>
          <w:rFonts w:ascii="Times New Roman" w:eastAsia="Times New Roman" w:hAnsi="Times New Roman" w:cs="Simplified Arabic"/>
          <w:sz w:val="24"/>
          <w:szCs w:val="28"/>
          <w:rtl/>
        </w:rPr>
        <w:t>سنة فأكثر</w:t>
      </w:r>
    </w:p>
    <w:p w14:paraId="6C18561A" w14:textId="77777777" w:rsidR="00642DD9" w:rsidRPr="00BC50C9" w:rsidRDefault="00642DD9">
      <w:pPr>
        <w:numPr>
          <w:ilvl w:val="0"/>
          <w:numId w:val="46"/>
        </w:numPr>
        <w:tabs>
          <w:tab w:val="clear" w:pos="720"/>
        </w:tabs>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b/>
          <w:bCs/>
          <w:sz w:val="24"/>
          <w:szCs w:val="28"/>
          <w:rtl/>
        </w:rPr>
        <w:t>المستوى التعليمي</w:t>
      </w:r>
      <w:r w:rsidRPr="00BC50C9">
        <w:rPr>
          <w:rFonts w:ascii="Times New Roman" w:eastAsia="Times New Roman" w:hAnsi="Times New Roman" w:cs="Simplified Arabic"/>
          <w:b/>
          <w:bCs/>
          <w:sz w:val="24"/>
          <w:szCs w:val="28"/>
        </w:rPr>
        <w:t>:</w:t>
      </w:r>
    </w:p>
    <w:p w14:paraId="7CAC05AC" w14:textId="77777777" w:rsidR="00642DD9" w:rsidRPr="00BC50C9" w:rsidRDefault="00642DD9">
      <w:pPr>
        <w:numPr>
          <w:ilvl w:val="1"/>
          <w:numId w:val="38"/>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أقل من الثانوية العامة</w:t>
      </w:r>
    </w:p>
    <w:p w14:paraId="6E629CC8" w14:textId="77777777" w:rsidR="00642DD9" w:rsidRPr="00BC50C9" w:rsidRDefault="00642DD9">
      <w:pPr>
        <w:numPr>
          <w:ilvl w:val="1"/>
          <w:numId w:val="38"/>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ثانوية عامة أو ما يعادلها</w:t>
      </w:r>
    </w:p>
    <w:p w14:paraId="582583E4" w14:textId="77777777" w:rsidR="00642DD9" w:rsidRPr="00BC50C9" w:rsidRDefault="00642DD9">
      <w:pPr>
        <w:numPr>
          <w:ilvl w:val="1"/>
          <w:numId w:val="38"/>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دبلوم</w:t>
      </w:r>
    </w:p>
    <w:p w14:paraId="32419693" w14:textId="77777777" w:rsidR="00642DD9" w:rsidRPr="00BC50C9" w:rsidRDefault="00642DD9">
      <w:pPr>
        <w:numPr>
          <w:ilvl w:val="1"/>
          <w:numId w:val="38"/>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بكالوريوس</w:t>
      </w:r>
    </w:p>
    <w:p w14:paraId="193A4997" w14:textId="77777777" w:rsidR="00642DD9" w:rsidRPr="00BC50C9" w:rsidRDefault="00642DD9">
      <w:pPr>
        <w:numPr>
          <w:ilvl w:val="1"/>
          <w:numId w:val="38"/>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دراسات عليا (ماجستير/دكتوراه)</w:t>
      </w:r>
    </w:p>
    <w:p w14:paraId="6C25E491" w14:textId="77777777" w:rsidR="00642DD9" w:rsidRPr="00BC50C9" w:rsidRDefault="00642DD9">
      <w:pPr>
        <w:numPr>
          <w:ilvl w:val="0"/>
          <w:numId w:val="47"/>
        </w:numPr>
        <w:tabs>
          <w:tab w:val="clear" w:pos="720"/>
        </w:tabs>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b/>
          <w:bCs/>
          <w:sz w:val="24"/>
          <w:szCs w:val="28"/>
          <w:rtl/>
        </w:rPr>
        <w:t>الفئة التي تنتمي إليها</w:t>
      </w:r>
      <w:r w:rsidRPr="00BC50C9">
        <w:rPr>
          <w:rFonts w:ascii="Times New Roman" w:eastAsia="Times New Roman" w:hAnsi="Times New Roman" w:cs="Simplified Arabic"/>
          <w:b/>
          <w:bCs/>
          <w:sz w:val="24"/>
          <w:szCs w:val="28"/>
        </w:rPr>
        <w:t>:</w:t>
      </w:r>
    </w:p>
    <w:p w14:paraId="04BE9028" w14:textId="77777777" w:rsidR="00642DD9" w:rsidRPr="00BC50C9" w:rsidRDefault="00642DD9">
      <w:pPr>
        <w:numPr>
          <w:ilvl w:val="1"/>
          <w:numId w:val="3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مستثمر في المشاريع الريادية</w:t>
      </w:r>
    </w:p>
    <w:p w14:paraId="1DACFD37" w14:textId="77777777" w:rsidR="00642DD9" w:rsidRPr="00BC50C9" w:rsidRDefault="00642DD9">
      <w:pPr>
        <w:numPr>
          <w:ilvl w:val="1"/>
          <w:numId w:val="3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رائد أعمال/صاحب مشروع ريادي</w:t>
      </w:r>
    </w:p>
    <w:p w14:paraId="107AE0AE" w14:textId="77777777" w:rsidR="00642DD9" w:rsidRPr="00BC50C9" w:rsidRDefault="00642DD9">
      <w:pPr>
        <w:numPr>
          <w:ilvl w:val="1"/>
          <w:numId w:val="3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خبير أو مستشار في ريادة الأعمال</w:t>
      </w:r>
    </w:p>
    <w:p w14:paraId="550A2171" w14:textId="77777777" w:rsidR="00642DD9" w:rsidRPr="00BC50C9" w:rsidRDefault="00642DD9">
      <w:pPr>
        <w:numPr>
          <w:ilvl w:val="1"/>
          <w:numId w:val="3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ممثل لمؤسسة داعمة (حكومية/خاصة/غير ربحية)</w:t>
      </w:r>
    </w:p>
    <w:p w14:paraId="00B1C8AB" w14:textId="77777777" w:rsidR="00642DD9" w:rsidRPr="00BC50C9" w:rsidRDefault="00642DD9">
      <w:pPr>
        <w:numPr>
          <w:ilvl w:val="1"/>
          <w:numId w:val="39"/>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أخرى (يرجى التحديد)</w:t>
      </w:r>
    </w:p>
    <w:p w14:paraId="3F6BE8B7" w14:textId="77777777" w:rsidR="00642DD9" w:rsidRPr="00BC50C9" w:rsidRDefault="00642DD9">
      <w:pPr>
        <w:numPr>
          <w:ilvl w:val="0"/>
          <w:numId w:val="48"/>
        </w:numPr>
        <w:tabs>
          <w:tab w:val="clear" w:pos="720"/>
        </w:tabs>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b/>
          <w:bCs/>
          <w:sz w:val="24"/>
          <w:szCs w:val="28"/>
          <w:rtl/>
        </w:rPr>
        <w:t>سنوات الخبرة في مجال ريادة الأعمال أو التمويل التشاركي</w:t>
      </w:r>
      <w:r w:rsidRPr="00BC50C9">
        <w:rPr>
          <w:rFonts w:ascii="Times New Roman" w:eastAsia="Times New Roman" w:hAnsi="Times New Roman" w:cs="Simplified Arabic"/>
          <w:b/>
          <w:bCs/>
          <w:sz w:val="24"/>
          <w:szCs w:val="28"/>
        </w:rPr>
        <w:t>:</w:t>
      </w:r>
    </w:p>
    <w:p w14:paraId="29CB8ED9" w14:textId="77777777" w:rsidR="00642DD9" w:rsidRPr="00BC50C9" w:rsidRDefault="00642DD9">
      <w:pPr>
        <w:numPr>
          <w:ilvl w:val="1"/>
          <w:numId w:val="4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أقل من سنة</w:t>
      </w:r>
    </w:p>
    <w:p w14:paraId="0133DC06" w14:textId="77777777" w:rsidR="00642DD9" w:rsidRPr="00BC50C9" w:rsidRDefault="00642DD9">
      <w:pPr>
        <w:numPr>
          <w:ilvl w:val="1"/>
          <w:numId w:val="4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1-3 سنوات</w:t>
      </w:r>
    </w:p>
    <w:p w14:paraId="3D8C86B4" w14:textId="77777777" w:rsidR="00642DD9" w:rsidRPr="00BC50C9" w:rsidRDefault="00642DD9">
      <w:pPr>
        <w:numPr>
          <w:ilvl w:val="1"/>
          <w:numId w:val="4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4-6 سنوات</w:t>
      </w:r>
    </w:p>
    <w:p w14:paraId="53188DE5" w14:textId="77777777" w:rsidR="00642DD9" w:rsidRPr="00BC50C9" w:rsidRDefault="00642DD9">
      <w:pPr>
        <w:numPr>
          <w:ilvl w:val="1"/>
          <w:numId w:val="4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hint="cs"/>
          <w:sz w:val="24"/>
          <w:szCs w:val="28"/>
          <w:rtl/>
        </w:rPr>
        <w:t>7-10 سنوات</w:t>
      </w:r>
    </w:p>
    <w:p w14:paraId="70085BB6" w14:textId="77777777" w:rsidR="00642DD9" w:rsidRPr="00BC50C9" w:rsidRDefault="00642DD9">
      <w:pPr>
        <w:numPr>
          <w:ilvl w:val="1"/>
          <w:numId w:val="40"/>
        </w:numPr>
        <w:bidi/>
        <w:spacing w:after="0" w:line="240" w:lineRule="auto"/>
        <w:ind w:left="714" w:hanging="357"/>
        <w:jc w:val="both"/>
        <w:rPr>
          <w:rFonts w:ascii="Times New Roman" w:eastAsia="Times New Roman" w:hAnsi="Times New Roman" w:cs="Simplified Arabic"/>
          <w:sz w:val="24"/>
          <w:szCs w:val="28"/>
        </w:rPr>
      </w:pPr>
      <w:r w:rsidRPr="00BC50C9">
        <w:rPr>
          <w:rFonts w:ascii="Times New Roman" w:eastAsia="Times New Roman" w:hAnsi="Times New Roman" w:cs="Simplified Arabic"/>
          <w:sz w:val="24"/>
          <w:szCs w:val="28"/>
          <w:rtl/>
        </w:rPr>
        <w:t>أكثر من 10 سنوات</w:t>
      </w:r>
    </w:p>
    <w:p w14:paraId="0BB346F0" w14:textId="77777777" w:rsidR="00642DD9" w:rsidRPr="00BC50C9" w:rsidRDefault="00642DD9" w:rsidP="00BC50C9">
      <w:pPr>
        <w:spacing w:before="120" w:after="120" w:line="240" w:lineRule="auto"/>
        <w:rPr>
          <w:rFonts w:ascii="Times New Roman" w:hAnsi="Times New Roman" w:cs="Simplified Arabic"/>
          <w:b/>
          <w:bCs/>
          <w:sz w:val="24"/>
          <w:szCs w:val="28"/>
          <w:rtl/>
          <w:lang w:bidi="ar-EG"/>
        </w:rPr>
      </w:pPr>
      <w:r w:rsidRPr="00BC50C9">
        <w:rPr>
          <w:rFonts w:ascii="Times New Roman" w:hAnsi="Times New Roman" w:cs="Simplified Arabic"/>
          <w:b/>
          <w:bCs/>
          <w:sz w:val="24"/>
          <w:szCs w:val="28"/>
          <w:rtl/>
          <w:lang w:bidi="ar-EG"/>
        </w:rPr>
        <w:br w:type="page"/>
      </w:r>
    </w:p>
    <w:p w14:paraId="77B5155D" w14:textId="77777777" w:rsidR="00642DD9" w:rsidRPr="00BC50C9" w:rsidRDefault="00642DD9" w:rsidP="00BC50C9">
      <w:pPr>
        <w:bidi/>
        <w:spacing w:before="120" w:after="120" w:line="240" w:lineRule="auto"/>
        <w:contextualSpacing/>
        <w:rPr>
          <w:rFonts w:ascii="Times New Roman" w:hAnsi="Times New Roman" w:cs="Simplified Arabic"/>
          <w:b/>
          <w:bCs/>
          <w:sz w:val="24"/>
          <w:szCs w:val="28"/>
          <w:u w:val="single"/>
          <w:rtl/>
          <w:lang w:bidi="ar-EG"/>
        </w:rPr>
      </w:pPr>
      <w:r w:rsidRPr="00BC50C9">
        <w:rPr>
          <w:rFonts w:ascii="Times New Roman" w:hAnsi="Times New Roman" w:cs="Simplified Arabic" w:hint="cs"/>
          <w:b/>
          <w:bCs/>
          <w:sz w:val="24"/>
          <w:szCs w:val="28"/>
          <w:u w:val="single"/>
          <w:rtl/>
          <w:lang w:bidi="ar-EG"/>
        </w:rPr>
        <w:lastRenderedPageBreak/>
        <w:t>ثانياً: محاور الاستبانة: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4457"/>
        <w:gridCol w:w="667"/>
        <w:gridCol w:w="625"/>
        <w:gridCol w:w="990"/>
        <w:gridCol w:w="591"/>
        <w:gridCol w:w="913"/>
      </w:tblGrid>
      <w:tr w:rsidR="00642DD9" w:rsidRPr="00140C49" w14:paraId="4B4486E7" w14:textId="77777777" w:rsidTr="00140C49">
        <w:trPr>
          <w:tblHeader/>
          <w:jc w:val="center"/>
        </w:trPr>
        <w:tc>
          <w:tcPr>
            <w:tcW w:w="452" w:type="pct"/>
            <w:vMerge w:val="restart"/>
            <w:shd w:val="clear" w:color="auto" w:fill="D9E2F3" w:themeFill="accent1" w:themeFillTint="33"/>
            <w:vAlign w:val="center"/>
          </w:tcPr>
          <w:p w14:paraId="7901891E" w14:textId="77777777" w:rsidR="00642DD9" w:rsidRPr="00140C49" w:rsidRDefault="00642DD9" w:rsidP="00801C1D">
            <w:pPr>
              <w:bidi/>
              <w:spacing w:after="0" w:line="240" w:lineRule="auto"/>
              <w:jc w:val="center"/>
              <w:rPr>
                <w:rFonts w:ascii="Times New Roman" w:hAnsi="Times New Roman" w:cs="Simplified Arabic"/>
                <w:b/>
                <w:bCs/>
                <w:sz w:val="20"/>
                <w:szCs w:val="20"/>
                <w:rtl/>
              </w:rPr>
            </w:pPr>
            <w:r w:rsidRPr="00140C49">
              <w:rPr>
                <w:rFonts w:ascii="Times New Roman" w:hAnsi="Times New Roman" w:cs="Simplified Arabic"/>
                <w:b/>
                <w:bCs/>
                <w:sz w:val="20"/>
                <w:szCs w:val="20"/>
                <w:rtl/>
              </w:rPr>
              <w:t>الرقم</w:t>
            </w:r>
          </w:p>
        </w:tc>
        <w:tc>
          <w:tcPr>
            <w:tcW w:w="2459" w:type="pct"/>
            <w:vMerge w:val="restart"/>
            <w:shd w:val="clear" w:color="auto" w:fill="D9E2F3" w:themeFill="accent1" w:themeFillTint="33"/>
            <w:vAlign w:val="center"/>
          </w:tcPr>
          <w:p w14:paraId="4AF63950"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lang w:bidi="ar-KW"/>
              </w:rPr>
              <w:t>الفقرة</w:t>
            </w:r>
          </w:p>
        </w:tc>
        <w:tc>
          <w:tcPr>
            <w:tcW w:w="2089" w:type="pct"/>
            <w:gridSpan w:val="5"/>
            <w:shd w:val="clear" w:color="auto" w:fill="D9E2F3" w:themeFill="accent1" w:themeFillTint="33"/>
            <w:vAlign w:val="center"/>
          </w:tcPr>
          <w:p w14:paraId="63017DD0"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lang w:bidi="ar-KW"/>
              </w:rPr>
              <w:t>درجة الاستجابة</w:t>
            </w:r>
          </w:p>
        </w:tc>
      </w:tr>
      <w:tr w:rsidR="00642DD9" w:rsidRPr="00140C49" w14:paraId="5884946D" w14:textId="77777777" w:rsidTr="00140C49">
        <w:trPr>
          <w:tblHeader/>
          <w:jc w:val="center"/>
        </w:trPr>
        <w:tc>
          <w:tcPr>
            <w:tcW w:w="452" w:type="pct"/>
            <w:vMerge/>
            <w:shd w:val="clear" w:color="auto" w:fill="D9E2F3" w:themeFill="accent1" w:themeFillTint="33"/>
            <w:vAlign w:val="center"/>
          </w:tcPr>
          <w:p w14:paraId="1EF82CCD" w14:textId="77777777" w:rsidR="00642DD9" w:rsidRPr="00140C49" w:rsidRDefault="00642DD9" w:rsidP="00801C1D">
            <w:pPr>
              <w:bidi/>
              <w:spacing w:after="0" w:line="240" w:lineRule="auto"/>
              <w:jc w:val="center"/>
              <w:rPr>
                <w:rFonts w:ascii="Times New Roman" w:hAnsi="Times New Roman" w:cs="Simplified Arabic"/>
                <w:b/>
                <w:bCs/>
                <w:sz w:val="20"/>
                <w:szCs w:val="20"/>
                <w:rtl/>
              </w:rPr>
            </w:pPr>
          </w:p>
        </w:tc>
        <w:tc>
          <w:tcPr>
            <w:tcW w:w="2459" w:type="pct"/>
            <w:vMerge/>
            <w:shd w:val="clear" w:color="auto" w:fill="D9E2F3" w:themeFill="accent1" w:themeFillTint="33"/>
            <w:vAlign w:val="center"/>
          </w:tcPr>
          <w:p w14:paraId="31DB88FE"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p>
        </w:tc>
        <w:tc>
          <w:tcPr>
            <w:tcW w:w="368" w:type="pct"/>
            <w:shd w:val="clear" w:color="auto" w:fill="D9E2F3" w:themeFill="accent1" w:themeFillTint="33"/>
            <w:vAlign w:val="center"/>
          </w:tcPr>
          <w:p w14:paraId="4E234DEA"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rPr>
              <w:t>أوافق بشدة</w:t>
            </w:r>
          </w:p>
        </w:tc>
        <w:tc>
          <w:tcPr>
            <w:tcW w:w="345" w:type="pct"/>
            <w:shd w:val="clear" w:color="auto" w:fill="D9E2F3" w:themeFill="accent1" w:themeFillTint="33"/>
            <w:vAlign w:val="center"/>
          </w:tcPr>
          <w:p w14:paraId="3B70FB73"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rPr>
              <w:t>أوافق</w:t>
            </w:r>
          </w:p>
        </w:tc>
        <w:tc>
          <w:tcPr>
            <w:tcW w:w="546" w:type="pct"/>
            <w:shd w:val="clear" w:color="auto" w:fill="D9E2F3" w:themeFill="accent1" w:themeFillTint="33"/>
            <w:vAlign w:val="center"/>
          </w:tcPr>
          <w:p w14:paraId="786B44C3"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hint="cs"/>
                <w:b/>
                <w:bCs/>
                <w:sz w:val="20"/>
                <w:szCs w:val="20"/>
                <w:rtl/>
              </w:rPr>
              <w:t>محايد</w:t>
            </w:r>
          </w:p>
        </w:tc>
        <w:tc>
          <w:tcPr>
            <w:tcW w:w="326" w:type="pct"/>
            <w:shd w:val="clear" w:color="auto" w:fill="D9E2F3" w:themeFill="accent1" w:themeFillTint="33"/>
            <w:vAlign w:val="center"/>
          </w:tcPr>
          <w:p w14:paraId="4639F2D0" w14:textId="77777777" w:rsidR="00642DD9" w:rsidRPr="00140C49" w:rsidRDefault="00642DD9" w:rsidP="00801C1D">
            <w:pPr>
              <w:bidi/>
              <w:spacing w:after="0" w:line="240" w:lineRule="auto"/>
              <w:jc w:val="center"/>
              <w:rPr>
                <w:rFonts w:ascii="Times New Roman" w:hAnsi="Times New Roman" w:cs="Simplified Arabic"/>
                <w:b/>
                <w:bCs/>
                <w:sz w:val="20"/>
                <w:szCs w:val="20"/>
                <w:rtl/>
              </w:rPr>
            </w:pPr>
            <w:r w:rsidRPr="00140C49">
              <w:rPr>
                <w:rFonts w:ascii="Times New Roman" w:hAnsi="Times New Roman" w:cs="Simplified Arabic"/>
                <w:b/>
                <w:bCs/>
                <w:sz w:val="20"/>
                <w:szCs w:val="20"/>
                <w:rtl/>
              </w:rPr>
              <w:t>لا</w:t>
            </w:r>
          </w:p>
          <w:p w14:paraId="3824E6B6"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rPr>
              <w:t>أوافق</w:t>
            </w:r>
          </w:p>
        </w:tc>
        <w:tc>
          <w:tcPr>
            <w:tcW w:w="504" w:type="pct"/>
            <w:shd w:val="clear" w:color="auto" w:fill="D9E2F3" w:themeFill="accent1" w:themeFillTint="33"/>
            <w:vAlign w:val="center"/>
          </w:tcPr>
          <w:p w14:paraId="7AB3A317" w14:textId="77777777" w:rsidR="00642DD9" w:rsidRPr="00140C49" w:rsidRDefault="00642DD9" w:rsidP="00801C1D">
            <w:pPr>
              <w:bidi/>
              <w:spacing w:after="0" w:line="240" w:lineRule="auto"/>
              <w:jc w:val="center"/>
              <w:rPr>
                <w:rFonts w:ascii="Times New Roman" w:hAnsi="Times New Roman" w:cs="Simplified Arabic"/>
                <w:b/>
                <w:bCs/>
                <w:sz w:val="20"/>
                <w:szCs w:val="20"/>
                <w:rtl/>
                <w:lang w:bidi="ar-KW"/>
              </w:rPr>
            </w:pPr>
            <w:r w:rsidRPr="00140C49">
              <w:rPr>
                <w:rFonts w:ascii="Times New Roman" w:hAnsi="Times New Roman" w:cs="Simplified Arabic"/>
                <w:b/>
                <w:bCs/>
                <w:sz w:val="20"/>
                <w:szCs w:val="20"/>
                <w:rtl/>
              </w:rPr>
              <w:t>لا أوافق بشدة</w:t>
            </w:r>
          </w:p>
        </w:tc>
      </w:tr>
      <w:tr w:rsidR="00642DD9" w:rsidRPr="00140C49" w14:paraId="1A4F7BDC" w14:textId="77777777" w:rsidTr="00140C49">
        <w:trPr>
          <w:jc w:val="center"/>
        </w:trPr>
        <w:tc>
          <w:tcPr>
            <w:tcW w:w="5000" w:type="pct"/>
            <w:gridSpan w:val="7"/>
            <w:shd w:val="clear" w:color="auto" w:fill="D9E2F3" w:themeFill="accent1" w:themeFillTint="33"/>
          </w:tcPr>
          <w:p w14:paraId="713F092A" w14:textId="77777777" w:rsidR="00642DD9" w:rsidRPr="00140C49" w:rsidRDefault="00642DD9" w:rsidP="00801C1D">
            <w:pPr>
              <w:bidi/>
              <w:spacing w:after="0" w:line="240" w:lineRule="auto"/>
              <w:jc w:val="both"/>
              <w:rPr>
                <w:rFonts w:ascii="Times New Roman" w:hAnsi="Times New Roman" w:cs="Simplified Arabic"/>
                <w:b/>
                <w:bCs/>
                <w:sz w:val="20"/>
                <w:szCs w:val="20"/>
                <w:rtl/>
                <w:lang w:bidi="ar-EG"/>
              </w:rPr>
            </w:pPr>
            <w:r w:rsidRPr="00140C49">
              <w:rPr>
                <w:rFonts w:ascii="Times New Roman" w:hAnsi="Times New Roman" w:cs="Simplified Arabic"/>
                <w:b/>
                <w:bCs/>
                <w:sz w:val="20"/>
                <w:szCs w:val="20"/>
                <w:rtl/>
                <w:lang w:bidi="ar-KW"/>
              </w:rPr>
              <w:t xml:space="preserve">المحور الأول: </w:t>
            </w:r>
            <w:r w:rsidRPr="00140C49">
              <w:rPr>
                <w:rFonts w:ascii="Times New Roman" w:hAnsi="Times New Roman" w:cs="Simplified Arabic" w:hint="cs"/>
                <w:b/>
                <w:bCs/>
                <w:sz w:val="20"/>
                <w:szCs w:val="20"/>
                <w:rtl/>
                <w:lang w:bidi="ar-KW"/>
              </w:rPr>
              <w:t>التمويل التشاركي</w:t>
            </w:r>
          </w:p>
        </w:tc>
      </w:tr>
      <w:tr w:rsidR="00642DD9" w:rsidRPr="00140C49" w14:paraId="5C5A5797" w14:textId="77777777" w:rsidTr="00140C49">
        <w:trPr>
          <w:jc w:val="center"/>
        </w:trPr>
        <w:tc>
          <w:tcPr>
            <w:tcW w:w="5000" w:type="pct"/>
            <w:gridSpan w:val="7"/>
            <w:shd w:val="clear" w:color="auto" w:fill="D9E2F3" w:themeFill="accent1" w:themeFillTint="33"/>
          </w:tcPr>
          <w:p w14:paraId="764F541A" w14:textId="77777777" w:rsidR="00642DD9" w:rsidRPr="00140C49" w:rsidRDefault="00642DD9" w:rsidP="00801C1D">
            <w:pPr>
              <w:bidi/>
              <w:spacing w:after="0" w:line="240" w:lineRule="auto"/>
              <w:jc w:val="both"/>
              <w:rPr>
                <w:rFonts w:ascii="Times New Roman" w:hAnsi="Times New Roman" w:cs="Simplified Arabic"/>
                <w:b/>
                <w:bCs/>
                <w:sz w:val="20"/>
                <w:szCs w:val="20"/>
                <w:rtl/>
                <w:lang w:bidi="ar-EG"/>
              </w:rPr>
            </w:pPr>
            <w:r w:rsidRPr="00140C49">
              <w:rPr>
                <w:rFonts w:ascii="Times New Roman" w:hAnsi="Times New Roman" w:cs="Simplified Arabic"/>
                <w:b/>
                <w:bCs/>
                <w:sz w:val="20"/>
                <w:szCs w:val="20"/>
                <w:rtl/>
                <w:lang w:bidi="ar-EG"/>
              </w:rPr>
              <w:t xml:space="preserve">البعد الأول: </w:t>
            </w:r>
            <w:r w:rsidRPr="00140C49">
              <w:rPr>
                <w:rFonts w:ascii="Times New Roman" w:hAnsi="Times New Roman" w:cs="Simplified Arabic" w:hint="cs"/>
                <w:b/>
                <w:bCs/>
                <w:sz w:val="20"/>
                <w:szCs w:val="20"/>
                <w:rtl/>
                <w:lang w:bidi="ar-EG"/>
              </w:rPr>
              <w:t xml:space="preserve">التمويل </w:t>
            </w:r>
            <w:proofErr w:type="spellStart"/>
            <w:r w:rsidRPr="00140C49">
              <w:rPr>
                <w:rFonts w:ascii="Times New Roman" w:hAnsi="Times New Roman" w:cs="Simplified Arabic" w:hint="cs"/>
                <w:b/>
                <w:bCs/>
                <w:sz w:val="20"/>
                <w:szCs w:val="20"/>
                <w:rtl/>
                <w:lang w:bidi="ar-EG"/>
              </w:rPr>
              <w:t>التبرعي</w:t>
            </w:r>
            <w:proofErr w:type="spellEnd"/>
          </w:p>
        </w:tc>
      </w:tr>
      <w:tr w:rsidR="00642DD9" w:rsidRPr="00140C49" w14:paraId="476C4A64" w14:textId="77777777" w:rsidTr="00140C49">
        <w:trPr>
          <w:jc w:val="center"/>
        </w:trPr>
        <w:tc>
          <w:tcPr>
            <w:tcW w:w="452" w:type="pct"/>
            <w:shd w:val="clear" w:color="auto" w:fill="auto"/>
          </w:tcPr>
          <w:p w14:paraId="10DF164C"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9671E4D" w14:textId="77777777" w:rsidR="00642DD9" w:rsidRPr="00140C49" w:rsidRDefault="00642DD9" w:rsidP="00801C1D">
            <w:pPr>
              <w:bidi/>
              <w:spacing w:after="0" w:line="240" w:lineRule="auto"/>
              <w:jc w:val="both"/>
              <w:rPr>
                <w:rFonts w:ascii="Times New Roman" w:hAnsi="Times New Roman" w:cs="Simplified Arabic"/>
                <w:sz w:val="20"/>
                <w:szCs w:val="20"/>
                <w:lang w:bidi="ar-KW"/>
              </w:rPr>
            </w:pPr>
            <w:r w:rsidRPr="00140C49">
              <w:rPr>
                <w:rFonts w:ascii="Times New Roman" w:eastAsia="Times New Roman" w:hAnsi="Times New Roman" w:cs="Simplified Arabic"/>
                <w:sz w:val="20"/>
                <w:szCs w:val="20"/>
                <w:rtl/>
              </w:rPr>
              <w:t xml:space="preserve">يُساهم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tl/>
              </w:rPr>
              <w:t xml:space="preserve"> في دعم المشاريع الريادية الناشئة دون الحاجة إلى استرداد الأموال</w:t>
            </w:r>
            <w:r w:rsidRPr="00140C49">
              <w:rPr>
                <w:rFonts w:ascii="Times New Roman" w:eastAsia="Times New Roman" w:hAnsi="Times New Roman" w:cs="Simplified Arabic"/>
                <w:sz w:val="20"/>
                <w:szCs w:val="20"/>
              </w:rPr>
              <w:t>.</w:t>
            </w:r>
          </w:p>
        </w:tc>
        <w:tc>
          <w:tcPr>
            <w:tcW w:w="368" w:type="pct"/>
            <w:shd w:val="clear" w:color="auto" w:fill="auto"/>
          </w:tcPr>
          <w:p w14:paraId="64024EC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79439B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C765DF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03FFDA0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095CC7D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15D77D5" w14:textId="77777777" w:rsidTr="00140C49">
        <w:trPr>
          <w:jc w:val="center"/>
        </w:trPr>
        <w:tc>
          <w:tcPr>
            <w:tcW w:w="452" w:type="pct"/>
            <w:shd w:val="clear" w:color="auto" w:fill="auto"/>
          </w:tcPr>
          <w:p w14:paraId="206EC7C1"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4F20064" w14:textId="77777777" w:rsidR="00642DD9" w:rsidRPr="00140C49" w:rsidRDefault="00642DD9" w:rsidP="00801C1D">
            <w:pPr>
              <w:bidi/>
              <w:spacing w:after="0" w:line="240" w:lineRule="auto"/>
              <w:jc w:val="both"/>
              <w:rPr>
                <w:rFonts w:ascii="Times New Roman" w:hAnsi="Times New Roman" w:cs="Simplified Arabic"/>
                <w:sz w:val="20"/>
                <w:szCs w:val="20"/>
                <w:lang w:bidi="ar-KW"/>
              </w:rPr>
            </w:pPr>
            <w:r w:rsidRPr="00140C49">
              <w:rPr>
                <w:rFonts w:ascii="Times New Roman" w:eastAsia="Times New Roman" w:hAnsi="Times New Roman" w:cs="Simplified Arabic"/>
                <w:sz w:val="20"/>
                <w:szCs w:val="20"/>
                <w:rtl/>
              </w:rPr>
              <w:t>تُعزز الشفافية في جمع التبرعات ثقة الممولين في المنصة الإلكترونية</w:t>
            </w:r>
            <w:r w:rsidRPr="00140C49">
              <w:rPr>
                <w:rFonts w:ascii="Times New Roman" w:eastAsia="Times New Roman" w:hAnsi="Times New Roman" w:cs="Simplified Arabic"/>
                <w:sz w:val="20"/>
                <w:szCs w:val="20"/>
              </w:rPr>
              <w:t>.</w:t>
            </w:r>
          </w:p>
        </w:tc>
        <w:tc>
          <w:tcPr>
            <w:tcW w:w="368" w:type="pct"/>
            <w:shd w:val="clear" w:color="auto" w:fill="auto"/>
          </w:tcPr>
          <w:p w14:paraId="6305EEE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5AA969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2C60F38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E6C656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F7BF47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0D37FE81" w14:textId="77777777" w:rsidTr="00140C49">
        <w:trPr>
          <w:jc w:val="center"/>
        </w:trPr>
        <w:tc>
          <w:tcPr>
            <w:tcW w:w="452" w:type="pct"/>
            <w:shd w:val="clear" w:color="auto" w:fill="auto"/>
          </w:tcPr>
          <w:p w14:paraId="49CAE59E"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07D7C3EE" w14:textId="77777777" w:rsidR="00642DD9" w:rsidRPr="00140C49" w:rsidRDefault="00642DD9" w:rsidP="00801C1D">
            <w:pPr>
              <w:bidi/>
              <w:spacing w:after="0" w:line="240" w:lineRule="auto"/>
              <w:jc w:val="both"/>
              <w:rPr>
                <w:rFonts w:ascii="Times New Roman" w:hAnsi="Times New Roman" w:cs="Simplified Arabic"/>
                <w:sz w:val="20"/>
                <w:szCs w:val="20"/>
                <w:lang w:bidi="ar-KW"/>
              </w:rPr>
            </w:pPr>
            <w:r w:rsidRPr="00140C49">
              <w:rPr>
                <w:rFonts w:ascii="Times New Roman" w:eastAsia="Times New Roman" w:hAnsi="Times New Roman" w:cs="Simplified Arabic"/>
                <w:sz w:val="20"/>
                <w:szCs w:val="20"/>
                <w:rtl/>
              </w:rPr>
              <w:t>تُمثل التبرعات مصدرًا هامًا لتمويل المشاريع غير الربحية والمجتمعية</w:t>
            </w:r>
            <w:r w:rsidRPr="00140C49">
              <w:rPr>
                <w:rFonts w:ascii="Times New Roman" w:eastAsia="Times New Roman" w:hAnsi="Times New Roman" w:cs="Simplified Arabic"/>
                <w:sz w:val="20"/>
                <w:szCs w:val="20"/>
              </w:rPr>
              <w:t>.</w:t>
            </w:r>
          </w:p>
        </w:tc>
        <w:tc>
          <w:tcPr>
            <w:tcW w:w="368" w:type="pct"/>
            <w:shd w:val="clear" w:color="auto" w:fill="auto"/>
          </w:tcPr>
          <w:p w14:paraId="7B8439A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1AA4C4B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E1B5C8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3AB860E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E6B80C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2B0F624D" w14:textId="77777777" w:rsidTr="00140C49">
        <w:trPr>
          <w:jc w:val="center"/>
        </w:trPr>
        <w:tc>
          <w:tcPr>
            <w:tcW w:w="452" w:type="pct"/>
            <w:shd w:val="clear" w:color="auto" w:fill="auto"/>
          </w:tcPr>
          <w:p w14:paraId="382B54C9"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71606627" w14:textId="77777777" w:rsidR="00642DD9" w:rsidRPr="00140C49" w:rsidRDefault="00642DD9" w:rsidP="00801C1D">
            <w:pPr>
              <w:bidi/>
              <w:spacing w:after="0" w:line="240" w:lineRule="auto"/>
              <w:jc w:val="both"/>
              <w:rPr>
                <w:rFonts w:ascii="Times New Roman" w:hAnsi="Times New Roman" w:cs="Simplified Arabic"/>
                <w:sz w:val="20"/>
                <w:szCs w:val="20"/>
                <w:lang w:bidi="ar-KW"/>
              </w:rPr>
            </w:pPr>
            <w:r w:rsidRPr="00140C49">
              <w:rPr>
                <w:rFonts w:ascii="Times New Roman" w:eastAsia="Times New Roman" w:hAnsi="Times New Roman" w:cs="Simplified Arabic"/>
                <w:sz w:val="20"/>
                <w:szCs w:val="20"/>
                <w:rtl/>
              </w:rPr>
              <w:t>ت</w:t>
            </w:r>
            <w:r w:rsidRPr="00140C49">
              <w:rPr>
                <w:rFonts w:ascii="Times New Roman" w:eastAsia="Times New Roman" w:hAnsi="Times New Roman" w:cs="Simplified Arabic" w:hint="cs"/>
                <w:sz w:val="20"/>
                <w:szCs w:val="20"/>
                <w:rtl/>
              </w:rPr>
              <w:t>ُ</w:t>
            </w:r>
            <w:r w:rsidRPr="00140C49">
              <w:rPr>
                <w:rFonts w:ascii="Times New Roman" w:eastAsia="Times New Roman" w:hAnsi="Times New Roman" w:cs="Simplified Arabic"/>
                <w:sz w:val="20"/>
                <w:szCs w:val="20"/>
                <w:rtl/>
              </w:rPr>
              <w:t xml:space="preserve">زيد الحملات الترويجية الفعالة من فرص نجاح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Pr>
              <w:t>.</w:t>
            </w:r>
          </w:p>
        </w:tc>
        <w:tc>
          <w:tcPr>
            <w:tcW w:w="368" w:type="pct"/>
            <w:shd w:val="clear" w:color="auto" w:fill="auto"/>
          </w:tcPr>
          <w:p w14:paraId="1A3BDCC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591ACD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409F7E5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1BE436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B2C3C3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592E763A" w14:textId="77777777" w:rsidTr="00140C49">
        <w:trPr>
          <w:trHeight w:val="77"/>
          <w:jc w:val="center"/>
        </w:trPr>
        <w:tc>
          <w:tcPr>
            <w:tcW w:w="452" w:type="pct"/>
            <w:shd w:val="clear" w:color="auto" w:fill="auto"/>
          </w:tcPr>
          <w:p w14:paraId="083AE6AA"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6AFAE32" w14:textId="77777777" w:rsidR="00642DD9" w:rsidRPr="00140C49" w:rsidRDefault="00642DD9" w:rsidP="00801C1D">
            <w:pPr>
              <w:bidi/>
              <w:spacing w:after="0" w:line="240" w:lineRule="auto"/>
              <w:jc w:val="both"/>
              <w:rPr>
                <w:rFonts w:ascii="Times New Roman" w:hAnsi="Times New Roman" w:cs="Simplified Arabic"/>
                <w:sz w:val="20"/>
                <w:szCs w:val="20"/>
                <w:lang w:bidi="ar-KW"/>
              </w:rPr>
            </w:pPr>
            <w:r w:rsidRPr="00140C49">
              <w:rPr>
                <w:rFonts w:ascii="Times New Roman" w:eastAsia="Times New Roman" w:hAnsi="Times New Roman" w:cs="Simplified Arabic"/>
                <w:sz w:val="20"/>
                <w:szCs w:val="20"/>
                <w:rtl/>
              </w:rPr>
              <w:t xml:space="preserve">تَعتمد استدامة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tl/>
              </w:rPr>
              <w:t xml:space="preserve"> على وجود رقابة وتنظيم واضحين</w:t>
            </w:r>
            <w:r w:rsidRPr="00140C49">
              <w:rPr>
                <w:rFonts w:ascii="Times New Roman" w:eastAsia="Times New Roman" w:hAnsi="Times New Roman" w:cs="Simplified Arabic"/>
                <w:sz w:val="20"/>
                <w:szCs w:val="20"/>
              </w:rPr>
              <w:t>.</w:t>
            </w:r>
          </w:p>
        </w:tc>
        <w:tc>
          <w:tcPr>
            <w:tcW w:w="368" w:type="pct"/>
            <w:shd w:val="clear" w:color="auto" w:fill="auto"/>
          </w:tcPr>
          <w:p w14:paraId="2CBA94F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CF1E20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678407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3E4EEC7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74D2E1D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0A1F6E9" w14:textId="77777777" w:rsidTr="00140C49">
        <w:trPr>
          <w:jc w:val="center"/>
        </w:trPr>
        <w:tc>
          <w:tcPr>
            <w:tcW w:w="452" w:type="pct"/>
            <w:shd w:val="clear" w:color="auto" w:fill="auto"/>
          </w:tcPr>
          <w:p w14:paraId="667A84C8"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0544D436" w14:textId="77777777" w:rsidR="00642DD9" w:rsidRPr="00140C49" w:rsidRDefault="00642DD9" w:rsidP="00801C1D">
            <w:pPr>
              <w:bidi/>
              <w:spacing w:after="0" w:line="240" w:lineRule="auto"/>
              <w:jc w:val="both"/>
              <w:rPr>
                <w:rFonts w:ascii="Times New Roman" w:hAnsi="Times New Roman" w:cs="Simplified Arabic"/>
                <w:sz w:val="20"/>
                <w:szCs w:val="20"/>
                <w:rtl/>
                <w:lang w:bidi="ar-KW"/>
              </w:rPr>
            </w:pPr>
            <w:r w:rsidRPr="00140C49">
              <w:rPr>
                <w:rFonts w:ascii="Times New Roman" w:eastAsia="Times New Roman" w:hAnsi="Times New Roman" w:cs="Simplified Arabic"/>
                <w:sz w:val="20"/>
                <w:szCs w:val="20"/>
                <w:rtl/>
              </w:rPr>
              <w:t xml:space="preserve">يُساعد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tl/>
              </w:rPr>
              <w:t xml:space="preserve"> في تحفيز الابتكار داخل بيئة المشاريع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3C8DD02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2776DB9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5D2A93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DB169E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A38D07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D5F9953" w14:textId="77777777" w:rsidTr="00140C49">
        <w:trPr>
          <w:jc w:val="center"/>
        </w:trPr>
        <w:tc>
          <w:tcPr>
            <w:tcW w:w="452" w:type="pct"/>
            <w:shd w:val="clear" w:color="auto" w:fill="auto"/>
          </w:tcPr>
          <w:p w14:paraId="408A43C1"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1356074D" w14:textId="77777777" w:rsidR="00642DD9" w:rsidRPr="00140C49" w:rsidRDefault="00642DD9" w:rsidP="00801C1D">
            <w:pPr>
              <w:bidi/>
              <w:spacing w:after="0" w:line="240" w:lineRule="auto"/>
              <w:jc w:val="both"/>
              <w:rPr>
                <w:rFonts w:ascii="Times New Roman" w:hAnsi="Times New Roman" w:cs="Simplified Arabic"/>
                <w:sz w:val="20"/>
                <w:szCs w:val="20"/>
                <w:rtl/>
                <w:lang w:bidi="ar-KW"/>
              </w:rPr>
            </w:pPr>
            <w:r w:rsidRPr="00140C49">
              <w:rPr>
                <w:rFonts w:ascii="Times New Roman" w:eastAsia="Times New Roman" w:hAnsi="Times New Roman" w:cs="Simplified Arabic"/>
                <w:sz w:val="20"/>
                <w:szCs w:val="20"/>
                <w:rtl/>
              </w:rPr>
              <w:t xml:space="preserve">تُعد الثقة في الجهات المستفيدة من العوامل الأساسية لنجاح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Pr>
              <w:t>.</w:t>
            </w:r>
          </w:p>
        </w:tc>
        <w:tc>
          <w:tcPr>
            <w:tcW w:w="368" w:type="pct"/>
            <w:shd w:val="clear" w:color="auto" w:fill="auto"/>
          </w:tcPr>
          <w:p w14:paraId="6662D3B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85FE20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16FE1C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0C34FC5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67C14AC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449DADC" w14:textId="77777777" w:rsidTr="00140C49">
        <w:trPr>
          <w:jc w:val="center"/>
        </w:trPr>
        <w:tc>
          <w:tcPr>
            <w:tcW w:w="452" w:type="pct"/>
            <w:shd w:val="clear" w:color="auto" w:fill="auto"/>
          </w:tcPr>
          <w:p w14:paraId="5789F2D9"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23645AC" w14:textId="77777777" w:rsidR="00642DD9" w:rsidRPr="00140C49" w:rsidRDefault="00642DD9" w:rsidP="00801C1D">
            <w:pPr>
              <w:bidi/>
              <w:spacing w:after="0" w:line="240" w:lineRule="auto"/>
              <w:jc w:val="both"/>
              <w:rPr>
                <w:rFonts w:ascii="Times New Roman" w:hAnsi="Times New Roman" w:cs="Simplified Arabic"/>
                <w:sz w:val="20"/>
                <w:szCs w:val="20"/>
                <w:rtl/>
                <w:lang w:bidi="ar-KW"/>
              </w:rPr>
            </w:pPr>
            <w:r w:rsidRPr="00140C49">
              <w:rPr>
                <w:rFonts w:ascii="Times New Roman" w:eastAsia="Times New Roman" w:hAnsi="Times New Roman" w:cs="Simplified Arabic"/>
                <w:sz w:val="20"/>
                <w:szCs w:val="20"/>
                <w:rtl/>
              </w:rPr>
              <w:t xml:space="preserve">تَعمل المنصات الإلكترونية المتخصصة على تسهيل عمليات التمويل </w:t>
            </w:r>
            <w:proofErr w:type="spellStart"/>
            <w:r w:rsidRPr="00140C49">
              <w:rPr>
                <w:rFonts w:ascii="Times New Roman" w:eastAsia="Times New Roman" w:hAnsi="Times New Roman" w:cs="Simplified Arabic"/>
                <w:sz w:val="20"/>
                <w:szCs w:val="20"/>
                <w:rtl/>
              </w:rPr>
              <w:t>التبرعي</w:t>
            </w:r>
            <w:proofErr w:type="spellEnd"/>
            <w:r w:rsidRPr="00140C49">
              <w:rPr>
                <w:rFonts w:ascii="Times New Roman" w:eastAsia="Times New Roman" w:hAnsi="Times New Roman" w:cs="Simplified Arabic"/>
                <w:sz w:val="20"/>
                <w:szCs w:val="20"/>
                <w:rtl/>
              </w:rPr>
              <w:t xml:space="preserve"> بشكل آمن وفعال</w:t>
            </w:r>
            <w:r w:rsidRPr="00140C49">
              <w:rPr>
                <w:rFonts w:ascii="Times New Roman" w:eastAsia="Times New Roman" w:hAnsi="Times New Roman" w:cs="Simplified Arabic"/>
                <w:sz w:val="20"/>
                <w:szCs w:val="20"/>
              </w:rPr>
              <w:t>.</w:t>
            </w:r>
          </w:p>
        </w:tc>
        <w:tc>
          <w:tcPr>
            <w:tcW w:w="368" w:type="pct"/>
            <w:shd w:val="clear" w:color="auto" w:fill="auto"/>
          </w:tcPr>
          <w:p w14:paraId="571BC55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5F6E0C4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BDA7ED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2841305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67E917F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48C7B0AF" w14:textId="77777777" w:rsidTr="00140C49">
        <w:trPr>
          <w:jc w:val="center"/>
        </w:trPr>
        <w:tc>
          <w:tcPr>
            <w:tcW w:w="5000" w:type="pct"/>
            <w:gridSpan w:val="7"/>
            <w:shd w:val="clear" w:color="auto" w:fill="D9E2F3" w:themeFill="accent1" w:themeFillTint="33"/>
          </w:tcPr>
          <w:p w14:paraId="505E3297" w14:textId="77777777" w:rsidR="00642DD9" w:rsidRPr="00140C49" w:rsidRDefault="00642DD9" w:rsidP="00801C1D">
            <w:pPr>
              <w:bidi/>
              <w:spacing w:after="0" w:line="240" w:lineRule="auto"/>
              <w:jc w:val="both"/>
              <w:rPr>
                <w:rFonts w:ascii="Times New Roman" w:hAnsi="Times New Roman" w:cs="Simplified Arabic"/>
                <w:b/>
                <w:bCs/>
                <w:sz w:val="20"/>
                <w:szCs w:val="20"/>
                <w:rtl/>
                <w:lang w:bidi="ar-EG"/>
              </w:rPr>
            </w:pPr>
            <w:r w:rsidRPr="00140C49">
              <w:rPr>
                <w:rFonts w:ascii="Times New Roman" w:hAnsi="Times New Roman" w:cs="Simplified Arabic"/>
                <w:b/>
                <w:bCs/>
                <w:sz w:val="20"/>
                <w:szCs w:val="20"/>
                <w:rtl/>
                <w:lang w:bidi="ar-EG"/>
              </w:rPr>
              <w:t>البعد الثاني:</w:t>
            </w:r>
            <w:r w:rsidRPr="00140C49">
              <w:rPr>
                <w:rFonts w:ascii="Times New Roman" w:hAnsi="Times New Roman" w:cs="Simplified Arabic"/>
                <w:sz w:val="20"/>
                <w:szCs w:val="20"/>
                <w:rtl/>
                <w:lang w:bidi="ar-EG"/>
              </w:rPr>
              <w:t xml:space="preserve"> </w:t>
            </w:r>
            <w:r w:rsidRPr="00140C49">
              <w:rPr>
                <w:rFonts w:ascii="Times New Roman" w:hAnsi="Times New Roman" w:cs="Simplified Arabic"/>
                <w:b/>
                <w:bCs/>
                <w:sz w:val="20"/>
                <w:szCs w:val="20"/>
                <w:rtl/>
                <w:lang w:bidi="ar-EG"/>
              </w:rPr>
              <w:t>التمويل القائم على المكافآت</w:t>
            </w:r>
          </w:p>
        </w:tc>
      </w:tr>
      <w:tr w:rsidR="00642DD9" w:rsidRPr="00140C49" w14:paraId="30812806" w14:textId="77777777" w:rsidTr="00140C49">
        <w:trPr>
          <w:jc w:val="center"/>
        </w:trPr>
        <w:tc>
          <w:tcPr>
            <w:tcW w:w="452" w:type="pct"/>
            <w:shd w:val="clear" w:color="auto" w:fill="auto"/>
          </w:tcPr>
          <w:p w14:paraId="2FD1FDA5" w14:textId="77777777" w:rsidR="00642DD9" w:rsidRPr="00140C49" w:rsidRDefault="00642DD9">
            <w:pPr>
              <w:pStyle w:val="a3"/>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5FC7524"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يُعد التمويل القائم على المكافآت نموذجًا محفزًا لجذب الممولين للمشاريع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6126A385" w14:textId="77777777" w:rsidR="00642DD9" w:rsidRPr="00140C49" w:rsidRDefault="00642DD9" w:rsidP="00801C1D">
            <w:pPr>
              <w:bidi/>
              <w:spacing w:after="0" w:line="240" w:lineRule="auto"/>
              <w:rPr>
                <w:rFonts w:ascii="Times New Roman" w:hAnsi="Times New Roman" w:cs="Simplified Arabic"/>
                <w:sz w:val="20"/>
                <w:szCs w:val="20"/>
                <w:rtl/>
                <w:lang w:bidi="ar-EG"/>
              </w:rPr>
            </w:pPr>
          </w:p>
        </w:tc>
        <w:tc>
          <w:tcPr>
            <w:tcW w:w="345" w:type="pct"/>
            <w:shd w:val="clear" w:color="auto" w:fill="auto"/>
          </w:tcPr>
          <w:p w14:paraId="225BFD0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E07F6D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294D65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2EFB1B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21B22C82" w14:textId="77777777" w:rsidTr="00140C49">
        <w:trPr>
          <w:jc w:val="center"/>
        </w:trPr>
        <w:tc>
          <w:tcPr>
            <w:tcW w:w="452" w:type="pct"/>
            <w:shd w:val="clear" w:color="auto" w:fill="auto"/>
          </w:tcPr>
          <w:p w14:paraId="65E93BA7"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3FA26ED4"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تَساهم المكافآت المقدمة للممولين في زيادة إقبالهم على دعم المشاريع</w:t>
            </w:r>
            <w:r w:rsidRPr="00140C49">
              <w:rPr>
                <w:rFonts w:ascii="Times New Roman" w:eastAsia="Times New Roman" w:hAnsi="Times New Roman" w:cs="Simplified Arabic"/>
                <w:sz w:val="20"/>
                <w:szCs w:val="20"/>
              </w:rPr>
              <w:t>.</w:t>
            </w:r>
          </w:p>
        </w:tc>
        <w:tc>
          <w:tcPr>
            <w:tcW w:w="368" w:type="pct"/>
            <w:shd w:val="clear" w:color="auto" w:fill="auto"/>
          </w:tcPr>
          <w:p w14:paraId="558289D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BEEDA3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5374DE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5B42E1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C58474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35A40F0" w14:textId="77777777" w:rsidTr="00140C49">
        <w:trPr>
          <w:jc w:val="center"/>
        </w:trPr>
        <w:tc>
          <w:tcPr>
            <w:tcW w:w="452" w:type="pct"/>
            <w:shd w:val="clear" w:color="auto" w:fill="auto"/>
          </w:tcPr>
          <w:p w14:paraId="4B622AED"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1015ACAE"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تُعزز البرامج الترويجية والتسويقية من فعالية التمويل القائم على المكافآت</w:t>
            </w:r>
            <w:r w:rsidRPr="00140C49">
              <w:rPr>
                <w:rFonts w:ascii="Times New Roman" w:eastAsia="Times New Roman" w:hAnsi="Times New Roman" w:cs="Simplified Arabic"/>
                <w:sz w:val="20"/>
                <w:szCs w:val="20"/>
              </w:rPr>
              <w:t>.</w:t>
            </w:r>
          </w:p>
        </w:tc>
        <w:tc>
          <w:tcPr>
            <w:tcW w:w="368" w:type="pct"/>
            <w:shd w:val="clear" w:color="auto" w:fill="auto"/>
          </w:tcPr>
          <w:p w14:paraId="2A8E35E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2CB5A1B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4F0A1DC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224765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5BDDB44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0267A59" w14:textId="77777777" w:rsidTr="00140C49">
        <w:trPr>
          <w:jc w:val="center"/>
        </w:trPr>
        <w:tc>
          <w:tcPr>
            <w:tcW w:w="452" w:type="pct"/>
            <w:shd w:val="clear" w:color="auto" w:fill="auto"/>
          </w:tcPr>
          <w:p w14:paraId="187A3106"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2B773FF"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تَحتاج المشاريع الريادية إلى وضع استراتيجيات واضحة لاختيار المكافآت المناسبة</w:t>
            </w:r>
            <w:r w:rsidRPr="00140C49">
              <w:rPr>
                <w:rFonts w:ascii="Times New Roman" w:eastAsia="Times New Roman" w:hAnsi="Times New Roman" w:cs="Simplified Arabic"/>
                <w:sz w:val="20"/>
                <w:szCs w:val="20"/>
              </w:rPr>
              <w:t>.</w:t>
            </w:r>
          </w:p>
        </w:tc>
        <w:tc>
          <w:tcPr>
            <w:tcW w:w="368" w:type="pct"/>
            <w:shd w:val="clear" w:color="auto" w:fill="auto"/>
          </w:tcPr>
          <w:p w14:paraId="72E9B5A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AEBCF5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37D410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735556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641A4DC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314AC040" w14:textId="77777777" w:rsidTr="00140C49">
        <w:trPr>
          <w:jc w:val="center"/>
        </w:trPr>
        <w:tc>
          <w:tcPr>
            <w:tcW w:w="452" w:type="pct"/>
            <w:shd w:val="clear" w:color="auto" w:fill="auto"/>
          </w:tcPr>
          <w:p w14:paraId="3F3084DE"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43661F00"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يُساعد التمويل القائم على المكافآت في بناء قاعدة جماهيرية داعمة للمشاريع</w:t>
            </w:r>
            <w:r w:rsidRPr="00140C49">
              <w:rPr>
                <w:rFonts w:ascii="Times New Roman" w:eastAsia="Times New Roman" w:hAnsi="Times New Roman" w:cs="Simplified Arabic"/>
                <w:sz w:val="20"/>
                <w:szCs w:val="20"/>
              </w:rPr>
              <w:t>.</w:t>
            </w:r>
          </w:p>
        </w:tc>
        <w:tc>
          <w:tcPr>
            <w:tcW w:w="368" w:type="pct"/>
            <w:shd w:val="clear" w:color="auto" w:fill="auto"/>
          </w:tcPr>
          <w:p w14:paraId="3FC0217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8D16DC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256C91E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126305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11A841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773685D" w14:textId="77777777" w:rsidTr="00140C49">
        <w:trPr>
          <w:jc w:val="center"/>
        </w:trPr>
        <w:tc>
          <w:tcPr>
            <w:tcW w:w="452" w:type="pct"/>
            <w:shd w:val="clear" w:color="auto" w:fill="auto"/>
          </w:tcPr>
          <w:p w14:paraId="1BBE12D2"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5E4C546"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تُعد الأنظمة القانونية والتنظيمية من العوامل المؤثرة في نجاح هذا النوع من التمويل</w:t>
            </w:r>
            <w:r w:rsidRPr="00140C49">
              <w:rPr>
                <w:rFonts w:ascii="Times New Roman" w:eastAsia="Times New Roman" w:hAnsi="Times New Roman" w:cs="Simplified Arabic"/>
                <w:sz w:val="20"/>
                <w:szCs w:val="20"/>
              </w:rPr>
              <w:t>.</w:t>
            </w:r>
          </w:p>
        </w:tc>
        <w:tc>
          <w:tcPr>
            <w:tcW w:w="368" w:type="pct"/>
            <w:shd w:val="clear" w:color="auto" w:fill="auto"/>
          </w:tcPr>
          <w:p w14:paraId="1470F71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CC4972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2CE6C26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2BBCB51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017C451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EA93506" w14:textId="77777777" w:rsidTr="00140C49">
        <w:trPr>
          <w:jc w:val="center"/>
        </w:trPr>
        <w:tc>
          <w:tcPr>
            <w:tcW w:w="452" w:type="pct"/>
            <w:shd w:val="clear" w:color="auto" w:fill="auto"/>
          </w:tcPr>
          <w:p w14:paraId="41776591"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1C805058"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تَزيد موثوقية المنصة الإلكترونية من قدرة المشاريع على جذب التمويل عبر المكافآت</w:t>
            </w:r>
            <w:r w:rsidRPr="00140C49">
              <w:rPr>
                <w:rFonts w:ascii="Times New Roman" w:eastAsia="Times New Roman" w:hAnsi="Times New Roman" w:cs="Simplified Arabic"/>
                <w:sz w:val="20"/>
                <w:szCs w:val="20"/>
              </w:rPr>
              <w:t>.</w:t>
            </w:r>
          </w:p>
        </w:tc>
        <w:tc>
          <w:tcPr>
            <w:tcW w:w="368" w:type="pct"/>
            <w:shd w:val="clear" w:color="auto" w:fill="auto"/>
          </w:tcPr>
          <w:p w14:paraId="019707E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1A16EAC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7C39C78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FA89FA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302D4C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4756708" w14:textId="77777777" w:rsidTr="00140C49">
        <w:trPr>
          <w:jc w:val="center"/>
        </w:trPr>
        <w:tc>
          <w:tcPr>
            <w:tcW w:w="452" w:type="pct"/>
            <w:shd w:val="clear" w:color="auto" w:fill="auto"/>
          </w:tcPr>
          <w:p w14:paraId="6C640E81"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58D5749"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يُعتبر التمويل القائم على المكافآت خيارًا مثاليًا للمشاريع التي تركز على المنتجات أو الخدمات الابتكارية</w:t>
            </w:r>
            <w:r w:rsidRPr="00140C49">
              <w:rPr>
                <w:rFonts w:ascii="Times New Roman" w:eastAsia="Times New Roman" w:hAnsi="Times New Roman" w:cs="Simplified Arabic"/>
                <w:sz w:val="20"/>
                <w:szCs w:val="20"/>
              </w:rPr>
              <w:t>.</w:t>
            </w:r>
          </w:p>
        </w:tc>
        <w:tc>
          <w:tcPr>
            <w:tcW w:w="368" w:type="pct"/>
            <w:shd w:val="clear" w:color="auto" w:fill="auto"/>
          </w:tcPr>
          <w:p w14:paraId="2A5A5F1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67FDD6F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02C4F4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0EEAC55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5FA267C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017D247E" w14:textId="77777777" w:rsidTr="00140C49">
        <w:trPr>
          <w:jc w:val="center"/>
        </w:trPr>
        <w:tc>
          <w:tcPr>
            <w:tcW w:w="5000" w:type="pct"/>
            <w:gridSpan w:val="7"/>
            <w:shd w:val="clear" w:color="auto" w:fill="D9E2F3" w:themeFill="accent1" w:themeFillTint="33"/>
          </w:tcPr>
          <w:p w14:paraId="56FEA141" w14:textId="77777777" w:rsidR="00642DD9" w:rsidRPr="00140C49" w:rsidRDefault="00642DD9" w:rsidP="00801C1D">
            <w:pPr>
              <w:bidi/>
              <w:spacing w:after="0" w:line="240" w:lineRule="auto"/>
              <w:jc w:val="both"/>
              <w:rPr>
                <w:rFonts w:ascii="Times New Roman" w:hAnsi="Times New Roman" w:cs="Simplified Arabic"/>
                <w:b/>
                <w:bCs/>
                <w:sz w:val="20"/>
                <w:szCs w:val="20"/>
                <w:rtl/>
                <w:lang w:bidi="ar-EG"/>
              </w:rPr>
            </w:pPr>
            <w:r w:rsidRPr="00140C49">
              <w:rPr>
                <w:rFonts w:ascii="Times New Roman" w:hAnsi="Times New Roman" w:cs="Simplified Arabic"/>
                <w:b/>
                <w:bCs/>
                <w:sz w:val="20"/>
                <w:szCs w:val="20"/>
                <w:rtl/>
                <w:lang w:bidi="ar-EG"/>
              </w:rPr>
              <w:t xml:space="preserve"> البعد الثالث: </w:t>
            </w:r>
            <w:r w:rsidRPr="00140C49">
              <w:rPr>
                <w:rFonts w:ascii="Times New Roman" w:hAnsi="Times New Roman" w:cs="Simplified Arabic"/>
                <w:b/>
                <w:bCs/>
                <w:sz w:val="20"/>
                <w:szCs w:val="20"/>
                <w:rtl/>
              </w:rPr>
              <w:t>التمويل التشاركي المختلط</w:t>
            </w:r>
          </w:p>
        </w:tc>
      </w:tr>
      <w:tr w:rsidR="00642DD9" w:rsidRPr="00140C49" w14:paraId="321096CD" w14:textId="77777777" w:rsidTr="00140C49">
        <w:trPr>
          <w:jc w:val="center"/>
        </w:trPr>
        <w:tc>
          <w:tcPr>
            <w:tcW w:w="452" w:type="pct"/>
            <w:shd w:val="clear" w:color="auto" w:fill="auto"/>
          </w:tcPr>
          <w:p w14:paraId="38ED9C23" w14:textId="77777777" w:rsidR="00642DD9" w:rsidRPr="00140C49" w:rsidRDefault="00642DD9">
            <w:pPr>
              <w:pStyle w:val="a3"/>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0E8BC48F"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يُوفر التمويل التشاركي المختلط حلولًا مرنة لدعم المشاريع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230058B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5F58829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1964BA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DE0D7A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5BDEBE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58B73044" w14:textId="77777777" w:rsidTr="00140C49">
        <w:trPr>
          <w:jc w:val="center"/>
        </w:trPr>
        <w:tc>
          <w:tcPr>
            <w:tcW w:w="452" w:type="pct"/>
            <w:shd w:val="clear" w:color="auto" w:fill="auto"/>
          </w:tcPr>
          <w:p w14:paraId="4175F6B0"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5858AF6"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تَزيد فاعلية المنصة الإلكترونية عند دمج أكثر من نوع من التمويل التشاركي</w:t>
            </w:r>
            <w:r w:rsidRPr="00140C49">
              <w:rPr>
                <w:rFonts w:ascii="Times New Roman" w:eastAsia="Times New Roman" w:hAnsi="Times New Roman" w:cs="Simplified Arabic"/>
                <w:sz w:val="20"/>
                <w:szCs w:val="20"/>
              </w:rPr>
              <w:t>.</w:t>
            </w:r>
          </w:p>
        </w:tc>
        <w:tc>
          <w:tcPr>
            <w:tcW w:w="368" w:type="pct"/>
            <w:shd w:val="clear" w:color="auto" w:fill="auto"/>
          </w:tcPr>
          <w:p w14:paraId="4F30F51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2436E7D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96817D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9666D1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972EB3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276C602" w14:textId="77777777" w:rsidTr="00140C49">
        <w:trPr>
          <w:jc w:val="center"/>
        </w:trPr>
        <w:tc>
          <w:tcPr>
            <w:tcW w:w="452" w:type="pct"/>
            <w:shd w:val="clear" w:color="auto" w:fill="auto"/>
          </w:tcPr>
          <w:p w14:paraId="06C387E2"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1640A127"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تَساهم استراتيجيات التمويل المختلط في تقليل المخاطر المالية للمشاريع الناشئة</w:t>
            </w:r>
            <w:r w:rsidRPr="00140C49">
              <w:rPr>
                <w:rFonts w:ascii="Times New Roman" w:eastAsia="Times New Roman" w:hAnsi="Times New Roman" w:cs="Simplified Arabic"/>
                <w:sz w:val="20"/>
                <w:szCs w:val="20"/>
              </w:rPr>
              <w:t>.</w:t>
            </w:r>
          </w:p>
        </w:tc>
        <w:tc>
          <w:tcPr>
            <w:tcW w:w="368" w:type="pct"/>
            <w:shd w:val="clear" w:color="auto" w:fill="auto"/>
          </w:tcPr>
          <w:p w14:paraId="4873038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F5BFC6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06EF06D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AE7011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B226B2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7A3D82B" w14:textId="77777777" w:rsidTr="00140C49">
        <w:trPr>
          <w:jc w:val="center"/>
        </w:trPr>
        <w:tc>
          <w:tcPr>
            <w:tcW w:w="452" w:type="pct"/>
            <w:shd w:val="clear" w:color="auto" w:fill="auto"/>
          </w:tcPr>
          <w:p w14:paraId="01973610"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101B68B"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تُعزز هذه الاستراتيجية من قدرة المشاريع على تحقيق الاستدامة المالية</w:t>
            </w:r>
            <w:r w:rsidRPr="00140C49">
              <w:rPr>
                <w:rFonts w:ascii="Times New Roman" w:eastAsia="Times New Roman" w:hAnsi="Times New Roman" w:cs="Simplified Arabic"/>
                <w:sz w:val="20"/>
                <w:szCs w:val="20"/>
              </w:rPr>
              <w:t>.</w:t>
            </w:r>
          </w:p>
        </w:tc>
        <w:tc>
          <w:tcPr>
            <w:tcW w:w="368" w:type="pct"/>
            <w:shd w:val="clear" w:color="auto" w:fill="auto"/>
          </w:tcPr>
          <w:p w14:paraId="59C4A4D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67F5009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D23BA3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EAB3C9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A3FAB8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37D5D05" w14:textId="77777777" w:rsidTr="00140C49">
        <w:trPr>
          <w:jc w:val="center"/>
        </w:trPr>
        <w:tc>
          <w:tcPr>
            <w:tcW w:w="452" w:type="pct"/>
            <w:shd w:val="clear" w:color="auto" w:fill="auto"/>
          </w:tcPr>
          <w:p w14:paraId="13A8D512"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4F02D926"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يُسهل التمويل التشاركي المختلط على المستثمرين اختيار الأنسب لهم حسب احتياجاتهم</w:t>
            </w:r>
            <w:r w:rsidRPr="00140C49">
              <w:rPr>
                <w:rFonts w:ascii="Times New Roman" w:eastAsia="Times New Roman" w:hAnsi="Times New Roman" w:cs="Simplified Arabic"/>
                <w:sz w:val="20"/>
                <w:szCs w:val="20"/>
              </w:rPr>
              <w:t>.</w:t>
            </w:r>
          </w:p>
        </w:tc>
        <w:tc>
          <w:tcPr>
            <w:tcW w:w="368" w:type="pct"/>
            <w:shd w:val="clear" w:color="auto" w:fill="auto"/>
          </w:tcPr>
          <w:p w14:paraId="3B5156D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3A7CDC8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3260FB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636FC4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678631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5790A43" w14:textId="77777777" w:rsidTr="00140C49">
        <w:trPr>
          <w:jc w:val="center"/>
        </w:trPr>
        <w:tc>
          <w:tcPr>
            <w:tcW w:w="452" w:type="pct"/>
            <w:shd w:val="clear" w:color="auto" w:fill="auto"/>
          </w:tcPr>
          <w:p w14:paraId="4B663420"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AEA8904"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تَعمل الشفافية والوضوح في المنصات الإلكترونية على تحسين ثقة الممولين</w:t>
            </w:r>
            <w:r w:rsidRPr="00140C49">
              <w:rPr>
                <w:rFonts w:ascii="Times New Roman" w:eastAsia="Times New Roman" w:hAnsi="Times New Roman" w:cs="Simplified Arabic"/>
                <w:sz w:val="20"/>
                <w:szCs w:val="20"/>
              </w:rPr>
              <w:t>.</w:t>
            </w:r>
          </w:p>
        </w:tc>
        <w:tc>
          <w:tcPr>
            <w:tcW w:w="368" w:type="pct"/>
            <w:shd w:val="clear" w:color="auto" w:fill="auto"/>
          </w:tcPr>
          <w:p w14:paraId="02972CA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C99DAF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57201B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71B874B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C6262E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27C5BF6" w14:textId="77777777" w:rsidTr="00140C49">
        <w:trPr>
          <w:jc w:val="center"/>
        </w:trPr>
        <w:tc>
          <w:tcPr>
            <w:tcW w:w="452" w:type="pct"/>
            <w:shd w:val="clear" w:color="auto" w:fill="auto"/>
          </w:tcPr>
          <w:p w14:paraId="3F8B9E15"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A3C5B47"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تَحتاج المشاريع الريادية إلى تطوير نماذج عمل مناسبة للاستفادة من التمويل المختلط</w:t>
            </w:r>
            <w:r w:rsidRPr="00140C49">
              <w:rPr>
                <w:rFonts w:ascii="Times New Roman" w:eastAsia="Times New Roman" w:hAnsi="Times New Roman" w:cs="Simplified Arabic"/>
                <w:sz w:val="20"/>
                <w:szCs w:val="20"/>
              </w:rPr>
              <w:t>.</w:t>
            </w:r>
          </w:p>
        </w:tc>
        <w:tc>
          <w:tcPr>
            <w:tcW w:w="368" w:type="pct"/>
            <w:shd w:val="clear" w:color="auto" w:fill="auto"/>
          </w:tcPr>
          <w:p w14:paraId="28868FD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D498EF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9FE5B5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E04037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0B0679D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891E3FA" w14:textId="77777777" w:rsidTr="00140C49">
        <w:trPr>
          <w:jc w:val="center"/>
        </w:trPr>
        <w:tc>
          <w:tcPr>
            <w:tcW w:w="452" w:type="pct"/>
            <w:shd w:val="clear" w:color="auto" w:fill="auto"/>
          </w:tcPr>
          <w:p w14:paraId="47E0AAB5"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1101C064"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تُعد التشريعات المنظمة للتمويل التشاركي عاملاً أساسيًا في نجاح التمويل المختلط</w:t>
            </w:r>
            <w:r w:rsidRPr="00140C49">
              <w:rPr>
                <w:rFonts w:ascii="Times New Roman" w:eastAsia="Times New Roman" w:hAnsi="Times New Roman" w:cs="Simplified Arabic"/>
                <w:sz w:val="20"/>
                <w:szCs w:val="20"/>
              </w:rPr>
              <w:t>.</w:t>
            </w:r>
          </w:p>
        </w:tc>
        <w:tc>
          <w:tcPr>
            <w:tcW w:w="368" w:type="pct"/>
            <w:shd w:val="clear" w:color="auto" w:fill="auto"/>
          </w:tcPr>
          <w:p w14:paraId="0B3E7F9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7B2883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1720B28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C6E756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49AFAB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4D7B7214" w14:textId="77777777" w:rsidTr="00140C49">
        <w:trPr>
          <w:jc w:val="center"/>
        </w:trPr>
        <w:tc>
          <w:tcPr>
            <w:tcW w:w="5000" w:type="pct"/>
            <w:gridSpan w:val="7"/>
            <w:shd w:val="clear" w:color="auto" w:fill="D9E2F3" w:themeFill="accent1" w:themeFillTint="33"/>
          </w:tcPr>
          <w:p w14:paraId="2FE3B3F4" w14:textId="77777777" w:rsidR="00642DD9" w:rsidRPr="00140C49" w:rsidRDefault="00642DD9" w:rsidP="00801C1D">
            <w:pPr>
              <w:tabs>
                <w:tab w:val="left" w:pos="7228"/>
              </w:tabs>
              <w:bidi/>
              <w:spacing w:after="0" w:line="240" w:lineRule="auto"/>
              <w:jc w:val="both"/>
              <w:rPr>
                <w:rFonts w:ascii="Times New Roman" w:hAnsi="Times New Roman" w:cs="Simplified Arabic"/>
                <w:b/>
                <w:bCs/>
                <w:sz w:val="20"/>
                <w:szCs w:val="20"/>
                <w:rtl/>
                <w:lang w:bidi="ar-EG"/>
              </w:rPr>
            </w:pPr>
            <w:r w:rsidRPr="00140C49">
              <w:rPr>
                <w:rFonts w:ascii="Times New Roman" w:hAnsi="Times New Roman" w:cs="Simplified Arabic"/>
                <w:b/>
                <w:bCs/>
                <w:sz w:val="20"/>
                <w:szCs w:val="20"/>
                <w:rtl/>
              </w:rPr>
              <w:t xml:space="preserve">المحور الثاني: </w:t>
            </w:r>
            <w:r w:rsidRPr="00140C49">
              <w:rPr>
                <w:rFonts w:ascii="Times New Roman" w:hAnsi="Times New Roman" w:cs="Simplified Arabic" w:hint="cs"/>
                <w:b/>
                <w:bCs/>
                <w:sz w:val="20"/>
                <w:szCs w:val="20"/>
                <w:rtl/>
              </w:rPr>
              <w:t>الاستدامة المالية</w:t>
            </w:r>
          </w:p>
        </w:tc>
      </w:tr>
      <w:tr w:rsidR="00642DD9" w:rsidRPr="00140C49" w14:paraId="6C171929" w14:textId="77777777" w:rsidTr="00140C49">
        <w:trPr>
          <w:jc w:val="center"/>
        </w:trPr>
        <w:tc>
          <w:tcPr>
            <w:tcW w:w="452" w:type="pct"/>
            <w:shd w:val="clear" w:color="auto" w:fill="auto"/>
          </w:tcPr>
          <w:p w14:paraId="13D44C53" w14:textId="77777777" w:rsidR="00642DD9" w:rsidRPr="00140C49" w:rsidRDefault="00642DD9">
            <w:pPr>
              <w:pStyle w:val="a3"/>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280C493"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تُعد الاستدامة المالية هدفًا رئيسيًا للمشاريع الريادية في المملكة العربية السعودية</w:t>
            </w:r>
            <w:r w:rsidRPr="00140C49">
              <w:rPr>
                <w:rFonts w:ascii="Times New Roman" w:eastAsia="Times New Roman" w:hAnsi="Times New Roman" w:cs="Simplified Arabic"/>
                <w:sz w:val="20"/>
                <w:szCs w:val="20"/>
              </w:rPr>
              <w:t>.</w:t>
            </w:r>
          </w:p>
        </w:tc>
        <w:tc>
          <w:tcPr>
            <w:tcW w:w="368" w:type="pct"/>
            <w:shd w:val="clear" w:color="auto" w:fill="auto"/>
          </w:tcPr>
          <w:p w14:paraId="31020CA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36AB2C1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5FC66F2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AA20E7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612D8E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5E0130F6" w14:textId="77777777" w:rsidTr="00140C49">
        <w:trPr>
          <w:jc w:val="center"/>
        </w:trPr>
        <w:tc>
          <w:tcPr>
            <w:tcW w:w="452" w:type="pct"/>
            <w:shd w:val="clear" w:color="auto" w:fill="auto"/>
          </w:tcPr>
          <w:p w14:paraId="4D2D298A"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89F5F7C"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يُساهم التنوع في مصادر التمويل في تعزيز الاستدامة المالية للمشاريع الناشئة</w:t>
            </w:r>
            <w:r w:rsidRPr="00140C49">
              <w:rPr>
                <w:rFonts w:ascii="Times New Roman" w:eastAsia="Times New Roman" w:hAnsi="Times New Roman" w:cs="Simplified Arabic"/>
                <w:sz w:val="20"/>
                <w:szCs w:val="20"/>
              </w:rPr>
              <w:t>.</w:t>
            </w:r>
          </w:p>
        </w:tc>
        <w:tc>
          <w:tcPr>
            <w:tcW w:w="368" w:type="pct"/>
            <w:shd w:val="clear" w:color="auto" w:fill="auto"/>
          </w:tcPr>
          <w:p w14:paraId="751EF56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3FB97D0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49FF800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69DFE66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D98124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4FB5C84A" w14:textId="77777777" w:rsidTr="00140C49">
        <w:trPr>
          <w:jc w:val="center"/>
        </w:trPr>
        <w:tc>
          <w:tcPr>
            <w:tcW w:w="452" w:type="pct"/>
            <w:shd w:val="clear" w:color="auto" w:fill="auto"/>
          </w:tcPr>
          <w:p w14:paraId="6EC0360A"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EE61451"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تُساعد المنصات الإلكترونية في توفير فرص تمويل أكثر استقرارًا للمشاريع</w:t>
            </w:r>
            <w:r w:rsidRPr="00140C49">
              <w:rPr>
                <w:rFonts w:ascii="Times New Roman" w:eastAsia="Times New Roman" w:hAnsi="Times New Roman" w:cs="Simplified Arabic"/>
                <w:sz w:val="20"/>
                <w:szCs w:val="20"/>
              </w:rPr>
              <w:t>.</w:t>
            </w:r>
          </w:p>
        </w:tc>
        <w:tc>
          <w:tcPr>
            <w:tcW w:w="368" w:type="pct"/>
            <w:shd w:val="clear" w:color="auto" w:fill="auto"/>
          </w:tcPr>
          <w:p w14:paraId="3BA65CD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78446FC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7481370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C28ECA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690A6AF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2B4A33F5" w14:textId="77777777" w:rsidTr="00140C49">
        <w:trPr>
          <w:jc w:val="center"/>
        </w:trPr>
        <w:tc>
          <w:tcPr>
            <w:tcW w:w="452" w:type="pct"/>
            <w:shd w:val="clear" w:color="auto" w:fill="auto"/>
          </w:tcPr>
          <w:p w14:paraId="0BD19AD3"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032D3F43"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Pr>
            </w:pPr>
            <w:r w:rsidRPr="00140C49">
              <w:rPr>
                <w:rFonts w:ascii="Times New Roman" w:eastAsia="Times New Roman" w:hAnsi="Times New Roman" w:cs="Simplified Arabic"/>
                <w:sz w:val="20"/>
                <w:szCs w:val="20"/>
                <w:rtl/>
              </w:rPr>
              <w:t>تُعد الشفافية والمصداقية في إدارة الأموال عوامل أساسية لتحقيق الاستدامة المالية</w:t>
            </w:r>
            <w:r w:rsidRPr="00140C49">
              <w:rPr>
                <w:rFonts w:ascii="Times New Roman" w:eastAsia="Times New Roman" w:hAnsi="Times New Roman" w:cs="Simplified Arabic"/>
                <w:sz w:val="20"/>
                <w:szCs w:val="20"/>
              </w:rPr>
              <w:t>.</w:t>
            </w:r>
          </w:p>
        </w:tc>
        <w:tc>
          <w:tcPr>
            <w:tcW w:w="368" w:type="pct"/>
            <w:shd w:val="clear" w:color="auto" w:fill="auto"/>
          </w:tcPr>
          <w:p w14:paraId="79E0A01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396984E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201C122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6FF0DDD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067AACF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243FAEF" w14:textId="77777777" w:rsidTr="00140C49">
        <w:trPr>
          <w:jc w:val="center"/>
        </w:trPr>
        <w:tc>
          <w:tcPr>
            <w:tcW w:w="452" w:type="pct"/>
            <w:shd w:val="clear" w:color="auto" w:fill="auto"/>
          </w:tcPr>
          <w:p w14:paraId="58B808A2"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7300565"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يُسهم التمويل التشاركي في سد الفجوة التمويلية التي تواجهها المشاريع الناشئة</w:t>
            </w:r>
            <w:r w:rsidRPr="00140C49">
              <w:rPr>
                <w:rFonts w:ascii="Times New Roman" w:eastAsia="Times New Roman" w:hAnsi="Times New Roman" w:cs="Simplified Arabic"/>
                <w:sz w:val="20"/>
                <w:szCs w:val="20"/>
              </w:rPr>
              <w:t>.</w:t>
            </w:r>
          </w:p>
        </w:tc>
        <w:tc>
          <w:tcPr>
            <w:tcW w:w="368" w:type="pct"/>
            <w:shd w:val="clear" w:color="auto" w:fill="auto"/>
          </w:tcPr>
          <w:p w14:paraId="784BC5A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DEAD9A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05ACE63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50879D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136E6E0"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20EF5D8A" w14:textId="77777777" w:rsidTr="00140C49">
        <w:trPr>
          <w:jc w:val="center"/>
        </w:trPr>
        <w:tc>
          <w:tcPr>
            <w:tcW w:w="452" w:type="pct"/>
            <w:shd w:val="clear" w:color="auto" w:fill="auto"/>
          </w:tcPr>
          <w:p w14:paraId="34FEA1AE"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78D579F"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تُساعد التكنولوجيا المالية</w:t>
            </w:r>
            <w:r w:rsidRPr="00140C49">
              <w:rPr>
                <w:rFonts w:ascii="Times New Roman" w:eastAsia="Times New Roman" w:hAnsi="Times New Roman" w:cs="Simplified Arabic"/>
                <w:sz w:val="20"/>
                <w:szCs w:val="20"/>
              </w:rPr>
              <w:t xml:space="preserve"> (FinTech) </w:t>
            </w:r>
            <w:r w:rsidRPr="00140C49">
              <w:rPr>
                <w:rFonts w:ascii="Times New Roman" w:eastAsia="Times New Roman" w:hAnsi="Times New Roman" w:cs="Simplified Arabic"/>
                <w:sz w:val="20"/>
                <w:szCs w:val="20"/>
                <w:rtl/>
              </w:rPr>
              <w:t>في تعزيز الاستدامة المالية عبر حلول مبتكرة</w:t>
            </w:r>
            <w:r w:rsidRPr="00140C49">
              <w:rPr>
                <w:rFonts w:ascii="Times New Roman" w:eastAsia="Times New Roman" w:hAnsi="Times New Roman" w:cs="Simplified Arabic"/>
                <w:sz w:val="20"/>
                <w:szCs w:val="20"/>
              </w:rPr>
              <w:t>.</w:t>
            </w:r>
          </w:p>
        </w:tc>
        <w:tc>
          <w:tcPr>
            <w:tcW w:w="368" w:type="pct"/>
            <w:shd w:val="clear" w:color="auto" w:fill="auto"/>
          </w:tcPr>
          <w:p w14:paraId="7467263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3431A8F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702C640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7207096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300CE1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3A1265C0" w14:textId="77777777" w:rsidTr="00140C49">
        <w:trPr>
          <w:jc w:val="center"/>
        </w:trPr>
        <w:tc>
          <w:tcPr>
            <w:tcW w:w="452" w:type="pct"/>
            <w:shd w:val="clear" w:color="auto" w:fill="auto"/>
          </w:tcPr>
          <w:p w14:paraId="19E4436A"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4FAE989"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يُعد التخطيط المالي الجيد من العوامل الحاسمة لضمان استدامة المشاريع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08DE172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B2BA3C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436533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1322797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C9A649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07839D72" w14:textId="77777777" w:rsidTr="00140C49">
        <w:trPr>
          <w:jc w:val="center"/>
        </w:trPr>
        <w:tc>
          <w:tcPr>
            <w:tcW w:w="452" w:type="pct"/>
            <w:shd w:val="clear" w:color="auto" w:fill="auto"/>
          </w:tcPr>
          <w:p w14:paraId="6ED64F9D"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EB92436"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تُعتبر الشراكات مع الجهات الداعمة عنصرًا مهمًا في تحقيق الاستدامة المالية للمشاريع</w:t>
            </w:r>
            <w:r w:rsidRPr="00140C49">
              <w:rPr>
                <w:rFonts w:ascii="Times New Roman" w:eastAsia="Times New Roman" w:hAnsi="Times New Roman" w:cs="Simplified Arabic"/>
                <w:sz w:val="20"/>
                <w:szCs w:val="20"/>
              </w:rPr>
              <w:t>.</w:t>
            </w:r>
          </w:p>
        </w:tc>
        <w:tc>
          <w:tcPr>
            <w:tcW w:w="368" w:type="pct"/>
            <w:shd w:val="clear" w:color="auto" w:fill="auto"/>
          </w:tcPr>
          <w:p w14:paraId="0FAEEDE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4EA93C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7634551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50B05F37"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1941AC8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2D9418F" w14:textId="77777777" w:rsidTr="00140C49">
        <w:trPr>
          <w:jc w:val="center"/>
        </w:trPr>
        <w:tc>
          <w:tcPr>
            <w:tcW w:w="5000" w:type="pct"/>
            <w:gridSpan w:val="7"/>
            <w:shd w:val="clear" w:color="auto" w:fill="D9E2F3" w:themeFill="accent1" w:themeFillTint="33"/>
          </w:tcPr>
          <w:p w14:paraId="5F3BC3F4" w14:textId="77777777" w:rsidR="00642DD9" w:rsidRPr="00140C49" w:rsidRDefault="00642DD9" w:rsidP="00801C1D">
            <w:pPr>
              <w:bidi/>
              <w:spacing w:after="0" w:line="240" w:lineRule="auto"/>
              <w:rPr>
                <w:rFonts w:ascii="Times New Roman" w:hAnsi="Times New Roman" w:cs="Simplified Arabic"/>
                <w:b/>
                <w:bCs/>
                <w:sz w:val="20"/>
                <w:szCs w:val="20"/>
                <w:rtl/>
                <w:lang w:bidi="ar-KW"/>
              </w:rPr>
            </w:pPr>
            <w:r w:rsidRPr="00140C49">
              <w:rPr>
                <w:rFonts w:ascii="Times New Roman" w:hAnsi="Times New Roman" w:cs="Simplified Arabic" w:hint="cs"/>
                <w:b/>
                <w:bCs/>
                <w:sz w:val="20"/>
                <w:szCs w:val="20"/>
                <w:rtl/>
                <w:lang w:bidi="ar-KW"/>
              </w:rPr>
              <w:t>المحور الثالث</w:t>
            </w:r>
            <w:r w:rsidRPr="00140C49">
              <w:rPr>
                <w:rFonts w:ascii="Times New Roman" w:hAnsi="Times New Roman" w:cs="Simplified Arabic"/>
                <w:b/>
                <w:bCs/>
                <w:sz w:val="20"/>
                <w:szCs w:val="20"/>
                <w:rtl/>
                <w:lang w:bidi="ar-KW"/>
              </w:rPr>
              <w:t>: نجاح المشاريع الريادية</w:t>
            </w:r>
          </w:p>
        </w:tc>
      </w:tr>
      <w:tr w:rsidR="00642DD9" w:rsidRPr="00140C49" w14:paraId="590CA094" w14:textId="77777777" w:rsidTr="00140C49">
        <w:trPr>
          <w:jc w:val="center"/>
        </w:trPr>
        <w:tc>
          <w:tcPr>
            <w:tcW w:w="452" w:type="pct"/>
            <w:shd w:val="clear" w:color="auto" w:fill="auto"/>
          </w:tcPr>
          <w:p w14:paraId="33B4BD3A" w14:textId="77777777" w:rsidR="00642DD9" w:rsidRPr="00140C49" w:rsidRDefault="00642DD9">
            <w:pPr>
              <w:pStyle w:val="a3"/>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37CC2F57"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يُعتبر التمويل التشاركي أحد العوامل الأساسية لنجاح المشاريع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2F40EB3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688C187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61942AC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0C3A1D6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C872E6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2F309FBC" w14:textId="77777777" w:rsidTr="00140C49">
        <w:trPr>
          <w:jc w:val="center"/>
        </w:trPr>
        <w:tc>
          <w:tcPr>
            <w:tcW w:w="452" w:type="pct"/>
            <w:shd w:val="clear" w:color="auto" w:fill="auto"/>
          </w:tcPr>
          <w:p w14:paraId="54792235"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4622404B"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تُساهم المنصات الإلكترونية في تسهيل الوصول إلى التمويل وتعزيز فرص نجاح المشاريع</w:t>
            </w:r>
            <w:r w:rsidRPr="00140C49">
              <w:rPr>
                <w:rFonts w:ascii="Times New Roman" w:eastAsia="Times New Roman" w:hAnsi="Times New Roman" w:cs="Simplified Arabic"/>
                <w:sz w:val="20"/>
                <w:szCs w:val="20"/>
              </w:rPr>
              <w:t>.</w:t>
            </w:r>
          </w:p>
        </w:tc>
        <w:tc>
          <w:tcPr>
            <w:tcW w:w="368" w:type="pct"/>
            <w:shd w:val="clear" w:color="auto" w:fill="auto"/>
          </w:tcPr>
          <w:p w14:paraId="2B094C7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1EC68B0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41D06EA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7432A23C"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5586CB4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5A032C8F" w14:textId="77777777" w:rsidTr="00140C49">
        <w:trPr>
          <w:jc w:val="center"/>
        </w:trPr>
        <w:tc>
          <w:tcPr>
            <w:tcW w:w="452" w:type="pct"/>
            <w:shd w:val="clear" w:color="auto" w:fill="auto"/>
          </w:tcPr>
          <w:p w14:paraId="776CB354"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0289B06"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تُعد الاستثمارات المتنوعة عاملًا مساعدًا في استمرارية المشاريع الريادية</w:t>
            </w:r>
            <w:r w:rsidRPr="00140C49">
              <w:rPr>
                <w:rFonts w:ascii="Times New Roman" w:eastAsia="Times New Roman" w:hAnsi="Times New Roman" w:cs="Simplified Arabic"/>
                <w:sz w:val="20"/>
                <w:szCs w:val="20"/>
              </w:rPr>
              <w:t>.</w:t>
            </w:r>
          </w:p>
        </w:tc>
        <w:tc>
          <w:tcPr>
            <w:tcW w:w="368" w:type="pct"/>
            <w:shd w:val="clear" w:color="auto" w:fill="auto"/>
          </w:tcPr>
          <w:p w14:paraId="50CFF23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548D362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486332C9"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20A020D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A188716"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139E07E8" w14:textId="77777777" w:rsidTr="00140C49">
        <w:trPr>
          <w:trHeight w:val="56"/>
          <w:jc w:val="center"/>
        </w:trPr>
        <w:tc>
          <w:tcPr>
            <w:tcW w:w="452" w:type="pct"/>
            <w:shd w:val="clear" w:color="auto" w:fill="auto"/>
          </w:tcPr>
          <w:p w14:paraId="46D1546C"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7A09158"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يُساعد الدعم المجتمعي عبر التمويل التشاركي في بناء سمعة قوية للمشاريع الناشئة</w:t>
            </w:r>
            <w:r w:rsidRPr="00140C49">
              <w:rPr>
                <w:rFonts w:ascii="Times New Roman" w:eastAsia="Times New Roman" w:hAnsi="Times New Roman" w:cs="Simplified Arabic"/>
                <w:sz w:val="20"/>
                <w:szCs w:val="20"/>
              </w:rPr>
              <w:t>.</w:t>
            </w:r>
          </w:p>
        </w:tc>
        <w:tc>
          <w:tcPr>
            <w:tcW w:w="368" w:type="pct"/>
            <w:shd w:val="clear" w:color="auto" w:fill="auto"/>
          </w:tcPr>
          <w:p w14:paraId="15F4BC3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68E4EB8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12DB088"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0DA143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0947694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410017CB" w14:textId="77777777" w:rsidTr="00140C49">
        <w:trPr>
          <w:trHeight w:val="56"/>
          <w:jc w:val="center"/>
        </w:trPr>
        <w:tc>
          <w:tcPr>
            <w:tcW w:w="452" w:type="pct"/>
            <w:shd w:val="clear" w:color="auto" w:fill="auto"/>
          </w:tcPr>
          <w:p w14:paraId="30A21D95"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5655AFD9"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تَزيد فرص نجاح المشاريع عند توفر خطط واضحة لإدارة التمويل التشاركي</w:t>
            </w:r>
            <w:r w:rsidRPr="00140C49">
              <w:rPr>
                <w:rFonts w:ascii="Times New Roman" w:eastAsia="Times New Roman" w:hAnsi="Times New Roman" w:cs="Simplified Arabic"/>
                <w:sz w:val="20"/>
                <w:szCs w:val="20"/>
              </w:rPr>
              <w:t>.</w:t>
            </w:r>
          </w:p>
        </w:tc>
        <w:tc>
          <w:tcPr>
            <w:tcW w:w="368" w:type="pct"/>
            <w:shd w:val="clear" w:color="auto" w:fill="auto"/>
          </w:tcPr>
          <w:p w14:paraId="3048060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561D01F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1E1CB2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3E3C8B1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33B1A47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6017AB1A" w14:textId="77777777" w:rsidTr="00140C49">
        <w:trPr>
          <w:trHeight w:val="56"/>
          <w:jc w:val="center"/>
        </w:trPr>
        <w:tc>
          <w:tcPr>
            <w:tcW w:w="452" w:type="pct"/>
            <w:shd w:val="clear" w:color="auto" w:fill="auto"/>
          </w:tcPr>
          <w:p w14:paraId="3B9D8C0E"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2612CF9A"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يُساعد التمويل التشاركي على توسيع نطاق المشاريع الريادية في السوق السعودي</w:t>
            </w:r>
            <w:r w:rsidRPr="00140C49">
              <w:rPr>
                <w:rFonts w:ascii="Times New Roman" w:eastAsia="Times New Roman" w:hAnsi="Times New Roman" w:cs="Simplified Arabic"/>
                <w:sz w:val="20"/>
                <w:szCs w:val="20"/>
              </w:rPr>
              <w:t>.</w:t>
            </w:r>
          </w:p>
        </w:tc>
        <w:tc>
          <w:tcPr>
            <w:tcW w:w="368" w:type="pct"/>
            <w:shd w:val="clear" w:color="auto" w:fill="auto"/>
          </w:tcPr>
          <w:p w14:paraId="3AB30A9B"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01AAB6F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0D3A400F"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0EB82B8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4A6A0391"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07023C18" w14:textId="77777777" w:rsidTr="00140C49">
        <w:trPr>
          <w:trHeight w:val="56"/>
          <w:jc w:val="center"/>
        </w:trPr>
        <w:tc>
          <w:tcPr>
            <w:tcW w:w="452" w:type="pct"/>
            <w:shd w:val="clear" w:color="auto" w:fill="auto"/>
          </w:tcPr>
          <w:p w14:paraId="070BE94D"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6F01F52E"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تَساهم الاستراتيجيات التسويقية الفعالة في تحسين فرص المشاريع لجذب التمويل والدعم</w:t>
            </w:r>
            <w:r w:rsidRPr="00140C49">
              <w:rPr>
                <w:rFonts w:ascii="Times New Roman" w:eastAsia="Times New Roman" w:hAnsi="Times New Roman" w:cs="Simplified Arabic"/>
                <w:sz w:val="20"/>
                <w:szCs w:val="20"/>
              </w:rPr>
              <w:t>.</w:t>
            </w:r>
          </w:p>
        </w:tc>
        <w:tc>
          <w:tcPr>
            <w:tcW w:w="368" w:type="pct"/>
            <w:shd w:val="clear" w:color="auto" w:fill="auto"/>
          </w:tcPr>
          <w:p w14:paraId="3927C71E"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460EA8D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3B6FD28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4BECC5D5"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556E6414"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r w:rsidR="00642DD9" w:rsidRPr="00140C49" w14:paraId="70DA749E" w14:textId="77777777" w:rsidTr="00140C49">
        <w:trPr>
          <w:jc w:val="center"/>
        </w:trPr>
        <w:tc>
          <w:tcPr>
            <w:tcW w:w="452" w:type="pct"/>
            <w:shd w:val="clear" w:color="auto" w:fill="auto"/>
          </w:tcPr>
          <w:p w14:paraId="7BC81C9D" w14:textId="77777777" w:rsidR="00642DD9" w:rsidRPr="00140C49" w:rsidRDefault="00642DD9">
            <w:pPr>
              <w:numPr>
                <w:ilvl w:val="0"/>
                <w:numId w:val="43"/>
              </w:numPr>
              <w:bidi/>
              <w:spacing w:after="0" w:line="240" w:lineRule="auto"/>
              <w:rPr>
                <w:rFonts w:ascii="Times New Roman" w:hAnsi="Times New Roman" w:cs="Simplified Arabic"/>
                <w:sz w:val="20"/>
                <w:szCs w:val="20"/>
                <w:rtl/>
                <w:lang w:bidi="ar-KW"/>
              </w:rPr>
            </w:pPr>
          </w:p>
        </w:tc>
        <w:tc>
          <w:tcPr>
            <w:tcW w:w="2459" w:type="pct"/>
            <w:shd w:val="clear" w:color="auto" w:fill="auto"/>
          </w:tcPr>
          <w:p w14:paraId="46FEA035" w14:textId="77777777" w:rsidR="00642DD9" w:rsidRPr="00140C49" w:rsidRDefault="00642DD9" w:rsidP="00801C1D">
            <w:pPr>
              <w:bidi/>
              <w:spacing w:after="0" w:line="240" w:lineRule="auto"/>
              <w:jc w:val="both"/>
              <w:rPr>
                <w:rFonts w:ascii="Times New Roman" w:eastAsia="Times New Roman" w:hAnsi="Times New Roman" w:cs="Simplified Arabic"/>
                <w:sz w:val="20"/>
                <w:szCs w:val="20"/>
                <w:rtl/>
              </w:rPr>
            </w:pPr>
            <w:r w:rsidRPr="00140C49">
              <w:rPr>
                <w:rFonts w:ascii="Times New Roman" w:eastAsia="Times New Roman" w:hAnsi="Times New Roman" w:cs="Simplified Arabic"/>
                <w:sz w:val="20"/>
                <w:szCs w:val="20"/>
                <w:rtl/>
              </w:rPr>
              <w:t>تُعتبر البيئة القانونية والتنظيمية من العوامل المؤثرة في نجاح المشاريع المدعومة بالتمويل التشاركي</w:t>
            </w:r>
            <w:r w:rsidRPr="00140C49">
              <w:rPr>
                <w:rFonts w:ascii="Times New Roman" w:eastAsia="Times New Roman" w:hAnsi="Times New Roman" w:cs="Simplified Arabic"/>
                <w:sz w:val="20"/>
                <w:szCs w:val="20"/>
              </w:rPr>
              <w:t>.</w:t>
            </w:r>
          </w:p>
        </w:tc>
        <w:tc>
          <w:tcPr>
            <w:tcW w:w="368" w:type="pct"/>
            <w:shd w:val="clear" w:color="auto" w:fill="auto"/>
          </w:tcPr>
          <w:p w14:paraId="3154DDC2"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45" w:type="pct"/>
            <w:shd w:val="clear" w:color="auto" w:fill="auto"/>
          </w:tcPr>
          <w:p w14:paraId="1FCC206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46" w:type="pct"/>
            <w:shd w:val="clear" w:color="auto" w:fill="auto"/>
          </w:tcPr>
          <w:p w14:paraId="75043A2D"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326" w:type="pct"/>
          </w:tcPr>
          <w:p w14:paraId="3E38CEFA"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c>
          <w:tcPr>
            <w:tcW w:w="504" w:type="pct"/>
          </w:tcPr>
          <w:p w14:paraId="246925C3" w14:textId="77777777" w:rsidR="00642DD9" w:rsidRPr="00140C49" w:rsidRDefault="00642DD9" w:rsidP="00801C1D">
            <w:pPr>
              <w:bidi/>
              <w:spacing w:after="0" w:line="240" w:lineRule="auto"/>
              <w:rPr>
                <w:rFonts w:ascii="Times New Roman" w:hAnsi="Times New Roman" w:cs="Simplified Arabic"/>
                <w:sz w:val="20"/>
                <w:szCs w:val="20"/>
                <w:rtl/>
                <w:lang w:bidi="ar-KW"/>
              </w:rPr>
            </w:pPr>
          </w:p>
        </w:tc>
      </w:tr>
    </w:tbl>
    <w:p w14:paraId="07B8B5E2" w14:textId="77777777" w:rsidR="00642DD9" w:rsidRPr="00BC50C9" w:rsidRDefault="00642DD9" w:rsidP="00BC50C9">
      <w:pPr>
        <w:spacing w:before="120" w:after="120" w:line="240" w:lineRule="auto"/>
        <w:rPr>
          <w:rFonts w:ascii="Times New Roman" w:hAnsi="Times New Roman" w:cs="Simplified Arabic"/>
          <w:sz w:val="24"/>
          <w:szCs w:val="28"/>
        </w:rPr>
      </w:pPr>
    </w:p>
    <w:p w14:paraId="420F73E6" w14:textId="77777777" w:rsidR="000C45B2" w:rsidRPr="00BC50C9" w:rsidRDefault="000C45B2" w:rsidP="00140C49">
      <w:pPr>
        <w:pStyle w:val="11110"/>
        <w:bidi w:val="0"/>
        <w:rPr>
          <w:rtl/>
          <w:lang w:bidi="ar-EG"/>
        </w:rPr>
      </w:pPr>
      <w:bookmarkStart w:id="212" w:name="_Toc180209050"/>
      <w:bookmarkStart w:id="213" w:name="_Toc180209181"/>
      <w:bookmarkStart w:id="214" w:name="_Toc182050048"/>
      <w:bookmarkStart w:id="215" w:name="_Toc195456646"/>
      <w:r w:rsidRPr="00BC50C9">
        <w:rPr>
          <w:lang w:bidi="ar-EG"/>
        </w:rPr>
        <w:lastRenderedPageBreak/>
        <w:t>Abstract</w:t>
      </w:r>
      <w:bookmarkEnd w:id="212"/>
      <w:bookmarkEnd w:id="213"/>
      <w:bookmarkEnd w:id="214"/>
      <w:bookmarkEnd w:id="215"/>
    </w:p>
    <w:p w14:paraId="20A75F14" w14:textId="77777777" w:rsidR="001074C7" w:rsidRPr="00BB1161" w:rsidRDefault="001074C7" w:rsidP="001074C7">
      <w:pPr>
        <w:bidi/>
        <w:spacing w:before="120" w:after="120" w:line="240" w:lineRule="auto"/>
        <w:jc w:val="both"/>
        <w:rPr>
          <w:rFonts w:ascii="Times New Roman" w:hAnsi="Times New Roman" w:cs="Simplified Arabic"/>
          <w:b/>
          <w:bCs/>
          <w:sz w:val="24"/>
          <w:szCs w:val="28"/>
          <w:rtl/>
          <w:lang w:bidi="ar-EG"/>
        </w:rPr>
      </w:pPr>
      <w:r w:rsidRPr="00BC50C9">
        <w:rPr>
          <w:rFonts w:ascii="Times New Roman" w:hAnsi="Times New Roman" w:cs="Simplified Arabic"/>
          <w:b/>
          <w:bCs/>
          <w:sz w:val="24"/>
          <w:szCs w:val="28"/>
          <w:lang w:bidi="ar-EG"/>
        </w:rPr>
        <w:t>A Proposed Strategy for Developing an Electronic Platform Based on Participatory Financing to Support Entrepreneurial Projects and Enhance Financial Sustainability</w:t>
      </w:r>
    </w:p>
    <w:p w14:paraId="5F16CF2B" w14:textId="77777777" w:rsidR="001074C7" w:rsidRPr="00B41AC2" w:rsidRDefault="001074C7" w:rsidP="00140C49">
      <w:pPr>
        <w:pStyle w:val="00000"/>
        <w:bidi w:val="0"/>
      </w:pPr>
      <w:r w:rsidRPr="00B41AC2">
        <w:t xml:space="preserve">The study aimed to identify the reality of using participatory financing in electronic platforms in the Kingdom of Saudi Arabia, to identify the relative </w:t>
      </w:r>
      <w:r>
        <w:t xml:space="preserve">importance </w:t>
      </w:r>
      <w:r w:rsidRPr="00B41AC2">
        <w:t>of supporting entrepreneurial projects in the Kingdom of Saudi Arabia, and to explore the impact of reward-based financing on financial sustainability in the Kingdom of Saudi Arabia. The study population consisted of all parties concerned with participatory financing and entrepreneurial projects in the Kingdom of Saudi Arabia</w:t>
      </w:r>
      <w:r>
        <w:t>. These</w:t>
      </w:r>
      <w:r w:rsidRPr="00B41AC2">
        <w:t xml:space="preserve"> can be divided into different categories</w:t>
      </w:r>
      <w:r>
        <w:t>:</w:t>
      </w:r>
      <w:r w:rsidRPr="00B41AC2">
        <w:t xml:space="preserve"> investors, entrepreneurial projects, experts, and supporting institutions. The study sample in</w:t>
      </w:r>
      <w:r>
        <w:t>volved</w:t>
      </w:r>
      <w:r w:rsidRPr="00B41AC2">
        <w:t xml:space="preserve"> (384) individuals. The researcher used the descriptive approach as a study method and employed the questionnaire as a tool for data collection. The results concluded that the level of using participatory financing on electronic platforms in the Kingdom of Saudi Arabia was high. The first dimension</w:t>
      </w:r>
      <w:r>
        <w:t>,</w:t>
      </w:r>
      <w:r w:rsidRPr="00B41AC2">
        <w:t xml:space="preserve"> donation funding</w:t>
      </w:r>
      <w:r>
        <w:t>,</w:t>
      </w:r>
      <w:r w:rsidRPr="00B41AC2">
        <w:t xml:space="preserve"> came in first place, followed by the third dimension</w:t>
      </w:r>
      <w:r>
        <w:t>,</w:t>
      </w:r>
      <w:r w:rsidRPr="00B41AC2">
        <w:t xml:space="preserve"> mixed participatory financing, while the second dimension</w:t>
      </w:r>
      <w:r>
        <w:t>,</w:t>
      </w:r>
      <w:r w:rsidRPr="00B41AC2">
        <w:t xml:space="preserve"> reward-based funding</w:t>
      </w:r>
      <w:r>
        <w:t>,</w:t>
      </w:r>
      <w:r w:rsidRPr="00B41AC2">
        <w:t xml:space="preserve"> came in last place. All dimensions of the first axis had a (high) response level. The relative importance of supporting entrepreneurial projects in the Kingdom of Saudi Arabia scored a (high) level</w:t>
      </w:r>
      <w:r>
        <w:t>. At the same time,</w:t>
      </w:r>
      <w:r w:rsidRPr="00B41AC2">
        <w:t xml:space="preserve"> it was shown that </w:t>
      </w:r>
      <w:r>
        <w:t>reward-based funding has a statistically significant positive impact</w:t>
      </w:r>
      <w:r w:rsidRPr="00B41AC2">
        <w:t xml:space="preserve"> on financial sustainability in the Kingdom of Saudi Arabia. The value of (R) was (0.682a) with a </w:t>
      </w:r>
      <w:proofErr w:type="gramStart"/>
      <w:r w:rsidRPr="00B41AC2">
        <w:t>significance</w:t>
      </w:r>
      <w:proofErr w:type="gramEnd"/>
      <w:r w:rsidRPr="00B41AC2">
        <w:t xml:space="preserve"> level of (0.000b). Thus, the hypothesis </w:t>
      </w:r>
      <w:r>
        <w:t xml:space="preserve">was </w:t>
      </w:r>
      <w:r w:rsidRPr="00B41AC2">
        <w:t xml:space="preserve">rejected, as this type of funding allows entrepreneurs to obtain financial support by providing tangible benefits to investors, </w:t>
      </w:r>
      <w:r>
        <w:t>encouraging</w:t>
      </w:r>
      <w:r w:rsidRPr="00B41AC2">
        <w:t xml:space="preserve"> increased participation by individuals and investors, thereby providing the necessary financial resources for project development.</w:t>
      </w:r>
    </w:p>
    <w:p w14:paraId="091699E3" w14:textId="77777777" w:rsidR="001074C7" w:rsidRPr="00B41AC2" w:rsidRDefault="001074C7" w:rsidP="00140C49">
      <w:pPr>
        <w:pStyle w:val="00000"/>
        <w:bidi w:val="0"/>
      </w:pPr>
      <w:r w:rsidRPr="00B41AC2">
        <w:t>The study recommended that there is a necessity for organizing online workshops and seminars to enhance knowledge about participatory financing and the need to establish clear mechanisms for monitoring and evaluating projects, which would increase investor confidence.</w:t>
      </w:r>
    </w:p>
    <w:p w14:paraId="431A5735" w14:textId="77777777" w:rsidR="001074C7" w:rsidRPr="00B41AC2" w:rsidRDefault="001074C7" w:rsidP="00140C49">
      <w:pPr>
        <w:pStyle w:val="00000"/>
        <w:bidi w:val="0"/>
        <w:ind w:firstLine="0"/>
      </w:pPr>
      <w:r w:rsidRPr="00BB1161">
        <w:rPr>
          <w:b/>
          <w:bCs/>
        </w:rPr>
        <w:t>Keywords</w:t>
      </w:r>
      <w:r w:rsidRPr="00B41AC2">
        <w:t>: proposed strategy, electronic platform, participatory financing, entrepreneurial projects, financial sustainability.</w:t>
      </w:r>
    </w:p>
    <w:p w14:paraId="23279F1A" w14:textId="036C3BE7" w:rsidR="000C45B2" w:rsidRPr="00BC50C9" w:rsidRDefault="000C45B2" w:rsidP="00BC50C9">
      <w:pPr>
        <w:pStyle w:val="a4"/>
        <w:spacing w:before="120" w:after="120"/>
        <w:ind w:left="1080" w:hanging="1080"/>
        <w:jc w:val="both"/>
        <w:rPr>
          <w:rFonts w:ascii="Times New Roman" w:hAnsi="Times New Roman" w:cs="Simplified Arabic"/>
          <w:sz w:val="24"/>
          <w:szCs w:val="28"/>
          <w:lang w:bidi="ar-EG"/>
        </w:rPr>
      </w:pPr>
    </w:p>
    <w:sectPr w:rsidR="000C45B2" w:rsidRPr="00BC50C9" w:rsidSect="001D6498">
      <w:footerReference w:type="default" r:id="rId32"/>
      <w:footerReference w:type="first" r:id="rId33"/>
      <w:pgSz w:w="11907" w:h="16840" w:code="9"/>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10460" w14:textId="77777777" w:rsidR="008467BC" w:rsidRDefault="008467BC" w:rsidP="00054C5F">
      <w:pPr>
        <w:spacing w:after="0" w:line="240" w:lineRule="auto"/>
      </w:pPr>
      <w:r>
        <w:separator/>
      </w:r>
    </w:p>
  </w:endnote>
  <w:endnote w:type="continuationSeparator" w:id="0">
    <w:p w14:paraId="78FE95C5" w14:textId="77777777" w:rsidR="008467BC" w:rsidRDefault="008467BC" w:rsidP="0005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818504"/>
      <w:docPartObj>
        <w:docPartGallery w:val="Page Numbers (Bottom of Page)"/>
        <w:docPartUnique/>
      </w:docPartObj>
    </w:sdtPr>
    <w:sdtContent>
      <w:p w14:paraId="098489AC" w14:textId="33490DC1" w:rsidR="00252DC5" w:rsidRDefault="00252DC5" w:rsidP="00252DC5">
        <w:pPr>
          <w:pStyle w:val="a7"/>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000307"/>
      <w:docPartObj>
        <w:docPartGallery w:val="Page Numbers (Bottom of Page)"/>
        <w:docPartUnique/>
      </w:docPartObj>
    </w:sdtPr>
    <w:sdtContent>
      <w:p w14:paraId="19ED9EE3" w14:textId="77777777" w:rsidR="001D6498" w:rsidRDefault="001D6498" w:rsidP="00252DC5">
        <w:pPr>
          <w:pStyle w:val="a7"/>
          <w:jc w:val="center"/>
        </w:pPr>
        <w:r>
          <w:fldChar w:fldCharType="begin"/>
        </w:r>
        <w:r>
          <w:instrText>PAGE   \* MERGEFORMAT</w:instrText>
        </w:r>
        <w:r>
          <w:fldChar w:fldCharType="separate"/>
        </w:r>
        <w:r>
          <w:rPr>
            <w:rtl/>
            <w:lang w:val="ar-SA"/>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CB7B" w14:textId="77777777" w:rsidR="001D6498" w:rsidRDefault="001D64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22255" w14:textId="77777777" w:rsidR="008467BC" w:rsidRDefault="008467BC" w:rsidP="00054C5F">
      <w:pPr>
        <w:spacing w:after="0" w:line="240" w:lineRule="auto"/>
      </w:pPr>
      <w:r>
        <w:separator/>
      </w:r>
    </w:p>
  </w:footnote>
  <w:footnote w:type="continuationSeparator" w:id="0">
    <w:p w14:paraId="0168F3FC" w14:textId="77777777" w:rsidR="008467BC" w:rsidRDefault="008467BC" w:rsidP="00054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B80CE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60253949" o:spid="_x0000_i1025" type="#_x0000_t75" style="width:9.75pt;height:9.75pt;visibility:visible;mso-wrap-style:square">
            <v:imagedata r:id="rId1" o:title=""/>
          </v:shape>
        </w:pict>
      </mc:Choice>
      <mc:Fallback>
        <w:drawing>
          <wp:inline distT="0" distB="0" distL="0" distR="0" wp14:anchorId="3C907E9B" wp14:editId="0E55D08F">
            <wp:extent cx="123825" cy="123825"/>
            <wp:effectExtent l="0" t="0" r="0" b="0"/>
            <wp:docPr id="60253949" name="صورة 6025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mc:Fallback>
    </mc:AlternateContent>
  </w:numPicBullet>
  <w:abstractNum w:abstractNumId="0" w15:restartNumberingAfterBreak="0">
    <w:nsid w:val="012236B5"/>
    <w:multiLevelType w:val="hybridMultilevel"/>
    <w:tmpl w:val="654A20CC"/>
    <w:lvl w:ilvl="0" w:tplc="38B00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E5093"/>
    <w:multiLevelType w:val="hybridMultilevel"/>
    <w:tmpl w:val="B196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14EF4"/>
    <w:multiLevelType w:val="hybridMultilevel"/>
    <w:tmpl w:val="B0BCA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6F6B50"/>
    <w:multiLevelType w:val="multilevel"/>
    <w:tmpl w:val="667C2E8A"/>
    <w:lvl w:ilvl="0">
      <w:start w:val="4"/>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B6B1D"/>
    <w:multiLevelType w:val="hybridMultilevel"/>
    <w:tmpl w:val="7AF47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B0215B"/>
    <w:multiLevelType w:val="multilevel"/>
    <w:tmpl w:val="9BF45DEA"/>
    <w:lvl w:ilvl="0">
      <w:start w:val="4"/>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54D88"/>
    <w:multiLevelType w:val="hybridMultilevel"/>
    <w:tmpl w:val="A580B580"/>
    <w:lvl w:ilvl="0" w:tplc="44D2BE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84D27BD"/>
    <w:multiLevelType w:val="hybridMultilevel"/>
    <w:tmpl w:val="5C547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957CAF"/>
    <w:multiLevelType w:val="hybridMultilevel"/>
    <w:tmpl w:val="0700CD28"/>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8AE19B5"/>
    <w:multiLevelType w:val="hybridMultilevel"/>
    <w:tmpl w:val="F7344730"/>
    <w:lvl w:ilvl="0" w:tplc="F5F2DE9E">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BC8323A"/>
    <w:multiLevelType w:val="multilevel"/>
    <w:tmpl w:val="332A521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427A80"/>
    <w:multiLevelType w:val="hybridMultilevel"/>
    <w:tmpl w:val="28C439A2"/>
    <w:lvl w:ilvl="0" w:tplc="2D7403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8F108C5"/>
    <w:multiLevelType w:val="hybridMultilevel"/>
    <w:tmpl w:val="E3D06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625850"/>
    <w:multiLevelType w:val="hybridMultilevel"/>
    <w:tmpl w:val="45D0ABCC"/>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6A0E2F"/>
    <w:multiLevelType w:val="hybridMultilevel"/>
    <w:tmpl w:val="9CB09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7E638B"/>
    <w:multiLevelType w:val="hybridMultilevel"/>
    <w:tmpl w:val="4EA6B5A8"/>
    <w:lvl w:ilvl="0" w:tplc="F5F2DE9E">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C7605A9"/>
    <w:multiLevelType w:val="multilevel"/>
    <w:tmpl w:val="C42A2B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302045"/>
    <w:multiLevelType w:val="hybridMultilevel"/>
    <w:tmpl w:val="3A7CF214"/>
    <w:lvl w:ilvl="0" w:tplc="8520A9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05C2082"/>
    <w:multiLevelType w:val="hybridMultilevel"/>
    <w:tmpl w:val="83C4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193393"/>
    <w:multiLevelType w:val="multilevel"/>
    <w:tmpl w:val="7A3A7F36"/>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9303F2"/>
    <w:multiLevelType w:val="hybridMultilevel"/>
    <w:tmpl w:val="35BA8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1F7E6F"/>
    <w:multiLevelType w:val="hybridMultilevel"/>
    <w:tmpl w:val="903021E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0BA1A0F"/>
    <w:multiLevelType w:val="hybridMultilevel"/>
    <w:tmpl w:val="D7B03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3030F3"/>
    <w:multiLevelType w:val="hybridMultilevel"/>
    <w:tmpl w:val="49DE3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1F7FF1"/>
    <w:multiLevelType w:val="hybridMultilevel"/>
    <w:tmpl w:val="B868E0AA"/>
    <w:lvl w:ilvl="0" w:tplc="E6E6AC6C">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29701AC"/>
    <w:multiLevelType w:val="hybridMultilevel"/>
    <w:tmpl w:val="B03A342C"/>
    <w:lvl w:ilvl="0" w:tplc="F5F2DE9E">
      <w:start w:val="1"/>
      <w:numFmt w:val="decimal"/>
      <w:lvlText w:val="%1."/>
      <w:lvlJc w:val="lef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B541E2"/>
    <w:multiLevelType w:val="multilevel"/>
    <w:tmpl w:val="8A3A3D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4A173D"/>
    <w:multiLevelType w:val="hybridMultilevel"/>
    <w:tmpl w:val="6072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BD4048"/>
    <w:multiLevelType w:val="hybridMultilevel"/>
    <w:tmpl w:val="74AC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451923"/>
    <w:multiLevelType w:val="hybridMultilevel"/>
    <w:tmpl w:val="568241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FBD6BAB"/>
    <w:multiLevelType w:val="multilevel"/>
    <w:tmpl w:val="AB14BBCA"/>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E74874"/>
    <w:multiLevelType w:val="hybridMultilevel"/>
    <w:tmpl w:val="8AEE70C4"/>
    <w:lvl w:ilvl="0" w:tplc="E6E6AC6C">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C3D12F5"/>
    <w:multiLevelType w:val="multilevel"/>
    <w:tmpl w:val="C89C90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1647E0"/>
    <w:multiLevelType w:val="hybridMultilevel"/>
    <w:tmpl w:val="B5D8C132"/>
    <w:lvl w:ilvl="0" w:tplc="3B326022">
      <w:start w:val="1"/>
      <w:numFmt w:val="decimal"/>
      <w:lvlText w:val="%1-"/>
      <w:lvlJc w:val="left"/>
      <w:pPr>
        <w:tabs>
          <w:tab w:val="num" w:pos="615"/>
        </w:tabs>
        <w:ind w:left="615" w:hanging="435"/>
      </w:pPr>
      <w:rPr>
        <w:rFonts w:hint="default"/>
        <w:b/>
        <w:bCs/>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03552BE"/>
    <w:multiLevelType w:val="hybridMultilevel"/>
    <w:tmpl w:val="165069D6"/>
    <w:lvl w:ilvl="0" w:tplc="F5F2DE9E">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0D40B21"/>
    <w:multiLevelType w:val="hybridMultilevel"/>
    <w:tmpl w:val="58DE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1654C51"/>
    <w:multiLevelType w:val="hybridMultilevel"/>
    <w:tmpl w:val="F6DE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355C8D"/>
    <w:multiLevelType w:val="hybridMultilevel"/>
    <w:tmpl w:val="3F6C7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D83E60"/>
    <w:multiLevelType w:val="hybridMultilevel"/>
    <w:tmpl w:val="1DBC2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CC0232"/>
    <w:multiLevelType w:val="hybridMultilevel"/>
    <w:tmpl w:val="87D21A1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707BED"/>
    <w:multiLevelType w:val="multilevel"/>
    <w:tmpl w:val="E764AA8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BA501E"/>
    <w:multiLevelType w:val="hybridMultilevel"/>
    <w:tmpl w:val="9DF8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AA67F0"/>
    <w:multiLevelType w:val="hybridMultilevel"/>
    <w:tmpl w:val="15AEFB8A"/>
    <w:lvl w:ilvl="0" w:tplc="3A2045EA">
      <w:start w:val="1"/>
      <w:numFmt w:val="bullet"/>
      <w:lvlText w:val=""/>
      <w:lvlJc w:val="left"/>
      <w:pPr>
        <w:ind w:left="360" w:hanging="360"/>
      </w:pPr>
      <w:rPr>
        <w:rFonts w:ascii="Symbol" w:hAnsi="Symbol" w:hint="default"/>
        <w:sz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88F7DA1"/>
    <w:multiLevelType w:val="hybridMultilevel"/>
    <w:tmpl w:val="21F650A8"/>
    <w:lvl w:ilvl="0" w:tplc="ED4AE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A0218D0"/>
    <w:multiLevelType w:val="multilevel"/>
    <w:tmpl w:val="53683C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7E5C83"/>
    <w:multiLevelType w:val="hybridMultilevel"/>
    <w:tmpl w:val="E1063D5E"/>
    <w:lvl w:ilvl="0" w:tplc="F5F2DE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F5559F1"/>
    <w:multiLevelType w:val="hybridMultilevel"/>
    <w:tmpl w:val="61BE4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06551B"/>
    <w:multiLevelType w:val="hybridMultilevel"/>
    <w:tmpl w:val="CC660B2E"/>
    <w:lvl w:ilvl="0" w:tplc="E5D482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171A9A"/>
    <w:multiLevelType w:val="hybridMultilevel"/>
    <w:tmpl w:val="D4EABCBA"/>
    <w:lvl w:ilvl="0" w:tplc="54ACD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3EF760C"/>
    <w:multiLevelType w:val="hybridMultilevel"/>
    <w:tmpl w:val="05C6B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885356"/>
    <w:multiLevelType w:val="hybridMultilevel"/>
    <w:tmpl w:val="B66CC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6C1129"/>
    <w:multiLevelType w:val="hybridMultilevel"/>
    <w:tmpl w:val="962A7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A2590B"/>
    <w:multiLevelType w:val="hybridMultilevel"/>
    <w:tmpl w:val="71B46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052D0C"/>
    <w:multiLevelType w:val="hybridMultilevel"/>
    <w:tmpl w:val="E7541DDE"/>
    <w:lvl w:ilvl="0" w:tplc="F5F2DE9E">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92D046B"/>
    <w:multiLevelType w:val="hybridMultilevel"/>
    <w:tmpl w:val="3E665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2E39F7"/>
    <w:multiLevelType w:val="hybridMultilevel"/>
    <w:tmpl w:val="D590A5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E573342"/>
    <w:multiLevelType w:val="hybridMultilevel"/>
    <w:tmpl w:val="FF6EBE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E6113C4"/>
    <w:multiLevelType w:val="hybridMultilevel"/>
    <w:tmpl w:val="E640D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854082">
    <w:abstractNumId w:val="29"/>
  </w:num>
  <w:num w:numId="2" w16cid:durableId="1381326471">
    <w:abstractNumId w:val="52"/>
  </w:num>
  <w:num w:numId="3" w16cid:durableId="1022784420">
    <w:abstractNumId w:val="38"/>
  </w:num>
  <w:num w:numId="4" w16cid:durableId="691687226">
    <w:abstractNumId w:val="54"/>
  </w:num>
  <w:num w:numId="5" w16cid:durableId="1423724071">
    <w:abstractNumId w:val="12"/>
  </w:num>
  <w:num w:numId="6" w16cid:durableId="422648220">
    <w:abstractNumId w:val="51"/>
  </w:num>
  <w:num w:numId="7" w16cid:durableId="1103259269">
    <w:abstractNumId w:val="48"/>
  </w:num>
  <w:num w:numId="8" w16cid:durableId="1538351373">
    <w:abstractNumId w:val="14"/>
  </w:num>
  <w:num w:numId="9" w16cid:durableId="1048647925">
    <w:abstractNumId w:val="40"/>
  </w:num>
  <w:num w:numId="10" w16cid:durableId="1133254550">
    <w:abstractNumId w:val="39"/>
  </w:num>
  <w:num w:numId="11" w16cid:durableId="540482889">
    <w:abstractNumId w:val="50"/>
  </w:num>
  <w:num w:numId="12" w16cid:durableId="576399861">
    <w:abstractNumId w:val="55"/>
  </w:num>
  <w:num w:numId="13" w16cid:durableId="1156456603">
    <w:abstractNumId w:val="59"/>
  </w:num>
  <w:num w:numId="14" w16cid:durableId="31344192">
    <w:abstractNumId w:val="7"/>
  </w:num>
  <w:num w:numId="15" w16cid:durableId="1815829220">
    <w:abstractNumId w:val="37"/>
  </w:num>
  <w:num w:numId="16" w16cid:durableId="51118817">
    <w:abstractNumId w:val="53"/>
  </w:num>
  <w:num w:numId="17" w16cid:durableId="877863457">
    <w:abstractNumId w:val="1"/>
  </w:num>
  <w:num w:numId="18" w16cid:durableId="488637822">
    <w:abstractNumId w:val="57"/>
  </w:num>
  <w:num w:numId="19" w16cid:durableId="716927705">
    <w:abstractNumId w:val="49"/>
  </w:num>
  <w:num w:numId="20" w16cid:durableId="247346877">
    <w:abstractNumId w:val="28"/>
  </w:num>
  <w:num w:numId="21" w16cid:durableId="85736008">
    <w:abstractNumId w:val="2"/>
  </w:num>
  <w:num w:numId="22" w16cid:durableId="215239994">
    <w:abstractNumId w:val="58"/>
  </w:num>
  <w:num w:numId="23" w16cid:durableId="1258558901">
    <w:abstractNumId w:val="18"/>
  </w:num>
  <w:num w:numId="24" w16cid:durableId="869104148">
    <w:abstractNumId w:val="43"/>
  </w:num>
  <w:num w:numId="25" w16cid:durableId="437409737">
    <w:abstractNumId w:val="22"/>
  </w:num>
  <w:num w:numId="26" w16cid:durableId="924341298">
    <w:abstractNumId w:val="23"/>
  </w:num>
  <w:num w:numId="27" w16cid:durableId="236329559">
    <w:abstractNumId w:val="20"/>
  </w:num>
  <w:num w:numId="28" w16cid:durableId="1263294543">
    <w:abstractNumId w:val="11"/>
  </w:num>
  <w:num w:numId="29" w16cid:durableId="1237476409">
    <w:abstractNumId w:val="0"/>
  </w:num>
  <w:num w:numId="30" w16cid:durableId="1936864143">
    <w:abstractNumId w:val="46"/>
  </w:num>
  <w:num w:numId="31" w16cid:durableId="1652755226">
    <w:abstractNumId w:val="6"/>
  </w:num>
  <w:num w:numId="32" w16cid:durableId="1506705194">
    <w:abstractNumId w:val="17"/>
  </w:num>
  <w:num w:numId="33" w16cid:durableId="324825403">
    <w:abstractNumId w:val="34"/>
  </w:num>
  <w:num w:numId="34" w16cid:durableId="45299632">
    <w:abstractNumId w:val="60"/>
  </w:num>
  <w:num w:numId="35" w16cid:durableId="2015765971">
    <w:abstractNumId w:val="44"/>
  </w:num>
  <w:num w:numId="36" w16cid:durableId="383523921">
    <w:abstractNumId w:val="45"/>
  </w:num>
  <w:num w:numId="37" w16cid:durableId="1920210513">
    <w:abstractNumId w:val="26"/>
  </w:num>
  <w:num w:numId="38" w16cid:durableId="952905605">
    <w:abstractNumId w:val="31"/>
  </w:num>
  <w:num w:numId="39" w16cid:durableId="946548376">
    <w:abstractNumId w:val="3"/>
  </w:num>
  <w:num w:numId="40" w16cid:durableId="955409156">
    <w:abstractNumId w:val="5"/>
  </w:num>
  <w:num w:numId="41" w16cid:durableId="1019621436">
    <w:abstractNumId w:val="32"/>
  </w:num>
  <w:num w:numId="42" w16cid:durableId="1452552416">
    <w:abstractNumId w:val="24"/>
  </w:num>
  <w:num w:numId="43" w16cid:durableId="168835314">
    <w:abstractNumId w:val="35"/>
  </w:num>
  <w:num w:numId="44" w16cid:durableId="459155895">
    <w:abstractNumId w:val="33"/>
  </w:num>
  <w:num w:numId="45" w16cid:durableId="1411006898">
    <w:abstractNumId w:val="42"/>
  </w:num>
  <w:num w:numId="46" w16cid:durableId="1207718789">
    <w:abstractNumId w:val="16"/>
  </w:num>
  <w:num w:numId="47" w16cid:durableId="650059613">
    <w:abstractNumId w:val="27"/>
  </w:num>
  <w:num w:numId="48" w16cid:durableId="1379233847">
    <w:abstractNumId w:val="47"/>
  </w:num>
  <w:num w:numId="49" w16cid:durableId="1979801300">
    <w:abstractNumId w:val="19"/>
  </w:num>
  <w:num w:numId="50" w16cid:durableId="1134449826">
    <w:abstractNumId w:val="10"/>
  </w:num>
  <w:num w:numId="51" w16cid:durableId="1203711163">
    <w:abstractNumId w:val="21"/>
  </w:num>
  <w:num w:numId="52" w16cid:durableId="572817009">
    <w:abstractNumId w:val="9"/>
  </w:num>
  <w:num w:numId="53" w16cid:durableId="542182419">
    <w:abstractNumId w:val="56"/>
  </w:num>
  <w:num w:numId="54" w16cid:durableId="209608841">
    <w:abstractNumId w:val="25"/>
  </w:num>
  <w:num w:numId="55" w16cid:durableId="100339199">
    <w:abstractNumId w:val="15"/>
  </w:num>
  <w:num w:numId="56" w16cid:durableId="1035278315">
    <w:abstractNumId w:val="36"/>
  </w:num>
  <w:num w:numId="57" w16cid:durableId="252128652">
    <w:abstractNumId w:val="8"/>
  </w:num>
  <w:num w:numId="58" w16cid:durableId="1545292659">
    <w:abstractNumId w:val="41"/>
  </w:num>
  <w:num w:numId="59" w16cid:durableId="899630091">
    <w:abstractNumId w:val="13"/>
  </w:num>
  <w:num w:numId="60" w16cid:durableId="1432318343">
    <w:abstractNumId w:val="4"/>
  </w:num>
  <w:num w:numId="61" w16cid:durableId="324555705">
    <w:abstractNumId w:val="3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034B64"/>
    <w:rsid w:val="00002A0F"/>
    <w:rsid w:val="00011B67"/>
    <w:rsid w:val="00013C75"/>
    <w:rsid w:val="00022816"/>
    <w:rsid w:val="000273B7"/>
    <w:rsid w:val="00027492"/>
    <w:rsid w:val="00034B64"/>
    <w:rsid w:val="00036697"/>
    <w:rsid w:val="00040FC4"/>
    <w:rsid w:val="00042AA4"/>
    <w:rsid w:val="0004377A"/>
    <w:rsid w:val="00054C5F"/>
    <w:rsid w:val="000563C1"/>
    <w:rsid w:val="00056C7C"/>
    <w:rsid w:val="00065235"/>
    <w:rsid w:val="00087983"/>
    <w:rsid w:val="000904AB"/>
    <w:rsid w:val="000B1F48"/>
    <w:rsid w:val="000B3939"/>
    <w:rsid w:val="000B43B5"/>
    <w:rsid w:val="000C03F8"/>
    <w:rsid w:val="000C45B2"/>
    <w:rsid w:val="000D517B"/>
    <w:rsid w:val="000E4A64"/>
    <w:rsid w:val="000E5327"/>
    <w:rsid w:val="000F1D70"/>
    <w:rsid w:val="00100362"/>
    <w:rsid w:val="00103CD9"/>
    <w:rsid w:val="001048F4"/>
    <w:rsid w:val="001055BF"/>
    <w:rsid w:val="001074C7"/>
    <w:rsid w:val="00111534"/>
    <w:rsid w:val="001156E5"/>
    <w:rsid w:val="00117069"/>
    <w:rsid w:val="001224C2"/>
    <w:rsid w:val="00122C28"/>
    <w:rsid w:val="0012475B"/>
    <w:rsid w:val="00124843"/>
    <w:rsid w:val="00127D4D"/>
    <w:rsid w:val="001311D1"/>
    <w:rsid w:val="001356F8"/>
    <w:rsid w:val="00140C49"/>
    <w:rsid w:val="0014181B"/>
    <w:rsid w:val="00146813"/>
    <w:rsid w:val="00150016"/>
    <w:rsid w:val="00151F97"/>
    <w:rsid w:val="001520A7"/>
    <w:rsid w:val="00152E98"/>
    <w:rsid w:val="00162B9B"/>
    <w:rsid w:val="00163F2D"/>
    <w:rsid w:val="00181F8E"/>
    <w:rsid w:val="001872B9"/>
    <w:rsid w:val="001878E4"/>
    <w:rsid w:val="001A21C3"/>
    <w:rsid w:val="001A2558"/>
    <w:rsid w:val="001A62CE"/>
    <w:rsid w:val="001C3F76"/>
    <w:rsid w:val="001C44DB"/>
    <w:rsid w:val="001C59C3"/>
    <w:rsid w:val="001D49CD"/>
    <w:rsid w:val="001D6498"/>
    <w:rsid w:val="001E0A0D"/>
    <w:rsid w:val="001E40D5"/>
    <w:rsid w:val="001E5759"/>
    <w:rsid w:val="001E6DC2"/>
    <w:rsid w:val="001E72B9"/>
    <w:rsid w:val="001F0094"/>
    <w:rsid w:val="001F5273"/>
    <w:rsid w:val="00201228"/>
    <w:rsid w:val="00212D6F"/>
    <w:rsid w:val="002175EE"/>
    <w:rsid w:val="0022009B"/>
    <w:rsid w:val="00225550"/>
    <w:rsid w:val="00225841"/>
    <w:rsid w:val="00237FB7"/>
    <w:rsid w:val="0024107F"/>
    <w:rsid w:val="00252DC5"/>
    <w:rsid w:val="00262F52"/>
    <w:rsid w:val="0027679E"/>
    <w:rsid w:val="002779C6"/>
    <w:rsid w:val="002817AA"/>
    <w:rsid w:val="00285400"/>
    <w:rsid w:val="0029273F"/>
    <w:rsid w:val="00294CA6"/>
    <w:rsid w:val="002A29BB"/>
    <w:rsid w:val="002A7999"/>
    <w:rsid w:val="002C2F42"/>
    <w:rsid w:val="002C5250"/>
    <w:rsid w:val="002C5D26"/>
    <w:rsid w:val="002D3447"/>
    <w:rsid w:val="002D4119"/>
    <w:rsid w:val="002D6864"/>
    <w:rsid w:val="002D78FE"/>
    <w:rsid w:val="002E743D"/>
    <w:rsid w:val="002F1B79"/>
    <w:rsid w:val="002F237A"/>
    <w:rsid w:val="0030036A"/>
    <w:rsid w:val="00310F00"/>
    <w:rsid w:val="0031143B"/>
    <w:rsid w:val="00317BC8"/>
    <w:rsid w:val="00327D24"/>
    <w:rsid w:val="0033156B"/>
    <w:rsid w:val="00341C7C"/>
    <w:rsid w:val="00342CFB"/>
    <w:rsid w:val="003552B3"/>
    <w:rsid w:val="00360EFE"/>
    <w:rsid w:val="00371305"/>
    <w:rsid w:val="0037695B"/>
    <w:rsid w:val="0038455E"/>
    <w:rsid w:val="003905C0"/>
    <w:rsid w:val="00395246"/>
    <w:rsid w:val="00395D53"/>
    <w:rsid w:val="003B0D57"/>
    <w:rsid w:val="003C0B07"/>
    <w:rsid w:val="003D2B4B"/>
    <w:rsid w:val="003E0B0D"/>
    <w:rsid w:val="003F5AEA"/>
    <w:rsid w:val="00415630"/>
    <w:rsid w:val="004177F4"/>
    <w:rsid w:val="0043416E"/>
    <w:rsid w:val="00440AEF"/>
    <w:rsid w:val="00441DDE"/>
    <w:rsid w:val="00456FDD"/>
    <w:rsid w:val="004634FE"/>
    <w:rsid w:val="00464550"/>
    <w:rsid w:val="00483EB4"/>
    <w:rsid w:val="004862A3"/>
    <w:rsid w:val="004903E6"/>
    <w:rsid w:val="004A04FB"/>
    <w:rsid w:val="004A1F5A"/>
    <w:rsid w:val="004A2544"/>
    <w:rsid w:val="004A352D"/>
    <w:rsid w:val="004C2563"/>
    <w:rsid w:val="004C5843"/>
    <w:rsid w:val="004E7F59"/>
    <w:rsid w:val="00517307"/>
    <w:rsid w:val="00520864"/>
    <w:rsid w:val="00520AEE"/>
    <w:rsid w:val="00523960"/>
    <w:rsid w:val="00524AD6"/>
    <w:rsid w:val="00532257"/>
    <w:rsid w:val="005366C4"/>
    <w:rsid w:val="0055343F"/>
    <w:rsid w:val="005573DF"/>
    <w:rsid w:val="00564A5D"/>
    <w:rsid w:val="005663C5"/>
    <w:rsid w:val="005824FA"/>
    <w:rsid w:val="00583D37"/>
    <w:rsid w:val="005848C9"/>
    <w:rsid w:val="00587462"/>
    <w:rsid w:val="005942F4"/>
    <w:rsid w:val="005960EA"/>
    <w:rsid w:val="005A4C67"/>
    <w:rsid w:val="005C532D"/>
    <w:rsid w:val="005D5C3D"/>
    <w:rsid w:val="005E179E"/>
    <w:rsid w:val="005E4B54"/>
    <w:rsid w:val="00604D1B"/>
    <w:rsid w:val="00615356"/>
    <w:rsid w:val="00620AE4"/>
    <w:rsid w:val="00625E0C"/>
    <w:rsid w:val="0063229C"/>
    <w:rsid w:val="00634A36"/>
    <w:rsid w:val="00636FCD"/>
    <w:rsid w:val="00642DD9"/>
    <w:rsid w:val="006450B4"/>
    <w:rsid w:val="00653A84"/>
    <w:rsid w:val="00661304"/>
    <w:rsid w:val="00661383"/>
    <w:rsid w:val="00670D54"/>
    <w:rsid w:val="00691DD3"/>
    <w:rsid w:val="006924D9"/>
    <w:rsid w:val="006A270A"/>
    <w:rsid w:val="006A29A4"/>
    <w:rsid w:val="006B3100"/>
    <w:rsid w:val="006B70DD"/>
    <w:rsid w:val="006C01AB"/>
    <w:rsid w:val="006C11A6"/>
    <w:rsid w:val="006D2F82"/>
    <w:rsid w:val="006D521C"/>
    <w:rsid w:val="006E1443"/>
    <w:rsid w:val="006E7257"/>
    <w:rsid w:val="006E7AC3"/>
    <w:rsid w:val="006F1E2B"/>
    <w:rsid w:val="00707898"/>
    <w:rsid w:val="00715AB1"/>
    <w:rsid w:val="007338BB"/>
    <w:rsid w:val="00735ABA"/>
    <w:rsid w:val="00740158"/>
    <w:rsid w:val="00762C62"/>
    <w:rsid w:val="00765077"/>
    <w:rsid w:val="007659FC"/>
    <w:rsid w:val="0076633F"/>
    <w:rsid w:val="007663E2"/>
    <w:rsid w:val="00772DDF"/>
    <w:rsid w:val="00774181"/>
    <w:rsid w:val="00776F3D"/>
    <w:rsid w:val="00777153"/>
    <w:rsid w:val="00780BA2"/>
    <w:rsid w:val="007A465A"/>
    <w:rsid w:val="007B5830"/>
    <w:rsid w:val="007B5AAC"/>
    <w:rsid w:val="007D7891"/>
    <w:rsid w:val="007D7BF5"/>
    <w:rsid w:val="007E13A6"/>
    <w:rsid w:val="007E1D28"/>
    <w:rsid w:val="007E5040"/>
    <w:rsid w:val="007E5DCF"/>
    <w:rsid w:val="007E61C2"/>
    <w:rsid w:val="007F33C9"/>
    <w:rsid w:val="00801C1D"/>
    <w:rsid w:val="008027B3"/>
    <w:rsid w:val="00807F32"/>
    <w:rsid w:val="0082109F"/>
    <w:rsid w:val="008304B6"/>
    <w:rsid w:val="008408C5"/>
    <w:rsid w:val="008467BC"/>
    <w:rsid w:val="0084728A"/>
    <w:rsid w:val="008620E5"/>
    <w:rsid w:val="00866816"/>
    <w:rsid w:val="008730DE"/>
    <w:rsid w:val="008755EB"/>
    <w:rsid w:val="00896659"/>
    <w:rsid w:val="008A1BCA"/>
    <w:rsid w:val="008C1BC4"/>
    <w:rsid w:val="008C2C33"/>
    <w:rsid w:val="008C60C7"/>
    <w:rsid w:val="008C68E9"/>
    <w:rsid w:val="008D28DE"/>
    <w:rsid w:val="008D61AD"/>
    <w:rsid w:val="008E36C7"/>
    <w:rsid w:val="008E3C0A"/>
    <w:rsid w:val="008E7793"/>
    <w:rsid w:val="008F5BC3"/>
    <w:rsid w:val="008F7C3B"/>
    <w:rsid w:val="00900E2F"/>
    <w:rsid w:val="0091740B"/>
    <w:rsid w:val="0092204F"/>
    <w:rsid w:val="00922331"/>
    <w:rsid w:val="009246CC"/>
    <w:rsid w:val="00933167"/>
    <w:rsid w:val="00940F19"/>
    <w:rsid w:val="009479DE"/>
    <w:rsid w:val="00955D27"/>
    <w:rsid w:val="00964860"/>
    <w:rsid w:val="00967DB1"/>
    <w:rsid w:val="0097026B"/>
    <w:rsid w:val="00990C89"/>
    <w:rsid w:val="00990D9C"/>
    <w:rsid w:val="0099237F"/>
    <w:rsid w:val="009A288C"/>
    <w:rsid w:val="009A3876"/>
    <w:rsid w:val="009A6004"/>
    <w:rsid w:val="009A6B46"/>
    <w:rsid w:val="009A79D8"/>
    <w:rsid w:val="009B6C7C"/>
    <w:rsid w:val="009C7860"/>
    <w:rsid w:val="009D146E"/>
    <w:rsid w:val="009D5B56"/>
    <w:rsid w:val="009E1519"/>
    <w:rsid w:val="009F0D73"/>
    <w:rsid w:val="009F1C01"/>
    <w:rsid w:val="009F2895"/>
    <w:rsid w:val="00A020E8"/>
    <w:rsid w:val="00A0518F"/>
    <w:rsid w:val="00A05723"/>
    <w:rsid w:val="00A11E98"/>
    <w:rsid w:val="00A13EF8"/>
    <w:rsid w:val="00A20477"/>
    <w:rsid w:val="00A243AF"/>
    <w:rsid w:val="00A31DF0"/>
    <w:rsid w:val="00A34D02"/>
    <w:rsid w:val="00A36891"/>
    <w:rsid w:val="00A427B9"/>
    <w:rsid w:val="00A61C9A"/>
    <w:rsid w:val="00A821FC"/>
    <w:rsid w:val="00A84933"/>
    <w:rsid w:val="00A92AB5"/>
    <w:rsid w:val="00AA3523"/>
    <w:rsid w:val="00AB08B0"/>
    <w:rsid w:val="00AC6AE4"/>
    <w:rsid w:val="00AD23A7"/>
    <w:rsid w:val="00B118B9"/>
    <w:rsid w:val="00B22335"/>
    <w:rsid w:val="00B44A10"/>
    <w:rsid w:val="00B621A4"/>
    <w:rsid w:val="00B73570"/>
    <w:rsid w:val="00B976EC"/>
    <w:rsid w:val="00BA3BD6"/>
    <w:rsid w:val="00BA5301"/>
    <w:rsid w:val="00BA740A"/>
    <w:rsid w:val="00BB5D97"/>
    <w:rsid w:val="00BC50C9"/>
    <w:rsid w:val="00BD4846"/>
    <w:rsid w:val="00BE6DC2"/>
    <w:rsid w:val="00C036FC"/>
    <w:rsid w:val="00C1136D"/>
    <w:rsid w:val="00C12230"/>
    <w:rsid w:val="00C1749A"/>
    <w:rsid w:val="00C17932"/>
    <w:rsid w:val="00C23FA6"/>
    <w:rsid w:val="00C24FF5"/>
    <w:rsid w:val="00C251AE"/>
    <w:rsid w:val="00C423A6"/>
    <w:rsid w:val="00C47C85"/>
    <w:rsid w:val="00C50E46"/>
    <w:rsid w:val="00C60855"/>
    <w:rsid w:val="00C61A0B"/>
    <w:rsid w:val="00C7013F"/>
    <w:rsid w:val="00C7316D"/>
    <w:rsid w:val="00C748EE"/>
    <w:rsid w:val="00C75744"/>
    <w:rsid w:val="00C759BE"/>
    <w:rsid w:val="00C76A75"/>
    <w:rsid w:val="00C9692D"/>
    <w:rsid w:val="00CA2CA0"/>
    <w:rsid w:val="00CA5E32"/>
    <w:rsid w:val="00CB33FE"/>
    <w:rsid w:val="00CC4EBF"/>
    <w:rsid w:val="00CD405A"/>
    <w:rsid w:val="00CD46DF"/>
    <w:rsid w:val="00CE013D"/>
    <w:rsid w:val="00CE0C15"/>
    <w:rsid w:val="00CE454C"/>
    <w:rsid w:val="00CF3DC2"/>
    <w:rsid w:val="00D0001F"/>
    <w:rsid w:val="00D035A1"/>
    <w:rsid w:val="00D12498"/>
    <w:rsid w:val="00D308D7"/>
    <w:rsid w:val="00D33272"/>
    <w:rsid w:val="00D36504"/>
    <w:rsid w:val="00D43967"/>
    <w:rsid w:val="00D52D2E"/>
    <w:rsid w:val="00D66005"/>
    <w:rsid w:val="00D80B56"/>
    <w:rsid w:val="00D937A0"/>
    <w:rsid w:val="00D93DCA"/>
    <w:rsid w:val="00D971F9"/>
    <w:rsid w:val="00DA105B"/>
    <w:rsid w:val="00DC04EA"/>
    <w:rsid w:val="00DC7CB9"/>
    <w:rsid w:val="00DD288A"/>
    <w:rsid w:val="00DD70D0"/>
    <w:rsid w:val="00DE0E4D"/>
    <w:rsid w:val="00DE13E9"/>
    <w:rsid w:val="00DE2B2A"/>
    <w:rsid w:val="00DE64FB"/>
    <w:rsid w:val="00DE6600"/>
    <w:rsid w:val="00E11E46"/>
    <w:rsid w:val="00E47A27"/>
    <w:rsid w:val="00E56AFC"/>
    <w:rsid w:val="00E70F6D"/>
    <w:rsid w:val="00E77DA0"/>
    <w:rsid w:val="00E851F9"/>
    <w:rsid w:val="00E91104"/>
    <w:rsid w:val="00E95968"/>
    <w:rsid w:val="00E977BA"/>
    <w:rsid w:val="00EA2B48"/>
    <w:rsid w:val="00EA5DF8"/>
    <w:rsid w:val="00EB75CA"/>
    <w:rsid w:val="00EC4578"/>
    <w:rsid w:val="00ED271F"/>
    <w:rsid w:val="00ED7BDE"/>
    <w:rsid w:val="00EE312A"/>
    <w:rsid w:val="00EE7725"/>
    <w:rsid w:val="00EF072F"/>
    <w:rsid w:val="00EF2180"/>
    <w:rsid w:val="00F0048E"/>
    <w:rsid w:val="00F01782"/>
    <w:rsid w:val="00F03688"/>
    <w:rsid w:val="00F04FC4"/>
    <w:rsid w:val="00F22A4E"/>
    <w:rsid w:val="00F24EF0"/>
    <w:rsid w:val="00F3218A"/>
    <w:rsid w:val="00F40903"/>
    <w:rsid w:val="00F41BEB"/>
    <w:rsid w:val="00F4361E"/>
    <w:rsid w:val="00F5082E"/>
    <w:rsid w:val="00F55AC8"/>
    <w:rsid w:val="00F566A1"/>
    <w:rsid w:val="00F616BC"/>
    <w:rsid w:val="00F633B5"/>
    <w:rsid w:val="00F651B1"/>
    <w:rsid w:val="00F7037A"/>
    <w:rsid w:val="00F7168C"/>
    <w:rsid w:val="00F911B5"/>
    <w:rsid w:val="00F92591"/>
    <w:rsid w:val="00F9504F"/>
    <w:rsid w:val="00FA6718"/>
    <w:rsid w:val="00FA6EF0"/>
    <w:rsid w:val="00FB6E67"/>
    <w:rsid w:val="00FC019B"/>
    <w:rsid w:val="00FE525F"/>
    <w:rsid w:val="00FE7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5A10B"/>
  <w15:chartTrackingRefBased/>
  <w15:docId w15:val="{650B180A-F9FF-43E7-A4AC-0A5C76AC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679E"/>
  </w:style>
  <w:style w:type="paragraph" w:styleId="1">
    <w:name w:val="heading 1"/>
    <w:basedOn w:val="a"/>
    <w:next w:val="a"/>
    <w:link w:val="1Char"/>
    <w:uiPriority w:val="9"/>
    <w:qFormat/>
    <w:rsid w:val="00BA740A"/>
    <w:pPr>
      <w:keepNext/>
      <w:keepLines/>
      <w:spacing w:before="240" w:after="0"/>
      <w:outlineLvl w:val="0"/>
    </w:pPr>
    <w:rPr>
      <w:rFonts w:ascii="Calibri Light" w:eastAsia="Times New Roman" w:hAnsi="Calibri Light" w:cs="Times New Roman"/>
      <w:color w:val="2F5496"/>
      <w:sz w:val="40"/>
      <w:szCs w:val="40"/>
    </w:rPr>
  </w:style>
  <w:style w:type="paragraph" w:styleId="2">
    <w:name w:val="heading 2"/>
    <w:basedOn w:val="a"/>
    <w:next w:val="a"/>
    <w:link w:val="2Char"/>
    <w:uiPriority w:val="9"/>
    <w:unhideWhenUsed/>
    <w:qFormat/>
    <w:rsid w:val="00BA740A"/>
    <w:pPr>
      <w:keepNext/>
      <w:keepLines/>
      <w:spacing w:before="40" w:after="0"/>
      <w:outlineLvl w:val="1"/>
    </w:pPr>
    <w:rPr>
      <w:rFonts w:ascii="Calibri Light" w:eastAsia="Times New Roman" w:hAnsi="Calibri Light" w:cs="Times New Roman"/>
      <w:color w:val="2F5496"/>
      <w:sz w:val="32"/>
      <w:szCs w:val="32"/>
    </w:rPr>
  </w:style>
  <w:style w:type="paragraph" w:styleId="3">
    <w:name w:val="heading 3"/>
    <w:basedOn w:val="a"/>
    <w:next w:val="a"/>
    <w:link w:val="3Char"/>
    <w:uiPriority w:val="9"/>
    <w:semiHidden/>
    <w:unhideWhenUsed/>
    <w:qFormat/>
    <w:rsid w:val="00BA740A"/>
    <w:pPr>
      <w:keepNext/>
      <w:keepLines/>
      <w:spacing w:before="40" w:after="0"/>
      <w:outlineLvl w:val="2"/>
    </w:pPr>
    <w:rPr>
      <w:rFonts w:eastAsia="Times New Roman" w:cs="Times New Roman"/>
      <w:color w:val="2F5496"/>
      <w:sz w:val="28"/>
      <w:szCs w:val="28"/>
    </w:rPr>
  </w:style>
  <w:style w:type="paragraph" w:styleId="4">
    <w:name w:val="heading 4"/>
    <w:basedOn w:val="a"/>
    <w:next w:val="a"/>
    <w:link w:val="4Char"/>
    <w:uiPriority w:val="9"/>
    <w:semiHidden/>
    <w:unhideWhenUsed/>
    <w:qFormat/>
    <w:rsid w:val="00BA740A"/>
    <w:pPr>
      <w:keepNext/>
      <w:keepLines/>
      <w:spacing w:before="40" w:after="0"/>
      <w:outlineLvl w:val="3"/>
    </w:pPr>
    <w:rPr>
      <w:rFonts w:eastAsia="Times New Roman" w:cs="Times New Roman"/>
      <w:i/>
      <w:iCs/>
      <w:color w:val="2F5496"/>
    </w:rPr>
  </w:style>
  <w:style w:type="paragraph" w:styleId="5">
    <w:name w:val="heading 5"/>
    <w:basedOn w:val="a"/>
    <w:next w:val="a"/>
    <w:link w:val="5Char"/>
    <w:uiPriority w:val="9"/>
    <w:semiHidden/>
    <w:unhideWhenUsed/>
    <w:qFormat/>
    <w:rsid w:val="00BA740A"/>
    <w:pPr>
      <w:keepNext/>
      <w:keepLines/>
      <w:spacing w:before="40" w:after="0"/>
      <w:outlineLvl w:val="4"/>
    </w:pPr>
    <w:rPr>
      <w:rFonts w:eastAsia="Times New Roman" w:cs="Times New Roman"/>
      <w:color w:val="2F5496"/>
    </w:rPr>
  </w:style>
  <w:style w:type="paragraph" w:styleId="6">
    <w:name w:val="heading 6"/>
    <w:basedOn w:val="a"/>
    <w:next w:val="a"/>
    <w:link w:val="6Char"/>
    <w:uiPriority w:val="9"/>
    <w:semiHidden/>
    <w:unhideWhenUsed/>
    <w:qFormat/>
    <w:rsid w:val="00BA740A"/>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BA740A"/>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BA740A"/>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BA740A"/>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C60855"/>
    <w:pPr>
      <w:ind w:left="720"/>
      <w:contextualSpacing/>
    </w:pPr>
  </w:style>
  <w:style w:type="paragraph" w:styleId="a4">
    <w:name w:val="footnote text"/>
    <w:aliases w:val="حواشي سفلية, Char Char Char Char,Footnote Text Char,r,Char Char Char Char,نص حاشية سفلية Char Char Char Char,نص حاشية سفلية Char Char Char,Footnote Expulsion,Char Char Char Char Char Char"/>
    <w:basedOn w:val="a"/>
    <w:link w:val="Char0"/>
    <w:uiPriority w:val="99"/>
    <w:unhideWhenUsed/>
    <w:rsid w:val="00054C5F"/>
    <w:pPr>
      <w:spacing w:after="0" w:line="240" w:lineRule="auto"/>
    </w:pPr>
    <w:rPr>
      <w:sz w:val="20"/>
      <w:szCs w:val="20"/>
    </w:rPr>
  </w:style>
  <w:style w:type="character" w:customStyle="1" w:styleId="Char0">
    <w:name w:val="نص حاشية سفلية Char"/>
    <w:aliases w:val="حواشي سفلية Char, Char Char Char Char Char,Footnote Text Char Char,r Char,Char Char Char Char Char,نص حاشية سفلية Char Char Char Char Char,نص حاشية سفلية Char Char Char Char1,Footnote Expulsion Char,Char Char Char Char Char Char Char"/>
    <w:basedOn w:val="a0"/>
    <w:link w:val="a4"/>
    <w:uiPriority w:val="99"/>
    <w:rsid w:val="00054C5F"/>
    <w:rPr>
      <w:sz w:val="20"/>
      <w:szCs w:val="20"/>
    </w:rPr>
  </w:style>
  <w:style w:type="character" w:styleId="a5">
    <w:name w:val="footnote reference"/>
    <w:aliases w:val="Footnote Reference"/>
    <w:basedOn w:val="a0"/>
    <w:uiPriority w:val="99"/>
    <w:unhideWhenUsed/>
    <w:rsid w:val="00054C5F"/>
    <w:rPr>
      <w:vertAlign w:val="superscript"/>
    </w:rPr>
  </w:style>
  <w:style w:type="paragraph" w:styleId="a6">
    <w:name w:val="header"/>
    <w:basedOn w:val="a"/>
    <w:link w:val="Char1"/>
    <w:uiPriority w:val="99"/>
    <w:unhideWhenUsed/>
    <w:rsid w:val="00252DC5"/>
    <w:pPr>
      <w:tabs>
        <w:tab w:val="center" w:pos="4680"/>
        <w:tab w:val="right" w:pos="9360"/>
      </w:tabs>
      <w:spacing w:after="0" w:line="240" w:lineRule="auto"/>
    </w:pPr>
  </w:style>
  <w:style w:type="character" w:customStyle="1" w:styleId="Char1">
    <w:name w:val="رأس الصفحة Char"/>
    <w:basedOn w:val="a0"/>
    <w:link w:val="a6"/>
    <w:uiPriority w:val="99"/>
    <w:rsid w:val="00252DC5"/>
  </w:style>
  <w:style w:type="paragraph" w:styleId="a7">
    <w:name w:val="footer"/>
    <w:basedOn w:val="a"/>
    <w:link w:val="Char2"/>
    <w:uiPriority w:val="99"/>
    <w:unhideWhenUsed/>
    <w:rsid w:val="00252DC5"/>
    <w:pPr>
      <w:tabs>
        <w:tab w:val="center" w:pos="4680"/>
        <w:tab w:val="right" w:pos="9360"/>
      </w:tabs>
      <w:spacing w:after="0" w:line="240" w:lineRule="auto"/>
    </w:pPr>
  </w:style>
  <w:style w:type="character" w:customStyle="1" w:styleId="Char2">
    <w:name w:val="تذييل الصفحة Char"/>
    <w:basedOn w:val="a0"/>
    <w:link w:val="a7"/>
    <w:uiPriority w:val="99"/>
    <w:rsid w:val="00252DC5"/>
  </w:style>
  <w:style w:type="character" w:styleId="Hyperlink">
    <w:name w:val="Hyperlink"/>
    <w:basedOn w:val="a0"/>
    <w:uiPriority w:val="99"/>
    <w:unhideWhenUsed/>
    <w:rsid w:val="00237FB7"/>
    <w:rPr>
      <w:color w:val="0563C1" w:themeColor="hyperlink"/>
      <w:u w:val="single"/>
    </w:rPr>
  </w:style>
  <w:style w:type="character" w:styleId="a8">
    <w:name w:val="Unresolved Mention"/>
    <w:basedOn w:val="a0"/>
    <w:uiPriority w:val="99"/>
    <w:semiHidden/>
    <w:unhideWhenUsed/>
    <w:rsid w:val="00C036FC"/>
    <w:rPr>
      <w:color w:val="605E5C"/>
      <w:shd w:val="clear" w:color="auto" w:fill="E1DFDD"/>
    </w:rPr>
  </w:style>
  <w:style w:type="paragraph" w:customStyle="1" w:styleId="CharCharCharChar1">
    <w:name w:val="Char Char Char Char1"/>
    <w:basedOn w:val="a"/>
    <w:next w:val="a4"/>
    <w:uiPriority w:val="99"/>
    <w:unhideWhenUsed/>
    <w:rsid w:val="002C2F42"/>
    <w:pPr>
      <w:bidi/>
      <w:spacing w:after="0" w:line="240" w:lineRule="auto"/>
    </w:pPr>
    <w:rPr>
      <w:sz w:val="20"/>
      <w:szCs w:val="20"/>
    </w:rPr>
  </w:style>
  <w:style w:type="character" w:customStyle="1" w:styleId="1Char">
    <w:name w:val="العنوان 1 Char"/>
    <w:basedOn w:val="a0"/>
    <w:link w:val="1"/>
    <w:uiPriority w:val="9"/>
    <w:rsid w:val="00BA740A"/>
    <w:rPr>
      <w:rFonts w:ascii="Calibri Light" w:eastAsia="Times New Roman" w:hAnsi="Calibri Light" w:cs="Times New Roman"/>
      <w:color w:val="2F5496"/>
      <w:sz w:val="40"/>
      <w:szCs w:val="40"/>
    </w:rPr>
  </w:style>
  <w:style w:type="character" w:customStyle="1" w:styleId="2Char">
    <w:name w:val="عنوان 2 Char"/>
    <w:basedOn w:val="a0"/>
    <w:link w:val="2"/>
    <w:uiPriority w:val="9"/>
    <w:rsid w:val="00BA740A"/>
    <w:rPr>
      <w:rFonts w:ascii="Calibri Light" w:eastAsia="Times New Roman" w:hAnsi="Calibri Light" w:cs="Times New Roman"/>
      <w:color w:val="2F5496"/>
      <w:sz w:val="32"/>
      <w:szCs w:val="32"/>
    </w:rPr>
  </w:style>
  <w:style w:type="character" w:customStyle="1" w:styleId="3Char">
    <w:name w:val="عنوان 3 Char"/>
    <w:basedOn w:val="a0"/>
    <w:link w:val="3"/>
    <w:uiPriority w:val="9"/>
    <w:semiHidden/>
    <w:rsid w:val="00BA740A"/>
    <w:rPr>
      <w:rFonts w:eastAsia="Times New Roman" w:cs="Times New Roman"/>
      <w:color w:val="2F5496"/>
      <w:sz w:val="28"/>
      <w:szCs w:val="28"/>
    </w:rPr>
  </w:style>
  <w:style w:type="character" w:customStyle="1" w:styleId="4Char">
    <w:name w:val="عنوان 4 Char"/>
    <w:basedOn w:val="a0"/>
    <w:link w:val="4"/>
    <w:uiPriority w:val="9"/>
    <w:semiHidden/>
    <w:rsid w:val="00BA740A"/>
    <w:rPr>
      <w:rFonts w:eastAsia="Times New Roman" w:cs="Times New Roman"/>
      <w:i/>
      <w:iCs/>
      <w:color w:val="2F5496"/>
    </w:rPr>
  </w:style>
  <w:style w:type="character" w:customStyle="1" w:styleId="5Char">
    <w:name w:val="عنوان 5 Char"/>
    <w:basedOn w:val="a0"/>
    <w:link w:val="5"/>
    <w:uiPriority w:val="9"/>
    <w:semiHidden/>
    <w:rsid w:val="00BA740A"/>
    <w:rPr>
      <w:rFonts w:eastAsia="Times New Roman" w:cs="Times New Roman"/>
      <w:color w:val="2F5496"/>
    </w:rPr>
  </w:style>
  <w:style w:type="character" w:customStyle="1" w:styleId="6Char">
    <w:name w:val="عنوان 6 Char"/>
    <w:basedOn w:val="a0"/>
    <w:link w:val="6"/>
    <w:uiPriority w:val="9"/>
    <w:semiHidden/>
    <w:rsid w:val="00BA740A"/>
    <w:rPr>
      <w:rFonts w:eastAsia="Times New Roman" w:cs="Times New Roman"/>
      <w:i/>
      <w:iCs/>
      <w:color w:val="595959"/>
    </w:rPr>
  </w:style>
  <w:style w:type="character" w:customStyle="1" w:styleId="7Char">
    <w:name w:val="عنوان 7 Char"/>
    <w:basedOn w:val="a0"/>
    <w:link w:val="7"/>
    <w:uiPriority w:val="9"/>
    <w:semiHidden/>
    <w:rsid w:val="00BA740A"/>
    <w:rPr>
      <w:rFonts w:eastAsia="Times New Roman" w:cs="Times New Roman"/>
      <w:color w:val="595959"/>
    </w:rPr>
  </w:style>
  <w:style w:type="character" w:customStyle="1" w:styleId="8Char">
    <w:name w:val="عنوان 8 Char"/>
    <w:basedOn w:val="a0"/>
    <w:link w:val="8"/>
    <w:uiPriority w:val="9"/>
    <w:semiHidden/>
    <w:rsid w:val="00BA740A"/>
    <w:rPr>
      <w:rFonts w:eastAsia="Times New Roman" w:cs="Times New Roman"/>
      <w:i/>
      <w:iCs/>
      <w:color w:val="272727"/>
    </w:rPr>
  </w:style>
  <w:style w:type="character" w:customStyle="1" w:styleId="9Char">
    <w:name w:val="عنوان 9 Char"/>
    <w:basedOn w:val="a0"/>
    <w:link w:val="9"/>
    <w:uiPriority w:val="9"/>
    <w:semiHidden/>
    <w:rsid w:val="00BA740A"/>
    <w:rPr>
      <w:rFonts w:eastAsia="Times New Roman" w:cs="Times New Roman"/>
      <w:color w:val="272727"/>
    </w:rPr>
  </w:style>
  <w:style w:type="character" w:customStyle="1" w:styleId="10">
    <w:name w:val="إشارة لم يتم حلها1"/>
    <w:basedOn w:val="a0"/>
    <w:uiPriority w:val="99"/>
    <w:semiHidden/>
    <w:unhideWhenUsed/>
    <w:rsid w:val="00BA740A"/>
    <w:rPr>
      <w:color w:val="605E5C"/>
      <w:shd w:val="clear" w:color="auto" w:fill="E1DFDD"/>
    </w:rPr>
  </w:style>
  <w:style w:type="character" w:customStyle="1" w:styleId="Char">
    <w:name w:val="سرد الفقرات Char"/>
    <w:link w:val="a3"/>
    <w:uiPriority w:val="34"/>
    <w:rsid w:val="00BA740A"/>
  </w:style>
  <w:style w:type="paragraph" w:customStyle="1" w:styleId="11">
    <w:name w:val="العنوان 11"/>
    <w:basedOn w:val="a"/>
    <w:next w:val="a"/>
    <w:uiPriority w:val="9"/>
    <w:qFormat/>
    <w:rsid w:val="00BA740A"/>
    <w:pPr>
      <w:keepNext/>
      <w:keepLines/>
      <w:bidi/>
      <w:spacing w:before="360" w:after="80"/>
      <w:outlineLvl w:val="0"/>
    </w:pPr>
    <w:rPr>
      <w:rFonts w:ascii="Calibri Light" w:eastAsia="Times New Roman" w:hAnsi="Calibri Light" w:cs="Times New Roman"/>
      <w:color w:val="2F5496"/>
      <w:kern w:val="2"/>
      <w:sz w:val="40"/>
      <w:szCs w:val="40"/>
      <w14:ligatures w14:val="standardContextual"/>
    </w:rPr>
  </w:style>
  <w:style w:type="paragraph" w:customStyle="1" w:styleId="21">
    <w:name w:val="عنوان 21"/>
    <w:basedOn w:val="a"/>
    <w:next w:val="a"/>
    <w:uiPriority w:val="9"/>
    <w:unhideWhenUsed/>
    <w:qFormat/>
    <w:rsid w:val="00BA740A"/>
    <w:pPr>
      <w:keepNext/>
      <w:keepLines/>
      <w:bidi/>
      <w:spacing w:before="160" w:after="80"/>
      <w:outlineLvl w:val="1"/>
    </w:pPr>
    <w:rPr>
      <w:rFonts w:ascii="Calibri Light" w:eastAsia="Times New Roman" w:hAnsi="Calibri Light" w:cs="Times New Roman"/>
      <w:color w:val="2F5496"/>
      <w:kern w:val="2"/>
      <w:sz w:val="32"/>
      <w:szCs w:val="32"/>
      <w14:ligatures w14:val="standardContextual"/>
    </w:rPr>
  </w:style>
  <w:style w:type="paragraph" w:customStyle="1" w:styleId="31">
    <w:name w:val="عنوان 31"/>
    <w:basedOn w:val="a"/>
    <w:next w:val="a"/>
    <w:uiPriority w:val="9"/>
    <w:unhideWhenUsed/>
    <w:qFormat/>
    <w:rsid w:val="00BA740A"/>
    <w:pPr>
      <w:keepNext/>
      <w:keepLines/>
      <w:bidi/>
      <w:spacing w:before="160" w:after="80"/>
      <w:outlineLvl w:val="2"/>
    </w:pPr>
    <w:rPr>
      <w:rFonts w:eastAsia="Times New Roman" w:cs="Times New Roman"/>
      <w:color w:val="2F5496"/>
      <w:kern w:val="2"/>
      <w:sz w:val="28"/>
      <w:szCs w:val="28"/>
      <w14:ligatures w14:val="standardContextual"/>
    </w:rPr>
  </w:style>
  <w:style w:type="paragraph" w:customStyle="1" w:styleId="41">
    <w:name w:val="عنوان 41"/>
    <w:basedOn w:val="a"/>
    <w:next w:val="a"/>
    <w:uiPriority w:val="9"/>
    <w:semiHidden/>
    <w:unhideWhenUsed/>
    <w:qFormat/>
    <w:rsid w:val="00BA740A"/>
    <w:pPr>
      <w:keepNext/>
      <w:keepLines/>
      <w:bidi/>
      <w:spacing w:before="80" w:after="40"/>
      <w:outlineLvl w:val="3"/>
    </w:pPr>
    <w:rPr>
      <w:rFonts w:eastAsia="Times New Roman" w:cs="Times New Roman"/>
      <w:i/>
      <w:iCs/>
      <w:color w:val="2F5496"/>
      <w:kern w:val="2"/>
      <w14:ligatures w14:val="standardContextual"/>
    </w:rPr>
  </w:style>
  <w:style w:type="paragraph" w:customStyle="1" w:styleId="51">
    <w:name w:val="عنوان 51"/>
    <w:basedOn w:val="a"/>
    <w:next w:val="a"/>
    <w:uiPriority w:val="9"/>
    <w:semiHidden/>
    <w:unhideWhenUsed/>
    <w:qFormat/>
    <w:rsid w:val="00BA740A"/>
    <w:pPr>
      <w:keepNext/>
      <w:keepLines/>
      <w:bidi/>
      <w:spacing w:before="80" w:after="40"/>
      <w:outlineLvl w:val="4"/>
    </w:pPr>
    <w:rPr>
      <w:rFonts w:eastAsia="Times New Roman" w:cs="Times New Roman"/>
      <w:color w:val="2F5496"/>
      <w:kern w:val="2"/>
      <w14:ligatures w14:val="standardContextual"/>
    </w:rPr>
  </w:style>
  <w:style w:type="paragraph" w:customStyle="1" w:styleId="61">
    <w:name w:val="عنوان 61"/>
    <w:basedOn w:val="a"/>
    <w:next w:val="a"/>
    <w:uiPriority w:val="9"/>
    <w:semiHidden/>
    <w:unhideWhenUsed/>
    <w:qFormat/>
    <w:rsid w:val="00BA740A"/>
    <w:pPr>
      <w:keepNext/>
      <w:keepLines/>
      <w:bidi/>
      <w:spacing w:before="40" w:after="0"/>
      <w:outlineLvl w:val="5"/>
    </w:pPr>
    <w:rPr>
      <w:rFonts w:eastAsia="Times New Roman" w:cs="Times New Roman"/>
      <w:i/>
      <w:iCs/>
      <w:color w:val="595959"/>
      <w:kern w:val="2"/>
      <w14:ligatures w14:val="standardContextual"/>
    </w:rPr>
  </w:style>
  <w:style w:type="paragraph" w:customStyle="1" w:styleId="71">
    <w:name w:val="عنوان 71"/>
    <w:basedOn w:val="a"/>
    <w:next w:val="a"/>
    <w:uiPriority w:val="9"/>
    <w:semiHidden/>
    <w:unhideWhenUsed/>
    <w:qFormat/>
    <w:rsid w:val="00BA740A"/>
    <w:pPr>
      <w:keepNext/>
      <w:keepLines/>
      <w:bidi/>
      <w:spacing w:before="40" w:after="0"/>
      <w:outlineLvl w:val="6"/>
    </w:pPr>
    <w:rPr>
      <w:rFonts w:eastAsia="Times New Roman" w:cs="Times New Roman"/>
      <w:color w:val="595959"/>
      <w:kern w:val="2"/>
      <w14:ligatures w14:val="standardContextual"/>
    </w:rPr>
  </w:style>
  <w:style w:type="paragraph" w:customStyle="1" w:styleId="81">
    <w:name w:val="عنوان 81"/>
    <w:basedOn w:val="a"/>
    <w:next w:val="a"/>
    <w:uiPriority w:val="9"/>
    <w:semiHidden/>
    <w:unhideWhenUsed/>
    <w:qFormat/>
    <w:rsid w:val="00BA740A"/>
    <w:pPr>
      <w:keepNext/>
      <w:keepLines/>
      <w:bidi/>
      <w:spacing w:after="0"/>
      <w:outlineLvl w:val="7"/>
    </w:pPr>
    <w:rPr>
      <w:rFonts w:eastAsia="Times New Roman" w:cs="Times New Roman"/>
      <w:i/>
      <w:iCs/>
      <w:color w:val="272727"/>
      <w:kern w:val="2"/>
      <w14:ligatures w14:val="standardContextual"/>
    </w:rPr>
  </w:style>
  <w:style w:type="paragraph" w:customStyle="1" w:styleId="91">
    <w:name w:val="عنوان 91"/>
    <w:basedOn w:val="a"/>
    <w:next w:val="a"/>
    <w:uiPriority w:val="9"/>
    <w:semiHidden/>
    <w:unhideWhenUsed/>
    <w:qFormat/>
    <w:rsid w:val="00BA740A"/>
    <w:pPr>
      <w:keepNext/>
      <w:keepLines/>
      <w:bidi/>
      <w:spacing w:after="0"/>
      <w:outlineLvl w:val="8"/>
    </w:pPr>
    <w:rPr>
      <w:rFonts w:eastAsia="Times New Roman" w:cs="Times New Roman"/>
      <w:color w:val="272727"/>
      <w:kern w:val="2"/>
      <w14:ligatures w14:val="standardContextual"/>
    </w:rPr>
  </w:style>
  <w:style w:type="paragraph" w:customStyle="1" w:styleId="12">
    <w:name w:val="العنوان1"/>
    <w:basedOn w:val="a"/>
    <w:next w:val="a"/>
    <w:uiPriority w:val="10"/>
    <w:qFormat/>
    <w:rsid w:val="00BA740A"/>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Char3">
    <w:name w:val="العنوان Char"/>
    <w:basedOn w:val="a0"/>
    <w:link w:val="a9"/>
    <w:uiPriority w:val="10"/>
    <w:rsid w:val="00BA740A"/>
    <w:rPr>
      <w:rFonts w:ascii="Calibri Light" w:eastAsia="Times New Roman" w:hAnsi="Calibri Light" w:cs="Times New Roman"/>
      <w:spacing w:val="-10"/>
      <w:kern w:val="28"/>
      <w:sz w:val="56"/>
      <w:szCs w:val="56"/>
    </w:rPr>
  </w:style>
  <w:style w:type="paragraph" w:customStyle="1" w:styleId="13">
    <w:name w:val="عنوان فرعي1"/>
    <w:basedOn w:val="a"/>
    <w:next w:val="a"/>
    <w:uiPriority w:val="11"/>
    <w:qFormat/>
    <w:rsid w:val="00BA740A"/>
    <w:pPr>
      <w:numPr>
        <w:ilvl w:val="1"/>
      </w:numPr>
      <w:bidi/>
    </w:pPr>
    <w:rPr>
      <w:rFonts w:eastAsia="Times New Roman" w:cs="Times New Roman"/>
      <w:color w:val="595959"/>
      <w:spacing w:val="15"/>
      <w:kern w:val="2"/>
      <w:sz w:val="28"/>
      <w:szCs w:val="28"/>
      <w14:ligatures w14:val="standardContextual"/>
    </w:rPr>
  </w:style>
  <w:style w:type="character" w:customStyle="1" w:styleId="Char4">
    <w:name w:val="عنوان فرعي Char"/>
    <w:basedOn w:val="a0"/>
    <w:link w:val="aa"/>
    <w:uiPriority w:val="11"/>
    <w:rsid w:val="00BA740A"/>
    <w:rPr>
      <w:rFonts w:eastAsia="Times New Roman" w:cs="Times New Roman"/>
      <w:color w:val="595959"/>
      <w:spacing w:val="15"/>
      <w:sz w:val="28"/>
      <w:szCs w:val="28"/>
    </w:rPr>
  </w:style>
  <w:style w:type="paragraph" w:customStyle="1" w:styleId="14">
    <w:name w:val="اقتباس1"/>
    <w:basedOn w:val="a"/>
    <w:next w:val="a"/>
    <w:uiPriority w:val="29"/>
    <w:qFormat/>
    <w:rsid w:val="00BA740A"/>
    <w:pPr>
      <w:bidi/>
      <w:spacing w:before="160"/>
      <w:jc w:val="center"/>
    </w:pPr>
    <w:rPr>
      <w:i/>
      <w:iCs/>
      <w:color w:val="404040"/>
      <w:kern w:val="2"/>
      <w14:ligatures w14:val="standardContextual"/>
    </w:rPr>
  </w:style>
  <w:style w:type="character" w:customStyle="1" w:styleId="Char5">
    <w:name w:val="اقتباس Char"/>
    <w:basedOn w:val="a0"/>
    <w:link w:val="ab"/>
    <w:uiPriority w:val="29"/>
    <w:rsid w:val="00BA740A"/>
    <w:rPr>
      <w:i/>
      <w:iCs/>
      <w:color w:val="404040"/>
    </w:rPr>
  </w:style>
  <w:style w:type="character" w:customStyle="1" w:styleId="15">
    <w:name w:val="تأكيد مكثف1"/>
    <w:basedOn w:val="a0"/>
    <w:uiPriority w:val="21"/>
    <w:qFormat/>
    <w:rsid w:val="00BA740A"/>
    <w:rPr>
      <w:i/>
      <w:iCs/>
      <w:color w:val="2F5496"/>
    </w:rPr>
  </w:style>
  <w:style w:type="paragraph" w:customStyle="1" w:styleId="16">
    <w:name w:val="اقتباس مكثف1"/>
    <w:basedOn w:val="a"/>
    <w:next w:val="a"/>
    <w:uiPriority w:val="30"/>
    <w:qFormat/>
    <w:rsid w:val="00BA740A"/>
    <w:pPr>
      <w:pBdr>
        <w:top w:val="single" w:sz="4" w:space="10" w:color="2F5496"/>
        <w:bottom w:val="single" w:sz="4" w:space="10" w:color="2F5496"/>
      </w:pBdr>
      <w:bidi/>
      <w:spacing w:before="360" w:after="360"/>
      <w:ind w:left="864" w:right="864"/>
      <w:jc w:val="center"/>
    </w:pPr>
    <w:rPr>
      <w:i/>
      <w:iCs/>
      <w:color w:val="2F5496"/>
      <w:kern w:val="2"/>
      <w14:ligatures w14:val="standardContextual"/>
    </w:rPr>
  </w:style>
  <w:style w:type="character" w:customStyle="1" w:styleId="Char6">
    <w:name w:val="اقتباس مكثف Char"/>
    <w:basedOn w:val="a0"/>
    <w:link w:val="ac"/>
    <w:uiPriority w:val="30"/>
    <w:rsid w:val="00BA740A"/>
    <w:rPr>
      <w:i/>
      <w:iCs/>
      <w:color w:val="2F5496"/>
    </w:rPr>
  </w:style>
  <w:style w:type="character" w:customStyle="1" w:styleId="17">
    <w:name w:val="مرجع مكثف1"/>
    <w:basedOn w:val="a0"/>
    <w:uiPriority w:val="32"/>
    <w:qFormat/>
    <w:rsid w:val="00BA740A"/>
    <w:rPr>
      <w:b/>
      <w:bCs/>
      <w:smallCaps/>
      <w:color w:val="2F5496"/>
      <w:spacing w:val="5"/>
    </w:rPr>
  </w:style>
  <w:style w:type="paragraph" w:styleId="ad">
    <w:name w:val="No Spacing"/>
    <w:uiPriority w:val="1"/>
    <w:qFormat/>
    <w:rsid w:val="00BA740A"/>
    <w:pPr>
      <w:spacing w:after="0" w:line="240" w:lineRule="auto"/>
    </w:pPr>
  </w:style>
  <w:style w:type="paragraph" w:styleId="ae">
    <w:name w:val="Normal (Web)"/>
    <w:basedOn w:val="a"/>
    <w:uiPriority w:val="99"/>
    <w:unhideWhenUsed/>
    <w:rsid w:val="00BA740A"/>
    <w:rPr>
      <w:rFonts w:ascii="Times New Roman" w:hAnsi="Times New Roman" w:cs="Times New Roman"/>
      <w:sz w:val="24"/>
      <w:szCs w:val="24"/>
    </w:rPr>
  </w:style>
  <w:style w:type="character" w:customStyle="1" w:styleId="1Char1">
    <w:name w:val="العنوان 1 Char1"/>
    <w:basedOn w:val="a0"/>
    <w:uiPriority w:val="9"/>
    <w:rsid w:val="00BA740A"/>
    <w:rPr>
      <w:rFonts w:asciiTheme="majorHAnsi" w:eastAsiaTheme="majorEastAsia" w:hAnsiTheme="majorHAnsi" w:cstheme="majorBidi"/>
      <w:color w:val="2F5496" w:themeColor="accent1" w:themeShade="BF"/>
      <w:sz w:val="32"/>
      <w:szCs w:val="32"/>
    </w:rPr>
  </w:style>
  <w:style w:type="character" w:customStyle="1" w:styleId="2Char1">
    <w:name w:val="عنوان 2 Char1"/>
    <w:basedOn w:val="a0"/>
    <w:uiPriority w:val="9"/>
    <w:semiHidden/>
    <w:rsid w:val="00BA740A"/>
    <w:rPr>
      <w:rFonts w:asciiTheme="majorHAnsi" w:eastAsiaTheme="majorEastAsia" w:hAnsiTheme="majorHAnsi" w:cstheme="majorBidi"/>
      <w:color w:val="2F5496" w:themeColor="accent1" w:themeShade="BF"/>
      <w:sz w:val="26"/>
      <w:szCs w:val="26"/>
    </w:rPr>
  </w:style>
  <w:style w:type="character" w:customStyle="1" w:styleId="3Char1">
    <w:name w:val="عنوان 3 Char1"/>
    <w:basedOn w:val="a0"/>
    <w:uiPriority w:val="9"/>
    <w:semiHidden/>
    <w:rsid w:val="00BA740A"/>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BA740A"/>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BA740A"/>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BA740A"/>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BA740A"/>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BA740A"/>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BA740A"/>
    <w:rPr>
      <w:rFonts w:asciiTheme="majorHAnsi" w:eastAsiaTheme="majorEastAsia" w:hAnsiTheme="majorHAnsi" w:cstheme="majorBidi"/>
      <w:i/>
      <w:iCs/>
      <w:color w:val="272727" w:themeColor="text1" w:themeTint="D8"/>
      <w:sz w:val="21"/>
      <w:szCs w:val="21"/>
    </w:rPr>
  </w:style>
  <w:style w:type="paragraph" w:styleId="a9">
    <w:name w:val="Title"/>
    <w:basedOn w:val="a"/>
    <w:next w:val="a"/>
    <w:link w:val="Char3"/>
    <w:uiPriority w:val="10"/>
    <w:qFormat/>
    <w:rsid w:val="00BA740A"/>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BA740A"/>
    <w:rPr>
      <w:rFonts w:asciiTheme="majorHAnsi" w:eastAsiaTheme="majorEastAsia" w:hAnsiTheme="majorHAnsi" w:cstheme="majorBidi"/>
      <w:spacing w:val="-10"/>
      <w:kern w:val="28"/>
      <w:sz w:val="56"/>
      <w:szCs w:val="56"/>
    </w:rPr>
  </w:style>
  <w:style w:type="paragraph" w:styleId="aa">
    <w:name w:val="Subtitle"/>
    <w:basedOn w:val="a"/>
    <w:next w:val="a"/>
    <w:link w:val="Char4"/>
    <w:uiPriority w:val="11"/>
    <w:qFormat/>
    <w:rsid w:val="00BA740A"/>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BA740A"/>
    <w:rPr>
      <w:rFonts w:eastAsiaTheme="minorEastAsia"/>
      <w:color w:val="5A5A5A" w:themeColor="text1" w:themeTint="A5"/>
      <w:spacing w:val="15"/>
    </w:rPr>
  </w:style>
  <w:style w:type="paragraph" w:styleId="ab">
    <w:name w:val="Quote"/>
    <w:basedOn w:val="a"/>
    <w:next w:val="a"/>
    <w:link w:val="Char5"/>
    <w:uiPriority w:val="29"/>
    <w:qFormat/>
    <w:rsid w:val="00BA740A"/>
    <w:pPr>
      <w:spacing w:before="200"/>
      <w:ind w:left="864" w:right="864"/>
      <w:jc w:val="center"/>
    </w:pPr>
    <w:rPr>
      <w:i/>
      <w:iCs/>
      <w:color w:val="404040"/>
    </w:rPr>
  </w:style>
  <w:style w:type="character" w:customStyle="1" w:styleId="Char12">
    <w:name w:val="اقتباس Char1"/>
    <w:basedOn w:val="a0"/>
    <w:uiPriority w:val="29"/>
    <w:rsid w:val="00BA740A"/>
    <w:rPr>
      <w:i/>
      <w:iCs/>
      <w:color w:val="404040" w:themeColor="text1" w:themeTint="BF"/>
    </w:rPr>
  </w:style>
  <w:style w:type="character" w:styleId="af">
    <w:name w:val="Intense Emphasis"/>
    <w:basedOn w:val="a0"/>
    <w:uiPriority w:val="21"/>
    <w:qFormat/>
    <w:rsid w:val="00BA740A"/>
    <w:rPr>
      <w:i/>
      <w:iCs/>
      <w:color w:val="4472C4" w:themeColor="accent1"/>
    </w:rPr>
  </w:style>
  <w:style w:type="paragraph" w:styleId="ac">
    <w:name w:val="Intense Quote"/>
    <w:basedOn w:val="a"/>
    <w:next w:val="a"/>
    <w:link w:val="Char6"/>
    <w:uiPriority w:val="30"/>
    <w:qFormat/>
    <w:rsid w:val="00BA740A"/>
    <w:pPr>
      <w:pBdr>
        <w:top w:val="single" w:sz="4" w:space="10" w:color="4472C4" w:themeColor="accent1"/>
        <w:bottom w:val="single" w:sz="4" w:space="10" w:color="4472C4" w:themeColor="accent1"/>
      </w:pBdr>
      <w:spacing w:before="360" w:after="360"/>
      <w:ind w:left="864" w:right="864"/>
      <w:jc w:val="center"/>
    </w:pPr>
    <w:rPr>
      <w:i/>
      <w:iCs/>
      <w:color w:val="2F5496"/>
    </w:rPr>
  </w:style>
  <w:style w:type="character" w:customStyle="1" w:styleId="Char13">
    <w:name w:val="اقتباس مكثف Char1"/>
    <w:basedOn w:val="a0"/>
    <w:uiPriority w:val="30"/>
    <w:rsid w:val="00BA740A"/>
    <w:rPr>
      <w:i/>
      <w:iCs/>
      <w:color w:val="4472C4" w:themeColor="accent1"/>
    </w:rPr>
  </w:style>
  <w:style w:type="character" w:styleId="af0">
    <w:name w:val="Intense Reference"/>
    <w:basedOn w:val="a0"/>
    <w:uiPriority w:val="32"/>
    <w:qFormat/>
    <w:rsid w:val="00BA740A"/>
    <w:rPr>
      <w:b/>
      <w:bCs/>
      <w:smallCaps/>
      <w:color w:val="4472C4" w:themeColor="accent1"/>
      <w:spacing w:val="5"/>
    </w:rPr>
  </w:style>
  <w:style w:type="numbering" w:customStyle="1" w:styleId="18">
    <w:name w:val="بلا قائمة1"/>
    <w:next w:val="a2"/>
    <w:uiPriority w:val="99"/>
    <w:semiHidden/>
    <w:unhideWhenUsed/>
    <w:rsid w:val="000B3939"/>
  </w:style>
  <w:style w:type="numbering" w:customStyle="1" w:styleId="110">
    <w:name w:val="بلا قائمة11"/>
    <w:next w:val="a2"/>
    <w:uiPriority w:val="99"/>
    <w:semiHidden/>
    <w:unhideWhenUsed/>
    <w:rsid w:val="000B3939"/>
  </w:style>
  <w:style w:type="numbering" w:customStyle="1" w:styleId="111">
    <w:name w:val="بلا قائمة111"/>
    <w:next w:val="a2"/>
    <w:uiPriority w:val="99"/>
    <w:semiHidden/>
    <w:unhideWhenUsed/>
    <w:rsid w:val="000B3939"/>
  </w:style>
  <w:style w:type="character" w:customStyle="1" w:styleId="line-clamp-1">
    <w:name w:val="line-clamp-1"/>
    <w:basedOn w:val="a0"/>
    <w:rsid w:val="000B3939"/>
  </w:style>
  <w:style w:type="paragraph" w:styleId="af1">
    <w:name w:val="HTML Top of Form"/>
    <w:basedOn w:val="a"/>
    <w:next w:val="a"/>
    <w:link w:val="Char7"/>
    <w:hidden/>
    <w:uiPriority w:val="99"/>
    <w:semiHidden/>
    <w:unhideWhenUsed/>
    <w:rsid w:val="000B393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1"/>
    <w:uiPriority w:val="99"/>
    <w:semiHidden/>
    <w:rsid w:val="000B3939"/>
    <w:rPr>
      <w:rFonts w:ascii="Arial" w:eastAsia="Times New Roman" w:hAnsi="Arial" w:cs="Arial"/>
      <w:vanish/>
      <w:sz w:val="16"/>
      <w:szCs w:val="16"/>
    </w:rPr>
  </w:style>
  <w:style w:type="paragraph" w:styleId="af2">
    <w:name w:val="HTML Bottom of Form"/>
    <w:basedOn w:val="a"/>
    <w:next w:val="a"/>
    <w:link w:val="Char8"/>
    <w:hidden/>
    <w:uiPriority w:val="99"/>
    <w:semiHidden/>
    <w:unhideWhenUsed/>
    <w:rsid w:val="000B393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2"/>
    <w:uiPriority w:val="99"/>
    <w:semiHidden/>
    <w:rsid w:val="000B3939"/>
    <w:rPr>
      <w:rFonts w:ascii="Arial" w:eastAsia="Times New Roman" w:hAnsi="Arial" w:cs="Arial"/>
      <w:vanish/>
      <w:sz w:val="16"/>
      <w:szCs w:val="16"/>
    </w:rPr>
  </w:style>
  <w:style w:type="character" w:styleId="af3">
    <w:name w:val="Strong"/>
    <w:basedOn w:val="a0"/>
    <w:uiPriority w:val="22"/>
    <w:qFormat/>
    <w:rsid w:val="000B3939"/>
    <w:rPr>
      <w:b/>
      <w:bCs/>
    </w:rPr>
  </w:style>
  <w:style w:type="character" w:customStyle="1" w:styleId="Hyperlink1">
    <w:name w:val="Hyperlink1"/>
    <w:basedOn w:val="a0"/>
    <w:uiPriority w:val="99"/>
    <w:unhideWhenUsed/>
    <w:rsid w:val="000B3939"/>
    <w:rPr>
      <w:color w:val="0563C1"/>
      <w:u w:val="single"/>
    </w:rPr>
  </w:style>
  <w:style w:type="paragraph" w:styleId="af4">
    <w:name w:val="Balloon Text"/>
    <w:basedOn w:val="a"/>
    <w:link w:val="Char9"/>
    <w:uiPriority w:val="99"/>
    <w:semiHidden/>
    <w:unhideWhenUsed/>
    <w:rsid w:val="000B3939"/>
    <w:pPr>
      <w:bidi/>
      <w:spacing w:after="0" w:line="240" w:lineRule="auto"/>
    </w:pPr>
    <w:rPr>
      <w:rFonts w:ascii="Tahoma" w:hAnsi="Tahoma" w:cs="Tahoma"/>
      <w:sz w:val="16"/>
      <w:szCs w:val="16"/>
    </w:rPr>
  </w:style>
  <w:style w:type="character" w:customStyle="1" w:styleId="Char9">
    <w:name w:val="نص في بالون Char"/>
    <w:basedOn w:val="a0"/>
    <w:link w:val="af4"/>
    <w:uiPriority w:val="99"/>
    <w:semiHidden/>
    <w:rsid w:val="000B3939"/>
    <w:rPr>
      <w:rFonts w:ascii="Tahoma" w:hAnsi="Tahoma" w:cs="Tahoma"/>
      <w:sz w:val="16"/>
      <w:szCs w:val="16"/>
    </w:rPr>
  </w:style>
  <w:style w:type="character" w:styleId="af5">
    <w:name w:val="Placeholder Text"/>
    <w:basedOn w:val="a0"/>
    <w:uiPriority w:val="99"/>
    <w:semiHidden/>
    <w:rsid w:val="000B3939"/>
    <w:rPr>
      <w:color w:val="808080"/>
    </w:rPr>
  </w:style>
  <w:style w:type="table" w:styleId="af6">
    <w:name w:val="Table Grid"/>
    <w:basedOn w:val="a1"/>
    <w:uiPriority w:val="39"/>
    <w:rsid w:val="000B3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tns-c1-0">
    <w:name w:val="ng-tns-c1-0"/>
    <w:basedOn w:val="a"/>
    <w:uiPriority w:val="99"/>
    <w:rsid w:val="000B39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01">
    <w:name w:val="ng-tns-c1-01"/>
    <w:basedOn w:val="a0"/>
    <w:rsid w:val="000B3939"/>
  </w:style>
  <w:style w:type="character" w:customStyle="1" w:styleId="Chara">
    <w:name w:val="تاااااااااااب Char"/>
    <w:basedOn w:val="a0"/>
    <w:link w:val="af7"/>
    <w:locked/>
    <w:rsid w:val="000B3939"/>
    <w:rPr>
      <w:rFonts w:ascii="Times New Roman" w:eastAsia="Times New Roman" w:hAnsi="Times New Roman" w:cs="Traditional Arabic"/>
      <w:sz w:val="32"/>
      <w:szCs w:val="32"/>
      <w:lang w:bidi="ar-EG"/>
    </w:rPr>
  </w:style>
  <w:style w:type="paragraph" w:customStyle="1" w:styleId="af7">
    <w:name w:val="تاااااااااااب"/>
    <w:basedOn w:val="a"/>
    <w:link w:val="Chara"/>
    <w:rsid w:val="000B3939"/>
    <w:pPr>
      <w:tabs>
        <w:tab w:val="left" w:pos="3088"/>
      </w:tabs>
      <w:bidi/>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b">
    <w:name w:val="تاااااااااااب منسق Char"/>
    <w:basedOn w:val="a0"/>
    <w:link w:val="af8"/>
    <w:locked/>
    <w:rsid w:val="000B3939"/>
    <w:rPr>
      <w:rFonts w:ascii="Times New Roman" w:eastAsia="Times New Roman" w:hAnsi="Times New Roman" w:cs="Traditional Arabic"/>
      <w:sz w:val="32"/>
      <w:szCs w:val="32"/>
      <w:lang w:bidi="ar-EG"/>
    </w:rPr>
  </w:style>
  <w:style w:type="paragraph" w:customStyle="1" w:styleId="af8">
    <w:name w:val="تاااااااااااب منسق"/>
    <w:basedOn w:val="a"/>
    <w:link w:val="Charb"/>
    <w:qFormat/>
    <w:rsid w:val="000B3939"/>
    <w:pPr>
      <w:bidi/>
      <w:spacing w:after="0" w:line="240" w:lineRule="auto"/>
      <w:ind w:firstLine="567"/>
      <w:jc w:val="both"/>
    </w:pPr>
    <w:rPr>
      <w:rFonts w:ascii="Times New Roman" w:eastAsia="Times New Roman" w:hAnsi="Times New Roman" w:cs="Traditional Arabic"/>
      <w:sz w:val="32"/>
      <w:szCs w:val="32"/>
      <w:lang w:bidi="ar-EG"/>
    </w:rPr>
  </w:style>
  <w:style w:type="paragraph" w:customStyle="1" w:styleId="af9">
    <w:name w:val="تاب منسق"/>
    <w:basedOn w:val="a"/>
    <w:link w:val="Charc"/>
    <w:rsid w:val="000B3939"/>
    <w:pPr>
      <w:bidi/>
      <w:spacing w:after="0" w:line="240" w:lineRule="auto"/>
      <w:ind w:firstLine="567"/>
      <w:jc w:val="both"/>
    </w:pPr>
    <w:rPr>
      <w:rFonts w:eastAsia="Times New Roman" w:cs="Traditional Arabic"/>
      <w:sz w:val="32"/>
      <w:szCs w:val="32"/>
      <w:lang w:bidi="ar-EG"/>
    </w:rPr>
  </w:style>
  <w:style w:type="character" w:customStyle="1" w:styleId="Charc">
    <w:name w:val="تاب منسق Char"/>
    <w:basedOn w:val="a0"/>
    <w:link w:val="af9"/>
    <w:rsid w:val="000B3939"/>
    <w:rPr>
      <w:rFonts w:eastAsia="Times New Roman" w:cs="Traditional Arabic"/>
      <w:sz w:val="32"/>
      <w:szCs w:val="32"/>
      <w:lang w:bidi="ar-EG"/>
    </w:rPr>
  </w:style>
  <w:style w:type="paragraph" w:styleId="afa">
    <w:name w:val="annotation text"/>
    <w:basedOn w:val="a"/>
    <w:link w:val="Chard"/>
    <w:uiPriority w:val="99"/>
    <w:unhideWhenUsed/>
    <w:rsid w:val="000B3939"/>
    <w:pPr>
      <w:bidi/>
      <w:spacing w:after="200" w:line="240" w:lineRule="auto"/>
    </w:pPr>
    <w:rPr>
      <w:rFonts w:ascii="Calibri" w:eastAsia="Calibri" w:hAnsi="Calibri" w:cs="Arial"/>
      <w:sz w:val="20"/>
      <w:szCs w:val="20"/>
    </w:rPr>
  </w:style>
  <w:style w:type="character" w:customStyle="1" w:styleId="Chard">
    <w:name w:val="نص تعليق Char"/>
    <w:basedOn w:val="a0"/>
    <w:link w:val="afa"/>
    <w:uiPriority w:val="99"/>
    <w:rsid w:val="000B3939"/>
    <w:rPr>
      <w:rFonts w:ascii="Calibri" w:eastAsia="Calibri" w:hAnsi="Calibri" w:cs="Arial"/>
      <w:sz w:val="20"/>
      <w:szCs w:val="20"/>
    </w:rPr>
  </w:style>
  <w:style w:type="character" w:customStyle="1" w:styleId="il">
    <w:name w:val="il"/>
    <w:basedOn w:val="a0"/>
    <w:rsid w:val="000B3939"/>
  </w:style>
  <w:style w:type="numbering" w:customStyle="1" w:styleId="1111">
    <w:name w:val="بلا قائمة1111"/>
    <w:next w:val="a2"/>
    <w:uiPriority w:val="99"/>
    <w:semiHidden/>
    <w:unhideWhenUsed/>
    <w:rsid w:val="000B3939"/>
  </w:style>
  <w:style w:type="character" w:customStyle="1" w:styleId="Char14">
    <w:name w:val="نص تعليق Char1"/>
    <w:basedOn w:val="a0"/>
    <w:uiPriority w:val="99"/>
    <w:semiHidden/>
    <w:rsid w:val="000B3939"/>
    <w:rPr>
      <w:rFonts w:ascii="Calibri" w:eastAsia="Times New Roman" w:hAnsi="Calibri" w:cs="Arial"/>
    </w:rPr>
  </w:style>
  <w:style w:type="character" w:customStyle="1" w:styleId="Char15">
    <w:name w:val="نص في بالون Char1"/>
    <w:basedOn w:val="a0"/>
    <w:uiPriority w:val="99"/>
    <w:semiHidden/>
    <w:rsid w:val="000B3939"/>
    <w:rPr>
      <w:rFonts w:ascii="Tahoma" w:eastAsia="Times New Roman" w:hAnsi="Tahoma" w:cs="Tahoma"/>
      <w:sz w:val="16"/>
      <w:szCs w:val="16"/>
    </w:rPr>
  </w:style>
  <w:style w:type="character" w:customStyle="1" w:styleId="Chare">
    <w:name w:val="موضوع تعليق Char"/>
    <w:basedOn w:val="Chard"/>
    <w:link w:val="afb"/>
    <w:uiPriority w:val="99"/>
    <w:semiHidden/>
    <w:rsid w:val="000B3939"/>
    <w:rPr>
      <w:rFonts w:ascii="Calibri" w:eastAsia="Times New Roman" w:hAnsi="Calibri" w:cs="Arial"/>
      <w:sz w:val="20"/>
      <w:szCs w:val="20"/>
    </w:rPr>
  </w:style>
  <w:style w:type="paragraph" w:styleId="afb">
    <w:name w:val="annotation subject"/>
    <w:basedOn w:val="afa"/>
    <w:next w:val="afa"/>
    <w:link w:val="Chare"/>
    <w:uiPriority w:val="99"/>
    <w:semiHidden/>
    <w:unhideWhenUsed/>
    <w:rsid w:val="000B3939"/>
    <w:pPr>
      <w:spacing w:after="0"/>
    </w:pPr>
    <w:rPr>
      <w:rFonts w:eastAsia="Times New Roman"/>
    </w:rPr>
  </w:style>
  <w:style w:type="character" w:customStyle="1" w:styleId="Char16">
    <w:name w:val="موضوع تعليق Char1"/>
    <w:basedOn w:val="Chard"/>
    <w:uiPriority w:val="99"/>
    <w:semiHidden/>
    <w:rsid w:val="000B3939"/>
    <w:rPr>
      <w:rFonts w:ascii="Calibri" w:eastAsia="Calibri" w:hAnsi="Calibri" w:cs="Arial"/>
      <w:b/>
      <w:bCs/>
      <w:sz w:val="20"/>
      <w:szCs w:val="20"/>
    </w:rPr>
  </w:style>
  <w:style w:type="character" w:customStyle="1" w:styleId="Char17">
    <w:name w:val="رأس صفحة Char1"/>
    <w:basedOn w:val="a0"/>
    <w:uiPriority w:val="99"/>
    <w:semiHidden/>
    <w:rsid w:val="000B3939"/>
    <w:rPr>
      <w:rFonts w:eastAsia="Times New Roman"/>
    </w:rPr>
  </w:style>
  <w:style w:type="character" w:customStyle="1" w:styleId="Char18">
    <w:name w:val="تذييل صفحة Char1"/>
    <w:basedOn w:val="a0"/>
    <w:uiPriority w:val="99"/>
    <w:semiHidden/>
    <w:rsid w:val="000B3939"/>
    <w:rPr>
      <w:rFonts w:eastAsia="Times New Roman"/>
    </w:rPr>
  </w:style>
  <w:style w:type="character" w:styleId="afc">
    <w:name w:val="FollowedHyperlink"/>
    <w:basedOn w:val="a0"/>
    <w:uiPriority w:val="99"/>
    <w:semiHidden/>
    <w:unhideWhenUsed/>
    <w:rsid w:val="000B3939"/>
    <w:rPr>
      <w:color w:val="800080"/>
      <w:u w:val="single"/>
    </w:rPr>
  </w:style>
  <w:style w:type="paragraph" w:styleId="afd">
    <w:name w:val="Revision"/>
    <w:hidden/>
    <w:uiPriority w:val="99"/>
    <w:semiHidden/>
    <w:rsid w:val="000B3939"/>
    <w:pPr>
      <w:spacing w:after="0" w:line="240" w:lineRule="auto"/>
    </w:pPr>
    <w:rPr>
      <w:rFonts w:ascii="Calibri" w:eastAsia="Times New Roman" w:hAnsi="Calibri" w:cs="Arial"/>
    </w:rPr>
  </w:style>
  <w:style w:type="paragraph" w:customStyle="1" w:styleId="afe">
    <w:name w:val="جدااااااااااول"/>
    <w:basedOn w:val="a"/>
    <w:link w:val="Charf"/>
    <w:rsid w:val="000B3939"/>
    <w:pPr>
      <w:bidi/>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f">
    <w:name w:val="جدااااااااااول Char"/>
    <w:basedOn w:val="a0"/>
    <w:link w:val="afe"/>
    <w:rsid w:val="000B3939"/>
    <w:rPr>
      <w:rFonts w:ascii="Times New Roman" w:eastAsia="Times New Roman" w:hAnsi="Times New Roman" w:cs="Simplified Arabic"/>
      <w:b/>
      <w:bCs/>
      <w:sz w:val="24"/>
      <w:szCs w:val="28"/>
      <w:lang w:bidi="ar-EG"/>
    </w:rPr>
  </w:style>
  <w:style w:type="character" w:styleId="aff">
    <w:name w:val="annotation reference"/>
    <w:basedOn w:val="a0"/>
    <w:uiPriority w:val="99"/>
    <w:semiHidden/>
    <w:unhideWhenUsed/>
    <w:rsid w:val="000B3939"/>
    <w:rPr>
      <w:sz w:val="16"/>
      <w:szCs w:val="16"/>
    </w:rPr>
  </w:style>
  <w:style w:type="character" w:customStyle="1" w:styleId="Char19">
    <w:name w:val="سرد الفقرات Char1"/>
    <w:uiPriority w:val="34"/>
    <w:rsid w:val="000B3939"/>
    <w:rPr>
      <w:rFonts w:ascii="Calibri" w:eastAsia="Calibri" w:hAnsi="Calibri" w:cs="Arial"/>
    </w:rPr>
  </w:style>
  <w:style w:type="paragraph" w:customStyle="1" w:styleId="19">
    <w:name w:val="1"/>
    <w:basedOn w:val="a"/>
    <w:link w:val="1Char0"/>
    <w:rsid w:val="000B3939"/>
    <w:pPr>
      <w:bidi/>
      <w:spacing w:before="120" w:after="120" w:line="276" w:lineRule="auto"/>
      <w:jc w:val="center"/>
      <w:outlineLvl w:val="0"/>
    </w:pPr>
    <w:rPr>
      <w:rFonts w:ascii="Andalus" w:hAnsi="Andalus" w:cs="Andalus"/>
      <w:b/>
      <w:bCs/>
      <w:sz w:val="56"/>
      <w:szCs w:val="72"/>
    </w:rPr>
  </w:style>
  <w:style w:type="paragraph" w:customStyle="1" w:styleId="20">
    <w:name w:val="2"/>
    <w:basedOn w:val="a"/>
    <w:link w:val="2Char0"/>
    <w:rsid w:val="000B3939"/>
    <w:pPr>
      <w:bidi/>
      <w:spacing w:before="120" w:after="120" w:line="276" w:lineRule="auto"/>
      <w:jc w:val="both"/>
      <w:outlineLvl w:val="1"/>
    </w:pPr>
    <w:rPr>
      <w:rFonts w:ascii="Times New Roman" w:hAnsi="Times New Roman" w:cs="Simplified Arabic"/>
      <w:b/>
      <w:bCs/>
      <w:sz w:val="32"/>
      <w:szCs w:val="36"/>
    </w:rPr>
  </w:style>
  <w:style w:type="character" w:customStyle="1" w:styleId="1Char0">
    <w:name w:val="1 Char"/>
    <w:basedOn w:val="a0"/>
    <w:link w:val="19"/>
    <w:rsid w:val="000B3939"/>
    <w:rPr>
      <w:rFonts w:ascii="Andalus" w:hAnsi="Andalus" w:cs="Andalus"/>
      <w:b/>
      <w:bCs/>
      <w:sz w:val="56"/>
      <w:szCs w:val="72"/>
    </w:rPr>
  </w:style>
  <w:style w:type="paragraph" w:customStyle="1" w:styleId="33">
    <w:name w:val="33"/>
    <w:basedOn w:val="33333"/>
    <w:link w:val="33Char"/>
    <w:rsid w:val="00150016"/>
  </w:style>
  <w:style w:type="character" w:customStyle="1" w:styleId="2Char0">
    <w:name w:val="2 Char"/>
    <w:basedOn w:val="a0"/>
    <w:link w:val="20"/>
    <w:rsid w:val="000B3939"/>
    <w:rPr>
      <w:rFonts w:ascii="Times New Roman" w:hAnsi="Times New Roman" w:cs="Simplified Arabic"/>
      <w:b/>
      <w:bCs/>
      <w:sz w:val="32"/>
      <w:szCs w:val="36"/>
    </w:rPr>
  </w:style>
  <w:style w:type="character" w:customStyle="1" w:styleId="33Char">
    <w:name w:val="33 Char"/>
    <w:basedOn w:val="2Char0"/>
    <w:link w:val="33"/>
    <w:rsid w:val="00150016"/>
    <w:rPr>
      <w:rFonts w:ascii="Times New Roman" w:hAnsi="Times New Roman" w:cs="Simplified Arabic"/>
      <w:b/>
      <w:bCs/>
      <w:sz w:val="24"/>
      <w:szCs w:val="28"/>
    </w:rPr>
  </w:style>
  <w:style w:type="character" w:customStyle="1" w:styleId="1212121Char">
    <w:name w:val="رئيسي 1212121 Char"/>
    <w:basedOn w:val="a0"/>
    <w:link w:val="1212121"/>
    <w:locked/>
    <w:rsid w:val="000B3939"/>
    <w:rPr>
      <w:rFonts w:ascii="Times New Roman" w:hAnsi="Times New Roman" w:cs="Traditional Arabic"/>
      <w:bCs/>
      <w:sz w:val="24"/>
      <w:szCs w:val="40"/>
    </w:rPr>
  </w:style>
  <w:style w:type="paragraph" w:customStyle="1" w:styleId="1212121">
    <w:name w:val="رئيسي 1212121"/>
    <w:basedOn w:val="a"/>
    <w:link w:val="1212121Char"/>
    <w:rsid w:val="000B3939"/>
    <w:pPr>
      <w:bidi/>
      <w:spacing w:line="256" w:lineRule="auto"/>
      <w:jc w:val="center"/>
      <w:outlineLvl w:val="0"/>
    </w:pPr>
    <w:rPr>
      <w:rFonts w:ascii="Times New Roman" w:hAnsi="Times New Roman" w:cs="Traditional Arabic"/>
      <w:bCs/>
      <w:sz w:val="24"/>
      <w:szCs w:val="40"/>
    </w:rPr>
  </w:style>
  <w:style w:type="paragraph" w:styleId="22">
    <w:name w:val="toc 2"/>
    <w:basedOn w:val="a"/>
    <w:next w:val="a"/>
    <w:autoRedefine/>
    <w:uiPriority w:val="39"/>
    <w:unhideWhenUsed/>
    <w:rsid w:val="00103CD9"/>
    <w:pPr>
      <w:tabs>
        <w:tab w:val="right" w:leader="dot" w:pos="9072"/>
      </w:tabs>
      <w:bidi/>
      <w:spacing w:after="100"/>
      <w:ind w:left="281"/>
      <w:jc w:val="both"/>
    </w:pPr>
    <w:rPr>
      <w:rFonts w:ascii="Simplified Arabic" w:hAnsi="Simplified Arabic" w:cs="Simplified Arabic"/>
      <w:noProof/>
      <w:sz w:val="28"/>
      <w:szCs w:val="28"/>
    </w:rPr>
  </w:style>
  <w:style w:type="paragraph" w:styleId="1a">
    <w:name w:val="toc 1"/>
    <w:basedOn w:val="a"/>
    <w:next w:val="a"/>
    <w:autoRedefine/>
    <w:uiPriority w:val="39"/>
    <w:unhideWhenUsed/>
    <w:rsid w:val="000B3939"/>
    <w:pPr>
      <w:bidi/>
      <w:spacing w:after="100"/>
    </w:pPr>
  </w:style>
  <w:style w:type="paragraph" w:customStyle="1" w:styleId="310">
    <w:name w:val="جدول محتويات 31"/>
    <w:basedOn w:val="a"/>
    <w:next w:val="a"/>
    <w:autoRedefine/>
    <w:uiPriority w:val="39"/>
    <w:unhideWhenUsed/>
    <w:rsid w:val="000B3939"/>
    <w:pPr>
      <w:bidi/>
      <w:spacing w:after="100" w:line="278" w:lineRule="auto"/>
      <w:ind w:left="480"/>
    </w:pPr>
    <w:rPr>
      <w:rFonts w:eastAsia="Times New Roman"/>
      <w:kern w:val="2"/>
      <w:sz w:val="24"/>
      <w:szCs w:val="24"/>
      <w14:ligatures w14:val="standardContextual"/>
    </w:rPr>
  </w:style>
  <w:style w:type="paragraph" w:customStyle="1" w:styleId="410">
    <w:name w:val="جدول محتويات 41"/>
    <w:basedOn w:val="a"/>
    <w:next w:val="a"/>
    <w:autoRedefine/>
    <w:uiPriority w:val="39"/>
    <w:unhideWhenUsed/>
    <w:rsid w:val="000B3939"/>
    <w:pPr>
      <w:bidi/>
      <w:spacing w:after="100" w:line="278" w:lineRule="auto"/>
      <w:ind w:left="720"/>
    </w:pPr>
    <w:rPr>
      <w:rFonts w:eastAsia="Times New Roman"/>
      <w:kern w:val="2"/>
      <w:sz w:val="24"/>
      <w:szCs w:val="24"/>
      <w14:ligatures w14:val="standardContextual"/>
    </w:rPr>
  </w:style>
  <w:style w:type="paragraph" w:customStyle="1" w:styleId="510">
    <w:name w:val="جدول محتويات 51"/>
    <w:basedOn w:val="a"/>
    <w:next w:val="a"/>
    <w:autoRedefine/>
    <w:uiPriority w:val="39"/>
    <w:unhideWhenUsed/>
    <w:rsid w:val="000B3939"/>
    <w:pPr>
      <w:bidi/>
      <w:spacing w:after="100" w:line="278" w:lineRule="auto"/>
      <w:ind w:left="960"/>
    </w:pPr>
    <w:rPr>
      <w:rFonts w:eastAsia="Times New Roman"/>
      <w:kern w:val="2"/>
      <w:sz w:val="24"/>
      <w:szCs w:val="24"/>
      <w14:ligatures w14:val="standardContextual"/>
    </w:rPr>
  </w:style>
  <w:style w:type="paragraph" w:customStyle="1" w:styleId="610">
    <w:name w:val="جدول محتويات 61"/>
    <w:basedOn w:val="a"/>
    <w:next w:val="a"/>
    <w:autoRedefine/>
    <w:uiPriority w:val="39"/>
    <w:unhideWhenUsed/>
    <w:rsid w:val="000B3939"/>
    <w:pPr>
      <w:bidi/>
      <w:spacing w:after="100" w:line="278" w:lineRule="auto"/>
      <w:ind w:left="1200"/>
    </w:pPr>
    <w:rPr>
      <w:rFonts w:eastAsia="Times New Roman"/>
      <w:kern w:val="2"/>
      <w:sz w:val="24"/>
      <w:szCs w:val="24"/>
      <w14:ligatures w14:val="standardContextual"/>
    </w:rPr>
  </w:style>
  <w:style w:type="paragraph" w:customStyle="1" w:styleId="710">
    <w:name w:val="جدول محتويات 71"/>
    <w:basedOn w:val="a"/>
    <w:next w:val="a"/>
    <w:autoRedefine/>
    <w:uiPriority w:val="39"/>
    <w:unhideWhenUsed/>
    <w:rsid w:val="000B3939"/>
    <w:pPr>
      <w:bidi/>
      <w:spacing w:after="100" w:line="278" w:lineRule="auto"/>
      <w:ind w:left="1440"/>
    </w:pPr>
    <w:rPr>
      <w:rFonts w:eastAsia="Times New Roman"/>
      <w:kern w:val="2"/>
      <w:sz w:val="24"/>
      <w:szCs w:val="24"/>
      <w14:ligatures w14:val="standardContextual"/>
    </w:rPr>
  </w:style>
  <w:style w:type="paragraph" w:customStyle="1" w:styleId="810">
    <w:name w:val="جدول محتويات 81"/>
    <w:basedOn w:val="a"/>
    <w:next w:val="a"/>
    <w:autoRedefine/>
    <w:uiPriority w:val="39"/>
    <w:unhideWhenUsed/>
    <w:rsid w:val="000B3939"/>
    <w:pPr>
      <w:bidi/>
      <w:spacing w:after="100" w:line="278" w:lineRule="auto"/>
      <w:ind w:left="1680"/>
    </w:pPr>
    <w:rPr>
      <w:rFonts w:eastAsia="Times New Roman"/>
      <w:kern w:val="2"/>
      <w:sz w:val="24"/>
      <w:szCs w:val="24"/>
      <w14:ligatures w14:val="standardContextual"/>
    </w:rPr>
  </w:style>
  <w:style w:type="paragraph" w:customStyle="1" w:styleId="910">
    <w:name w:val="جدول محتويات 91"/>
    <w:basedOn w:val="a"/>
    <w:next w:val="a"/>
    <w:autoRedefine/>
    <w:uiPriority w:val="39"/>
    <w:unhideWhenUsed/>
    <w:rsid w:val="000B3939"/>
    <w:pPr>
      <w:bidi/>
      <w:spacing w:after="100" w:line="278" w:lineRule="auto"/>
      <w:ind w:left="1920"/>
    </w:pPr>
    <w:rPr>
      <w:rFonts w:eastAsia="Times New Roman"/>
      <w:kern w:val="2"/>
      <w:sz w:val="24"/>
      <w:szCs w:val="24"/>
      <w14:ligatures w14:val="standardContextual"/>
    </w:rPr>
  </w:style>
  <w:style w:type="paragraph" w:customStyle="1" w:styleId="msonormal0">
    <w:name w:val="msonormal"/>
    <w:basedOn w:val="a"/>
    <w:uiPriority w:val="99"/>
    <w:semiHidden/>
    <w:rsid w:val="000B39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a">
    <w:name w:val="نص حاشية سفلية Char1"/>
    <w:aliases w:val="حواشي سفلية Char1,Char Char Char Char Char1,Footnote Text Char Char1,r Char1,نص حاشية سفلية Char Char Char Char Char1,نص حاشية سفلية Char Char Char Char2,Footnote Expulsion Char1,Char Char Char Char Char Char Char1"/>
    <w:basedOn w:val="a0"/>
    <w:uiPriority w:val="99"/>
    <w:semiHidden/>
    <w:rsid w:val="000B3939"/>
    <w:rPr>
      <w:sz w:val="20"/>
      <w:szCs w:val="20"/>
    </w:rPr>
  </w:style>
  <w:style w:type="character" w:customStyle="1" w:styleId="Hyperlink2">
    <w:name w:val="Hyperlink2"/>
    <w:basedOn w:val="a0"/>
    <w:uiPriority w:val="99"/>
    <w:semiHidden/>
    <w:unhideWhenUsed/>
    <w:rsid w:val="000B3939"/>
    <w:rPr>
      <w:color w:val="0563C1"/>
      <w:u w:val="single"/>
    </w:rPr>
  </w:style>
  <w:style w:type="table" w:customStyle="1" w:styleId="1b">
    <w:name w:val="شبكة جدول1"/>
    <w:basedOn w:val="a1"/>
    <w:next w:val="af6"/>
    <w:uiPriority w:val="59"/>
    <w:rsid w:val="000B3939"/>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تأكيد مكثف2"/>
    <w:basedOn w:val="a0"/>
    <w:uiPriority w:val="21"/>
    <w:qFormat/>
    <w:rsid w:val="000B3939"/>
    <w:rPr>
      <w:i/>
      <w:iCs/>
      <w:color w:val="5B9BD5"/>
    </w:rPr>
  </w:style>
  <w:style w:type="paragraph" w:customStyle="1" w:styleId="24">
    <w:name w:val="اقتباس مكثف2"/>
    <w:basedOn w:val="a"/>
    <w:next w:val="a"/>
    <w:uiPriority w:val="30"/>
    <w:qFormat/>
    <w:rsid w:val="000B3939"/>
    <w:pPr>
      <w:pBdr>
        <w:top w:val="single" w:sz="4" w:space="10" w:color="5B9BD5"/>
        <w:bottom w:val="single" w:sz="4" w:space="10" w:color="5B9BD5"/>
      </w:pBdr>
      <w:bidi/>
      <w:spacing w:before="360" w:after="360"/>
      <w:ind w:left="864" w:right="864"/>
      <w:jc w:val="center"/>
    </w:pPr>
    <w:rPr>
      <w:i/>
      <w:iCs/>
      <w:color w:val="2E74B5"/>
      <w:kern w:val="2"/>
      <w14:ligatures w14:val="standardContextual"/>
    </w:rPr>
  </w:style>
  <w:style w:type="character" w:customStyle="1" w:styleId="25">
    <w:name w:val="مرجع مكثف2"/>
    <w:basedOn w:val="a0"/>
    <w:uiPriority w:val="32"/>
    <w:qFormat/>
    <w:rsid w:val="000B3939"/>
    <w:rPr>
      <w:b/>
      <w:bCs/>
      <w:smallCaps/>
      <w:color w:val="5B9BD5"/>
      <w:spacing w:val="5"/>
    </w:rPr>
  </w:style>
  <w:style w:type="character" w:customStyle="1" w:styleId="Char20">
    <w:name w:val="اقتباس مكثف Char2"/>
    <w:basedOn w:val="a0"/>
    <w:uiPriority w:val="30"/>
    <w:rsid w:val="000B3939"/>
    <w:rPr>
      <w:i/>
      <w:iCs/>
      <w:color w:val="2F5496" w:themeColor="accent1" w:themeShade="BF"/>
    </w:rPr>
  </w:style>
  <w:style w:type="paragraph" w:customStyle="1" w:styleId="222">
    <w:name w:val="222"/>
    <w:basedOn w:val="a"/>
    <w:link w:val="222Char"/>
    <w:rsid w:val="00FA6718"/>
    <w:pPr>
      <w:bidi/>
      <w:spacing w:before="120" w:after="120" w:line="240" w:lineRule="auto"/>
      <w:jc w:val="both"/>
      <w:outlineLvl w:val="1"/>
    </w:pPr>
    <w:rPr>
      <w:rFonts w:ascii="Times New Roman" w:hAnsi="Times New Roman" w:cs="Simplified Arabic"/>
      <w:b/>
      <w:bCs/>
      <w:kern w:val="2"/>
      <w:sz w:val="32"/>
      <w:szCs w:val="36"/>
      <w14:ligatures w14:val="standardContextual"/>
    </w:rPr>
  </w:style>
  <w:style w:type="character" w:customStyle="1" w:styleId="222Char">
    <w:name w:val="222 Char"/>
    <w:basedOn w:val="a0"/>
    <w:link w:val="222"/>
    <w:rsid w:val="00FA6718"/>
    <w:rPr>
      <w:rFonts w:ascii="Times New Roman" w:hAnsi="Times New Roman" w:cs="Simplified Arabic"/>
      <w:b/>
      <w:bCs/>
      <w:kern w:val="2"/>
      <w:sz w:val="32"/>
      <w:szCs w:val="36"/>
      <w14:ligatures w14:val="standardContextual"/>
    </w:rPr>
  </w:style>
  <w:style w:type="paragraph" w:customStyle="1" w:styleId="00000">
    <w:name w:val="00000"/>
    <w:basedOn w:val="a"/>
    <w:link w:val="00000Char"/>
    <w:qFormat/>
    <w:rsid w:val="00FA6718"/>
    <w:pPr>
      <w:bidi/>
      <w:spacing w:before="120" w:after="120" w:line="240" w:lineRule="auto"/>
      <w:ind w:firstLine="284"/>
      <w:jc w:val="both"/>
    </w:pPr>
    <w:rPr>
      <w:rFonts w:ascii="Times New Roman" w:hAnsi="Times New Roman" w:cs="Simplified Arabic"/>
      <w:kern w:val="2"/>
      <w:sz w:val="24"/>
      <w:szCs w:val="28"/>
      <w:lang w:bidi="ar-EG"/>
      <w14:ligatures w14:val="standardContextual"/>
    </w:rPr>
  </w:style>
  <w:style w:type="character" w:customStyle="1" w:styleId="00000Char">
    <w:name w:val="00000 Char"/>
    <w:basedOn w:val="a0"/>
    <w:link w:val="00000"/>
    <w:rsid w:val="00FA6718"/>
    <w:rPr>
      <w:rFonts w:ascii="Times New Roman" w:hAnsi="Times New Roman" w:cs="Simplified Arabic"/>
      <w:kern w:val="2"/>
      <w:sz w:val="24"/>
      <w:szCs w:val="28"/>
      <w:lang w:bidi="ar-EG"/>
      <w14:ligatures w14:val="standardContextual"/>
    </w:rPr>
  </w:style>
  <w:style w:type="paragraph" w:customStyle="1" w:styleId="444">
    <w:name w:val="444"/>
    <w:basedOn w:val="a"/>
    <w:link w:val="444Char"/>
    <w:qFormat/>
    <w:rsid w:val="00FA6718"/>
    <w:pPr>
      <w:bidi/>
      <w:spacing w:before="360" w:after="360" w:line="240" w:lineRule="auto"/>
      <w:jc w:val="center"/>
      <w:outlineLvl w:val="0"/>
    </w:pPr>
    <w:rPr>
      <w:rFonts w:ascii="Times New Roman" w:hAnsi="Times New Roman" w:cs="Simplified Arabic"/>
      <w:b/>
      <w:bCs/>
      <w:kern w:val="2"/>
      <w:sz w:val="36"/>
      <w:szCs w:val="40"/>
      <w14:ligatures w14:val="standardContextual"/>
    </w:rPr>
  </w:style>
  <w:style w:type="character" w:customStyle="1" w:styleId="444Char">
    <w:name w:val="444 Char"/>
    <w:basedOn w:val="a0"/>
    <w:link w:val="444"/>
    <w:rsid w:val="00FA6718"/>
    <w:rPr>
      <w:rFonts w:ascii="Times New Roman" w:hAnsi="Times New Roman" w:cs="Simplified Arabic"/>
      <w:b/>
      <w:bCs/>
      <w:kern w:val="2"/>
      <w:sz w:val="36"/>
      <w:szCs w:val="40"/>
      <w14:ligatures w14:val="standardContextual"/>
    </w:rPr>
  </w:style>
  <w:style w:type="paragraph" w:customStyle="1" w:styleId="11110">
    <w:name w:val="1111"/>
    <w:basedOn w:val="444"/>
    <w:link w:val="1111Char"/>
    <w:qFormat/>
    <w:rsid w:val="00225841"/>
    <w:pPr>
      <w:spacing w:before="120" w:after="120"/>
    </w:pPr>
  </w:style>
  <w:style w:type="character" w:customStyle="1" w:styleId="1111Char">
    <w:name w:val="1111 Char"/>
    <w:basedOn w:val="444Char"/>
    <w:link w:val="11110"/>
    <w:rsid w:val="00225841"/>
    <w:rPr>
      <w:rFonts w:ascii="Times New Roman" w:hAnsi="Times New Roman" w:cs="Simplified Arabic"/>
      <w:b/>
      <w:bCs/>
      <w:kern w:val="2"/>
      <w:sz w:val="36"/>
      <w:szCs w:val="40"/>
      <w14:ligatures w14:val="standardContextual"/>
    </w:rPr>
  </w:style>
  <w:style w:type="paragraph" w:customStyle="1" w:styleId="22222">
    <w:name w:val="22222"/>
    <w:basedOn w:val="222"/>
    <w:link w:val="22222Char"/>
    <w:qFormat/>
    <w:rsid w:val="00225841"/>
    <w:rPr>
      <w:lang w:bidi="ar-EG"/>
    </w:rPr>
  </w:style>
  <w:style w:type="character" w:customStyle="1" w:styleId="22222Char">
    <w:name w:val="22222 Char"/>
    <w:basedOn w:val="222Char"/>
    <w:link w:val="22222"/>
    <w:rsid w:val="00225841"/>
    <w:rPr>
      <w:rFonts w:ascii="Times New Roman" w:hAnsi="Times New Roman" w:cs="Simplified Arabic"/>
      <w:b/>
      <w:bCs/>
      <w:kern w:val="2"/>
      <w:sz w:val="32"/>
      <w:szCs w:val="36"/>
      <w:lang w:bidi="ar-EG"/>
      <w14:ligatures w14:val="standardContextual"/>
    </w:rPr>
  </w:style>
  <w:style w:type="paragraph" w:customStyle="1" w:styleId="33333">
    <w:name w:val="33333"/>
    <w:basedOn w:val="a"/>
    <w:link w:val="33333Char"/>
    <w:qFormat/>
    <w:rsid w:val="00013C75"/>
    <w:pPr>
      <w:bidi/>
      <w:spacing w:before="120" w:after="120" w:line="240" w:lineRule="auto"/>
      <w:jc w:val="center"/>
      <w:outlineLvl w:val="2"/>
    </w:pPr>
    <w:rPr>
      <w:rFonts w:ascii="Times New Roman" w:hAnsi="Times New Roman" w:cs="Simplified Arabic"/>
      <w:b/>
      <w:bCs/>
      <w:sz w:val="24"/>
      <w:szCs w:val="28"/>
    </w:rPr>
  </w:style>
  <w:style w:type="character" w:customStyle="1" w:styleId="33333Char">
    <w:name w:val="33333 Char"/>
    <w:basedOn w:val="a0"/>
    <w:link w:val="33333"/>
    <w:rsid w:val="00013C75"/>
    <w:rPr>
      <w:rFonts w:ascii="Times New Roman" w:hAnsi="Times New Roman" w:cs="Simplified Arabic"/>
      <w:b/>
      <w:bCs/>
      <w:sz w:val="24"/>
      <w:szCs w:val="28"/>
    </w:rPr>
  </w:style>
  <w:style w:type="paragraph" w:customStyle="1" w:styleId="113">
    <w:name w:val="11.3"/>
    <w:basedOn w:val="a"/>
    <w:link w:val="113Char"/>
    <w:qFormat/>
    <w:rsid w:val="009A288C"/>
    <w:pPr>
      <w:bidi/>
      <w:spacing w:before="120" w:after="120" w:line="240" w:lineRule="auto"/>
      <w:contextualSpacing/>
      <w:outlineLvl w:val="2"/>
    </w:pPr>
    <w:rPr>
      <w:rFonts w:ascii="Times New Roman" w:eastAsia="Calibri" w:hAnsi="Times New Roman" w:cs="Simplified Arabic"/>
      <w:b/>
      <w:bCs/>
      <w:kern w:val="2"/>
      <w:sz w:val="24"/>
      <w:szCs w:val="28"/>
      <w14:ligatures w14:val="standardContextual"/>
    </w:rPr>
  </w:style>
  <w:style w:type="character" w:customStyle="1" w:styleId="113Char">
    <w:name w:val="11.3 Char"/>
    <w:basedOn w:val="a0"/>
    <w:link w:val="113"/>
    <w:rsid w:val="009A288C"/>
    <w:rPr>
      <w:rFonts w:ascii="Times New Roman" w:eastAsia="Calibri" w:hAnsi="Times New Roman" w:cs="Simplified Arabic"/>
      <w:b/>
      <w:bCs/>
      <w:kern w:val="2"/>
      <w:sz w:val="24"/>
      <w:szCs w:val="28"/>
      <w14:ligatures w14:val="standardContextual"/>
    </w:rPr>
  </w:style>
  <w:style w:type="paragraph" w:styleId="30">
    <w:name w:val="toc 3"/>
    <w:basedOn w:val="a"/>
    <w:next w:val="a"/>
    <w:autoRedefine/>
    <w:uiPriority w:val="39"/>
    <w:unhideWhenUsed/>
    <w:rsid w:val="002F1B79"/>
    <w:pPr>
      <w:spacing w:after="100"/>
      <w:ind w:left="440"/>
    </w:pPr>
  </w:style>
  <w:style w:type="paragraph" w:styleId="40">
    <w:name w:val="toc 4"/>
    <w:basedOn w:val="a"/>
    <w:next w:val="a"/>
    <w:autoRedefine/>
    <w:uiPriority w:val="39"/>
    <w:unhideWhenUsed/>
    <w:rsid w:val="002F1B79"/>
    <w:pPr>
      <w:spacing w:after="100" w:line="278" w:lineRule="auto"/>
      <w:ind w:left="720"/>
    </w:pPr>
    <w:rPr>
      <w:rFonts w:eastAsiaTheme="minorEastAsia"/>
      <w:kern w:val="2"/>
      <w:sz w:val="24"/>
      <w:szCs w:val="24"/>
      <w14:ligatures w14:val="standardContextual"/>
    </w:rPr>
  </w:style>
  <w:style w:type="paragraph" w:styleId="50">
    <w:name w:val="toc 5"/>
    <w:basedOn w:val="a"/>
    <w:next w:val="a"/>
    <w:autoRedefine/>
    <w:uiPriority w:val="39"/>
    <w:unhideWhenUsed/>
    <w:rsid w:val="002F1B79"/>
    <w:pPr>
      <w:spacing w:after="100" w:line="278" w:lineRule="auto"/>
      <w:ind w:left="960"/>
    </w:pPr>
    <w:rPr>
      <w:rFonts w:eastAsiaTheme="minorEastAsia"/>
      <w:kern w:val="2"/>
      <w:sz w:val="24"/>
      <w:szCs w:val="24"/>
      <w14:ligatures w14:val="standardContextual"/>
    </w:rPr>
  </w:style>
  <w:style w:type="paragraph" w:styleId="60">
    <w:name w:val="toc 6"/>
    <w:basedOn w:val="a"/>
    <w:next w:val="a"/>
    <w:autoRedefine/>
    <w:uiPriority w:val="39"/>
    <w:unhideWhenUsed/>
    <w:rsid w:val="002F1B79"/>
    <w:pPr>
      <w:spacing w:after="100" w:line="278" w:lineRule="auto"/>
      <w:ind w:left="1200"/>
    </w:pPr>
    <w:rPr>
      <w:rFonts w:eastAsiaTheme="minorEastAsia"/>
      <w:kern w:val="2"/>
      <w:sz w:val="24"/>
      <w:szCs w:val="24"/>
      <w14:ligatures w14:val="standardContextual"/>
    </w:rPr>
  </w:style>
  <w:style w:type="paragraph" w:styleId="70">
    <w:name w:val="toc 7"/>
    <w:basedOn w:val="a"/>
    <w:next w:val="a"/>
    <w:autoRedefine/>
    <w:uiPriority w:val="39"/>
    <w:unhideWhenUsed/>
    <w:rsid w:val="002F1B79"/>
    <w:pPr>
      <w:spacing w:after="100" w:line="278" w:lineRule="auto"/>
      <w:ind w:left="1440"/>
    </w:pPr>
    <w:rPr>
      <w:rFonts w:eastAsiaTheme="minorEastAsia"/>
      <w:kern w:val="2"/>
      <w:sz w:val="24"/>
      <w:szCs w:val="24"/>
      <w14:ligatures w14:val="standardContextual"/>
    </w:rPr>
  </w:style>
  <w:style w:type="paragraph" w:styleId="80">
    <w:name w:val="toc 8"/>
    <w:basedOn w:val="a"/>
    <w:next w:val="a"/>
    <w:autoRedefine/>
    <w:uiPriority w:val="39"/>
    <w:unhideWhenUsed/>
    <w:rsid w:val="002F1B79"/>
    <w:pPr>
      <w:spacing w:after="100" w:line="278" w:lineRule="auto"/>
      <w:ind w:left="1680"/>
    </w:pPr>
    <w:rPr>
      <w:rFonts w:eastAsiaTheme="minorEastAsia"/>
      <w:kern w:val="2"/>
      <w:sz w:val="24"/>
      <w:szCs w:val="24"/>
      <w14:ligatures w14:val="standardContextual"/>
    </w:rPr>
  </w:style>
  <w:style w:type="paragraph" w:styleId="90">
    <w:name w:val="toc 9"/>
    <w:basedOn w:val="a"/>
    <w:next w:val="a"/>
    <w:autoRedefine/>
    <w:uiPriority w:val="39"/>
    <w:unhideWhenUsed/>
    <w:rsid w:val="002F1B79"/>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1070">
      <w:bodyDiv w:val="1"/>
      <w:marLeft w:val="0"/>
      <w:marRight w:val="0"/>
      <w:marTop w:val="0"/>
      <w:marBottom w:val="0"/>
      <w:divBdr>
        <w:top w:val="none" w:sz="0" w:space="0" w:color="auto"/>
        <w:left w:val="none" w:sz="0" w:space="0" w:color="auto"/>
        <w:bottom w:val="none" w:sz="0" w:space="0" w:color="auto"/>
        <w:right w:val="none" w:sz="0" w:space="0" w:color="auto"/>
      </w:divBdr>
    </w:div>
    <w:div w:id="197858957">
      <w:bodyDiv w:val="1"/>
      <w:marLeft w:val="0"/>
      <w:marRight w:val="0"/>
      <w:marTop w:val="0"/>
      <w:marBottom w:val="0"/>
      <w:divBdr>
        <w:top w:val="none" w:sz="0" w:space="0" w:color="auto"/>
        <w:left w:val="none" w:sz="0" w:space="0" w:color="auto"/>
        <w:bottom w:val="none" w:sz="0" w:space="0" w:color="auto"/>
        <w:right w:val="none" w:sz="0" w:space="0" w:color="auto"/>
      </w:divBdr>
    </w:div>
    <w:div w:id="272438672">
      <w:bodyDiv w:val="1"/>
      <w:marLeft w:val="0"/>
      <w:marRight w:val="0"/>
      <w:marTop w:val="0"/>
      <w:marBottom w:val="0"/>
      <w:divBdr>
        <w:top w:val="none" w:sz="0" w:space="0" w:color="auto"/>
        <w:left w:val="none" w:sz="0" w:space="0" w:color="auto"/>
        <w:bottom w:val="none" w:sz="0" w:space="0" w:color="auto"/>
        <w:right w:val="none" w:sz="0" w:space="0" w:color="auto"/>
      </w:divBdr>
    </w:div>
    <w:div w:id="297415656">
      <w:bodyDiv w:val="1"/>
      <w:marLeft w:val="0"/>
      <w:marRight w:val="0"/>
      <w:marTop w:val="0"/>
      <w:marBottom w:val="0"/>
      <w:divBdr>
        <w:top w:val="none" w:sz="0" w:space="0" w:color="auto"/>
        <w:left w:val="none" w:sz="0" w:space="0" w:color="auto"/>
        <w:bottom w:val="none" w:sz="0" w:space="0" w:color="auto"/>
        <w:right w:val="none" w:sz="0" w:space="0" w:color="auto"/>
      </w:divBdr>
    </w:div>
    <w:div w:id="347950075">
      <w:bodyDiv w:val="1"/>
      <w:marLeft w:val="0"/>
      <w:marRight w:val="0"/>
      <w:marTop w:val="0"/>
      <w:marBottom w:val="0"/>
      <w:divBdr>
        <w:top w:val="none" w:sz="0" w:space="0" w:color="auto"/>
        <w:left w:val="none" w:sz="0" w:space="0" w:color="auto"/>
        <w:bottom w:val="none" w:sz="0" w:space="0" w:color="auto"/>
        <w:right w:val="none" w:sz="0" w:space="0" w:color="auto"/>
      </w:divBdr>
    </w:div>
    <w:div w:id="378676471">
      <w:bodyDiv w:val="1"/>
      <w:marLeft w:val="0"/>
      <w:marRight w:val="0"/>
      <w:marTop w:val="0"/>
      <w:marBottom w:val="0"/>
      <w:divBdr>
        <w:top w:val="none" w:sz="0" w:space="0" w:color="auto"/>
        <w:left w:val="none" w:sz="0" w:space="0" w:color="auto"/>
        <w:bottom w:val="none" w:sz="0" w:space="0" w:color="auto"/>
        <w:right w:val="none" w:sz="0" w:space="0" w:color="auto"/>
      </w:divBdr>
    </w:div>
    <w:div w:id="524713884">
      <w:bodyDiv w:val="1"/>
      <w:marLeft w:val="0"/>
      <w:marRight w:val="0"/>
      <w:marTop w:val="0"/>
      <w:marBottom w:val="0"/>
      <w:divBdr>
        <w:top w:val="none" w:sz="0" w:space="0" w:color="auto"/>
        <w:left w:val="none" w:sz="0" w:space="0" w:color="auto"/>
        <w:bottom w:val="none" w:sz="0" w:space="0" w:color="auto"/>
        <w:right w:val="none" w:sz="0" w:space="0" w:color="auto"/>
      </w:divBdr>
    </w:div>
    <w:div w:id="526988500">
      <w:bodyDiv w:val="1"/>
      <w:marLeft w:val="0"/>
      <w:marRight w:val="0"/>
      <w:marTop w:val="0"/>
      <w:marBottom w:val="0"/>
      <w:divBdr>
        <w:top w:val="none" w:sz="0" w:space="0" w:color="auto"/>
        <w:left w:val="none" w:sz="0" w:space="0" w:color="auto"/>
        <w:bottom w:val="none" w:sz="0" w:space="0" w:color="auto"/>
        <w:right w:val="none" w:sz="0" w:space="0" w:color="auto"/>
      </w:divBdr>
    </w:div>
    <w:div w:id="710804269">
      <w:bodyDiv w:val="1"/>
      <w:marLeft w:val="0"/>
      <w:marRight w:val="0"/>
      <w:marTop w:val="0"/>
      <w:marBottom w:val="0"/>
      <w:divBdr>
        <w:top w:val="none" w:sz="0" w:space="0" w:color="auto"/>
        <w:left w:val="none" w:sz="0" w:space="0" w:color="auto"/>
        <w:bottom w:val="none" w:sz="0" w:space="0" w:color="auto"/>
        <w:right w:val="none" w:sz="0" w:space="0" w:color="auto"/>
      </w:divBdr>
    </w:div>
    <w:div w:id="785580994">
      <w:bodyDiv w:val="1"/>
      <w:marLeft w:val="0"/>
      <w:marRight w:val="0"/>
      <w:marTop w:val="0"/>
      <w:marBottom w:val="0"/>
      <w:divBdr>
        <w:top w:val="none" w:sz="0" w:space="0" w:color="auto"/>
        <w:left w:val="none" w:sz="0" w:space="0" w:color="auto"/>
        <w:bottom w:val="none" w:sz="0" w:space="0" w:color="auto"/>
        <w:right w:val="none" w:sz="0" w:space="0" w:color="auto"/>
      </w:divBdr>
    </w:div>
    <w:div w:id="845293413">
      <w:bodyDiv w:val="1"/>
      <w:marLeft w:val="0"/>
      <w:marRight w:val="0"/>
      <w:marTop w:val="0"/>
      <w:marBottom w:val="0"/>
      <w:divBdr>
        <w:top w:val="none" w:sz="0" w:space="0" w:color="auto"/>
        <w:left w:val="none" w:sz="0" w:space="0" w:color="auto"/>
        <w:bottom w:val="none" w:sz="0" w:space="0" w:color="auto"/>
        <w:right w:val="none" w:sz="0" w:space="0" w:color="auto"/>
      </w:divBdr>
    </w:div>
    <w:div w:id="1011570469">
      <w:bodyDiv w:val="1"/>
      <w:marLeft w:val="0"/>
      <w:marRight w:val="0"/>
      <w:marTop w:val="0"/>
      <w:marBottom w:val="0"/>
      <w:divBdr>
        <w:top w:val="none" w:sz="0" w:space="0" w:color="auto"/>
        <w:left w:val="none" w:sz="0" w:space="0" w:color="auto"/>
        <w:bottom w:val="none" w:sz="0" w:space="0" w:color="auto"/>
        <w:right w:val="none" w:sz="0" w:space="0" w:color="auto"/>
      </w:divBdr>
    </w:div>
    <w:div w:id="1061709643">
      <w:bodyDiv w:val="1"/>
      <w:marLeft w:val="0"/>
      <w:marRight w:val="0"/>
      <w:marTop w:val="0"/>
      <w:marBottom w:val="0"/>
      <w:divBdr>
        <w:top w:val="none" w:sz="0" w:space="0" w:color="auto"/>
        <w:left w:val="none" w:sz="0" w:space="0" w:color="auto"/>
        <w:bottom w:val="none" w:sz="0" w:space="0" w:color="auto"/>
        <w:right w:val="none" w:sz="0" w:space="0" w:color="auto"/>
      </w:divBdr>
    </w:div>
    <w:div w:id="1068574764">
      <w:bodyDiv w:val="1"/>
      <w:marLeft w:val="0"/>
      <w:marRight w:val="0"/>
      <w:marTop w:val="0"/>
      <w:marBottom w:val="0"/>
      <w:divBdr>
        <w:top w:val="none" w:sz="0" w:space="0" w:color="auto"/>
        <w:left w:val="none" w:sz="0" w:space="0" w:color="auto"/>
        <w:bottom w:val="none" w:sz="0" w:space="0" w:color="auto"/>
        <w:right w:val="none" w:sz="0" w:space="0" w:color="auto"/>
      </w:divBdr>
    </w:div>
    <w:div w:id="1164468795">
      <w:bodyDiv w:val="1"/>
      <w:marLeft w:val="0"/>
      <w:marRight w:val="0"/>
      <w:marTop w:val="0"/>
      <w:marBottom w:val="0"/>
      <w:divBdr>
        <w:top w:val="none" w:sz="0" w:space="0" w:color="auto"/>
        <w:left w:val="none" w:sz="0" w:space="0" w:color="auto"/>
        <w:bottom w:val="none" w:sz="0" w:space="0" w:color="auto"/>
        <w:right w:val="none" w:sz="0" w:space="0" w:color="auto"/>
      </w:divBdr>
    </w:div>
    <w:div w:id="1220937548">
      <w:bodyDiv w:val="1"/>
      <w:marLeft w:val="0"/>
      <w:marRight w:val="0"/>
      <w:marTop w:val="0"/>
      <w:marBottom w:val="0"/>
      <w:divBdr>
        <w:top w:val="none" w:sz="0" w:space="0" w:color="auto"/>
        <w:left w:val="none" w:sz="0" w:space="0" w:color="auto"/>
        <w:bottom w:val="none" w:sz="0" w:space="0" w:color="auto"/>
        <w:right w:val="none" w:sz="0" w:space="0" w:color="auto"/>
      </w:divBdr>
    </w:div>
    <w:div w:id="1248424747">
      <w:bodyDiv w:val="1"/>
      <w:marLeft w:val="0"/>
      <w:marRight w:val="0"/>
      <w:marTop w:val="0"/>
      <w:marBottom w:val="0"/>
      <w:divBdr>
        <w:top w:val="none" w:sz="0" w:space="0" w:color="auto"/>
        <w:left w:val="none" w:sz="0" w:space="0" w:color="auto"/>
        <w:bottom w:val="none" w:sz="0" w:space="0" w:color="auto"/>
        <w:right w:val="none" w:sz="0" w:space="0" w:color="auto"/>
      </w:divBdr>
    </w:div>
    <w:div w:id="1294100605">
      <w:bodyDiv w:val="1"/>
      <w:marLeft w:val="0"/>
      <w:marRight w:val="0"/>
      <w:marTop w:val="0"/>
      <w:marBottom w:val="0"/>
      <w:divBdr>
        <w:top w:val="none" w:sz="0" w:space="0" w:color="auto"/>
        <w:left w:val="none" w:sz="0" w:space="0" w:color="auto"/>
        <w:bottom w:val="none" w:sz="0" w:space="0" w:color="auto"/>
        <w:right w:val="none" w:sz="0" w:space="0" w:color="auto"/>
      </w:divBdr>
    </w:div>
    <w:div w:id="1370302825">
      <w:bodyDiv w:val="1"/>
      <w:marLeft w:val="0"/>
      <w:marRight w:val="0"/>
      <w:marTop w:val="0"/>
      <w:marBottom w:val="0"/>
      <w:divBdr>
        <w:top w:val="none" w:sz="0" w:space="0" w:color="auto"/>
        <w:left w:val="none" w:sz="0" w:space="0" w:color="auto"/>
        <w:bottom w:val="none" w:sz="0" w:space="0" w:color="auto"/>
        <w:right w:val="none" w:sz="0" w:space="0" w:color="auto"/>
      </w:divBdr>
    </w:div>
    <w:div w:id="1429736731">
      <w:bodyDiv w:val="1"/>
      <w:marLeft w:val="0"/>
      <w:marRight w:val="0"/>
      <w:marTop w:val="0"/>
      <w:marBottom w:val="0"/>
      <w:divBdr>
        <w:top w:val="none" w:sz="0" w:space="0" w:color="auto"/>
        <w:left w:val="none" w:sz="0" w:space="0" w:color="auto"/>
        <w:bottom w:val="none" w:sz="0" w:space="0" w:color="auto"/>
        <w:right w:val="none" w:sz="0" w:space="0" w:color="auto"/>
      </w:divBdr>
    </w:div>
    <w:div w:id="1447843873">
      <w:bodyDiv w:val="1"/>
      <w:marLeft w:val="0"/>
      <w:marRight w:val="0"/>
      <w:marTop w:val="0"/>
      <w:marBottom w:val="0"/>
      <w:divBdr>
        <w:top w:val="none" w:sz="0" w:space="0" w:color="auto"/>
        <w:left w:val="none" w:sz="0" w:space="0" w:color="auto"/>
        <w:bottom w:val="none" w:sz="0" w:space="0" w:color="auto"/>
        <w:right w:val="none" w:sz="0" w:space="0" w:color="auto"/>
      </w:divBdr>
    </w:div>
    <w:div w:id="1608736103">
      <w:bodyDiv w:val="1"/>
      <w:marLeft w:val="0"/>
      <w:marRight w:val="0"/>
      <w:marTop w:val="0"/>
      <w:marBottom w:val="0"/>
      <w:divBdr>
        <w:top w:val="none" w:sz="0" w:space="0" w:color="auto"/>
        <w:left w:val="none" w:sz="0" w:space="0" w:color="auto"/>
        <w:bottom w:val="none" w:sz="0" w:space="0" w:color="auto"/>
        <w:right w:val="none" w:sz="0" w:space="0" w:color="auto"/>
      </w:divBdr>
    </w:div>
    <w:div w:id="1615482465">
      <w:bodyDiv w:val="1"/>
      <w:marLeft w:val="0"/>
      <w:marRight w:val="0"/>
      <w:marTop w:val="0"/>
      <w:marBottom w:val="0"/>
      <w:divBdr>
        <w:top w:val="none" w:sz="0" w:space="0" w:color="auto"/>
        <w:left w:val="none" w:sz="0" w:space="0" w:color="auto"/>
        <w:bottom w:val="none" w:sz="0" w:space="0" w:color="auto"/>
        <w:right w:val="none" w:sz="0" w:space="0" w:color="auto"/>
      </w:divBdr>
    </w:div>
    <w:div w:id="1648362103">
      <w:bodyDiv w:val="1"/>
      <w:marLeft w:val="0"/>
      <w:marRight w:val="0"/>
      <w:marTop w:val="0"/>
      <w:marBottom w:val="0"/>
      <w:divBdr>
        <w:top w:val="none" w:sz="0" w:space="0" w:color="auto"/>
        <w:left w:val="none" w:sz="0" w:space="0" w:color="auto"/>
        <w:bottom w:val="none" w:sz="0" w:space="0" w:color="auto"/>
        <w:right w:val="none" w:sz="0" w:space="0" w:color="auto"/>
      </w:divBdr>
    </w:div>
    <w:div w:id="1748108395">
      <w:bodyDiv w:val="1"/>
      <w:marLeft w:val="0"/>
      <w:marRight w:val="0"/>
      <w:marTop w:val="0"/>
      <w:marBottom w:val="0"/>
      <w:divBdr>
        <w:top w:val="none" w:sz="0" w:space="0" w:color="auto"/>
        <w:left w:val="none" w:sz="0" w:space="0" w:color="auto"/>
        <w:bottom w:val="none" w:sz="0" w:space="0" w:color="auto"/>
        <w:right w:val="none" w:sz="0" w:space="0" w:color="auto"/>
      </w:divBdr>
    </w:div>
    <w:div w:id="1748765193">
      <w:bodyDiv w:val="1"/>
      <w:marLeft w:val="0"/>
      <w:marRight w:val="0"/>
      <w:marTop w:val="0"/>
      <w:marBottom w:val="0"/>
      <w:divBdr>
        <w:top w:val="none" w:sz="0" w:space="0" w:color="auto"/>
        <w:left w:val="none" w:sz="0" w:space="0" w:color="auto"/>
        <w:bottom w:val="none" w:sz="0" w:space="0" w:color="auto"/>
        <w:right w:val="none" w:sz="0" w:space="0" w:color="auto"/>
      </w:divBdr>
    </w:div>
    <w:div w:id="1797674255">
      <w:bodyDiv w:val="1"/>
      <w:marLeft w:val="0"/>
      <w:marRight w:val="0"/>
      <w:marTop w:val="0"/>
      <w:marBottom w:val="0"/>
      <w:divBdr>
        <w:top w:val="none" w:sz="0" w:space="0" w:color="auto"/>
        <w:left w:val="none" w:sz="0" w:space="0" w:color="auto"/>
        <w:bottom w:val="none" w:sz="0" w:space="0" w:color="auto"/>
        <w:right w:val="none" w:sz="0" w:space="0" w:color="auto"/>
      </w:divBdr>
    </w:div>
    <w:div w:id="1856536179">
      <w:bodyDiv w:val="1"/>
      <w:marLeft w:val="0"/>
      <w:marRight w:val="0"/>
      <w:marTop w:val="0"/>
      <w:marBottom w:val="0"/>
      <w:divBdr>
        <w:top w:val="none" w:sz="0" w:space="0" w:color="auto"/>
        <w:left w:val="none" w:sz="0" w:space="0" w:color="auto"/>
        <w:bottom w:val="none" w:sz="0" w:space="0" w:color="auto"/>
        <w:right w:val="none" w:sz="0" w:space="0" w:color="auto"/>
      </w:divBdr>
    </w:div>
    <w:div w:id="1864323984">
      <w:bodyDiv w:val="1"/>
      <w:marLeft w:val="0"/>
      <w:marRight w:val="0"/>
      <w:marTop w:val="0"/>
      <w:marBottom w:val="0"/>
      <w:divBdr>
        <w:top w:val="none" w:sz="0" w:space="0" w:color="auto"/>
        <w:left w:val="none" w:sz="0" w:space="0" w:color="auto"/>
        <w:bottom w:val="none" w:sz="0" w:space="0" w:color="auto"/>
        <w:right w:val="none" w:sz="0" w:space="0" w:color="auto"/>
      </w:divBdr>
    </w:div>
    <w:div w:id="2043246551">
      <w:bodyDiv w:val="1"/>
      <w:marLeft w:val="0"/>
      <w:marRight w:val="0"/>
      <w:marTop w:val="0"/>
      <w:marBottom w:val="0"/>
      <w:divBdr>
        <w:top w:val="none" w:sz="0" w:space="0" w:color="auto"/>
        <w:left w:val="none" w:sz="0" w:space="0" w:color="auto"/>
        <w:bottom w:val="none" w:sz="0" w:space="0" w:color="auto"/>
        <w:right w:val="none" w:sz="0" w:space="0" w:color="auto"/>
      </w:divBdr>
      <w:divsChild>
        <w:div w:id="729770080">
          <w:marLeft w:val="0"/>
          <w:marRight w:val="0"/>
          <w:marTop w:val="0"/>
          <w:marBottom w:val="0"/>
          <w:divBdr>
            <w:top w:val="none" w:sz="0" w:space="0" w:color="auto"/>
            <w:left w:val="none" w:sz="0" w:space="0" w:color="auto"/>
            <w:bottom w:val="none" w:sz="0" w:space="0" w:color="auto"/>
            <w:right w:val="none" w:sz="0" w:space="0" w:color="auto"/>
          </w:divBdr>
          <w:divsChild>
            <w:div w:id="606888401">
              <w:marLeft w:val="0"/>
              <w:marRight w:val="0"/>
              <w:marTop w:val="0"/>
              <w:marBottom w:val="0"/>
              <w:divBdr>
                <w:top w:val="none" w:sz="0" w:space="0" w:color="auto"/>
                <w:left w:val="none" w:sz="0" w:space="0" w:color="auto"/>
                <w:bottom w:val="none" w:sz="0" w:space="0" w:color="auto"/>
                <w:right w:val="none" w:sz="0" w:space="0" w:color="auto"/>
              </w:divBdr>
              <w:divsChild>
                <w:div w:id="1708217077">
                  <w:marLeft w:val="0"/>
                  <w:marRight w:val="0"/>
                  <w:marTop w:val="0"/>
                  <w:marBottom w:val="0"/>
                  <w:divBdr>
                    <w:top w:val="none" w:sz="0" w:space="0" w:color="auto"/>
                    <w:left w:val="none" w:sz="0" w:space="0" w:color="auto"/>
                    <w:bottom w:val="none" w:sz="0" w:space="0" w:color="auto"/>
                    <w:right w:val="none" w:sz="0" w:space="0" w:color="auto"/>
                  </w:divBdr>
                  <w:divsChild>
                    <w:div w:id="103311340">
                      <w:marLeft w:val="0"/>
                      <w:marRight w:val="0"/>
                      <w:marTop w:val="0"/>
                      <w:marBottom w:val="0"/>
                      <w:divBdr>
                        <w:top w:val="none" w:sz="0" w:space="0" w:color="auto"/>
                        <w:left w:val="none" w:sz="0" w:space="0" w:color="auto"/>
                        <w:bottom w:val="none" w:sz="0" w:space="0" w:color="auto"/>
                        <w:right w:val="none" w:sz="0" w:space="0" w:color="auto"/>
                      </w:divBdr>
                      <w:divsChild>
                        <w:div w:id="334962080">
                          <w:marLeft w:val="0"/>
                          <w:marRight w:val="0"/>
                          <w:marTop w:val="0"/>
                          <w:marBottom w:val="0"/>
                          <w:divBdr>
                            <w:top w:val="none" w:sz="0" w:space="0" w:color="auto"/>
                            <w:left w:val="none" w:sz="0" w:space="0" w:color="auto"/>
                            <w:bottom w:val="none" w:sz="0" w:space="0" w:color="auto"/>
                            <w:right w:val="none" w:sz="0" w:space="0" w:color="auto"/>
                          </w:divBdr>
                          <w:divsChild>
                            <w:div w:id="20849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187964">
      <w:bodyDiv w:val="1"/>
      <w:marLeft w:val="0"/>
      <w:marRight w:val="0"/>
      <w:marTop w:val="0"/>
      <w:marBottom w:val="0"/>
      <w:divBdr>
        <w:top w:val="none" w:sz="0" w:space="0" w:color="auto"/>
        <w:left w:val="none" w:sz="0" w:space="0" w:color="auto"/>
        <w:bottom w:val="none" w:sz="0" w:space="0" w:color="auto"/>
        <w:right w:val="none" w:sz="0" w:space="0" w:color="auto"/>
      </w:divBdr>
    </w:div>
    <w:div w:id="20590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hyperlink" Target="https://acpss.ahram.org.eg/News/21180.aspx" TargetMode="External"/><Relationship Id="rId3" Type="http://schemas.openxmlformats.org/officeDocument/2006/relationships/styles" Target="styles.xml"/><Relationship Id="rId21" Type="http://schemas.openxmlformats.org/officeDocument/2006/relationships/hyperlink" Target="https://2u.pw/sYlSiTh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1made.org/"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2u.pw/IkJ2H9lO" TargetMode="External"/><Relationship Id="rId29" Type="http://schemas.openxmlformats.org/officeDocument/2006/relationships/hyperlink" Target="https://www.petra.gov.jo/Include/InnerPage.jsp?ID=214155&amp;lang=ar&amp;name=new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hbku.edu.qa/ar/news/green-finance-sdg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uomustansiriyah.edu.iq/media/lectures/8/8_2021_03_31!12_28_08_AM.pdf" TargetMode="External"/><Relationship Id="rId28" Type="http://schemas.openxmlformats.org/officeDocument/2006/relationships/hyperlink" Target="https://tiec.gov.eg/Arabic/MediaCenter/PressReleases/Pages/ITIDA-VISA-Collab.aspx" TargetMode="External"/><Relationship Id="rId10" Type="http://schemas.openxmlformats.org/officeDocument/2006/relationships/hyperlink" Target="https://www.ramstarab.com/%D8%A8%D8%B3%D9%85-%D8%A7%D9%84%D9%84%D9%87-%D8%A7%D9%84%D8%B1%D8%AD%D9%85%D9%86-%D8%A7%D9%84%D8%B1%D8%AD%D9%8A%D9%85-png/" TargetMode="External"/><Relationship Id="rId19" Type="http://schemas.openxmlformats.org/officeDocument/2006/relationships/hyperlink" Target="https://2u.pw/uqga46TI" TargetMode="External"/><Relationship Id="rId31" Type="http://schemas.openxmlformats.org/officeDocument/2006/relationships/hyperlink" Target="https://www.monshaat.gov.sa/ar/node/2405" TargetMode="Externa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diagramLayout" Target="diagrams/layout1.xml"/><Relationship Id="rId22" Type="http://schemas.openxmlformats.org/officeDocument/2006/relationships/hyperlink" Target="https://www.qou.edu/ar/faculties/hstdy/digital-business-management/index.jsp" TargetMode="External"/><Relationship Id="rId27" Type="http://schemas.openxmlformats.org/officeDocument/2006/relationships/hyperlink" Target="https://code.mcit.gov.sa/ar/Innovation-Lab/center-digital-entrepreneurship" TargetMode="External"/><Relationship Id="rId30" Type="http://schemas.openxmlformats.org/officeDocument/2006/relationships/hyperlink" Target="https://www.monshaat.gov.sa/ar/node/2405" TargetMode="External"/><Relationship Id="rId35" Type="http://schemas.openxmlformats.org/officeDocument/2006/relationships/theme" Target="theme/theme1.xm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C1DB5-E34A-4E56-A91A-7A01F87DCE58}"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FB9F2150-67EC-4A93-ACD2-AF2D334440A8}">
      <dgm:prSet phldrT="[نص]"/>
      <dgm:spPr>
        <a:xfrm>
          <a:off x="2175668" y="1431328"/>
          <a:ext cx="922972" cy="922972"/>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Simplified Arabic" panose="02020603050405020304" pitchFamily="18" charset="-78"/>
              <a:ea typeface="+mn-ea"/>
              <a:cs typeface="Simplified Arabic" panose="02020603050405020304" pitchFamily="18" charset="-78"/>
            </a:rPr>
            <a:t>نماذج التمويل التشاركي</a:t>
          </a:r>
          <a:endParaRPr lang="en-US">
            <a:solidFill>
              <a:sysClr val="window" lastClr="FFFFFF"/>
            </a:solidFill>
            <a:latin typeface="Simplified Arabic" panose="02020603050405020304" pitchFamily="18" charset="-78"/>
            <a:ea typeface="+mn-ea"/>
            <a:cs typeface="Simplified Arabic" panose="02020603050405020304" pitchFamily="18" charset="-78"/>
          </a:endParaRPr>
        </a:p>
      </dgm:t>
    </dgm:pt>
    <dgm:pt modelId="{33AA9645-588C-4BD4-A907-28CEC113E429}" type="parTrans" cxnId="{CBDE2C0B-9FC8-40F6-9D31-7A407268CF8F}">
      <dgm:prSet/>
      <dgm:spPr/>
      <dgm:t>
        <a:bodyPr/>
        <a:lstStyle/>
        <a:p>
          <a:endParaRPr lang="en-US">
            <a:latin typeface="Simplified Arabic" panose="02020603050405020304" pitchFamily="18" charset="-78"/>
            <a:cs typeface="Simplified Arabic" panose="02020603050405020304" pitchFamily="18" charset="-78"/>
          </a:endParaRPr>
        </a:p>
      </dgm:t>
    </dgm:pt>
    <dgm:pt modelId="{3A31DC7F-BC0A-4737-8830-5209912D682C}" type="sibTrans" cxnId="{CBDE2C0B-9FC8-40F6-9D31-7A407268CF8F}">
      <dgm:prSet/>
      <dgm:spPr/>
      <dgm:t>
        <a:bodyPr/>
        <a:lstStyle/>
        <a:p>
          <a:endParaRPr lang="en-US">
            <a:latin typeface="Simplified Arabic" panose="02020603050405020304" pitchFamily="18" charset="-78"/>
            <a:cs typeface="Simplified Arabic" panose="02020603050405020304" pitchFamily="18" charset="-78"/>
          </a:endParaRPr>
        </a:p>
      </dgm:t>
    </dgm:pt>
    <dgm:pt modelId="{056B10B8-E02E-439A-8886-430B479D5A57}">
      <dgm:prSet phldrT="[نص]"/>
      <dgm:spPr>
        <a:xfrm>
          <a:off x="2201896" y="95866"/>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b="0" i="0">
              <a:solidFill>
                <a:sysClr val="window" lastClr="FFFFFF"/>
              </a:solidFill>
              <a:latin typeface="Simplified Arabic" panose="02020603050405020304" pitchFamily="18" charset="-78"/>
              <a:ea typeface="+mn-ea"/>
              <a:cs typeface="Simplified Arabic" panose="02020603050405020304" pitchFamily="18" charset="-78"/>
            </a:rPr>
            <a:t>التمويل التبرعي</a:t>
          </a:r>
          <a:endParaRPr lang="en-US">
            <a:solidFill>
              <a:sysClr val="window" lastClr="FFFFFF"/>
            </a:solidFill>
            <a:latin typeface="Simplified Arabic" panose="02020603050405020304" pitchFamily="18" charset="-78"/>
            <a:ea typeface="+mn-ea"/>
            <a:cs typeface="Simplified Arabic" panose="02020603050405020304" pitchFamily="18" charset="-78"/>
          </a:endParaRPr>
        </a:p>
      </dgm:t>
    </dgm:pt>
    <dgm:pt modelId="{AF73F648-5F03-4E20-9ABB-8EFA68F6D4A8}" type="parTrans" cxnId="{256C4B45-8436-48B6-AD23-0E6C728FAD3B}">
      <dgm:prSet/>
      <dgm:spPr>
        <a:xfrm rot="16200000">
          <a:off x="2348263" y="1142436"/>
          <a:ext cx="577783" cy="0"/>
        </a:xfrm>
        <a:custGeom>
          <a:avLst/>
          <a:gdLst/>
          <a:ahLst/>
          <a:cxnLst/>
          <a:rect l="0" t="0" r="0" b="0"/>
          <a:pathLst>
            <a:path>
              <a:moveTo>
                <a:pt x="0" y="0"/>
              </a:moveTo>
              <a:lnTo>
                <a:pt x="577783"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Simplified Arabic" panose="02020603050405020304" pitchFamily="18" charset="-78"/>
            <a:cs typeface="Simplified Arabic" panose="02020603050405020304" pitchFamily="18" charset="-78"/>
          </a:endParaRPr>
        </a:p>
      </dgm:t>
    </dgm:pt>
    <dgm:pt modelId="{8215D915-6249-49FA-9B8A-653F33DBBFF1}" type="sibTrans" cxnId="{256C4B45-8436-48B6-AD23-0E6C728FAD3B}">
      <dgm:prSet/>
      <dgm:spPr/>
      <dgm:t>
        <a:bodyPr/>
        <a:lstStyle/>
        <a:p>
          <a:endParaRPr lang="en-US">
            <a:latin typeface="Simplified Arabic" panose="02020603050405020304" pitchFamily="18" charset="-78"/>
            <a:cs typeface="Simplified Arabic" panose="02020603050405020304" pitchFamily="18" charset="-78"/>
          </a:endParaRPr>
        </a:p>
      </dgm:t>
    </dgm:pt>
    <dgm:pt modelId="{9C7DCFB5-A0F0-4ACE-9B33-FD365AF07A35}">
      <dgm:prSet phldrT="[نص]"/>
      <dgm:spPr>
        <a:xfrm>
          <a:off x="3430015" y="2223030"/>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b="0" i="0">
              <a:solidFill>
                <a:sysClr val="window" lastClr="FFFFFF"/>
              </a:solidFill>
              <a:latin typeface="Simplified Arabic" panose="02020603050405020304" pitchFamily="18" charset="-78"/>
              <a:ea typeface="+mn-ea"/>
              <a:cs typeface="Simplified Arabic" panose="02020603050405020304" pitchFamily="18" charset="-78"/>
            </a:rPr>
            <a:t>التمويل القائم على المكافآت</a:t>
          </a:r>
          <a:endParaRPr lang="en-US">
            <a:solidFill>
              <a:sysClr val="window" lastClr="FFFFFF"/>
            </a:solidFill>
            <a:latin typeface="Simplified Arabic" panose="02020603050405020304" pitchFamily="18" charset="-78"/>
            <a:ea typeface="+mn-ea"/>
            <a:cs typeface="Simplified Arabic" panose="02020603050405020304" pitchFamily="18" charset="-78"/>
          </a:endParaRPr>
        </a:p>
      </dgm:t>
    </dgm:pt>
    <dgm:pt modelId="{BFD9AC70-CE30-4DDD-9FAC-22DC50D930F7}" type="parTrans" cxnId="{F0052739-EA2D-40C7-ADE8-0422D2F56CCB}">
      <dgm:prSet/>
      <dgm:spPr>
        <a:xfrm rot="1800000">
          <a:off x="3073009" y="2254913"/>
          <a:ext cx="382637" cy="0"/>
        </a:xfrm>
        <a:custGeom>
          <a:avLst/>
          <a:gdLst/>
          <a:ahLst/>
          <a:cxnLst/>
          <a:rect l="0" t="0" r="0" b="0"/>
          <a:pathLst>
            <a:path>
              <a:moveTo>
                <a:pt x="0" y="0"/>
              </a:moveTo>
              <a:lnTo>
                <a:pt x="382637"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Simplified Arabic" panose="02020603050405020304" pitchFamily="18" charset="-78"/>
            <a:cs typeface="Simplified Arabic" panose="02020603050405020304" pitchFamily="18" charset="-78"/>
          </a:endParaRPr>
        </a:p>
      </dgm:t>
    </dgm:pt>
    <dgm:pt modelId="{6DE1AF78-71F3-442C-B8C6-A8283F10A84F}" type="sibTrans" cxnId="{F0052739-EA2D-40C7-ADE8-0422D2F56CCB}">
      <dgm:prSet/>
      <dgm:spPr/>
      <dgm:t>
        <a:bodyPr/>
        <a:lstStyle/>
        <a:p>
          <a:endParaRPr lang="en-US">
            <a:latin typeface="Simplified Arabic" panose="02020603050405020304" pitchFamily="18" charset="-78"/>
            <a:cs typeface="Simplified Arabic" panose="02020603050405020304" pitchFamily="18" charset="-78"/>
          </a:endParaRPr>
        </a:p>
      </dgm:t>
    </dgm:pt>
    <dgm:pt modelId="{32C2DF60-CB23-4B2E-A137-D71FB2F623B1}">
      <dgm:prSet phldrT="[نص]"/>
      <dgm:spPr>
        <a:xfrm>
          <a:off x="973778" y="2223030"/>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a:solidFill>
                <a:sysClr val="window" lastClr="FFFFFF"/>
              </a:solidFill>
              <a:latin typeface="Simplified Arabic" panose="02020603050405020304" pitchFamily="18" charset="-78"/>
              <a:ea typeface="+mn-ea"/>
              <a:cs typeface="Simplified Arabic" panose="02020603050405020304" pitchFamily="18" charset="-78"/>
            </a:rPr>
            <a:t>التمويل التشاركي المختلط</a:t>
          </a:r>
        </a:p>
      </dgm:t>
    </dgm:pt>
    <dgm:pt modelId="{A1F2EF80-95C6-4ABF-8EEB-2351D4FE9FDE}" type="parTrans" cxnId="{C630DD4D-DC1F-41B4-A71C-A96AF7DB9DC6}">
      <dgm:prSet/>
      <dgm:spPr>
        <a:xfrm rot="9000000">
          <a:off x="1818662" y="2254913"/>
          <a:ext cx="382637" cy="0"/>
        </a:xfrm>
        <a:custGeom>
          <a:avLst/>
          <a:gdLst/>
          <a:ahLst/>
          <a:cxnLst/>
          <a:rect l="0" t="0" r="0" b="0"/>
          <a:pathLst>
            <a:path>
              <a:moveTo>
                <a:pt x="0" y="0"/>
              </a:moveTo>
              <a:lnTo>
                <a:pt x="382637"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Simplified Arabic" panose="02020603050405020304" pitchFamily="18" charset="-78"/>
            <a:cs typeface="Simplified Arabic" panose="02020603050405020304" pitchFamily="18" charset="-78"/>
          </a:endParaRPr>
        </a:p>
      </dgm:t>
    </dgm:pt>
    <dgm:pt modelId="{C663B3B0-C624-4C9B-9FBB-8BCA6BE74CCB}" type="sibTrans" cxnId="{C630DD4D-DC1F-41B4-A71C-A96AF7DB9DC6}">
      <dgm:prSet/>
      <dgm:spPr/>
      <dgm:t>
        <a:bodyPr/>
        <a:lstStyle/>
        <a:p>
          <a:endParaRPr lang="en-US">
            <a:latin typeface="Simplified Arabic" panose="02020603050405020304" pitchFamily="18" charset="-78"/>
            <a:cs typeface="Simplified Arabic" panose="02020603050405020304" pitchFamily="18" charset="-78"/>
          </a:endParaRPr>
        </a:p>
      </dgm:t>
    </dgm:pt>
    <dgm:pt modelId="{32B7C7F8-27FE-4327-9E49-027D23B10310}" type="pres">
      <dgm:prSet presAssocID="{22EC1DB5-E34A-4E56-A91A-7A01F87DCE58}" presName="Name0" presStyleCnt="0">
        <dgm:presLayoutVars>
          <dgm:chMax val="1"/>
          <dgm:chPref val="1"/>
          <dgm:dir/>
          <dgm:animOne val="branch"/>
          <dgm:animLvl val="lvl"/>
        </dgm:presLayoutVars>
      </dgm:prSet>
      <dgm:spPr/>
    </dgm:pt>
    <dgm:pt modelId="{62D2F69B-BF4E-45DB-8BE2-1F48A8477FDA}" type="pres">
      <dgm:prSet presAssocID="{FB9F2150-67EC-4A93-ACD2-AF2D334440A8}" presName="singleCycle" presStyleCnt="0"/>
      <dgm:spPr/>
    </dgm:pt>
    <dgm:pt modelId="{5AE34ED9-BB4B-4CFB-BD23-F78BFD9D19F4}" type="pres">
      <dgm:prSet presAssocID="{FB9F2150-67EC-4A93-ACD2-AF2D334440A8}" presName="singleCenter" presStyleLbl="node1" presStyleIdx="0" presStyleCnt="4">
        <dgm:presLayoutVars>
          <dgm:chMax val="7"/>
          <dgm:chPref val="7"/>
        </dgm:presLayoutVars>
      </dgm:prSet>
      <dgm:spPr/>
    </dgm:pt>
    <dgm:pt modelId="{3401108A-E2CD-4D9F-9386-869BD3141375}" type="pres">
      <dgm:prSet presAssocID="{AF73F648-5F03-4E20-9ABB-8EFA68F6D4A8}" presName="Name56" presStyleLbl="parChTrans1D2" presStyleIdx="0" presStyleCnt="3"/>
      <dgm:spPr/>
    </dgm:pt>
    <dgm:pt modelId="{073ADE65-6D31-43B1-8E8C-0DCAADF589DF}" type="pres">
      <dgm:prSet presAssocID="{056B10B8-E02E-439A-8886-430B479D5A57}" presName="text0" presStyleLbl="node1" presStyleIdx="1" presStyleCnt="4" custScaleX="140771" custScaleY="122524">
        <dgm:presLayoutVars>
          <dgm:bulletEnabled val="1"/>
        </dgm:presLayoutVars>
      </dgm:prSet>
      <dgm:spPr/>
    </dgm:pt>
    <dgm:pt modelId="{87F0E173-33E2-482B-893F-8AB080664FE3}" type="pres">
      <dgm:prSet presAssocID="{BFD9AC70-CE30-4DDD-9FAC-22DC50D930F7}" presName="Name56" presStyleLbl="parChTrans1D2" presStyleIdx="1" presStyleCnt="3"/>
      <dgm:spPr/>
    </dgm:pt>
    <dgm:pt modelId="{6ACA6B53-D493-413B-93DE-33B1B568A3D4}" type="pres">
      <dgm:prSet presAssocID="{9C7DCFB5-A0F0-4ACE-9B33-FD365AF07A35}" presName="text0" presStyleLbl="node1" presStyleIdx="2" presStyleCnt="4" custScaleX="140771" custScaleY="122524">
        <dgm:presLayoutVars>
          <dgm:bulletEnabled val="1"/>
        </dgm:presLayoutVars>
      </dgm:prSet>
      <dgm:spPr/>
    </dgm:pt>
    <dgm:pt modelId="{7AED6949-C0EB-4CF7-8A23-62650442E32C}" type="pres">
      <dgm:prSet presAssocID="{A1F2EF80-95C6-4ABF-8EEB-2351D4FE9FDE}" presName="Name56" presStyleLbl="parChTrans1D2" presStyleIdx="2" presStyleCnt="3"/>
      <dgm:spPr/>
    </dgm:pt>
    <dgm:pt modelId="{B26970C6-9F7E-4EFB-B8FE-AF5A9E446AD1}" type="pres">
      <dgm:prSet presAssocID="{32C2DF60-CB23-4B2E-A137-D71FB2F623B1}" presName="text0" presStyleLbl="node1" presStyleIdx="3" presStyleCnt="4" custScaleX="140771" custScaleY="122524">
        <dgm:presLayoutVars>
          <dgm:bulletEnabled val="1"/>
        </dgm:presLayoutVars>
      </dgm:prSet>
      <dgm:spPr/>
    </dgm:pt>
  </dgm:ptLst>
  <dgm:cxnLst>
    <dgm:cxn modelId="{B58D7805-A067-46B4-93C6-2052A2F5C0D6}" type="presOf" srcId="{BFD9AC70-CE30-4DDD-9FAC-22DC50D930F7}" destId="{87F0E173-33E2-482B-893F-8AB080664FE3}" srcOrd="0" destOrd="0" presId="urn:microsoft.com/office/officeart/2008/layout/RadialCluster"/>
    <dgm:cxn modelId="{CBDE2C0B-9FC8-40F6-9D31-7A407268CF8F}" srcId="{22EC1DB5-E34A-4E56-A91A-7A01F87DCE58}" destId="{FB9F2150-67EC-4A93-ACD2-AF2D334440A8}" srcOrd="0" destOrd="0" parTransId="{33AA9645-588C-4BD4-A907-28CEC113E429}" sibTransId="{3A31DC7F-BC0A-4737-8830-5209912D682C}"/>
    <dgm:cxn modelId="{7F079718-5132-4213-90B2-5C2DFA8E0BD7}" type="presOf" srcId="{AF73F648-5F03-4E20-9ABB-8EFA68F6D4A8}" destId="{3401108A-E2CD-4D9F-9386-869BD3141375}" srcOrd="0" destOrd="0" presId="urn:microsoft.com/office/officeart/2008/layout/RadialCluster"/>
    <dgm:cxn modelId="{3EEB4529-B6BB-45AF-ADAE-BDC6746127FF}" type="presOf" srcId="{32C2DF60-CB23-4B2E-A137-D71FB2F623B1}" destId="{B26970C6-9F7E-4EFB-B8FE-AF5A9E446AD1}" srcOrd="0" destOrd="0" presId="urn:microsoft.com/office/officeart/2008/layout/RadialCluster"/>
    <dgm:cxn modelId="{1EBE662A-BA6E-4C46-BE7A-8BDF38609279}" type="presOf" srcId="{056B10B8-E02E-439A-8886-430B479D5A57}" destId="{073ADE65-6D31-43B1-8E8C-0DCAADF589DF}" srcOrd="0" destOrd="0" presId="urn:microsoft.com/office/officeart/2008/layout/RadialCluster"/>
    <dgm:cxn modelId="{F0052739-EA2D-40C7-ADE8-0422D2F56CCB}" srcId="{FB9F2150-67EC-4A93-ACD2-AF2D334440A8}" destId="{9C7DCFB5-A0F0-4ACE-9B33-FD365AF07A35}" srcOrd="1" destOrd="0" parTransId="{BFD9AC70-CE30-4DDD-9FAC-22DC50D930F7}" sibTransId="{6DE1AF78-71F3-442C-B8C6-A8283F10A84F}"/>
    <dgm:cxn modelId="{7F50CD61-4F58-4EE8-B971-FE8EE230AE96}" type="presOf" srcId="{9C7DCFB5-A0F0-4ACE-9B33-FD365AF07A35}" destId="{6ACA6B53-D493-413B-93DE-33B1B568A3D4}" srcOrd="0" destOrd="0" presId="urn:microsoft.com/office/officeart/2008/layout/RadialCluster"/>
    <dgm:cxn modelId="{256C4B45-8436-48B6-AD23-0E6C728FAD3B}" srcId="{FB9F2150-67EC-4A93-ACD2-AF2D334440A8}" destId="{056B10B8-E02E-439A-8886-430B479D5A57}" srcOrd="0" destOrd="0" parTransId="{AF73F648-5F03-4E20-9ABB-8EFA68F6D4A8}" sibTransId="{8215D915-6249-49FA-9B8A-653F33DBBFF1}"/>
    <dgm:cxn modelId="{ACED7666-E5D3-491F-BE45-CE81B0215AD1}" type="presOf" srcId="{22EC1DB5-E34A-4E56-A91A-7A01F87DCE58}" destId="{32B7C7F8-27FE-4327-9E49-027D23B10310}" srcOrd="0" destOrd="0" presId="urn:microsoft.com/office/officeart/2008/layout/RadialCluster"/>
    <dgm:cxn modelId="{C630DD4D-DC1F-41B4-A71C-A96AF7DB9DC6}" srcId="{FB9F2150-67EC-4A93-ACD2-AF2D334440A8}" destId="{32C2DF60-CB23-4B2E-A137-D71FB2F623B1}" srcOrd="2" destOrd="0" parTransId="{A1F2EF80-95C6-4ABF-8EEB-2351D4FE9FDE}" sibTransId="{C663B3B0-C624-4C9B-9FBB-8BCA6BE74CCB}"/>
    <dgm:cxn modelId="{7CFFF552-193A-45C0-B0A4-6A2253B20F7F}" type="presOf" srcId="{FB9F2150-67EC-4A93-ACD2-AF2D334440A8}" destId="{5AE34ED9-BB4B-4CFB-BD23-F78BFD9D19F4}" srcOrd="0" destOrd="0" presId="urn:microsoft.com/office/officeart/2008/layout/RadialCluster"/>
    <dgm:cxn modelId="{0ED1457D-7CF0-4580-ABEE-F5346A1C606F}" type="presOf" srcId="{A1F2EF80-95C6-4ABF-8EEB-2351D4FE9FDE}" destId="{7AED6949-C0EB-4CF7-8A23-62650442E32C}" srcOrd="0" destOrd="0" presId="urn:microsoft.com/office/officeart/2008/layout/RadialCluster"/>
    <dgm:cxn modelId="{8DC45AFB-113A-4107-9916-C8BF307B38BB}" type="presParOf" srcId="{32B7C7F8-27FE-4327-9E49-027D23B10310}" destId="{62D2F69B-BF4E-45DB-8BE2-1F48A8477FDA}" srcOrd="0" destOrd="0" presId="urn:microsoft.com/office/officeart/2008/layout/RadialCluster"/>
    <dgm:cxn modelId="{6A1BE3E9-D080-4BD1-B071-B39FAC527FC9}" type="presParOf" srcId="{62D2F69B-BF4E-45DB-8BE2-1F48A8477FDA}" destId="{5AE34ED9-BB4B-4CFB-BD23-F78BFD9D19F4}" srcOrd="0" destOrd="0" presId="urn:microsoft.com/office/officeart/2008/layout/RadialCluster"/>
    <dgm:cxn modelId="{7F26EABE-A5DE-4A33-BCB0-676D3D646014}" type="presParOf" srcId="{62D2F69B-BF4E-45DB-8BE2-1F48A8477FDA}" destId="{3401108A-E2CD-4D9F-9386-869BD3141375}" srcOrd="1" destOrd="0" presId="urn:microsoft.com/office/officeart/2008/layout/RadialCluster"/>
    <dgm:cxn modelId="{2297A1EE-4051-4AC1-A383-72BF6EDBBAF6}" type="presParOf" srcId="{62D2F69B-BF4E-45DB-8BE2-1F48A8477FDA}" destId="{073ADE65-6D31-43B1-8E8C-0DCAADF589DF}" srcOrd="2" destOrd="0" presId="urn:microsoft.com/office/officeart/2008/layout/RadialCluster"/>
    <dgm:cxn modelId="{121C750F-86F0-4097-AF62-06E52E3464A4}" type="presParOf" srcId="{62D2F69B-BF4E-45DB-8BE2-1F48A8477FDA}" destId="{87F0E173-33E2-482B-893F-8AB080664FE3}" srcOrd="3" destOrd="0" presId="urn:microsoft.com/office/officeart/2008/layout/RadialCluster"/>
    <dgm:cxn modelId="{739B86B3-2114-4A22-9C4D-A31F76BB1F91}" type="presParOf" srcId="{62D2F69B-BF4E-45DB-8BE2-1F48A8477FDA}" destId="{6ACA6B53-D493-413B-93DE-33B1B568A3D4}" srcOrd="4" destOrd="0" presId="urn:microsoft.com/office/officeart/2008/layout/RadialCluster"/>
    <dgm:cxn modelId="{31BF0F75-91CD-4DBA-B1E2-8E597BBC627B}" type="presParOf" srcId="{62D2F69B-BF4E-45DB-8BE2-1F48A8477FDA}" destId="{7AED6949-C0EB-4CF7-8A23-62650442E32C}" srcOrd="5" destOrd="0" presId="urn:microsoft.com/office/officeart/2008/layout/RadialCluster"/>
    <dgm:cxn modelId="{67BA67B4-1FE8-4F6E-B248-820E0FA0A175}" type="presParOf" srcId="{62D2F69B-BF4E-45DB-8BE2-1F48A8477FDA}" destId="{B26970C6-9F7E-4EFB-B8FE-AF5A9E446AD1}" srcOrd="6"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34ED9-BB4B-4CFB-BD23-F78BFD9D19F4}">
      <dsp:nvSpPr>
        <dsp:cNvPr id="0" name=""/>
        <dsp:cNvSpPr/>
      </dsp:nvSpPr>
      <dsp:spPr>
        <a:xfrm>
          <a:off x="2175668" y="1431328"/>
          <a:ext cx="922972" cy="922972"/>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implified Arabic" panose="02020603050405020304" pitchFamily="18" charset="-78"/>
              <a:ea typeface="+mn-ea"/>
              <a:cs typeface="Simplified Arabic" panose="02020603050405020304" pitchFamily="18" charset="-78"/>
            </a:rPr>
            <a:t>نماذج التمويل التشاركي</a:t>
          </a:r>
          <a:endParaRPr lang="en-US" sz="14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2220724" y="1476384"/>
        <a:ext cx="832860" cy="832860"/>
      </dsp:txXfrm>
    </dsp:sp>
    <dsp:sp modelId="{3401108A-E2CD-4D9F-9386-869BD3141375}">
      <dsp:nvSpPr>
        <dsp:cNvPr id="0" name=""/>
        <dsp:cNvSpPr/>
      </dsp:nvSpPr>
      <dsp:spPr>
        <a:xfrm rot="16200000">
          <a:off x="2348263" y="1142436"/>
          <a:ext cx="577783" cy="0"/>
        </a:xfrm>
        <a:custGeom>
          <a:avLst/>
          <a:gdLst/>
          <a:ahLst/>
          <a:cxnLst/>
          <a:rect l="0" t="0" r="0" b="0"/>
          <a:pathLst>
            <a:path>
              <a:moveTo>
                <a:pt x="0" y="0"/>
              </a:moveTo>
              <a:lnTo>
                <a:pt x="577783"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73ADE65-6D31-43B1-8E8C-0DCAADF589DF}">
      <dsp:nvSpPr>
        <dsp:cNvPr id="0" name=""/>
        <dsp:cNvSpPr/>
      </dsp:nvSpPr>
      <dsp:spPr>
        <a:xfrm>
          <a:off x="2201896" y="95866"/>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ar-EG" sz="1500" b="0" i="0" kern="1200">
              <a:solidFill>
                <a:sysClr val="window" lastClr="FFFFFF"/>
              </a:solidFill>
              <a:latin typeface="Simplified Arabic" panose="02020603050405020304" pitchFamily="18" charset="-78"/>
              <a:ea typeface="+mn-ea"/>
              <a:cs typeface="Simplified Arabic" panose="02020603050405020304" pitchFamily="18" charset="-78"/>
            </a:rPr>
            <a:t>التمويل التبرعي</a:t>
          </a:r>
          <a:endParaRPr lang="en-US" sz="15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2238883" y="132853"/>
        <a:ext cx="796542" cy="683704"/>
      </dsp:txXfrm>
    </dsp:sp>
    <dsp:sp modelId="{87F0E173-33E2-482B-893F-8AB080664FE3}">
      <dsp:nvSpPr>
        <dsp:cNvPr id="0" name=""/>
        <dsp:cNvSpPr/>
      </dsp:nvSpPr>
      <dsp:spPr>
        <a:xfrm rot="1800000">
          <a:off x="3073009" y="2254913"/>
          <a:ext cx="382637" cy="0"/>
        </a:xfrm>
        <a:custGeom>
          <a:avLst/>
          <a:gdLst/>
          <a:ahLst/>
          <a:cxnLst/>
          <a:rect l="0" t="0" r="0" b="0"/>
          <a:pathLst>
            <a:path>
              <a:moveTo>
                <a:pt x="0" y="0"/>
              </a:moveTo>
              <a:lnTo>
                <a:pt x="382637"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ACA6B53-D493-413B-93DE-33B1B568A3D4}">
      <dsp:nvSpPr>
        <dsp:cNvPr id="0" name=""/>
        <dsp:cNvSpPr/>
      </dsp:nvSpPr>
      <dsp:spPr>
        <a:xfrm>
          <a:off x="3430015" y="2223030"/>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ar-EG" sz="1300" b="0" i="0" kern="1200">
              <a:solidFill>
                <a:sysClr val="window" lastClr="FFFFFF"/>
              </a:solidFill>
              <a:latin typeface="Simplified Arabic" panose="02020603050405020304" pitchFamily="18" charset="-78"/>
              <a:ea typeface="+mn-ea"/>
              <a:cs typeface="Simplified Arabic" panose="02020603050405020304" pitchFamily="18" charset="-78"/>
            </a:rPr>
            <a:t>التمويل القائم على المكافآت</a:t>
          </a:r>
          <a:endParaRPr lang="en-US" sz="1300"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3467002" y="2260017"/>
        <a:ext cx="796542" cy="683704"/>
      </dsp:txXfrm>
    </dsp:sp>
    <dsp:sp modelId="{7AED6949-C0EB-4CF7-8A23-62650442E32C}">
      <dsp:nvSpPr>
        <dsp:cNvPr id="0" name=""/>
        <dsp:cNvSpPr/>
      </dsp:nvSpPr>
      <dsp:spPr>
        <a:xfrm rot="9000000">
          <a:off x="1818662" y="2254913"/>
          <a:ext cx="382637" cy="0"/>
        </a:xfrm>
        <a:custGeom>
          <a:avLst/>
          <a:gdLst/>
          <a:ahLst/>
          <a:cxnLst/>
          <a:rect l="0" t="0" r="0" b="0"/>
          <a:pathLst>
            <a:path>
              <a:moveTo>
                <a:pt x="0" y="0"/>
              </a:moveTo>
              <a:lnTo>
                <a:pt x="382637"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6970C6-9F7E-4EFB-B8FE-AF5A9E446AD1}">
      <dsp:nvSpPr>
        <dsp:cNvPr id="0" name=""/>
        <dsp:cNvSpPr/>
      </dsp:nvSpPr>
      <dsp:spPr>
        <a:xfrm>
          <a:off x="973778" y="2223030"/>
          <a:ext cx="870516" cy="75767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ar-EG" sz="1100" kern="1200">
              <a:solidFill>
                <a:sysClr val="window" lastClr="FFFFFF"/>
              </a:solidFill>
              <a:latin typeface="Simplified Arabic" panose="02020603050405020304" pitchFamily="18" charset="-78"/>
              <a:ea typeface="+mn-ea"/>
              <a:cs typeface="Simplified Arabic" panose="02020603050405020304" pitchFamily="18" charset="-78"/>
            </a:rPr>
            <a:t>التمويل التشاركي المختلط</a:t>
          </a:r>
        </a:p>
      </dsp:txBody>
      <dsp:txXfrm>
        <a:off x="1010765" y="2260017"/>
        <a:ext cx="796542" cy="683704"/>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0211F-B758-4FB0-B157-5DDF0B372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142</Pages>
  <Words>44681</Words>
  <Characters>254688</Characters>
  <Application>Microsoft Office Word</Application>
  <DocSecurity>0</DocSecurity>
  <Lines>2122</Lines>
  <Paragraphs>597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11111111111111111111111</cp:lastModifiedBy>
  <cp:revision>130</cp:revision>
  <cp:lastPrinted>2025-04-15T16:02:00Z</cp:lastPrinted>
  <dcterms:created xsi:type="dcterms:W3CDTF">2025-02-26T08:57:00Z</dcterms:created>
  <dcterms:modified xsi:type="dcterms:W3CDTF">2025-04-15T16:03:00Z</dcterms:modified>
</cp:coreProperties>
</file>