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C0494C4" w:rsidR="009125CE" w:rsidRPr="00913340" w:rsidRDefault="00E155E5" w:rsidP="00E155E5">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91334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196B211">
            <wp:simplePos x="0" y="0"/>
            <wp:positionH relativeFrom="margin">
              <wp:posOffset>95250</wp:posOffset>
            </wp:positionH>
            <wp:positionV relativeFrom="margin">
              <wp:posOffset>-133350</wp:posOffset>
            </wp:positionV>
            <wp:extent cx="1548765" cy="1437343"/>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48765" cy="1437343"/>
                    </a:xfrm>
                    <a:prstGeom prst="rect">
                      <a:avLst/>
                    </a:prstGeom>
                  </pic:spPr>
                </pic:pic>
              </a:graphicData>
            </a:graphic>
            <wp14:sizeRelH relativeFrom="margin">
              <wp14:pctWidth>0</wp14:pctWidth>
            </wp14:sizeRelH>
            <wp14:sizeRelV relativeFrom="margin">
              <wp14:pctHeight>0</wp14:pctHeight>
            </wp14:sizeRelV>
          </wp:anchor>
        </w:drawing>
      </w:r>
      <w:r w:rsidR="009125CE" w:rsidRPr="00913340">
        <w:rPr>
          <w:rFonts w:ascii="Simplified Arabic" w:hAnsi="Simplified Arabic" w:cs="Simplified Arabic"/>
          <w:b/>
          <w:bCs/>
          <w:color w:val="000000" w:themeColor="text1"/>
          <w:sz w:val="32"/>
          <w:szCs w:val="32"/>
          <w:rtl/>
          <w:lang w:bidi="ar-EG"/>
        </w:rPr>
        <w:t xml:space="preserve">جامعة ميدأوشن </w:t>
      </w:r>
    </w:p>
    <w:p w14:paraId="1E957002" w14:textId="5E8CD642" w:rsidR="00F546CE" w:rsidRPr="00913340" w:rsidRDefault="009125CE" w:rsidP="00E155E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13340">
        <w:rPr>
          <w:rFonts w:ascii="Simplified Arabic" w:hAnsi="Simplified Arabic" w:cs="Simplified Arabic"/>
          <w:b/>
          <w:bCs/>
          <w:color w:val="000000" w:themeColor="text1"/>
          <w:sz w:val="32"/>
          <w:szCs w:val="32"/>
          <w:lang w:bidi="ar-EG"/>
        </w:rPr>
        <w:t xml:space="preserve"> </w:t>
      </w:r>
      <w:r w:rsidRPr="00913340">
        <w:rPr>
          <w:rFonts w:ascii="Simplified Arabic" w:hAnsi="Simplified Arabic" w:cs="Simplified Arabic"/>
          <w:b/>
          <w:bCs/>
          <w:color w:val="000000" w:themeColor="text1"/>
          <w:sz w:val="32"/>
          <w:szCs w:val="32"/>
          <w:rtl/>
          <w:lang w:bidi="ar-EG"/>
        </w:rPr>
        <w:t xml:space="preserve">كلية </w:t>
      </w:r>
      <w:r w:rsidR="008C42C1" w:rsidRPr="00913340">
        <w:rPr>
          <w:rFonts w:ascii="Simplified Arabic" w:hAnsi="Simplified Arabic" w:cs="Simplified Arabic"/>
          <w:b/>
          <w:bCs/>
          <w:color w:val="000000" w:themeColor="text1"/>
          <w:sz w:val="32"/>
          <w:szCs w:val="32"/>
          <w:rtl/>
          <w:lang w:bidi="ar-EG"/>
        </w:rPr>
        <w:t>الإدارة</w:t>
      </w:r>
      <w:r w:rsidRPr="00913340">
        <w:rPr>
          <w:rFonts w:ascii="Simplified Arabic" w:hAnsi="Simplified Arabic" w:cs="Simplified Arabic"/>
          <w:b/>
          <w:bCs/>
          <w:color w:val="000000" w:themeColor="text1"/>
          <w:sz w:val="32"/>
          <w:szCs w:val="32"/>
          <w:rtl/>
          <w:lang w:bidi="ar-EG"/>
        </w:rPr>
        <w:t xml:space="preserve"> </w:t>
      </w:r>
    </w:p>
    <w:p w14:paraId="0217C513" w14:textId="39F58531" w:rsidR="009125CE" w:rsidRPr="00913340" w:rsidRDefault="009125CE" w:rsidP="00E155E5">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913340">
        <w:rPr>
          <w:rFonts w:ascii="Simplified Arabic" w:hAnsi="Simplified Arabic" w:cs="Simplified Arabic"/>
          <w:b/>
          <w:bCs/>
          <w:color w:val="000000" w:themeColor="text1"/>
          <w:sz w:val="32"/>
          <w:szCs w:val="32"/>
          <w:rtl/>
          <w:lang w:bidi="ar-EG"/>
        </w:rPr>
        <w:t>تخصص</w:t>
      </w:r>
      <w:r w:rsidR="00B15A9E" w:rsidRPr="00913340">
        <w:rPr>
          <w:rFonts w:ascii="Simplified Arabic" w:hAnsi="Simplified Arabic" w:cs="Simplified Arabic"/>
          <w:b/>
          <w:bCs/>
          <w:color w:val="000000" w:themeColor="text1"/>
          <w:sz w:val="32"/>
          <w:szCs w:val="32"/>
          <w:rtl/>
          <w:lang w:bidi="ar-EG"/>
        </w:rPr>
        <w:t xml:space="preserve"> </w:t>
      </w:r>
      <w:r w:rsidR="00854B0B" w:rsidRPr="00913340">
        <w:rPr>
          <w:rFonts w:ascii="Simplified Arabic" w:hAnsi="Simplified Arabic" w:cs="Simplified Arabic"/>
          <w:b/>
          <w:bCs/>
          <w:color w:val="000000" w:themeColor="text1"/>
          <w:sz w:val="32"/>
          <w:szCs w:val="32"/>
          <w:rtl/>
          <w:lang w:bidi="ar-EG"/>
        </w:rPr>
        <w:t>اداره ا</w:t>
      </w:r>
      <w:r w:rsidR="00CC6261" w:rsidRPr="00913340">
        <w:rPr>
          <w:rFonts w:ascii="Simplified Arabic" w:hAnsi="Simplified Arabic" w:cs="Simplified Arabic"/>
          <w:b/>
          <w:bCs/>
          <w:color w:val="000000" w:themeColor="text1"/>
          <w:sz w:val="32"/>
          <w:szCs w:val="32"/>
          <w:rtl/>
          <w:lang w:bidi="ar-EG"/>
        </w:rPr>
        <w:t>ل</w:t>
      </w:r>
      <w:r w:rsidR="00DF4E64" w:rsidRPr="00913340">
        <w:rPr>
          <w:rFonts w:ascii="Simplified Arabic" w:hAnsi="Simplified Arabic" w:cs="Simplified Arabic"/>
          <w:b/>
          <w:bCs/>
          <w:color w:val="000000" w:themeColor="text1"/>
          <w:sz w:val="32"/>
          <w:szCs w:val="32"/>
          <w:rtl/>
          <w:lang w:bidi="ar-EG"/>
        </w:rPr>
        <w:t>مخاطر</w:t>
      </w:r>
    </w:p>
    <w:p w14:paraId="4976DED4" w14:textId="77777777" w:rsidR="00E155E5" w:rsidRPr="00913340" w:rsidRDefault="00E155E5" w:rsidP="00E155E5">
      <w:pPr>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4CF3FB38" w14:textId="4AE0D1E8" w:rsidR="00E155E5" w:rsidRPr="00913340" w:rsidRDefault="00FE784F" w:rsidP="00E155E5">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913340">
        <w:rPr>
          <w:rFonts w:ascii="Simplified Arabic" w:hAnsi="Simplified Arabic" w:cs="Simplified Arabic"/>
          <w:b/>
          <w:bCs/>
          <w:color w:val="000000" w:themeColor="text1"/>
          <w:sz w:val="40"/>
          <w:szCs w:val="40"/>
          <w:rtl/>
        </w:rPr>
        <w:t>أثر إدارة مخاطر البيانات والتقنية على دقة التنبؤات ودعم القرار في الأرصاد الجوية: دراسة ميدانية على العاملين في الأرصاد الجوية بالمملكة العربية السعودية</w:t>
      </w:r>
    </w:p>
    <w:p w14:paraId="751A7E65" w14:textId="47067992" w:rsidR="009125CE" w:rsidRDefault="009125CE" w:rsidP="00E155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3340">
        <w:rPr>
          <w:rFonts w:ascii="Simplified Arabic" w:hAnsi="Simplified Arabic" w:cs="Simplified Arabic"/>
          <w:b/>
          <w:bCs/>
          <w:color w:val="000000" w:themeColor="text1"/>
          <w:sz w:val="36"/>
          <w:szCs w:val="36"/>
          <w:rtl/>
          <w:lang w:bidi="ar-EG"/>
        </w:rPr>
        <w:t>إعداد الطالب/</w:t>
      </w:r>
      <w:r w:rsidR="005E6E68">
        <w:rPr>
          <w:rFonts w:ascii="Simplified Arabic" w:hAnsi="Simplified Arabic" w:cs="Simplified Arabic" w:hint="cs"/>
          <w:b/>
          <w:bCs/>
          <w:color w:val="000000" w:themeColor="text1"/>
          <w:sz w:val="36"/>
          <w:szCs w:val="36"/>
          <w:rtl/>
          <w:lang w:bidi="ar-EG"/>
        </w:rPr>
        <w:t xml:space="preserve"> مشعل عبدالمغني الجلسي </w:t>
      </w:r>
    </w:p>
    <w:p w14:paraId="7178D4E8" w14:textId="08CF42B9" w:rsidR="005E6E68" w:rsidRPr="00913340" w:rsidRDefault="005E6E68" w:rsidP="00E155E5">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Pr>
          <w:rFonts w:ascii="Simplified Arabic" w:hAnsi="Simplified Arabic" w:cs="Simplified Arabic" w:hint="cs"/>
          <w:b/>
          <w:bCs/>
          <w:color w:val="000000" w:themeColor="text1"/>
          <w:sz w:val="36"/>
          <w:szCs w:val="36"/>
          <w:rtl/>
          <w:lang w:bidi="ar-EG"/>
        </w:rPr>
        <w:t>الرقم الجامعي/253000678</w:t>
      </w:r>
    </w:p>
    <w:p w14:paraId="1C5BDDC4"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p w14:paraId="0B57790E"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E155E5" w:rsidRPr="00913340" w14:paraId="4B92F266" w14:textId="77777777" w:rsidTr="00E155E5">
        <w:tc>
          <w:tcPr>
            <w:tcW w:w="4530" w:type="dxa"/>
          </w:tcPr>
          <w:p w14:paraId="64BF23A1"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3340">
              <w:rPr>
                <w:rFonts w:ascii="Simplified Arabic" w:hAnsi="Simplified Arabic" w:cs="Simplified Arabic" w:hint="cs"/>
                <w:b/>
                <w:bCs/>
                <w:color w:val="000000" w:themeColor="text1"/>
                <w:sz w:val="36"/>
                <w:szCs w:val="36"/>
                <w:rtl/>
                <w:lang w:bidi="ar-EG"/>
              </w:rPr>
              <w:t>المشرف الرئيسي/</w:t>
            </w:r>
          </w:p>
        </w:tc>
        <w:tc>
          <w:tcPr>
            <w:tcW w:w="4531" w:type="dxa"/>
          </w:tcPr>
          <w:p w14:paraId="13C6C57C"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3340">
              <w:rPr>
                <w:rFonts w:ascii="Simplified Arabic" w:hAnsi="Simplified Arabic" w:cs="Simplified Arabic" w:hint="cs"/>
                <w:b/>
                <w:bCs/>
                <w:color w:val="000000" w:themeColor="text1"/>
                <w:sz w:val="36"/>
                <w:szCs w:val="36"/>
                <w:rtl/>
                <w:lang w:bidi="ar-EG"/>
              </w:rPr>
              <w:t>المشرف الثاني/</w:t>
            </w:r>
          </w:p>
        </w:tc>
      </w:tr>
      <w:tr w:rsidR="00E155E5" w:rsidRPr="00913340" w14:paraId="62662E89" w14:textId="77777777" w:rsidTr="00E155E5">
        <w:tc>
          <w:tcPr>
            <w:tcW w:w="4530" w:type="dxa"/>
          </w:tcPr>
          <w:p w14:paraId="5F6A106A"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334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30498CA"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913340">
              <w:rPr>
                <w:rFonts w:ascii="Simplified Arabic" w:eastAsia="Calibri" w:hAnsi="Simplified Arabic" w:cs="Simplified Arabic"/>
                <w:color w:val="000000" w:themeColor="text1"/>
                <w:kern w:val="0"/>
                <w:sz w:val="36"/>
                <w:szCs w:val="36"/>
                <w:rtl/>
                <w:lang w:bidi="ar-EG"/>
                <w14:ligatures w14:val="none"/>
              </w:rPr>
              <w:t>د.فايز جراد</w:t>
            </w:r>
          </w:p>
        </w:tc>
      </w:tr>
    </w:tbl>
    <w:p w14:paraId="05141D9C"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lang w:bidi="ar-EG"/>
        </w:rPr>
      </w:pPr>
      <w:r w:rsidRPr="00913340">
        <w:rPr>
          <w:rFonts w:ascii="Simplified Arabic" w:hAnsi="Simplified Arabic" w:cs="Simplified Arabic"/>
          <w:b/>
          <w:bCs/>
          <w:color w:val="000000" w:themeColor="text1"/>
          <w:sz w:val="36"/>
          <w:szCs w:val="36"/>
          <w:rtl/>
          <w:lang w:bidi="ar-EG"/>
        </w:rPr>
        <w:t>العام الدراسي:</w:t>
      </w:r>
    </w:p>
    <w:p w14:paraId="6FC099FF"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color w:val="000000" w:themeColor="text1"/>
          <w:sz w:val="36"/>
          <w:szCs w:val="36"/>
          <w:lang w:bidi="ar-EG"/>
        </w:rPr>
        <w:sectPr w:rsidR="00E155E5" w:rsidRPr="00913340" w:rsidSect="00E155E5">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913340">
        <w:rPr>
          <w:rFonts w:ascii="Simplified Arabic" w:hAnsi="Simplified Arabic" w:cs="Simplified Arabic"/>
          <w:color w:val="000000" w:themeColor="text1"/>
          <w:sz w:val="36"/>
          <w:szCs w:val="36"/>
          <w:lang w:bidi="ar-EG"/>
        </w:rPr>
        <w:t>1448 – 2026</w:t>
      </w:r>
    </w:p>
    <w:p w14:paraId="35CBC130" w14:textId="77777777" w:rsidR="00E155E5" w:rsidRPr="00913340" w:rsidRDefault="00E155E5" w:rsidP="00E155E5">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0AEA3C5E" w14:textId="77777777" w:rsidR="00E155E5" w:rsidRPr="00913340" w:rsidRDefault="00E155E5" w:rsidP="00E155E5">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E155E5" w:rsidRPr="00913340" w:rsidSect="00E155E5">
          <w:footerReference w:type="default" r:id="rId10"/>
          <w:type w:val="continuous"/>
          <w:pgSz w:w="11906" w:h="16838" w:code="9"/>
          <w:pgMar w:top="1134" w:right="1701" w:bottom="1134" w:left="1134" w:header="720" w:footer="720" w:gutter="0"/>
          <w:pgNumType w:fmt="arabicAbjad" w:start="1"/>
          <w:cols w:space="708"/>
          <w:bidi/>
          <w:rtlGutter/>
          <w:docGrid w:linePitch="360"/>
        </w:sectPr>
      </w:pPr>
    </w:p>
    <w:p w14:paraId="1E7B59C1" w14:textId="10D476E4" w:rsidR="00E155E5" w:rsidRPr="00913340" w:rsidRDefault="00E155E5" w:rsidP="00E155E5">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Pr>
      </w:pPr>
      <w:bookmarkStart w:id="0" w:name="_Toc233883854"/>
      <w:bookmarkStart w:id="1" w:name="_Hlk172151144"/>
      <w:bookmarkStart w:id="2" w:name="_Toc169790489"/>
      <w:r w:rsidRPr="00913340">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7D2F0F8F" w14:textId="3B3010C1" w:rsidR="00E155E5" w:rsidRPr="00913340" w:rsidRDefault="00E155E5" w:rsidP="00E155E5">
      <w:pPr>
        <w:pStyle w:val="NormalWeb"/>
        <w:bidi/>
        <w:spacing w:line="276" w:lineRule="auto"/>
        <w:jc w:val="both"/>
        <w:outlineLvl w:val="1"/>
        <w:rPr>
          <w:rFonts w:ascii="Simplified Arabic" w:hAnsi="Simplified Arabic" w:cs="Simplified Arabic"/>
          <w:b/>
          <w:bCs/>
          <w:color w:val="000000" w:themeColor="text1"/>
          <w:sz w:val="36"/>
          <w:szCs w:val="36"/>
        </w:rPr>
      </w:pPr>
      <w:bookmarkStart w:id="3" w:name="_Toc233883855"/>
      <w:r w:rsidRPr="00913340">
        <w:rPr>
          <w:rFonts w:ascii="Simplified Arabic" w:hAnsi="Simplified Arabic" w:cs="Simplified Arabic" w:hint="cs"/>
          <w:b/>
          <w:bCs/>
          <w:color w:val="000000" w:themeColor="text1"/>
          <w:sz w:val="36"/>
          <w:szCs w:val="36"/>
          <w:rtl/>
        </w:rPr>
        <w:t>1.1 المقدمة</w:t>
      </w:r>
      <w:bookmarkEnd w:id="3"/>
    </w:p>
    <w:p w14:paraId="073EF109" w14:textId="670A1B1A"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يُعدّ التطور المتسارع في تكنولوجيا المعلومات والاتصالات من أبرز سمات العصر الراهن، إذ أصبحت المؤسسات بمختلف أنواعها تعتمد اعتماداً جوهرياً على البنى التحتية الرقمية والأنظمة التقنية المتقدمة في تسيير عملياتها وتحقيق أهدافها الاستراتيجية. وقد أفرز هذا الاعتماد المتزايد على التكنولوجيا مخاطر متعددة ومتنامية تُهدد أمن البيانات واستمرارية العمليات وسلامة المخرجات، مما جعل إدارة مخاطر تكنولوجيا البيانات ضرورة مؤسسية لا غنى عنها لضمان تحقيق التوازن بين الاستفادة من الإمكانات التقنية والحدّ من تبعاتها السلبية المحتملة. وفي هذا الإطار، أكدت الأدبيات العلمية أن غياب منظومة فعّالة لإدارة المخاطر التقنية يُمثّل تهديداً حقيقياً لجودة البيانات وموثوقية الأنظمة واستقرار المخرجات في المؤسسات المعاصرة</w:t>
      </w:r>
      <w:r w:rsidRPr="00913340">
        <w:rPr>
          <w:rFonts w:ascii="Simplified Arabic" w:hAnsi="Simplified Arabic" w:cs="Simplified Arabic"/>
          <w:color w:val="000000" w:themeColor="text1"/>
          <w:sz w:val="28"/>
          <w:szCs w:val="28"/>
        </w:rPr>
        <w:t xml:space="preserve"> (Cremer</w:t>
      </w:r>
      <w:r w:rsidR="00DF4E64" w:rsidRPr="00913340">
        <w:rPr>
          <w:rFonts w:ascii="Simplified Arabic" w:hAnsi="Simplified Arabic" w:cs="Simplified Arabic"/>
          <w:color w:val="000000" w:themeColor="text1"/>
          <w:sz w:val="28"/>
          <w:szCs w:val="28"/>
        </w:rPr>
        <w:t xml:space="preserve"> etal.</w:t>
      </w:r>
      <w:r w:rsidRPr="00913340">
        <w:rPr>
          <w:rFonts w:ascii="Simplified Arabic" w:hAnsi="Simplified Arabic" w:cs="Simplified Arabic"/>
          <w:color w:val="000000" w:themeColor="text1"/>
          <w:sz w:val="28"/>
          <w:szCs w:val="28"/>
        </w:rPr>
        <w:t>, 2022).</w:t>
      </w:r>
    </w:p>
    <w:p w14:paraId="14B1A4D6" w14:textId="34A4F669"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tl/>
        </w:rPr>
      </w:pPr>
      <w:r w:rsidRPr="00913340">
        <w:rPr>
          <w:rFonts w:ascii="Simplified Arabic" w:hAnsi="Simplified Arabic" w:cs="Simplified Arabic"/>
          <w:color w:val="000000" w:themeColor="text1"/>
          <w:sz w:val="28"/>
          <w:szCs w:val="28"/>
          <w:rtl/>
        </w:rPr>
        <w:t>وتبرز إدارة مخاطر تكنولوجيا البيانات بوصفها منظومة متكاملة تشمل عدة أبعاد محورية تتضافر فيما بينها لتوفير بيئة تقنية آمنة ومستقرة؛ إذ يُشكّل تقييم المخاطر التقنية الخطوة الأولى في تحديد التهديدات ونقاط الضعف المحتملة في الأنظمة، فيما يُمثّل أمن البيانات والبنية التحتية خط الدفاع الأساسي لحماية المعلومات من الاختراق أو الفقدان</w:t>
      </w:r>
      <w:r w:rsidR="00DF4E64" w:rsidRPr="00913340">
        <w:rPr>
          <w:rFonts w:ascii="Simplified Arabic" w:hAnsi="Simplified Arabic" w:cs="Simplified Arabic"/>
          <w:color w:val="000000" w:themeColor="text1"/>
          <w:sz w:val="28"/>
          <w:szCs w:val="28"/>
          <w:rtl/>
        </w:rPr>
        <w:t>،</w:t>
      </w:r>
      <w:r w:rsidRPr="00913340">
        <w:rPr>
          <w:rFonts w:ascii="Simplified Arabic" w:hAnsi="Simplified Arabic" w:cs="Simplified Arabic"/>
          <w:color w:val="000000" w:themeColor="text1"/>
          <w:sz w:val="28"/>
          <w:szCs w:val="28"/>
          <w:rtl/>
        </w:rPr>
        <w:t xml:space="preserve"> كما تضطلع حوكمة تكنولوجيا المعلومات بدور محوري في المواءمة بين الاستثمارات التقنية والأهداف المؤسسية، بينما تضمن المراقبة والتحسين المستمر استدامة فاعلية هذه المنظومة وتطويرها بصورة تراكمية (الجبلي، </w:t>
      </w:r>
      <w:r w:rsidR="00DF4E64" w:rsidRPr="00913340">
        <w:rPr>
          <w:rFonts w:ascii="Simplified Arabic" w:hAnsi="Simplified Arabic" w:cs="Simplified Arabic"/>
          <w:color w:val="000000" w:themeColor="text1"/>
          <w:sz w:val="28"/>
          <w:szCs w:val="28"/>
        </w:rPr>
        <w:t xml:space="preserve"> (</w:t>
      </w:r>
      <w:r w:rsidRPr="00913340">
        <w:rPr>
          <w:rFonts w:ascii="Simplified Arabic" w:hAnsi="Simplified Arabic" w:cs="Simplified Arabic"/>
          <w:color w:val="000000" w:themeColor="text1"/>
          <w:sz w:val="28"/>
          <w:szCs w:val="28"/>
        </w:rPr>
        <w:t>2022</w:t>
      </w:r>
    </w:p>
    <w:p w14:paraId="7E0D72EA" w14:textId="1505A53F"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ومن بين القطاعات الحيوية التي يتجلى فيها أثر إدارة المخاطر التقنية بصورة بالغة الوضوح، يأتي قطاع الأرصاد الجوية الذي يعتمد في جوهر عمله على منظومات تقنية معقدة تشمل شبكات الرصد الآلي والأقمار الاصطناعية والنماذج العددية والحاسبات الفائقة لإنتاج تنبؤات جوية دقيقة تُشكّل ركيزة أساسية لحماية الأرواح والممتلكات</w:t>
      </w:r>
      <w:r w:rsidR="00DF4E64" w:rsidRPr="00913340">
        <w:rPr>
          <w:rFonts w:ascii="Simplified Arabic" w:hAnsi="Simplified Arabic" w:cs="Simplified Arabic"/>
          <w:color w:val="000000" w:themeColor="text1"/>
          <w:sz w:val="28"/>
          <w:szCs w:val="28"/>
          <w:rtl/>
        </w:rPr>
        <w:t xml:space="preserve">، </w:t>
      </w:r>
      <w:r w:rsidRPr="00913340">
        <w:rPr>
          <w:rFonts w:ascii="Simplified Arabic" w:hAnsi="Simplified Arabic" w:cs="Simplified Arabic"/>
          <w:color w:val="000000" w:themeColor="text1"/>
          <w:sz w:val="28"/>
          <w:szCs w:val="28"/>
          <w:rtl/>
        </w:rPr>
        <w:t xml:space="preserve"> وقد شهدت السنوات الأخيرة تحولاً نوعياً في أساليب التنبؤ الجوي مع دخول تقنيات الذكاء الاصطناعي والتعلم العميق التي أثبتت قدرات واعدة في معالجة البيانات الجوية الضخمة وتحسين دقة التنبؤات، وإن كانت لا تزال تحتاج إلى مزيد من التطوير لتحقيق الاتساق الفيزيائي وتقدير عدم اليقين</w:t>
      </w:r>
      <w:r w:rsidR="00DF4E64" w:rsidRPr="00913340">
        <w:rPr>
          <w:rFonts w:ascii="Simplified Arabic" w:hAnsi="Simplified Arabic" w:cs="Simplified Arabic"/>
          <w:color w:val="000000" w:themeColor="text1"/>
          <w:sz w:val="28"/>
          <w:szCs w:val="28"/>
          <w:rtl/>
        </w:rPr>
        <w:t xml:space="preserve">، </w:t>
      </w:r>
      <w:r w:rsidRPr="00913340">
        <w:rPr>
          <w:rFonts w:ascii="Simplified Arabic" w:hAnsi="Simplified Arabic" w:cs="Simplified Arabic"/>
          <w:color w:val="000000" w:themeColor="text1"/>
          <w:sz w:val="28"/>
          <w:szCs w:val="28"/>
          <w:rtl/>
        </w:rPr>
        <w:t>وقد أسهمت النماذج المعتمدة على البيانات في تقليص زمن التنبؤ من ساعات إلى ثوانٍ مع الحفاظ على مستويات دقة تنافسية مقارنة بالنماذج العددية التقليدية</w:t>
      </w:r>
      <w:r w:rsidRPr="00913340">
        <w:rPr>
          <w:rFonts w:ascii="Simplified Arabic" w:hAnsi="Simplified Arabic" w:cs="Simplified Arabic"/>
          <w:color w:val="000000" w:themeColor="text1"/>
          <w:sz w:val="28"/>
          <w:szCs w:val="28"/>
        </w:rPr>
        <w:t xml:space="preserve"> (Wu &amp; Xue, 2024).</w:t>
      </w:r>
    </w:p>
    <w:p w14:paraId="64FE7EA8" w14:textId="58D65F87" w:rsidR="00FE784F" w:rsidRPr="00913340" w:rsidRDefault="00DF4E64"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lastRenderedPageBreak/>
        <w:t>ويظل</w:t>
      </w:r>
      <w:r w:rsidR="00FE784F" w:rsidRPr="00913340">
        <w:rPr>
          <w:rFonts w:ascii="Simplified Arabic" w:hAnsi="Simplified Arabic" w:cs="Simplified Arabic"/>
          <w:color w:val="000000" w:themeColor="text1"/>
          <w:sz w:val="28"/>
          <w:szCs w:val="28"/>
          <w:rtl/>
        </w:rPr>
        <w:t xml:space="preserve"> التقدم التقني في مجال التنبؤات الجوية مرهوناً بمدى سلامة البيانات المُغذية للنماذج وموثوقية البنية التحتية التقنية التي تعمل من خلالها هذه الأنظمة. فالتحذيرات المبكرة الفعّالة وأنظمة دعم القرار في مؤسسات الأرصاد تعتمد على تدفق مستمر وآمن للبيانات من مصادر متعددة، وأي خلل في هذه المنظومة قد يؤدي إلى تراجع دقة التنبؤات أو تأخر وصول التحذيرات، مما يُعرّض المجتمعات لمخاطر جسيمة. وقد أكدت الدراسات أن فاعلية أنظمة دعم القرار الجوي ترتبط ارتباطاً وثيقاً بجودة البنية التقنية وأمن البيانات التي تعمل من خلالها</w:t>
      </w:r>
      <w:r w:rsidR="00FE784F" w:rsidRPr="00913340">
        <w:rPr>
          <w:rFonts w:ascii="Simplified Arabic" w:hAnsi="Simplified Arabic" w:cs="Simplified Arabic"/>
          <w:color w:val="000000" w:themeColor="text1"/>
          <w:sz w:val="28"/>
          <w:szCs w:val="28"/>
        </w:rPr>
        <w:t xml:space="preserve"> (Na-Yemeh</w:t>
      </w:r>
      <w:r w:rsidRPr="00913340">
        <w:rPr>
          <w:rFonts w:ascii="Simplified Arabic" w:hAnsi="Simplified Arabic" w:cs="Simplified Arabic"/>
          <w:color w:val="000000" w:themeColor="text1"/>
          <w:sz w:val="28"/>
          <w:szCs w:val="28"/>
        </w:rPr>
        <w:t xml:space="preserve"> etal.</w:t>
      </w:r>
      <w:r w:rsidR="00FE784F" w:rsidRPr="00913340">
        <w:rPr>
          <w:rFonts w:ascii="Simplified Arabic" w:hAnsi="Simplified Arabic" w:cs="Simplified Arabic"/>
          <w:color w:val="000000" w:themeColor="text1"/>
          <w:sz w:val="28"/>
          <w:szCs w:val="28"/>
        </w:rPr>
        <w:t>, 2022).</w:t>
      </w:r>
    </w:p>
    <w:p w14:paraId="124DD26B" w14:textId="62EE9419" w:rsidR="00FE784F" w:rsidRPr="00913340" w:rsidRDefault="00DF4E64"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و</w:t>
      </w:r>
      <w:r w:rsidR="00FE784F" w:rsidRPr="00913340">
        <w:rPr>
          <w:rFonts w:ascii="Simplified Arabic" w:hAnsi="Simplified Arabic" w:cs="Simplified Arabic"/>
          <w:color w:val="000000" w:themeColor="text1"/>
          <w:sz w:val="28"/>
          <w:szCs w:val="28"/>
          <w:rtl/>
        </w:rPr>
        <w:t>تتقاطع إدارة مخاطر تكنولوجيا البيانات مع دقة التنبؤات الجوية ودعم القرار في علاقة عضوية لا يمكن فصل أحد طرفيها عن الآخر؛ فكلما ارتقت ممارسات إدارة المخاطر التقنية من حيث التقييم والتأمين والحوكمة والمراقبة المستمرة، انعكس ذلك إيجاباً على موثوقية البيانات واستقرار الأنظمة ودقة المخرجات التنبؤية وفاعلية أدوات دعم القرار. وهذا ما يجعل دراسة هذه العلاقة في سياق المركز الوطني للأرصاد بالمملكة العربية السعودية ذات أهمية بالغة، لا سيما في ظل التحولات الكبرى التي تشهدها المملكة ضمن رؤية 2030 نحو التحول الرقمي وتعزيز الأمن السيبراني وتطوير القدرات الوطنية في مجال الأرصاد والبيئة</w:t>
      </w:r>
      <w:r w:rsidR="00FE784F" w:rsidRPr="00913340">
        <w:rPr>
          <w:rFonts w:ascii="Simplified Arabic" w:hAnsi="Simplified Arabic" w:cs="Simplified Arabic"/>
          <w:color w:val="000000" w:themeColor="text1"/>
          <w:sz w:val="28"/>
          <w:szCs w:val="28"/>
        </w:rPr>
        <w:t xml:space="preserve"> (Sanjaya</w:t>
      </w:r>
      <w:r w:rsidR="00251B8B" w:rsidRPr="00913340">
        <w:rPr>
          <w:rFonts w:ascii="Simplified Arabic" w:hAnsi="Simplified Arabic" w:cs="Simplified Arabic"/>
          <w:color w:val="000000" w:themeColor="text1"/>
          <w:sz w:val="28"/>
          <w:szCs w:val="28"/>
        </w:rPr>
        <w:t xml:space="preserve"> etal.</w:t>
      </w:r>
      <w:r w:rsidR="00FE784F" w:rsidRPr="00913340">
        <w:rPr>
          <w:rFonts w:ascii="Simplified Arabic" w:hAnsi="Simplified Arabic" w:cs="Simplified Arabic"/>
          <w:color w:val="000000" w:themeColor="text1"/>
          <w:sz w:val="28"/>
          <w:szCs w:val="28"/>
        </w:rPr>
        <w:t>, 2020).</w:t>
      </w:r>
    </w:p>
    <w:p w14:paraId="5E299D44" w14:textId="3AB4BD15" w:rsidR="00207629" w:rsidRPr="00913340" w:rsidRDefault="00251B8B"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و</w:t>
      </w:r>
      <w:r w:rsidR="00FE784F" w:rsidRPr="00913340">
        <w:rPr>
          <w:rFonts w:ascii="Simplified Arabic" w:hAnsi="Simplified Arabic" w:cs="Simplified Arabic"/>
          <w:color w:val="000000" w:themeColor="text1"/>
          <w:sz w:val="28"/>
          <w:szCs w:val="28"/>
          <w:rtl/>
        </w:rPr>
        <w:t xml:space="preserve"> تسعى الدراسة الحالية إلى الكشف عن أثر إدارة مخاطر تكنولوجيا البيانات بأبعادها الأربعة </w:t>
      </w:r>
      <w:r w:rsidR="00E155E5" w:rsidRPr="00913340">
        <w:rPr>
          <w:rFonts w:ascii="Simplified Arabic" w:hAnsi="Simplified Arabic" w:cs="Simplified Arabic" w:hint="cs"/>
          <w:color w:val="000000" w:themeColor="text1"/>
          <w:sz w:val="28"/>
          <w:szCs w:val="28"/>
          <w:rtl/>
        </w:rPr>
        <w:t>(</w:t>
      </w:r>
      <w:r w:rsidR="00FE784F" w:rsidRPr="00913340">
        <w:rPr>
          <w:rFonts w:ascii="Simplified Arabic" w:hAnsi="Simplified Arabic" w:cs="Simplified Arabic"/>
          <w:color w:val="000000" w:themeColor="text1"/>
          <w:sz w:val="28"/>
          <w:szCs w:val="28"/>
          <w:rtl/>
        </w:rPr>
        <w:t xml:space="preserve">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 بما يُسهم في تقديم إطار علمي وعملي يُعزز من كفاءة المنظومة التقنية ويرتقي بجودة الخدمات الجوية المقدمة لمختلف القطاعات والجهات المستفيدة في المملكة </w:t>
      </w:r>
      <w:r w:rsidRPr="00913340">
        <w:rPr>
          <w:rFonts w:ascii="Simplified Arabic" w:hAnsi="Simplified Arabic" w:cs="Simplified Arabic"/>
          <w:color w:val="000000" w:themeColor="text1"/>
          <w:sz w:val="28"/>
          <w:szCs w:val="28"/>
          <w:rtl/>
        </w:rPr>
        <w:t>.</w:t>
      </w:r>
    </w:p>
    <w:p w14:paraId="4E131E41" w14:textId="27CFBB49" w:rsidR="00E155E5" w:rsidRPr="00913340" w:rsidRDefault="00E155E5" w:rsidP="00E155E5">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883856"/>
      <w:bookmarkEnd w:id="1"/>
      <w:r w:rsidRPr="00913340">
        <w:rPr>
          <w:rFonts w:ascii="Simplified Arabic" w:hAnsi="Simplified Arabic" w:cs="Simplified Arabic"/>
          <w:b/>
          <w:bCs/>
          <w:color w:val="000000" w:themeColor="text1"/>
          <w:sz w:val="36"/>
          <w:szCs w:val="36"/>
          <w:rtl/>
        </w:rPr>
        <w:t>2.1 مشكلة الدراسة</w:t>
      </w:r>
      <w:bookmarkEnd w:id="4"/>
    </w:p>
    <w:p w14:paraId="7806B677" w14:textId="77777777"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 xml:space="preserve">يشهد العالم تحولات تكنولوجية متسارعة فرضت على المؤسسات الحكومية والخدمية إعادة هيكلة منظوماتها التقنية والمعلوماتية بما يتواءم مع متطلبات العصر الرقمي، ولعل قطاع الأرصاد الجوية من أكثر القطاعات التي تتأثر بهذه التحولات نظراً لاعتماده الجوهري على البيانات الضخمة والنماذج العددية المعقدة وشبكات الرصد المتقدمة في إنتاج تنبؤات جوية دقيقة تُشكّل ركيزة أساسية لحماية الأرواح والممتلكات ودعم اتخاذ القرار في قطاعات حيوية متعددة. وفي هذا السياق، تبرز إدارة مخاطر تكنولوجيا البيانات بوصفها ضرورة استراتيجية لا يمكن تجاوزها، إذ إن أي خلل أو قصور في منظومة إدارة المخاطر التقنية </w:t>
      </w:r>
      <w:r w:rsidRPr="00913340">
        <w:rPr>
          <w:rFonts w:ascii="Simplified Arabic" w:hAnsi="Simplified Arabic" w:cs="Simplified Arabic"/>
          <w:color w:val="000000" w:themeColor="text1"/>
          <w:sz w:val="28"/>
          <w:szCs w:val="28"/>
          <w:rtl/>
        </w:rPr>
        <w:lastRenderedPageBreak/>
        <w:t>قد يُفضي إلى تدهور جودة البيانات المُغذية لنماذج التنبؤ، وتعطّل الأنظمة التشغيلية في أوقات حرجة، واختراق البيانات الجوية الحساسة أو فقدانها، مما ينعكس سلباً على دقة التنبؤات الجوية وفاعلية أنظمة دعم القرار والتحذيرات المبكرة</w:t>
      </w:r>
      <w:r w:rsidRPr="00913340">
        <w:rPr>
          <w:rFonts w:ascii="Simplified Arabic" w:hAnsi="Simplified Arabic" w:cs="Simplified Arabic"/>
          <w:color w:val="000000" w:themeColor="text1"/>
          <w:sz w:val="28"/>
          <w:szCs w:val="28"/>
        </w:rPr>
        <w:t>.</w:t>
      </w:r>
    </w:p>
    <w:p w14:paraId="3492F17C" w14:textId="77777777"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وتكتسب هذه المشكلة أبعاداً خاصة في المملكة العربية السعودية التي تتميز بتنوع جغرافي ومناخي واسع يجعلها عُرضة لظواهر جوية خطرة كالعواصف الرملية والسيول المفاجئة والموجات الحرارية الشديدة، مما يستوجب امتلاك منظومة تنبؤات جوية عالية الدقة مدعومة ببنية تحتية تقنية آمنة ومستقرة. ويُمثّل المركز الوطني للأرصاد الجهة المعنية بتقديم هذه الخدمات الحيوية، وهو ما يضعه أمام تحديات مضاعفة تتعلق بضرورة تأمين بنيته التقنية ومعالجة المخاطر المرتبطة بها في ظل التوسع المتسارع في استخدام تقنيات الذكاء الاصطناعي والحوسبة السحابية وإنترنت الأشياء في عمليات الرصد والتنبؤ</w:t>
      </w:r>
      <w:r w:rsidRPr="00913340">
        <w:rPr>
          <w:rFonts w:ascii="Simplified Arabic" w:hAnsi="Simplified Arabic" w:cs="Simplified Arabic"/>
          <w:color w:val="000000" w:themeColor="text1"/>
          <w:sz w:val="28"/>
          <w:szCs w:val="28"/>
        </w:rPr>
        <w:t>.</w:t>
      </w:r>
    </w:p>
    <w:p w14:paraId="0446FE70" w14:textId="77777777"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وعلى الرغم من الجهود الكبيرة التي يبذلها المركز الوطني للأرصاد في تطوير قدراته التقنية وتحديث أنظمته، إلا أن الملاحظات الميدانية والتقارير الفنية تُشير إلى وجود تحديات لا تزال قائمة تتعلق بتفاوت مستويات دقة التنبؤات في بعض الظواهر الجوية، وتأخر وصول التحذيرات المبكرة في بعض الحالات، وقصور بعض أنظمة دعم القرار عن تلبية احتياجات الجهات المستفيدة بالكفاءة المطلوبة. ويُرجّح أن جزءاً من هذه التحديات يعود إلى عوامل مرتبطة بإدارة المخاطر التقنية، سواء على صعيد تقييم التهديدات المحتملة أو تأمين البيانات والبنية التحتية أو حوكمة تكنولوجيا المعلومات أو آليات المراقبة والتحسين المستمر</w:t>
      </w:r>
      <w:r w:rsidRPr="00913340">
        <w:rPr>
          <w:rFonts w:ascii="Simplified Arabic" w:hAnsi="Simplified Arabic" w:cs="Simplified Arabic"/>
          <w:color w:val="000000" w:themeColor="text1"/>
          <w:sz w:val="28"/>
          <w:szCs w:val="28"/>
        </w:rPr>
        <w:t>.</w:t>
      </w:r>
    </w:p>
    <w:p w14:paraId="329BC0BE" w14:textId="728E25D5"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 xml:space="preserve">وبمراجعة الأدبيات العلمية والدراسات السابقة، يتبيّن وجود فجوة بحثية واضحة تتمثل في ندرة الدراسات  في حدود علم الباحث </w:t>
      </w:r>
      <w:r w:rsidRPr="00913340">
        <w:rPr>
          <w:rFonts w:ascii="Simplified Arabic" w:hAnsi="Simplified Arabic" w:cs="Simplified Arabic"/>
          <w:color w:val="000000" w:themeColor="text1"/>
          <w:sz w:val="28"/>
          <w:szCs w:val="28"/>
        </w:rPr>
        <w:t xml:space="preserve"> </w:t>
      </w:r>
      <w:r w:rsidRPr="00913340">
        <w:rPr>
          <w:rFonts w:ascii="Simplified Arabic" w:hAnsi="Simplified Arabic" w:cs="Simplified Arabic"/>
          <w:color w:val="000000" w:themeColor="text1"/>
          <w:sz w:val="28"/>
          <w:szCs w:val="28"/>
          <w:rtl/>
        </w:rPr>
        <w:t>التي تناولت العلاقة المباشرة بين إدارة مخاطر تكنولوجيا البيانات ودقة التنبؤات الجوية ودعم القرار، لا سيما في السياق العربي والسعودي تحديداً</w:t>
      </w:r>
      <w:r w:rsidRPr="00913340">
        <w:rPr>
          <w:rFonts w:ascii="Simplified Arabic" w:hAnsi="Simplified Arabic" w:cs="Simplified Arabic"/>
          <w:color w:val="000000" w:themeColor="text1"/>
          <w:sz w:val="28"/>
          <w:szCs w:val="28"/>
        </w:rPr>
        <w:t xml:space="preserve">. </w:t>
      </w:r>
      <w:r w:rsidRPr="00913340">
        <w:rPr>
          <w:rFonts w:ascii="Simplified Arabic" w:hAnsi="Simplified Arabic" w:cs="Simplified Arabic"/>
          <w:color w:val="000000" w:themeColor="text1"/>
          <w:sz w:val="28"/>
          <w:szCs w:val="28"/>
          <w:rtl/>
        </w:rPr>
        <w:t>فمعظم الدراسات السابقة تناولت إدارة المخاطر التقنية في القطاعات المالية والمصرفية، بينما ظل قطاع الأرصاد الجوية بعيداً عن الاهتمام البحثي في هذا الجانب رغم حساسيته وخطورة تبعات القصور فيه. كما أن الدراسات التي تناولت دقة التنبؤات الجوية ركّزت في غالبيتها على الجوانب الفنية والنمذجة العددية دون التطرق الكافي إلى البعد المؤسسي والتقني المتعلق بإدارة المخاطر وأثره على جودة المخرجات</w:t>
      </w:r>
      <w:r w:rsidRPr="00913340">
        <w:rPr>
          <w:rFonts w:ascii="Simplified Arabic" w:hAnsi="Simplified Arabic" w:cs="Simplified Arabic"/>
          <w:color w:val="000000" w:themeColor="text1"/>
          <w:sz w:val="28"/>
          <w:szCs w:val="28"/>
        </w:rPr>
        <w:t>.</w:t>
      </w:r>
    </w:p>
    <w:p w14:paraId="1C3DF964" w14:textId="77777777"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 xml:space="preserve">وانطلاقاً مما سبق، وفي ضوء التوجهات الاستراتيجية لرؤية المملكة 2030 التي تُولي أهمية قصوى للتحول الرقمي وتعزيز الأمن السيبراني ورفع كفاءة المؤسسات الحكومية، تتبلور مشكلة الدراسة الحالية في </w:t>
      </w:r>
      <w:r w:rsidRPr="00913340">
        <w:rPr>
          <w:rFonts w:ascii="Simplified Arabic" w:hAnsi="Simplified Arabic" w:cs="Simplified Arabic"/>
          <w:color w:val="000000" w:themeColor="text1"/>
          <w:sz w:val="28"/>
          <w:szCs w:val="28"/>
          <w:rtl/>
        </w:rPr>
        <w:lastRenderedPageBreak/>
        <w:t>التساؤل الرئيسي التالي</w:t>
      </w:r>
      <w:r w:rsidRPr="00913340">
        <w:rPr>
          <w:rFonts w:ascii="Simplified Arabic" w:hAnsi="Simplified Arabic" w:cs="Simplified Arabic"/>
          <w:color w:val="000000" w:themeColor="text1"/>
          <w:sz w:val="28"/>
          <w:szCs w:val="28"/>
        </w:rPr>
        <w:t xml:space="preserve">: </w:t>
      </w:r>
      <w:r w:rsidRPr="00913340">
        <w:rPr>
          <w:rStyle w:val="Strong"/>
          <w:rFonts w:ascii="Simplified Arabic" w:hAnsi="Simplified Arabic" w:cs="Simplified Arabic"/>
          <w:b w:val="0"/>
          <w:bCs w:val="0"/>
          <w:color w:val="000000" w:themeColor="text1"/>
          <w:sz w:val="28"/>
          <w:szCs w:val="28"/>
          <w:rtl/>
        </w:rPr>
        <w:t>ما أثر إدارة مخاطر تكنولوجيا البيانات بأبعادها (تقييم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w:t>
      </w:r>
      <w:r w:rsidRPr="00913340">
        <w:rPr>
          <w:rFonts w:ascii="Simplified Arabic" w:hAnsi="Simplified Arabic" w:cs="Simplified Arabic"/>
          <w:color w:val="000000" w:themeColor="text1"/>
          <w:sz w:val="28"/>
          <w:szCs w:val="28"/>
          <w:rtl/>
        </w:rPr>
        <w:t xml:space="preserve"> </w:t>
      </w:r>
    </w:p>
    <w:p w14:paraId="55F9F2BA" w14:textId="77777777" w:rsidR="00E155E5" w:rsidRPr="00913340" w:rsidRDefault="00E155E5" w:rsidP="00E155E5">
      <w:pPr>
        <w:pStyle w:val="NormalWeb"/>
        <w:bidi/>
        <w:spacing w:line="276" w:lineRule="auto"/>
        <w:outlineLvl w:val="1"/>
        <w:rPr>
          <w:rFonts w:ascii="Simplified Arabic" w:hAnsi="Simplified Arabic" w:cs="Simplified Arabic"/>
          <w:b/>
          <w:bCs/>
          <w:color w:val="000000" w:themeColor="text1"/>
          <w:sz w:val="36"/>
          <w:szCs w:val="36"/>
          <w:rtl/>
        </w:rPr>
      </w:pPr>
      <w:bookmarkStart w:id="5" w:name="_Toc233883857"/>
      <w:bookmarkStart w:id="6" w:name="_Toc169790490"/>
      <w:bookmarkEnd w:id="2"/>
      <w:r w:rsidRPr="00913340">
        <w:rPr>
          <w:rFonts w:ascii="Simplified Arabic" w:hAnsi="Simplified Arabic" w:cs="Simplified Arabic"/>
          <w:b/>
          <w:bCs/>
          <w:color w:val="000000" w:themeColor="text1"/>
          <w:sz w:val="36"/>
          <w:szCs w:val="36"/>
        </w:rPr>
        <w:t xml:space="preserve">3.1 </w:t>
      </w:r>
      <w:r w:rsidRPr="00913340">
        <w:rPr>
          <w:rFonts w:ascii="Simplified Arabic" w:hAnsi="Simplified Arabic" w:cs="Simplified Arabic"/>
          <w:b/>
          <w:bCs/>
          <w:color w:val="000000" w:themeColor="text1"/>
          <w:sz w:val="36"/>
          <w:szCs w:val="36"/>
          <w:rtl/>
        </w:rPr>
        <w:t>أهمية الدراسة</w:t>
      </w:r>
      <w:r w:rsidRPr="00913340">
        <w:rPr>
          <w:rFonts w:ascii="Simplified Arabic" w:hAnsi="Simplified Arabic" w:cs="Simplified Arabic"/>
          <w:b/>
          <w:bCs/>
          <w:color w:val="000000" w:themeColor="text1"/>
          <w:sz w:val="36"/>
          <w:szCs w:val="36"/>
        </w:rPr>
        <w:t>:</w:t>
      </w:r>
      <w:bookmarkEnd w:id="5"/>
    </w:p>
    <w:p w14:paraId="3D6A2D38" w14:textId="70E1BDA2" w:rsidR="00E155E5" w:rsidRPr="00913340" w:rsidRDefault="00E155E5" w:rsidP="00E155E5">
      <w:pPr>
        <w:pStyle w:val="NormalWeb"/>
        <w:bidi/>
        <w:spacing w:line="276" w:lineRule="auto"/>
        <w:jc w:val="both"/>
        <w:rPr>
          <w:rFonts w:ascii="Simplified Arabic" w:hAnsi="Simplified Arabic" w:cs="Simplified Arabic"/>
          <w:b/>
          <w:bCs/>
          <w:color w:val="000000" w:themeColor="text1"/>
          <w:sz w:val="32"/>
          <w:szCs w:val="32"/>
        </w:rPr>
      </w:pPr>
      <w:r w:rsidRPr="00913340">
        <w:rPr>
          <w:rFonts w:ascii="Simplified Arabic" w:hAnsi="Simplified Arabic" w:cs="Simplified Arabic"/>
          <w:b/>
          <w:bCs/>
          <w:color w:val="000000" w:themeColor="text1"/>
          <w:sz w:val="32"/>
          <w:szCs w:val="32"/>
          <w:rtl/>
        </w:rPr>
        <w:t>الأهمية العلمية (النظرية)</w:t>
      </w:r>
    </w:p>
    <w:p w14:paraId="23FA79E8" w14:textId="5C516250" w:rsidR="00FE784F" w:rsidRPr="00913340" w:rsidRDefault="00FE784F" w:rsidP="00E155E5">
      <w:pPr>
        <w:pStyle w:val="NormalWeb"/>
        <w:numPr>
          <w:ilvl w:val="0"/>
          <w:numId w:val="33"/>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تُعدّ هذه الدراسة من الدراسات الرائدة  في حدود علم الباحث  التي تتناول العلاقة بين إدارة مخاطر تكنولوجيا البيانات ودقة التنبؤات الجوية ودعم القرار في سياق عربي سعودي؛ إذ تكشف مراجعة الأدبيات عن ندرة الدراسات التي ربطت بين هذين المتغيرين في قطاع الأرصاد الجوية بشكل مباشر، مما يمنح هذه الدراسة قيمة علمية تأسيسية في بناء إطار نظري متكامل</w:t>
      </w:r>
      <w:r w:rsidRPr="00913340">
        <w:rPr>
          <w:rFonts w:ascii="Simplified Arabic" w:hAnsi="Simplified Arabic" w:cs="Simplified Arabic"/>
          <w:color w:val="000000" w:themeColor="text1"/>
          <w:sz w:val="28"/>
          <w:szCs w:val="28"/>
        </w:rPr>
        <w:t>.</w:t>
      </w:r>
    </w:p>
    <w:p w14:paraId="5B237CDE" w14:textId="39357300" w:rsidR="00FE784F" w:rsidRPr="00913340" w:rsidRDefault="00FE784F" w:rsidP="00E155E5">
      <w:pPr>
        <w:pStyle w:val="NormalWeb"/>
        <w:numPr>
          <w:ilvl w:val="0"/>
          <w:numId w:val="33"/>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تُسهم الدراسة في بناء نموذج نظري يدمج بين أبعاد إدارة مخاطر التكنولوجيا المستندة إلى أطر معتمدة دولياً وبين مؤشرات دقة التنبؤات الجوية ومتطلبات دعم القرار، مما يُوفر إطاراً مفاهيمياً يمكن للباحثين اللاحقين اختباره وتطويره في بيئات ومؤسسات مختلفة</w:t>
      </w:r>
      <w:r w:rsidRPr="00913340">
        <w:rPr>
          <w:rFonts w:ascii="Simplified Arabic" w:hAnsi="Simplified Arabic" w:cs="Simplified Arabic"/>
          <w:color w:val="000000" w:themeColor="text1"/>
          <w:sz w:val="28"/>
          <w:szCs w:val="28"/>
        </w:rPr>
        <w:t>.</w:t>
      </w:r>
    </w:p>
    <w:p w14:paraId="7B7A2457" w14:textId="52899BF8" w:rsidR="00FE784F" w:rsidRPr="00913340" w:rsidRDefault="00FE784F" w:rsidP="00E155E5">
      <w:pPr>
        <w:pStyle w:val="NormalWeb"/>
        <w:numPr>
          <w:ilvl w:val="0"/>
          <w:numId w:val="33"/>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تُعزز الدراسة التوجه البحثي البيني الذي يجمع بين تخصصات نظم المعلومات وإدارة المخاطر وعلوم الأرصاد الجوية، مما يفتح آفاقاً بحثية جديدة تتجاوز الحدود التقليدية للتخصص الواحد، ويُسهم في بناء قاعدة معرفية أكثر شمولاً حول البعد التكنولوجي في مؤسسات الأرصاد</w:t>
      </w:r>
      <w:r w:rsidRPr="00913340">
        <w:rPr>
          <w:rFonts w:ascii="Simplified Arabic" w:hAnsi="Simplified Arabic" w:cs="Simplified Arabic"/>
          <w:color w:val="000000" w:themeColor="text1"/>
          <w:sz w:val="28"/>
          <w:szCs w:val="28"/>
        </w:rPr>
        <w:t>.</w:t>
      </w:r>
    </w:p>
    <w:p w14:paraId="4BD346FC" w14:textId="04315230" w:rsidR="00FE784F" w:rsidRPr="00913340" w:rsidRDefault="00FE784F" w:rsidP="00E155E5">
      <w:pPr>
        <w:pStyle w:val="NormalWeb"/>
        <w:numPr>
          <w:ilvl w:val="0"/>
          <w:numId w:val="33"/>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تتجاوز الدراسة التناول التقليدي لعوامل دقة التنبؤات الجوية المتمثل في النماذج العددية والرصدات إلى استكشاف البعد المؤسسي والتقني المتمثل في إدارة المخاطر، مما يُضيف بعداً تفسيرياً جديداً لتباين مستويات الدقة بين مراكز الأرصاد المختلفة</w:t>
      </w:r>
      <w:r w:rsidRPr="00913340">
        <w:rPr>
          <w:rFonts w:ascii="Simplified Arabic" w:hAnsi="Simplified Arabic" w:cs="Simplified Arabic"/>
          <w:color w:val="000000" w:themeColor="text1"/>
          <w:sz w:val="28"/>
          <w:szCs w:val="28"/>
        </w:rPr>
        <w:t>.</w:t>
      </w:r>
    </w:p>
    <w:p w14:paraId="3CC44D7E" w14:textId="47B6DCB5" w:rsidR="00FE784F" w:rsidRPr="00913340" w:rsidRDefault="00FE784F" w:rsidP="00E155E5">
      <w:pPr>
        <w:pStyle w:val="NormalWeb"/>
        <w:numPr>
          <w:ilvl w:val="0"/>
          <w:numId w:val="33"/>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تُقدم الدراسة نموذجاً منهجياً يمكن الاحتذاء به في دراسة أثر إدارة المخاطر التقنية على الأداء المؤسسي في القطاعات الحكومية المتخصصة، مما يُسهم في تطوير المنهجيات البحثية في هذا الحقل المعرفي الناشئ</w:t>
      </w:r>
      <w:r w:rsidRPr="00913340">
        <w:rPr>
          <w:rFonts w:ascii="Simplified Arabic" w:hAnsi="Simplified Arabic" w:cs="Simplified Arabic"/>
          <w:color w:val="000000" w:themeColor="text1"/>
          <w:sz w:val="28"/>
          <w:szCs w:val="28"/>
        </w:rPr>
        <w:t>.</w:t>
      </w:r>
    </w:p>
    <w:p w14:paraId="2B84D34A" w14:textId="43BB0CC7" w:rsidR="00E155E5" w:rsidRPr="00913340" w:rsidRDefault="00E155E5" w:rsidP="00E155E5">
      <w:pPr>
        <w:pStyle w:val="NormalWeb"/>
        <w:bidi/>
        <w:spacing w:line="276" w:lineRule="auto"/>
        <w:jc w:val="both"/>
        <w:rPr>
          <w:rFonts w:ascii="Simplified Arabic" w:hAnsi="Simplified Arabic" w:cs="Simplified Arabic"/>
          <w:b/>
          <w:bCs/>
          <w:color w:val="000000" w:themeColor="text1"/>
          <w:sz w:val="32"/>
          <w:szCs w:val="32"/>
        </w:rPr>
      </w:pPr>
      <w:r w:rsidRPr="00913340">
        <w:rPr>
          <w:rFonts w:ascii="Simplified Arabic" w:hAnsi="Simplified Arabic" w:cs="Simplified Arabic"/>
          <w:b/>
          <w:bCs/>
          <w:color w:val="000000" w:themeColor="text1"/>
          <w:sz w:val="32"/>
          <w:szCs w:val="32"/>
          <w:rtl/>
        </w:rPr>
        <w:t>الأهمية العملية (التطبيقية)</w:t>
      </w:r>
    </w:p>
    <w:p w14:paraId="3F9231CA" w14:textId="6016016C" w:rsidR="00FE784F" w:rsidRPr="00913340" w:rsidRDefault="00FE784F" w:rsidP="00E155E5">
      <w:pPr>
        <w:pStyle w:val="NormalWeb"/>
        <w:numPr>
          <w:ilvl w:val="0"/>
          <w:numId w:val="34"/>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lastRenderedPageBreak/>
        <w:t>تُقدم الدراسة توصيات عملية قائمة على أدلة إحصائية تُساعد إدارة المركز الوطني للأرصاد في تحديد أولويات الاستثمار في إدارة المخاطر التقنية، بما يتماشى مع مستهدفات رؤية المملكة 2030 في التحول الرقمي وتطوير القدرات الوطنية في مجال الأرصاد والبيئة</w:t>
      </w:r>
      <w:r w:rsidRPr="00913340">
        <w:rPr>
          <w:rFonts w:ascii="Simplified Arabic" w:hAnsi="Simplified Arabic" w:cs="Simplified Arabic"/>
          <w:color w:val="000000" w:themeColor="text1"/>
          <w:sz w:val="28"/>
          <w:szCs w:val="28"/>
        </w:rPr>
        <w:t>.</w:t>
      </w:r>
    </w:p>
    <w:p w14:paraId="668CD8F7" w14:textId="1FA70D18" w:rsidR="00FE784F" w:rsidRPr="00913340" w:rsidRDefault="00FE784F" w:rsidP="00E155E5">
      <w:pPr>
        <w:pStyle w:val="NormalWeb"/>
        <w:numPr>
          <w:ilvl w:val="0"/>
          <w:numId w:val="34"/>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تُسهم نتائج الدراسة في تعزيز منظومة التحذيرات المبكرة من الظواهر الجوية الخطرة كالعواصف الرملية والسيول والموجات الحرارية، مما ينعكس مباشرة على سلامة المواطنين والمقيمين وحماية البنى التحتية الحيوية في المملكة</w:t>
      </w:r>
      <w:r w:rsidRPr="00913340">
        <w:rPr>
          <w:rFonts w:ascii="Simplified Arabic" w:hAnsi="Simplified Arabic" w:cs="Simplified Arabic"/>
          <w:color w:val="000000" w:themeColor="text1"/>
          <w:sz w:val="28"/>
          <w:szCs w:val="28"/>
        </w:rPr>
        <w:t>.</w:t>
      </w:r>
    </w:p>
    <w:p w14:paraId="446C599E" w14:textId="47416A7E" w:rsidR="00FE784F" w:rsidRPr="00913340" w:rsidRDefault="00FE784F" w:rsidP="00E155E5">
      <w:pPr>
        <w:pStyle w:val="NormalWeb"/>
        <w:numPr>
          <w:ilvl w:val="0"/>
          <w:numId w:val="34"/>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تُوفر الدراسة خريطة واضحة لأبعاد إدارة المخاطر التقنية الأكثر تأثيراً على دقة التنبؤات، مما يُمكّن المركز من توجيه الموارد المالية والبشرية نحو المجالات ذات العائد الأعلى بدلاً من التوزيع العشوائي للموارد، وهو ما يُحقق كفاءة اقتصادية مرتفعة في ظل محدودية الميزانيات</w:t>
      </w:r>
      <w:r w:rsidRPr="00913340">
        <w:rPr>
          <w:rFonts w:ascii="Simplified Arabic" w:hAnsi="Simplified Arabic" w:cs="Simplified Arabic"/>
          <w:color w:val="000000" w:themeColor="text1"/>
          <w:sz w:val="28"/>
          <w:szCs w:val="28"/>
        </w:rPr>
        <w:t>.</w:t>
      </w:r>
    </w:p>
    <w:p w14:paraId="7ED8DC99" w14:textId="408D5EBA" w:rsidR="00FE784F" w:rsidRPr="00913340" w:rsidRDefault="00FE784F" w:rsidP="00E155E5">
      <w:pPr>
        <w:pStyle w:val="NormalWeb"/>
        <w:numPr>
          <w:ilvl w:val="0"/>
          <w:numId w:val="34"/>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تُساعد نتائج الدراسة في تصميم برامج تدريبية متخصصة للعاملين في المركز الوطني للأرصاد تستهدف تعزيز الوعي بإدارة المخاطر التقنية وربطه بمتطلبات دقة التنبؤات، مما يرفع الكفاءة المؤسسية الشاملة ويُقلل من الأخطاء البشرية في التعامل مع الأنظمة التقنية</w:t>
      </w:r>
      <w:r w:rsidRPr="00913340">
        <w:rPr>
          <w:rFonts w:ascii="Simplified Arabic" w:hAnsi="Simplified Arabic" w:cs="Simplified Arabic"/>
          <w:color w:val="000000" w:themeColor="text1"/>
          <w:sz w:val="28"/>
          <w:szCs w:val="28"/>
        </w:rPr>
        <w:t>.</w:t>
      </w:r>
    </w:p>
    <w:p w14:paraId="6093E266" w14:textId="339F50F2" w:rsidR="00FE784F" w:rsidRPr="00913340" w:rsidRDefault="00FE784F" w:rsidP="00E155E5">
      <w:pPr>
        <w:pStyle w:val="NormalWeb"/>
        <w:numPr>
          <w:ilvl w:val="0"/>
          <w:numId w:val="34"/>
        </w:numPr>
        <w:bidi/>
        <w:spacing w:line="276" w:lineRule="auto"/>
        <w:ind w:left="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تُسهم التوصيات العملية للدراسة في رفع تصنيف المركز الوطني للأرصاد ضمن مراكز الأرصاد العالمية من خلال تبني أفضل الممارسات في إدارة المخاطر التقنية، مما يُعزز مكانة المملكة في المحافل الدولية المعنية بالأرصاد الجوية والمناخ</w:t>
      </w:r>
      <w:r w:rsidRPr="00913340">
        <w:rPr>
          <w:rFonts w:ascii="Simplified Arabic" w:hAnsi="Simplified Arabic" w:cs="Simplified Arabic"/>
          <w:color w:val="000000" w:themeColor="text1"/>
          <w:sz w:val="28"/>
          <w:szCs w:val="28"/>
        </w:rPr>
        <w:t>.</w:t>
      </w:r>
    </w:p>
    <w:p w14:paraId="2AD89F7D" w14:textId="20552702" w:rsidR="00E155E5" w:rsidRPr="00913340" w:rsidRDefault="00E155E5" w:rsidP="00E155E5">
      <w:pPr>
        <w:pStyle w:val="NormalWeb"/>
        <w:bidi/>
        <w:spacing w:line="276" w:lineRule="auto"/>
        <w:jc w:val="both"/>
        <w:outlineLvl w:val="1"/>
        <w:rPr>
          <w:rFonts w:ascii="Simplified Arabic" w:hAnsi="Simplified Arabic" w:cs="Simplified Arabic"/>
          <w:b/>
          <w:bCs/>
          <w:color w:val="000000" w:themeColor="text1"/>
          <w:sz w:val="36"/>
          <w:szCs w:val="36"/>
          <w:rtl/>
        </w:rPr>
      </w:pPr>
      <w:bookmarkStart w:id="7" w:name="_Toc233883858"/>
      <w:bookmarkStart w:id="8" w:name="_Toc169790491"/>
      <w:bookmarkEnd w:id="6"/>
      <w:r w:rsidRPr="00913340">
        <w:rPr>
          <w:rFonts w:ascii="Simplified Arabic" w:hAnsi="Simplified Arabic" w:cs="Simplified Arabic"/>
          <w:b/>
          <w:bCs/>
          <w:color w:val="000000" w:themeColor="text1"/>
          <w:sz w:val="36"/>
          <w:szCs w:val="36"/>
          <w:rtl/>
        </w:rPr>
        <w:t>4.1 أهداف الدراسة:</w:t>
      </w:r>
      <w:bookmarkEnd w:id="7"/>
    </w:p>
    <w:p w14:paraId="7F3BED96" w14:textId="77777777" w:rsidR="00FE784F" w:rsidRPr="00913340" w:rsidRDefault="00FE784F" w:rsidP="00E155E5">
      <w:pPr>
        <w:pStyle w:val="NormalWeb"/>
        <w:bidi/>
        <w:spacing w:line="276" w:lineRule="auto"/>
        <w:ind w:firstLine="424"/>
        <w:jc w:val="both"/>
        <w:rPr>
          <w:rFonts w:ascii="Simplified Arabic" w:hAnsi="Simplified Arabic" w:cs="Simplified Arabic"/>
          <w:color w:val="000000" w:themeColor="text1"/>
          <w:sz w:val="28"/>
          <w:szCs w:val="28"/>
        </w:rPr>
      </w:pPr>
      <w:r w:rsidRPr="00913340">
        <w:rPr>
          <w:rFonts w:ascii="Simplified Arabic" w:hAnsi="Simplified Arabic" w:cs="Simplified Arabic"/>
          <w:color w:val="000000" w:themeColor="text1"/>
          <w:sz w:val="28"/>
          <w:szCs w:val="28"/>
          <w:rtl/>
        </w:rPr>
        <w:t xml:space="preserve">تهدف هذه الدراسة إلى التعرف على </w:t>
      </w:r>
      <w:r w:rsidRPr="00913340">
        <w:rPr>
          <w:rStyle w:val="Strong"/>
          <w:rFonts w:ascii="Simplified Arabic" w:hAnsi="Simplified Arabic" w:cs="Simplified Arabic"/>
          <w:b w:val="0"/>
          <w:bCs w:val="0"/>
          <w:color w:val="000000" w:themeColor="text1"/>
          <w:sz w:val="28"/>
          <w:szCs w:val="28"/>
          <w:rtl/>
        </w:rPr>
        <w:t>أثر إدارة مخاطر تكنولوجيا البيانات</w:t>
      </w:r>
      <w:r w:rsidRPr="00913340">
        <w:rPr>
          <w:rFonts w:ascii="Simplified Arabic" w:hAnsi="Simplified Arabic" w:cs="Simplified Arabic"/>
          <w:color w:val="000000" w:themeColor="text1"/>
          <w:sz w:val="28"/>
          <w:szCs w:val="28"/>
          <w:rtl/>
        </w:rPr>
        <w:t xml:space="preserve"> بأبعادها الأربعة (تقييم المخاطر التقنية، أمن البيانات والبنية التحتية، حوكمة تكنولوجيا المعلومات، المراقبة والتحسين المستمر) على </w:t>
      </w:r>
      <w:r w:rsidRPr="00913340">
        <w:rPr>
          <w:rStyle w:val="Strong"/>
          <w:rFonts w:ascii="Simplified Arabic" w:hAnsi="Simplified Arabic" w:cs="Simplified Arabic"/>
          <w:b w:val="0"/>
          <w:bCs w:val="0"/>
          <w:color w:val="000000" w:themeColor="text1"/>
          <w:sz w:val="28"/>
          <w:szCs w:val="28"/>
          <w:rtl/>
        </w:rPr>
        <w:t>دقة التنبؤات الجوية ودعم القرار</w:t>
      </w:r>
      <w:r w:rsidRPr="00913340">
        <w:rPr>
          <w:rFonts w:ascii="Simplified Arabic" w:hAnsi="Simplified Arabic" w:cs="Simplified Arabic"/>
          <w:color w:val="000000" w:themeColor="text1"/>
          <w:sz w:val="28"/>
          <w:szCs w:val="28"/>
          <w:rtl/>
        </w:rPr>
        <w:t xml:space="preserve"> في المركز الوطني للأرصاد بالمملكة العربية السعودية</w:t>
      </w:r>
      <w:r w:rsidRPr="00913340">
        <w:rPr>
          <w:rFonts w:ascii="Simplified Arabic" w:hAnsi="Simplified Arabic" w:cs="Simplified Arabic"/>
          <w:color w:val="000000" w:themeColor="text1"/>
          <w:sz w:val="28"/>
          <w:szCs w:val="28"/>
        </w:rPr>
        <w:t>.</w:t>
      </w:r>
    </w:p>
    <w:p w14:paraId="301BFD35" w14:textId="77777777" w:rsidR="00FE784F" w:rsidRPr="00913340" w:rsidRDefault="00FE784F" w:rsidP="00E155E5">
      <w:pPr>
        <w:pStyle w:val="NormalWeb"/>
        <w:bidi/>
        <w:spacing w:line="276" w:lineRule="auto"/>
        <w:jc w:val="both"/>
        <w:rPr>
          <w:rFonts w:ascii="Simplified Arabic" w:hAnsi="Simplified Arabic" w:cs="Simplified Arabic"/>
          <w:b/>
          <w:bCs/>
          <w:color w:val="000000" w:themeColor="text1"/>
          <w:sz w:val="28"/>
          <w:szCs w:val="28"/>
        </w:rPr>
      </w:pPr>
      <w:r w:rsidRPr="00913340">
        <w:rPr>
          <w:rFonts w:ascii="Simplified Arabic" w:hAnsi="Simplified Arabic" w:cs="Simplified Arabic"/>
          <w:b/>
          <w:bCs/>
          <w:color w:val="000000" w:themeColor="text1"/>
          <w:sz w:val="28"/>
          <w:szCs w:val="28"/>
          <w:rtl/>
        </w:rPr>
        <w:t>يتفرع من الهدف الرئيسي الأهداف الفرعية التالية</w:t>
      </w:r>
      <w:r w:rsidRPr="00913340">
        <w:rPr>
          <w:rFonts w:ascii="Simplified Arabic" w:hAnsi="Simplified Arabic" w:cs="Simplified Arabic"/>
          <w:b/>
          <w:bCs/>
          <w:color w:val="000000" w:themeColor="text1"/>
          <w:sz w:val="28"/>
          <w:szCs w:val="28"/>
        </w:rPr>
        <w:t>:</w:t>
      </w:r>
    </w:p>
    <w:p w14:paraId="3CCDB19F" w14:textId="77777777" w:rsidR="00FE784F" w:rsidRPr="00913340" w:rsidRDefault="00FE784F" w:rsidP="00E155E5">
      <w:pPr>
        <w:pStyle w:val="NormalWeb"/>
        <w:numPr>
          <w:ilvl w:val="0"/>
          <w:numId w:val="1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13340">
        <w:rPr>
          <w:rStyle w:val="Strong"/>
          <w:rFonts w:ascii="Simplified Arabic" w:hAnsi="Simplified Arabic" w:cs="Simplified Arabic"/>
          <w:b w:val="0"/>
          <w:bCs w:val="0"/>
          <w:color w:val="000000" w:themeColor="text1"/>
          <w:sz w:val="28"/>
          <w:szCs w:val="28"/>
          <w:rtl/>
        </w:rPr>
        <w:t>قياس أثر تقييم المخاطر التقنية على دقة التنبؤات الجوية ودعم القرار</w:t>
      </w:r>
      <w:r w:rsidRPr="00913340">
        <w:rPr>
          <w:rFonts w:ascii="Simplified Arabic" w:hAnsi="Simplified Arabic" w:cs="Simplified Arabic"/>
          <w:color w:val="000000" w:themeColor="text1"/>
          <w:sz w:val="28"/>
          <w:szCs w:val="28"/>
          <w:rtl/>
        </w:rPr>
        <w:t xml:space="preserve"> في المركز الوطني للأرصاد، من خلال التعرف على مدى فاعلية آليات تحديد التهديدات ونقاط الضعف في الأنظمة التقنية المستخدمة في عمليات الرصد والتنبؤ، ومدى انعكاس ذلك على تقليل الأخطاء التشغيلية وتحسين مخرجات النماذج العددية</w:t>
      </w:r>
      <w:r w:rsidRPr="00913340">
        <w:rPr>
          <w:rFonts w:ascii="Simplified Arabic" w:hAnsi="Simplified Arabic" w:cs="Simplified Arabic"/>
          <w:color w:val="000000" w:themeColor="text1"/>
          <w:sz w:val="28"/>
          <w:szCs w:val="28"/>
        </w:rPr>
        <w:t>.</w:t>
      </w:r>
    </w:p>
    <w:p w14:paraId="3A23F2A9" w14:textId="77777777" w:rsidR="00FE784F" w:rsidRPr="00913340" w:rsidRDefault="00FE784F" w:rsidP="00E155E5">
      <w:pPr>
        <w:pStyle w:val="NormalWeb"/>
        <w:numPr>
          <w:ilvl w:val="0"/>
          <w:numId w:val="1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13340">
        <w:rPr>
          <w:rStyle w:val="Strong"/>
          <w:rFonts w:ascii="Simplified Arabic" w:hAnsi="Simplified Arabic" w:cs="Simplified Arabic"/>
          <w:b w:val="0"/>
          <w:bCs w:val="0"/>
          <w:color w:val="000000" w:themeColor="text1"/>
          <w:sz w:val="28"/>
          <w:szCs w:val="28"/>
          <w:rtl/>
        </w:rPr>
        <w:lastRenderedPageBreak/>
        <w:t>تحديد أثر أمن البيانات والبنية التحتية على دقة التنبؤات الجوية ودعم القرار</w:t>
      </w:r>
      <w:r w:rsidRPr="00913340">
        <w:rPr>
          <w:rFonts w:ascii="Simplified Arabic" w:hAnsi="Simplified Arabic" w:cs="Simplified Arabic"/>
          <w:color w:val="000000" w:themeColor="text1"/>
          <w:sz w:val="28"/>
          <w:szCs w:val="28"/>
          <w:rtl/>
        </w:rPr>
        <w:t xml:space="preserve"> في المركز الوطني للأرصاد، وذلك بالكشف عن مدى إسهام سياسات حماية البيانات الجوية وتأمين شبكات الاتصال ومراكز البيانات في ضمان سلامة المعلومات المُغذية لنماذج التنبؤ، وأثر ذلك على موثوقية التحذيرات المبكرة وجودة مخرجات دعم القرار</w:t>
      </w:r>
      <w:r w:rsidRPr="00913340">
        <w:rPr>
          <w:rFonts w:ascii="Simplified Arabic" w:hAnsi="Simplified Arabic" w:cs="Simplified Arabic"/>
          <w:color w:val="000000" w:themeColor="text1"/>
          <w:sz w:val="28"/>
          <w:szCs w:val="28"/>
        </w:rPr>
        <w:t>.</w:t>
      </w:r>
    </w:p>
    <w:p w14:paraId="10210554" w14:textId="77777777" w:rsidR="00FE784F" w:rsidRPr="00913340" w:rsidRDefault="00FE784F" w:rsidP="00E155E5">
      <w:pPr>
        <w:pStyle w:val="NormalWeb"/>
        <w:numPr>
          <w:ilvl w:val="0"/>
          <w:numId w:val="1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13340">
        <w:rPr>
          <w:rStyle w:val="Strong"/>
          <w:rFonts w:ascii="Simplified Arabic" w:hAnsi="Simplified Arabic" w:cs="Simplified Arabic"/>
          <w:b w:val="0"/>
          <w:bCs w:val="0"/>
          <w:color w:val="000000" w:themeColor="text1"/>
          <w:sz w:val="28"/>
          <w:szCs w:val="28"/>
          <w:rtl/>
        </w:rPr>
        <w:t>الكشف عن أثر حوكمة تكنولوجيا المعلومات على دقة التنبؤات الجوية ودعم القرار</w:t>
      </w:r>
      <w:r w:rsidRPr="00913340">
        <w:rPr>
          <w:rFonts w:ascii="Simplified Arabic" w:hAnsi="Simplified Arabic" w:cs="Simplified Arabic"/>
          <w:color w:val="000000" w:themeColor="text1"/>
          <w:sz w:val="28"/>
          <w:szCs w:val="28"/>
          <w:rtl/>
        </w:rPr>
        <w:t xml:space="preserve"> في المركز الوطني للأرصاد، من خلال فحص مدى تطبيق أطر الحوكمة المعتمدة في توجيه الموارد التقنية وإدارة المخاطر مؤسسياً، وأثر ذلك على المواءمة الاستراتيجية بين الإمكانات التكنولوجية ومتطلبات الدقة في التنبؤات</w:t>
      </w:r>
      <w:r w:rsidRPr="00913340">
        <w:rPr>
          <w:rFonts w:ascii="Simplified Arabic" w:hAnsi="Simplified Arabic" w:cs="Simplified Arabic"/>
          <w:color w:val="000000" w:themeColor="text1"/>
          <w:sz w:val="28"/>
          <w:szCs w:val="28"/>
        </w:rPr>
        <w:t>.</w:t>
      </w:r>
    </w:p>
    <w:p w14:paraId="5DD62960" w14:textId="77777777" w:rsidR="00FE784F" w:rsidRPr="00913340" w:rsidRDefault="00FE784F" w:rsidP="00E155E5">
      <w:pPr>
        <w:pStyle w:val="NormalWeb"/>
        <w:numPr>
          <w:ilvl w:val="0"/>
          <w:numId w:val="1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13340">
        <w:rPr>
          <w:rStyle w:val="Strong"/>
          <w:rFonts w:ascii="Simplified Arabic" w:hAnsi="Simplified Arabic" w:cs="Simplified Arabic"/>
          <w:b w:val="0"/>
          <w:bCs w:val="0"/>
          <w:color w:val="000000" w:themeColor="text1"/>
          <w:sz w:val="28"/>
          <w:szCs w:val="28"/>
          <w:rtl/>
        </w:rPr>
        <w:t>استكشاف أثر المراقبة والتحسين المستمر على دقة التنبؤات الجوية ودعم القرار</w:t>
      </w:r>
      <w:r w:rsidRPr="00913340">
        <w:rPr>
          <w:rFonts w:ascii="Simplified Arabic" w:hAnsi="Simplified Arabic" w:cs="Simplified Arabic"/>
          <w:color w:val="000000" w:themeColor="text1"/>
          <w:sz w:val="28"/>
          <w:szCs w:val="28"/>
          <w:rtl/>
        </w:rPr>
        <w:t xml:space="preserve"> في المركز الوطني للأرصاد، وذلك بتقييم فاعلية برامج المتابعة الدورية واختبارات الاختراق والتدقيق المستمر للأنظمة التقنية في تعزيز استقرار منظومة التنبؤ وتطوير أدوات دعم القرار بصورة تراكمية ومستدامة</w:t>
      </w:r>
      <w:r w:rsidRPr="00913340">
        <w:rPr>
          <w:rFonts w:ascii="Simplified Arabic" w:hAnsi="Simplified Arabic" w:cs="Simplified Arabic"/>
          <w:color w:val="000000" w:themeColor="text1"/>
          <w:sz w:val="28"/>
          <w:szCs w:val="28"/>
        </w:rPr>
        <w:t>.</w:t>
      </w:r>
    </w:p>
    <w:p w14:paraId="632EAF4F" w14:textId="77777777" w:rsidR="00FE784F" w:rsidRPr="00913340" w:rsidRDefault="00FE784F" w:rsidP="00E155E5">
      <w:pPr>
        <w:pStyle w:val="NormalWeb"/>
        <w:numPr>
          <w:ilvl w:val="0"/>
          <w:numId w:val="19"/>
        </w:numPr>
        <w:tabs>
          <w:tab w:val="clear" w:pos="720"/>
          <w:tab w:val="num" w:pos="424"/>
        </w:tabs>
        <w:bidi/>
        <w:spacing w:line="276" w:lineRule="auto"/>
        <w:ind w:left="424"/>
        <w:jc w:val="both"/>
        <w:rPr>
          <w:rFonts w:ascii="Simplified Arabic" w:hAnsi="Simplified Arabic" w:cs="Simplified Arabic"/>
          <w:color w:val="000000" w:themeColor="text1"/>
          <w:sz w:val="28"/>
          <w:szCs w:val="28"/>
        </w:rPr>
      </w:pPr>
      <w:r w:rsidRPr="00913340">
        <w:rPr>
          <w:rStyle w:val="Strong"/>
          <w:rFonts w:ascii="Simplified Arabic" w:hAnsi="Simplified Arabic" w:cs="Simplified Arabic"/>
          <w:b w:val="0"/>
          <w:bCs w:val="0"/>
          <w:color w:val="000000" w:themeColor="text1"/>
          <w:sz w:val="28"/>
          <w:szCs w:val="28"/>
          <w:rtl/>
        </w:rPr>
        <w:t>تقديم إطار مقترح</w:t>
      </w:r>
      <w:r w:rsidRPr="00913340">
        <w:rPr>
          <w:rFonts w:ascii="Simplified Arabic" w:hAnsi="Simplified Arabic" w:cs="Simplified Arabic"/>
          <w:color w:val="000000" w:themeColor="text1"/>
          <w:sz w:val="28"/>
          <w:szCs w:val="28"/>
          <w:rtl/>
        </w:rPr>
        <w:t xml:space="preserve"> يُوضح العلاقة التكاملية بين أبعاد إدارة مخاطر تكنولوجيا البيانات ودقة التنبؤات الجوية ودعم القرار، بما يُسهم في تطوير السياسات والممارسات المؤسسية في المركز الوطني للأرصاد</w:t>
      </w:r>
      <w:r w:rsidRPr="00913340">
        <w:rPr>
          <w:rFonts w:ascii="Simplified Arabic" w:hAnsi="Simplified Arabic" w:cs="Simplified Arabic"/>
          <w:color w:val="000000" w:themeColor="text1"/>
          <w:sz w:val="28"/>
          <w:szCs w:val="28"/>
        </w:rPr>
        <w:t>.</w:t>
      </w:r>
    </w:p>
    <w:p w14:paraId="48771BEA" w14:textId="77777777" w:rsidR="00E155E5" w:rsidRPr="00913340" w:rsidRDefault="00E155E5" w:rsidP="00E155E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883859"/>
      <w:bookmarkStart w:id="10" w:name="_Toc169790498"/>
      <w:bookmarkEnd w:id="8"/>
      <w:r w:rsidRPr="00913340">
        <w:rPr>
          <w:rFonts w:ascii="Simplified Arabic" w:eastAsia="Times New Roman" w:hAnsi="Simplified Arabic" w:cs="Simplified Arabic"/>
          <w:b/>
          <w:bCs/>
          <w:color w:val="000000" w:themeColor="text1"/>
          <w:kern w:val="0"/>
          <w:sz w:val="36"/>
          <w:szCs w:val="36"/>
          <w:rtl/>
          <w14:ligatures w14:val="none"/>
        </w:rPr>
        <w:t>5.1 تساؤلات الدراسة</w:t>
      </w:r>
      <w:bookmarkEnd w:id="9"/>
    </w:p>
    <w:p w14:paraId="7DD286BF" w14:textId="1C76B102" w:rsidR="00E155E5" w:rsidRPr="00913340" w:rsidRDefault="00E155E5"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13340">
        <w:rPr>
          <w:rFonts w:ascii="Simplified Arabic" w:eastAsia="Times New Roman" w:hAnsi="Simplified Arabic" w:cs="Simplified Arabic"/>
          <w:b/>
          <w:bCs/>
          <w:color w:val="000000" w:themeColor="text1"/>
          <w:kern w:val="0"/>
          <w:sz w:val="32"/>
          <w:szCs w:val="32"/>
          <w:rtl/>
          <w14:ligatures w14:val="none"/>
        </w:rPr>
        <w:t>السؤال الرئيسي</w:t>
      </w:r>
    </w:p>
    <w:p w14:paraId="2D3F9AB3"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ما أثر إدارة مخاطر تكنولوجيا البيانات بأبعادها (تقييم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w:t>
      </w:r>
    </w:p>
    <w:p w14:paraId="7C1E9246"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1" w:name="_Toc223910593"/>
      <w:r w:rsidRPr="00913340">
        <w:rPr>
          <w:rFonts w:ascii="Simplified Arabic" w:eastAsia="Times New Roman" w:hAnsi="Simplified Arabic" w:cs="Simplified Arabic"/>
          <w:b/>
          <w:bCs/>
          <w:color w:val="000000" w:themeColor="text1"/>
          <w:kern w:val="0"/>
          <w:sz w:val="32"/>
          <w:szCs w:val="32"/>
          <w:rtl/>
          <w14:ligatures w14:val="none"/>
        </w:rPr>
        <w:t>الأسئلة الفرعية</w:t>
      </w:r>
      <w:bookmarkEnd w:id="11"/>
    </w:p>
    <w:p w14:paraId="3BDE920C" w14:textId="77777777" w:rsidR="00FE784F" w:rsidRPr="00913340" w:rsidRDefault="00FE784F" w:rsidP="00E155E5">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ما أثر تقييم المخاطر التقنية على دقة التنبؤات الجوية ودعم القرار في المركز الوطني للأرصاد بالمملكة العربية السعودية؟</w:t>
      </w:r>
    </w:p>
    <w:p w14:paraId="6495B1B2" w14:textId="77777777" w:rsidR="00FE784F" w:rsidRPr="00913340" w:rsidRDefault="00FE784F" w:rsidP="00E155E5">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ما أثر أمن البيانات والبنية التحتية على دقة التنبؤات الجوية ودعم القرار في المركز الوطني للأرصاد بالمملكة العربية السعودية؟</w:t>
      </w:r>
    </w:p>
    <w:p w14:paraId="5DCEE39C" w14:textId="77777777" w:rsidR="00FE784F" w:rsidRPr="00913340" w:rsidRDefault="00FE784F" w:rsidP="00E155E5">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ما أثر حوكمة تكنولوجيا المعلومات على دقة التنبؤات الجوية ودعم القرار في المركز الوطني للأرصاد بالمملكة العربية السعودية؟</w:t>
      </w:r>
    </w:p>
    <w:p w14:paraId="64FED1BA" w14:textId="77777777" w:rsidR="00FE784F" w:rsidRPr="00913340" w:rsidRDefault="00FE784F" w:rsidP="00E155E5">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ما أثر المراقبة والتحسين المستمر على دقة التنبؤات الجوية ودعم القرار في المركز الوطني للأرصاد بالمملكة العربية السعودية؟</w:t>
      </w:r>
    </w:p>
    <w:p w14:paraId="64DE80B6" w14:textId="77777777" w:rsidR="00FE784F" w:rsidRPr="00913340" w:rsidRDefault="00FE784F" w:rsidP="00E155E5">
      <w:pPr>
        <w:numPr>
          <w:ilvl w:val="0"/>
          <w:numId w:val="23"/>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ما التصور المقترح لتعزيز ممارسات إدارة مخاطر تكنولوجيا البيانات بهدف تحسين دقة التنبؤات الجوية ودعم القرار في المركز الوطني للأرصاد؟</w:t>
      </w:r>
    </w:p>
    <w:p w14:paraId="14CDB045" w14:textId="77777777" w:rsidR="00E155E5" w:rsidRPr="00913340" w:rsidRDefault="00E155E5" w:rsidP="00E155E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883860"/>
      <w:bookmarkStart w:id="13" w:name="_Toc169790500"/>
      <w:bookmarkEnd w:id="10"/>
      <w:r w:rsidRPr="00913340">
        <w:rPr>
          <w:rFonts w:ascii="Simplified Arabic" w:eastAsia="Times New Roman" w:hAnsi="Simplified Arabic" w:cs="Simplified Arabic"/>
          <w:b/>
          <w:bCs/>
          <w:color w:val="000000" w:themeColor="text1"/>
          <w:kern w:val="0"/>
          <w:sz w:val="36"/>
          <w:szCs w:val="36"/>
          <w:rtl/>
          <w14:ligatures w14:val="none"/>
        </w:rPr>
        <w:t>6.1 فروض الدراسة:</w:t>
      </w:r>
      <w:bookmarkEnd w:id="12"/>
    </w:p>
    <w:p w14:paraId="1087AD22" w14:textId="31F001A9" w:rsidR="00E155E5" w:rsidRPr="00913340" w:rsidRDefault="00E155E5"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13340">
        <w:rPr>
          <w:rFonts w:ascii="Simplified Arabic" w:eastAsia="Times New Roman" w:hAnsi="Simplified Arabic" w:cs="Simplified Arabic"/>
          <w:b/>
          <w:bCs/>
          <w:color w:val="000000" w:themeColor="text1"/>
          <w:kern w:val="0"/>
          <w:sz w:val="32"/>
          <w:szCs w:val="32"/>
          <w:rtl/>
          <w14:ligatures w14:val="none"/>
        </w:rPr>
        <w:t>الفرض الرئيسي</w:t>
      </w:r>
    </w:p>
    <w:p w14:paraId="37F14FDE" w14:textId="77777777" w:rsidR="00FE784F" w:rsidRPr="00913340" w:rsidRDefault="00FE784F" w:rsidP="00E155E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13340">
        <w:rPr>
          <w:rFonts w:ascii="Simplified Arabic" w:eastAsia="Times New Roman" w:hAnsi="Simplified Arabic" w:cs="Simplified Arabic"/>
          <w:color w:val="000000" w:themeColor="text1"/>
          <w:kern w:val="0"/>
          <w:sz w:val="28"/>
          <w:szCs w:val="28"/>
          <w14:ligatures w14:val="none"/>
        </w:rPr>
        <w:t xml:space="preserve"> (0.05 </w:t>
      </w:r>
      <w:r w:rsidRPr="00913340">
        <w:rPr>
          <w:rFonts w:ascii="Times New Roman" w:eastAsia="Times New Roman" w:hAnsi="Times New Roman" w:cs="Times New Roman"/>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Cambria" w:eastAsia="Times New Roman" w:hAnsi="Cambria" w:cs="Cambria"/>
          <w:color w:val="000000" w:themeColor="text1"/>
          <w:kern w:val="0"/>
          <w:sz w:val="28"/>
          <w:szCs w:val="28"/>
          <w14:ligatures w14:val="none"/>
        </w:rPr>
        <w:t>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لإدارة مخاطر تكنولوجيا البيانات بأبعادها مجتمعة (تقييم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w:t>
      </w:r>
      <w:r w:rsidRPr="00913340">
        <w:rPr>
          <w:rFonts w:ascii="Simplified Arabic" w:eastAsia="Times New Roman" w:hAnsi="Simplified Arabic" w:cs="Simplified Arabic"/>
          <w:color w:val="000000" w:themeColor="text1"/>
          <w:kern w:val="0"/>
          <w:sz w:val="28"/>
          <w:szCs w:val="28"/>
          <w14:ligatures w14:val="none"/>
        </w:rPr>
        <w:t>.</w:t>
      </w:r>
    </w:p>
    <w:p w14:paraId="3F91D0E3"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910596"/>
      <w:r w:rsidRPr="00913340">
        <w:rPr>
          <w:rFonts w:ascii="Simplified Arabic" w:eastAsia="Times New Roman" w:hAnsi="Simplified Arabic" w:cs="Simplified Arabic"/>
          <w:b/>
          <w:bCs/>
          <w:color w:val="000000" w:themeColor="text1"/>
          <w:kern w:val="0"/>
          <w:sz w:val="32"/>
          <w:szCs w:val="32"/>
          <w:rtl/>
          <w14:ligatures w14:val="none"/>
        </w:rPr>
        <w:t>الفروض الفرعية</w:t>
      </w:r>
      <w:bookmarkEnd w:id="14"/>
    </w:p>
    <w:p w14:paraId="58077B1E" w14:textId="77777777" w:rsidR="00FE784F" w:rsidRPr="00913340" w:rsidRDefault="00FE784F" w:rsidP="00E155E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الفرض الفرعي الأول</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13340">
        <w:rPr>
          <w:rFonts w:ascii="Simplified Arabic" w:eastAsia="Times New Roman" w:hAnsi="Simplified Arabic" w:cs="Simplified Arabic"/>
          <w:color w:val="000000" w:themeColor="text1"/>
          <w:kern w:val="0"/>
          <w:sz w:val="28"/>
          <w:szCs w:val="28"/>
          <w14:ligatures w14:val="none"/>
        </w:rPr>
        <w:t xml:space="preserve"> (0.05 </w:t>
      </w:r>
      <w:r w:rsidRPr="00913340">
        <w:rPr>
          <w:rFonts w:ascii="Times New Roman" w:eastAsia="Times New Roman" w:hAnsi="Times New Roman" w:cs="Times New Roman"/>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Cambria" w:eastAsia="Times New Roman" w:hAnsi="Cambria" w:cs="Cambria"/>
          <w:color w:val="000000" w:themeColor="text1"/>
          <w:kern w:val="0"/>
          <w:sz w:val="28"/>
          <w:szCs w:val="28"/>
          <w14:ligatures w14:val="none"/>
        </w:rPr>
        <w:t>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لتقييم المخاطر التقنية على دقة التنبؤات الجوية ودعم القرار في المركز الوطني للأرصاد بالمملكة العربية السعودية</w:t>
      </w:r>
      <w:r w:rsidRPr="00913340">
        <w:rPr>
          <w:rFonts w:ascii="Simplified Arabic" w:eastAsia="Times New Roman" w:hAnsi="Simplified Arabic" w:cs="Simplified Arabic"/>
          <w:color w:val="000000" w:themeColor="text1"/>
          <w:kern w:val="0"/>
          <w:sz w:val="28"/>
          <w:szCs w:val="28"/>
          <w14:ligatures w14:val="none"/>
        </w:rPr>
        <w:t>.</w:t>
      </w:r>
    </w:p>
    <w:p w14:paraId="320B01E5" w14:textId="77777777" w:rsidR="00FE784F" w:rsidRPr="00913340" w:rsidRDefault="00FE784F" w:rsidP="00E155E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الفرض الفرعي الثاني</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13340">
        <w:rPr>
          <w:rFonts w:ascii="Simplified Arabic" w:eastAsia="Times New Roman" w:hAnsi="Simplified Arabic" w:cs="Simplified Arabic"/>
          <w:color w:val="000000" w:themeColor="text1"/>
          <w:kern w:val="0"/>
          <w:sz w:val="28"/>
          <w:szCs w:val="28"/>
          <w14:ligatures w14:val="none"/>
        </w:rPr>
        <w:t xml:space="preserve"> (0.05 </w:t>
      </w:r>
      <w:r w:rsidRPr="00913340">
        <w:rPr>
          <w:rFonts w:ascii="Times New Roman" w:eastAsia="Times New Roman" w:hAnsi="Times New Roman" w:cs="Times New Roman"/>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Cambria" w:eastAsia="Times New Roman" w:hAnsi="Cambria" w:cs="Cambria"/>
          <w:color w:val="000000" w:themeColor="text1"/>
          <w:kern w:val="0"/>
          <w:sz w:val="28"/>
          <w:szCs w:val="28"/>
          <w14:ligatures w14:val="none"/>
        </w:rPr>
        <w:t>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لأمن البيانات والبنية التحتية على دقة التنبؤات الجوية ودعم القرار في المركز الوطني للأرصاد بالمملكة العربية السعودية</w:t>
      </w:r>
      <w:r w:rsidRPr="00913340">
        <w:rPr>
          <w:rFonts w:ascii="Simplified Arabic" w:eastAsia="Times New Roman" w:hAnsi="Simplified Arabic" w:cs="Simplified Arabic"/>
          <w:color w:val="000000" w:themeColor="text1"/>
          <w:kern w:val="0"/>
          <w:sz w:val="28"/>
          <w:szCs w:val="28"/>
          <w14:ligatures w14:val="none"/>
        </w:rPr>
        <w:t>.</w:t>
      </w:r>
    </w:p>
    <w:p w14:paraId="6B54796B" w14:textId="77777777" w:rsidR="00FE784F" w:rsidRPr="00913340" w:rsidRDefault="00FE784F" w:rsidP="00E155E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الفرض الفرعي الثالث</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13340">
        <w:rPr>
          <w:rFonts w:ascii="Simplified Arabic" w:eastAsia="Times New Roman" w:hAnsi="Simplified Arabic" w:cs="Simplified Arabic"/>
          <w:color w:val="000000" w:themeColor="text1"/>
          <w:kern w:val="0"/>
          <w:sz w:val="28"/>
          <w:szCs w:val="28"/>
          <w14:ligatures w14:val="none"/>
        </w:rPr>
        <w:t xml:space="preserve"> (0.05 </w:t>
      </w:r>
      <w:r w:rsidRPr="00913340">
        <w:rPr>
          <w:rFonts w:ascii="Times New Roman" w:eastAsia="Times New Roman" w:hAnsi="Times New Roman" w:cs="Times New Roman"/>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Cambria" w:eastAsia="Times New Roman" w:hAnsi="Cambria" w:cs="Cambria"/>
          <w:color w:val="000000" w:themeColor="text1"/>
          <w:kern w:val="0"/>
          <w:sz w:val="28"/>
          <w:szCs w:val="28"/>
          <w14:ligatures w14:val="none"/>
        </w:rPr>
        <w:t>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لحوكمة تكنولوجيا المعلومات على دقة التنبؤات الجوية ودعم القرار في المركز الوطني للأرصاد بالمملكة العربية السعودية</w:t>
      </w:r>
      <w:r w:rsidRPr="00913340">
        <w:rPr>
          <w:rFonts w:ascii="Simplified Arabic" w:eastAsia="Times New Roman" w:hAnsi="Simplified Arabic" w:cs="Simplified Arabic"/>
          <w:color w:val="000000" w:themeColor="text1"/>
          <w:kern w:val="0"/>
          <w:sz w:val="28"/>
          <w:szCs w:val="28"/>
          <w14:ligatures w14:val="none"/>
        </w:rPr>
        <w:t>.</w:t>
      </w:r>
    </w:p>
    <w:p w14:paraId="22C2E5CC" w14:textId="77777777" w:rsidR="00FE784F" w:rsidRPr="00913340" w:rsidRDefault="00FE784F" w:rsidP="00E155E5">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الفرض الفرعي الرابع</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913340">
        <w:rPr>
          <w:rFonts w:ascii="Simplified Arabic" w:eastAsia="Times New Roman" w:hAnsi="Simplified Arabic" w:cs="Simplified Arabic"/>
          <w:color w:val="000000" w:themeColor="text1"/>
          <w:kern w:val="0"/>
          <w:sz w:val="28"/>
          <w:szCs w:val="28"/>
          <w14:ligatures w14:val="none"/>
        </w:rPr>
        <w:t xml:space="preserve"> (0.05 </w:t>
      </w:r>
      <w:r w:rsidRPr="00913340">
        <w:rPr>
          <w:rFonts w:ascii="Times New Roman" w:eastAsia="Times New Roman" w:hAnsi="Times New Roman" w:cs="Times New Roman"/>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Cambria" w:eastAsia="Times New Roman" w:hAnsi="Cambria" w:cs="Cambria"/>
          <w:color w:val="000000" w:themeColor="text1"/>
          <w:kern w:val="0"/>
          <w:sz w:val="28"/>
          <w:szCs w:val="28"/>
          <w14:ligatures w14:val="none"/>
        </w:rPr>
        <w:t>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للمراقبة والتحسين المستمر على دقة التنبؤات الجوية ودعم القرار في المركز الوطني للأرصاد بالمملكة العربية السعودية</w:t>
      </w:r>
    </w:p>
    <w:p w14:paraId="4BC1D21F" w14:textId="77777777" w:rsidR="00E155E5" w:rsidRPr="00913340" w:rsidRDefault="00E155E5" w:rsidP="00E155E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5" w:name="_Toc233883861"/>
      <w:bookmarkStart w:id="16" w:name="_Toc169790501"/>
      <w:bookmarkEnd w:id="13"/>
      <w:r w:rsidRPr="0091334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5"/>
    </w:p>
    <w:p w14:paraId="19CAF8DE" w14:textId="65A6C2F4" w:rsidR="00E155E5" w:rsidRPr="00913340" w:rsidRDefault="00E155E5"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913340">
        <w:rPr>
          <w:rFonts w:ascii="Simplified Arabic" w:eastAsia="Times New Roman" w:hAnsi="Simplified Arabic" w:cs="Simplified Arabic"/>
          <w:b/>
          <w:bCs/>
          <w:color w:val="000000" w:themeColor="text1"/>
          <w:kern w:val="0"/>
          <w:sz w:val="32"/>
          <w:szCs w:val="32"/>
          <w:rtl/>
          <w14:ligatures w14:val="none"/>
        </w:rPr>
        <w:lastRenderedPageBreak/>
        <w:t>المحور الأول: دراسات المتغير المستقل – إدارة مخاطر البيانات والتقنية</w:t>
      </w:r>
    </w:p>
    <w:p w14:paraId="61E1E35E" w14:textId="77777777" w:rsidR="00E155E5" w:rsidRPr="00913340" w:rsidRDefault="00E155E5"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خليفة وضيف الله وزين</w:t>
      </w:r>
      <w:r w:rsidRPr="00913340">
        <w:rPr>
          <w:rFonts w:ascii="Simplified Arabic" w:eastAsia="Times New Roman" w:hAnsi="Simplified Arabic" w:cs="Simplified Arabic"/>
          <w:b/>
          <w:bCs/>
          <w:color w:val="000000" w:themeColor="text1"/>
          <w:kern w:val="0"/>
          <w:sz w:val="28"/>
          <w:szCs w:val="28"/>
          <w14:ligatures w14:val="none"/>
        </w:rPr>
        <w:t xml:space="preserve"> (2021): "</w:t>
      </w:r>
      <w:r w:rsidRPr="00913340">
        <w:rPr>
          <w:rFonts w:ascii="Simplified Arabic" w:eastAsia="Times New Roman" w:hAnsi="Simplified Arabic" w:cs="Simplified Arabic"/>
          <w:b/>
          <w:bCs/>
          <w:color w:val="000000" w:themeColor="text1"/>
          <w:kern w:val="0"/>
          <w:sz w:val="28"/>
          <w:szCs w:val="28"/>
          <w:rtl/>
          <w14:ligatures w14:val="none"/>
        </w:rPr>
        <w:t>أثر حوكمة تكنولوجيا المعلومات على الحد من مخاطر نظام المعلومات المحاسبي: دراسة ميدانية لعينة من المحاسبين</w:t>
      </w:r>
      <w:r w:rsidRPr="00913340">
        <w:rPr>
          <w:rFonts w:ascii="Simplified Arabic" w:eastAsia="Times New Roman" w:hAnsi="Simplified Arabic" w:cs="Simplified Arabic"/>
          <w:b/>
          <w:bCs/>
          <w:color w:val="000000" w:themeColor="text1"/>
          <w:kern w:val="0"/>
          <w:sz w:val="28"/>
          <w:szCs w:val="28"/>
          <w14:ligatures w14:val="none"/>
        </w:rPr>
        <w:t>"</w:t>
      </w:r>
    </w:p>
    <w:p w14:paraId="31DC7467" w14:textId="77777777" w:rsidR="00E155E5" w:rsidRPr="00913340" w:rsidRDefault="00E155E5"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المخاطر التي تواجه نظام المعلومات المحاسبي، ومدى مساهمة تطبيق حوكمة تكنولوجيا المعلومات بأبعادها (التخطيط الاستراتيجي لتقنية المعلومات، إدارة الموارد، قياس الأداء، إدارة المخاطر) في الحد من تلك المخاطر. واستخدمت الدراسة المنهج الوصفي التحليلي من خلال استبانة وُزعت على مستخدمي نظم المعلومات المحاسبية في الشركات ومكاتب المحاسبة خلال الفترة من 14/09/2019 إلى </w:t>
      </w:r>
      <w:r w:rsidRPr="00913340">
        <w:rPr>
          <w:rFonts w:ascii="Simplified Arabic" w:eastAsia="Times New Roman" w:hAnsi="Simplified Arabic" w:cs="Simplified Arabic"/>
          <w:color w:val="000000" w:themeColor="text1"/>
          <w:kern w:val="0"/>
          <w:sz w:val="28"/>
          <w:szCs w:val="28"/>
          <w14:ligatures w14:val="none"/>
        </w:rPr>
        <w:t xml:space="preserve">30/10/2019. </w:t>
      </w:r>
      <w:r w:rsidRPr="00913340">
        <w:rPr>
          <w:rFonts w:ascii="Simplified Arabic" w:eastAsia="Times New Roman" w:hAnsi="Simplified Arabic" w:cs="Simplified Arabic"/>
          <w:color w:val="000000" w:themeColor="text1"/>
          <w:kern w:val="0"/>
          <w:sz w:val="28"/>
          <w:szCs w:val="28"/>
          <w:rtl/>
          <w14:ligatures w14:val="none"/>
        </w:rPr>
        <w:t>وتوصلت نتائج الدراسة إلى أن نظم المعلومات المحاسبية قد تتعرض لمخاطر أثناء تشغيلها ناتجة في الغالب عن أسباب داخلية، وأن تطبيق حوكمة تكنولوجيا المعلومات يعمل كأداة فعالة للتقليل من هذه المخاطر خاصة في ظل التطورات التكنولوجية المتسارعة. وأوصت الدراسة بضرورة تعزيز تطبيق حوكمة تكنولوجيا المعلومات في المؤسسات لحماية أنظمتها المحاسبية</w:t>
      </w:r>
      <w:r w:rsidRPr="00913340">
        <w:rPr>
          <w:rFonts w:ascii="Simplified Arabic" w:eastAsia="Times New Roman" w:hAnsi="Simplified Arabic" w:cs="Simplified Arabic"/>
          <w:color w:val="000000" w:themeColor="text1"/>
          <w:kern w:val="0"/>
          <w:sz w:val="28"/>
          <w:szCs w:val="28"/>
          <w14:ligatures w14:val="none"/>
        </w:rPr>
        <w:t>.</w:t>
      </w:r>
    </w:p>
    <w:p w14:paraId="0F144104" w14:textId="77777777" w:rsidR="00E155E5" w:rsidRPr="00913340" w:rsidRDefault="00E155E5"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 xml:space="preserve">دراسة الصيد وأبوشناف والتويقري </w:t>
      </w:r>
      <w:r w:rsidRPr="00913340">
        <w:rPr>
          <w:rFonts w:ascii="Simplified Arabic" w:eastAsia="Times New Roman" w:hAnsi="Simplified Arabic" w:cs="Simplified Arabic"/>
          <w:b/>
          <w:bCs/>
          <w:color w:val="000000" w:themeColor="text1"/>
          <w:kern w:val="0"/>
          <w:sz w:val="28"/>
          <w:szCs w:val="28"/>
          <w14:ligatures w14:val="none"/>
        </w:rPr>
        <w:t>(2022): "</w:t>
      </w:r>
      <w:r w:rsidRPr="00913340">
        <w:rPr>
          <w:rFonts w:ascii="Simplified Arabic" w:eastAsia="Times New Roman" w:hAnsi="Simplified Arabic" w:cs="Simplified Arabic"/>
          <w:b/>
          <w:bCs/>
          <w:color w:val="000000" w:themeColor="text1"/>
          <w:kern w:val="0"/>
          <w:sz w:val="28"/>
          <w:szCs w:val="28"/>
          <w:rtl/>
          <w14:ligatures w14:val="none"/>
        </w:rPr>
        <w:t>حوكمة تقنية المعلومات للحد من المخاطر السيبرانية وتعزيز أمن المعلومات المحاسبية في المؤسسات الليبية العامة</w:t>
      </w:r>
      <w:r w:rsidRPr="00913340">
        <w:rPr>
          <w:rFonts w:ascii="Simplified Arabic" w:eastAsia="Times New Roman" w:hAnsi="Simplified Arabic" w:cs="Simplified Arabic"/>
          <w:b/>
          <w:bCs/>
          <w:color w:val="000000" w:themeColor="text1"/>
          <w:kern w:val="0"/>
          <w:sz w:val="28"/>
          <w:szCs w:val="28"/>
          <w14:ligatures w14:val="none"/>
        </w:rPr>
        <w:t>"</w:t>
      </w:r>
    </w:p>
    <w:p w14:paraId="170EF565" w14:textId="77777777" w:rsidR="00E155E5" w:rsidRPr="00913340" w:rsidRDefault="00E155E5"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اقتراح نموذج لحوكمة تقنية المعلومات بأبعاده (الحوكمة المؤسسية، لجنة حوكمة تقنية المعلومات، إدارة المخاطر، الرقابة المستمرة، الشفافية والمساءلة، استقلالية المراجع الداخلي) للحد من المخاطر السيبرانية وتعزيز أمن المعلومات المحاسبية في المؤسسات الليبية العامة. واستخدمت الدراسة المنهج الوصفي التحليلي من خلال مراجعة الدراسات السابقة والتقارير والنماذج وأفضل الممارسات والأدبيات ذات العلاقة. وتوصلت نتائج الدراسة إلى أن حوكمة تقنية المعلومات لها دور إيجابي في الحد من المخاطر السيبرانية وتعزيز أمن المعلومات المحاسبية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وأوصت الدراسة بضرورة تبني المؤسسات الليبية العامة لحوكمة تقنية المعلومات وتفعيل آلياتها لمواجهة التهديدات السيبرانية المتزايدة</w:t>
      </w:r>
      <w:r w:rsidRPr="00913340">
        <w:rPr>
          <w:rFonts w:ascii="Simplified Arabic" w:eastAsia="Times New Roman" w:hAnsi="Simplified Arabic" w:cs="Simplified Arabic"/>
          <w:color w:val="000000" w:themeColor="text1"/>
          <w:kern w:val="0"/>
          <w:sz w:val="28"/>
          <w:szCs w:val="28"/>
          <w14:ligatures w14:val="none"/>
        </w:rPr>
        <w:t>.</w:t>
      </w:r>
    </w:p>
    <w:p w14:paraId="0BFA5511" w14:textId="77777777"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الجبلي (2022): "أثر التكامل بين أبعاد</w:t>
      </w:r>
      <w:r w:rsidRPr="00913340">
        <w:rPr>
          <w:rFonts w:ascii="Simplified Arabic" w:eastAsia="Times New Roman" w:hAnsi="Simplified Arabic" w:cs="Simplified Arabic"/>
          <w:b/>
          <w:bCs/>
          <w:color w:val="000000" w:themeColor="text1"/>
          <w:kern w:val="0"/>
          <w:sz w:val="28"/>
          <w:szCs w:val="28"/>
          <w14:ligatures w14:val="none"/>
        </w:rPr>
        <w:t xml:space="preserve"> COBIT5 </w:t>
      </w:r>
      <w:r w:rsidRPr="00913340">
        <w:rPr>
          <w:rFonts w:ascii="Simplified Arabic" w:eastAsia="Times New Roman" w:hAnsi="Simplified Arabic" w:cs="Simplified Arabic"/>
          <w:b/>
          <w:bCs/>
          <w:color w:val="000000" w:themeColor="text1"/>
          <w:kern w:val="0"/>
          <w:sz w:val="28"/>
          <w:szCs w:val="28"/>
          <w:rtl/>
          <w14:ligatures w14:val="none"/>
        </w:rPr>
        <w:t>ومكونات الرقابة الداخلية وفقًا لإطار</w:t>
      </w:r>
      <w:r w:rsidRPr="00913340">
        <w:rPr>
          <w:rFonts w:ascii="Simplified Arabic" w:eastAsia="Times New Roman" w:hAnsi="Simplified Arabic" w:cs="Simplified Arabic"/>
          <w:b/>
          <w:bCs/>
          <w:color w:val="000000" w:themeColor="text1"/>
          <w:kern w:val="0"/>
          <w:sz w:val="28"/>
          <w:szCs w:val="28"/>
          <w14:ligatures w14:val="none"/>
        </w:rPr>
        <w:t xml:space="preserve"> COSO </w:t>
      </w:r>
      <w:r w:rsidRPr="00913340">
        <w:rPr>
          <w:rFonts w:ascii="Simplified Arabic" w:eastAsia="Times New Roman" w:hAnsi="Simplified Arabic" w:cs="Simplified Arabic"/>
          <w:b/>
          <w:bCs/>
          <w:color w:val="000000" w:themeColor="text1"/>
          <w:kern w:val="0"/>
          <w:sz w:val="28"/>
          <w:szCs w:val="28"/>
          <w:rtl/>
          <w14:ligatures w14:val="none"/>
        </w:rPr>
        <w:t>في الحد من مخاطر المحاسبة السحابية</w:t>
      </w:r>
      <w:r w:rsidRPr="00913340">
        <w:rPr>
          <w:rFonts w:ascii="Simplified Arabic" w:eastAsia="Times New Roman" w:hAnsi="Simplified Arabic" w:cs="Simplified Arabic"/>
          <w:b/>
          <w:bCs/>
          <w:color w:val="000000" w:themeColor="text1"/>
          <w:kern w:val="0"/>
          <w:sz w:val="28"/>
          <w:szCs w:val="28"/>
          <w14:ligatures w14:val="none"/>
        </w:rPr>
        <w:t>"</w:t>
      </w:r>
    </w:p>
    <w:p w14:paraId="1D9E2AB2"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التكامل بين أبعاد إطار</w:t>
      </w:r>
      <w:r w:rsidRPr="00913340">
        <w:rPr>
          <w:rFonts w:ascii="Simplified Arabic" w:eastAsia="Times New Roman" w:hAnsi="Simplified Arabic" w:cs="Simplified Arabic"/>
          <w:color w:val="000000" w:themeColor="text1"/>
          <w:kern w:val="0"/>
          <w:sz w:val="28"/>
          <w:szCs w:val="28"/>
          <w14:ligatures w14:val="none"/>
        </w:rPr>
        <w:t xml:space="preserve"> COBIT5 </w:t>
      </w:r>
      <w:r w:rsidRPr="00913340">
        <w:rPr>
          <w:rFonts w:ascii="Simplified Arabic" w:eastAsia="Times New Roman" w:hAnsi="Simplified Arabic" w:cs="Simplified Arabic"/>
          <w:color w:val="000000" w:themeColor="text1"/>
          <w:kern w:val="0"/>
          <w:sz w:val="28"/>
          <w:szCs w:val="28"/>
          <w:rtl/>
          <w14:ligatures w14:val="none"/>
        </w:rPr>
        <w:t>بأبعاده (التخطيط والتنظيم، الاقتناء والتنفيذ، التسليم والدعم، التوجيه والرقابة، المراقبة والتقييم) ومكونات الرقابة الداخلية وفقًا لإطار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14:ligatures w14:val="none"/>
        </w:rPr>
        <w:lastRenderedPageBreak/>
        <w:t xml:space="preserve">COSO </w:t>
      </w:r>
      <w:r w:rsidRPr="00913340">
        <w:rPr>
          <w:rFonts w:ascii="Simplified Arabic" w:eastAsia="Times New Roman" w:hAnsi="Simplified Arabic" w:cs="Simplified Arabic"/>
          <w:color w:val="000000" w:themeColor="text1"/>
          <w:kern w:val="0"/>
          <w:sz w:val="28"/>
          <w:szCs w:val="28"/>
          <w:rtl/>
          <w14:ligatures w14:val="none"/>
        </w:rPr>
        <w:t>على الحد من مخاطر المحاسبة السحابية، في بيئة الشركات المصرية. واستخدمت الدراسة المنهج الوصفي التحليلي، وتكونت العينة من مجموعة من المحاسبين والمراجعين العاملين في شركات المساهمة المصرية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وتوصلت نتائج الدراسة إلى أن التكامل بين أبعاد</w:t>
      </w:r>
      <w:r w:rsidRPr="00913340">
        <w:rPr>
          <w:rFonts w:ascii="Simplified Arabic" w:eastAsia="Times New Roman" w:hAnsi="Simplified Arabic" w:cs="Simplified Arabic"/>
          <w:color w:val="000000" w:themeColor="text1"/>
          <w:kern w:val="0"/>
          <w:sz w:val="28"/>
          <w:szCs w:val="28"/>
          <w14:ligatures w14:val="none"/>
        </w:rPr>
        <w:t xml:space="preserve"> COBIT5 </w:t>
      </w:r>
      <w:r w:rsidRPr="00913340">
        <w:rPr>
          <w:rFonts w:ascii="Simplified Arabic" w:eastAsia="Times New Roman" w:hAnsi="Simplified Arabic" w:cs="Simplified Arabic"/>
          <w:color w:val="000000" w:themeColor="text1"/>
          <w:kern w:val="0"/>
          <w:sz w:val="28"/>
          <w:szCs w:val="28"/>
          <w:rtl/>
          <w14:ligatures w14:val="none"/>
        </w:rPr>
        <w:t>ومكونات الرقابة الداخلية وفقًا لإطار</w:t>
      </w:r>
      <w:r w:rsidRPr="00913340">
        <w:rPr>
          <w:rFonts w:ascii="Simplified Arabic" w:eastAsia="Times New Roman" w:hAnsi="Simplified Arabic" w:cs="Simplified Arabic"/>
          <w:color w:val="000000" w:themeColor="text1"/>
          <w:kern w:val="0"/>
          <w:sz w:val="28"/>
          <w:szCs w:val="28"/>
          <w14:ligatures w14:val="none"/>
        </w:rPr>
        <w:t xml:space="preserve"> COSO </w:t>
      </w:r>
      <w:r w:rsidRPr="00913340">
        <w:rPr>
          <w:rFonts w:ascii="Simplified Arabic" w:eastAsia="Times New Roman" w:hAnsi="Simplified Arabic" w:cs="Simplified Arabic"/>
          <w:color w:val="000000" w:themeColor="text1"/>
          <w:kern w:val="0"/>
          <w:sz w:val="28"/>
          <w:szCs w:val="28"/>
          <w:rtl/>
          <w14:ligatures w14:val="none"/>
        </w:rPr>
        <w:t>يسهم بشكل جوهري وإيجابي في الحد من مخاطر المحاسبة السحابية بأبعادها المختلفة (مخاطر الأمان، مخاطر التشغيل، مخاطر الخصوصية). وأوصت الدراسة بضرورة تبني الشركات لإطار تكاملي يجمع بين حوكمة تكنولوجيا المعلومات والرقابة الداخلية لتعزيز الأمان ومواجهة المخاطر التقنية المستحدثة</w:t>
      </w:r>
      <w:r w:rsidRPr="00913340">
        <w:rPr>
          <w:rFonts w:ascii="Simplified Arabic" w:eastAsia="Times New Roman" w:hAnsi="Simplified Arabic" w:cs="Simplified Arabic"/>
          <w:color w:val="000000" w:themeColor="text1"/>
          <w:kern w:val="0"/>
          <w:sz w:val="28"/>
          <w:szCs w:val="28"/>
          <w14:ligatures w14:val="none"/>
        </w:rPr>
        <w:t>.</w:t>
      </w:r>
    </w:p>
    <w:p w14:paraId="421959B8" w14:textId="77777777" w:rsidR="00E155E5" w:rsidRPr="00913340" w:rsidRDefault="00E155E5"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العازمي (2022): "تفعيل حوكمة تكنولوجيا المعلومات في تأمين المعلومات المحاسبية من المخاطر الإلكترونية في ظل عصر الرقمنة: دراسة تطبيقية على البنوك التجارية الكويتية</w:t>
      </w:r>
      <w:r w:rsidRPr="00913340">
        <w:rPr>
          <w:rFonts w:ascii="Simplified Arabic" w:eastAsia="Times New Roman" w:hAnsi="Simplified Arabic" w:cs="Simplified Arabic"/>
          <w:b/>
          <w:bCs/>
          <w:color w:val="000000" w:themeColor="text1"/>
          <w:kern w:val="0"/>
          <w:sz w:val="28"/>
          <w:szCs w:val="28"/>
          <w14:ligatures w14:val="none"/>
        </w:rPr>
        <w:t>"</w:t>
      </w:r>
    </w:p>
    <w:p w14:paraId="6193CE6B" w14:textId="77777777" w:rsidR="00E155E5" w:rsidRPr="00913340" w:rsidRDefault="00E155E5"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دور تفعيل حوكمة تكنولوجيا المعلومات بأبعادها (التوافق الاستراتيجي، إدارة المخاطر، إدارة الموارد، قياس الأداء، تحقيق القيمة) في تأمين المعلومات المحاسبية من المخاطر الإلكترونية في البنوك التجارية الكويتية في ظل عصر الرقمنة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العاملين في أقسام تكنولوجيا المعلومات والمحاسبة والمراجعة في البنوك التجارية الكويتية. وتوصلت نتائج الدراسة إلى وجود أثر ذي دلالة إحصائية لتفعيل حوكمة تكنولوجيا المعلومات بأبعادها المختلفة في تأمين المعلومات المحاسبية من المخاطر الإلكترونية. وأوصت الدراسة بضرورة تبني البنوك الكويتية لأطر حوكمة تقنية المعلومات المعتمدة دوليًا وتحديثها باستمرار</w:t>
      </w:r>
      <w:r w:rsidRPr="00913340">
        <w:rPr>
          <w:rFonts w:ascii="Simplified Arabic" w:eastAsia="Times New Roman" w:hAnsi="Simplified Arabic" w:cs="Simplified Arabic"/>
          <w:color w:val="000000" w:themeColor="text1"/>
          <w:kern w:val="0"/>
          <w:sz w:val="28"/>
          <w:szCs w:val="28"/>
          <w14:ligatures w14:val="none"/>
        </w:rPr>
        <w:t>.</w:t>
      </w:r>
    </w:p>
    <w:p w14:paraId="66C3D925" w14:textId="77777777"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راجح وسلام (2025): "دور حوكمة تكنولوجيا المعلومات وفق إطار</w:t>
      </w:r>
      <w:r w:rsidRPr="00913340">
        <w:rPr>
          <w:rFonts w:ascii="Simplified Arabic" w:eastAsia="Times New Roman" w:hAnsi="Simplified Arabic" w:cs="Simplified Arabic"/>
          <w:b/>
          <w:bCs/>
          <w:color w:val="000000" w:themeColor="text1"/>
          <w:kern w:val="0"/>
          <w:sz w:val="28"/>
          <w:szCs w:val="28"/>
          <w14:ligatures w14:val="none"/>
        </w:rPr>
        <w:t xml:space="preserve"> COBIT5 </w:t>
      </w:r>
      <w:r w:rsidRPr="00913340">
        <w:rPr>
          <w:rFonts w:ascii="Simplified Arabic" w:eastAsia="Times New Roman" w:hAnsi="Simplified Arabic" w:cs="Simplified Arabic"/>
          <w:b/>
          <w:bCs/>
          <w:color w:val="000000" w:themeColor="text1"/>
          <w:kern w:val="0"/>
          <w:sz w:val="28"/>
          <w:szCs w:val="28"/>
          <w:rtl/>
          <w14:ligatures w14:val="none"/>
        </w:rPr>
        <w:t>في الحد من مخاطر المحاسبة السحابية</w:t>
      </w:r>
      <w:r w:rsidRPr="00913340">
        <w:rPr>
          <w:rFonts w:ascii="Simplified Arabic" w:eastAsia="Times New Roman" w:hAnsi="Simplified Arabic" w:cs="Simplified Arabic"/>
          <w:b/>
          <w:bCs/>
          <w:color w:val="000000" w:themeColor="text1"/>
          <w:kern w:val="0"/>
          <w:sz w:val="28"/>
          <w:szCs w:val="28"/>
          <w14:ligatures w14:val="none"/>
        </w:rPr>
        <w:t xml:space="preserve">: </w:t>
      </w:r>
      <w:r w:rsidRPr="00913340">
        <w:rPr>
          <w:rFonts w:ascii="Simplified Arabic" w:eastAsia="Times New Roman" w:hAnsi="Simplified Arabic" w:cs="Simplified Arabic"/>
          <w:b/>
          <w:bCs/>
          <w:color w:val="000000" w:themeColor="text1"/>
          <w:kern w:val="0"/>
          <w:sz w:val="28"/>
          <w:szCs w:val="28"/>
          <w:rtl/>
          <w14:ligatures w14:val="none"/>
        </w:rPr>
        <w:t>دراسة ميدانية على مجموعة هائل سعيد أنعم وشركاه</w:t>
      </w:r>
      <w:r w:rsidRPr="00913340">
        <w:rPr>
          <w:rFonts w:ascii="Simplified Arabic" w:eastAsia="Times New Roman" w:hAnsi="Simplified Arabic" w:cs="Simplified Arabic"/>
          <w:b/>
          <w:bCs/>
          <w:color w:val="000000" w:themeColor="text1"/>
          <w:kern w:val="0"/>
          <w:sz w:val="28"/>
          <w:szCs w:val="28"/>
          <w14:ligatures w14:val="none"/>
        </w:rPr>
        <w:t>"</w:t>
      </w:r>
    </w:p>
    <w:p w14:paraId="026E5D33"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دور حوكمة تكنولوجيا المعلومات وفق إطار</w:t>
      </w:r>
      <w:r w:rsidRPr="00913340">
        <w:rPr>
          <w:rFonts w:ascii="Simplified Arabic" w:eastAsia="Times New Roman" w:hAnsi="Simplified Arabic" w:cs="Simplified Arabic"/>
          <w:color w:val="000000" w:themeColor="text1"/>
          <w:kern w:val="0"/>
          <w:sz w:val="28"/>
          <w:szCs w:val="28"/>
          <w14:ligatures w14:val="none"/>
        </w:rPr>
        <w:t xml:space="preserve"> COBIT5 </w:t>
      </w:r>
      <w:r w:rsidRPr="00913340">
        <w:rPr>
          <w:rFonts w:ascii="Simplified Arabic" w:eastAsia="Times New Roman" w:hAnsi="Simplified Arabic" w:cs="Simplified Arabic"/>
          <w:color w:val="000000" w:themeColor="text1"/>
          <w:kern w:val="0"/>
          <w:sz w:val="28"/>
          <w:szCs w:val="28"/>
          <w:rtl/>
          <w14:ligatures w14:val="none"/>
        </w:rPr>
        <w:t>بأبعاده (التخطيط والتنظيم، الاقتناء والتنفيذ، التسليم والدعم، التوجيه والرقابة، المراقبة والتقييم) في الحد من مخاطر المحاسبة السحابية في شركات مجموعة هائل سعيد أنعم وشركاه باليمن</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وتكونت العينة من (161) موظفًا في شركات المجموعة تم توزيع استبانات عليهم. وتوصلت نتائج الدراسة إلى أن مستوى ممارسة حوكمة تكنولوجيا المعلومات بأبعادها كان مرتفعًا في شركات المجموعة، وأن هذا المستوى المرتفع أسهم بشكل جوهري في تقليل المخاطر المرتبطة بالمحاسبة السحابية. </w:t>
      </w:r>
      <w:r w:rsidRPr="00913340">
        <w:rPr>
          <w:rFonts w:ascii="Simplified Arabic" w:eastAsia="Times New Roman" w:hAnsi="Simplified Arabic" w:cs="Simplified Arabic"/>
          <w:color w:val="000000" w:themeColor="text1"/>
          <w:kern w:val="0"/>
          <w:sz w:val="28"/>
          <w:szCs w:val="28"/>
          <w:rtl/>
          <w14:ligatures w14:val="none"/>
        </w:rPr>
        <w:lastRenderedPageBreak/>
        <w:t>وأوصت الدراسة بضرورة إشراك أصحاب المصلحة في الإجراءات المتعلقة بتقنية المعلومات لتحسين جودة القرارات والحد من المخاطر</w:t>
      </w:r>
      <w:r w:rsidRPr="00913340">
        <w:rPr>
          <w:rFonts w:ascii="Simplified Arabic" w:eastAsia="Times New Roman" w:hAnsi="Simplified Arabic" w:cs="Simplified Arabic"/>
          <w:color w:val="000000" w:themeColor="text1"/>
          <w:kern w:val="0"/>
          <w:sz w:val="28"/>
          <w:szCs w:val="28"/>
          <w14:ligatures w14:val="none"/>
        </w:rPr>
        <w:t>.</w:t>
      </w:r>
    </w:p>
    <w:p w14:paraId="681AC9C7" w14:textId="77777777" w:rsidR="00E155E5" w:rsidRPr="00913340" w:rsidRDefault="00E155E5"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Sanjaya etal., (2020): </w:t>
      </w:r>
    </w:p>
    <w:p w14:paraId="66BBD445" w14:textId="77777777" w:rsidR="00E155E5" w:rsidRPr="00913340" w:rsidRDefault="00E155E5"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تطبيق إدارة مخاطر تكنولوجيا المعلومات وفق معيار</w:t>
      </w:r>
      <w:r w:rsidRPr="00913340">
        <w:rPr>
          <w:rFonts w:ascii="Simplified Arabic" w:eastAsia="Times New Roman" w:hAnsi="Simplified Arabic" w:cs="Simplified Arabic"/>
          <w:color w:val="000000" w:themeColor="text1"/>
          <w:kern w:val="0"/>
          <w:sz w:val="28"/>
          <w:szCs w:val="28"/>
          <w14:ligatures w14:val="none"/>
        </w:rPr>
        <w:t xml:space="preserve"> ISO 31000 </w:t>
      </w:r>
      <w:r w:rsidRPr="00913340">
        <w:rPr>
          <w:rFonts w:ascii="Simplified Arabic" w:eastAsia="Times New Roman" w:hAnsi="Simplified Arabic" w:cs="Simplified Arabic"/>
          <w:color w:val="000000" w:themeColor="text1"/>
          <w:kern w:val="0"/>
          <w:sz w:val="28"/>
          <w:szCs w:val="28"/>
          <w:rtl/>
          <w14:ligatures w14:val="none"/>
        </w:rPr>
        <w:t>بأبعاده (تحديد السياق، تحديد المخاطر، تحليل المخاطر، تقييم المخاطر، معالجة المخاطر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بالاعتماد على إطار</w:t>
      </w:r>
      <w:r w:rsidRPr="00913340">
        <w:rPr>
          <w:rFonts w:ascii="Simplified Arabic" w:eastAsia="Times New Roman" w:hAnsi="Simplified Arabic" w:cs="Simplified Arabic"/>
          <w:color w:val="000000" w:themeColor="text1"/>
          <w:kern w:val="0"/>
          <w:sz w:val="28"/>
          <w:szCs w:val="28"/>
          <w14:ligatures w14:val="none"/>
        </w:rPr>
        <w:t xml:space="preserve"> ISSAF </w:t>
      </w:r>
      <w:r w:rsidRPr="00913340">
        <w:rPr>
          <w:rFonts w:ascii="Simplified Arabic" w:eastAsia="Times New Roman" w:hAnsi="Simplified Arabic" w:cs="Simplified Arabic"/>
          <w:color w:val="000000" w:themeColor="text1"/>
          <w:kern w:val="0"/>
          <w:sz w:val="28"/>
          <w:szCs w:val="28"/>
          <w:rtl/>
          <w14:ligatures w14:val="none"/>
        </w:rPr>
        <w:t>لاختبار الاختراق في نظام المعلومات لمفوضية الانتخابات بمدينة</w:t>
      </w:r>
      <w:r w:rsidRPr="00913340">
        <w:rPr>
          <w:rFonts w:ascii="Simplified Arabic" w:eastAsia="Times New Roman" w:hAnsi="Simplified Arabic" w:cs="Simplified Arabic"/>
          <w:color w:val="000000" w:themeColor="text1"/>
          <w:kern w:val="0"/>
          <w:sz w:val="28"/>
          <w:szCs w:val="28"/>
          <w14:ligatures w14:val="none"/>
        </w:rPr>
        <w:t xml:space="preserve"> X </w:t>
      </w:r>
      <w:r w:rsidRPr="00913340">
        <w:rPr>
          <w:rFonts w:ascii="Simplified Arabic" w:eastAsia="Times New Roman" w:hAnsi="Simplified Arabic" w:cs="Simplified Arabic"/>
          <w:color w:val="000000" w:themeColor="text1"/>
          <w:kern w:val="0"/>
          <w:sz w:val="28"/>
          <w:szCs w:val="28"/>
          <w:rtl/>
          <w14:ligatures w14:val="none"/>
        </w:rPr>
        <w:t>في إندونيسيا. واستخدمت الدراسة المنهج التجريبي من خلال تنفيذ اختبارات اختراق فعلية على النظام. وتكونت العينة من نظام تقنية المعلومات الخاص بمفوضية الانتخابات كدراسة حالة واحدة. وتوصلت نتائج الدراسة إلى اكتشاف عدة ثغرات أمنية خطيرة في النظام، وأن تطبيق إطار</w:t>
      </w:r>
      <w:r w:rsidRPr="00913340">
        <w:rPr>
          <w:rFonts w:ascii="Simplified Arabic" w:eastAsia="Times New Roman" w:hAnsi="Simplified Arabic" w:cs="Simplified Arabic"/>
          <w:color w:val="000000" w:themeColor="text1"/>
          <w:kern w:val="0"/>
          <w:sz w:val="28"/>
          <w:szCs w:val="28"/>
          <w14:ligatures w14:val="none"/>
        </w:rPr>
        <w:t xml:space="preserve"> ISO 31000 </w:t>
      </w:r>
      <w:r w:rsidRPr="00913340">
        <w:rPr>
          <w:rFonts w:ascii="Simplified Arabic" w:eastAsia="Times New Roman" w:hAnsi="Simplified Arabic" w:cs="Simplified Arabic"/>
          <w:color w:val="000000" w:themeColor="text1"/>
          <w:kern w:val="0"/>
          <w:sz w:val="28"/>
          <w:szCs w:val="28"/>
          <w:rtl/>
          <w14:ligatures w14:val="none"/>
        </w:rPr>
        <w:t>مع اختبار الاختراق وفق</w:t>
      </w:r>
      <w:r w:rsidRPr="00913340">
        <w:rPr>
          <w:rFonts w:ascii="Simplified Arabic" w:eastAsia="Times New Roman" w:hAnsi="Simplified Arabic" w:cs="Simplified Arabic"/>
          <w:color w:val="000000" w:themeColor="text1"/>
          <w:kern w:val="0"/>
          <w:sz w:val="28"/>
          <w:szCs w:val="28"/>
          <w14:ligatures w14:val="none"/>
        </w:rPr>
        <w:t xml:space="preserve"> ISSAF </w:t>
      </w:r>
      <w:r w:rsidRPr="00913340">
        <w:rPr>
          <w:rFonts w:ascii="Simplified Arabic" w:eastAsia="Times New Roman" w:hAnsi="Simplified Arabic" w:cs="Simplified Arabic"/>
          <w:color w:val="000000" w:themeColor="text1"/>
          <w:kern w:val="0"/>
          <w:sz w:val="28"/>
          <w:szCs w:val="28"/>
          <w:rtl/>
          <w14:ligatures w14:val="none"/>
        </w:rPr>
        <w:t>يوفر منهجية شاملة وفعالة لتحديد المخاطر وتقييمها ومعالجتها. وأوصت الدراسة بضرورة إجراء اختبارات اختراق دورية وتبني معايير إدارة المخاطر الدولية في المؤسسات الحكومية</w:t>
      </w:r>
      <w:r w:rsidRPr="00913340">
        <w:rPr>
          <w:rFonts w:ascii="Simplified Arabic" w:eastAsia="Times New Roman" w:hAnsi="Simplified Arabic" w:cs="Simplified Arabic"/>
          <w:color w:val="000000" w:themeColor="text1"/>
          <w:kern w:val="0"/>
          <w:sz w:val="28"/>
          <w:szCs w:val="28"/>
          <w14:ligatures w14:val="none"/>
        </w:rPr>
        <w:t>.</w:t>
      </w:r>
    </w:p>
    <w:p w14:paraId="1D547584" w14:textId="7101A9AB"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Cremer</w:t>
      </w:r>
      <w:r w:rsidR="00251B8B" w:rsidRPr="00913340">
        <w:rPr>
          <w:rFonts w:ascii="Simplified Arabic" w:eastAsia="Times New Roman" w:hAnsi="Simplified Arabic" w:cs="Simplified Arabic"/>
          <w:b/>
          <w:bCs/>
          <w:color w:val="000000" w:themeColor="text1"/>
          <w:kern w:val="0"/>
          <w:sz w:val="28"/>
          <w:szCs w:val="28"/>
          <w14:ligatures w14:val="none"/>
        </w:rPr>
        <w:t xml:space="preserve"> etal.,</w:t>
      </w:r>
      <w:r w:rsidRPr="00913340">
        <w:rPr>
          <w:rFonts w:ascii="Simplified Arabic" w:eastAsia="Times New Roman" w:hAnsi="Simplified Arabic" w:cs="Simplified Arabic"/>
          <w:b/>
          <w:bCs/>
          <w:color w:val="000000" w:themeColor="text1"/>
          <w:kern w:val="0"/>
          <w:sz w:val="28"/>
          <w:szCs w:val="28"/>
          <w14:ligatures w14:val="none"/>
        </w:rPr>
        <w:t xml:space="preserve"> (2022): "</w:t>
      </w:r>
    </w:p>
    <w:p w14:paraId="4C2D0293"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مدى توافر البيانات المتعلقة بالمخاطر السيبرانية وأمن المعلومات، بأبعاد تشمل (مصادر المخاطر السيبرانية، آثار المخاطر السيبرانية، مجموعات بيانات الأمن السيبراني) وتأثيرها على إدارة المخاطر وصناعة التأمين السيبراني. واستخدمت الدراسة منهج المراجعة المنهجية المنظمة وفق إطار</w:t>
      </w:r>
      <w:r w:rsidRPr="00913340">
        <w:rPr>
          <w:rFonts w:ascii="Simplified Arabic" w:eastAsia="Times New Roman" w:hAnsi="Simplified Arabic" w:cs="Simplified Arabic"/>
          <w:color w:val="000000" w:themeColor="text1"/>
          <w:kern w:val="0"/>
          <w:sz w:val="28"/>
          <w:szCs w:val="28"/>
          <w14:ligatures w14:val="none"/>
        </w:rPr>
        <w:t xml:space="preserve"> PRISMA</w:t>
      </w:r>
      <w:r w:rsidRPr="00913340">
        <w:rPr>
          <w:rFonts w:ascii="Simplified Arabic" w:eastAsia="Times New Roman" w:hAnsi="Simplified Arabic" w:cs="Simplified Arabic"/>
          <w:color w:val="000000" w:themeColor="text1"/>
          <w:kern w:val="0"/>
          <w:sz w:val="28"/>
          <w:szCs w:val="28"/>
          <w:rtl/>
          <w14:ligatures w14:val="none"/>
        </w:rPr>
        <w:t>، وتكونت العينة من (5219) دراسة أولية تمت تصفيتها وصولًا إلى (255) دراسة نهائية و</w:t>
      </w:r>
      <w:r w:rsidRPr="00913340">
        <w:rPr>
          <w:rFonts w:ascii="Simplified Arabic" w:eastAsia="Times New Roman" w:hAnsi="Simplified Arabic" w:cs="Simplified Arabic"/>
          <w:color w:val="000000" w:themeColor="text1"/>
          <w:kern w:val="0"/>
          <w:sz w:val="28"/>
          <w:szCs w:val="28"/>
          <w14:ligatures w14:val="none"/>
        </w:rPr>
        <w:t xml:space="preserve">(79) </w:t>
      </w:r>
      <w:r w:rsidRPr="00913340">
        <w:rPr>
          <w:rFonts w:ascii="Simplified Arabic" w:eastAsia="Times New Roman" w:hAnsi="Simplified Arabic" w:cs="Simplified Arabic"/>
          <w:color w:val="000000" w:themeColor="text1"/>
          <w:kern w:val="0"/>
          <w:sz w:val="28"/>
          <w:szCs w:val="28"/>
          <w:rtl/>
          <w14:ligatures w14:val="none"/>
        </w:rPr>
        <w:t>مجموعة بيانات فريدة من أربع قواعد بيانات</w:t>
      </w:r>
      <w:r w:rsidRPr="00913340">
        <w:rPr>
          <w:rFonts w:ascii="Simplified Arabic" w:eastAsia="Times New Roman" w:hAnsi="Simplified Arabic" w:cs="Simplified Arabic"/>
          <w:color w:val="000000" w:themeColor="text1"/>
          <w:kern w:val="0"/>
          <w:sz w:val="28"/>
          <w:szCs w:val="28"/>
          <w14:ligatures w14:val="none"/>
        </w:rPr>
        <w:t xml:space="preserve"> (IEEE Xplore, Scopus, SpringerLink, Web of Science). </w:t>
      </w:r>
      <w:r w:rsidRPr="00913340">
        <w:rPr>
          <w:rFonts w:ascii="Simplified Arabic" w:eastAsia="Times New Roman" w:hAnsi="Simplified Arabic" w:cs="Simplified Arabic"/>
          <w:color w:val="000000" w:themeColor="text1"/>
          <w:kern w:val="0"/>
          <w:sz w:val="28"/>
          <w:szCs w:val="28"/>
          <w:rtl/>
          <w14:ligatures w14:val="none"/>
        </w:rPr>
        <w:t>وتوصلت نتائج الدراسة إلى أن نقص البيانات المتاحة حول المخاطر السيبرانية يمثل مشكلة خطيرة، وأن 58.2% من مجموعات البيانات مصدرها الولايات المتحدة، مع وجود فجوة كبيرة في قواعد البيانات المفتوحة. وأوصت الدراسة بضرورة إتاحة البيانات المفتوحة وتوحيد معايير بيانات المخاطر السيبرانية لدعم البحث العلمي وصناعة التأمين</w:t>
      </w:r>
      <w:r w:rsidRPr="00913340">
        <w:rPr>
          <w:rFonts w:ascii="Simplified Arabic" w:eastAsia="Times New Roman" w:hAnsi="Simplified Arabic" w:cs="Simplified Arabic"/>
          <w:color w:val="000000" w:themeColor="text1"/>
          <w:kern w:val="0"/>
          <w:sz w:val="28"/>
          <w:szCs w:val="28"/>
          <w14:ligatures w14:val="none"/>
        </w:rPr>
        <w:t>.</w:t>
      </w:r>
    </w:p>
    <w:p w14:paraId="2A23E047" w14:textId="5134C8A1"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Al-Dosari &amp; Fetais (2023): </w:t>
      </w:r>
    </w:p>
    <w:p w14:paraId="3D5FCA73"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مدى فاعلية أطر إدارة مخاطر تكنولوجيا المعلومات بأبعادها (إطار</w:t>
      </w:r>
      <w:r w:rsidRPr="00913340">
        <w:rPr>
          <w:rFonts w:ascii="Simplified Arabic" w:eastAsia="Times New Roman" w:hAnsi="Simplified Arabic" w:cs="Simplified Arabic"/>
          <w:color w:val="000000" w:themeColor="text1"/>
          <w:kern w:val="0"/>
          <w:sz w:val="28"/>
          <w:szCs w:val="28"/>
          <w14:ligatures w14:val="none"/>
        </w:rPr>
        <w:t xml:space="preserve"> NIST</w:t>
      </w:r>
      <w:r w:rsidRPr="00913340">
        <w:rPr>
          <w:rFonts w:ascii="Simplified Arabic" w:eastAsia="Times New Roman" w:hAnsi="Simplified Arabic" w:cs="Simplified Arabic"/>
          <w:color w:val="000000" w:themeColor="text1"/>
          <w:kern w:val="0"/>
          <w:sz w:val="28"/>
          <w:szCs w:val="28"/>
          <w:rtl/>
          <w14:ligatures w14:val="none"/>
        </w:rPr>
        <w:t>، إطار</w:t>
      </w:r>
      <w:r w:rsidRPr="00913340">
        <w:rPr>
          <w:rFonts w:ascii="Simplified Arabic" w:eastAsia="Times New Roman" w:hAnsi="Simplified Arabic" w:cs="Simplified Arabic"/>
          <w:color w:val="000000" w:themeColor="text1"/>
          <w:kern w:val="0"/>
          <w:sz w:val="28"/>
          <w:szCs w:val="28"/>
          <w14:ligatures w14:val="none"/>
        </w:rPr>
        <w:t xml:space="preserve"> ISO/IEC 27001</w:t>
      </w:r>
      <w:r w:rsidRPr="00913340">
        <w:rPr>
          <w:rFonts w:ascii="Simplified Arabic" w:eastAsia="Times New Roman" w:hAnsi="Simplified Arabic" w:cs="Simplified Arabic"/>
          <w:color w:val="000000" w:themeColor="text1"/>
          <w:kern w:val="0"/>
          <w:sz w:val="28"/>
          <w:szCs w:val="28"/>
          <w:rtl/>
          <w14:ligatures w14:val="none"/>
        </w:rPr>
        <w:t>، إطار</w:t>
      </w:r>
      <w:r w:rsidRPr="00913340">
        <w:rPr>
          <w:rFonts w:ascii="Simplified Arabic" w:eastAsia="Times New Roman" w:hAnsi="Simplified Arabic" w:cs="Simplified Arabic"/>
          <w:color w:val="000000" w:themeColor="text1"/>
          <w:kern w:val="0"/>
          <w:sz w:val="28"/>
          <w:szCs w:val="28"/>
          <w14:ligatures w14:val="none"/>
        </w:rPr>
        <w:t xml:space="preserve"> COBIT</w:t>
      </w:r>
      <w:r w:rsidRPr="00913340">
        <w:rPr>
          <w:rFonts w:ascii="Simplified Arabic" w:eastAsia="Times New Roman" w:hAnsi="Simplified Arabic" w:cs="Simplified Arabic"/>
          <w:color w:val="000000" w:themeColor="text1"/>
          <w:kern w:val="0"/>
          <w:sz w:val="28"/>
          <w:szCs w:val="28"/>
          <w:rtl/>
          <w14:ligatures w14:val="none"/>
        </w:rPr>
        <w:t>، إطار</w:t>
      </w:r>
      <w:r w:rsidRPr="00913340">
        <w:rPr>
          <w:rFonts w:ascii="Simplified Arabic" w:eastAsia="Times New Roman" w:hAnsi="Simplified Arabic" w:cs="Simplified Arabic"/>
          <w:color w:val="000000" w:themeColor="text1"/>
          <w:kern w:val="0"/>
          <w:sz w:val="28"/>
          <w:szCs w:val="28"/>
          <w14:ligatures w14:val="none"/>
        </w:rPr>
        <w:t xml:space="preserve"> OCTAVE) </w:t>
      </w:r>
      <w:r w:rsidRPr="00913340">
        <w:rPr>
          <w:rFonts w:ascii="Simplified Arabic" w:eastAsia="Times New Roman" w:hAnsi="Simplified Arabic" w:cs="Simplified Arabic"/>
          <w:color w:val="000000" w:themeColor="text1"/>
          <w:kern w:val="0"/>
          <w:sz w:val="28"/>
          <w:szCs w:val="28"/>
          <w:rtl/>
          <w14:ligatures w14:val="none"/>
        </w:rPr>
        <w:t xml:space="preserve">في تعزيز أمن نظم المعلومات </w:t>
      </w:r>
      <w:r w:rsidRPr="00913340">
        <w:rPr>
          <w:rFonts w:ascii="Simplified Arabic" w:eastAsia="Times New Roman" w:hAnsi="Simplified Arabic" w:cs="Simplified Arabic"/>
          <w:color w:val="000000" w:themeColor="text1"/>
          <w:kern w:val="0"/>
          <w:sz w:val="28"/>
          <w:szCs w:val="28"/>
          <w:rtl/>
          <w14:ligatures w14:val="none"/>
        </w:rPr>
        <w:lastRenderedPageBreak/>
        <w:t>في المنشآت الصغيرة والمتوسطة. واستخدمت الدراسة منهج التحليل البعدي</w:t>
      </w:r>
      <w:r w:rsidRPr="00913340">
        <w:rPr>
          <w:rFonts w:ascii="Simplified Arabic" w:eastAsia="Times New Roman" w:hAnsi="Simplified Arabic" w:cs="Simplified Arabic"/>
          <w:color w:val="000000" w:themeColor="text1"/>
          <w:kern w:val="0"/>
          <w:sz w:val="28"/>
          <w:szCs w:val="28"/>
          <w14:ligatures w14:val="none"/>
        </w:rPr>
        <w:t xml:space="preserve"> (Meta-Analysis) </w:t>
      </w:r>
      <w:r w:rsidRPr="00913340">
        <w:rPr>
          <w:rFonts w:ascii="Simplified Arabic" w:eastAsia="Times New Roman" w:hAnsi="Simplified Arabic" w:cs="Simplified Arabic"/>
          <w:color w:val="000000" w:themeColor="text1"/>
          <w:kern w:val="0"/>
          <w:sz w:val="28"/>
          <w:szCs w:val="28"/>
          <w:rtl/>
          <w14:ligatures w14:val="none"/>
        </w:rPr>
        <w:t xml:space="preserve">للمراجعة المنهجية للأدبيات، وتكونت العينة من (168) مقالة أولية تمت تصفيتها إلى </w:t>
      </w:r>
      <w:r w:rsidRPr="00913340">
        <w:rPr>
          <w:rFonts w:ascii="Simplified Arabic" w:eastAsia="Times New Roman" w:hAnsi="Simplified Arabic" w:cs="Simplified Arabic"/>
          <w:color w:val="000000" w:themeColor="text1"/>
          <w:kern w:val="0"/>
          <w:sz w:val="28"/>
          <w:szCs w:val="28"/>
          <w14:ligatures w14:val="none"/>
        </w:rPr>
        <w:t xml:space="preserve">(29) </w:t>
      </w:r>
      <w:r w:rsidRPr="00913340">
        <w:rPr>
          <w:rFonts w:ascii="Simplified Arabic" w:eastAsia="Times New Roman" w:hAnsi="Simplified Arabic" w:cs="Simplified Arabic"/>
          <w:color w:val="000000" w:themeColor="text1"/>
          <w:kern w:val="0"/>
          <w:sz w:val="28"/>
          <w:szCs w:val="28"/>
          <w:rtl/>
          <w14:ligatures w14:val="none"/>
        </w:rPr>
        <w:t>دراسة نهائية منشورة بين 2016 و2022 من قواعد بيانات</w:t>
      </w:r>
      <w:r w:rsidRPr="00913340">
        <w:rPr>
          <w:rFonts w:ascii="Simplified Arabic" w:eastAsia="Times New Roman" w:hAnsi="Simplified Arabic" w:cs="Simplified Arabic"/>
          <w:color w:val="000000" w:themeColor="text1"/>
          <w:kern w:val="0"/>
          <w:sz w:val="28"/>
          <w:szCs w:val="28"/>
          <w14:ligatures w14:val="none"/>
        </w:rPr>
        <w:t xml:space="preserve"> Google Scholar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IEEE Xplore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Springer Link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Elsevier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Scopus. </w:t>
      </w:r>
      <w:r w:rsidRPr="00913340">
        <w:rPr>
          <w:rFonts w:ascii="Simplified Arabic" w:eastAsia="Times New Roman" w:hAnsi="Simplified Arabic" w:cs="Simplified Arabic"/>
          <w:color w:val="000000" w:themeColor="text1"/>
          <w:kern w:val="0"/>
          <w:sz w:val="28"/>
          <w:szCs w:val="28"/>
          <w:rtl/>
          <w14:ligatures w14:val="none"/>
        </w:rPr>
        <w:t>وتوصلت نتائج الدراسة إلى أن الأطر الحالية مثل</w:t>
      </w:r>
      <w:r w:rsidRPr="00913340">
        <w:rPr>
          <w:rFonts w:ascii="Simplified Arabic" w:eastAsia="Times New Roman" w:hAnsi="Simplified Arabic" w:cs="Simplified Arabic"/>
          <w:color w:val="000000" w:themeColor="text1"/>
          <w:kern w:val="0"/>
          <w:sz w:val="28"/>
          <w:szCs w:val="28"/>
          <w14:ligatures w14:val="none"/>
        </w:rPr>
        <w:t xml:space="preserve"> NIST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ISO </w:t>
      </w:r>
      <w:r w:rsidRPr="00913340">
        <w:rPr>
          <w:rFonts w:ascii="Simplified Arabic" w:eastAsia="Times New Roman" w:hAnsi="Simplified Arabic" w:cs="Simplified Arabic"/>
          <w:color w:val="000000" w:themeColor="text1"/>
          <w:kern w:val="0"/>
          <w:sz w:val="28"/>
          <w:szCs w:val="28"/>
          <w:rtl/>
          <w14:ligatures w14:val="none"/>
        </w:rPr>
        <w:t>تعاني من التعقيد المفرط وصعوبة التطبيق في المنشآت الصغيرة، وأن النهج الهجين الذي يجمع بين أكثر من إطار يحقق نتائج أفضل. وأوصت الدراسة بتطوير أطر مبسطة ومرنة تناسب خصائص المنشآت الصغيرة والمتوسطة وتراعي العوامل البشرية في إدارة المخاطر</w:t>
      </w:r>
      <w:r w:rsidRPr="00913340">
        <w:rPr>
          <w:rFonts w:ascii="Simplified Arabic" w:eastAsia="Times New Roman" w:hAnsi="Simplified Arabic" w:cs="Simplified Arabic"/>
          <w:color w:val="000000" w:themeColor="text1"/>
          <w:kern w:val="0"/>
          <w:sz w:val="28"/>
          <w:szCs w:val="28"/>
          <w14:ligatures w14:val="none"/>
        </w:rPr>
        <w:t>.</w:t>
      </w:r>
    </w:p>
    <w:p w14:paraId="0C2E4710" w14:textId="3C958E1D"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Li &amp; Wang (2024): </w:t>
      </w:r>
    </w:p>
    <w:p w14:paraId="6668EBDB"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تصميم وتنفيذ نظام ذكي لتقييم وإدارة مخاطر أمن البيانات بأبعاده (تحديد مصادر المخاطر، تقييم احتمالية التهديدات، تقييم تأثير الثغرات الأمنية، آليات الاستجابة الآلية) في بيئة المؤسسات الرقمية. واستخدمت الدراسة المنهج التجريبي التطبيقي القائم على تصميم النظام وتطويره واختباره. وتكونت العينة من بيانات أمنية مستخلصة من بيئات مؤسسية مختلفة لاختبار أداء النظام المطور. وتوصلت نتائج الدراسة إلى أن النظام الذكي المقترح يتمتع بقدرة عالية على اكتشاف التهديدات الأمنية وتقييم المخاطر بدقة وسرعة تفوق الأساليب التقليدية، مع توفير آليات استجابة آلية فعالة. وأوصت الدراسة بضرورة اعتماد المؤسسات لأنظمة تقييم المخاطر الذكية المدعومة بالذكاء الاصطناعي لتعزيز حماية البيانات</w:t>
      </w:r>
      <w:r w:rsidRPr="00913340">
        <w:rPr>
          <w:rFonts w:ascii="Simplified Arabic" w:eastAsia="Times New Roman" w:hAnsi="Simplified Arabic" w:cs="Simplified Arabic"/>
          <w:color w:val="000000" w:themeColor="text1"/>
          <w:kern w:val="0"/>
          <w:sz w:val="28"/>
          <w:szCs w:val="28"/>
          <w14:ligatures w14:val="none"/>
        </w:rPr>
        <w:t>.</w:t>
      </w:r>
    </w:p>
    <w:p w14:paraId="75B833EE" w14:textId="690C136F"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Najwa, Miskon, &amp; Okfalisa (2025): </w:t>
      </w:r>
    </w:p>
    <w:p w14:paraId="36AD2587"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اتجاهات البحث وفرصه المستقبلية في مجال إدارة مخاطر نظم وتكنولوجيا المعلومات، بأبعاد تشمل (تقييم المخاطر، التهديدات الأمنية، إدارة المشاريع، أمن المعلومات، الحوكمة) من منظور ببليومتري. واستخدمت الدراسة المنهج الببليومتري </w:t>
      </w:r>
      <w:r w:rsidRPr="00913340">
        <w:rPr>
          <w:rFonts w:ascii="Simplified Arabic" w:eastAsia="Times New Roman" w:hAnsi="Simplified Arabic" w:cs="Simplified Arabic"/>
          <w:color w:val="000000" w:themeColor="text1"/>
          <w:kern w:val="0"/>
          <w:sz w:val="28"/>
          <w:szCs w:val="28"/>
          <w14:ligatures w14:val="none"/>
        </w:rPr>
        <w:t xml:space="preserve">(Bibliometric Analysis) </w:t>
      </w:r>
      <w:r w:rsidRPr="00913340">
        <w:rPr>
          <w:rFonts w:ascii="Simplified Arabic" w:eastAsia="Times New Roman" w:hAnsi="Simplified Arabic" w:cs="Simplified Arabic"/>
          <w:color w:val="000000" w:themeColor="text1"/>
          <w:kern w:val="0"/>
          <w:sz w:val="28"/>
          <w:szCs w:val="28"/>
          <w:rtl/>
          <w14:ligatures w14:val="none"/>
        </w:rPr>
        <w:t>باستخدام برنامج</w:t>
      </w:r>
      <w:r w:rsidRPr="00913340">
        <w:rPr>
          <w:rFonts w:ascii="Simplified Arabic" w:eastAsia="Times New Roman" w:hAnsi="Simplified Arabic" w:cs="Simplified Arabic"/>
          <w:color w:val="000000" w:themeColor="text1"/>
          <w:kern w:val="0"/>
          <w:sz w:val="28"/>
          <w:szCs w:val="28"/>
          <w14:ligatures w14:val="none"/>
        </w:rPr>
        <w:t xml:space="preserve"> VOSViewer </w:t>
      </w:r>
      <w:r w:rsidRPr="00913340">
        <w:rPr>
          <w:rFonts w:ascii="Simplified Arabic" w:eastAsia="Times New Roman" w:hAnsi="Simplified Arabic" w:cs="Simplified Arabic"/>
          <w:color w:val="000000" w:themeColor="text1"/>
          <w:kern w:val="0"/>
          <w:sz w:val="28"/>
          <w:szCs w:val="28"/>
          <w:rtl/>
          <w14:ligatures w14:val="none"/>
        </w:rPr>
        <w:t>لتحليل شبكات المصطلحات. وتكونت العينة من (289) ورقة بحثية منشورة في الفترة من 2020 إلى 2025 تم استخراجها من قواعد البيانات العلمية المحكمة. وتوصلت نتائج الدراسة إلى تحديد (145) مصطلحًا مُصنفًا في (7) مجموعات</w:t>
      </w:r>
      <w:r w:rsidRPr="00913340">
        <w:rPr>
          <w:rFonts w:ascii="Simplified Arabic" w:eastAsia="Times New Roman" w:hAnsi="Simplified Arabic" w:cs="Simplified Arabic"/>
          <w:color w:val="000000" w:themeColor="text1"/>
          <w:kern w:val="0"/>
          <w:sz w:val="28"/>
          <w:szCs w:val="28"/>
          <w14:ligatures w14:val="none"/>
        </w:rPr>
        <w:t xml:space="preserve"> (Clusters)</w:t>
      </w:r>
      <w:r w:rsidRPr="00913340">
        <w:rPr>
          <w:rFonts w:ascii="Simplified Arabic" w:eastAsia="Times New Roman" w:hAnsi="Simplified Arabic" w:cs="Simplified Arabic"/>
          <w:color w:val="000000" w:themeColor="text1"/>
          <w:kern w:val="0"/>
          <w:sz w:val="28"/>
          <w:szCs w:val="28"/>
          <w:rtl/>
          <w14:ligatures w14:val="none"/>
        </w:rPr>
        <w:t xml:space="preserve">، وأن أكثر المصطلحات تكرارًا هي "المشروع" و"التقييم" و"التهديد"، مع تباين نتائج إدارة مخاطر نظم المعلومات حسب ظروف كل </w:t>
      </w:r>
      <w:r w:rsidRPr="00913340">
        <w:rPr>
          <w:rFonts w:ascii="Simplified Arabic" w:eastAsia="Times New Roman" w:hAnsi="Simplified Arabic" w:cs="Simplified Arabic"/>
          <w:color w:val="000000" w:themeColor="text1"/>
          <w:kern w:val="0"/>
          <w:sz w:val="28"/>
          <w:szCs w:val="28"/>
          <w:rtl/>
          <w14:ligatures w14:val="none"/>
        </w:rPr>
        <w:lastRenderedPageBreak/>
        <w:t>حالة. وأوصت الدراسة بضرورة التركيز على البحث في الفجوات المحددة وتطوير أطر إدارة مخاطر ديناميكية تتكيف مع التطورات التكنولوجية</w:t>
      </w:r>
      <w:r w:rsidRPr="00913340">
        <w:rPr>
          <w:rFonts w:ascii="Simplified Arabic" w:eastAsia="Times New Roman" w:hAnsi="Simplified Arabic" w:cs="Simplified Arabic"/>
          <w:color w:val="000000" w:themeColor="text1"/>
          <w:kern w:val="0"/>
          <w:sz w:val="28"/>
          <w:szCs w:val="28"/>
          <w14:ligatures w14:val="none"/>
        </w:rPr>
        <w:t>.</w:t>
      </w:r>
    </w:p>
    <w:p w14:paraId="4DA24810"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7" w:name="_Toc223910599"/>
      <w:r w:rsidRPr="00913340">
        <w:rPr>
          <w:rFonts w:ascii="Simplified Arabic" w:eastAsia="Times New Roman" w:hAnsi="Simplified Arabic" w:cs="Simplified Arabic"/>
          <w:b/>
          <w:bCs/>
          <w:color w:val="000000" w:themeColor="text1"/>
          <w:kern w:val="0"/>
          <w:sz w:val="32"/>
          <w:szCs w:val="32"/>
          <w:rtl/>
          <w14:ligatures w14:val="none"/>
        </w:rPr>
        <w:t>المحور الثاني: دراسات المتغير التابع – دقة التنبؤات ودعم القرار في الأرصاد الجوية</w:t>
      </w:r>
      <w:bookmarkEnd w:id="17"/>
    </w:p>
    <w:p w14:paraId="706A06F2" w14:textId="77777777" w:rsidR="00E155E5" w:rsidRPr="00913340" w:rsidRDefault="00E155E5"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نجيب (2022): "دور الذكاء الاصطناعي في تحسين إدارة المخاطر وإدارة الكوارث</w:t>
      </w:r>
      <w:r w:rsidRPr="00913340">
        <w:rPr>
          <w:rFonts w:ascii="Simplified Arabic" w:eastAsia="Times New Roman" w:hAnsi="Simplified Arabic" w:cs="Simplified Arabic"/>
          <w:b/>
          <w:bCs/>
          <w:color w:val="000000" w:themeColor="text1"/>
          <w:kern w:val="0"/>
          <w:sz w:val="28"/>
          <w:szCs w:val="28"/>
          <w14:ligatures w14:val="none"/>
        </w:rPr>
        <w:t>"</w:t>
      </w:r>
    </w:p>
    <w:p w14:paraId="2E996E26" w14:textId="77777777" w:rsidR="00E155E5" w:rsidRPr="00913340" w:rsidRDefault="00E155E5"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دور تقنيات الذكاء الاصطناعي بأبعادها (التعلم الآلي، التحليلات التنبؤية، أنظمة دعم القرار، نمذجة المخاطر) في تحسين إدارة المخاطر والكوارث الطبيعية بما فيها الظواهر الجوية المتطرفة. واستخدمت الدراسة المنهج الوصفي التحليلي من خلال مراجعة الأدبيات والدراسات السابقة ذات الصلة. وتكونت العينة من مجموعة من التجارب والنماذج الدولية في توظيف الذكاء الاصطناعي لإدارة الكوارث. وتوصلت نتائج الدراسة إلى أن الذكاء الاصطناعي يعزز بشكل كبير القدرة على التنبؤ بالكوارث وتحسين استجابة أنظمة الإنذار المبكر وتقليل الخسائر البشرية والمادية. وأوصت الدراسة بضرورة دمج تقنيات الذكاء الاصطناعي في خطط إدارة المخاطر الوطنية وتطوير البنية التحتية الرقمية اللازمة لذلك</w:t>
      </w:r>
      <w:r w:rsidRPr="00913340">
        <w:rPr>
          <w:rFonts w:ascii="Simplified Arabic" w:eastAsia="Times New Roman" w:hAnsi="Simplified Arabic" w:cs="Simplified Arabic"/>
          <w:color w:val="000000" w:themeColor="text1"/>
          <w:kern w:val="0"/>
          <w:sz w:val="28"/>
          <w:szCs w:val="28"/>
          <w14:ligatures w14:val="none"/>
        </w:rPr>
        <w:t>.</w:t>
      </w:r>
    </w:p>
    <w:p w14:paraId="18C6A6F6" w14:textId="77777777" w:rsidR="00E155E5" w:rsidRPr="00913340" w:rsidRDefault="00E155E5"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المركز الوطني للأرصاد بالمملكة العربية السعودية (2023): "تطوير منظومة التنبؤات الجوية ودعم القرار في المملكة العربية السعودية</w:t>
      </w:r>
      <w:r w:rsidRPr="00913340">
        <w:rPr>
          <w:rFonts w:ascii="Simplified Arabic" w:eastAsia="Times New Roman" w:hAnsi="Simplified Arabic" w:cs="Simplified Arabic"/>
          <w:b/>
          <w:bCs/>
          <w:color w:val="000000" w:themeColor="text1"/>
          <w:kern w:val="0"/>
          <w:sz w:val="28"/>
          <w:szCs w:val="28"/>
          <w14:ligatures w14:val="none"/>
        </w:rPr>
        <w:t>"</w:t>
      </w:r>
    </w:p>
    <w:p w14:paraId="17FFEBF5" w14:textId="77777777" w:rsidR="00E155E5" w:rsidRPr="00913340" w:rsidRDefault="00E155E5"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جهود تطوير منظومة التنبؤات الجوية بأبعادها (توسيع شبكة محطات الرصد، تحديث أنظمة النمذجة العددية، تطبيقات الذكاء الاصطناعي، أنظمة الإنذار المبكر) ودورها في دعم اتخاذ القرار في المملكة العربية السعودية. واستخدمت الدراسة المنهج الوصفي التوثيقي من خلال عرض المشاريع والبرامج المنفذة في المركز الوطني للأرصاد. وتكونت البيانات من تقارير أداء المركز ومخرجات أنظمة التنبؤ والإنذار المبكر. وتوصلت النتائج إلى تحقيق تقدم ملموس في دقة التنبؤات الجوية بعد تحديث منظومة الرصد وتطبيق تقنيات الذكاء الاصطناعي، مع تحسن ملحوظ في سرعة إصدار الإنذارات المبكرة. وأوصت الدراسة بمواصلة الاستثمار في التقنيات الحديثة وتعزيز التعاون الإقليمي والدولي في مجال الأرصاد الجوية</w:t>
      </w:r>
      <w:r w:rsidRPr="00913340">
        <w:rPr>
          <w:rFonts w:ascii="Simplified Arabic" w:eastAsia="Times New Roman" w:hAnsi="Simplified Arabic" w:cs="Simplified Arabic"/>
          <w:color w:val="000000" w:themeColor="text1"/>
          <w:kern w:val="0"/>
          <w:sz w:val="28"/>
          <w:szCs w:val="28"/>
          <w14:ligatures w14:val="none"/>
        </w:rPr>
        <w:t>.</w:t>
      </w:r>
    </w:p>
    <w:p w14:paraId="2F2EDCBF" w14:textId="77777777"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الشهري (2024): "استخدام نماذج أريما في التنبؤ بمعدلات هطول الأمطار في منطقة الباحة بالمملكة العربية السعودية</w:t>
      </w:r>
      <w:r w:rsidRPr="00913340">
        <w:rPr>
          <w:rFonts w:ascii="Simplified Arabic" w:eastAsia="Times New Roman" w:hAnsi="Simplified Arabic" w:cs="Simplified Arabic"/>
          <w:b/>
          <w:bCs/>
          <w:color w:val="000000" w:themeColor="text1"/>
          <w:kern w:val="0"/>
          <w:sz w:val="28"/>
          <w:szCs w:val="28"/>
          <w14:ligatures w14:val="none"/>
        </w:rPr>
        <w:t>"</w:t>
      </w:r>
    </w:p>
    <w:p w14:paraId="33D7526B"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إمكانية استخدام نماذج السلاسل الزمنية</w:t>
      </w:r>
      <w:r w:rsidRPr="00913340">
        <w:rPr>
          <w:rFonts w:ascii="Simplified Arabic" w:eastAsia="Times New Roman" w:hAnsi="Simplified Arabic" w:cs="Simplified Arabic"/>
          <w:color w:val="000000" w:themeColor="text1"/>
          <w:kern w:val="0"/>
          <w:sz w:val="28"/>
          <w:szCs w:val="28"/>
          <w14:ligatures w14:val="none"/>
        </w:rPr>
        <w:t xml:space="preserve"> (ARIMA) </w:t>
      </w:r>
      <w:r w:rsidRPr="00913340">
        <w:rPr>
          <w:rFonts w:ascii="Simplified Arabic" w:eastAsia="Times New Roman" w:hAnsi="Simplified Arabic" w:cs="Simplified Arabic"/>
          <w:color w:val="000000" w:themeColor="text1"/>
          <w:kern w:val="0"/>
          <w:sz w:val="28"/>
          <w:szCs w:val="28"/>
          <w:rtl/>
          <w14:ligatures w14:val="none"/>
        </w:rPr>
        <w:t xml:space="preserve">بأبعادها (التعريف بالنموذج، تقدير المعلمات، اختبار ملاءمة النموذج، التنبؤ بالقيم المستقبلية) في التنبؤ بمعدلات هطول الأمطار في منطقة الباحة بالمملكة العربية السعودية. واستخدمت الدراسة المنهج الكمي التحليلي القائم على تحليل السلاسل الزمنية. وتكونت العينة من بيانات هطول الأمطار الشهرية المسجلة لمنطقة الباحة خلال الفترة من 1985م إلى 2014م. وتوصلت نتائج الدراسة إلى أن نماذج السلاسل الزمنية </w:t>
      </w:r>
      <w:r w:rsidRPr="00913340">
        <w:rPr>
          <w:rFonts w:ascii="Simplified Arabic" w:eastAsia="Times New Roman" w:hAnsi="Simplified Arabic" w:cs="Simplified Arabic"/>
          <w:color w:val="000000" w:themeColor="text1"/>
          <w:kern w:val="0"/>
          <w:sz w:val="28"/>
          <w:szCs w:val="28"/>
          <w14:ligatures w14:val="none"/>
        </w:rPr>
        <w:t xml:space="preserve">(ARIMA) </w:t>
      </w:r>
      <w:r w:rsidRPr="00913340">
        <w:rPr>
          <w:rFonts w:ascii="Simplified Arabic" w:eastAsia="Times New Roman" w:hAnsi="Simplified Arabic" w:cs="Simplified Arabic"/>
          <w:color w:val="000000" w:themeColor="text1"/>
          <w:kern w:val="0"/>
          <w:sz w:val="28"/>
          <w:szCs w:val="28"/>
          <w:rtl/>
          <w14:ligatures w14:val="none"/>
        </w:rPr>
        <w:t>قادرة على التنبؤ بالقيم المستقبلية لمعدلات هطول الأمطار بدقة مقبولة، وأنها أداة فعالة خاصة في ظل محدودية البيانات المتاحة. وأوصت الدراسة بتوظيف نماذج</w:t>
      </w:r>
      <w:r w:rsidRPr="00913340">
        <w:rPr>
          <w:rFonts w:ascii="Simplified Arabic" w:eastAsia="Times New Roman" w:hAnsi="Simplified Arabic" w:cs="Simplified Arabic"/>
          <w:color w:val="000000" w:themeColor="text1"/>
          <w:kern w:val="0"/>
          <w:sz w:val="28"/>
          <w:szCs w:val="28"/>
          <w14:ligatures w14:val="none"/>
        </w:rPr>
        <w:t xml:space="preserve"> ARIMA </w:t>
      </w:r>
      <w:r w:rsidRPr="00913340">
        <w:rPr>
          <w:rFonts w:ascii="Simplified Arabic" w:eastAsia="Times New Roman" w:hAnsi="Simplified Arabic" w:cs="Simplified Arabic"/>
          <w:color w:val="000000" w:themeColor="text1"/>
          <w:kern w:val="0"/>
          <w:sz w:val="28"/>
          <w:szCs w:val="28"/>
          <w:rtl/>
          <w14:ligatures w14:val="none"/>
        </w:rPr>
        <w:t>في التخطيط لإدارة الموارد المائية والتنبؤ بالأحوال المناخية في المملكة</w:t>
      </w:r>
      <w:r w:rsidRPr="00913340">
        <w:rPr>
          <w:rFonts w:ascii="Simplified Arabic" w:eastAsia="Times New Roman" w:hAnsi="Simplified Arabic" w:cs="Simplified Arabic"/>
          <w:color w:val="000000" w:themeColor="text1"/>
          <w:kern w:val="0"/>
          <w:sz w:val="28"/>
          <w:szCs w:val="28"/>
          <w14:ligatures w14:val="none"/>
        </w:rPr>
        <w:t>.</w:t>
      </w:r>
    </w:p>
    <w:p w14:paraId="18EB06DC" w14:textId="77777777"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مركز تريندز للبحوث والاستشارات (2024): "الذكاء الاصطناعي وتطور التنبؤ بالأحوال الجوية: الفرص والتحديات</w:t>
      </w:r>
      <w:r w:rsidRPr="00913340">
        <w:rPr>
          <w:rFonts w:ascii="Simplified Arabic" w:eastAsia="Times New Roman" w:hAnsi="Simplified Arabic" w:cs="Simplified Arabic"/>
          <w:b/>
          <w:bCs/>
          <w:color w:val="000000" w:themeColor="text1"/>
          <w:kern w:val="0"/>
          <w:sz w:val="28"/>
          <w:szCs w:val="28"/>
          <w14:ligatures w14:val="none"/>
        </w:rPr>
        <w:t>"</w:t>
      </w:r>
    </w:p>
    <w:p w14:paraId="0B72E2D8"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دور تقنيات الذكاء الاصطناعي بأبعادها (التعلم العميق، الشبكات العصبية، تحليل البيانات الضخمة، النمذجة المناخية الذكية) في تطوير دقة التنبؤات الجوية ودعم اتخاذ القرارات المتعلقة بالأحوال المناخية. واستخدمت الدراسة المنهج الوصفي التحليلي من خلال مراجعة وتحليل الأدبيات والتجارب الدولية والعربية في هذا المجال. وتكونت العينة من مجموعة من التقارير والدراسات والتجارب العالمية لهيئات الأرصاد الجوية. وتوصلت نتائج الدراسة إلى أن الذكاء الاصطناعي أحدث نقلة نوعية في دقة التنبؤات الجوية وسرعة إصدارها، إلا أن هناك تحديات تتعلق بجودة البيانات والبنية التحتية الرقمية والكفاءات البشرية. وأوصت الدراسة بتعزيز الاستثمار في البنية التحتية الرقمية وتأهيل الكوادر الوطنية لتوظيف الذكاء الاصطناعي في قطاع الأرصاد</w:t>
      </w:r>
      <w:r w:rsidRPr="00913340">
        <w:rPr>
          <w:rFonts w:ascii="Simplified Arabic" w:eastAsia="Times New Roman" w:hAnsi="Simplified Arabic" w:cs="Simplified Arabic"/>
          <w:color w:val="000000" w:themeColor="text1"/>
          <w:kern w:val="0"/>
          <w:sz w:val="28"/>
          <w:szCs w:val="28"/>
          <w14:ligatures w14:val="none"/>
        </w:rPr>
        <w:t>.</w:t>
      </w:r>
    </w:p>
    <w:p w14:paraId="74E2A819" w14:textId="77777777"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 هيئة الأرصاد المصرية (2024): "الذكاء الاصطناعي وثورة في التنبؤات الجوية والمائية</w:t>
      </w:r>
      <w:r w:rsidRPr="00913340">
        <w:rPr>
          <w:rFonts w:ascii="Simplified Arabic" w:eastAsia="Times New Roman" w:hAnsi="Simplified Arabic" w:cs="Simplified Arabic"/>
          <w:b/>
          <w:bCs/>
          <w:color w:val="000000" w:themeColor="text1"/>
          <w:kern w:val="0"/>
          <w:sz w:val="28"/>
          <w:szCs w:val="28"/>
          <w14:ligatures w14:val="none"/>
        </w:rPr>
        <w:t>"</w:t>
      </w:r>
    </w:p>
    <w:p w14:paraId="3657AF62"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توظيف تقنيات الذكاء الاصطناعي بأبعادها (النمذجة العددية المحسّنة، الشبكات العصبية التلافيفية، تحليل صور الأقمار الصناعية، التعلم العميق) في تحسين دقة التنبؤات الجوية والمائية في مصر. واستخدمت الدراسة المنهج الوصفي التحليلي من خلال عرض التجارب التطبيقية لهيئة الأرصاد المصرية. وتكونت البيانات من مخرجات أنظمة التنبؤ الرقمية ومقارنتها بالأرصاد الفعلية. وتوصلت نتائج الدراسة إلى أن تطبيق تقنيات الذكاء الاصطناعي أدى إلى تحسين ملموس في دقة </w:t>
      </w:r>
      <w:r w:rsidRPr="00913340">
        <w:rPr>
          <w:rFonts w:ascii="Simplified Arabic" w:eastAsia="Times New Roman" w:hAnsi="Simplified Arabic" w:cs="Simplified Arabic"/>
          <w:color w:val="000000" w:themeColor="text1"/>
          <w:kern w:val="0"/>
          <w:sz w:val="28"/>
          <w:szCs w:val="28"/>
          <w:rtl/>
          <w14:ligatures w14:val="none"/>
        </w:rPr>
        <w:lastRenderedPageBreak/>
        <w:t>التنبؤات الجوية قصيرة ومتوسطة المدى، وتقليل نسبة الخطأ في التنبؤ بالظواهر الجوية المتطرفة. وأوصت الدراسة بتوسيع نطاق تطبيق تقنيات الذكاء الاصطناعي وتطوير الكوادر البشرية المتخصصة</w:t>
      </w:r>
      <w:r w:rsidRPr="00913340">
        <w:rPr>
          <w:rFonts w:ascii="Simplified Arabic" w:eastAsia="Times New Roman" w:hAnsi="Simplified Arabic" w:cs="Simplified Arabic"/>
          <w:color w:val="000000" w:themeColor="text1"/>
          <w:kern w:val="0"/>
          <w:sz w:val="28"/>
          <w:szCs w:val="28"/>
          <w14:ligatures w14:val="none"/>
        </w:rPr>
        <w:t>.</w:t>
      </w:r>
    </w:p>
    <w:p w14:paraId="7D4CBD0D" w14:textId="77777777" w:rsidR="00E155E5" w:rsidRPr="00913340" w:rsidRDefault="00E155E5"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Schultz etal., (2021): </w:t>
      </w:r>
    </w:p>
    <w:p w14:paraId="03FD9902" w14:textId="77777777" w:rsidR="00E155E5" w:rsidRPr="00913340" w:rsidRDefault="00E155E5"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استبدال نماذج التنبؤ العددي بالطقس بنماذج التعلم العميق بأبعاده (الشبكات العصبية التلافيفية، شبكات الذاكرة طويلة المدى، شبكات التوليد التنافسية، التقنيات الهجينة) لتحقيق تنبؤات جوية أسرع وأدق. واستخدمت الدراسة المنهج التحليلي المقارن من خلال مراجعة شاملة لمعمارية نماذج التعلم العميق وتقييم قابليتها للتطبيق على بيانات الأرصاد الجوية. وتكونت العينة من تحليل نماذج التنبؤ العددي الحالية ومقارنتها بنماذج التعلم العميق المتاحة. وتوصلت نتائج الدراسة إلى أن استبدال النماذج العددية بالكامل بنماذج تعلم عميق ليس مستبعدًا مستقبلًا، لكنه يتطلب اختراقات جوهرية في معالجة خصائص البيانات الجوية المعقدة وتحقيق الاتساق الفيزيائي وتقدير عدم اليقين. وأوصت الدراسة بتعزيز التعاون بين علماء الحاسوب وعلماء الأرصاد لتطوير نماذج هجينة تجمع بين مزايا النهجين</w:t>
      </w:r>
      <w:r w:rsidRPr="00913340">
        <w:rPr>
          <w:rFonts w:ascii="Simplified Arabic" w:eastAsia="Times New Roman" w:hAnsi="Simplified Arabic" w:cs="Simplified Arabic"/>
          <w:color w:val="000000" w:themeColor="text1"/>
          <w:kern w:val="0"/>
          <w:sz w:val="28"/>
          <w:szCs w:val="28"/>
          <w14:ligatures w14:val="none"/>
        </w:rPr>
        <w:t>.</w:t>
      </w:r>
    </w:p>
    <w:p w14:paraId="0199F713" w14:textId="5CE044FE"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Na-Yemeh</w:t>
      </w:r>
      <w:r w:rsidR="00251B8B" w:rsidRPr="00913340">
        <w:rPr>
          <w:rFonts w:ascii="Simplified Arabic" w:eastAsia="Times New Roman" w:hAnsi="Simplified Arabic" w:cs="Simplified Arabic"/>
          <w:b/>
          <w:bCs/>
          <w:color w:val="000000" w:themeColor="text1"/>
          <w:kern w:val="0"/>
          <w:sz w:val="28"/>
          <w:szCs w:val="28"/>
          <w14:ligatures w14:val="none"/>
        </w:rPr>
        <w:t xml:space="preserve"> etal.,</w:t>
      </w:r>
      <w:r w:rsidRPr="00913340">
        <w:rPr>
          <w:rFonts w:ascii="Simplified Arabic" w:eastAsia="Times New Roman" w:hAnsi="Simplified Arabic" w:cs="Simplified Arabic"/>
          <w:b/>
          <w:bCs/>
          <w:color w:val="000000" w:themeColor="text1"/>
          <w:kern w:val="0"/>
          <w:sz w:val="28"/>
          <w:szCs w:val="28"/>
          <w14:ligatures w14:val="none"/>
        </w:rPr>
        <w:t xml:space="preserve"> (2022): "</w:t>
      </w:r>
    </w:p>
    <w:p w14:paraId="0AA83759"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أثر نظام دعم القرار الجوي</w:t>
      </w:r>
      <w:r w:rsidRPr="00913340">
        <w:rPr>
          <w:rFonts w:ascii="Simplified Arabic" w:eastAsia="Times New Roman" w:hAnsi="Simplified Arabic" w:cs="Simplified Arabic"/>
          <w:color w:val="000000" w:themeColor="text1"/>
          <w:kern w:val="0"/>
          <w:sz w:val="28"/>
          <w:szCs w:val="28"/>
          <w14:ligatures w14:val="none"/>
        </w:rPr>
        <w:t xml:space="preserve"> OK-First </w:t>
      </w:r>
      <w:r w:rsidRPr="00913340">
        <w:rPr>
          <w:rFonts w:ascii="Simplified Arabic" w:eastAsia="Times New Roman" w:hAnsi="Simplified Arabic" w:cs="Simplified Arabic"/>
          <w:color w:val="000000" w:themeColor="text1"/>
          <w:kern w:val="0"/>
          <w:sz w:val="28"/>
          <w:szCs w:val="28"/>
          <w:rtl/>
          <w14:ligatures w14:val="none"/>
        </w:rPr>
        <w:t xml:space="preserve">بأبعاده (أدوات الرصد، التدريب والتأهيل، خدمات الدعم الفني، التكامل مع شبكة الأرصاد) على قرارات مسؤولي السلامة العامة في ولاية أوكلاهوما بالولايات المتحدة. واستخدمت الدراسة المنهج المختلط </w:t>
      </w:r>
      <w:r w:rsidRPr="00913340">
        <w:rPr>
          <w:rFonts w:ascii="Simplified Arabic" w:eastAsia="Times New Roman" w:hAnsi="Simplified Arabic" w:cs="Simplified Arabic"/>
          <w:color w:val="000000" w:themeColor="text1"/>
          <w:kern w:val="0"/>
          <w:sz w:val="28"/>
          <w:szCs w:val="28"/>
          <w14:ligatures w14:val="none"/>
        </w:rPr>
        <w:t xml:space="preserve">(Mixed Methods) </w:t>
      </w:r>
      <w:r w:rsidRPr="00913340">
        <w:rPr>
          <w:rFonts w:ascii="Simplified Arabic" w:eastAsia="Times New Roman" w:hAnsi="Simplified Arabic" w:cs="Simplified Arabic"/>
          <w:color w:val="000000" w:themeColor="text1"/>
          <w:kern w:val="0"/>
          <w:sz w:val="28"/>
          <w:szCs w:val="28"/>
          <w:rtl/>
          <w14:ligatures w14:val="none"/>
        </w:rPr>
        <w:t xml:space="preserve">الذي يجمع بين التحليل الكمي والنوعي من ثلاثة مصادر </w:t>
      </w:r>
      <w:r w:rsidRPr="00913340">
        <w:rPr>
          <w:rFonts w:ascii="Simplified Arabic" w:eastAsia="Times New Roman" w:hAnsi="Simplified Arabic" w:cs="Simplified Arabic"/>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rtl/>
          <w14:ligatures w14:val="none"/>
        </w:rPr>
        <w:t>تحليلات استخدام الموقع الإلكتروني، استبانات المستخدمين، مقابلات معمقة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وتكونت العينة من مستخدمي نظام</w:t>
      </w:r>
      <w:r w:rsidRPr="00913340">
        <w:rPr>
          <w:rFonts w:ascii="Simplified Arabic" w:eastAsia="Times New Roman" w:hAnsi="Simplified Arabic" w:cs="Simplified Arabic"/>
          <w:color w:val="000000" w:themeColor="text1"/>
          <w:kern w:val="0"/>
          <w:sz w:val="28"/>
          <w:szCs w:val="28"/>
          <w14:ligatures w14:val="none"/>
        </w:rPr>
        <w:t xml:space="preserve"> OK-First </w:t>
      </w:r>
      <w:r w:rsidRPr="00913340">
        <w:rPr>
          <w:rFonts w:ascii="Simplified Arabic" w:eastAsia="Times New Roman" w:hAnsi="Simplified Arabic" w:cs="Simplified Arabic"/>
          <w:color w:val="000000" w:themeColor="text1"/>
          <w:kern w:val="0"/>
          <w:sz w:val="28"/>
          <w:szCs w:val="28"/>
          <w:rtl/>
          <w14:ligatures w14:val="none"/>
        </w:rPr>
        <w:t>من مسؤولي السلامة العامة في أوكلاهوما. وتوصلت نتائج الدراسة إلى أن مجموعة متنوعة من الأدوات الجوية ضرورية لاتخاذ القرارات في ظروف الطقس الخطرة، وأن النظام حقق وفورات مالية تُقدر بأكثر من 1.2 مليون دولار خلال 12 شهرًا. وأوصت الدراسة بتعزيز تطوير أنظمة دعم القرار الجوي وتوسيع برامج التدريب</w:t>
      </w:r>
      <w:r w:rsidRPr="00913340">
        <w:rPr>
          <w:rFonts w:ascii="Simplified Arabic" w:eastAsia="Times New Roman" w:hAnsi="Simplified Arabic" w:cs="Simplified Arabic"/>
          <w:color w:val="000000" w:themeColor="text1"/>
          <w:kern w:val="0"/>
          <w:sz w:val="28"/>
          <w:szCs w:val="28"/>
          <w14:ligatures w14:val="none"/>
        </w:rPr>
        <w:t>.</w:t>
      </w:r>
    </w:p>
    <w:p w14:paraId="6829BBEE" w14:textId="3229573B"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Pagano</w:t>
      </w:r>
      <w:r w:rsidR="00251B8B" w:rsidRPr="00913340">
        <w:rPr>
          <w:rFonts w:ascii="Simplified Arabic" w:eastAsia="Times New Roman" w:hAnsi="Simplified Arabic" w:cs="Simplified Arabic"/>
          <w:b/>
          <w:bCs/>
          <w:color w:val="000000" w:themeColor="text1"/>
          <w:kern w:val="0"/>
          <w:sz w:val="28"/>
          <w:szCs w:val="28"/>
          <w14:ligatures w14:val="none"/>
        </w:rPr>
        <w:t xml:space="preserve"> etal.,</w:t>
      </w:r>
      <w:r w:rsidRPr="00913340">
        <w:rPr>
          <w:rFonts w:ascii="Simplified Arabic" w:eastAsia="Times New Roman" w:hAnsi="Simplified Arabic" w:cs="Simplified Arabic"/>
          <w:b/>
          <w:bCs/>
          <w:color w:val="000000" w:themeColor="text1"/>
          <w:kern w:val="0"/>
          <w:sz w:val="28"/>
          <w:szCs w:val="28"/>
          <w14:ligatures w14:val="none"/>
        </w:rPr>
        <w:t xml:space="preserve"> (2024): </w:t>
      </w:r>
    </w:p>
    <w:p w14:paraId="241B995E"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التحديات التي تواجه عمليات التحقق من دقة التنبؤات الجوية وتقييمها بأبعادها (أساليب التحقق غير الملائمة، عدم اكتمال بيانات الرصد، صعوبة تقييم المنتجات الاحتمالية، ربط التحقق بالتطوير المؤسسي، التواصل مع صناع القرار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المسحي القائم </w:t>
      </w:r>
      <w:r w:rsidRPr="00913340">
        <w:rPr>
          <w:rFonts w:ascii="Simplified Arabic" w:eastAsia="Times New Roman" w:hAnsi="Simplified Arabic" w:cs="Simplified Arabic"/>
          <w:color w:val="000000" w:themeColor="text1"/>
          <w:kern w:val="0"/>
          <w:sz w:val="28"/>
          <w:szCs w:val="28"/>
          <w:rtl/>
          <w14:ligatures w14:val="none"/>
        </w:rPr>
        <w:lastRenderedPageBreak/>
        <w:t>على استبانة دولية واسعة النطاق</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وتكونت العينة من ممارسين في هيئات الأرصاد الجوية الوطنية حول العالم</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وتوصلت نتائج الدراسة إلى خمسة محاور رئيسية للتحديات: عدم ملاءمة أساليب التحقق الحالية، وبيانات الرصد غير الكاملة، وصعوبات ربط التحقق بتحسين الخدمات، ونقص الموارد والكفاءات، وضعف التواصل مع المستخدمين النهائيين</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وأوصت الدراسة بتطوير منهجيات تحقق جديدة تتناسب مع المنتجات الاحتمالية الحديثة وتعزيز التعاون الدولي في هذا المجال</w:t>
      </w:r>
      <w:r w:rsidRPr="00913340">
        <w:rPr>
          <w:rFonts w:ascii="Simplified Arabic" w:eastAsia="Times New Roman" w:hAnsi="Simplified Arabic" w:cs="Simplified Arabic"/>
          <w:color w:val="000000" w:themeColor="text1"/>
          <w:kern w:val="0"/>
          <w:sz w:val="28"/>
          <w:szCs w:val="28"/>
          <w14:ligatures w14:val="none"/>
        </w:rPr>
        <w:t>.</w:t>
      </w:r>
    </w:p>
    <w:p w14:paraId="4EAF0DCA" w14:textId="6EB1A349"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Ripberger</w:t>
      </w:r>
      <w:r w:rsidR="00251B8B" w:rsidRPr="00913340">
        <w:rPr>
          <w:rFonts w:ascii="Simplified Arabic" w:eastAsia="Times New Roman" w:hAnsi="Simplified Arabic" w:cs="Simplified Arabic"/>
          <w:b/>
          <w:bCs/>
          <w:color w:val="000000" w:themeColor="text1"/>
          <w:kern w:val="0"/>
          <w:sz w:val="28"/>
          <w:szCs w:val="28"/>
          <w14:ligatures w14:val="none"/>
        </w:rPr>
        <w:t xml:space="preserve"> etal.,</w:t>
      </w:r>
      <w:r w:rsidRPr="00913340">
        <w:rPr>
          <w:rFonts w:ascii="Simplified Arabic" w:eastAsia="Times New Roman" w:hAnsi="Simplified Arabic" w:cs="Simplified Arabic"/>
          <w:b/>
          <w:bCs/>
          <w:color w:val="000000" w:themeColor="text1"/>
          <w:kern w:val="0"/>
          <w:sz w:val="28"/>
          <w:szCs w:val="28"/>
          <w14:ligatures w14:val="none"/>
        </w:rPr>
        <w:t xml:space="preserve"> (2022): </w:t>
      </w:r>
    </w:p>
    <w:p w14:paraId="2CB0CB1C"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كيفية تأثير إيصال معلومات الاحتمالات في التنبؤات الجوية بأبعادها (فهم الجمهور للاحتمالات، صيغ عرض المعلومات، تأثير الاحتمالات على القرارات، الفروق الفردية في الاستيعاب) على جودة قرارات المستخدمين. واستخدمت الدراسة منهج المراجعة المنهجية المنظمة الحية</w:t>
      </w:r>
      <w:r w:rsidRPr="00913340">
        <w:rPr>
          <w:rFonts w:ascii="Simplified Arabic" w:eastAsia="Times New Roman" w:hAnsi="Simplified Arabic" w:cs="Simplified Arabic"/>
          <w:color w:val="000000" w:themeColor="text1"/>
          <w:kern w:val="0"/>
          <w:sz w:val="28"/>
          <w:szCs w:val="28"/>
          <w14:ligatures w14:val="none"/>
        </w:rPr>
        <w:t xml:space="preserve"> (Living Systematic Review). </w:t>
      </w:r>
      <w:r w:rsidRPr="00913340">
        <w:rPr>
          <w:rFonts w:ascii="Simplified Arabic" w:eastAsia="Times New Roman" w:hAnsi="Simplified Arabic" w:cs="Simplified Arabic"/>
          <w:color w:val="000000" w:themeColor="text1"/>
          <w:kern w:val="0"/>
          <w:sz w:val="28"/>
          <w:szCs w:val="28"/>
          <w:rtl/>
          <w14:ligatures w14:val="none"/>
        </w:rPr>
        <w:t>وتكونت العينة من (327) دراسة تم تحديدها وتصفيتها من الأدبيات العلمية ذات الصلة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وتوصلت نتائج الدراسة إلى أن الأفراد يتخذون قرارات أفضل عند تزويدهم بمعلومات احتمالية مقارنة بالتنبؤات الحتمية التقليدية، وأن طريقة عرض المعلومات الاحتمالية تؤثر بشكل كبير على فهمها واستخدامها. وأوصت الدراسة بضرورة اعتماد صيغ موحدة ومبسطة لعرض المعلومات الاحتمالية في التنبؤات الجوية لتحسين دعم القرار</w:t>
      </w:r>
      <w:r w:rsidRPr="00913340">
        <w:rPr>
          <w:rFonts w:ascii="Simplified Arabic" w:eastAsia="Times New Roman" w:hAnsi="Simplified Arabic" w:cs="Simplified Arabic"/>
          <w:color w:val="000000" w:themeColor="text1"/>
          <w:kern w:val="0"/>
          <w:sz w:val="28"/>
          <w:szCs w:val="28"/>
          <w14:ligatures w14:val="none"/>
        </w:rPr>
        <w:t>.</w:t>
      </w:r>
    </w:p>
    <w:p w14:paraId="0DB44127" w14:textId="655A017F" w:rsidR="00FE784F" w:rsidRPr="00913340" w:rsidRDefault="00FE784F" w:rsidP="00E155E5">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دراسة</w:t>
      </w:r>
      <w:r w:rsidRPr="00913340">
        <w:rPr>
          <w:rFonts w:ascii="Simplified Arabic" w:eastAsia="Times New Roman" w:hAnsi="Simplified Arabic" w:cs="Simplified Arabic"/>
          <w:b/>
          <w:bCs/>
          <w:color w:val="000000" w:themeColor="text1"/>
          <w:kern w:val="0"/>
          <w:sz w:val="28"/>
          <w:szCs w:val="28"/>
          <w14:ligatures w14:val="none"/>
        </w:rPr>
        <w:t xml:space="preserve"> Wu &amp; Xue (2024): </w:t>
      </w:r>
    </w:p>
    <w:p w14:paraId="5734292B"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هدفت الدراسة إلى التعرف على تطور نماذج التنبؤ الجوي والنمذجة المناخية القائمة على البيانات بأبعادها (اختيار مجموعات البيانات، تصميم بنية النموذج، عمليات التدريب، التسريع الحاسوبي، تقييم فاعلية التنبؤ). واستخدمت الدراسة منهج المراجعة الأدبية الشاملة لأبرز النماذج المطورة منذ عام 2018 حتى 2024. وتكونت العينة من تحليل مقارن لنماذج رئيسية تشمل</w:t>
      </w:r>
      <w:r w:rsidRPr="00913340">
        <w:rPr>
          <w:rFonts w:ascii="Simplified Arabic" w:eastAsia="Times New Roman" w:hAnsi="Simplified Arabic" w:cs="Simplified Arabic"/>
          <w:color w:val="000000" w:themeColor="text1"/>
          <w:kern w:val="0"/>
          <w:sz w:val="28"/>
          <w:szCs w:val="28"/>
          <w14:ligatures w14:val="none"/>
        </w:rPr>
        <w:t xml:space="preserve"> Pangu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GraphCast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FengWu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FuXi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NeuralGCM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ClimaX. </w:t>
      </w:r>
      <w:r w:rsidRPr="00913340">
        <w:rPr>
          <w:rFonts w:ascii="Simplified Arabic" w:eastAsia="Times New Roman" w:hAnsi="Simplified Arabic" w:cs="Simplified Arabic"/>
          <w:color w:val="000000" w:themeColor="text1"/>
          <w:kern w:val="0"/>
          <w:sz w:val="28"/>
          <w:szCs w:val="28"/>
          <w:rtl/>
          <w14:ligatures w14:val="none"/>
        </w:rPr>
        <w:t>وتوصلت نتائج الدراسة إلى أن النماذج القائمة على البيانات المدربة على بيانات</w:t>
      </w:r>
      <w:r w:rsidRPr="00913340">
        <w:rPr>
          <w:rFonts w:ascii="Simplified Arabic" w:eastAsia="Times New Roman" w:hAnsi="Simplified Arabic" w:cs="Simplified Arabic"/>
          <w:color w:val="000000" w:themeColor="text1"/>
          <w:kern w:val="0"/>
          <w:sz w:val="28"/>
          <w:szCs w:val="28"/>
          <w14:ligatures w14:val="none"/>
        </w:rPr>
        <w:t xml:space="preserve"> ERA5 </w:t>
      </w:r>
      <w:r w:rsidRPr="00913340">
        <w:rPr>
          <w:rFonts w:ascii="Simplified Arabic" w:eastAsia="Times New Roman" w:hAnsi="Simplified Arabic" w:cs="Simplified Arabic"/>
          <w:color w:val="000000" w:themeColor="text1"/>
          <w:kern w:val="0"/>
          <w:sz w:val="28"/>
          <w:szCs w:val="28"/>
          <w:rtl/>
          <w14:ligatures w14:val="none"/>
        </w:rPr>
        <w:t>قادرة على تقديم تنبؤات فعالة بمعامل ارتباط</w:t>
      </w:r>
      <w:r w:rsidRPr="00913340">
        <w:rPr>
          <w:rFonts w:ascii="Simplified Arabic" w:eastAsia="Times New Roman" w:hAnsi="Simplified Arabic" w:cs="Simplified Arabic"/>
          <w:color w:val="000000" w:themeColor="text1"/>
          <w:kern w:val="0"/>
          <w:sz w:val="28"/>
          <w:szCs w:val="28"/>
          <w14:ligatures w14:val="none"/>
        </w:rPr>
        <w:t xml:space="preserve"> (ACC) </w:t>
      </w:r>
      <w:r w:rsidRPr="00913340">
        <w:rPr>
          <w:rFonts w:ascii="Simplified Arabic" w:eastAsia="Times New Roman" w:hAnsi="Simplified Arabic" w:cs="Simplified Arabic"/>
          <w:color w:val="000000" w:themeColor="text1"/>
          <w:kern w:val="0"/>
          <w:sz w:val="28"/>
          <w:szCs w:val="28"/>
          <w:rtl/>
          <w14:ligatures w14:val="none"/>
        </w:rPr>
        <w:t>أعلى من 0.6 لمدة تصل إلى 15 يومًا بدقة مكانية 0.25 درجة، وأنها تتفوق أو تضاهي أفضل طرق التنبؤ العددي لـ90% من المتغيرات مع تقليل زمن التنبؤ من ساعات إلى ثوانٍ. وأوصت الدراسة ببناء نماذج أكبر ودمج المزيد من القيود الفيزيائية وتطوير أساليب التقييم الشامل</w:t>
      </w:r>
      <w:r w:rsidRPr="00913340">
        <w:rPr>
          <w:rFonts w:ascii="Simplified Arabic" w:eastAsia="Times New Roman" w:hAnsi="Simplified Arabic" w:cs="Simplified Arabic"/>
          <w:color w:val="000000" w:themeColor="text1"/>
          <w:kern w:val="0"/>
          <w:sz w:val="28"/>
          <w:szCs w:val="28"/>
          <w14:ligatures w14:val="none"/>
        </w:rPr>
        <w:t>.</w:t>
      </w:r>
    </w:p>
    <w:p w14:paraId="51FC211F" w14:textId="7D8E2A26" w:rsidR="00E155E5" w:rsidRPr="00913340" w:rsidRDefault="00E155E5" w:rsidP="00E155E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883862"/>
      <w:r w:rsidRPr="00913340">
        <w:rPr>
          <w:rFonts w:ascii="Simplified Arabic" w:eastAsia="Times New Roman" w:hAnsi="Simplified Arabic" w:cs="Simplified Arabic"/>
          <w:b/>
          <w:bCs/>
          <w:color w:val="000000" w:themeColor="text1"/>
          <w:kern w:val="0"/>
          <w:sz w:val="36"/>
          <w:szCs w:val="36"/>
          <w:rtl/>
          <w14:ligatures w14:val="none"/>
        </w:rPr>
        <w:lastRenderedPageBreak/>
        <w:t>8.1 الفجوة البحثية</w:t>
      </w:r>
      <w:bookmarkEnd w:id="18"/>
    </w:p>
    <w:p w14:paraId="6935CCE0"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تتفق الدراسة الحالية مع عدد من الدراسات السابقة في جوانب متعددة تتعلق بالهدف والمنهج وبيئة التطبيق. فمن حيث الهدف، تتفق الدراسة الحالية مع دراسة الجبلي (2022) ودراسة خليفة وضيف الله وزين (2021) ودراسة راح وسلام (2025) ودراسة العازمي (2022) في السعي نحو الكشف عن أثر حوكمة تكنولوجيا المعلومات وإدارة المخاطر التقنية على جودة المخرجات المؤسسية، كما تتفق مع دراسة</w:t>
      </w:r>
      <w:r w:rsidRPr="00913340">
        <w:rPr>
          <w:rFonts w:ascii="Simplified Arabic" w:eastAsia="Times New Roman" w:hAnsi="Simplified Arabic" w:cs="Simplified Arabic"/>
          <w:color w:val="000000" w:themeColor="text1"/>
          <w:kern w:val="0"/>
          <w:sz w:val="28"/>
          <w:szCs w:val="28"/>
          <w14:ligatures w14:val="none"/>
        </w:rPr>
        <w:t xml:space="preserve"> Al-Dosari &amp; Fetais (2023) </w:t>
      </w:r>
      <w:r w:rsidRPr="00913340">
        <w:rPr>
          <w:rFonts w:ascii="Simplified Arabic" w:eastAsia="Times New Roman" w:hAnsi="Simplified Arabic" w:cs="Simplified Arabic"/>
          <w:color w:val="000000" w:themeColor="text1"/>
          <w:kern w:val="0"/>
          <w:sz w:val="28"/>
          <w:szCs w:val="28"/>
          <w:rtl/>
          <w14:ligatures w14:val="none"/>
        </w:rPr>
        <w:t>ودراسة</w:t>
      </w:r>
      <w:r w:rsidRPr="00913340">
        <w:rPr>
          <w:rFonts w:ascii="Simplified Arabic" w:eastAsia="Times New Roman" w:hAnsi="Simplified Arabic" w:cs="Simplified Arabic"/>
          <w:color w:val="000000" w:themeColor="text1"/>
          <w:kern w:val="0"/>
          <w:sz w:val="28"/>
          <w:szCs w:val="28"/>
          <w14:ligatures w14:val="none"/>
        </w:rPr>
        <w:t xml:space="preserve"> Sanjaya et al. (2020) </w:t>
      </w:r>
      <w:r w:rsidRPr="00913340">
        <w:rPr>
          <w:rFonts w:ascii="Simplified Arabic" w:eastAsia="Times New Roman" w:hAnsi="Simplified Arabic" w:cs="Simplified Arabic"/>
          <w:color w:val="000000" w:themeColor="text1"/>
          <w:kern w:val="0"/>
          <w:sz w:val="28"/>
          <w:szCs w:val="28"/>
          <w:rtl/>
          <w14:ligatures w14:val="none"/>
        </w:rPr>
        <w:t>في التركيز على أطر إدارة المخاطر التقنية المعتمدة دولياً كـ</w:t>
      </w:r>
      <w:r w:rsidRPr="00913340">
        <w:rPr>
          <w:rFonts w:ascii="Simplified Arabic" w:eastAsia="Times New Roman" w:hAnsi="Simplified Arabic" w:cs="Simplified Arabic"/>
          <w:color w:val="000000" w:themeColor="text1"/>
          <w:kern w:val="0"/>
          <w:sz w:val="28"/>
          <w:szCs w:val="28"/>
          <w14:ligatures w14:val="none"/>
        </w:rPr>
        <w:t xml:space="preserve"> ISO 31000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COBIT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NIST </w:t>
      </w:r>
      <w:r w:rsidRPr="00913340">
        <w:rPr>
          <w:rFonts w:ascii="Simplified Arabic" w:eastAsia="Times New Roman" w:hAnsi="Simplified Arabic" w:cs="Simplified Arabic"/>
          <w:color w:val="000000" w:themeColor="text1"/>
          <w:kern w:val="0"/>
          <w:sz w:val="28"/>
          <w:szCs w:val="28"/>
          <w:rtl/>
          <w14:ligatures w14:val="none"/>
        </w:rPr>
        <w:t>بوصفها أدوات مرجعية لتقييم الممارسات المؤسسية. وفي جانب المتغير التابع، تتفق الدراسة الحالية مع دراسة</w:t>
      </w:r>
      <w:r w:rsidRPr="00913340">
        <w:rPr>
          <w:rFonts w:ascii="Simplified Arabic" w:eastAsia="Times New Roman" w:hAnsi="Simplified Arabic" w:cs="Simplified Arabic"/>
          <w:color w:val="000000" w:themeColor="text1"/>
          <w:kern w:val="0"/>
          <w:sz w:val="28"/>
          <w:szCs w:val="28"/>
          <w14:ligatures w14:val="none"/>
        </w:rPr>
        <w:t xml:space="preserve"> Schultz et al. (2021) </w:t>
      </w:r>
      <w:r w:rsidRPr="00913340">
        <w:rPr>
          <w:rFonts w:ascii="Simplified Arabic" w:eastAsia="Times New Roman" w:hAnsi="Simplified Arabic" w:cs="Simplified Arabic"/>
          <w:color w:val="000000" w:themeColor="text1"/>
          <w:kern w:val="0"/>
          <w:sz w:val="28"/>
          <w:szCs w:val="28"/>
          <w:rtl/>
          <w14:ligatures w14:val="none"/>
        </w:rPr>
        <w:t>ودراسة</w:t>
      </w:r>
      <w:r w:rsidRPr="00913340">
        <w:rPr>
          <w:rFonts w:ascii="Simplified Arabic" w:eastAsia="Times New Roman" w:hAnsi="Simplified Arabic" w:cs="Simplified Arabic"/>
          <w:color w:val="000000" w:themeColor="text1"/>
          <w:kern w:val="0"/>
          <w:sz w:val="28"/>
          <w:szCs w:val="28"/>
          <w14:ligatures w14:val="none"/>
        </w:rPr>
        <w:t xml:space="preserve"> Wu &amp; Xue (2024) </w:t>
      </w:r>
      <w:r w:rsidRPr="00913340">
        <w:rPr>
          <w:rFonts w:ascii="Simplified Arabic" w:eastAsia="Times New Roman" w:hAnsi="Simplified Arabic" w:cs="Simplified Arabic"/>
          <w:color w:val="000000" w:themeColor="text1"/>
          <w:kern w:val="0"/>
          <w:sz w:val="28"/>
          <w:szCs w:val="28"/>
          <w:rtl/>
          <w14:ligatures w14:val="none"/>
        </w:rPr>
        <w:t>في الاهتمام بتحسين دقة التنبؤات الجوية، ومع دراسة</w:t>
      </w:r>
      <w:r w:rsidRPr="00913340">
        <w:rPr>
          <w:rFonts w:ascii="Simplified Arabic" w:eastAsia="Times New Roman" w:hAnsi="Simplified Arabic" w:cs="Simplified Arabic"/>
          <w:color w:val="000000" w:themeColor="text1"/>
          <w:kern w:val="0"/>
          <w:sz w:val="28"/>
          <w:szCs w:val="28"/>
          <w14:ligatures w14:val="none"/>
        </w:rPr>
        <w:t xml:space="preserve"> Na-Yemeh et al. (2022) </w:t>
      </w:r>
      <w:r w:rsidRPr="00913340">
        <w:rPr>
          <w:rFonts w:ascii="Simplified Arabic" w:eastAsia="Times New Roman" w:hAnsi="Simplified Arabic" w:cs="Simplified Arabic"/>
          <w:color w:val="000000" w:themeColor="text1"/>
          <w:kern w:val="0"/>
          <w:sz w:val="28"/>
          <w:szCs w:val="28"/>
          <w:rtl/>
          <w14:ligatures w14:val="none"/>
        </w:rPr>
        <w:t xml:space="preserve">ودراسة </w:t>
      </w:r>
      <w:r w:rsidRPr="00913340">
        <w:rPr>
          <w:rFonts w:ascii="Simplified Arabic" w:eastAsia="Times New Roman" w:hAnsi="Simplified Arabic" w:cs="Simplified Arabic"/>
          <w:color w:val="000000" w:themeColor="text1"/>
          <w:kern w:val="0"/>
          <w:sz w:val="28"/>
          <w:szCs w:val="28"/>
          <w14:ligatures w14:val="none"/>
        </w:rPr>
        <w:t xml:space="preserve">Ripberger et al. (2022) </w:t>
      </w:r>
      <w:r w:rsidRPr="00913340">
        <w:rPr>
          <w:rFonts w:ascii="Simplified Arabic" w:eastAsia="Times New Roman" w:hAnsi="Simplified Arabic" w:cs="Simplified Arabic"/>
          <w:color w:val="000000" w:themeColor="text1"/>
          <w:kern w:val="0"/>
          <w:sz w:val="28"/>
          <w:szCs w:val="28"/>
          <w:rtl/>
          <w14:ligatures w14:val="none"/>
        </w:rPr>
        <w:t>في التركيز على فاعلية أنظمة دعم القرار الجوي وأثرها على المستفيدين. أما من حيث المنهج، فتتفق الدراسة الحالية مع غالبية الدراسات العربية كدراسة الجبلي (2022) ودراسة خليفة وآخرين</w:t>
      </w:r>
      <w:r w:rsidRPr="00913340">
        <w:rPr>
          <w:rFonts w:ascii="Simplified Arabic" w:eastAsia="Times New Roman" w:hAnsi="Simplified Arabic" w:cs="Simplified Arabic"/>
          <w:color w:val="000000" w:themeColor="text1"/>
          <w:kern w:val="0"/>
          <w:sz w:val="28"/>
          <w:szCs w:val="28"/>
          <w14:ligatures w14:val="none"/>
        </w:rPr>
        <w:t xml:space="preserve"> (2021) </w:t>
      </w:r>
      <w:r w:rsidRPr="00913340">
        <w:rPr>
          <w:rFonts w:ascii="Simplified Arabic" w:eastAsia="Times New Roman" w:hAnsi="Simplified Arabic" w:cs="Simplified Arabic"/>
          <w:color w:val="000000" w:themeColor="text1"/>
          <w:kern w:val="0"/>
          <w:sz w:val="28"/>
          <w:szCs w:val="28"/>
          <w:rtl/>
          <w14:ligatures w14:val="none"/>
        </w:rPr>
        <w:t>ودراسة العازمي (2022) في اعتماد المنهج الوصفي التحليلي واستخدام الاستبانة أداةً رئيسية لجمع البيانات، كما تتفق مع دراسة الشهري (2024) في التطبيق على البيئة السعودية بوصفها بيئة ذات خصوصية مناخية وجغرافية تستوجب دراسات متخصصة</w:t>
      </w:r>
      <w:r w:rsidRPr="00913340">
        <w:rPr>
          <w:rFonts w:ascii="Simplified Arabic" w:eastAsia="Times New Roman" w:hAnsi="Simplified Arabic" w:cs="Simplified Arabic"/>
          <w:color w:val="000000" w:themeColor="text1"/>
          <w:kern w:val="0"/>
          <w:sz w:val="28"/>
          <w:szCs w:val="28"/>
          <w14:ligatures w14:val="none"/>
        </w:rPr>
        <w:t>.</w:t>
      </w:r>
    </w:p>
    <w:p w14:paraId="66CC8DB8"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تختلف الدراسة الحالية عن الدراسات السابقة في عدة جوانب جوهرية تمنحها تميزاً وأصالة بحثية. فمن حيث الهدف، ركّزت معظم الدراسات السابقة في جانب المتغير المستقل على قطاعات مالية ومصرفية ومحاسبية؛ إذ طُبقت دراسة الجبلي (2022) على شركات الاتصالات المصرية، ودراسة خليفة وآخرين (2021) على عينة من المحاسبين الجزائريين، ودراسة راح وسلام (2025) على مجموعة هائل سعيد أنعم اليمنية، ودراسة العازمي</w:t>
      </w:r>
      <w:r w:rsidRPr="00913340">
        <w:rPr>
          <w:rFonts w:ascii="Simplified Arabic" w:eastAsia="Times New Roman" w:hAnsi="Simplified Arabic" w:cs="Simplified Arabic"/>
          <w:color w:val="000000" w:themeColor="text1"/>
          <w:kern w:val="0"/>
          <w:sz w:val="28"/>
          <w:szCs w:val="28"/>
          <w14:ligatures w14:val="none"/>
        </w:rPr>
        <w:t xml:space="preserve"> (2022) </w:t>
      </w:r>
      <w:r w:rsidRPr="00913340">
        <w:rPr>
          <w:rFonts w:ascii="Simplified Arabic" w:eastAsia="Times New Roman" w:hAnsi="Simplified Arabic" w:cs="Simplified Arabic"/>
          <w:color w:val="000000" w:themeColor="text1"/>
          <w:kern w:val="0"/>
          <w:sz w:val="28"/>
          <w:szCs w:val="28"/>
          <w:rtl/>
          <w14:ligatures w14:val="none"/>
        </w:rPr>
        <w:t>على البنوك التجارية الكويتية، ودراسة الصيد وآخرين (2022) على المؤسسات العامة الليبية، في حين تنفرد الدراسة الحالية بتطبيقها على قطاع الأرصاد الجوية المتمثل في المركز الوطني للأرصاد بالمملكة العربية السعودية وهو قطاع لم تتناوله الدراسات السابقة في سياق إدارة المخاطر التقنية. كما أن دراسات المتغير التابع كدراسة</w:t>
      </w:r>
      <w:r w:rsidRPr="00913340">
        <w:rPr>
          <w:rFonts w:ascii="Simplified Arabic" w:eastAsia="Times New Roman" w:hAnsi="Simplified Arabic" w:cs="Simplified Arabic"/>
          <w:color w:val="000000" w:themeColor="text1"/>
          <w:kern w:val="0"/>
          <w:sz w:val="28"/>
          <w:szCs w:val="28"/>
          <w14:ligatures w14:val="none"/>
        </w:rPr>
        <w:t xml:space="preserve"> Schultz et al. (2021) </w:t>
      </w:r>
      <w:r w:rsidRPr="00913340">
        <w:rPr>
          <w:rFonts w:ascii="Simplified Arabic" w:eastAsia="Times New Roman" w:hAnsi="Simplified Arabic" w:cs="Simplified Arabic"/>
          <w:color w:val="000000" w:themeColor="text1"/>
          <w:kern w:val="0"/>
          <w:sz w:val="28"/>
          <w:szCs w:val="28"/>
          <w:rtl/>
          <w14:ligatures w14:val="none"/>
        </w:rPr>
        <w:t>ودراسة</w:t>
      </w:r>
      <w:r w:rsidRPr="00913340">
        <w:rPr>
          <w:rFonts w:ascii="Simplified Arabic" w:eastAsia="Times New Roman" w:hAnsi="Simplified Arabic" w:cs="Simplified Arabic"/>
          <w:color w:val="000000" w:themeColor="text1"/>
          <w:kern w:val="0"/>
          <w:sz w:val="28"/>
          <w:szCs w:val="28"/>
          <w14:ligatures w14:val="none"/>
        </w:rPr>
        <w:t xml:space="preserve"> Wu &amp; Xue (2024) </w:t>
      </w:r>
      <w:r w:rsidRPr="00913340">
        <w:rPr>
          <w:rFonts w:ascii="Simplified Arabic" w:eastAsia="Times New Roman" w:hAnsi="Simplified Arabic" w:cs="Simplified Arabic"/>
          <w:color w:val="000000" w:themeColor="text1"/>
          <w:kern w:val="0"/>
          <w:sz w:val="28"/>
          <w:szCs w:val="28"/>
          <w:rtl/>
          <w14:ligatures w14:val="none"/>
        </w:rPr>
        <w:t xml:space="preserve">اعتمدت مناهج تحليلية ومراجعات نظرية لنماذج التعلم العميق والتنبؤ المعتمد على البيانات دون ربطها بإدارة المخاطر التقنية، بينما ركّزت دراسة </w:t>
      </w:r>
      <w:r w:rsidRPr="00913340">
        <w:rPr>
          <w:rFonts w:ascii="Simplified Arabic" w:eastAsia="Times New Roman" w:hAnsi="Simplified Arabic" w:cs="Simplified Arabic"/>
          <w:color w:val="000000" w:themeColor="text1"/>
          <w:kern w:val="0"/>
          <w:sz w:val="28"/>
          <w:szCs w:val="28"/>
          <w14:ligatures w14:val="none"/>
        </w:rPr>
        <w:t xml:space="preserve">Pagano et al. (2024) </w:t>
      </w:r>
      <w:r w:rsidRPr="00913340">
        <w:rPr>
          <w:rFonts w:ascii="Simplified Arabic" w:eastAsia="Times New Roman" w:hAnsi="Simplified Arabic" w:cs="Simplified Arabic"/>
          <w:color w:val="000000" w:themeColor="text1"/>
          <w:kern w:val="0"/>
          <w:sz w:val="28"/>
          <w:szCs w:val="28"/>
          <w:rtl/>
          <w14:ligatures w14:val="none"/>
        </w:rPr>
        <w:t>على تحديات التحقق من التنبؤات من منظور فني بحت، وتناولت دراسة</w:t>
      </w:r>
      <w:r w:rsidRPr="00913340">
        <w:rPr>
          <w:rFonts w:ascii="Simplified Arabic" w:eastAsia="Times New Roman" w:hAnsi="Simplified Arabic" w:cs="Simplified Arabic"/>
          <w:color w:val="000000" w:themeColor="text1"/>
          <w:kern w:val="0"/>
          <w:sz w:val="28"/>
          <w:szCs w:val="28"/>
          <w14:ligatures w14:val="none"/>
        </w:rPr>
        <w:t xml:space="preserve"> Cremer et al. (2022) </w:t>
      </w:r>
      <w:r w:rsidRPr="00913340">
        <w:rPr>
          <w:rFonts w:ascii="Simplified Arabic" w:eastAsia="Times New Roman" w:hAnsi="Simplified Arabic" w:cs="Simplified Arabic"/>
          <w:color w:val="000000" w:themeColor="text1"/>
          <w:kern w:val="0"/>
          <w:sz w:val="28"/>
          <w:szCs w:val="28"/>
          <w:rtl/>
          <w14:ligatures w14:val="none"/>
        </w:rPr>
        <w:t>ودراسة</w:t>
      </w:r>
      <w:r w:rsidRPr="00913340">
        <w:rPr>
          <w:rFonts w:ascii="Simplified Arabic" w:eastAsia="Times New Roman" w:hAnsi="Simplified Arabic" w:cs="Simplified Arabic"/>
          <w:color w:val="000000" w:themeColor="text1"/>
          <w:kern w:val="0"/>
          <w:sz w:val="28"/>
          <w:szCs w:val="28"/>
          <w14:ligatures w14:val="none"/>
        </w:rPr>
        <w:t xml:space="preserve"> Najwa et al. </w:t>
      </w:r>
      <w:r w:rsidRPr="00913340">
        <w:rPr>
          <w:rFonts w:ascii="Simplified Arabic" w:eastAsia="Times New Roman" w:hAnsi="Simplified Arabic" w:cs="Simplified Arabic"/>
          <w:color w:val="000000" w:themeColor="text1"/>
          <w:kern w:val="0"/>
          <w:sz w:val="28"/>
          <w:szCs w:val="28"/>
          <w14:ligatures w14:val="none"/>
        </w:rPr>
        <w:lastRenderedPageBreak/>
        <w:t xml:space="preserve">(2025) </w:t>
      </w:r>
      <w:r w:rsidRPr="00913340">
        <w:rPr>
          <w:rFonts w:ascii="Simplified Arabic" w:eastAsia="Times New Roman" w:hAnsi="Simplified Arabic" w:cs="Simplified Arabic"/>
          <w:color w:val="000000" w:themeColor="text1"/>
          <w:kern w:val="0"/>
          <w:sz w:val="28"/>
          <w:szCs w:val="28"/>
          <w:rtl/>
          <w14:ligatures w14:val="none"/>
        </w:rPr>
        <w:t>المخاطر السيبرانية من منظور ببليومتري ونظري دون تطبيق ميداني على قطاع بعينه</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وبذلك تتميز الدراسة الحالية بكونها الدراسة الأولى — في حدود علم الباحث</w:t>
      </w:r>
      <w:r w:rsidRPr="00913340">
        <w:rPr>
          <w:rFonts w:ascii="Simplified Arabic" w:eastAsia="Times New Roman" w:hAnsi="Simplified Arabic" w:cs="Simplified Arabic"/>
          <w:color w:val="000000" w:themeColor="text1"/>
          <w:kern w:val="0"/>
          <w:sz w:val="28"/>
          <w:szCs w:val="28"/>
          <w14:ligatures w14:val="none"/>
        </w:rPr>
        <w:t xml:space="preserve"> — </w:t>
      </w:r>
      <w:r w:rsidRPr="00913340">
        <w:rPr>
          <w:rFonts w:ascii="Simplified Arabic" w:eastAsia="Times New Roman" w:hAnsi="Simplified Arabic" w:cs="Simplified Arabic"/>
          <w:color w:val="000000" w:themeColor="text1"/>
          <w:kern w:val="0"/>
          <w:sz w:val="28"/>
          <w:szCs w:val="28"/>
          <w:rtl/>
          <w14:ligatures w14:val="none"/>
        </w:rPr>
        <w:t>التي تربط بين إدارة مخاطر تكنولوجيا البيانات بأبعادها الأربعة ودقة التنبؤات الجوية ودعم القرار في بيئة تطبيقية سعودية متخصصة، مما يُسهم في سد فجوة بحثية واضحة في الأدبيات العربية والدولية على حد سواء</w:t>
      </w:r>
    </w:p>
    <w:p w14:paraId="6028FB6C" w14:textId="77777777" w:rsidR="00E155E5" w:rsidRPr="00913340" w:rsidRDefault="00E155E5" w:rsidP="00E155E5">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9" w:name="_Toc233883863"/>
      <w:bookmarkStart w:id="20" w:name="_Toc169790502"/>
      <w:bookmarkStart w:id="21" w:name="_Toc222622903"/>
      <w:bookmarkEnd w:id="16"/>
      <w:r w:rsidRPr="0091334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9"/>
    </w:p>
    <w:p w14:paraId="1F4238E6" w14:textId="77777777" w:rsidR="00E155E5" w:rsidRPr="00913340" w:rsidRDefault="00E155E5" w:rsidP="00E155E5">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913340">
        <w:rPr>
          <w:rFonts w:ascii="Simplified Arabic" w:eastAsia="Times New Roman" w:hAnsi="Simplified Arabic" w:cs="Simplified Arabic"/>
          <w:b/>
          <w:bCs/>
          <w:color w:val="000000" w:themeColor="text1"/>
          <w:kern w:val="0"/>
          <w:sz w:val="32"/>
          <w:szCs w:val="32"/>
          <w:rtl/>
          <w14:ligatures w14:val="none"/>
        </w:rPr>
        <w:t xml:space="preserve">أولاً: إدارة مخاطر تكنولوجيا البيانات </w:t>
      </w:r>
    </w:p>
    <w:p w14:paraId="60DE1BBE" w14:textId="4A8DA127" w:rsidR="00E155E5" w:rsidRPr="00913340" w:rsidRDefault="00E155E5"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913340">
        <w:rPr>
          <w:rFonts w:ascii="Simplified Arabic" w:eastAsia="Times New Roman" w:hAnsi="Simplified Arabic" w:cs="Simplified Arabic"/>
          <w:b/>
          <w:bCs/>
          <w:color w:val="000000" w:themeColor="text1"/>
          <w:kern w:val="0"/>
          <w:sz w:val="28"/>
          <w:szCs w:val="28"/>
          <w:rtl/>
          <w14:ligatures w14:val="none"/>
        </w:rPr>
        <w:t>مفهوم إدارة مخاطر تكنولوجيا البيانات</w:t>
      </w:r>
    </w:p>
    <w:p w14:paraId="4B5B0AB1"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تُعرّف إدارة مخاطر تكنولوجيا البيانات بأنها مجموعة الأنشطة والعمليات المنسّقة التي تهدف إلى تحديد وتحليل وتقييم ومعالجة ومراقبة المخاطر المرتبطة بالأنظمة التقنية والبيانات الرقمية داخل المؤسسة، بما يضمن استمرارية العمليات وسلامة المخرجات وحماية الأصول المعلوماتية. وقد عرّف المعيار الدولي</w:t>
      </w:r>
      <w:r w:rsidRPr="00913340">
        <w:rPr>
          <w:rFonts w:ascii="Simplified Arabic" w:eastAsia="Times New Roman" w:hAnsi="Simplified Arabic" w:cs="Simplified Arabic"/>
          <w:color w:val="000000" w:themeColor="text1"/>
          <w:kern w:val="0"/>
          <w:sz w:val="28"/>
          <w:szCs w:val="28"/>
          <w14:ligatures w14:val="none"/>
        </w:rPr>
        <w:t xml:space="preserve"> ISO 31000:2018 </w:t>
      </w:r>
      <w:r w:rsidRPr="00913340">
        <w:rPr>
          <w:rFonts w:ascii="Simplified Arabic" w:eastAsia="Times New Roman" w:hAnsi="Simplified Arabic" w:cs="Simplified Arabic"/>
          <w:color w:val="000000" w:themeColor="text1"/>
          <w:kern w:val="0"/>
          <w:sz w:val="28"/>
          <w:szCs w:val="28"/>
          <w:rtl/>
          <w14:ligatures w14:val="none"/>
        </w:rPr>
        <w:t>المخاطر بأنها "أثر عدم اليقين على الأهداف"، فيما عرّف إدارة المخاطر بأنها "الأنشطة المنسّقة لتوجيه المؤسسة والتحكم فيها فيما يتعلق بالمخاطر". وفي السياق التقني تحديداً، تتسع هذه المخاطر لتشمل التهديدات السيبرانية واختراق البيانات وأعطال الأنظمة وفقدان المعلومات وعدم التوافق التقني، مما يستوجب وجود منظومة إدارة متكاملة تعمل بشكل استباقي ومنهجي. ويُعرّف إطار</w:t>
      </w:r>
      <w:r w:rsidRPr="00913340">
        <w:rPr>
          <w:rFonts w:ascii="Simplified Arabic" w:eastAsia="Times New Roman" w:hAnsi="Simplified Arabic" w:cs="Simplified Arabic"/>
          <w:color w:val="000000" w:themeColor="text1"/>
          <w:kern w:val="0"/>
          <w:sz w:val="28"/>
          <w:szCs w:val="28"/>
          <w14:ligatures w14:val="none"/>
        </w:rPr>
        <w:t xml:space="preserve"> NIST </w:t>
      </w:r>
      <w:r w:rsidRPr="00913340">
        <w:rPr>
          <w:rFonts w:ascii="Simplified Arabic" w:eastAsia="Times New Roman" w:hAnsi="Simplified Arabic" w:cs="Simplified Arabic"/>
          <w:color w:val="000000" w:themeColor="text1"/>
          <w:kern w:val="0"/>
          <w:sz w:val="28"/>
          <w:szCs w:val="28"/>
          <w:rtl/>
          <w14:ligatures w14:val="none"/>
        </w:rPr>
        <w:t>للأمن السيبراني (النسخة 2.0) إدارة مخاطر الأمن السيبراني بأنها "نهج منظم لإدارة المخاطر من خلال ست وظائف أساسية هي: الحوكمة، والتحديد، والحماية، والكشف، والاستجابة، والتعافي". وتتبنى هذه الدراسة تعريفاً إجرائياً لإدارة مخاطر تكنولوجيا البيانات بوصفها المنظومة المؤسسية المتكاملة التي يتبناها المركز الوطني للأرصاد لتحديد وتقييم ومعالجة ومراقبة المخاطر المرتبطة بأنظمته التقنية وبياناته الجوية، وتتضمن أربعة أبعاد رئيسية تُقاس من خلال استجابات العاملين على فقرات الاستبانة المصممة لهذا الغرض</w:t>
      </w:r>
      <w:r w:rsidRPr="00913340">
        <w:rPr>
          <w:rFonts w:ascii="Simplified Arabic" w:eastAsia="Times New Roman" w:hAnsi="Simplified Arabic" w:cs="Simplified Arabic"/>
          <w:color w:val="000000" w:themeColor="text1"/>
          <w:kern w:val="0"/>
          <w:sz w:val="28"/>
          <w:szCs w:val="28"/>
          <w14:ligatures w14:val="none"/>
        </w:rPr>
        <w:t>.</w:t>
      </w:r>
    </w:p>
    <w:p w14:paraId="7EB5FED7"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أبعاد إدارة مخاطر تكنولوجيا البيانات</w:t>
      </w:r>
    </w:p>
    <w:p w14:paraId="26FE7671"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البُعد الأول — تقييم المخاطر التقنية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يُشير هذا البُعد إلى العملية المنهجية لتحديد التهديدات ونقاط الضعف المحتملة في الأنظمة التقنية، وتحليل احتمالية وقوعها وتقدير أثرها المحتمل على العمليات </w:t>
      </w:r>
      <w:r w:rsidRPr="00913340">
        <w:rPr>
          <w:rFonts w:ascii="Simplified Arabic" w:eastAsia="Times New Roman" w:hAnsi="Simplified Arabic" w:cs="Simplified Arabic"/>
          <w:color w:val="000000" w:themeColor="text1"/>
          <w:kern w:val="0"/>
          <w:sz w:val="28"/>
          <w:szCs w:val="28"/>
          <w:rtl/>
          <w14:ligatures w14:val="none"/>
        </w:rPr>
        <w:lastRenderedPageBreak/>
        <w:t>والمخرجات. ويتضمن ذلك إجراء مسح دوري للثغرات الأمنية، وتصنيف المخاطر وفقاً لمصفوفة الاحتمالية والأثر، وتحديد أولويات المعالجة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ويُعدّ تقييم المخاطر وفقاً لإطار</w:t>
      </w:r>
      <w:r w:rsidRPr="00913340">
        <w:rPr>
          <w:rFonts w:ascii="Simplified Arabic" w:eastAsia="Times New Roman" w:hAnsi="Simplified Arabic" w:cs="Simplified Arabic"/>
          <w:color w:val="000000" w:themeColor="text1"/>
          <w:kern w:val="0"/>
          <w:sz w:val="28"/>
          <w:szCs w:val="28"/>
          <w14:ligatures w14:val="none"/>
        </w:rPr>
        <w:t xml:space="preserve"> NIST SP 800-30 "</w:t>
      </w:r>
      <w:r w:rsidRPr="00913340">
        <w:rPr>
          <w:rFonts w:ascii="Simplified Arabic" w:eastAsia="Times New Roman" w:hAnsi="Simplified Arabic" w:cs="Simplified Arabic"/>
          <w:color w:val="000000" w:themeColor="text1"/>
          <w:kern w:val="0"/>
          <w:sz w:val="28"/>
          <w:szCs w:val="28"/>
          <w:rtl/>
          <w14:ligatures w14:val="none"/>
        </w:rPr>
        <w:t>عملية تحديد عوامل الخطر التي يمكن أن تؤثر سلباً على قدرة المؤسسة على إنجاز أعمالها". وفي سياق الأرصاد الجوية، يشمل ذلك تقييم المخاطر المتعلقة بشبكات الرصد والمحطات الآلية ووحدات المعالجة ونظم الاتصالات</w:t>
      </w:r>
      <w:r w:rsidRPr="00913340">
        <w:rPr>
          <w:rFonts w:ascii="Simplified Arabic" w:eastAsia="Times New Roman" w:hAnsi="Simplified Arabic" w:cs="Simplified Arabic"/>
          <w:color w:val="000000" w:themeColor="text1"/>
          <w:kern w:val="0"/>
          <w:sz w:val="28"/>
          <w:szCs w:val="28"/>
          <w14:ligatures w14:val="none"/>
        </w:rPr>
        <w:t>.</w:t>
      </w:r>
    </w:p>
    <w:p w14:paraId="0B129C1B"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البُعد الثاني — أمن البيانات والبنية التحتية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يُعبّر هذا البُعد عن مجموعة السياسات والإجراءات والتقنيات المُصممة لحماية البيانات من الوصول غير المصرح به أو التعديل أو الفقدان أو التدمير، وتأمين البنية التحتية التقنية (الخوادم، شبكات الاتصال، مراكز البيانات، أنظمة التخزين) من الأعطال والتهديدات الخارجية والداخلية. ويشمل ذلك تطبيق آليات التشفير والنسخ الاحتياطي والتحكم في الوصول وجدران الحماية وأنظمة كشف التسلل. ويكتسب هذا البُعد أهمية خاصة في مؤسسات الأرصاد نظراً لحساسية البيانات الجوية وضرورة توافرها بصورة مستمرة وآنية لتغذية نماذج التنبؤ</w:t>
      </w:r>
      <w:r w:rsidRPr="00913340">
        <w:rPr>
          <w:rFonts w:ascii="Simplified Arabic" w:eastAsia="Times New Roman" w:hAnsi="Simplified Arabic" w:cs="Simplified Arabic"/>
          <w:color w:val="000000" w:themeColor="text1"/>
          <w:kern w:val="0"/>
          <w:sz w:val="28"/>
          <w:szCs w:val="28"/>
          <w14:ligatures w14:val="none"/>
        </w:rPr>
        <w:t>.</w:t>
      </w:r>
    </w:p>
    <w:p w14:paraId="63FB5D1F"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البُعد الثالث — حوكمة تكنولوجيا المعلومات</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تُعرّف حوكمة تكنولوجيا المعلومات بأنها الإطار المؤسسي الذي يضمن توجيه الاستثمارات التقنية ومراقبتها وتقييمها بما يتوافق مع الأهداف الاستراتيجية للمؤسسة. ويتضمن هذا البُعد خمسة مجالات رئيسية وفقاً للأدبيات الأكاديمية هي: المواءمة الاستراتيجية، وتقديم القيمة، وإدارة المخاطر، وإدارة الموارد، وقياس الأداء. وقد طوّرت منظمة</w:t>
      </w:r>
      <w:r w:rsidRPr="00913340">
        <w:rPr>
          <w:rFonts w:ascii="Simplified Arabic" w:eastAsia="Times New Roman" w:hAnsi="Simplified Arabic" w:cs="Simplified Arabic"/>
          <w:color w:val="000000" w:themeColor="text1"/>
          <w:kern w:val="0"/>
          <w:sz w:val="28"/>
          <w:szCs w:val="28"/>
          <w14:ligatures w14:val="none"/>
        </w:rPr>
        <w:t xml:space="preserve"> ISACA </w:t>
      </w:r>
      <w:r w:rsidRPr="00913340">
        <w:rPr>
          <w:rFonts w:ascii="Simplified Arabic" w:eastAsia="Times New Roman" w:hAnsi="Simplified Arabic" w:cs="Simplified Arabic"/>
          <w:color w:val="000000" w:themeColor="text1"/>
          <w:kern w:val="0"/>
          <w:sz w:val="28"/>
          <w:szCs w:val="28"/>
          <w:rtl/>
          <w14:ligatures w14:val="none"/>
        </w:rPr>
        <w:t>إطار</w:t>
      </w:r>
      <w:r w:rsidRPr="00913340">
        <w:rPr>
          <w:rFonts w:ascii="Simplified Arabic" w:eastAsia="Times New Roman" w:hAnsi="Simplified Arabic" w:cs="Simplified Arabic"/>
          <w:color w:val="000000" w:themeColor="text1"/>
          <w:kern w:val="0"/>
          <w:sz w:val="28"/>
          <w:szCs w:val="28"/>
          <w14:ligatures w14:val="none"/>
        </w:rPr>
        <w:t xml:space="preserve"> COBIT </w:t>
      </w:r>
      <w:r w:rsidRPr="00913340">
        <w:rPr>
          <w:rFonts w:ascii="Simplified Arabic" w:eastAsia="Times New Roman" w:hAnsi="Simplified Arabic" w:cs="Simplified Arabic"/>
          <w:color w:val="000000" w:themeColor="text1"/>
          <w:kern w:val="0"/>
          <w:sz w:val="28"/>
          <w:szCs w:val="28"/>
          <w:rtl/>
          <w14:ligatures w14:val="none"/>
        </w:rPr>
        <w:t>بوصفه الإطار الأكثر شمولاً لحوكمة تكنولوجيا المعلومات وإدارتها في المؤسسات، حيث يتضمن في نسخته الأخيرة</w:t>
      </w:r>
      <w:r w:rsidRPr="00913340">
        <w:rPr>
          <w:rFonts w:ascii="Simplified Arabic" w:eastAsia="Times New Roman" w:hAnsi="Simplified Arabic" w:cs="Simplified Arabic"/>
          <w:color w:val="000000" w:themeColor="text1"/>
          <w:kern w:val="0"/>
          <w:sz w:val="28"/>
          <w:szCs w:val="28"/>
          <w14:ligatures w14:val="none"/>
        </w:rPr>
        <w:t xml:space="preserve"> (COBIT 2019) </w:t>
      </w:r>
      <w:r w:rsidRPr="00913340">
        <w:rPr>
          <w:rFonts w:ascii="Simplified Arabic" w:eastAsia="Times New Roman" w:hAnsi="Simplified Arabic" w:cs="Simplified Arabic"/>
          <w:color w:val="000000" w:themeColor="text1"/>
          <w:kern w:val="0"/>
          <w:sz w:val="28"/>
          <w:szCs w:val="28"/>
          <w:rtl/>
          <w14:ligatures w14:val="none"/>
        </w:rPr>
        <w:t>أربعين هدفاً للحوكمة والإدارة مُوزعة على ستة مبادئ أساسية هي: تقديم قيمة لأصحاب المصلحة، والنهج الشمولي، ونظام الحوكمة الديناميكي، وفصل الحوكمة عن الإدارة، والتصميم وفقاً لاحتياجات المؤسسة، والنظام الشامل. وفي سياق الدراسة الحالية يُقصد بحوكمة تكنولوجيا المعلومات مدى تطبيق المركز الوطني للأرصاد لأطر ومعايير الحوكمة التقنية في توجيه الموارد ومراقبة الأداء وإدارة المخاطر بما يخدم أهدافه في تحسين دقة التنبؤات</w:t>
      </w:r>
      <w:r w:rsidRPr="00913340">
        <w:rPr>
          <w:rFonts w:ascii="Simplified Arabic" w:eastAsia="Times New Roman" w:hAnsi="Simplified Arabic" w:cs="Simplified Arabic"/>
          <w:color w:val="000000" w:themeColor="text1"/>
          <w:kern w:val="0"/>
          <w:sz w:val="28"/>
          <w:szCs w:val="28"/>
          <w14:ligatures w14:val="none"/>
        </w:rPr>
        <w:t>.</w:t>
      </w:r>
    </w:p>
    <w:p w14:paraId="3D3059A2"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البُعد الرابع — المراقبة والتحسين المستمر</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يُعبّر هذا البُعد عن الآليات المؤسسية المُصممة لمتابعة أداء الأنظمة التقنية بشكل دوري ومستمر، والكشف المبكر عن أي انحرافات أو تهديدات ناشئة، وتنفيذ إجراءات تصحيحية وتحسينية بصورة تراكمية. ويشمل ذلك برامج التدقيق الداخلي لأنظمة المعلومات، واختبارات الاختراق الدورية، ومراجعة سجلات الأحداث الأمنية، وقياس مؤشرات الأداء الرئيسية للأنظمة </w:t>
      </w:r>
      <w:r w:rsidRPr="00913340">
        <w:rPr>
          <w:rFonts w:ascii="Simplified Arabic" w:eastAsia="Times New Roman" w:hAnsi="Simplified Arabic" w:cs="Simplified Arabic"/>
          <w:color w:val="000000" w:themeColor="text1"/>
          <w:kern w:val="0"/>
          <w:sz w:val="28"/>
          <w:szCs w:val="28"/>
          <w:rtl/>
          <w14:ligatures w14:val="none"/>
        </w:rPr>
        <w:lastRenderedPageBreak/>
        <w:t>التقنية، فضلاً عن تبني منهجية التحسين المستمر القائمة على دورة (خطط — نفّذ — تحقق — صحّح)</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ويُسهم هذا البُعد في ضمان أن منظومة إدارة المخاطر التقنية تتطور باستمرار لمواكبة التهديدات المتجددة والمتطلبات المتغيرة</w:t>
      </w:r>
      <w:r w:rsidRPr="00913340">
        <w:rPr>
          <w:rFonts w:ascii="Simplified Arabic" w:eastAsia="Times New Roman" w:hAnsi="Simplified Arabic" w:cs="Simplified Arabic"/>
          <w:color w:val="000000" w:themeColor="text1"/>
          <w:kern w:val="0"/>
          <w:sz w:val="28"/>
          <w:szCs w:val="28"/>
          <w14:ligatures w14:val="none"/>
        </w:rPr>
        <w:t>.</w:t>
      </w:r>
    </w:p>
    <w:p w14:paraId="54B24F19" w14:textId="77777777" w:rsidR="00E155E5" w:rsidRPr="00913340" w:rsidRDefault="00E155E5" w:rsidP="00E155E5">
      <w:pPr>
        <w:spacing w:before="100" w:beforeAutospacing="1" w:after="100" w:afterAutospacing="1" w:line="276" w:lineRule="auto"/>
        <w:rPr>
          <w:rFonts w:ascii="Simplified Arabic" w:eastAsia="Times New Roman" w:hAnsi="Simplified Arabic" w:cs="Simplified Arabic"/>
          <w:b/>
          <w:bCs/>
          <w:color w:val="000000" w:themeColor="text1"/>
          <w:kern w:val="0"/>
          <w:sz w:val="32"/>
          <w:szCs w:val="32"/>
          <w:rtl/>
          <w14:ligatures w14:val="none"/>
        </w:rPr>
      </w:pPr>
      <w:r w:rsidRPr="00913340">
        <w:rPr>
          <w:rFonts w:ascii="Simplified Arabic" w:eastAsia="Times New Roman" w:hAnsi="Simplified Arabic" w:cs="Simplified Arabic"/>
          <w:b/>
          <w:bCs/>
          <w:color w:val="000000" w:themeColor="text1"/>
          <w:kern w:val="0"/>
          <w:sz w:val="32"/>
          <w:szCs w:val="32"/>
          <w:rtl/>
          <w14:ligatures w14:val="none"/>
        </w:rPr>
        <w:t xml:space="preserve">ثانياً: دقة التنبؤات الجوية ودعم القرار </w:t>
      </w:r>
    </w:p>
    <w:p w14:paraId="1A15DB32" w14:textId="57915177" w:rsidR="00E155E5" w:rsidRPr="00913340" w:rsidRDefault="00E155E5"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913340">
        <w:rPr>
          <w:rFonts w:ascii="Simplified Arabic" w:eastAsia="Times New Roman" w:hAnsi="Simplified Arabic" w:cs="Simplified Arabic"/>
          <w:b/>
          <w:bCs/>
          <w:color w:val="000000" w:themeColor="text1"/>
          <w:kern w:val="0"/>
          <w:sz w:val="28"/>
          <w:szCs w:val="28"/>
          <w:rtl/>
          <w14:ligatures w14:val="none"/>
        </w:rPr>
        <w:t>مفهوم دقة التنبؤات الجوية</w:t>
      </w:r>
    </w:p>
    <w:p w14:paraId="11069547"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تُعرّف دقة التنبؤات الجوية بأنها مقياس كمي ونوعي لمدى تطابق التنبؤات الصادرة عن مركز الأرصاد مع الأرصاد الفعلية المُسجّلة، وتُقاس باستخدام مجموعة من المقاييس الإحصائية المعتمدة دولياً مثل معامل ارتباط الشذوذ</w:t>
      </w:r>
      <w:r w:rsidRPr="00913340">
        <w:rPr>
          <w:rFonts w:ascii="Simplified Arabic" w:eastAsia="Times New Roman" w:hAnsi="Simplified Arabic" w:cs="Simplified Arabic"/>
          <w:color w:val="000000" w:themeColor="text1"/>
          <w:kern w:val="0"/>
          <w:sz w:val="28"/>
          <w:szCs w:val="28"/>
          <w14:ligatures w14:val="none"/>
        </w:rPr>
        <w:t xml:space="preserve"> (ACC) </w:t>
      </w:r>
      <w:r w:rsidRPr="00913340">
        <w:rPr>
          <w:rFonts w:ascii="Simplified Arabic" w:eastAsia="Times New Roman" w:hAnsi="Simplified Arabic" w:cs="Simplified Arabic"/>
          <w:color w:val="000000" w:themeColor="text1"/>
          <w:kern w:val="0"/>
          <w:sz w:val="28"/>
          <w:szCs w:val="28"/>
          <w:rtl/>
          <w14:ligatures w14:val="none"/>
        </w:rPr>
        <w:t>والجذر التربيعي لمتوسط مربع الخطأ</w:t>
      </w:r>
      <w:r w:rsidRPr="00913340">
        <w:rPr>
          <w:rFonts w:ascii="Simplified Arabic" w:eastAsia="Times New Roman" w:hAnsi="Simplified Arabic" w:cs="Simplified Arabic"/>
          <w:color w:val="000000" w:themeColor="text1"/>
          <w:kern w:val="0"/>
          <w:sz w:val="28"/>
          <w:szCs w:val="28"/>
          <w14:ligatures w14:val="none"/>
        </w:rPr>
        <w:t xml:space="preserve"> (RMSE) </w:t>
      </w:r>
      <w:r w:rsidRPr="00913340">
        <w:rPr>
          <w:rFonts w:ascii="Simplified Arabic" w:eastAsia="Times New Roman" w:hAnsi="Simplified Arabic" w:cs="Simplified Arabic"/>
          <w:color w:val="000000" w:themeColor="text1"/>
          <w:kern w:val="0"/>
          <w:sz w:val="28"/>
          <w:szCs w:val="28"/>
          <w:rtl/>
          <w14:ligatures w14:val="none"/>
        </w:rPr>
        <w:t>ومعدل الخطأ المطلق</w:t>
      </w:r>
      <w:r w:rsidRPr="00913340">
        <w:rPr>
          <w:rFonts w:ascii="Simplified Arabic" w:eastAsia="Times New Roman" w:hAnsi="Simplified Arabic" w:cs="Simplified Arabic"/>
          <w:color w:val="000000" w:themeColor="text1"/>
          <w:kern w:val="0"/>
          <w:sz w:val="28"/>
          <w:szCs w:val="28"/>
          <w14:ligatures w14:val="none"/>
        </w:rPr>
        <w:t xml:space="preserve"> (MAE) </w:t>
      </w:r>
      <w:r w:rsidRPr="00913340">
        <w:rPr>
          <w:rFonts w:ascii="Simplified Arabic" w:eastAsia="Times New Roman" w:hAnsi="Simplified Arabic" w:cs="Simplified Arabic"/>
          <w:color w:val="000000" w:themeColor="text1"/>
          <w:kern w:val="0"/>
          <w:sz w:val="28"/>
          <w:szCs w:val="28"/>
          <w:rtl/>
          <w14:ligatures w14:val="none"/>
        </w:rPr>
        <w:t>ودرجة بريير</w:t>
      </w:r>
      <w:r w:rsidRPr="00913340">
        <w:rPr>
          <w:rFonts w:ascii="Simplified Arabic" w:eastAsia="Times New Roman" w:hAnsi="Simplified Arabic" w:cs="Simplified Arabic"/>
          <w:color w:val="000000" w:themeColor="text1"/>
          <w:kern w:val="0"/>
          <w:sz w:val="28"/>
          <w:szCs w:val="28"/>
          <w14:ligatures w14:val="none"/>
        </w:rPr>
        <w:t xml:space="preserve"> (Brier Score) </w:t>
      </w:r>
      <w:r w:rsidRPr="00913340">
        <w:rPr>
          <w:rFonts w:ascii="Simplified Arabic" w:eastAsia="Times New Roman" w:hAnsi="Simplified Arabic" w:cs="Simplified Arabic"/>
          <w:color w:val="000000" w:themeColor="text1"/>
          <w:kern w:val="0"/>
          <w:sz w:val="28"/>
          <w:szCs w:val="28"/>
          <w:rtl/>
          <w14:ligatures w14:val="none"/>
        </w:rPr>
        <w:t>للتنبؤات الاحتمالية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وقد عرّفت المنظمة العالمية للأرصاد الجوية</w:t>
      </w:r>
      <w:r w:rsidRPr="00913340">
        <w:rPr>
          <w:rFonts w:ascii="Simplified Arabic" w:eastAsia="Times New Roman" w:hAnsi="Simplified Arabic" w:cs="Simplified Arabic"/>
          <w:color w:val="000000" w:themeColor="text1"/>
          <w:kern w:val="0"/>
          <w:sz w:val="28"/>
          <w:szCs w:val="28"/>
          <w14:ligatures w14:val="none"/>
        </w:rPr>
        <w:t xml:space="preserve"> (WMO) </w:t>
      </w:r>
      <w:r w:rsidRPr="00913340">
        <w:rPr>
          <w:rFonts w:ascii="Simplified Arabic" w:eastAsia="Times New Roman" w:hAnsi="Simplified Arabic" w:cs="Simplified Arabic"/>
          <w:color w:val="000000" w:themeColor="text1"/>
          <w:kern w:val="0"/>
          <w:sz w:val="28"/>
          <w:szCs w:val="28"/>
          <w:rtl/>
          <w14:ligatures w14:val="none"/>
        </w:rPr>
        <w:t xml:space="preserve">التحقق من التنبؤات بأنه </w:t>
      </w:r>
      <w:r w:rsidRPr="00913340">
        <w:rPr>
          <w:rFonts w:ascii="Simplified Arabic" w:eastAsia="Times New Roman" w:hAnsi="Simplified Arabic" w:cs="Simplified Arabic"/>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rtl/>
          <w14:ligatures w14:val="none"/>
        </w:rPr>
        <w:t>عملية تقييم مدى تطابق التنبؤ مع الأرصاد الفعلية"، مُشيرة إلى أن الدقة تُمثّل "المقاييس الكمية التمثيلية لخطأ التنبؤ". وفي السياق الإجرائي لهذه الدراسة، يُقصد بدقة التنبؤات الجوية مستوى الموثوقية والتطابق في التنبؤات الصادرة عن المركز الوطني للأرصاد مع الظروف الجوية الفعلية، كما يُدركها العاملون في المركز ويُقيّمونها من خلال استجاباتهم على فقرات الاستبانة</w:t>
      </w:r>
      <w:r w:rsidRPr="00913340">
        <w:rPr>
          <w:rFonts w:ascii="Simplified Arabic" w:eastAsia="Times New Roman" w:hAnsi="Simplified Arabic" w:cs="Simplified Arabic"/>
          <w:color w:val="000000" w:themeColor="text1"/>
          <w:kern w:val="0"/>
          <w:sz w:val="28"/>
          <w:szCs w:val="28"/>
          <w14:ligatures w14:val="none"/>
        </w:rPr>
        <w:t>.</w:t>
      </w:r>
    </w:p>
    <w:p w14:paraId="44996D7B"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مفهوم دعم القرار في مجال الأرصاد الجوية</w:t>
      </w:r>
    </w:p>
    <w:p w14:paraId="4D09D35C"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يُعرّف نظام دعم القرار في مجال الأرصاد الجوية بأنه المنظومة المتكاملة من الأدوات والمعلومات والتحليلات التي تُقدّم لصانعي القرار بيانات جوية مُعالجة ومُفسّرة بصورة تُمكّنهم من اتخاذ قرارات مستنيرة في الوقت المناسب. ويشمل ذلك أنظمة الإنذار المبكر، ونشرات التحذيرات الجوية، والخرائط التفاعلية، والتقارير المتخصصة للقطاعات المختلفة (الطيران، الزراعة، الملاحة البحرية، إدارة الأزمات)، والمنصات الرقمية لإيصال المعلومات الجوية. وتكمن أهمية أنظمة دعم القرار في كونها تُحوّل البيانات الجوية الخام والتنبؤات العددية إلى معلومات قابلة للتطبيق تُساعد الجهات المستفيدة على اتخاذ إجراءات وقائية أو تكيفية مناسبة</w:t>
      </w:r>
      <w:r w:rsidRPr="00913340">
        <w:rPr>
          <w:rFonts w:ascii="Simplified Arabic" w:eastAsia="Times New Roman" w:hAnsi="Simplified Arabic" w:cs="Simplified Arabic"/>
          <w:color w:val="000000" w:themeColor="text1"/>
          <w:kern w:val="0"/>
          <w:sz w:val="28"/>
          <w:szCs w:val="28"/>
          <w14:ligatures w14:val="none"/>
        </w:rPr>
        <w:t>.</w:t>
      </w:r>
    </w:p>
    <w:p w14:paraId="4ED2E163" w14:textId="5DAA5FEB" w:rsidR="00E155E5" w:rsidRPr="00913340" w:rsidRDefault="00E155E5" w:rsidP="00E155E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883864"/>
      <w:bookmarkStart w:id="23" w:name="_Toc169790506"/>
      <w:bookmarkEnd w:id="20"/>
      <w:bookmarkEnd w:id="21"/>
      <w:r w:rsidRPr="00913340">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26D895DF"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 xml:space="preserve">سوف تعتمد هذه الدراسة على المنهج الوصفي التحليلي باعتباره المنهج الأكثر ملاءمة لطبيعة الدراسة وأهدافها، حيث سيُمكّن الباحث من وصف وتحليل أثر إدارة مخاطر تكنولوجيا البيانات بأبعادها الأربعة </w:t>
      </w:r>
      <w:r w:rsidRPr="00913340">
        <w:rPr>
          <w:rFonts w:ascii="Simplified Arabic" w:eastAsia="Times New Roman" w:hAnsi="Simplified Arabic" w:cs="Simplified Arabic"/>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rtl/>
          <w14:ligatures w14:val="none"/>
        </w:rPr>
        <w:t>تقييم المخاطر التقنية، أمن البيانات والبنية التحتية، حوكمة تكنولوجيا المعلومات، المراقبة والتحسين المستمر) على دقة التنبؤات الجوية ودعم القرار في المركز الوطني للأرصاد بالمملكة العربية السعودية. وسيتيح هذا المنهج جمع البيانات الكمية من مفردات العينة وتحليلها إحصائياً لاختبار فروض الدراسة والإجابة عن تساؤلاتها، فضلاً عن الكشف عن العلاقات الارتباطية والسببية بين متغيرات الدراسة</w:t>
      </w:r>
      <w:r w:rsidRPr="00913340">
        <w:rPr>
          <w:rFonts w:ascii="Simplified Arabic" w:eastAsia="Times New Roman" w:hAnsi="Simplified Arabic" w:cs="Simplified Arabic"/>
          <w:color w:val="000000" w:themeColor="text1"/>
          <w:kern w:val="0"/>
          <w:sz w:val="28"/>
          <w:szCs w:val="28"/>
          <w14:ligatures w14:val="none"/>
        </w:rPr>
        <w:t>.</w:t>
      </w:r>
    </w:p>
    <w:p w14:paraId="5DFA4C39"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كما سيستعين الباحث بأسلوب المسح الميداني الشامل من خلال تصميم استبانة إلكترونية مُحكّمة ستُوزع على العاملين في المركز الوطني للأرصاد ممن تتصل مهامهم الوظيفية بتكنولوجيا المعلومات والأنظمة التقنية والتنبؤات الجوية ودعم القرار، وذلك بهدف الوصول إلى نتائج دقيقة وقابلة للتعميم. وسيُراعى في تطبيق المنهج الالتزام بمعايير الصدق والثبات والموضوعية العلمية لضمان جودة النتائج وموثوقيتها</w:t>
      </w:r>
      <w:r w:rsidRPr="00913340">
        <w:rPr>
          <w:rFonts w:ascii="Simplified Arabic" w:eastAsia="Times New Roman" w:hAnsi="Simplified Arabic" w:cs="Simplified Arabic"/>
          <w:color w:val="000000" w:themeColor="text1"/>
          <w:kern w:val="0"/>
          <w:sz w:val="28"/>
          <w:szCs w:val="28"/>
          <w14:ligatures w14:val="none"/>
        </w:rPr>
        <w:t>.</w:t>
      </w:r>
    </w:p>
    <w:p w14:paraId="6A35006E" w14:textId="05E355FC" w:rsidR="00FE784F" w:rsidRPr="00913340" w:rsidRDefault="00E155E5" w:rsidP="00E155E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3910605"/>
      <w:bookmarkStart w:id="25" w:name="_Toc233883865"/>
      <w:r w:rsidRPr="00913340">
        <w:rPr>
          <w:rFonts w:ascii="Simplified Arabic" w:eastAsia="Times New Roman" w:hAnsi="Simplified Arabic" w:cs="Simplified Arabic" w:hint="cs"/>
          <w:b/>
          <w:bCs/>
          <w:color w:val="000000" w:themeColor="text1"/>
          <w:kern w:val="0"/>
          <w:sz w:val="36"/>
          <w:szCs w:val="36"/>
          <w:rtl/>
          <w14:ligatures w14:val="none"/>
        </w:rPr>
        <w:t xml:space="preserve">11.1 </w:t>
      </w:r>
      <w:r w:rsidR="00FE784F" w:rsidRPr="00913340">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4"/>
      <w:bookmarkEnd w:id="25"/>
    </w:p>
    <w:p w14:paraId="0E5E6384"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المركز الوطني للأرصاد بالمملكة العربية السعودية في التخصصات ذات الصلة بموضوع الدراسة، ويشمل ذلك العاملين في إدارات تكنولوجيا المعلومات وأمن البيانات والتنبؤات الجوية والرصد والمحطات والأنظمة العددية ودعم القرار والتحذيرات المبكرة. ووفقاً للبيانات المتاحة عن الهيكل التنظيمي للمركز الوطني للأرصاد، يُقدّر إجمالي مجتمع الدراسة بنحو </w:t>
      </w:r>
      <w:r w:rsidRPr="00913340">
        <w:rPr>
          <w:rFonts w:ascii="Simplified Arabic" w:eastAsia="Times New Roman" w:hAnsi="Simplified Arabic" w:cs="Simplified Arabic"/>
          <w:color w:val="000000" w:themeColor="text1"/>
          <w:kern w:val="0"/>
          <w:sz w:val="28"/>
          <w:szCs w:val="28"/>
          <w14:ligatures w14:val="none"/>
        </w:rPr>
        <w:t xml:space="preserve">(850) </w:t>
      </w:r>
      <w:r w:rsidRPr="00913340">
        <w:rPr>
          <w:rFonts w:ascii="Simplified Arabic" w:eastAsia="Times New Roman" w:hAnsi="Simplified Arabic" w:cs="Simplified Arabic"/>
          <w:color w:val="000000" w:themeColor="text1"/>
          <w:kern w:val="0"/>
          <w:sz w:val="28"/>
          <w:szCs w:val="28"/>
          <w:rtl/>
          <w14:ligatures w14:val="none"/>
        </w:rPr>
        <w:t>موظفاً وموظفة يعملون في هذه التخصصات عبر المقر الرئيسي في جدة والفروع الإقليمية المنتشرة في مختلف مناطق المملكة</w:t>
      </w:r>
      <w:r w:rsidRPr="00913340">
        <w:rPr>
          <w:rFonts w:ascii="Simplified Arabic" w:eastAsia="Times New Roman" w:hAnsi="Simplified Arabic" w:cs="Simplified Arabic"/>
          <w:color w:val="000000" w:themeColor="text1"/>
          <w:kern w:val="0"/>
          <w:sz w:val="28"/>
          <w:szCs w:val="28"/>
          <w14:ligatures w14:val="none"/>
        </w:rPr>
        <w:t>.</w:t>
      </w:r>
    </w:p>
    <w:p w14:paraId="1C86F5D3" w14:textId="5D3EA7CA"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وبالنظر إلى حجم مجتمع الدراسة، سيلجأ الباحث إلى استخدام أسلوب العينة الطبقية العشوائية التناسبية لضمان تمثيل جميع الإدارات والمستويات الوظيفية تمثيلاً متوازناً. وسيتم تحديد حجم العينة باستخدام معادلة ستيفن ثومبسون </w:t>
      </w:r>
      <w:r w:rsidRPr="00913340">
        <w:rPr>
          <w:rFonts w:ascii="Simplified Arabic" w:eastAsia="Times New Roman" w:hAnsi="Simplified Arabic" w:cs="Simplified Arabic"/>
          <w:color w:val="000000" w:themeColor="text1"/>
          <w:kern w:val="0"/>
          <w:sz w:val="28"/>
          <w:szCs w:val="28"/>
          <w14:ligatures w14:val="none"/>
        </w:rPr>
        <w:t xml:space="preserve">(Steven Thompson) </w:t>
      </w:r>
      <w:r w:rsidRPr="00913340">
        <w:rPr>
          <w:rFonts w:ascii="Simplified Arabic" w:eastAsia="Times New Roman" w:hAnsi="Simplified Arabic" w:cs="Simplified Arabic"/>
          <w:color w:val="000000" w:themeColor="text1"/>
          <w:kern w:val="0"/>
          <w:sz w:val="28"/>
          <w:szCs w:val="28"/>
          <w:rtl/>
          <w14:ligatures w14:val="none"/>
        </w:rPr>
        <w:t xml:space="preserve">عند مستوى ثقة (95%) وهامش خطأ (5%)، ليبلغ الحد الأدنى المطلوب للعينة نحو </w:t>
      </w:r>
      <w:r w:rsidRPr="00913340">
        <w:rPr>
          <w:rFonts w:ascii="Simplified Arabic" w:eastAsia="Times New Roman" w:hAnsi="Simplified Arabic" w:cs="Simplified Arabic"/>
          <w:color w:val="000000" w:themeColor="text1"/>
          <w:kern w:val="0"/>
          <w:sz w:val="28"/>
          <w:szCs w:val="28"/>
          <w14:ligatures w14:val="none"/>
        </w:rPr>
        <w:t xml:space="preserve">(265) </w:t>
      </w:r>
      <w:r w:rsidRPr="00913340">
        <w:rPr>
          <w:rFonts w:ascii="Simplified Arabic" w:eastAsia="Times New Roman" w:hAnsi="Simplified Arabic" w:cs="Simplified Arabic"/>
          <w:color w:val="000000" w:themeColor="text1"/>
          <w:kern w:val="0"/>
          <w:sz w:val="28"/>
          <w:szCs w:val="28"/>
          <w:rtl/>
          <w14:ligatures w14:val="none"/>
        </w:rPr>
        <w:t xml:space="preserve">مفردة. وسيحرص الباحث على توزيع </w:t>
      </w:r>
      <w:r w:rsidRPr="00913340">
        <w:rPr>
          <w:rFonts w:ascii="Simplified Arabic" w:eastAsia="Times New Roman" w:hAnsi="Simplified Arabic" w:cs="Simplified Arabic"/>
          <w:color w:val="000000" w:themeColor="text1"/>
          <w:kern w:val="0"/>
          <w:sz w:val="28"/>
          <w:szCs w:val="28"/>
          <w14:ligatures w14:val="none"/>
        </w:rPr>
        <w:t xml:space="preserve">(320) </w:t>
      </w:r>
      <w:r w:rsidRPr="00913340">
        <w:rPr>
          <w:rFonts w:ascii="Simplified Arabic" w:eastAsia="Times New Roman" w:hAnsi="Simplified Arabic" w:cs="Simplified Arabic"/>
          <w:color w:val="000000" w:themeColor="text1"/>
          <w:kern w:val="0"/>
          <w:sz w:val="28"/>
          <w:szCs w:val="28"/>
          <w:rtl/>
          <w14:ligatures w14:val="none"/>
        </w:rPr>
        <w:t>استبانة لتعويض الفاقد المتوقع في الاستبانات غير المكتملة أو غير الصالحة للتحليل الإحصائي، مع مراعاة التوزيع التناسبي على الطبقات الوظيفية المختلفة (إدارة تقنية المعلومات، إدارة التنبؤات الجوية، إدارة الرصد والمحطات، إدارة دعم القرار والتحذيرات المبكرة</w:t>
      </w:r>
    </w:p>
    <w:p w14:paraId="009165B7" w14:textId="1BFCCC1E" w:rsidR="00FE784F" w:rsidRPr="00913340" w:rsidRDefault="00E155E5" w:rsidP="00E155E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3910606"/>
      <w:bookmarkStart w:id="27" w:name="_Toc233883866"/>
      <w:r w:rsidRPr="00913340">
        <w:rPr>
          <w:rFonts w:ascii="Simplified Arabic" w:eastAsia="Times New Roman" w:hAnsi="Simplified Arabic" w:cs="Simplified Arabic" w:hint="cs"/>
          <w:b/>
          <w:bCs/>
          <w:color w:val="000000" w:themeColor="text1"/>
          <w:kern w:val="0"/>
          <w:sz w:val="36"/>
          <w:szCs w:val="36"/>
          <w:rtl/>
          <w14:ligatures w14:val="none"/>
        </w:rPr>
        <w:lastRenderedPageBreak/>
        <w:t xml:space="preserve">12.1 </w:t>
      </w:r>
      <w:r w:rsidR="00FE784F" w:rsidRPr="00913340">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6"/>
      <w:bookmarkEnd w:id="27"/>
    </w:p>
    <w:p w14:paraId="64F7CA96"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سيعتمد الباحث على نوعين رئيسيين من مصادر جمع البيانات</w:t>
      </w:r>
      <w:r w:rsidRPr="00913340">
        <w:rPr>
          <w:rFonts w:ascii="Simplified Arabic" w:eastAsia="Times New Roman" w:hAnsi="Simplified Arabic" w:cs="Simplified Arabic"/>
          <w:b/>
          <w:bCs/>
          <w:color w:val="000000" w:themeColor="text1"/>
          <w:kern w:val="0"/>
          <w:sz w:val="28"/>
          <w:szCs w:val="28"/>
          <w14:ligatures w14:val="none"/>
        </w:rPr>
        <w:t>:</w:t>
      </w:r>
    </w:p>
    <w:p w14:paraId="1123C3AC" w14:textId="77777777" w:rsidR="00FE784F" w:rsidRPr="00913340" w:rsidRDefault="00FE784F" w:rsidP="00E155E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المصادر الثانوية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وتشمل الكتب والمراجع العلمية المتخصصة، والدوريات والمجلات العلمية المحكّمة العربية والأجنبية، والرسائل الجامعية (ماجستير ودكتوراه)، والتقارير والوثائق الرسمية الصادرة عن المركز الوطني للأرصاد والهيئات الدولية المعنية بالأرصاد الجوية، وقواعد البيانات الإلكترونية مثل</w:t>
      </w:r>
      <w:r w:rsidRPr="00913340">
        <w:rPr>
          <w:rFonts w:ascii="Simplified Arabic" w:eastAsia="Times New Roman" w:hAnsi="Simplified Arabic" w:cs="Simplified Arabic"/>
          <w:color w:val="000000" w:themeColor="text1"/>
          <w:kern w:val="0"/>
          <w:sz w:val="28"/>
          <w:szCs w:val="28"/>
          <w14:ligatures w14:val="none"/>
        </w:rPr>
        <w:t xml:space="preserve"> Scopus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Web of Science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Google Scholar</w:t>
      </w:r>
      <w:r w:rsidRPr="00913340">
        <w:rPr>
          <w:rFonts w:ascii="Simplified Arabic" w:eastAsia="Times New Roman" w:hAnsi="Simplified Arabic" w:cs="Simplified Arabic"/>
          <w:color w:val="000000" w:themeColor="text1"/>
          <w:kern w:val="0"/>
          <w:sz w:val="28"/>
          <w:szCs w:val="28"/>
          <w:rtl/>
          <w14:ligatures w14:val="none"/>
        </w:rPr>
        <w:t>، وذلك بهدف بناء الإطار النظري للدراسة ومراجعة الدراسات السابقة</w:t>
      </w:r>
      <w:r w:rsidRPr="00913340">
        <w:rPr>
          <w:rFonts w:ascii="Simplified Arabic" w:eastAsia="Times New Roman" w:hAnsi="Simplified Arabic" w:cs="Simplified Arabic"/>
          <w:color w:val="000000" w:themeColor="text1"/>
          <w:kern w:val="0"/>
          <w:sz w:val="28"/>
          <w:szCs w:val="28"/>
          <w14:ligatures w14:val="none"/>
        </w:rPr>
        <w:t>.</w:t>
      </w:r>
    </w:p>
    <w:p w14:paraId="241660FF" w14:textId="77777777" w:rsidR="00FE784F" w:rsidRPr="00913340" w:rsidRDefault="00FE784F" w:rsidP="00E155E5">
      <w:pPr>
        <w:pStyle w:val="ListParagraph"/>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المصادر الأولية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وتتمثل في البيانات التي سيجمعها الباحث ميدانياً من خلال الاستبانة الإلكترونية المُصممة خصيصاً لأغراض هذه الدراسة، والتي ستُوزع على مفردات العينة لقياس آرائهم وتصوراتهم حول واقع تطبيق إدارة مخاطر تكنولوجيا البيانات وأثرها على دقة التنبؤات الجوية ودعم القرار</w:t>
      </w:r>
      <w:r w:rsidRPr="00913340">
        <w:rPr>
          <w:rFonts w:ascii="Simplified Arabic" w:eastAsia="Times New Roman" w:hAnsi="Simplified Arabic" w:cs="Simplified Arabic"/>
          <w:color w:val="000000" w:themeColor="text1"/>
          <w:kern w:val="0"/>
          <w:sz w:val="28"/>
          <w:szCs w:val="28"/>
          <w14:ligatures w14:val="none"/>
        </w:rPr>
        <w:t>.</w:t>
      </w:r>
    </w:p>
    <w:p w14:paraId="098640A1" w14:textId="6BA93D3B" w:rsidR="00FE784F" w:rsidRPr="00913340" w:rsidRDefault="00E155E5" w:rsidP="00E155E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3910607"/>
      <w:bookmarkStart w:id="29" w:name="_Toc233883867"/>
      <w:r w:rsidRPr="00913340">
        <w:rPr>
          <w:rFonts w:ascii="Simplified Arabic" w:eastAsia="Times New Roman" w:hAnsi="Simplified Arabic" w:cs="Simplified Arabic" w:hint="cs"/>
          <w:b/>
          <w:bCs/>
          <w:color w:val="000000" w:themeColor="text1"/>
          <w:kern w:val="0"/>
          <w:sz w:val="36"/>
          <w:szCs w:val="36"/>
          <w:rtl/>
          <w14:ligatures w14:val="none"/>
        </w:rPr>
        <w:t xml:space="preserve">13.1 </w:t>
      </w:r>
      <w:r w:rsidR="00FE784F" w:rsidRPr="00913340">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8"/>
      <w:bookmarkEnd w:id="29"/>
    </w:p>
    <w:p w14:paraId="7E6A0BCB"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سيُصمم الباحث استبانة إلكترونية تُعدّ الأداة الرئيسية لجمع البيانات الأولية، وستتكون من ثلاثة أقسام رئيسية على النحو التالي</w:t>
      </w:r>
      <w:r w:rsidRPr="00913340">
        <w:rPr>
          <w:rFonts w:ascii="Simplified Arabic" w:eastAsia="Times New Roman" w:hAnsi="Simplified Arabic" w:cs="Simplified Arabic"/>
          <w:color w:val="000000" w:themeColor="text1"/>
          <w:kern w:val="0"/>
          <w:sz w:val="28"/>
          <w:szCs w:val="28"/>
          <w14:ligatures w14:val="none"/>
        </w:rPr>
        <w:t>:</w:t>
      </w:r>
    </w:p>
    <w:p w14:paraId="2C297ECD" w14:textId="2761E368" w:rsidR="00FE784F" w:rsidRPr="00913340" w:rsidRDefault="00FE784F" w:rsidP="00E155E5">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0" w:name="_Toc223910608"/>
      <w:r w:rsidRPr="00913340">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 والوظيفية</w:t>
      </w:r>
      <w:bookmarkEnd w:id="30"/>
      <w:r w:rsidR="00E155E5" w:rsidRPr="00913340">
        <w:rPr>
          <w:rFonts w:ascii="Simplified Arabic" w:eastAsia="Times New Roman" w:hAnsi="Simplified Arabic" w:cs="Simplified Arabic" w:hint="cs"/>
          <w:b/>
          <w:bCs/>
          <w:color w:val="000000" w:themeColor="text1"/>
          <w:kern w:val="0"/>
          <w:sz w:val="28"/>
          <w:szCs w:val="28"/>
          <w:rtl/>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سيتضمن هذا القسم </w:t>
      </w: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متغيرات تصنيفية تشمل: المؤهل العلمي، سنوات الخبرة، التخصص الوظيفي، والمستوى الإداري</w:t>
      </w:r>
      <w:r w:rsidRPr="00913340">
        <w:rPr>
          <w:rFonts w:ascii="Simplified Arabic" w:eastAsia="Times New Roman" w:hAnsi="Simplified Arabic" w:cs="Simplified Arabic"/>
          <w:color w:val="000000" w:themeColor="text1"/>
          <w:kern w:val="0"/>
          <w:sz w:val="28"/>
          <w:szCs w:val="28"/>
          <w14:ligatures w14:val="none"/>
        </w:rPr>
        <w:t>.</w:t>
      </w:r>
    </w:p>
    <w:p w14:paraId="4121B305" w14:textId="298EB891" w:rsidR="00FE784F" w:rsidRPr="00913340" w:rsidRDefault="00FE784F" w:rsidP="00E155E5">
      <w:pPr>
        <w:pStyle w:val="ListParagraph"/>
        <w:numPr>
          <w:ilvl w:val="0"/>
          <w:numId w:val="38"/>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bookmarkStart w:id="31" w:name="_Toc223910609"/>
      <w:r w:rsidRPr="00913340">
        <w:rPr>
          <w:rFonts w:ascii="Simplified Arabic" w:eastAsia="Times New Roman" w:hAnsi="Simplified Arabic" w:cs="Simplified Arabic"/>
          <w:b/>
          <w:bCs/>
          <w:color w:val="000000" w:themeColor="text1"/>
          <w:kern w:val="0"/>
          <w:sz w:val="28"/>
          <w:szCs w:val="28"/>
          <w:rtl/>
          <w14:ligatures w14:val="none"/>
        </w:rPr>
        <w:t>القسم الثاني: المتغير المستقل — إدارة مخاطر تكنولوجيا البيانات</w:t>
      </w:r>
      <w:bookmarkEnd w:id="31"/>
      <w:r w:rsidR="00E155E5" w:rsidRPr="00913340">
        <w:rPr>
          <w:rFonts w:ascii="Simplified Arabic" w:eastAsia="Times New Roman" w:hAnsi="Simplified Arabic" w:cs="Simplified Arabic" w:hint="cs"/>
          <w:b/>
          <w:bCs/>
          <w:color w:val="000000" w:themeColor="text1"/>
          <w:kern w:val="0"/>
          <w:sz w:val="28"/>
          <w:szCs w:val="28"/>
          <w:rtl/>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سيتكون هذا القسم من </w:t>
      </w: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 xml:space="preserve">أبعاد، يضم كل بُعد </w:t>
      </w: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 xml:space="preserve">فقرات، بإجمالي </w:t>
      </w:r>
      <w:r w:rsidRPr="00913340">
        <w:rPr>
          <w:rFonts w:ascii="Simplified Arabic" w:eastAsia="Times New Roman" w:hAnsi="Simplified Arabic" w:cs="Simplified Arabic"/>
          <w:color w:val="000000" w:themeColor="text1"/>
          <w:kern w:val="0"/>
          <w:sz w:val="28"/>
          <w:szCs w:val="28"/>
          <w14:ligatures w14:val="none"/>
        </w:rPr>
        <w:t xml:space="preserve">(16) </w:t>
      </w:r>
      <w:r w:rsidRPr="00913340">
        <w:rPr>
          <w:rFonts w:ascii="Simplified Arabic" w:eastAsia="Times New Roman" w:hAnsi="Simplified Arabic" w:cs="Simplified Arabic"/>
          <w:color w:val="000000" w:themeColor="text1"/>
          <w:kern w:val="0"/>
          <w:sz w:val="28"/>
          <w:szCs w:val="28"/>
          <w:rtl/>
          <w14:ligatures w14:val="none"/>
        </w:rPr>
        <w:t>فقرة، وذلك على النحو التالي</w:t>
      </w:r>
      <w:r w:rsidRPr="00913340">
        <w:rPr>
          <w:rFonts w:ascii="Simplified Arabic" w:eastAsia="Times New Roman" w:hAnsi="Simplified Arabic" w:cs="Simplified Arabic"/>
          <w:color w:val="000000" w:themeColor="text1"/>
          <w:kern w:val="0"/>
          <w:sz w:val="28"/>
          <w:szCs w:val="28"/>
          <w14:ligatures w14:val="none"/>
        </w:rPr>
        <w:t>:</w:t>
      </w:r>
    </w:p>
    <w:tbl>
      <w:tblPr>
        <w:tblStyle w:val="GridTable6Colorful-Accent1"/>
        <w:bidiVisual/>
        <w:tblW w:w="4808" w:type="dxa"/>
        <w:jc w:val="center"/>
        <w:tblLook w:val="04A0" w:firstRow="1" w:lastRow="0" w:firstColumn="1" w:lastColumn="0" w:noHBand="0" w:noVBand="1"/>
      </w:tblPr>
      <w:tblGrid>
        <w:gridCol w:w="3268"/>
        <w:gridCol w:w="1540"/>
      </w:tblGrid>
      <w:tr w:rsidR="00FE784F" w:rsidRPr="00913340" w14:paraId="5206ABF4" w14:textId="77777777" w:rsidTr="00E155E5">
        <w:trPr>
          <w:cnfStyle w:val="100000000000" w:firstRow="1" w:lastRow="0" w:firstColumn="0" w:lastColumn="0" w:oddVBand="0" w:evenVBand="0" w:oddHBand="0"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DDA813" w14:textId="77777777" w:rsidR="00FE784F" w:rsidRPr="00913340" w:rsidRDefault="00FE784F" w:rsidP="00E155E5">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13340">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0685B1E7" w14:textId="77777777" w:rsidR="00FE784F" w:rsidRPr="00913340" w:rsidRDefault="00FE784F" w:rsidP="00E155E5">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913340">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FE784F" w:rsidRPr="00913340" w14:paraId="3A40F046" w14:textId="77777777" w:rsidTr="00E155E5">
        <w:trPr>
          <w:cnfStyle w:val="000000100000" w:firstRow="0" w:lastRow="0" w:firstColumn="0" w:lastColumn="0" w:oddVBand="0" w:evenVBand="0" w:oddHBand="1" w:evenHBand="0" w:firstRowFirstColumn="0" w:firstRowLastColumn="0" w:lastRowFirstColumn="0" w:lastRowLastColumn="0"/>
          <w:trHeight w:val="5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FFA2F4" w14:textId="77777777" w:rsidR="00FE784F" w:rsidRPr="00913340" w:rsidRDefault="00FE784F" w:rsidP="00E155E5">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13340">
              <w:rPr>
                <w:rFonts w:ascii="Simplified Arabic" w:eastAsia="Times New Roman" w:hAnsi="Simplified Arabic" w:cs="Simplified Arabic"/>
                <w:b w:val="0"/>
                <w:bCs w:val="0"/>
                <w:color w:val="000000" w:themeColor="text1"/>
                <w:kern w:val="0"/>
                <w:sz w:val="28"/>
                <w:szCs w:val="28"/>
                <w:rtl/>
                <w14:ligatures w14:val="none"/>
              </w:rPr>
              <w:t>تقييم المخاطر التقنية</w:t>
            </w:r>
          </w:p>
        </w:tc>
        <w:tc>
          <w:tcPr>
            <w:tcW w:w="0" w:type="auto"/>
            <w:vAlign w:val="center"/>
            <w:hideMark/>
          </w:tcPr>
          <w:p w14:paraId="3E1B5963" w14:textId="77777777" w:rsidR="00FE784F" w:rsidRPr="00913340" w:rsidRDefault="00FE784F" w:rsidP="00E155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فقرات</w:t>
            </w:r>
          </w:p>
        </w:tc>
      </w:tr>
      <w:tr w:rsidR="00FE784F" w:rsidRPr="00913340" w14:paraId="5B4F6C10" w14:textId="77777777" w:rsidTr="00E155E5">
        <w:trPr>
          <w:trHeight w:val="50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4E87F1" w14:textId="77777777" w:rsidR="00FE784F" w:rsidRPr="00913340" w:rsidRDefault="00FE784F" w:rsidP="00E155E5">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13340">
              <w:rPr>
                <w:rFonts w:ascii="Simplified Arabic" w:eastAsia="Times New Roman" w:hAnsi="Simplified Arabic" w:cs="Simplified Arabic"/>
                <w:b w:val="0"/>
                <w:bCs w:val="0"/>
                <w:color w:val="000000" w:themeColor="text1"/>
                <w:kern w:val="0"/>
                <w:sz w:val="28"/>
                <w:szCs w:val="28"/>
                <w:rtl/>
                <w14:ligatures w14:val="none"/>
              </w:rPr>
              <w:t>أمن البيانات والبنية التحتية</w:t>
            </w:r>
          </w:p>
        </w:tc>
        <w:tc>
          <w:tcPr>
            <w:tcW w:w="0" w:type="auto"/>
            <w:vAlign w:val="center"/>
            <w:hideMark/>
          </w:tcPr>
          <w:p w14:paraId="27C21293" w14:textId="77777777" w:rsidR="00FE784F" w:rsidRPr="00913340" w:rsidRDefault="00FE784F" w:rsidP="00E155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فقرات</w:t>
            </w:r>
          </w:p>
        </w:tc>
      </w:tr>
      <w:tr w:rsidR="00FE784F" w:rsidRPr="00913340" w14:paraId="1AE4360B" w14:textId="77777777" w:rsidTr="00E155E5">
        <w:trPr>
          <w:cnfStyle w:val="000000100000" w:firstRow="0" w:lastRow="0" w:firstColumn="0" w:lastColumn="0" w:oddVBand="0" w:evenVBand="0" w:oddHBand="1"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F199C7" w14:textId="77777777" w:rsidR="00FE784F" w:rsidRPr="00913340" w:rsidRDefault="00FE784F" w:rsidP="00E155E5">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13340">
              <w:rPr>
                <w:rFonts w:ascii="Simplified Arabic" w:eastAsia="Times New Roman" w:hAnsi="Simplified Arabic" w:cs="Simplified Arabic"/>
                <w:b w:val="0"/>
                <w:bCs w:val="0"/>
                <w:color w:val="000000" w:themeColor="text1"/>
                <w:kern w:val="0"/>
                <w:sz w:val="28"/>
                <w:szCs w:val="28"/>
                <w:rtl/>
                <w14:ligatures w14:val="none"/>
              </w:rPr>
              <w:t>حوكمة تكنولوجيا المعلومات</w:t>
            </w:r>
          </w:p>
        </w:tc>
        <w:tc>
          <w:tcPr>
            <w:tcW w:w="0" w:type="auto"/>
            <w:vAlign w:val="center"/>
            <w:hideMark/>
          </w:tcPr>
          <w:p w14:paraId="1FA5135A" w14:textId="77777777" w:rsidR="00FE784F" w:rsidRPr="00913340" w:rsidRDefault="00FE784F" w:rsidP="00E155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فقرات</w:t>
            </w:r>
          </w:p>
        </w:tc>
      </w:tr>
      <w:tr w:rsidR="00FE784F" w:rsidRPr="00913340" w14:paraId="06D12301" w14:textId="77777777" w:rsidTr="00E155E5">
        <w:trPr>
          <w:trHeight w:val="515"/>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FA0F60" w14:textId="77777777" w:rsidR="00FE784F" w:rsidRPr="00913340" w:rsidRDefault="00FE784F" w:rsidP="00E155E5">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13340">
              <w:rPr>
                <w:rFonts w:ascii="Simplified Arabic" w:eastAsia="Times New Roman" w:hAnsi="Simplified Arabic" w:cs="Simplified Arabic"/>
                <w:b w:val="0"/>
                <w:bCs w:val="0"/>
                <w:color w:val="000000" w:themeColor="text1"/>
                <w:kern w:val="0"/>
                <w:sz w:val="28"/>
                <w:szCs w:val="28"/>
                <w:rtl/>
                <w14:ligatures w14:val="none"/>
              </w:rPr>
              <w:t>المراقبة والتحسين المستمر</w:t>
            </w:r>
          </w:p>
        </w:tc>
        <w:tc>
          <w:tcPr>
            <w:tcW w:w="0" w:type="auto"/>
            <w:vAlign w:val="center"/>
            <w:hideMark/>
          </w:tcPr>
          <w:p w14:paraId="772CA55F" w14:textId="77777777" w:rsidR="00FE784F" w:rsidRPr="00913340" w:rsidRDefault="00FE784F" w:rsidP="00E155E5">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فقرات</w:t>
            </w:r>
          </w:p>
        </w:tc>
      </w:tr>
      <w:tr w:rsidR="00FE784F" w:rsidRPr="00913340" w14:paraId="4E2E4B2E" w14:textId="77777777" w:rsidTr="00E155E5">
        <w:trPr>
          <w:cnfStyle w:val="000000100000" w:firstRow="0" w:lastRow="0" w:firstColumn="0" w:lastColumn="0" w:oddVBand="0" w:evenVBand="0" w:oddHBand="1" w:evenHBand="0" w:firstRowFirstColumn="0" w:firstRowLastColumn="0" w:lastRowFirstColumn="0" w:lastRowLastColumn="0"/>
          <w:trHeight w:val="50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3889A6" w14:textId="77777777" w:rsidR="00FE784F" w:rsidRPr="00913340" w:rsidRDefault="00FE784F" w:rsidP="00E155E5">
            <w:pPr>
              <w:spacing w:before="100" w:beforeAutospacing="1" w:after="100" w:afterAutospacing="1" w:line="276" w:lineRule="auto"/>
              <w:jc w:val="center"/>
              <w:rPr>
                <w:rFonts w:ascii="Simplified Arabic" w:eastAsia="Times New Roman" w:hAnsi="Simplified Arabic" w:cs="Simplified Arabic"/>
                <w:b w:val="0"/>
                <w:bCs w:val="0"/>
                <w:color w:val="000000" w:themeColor="text1"/>
                <w:kern w:val="0"/>
                <w:sz w:val="28"/>
                <w:szCs w:val="28"/>
                <w14:ligatures w14:val="none"/>
              </w:rPr>
            </w:pPr>
            <w:r w:rsidRPr="00913340">
              <w:rPr>
                <w:rFonts w:ascii="Simplified Arabic" w:eastAsia="Times New Roman" w:hAnsi="Simplified Arabic" w:cs="Simplified Arabic"/>
                <w:b w:val="0"/>
                <w:bCs w:val="0"/>
                <w:color w:val="000000" w:themeColor="text1"/>
                <w:kern w:val="0"/>
                <w:sz w:val="28"/>
                <w:szCs w:val="28"/>
                <w:rtl/>
                <w14:ligatures w14:val="none"/>
              </w:rPr>
              <w:t>الإجمالي</w:t>
            </w:r>
          </w:p>
        </w:tc>
        <w:tc>
          <w:tcPr>
            <w:tcW w:w="0" w:type="auto"/>
            <w:vAlign w:val="center"/>
            <w:hideMark/>
          </w:tcPr>
          <w:p w14:paraId="34056632" w14:textId="77777777" w:rsidR="00FE784F" w:rsidRPr="00913340" w:rsidRDefault="00FE784F" w:rsidP="00E155E5">
            <w:pPr>
              <w:spacing w:before="100" w:beforeAutospacing="1" w:after="100" w:afterAutospacing="1" w:line="276"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14:ligatures w14:val="none"/>
              </w:rPr>
              <w:t xml:space="preserve">16 </w:t>
            </w:r>
            <w:r w:rsidRPr="00913340">
              <w:rPr>
                <w:rFonts w:ascii="Simplified Arabic" w:eastAsia="Times New Roman" w:hAnsi="Simplified Arabic" w:cs="Simplified Arabic"/>
                <w:color w:val="000000" w:themeColor="text1"/>
                <w:kern w:val="0"/>
                <w:sz w:val="28"/>
                <w:szCs w:val="28"/>
                <w:rtl/>
                <w14:ligatures w14:val="none"/>
              </w:rPr>
              <w:t>فقرة</w:t>
            </w:r>
          </w:p>
        </w:tc>
      </w:tr>
    </w:tbl>
    <w:p w14:paraId="62D84BCD" w14:textId="0B710244" w:rsidR="00FE784F" w:rsidRPr="00913340" w:rsidRDefault="00FE784F" w:rsidP="00E155E5">
      <w:pPr>
        <w:pStyle w:val="ListParagraph"/>
        <w:numPr>
          <w:ilvl w:val="0"/>
          <w:numId w:val="39"/>
        </w:numPr>
        <w:spacing w:before="100" w:beforeAutospacing="1" w:after="100" w:afterAutospacing="1" w:line="276" w:lineRule="auto"/>
        <w:ind w:left="424" w:hanging="357"/>
        <w:jc w:val="both"/>
        <w:rPr>
          <w:rFonts w:ascii="Simplified Arabic" w:eastAsia="Times New Roman" w:hAnsi="Simplified Arabic" w:cs="Simplified Arabic"/>
          <w:b/>
          <w:bCs/>
          <w:color w:val="000000" w:themeColor="text1"/>
          <w:kern w:val="0"/>
          <w:sz w:val="28"/>
          <w:szCs w:val="28"/>
          <w14:ligatures w14:val="none"/>
        </w:rPr>
      </w:pPr>
      <w:bookmarkStart w:id="32" w:name="_Toc223910610"/>
      <w:r w:rsidRPr="00913340">
        <w:rPr>
          <w:rFonts w:ascii="Simplified Arabic" w:eastAsia="Times New Roman" w:hAnsi="Simplified Arabic" w:cs="Simplified Arabic"/>
          <w:b/>
          <w:bCs/>
          <w:color w:val="000000" w:themeColor="text1"/>
          <w:kern w:val="0"/>
          <w:sz w:val="28"/>
          <w:szCs w:val="28"/>
          <w:rtl/>
          <w14:ligatures w14:val="none"/>
        </w:rPr>
        <w:lastRenderedPageBreak/>
        <w:t>القسم الثالث: المتغير التابع — دقة التنبؤات الجوية ودعم القرار</w:t>
      </w:r>
      <w:bookmarkEnd w:id="32"/>
      <w:r w:rsidR="00E155E5" w:rsidRPr="00913340">
        <w:rPr>
          <w:rFonts w:ascii="Simplified Arabic" w:eastAsia="Times New Roman" w:hAnsi="Simplified Arabic" w:cs="Simplified Arabic" w:hint="cs"/>
          <w:b/>
          <w:bCs/>
          <w:color w:val="000000" w:themeColor="text1"/>
          <w:kern w:val="0"/>
          <w:sz w:val="28"/>
          <w:szCs w:val="28"/>
          <w:rtl/>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سيتكون هذا القسم من محور واحد أُحادي البُعد يضم </w:t>
      </w:r>
      <w:r w:rsidRPr="00913340">
        <w:rPr>
          <w:rFonts w:ascii="Simplified Arabic" w:eastAsia="Times New Roman" w:hAnsi="Simplified Arabic" w:cs="Simplified Arabic"/>
          <w:color w:val="000000" w:themeColor="text1"/>
          <w:kern w:val="0"/>
          <w:sz w:val="28"/>
          <w:szCs w:val="28"/>
          <w14:ligatures w14:val="none"/>
        </w:rPr>
        <w:t xml:space="preserve">(12) </w:t>
      </w:r>
      <w:r w:rsidRPr="00913340">
        <w:rPr>
          <w:rFonts w:ascii="Simplified Arabic" w:eastAsia="Times New Roman" w:hAnsi="Simplified Arabic" w:cs="Simplified Arabic"/>
          <w:color w:val="000000" w:themeColor="text1"/>
          <w:kern w:val="0"/>
          <w:sz w:val="28"/>
          <w:szCs w:val="28"/>
          <w:rtl/>
          <w14:ligatures w14:val="none"/>
        </w:rPr>
        <w:t>فقرة تقيس مستوى دقة التنبؤات الجوية وفاعلية أنظمة دعم القرار في المركز الوطني للأرصاد</w:t>
      </w:r>
      <w:r w:rsidRPr="00913340">
        <w:rPr>
          <w:rFonts w:ascii="Simplified Arabic" w:eastAsia="Times New Roman" w:hAnsi="Simplified Arabic" w:cs="Simplified Arabic"/>
          <w:color w:val="000000" w:themeColor="text1"/>
          <w:kern w:val="0"/>
          <w:sz w:val="28"/>
          <w:szCs w:val="28"/>
          <w14:ligatures w14:val="none"/>
        </w:rPr>
        <w:t>.</w:t>
      </w:r>
    </w:p>
    <w:p w14:paraId="32F2CE6A"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ستتكون الاستبانة في صورتها النهائية من </w:t>
      </w:r>
      <w:r w:rsidRPr="00913340">
        <w:rPr>
          <w:rFonts w:ascii="Simplified Arabic" w:eastAsia="Times New Roman" w:hAnsi="Simplified Arabic" w:cs="Simplified Arabic"/>
          <w:color w:val="000000" w:themeColor="text1"/>
          <w:kern w:val="0"/>
          <w:sz w:val="28"/>
          <w:szCs w:val="28"/>
          <w14:ligatures w14:val="none"/>
        </w:rPr>
        <w:t xml:space="preserve">(28) </w:t>
      </w:r>
      <w:r w:rsidRPr="00913340">
        <w:rPr>
          <w:rFonts w:ascii="Simplified Arabic" w:eastAsia="Times New Roman" w:hAnsi="Simplified Arabic" w:cs="Simplified Arabic"/>
          <w:color w:val="000000" w:themeColor="text1"/>
          <w:kern w:val="0"/>
          <w:sz w:val="28"/>
          <w:szCs w:val="28"/>
          <w:rtl/>
          <w14:ligatures w14:val="none"/>
        </w:rPr>
        <w:t xml:space="preserve">فقرة موزعة على محاور المتغير المستقل والمتغير التابع، بالإضافة إلى </w:t>
      </w:r>
      <w:r w:rsidRPr="00913340">
        <w:rPr>
          <w:rFonts w:ascii="Simplified Arabic" w:eastAsia="Times New Roman" w:hAnsi="Simplified Arabic" w:cs="Simplified Arabic"/>
          <w:color w:val="000000" w:themeColor="text1"/>
          <w:kern w:val="0"/>
          <w:sz w:val="28"/>
          <w:szCs w:val="28"/>
          <w14:ligatures w14:val="none"/>
        </w:rPr>
        <w:t xml:space="preserve">(4) </w:t>
      </w:r>
      <w:r w:rsidRPr="00913340">
        <w:rPr>
          <w:rFonts w:ascii="Simplified Arabic" w:eastAsia="Times New Roman" w:hAnsi="Simplified Arabic" w:cs="Simplified Arabic"/>
          <w:color w:val="000000" w:themeColor="text1"/>
          <w:kern w:val="0"/>
          <w:sz w:val="28"/>
          <w:szCs w:val="28"/>
          <w:rtl/>
          <w14:ligatures w14:val="none"/>
        </w:rPr>
        <w:t>متغيرات ديموغرافية ووظيفية. وسيُستخدم مقياس ليكرت الخماسي (موافق بشدة = 5، موافق = 4، محايد = 3، غير موافق = 2، غير موافق بشدة = 1) لقياس استجابات المبحوثين على جميع فقرات الاستبانة</w:t>
      </w:r>
      <w:r w:rsidRPr="00913340">
        <w:rPr>
          <w:rFonts w:ascii="Simplified Arabic" w:eastAsia="Times New Roman" w:hAnsi="Simplified Arabic" w:cs="Simplified Arabic"/>
          <w:color w:val="000000" w:themeColor="text1"/>
          <w:kern w:val="0"/>
          <w:sz w:val="28"/>
          <w:szCs w:val="28"/>
          <w14:ligatures w14:val="none"/>
        </w:rPr>
        <w:t>.</w:t>
      </w:r>
    </w:p>
    <w:p w14:paraId="5510DA69" w14:textId="1DA98914" w:rsidR="00FE784F" w:rsidRPr="00913340" w:rsidRDefault="00E155E5" w:rsidP="00E155E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3" w:name="_Toc223910611"/>
      <w:bookmarkStart w:id="34" w:name="_Toc233883868"/>
      <w:r w:rsidRPr="00913340">
        <w:rPr>
          <w:rFonts w:ascii="Simplified Arabic" w:eastAsia="Times New Roman" w:hAnsi="Simplified Arabic" w:cs="Simplified Arabic" w:hint="cs"/>
          <w:b/>
          <w:bCs/>
          <w:color w:val="000000" w:themeColor="text1"/>
          <w:kern w:val="0"/>
          <w:sz w:val="36"/>
          <w:szCs w:val="36"/>
          <w:rtl/>
          <w14:ligatures w14:val="none"/>
        </w:rPr>
        <w:t xml:space="preserve">14.1 </w:t>
      </w:r>
      <w:r w:rsidR="00FE784F" w:rsidRPr="00913340">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3"/>
      <w:bookmarkEnd w:id="34"/>
    </w:p>
    <w:p w14:paraId="0297C5F7" w14:textId="77777777" w:rsidR="00FE784F" w:rsidRPr="00913340" w:rsidRDefault="00FE784F"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سيستعين الباحث ببرنامج الحزم الإحصائية للعلوم الاجتماعية </w:t>
      </w:r>
      <w:r w:rsidRPr="00913340">
        <w:rPr>
          <w:rFonts w:ascii="Simplified Arabic" w:eastAsia="Times New Roman" w:hAnsi="Simplified Arabic" w:cs="Simplified Arabic"/>
          <w:color w:val="000000" w:themeColor="text1"/>
          <w:kern w:val="0"/>
          <w:sz w:val="28"/>
          <w:szCs w:val="28"/>
          <w14:ligatures w14:val="none"/>
        </w:rPr>
        <w:t xml:space="preserve">(SPSS V.26) </w:t>
      </w:r>
      <w:r w:rsidRPr="00913340">
        <w:rPr>
          <w:rFonts w:ascii="Simplified Arabic" w:eastAsia="Times New Roman" w:hAnsi="Simplified Arabic" w:cs="Simplified Arabic"/>
          <w:color w:val="000000" w:themeColor="text1"/>
          <w:kern w:val="0"/>
          <w:sz w:val="28"/>
          <w:szCs w:val="28"/>
          <w:rtl/>
          <w14:ligatures w14:val="none"/>
        </w:rPr>
        <w:t xml:space="preserve">وبرنامج </w:t>
      </w:r>
      <w:r w:rsidRPr="00913340">
        <w:rPr>
          <w:rFonts w:ascii="Simplified Arabic" w:eastAsia="Times New Roman" w:hAnsi="Simplified Arabic" w:cs="Simplified Arabic"/>
          <w:color w:val="000000" w:themeColor="text1"/>
          <w:kern w:val="0"/>
          <w:sz w:val="28"/>
          <w:szCs w:val="28"/>
          <w14:ligatures w14:val="none"/>
        </w:rPr>
        <w:t xml:space="preserve">(AMOS V.24) </w:t>
      </w:r>
      <w:r w:rsidRPr="00913340">
        <w:rPr>
          <w:rFonts w:ascii="Simplified Arabic" w:eastAsia="Times New Roman" w:hAnsi="Simplified Arabic" w:cs="Simplified Arabic"/>
          <w:color w:val="000000" w:themeColor="text1"/>
          <w:kern w:val="0"/>
          <w:sz w:val="28"/>
          <w:szCs w:val="28"/>
          <w:rtl/>
          <w14:ligatures w14:val="none"/>
        </w:rPr>
        <w:t>للنمذجة بالمعادلات الهيكلية لتحليل بيانات الدراسة، وسيتم توظيف الأساليب الإحصائية التالية</w:t>
      </w:r>
      <w:r w:rsidRPr="00913340">
        <w:rPr>
          <w:rFonts w:ascii="Simplified Arabic" w:eastAsia="Times New Roman" w:hAnsi="Simplified Arabic" w:cs="Simplified Arabic"/>
          <w:color w:val="000000" w:themeColor="text1"/>
          <w:kern w:val="0"/>
          <w:sz w:val="28"/>
          <w:szCs w:val="28"/>
          <w14:ligatures w14:val="none"/>
        </w:rPr>
        <w:t>:</w:t>
      </w:r>
    </w:p>
    <w:p w14:paraId="139243B7"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5" w:name="_Toc223910612"/>
      <w:r w:rsidRPr="00913340">
        <w:rPr>
          <w:rFonts w:ascii="Simplified Arabic" w:eastAsia="Times New Roman" w:hAnsi="Simplified Arabic" w:cs="Simplified Arabic"/>
          <w:b/>
          <w:bCs/>
          <w:color w:val="000000" w:themeColor="text1"/>
          <w:kern w:val="0"/>
          <w:sz w:val="32"/>
          <w:szCs w:val="32"/>
          <w:rtl/>
          <w14:ligatures w14:val="none"/>
        </w:rPr>
        <w:t>أولاً: أساليب التحقق من صلاحية الأداة</w:t>
      </w:r>
      <w:bookmarkEnd w:id="35"/>
    </w:p>
    <w:p w14:paraId="6D3C72AF" w14:textId="77777777" w:rsidR="00FE784F" w:rsidRPr="00913340" w:rsidRDefault="00FE784F" w:rsidP="00E155E5">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معامل ألفا كرونباخ</w:t>
      </w:r>
      <w:r w:rsidRPr="00913340">
        <w:rPr>
          <w:rFonts w:ascii="Simplified Arabic" w:eastAsia="Times New Roman" w:hAnsi="Simplified Arabic" w:cs="Simplified Arabic"/>
          <w:color w:val="000000" w:themeColor="text1"/>
          <w:kern w:val="0"/>
          <w:sz w:val="28"/>
          <w:szCs w:val="28"/>
          <w14:ligatures w14:val="none"/>
        </w:rPr>
        <w:t xml:space="preserve"> (Cronbach's Alpha): </w:t>
      </w:r>
      <w:r w:rsidRPr="00913340">
        <w:rPr>
          <w:rFonts w:ascii="Simplified Arabic" w:eastAsia="Times New Roman" w:hAnsi="Simplified Arabic" w:cs="Simplified Arabic"/>
          <w:color w:val="000000" w:themeColor="text1"/>
          <w:kern w:val="0"/>
          <w:sz w:val="28"/>
          <w:szCs w:val="28"/>
          <w:rtl/>
          <w14:ligatures w14:val="none"/>
        </w:rPr>
        <w:t xml:space="preserve">سيُستخدم لقياس درجة ثبات أداة الدراسة والتأكد من الاتساق الداخلي لفقرات كل بُعد من أبعاد الاستبانة وللأداة ككل، حيث تُعدّ القيم الأعلى من </w:t>
      </w:r>
      <w:r w:rsidRPr="00913340">
        <w:rPr>
          <w:rFonts w:ascii="Simplified Arabic" w:eastAsia="Times New Roman" w:hAnsi="Simplified Arabic" w:cs="Simplified Arabic"/>
          <w:color w:val="000000" w:themeColor="text1"/>
          <w:kern w:val="0"/>
          <w:sz w:val="28"/>
          <w:szCs w:val="28"/>
          <w14:ligatures w14:val="none"/>
        </w:rPr>
        <w:t xml:space="preserve">(0.70) </w:t>
      </w:r>
      <w:r w:rsidRPr="00913340">
        <w:rPr>
          <w:rFonts w:ascii="Simplified Arabic" w:eastAsia="Times New Roman" w:hAnsi="Simplified Arabic" w:cs="Simplified Arabic"/>
          <w:color w:val="000000" w:themeColor="text1"/>
          <w:kern w:val="0"/>
          <w:sz w:val="28"/>
          <w:szCs w:val="28"/>
          <w:rtl/>
          <w14:ligatures w14:val="none"/>
        </w:rPr>
        <w:t>مقبولة إحصائياً</w:t>
      </w:r>
      <w:r w:rsidRPr="00913340">
        <w:rPr>
          <w:rFonts w:ascii="Simplified Arabic" w:eastAsia="Times New Roman" w:hAnsi="Simplified Arabic" w:cs="Simplified Arabic"/>
          <w:color w:val="000000" w:themeColor="text1"/>
          <w:kern w:val="0"/>
          <w:sz w:val="28"/>
          <w:szCs w:val="28"/>
          <w14:ligatures w14:val="none"/>
        </w:rPr>
        <w:t>.</w:t>
      </w:r>
    </w:p>
    <w:p w14:paraId="4308A50D" w14:textId="77777777" w:rsidR="00FE784F" w:rsidRPr="00913340" w:rsidRDefault="00FE784F" w:rsidP="00E155E5">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معامل ارتباط بيرسون</w:t>
      </w:r>
      <w:r w:rsidRPr="00913340">
        <w:rPr>
          <w:rFonts w:ascii="Simplified Arabic" w:eastAsia="Times New Roman" w:hAnsi="Simplified Arabic" w:cs="Simplified Arabic"/>
          <w:color w:val="000000" w:themeColor="text1"/>
          <w:kern w:val="0"/>
          <w:sz w:val="28"/>
          <w:szCs w:val="28"/>
          <w14:ligatures w14:val="none"/>
        </w:rPr>
        <w:t xml:space="preserve"> (Pearson Correlation Coefficient): </w:t>
      </w:r>
      <w:r w:rsidRPr="00913340">
        <w:rPr>
          <w:rFonts w:ascii="Simplified Arabic" w:eastAsia="Times New Roman" w:hAnsi="Simplified Arabic" w:cs="Simplified Arabic"/>
          <w:color w:val="000000" w:themeColor="text1"/>
          <w:kern w:val="0"/>
          <w:sz w:val="28"/>
          <w:szCs w:val="28"/>
          <w:rtl/>
          <w14:ligatures w14:val="none"/>
        </w:rPr>
        <w:t>سيُستخدم لقياس صدق الاتساق الداخلي من خلال حساب معاملات الارتباط بين درجة كل فقرة والدرجة الكلية للبُعد الذي تنتمي إليه، وبين درجة كل بُعد والدرجة الكلية للاستبانة</w:t>
      </w:r>
      <w:r w:rsidRPr="00913340">
        <w:rPr>
          <w:rFonts w:ascii="Simplified Arabic" w:eastAsia="Times New Roman" w:hAnsi="Simplified Arabic" w:cs="Simplified Arabic"/>
          <w:color w:val="000000" w:themeColor="text1"/>
          <w:kern w:val="0"/>
          <w:sz w:val="28"/>
          <w:szCs w:val="28"/>
          <w14:ligatures w14:val="none"/>
        </w:rPr>
        <w:t>.</w:t>
      </w:r>
    </w:p>
    <w:p w14:paraId="3DB0B8C4" w14:textId="77777777" w:rsidR="00FE784F" w:rsidRPr="00913340" w:rsidRDefault="00FE784F" w:rsidP="00E155E5">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التحليل العاملي التوكيدي</w:t>
      </w:r>
      <w:r w:rsidRPr="00913340">
        <w:rPr>
          <w:rFonts w:ascii="Simplified Arabic" w:eastAsia="Times New Roman" w:hAnsi="Simplified Arabic" w:cs="Simplified Arabic"/>
          <w:color w:val="000000" w:themeColor="text1"/>
          <w:kern w:val="0"/>
          <w:sz w:val="28"/>
          <w:szCs w:val="28"/>
          <w14:ligatures w14:val="none"/>
        </w:rPr>
        <w:t xml:space="preserve"> (Confirmatory Factor Analysis - CFA): </w:t>
      </w:r>
      <w:r w:rsidRPr="00913340">
        <w:rPr>
          <w:rFonts w:ascii="Simplified Arabic" w:eastAsia="Times New Roman" w:hAnsi="Simplified Arabic" w:cs="Simplified Arabic"/>
          <w:color w:val="000000" w:themeColor="text1"/>
          <w:kern w:val="0"/>
          <w:sz w:val="28"/>
          <w:szCs w:val="28"/>
          <w:rtl/>
          <w14:ligatures w14:val="none"/>
        </w:rPr>
        <w:t>سيُستخدم باستخدام برنامج</w:t>
      </w:r>
      <w:r w:rsidRPr="00913340">
        <w:rPr>
          <w:rFonts w:ascii="Simplified Arabic" w:eastAsia="Times New Roman" w:hAnsi="Simplified Arabic" w:cs="Simplified Arabic"/>
          <w:color w:val="000000" w:themeColor="text1"/>
          <w:kern w:val="0"/>
          <w:sz w:val="28"/>
          <w:szCs w:val="28"/>
          <w14:ligatures w14:val="none"/>
        </w:rPr>
        <w:t xml:space="preserve"> AMOS </w:t>
      </w:r>
      <w:r w:rsidRPr="00913340">
        <w:rPr>
          <w:rFonts w:ascii="Simplified Arabic" w:eastAsia="Times New Roman" w:hAnsi="Simplified Arabic" w:cs="Simplified Arabic"/>
          <w:color w:val="000000" w:themeColor="text1"/>
          <w:kern w:val="0"/>
          <w:sz w:val="28"/>
          <w:szCs w:val="28"/>
          <w:rtl/>
          <w14:ligatures w14:val="none"/>
        </w:rPr>
        <w:t>للتحقق من صدق البناء والتأكد من أن البيانات تتوافق مع النموذج النظري المفترض للدراسة، ولتقييم مؤشرات حسن المطابقة مثل</w:t>
      </w:r>
      <w:r w:rsidRPr="00913340">
        <w:rPr>
          <w:rFonts w:ascii="Simplified Arabic" w:eastAsia="Times New Roman" w:hAnsi="Simplified Arabic" w:cs="Simplified Arabic"/>
          <w:color w:val="000000" w:themeColor="text1"/>
          <w:kern w:val="0"/>
          <w:sz w:val="28"/>
          <w:szCs w:val="28"/>
          <w14:ligatures w14:val="none"/>
        </w:rPr>
        <w:t xml:space="preserve"> (GFI, CFI, RMSEA, Chi-Square/df).</w:t>
      </w:r>
    </w:p>
    <w:p w14:paraId="3FAD1743"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6" w:name="_Toc223910613"/>
      <w:r w:rsidRPr="00913340">
        <w:rPr>
          <w:rFonts w:ascii="Simplified Arabic" w:eastAsia="Times New Roman" w:hAnsi="Simplified Arabic" w:cs="Simplified Arabic"/>
          <w:b/>
          <w:bCs/>
          <w:color w:val="000000" w:themeColor="text1"/>
          <w:kern w:val="0"/>
          <w:sz w:val="32"/>
          <w:szCs w:val="32"/>
          <w:rtl/>
          <w14:ligatures w14:val="none"/>
        </w:rPr>
        <w:t>ثانياً: أساليب الإحصاء الوصفي</w:t>
      </w:r>
      <w:bookmarkEnd w:id="36"/>
    </w:p>
    <w:p w14:paraId="6E6239EE" w14:textId="77777777" w:rsidR="00FE784F" w:rsidRPr="00913340" w:rsidRDefault="00FE784F" w:rsidP="00E155E5">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ستُستخدم لوصف خصائص عينة الدراسة وفقاً للمتغيرات الديموغرافية والوظيفية </w:t>
      </w:r>
      <w:r w:rsidRPr="00913340">
        <w:rPr>
          <w:rFonts w:ascii="Simplified Arabic" w:eastAsia="Times New Roman" w:hAnsi="Simplified Arabic" w:cs="Simplified Arabic"/>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rtl/>
          <w14:ligatures w14:val="none"/>
        </w:rPr>
        <w:t>المؤهل العلمي، سنوات الخبرة، التخصص الوظيفي، المستوى الإداري</w:t>
      </w:r>
      <w:r w:rsidRPr="00913340">
        <w:rPr>
          <w:rFonts w:ascii="Simplified Arabic" w:eastAsia="Times New Roman" w:hAnsi="Simplified Arabic" w:cs="Simplified Arabic"/>
          <w:color w:val="000000" w:themeColor="text1"/>
          <w:kern w:val="0"/>
          <w:sz w:val="28"/>
          <w:szCs w:val="28"/>
          <w14:ligatures w14:val="none"/>
        </w:rPr>
        <w:t>).</w:t>
      </w:r>
    </w:p>
    <w:p w14:paraId="4955626F" w14:textId="77777777" w:rsidR="00FE784F" w:rsidRPr="00913340" w:rsidRDefault="00FE784F" w:rsidP="00E155E5">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المتوسطات الحسابية</w:t>
      </w:r>
      <w:r w:rsidRPr="00913340">
        <w:rPr>
          <w:rFonts w:ascii="Simplified Arabic" w:eastAsia="Times New Roman" w:hAnsi="Simplified Arabic" w:cs="Simplified Arabic"/>
          <w:color w:val="000000" w:themeColor="text1"/>
          <w:kern w:val="0"/>
          <w:sz w:val="28"/>
          <w:szCs w:val="28"/>
          <w14:ligatures w14:val="none"/>
        </w:rPr>
        <w:t xml:space="preserve"> (Means): </w:t>
      </w:r>
      <w:r w:rsidRPr="00913340">
        <w:rPr>
          <w:rFonts w:ascii="Simplified Arabic" w:eastAsia="Times New Roman" w:hAnsi="Simplified Arabic" w:cs="Simplified Arabic"/>
          <w:color w:val="000000" w:themeColor="text1"/>
          <w:kern w:val="0"/>
          <w:sz w:val="28"/>
          <w:szCs w:val="28"/>
          <w:rtl/>
          <w14:ligatures w14:val="none"/>
        </w:rPr>
        <w:t>ستُستخدم لتحديد مستوى استجابات أفراد العينة على كل فقرة من فقرات الاستبانة وعلى كل بُعد والأداة ككل، وترتيب الأبعاد والفقرات وفقاً لدرجة الموافقة</w:t>
      </w:r>
      <w:r w:rsidRPr="00913340">
        <w:rPr>
          <w:rFonts w:ascii="Simplified Arabic" w:eastAsia="Times New Roman" w:hAnsi="Simplified Arabic" w:cs="Simplified Arabic"/>
          <w:color w:val="000000" w:themeColor="text1"/>
          <w:kern w:val="0"/>
          <w:sz w:val="28"/>
          <w:szCs w:val="28"/>
          <w14:ligatures w14:val="none"/>
        </w:rPr>
        <w:t>.</w:t>
      </w:r>
    </w:p>
    <w:p w14:paraId="6BAE29A4" w14:textId="77777777" w:rsidR="00FE784F" w:rsidRPr="00913340" w:rsidRDefault="00FE784F" w:rsidP="00E155E5">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الانحرافات المعيارية</w:t>
      </w:r>
      <w:r w:rsidRPr="00913340">
        <w:rPr>
          <w:rFonts w:ascii="Simplified Arabic" w:eastAsia="Times New Roman" w:hAnsi="Simplified Arabic" w:cs="Simplified Arabic"/>
          <w:color w:val="000000" w:themeColor="text1"/>
          <w:kern w:val="0"/>
          <w:sz w:val="28"/>
          <w:szCs w:val="28"/>
          <w14:ligatures w14:val="none"/>
        </w:rPr>
        <w:t xml:space="preserve"> (Standard Deviations): </w:t>
      </w:r>
      <w:r w:rsidRPr="00913340">
        <w:rPr>
          <w:rFonts w:ascii="Simplified Arabic" w:eastAsia="Times New Roman" w:hAnsi="Simplified Arabic" w:cs="Simplified Arabic"/>
          <w:color w:val="000000" w:themeColor="text1"/>
          <w:kern w:val="0"/>
          <w:sz w:val="28"/>
          <w:szCs w:val="28"/>
          <w:rtl/>
          <w14:ligatures w14:val="none"/>
        </w:rPr>
        <w:t>ستُستخدم للتعرف على مدى تشتت استجابات أفراد العينة عن المتوسط الحسابي، والكشف عن درجة التجانس أو التباين في الآراء</w:t>
      </w:r>
      <w:r w:rsidRPr="00913340">
        <w:rPr>
          <w:rFonts w:ascii="Simplified Arabic" w:eastAsia="Times New Roman" w:hAnsi="Simplified Arabic" w:cs="Simplified Arabic"/>
          <w:color w:val="000000" w:themeColor="text1"/>
          <w:kern w:val="0"/>
          <w:sz w:val="28"/>
          <w:szCs w:val="28"/>
          <w14:ligatures w14:val="none"/>
        </w:rPr>
        <w:t>.</w:t>
      </w:r>
    </w:p>
    <w:p w14:paraId="1380794F" w14:textId="77777777" w:rsidR="00FE784F" w:rsidRPr="00913340" w:rsidRDefault="00FE784F" w:rsidP="00E155E5">
      <w:pPr>
        <w:pStyle w:val="ListParagraph"/>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الأهمية النسبية</w:t>
      </w:r>
      <w:r w:rsidRPr="00913340">
        <w:rPr>
          <w:rFonts w:ascii="Simplified Arabic" w:eastAsia="Times New Roman" w:hAnsi="Simplified Arabic" w:cs="Simplified Arabic"/>
          <w:color w:val="000000" w:themeColor="text1"/>
          <w:kern w:val="0"/>
          <w:sz w:val="28"/>
          <w:szCs w:val="28"/>
          <w14:ligatures w14:val="none"/>
        </w:rPr>
        <w:t xml:space="preserve"> (Relative Importance): </w:t>
      </w:r>
      <w:r w:rsidRPr="00913340">
        <w:rPr>
          <w:rFonts w:ascii="Simplified Arabic" w:eastAsia="Times New Roman" w:hAnsi="Simplified Arabic" w:cs="Simplified Arabic"/>
          <w:color w:val="000000" w:themeColor="text1"/>
          <w:kern w:val="0"/>
          <w:sz w:val="28"/>
          <w:szCs w:val="28"/>
          <w:rtl/>
          <w14:ligatures w14:val="none"/>
        </w:rPr>
        <w:t>ستُستخدم لترتيب أبعاد المتغير المستقل وفقاً لأهميتها من وجهة نظر المبحوثين</w:t>
      </w:r>
      <w:r w:rsidRPr="00913340">
        <w:rPr>
          <w:rFonts w:ascii="Simplified Arabic" w:eastAsia="Times New Roman" w:hAnsi="Simplified Arabic" w:cs="Simplified Arabic"/>
          <w:color w:val="000000" w:themeColor="text1"/>
          <w:kern w:val="0"/>
          <w:sz w:val="28"/>
          <w:szCs w:val="28"/>
          <w14:ligatures w14:val="none"/>
        </w:rPr>
        <w:t>.</w:t>
      </w:r>
    </w:p>
    <w:p w14:paraId="42BA8193" w14:textId="77777777" w:rsidR="00FE784F" w:rsidRPr="00913340" w:rsidRDefault="00FE784F"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37" w:name="_Toc223910614"/>
      <w:r w:rsidRPr="00913340">
        <w:rPr>
          <w:rFonts w:ascii="Simplified Arabic" w:eastAsia="Times New Roman" w:hAnsi="Simplified Arabic" w:cs="Simplified Arabic"/>
          <w:b/>
          <w:bCs/>
          <w:color w:val="000000" w:themeColor="text1"/>
          <w:kern w:val="0"/>
          <w:sz w:val="32"/>
          <w:szCs w:val="32"/>
          <w:rtl/>
          <w14:ligatures w14:val="none"/>
        </w:rPr>
        <w:t>ثالثاً: أساليب الإحصاء الاستدلالي</w:t>
      </w:r>
      <w:bookmarkEnd w:id="37"/>
    </w:p>
    <w:p w14:paraId="0809AEE3" w14:textId="77777777" w:rsidR="00FE784F" w:rsidRPr="00913340" w:rsidRDefault="00FE784F" w:rsidP="00E155E5">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913340">
        <w:rPr>
          <w:rFonts w:ascii="Simplified Arabic" w:eastAsia="Times New Roman" w:hAnsi="Simplified Arabic" w:cs="Simplified Arabic"/>
          <w:color w:val="000000" w:themeColor="text1"/>
          <w:kern w:val="0"/>
          <w:sz w:val="28"/>
          <w:szCs w:val="28"/>
          <w14:ligatures w14:val="none"/>
        </w:rPr>
        <w:t xml:space="preserve"> (Simple Linear Regression): </w:t>
      </w:r>
      <w:r w:rsidRPr="00913340">
        <w:rPr>
          <w:rFonts w:ascii="Simplified Arabic" w:eastAsia="Times New Roman" w:hAnsi="Simplified Arabic" w:cs="Simplified Arabic"/>
          <w:color w:val="000000" w:themeColor="text1"/>
          <w:kern w:val="0"/>
          <w:sz w:val="28"/>
          <w:szCs w:val="28"/>
          <w:rtl/>
          <w14:ligatures w14:val="none"/>
        </w:rPr>
        <w:t xml:space="preserve">سيُستخدم لاختبار أثر كل بُعد من أبعاد إدارة مخاطر تكنولوجيا البيانات </w:t>
      </w:r>
      <w:r w:rsidRPr="00913340">
        <w:rPr>
          <w:rFonts w:ascii="Simplified Arabic" w:eastAsia="Times New Roman" w:hAnsi="Simplified Arabic" w:cs="Simplified Arabic"/>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rtl/>
          <w14:ligatures w14:val="none"/>
        </w:rPr>
        <w:t>تقييم المخاطر التقنية، أمن البيانات والبنية التحتية، حوكمة تكنولوجيا المعلومات، المراقبة والتحسين المستمر) منفرداً على دقة التنبؤات الجوية ودعم القرار</w:t>
      </w:r>
      <w:r w:rsidRPr="00913340">
        <w:rPr>
          <w:rFonts w:ascii="Simplified Arabic" w:eastAsia="Times New Roman" w:hAnsi="Simplified Arabic" w:cs="Simplified Arabic"/>
          <w:color w:val="000000" w:themeColor="text1"/>
          <w:kern w:val="0"/>
          <w:sz w:val="28"/>
          <w:szCs w:val="28"/>
          <w14:ligatures w14:val="none"/>
        </w:rPr>
        <w:t>.</w:t>
      </w:r>
    </w:p>
    <w:p w14:paraId="7686DCB4" w14:textId="77777777" w:rsidR="00FE784F" w:rsidRPr="00913340" w:rsidRDefault="00FE784F" w:rsidP="00E155E5">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913340">
        <w:rPr>
          <w:rFonts w:ascii="Simplified Arabic" w:eastAsia="Times New Roman" w:hAnsi="Simplified Arabic" w:cs="Simplified Arabic"/>
          <w:color w:val="000000" w:themeColor="text1"/>
          <w:kern w:val="0"/>
          <w:sz w:val="28"/>
          <w:szCs w:val="28"/>
          <w14:ligatures w14:val="none"/>
        </w:rPr>
        <w:t xml:space="preserve"> (Multiple Linear Regression): </w:t>
      </w:r>
      <w:r w:rsidRPr="00913340">
        <w:rPr>
          <w:rFonts w:ascii="Simplified Arabic" w:eastAsia="Times New Roman" w:hAnsi="Simplified Arabic" w:cs="Simplified Arabic"/>
          <w:color w:val="000000" w:themeColor="text1"/>
          <w:kern w:val="0"/>
          <w:sz w:val="28"/>
          <w:szCs w:val="28"/>
          <w:rtl/>
          <w14:ligatures w14:val="none"/>
        </w:rPr>
        <w:t>سيُستخدم لاختبار الأثر المشترك لأبعاد إدارة مخاطر تكنولوجيا البيانات مجتمعة على دقة التنبؤات الجوية ودعم القرار، وتحديد الأبعاد الأكثر تأثيراً وقدرة تفسيرية</w:t>
      </w:r>
      <w:r w:rsidRPr="00913340">
        <w:rPr>
          <w:rFonts w:ascii="Simplified Arabic" w:eastAsia="Times New Roman" w:hAnsi="Simplified Arabic" w:cs="Simplified Arabic"/>
          <w:color w:val="000000" w:themeColor="text1"/>
          <w:kern w:val="0"/>
          <w:sz w:val="28"/>
          <w:szCs w:val="28"/>
          <w14:ligatures w14:val="none"/>
        </w:rPr>
        <w:t>.</w:t>
      </w:r>
    </w:p>
    <w:p w14:paraId="2ECDE5F8" w14:textId="77777777" w:rsidR="00FE784F" w:rsidRPr="00913340" w:rsidRDefault="00FE784F" w:rsidP="00E155E5">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معامل التحديد</w:t>
      </w:r>
      <w:r w:rsidRPr="00913340">
        <w:rPr>
          <w:rFonts w:ascii="Simplified Arabic" w:eastAsia="Times New Roman" w:hAnsi="Simplified Arabic" w:cs="Simplified Arabic"/>
          <w:color w:val="000000" w:themeColor="text1"/>
          <w:kern w:val="0"/>
          <w:sz w:val="28"/>
          <w:szCs w:val="28"/>
          <w14:ligatures w14:val="none"/>
        </w:rPr>
        <w:t xml:space="preserve"> (R²): </w:t>
      </w:r>
      <w:r w:rsidRPr="00913340">
        <w:rPr>
          <w:rFonts w:ascii="Simplified Arabic" w:eastAsia="Times New Roman" w:hAnsi="Simplified Arabic" w:cs="Simplified Arabic"/>
          <w:color w:val="000000" w:themeColor="text1"/>
          <w:kern w:val="0"/>
          <w:sz w:val="28"/>
          <w:szCs w:val="28"/>
          <w:rtl/>
          <w14:ligatures w14:val="none"/>
        </w:rPr>
        <w:t>سيُستخدم لتحديد نسبة التباين في المتغير التابع (دقة التنبؤات الجوية ودعم القرار) التي تُفسّرها أبعاد المتغير المستقل (إدارة مخاطر تكنولوجيا البيانات</w:t>
      </w:r>
      <w:r w:rsidRPr="00913340">
        <w:rPr>
          <w:rFonts w:ascii="Simplified Arabic" w:eastAsia="Times New Roman" w:hAnsi="Simplified Arabic" w:cs="Simplified Arabic"/>
          <w:color w:val="000000" w:themeColor="text1"/>
          <w:kern w:val="0"/>
          <w:sz w:val="28"/>
          <w:szCs w:val="28"/>
          <w14:ligatures w14:val="none"/>
        </w:rPr>
        <w:t>).</w:t>
      </w:r>
    </w:p>
    <w:p w14:paraId="2BFC293F" w14:textId="77777777" w:rsidR="00FE784F" w:rsidRPr="00913340" w:rsidRDefault="00FE784F" w:rsidP="00E155E5">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اختبار</w:t>
      </w:r>
      <w:r w:rsidRPr="00913340">
        <w:rPr>
          <w:rFonts w:ascii="Simplified Arabic" w:eastAsia="Times New Roman" w:hAnsi="Simplified Arabic" w:cs="Simplified Arabic"/>
          <w:color w:val="000000" w:themeColor="text1"/>
          <w:kern w:val="0"/>
          <w:sz w:val="28"/>
          <w:szCs w:val="28"/>
          <w14:ligatures w14:val="none"/>
        </w:rPr>
        <w:t xml:space="preserve"> (F-Test): </w:t>
      </w:r>
      <w:r w:rsidRPr="00913340">
        <w:rPr>
          <w:rFonts w:ascii="Simplified Arabic" w:eastAsia="Times New Roman" w:hAnsi="Simplified Arabic" w:cs="Simplified Arabic"/>
          <w:color w:val="000000" w:themeColor="text1"/>
          <w:kern w:val="0"/>
          <w:sz w:val="28"/>
          <w:szCs w:val="28"/>
          <w:rtl/>
          <w14:ligatures w14:val="none"/>
        </w:rPr>
        <w:t>سيُستخدم للتحقق من معنوية نموذج الانحدار الكلي ومدى صلاحيته لتفسير العلاقة بين المتغيرات المستقلة والمتغير التابع</w:t>
      </w:r>
      <w:r w:rsidRPr="00913340">
        <w:rPr>
          <w:rFonts w:ascii="Simplified Arabic" w:eastAsia="Times New Roman" w:hAnsi="Simplified Arabic" w:cs="Simplified Arabic"/>
          <w:color w:val="000000" w:themeColor="text1"/>
          <w:kern w:val="0"/>
          <w:sz w:val="28"/>
          <w:szCs w:val="28"/>
          <w14:ligatures w14:val="none"/>
        </w:rPr>
        <w:t>.</w:t>
      </w:r>
    </w:p>
    <w:p w14:paraId="03C71AAD" w14:textId="77777777" w:rsidR="00FE784F" w:rsidRPr="00913340" w:rsidRDefault="00FE784F" w:rsidP="00E155E5">
      <w:pPr>
        <w:pStyle w:val="ListParagraph"/>
        <w:numPr>
          <w:ilvl w:val="0"/>
          <w:numId w:val="40"/>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اختبار</w:t>
      </w:r>
      <w:r w:rsidRPr="00913340">
        <w:rPr>
          <w:rFonts w:ascii="Simplified Arabic" w:eastAsia="Times New Roman" w:hAnsi="Simplified Arabic" w:cs="Simplified Arabic"/>
          <w:color w:val="000000" w:themeColor="text1"/>
          <w:kern w:val="0"/>
          <w:sz w:val="28"/>
          <w:szCs w:val="28"/>
          <w14:ligatures w14:val="none"/>
        </w:rPr>
        <w:t xml:space="preserve"> (T-Test) </w:t>
      </w:r>
      <w:r w:rsidRPr="00913340">
        <w:rPr>
          <w:rFonts w:ascii="Simplified Arabic" w:eastAsia="Times New Roman" w:hAnsi="Simplified Arabic" w:cs="Simplified Arabic"/>
          <w:color w:val="000000" w:themeColor="text1"/>
          <w:kern w:val="0"/>
          <w:sz w:val="28"/>
          <w:szCs w:val="28"/>
          <w:rtl/>
          <w14:ligatures w14:val="none"/>
        </w:rPr>
        <w:t>للعينات المستقلة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سيُستخدم لاختبار دلالة الفروق الإحصائية في استجابات أفراد العينة وفقاً للمتغيرات الديموغرافية ثنائية الفئات</w:t>
      </w:r>
      <w:r w:rsidRPr="00913340">
        <w:rPr>
          <w:rFonts w:ascii="Simplified Arabic" w:eastAsia="Times New Roman" w:hAnsi="Simplified Arabic" w:cs="Simplified Arabic"/>
          <w:color w:val="000000" w:themeColor="text1"/>
          <w:kern w:val="0"/>
          <w:sz w:val="28"/>
          <w:szCs w:val="28"/>
          <w14:ligatures w14:val="none"/>
        </w:rPr>
        <w:t>.</w:t>
      </w:r>
    </w:p>
    <w:p w14:paraId="760B4DDA" w14:textId="72099E51" w:rsidR="00FE784F" w:rsidRPr="00913340" w:rsidRDefault="00E155E5" w:rsidP="00E155E5">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8" w:name="_Toc223910615"/>
      <w:bookmarkStart w:id="39" w:name="_Toc233883869"/>
      <w:r w:rsidRPr="00913340">
        <w:rPr>
          <w:rFonts w:ascii="Simplified Arabic" w:eastAsia="Times New Roman" w:hAnsi="Simplified Arabic" w:cs="Simplified Arabic" w:hint="cs"/>
          <w:b/>
          <w:bCs/>
          <w:color w:val="000000" w:themeColor="text1"/>
          <w:kern w:val="0"/>
          <w:sz w:val="36"/>
          <w:szCs w:val="36"/>
          <w:rtl/>
          <w14:ligatures w14:val="none"/>
        </w:rPr>
        <w:t xml:space="preserve">15.1 </w:t>
      </w:r>
      <w:r w:rsidR="00FE784F" w:rsidRPr="00913340">
        <w:rPr>
          <w:rFonts w:ascii="Simplified Arabic" w:eastAsia="Times New Roman" w:hAnsi="Simplified Arabic" w:cs="Simplified Arabic"/>
          <w:b/>
          <w:bCs/>
          <w:color w:val="000000" w:themeColor="text1"/>
          <w:kern w:val="0"/>
          <w:sz w:val="36"/>
          <w:szCs w:val="36"/>
          <w:rtl/>
          <w14:ligatures w14:val="none"/>
        </w:rPr>
        <w:t>حدود الدراسة</w:t>
      </w:r>
      <w:bookmarkEnd w:id="38"/>
      <w:bookmarkEnd w:id="39"/>
    </w:p>
    <w:p w14:paraId="2AB6A406" w14:textId="77777777" w:rsidR="00FE784F" w:rsidRPr="00913340" w:rsidRDefault="00FE784F" w:rsidP="00E155E5">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الحدود الموضوعية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إدارة مخاطر تكنولوجيا البيانات بأبعادها الأربعة </w:t>
      </w:r>
      <w:r w:rsidRPr="00913340">
        <w:rPr>
          <w:rFonts w:ascii="Simplified Arabic" w:eastAsia="Times New Roman" w:hAnsi="Simplified Arabic" w:cs="Simplified Arabic"/>
          <w:color w:val="000000" w:themeColor="text1"/>
          <w:kern w:val="0"/>
          <w:sz w:val="28"/>
          <w:szCs w:val="28"/>
          <w14:ligatures w14:val="none"/>
        </w:rPr>
        <w:t>(</w:t>
      </w:r>
      <w:r w:rsidRPr="00913340">
        <w:rPr>
          <w:rFonts w:ascii="Simplified Arabic" w:eastAsia="Times New Roman" w:hAnsi="Simplified Arabic" w:cs="Simplified Arabic"/>
          <w:color w:val="000000" w:themeColor="text1"/>
          <w:kern w:val="0"/>
          <w:sz w:val="28"/>
          <w:szCs w:val="28"/>
          <w:rtl/>
          <w14:ligatures w14:val="none"/>
        </w:rPr>
        <w:t>تقييم المخاطر التقنية، أمن البيانات والبنية التحتية، حوكمة تكنولوجيا المعلومات، المراقبة والتحسين المستمر) على دقة التنبؤات الجوية ودعم القرار</w:t>
      </w:r>
      <w:r w:rsidRPr="00913340">
        <w:rPr>
          <w:rFonts w:ascii="Simplified Arabic" w:eastAsia="Times New Roman" w:hAnsi="Simplified Arabic" w:cs="Simplified Arabic"/>
          <w:color w:val="000000" w:themeColor="text1"/>
          <w:kern w:val="0"/>
          <w:sz w:val="28"/>
          <w:szCs w:val="28"/>
          <w14:ligatures w14:val="none"/>
        </w:rPr>
        <w:t>.</w:t>
      </w:r>
    </w:p>
    <w:p w14:paraId="3BBF4F86" w14:textId="77777777" w:rsidR="00FE784F" w:rsidRPr="00913340" w:rsidRDefault="00FE784F" w:rsidP="00E155E5">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الحدود المكانية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ستُطبق الدراسة في المركز الوطني للأرصاد بالمملكة العربية السعودية بمقره الرئيسي في مدينة جدة وفروعه الإقليمية المنتشرة في مختلف مناطق المملكة</w:t>
      </w:r>
      <w:r w:rsidRPr="00913340">
        <w:rPr>
          <w:rFonts w:ascii="Simplified Arabic" w:eastAsia="Times New Roman" w:hAnsi="Simplified Arabic" w:cs="Simplified Arabic"/>
          <w:color w:val="000000" w:themeColor="text1"/>
          <w:kern w:val="0"/>
          <w:sz w:val="28"/>
          <w:szCs w:val="28"/>
          <w14:ligatures w14:val="none"/>
        </w:rPr>
        <w:t>.</w:t>
      </w:r>
    </w:p>
    <w:p w14:paraId="355A9D40" w14:textId="77777777" w:rsidR="00FE784F" w:rsidRPr="00913340" w:rsidRDefault="00FE784F" w:rsidP="00E155E5">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الحدود الزمانية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الفصل الدراسي الثاني من العام الجامعي 1447/1448هـ الموافق 2025/2026م</w:t>
      </w:r>
      <w:r w:rsidRPr="00913340">
        <w:rPr>
          <w:rFonts w:ascii="Simplified Arabic" w:eastAsia="Times New Roman" w:hAnsi="Simplified Arabic" w:cs="Simplified Arabic"/>
          <w:color w:val="000000" w:themeColor="text1"/>
          <w:kern w:val="0"/>
          <w:sz w:val="28"/>
          <w:szCs w:val="28"/>
          <w14:ligatures w14:val="none"/>
        </w:rPr>
        <w:t>.</w:t>
      </w:r>
    </w:p>
    <w:p w14:paraId="704F645B" w14:textId="77777777" w:rsidR="00FE784F" w:rsidRPr="00913340" w:rsidRDefault="00FE784F" w:rsidP="00E155E5">
      <w:pPr>
        <w:pStyle w:val="ListParagraph"/>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913340">
        <w:rPr>
          <w:rFonts w:ascii="Simplified Arabic" w:eastAsia="Times New Roman" w:hAnsi="Simplified Arabic" w:cs="Simplified Arabic"/>
          <w:color w:val="000000" w:themeColor="text1"/>
          <w:kern w:val="0"/>
          <w:sz w:val="28"/>
          <w:szCs w:val="28"/>
          <w:rtl/>
          <w14:ligatures w14:val="none"/>
        </w:rPr>
        <w:t>الحدود البشرية</w:t>
      </w:r>
      <w:r w:rsidRPr="00913340">
        <w:rPr>
          <w:rFonts w:ascii="Simplified Arabic" w:eastAsia="Times New Roman" w:hAnsi="Simplified Arabic" w:cs="Simplified Arabic"/>
          <w:color w:val="000000" w:themeColor="text1"/>
          <w:kern w:val="0"/>
          <w:sz w:val="28"/>
          <w:szCs w:val="28"/>
          <w14:ligatures w14:val="none"/>
        </w:rPr>
        <w:t xml:space="preserve">: </w:t>
      </w:r>
      <w:r w:rsidRPr="00913340">
        <w:rPr>
          <w:rFonts w:ascii="Simplified Arabic" w:eastAsia="Times New Roman" w:hAnsi="Simplified Arabic" w:cs="Simplified Arabic"/>
          <w:color w:val="000000" w:themeColor="text1"/>
          <w:kern w:val="0"/>
          <w:sz w:val="28"/>
          <w:szCs w:val="28"/>
          <w:rtl/>
          <w14:ligatures w14:val="none"/>
        </w:rPr>
        <w:t>ستُطبق الدراسة على العاملين في المركز الوطني للأرصاد في التخصصات ذات الصلة بتكنولوجيا المعلومات وأمن البيانات والتنبؤات الجوية والرصد والأنظمة العددية ودعم القرار والتحذيرات المبكرة</w:t>
      </w:r>
      <w:r w:rsidRPr="00913340">
        <w:rPr>
          <w:rFonts w:ascii="Simplified Arabic" w:eastAsia="Times New Roman" w:hAnsi="Simplified Arabic" w:cs="Simplified Arabic"/>
          <w:color w:val="000000" w:themeColor="text1"/>
          <w:kern w:val="0"/>
          <w:sz w:val="28"/>
          <w:szCs w:val="28"/>
          <w14:ligatures w14:val="none"/>
        </w:rPr>
        <w:t>.</w:t>
      </w:r>
    </w:p>
    <w:p w14:paraId="168B847E" w14:textId="53412622" w:rsidR="00D32D13" w:rsidRPr="00913340" w:rsidRDefault="00E155E5" w:rsidP="00E155E5">
      <w:pPr>
        <w:jc w:val="center"/>
        <w:outlineLvl w:val="0"/>
        <w:rPr>
          <w:rFonts w:ascii="Simplified Arabic" w:eastAsia="Times New Roman" w:hAnsi="Simplified Arabic" w:cs="Simplified Arabic"/>
          <w:b/>
          <w:bCs/>
          <w:color w:val="000000" w:themeColor="text1"/>
          <w:kern w:val="0"/>
          <w:sz w:val="40"/>
          <w:szCs w:val="40"/>
          <w14:ligatures w14:val="none"/>
        </w:rPr>
      </w:pPr>
      <w:r w:rsidRPr="00913340">
        <w:rPr>
          <w:rFonts w:ascii="Simplified Arabic" w:eastAsia="Times New Roman" w:hAnsi="Simplified Arabic" w:cs="Simplified Arabic"/>
          <w:b/>
          <w:bCs/>
          <w:color w:val="000000" w:themeColor="text1"/>
          <w:kern w:val="0"/>
          <w:sz w:val="40"/>
          <w:szCs w:val="40"/>
          <w:rtl/>
          <w14:ligatures w14:val="none"/>
        </w:rPr>
        <w:br w:type="page"/>
      </w:r>
      <w:bookmarkStart w:id="40" w:name="_Toc233883870"/>
      <w:r w:rsidRPr="00913340">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40"/>
    </w:p>
    <w:p w14:paraId="0166A427" w14:textId="77777777" w:rsidR="00D32D13" w:rsidRPr="00913340" w:rsidRDefault="00D32D13" w:rsidP="00E155E5">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41" w:name="_Toc233883871"/>
      <w:r w:rsidRPr="00913340">
        <w:rPr>
          <w:rFonts w:ascii="Simplified Arabic" w:eastAsia="Times New Roman" w:hAnsi="Simplified Arabic" w:cs="Simplified Arabic"/>
          <w:b/>
          <w:bCs/>
          <w:color w:val="000000" w:themeColor="text1"/>
          <w:kern w:val="0"/>
          <w:sz w:val="36"/>
          <w:szCs w:val="36"/>
          <w:rtl/>
          <w14:ligatures w14:val="none"/>
        </w:rPr>
        <w:t>المبحث الأول: إدارة مخاطر تكنولوجيا البيانات</w:t>
      </w:r>
      <w:bookmarkEnd w:id="41"/>
    </w:p>
    <w:p w14:paraId="59B41F7E" w14:textId="689F0740" w:rsidR="00D32D13" w:rsidRPr="00913340" w:rsidRDefault="00E155E5" w:rsidP="00E155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883872"/>
      <w:r w:rsidRPr="00913340">
        <w:rPr>
          <w:rFonts w:ascii="Simplified Arabic" w:eastAsia="Times New Roman" w:hAnsi="Simplified Arabic" w:cs="Simplified Arabic" w:hint="cs"/>
          <w:b/>
          <w:bCs/>
          <w:color w:val="000000" w:themeColor="text1"/>
          <w:kern w:val="0"/>
          <w:sz w:val="32"/>
          <w:szCs w:val="32"/>
          <w:rtl/>
          <w14:ligatures w14:val="none"/>
        </w:rPr>
        <w:t xml:space="preserve">1.1.2 </w:t>
      </w:r>
      <w:r w:rsidR="00D32D13" w:rsidRPr="00913340">
        <w:rPr>
          <w:rFonts w:ascii="Simplified Arabic" w:eastAsia="Times New Roman" w:hAnsi="Simplified Arabic" w:cs="Simplified Arabic"/>
          <w:b/>
          <w:bCs/>
          <w:color w:val="000000" w:themeColor="text1"/>
          <w:kern w:val="0"/>
          <w:sz w:val="32"/>
          <w:szCs w:val="32"/>
          <w:rtl/>
          <w14:ligatures w14:val="none"/>
        </w:rPr>
        <w:t>تمهيد</w:t>
      </w:r>
      <w:bookmarkEnd w:id="42"/>
    </w:p>
    <w:p w14:paraId="6E290EDF"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تعيش منظمات الأعمال المعاصرة مرحلة فارقة من التحول الرقمي العميق، حيث انتقل ثقل الموارد المؤسسية من الأصول المادية الملموسة إلى الأصول المعلوماتية والتقنية التي باتت تُشكّل البنية الحاكمة لمنظومة العمل المؤسسي واتخاذ القرار. وفي خضم هذا التحول، تصاعد الاعتماد على تكنولوجيا البيانات بوصفها العصب الذي يربط بين وظائف المنظمة المختلفة ومصدر الميزة التنافسية المستدامة، غير أن هذا الاعتماد المتنامي رافقه اتساع موازٍ في رقعة التهديدات والمخاطر التي تستهدف هذه التكنولوجيا، سواء من حيث الاختراقات السيبرانية أم أعطال البنية التحتية أم فقدان البيانات أم مخاطر الامتثال التشريعي. وقد أفرز هذا الواقع حاجة ملحة إلى منظور إداري متكامل يتعامل مع المخاطر التقنية بوصفها جزءاً عضوياً من إدارة المنظمة، لا بوصفها مسألة فنية محضة تُترك للأقسام التقنية وحدها</w:t>
      </w:r>
      <w:r w:rsidRPr="00913340">
        <w:rPr>
          <w:rFonts w:ascii="Simplified Arabic" w:eastAsia="Times New Roman" w:hAnsi="Simplified Arabic" w:cs="Simplified Arabic"/>
          <w:color w:val="000000" w:themeColor="text1"/>
          <w:kern w:val="0"/>
          <w:sz w:val="28"/>
          <w:szCs w:val="28"/>
          <w14:ligatures w14:val="none"/>
        </w:rPr>
        <w:t xml:space="preserve"> (Cremer et al., 2022).</w:t>
      </w:r>
    </w:p>
    <w:p w14:paraId="382C6E1C"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هذا المنطلق، انبثقت إدارة مخاطر تكنولوجيا البيانات حقلاً معرفياً وتطبيقياً متخصصاً يسعى إلى تحقيق التوازن بين الاستفادة القصوى من إمكانات التكنولوجيا في تطوير الأداء المؤسسي من جهة، وضبط ما يصاحب هذه الاستفادة من مخاطر محتملة من جهة أخرى. وتزداد أهمية هذا الحقل في المؤسسات ذات الطابع الحيوي كمراكز الأرصاد الجوية، التي تتعامل مع بيانات ضخمة ومعقدة وتُبنى على معالجتها قرارات تمسّ سلامة الأرواح والممتلكات والاقتصاد الوطني، مما يجعل أي خلل تقني أو تهديد أمني قادراً على إحداث آثار تتجاوز حدود المنظمة إلى المجتمع بأسره</w:t>
      </w:r>
      <w:r w:rsidRPr="00913340">
        <w:rPr>
          <w:rFonts w:ascii="Simplified Arabic" w:eastAsia="Times New Roman" w:hAnsi="Simplified Arabic" w:cs="Simplified Arabic"/>
          <w:color w:val="000000" w:themeColor="text1"/>
          <w:kern w:val="0"/>
          <w:sz w:val="28"/>
          <w:szCs w:val="28"/>
          <w14:ligatures w14:val="none"/>
        </w:rPr>
        <w:t xml:space="preserve"> (Al-Dosari &amp; Fetais, 2023).</w:t>
      </w:r>
    </w:p>
    <w:p w14:paraId="1B88EDA2"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ويتناول هذا المبحث الإطار النظري لإدارة مخاطر تكنولوجيا البيانات من خلال استعراض مفهومها وتطوره ومدارسه الفكرية، ثم بيان أهميتها للمنظمات المعاصرة، فاستعراض أهدافها التي تسعى إلى تحقيقها، وانتهاءً بتحليل أبعادها الأربعة التي اعتُمدت في الدراسة الحالية: تقييم المخاطر التقنية، وأمن البيانات والبنية التحتية، وحوكمة تكنولوجيا المعلومات، والمراقبة والتحسين المستمر</w:t>
      </w:r>
      <w:r w:rsidRPr="00913340">
        <w:rPr>
          <w:rFonts w:ascii="Simplified Arabic" w:eastAsia="Times New Roman" w:hAnsi="Simplified Arabic" w:cs="Simplified Arabic"/>
          <w:color w:val="000000" w:themeColor="text1"/>
          <w:kern w:val="0"/>
          <w:sz w:val="28"/>
          <w:szCs w:val="28"/>
          <w14:ligatures w14:val="none"/>
        </w:rPr>
        <w:t>.</w:t>
      </w:r>
    </w:p>
    <w:p w14:paraId="6F1121F0" w14:textId="40CDFB94" w:rsidR="00D32D13" w:rsidRPr="00913340" w:rsidRDefault="00E155E5" w:rsidP="00E155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883873"/>
      <w:r w:rsidRPr="00913340">
        <w:rPr>
          <w:rFonts w:ascii="Simplified Arabic" w:eastAsia="Times New Roman" w:hAnsi="Simplified Arabic" w:cs="Simplified Arabic" w:hint="cs"/>
          <w:b/>
          <w:bCs/>
          <w:color w:val="000000" w:themeColor="text1"/>
          <w:kern w:val="0"/>
          <w:sz w:val="32"/>
          <w:szCs w:val="32"/>
          <w:rtl/>
          <w14:ligatures w14:val="none"/>
        </w:rPr>
        <w:t>2.1.2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مفهوم إدارة مخاطر تكنولوجيا البيانات</w:t>
      </w:r>
      <w:bookmarkEnd w:id="43"/>
    </w:p>
    <w:p w14:paraId="7F4FD5F7"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تتعدد الزوايا التي عالج الباحثون من خلالها مفهوم إدارة مخاطر تكنولوجيا البيانات، ويعكس هذا التعدد طبيعة المفهوم المركبة التي تتقاطع فيها الأبعاد التقنية والإدارية والتنظيمية والاستراتيجية. وقد عرّفها</w:t>
      </w:r>
      <w:r w:rsidRPr="00913340">
        <w:rPr>
          <w:rFonts w:ascii="Simplified Arabic" w:eastAsia="Times New Roman" w:hAnsi="Simplified Arabic" w:cs="Simplified Arabic"/>
          <w:color w:val="000000" w:themeColor="text1"/>
          <w:kern w:val="0"/>
          <w:sz w:val="28"/>
          <w:szCs w:val="28"/>
          <w14:ligatures w14:val="none"/>
        </w:rPr>
        <w:t xml:space="preserve"> (Sanjaya et al., 2020) </w:t>
      </w:r>
      <w:r w:rsidRPr="00913340">
        <w:rPr>
          <w:rFonts w:ascii="Simplified Arabic" w:eastAsia="Times New Roman" w:hAnsi="Simplified Arabic" w:cs="Simplified Arabic"/>
          <w:color w:val="000000" w:themeColor="text1"/>
          <w:kern w:val="0"/>
          <w:sz w:val="28"/>
          <w:szCs w:val="28"/>
          <w:rtl/>
          <w14:ligatures w14:val="none"/>
        </w:rPr>
        <w:t>بوصفها عملية منهجية منظمة تُعنى بتحديد المخاطر المرتبطة باستخدام تكنولوجيا المعلومات وتقييمها ومعالجتها وفق إطار معياري محدد، بحيث تُترجَم المخاطر إلى مستويات قابلة للقياس تُمكّن المنظمة من اتخاذ قرارات مبنية على الأدلة بشأن أولويات المعالجة. ويُلاحظ في هذا التعريف ميله إلى المنظور المعياري الذي يستند إلى أطر دولية كآيزو 31000، مما يضفي على المفهوم طابعاً إجرائياً منضبطاً</w:t>
      </w:r>
      <w:r w:rsidRPr="00913340">
        <w:rPr>
          <w:rFonts w:ascii="Simplified Arabic" w:eastAsia="Times New Roman" w:hAnsi="Simplified Arabic" w:cs="Simplified Arabic"/>
          <w:color w:val="000000" w:themeColor="text1"/>
          <w:kern w:val="0"/>
          <w:sz w:val="28"/>
          <w:szCs w:val="28"/>
          <w14:ligatures w14:val="none"/>
        </w:rPr>
        <w:t>.</w:t>
      </w:r>
    </w:p>
    <w:p w14:paraId="34D06695"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وفي إطار أوسع، يطرح</w:t>
      </w:r>
      <w:r w:rsidRPr="00913340">
        <w:rPr>
          <w:rFonts w:ascii="Simplified Arabic" w:eastAsia="Times New Roman" w:hAnsi="Simplified Arabic" w:cs="Simplified Arabic"/>
          <w:color w:val="000000" w:themeColor="text1"/>
          <w:kern w:val="0"/>
          <w:sz w:val="28"/>
          <w:szCs w:val="28"/>
          <w14:ligatures w14:val="none"/>
        </w:rPr>
        <w:t xml:space="preserve"> (Cremer et al., 2022) </w:t>
      </w:r>
      <w:r w:rsidRPr="00913340">
        <w:rPr>
          <w:rFonts w:ascii="Simplified Arabic" w:eastAsia="Times New Roman" w:hAnsi="Simplified Arabic" w:cs="Simplified Arabic"/>
          <w:color w:val="000000" w:themeColor="text1"/>
          <w:kern w:val="0"/>
          <w:sz w:val="28"/>
          <w:szCs w:val="28"/>
          <w:rtl/>
          <w14:ligatures w14:val="none"/>
        </w:rPr>
        <w:t>المفهوم بوصفه منظومة متكاملة تتعامل مع المخاطر السيبرانية بوصفها فئة متميزة من المخاطر المؤسسية لها خصوصيتها من حيث صعوبة التنبؤ بها وسرعة تطورها وتشعب آثارها عبر الحدود التنظيمية، مما يستلزم مقاربة ديناميكية تتجاوز المعالجة التقليدية للمخاطر الثابتة. أما</w:t>
      </w:r>
      <w:r w:rsidRPr="00913340">
        <w:rPr>
          <w:rFonts w:ascii="Simplified Arabic" w:eastAsia="Times New Roman" w:hAnsi="Simplified Arabic" w:cs="Simplified Arabic"/>
          <w:color w:val="000000" w:themeColor="text1"/>
          <w:kern w:val="0"/>
          <w:sz w:val="28"/>
          <w:szCs w:val="28"/>
          <w14:ligatures w14:val="none"/>
        </w:rPr>
        <w:t xml:space="preserve"> (Arora &amp; Bhardwaj, 2021) </w:t>
      </w:r>
      <w:r w:rsidRPr="00913340">
        <w:rPr>
          <w:rFonts w:ascii="Simplified Arabic" w:eastAsia="Times New Roman" w:hAnsi="Simplified Arabic" w:cs="Simplified Arabic"/>
          <w:color w:val="000000" w:themeColor="text1"/>
          <w:kern w:val="0"/>
          <w:sz w:val="28"/>
          <w:szCs w:val="28"/>
          <w:rtl/>
          <w14:ligatures w14:val="none"/>
        </w:rPr>
        <w:t>فيُقاربان المفهوم من زاوية تقييم التهديدات وتخفيفها، إذ يُعرّفانه بأنه مجموعة الأساليب والإجراءات التي تُمكّن المنظمة من رصد التهديدات المحتملة ضد أنظمتها التقنية، وتقدير حجم الأضرار التي قد تُلحقها، وتصميم آليات للحدّ من احتمالية وقوعها أو تخفيف آثارها حال وقوعها</w:t>
      </w:r>
      <w:r w:rsidRPr="00913340">
        <w:rPr>
          <w:rFonts w:ascii="Simplified Arabic" w:eastAsia="Times New Roman" w:hAnsi="Simplified Arabic" w:cs="Simplified Arabic"/>
          <w:color w:val="000000" w:themeColor="text1"/>
          <w:kern w:val="0"/>
          <w:sz w:val="28"/>
          <w:szCs w:val="28"/>
          <w14:ligatures w14:val="none"/>
        </w:rPr>
        <w:t>.</w:t>
      </w:r>
    </w:p>
    <w:p w14:paraId="39FC33BA"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(El Khatib et al., 2023) </w:t>
      </w:r>
      <w:r w:rsidRPr="00913340">
        <w:rPr>
          <w:rFonts w:ascii="Simplified Arabic" w:eastAsia="Times New Roman" w:hAnsi="Simplified Arabic" w:cs="Simplified Arabic"/>
          <w:color w:val="000000" w:themeColor="text1"/>
          <w:kern w:val="0"/>
          <w:sz w:val="28"/>
          <w:szCs w:val="28"/>
          <w:rtl/>
          <w14:ligatures w14:val="none"/>
        </w:rPr>
        <w:t>بُعداً جديداً للمفهوم حين يربطه بمنظومة البيانات الضخمة، فيُعرّفه بوصفه عملية موجّهة لاستثمار الإمكانات التحليلية للبيانات الضخمة في الكشف المبكر عن المخاطر المؤسسية وتحليل أنماطها وتوقع مساراتها، بما يُحوّل إدارة المخاطر من نشاط تفاعلي يستجيب للأحداث إلى نشاط استباقي يستبق وقوعها. ويعكس هذا التعريف تحولاً نوعياً في فهم المفهوم من كونه أداة دفاعية إلى كونه قدرة استراتيجية تُسهم في تعزيز موقع المنظمة</w:t>
      </w:r>
      <w:r w:rsidRPr="00913340">
        <w:rPr>
          <w:rFonts w:ascii="Simplified Arabic" w:eastAsia="Times New Roman" w:hAnsi="Simplified Arabic" w:cs="Simplified Arabic"/>
          <w:color w:val="000000" w:themeColor="text1"/>
          <w:kern w:val="0"/>
          <w:sz w:val="28"/>
          <w:szCs w:val="28"/>
          <w14:ligatures w14:val="none"/>
        </w:rPr>
        <w:t>.</w:t>
      </w:r>
    </w:p>
    <w:p w14:paraId="1B5938FE"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مالي مؤسسي، يطرح</w:t>
      </w:r>
      <w:r w:rsidRPr="00913340">
        <w:rPr>
          <w:rFonts w:ascii="Simplified Arabic" w:eastAsia="Times New Roman" w:hAnsi="Simplified Arabic" w:cs="Simplified Arabic"/>
          <w:color w:val="000000" w:themeColor="text1"/>
          <w:kern w:val="0"/>
          <w:sz w:val="28"/>
          <w:szCs w:val="28"/>
          <w14:ligatures w14:val="none"/>
        </w:rPr>
        <w:t xml:space="preserve"> (Kamiya et al., 2021) </w:t>
      </w:r>
      <w:r w:rsidRPr="00913340">
        <w:rPr>
          <w:rFonts w:ascii="Simplified Arabic" w:eastAsia="Times New Roman" w:hAnsi="Simplified Arabic" w:cs="Simplified Arabic"/>
          <w:color w:val="000000" w:themeColor="text1"/>
          <w:kern w:val="0"/>
          <w:sz w:val="28"/>
          <w:szCs w:val="28"/>
          <w:rtl/>
          <w14:ligatures w14:val="none"/>
        </w:rPr>
        <w:t>المفهوم بوصفه إطاراً لحماية أصول المنظمة المعلوماتية وسمعتها في مواجهة الهجمات السيبرانية، مع التركيز على الأثر الممتد للحوادث الأمنية على القيمة السوقية للمنظمة وثقة المتعاملين معها. ويُبرز هذا التعريف البعد الاستراتيجي للمفهوم، إذ يتجاوز الحدود التقنية ليُلامس قضايا الحوكمة والمساءلة والإفصاح. وفي السياق ذاته، يُقدّم</w:t>
      </w:r>
      <w:r w:rsidRPr="00913340">
        <w:rPr>
          <w:rFonts w:ascii="Simplified Arabic" w:eastAsia="Times New Roman" w:hAnsi="Simplified Arabic" w:cs="Simplified Arabic"/>
          <w:color w:val="000000" w:themeColor="text1"/>
          <w:kern w:val="0"/>
          <w:sz w:val="28"/>
          <w:szCs w:val="28"/>
          <w14:ligatures w14:val="none"/>
        </w:rPr>
        <w:t xml:space="preserve"> (Settembre-Blundo et al., 2021) </w:t>
      </w:r>
      <w:r w:rsidRPr="00913340">
        <w:rPr>
          <w:rFonts w:ascii="Simplified Arabic" w:eastAsia="Times New Roman" w:hAnsi="Simplified Arabic" w:cs="Simplified Arabic"/>
          <w:color w:val="000000" w:themeColor="text1"/>
          <w:kern w:val="0"/>
          <w:sz w:val="28"/>
          <w:szCs w:val="28"/>
          <w:rtl/>
          <w14:ligatures w14:val="none"/>
        </w:rPr>
        <w:t xml:space="preserve">المفهوم من زاوية المرونة والاستدامة، فيُعرّفانه بأنه منظومة لاتخاذ القرار في </w:t>
      </w:r>
      <w:r w:rsidRPr="00913340">
        <w:rPr>
          <w:rFonts w:ascii="Simplified Arabic" w:eastAsia="Times New Roman" w:hAnsi="Simplified Arabic" w:cs="Simplified Arabic"/>
          <w:color w:val="000000" w:themeColor="text1"/>
          <w:kern w:val="0"/>
          <w:sz w:val="28"/>
          <w:szCs w:val="28"/>
          <w:rtl/>
          <w14:ligatures w14:val="none"/>
        </w:rPr>
        <w:lastRenderedPageBreak/>
        <w:t>بيئات عدم اليقين، تُمكّن المنظمة من التكيف مع التغيرات المتسارعة في محيطها التقني والتشريعي والسوقي، مع الحفاظ على استمرارية أعمالها وتحقيق أهدافها بعيدة المدى</w:t>
      </w:r>
      <w:r w:rsidRPr="00913340">
        <w:rPr>
          <w:rFonts w:ascii="Simplified Arabic" w:eastAsia="Times New Roman" w:hAnsi="Simplified Arabic" w:cs="Simplified Arabic"/>
          <w:color w:val="000000" w:themeColor="text1"/>
          <w:kern w:val="0"/>
          <w:sz w:val="28"/>
          <w:szCs w:val="28"/>
          <w14:ligatures w14:val="none"/>
        </w:rPr>
        <w:t>.</w:t>
      </w:r>
    </w:p>
    <w:p w14:paraId="48EC3A9F"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ويُكمل</w:t>
      </w:r>
      <w:r w:rsidRPr="00913340">
        <w:rPr>
          <w:rFonts w:ascii="Simplified Arabic" w:eastAsia="Times New Roman" w:hAnsi="Simplified Arabic" w:cs="Simplified Arabic"/>
          <w:color w:val="000000" w:themeColor="text1"/>
          <w:kern w:val="0"/>
          <w:sz w:val="28"/>
          <w:szCs w:val="28"/>
          <w14:ligatures w14:val="none"/>
        </w:rPr>
        <w:t xml:space="preserve"> (Najwa et al., 2025) </w:t>
      </w:r>
      <w:r w:rsidRPr="00913340">
        <w:rPr>
          <w:rFonts w:ascii="Simplified Arabic" w:eastAsia="Times New Roman" w:hAnsi="Simplified Arabic" w:cs="Simplified Arabic"/>
          <w:color w:val="000000" w:themeColor="text1"/>
          <w:kern w:val="0"/>
          <w:sz w:val="28"/>
          <w:szCs w:val="28"/>
          <w:rtl/>
          <w14:ligatures w14:val="none"/>
        </w:rPr>
        <w:t>هذه الصورة بتقديم المفهوم في ضوء التطورات الراهنة لتكنولوجيا المعلومات، حيث يُعرّفه بأنه حقل بحثي وتطبيقي ديناميكي يتطور بتطور التقنيات الناشئة كالحوسبة السحابية والذكاء الاصطناعي وإنترنت الأشياء، ويستوعب ما يصاحب هذه التقنيات من أنماط مستجدة للمخاطر. ويُشير هذا التعريف إلى أن المفهوم ليس بنية معرفية ثابتة، وإنما هو حقل في تطور مستمر يتشكل وفق السياق التقني السائد</w:t>
      </w:r>
      <w:r w:rsidRPr="00913340">
        <w:rPr>
          <w:rFonts w:ascii="Simplified Arabic" w:eastAsia="Times New Roman" w:hAnsi="Simplified Arabic" w:cs="Simplified Arabic"/>
          <w:color w:val="000000" w:themeColor="text1"/>
          <w:kern w:val="0"/>
          <w:sz w:val="28"/>
          <w:szCs w:val="28"/>
          <w14:ligatures w14:val="none"/>
        </w:rPr>
        <w:t>.</w:t>
      </w:r>
    </w:p>
    <w:p w14:paraId="2991B124"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استقراء التعريفات السابقة، يرى الباحث أن إدارة مخاطر تكنولوجيا البيانات يمكن تعريفها إجرائياً بأنها: “منظومة إدارية متكاملة تتبنّاها المنظمة لتحديد المخاطر المرتبطة بأصولها المعلوماتية وبنيتها التقنية وتحليلها وتقييمها ومعالجتها، من خلال إطار حوكمي يجمع بين السياسات والإجراءات والأدوات التقنية، بهدف ضمان سلامة البيانات وأمنها واستمرارية عمل الأنظمة وكفاءتها، ودعم اتخاذ القرارات المؤسسية في بيئات عدم اليقين”. ويُلاحظ الباحث أن جوهر المفهوم يقوم على ثلاث ركائز متلازمة: الشمولية بحيث يمتد إلى جميع الأصول التقنية لا إلى بعضها، والاستباقية بحيث يستبق المخاطر ولا يستجيب لها بعد وقوعها، والتكامل بحيث يربط المعالجة التقنية بالمعالجة الإدارية والاستراتيجية في وحدة عضوية واحدة</w:t>
      </w:r>
      <w:r w:rsidRPr="00913340">
        <w:rPr>
          <w:rFonts w:ascii="Simplified Arabic" w:eastAsia="Times New Roman" w:hAnsi="Simplified Arabic" w:cs="Simplified Arabic"/>
          <w:color w:val="000000" w:themeColor="text1"/>
          <w:kern w:val="0"/>
          <w:sz w:val="28"/>
          <w:szCs w:val="28"/>
          <w14:ligatures w14:val="none"/>
        </w:rPr>
        <w:t>.</w:t>
      </w:r>
    </w:p>
    <w:p w14:paraId="55458193" w14:textId="64C455A9" w:rsidR="00D32D13" w:rsidRPr="00913340" w:rsidRDefault="00E155E5" w:rsidP="00E155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883874"/>
      <w:r w:rsidRPr="00913340">
        <w:rPr>
          <w:rFonts w:ascii="Simplified Arabic" w:eastAsia="Times New Roman" w:hAnsi="Simplified Arabic" w:cs="Simplified Arabic" w:hint="cs"/>
          <w:b/>
          <w:bCs/>
          <w:color w:val="000000" w:themeColor="text1"/>
          <w:kern w:val="0"/>
          <w:sz w:val="32"/>
          <w:szCs w:val="32"/>
          <w:rtl/>
          <w14:ligatures w14:val="none"/>
        </w:rPr>
        <w:t>3.1.2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أهمية إدارة مخاطر تكنولوجيا البيانات</w:t>
      </w:r>
      <w:bookmarkEnd w:id="44"/>
    </w:p>
    <w:p w14:paraId="6688D9E3"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تنبع أهمية إدارة مخاطر تكنولوجيا البيانات من الموقع المحوري الذي تحتله البيانات والأنظمة المعلوماتية في المنظمات المعاصرة، إذ لم تعد هذه الأصول مجرد أدوات مساندة للعمليات، بل غدت موارد استراتيجية تُبنى عليها القرارات وتُصاغ في ضوئها الميزات التنافسية. ومن ثمّ فإن أي خلل في حمايتها أو في ضبط مخاطرها ينعكس مباشرة على قدرة المنظمة على البقاء والنمو، ويُلقي بظلاله على ثقة المتعاملين معها ومكانتها في السوق. وتتجلى أهمية هذا الحقل في كونه الجسر الذي يربط بين الاستثمار التقني والعائد المؤسسي، إذ بدونه يتحول الاستثمار في التكنولوجيا إلى مصدر للهشاشة بدلاً من أن يكون مصدراً للقوة</w:t>
      </w:r>
      <w:r w:rsidRPr="00913340">
        <w:rPr>
          <w:rFonts w:ascii="Simplified Arabic" w:eastAsia="Times New Roman" w:hAnsi="Simplified Arabic" w:cs="Simplified Arabic"/>
          <w:color w:val="000000" w:themeColor="text1"/>
          <w:kern w:val="0"/>
          <w:sz w:val="28"/>
          <w:szCs w:val="28"/>
          <w14:ligatures w14:val="none"/>
        </w:rPr>
        <w:t xml:space="preserve"> (Li &amp; Wang, 2024).</w:t>
      </w:r>
    </w:p>
    <w:p w14:paraId="2B1BD27A"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ويُشير</w:t>
      </w:r>
      <w:r w:rsidRPr="00913340">
        <w:rPr>
          <w:rFonts w:ascii="Simplified Arabic" w:eastAsia="Times New Roman" w:hAnsi="Simplified Arabic" w:cs="Simplified Arabic"/>
          <w:color w:val="000000" w:themeColor="text1"/>
          <w:kern w:val="0"/>
          <w:sz w:val="28"/>
          <w:szCs w:val="28"/>
          <w14:ligatures w14:val="none"/>
        </w:rPr>
        <w:t xml:space="preserve"> (Al-Dosari &amp; Fetais, 2023) </w:t>
      </w:r>
      <w:r w:rsidRPr="00913340">
        <w:rPr>
          <w:rFonts w:ascii="Simplified Arabic" w:eastAsia="Times New Roman" w:hAnsi="Simplified Arabic" w:cs="Simplified Arabic"/>
          <w:color w:val="000000" w:themeColor="text1"/>
          <w:kern w:val="0"/>
          <w:sz w:val="28"/>
          <w:szCs w:val="28"/>
          <w:rtl/>
          <w14:ligatures w14:val="none"/>
        </w:rPr>
        <w:t xml:space="preserve">إلى أن أهمية إدارة مخاطر تكنولوجيا البيانات تتجلى في جملة من المحاور المتكاملة؛ إذ تُسهم أولاً في حماية الأصول المعلوماتية للمنظمة من التهديدات السيبرانية </w:t>
      </w:r>
      <w:r w:rsidRPr="00913340">
        <w:rPr>
          <w:rFonts w:ascii="Simplified Arabic" w:eastAsia="Times New Roman" w:hAnsi="Simplified Arabic" w:cs="Simplified Arabic"/>
          <w:color w:val="000000" w:themeColor="text1"/>
          <w:kern w:val="0"/>
          <w:sz w:val="28"/>
          <w:szCs w:val="28"/>
          <w:rtl/>
          <w14:ligatures w14:val="none"/>
        </w:rPr>
        <w:lastRenderedPageBreak/>
        <w:t>المتنامية التي تستهدف المؤسسات على اختلاف أحجامها وقطاعاتها، وتعمل ثانياً على تعزيز قدرة المنظمات الصغيرة والمتوسطة بصفة خاصة على الصمود في بيئة رقمية شديدة التعقيد لا تملك فيها الإمكانات الدفاعية المتاحة للمؤسسات الكبرى، وتُؤدي ثالثاً إلى توفير إطار منهجي لاتخاذ القرارات الأمنية يستند إلى تقدير علمي للمخاطر بدلاً من ردود الأفعال الارتجالية، وتُسهم رابعاً في رفع كفاءة استخدام الموارد المخصصة لأمن المعلومات من خلال توجيهها نحو المخاطر الأعلى أولوية، وتعمل خامساً على دعم الامتثال للمتطلبات التشريعية والمعايير الدولية لأمن المعلومات وحماية البيانات الشخصية</w:t>
      </w:r>
      <w:r w:rsidRPr="00913340">
        <w:rPr>
          <w:rFonts w:ascii="Simplified Arabic" w:eastAsia="Times New Roman" w:hAnsi="Simplified Arabic" w:cs="Simplified Arabic"/>
          <w:color w:val="000000" w:themeColor="text1"/>
          <w:kern w:val="0"/>
          <w:sz w:val="28"/>
          <w:szCs w:val="28"/>
          <w14:ligatures w14:val="none"/>
        </w:rPr>
        <w:t>.</w:t>
      </w:r>
    </w:p>
    <w:p w14:paraId="65665335"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ويرى</w:t>
      </w:r>
      <w:r w:rsidRPr="00913340">
        <w:rPr>
          <w:rFonts w:ascii="Simplified Arabic" w:eastAsia="Times New Roman" w:hAnsi="Simplified Arabic" w:cs="Simplified Arabic"/>
          <w:color w:val="000000" w:themeColor="text1"/>
          <w:kern w:val="0"/>
          <w:sz w:val="28"/>
          <w:szCs w:val="28"/>
          <w14:ligatures w14:val="none"/>
        </w:rPr>
        <w:t xml:space="preserve"> (Kamiya et al., 2021) </w:t>
      </w:r>
      <w:r w:rsidRPr="00913340">
        <w:rPr>
          <w:rFonts w:ascii="Simplified Arabic" w:eastAsia="Times New Roman" w:hAnsi="Simplified Arabic" w:cs="Simplified Arabic"/>
          <w:color w:val="000000" w:themeColor="text1"/>
          <w:kern w:val="0"/>
          <w:sz w:val="28"/>
          <w:szCs w:val="28"/>
          <w:rtl/>
          <w14:ligatures w14:val="none"/>
        </w:rPr>
        <w:t>أن أهميتها تكمن في حماية سمعة المنظمة وقيمتها السوقية، إذ إن الهجمات السيبرانية الناجحة لا تُلحق أضراراً تشغيلية مباشرة فحسب، بل تمتد آثارها إلى ثقة المساهمين والعملاء وشركاء الأعمال، وتُؤثر في الإفصاحات المالية وفي تصنيف المنظمة الائتماني، وقد تمتد تداعياتها لسنوات بعد الحادثة الأمنية. ومن هنا فإن الاستثمار في إدارة مخاطر تكنولوجيا البيانات يُعدّ استثماراً في الحفاظ على رأس المال غير الملموس للمنظمة الذي يُشكّل في كثير من الأحيان الجزء الأكبر من قيمتها الحقيقية</w:t>
      </w:r>
      <w:r w:rsidRPr="00913340">
        <w:rPr>
          <w:rFonts w:ascii="Simplified Arabic" w:eastAsia="Times New Roman" w:hAnsi="Simplified Arabic" w:cs="Simplified Arabic"/>
          <w:color w:val="000000" w:themeColor="text1"/>
          <w:kern w:val="0"/>
          <w:sz w:val="28"/>
          <w:szCs w:val="28"/>
          <w14:ligatures w14:val="none"/>
        </w:rPr>
        <w:t>.</w:t>
      </w:r>
    </w:p>
    <w:p w14:paraId="2192FDA2"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(Settembre-Blundo et al., 2021) </w:t>
      </w:r>
      <w:r w:rsidRPr="00913340">
        <w:rPr>
          <w:rFonts w:ascii="Simplified Arabic" w:eastAsia="Times New Roman" w:hAnsi="Simplified Arabic" w:cs="Simplified Arabic"/>
          <w:color w:val="000000" w:themeColor="text1"/>
          <w:kern w:val="0"/>
          <w:sz w:val="28"/>
          <w:szCs w:val="28"/>
          <w:rtl/>
          <w14:ligatures w14:val="none"/>
        </w:rPr>
        <w:t>أن أهميتها تتمظهر في تعزيز المرونة المؤسسية والقدرة على اتخاذ القرارات في ظروف عدم اليقين، إذ تُمكّن المنظمة من التكيف مع الصدمات والتقلبات في بيئتها الخارجية مع الحفاظ على استمرارية أعمالها الجوهرية. وفي السياق ذاته، يُبيّن</w:t>
      </w:r>
      <w:r w:rsidRPr="00913340">
        <w:rPr>
          <w:rFonts w:ascii="Simplified Arabic" w:eastAsia="Times New Roman" w:hAnsi="Simplified Arabic" w:cs="Simplified Arabic"/>
          <w:color w:val="000000" w:themeColor="text1"/>
          <w:kern w:val="0"/>
          <w:sz w:val="28"/>
          <w:szCs w:val="28"/>
          <w14:ligatures w14:val="none"/>
        </w:rPr>
        <w:t xml:space="preserve"> (Najwa et al., 2025) </w:t>
      </w:r>
      <w:r w:rsidRPr="00913340">
        <w:rPr>
          <w:rFonts w:ascii="Simplified Arabic" w:eastAsia="Times New Roman" w:hAnsi="Simplified Arabic" w:cs="Simplified Arabic"/>
          <w:color w:val="000000" w:themeColor="text1"/>
          <w:kern w:val="0"/>
          <w:sz w:val="28"/>
          <w:szCs w:val="28"/>
          <w:rtl/>
          <w14:ligatures w14:val="none"/>
        </w:rPr>
        <w:t>أن أهميتها تتزايد في ضوء التحول الرقمي المتسارع الذي يدفع المنظمات إلى تبنّي تقنيات ناشئة دون أن يكون لديها الخبرة الكافية بمخاطرها، مما يجعل وجود منظومة لإدارة المخاطر شرطاً لازماً لأي تحول رقمي ناجح</w:t>
      </w:r>
      <w:r w:rsidRPr="00913340">
        <w:rPr>
          <w:rFonts w:ascii="Simplified Arabic" w:eastAsia="Times New Roman" w:hAnsi="Simplified Arabic" w:cs="Simplified Arabic"/>
          <w:color w:val="000000" w:themeColor="text1"/>
          <w:kern w:val="0"/>
          <w:sz w:val="28"/>
          <w:szCs w:val="28"/>
          <w14:ligatures w14:val="none"/>
        </w:rPr>
        <w:t>.</w:t>
      </w:r>
    </w:p>
    <w:p w14:paraId="1F19007A"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ويذهب</w:t>
      </w:r>
      <w:r w:rsidRPr="00913340">
        <w:rPr>
          <w:rFonts w:ascii="Simplified Arabic" w:eastAsia="Times New Roman" w:hAnsi="Simplified Arabic" w:cs="Simplified Arabic"/>
          <w:color w:val="000000" w:themeColor="text1"/>
          <w:kern w:val="0"/>
          <w:sz w:val="28"/>
          <w:szCs w:val="28"/>
          <w14:ligatures w14:val="none"/>
        </w:rPr>
        <w:t xml:space="preserve"> (El Khatib et al., 2023) </w:t>
      </w:r>
      <w:r w:rsidRPr="00913340">
        <w:rPr>
          <w:rFonts w:ascii="Simplified Arabic" w:eastAsia="Times New Roman" w:hAnsi="Simplified Arabic" w:cs="Simplified Arabic"/>
          <w:color w:val="000000" w:themeColor="text1"/>
          <w:kern w:val="0"/>
          <w:sz w:val="28"/>
          <w:szCs w:val="28"/>
          <w:rtl/>
          <w14:ligatures w14:val="none"/>
        </w:rPr>
        <w:t>إلى أن أهميتها تتجلى في تمكين المنظمات من الاستفادة من البيانات الضخمة في الكشف المبكر عن أنماط المخاطر وتوقع مساراتها، بما يُحوّل إدارة المخاطر من ممارسة دفاعية إلى ميزة تنافسية. ويرى</w:t>
      </w:r>
      <w:r w:rsidRPr="00913340">
        <w:rPr>
          <w:rFonts w:ascii="Simplified Arabic" w:eastAsia="Times New Roman" w:hAnsi="Simplified Arabic" w:cs="Simplified Arabic"/>
          <w:color w:val="000000" w:themeColor="text1"/>
          <w:kern w:val="0"/>
          <w:sz w:val="28"/>
          <w:szCs w:val="28"/>
          <w14:ligatures w14:val="none"/>
        </w:rPr>
        <w:t xml:space="preserve"> (Arora &amp; Bhardwaj, 2021) </w:t>
      </w:r>
      <w:r w:rsidRPr="00913340">
        <w:rPr>
          <w:rFonts w:ascii="Simplified Arabic" w:eastAsia="Times New Roman" w:hAnsi="Simplified Arabic" w:cs="Simplified Arabic"/>
          <w:color w:val="000000" w:themeColor="text1"/>
          <w:kern w:val="0"/>
          <w:sz w:val="28"/>
          <w:szCs w:val="28"/>
          <w:rtl/>
          <w14:ligatures w14:val="none"/>
        </w:rPr>
        <w:t>أن أهميتها تمتد إلى القطاعات الحيوية كقطاع السيارات والنقل والبنى التحتية الحساسة، حيث يُمكن أن تترتب على الإخفاق في إدارة المخاطر التقنية خسائر بشرية ومادية جسيمة، مما يجعلها مسؤولية أخلاقية ومجتمعية لا اقتصادية فحسب</w:t>
      </w:r>
      <w:r w:rsidRPr="00913340">
        <w:rPr>
          <w:rFonts w:ascii="Simplified Arabic" w:eastAsia="Times New Roman" w:hAnsi="Simplified Arabic" w:cs="Simplified Arabic"/>
          <w:color w:val="000000" w:themeColor="text1"/>
          <w:kern w:val="0"/>
          <w:sz w:val="28"/>
          <w:szCs w:val="28"/>
          <w14:ligatures w14:val="none"/>
        </w:rPr>
        <w:t>.</w:t>
      </w:r>
    </w:p>
    <w:p w14:paraId="1D340CE2"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ويُلخّص الباحث ما سبق بأن أهمية إدارة مخاطر تكنولوجيا البيانات تتعدد مستوياتها لتشمل المستوى التشغيلي عبر ضمان استمرارية الأنظمة وكفاءتها، والمستوى الاستراتيجي عبر دعم اتخاذ القرار في بيئات </w:t>
      </w:r>
      <w:r w:rsidRPr="00913340">
        <w:rPr>
          <w:rFonts w:ascii="Simplified Arabic" w:eastAsia="Times New Roman" w:hAnsi="Simplified Arabic" w:cs="Simplified Arabic"/>
          <w:color w:val="000000" w:themeColor="text1"/>
          <w:kern w:val="0"/>
          <w:sz w:val="28"/>
          <w:szCs w:val="28"/>
          <w:rtl/>
          <w14:ligatures w14:val="none"/>
        </w:rPr>
        <w:lastRenderedPageBreak/>
        <w:t>معقدة، والمستوى المؤسسي عبر حماية السمعة والقيمة، والمستوى المجتمعي عبر حماية المصالح العامة في القطاعات الحيوية. وفي سياق المركز الوطني للأرصاد بالمملكة العربية السعودية، تتضاعف هذه الأهمية بفعل الطبيعة الحيوية للبيانات التي يتعامل معها المركز والقرارات التي تُبنى عليها، مما يجعل إدارة المخاطر التقنية شرطاً لازماً لتأدية المركز لرسالته الوطنية</w:t>
      </w:r>
      <w:r w:rsidRPr="00913340">
        <w:rPr>
          <w:rFonts w:ascii="Simplified Arabic" w:eastAsia="Times New Roman" w:hAnsi="Simplified Arabic" w:cs="Simplified Arabic"/>
          <w:color w:val="000000" w:themeColor="text1"/>
          <w:kern w:val="0"/>
          <w:sz w:val="28"/>
          <w:szCs w:val="28"/>
          <w14:ligatures w14:val="none"/>
        </w:rPr>
        <w:t>.</w:t>
      </w:r>
    </w:p>
    <w:p w14:paraId="70DEF54B" w14:textId="07C0352C" w:rsidR="00D32D13" w:rsidRPr="00913340" w:rsidRDefault="00E155E5" w:rsidP="00E155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883875"/>
      <w:r w:rsidRPr="00913340">
        <w:rPr>
          <w:rFonts w:ascii="Simplified Arabic" w:eastAsia="Times New Roman" w:hAnsi="Simplified Arabic" w:cs="Simplified Arabic" w:hint="cs"/>
          <w:b/>
          <w:bCs/>
          <w:color w:val="000000" w:themeColor="text1"/>
          <w:kern w:val="0"/>
          <w:sz w:val="32"/>
          <w:szCs w:val="32"/>
          <w:rtl/>
          <w14:ligatures w14:val="none"/>
        </w:rPr>
        <w:t>4.1.2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أهداف إدارة مخاطر تكنولوجيا البيانات</w:t>
      </w:r>
      <w:bookmarkEnd w:id="45"/>
    </w:p>
    <w:p w14:paraId="34752B1E"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تتكامل الأهداف التي تسعى إدارة مخاطر تكنولوجيا البيانات إلى تحقيقها في منظومة متناسقة تجمع بين الحماية والتمكين، وبين الاستجابة الآنية والتخطيط بعيد المدى. وقد تباينت الأطروحات الأكاديمية في تحديد هذه الأهداف بحسب الزاوية التي يُعالج منها كل باحث المفهوم، غير أنها تتلاقى في جوهر مشترك يضع حماية الأصول المعلوماتية في صلب الاهتمام، ويُوسّع دائرة الاهتمام لتشمل تمكين المنظمة من تحقيق رسالتها بكفاءة وفاعلية</w:t>
      </w:r>
      <w:r w:rsidRPr="00913340">
        <w:rPr>
          <w:rFonts w:ascii="Simplified Arabic" w:eastAsia="Times New Roman" w:hAnsi="Simplified Arabic" w:cs="Simplified Arabic"/>
          <w:color w:val="000000" w:themeColor="text1"/>
          <w:kern w:val="0"/>
          <w:sz w:val="28"/>
          <w:szCs w:val="28"/>
          <w14:ligatures w14:val="none"/>
        </w:rPr>
        <w:t>.</w:t>
      </w:r>
    </w:p>
    <w:p w14:paraId="0E03F4E5"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ويُحدد</w:t>
      </w:r>
      <w:r w:rsidRPr="00913340">
        <w:rPr>
          <w:rFonts w:ascii="Simplified Arabic" w:eastAsia="Times New Roman" w:hAnsi="Simplified Arabic" w:cs="Simplified Arabic"/>
          <w:color w:val="000000" w:themeColor="text1"/>
          <w:kern w:val="0"/>
          <w:sz w:val="28"/>
          <w:szCs w:val="28"/>
          <w14:ligatures w14:val="none"/>
        </w:rPr>
        <w:t xml:space="preserve"> (Sanjaya et al., 2020) </w:t>
      </w:r>
      <w:r w:rsidRPr="00913340">
        <w:rPr>
          <w:rFonts w:ascii="Simplified Arabic" w:eastAsia="Times New Roman" w:hAnsi="Simplified Arabic" w:cs="Simplified Arabic"/>
          <w:color w:val="000000" w:themeColor="text1"/>
          <w:kern w:val="0"/>
          <w:sz w:val="28"/>
          <w:szCs w:val="28"/>
          <w:rtl/>
          <w14:ligatures w14:val="none"/>
        </w:rPr>
        <w:t>أهداف إدارة مخاطر تكنولوجيا البيانات في عدة نقاط؛ تتمثل أولها في توفير إطار منهجي لتحديد المخاطر التقنية المحتملة بصورة شاملة لا تُغفل جانباً من جوانب البنية التقنية للمنظمة، ويأتي ثانيها في تقييم هذه المخاطر تقييماً موضوعياً يستند إلى مؤشرات قابلة للقياس بحيث تُرتّب وفق أولوياتها، ويتمثل ثالثها في تصميم استجابات ملائمة لكل فئة من المخاطر سواء أكانت معالجة أم نقلاً أم قبولاً، ويتجلى رابعها في توثيق الإجراءات والقرارات المتعلقة بإدارة المخاطر بصورة تُمكّن المنظمة من الرجوع إليها ومراجعتها، ويظهر خامسها في ضمان استمرارية الأعمال الجوهرية للمنظمة في مواجهة الحوادث التقنية المتوقعة وغير المتوقعة</w:t>
      </w:r>
      <w:r w:rsidRPr="00913340">
        <w:rPr>
          <w:rFonts w:ascii="Simplified Arabic" w:eastAsia="Times New Roman" w:hAnsi="Simplified Arabic" w:cs="Simplified Arabic"/>
          <w:color w:val="000000" w:themeColor="text1"/>
          <w:kern w:val="0"/>
          <w:sz w:val="28"/>
          <w:szCs w:val="28"/>
          <w14:ligatures w14:val="none"/>
        </w:rPr>
        <w:t>.</w:t>
      </w:r>
    </w:p>
    <w:p w14:paraId="48D6A43F"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ويرى</w:t>
      </w:r>
      <w:r w:rsidRPr="00913340">
        <w:rPr>
          <w:rFonts w:ascii="Simplified Arabic" w:eastAsia="Times New Roman" w:hAnsi="Simplified Arabic" w:cs="Simplified Arabic"/>
          <w:color w:val="000000" w:themeColor="text1"/>
          <w:kern w:val="0"/>
          <w:sz w:val="28"/>
          <w:szCs w:val="28"/>
          <w14:ligatures w14:val="none"/>
        </w:rPr>
        <w:t xml:space="preserve"> (Cremer et al., 2022) </w:t>
      </w:r>
      <w:r w:rsidRPr="00913340">
        <w:rPr>
          <w:rFonts w:ascii="Simplified Arabic" w:eastAsia="Times New Roman" w:hAnsi="Simplified Arabic" w:cs="Simplified Arabic"/>
          <w:color w:val="000000" w:themeColor="text1"/>
          <w:kern w:val="0"/>
          <w:sz w:val="28"/>
          <w:szCs w:val="28"/>
          <w:rtl/>
          <w14:ligatures w14:val="none"/>
        </w:rPr>
        <w:t>أن أهدافها تتسع لتشمل بناء فهم منهجي للمخاطر السيبرانية المعاصرة وأنماطها المتطورة، وتطوير قدرات المنظمة على رصد التهديدات الناشئة قبل أن تتحول إلى حوادث فعلية، وتوفير قاعدة معرفية موثوقة تُسهم في صياغة سياسات الأمن السيبراني على المستويين المؤسسي والوطني، فضلاً عن تعزيز التعاون بين الجهات المعنية بإدارة المخاطر السيبرانية في القطاعين العام والخاص</w:t>
      </w:r>
      <w:r w:rsidRPr="00913340">
        <w:rPr>
          <w:rFonts w:ascii="Simplified Arabic" w:eastAsia="Times New Roman" w:hAnsi="Simplified Arabic" w:cs="Simplified Arabic"/>
          <w:color w:val="000000" w:themeColor="text1"/>
          <w:kern w:val="0"/>
          <w:sz w:val="28"/>
          <w:szCs w:val="28"/>
          <w14:ligatures w14:val="none"/>
        </w:rPr>
        <w:t>.</w:t>
      </w:r>
    </w:p>
    <w:p w14:paraId="6D67E16C"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(Li &amp; Wang, 2024) </w:t>
      </w:r>
      <w:r w:rsidRPr="00913340">
        <w:rPr>
          <w:rFonts w:ascii="Simplified Arabic" w:eastAsia="Times New Roman" w:hAnsi="Simplified Arabic" w:cs="Simplified Arabic"/>
          <w:color w:val="000000" w:themeColor="text1"/>
          <w:kern w:val="0"/>
          <w:sz w:val="28"/>
          <w:szCs w:val="28"/>
          <w:rtl/>
          <w14:ligatures w14:val="none"/>
        </w:rPr>
        <w:t xml:space="preserve">جملة من الأهداف ذات الطابع التطبيقي؛ منها تصميم أنظمة ذكية لتقييم مخاطر أمن البيانات تستفيد من قدرات المعالجة الآلية والتعلم الآلي، وتطوير أدوات تُمكّن المنظمات </w:t>
      </w:r>
      <w:r w:rsidRPr="00913340">
        <w:rPr>
          <w:rFonts w:ascii="Simplified Arabic" w:eastAsia="Times New Roman" w:hAnsi="Simplified Arabic" w:cs="Simplified Arabic"/>
          <w:color w:val="000000" w:themeColor="text1"/>
          <w:kern w:val="0"/>
          <w:sz w:val="28"/>
          <w:szCs w:val="28"/>
          <w:rtl/>
          <w14:ligatures w14:val="none"/>
        </w:rPr>
        <w:lastRenderedPageBreak/>
        <w:t>من إدارة دورة حياة المخاطر من الرصد حتى المعالجة في منصة موحدة، وتقليص الفجوة الزمنية بين اكتشاف المخاطر والاستجابة لها، ورفع كفاءة استخدام الموارد البشرية المتخصصة في أمن المعلومات من خلال الأتمتة الذكية</w:t>
      </w:r>
      <w:r w:rsidRPr="00913340">
        <w:rPr>
          <w:rFonts w:ascii="Simplified Arabic" w:eastAsia="Times New Roman" w:hAnsi="Simplified Arabic" w:cs="Simplified Arabic"/>
          <w:color w:val="000000" w:themeColor="text1"/>
          <w:kern w:val="0"/>
          <w:sz w:val="28"/>
          <w:szCs w:val="28"/>
          <w14:ligatures w14:val="none"/>
        </w:rPr>
        <w:t>.</w:t>
      </w:r>
    </w:p>
    <w:p w14:paraId="453FD296"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ويُحدد</w:t>
      </w:r>
      <w:r w:rsidRPr="00913340">
        <w:rPr>
          <w:rFonts w:ascii="Simplified Arabic" w:eastAsia="Times New Roman" w:hAnsi="Simplified Arabic" w:cs="Simplified Arabic"/>
          <w:color w:val="000000" w:themeColor="text1"/>
          <w:kern w:val="0"/>
          <w:sz w:val="28"/>
          <w:szCs w:val="28"/>
          <w14:ligatures w14:val="none"/>
        </w:rPr>
        <w:t xml:space="preserve"> (Arora &amp; Bhardwaj, 2021) </w:t>
      </w:r>
      <w:r w:rsidRPr="00913340">
        <w:rPr>
          <w:rFonts w:ascii="Simplified Arabic" w:eastAsia="Times New Roman" w:hAnsi="Simplified Arabic" w:cs="Simplified Arabic"/>
          <w:color w:val="000000" w:themeColor="text1"/>
          <w:kern w:val="0"/>
          <w:sz w:val="28"/>
          <w:szCs w:val="28"/>
          <w:rtl/>
          <w14:ligatures w14:val="none"/>
        </w:rPr>
        <w:t>الأهداف من زاوية أكثر تخصصاً تتمثل في تطوير منهجيات دقيقة لتقييم التهديدات في القطاعات الحيوية، وتصميم تدابير تخفيف فعّالة تُراعي خصوصية كل قطاع، وضمان توافر طبقات دفاعية متعددة تُصعّب اختراق الأنظمة، وتعزيز الوعي الأمني بين المستخدمين بوصفهم خط الدفاع الأول. ومن جانب آخر، يطرح</w:t>
      </w:r>
      <w:r w:rsidRPr="00913340">
        <w:rPr>
          <w:rFonts w:ascii="Simplified Arabic" w:eastAsia="Times New Roman" w:hAnsi="Simplified Arabic" w:cs="Simplified Arabic"/>
          <w:color w:val="000000" w:themeColor="text1"/>
          <w:kern w:val="0"/>
          <w:sz w:val="28"/>
          <w:szCs w:val="28"/>
          <w14:ligatures w14:val="none"/>
        </w:rPr>
        <w:t xml:space="preserve"> (Settembre-Blundo et al., 2021) </w:t>
      </w:r>
      <w:r w:rsidRPr="00913340">
        <w:rPr>
          <w:rFonts w:ascii="Simplified Arabic" w:eastAsia="Times New Roman" w:hAnsi="Simplified Arabic" w:cs="Simplified Arabic"/>
          <w:color w:val="000000" w:themeColor="text1"/>
          <w:kern w:val="0"/>
          <w:sz w:val="28"/>
          <w:szCs w:val="28"/>
          <w:rtl/>
          <w14:ligatures w14:val="none"/>
        </w:rPr>
        <w:t>أهدافاً ذات طابع استراتيجي تتمثل في دعم اتخاذ القرار في بيئات عدم اليقين، وتعزيز مرونة المنظمة وقدرتها على التكيف مع التغيرات المفاجئة، ودمج الاستدامة في منظومة إدارة المخاطر بحيث تُراعى الأبعاد البيئية والاجتماعية إلى جانب البعد الاقتصادي</w:t>
      </w:r>
      <w:r w:rsidRPr="00913340">
        <w:rPr>
          <w:rFonts w:ascii="Simplified Arabic" w:eastAsia="Times New Roman" w:hAnsi="Simplified Arabic" w:cs="Simplified Arabic"/>
          <w:color w:val="000000" w:themeColor="text1"/>
          <w:kern w:val="0"/>
          <w:sz w:val="28"/>
          <w:szCs w:val="28"/>
          <w14:ligatures w14:val="none"/>
        </w:rPr>
        <w:t>.</w:t>
      </w:r>
    </w:p>
    <w:p w14:paraId="3C7EA321"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ويُكمل</w:t>
      </w:r>
      <w:r w:rsidRPr="00913340">
        <w:rPr>
          <w:rFonts w:ascii="Simplified Arabic" w:eastAsia="Times New Roman" w:hAnsi="Simplified Arabic" w:cs="Simplified Arabic"/>
          <w:color w:val="000000" w:themeColor="text1"/>
          <w:kern w:val="0"/>
          <w:sz w:val="28"/>
          <w:szCs w:val="28"/>
          <w14:ligatures w14:val="none"/>
        </w:rPr>
        <w:t xml:space="preserve"> (El Khatib et al., 2023) </w:t>
      </w:r>
      <w:r w:rsidRPr="00913340">
        <w:rPr>
          <w:rFonts w:ascii="Simplified Arabic" w:eastAsia="Times New Roman" w:hAnsi="Simplified Arabic" w:cs="Simplified Arabic"/>
          <w:color w:val="000000" w:themeColor="text1"/>
          <w:kern w:val="0"/>
          <w:sz w:val="28"/>
          <w:szCs w:val="28"/>
          <w:rtl/>
          <w14:ligatures w14:val="none"/>
        </w:rPr>
        <w:t>هذه المنظومة من الأهداف بإضافة بُعد البيانات الضخمة، إذ يرى أن من أهدافها استثمار القدرات التحليلية المتقدمة في الكشف المبكر عن أنماط المخاطر، وتحويل البيانات إلى رؤى استباقية تدعم القرار، وتعزيز الذكاء المؤسسي في مجال إدارة المخاطر. ويتكامل مع ذلك ما يطرحه</w:t>
      </w:r>
      <w:r w:rsidRPr="00913340">
        <w:rPr>
          <w:rFonts w:ascii="Simplified Arabic" w:eastAsia="Times New Roman" w:hAnsi="Simplified Arabic" w:cs="Simplified Arabic"/>
          <w:color w:val="000000" w:themeColor="text1"/>
          <w:kern w:val="0"/>
          <w:sz w:val="28"/>
          <w:szCs w:val="28"/>
          <w14:ligatures w14:val="none"/>
        </w:rPr>
        <w:t xml:space="preserve"> (Najwa et al., 2025) </w:t>
      </w:r>
      <w:r w:rsidRPr="00913340">
        <w:rPr>
          <w:rFonts w:ascii="Simplified Arabic" w:eastAsia="Times New Roman" w:hAnsi="Simplified Arabic" w:cs="Simplified Arabic"/>
          <w:color w:val="000000" w:themeColor="text1"/>
          <w:kern w:val="0"/>
          <w:sz w:val="28"/>
          <w:szCs w:val="28"/>
          <w:rtl/>
          <w14:ligatures w14:val="none"/>
        </w:rPr>
        <w:t>من أهداف تتعلق بمواكبة التطورات التقنية المتسارعة وبناء قدرات بحثية مؤسسية تُمكّن المنظمة من استيعاب المخاطر المرتبطة بالتقنيات الناشئة</w:t>
      </w:r>
      <w:r w:rsidRPr="00913340">
        <w:rPr>
          <w:rFonts w:ascii="Simplified Arabic" w:eastAsia="Times New Roman" w:hAnsi="Simplified Arabic" w:cs="Simplified Arabic"/>
          <w:color w:val="000000" w:themeColor="text1"/>
          <w:kern w:val="0"/>
          <w:sz w:val="28"/>
          <w:szCs w:val="28"/>
          <w14:ligatures w14:val="none"/>
        </w:rPr>
        <w:t>.</w:t>
      </w:r>
    </w:p>
    <w:p w14:paraId="6144EC46"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ويستخلص الباحث من العرض السابق أن أهداف إدارة مخاطر تكنولوجيا البيانات تتوزع على ثلاثة مستويات متكاملة: مستوى وقائي يتعلق بحماية الأصول من التهديدات قبل وقوعها، ومستوى تشغيلي يتعلق بضمان كفاءة الاستجابة للحوادث وتقليل آثارها، ومستوى استراتيجي يتعلق بتمكين المنظمة من تحقيق رسالتها واستدامة ميزتها التنافسية. ويُمثّل هذا التوزع المتدرج جوهر المقاربة الحديثة لإدارة المخاطر التي تتجاوز المنظور الدفاعي الضيق إلى منظور تمكيني شامل</w:t>
      </w:r>
      <w:r w:rsidRPr="00913340">
        <w:rPr>
          <w:rFonts w:ascii="Simplified Arabic" w:eastAsia="Times New Roman" w:hAnsi="Simplified Arabic" w:cs="Simplified Arabic"/>
          <w:color w:val="000000" w:themeColor="text1"/>
          <w:kern w:val="0"/>
          <w:sz w:val="28"/>
          <w:szCs w:val="28"/>
          <w14:ligatures w14:val="none"/>
        </w:rPr>
        <w:t>.</w:t>
      </w:r>
    </w:p>
    <w:p w14:paraId="2C29179E" w14:textId="15FE2EAD" w:rsidR="00D32D13" w:rsidRPr="00913340" w:rsidRDefault="00E155E5" w:rsidP="00E155E5">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883876"/>
      <w:r w:rsidRPr="00913340">
        <w:rPr>
          <w:rFonts w:ascii="Simplified Arabic" w:eastAsia="Times New Roman" w:hAnsi="Simplified Arabic" w:cs="Simplified Arabic" w:hint="cs"/>
          <w:b/>
          <w:bCs/>
          <w:color w:val="000000" w:themeColor="text1"/>
          <w:kern w:val="0"/>
          <w:sz w:val="32"/>
          <w:szCs w:val="32"/>
          <w:rtl/>
          <w14:ligatures w14:val="none"/>
        </w:rPr>
        <w:t>5.1.2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أبعاد إدارة مخاطر تكنولوجيا البيانات</w:t>
      </w:r>
      <w:bookmarkEnd w:id="46"/>
    </w:p>
    <w:p w14:paraId="3F7BC83D"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تم تحديد أبعاد إدارة مخاطر تكنولوجيا البيانات في الدراسة الحالية بناءً على ما ورد في دراستَي</w:t>
      </w:r>
      <w:r w:rsidRPr="00913340">
        <w:rPr>
          <w:rFonts w:ascii="Simplified Arabic" w:eastAsia="Times New Roman" w:hAnsi="Simplified Arabic" w:cs="Simplified Arabic"/>
          <w:color w:val="000000" w:themeColor="text1"/>
          <w:kern w:val="0"/>
          <w:sz w:val="28"/>
          <w:szCs w:val="28"/>
          <w14:ligatures w14:val="none"/>
        </w:rPr>
        <w:t xml:space="preserve"> (Al-Dosari &amp; Fetais, 2023)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(Sanjaya et al., 2020)</w:t>
      </w:r>
      <w:r w:rsidRPr="00913340">
        <w:rPr>
          <w:rFonts w:ascii="Simplified Arabic" w:eastAsia="Times New Roman" w:hAnsi="Simplified Arabic" w:cs="Simplified Arabic"/>
          <w:color w:val="000000" w:themeColor="text1"/>
          <w:kern w:val="0"/>
          <w:sz w:val="28"/>
          <w:szCs w:val="28"/>
          <w:rtl/>
          <w14:ligatures w14:val="none"/>
        </w:rPr>
        <w:t>، مع الإفادة من الإسهامات المكمّلة لكلٍّ من</w:t>
      </w:r>
      <w:r w:rsidRPr="00913340">
        <w:rPr>
          <w:rFonts w:ascii="Simplified Arabic" w:eastAsia="Times New Roman" w:hAnsi="Simplified Arabic" w:cs="Simplified Arabic"/>
          <w:color w:val="000000" w:themeColor="text1"/>
          <w:kern w:val="0"/>
          <w:sz w:val="28"/>
          <w:szCs w:val="28"/>
          <w14:ligatures w14:val="none"/>
        </w:rPr>
        <w:t xml:space="preserve"> (Cremer et al., 2022)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(Li &amp; Wang, 2024)</w:t>
      </w:r>
      <w:r w:rsidRPr="00913340">
        <w:rPr>
          <w:rFonts w:ascii="Simplified Arabic" w:eastAsia="Times New Roman" w:hAnsi="Simplified Arabic" w:cs="Simplified Arabic"/>
          <w:color w:val="000000" w:themeColor="text1"/>
          <w:kern w:val="0"/>
          <w:sz w:val="28"/>
          <w:szCs w:val="28"/>
          <w:rtl/>
          <w14:ligatures w14:val="none"/>
        </w:rPr>
        <w:t xml:space="preserve">، وذلك بما يتلاءم مع طبيعة المركز الوطني </w:t>
      </w:r>
      <w:r w:rsidRPr="00913340">
        <w:rPr>
          <w:rFonts w:ascii="Simplified Arabic" w:eastAsia="Times New Roman" w:hAnsi="Simplified Arabic" w:cs="Simplified Arabic"/>
          <w:color w:val="000000" w:themeColor="text1"/>
          <w:kern w:val="0"/>
          <w:sz w:val="28"/>
          <w:szCs w:val="28"/>
          <w:rtl/>
          <w14:ligatures w14:val="none"/>
        </w:rPr>
        <w:lastRenderedPageBreak/>
        <w:t>للأرصاد ومتطلبات بيئة عمله التقنية. وقد استقرت الدراسة على أربعة أبعاد رئيسة هي: تقييم المخاطر التقنية، وأمن البيانات والبنية التحتية، وحوكمة تكنولوجيا المعلومات، والمراقبة والتحسين المستمر، وفيما يلي تفصيل لكل بُعد منها</w:t>
      </w:r>
      <w:r w:rsidRPr="00913340">
        <w:rPr>
          <w:rFonts w:ascii="Simplified Arabic" w:eastAsia="Times New Roman" w:hAnsi="Simplified Arabic" w:cs="Simplified Arabic"/>
          <w:color w:val="000000" w:themeColor="text1"/>
          <w:kern w:val="0"/>
          <w:sz w:val="28"/>
          <w:szCs w:val="28"/>
          <w14:ligatures w14:val="none"/>
        </w:rPr>
        <w:t>.</w:t>
      </w:r>
    </w:p>
    <w:p w14:paraId="0ABD9CB6"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البُعد الأول: تقييم المخاطر التقنية</w:t>
      </w:r>
    </w:p>
    <w:p w14:paraId="2731AFB6"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يُمثّل تقييم المخاطر التقنية البوابة المنهجية التي تدخل منها المنظمة إلى منظومة إدارة المخاطر، إذ لا يُمكن إدارة ما لم يُعرف، ولا يُمكن معالجة ما لم يُقيَّم. ويتضمن هذا البُعد جملة من العمليات المتسلسلة التي تبدأ بحصر الأصول التقنية للمنظمة وتصنيفها وفق درجة حساسيتها وأهميتها، مروراً بتحديد التهديدات المحتملة لكل أصل وتقدير احتمالية حدوثها وحجم آثارها المحتملة، وانتهاءً بترتيب المخاطر وفق أولوياتها لتوجيه الموارد نحو معالجة الأكثر خطورة منها</w:t>
      </w:r>
      <w:r w:rsidRPr="00913340">
        <w:rPr>
          <w:rFonts w:ascii="Simplified Arabic" w:eastAsia="Times New Roman" w:hAnsi="Simplified Arabic" w:cs="Simplified Arabic"/>
          <w:color w:val="000000" w:themeColor="text1"/>
          <w:kern w:val="0"/>
          <w:sz w:val="28"/>
          <w:szCs w:val="28"/>
          <w14:ligatures w14:val="none"/>
        </w:rPr>
        <w:t xml:space="preserve"> (Sanjaya et al., 2020).</w:t>
      </w:r>
    </w:p>
    <w:p w14:paraId="382E986F"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ويتميز هذا البُعد بطابعه المنهجي الذي يستند إلى أطر معيارية دولية، يأتي في مقدمتها معيار آيزو 31000 الذي يُوفّر هيكلاً مرجعياً متكاملاً لإدارة المخاطر، ومنهجية إطار اختبار الاختراق الأمني</w:t>
      </w:r>
      <w:r w:rsidRPr="00913340">
        <w:rPr>
          <w:rFonts w:ascii="Simplified Arabic" w:eastAsia="Times New Roman" w:hAnsi="Simplified Arabic" w:cs="Simplified Arabic"/>
          <w:color w:val="000000" w:themeColor="text1"/>
          <w:kern w:val="0"/>
          <w:sz w:val="28"/>
          <w:szCs w:val="28"/>
          <w14:ligatures w14:val="none"/>
        </w:rPr>
        <w:t xml:space="preserve"> (ISSAF) </w:t>
      </w:r>
      <w:r w:rsidRPr="00913340">
        <w:rPr>
          <w:rFonts w:ascii="Simplified Arabic" w:eastAsia="Times New Roman" w:hAnsi="Simplified Arabic" w:cs="Simplified Arabic"/>
          <w:color w:val="000000" w:themeColor="text1"/>
          <w:kern w:val="0"/>
          <w:sz w:val="28"/>
          <w:szCs w:val="28"/>
          <w:rtl/>
          <w14:ligatures w14:val="none"/>
        </w:rPr>
        <w:t>التي تُستخدم في تقييم المخاطر التشغيلية. ويُسهم تبنّي هذه الأطر في إضفاء طابع موضوعي على عملية التقييم، يقلّل من تأثير الأحكام الشخصية ويُتيح المقارنة بين تقييمات مختلفة عبر الزمن</w:t>
      </w:r>
      <w:r w:rsidRPr="00913340">
        <w:rPr>
          <w:rFonts w:ascii="Simplified Arabic" w:eastAsia="Times New Roman" w:hAnsi="Simplified Arabic" w:cs="Simplified Arabic"/>
          <w:color w:val="000000" w:themeColor="text1"/>
          <w:kern w:val="0"/>
          <w:sz w:val="28"/>
          <w:szCs w:val="28"/>
          <w14:ligatures w14:val="none"/>
        </w:rPr>
        <w:t xml:space="preserve"> (Sanjaya et al., 2020).</w:t>
      </w:r>
    </w:p>
    <w:p w14:paraId="6E9AA074"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(Cremer et al., 2022) </w:t>
      </w:r>
      <w:r w:rsidRPr="00913340">
        <w:rPr>
          <w:rFonts w:ascii="Simplified Arabic" w:eastAsia="Times New Roman" w:hAnsi="Simplified Arabic" w:cs="Simplified Arabic"/>
          <w:color w:val="000000" w:themeColor="text1"/>
          <w:kern w:val="0"/>
          <w:sz w:val="28"/>
          <w:szCs w:val="28"/>
          <w:rtl/>
          <w14:ligatures w14:val="none"/>
        </w:rPr>
        <w:t>أن تقييم المخاطر التقنية في السياق المعاصر يستلزم تجاوز المقاربات التقليدية إلى مقاربات أكثر ديناميكية، تستوعب الطبيعة المتطورة للمخاطر السيبرانية، وتُدمج البيانات المتاحة عن الحوادث والتهديدات في نماذج تحليلية قادرة على توقع المسارات المحتملة للمخاطر. ويتجلى هذا التطور في الانتقال من التقييمات الدورية ذات الطابع الثابت إلى التقييمات المستمرة التي تتغذى على تدفقات البيانات الآنية</w:t>
      </w:r>
      <w:r w:rsidRPr="00913340">
        <w:rPr>
          <w:rFonts w:ascii="Simplified Arabic" w:eastAsia="Times New Roman" w:hAnsi="Simplified Arabic" w:cs="Simplified Arabic"/>
          <w:color w:val="000000" w:themeColor="text1"/>
          <w:kern w:val="0"/>
          <w:sz w:val="28"/>
          <w:szCs w:val="28"/>
          <w14:ligatures w14:val="none"/>
        </w:rPr>
        <w:t>.</w:t>
      </w:r>
    </w:p>
    <w:p w14:paraId="3D0A82F1"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تطبيقي، يُبيّن</w:t>
      </w:r>
      <w:r w:rsidRPr="00913340">
        <w:rPr>
          <w:rFonts w:ascii="Simplified Arabic" w:eastAsia="Times New Roman" w:hAnsi="Simplified Arabic" w:cs="Simplified Arabic"/>
          <w:color w:val="000000" w:themeColor="text1"/>
          <w:kern w:val="0"/>
          <w:sz w:val="28"/>
          <w:szCs w:val="28"/>
          <w14:ligatures w14:val="none"/>
        </w:rPr>
        <w:t xml:space="preserve"> (Li &amp; Wang, 2024) </w:t>
      </w:r>
      <w:r w:rsidRPr="00913340">
        <w:rPr>
          <w:rFonts w:ascii="Simplified Arabic" w:eastAsia="Times New Roman" w:hAnsi="Simplified Arabic" w:cs="Simplified Arabic"/>
          <w:color w:val="000000" w:themeColor="text1"/>
          <w:kern w:val="0"/>
          <w:sz w:val="28"/>
          <w:szCs w:val="28"/>
          <w:rtl/>
          <w14:ligatures w14:val="none"/>
        </w:rPr>
        <w:t>أن تقييم المخاطر التقنية يستفيد اليوم من قدرات الأنظمة الذكية في معالجة كميات هائلة من البيانات حول حالة الأنظمة وسلوك المستخدمين والأنشطة الشبكية، بحيث يتم اكتشاف الأنماط الشاذة التي قد تُشير إلى مخاطر ناشئة قبل أن تتحول إلى حوادث فعلية. ويعكس هذا التحول انتقالاً نوعياً في فلسفة التقييم من النمط الاستجابي إلى النمط الاستباقي القائم على التنبؤ</w:t>
      </w:r>
      <w:r w:rsidRPr="00913340">
        <w:rPr>
          <w:rFonts w:ascii="Simplified Arabic" w:eastAsia="Times New Roman" w:hAnsi="Simplified Arabic" w:cs="Simplified Arabic"/>
          <w:color w:val="000000" w:themeColor="text1"/>
          <w:kern w:val="0"/>
          <w:sz w:val="28"/>
          <w:szCs w:val="28"/>
          <w14:ligatures w14:val="none"/>
        </w:rPr>
        <w:t>.</w:t>
      </w:r>
    </w:p>
    <w:p w14:paraId="574E3AAE"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lastRenderedPageBreak/>
        <w:t>البُعد الثاني: أمن البيانات والبنية التحتية</w:t>
      </w:r>
    </w:p>
    <w:p w14:paraId="6F2E0AF6"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يُشكّل أمن البيانات والبنية التحتية الركيزة الحامية التي تقوم عليها سلامة منظومة العمل التقني للمنظمة، ويتضمن هذا البُعد مجموعة من الضوابط والتدابير التي تستهدف صون السرية والسلامة والإتاحة بوصفها الثالوث الكلاسيكي لأمن المعلومات. ويمتد نطاق هذا البُعد ليشمل أمن البيانات في حالاتها الثلاث: أثناء التخزين، وأثناء النقل، وأثناء المعالجة، إلى جانب أمن البنية التحتية المادية والافتراضية التي تستضيف هذه البيانات وتتعامل معها</w:t>
      </w:r>
      <w:r w:rsidRPr="00913340">
        <w:rPr>
          <w:rFonts w:ascii="Simplified Arabic" w:eastAsia="Times New Roman" w:hAnsi="Simplified Arabic" w:cs="Simplified Arabic"/>
          <w:color w:val="000000" w:themeColor="text1"/>
          <w:kern w:val="0"/>
          <w:sz w:val="28"/>
          <w:szCs w:val="28"/>
          <w14:ligatures w14:val="none"/>
        </w:rPr>
        <w:t xml:space="preserve"> (Al-Dosari &amp; Fetais, 2023).</w:t>
      </w:r>
    </w:p>
    <w:p w14:paraId="546772D5"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ويتضمن هذا البُعد طبقات متعددة من الضوابط الأمنية تتكامل فيما بينها لتُشكّل ما يُعرف بالدفاع متعدد الطبقات، حيث تتوزع هذه الضوابط على مستوى الشبكة من خلال جدران الحماية وأنظمة كشف التسلل، وعلى مستوى الأنظمة من خلال إدارة الهوية والوصول وتشفير البيانات، وعلى مستوى التطبيقات من خلال ضوابط أمن الكود والاختبارات الأمنية الدورية. ويُسهم هذا التنوع في الضوابط في رفع كلفة الاختراق على المهاجم وزيادة احتمالية اكتشافه قبل أن يصل إلى الأهداف الحساسة</w:t>
      </w:r>
      <w:r w:rsidRPr="00913340">
        <w:rPr>
          <w:rFonts w:ascii="Simplified Arabic" w:eastAsia="Times New Roman" w:hAnsi="Simplified Arabic" w:cs="Simplified Arabic"/>
          <w:color w:val="000000" w:themeColor="text1"/>
          <w:kern w:val="0"/>
          <w:sz w:val="28"/>
          <w:szCs w:val="28"/>
          <w14:ligatures w14:val="none"/>
        </w:rPr>
        <w:t xml:space="preserve"> (Cremer et al., 2022).</w:t>
      </w:r>
    </w:p>
    <w:p w14:paraId="1FAD2BC6"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(Arora &amp; Bhardwaj, 2021) </w:t>
      </w:r>
      <w:r w:rsidRPr="00913340">
        <w:rPr>
          <w:rFonts w:ascii="Simplified Arabic" w:eastAsia="Times New Roman" w:hAnsi="Simplified Arabic" w:cs="Simplified Arabic"/>
          <w:color w:val="000000" w:themeColor="text1"/>
          <w:kern w:val="0"/>
          <w:sz w:val="28"/>
          <w:szCs w:val="28"/>
          <w:rtl/>
          <w14:ligatures w14:val="none"/>
        </w:rPr>
        <w:t>أن أمن البيانات والبنية التحتية في القطاعات الحيوية يتطلب اهتماماً خاصاً بمنهجيات تقييم التهديدات الموجّهة وتدابير التخفيف المتخصصة، إذ إن البيئات التقنية في هذه القطاعات تتميز بخصوصية تجعل الحلول الأمنية العامة غير كافية لمواجهة تهديداتها المحتملة، مما يستلزم تطوير حلول مخصصة تُراعي طبيعة الأنظمة المستخدمة وحساسية البيانات المعالجة</w:t>
      </w:r>
      <w:r w:rsidRPr="00913340">
        <w:rPr>
          <w:rFonts w:ascii="Simplified Arabic" w:eastAsia="Times New Roman" w:hAnsi="Simplified Arabic" w:cs="Simplified Arabic"/>
          <w:color w:val="000000" w:themeColor="text1"/>
          <w:kern w:val="0"/>
          <w:sz w:val="28"/>
          <w:szCs w:val="28"/>
          <w14:ligatures w14:val="none"/>
        </w:rPr>
        <w:t>.</w:t>
      </w:r>
    </w:p>
    <w:p w14:paraId="51750EF7"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الأثر المؤسسي، يُؤكد</w:t>
      </w:r>
      <w:r w:rsidRPr="00913340">
        <w:rPr>
          <w:rFonts w:ascii="Simplified Arabic" w:eastAsia="Times New Roman" w:hAnsi="Simplified Arabic" w:cs="Simplified Arabic"/>
          <w:color w:val="000000" w:themeColor="text1"/>
          <w:kern w:val="0"/>
          <w:sz w:val="28"/>
          <w:szCs w:val="28"/>
          <w14:ligatures w14:val="none"/>
        </w:rPr>
        <w:t xml:space="preserve"> (Kamiya et al., 2021) </w:t>
      </w:r>
      <w:r w:rsidRPr="00913340">
        <w:rPr>
          <w:rFonts w:ascii="Simplified Arabic" w:eastAsia="Times New Roman" w:hAnsi="Simplified Arabic" w:cs="Simplified Arabic"/>
          <w:color w:val="000000" w:themeColor="text1"/>
          <w:kern w:val="0"/>
          <w:sz w:val="28"/>
          <w:szCs w:val="28"/>
          <w:rtl/>
          <w14:ligatures w14:val="none"/>
        </w:rPr>
        <w:t>أن الإخفاق في أمن البيانات والبنية التحتية لا تنحصر آثاره في الجوانب التقنية والتشغيلية، بل تمتد إلى الجوانب المالية والسمعة المؤسسية، مما يجعل الاستثمار في هذا البُعد ذا عائد متعدد الأبعاد. ويعكس هذا المنظور تحول النظر إلى أمن البيانات من كونه مركز تكلفة إلى كونه مركز قيمة يُسهم في حماية الأصول غير الملموسة للمنظمة وتعزيز ثقة المتعاملين معها</w:t>
      </w:r>
      <w:r w:rsidRPr="00913340">
        <w:rPr>
          <w:rFonts w:ascii="Simplified Arabic" w:eastAsia="Times New Roman" w:hAnsi="Simplified Arabic" w:cs="Simplified Arabic"/>
          <w:color w:val="000000" w:themeColor="text1"/>
          <w:kern w:val="0"/>
          <w:sz w:val="28"/>
          <w:szCs w:val="28"/>
          <w14:ligatures w14:val="none"/>
        </w:rPr>
        <w:t>.</w:t>
      </w:r>
    </w:p>
    <w:p w14:paraId="12CBF0E0"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البُعد الثالث: حوكمة تكنولوجيا المعلومات</w:t>
      </w:r>
    </w:p>
    <w:p w14:paraId="34E47E5E"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تُمثّل حوكمة تكنولوجيا المعلومات الإطار المؤسسي الذي يضمن مواءمة إدارة المخاطر التقنية مع الأهداف الاستراتيجية للمنظمة، وتُحدد فيه الأدوار والمسؤوليات والسياسات والإجراءات التي تحكم اتخاذ </w:t>
      </w:r>
      <w:r w:rsidRPr="00913340">
        <w:rPr>
          <w:rFonts w:ascii="Simplified Arabic" w:eastAsia="Times New Roman" w:hAnsi="Simplified Arabic" w:cs="Simplified Arabic"/>
          <w:color w:val="000000" w:themeColor="text1"/>
          <w:kern w:val="0"/>
          <w:sz w:val="28"/>
          <w:szCs w:val="28"/>
          <w:rtl/>
          <w14:ligatures w14:val="none"/>
        </w:rPr>
        <w:lastRenderedPageBreak/>
        <w:t>القرارات التقنية وإدارة المخاطر المرتبطة بها. ويتجاوز هذا البُعد المعالجة الفنية للمخاطر إلى تأطيرها ضمن منظومة الحوكمة المؤسسية الشاملة، بحيث تُصبح إدارة المخاطر التقنية جزءاً عضوياً من الإدارة الاستراتيجية للمنظمة وليست شأناً تقنياً مستقلاً</w:t>
      </w:r>
      <w:r w:rsidRPr="00913340">
        <w:rPr>
          <w:rFonts w:ascii="Simplified Arabic" w:eastAsia="Times New Roman" w:hAnsi="Simplified Arabic" w:cs="Simplified Arabic"/>
          <w:color w:val="000000" w:themeColor="text1"/>
          <w:kern w:val="0"/>
          <w:sz w:val="28"/>
          <w:szCs w:val="28"/>
          <w14:ligatures w14:val="none"/>
        </w:rPr>
        <w:t xml:space="preserve"> (Najwa et al., 2025).</w:t>
      </w:r>
    </w:p>
    <w:p w14:paraId="3CD0B071"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ويتضمن هذا البُعد جملة من العناصر المتكاملة؛ تبدأ بتحديد الأدوار والمسؤوليات الواضحة في إدارة المخاطر التقنية على مختلف المستويات التنظيمية، من مجلس الإدارة الذي يتحمل المسؤولية النهائية، إلى الإدارة التنفيذية التي تُترجم التوجهات إلى استراتيجيات، وصولاً إلى الإدارات التشغيلية التي تُنفّذ الضوابط اليومية. ويتكامل مع ذلك وضع السياسات والإجراءات التي تحكم إدارة المخاطر، ووضع آليات للتقرير والمساءلة تضمن تدفق المعلومات بين المستويات</w:t>
      </w:r>
      <w:r w:rsidRPr="00913340">
        <w:rPr>
          <w:rFonts w:ascii="Simplified Arabic" w:eastAsia="Times New Roman" w:hAnsi="Simplified Arabic" w:cs="Simplified Arabic"/>
          <w:color w:val="000000" w:themeColor="text1"/>
          <w:kern w:val="0"/>
          <w:sz w:val="28"/>
          <w:szCs w:val="28"/>
          <w14:ligatures w14:val="none"/>
        </w:rPr>
        <w:t xml:space="preserve"> (Settembre-Blundo et al., 2021).</w:t>
      </w:r>
    </w:p>
    <w:p w14:paraId="2D0DC627"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ويُبرز</w:t>
      </w:r>
      <w:r w:rsidRPr="00913340">
        <w:rPr>
          <w:rFonts w:ascii="Simplified Arabic" w:eastAsia="Times New Roman" w:hAnsi="Simplified Arabic" w:cs="Simplified Arabic"/>
          <w:color w:val="000000" w:themeColor="text1"/>
          <w:kern w:val="0"/>
          <w:sz w:val="28"/>
          <w:szCs w:val="28"/>
          <w14:ligatures w14:val="none"/>
        </w:rPr>
        <w:t xml:space="preserve"> (El Khatib et al., 2023) </w:t>
      </w:r>
      <w:r w:rsidRPr="00913340">
        <w:rPr>
          <w:rFonts w:ascii="Simplified Arabic" w:eastAsia="Times New Roman" w:hAnsi="Simplified Arabic" w:cs="Simplified Arabic"/>
          <w:color w:val="000000" w:themeColor="text1"/>
          <w:kern w:val="0"/>
          <w:sz w:val="28"/>
          <w:szCs w:val="28"/>
          <w:rtl/>
          <w14:ligatures w14:val="none"/>
        </w:rPr>
        <w:t>أن حوكمة تكنولوجيا المعلومات في عصر البيانات الضخمة تتطلب توسيع نطاق الحوكمة لتشمل البيانات بوصفها أصلاً استراتيجياً مستقلاً، يستلزم سياسات خاصة لإدارته من حيث جودته وملكيته وأخلاقيات استخدامه. ويعكس هذا التوسع تطوراً نوعياً في مفهوم الحوكمة، إذ ينتقل من التركيز على البنية التقنية إلى التركيز على البيانات بوصفها جوهر القيمة في المنظمة الرقمية</w:t>
      </w:r>
      <w:r w:rsidRPr="00913340">
        <w:rPr>
          <w:rFonts w:ascii="Simplified Arabic" w:eastAsia="Times New Roman" w:hAnsi="Simplified Arabic" w:cs="Simplified Arabic"/>
          <w:color w:val="000000" w:themeColor="text1"/>
          <w:kern w:val="0"/>
          <w:sz w:val="28"/>
          <w:szCs w:val="28"/>
          <w14:ligatures w14:val="none"/>
        </w:rPr>
        <w:t>.</w:t>
      </w:r>
    </w:p>
    <w:p w14:paraId="04779D9D"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ويتكامل هذا المنظور مع ما يطرحه</w:t>
      </w:r>
      <w:r w:rsidRPr="00913340">
        <w:rPr>
          <w:rFonts w:ascii="Simplified Arabic" w:eastAsia="Times New Roman" w:hAnsi="Simplified Arabic" w:cs="Simplified Arabic"/>
          <w:color w:val="000000" w:themeColor="text1"/>
          <w:kern w:val="0"/>
          <w:sz w:val="28"/>
          <w:szCs w:val="28"/>
          <w14:ligatures w14:val="none"/>
        </w:rPr>
        <w:t xml:space="preserve"> (Al-Dosari &amp; Fetais, 2023) </w:t>
      </w:r>
      <w:r w:rsidRPr="00913340">
        <w:rPr>
          <w:rFonts w:ascii="Simplified Arabic" w:eastAsia="Times New Roman" w:hAnsi="Simplified Arabic" w:cs="Simplified Arabic"/>
          <w:color w:val="000000" w:themeColor="text1"/>
          <w:kern w:val="0"/>
          <w:sz w:val="28"/>
          <w:szCs w:val="28"/>
          <w:rtl/>
          <w14:ligatures w14:val="none"/>
        </w:rPr>
        <w:t>من ضرورة بناء أطر حوكمية مكيّفة وفق حجم المنظمة وطبيعة نشاطها، إذ لا تصلح الأطر الموحدة لجميع المنظمات، بل ينبغي تكييف هذه الأطر بما يُراعي الإمكانات المتاحة والمخاطر الخاصة بكل بيئة عمل. ويُسهم هذا التكييف في رفع فاعلية الحوكمة وتجنّب البيروقراطية الزائدة التي قد تُعيق المرونة التشغيلية للمنظمة</w:t>
      </w:r>
      <w:r w:rsidRPr="00913340">
        <w:rPr>
          <w:rFonts w:ascii="Simplified Arabic" w:eastAsia="Times New Roman" w:hAnsi="Simplified Arabic" w:cs="Simplified Arabic"/>
          <w:color w:val="000000" w:themeColor="text1"/>
          <w:kern w:val="0"/>
          <w:sz w:val="28"/>
          <w:szCs w:val="28"/>
          <w14:ligatures w14:val="none"/>
        </w:rPr>
        <w:t>.</w:t>
      </w:r>
    </w:p>
    <w:p w14:paraId="7BE64289"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البُعد الرابع: المراقبة والتحسين المستمر</w:t>
      </w:r>
    </w:p>
    <w:p w14:paraId="4B936BF1"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يُشكّل بُعد المراقبة والتحسين المستمر الحلقة الختامية التي تُغلق دورة إدارة المخاطر وتُعيد إطلاقها من جديد، مما يجعل المنظومة بأكملها كياناً ديناميكياً يتطور بتطور البيئة المحيطة. ويستند هذا البُعد إلى فلسفة التحسين المستمر التي تنطلق من قناعة بأن إدارة المخاطر ليست محطة وصول وإنما رحلة لا تنتهي، وأن المخاطر تتطور باستمرار بفعل التطور التقني وتغيّر السياق التشغيلي وظهور تهديدات جديدة</w:t>
      </w:r>
      <w:r w:rsidRPr="00913340">
        <w:rPr>
          <w:rFonts w:ascii="Simplified Arabic" w:eastAsia="Times New Roman" w:hAnsi="Simplified Arabic" w:cs="Simplified Arabic"/>
          <w:color w:val="000000" w:themeColor="text1"/>
          <w:kern w:val="0"/>
          <w:sz w:val="28"/>
          <w:szCs w:val="28"/>
          <w14:ligatures w14:val="none"/>
        </w:rPr>
        <w:t xml:space="preserve"> (Li &amp; Wang, 2024).</w:t>
      </w:r>
    </w:p>
    <w:p w14:paraId="71A0E539"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ويتضمن هذا البُعد جملة من الأنشطة المترابطة؛ تتمثل أولها في المراقبة المستمرة للأنظمة والشبكات لرصد المؤشرات التي قد تُنذر بمخاطر ناشئة أو حوادث وشيكة، ويأتي ثانيها في قياس فاعلية الضوابط </w:t>
      </w:r>
      <w:r w:rsidRPr="00913340">
        <w:rPr>
          <w:rFonts w:ascii="Simplified Arabic" w:eastAsia="Times New Roman" w:hAnsi="Simplified Arabic" w:cs="Simplified Arabic"/>
          <w:color w:val="000000" w:themeColor="text1"/>
          <w:kern w:val="0"/>
          <w:sz w:val="28"/>
          <w:szCs w:val="28"/>
          <w:rtl/>
          <w14:ligatures w14:val="none"/>
        </w:rPr>
        <w:lastRenderedPageBreak/>
        <w:t>الأمنية المطبقة من خلال مؤشرات أداء محددة تُتيح الحكم على مدى نجاح هذه الضوابط في تحقيق أهدافها، ويتجلى ثالثها في مراجعة منظومة إدارة المخاطر بصورة دورية لتحديد الفجوات والثغرات وفرص التحسين، ويظهر رابعها في تحديث السياسات والإجراءات وفق مستجدات البيئة التقنية والتشريعية</w:t>
      </w:r>
      <w:r w:rsidRPr="00913340">
        <w:rPr>
          <w:rFonts w:ascii="Simplified Arabic" w:eastAsia="Times New Roman" w:hAnsi="Simplified Arabic" w:cs="Simplified Arabic"/>
          <w:color w:val="000000" w:themeColor="text1"/>
          <w:kern w:val="0"/>
          <w:sz w:val="28"/>
          <w:szCs w:val="28"/>
          <w14:ligatures w14:val="none"/>
        </w:rPr>
        <w:t xml:space="preserve"> (Cremer et al., 2022).</w:t>
      </w:r>
    </w:p>
    <w:p w14:paraId="4486B265"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(Najwa et al., 2025) </w:t>
      </w:r>
      <w:r w:rsidRPr="00913340">
        <w:rPr>
          <w:rFonts w:ascii="Simplified Arabic" w:eastAsia="Times New Roman" w:hAnsi="Simplified Arabic" w:cs="Simplified Arabic"/>
          <w:color w:val="000000" w:themeColor="text1"/>
          <w:kern w:val="0"/>
          <w:sz w:val="28"/>
          <w:szCs w:val="28"/>
          <w:rtl/>
          <w14:ligatures w14:val="none"/>
        </w:rPr>
        <w:t>أن المراقبة والتحسين المستمر يستلزمان بناء قاعدة معرفية مؤسسية تُراكم الخبرات المكتسبة من الحوادث السابقة ومن التقييمات الدورية، بحيث تُصبح هذه القاعدة مرجعاً تستفيد منه المنظمة في تحسين ممارساتها وتجنّب تكرار الأخطاء. ويعكس هذا الطرح أهمية البُعد التعلّمي في إدارة المخاطر، إذ تتحول كل حادثة وكل تقييم إلى فرصة للتعلم وتطوير القدرات</w:t>
      </w:r>
      <w:r w:rsidRPr="00913340">
        <w:rPr>
          <w:rFonts w:ascii="Simplified Arabic" w:eastAsia="Times New Roman" w:hAnsi="Simplified Arabic" w:cs="Simplified Arabic"/>
          <w:color w:val="000000" w:themeColor="text1"/>
          <w:kern w:val="0"/>
          <w:sz w:val="28"/>
          <w:szCs w:val="28"/>
          <w14:ligatures w14:val="none"/>
        </w:rPr>
        <w:t>.</w:t>
      </w:r>
    </w:p>
    <w:p w14:paraId="7E769BBD"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تطبيقي متقدم، يُبيّن</w:t>
      </w:r>
      <w:r w:rsidRPr="00913340">
        <w:rPr>
          <w:rFonts w:ascii="Simplified Arabic" w:eastAsia="Times New Roman" w:hAnsi="Simplified Arabic" w:cs="Simplified Arabic"/>
          <w:color w:val="000000" w:themeColor="text1"/>
          <w:kern w:val="0"/>
          <w:sz w:val="28"/>
          <w:szCs w:val="28"/>
          <w14:ligatures w14:val="none"/>
        </w:rPr>
        <w:t xml:space="preserve"> (Li &amp; Wang, 2024) </w:t>
      </w:r>
      <w:r w:rsidRPr="00913340">
        <w:rPr>
          <w:rFonts w:ascii="Simplified Arabic" w:eastAsia="Times New Roman" w:hAnsi="Simplified Arabic" w:cs="Simplified Arabic"/>
          <w:color w:val="000000" w:themeColor="text1"/>
          <w:kern w:val="0"/>
          <w:sz w:val="28"/>
          <w:szCs w:val="28"/>
          <w:rtl/>
          <w14:ligatures w14:val="none"/>
        </w:rPr>
        <w:t>أن المراقبة والتحسين المستمر يستفيدان اليوم من قدرات الأنظمة الذكية في الرصد الآلي للأنماط الشاذة وتحليل بيانات السجلات الضخمة بسرعة تفوق القدرات البشرية، مما يُتيح اكتشاف المخاطر الدقيقة التي قد تُفلت من المراقبة التقليدية. ويُضيف</w:t>
      </w:r>
      <w:r w:rsidRPr="00913340">
        <w:rPr>
          <w:rFonts w:ascii="Simplified Arabic" w:eastAsia="Times New Roman" w:hAnsi="Simplified Arabic" w:cs="Simplified Arabic"/>
          <w:color w:val="000000" w:themeColor="text1"/>
          <w:kern w:val="0"/>
          <w:sz w:val="28"/>
          <w:szCs w:val="28"/>
          <w14:ligatures w14:val="none"/>
        </w:rPr>
        <w:t xml:space="preserve"> (Settembre-Blundo et al., 2021) </w:t>
      </w:r>
      <w:r w:rsidRPr="00913340">
        <w:rPr>
          <w:rFonts w:ascii="Simplified Arabic" w:eastAsia="Times New Roman" w:hAnsi="Simplified Arabic" w:cs="Simplified Arabic"/>
          <w:color w:val="000000" w:themeColor="text1"/>
          <w:kern w:val="0"/>
          <w:sz w:val="28"/>
          <w:szCs w:val="28"/>
          <w:rtl/>
          <w14:ligatures w14:val="none"/>
        </w:rPr>
        <w:t>أن التحسين المستمر يكتسب بُعداً استراتيجياً حين يُربط بمفهوم المرونة المؤسسية، إذ إن المنظمة المرنة هي تلك التي تتعلم من تجاربها وتُكيّف منظومة إدارة مخاطرها وفق التغيرات المتسارعة في محيطها، محافظةً على قدرتها على تحقيق أهدافها رغم الاضطرابات</w:t>
      </w:r>
      <w:r w:rsidRPr="00913340">
        <w:rPr>
          <w:rFonts w:ascii="Simplified Arabic" w:eastAsia="Times New Roman" w:hAnsi="Simplified Arabic" w:cs="Simplified Arabic"/>
          <w:color w:val="000000" w:themeColor="text1"/>
          <w:kern w:val="0"/>
          <w:sz w:val="28"/>
          <w:szCs w:val="28"/>
          <w14:ligatures w14:val="none"/>
        </w:rPr>
        <w:t>.</w:t>
      </w:r>
    </w:p>
    <w:p w14:paraId="274193B4" w14:textId="77777777" w:rsidR="00D32D13" w:rsidRPr="00913340" w:rsidRDefault="00D32D13" w:rsidP="00E155E5">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ويرى الباحث أن هذه الأبعاد الأربعة تتكامل في منظومة دائرية لا تكتمل فاعليتها إلا باكتمال حلقاتها، إذ يُغذّي تقييم المخاطر التقنية ضوابط أمن البيانات والبنية التحتية، وتُوجَّه هذه الضوابط بمنظومة حوكمة تكنولوجيا المعلومات، وتتطور المنظومة بأكملها من خلال المراقبة والتحسين المستمر الذي يُعيد تغذية عملية التقييم بمدخلات جديدة. وفي سياق المركز الوطني للأرصاد بالمملكة العربية السعودية، تكتسب هذه الأبعاد أهمية مضاعفة بفعل الطبيعة الحساسة للبيانات الجوية والقرارات المبنية عليها، مما يجعل التكامل بين هذه الأبعاد شرطاً لازماً لضمان دقة التنبؤات وكفاءة دعم القرار</w:t>
      </w:r>
      <w:r w:rsidRPr="00913340">
        <w:rPr>
          <w:rFonts w:ascii="Simplified Arabic" w:eastAsia="Times New Roman" w:hAnsi="Simplified Arabic" w:cs="Simplified Arabic"/>
          <w:color w:val="000000" w:themeColor="text1"/>
          <w:kern w:val="0"/>
          <w:sz w:val="28"/>
          <w:szCs w:val="28"/>
          <w14:ligatures w14:val="none"/>
        </w:rPr>
        <w:t>.</w:t>
      </w:r>
    </w:p>
    <w:p w14:paraId="2330E255" w14:textId="51B23302" w:rsidR="00D32D13" w:rsidRPr="00913340" w:rsidRDefault="00E155E5" w:rsidP="00E155E5">
      <w:pPr>
        <w:jc w:val="center"/>
        <w:outlineLvl w:val="1"/>
        <w:rPr>
          <w:rFonts w:ascii="Simplified Arabic" w:eastAsia="Times New Roman" w:hAnsi="Simplified Arabic" w:cs="Simplified Arabic"/>
          <w:b/>
          <w:bCs/>
          <w:color w:val="000000" w:themeColor="text1"/>
          <w:kern w:val="0"/>
          <w:sz w:val="36"/>
          <w:szCs w:val="36"/>
          <w14:ligatures w14:val="none"/>
        </w:rPr>
      </w:pPr>
      <w:r w:rsidRPr="00913340">
        <w:rPr>
          <w:rFonts w:ascii="Simplified Arabic" w:eastAsia="Times New Roman" w:hAnsi="Simplified Arabic" w:cs="Simplified Arabic"/>
          <w:b/>
          <w:bCs/>
          <w:color w:val="000000" w:themeColor="text1"/>
          <w:kern w:val="0"/>
          <w:sz w:val="36"/>
          <w:szCs w:val="36"/>
          <w:rtl/>
          <w14:ligatures w14:val="none"/>
        </w:rPr>
        <w:br w:type="page"/>
      </w:r>
      <w:bookmarkStart w:id="47" w:name="_Toc233883877"/>
      <w:r w:rsidR="00D32D13" w:rsidRPr="00913340">
        <w:rPr>
          <w:rFonts w:ascii="Simplified Arabic" w:eastAsia="Times New Roman" w:hAnsi="Simplified Arabic" w:cs="Simplified Arabic"/>
          <w:b/>
          <w:bCs/>
          <w:color w:val="000000" w:themeColor="text1"/>
          <w:kern w:val="0"/>
          <w:sz w:val="36"/>
          <w:szCs w:val="36"/>
          <w:rtl/>
          <w14:ligatures w14:val="none"/>
        </w:rPr>
        <w:lastRenderedPageBreak/>
        <w:t>المبحث الثاني: دقة التنبؤات الجوية ودعم القرار</w:t>
      </w:r>
      <w:bookmarkEnd w:id="47"/>
    </w:p>
    <w:p w14:paraId="2567AD93" w14:textId="0381C0CB" w:rsidR="00D32D13" w:rsidRPr="00913340" w:rsidRDefault="00247647" w:rsidP="0024764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883878"/>
      <w:r w:rsidRPr="00913340">
        <w:rPr>
          <w:rFonts w:ascii="Simplified Arabic" w:eastAsia="Times New Roman" w:hAnsi="Simplified Arabic" w:cs="Simplified Arabic" w:hint="cs"/>
          <w:b/>
          <w:bCs/>
          <w:color w:val="000000" w:themeColor="text1"/>
          <w:kern w:val="0"/>
          <w:sz w:val="32"/>
          <w:szCs w:val="32"/>
          <w:rtl/>
          <w14:ligatures w14:val="none"/>
        </w:rPr>
        <w:t xml:space="preserve">1.2.2 </w:t>
      </w:r>
      <w:r w:rsidR="00D32D13" w:rsidRPr="00913340">
        <w:rPr>
          <w:rFonts w:ascii="Simplified Arabic" w:eastAsia="Times New Roman" w:hAnsi="Simplified Arabic" w:cs="Simplified Arabic"/>
          <w:b/>
          <w:bCs/>
          <w:color w:val="000000" w:themeColor="text1"/>
          <w:kern w:val="0"/>
          <w:sz w:val="32"/>
          <w:szCs w:val="32"/>
          <w:rtl/>
          <w14:ligatures w14:val="none"/>
        </w:rPr>
        <w:t>تمهيد</w:t>
      </w:r>
      <w:bookmarkEnd w:id="48"/>
    </w:p>
    <w:p w14:paraId="157A99F3"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تحتل التنبؤات الجوية موقعاً محورياً في منظومة اتخاذ القرار على المستويين المؤسسي والوطني، إذ تتقاطع مع طيف واسع من القطاعات الحيوية كالطيران والملاحة البحرية والزراعة وإدارة الكوارث والطاقة والنقل، وتُسهم في توجيه القرارات اليومية للأفراد كما توجّه القرارات الاستراتيجية لصانعي السياسات. وقد شهد هذا الحقل في العقود الأخيرة تحولاً جوهرياً بفعل التقدم المتسارع في قدرات الحوسبة والنماذج الرياضية وتقنيات الذكاء الاصطناعي، مما رفع من سقف الدقة المتوقعة وأعاد تشكيل العلاقة بين علم الأرصاد ومستخدمي مخرجاته. ولم تعد التنبؤات الجوية مجرد إخبار عن حالة الطقس المتوقعة، بل تطورت إلى منظومة متكاملة لدعم القرار تُترجم البيانات الجوية إلى رؤى قابلة للتفعيل تخدم احتياجات متعددة لقطاعات متنوعة</w:t>
      </w:r>
      <w:r w:rsidRPr="00913340">
        <w:rPr>
          <w:rFonts w:ascii="Simplified Arabic" w:eastAsia="Times New Roman" w:hAnsi="Simplified Arabic" w:cs="Simplified Arabic"/>
          <w:color w:val="000000" w:themeColor="text1"/>
          <w:kern w:val="0"/>
          <w:sz w:val="28"/>
          <w:szCs w:val="28"/>
          <w14:ligatures w14:val="none"/>
        </w:rPr>
        <w:t xml:space="preserve"> (Schultz et al., 2021).</w:t>
      </w:r>
    </w:p>
    <w:p w14:paraId="1B70C5F0"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وفي ضوء هذا التطور، ارتبط مفهوم دقة التنبؤات الجوية ارتباطاً عضوياً بمفهوم دعم القرار، إذ لم تعد الدقة قيمة في ذاتها، وإنما اكتسبت قيمتها من قدرتها على توجيه القرارات نحو نتائج أفضل وتقليل المخاطر المرتبطة بالغموض. وقد أبرز هذا الترابط ضرورة مقاربة دقة التنبؤات الجوية ودعم القرار بوصفهما متغيراً مركباً يجمع بين البعد العلمي للتنبؤ والبعد التطبيقي للقرار، بحيث تُقاس فاعلية المنظومة بمدى نجاحها في إنتاج تنبؤات دقيقة من جهة، وفي توصيل هذه التنبؤات إلى صانعي القرار بصورة تُمكّنهم من توظيفها فعلياً من جهة أخرى</w:t>
      </w:r>
      <w:r w:rsidRPr="00913340">
        <w:rPr>
          <w:rFonts w:ascii="Simplified Arabic" w:eastAsia="Times New Roman" w:hAnsi="Simplified Arabic" w:cs="Simplified Arabic"/>
          <w:color w:val="000000" w:themeColor="text1"/>
          <w:kern w:val="0"/>
          <w:sz w:val="28"/>
          <w:szCs w:val="28"/>
          <w14:ligatures w14:val="none"/>
        </w:rPr>
        <w:t xml:space="preserve"> (Pagano et al., 2024).</w:t>
      </w:r>
    </w:p>
    <w:p w14:paraId="506646AD"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ويُلقي هذا التحول بظلاله على المراكز الوطنية للأرصاد بوصفها الجهات المنوط بها تقديم خدمات التنبؤ الجوي ودعم القرار على المستوى الوطني، إذ تواجه هذه المراكز تحديات مزدوجة تتمثل في رفع دقة تنبؤاتها من خلال تبنّي أحدث التقنيات والمنهجيات، وفي تطوير قدراتها على تحويل هذه التنبؤات إلى مخرجات تخدم احتياجات الجهات المتعاملة معها. ويتناول هذا المبحث الإطار النظري لدقة التنبؤات الجوية ودعم القرار من خلال استعراض مفهومها، ثم بيان أهميتها، فاستعراض أهدافها، وانتهاءً بتحليل أبعادها التطبيقية التي اعتُمدت في الدراسة الحالية</w:t>
      </w:r>
      <w:r w:rsidRPr="00913340">
        <w:rPr>
          <w:rFonts w:ascii="Simplified Arabic" w:eastAsia="Times New Roman" w:hAnsi="Simplified Arabic" w:cs="Simplified Arabic"/>
          <w:color w:val="000000" w:themeColor="text1"/>
          <w:kern w:val="0"/>
          <w:sz w:val="28"/>
          <w:szCs w:val="28"/>
          <w14:ligatures w14:val="none"/>
        </w:rPr>
        <w:t>.</w:t>
      </w:r>
    </w:p>
    <w:p w14:paraId="7EB2476A" w14:textId="41732D9D" w:rsidR="00D32D13" w:rsidRPr="00913340" w:rsidRDefault="00247647" w:rsidP="0024764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883879"/>
      <w:r w:rsidRPr="00913340">
        <w:rPr>
          <w:rFonts w:ascii="Simplified Arabic" w:eastAsia="Times New Roman" w:hAnsi="Simplified Arabic" w:cs="Simplified Arabic" w:hint="cs"/>
          <w:b/>
          <w:bCs/>
          <w:color w:val="000000" w:themeColor="text1"/>
          <w:kern w:val="0"/>
          <w:sz w:val="32"/>
          <w:szCs w:val="32"/>
          <w:rtl/>
          <w14:ligatures w14:val="none"/>
        </w:rPr>
        <w:t xml:space="preserve">2.2.2 </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مفهوم دقة التنبؤات الجوية ودعم القرار</w:t>
      </w:r>
      <w:bookmarkEnd w:id="49"/>
    </w:p>
    <w:p w14:paraId="186AB548"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تتنوع الزوايا التي عالج بها الباحثون مفهوم دقة التنبؤات الجوية ودعم القرار، ويعكس هذا التنوع طبيعة المفهوم المركبة التي تتقاطع فيها الجوانب العلمية والتقنية والتنظيمية والاتصالية. وقد طرح</w:t>
      </w:r>
      <w:r w:rsidRPr="00913340">
        <w:rPr>
          <w:rFonts w:ascii="Simplified Arabic" w:eastAsia="Times New Roman" w:hAnsi="Simplified Arabic" w:cs="Simplified Arabic"/>
          <w:color w:val="000000" w:themeColor="text1"/>
          <w:kern w:val="0"/>
          <w:sz w:val="28"/>
          <w:szCs w:val="28"/>
          <w14:ligatures w14:val="none"/>
        </w:rPr>
        <w:t xml:space="preserve"> (Pagano et al., 2024) </w:t>
      </w:r>
      <w:r w:rsidRPr="00913340">
        <w:rPr>
          <w:rFonts w:ascii="Simplified Arabic" w:eastAsia="Times New Roman" w:hAnsi="Simplified Arabic" w:cs="Simplified Arabic"/>
          <w:color w:val="000000" w:themeColor="text1"/>
          <w:kern w:val="0"/>
          <w:sz w:val="28"/>
          <w:szCs w:val="28"/>
          <w:rtl/>
          <w14:ligatures w14:val="none"/>
        </w:rPr>
        <w:t>مفهوم دقة التنبؤات الجوية بوصفه عملية تقييم منهجية لمدى مطابقة التنبؤات التشغيلية للظواهر الجوية الفعلية المرصودة، تستند إلى مجموعة من المؤشرات الإحصائية والمعايير الفنية التي تُتيح الحكم الموضوعي على جودة التنبؤ. ويُلاحظ في هذا التعريف ميله إلى المنظور التقييمي الذي يُركّز على القياس بوصفه شرطاً لازماً لتحسين الأداء، كما يُبرز التمييز بين التنبؤ بوصفه إنتاجاً علمياً والدقة بوصفها حكماً تقييمياً على هذا الإنتاج</w:t>
      </w:r>
      <w:r w:rsidRPr="00913340">
        <w:rPr>
          <w:rFonts w:ascii="Simplified Arabic" w:eastAsia="Times New Roman" w:hAnsi="Simplified Arabic" w:cs="Simplified Arabic"/>
          <w:color w:val="000000" w:themeColor="text1"/>
          <w:kern w:val="0"/>
          <w:sz w:val="28"/>
          <w:szCs w:val="28"/>
          <w14:ligatures w14:val="none"/>
        </w:rPr>
        <w:t>.</w:t>
      </w:r>
    </w:p>
    <w:p w14:paraId="50B943BA"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تواصلي، يطرح</w:t>
      </w:r>
      <w:r w:rsidRPr="00913340">
        <w:rPr>
          <w:rFonts w:ascii="Simplified Arabic" w:eastAsia="Times New Roman" w:hAnsi="Simplified Arabic" w:cs="Simplified Arabic"/>
          <w:color w:val="000000" w:themeColor="text1"/>
          <w:kern w:val="0"/>
          <w:sz w:val="28"/>
          <w:szCs w:val="28"/>
          <w14:ligatures w14:val="none"/>
        </w:rPr>
        <w:t xml:space="preserve"> (Ripberger et al., 2022) </w:t>
      </w:r>
      <w:r w:rsidRPr="00913340">
        <w:rPr>
          <w:rFonts w:ascii="Simplified Arabic" w:eastAsia="Times New Roman" w:hAnsi="Simplified Arabic" w:cs="Simplified Arabic"/>
          <w:color w:val="000000" w:themeColor="text1"/>
          <w:kern w:val="0"/>
          <w:sz w:val="28"/>
          <w:szCs w:val="28"/>
          <w:rtl/>
          <w14:ligatures w14:val="none"/>
        </w:rPr>
        <w:t>المفهوم بوصفه منظومة لإيصال المعلومات الاحتمالية المتعلقة بالظواهر الجوية إلى المستخدمين النهائيين بصورة تُتيح لهم فهمها وتوظيفها في قراراتهم. ويتضمن هذا التعريف بعداً جديداً يتجاوز الجانب الفني للتنبؤ إلى الجانب الإدراكي للمستخدم، إذ إن دقة التنبؤ لا تكتمل قيمتها إلا حين يستوعبها المستخدم استيعاباً صحيحاً ويُوظّفها توظيفاً سليماً، مما يُحوّل المفهوم من ناتج علمي إلى عملية اتصالية ذات أبعاد متعددة</w:t>
      </w:r>
      <w:r w:rsidRPr="00913340">
        <w:rPr>
          <w:rFonts w:ascii="Simplified Arabic" w:eastAsia="Times New Roman" w:hAnsi="Simplified Arabic" w:cs="Simplified Arabic"/>
          <w:color w:val="000000" w:themeColor="text1"/>
          <w:kern w:val="0"/>
          <w:sz w:val="28"/>
          <w:szCs w:val="28"/>
          <w14:ligatures w14:val="none"/>
        </w:rPr>
        <w:t>.</w:t>
      </w:r>
    </w:p>
    <w:p w14:paraId="6E6815BA"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ويُقارب</w:t>
      </w:r>
      <w:r w:rsidRPr="00913340">
        <w:rPr>
          <w:rFonts w:ascii="Simplified Arabic" w:eastAsia="Times New Roman" w:hAnsi="Simplified Arabic" w:cs="Simplified Arabic"/>
          <w:color w:val="000000" w:themeColor="text1"/>
          <w:kern w:val="0"/>
          <w:sz w:val="28"/>
          <w:szCs w:val="28"/>
          <w14:ligatures w14:val="none"/>
        </w:rPr>
        <w:t xml:space="preserve"> (Schultz et al., 2021) </w:t>
      </w:r>
      <w:r w:rsidRPr="00913340">
        <w:rPr>
          <w:rFonts w:ascii="Simplified Arabic" w:eastAsia="Times New Roman" w:hAnsi="Simplified Arabic" w:cs="Simplified Arabic"/>
          <w:color w:val="000000" w:themeColor="text1"/>
          <w:kern w:val="0"/>
          <w:sz w:val="28"/>
          <w:szCs w:val="28"/>
          <w:rtl/>
          <w14:ligatures w14:val="none"/>
        </w:rPr>
        <w:t>المفهوم من زاوية المنهجيات العلمية المستخدمة في التنبؤ، فيُعرّفه بأنه قدرة المنظومة التنبؤية على إنتاج توقعات تتسم بالموثوقية والدقة من خلال تكامل النماذج العددية التقليدية للتنبؤ الجوي مع تقنيات التعلم العميق الحديثة. ويعكس هذا التعريف منظوراً متطوراً يستوعب التحول النوعي الذي يشهده الحقل بفعل دخول تقنيات الذكاء الاصطناعي ميدان التنبؤ الجوي، ويُبرز الطابع التكاملي للمنظومة التنبؤية المعاصرة</w:t>
      </w:r>
      <w:r w:rsidRPr="00913340">
        <w:rPr>
          <w:rFonts w:ascii="Simplified Arabic" w:eastAsia="Times New Roman" w:hAnsi="Simplified Arabic" w:cs="Simplified Arabic"/>
          <w:color w:val="000000" w:themeColor="text1"/>
          <w:kern w:val="0"/>
          <w:sz w:val="28"/>
          <w:szCs w:val="28"/>
          <w14:ligatures w14:val="none"/>
        </w:rPr>
        <w:t>.</w:t>
      </w:r>
    </w:p>
    <w:p w14:paraId="2A1674A3"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(Wu &amp; Xue, 2024) </w:t>
      </w:r>
      <w:r w:rsidRPr="00913340">
        <w:rPr>
          <w:rFonts w:ascii="Simplified Arabic" w:eastAsia="Times New Roman" w:hAnsi="Simplified Arabic" w:cs="Simplified Arabic"/>
          <w:color w:val="000000" w:themeColor="text1"/>
          <w:kern w:val="0"/>
          <w:sz w:val="28"/>
          <w:szCs w:val="28"/>
          <w:rtl/>
          <w14:ligatures w14:val="none"/>
        </w:rPr>
        <w:t>بُعداً تطورياً للمفهوم حين يطرحه ضمن سياق التنبؤ الجوي القائم على البيانات والنمذجة المناخية من منظور تطوري، فيُعرّفه بأنه قدرة المنظومة التنبؤية المعاصرة على الاستفادة من تدفقات البيانات الضخمة المستمدة من مصادر متعددة، وتوظيف خوارزميات التعلم الآلي في استخلاص الأنماط منها، وإنتاج تنبؤات تجمع بين الدقة العلمية والكفاءة الحسابية. ويُبرز هذا التعريف تحولاً جوهرياً في فلسفة التنبؤ من الاعتماد الحصري على النمذجة الفيزيائية إلى المقاربات الهجينة التي تُوظّف البيانات بوصفها مصدراً للمعرفة</w:t>
      </w:r>
      <w:r w:rsidRPr="00913340">
        <w:rPr>
          <w:rFonts w:ascii="Simplified Arabic" w:eastAsia="Times New Roman" w:hAnsi="Simplified Arabic" w:cs="Simplified Arabic"/>
          <w:color w:val="000000" w:themeColor="text1"/>
          <w:kern w:val="0"/>
          <w:sz w:val="28"/>
          <w:szCs w:val="28"/>
          <w14:ligatures w14:val="none"/>
        </w:rPr>
        <w:t>.</w:t>
      </w:r>
    </w:p>
    <w:p w14:paraId="3A8552A1"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تطبيقي خاص بدعم القرار، يطرح</w:t>
      </w:r>
      <w:r w:rsidRPr="00913340">
        <w:rPr>
          <w:rFonts w:ascii="Simplified Arabic" w:eastAsia="Times New Roman" w:hAnsi="Simplified Arabic" w:cs="Simplified Arabic"/>
          <w:color w:val="000000" w:themeColor="text1"/>
          <w:kern w:val="0"/>
          <w:sz w:val="28"/>
          <w:szCs w:val="28"/>
          <w14:ligatures w14:val="none"/>
        </w:rPr>
        <w:t xml:space="preserve"> (Na-Yemeh et al., 2022) </w:t>
      </w:r>
      <w:r w:rsidRPr="00913340">
        <w:rPr>
          <w:rFonts w:ascii="Simplified Arabic" w:eastAsia="Times New Roman" w:hAnsi="Simplified Arabic" w:cs="Simplified Arabic"/>
          <w:color w:val="000000" w:themeColor="text1"/>
          <w:kern w:val="0"/>
          <w:sz w:val="28"/>
          <w:szCs w:val="28"/>
          <w:rtl/>
          <w14:ligatures w14:val="none"/>
        </w:rPr>
        <w:t xml:space="preserve">مفهوم نظام دعم القرار الجوي بوصفه منصة متكاملة تُحوّل البيانات والتنبؤات الجوية إلى مخرجات قابلة للتفعيل من قِبل </w:t>
      </w:r>
      <w:r w:rsidRPr="00913340">
        <w:rPr>
          <w:rFonts w:ascii="Simplified Arabic" w:eastAsia="Times New Roman" w:hAnsi="Simplified Arabic" w:cs="Simplified Arabic"/>
          <w:color w:val="000000" w:themeColor="text1"/>
          <w:kern w:val="0"/>
          <w:sz w:val="28"/>
          <w:szCs w:val="28"/>
          <w:rtl/>
          <w14:ligatures w14:val="none"/>
        </w:rPr>
        <w:lastRenderedPageBreak/>
        <w:t>صانعي القرار في المجالات الحيوية كالسلامة العامة. ويتضمن هذا التعريف عناصر جوهرية ثلاثة هي: مدخلات النظام من البيانات الجوية والتنبؤات، وآليات معالجة هذه المدخلات وفق احتياجات المستخدم، ومخرجات النظام في صورة توصيات وتنبيهات وأدوات داعمة للقرار. ويعكس هذا الطرح مقاربة عملية للمفهوم تربطه بسياقات الاستخدام الفعلي وتقيس قيمته بمدى نجاحه في خدمة هذه السياقات</w:t>
      </w:r>
      <w:r w:rsidRPr="00913340">
        <w:rPr>
          <w:rFonts w:ascii="Simplified Arabic" w:eastAsia="Times New Roman" w:hAnsi="Simplified Arabic" w:cs="Simplified Arabic"/>
          <w:color w:val="000000" w:themeColor="text1"/>
          <w:kern w:val="0"/>
          <w:sz w:val="28"/>
          <w:szCs w:val="28"/>
          <w14:ligatures w14:val="none"/>
        </w:rPr>
        <w:t>.</w:t>
      </w:r>
    </w:p>
    <w:p w14:paraId="27BFB3EB"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أوسع يجمع بين البعدين العلمي والتطبيقي، يُقدّم</w:t>
      </w:r>
      <w:r w:rsidRPr="00913340">
        <w:rPr>
          <w:rFonts w:ascii="Simplified Arabic" w:eastAsia="Times New Roman" w:hAnsi="Simplified Arabic" w:cs="Simplified Arabic"/>
          <w:color w:val="000000" w:themeColor="text1"/>
          <w:kern w:val="0"/>
          <w:sz w:val="28"/>
          <w:szCs w:val="28"/>
          <w14:ligatures w14:val="none"/>
        </w:rPr>
        <w:t xml:space="preserve"> (Chatterjee et al., 2023) </w:t>
      </w:r>
      <w:r w:rsidRPr="00913340">
        <w:rPr>
          <w:rFonts w:ascii="Simplified Arabic" w:eastAsia="Times New Roman" w:hAnsi="Simplified Arabic" w:cs="Simplified Arabic"/>
          <w:color w:val="000000" w:themeColor="text1"/>
          <w:kern w:val="0"/>
          <w:sz w:val="28"/>
          <w:szCs w:val="28"/>
          <w:rtl/>
          <w14:ligatures w14:val="none"/>
        </w:rPr>
        <w:t>المفهوم في سياق تحليلات البيانات الضخمة وأثرها في عمليات اتخاذ القرار والتنبؤ وأداء المنظمات، إذ يُعرّفه بأنه القدرة المؤسسية على توظيف القدرات التحليلية المتقدمة في تحويل البيانات إلى رؤى تنبؤية تدعم اتخاذ القرارات الاستراتيجية والتشغيلية. ويُبرز هذا التعريف الطابع المؤسسي للمفهوم، إذ يربطه بالقدرات التنظيمية للمنظمة وليس بالقدرات التقنية وحدها</w:t>
      </w:r>
      <w:r w:rsidRPr="00913340">
        <w:rPr>
          <w:rFonts w:ascii="Simplified Arabic" w:eastAsia="Times New Roman" w:hAnsi="Simplified Arabic" w:cs="Simplified Arabic"/>
          <w:color w:val="000000" w:themeColor="text1"/>
          <w:kern w:val="0"/>
          <w:sz w:val="28"/>
          <w:szCs w:val="28"/>
          <w14:ligatures w14:val="none"/>
        </w:rPr>
        <w:t>.</w:t>
      </w:r>
    </w:p>
    <w:p w14:paraId="00661884"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استقراء التعريفات السابقة، يرى الباحث أن دقة التنبؤات الجوية ودعم القرار يمكن تعريفها إجرائياً بأنها: “منظومة متكاملة تجمع بين القدرة العلمية على إنتاج توقعات جوية موثوقة تستند إلى تكامل النماذج العددية والتقنيات الذكية ومعالجة البيانات الضخمة، والقدرة المؤسسية على تحويل هذه التوقعات إلى مخرجات قابلة للتفعيل يُمكن لصانعي القرار في القطاعات المختلفة توظيفها في اتخاذ قرارات أكثر استنارة، مع توفير الأدوات والآليات اللازمة لإيصال هذه المخرجات في الوقت المناسب وبالصورة الملائمة”. ويرى الباحث أن جوهر المفهوم يقوم على ثلاث ركائز متلازمة: الدقة العلمية بوصفها أساساً لا غنى عنه، والملاءمة بوصفها شرطاً لتحقيق القيمة، والقابلية للتفعيل بوصفها معياراً للنجاح</w:t>
      </w:r>
      <w:r w:rsidRPr="00913340">
        <w:rPr>
          <w:rFonts w:ascii="Simplified Arabic" w:eastAsia="Times New Roman" w:hAnsi="Simplified Arabic" w:cs="Simplified Arabic"/>
          <w:color w:val="000000" w:themeColor="text1"/>
          <w:kern w:val="0"/>
          <w:sz w:val="28"/>
          <w:szCs w:val="28"/>
          <w14:ligatures w14:val="none"/>
        </w:rPr>
        <w:t>.</w:t>
      </w:r>
    </w:p>
    <w:p w14:paraId="67C720C5" w14:textId="55EF0B85" w:rsidR="00D32D13" w:rsidRPr="00913340" w:rsidRDefault="00247647" w:rsidP="0024764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883880"/>
      <w:r w:rsidRPr="00913340">
        <w:rPr>
          <w:rFonts w:ascii="Simplified Arabic" w:eastAsia="Times New Roman" w:hAnsi="Simplified Arabic" w:cs="Simplified Arabic" w:hint="cs"/>
          <w:b/>
          <w:bCs/>
          <w:color w:val="000000" w:themeColor="text1"/>
          <w:kern w:val="0"/>
          <w:sz w:val="32"/>
          <w:szCs w:val="32"/>
          <w:rtl/>
          <w14:ligatures w14:val="none"/>
        </w:rPr>
        <w:t>3.2.2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أهمية دقة التنبؤات الجوية ودعم القرار</w:t>
      </w:r>
      <w:bookmarkEnd w:id="50"/>
    </w:p>
    <w:p w14:paraId="5D4114D6"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تنبع أهمية دقة التنبؤات الجوية ودعم القرار من الموقع المحوري الذي تحتله المعلومات الجوية في منظومة اتخاذ القرار على المستويين الفردي والمؤسسي، إذ تمتد آثار هذه المعلومات إلى طيف واسع من القطاعات والأنشطة الإنسانية. ولم تعد التنبؤات الجوية مجرد خدمة معلوماتية ذات طابع علمي، بل غدت بنية تحتية حيوية تُبنى عليها قرارات تمسّ سلامة الأرواح والممتلكات والاقتصاد الوطني، مما يجعل الاستثمار في رفع دقتها وتطوير قدرات دعم القرار المرتبطة بها استثماراً ذا عائد مجتمعي شامل</w:t>
      </w:r>
      <w:r w:rsidRPr="00913340">
        <w:rPr>
          <w:rFonts w:ascii="Simplified Arabic" w:eastAsia="Times New Roman" w:hAnsi="Simplified Arabic" w:cs="Simplified Arabic"/>
          <w:color w:val="000000" w:themeColor="text1"/>
          <w:kern w:val="0"/>
          <w:sz w:val="28"/>
          <w:szCs w:val="28"/>
          <w14:ligatures w14:val="none"/>
        </w:rPr>
        <w:t xml:space="preserve"> (Na-Yemeh et al., 2022).</w:t>
      </w:r>
    </w:p>
    <w:p w14:paraId="24C933DB"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ويُشير</w:t>
      </w:r>
      <w:r w:rsidRPr="00913340">
        <w:rPr>
          <w:rFonts w:ascii="Simplified Arabic" w:eastAsia="Times New Roman" w:hAnsi="Simplified Arabic" w:cs="Simplified Arabic"/>
          <w:color w:val="000000" w:themeColor="text1"/>
          <w:kern w:val="0"/>
          <w:sz w:val="28"/>
          <w:szCs w:val="28"/>
          <w14:ligatures w14:val="none"/>
        </w:rPr>
        <w:t xml:space="preserve"> (Pagano et al., 2024) </w:t>
      </w:r>
      <w:r w:rsidRPr="00913340">
        <w:rPr>
          <w:rFonts w:ascii="Simplified Arabic" w:eastAsia="Times New Roman" w:hAnsi="Simplified Arabic" w:cs="Simplified Arabic"/>
          <w:color w:val="000000" w:themeColor="text1"/>
          <w:kern w:val="0"/>
          <w:sz w:val="28"/>
          <w:szCs w:val="28"/>
          <w:rtl/>
          <w14:ligatures w14:val="none"/>
        </w:rPr>
        <w:t>إلى أن أهمية دقة التنبؤات الجوية ودعم القرار تتجلى في جملة من المحاور المتكاملة؛ إذ تُسهم أولاً في تمكين المؤسسات الجوية من تقييم أدائها التشغيلي بصورة موضوعية تستند إلى مؤشرات قابلة للقياس، مما يُتيح تحديد الفجوات وتوجيه جهود التطوير، وتعمل ثانياً على دعم الثقة المؤسسية والمجتمعية في خدمات التنبؤ الجوي من خلال إثبات موثوقية المخرجات بأدلة علمية يمكن التحقق منها، وتُؤدي ثالثاً إلى توفير قاعدة معرفية تُسهم في تطوير النماذج التنبؤية وتحسين قدراتها عبر الزمن، وتُسهم رابعاً في رفع كفاءة استخدام الموارد المخصصة للتنبؤ الجوي من خلال توجيهها نحو المجالات التي تُحقق أعلى عائد، وتعمل خامساً على دعم التعاون الدولي في مجال التنبؤ الجوي من خلال توفير لغة مشتركة لتقييم الأداء</w:t>
      </w:r>
      <w:r w:rsidRPr="00913340">
        <w:rPr>
          <w:rFonts w:ascii="Simplified Arabic" w:eastAsia="Times New Roman" w:hAnsi="Simplified Arabic" w:cs="Simplified Arabic"/>
          <w:color w:val="000000" w:themeColor="text1"/>
          <w:kern w:val="0"/>
          <w:sz w:val="28"/>
          <w:szCs w:val="28"/>
          <w14:ligatures w14:val="none"/>
        </w:rPr>
        <w:t>.</w:t>
      </w:r>
    </w:p>
    <w:p w14:paraId="55D7116E"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ويرى</w:t>
      </w:r>
      <w:r w:rsidRPr="00913340">
        <w:rPr>
          <w:rFonts w:ascii="Simplified Arabic" w:eastAsia="Times New Roman" w:hAnsi="Simplified Arabic" w:cs="Simplified Arabic"/>
          <w:color w:val="000000" w:themeColor="text1"/>
          <w:kern w:val="0"/>
          <w:sz w:val="28"/>
          <w:szCs w:val="28"/>
          <w14:ligatures w14:val="none"/>
        </w:rPr>
        <w:t xml:space="preserve"> (Na-Yemeh et al., 2022) </w:t>
      </w:r>
      <w:r w:rsidRPr="00913340">
        <w:rPr>
          <w:rFonts w:ascii="Simplified Arabic" w:eastAsia="Times New Roman" w:hAnsi="Simplified Arabic" w:cs="Simplified Arabic"/>
          <w:color w:val="000000" w:themeColor="text1"/>
          <w:kern w:val="0"/>
          <w:sz w:val="28"/>
          <w:szCs w:val="28"/>
          <w:rtl/>
          <w14:ligatures w14:val="none"/>
        </w:rPr>
        <w:t>أن أهميتها تكمن في تعزيز قدرات الجهات المعنية بالسلامة العامة على اتخاذ قرارات استباقية في مواجهة الظواهر الجوية الخطرة، إذ تُمكّنها أنظمة دعم القرار الجوي من رصد المخاطر المحتملة في وقت مبكر، وتقدير حجمها ومسارها، واتخاذ التدابير الوقائية الملائمة قبل وقوع الأحداث، مما يُسهم في تقليل الخسائر البشرية والمادية المرتبطة بالكوارث الجوية. ويعكس هذا المنظور البُعد الإنساني والمجتمعي لأهمية دقة التنبؤات الجوية، إذ تتحول من مسألة علمية تقنية إلى ضرورة لحماية الأرواح والممتلكات</w:t>
      </w:r>
      <w:r w:rsidRPr="00913340">
        <w:rPr>
          <w:rFonts w:ascii="Simplified Arabic" w:eastAsia="Times New Roman" w:hAnsi="Simplified Arabic" w:cs="Simplified Arabic"/>
          <w:color w:val="000000" w:themeColor="text1"/>
          <w:kern w:val="0"/>
          <w:sz w:val="28"/>
          <w:szCs w:val="28"/>
          <w14:ligatures w14:val="none"/>
        </w:rPr>
        <w:t>.</w:t>
      </w:r>
    </w:p>
    <w:p w14:paraId="36C47DA1"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(Ripberger et al., 2022) </w:t>
      </w:r>
      <w:r w:rsidRPr="00913340">
        <w:rPr>
          <w:rFonts w:ascii="Simplified Arabic" w:eastAsia="Times New Roman" w:hAnsi="Simplified Arabic" w:cs="Simplified Arabic"/>
          <w:color w:val="000000" w:themeColor="text1"/>
          <w:kern w:val="0"/>
          <w:sz w:val="28"/>
          <w:szCs w:val="28"/>
          <w:rtl/>
          <w14:ligatures w14:val="none"/>
        </w:rPr>
        <w:t>أن أهميتها تتمظهر في تطوير القدرات الاتصالية لمؤسسات التنبؤ الجوي، إذ إن دقة التنبؤ لا تكتمل قيمتها إلا حين تُوصَل إلى المستخدمين النهائيين بصورة صحيحة يستوعبونها ويُوظّفونها في قراراتهم. وفي هذا السياق، تكتسب أهمية إيصال المعلومات الاحتمالية المتعلقة بالظواهر الجوية بُعداً خاصاً، إذ تتطلب أساليب اتصالية متخصصة تأخذ بعين الاعتبار خصائص الجمهور المستهدف ومستوى فهمه للمفاهيم الاحتمالية</w:t>
      </w:r>
      <w:r w:rsidRPr="00913340">
        <w:rPr>
          <w:rFonts w:ascii="Simplified Arabic" w:eastAsia="Times New Roman" w:hAnsi="Simplified Arabic" w:cs="Simplified Arabic"/>
          <w:color w:val="000000" w:themeColor="text1"/>
          <w:kern w:val="0"/>
          <w:sz w:val="28"/>
          <w:szCs w:val="28"/>
          <w14:ligatures w14:val="none"/>
        </w:rPr>
        <w:t>.</w:t>
      </w:r>
    </w:p>
    <w:p w14:paraId="2B146D12"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ويذهب</w:t>
      </w:r>
      <w:r w:rsidRPr="00913340">
        <w:rPr>
          <w:rFonts w:ascii="Simplified Arabic" w:eastAsia="Times New Roman" w:hAnsi="Simplified Arabic" w:cs="Simplified Arabic"/>
          <w:color w:val="000000" w:themeColor="text1"/>
          <w:kern w:val="0"/>
          <w:sz w:val="28"/>
          <w:szCs w:val="28"/>
          <w14:ligatures w14:val="none"/>
        </w:rPr>
        <w:t xml:space="preserve"> (Schultz et al., 2021) </w:t>
      </w:r>
      <w:r w:rsidRPr="00913340">
        <w:rPr>
          <w:rFonts w:ascii="Simplified Arabic" w:eastAsia="Times New Roman" w:hAnsi="Simplified Arabic" w:cs="Simplified Arabic"/>
          <w:color w:val="000000" w:themeColor="text1"/>
          <w:kern w:val="0"/>
          <w:sz w:val="28"/>
          <w:szCs w:val="28"/>
          <w:rtl/>
          <w14:ligatures w14:val="none"/>
        </w:rPr>
        <w:t>إلى أن أهميتها تتجلى في تمكين المؤسسات الجوية من مواكبة التحولات الجوهرية التي يشهدها حقل التنبؤ الجوي بفعل دخول تقنيات التعلم العميق، إذ إن البقاء في طليعة هذا الحقل يستلزم استثماراً مستمراً في رفع دقة التنبؤات وتطوير قدرات دعم القرار. ويُكمل هذه الصورة</w:t>
      </w:r>
      <w:r w:rsidRPr="00913340">
        <w:rPr>
          <w:rFonts w:ascii="Simplified Arabic" w:eastAsia="Times New Roman" w:hAnsi="Simplified Arabic" w:cs="Simplified Arabic"/>
          <w:color w:val="000000" w:themeColor="text1"/>
          <w:kern w:val="0"/>
          <w:sz w:val="28"/>
          <w:szCs w:val="28"/>
          <w14:ligatures w14:val="none"/>
        </w:rPr>
        <w:t xml:space="preserve"> (Wu &amp; Xue, 2024) </w:t>
      </w:r>
      <w:r w:rsidRPr="00913340">
        <w:rPr>
          <w:rFonts w:ascii="Simplified Arabic" w:eastAsia="Times New Roman" w:hAnsi="Simplified Arabic" w:cs="Simplified Arabic"/>
          <w:color w:val="000000" w:themeColor="text1"/>
          <w:kern w:val="0"/>
          <w:sz w:val="28"/>
          <w:szCs w:val="28"/>
          <w:rtl/>
          <w14:ligatures w14:val="none"/>
        </w:rPr>
        <w:t>ببيان أن أهمية دقة التنبؤات الجوية تتزايد في ضوء التحول إلى التنبؤ القائم على البيانات، الذي يُتيح إمكانات غير مسبوقة لرفع جودة التنبؤات والاستفادة من تدفقات البيانات الضخمة المستمدة من مصادر متنوعة</w:t>
      </w:r>
      <w:r w:rsidRPr="00913340">
        <w:rPr>
          <w:rFonts w:ascii="Simplified Arabic" w:eastAsia="Times New Roman" w:hAnsi="Simplified Arabic" w:cs="Simplified Arabic"/>
          <w:color w:val="000000" w:themeColor="text1"/>
          <w:kern w:val="0"/>
          <w:sz w:val="28"/>
          <w:szCs w:val="28"/>
          <w14:ligatures w14:val="none"/>
        </w:rPr>
        <w:t>.</w:t>
      </w:r>
    </w:p>
    <w:p w14:paraId="49A90E60"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ويُؤكد</w:t>
      </w:r>
      <w:r w:rsidRPr="00913340">
        <w:rPr>
          <w:rFonts w:ascii="Simplified Arabic" w:eastAsia="Times New Roman" w:hAnsi="Simplified Arabic" w:cs="Simplified Arabic"/>
          <w:color w:val="000000" w:themeColor="text1"/>
          <w:kern w:val="0"/>
          <w:sz w:val="28"/>
          <w:szCs w:val="28"/>
          <w14:ligatures w14:val="none"/>
        </w:rPr>
        <w:t xml:space="preserve"> (Chatterjee et al., 2023) </w:t>
      </w:r>
      <w:r w:rsidRPr="00913340">
        <w:rPr>
          <w:rFonts w:ascii="Simplified Arabic" w:eastAsia="Times New Roman" w:hAnsi="Simplified Arabic" w:cs="Simplified Arabic"/>
          <w:color w:val="000000" w:themeColor="text1"/>
          <w:kern w:val="0"/>
          <w:sz w:val="28"/>
          <w:szCs w:val="28"/>
          <w:rtl/>
          <w14:ligatures w14:val="none"/>
        </w:rPr>
        <w:t>أن أهميتها تمتد إلى المستوى المؤسسي حيث تُسهم القدرات التنبؤية المتقدمة في رفع كفاءة اتخاذ القرار وتحسين الأداء المؤسسي، مما يجعل الاستثمار في هذه القدرات استثماراً استراتيجياً يعود بعوائد متعددة على المؤسسات التي تتبنّاها. ويُلخّص الباحث ما سبق بأن أهمية دقة التنبؤات الجوية ودعم القرار تتعدد مستوياتها لتشمل المستوى العلمي عبر تطوير المعرفة وأدوات التقييم، والمستوى المؤسسي عبر رفع كفاءة الأداء وتعزيز الثقة، والمستوى المجتمعي عبر حماية الأرواح والممتلكات، والمستوى الاقتصادي عبر دعم القرارات الاستثمارية والتشغيلية في القطاعات الحساسة للظروف الجوية. وفي سياق المركز الوطني للأرصاد بالمملكة العربية السعودية، تتضاعف هذه الأهمية بفعل التنوع المناخي للمملكة والتحديات الجوية الخاصة بها كالعواصف الرملية والأمطار الغزيرة المفاجئة، مما يجعل دقة التنبؤات وكفاءة دعم القرار من الركائز الأساسية لتأدية المركز لرسالته الوطنية</w:t>
      </w:r>
      <w:r w:rsidRPr="00913340">
        <w:rPr>
          <w:rFonts w:ascii="Simplified Arabic" w:eastAsia="Times New Roman" w:hAnsi="Simplified Arabic" w:cs="Simplified Arabic"/>
          <w:color w:val="000000" w:themeColor="text1"/>
          <w:kern w:val="0"/>
          <w:sz w:val="28"/>
          <w:szCs w:val="28"/>
          <w14:ligatures w14:val="none"/>
        </w:rPr>
        <w:t>.</w:t>
      </w:r>
    </w:p>
    <w:p w14:paraId="7599539C" w14:textId="2FAB19D5" w:rsidR="00D32D13" w:rsidRPr="00913340" w:rsidRDefault="00247647" w:rsidP="0024764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883881"/>
      <w:r w:rsidRPr="00913340">
        <w:rPr>
          <w:rFonts w:ascii="Simplified Arabic" w:eastAsia="Times New Roman" w:hAnsi="Simplified Arabic" w:cs="Simplified Arabic" w:hint="cs"/>
          <w:b/>
          <w:bCs/>
          <w:color w:val="000000" w:themeColor="text1"/>
          <w:kern w:val="0"/>
          <w:sz w:val="32"/>
          <w:szCs w:val="32"/>
          <w:rtl/>
          <w14:ligatures w14:val="none"/>
        </w:rPr>
        <w:t>4.2.2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أهداف دقة التنبؤات الجوية ودعم القرار</w:t>
      </w:r>
      <w:bookmarkEnd w:id="51"/>
    </w:p>
    <w:p w14:paraId="1629869A"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تتكامل الأهداف التي تسعى منظومة دقة التنبؤات الجوية ودعم القرار إلى تحقيقها في مجموعة متناسقة من الغايات التي تتوزع بين البعد العلمي والبعد التطبيقي، وتجمع بين التطوير الذاتي للمنظومة وخدمة المستفيدين منها. وقد تباينت الأطروحات الأكاديمية في تحديد هذه الأهداف بحسب الزاوية التي يُعالج منها كل باحث الموضوع، غير أنها تتلاقى في جوهر مشترك يضع تحسين جودة التنبؤات وتعظيم القيمة المضافة لمستخدميها في صلب الاهتمام</w:t>
      </w:r>
      <w:r w:rsidRPr="00913340">
        <w:rPr>
          <w:rFonts w:ascii="Simplified Arabic" w:eastAsia="Times New Roman" w:hAnsi="Simplified Arabic" w:cs="Simplified Arabic"/>
          <w:color w:val="000000" w:themeColor="text1"/>
          <w:kern w:val="0"/>
          <w:sz w:val="28"/>
          <w:szCs w:val="28"/>
          <w14:ligatures w14:val="none"/>
        </w:rPr>
        <w:t>.</w:t>
      </w:r>
    </w:p>
    <w:p w14:paraId="521D9065"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ويُحدد</w:t>
      </w:r>
      <w:r w:rsidRPr="00913340">
        <w:rPr>
          <w:rFonts w:ascii="Simplified Arabic" w:eastAsia="Times New Roman" w:hAnsi="Simplified Arabic" w:cs="Simplified Arabic"/>
          <w:color w:val="000000" w:themeColor="text1"/>
          <w:kern w:val="0"/>
          <w:sz w:val="28"/>
          <w:szCs w:val="28"/>
          <w14:ligatures w14:val="none"/>
        </w:rPr>
        <w:t xml:space="preserve"> (Pagano et al., 2024) </w:t>
      </w:r>
      <w:r w:rsidRPr="00913340">
        <w:rPr>
          <w:rFonts w:ascii="Simplified Arabic" w:eastAsia="Times New Roman" w:hAnsi="Simplified Arabic" w:cs="Simplified Arabic"/>
          <w:color w:val="000000" w:themeColor="text1"/>
          <w:kern w:val="0"/>
          <w:sz w:val="28"/>
          <w:szCs w:val="28"/>
          <w:rtl/>
          <w14:ligatures w14:val="none"/>
        </w:rPr>
        <w:t>أهداف منظومة تقييم دقة التنبؤات الجوية في عدة نقاط متكاملة؛ تتمثل أولها في تطوير منهجيات تقييم موضوعية ومنضبطة تُتيح الحكم على جودة التنبؤات بصورة علمية يمكن التحقق منها، ويأتي ثانيها في تحديد المؤشرات الإحصائية الملائمة لكل نوع من أنواع التنبؤات الجوية بحيث تُراعى خصوصية كل ظاهرة جوية، ويتمثل ثالثها في معالجة التحديات المرتبطة بتقييم التنبؤات التشغيلية في ظل تعقيد الظواهر الجوية وتعدد متغيراتها، ويتجلى رابعها في توفير آليات للتحسين المستمر تستفيد من نتائج التقييم في تطوير النماذج التنبؤية، ويظهر خامسها في بناء قاعدة معرفية تراكمية تُسهم في تطور حقل التنبؤ الجوي على المستويين المؤسسي والدولي</w:t>
      </w:r>
      <w:r w:rsidRPr="00913340">
        <w:rPr>
          <w:rFonts w:ascii="Simplified Arabic" w:eastAsia="Times New Roman" w:hAnsi="Simplified Arabic" w:cs="Simplified Arabic"/>
          <w:color w:val="000000" w:themeColor="text1"/>
          <w:kern w:val="0"/>
          <w:sz w:val="28"/>
          <w:szCs w:val="28"/>
          <w14:ligatures w14:val="none"/>
        </w:rPr>
        <w:t>.</w:t>
      </w:r>
    </w:p>
    <w:p w14:paraId="53395359"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ويرى</w:t>
      </w:r>
      <w:r w:rsidRPr="00913340">
        <w:rPr>
          <w:rFonts w:ascii="Simplified Arabic" w:eastAsia="Times New Roman" w:hAnsi="Simplified Arabic" w:cs="Simplified Arabic"/>
          <w:color w:val="000000" w:themeColor="text1"/>
          <w:kern w:val="0"/>
          <w:sz w:val="28"/>
          <w:szCs w:val="28"/>
          <w14:ligatures w14:val="none"/>
        </w:rPr>
        <w:t xml:space="preserve"> (Schultz et al., 2021) </w:t>
      </w:r>
      <w:r w:rsidRPr="00913340">
        <w:rPr>
          <w:rFonts w:ascii="Simplified Arabic" w:eastAsia="Times New Roman" w:hAnsi="Simplified Arabic" w:cs="Simplified Arabic"/>
          <w:color w:val="000000" w:themeColor="text1"/>
          <w:kern w:val="0"/>
          <w:sz w:val="28"/>
          <w:szCs w:val="28"/>
          <w:rtl/>
          <w14:ligatures w14:val="none"/>
        </w:rPr>
        <w:t xml:space="preserve">أن أهدافها تتسع لتشمل استكشاف الإمكانات التي تتيحها تقنيات التعلم العميق لتجاوز محدودية النماذج العددية التقليدية للتنبؤ الجوي، وتطوير مقاربات هجينة تجمع بين النمذجة الفيزيائية والتعلم الآلي بصورة تستفيد من نقاط قوة كل منهما، وبناء قدرات حسابية متقدمة قادرة </w:t>
      </w:r>
      <w:r w:rsidRPr="00913340">
        <w:rPr>
          <w:rFonts w:ascii="Simplified Arabic" w:eastAsia="Times New Roman" w:hAnsi="Simplified Arabic" w:cs="Simplified Arabic"/>
          <w:color w:val="000000" w:themeColor="text1"/>
          <w:kern w:val="0"/>
          <w:sz w:val="28"/>
          <w:szCs w:val="28"/>
          <w:rtl/>
          <w14:ligatures w14:val="none"/>
        </w:rPr>
        <w:lastRenderedPageBreak/>
        <w:t>على معالجة الكم الهائل من البيانات الجوية بكفاءة، وتعزيز قدرة المنظومة التنبؤية على رصد الظواهر الجوية الخطرة في وقت مبكر بدقة أعلى</w:t>
      </w:r>
      <w:r w:rsidRPr="00913340">
        <w:rPr>
          <w:rFonts w:ascii="Simplified Arabic" w:eastAsia="Times New Roman" w:hAnsi="Simplified Arabic" w:cs="Simplified Arabic"/>
          <w:color w:val="000000" w:themeColor="text1"/>
          <w:kern w:val="0"/>
          <w:sz w:val="28"/>
          <w:szCs w:val="28"/>
          <w14:ligatures w14:val="none"/>
        </w:rPr>
        <w:t>.</w:t>
      </w:r>
    </w:p>
    <w:p w14:paraId="593F634F"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(Wu &amp; Xue, 2024) </w:t>
      </w:r>
      <w:r w:rsidRPr="00913340">
        <w:rPr>
          <w:rFonts w:ascii="Simplified Arabic" w:eastAsia="Times New Roman" w:hAnsi="Simplified Arabic" w:cs="Simplified Arabic"/>
          <w:color w:val="000000" w:themeColor="text1"/>
          <w:kern w:val="0"/>
          <w:sz w:val="28"/>
          <w:szCs w:val="28"/>
          <w:rtl/>
          <w14:ligatures w14:val="none"/>
        </w:rPr>
        <w:t>جملة من الأهداف ذات الطابع التطوري؛ منها الانتقال من النماذج التقليدية إلى النماذج القائمة على البيانات بصورة متدرجة تحافظ على الاستمرارية وتُحقق التطوير في آن، وتوظيف خوارزميات التعلم الآلي المتقدمة في استخلاص الأنماط من البيانات الجوية والمناخية، وتطوير قدرات النمذجة المناخية بصورة تُتيح فهماً أعمق للتغيرات المناخية بعيدة المدى، ودمج مصادر البيانات المتنوعة في منظومة تنبؤية متكاملة تستفيد من تعدد المصادر في رفع الدقة</w:t>
      </w:r>
      <w:r w:rsidRPr="00913340">
        <w:rPr>
          <w:rFonts w:ascii="Simplified Arabic" w:eastAsia="Times New Roman" w:hAnsi="Simplified Arabic" w:cs="Simplified Arabic"/>
          <w:color w:val="000000" w:themeColor="text1"/>
          <w:kern w:val="0"/>
          <w:sz w:val="28"/>
          <w:szCs w:val="28"/>
          <w14:ligatures w14:val="none"/>
        </w:rPr>
        <w:t>.</w:t>
      </w:r>
    </w:p>
    <w:p w14:paraId="6FD1AFB4"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ويُحدد</w:t>
      </w:r>
      <w:r w:rsidRPr="00913340">
        <w:rPr>
          <w:rFonts w:ascii="Simplified Arabic" w:eastAsia="Times New Roman" w:hAnsi="Simplified Arabic" w:cs="Simplified Arabic"/>
          <w:color w:val="000000" w:themeColor="text1"/>
          <w:kern w:val="0"/>
          <w:sz w:val="28"/>
          <w:szCs w:val="28"/>
          <w14:ligatures w14:val="none"/>
        </w:rPr>
        <w:t xml:space="preserve"> (Na-Yemeh et al., 2022) </w:t>
      </w:r>
      <w:r w:rsidRPr="00913340">
        <w:rPr>
          <w:rFonts w:ascii="Simplified Arabic" w:eastAsia="Times New Roman" w:hAnsi="Simplified Arabic" w:cs="Simplified Arabic"/>
          <w:color w:val="000000" w:themeColor="text1"/>
          <w:kern w:val="0"/>
          <w:sz w:val="28"/>
          <w:szCs w:val="28"/>
          <w:rtl/>
          <w14:ligatures w14:val="none"/>
        </w:rPr>
        <w:t>الأهداف من زاوية دعم القرار في مجالات السلامة العامة، وتشمل تصميم أنظمة دعم قرار جوية تُراعي الاحتياجات الخاصة بصانعي القرار في مجالات السلامة، وتطوير واجهات استخدام تُتيح للمستخدمين غير المتخصصين الاستفادة من البيانات الجوية بصورة فعّالة، وتوفير آليات للتنبيه المبكر بالظواهر الجوية الخطرة، وتعزيز التنسيق بين الجهات المعنية بالاستجابة للطوارئ الجوية</w:t>
      </w:r>
      <w:r w:rsidRPr="00913340">
        <w:rPr>
          <w:rFonts w:ascii="Simplified Arabic" w:eastAsia="Times New Roman" w:hAnsi="Simplified Arabic" w:cs="Simplified Arabic"/>
          <w:color w:val="000000" w:themeColor="text1"/>
          <w:kern w:val="0"/>
          <w:sz w:val="28"/>
          <w:szCs w:val="28"/>
          <w14:ligatures w14:val="none"/>
        </w:rPr>
        <w:t>.</w:t>
      </w:r>
    </w:p>
    <w:p w14:paraId="5A4E7CB5"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ومن منظور تواصلي، يطرح</w:t>
      </w:r>
      <w:r w:rsidRPr="00913340">
        <w:rPr>
          <w:rFonts w:ascii="Simplified Arabic" w:eastAsia="Times New Roman" w:hAnsi="Simplified Arabic" w:cs="Simplified Arabic"/>
          <w:color w:val="000000" w:themeColor="text1"/>
          <w:kern w:val="0"/>
          <w:sz w:val="28"/>
          <w:szCs w:val="28"/>
          <w14:ligatures w14:val="none"/>
        </w:rPr>
        <w:t xml:space="preserve"> (Ripberger et al., 2022) </w:t>
      </w:r>
      <w:r w:rsidRPr="00913340">
        <w:rPr>
          <w:rFonts w:ascii="Simplified Arabic" w:eastAsia="Times New Roman" w:hAnsi="Simplified Arabic" w:cs="Simplified Arabic"/>
          <w:color w:val="000000" w:themeColor="text1"/>
          <w:kern w:val="0"/>
          <w:sz w:val="28"/>
          <w:szCs w:val="28"/>
          <w:rtl/>
          <w14:ligatures w14:val="none"/>
        </w:rPr>
        <w:t>أهدافاً تتعلق بتطوير أساليب فعّالة لإيصال المعلومات الاحتمالية المتعلقة بالظواهر الجوية إلى المستخدمين النهائيين، وفهم الكيفية التي يُدرك بها المستخدمون مختلف أشكال المعلومات الاحتمالية، وتصميم رسائل اتصالية تُراعي خصائص الجمهور المستهدف ومستوى فهمه، ومعالجة الفجوة بين الإنتاج العلمي للتنبؤ والاستيعاب الجماهيري له. ومن جانب آخر، يُكمل</w:t>
      </w:r>
      <w:r w:rsidRPr="00913340">
        <w:rPr>
          <w:rFonts w:ascii="Simplified Arabic" w:eastAsia="Times New Roman" w:hAnsi="Simplified Arabic" w:cs="Simplified Arabic"/>
          <w:color w:val="000000" w:themeColor="text1"/>
          <w:kern w:val="0"/>
          <w:sz w:val="28"/>
          <w:szCs w:val="28"/>
          <w14:ligatures w14:val="none"/>
        </w:rPr>
        <w:t xml:space="preserve"> (Chatterjee et al., 2023) </w:t>
      </w:r>
      <w:r w:rsidRPr="00913340">
        <w:rPr>
          <w:rFonts w:ascii="Simplified Arabic" w:eastAsia="Times New Roman" w:hAnsi="Simplified Arabic" w:cs="Simplified Arabic"/>
          <w:color w:val="000000" w:themeColor="text1"/>
          <w:kern w:val="0"/>
          <w:sz w:val="28"/>
          <w:szCs w:val="28"/>
          <w:rtl/>
          <w14:ligatures w14:val="none"/>
        </w:rPr>
        <w:t>هذه المنظومة بأهداف ذات طابع مؤسسي تتمثل في توظيف تحليلات البيانات الضخمة في تحسين جودة التنبؤات وقدرات دعم القرار، ورفع كفاءة عمليات اتخاذ القرار في المنظمات المستفيدة من التنبؤات الجوية، وبناء قدرات مؤسسية تحليلية تُمكّن من استخلاص القيمة المضافة من البيانات</w:t>
      </w:r>
      <w:r w:rsidRPr="00913340">
        <w:rPr>
          <w:rFonts w:ascii="Simplified Arabic" w:eastAsia="Times New Roman" w:hAnsi="Simplified Arabic" w:cs="Simplified Arabic"/>
          <w:color w:val="000000" w:themeColor="text1"/>
          <w:kern w:val="0"/>
          <w:sz w:val="28"/>
          <w:szCs w:val="28"/>
          <w14:ligatures w14:val="none"/>
        </w:rPr>
        <w:t>.</w:t>
      </w:r>
    </w:p>
    <w:p w14:paraId="10131063"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ويستخلص الباحث من العرض السابق أن أهداف منظومة دقة التنبؤات الجوية ودعم القرار تتوزع على ثلاثة مستويات متكاملة: مستوى علمي يتعلق بتطوير القدرات التنبؤية وأدوات تقييمها، ومستوى تواصلي يتعلق بإيصال مخرجات التنبؤ إلى المستخدمين بصورة فعّالة، ومستوى تطبيقي يتعلق بتوظيف التنبؤات في دعم القرارات في القطاعات المختلفة. ويُمثّل هذا التوزع المتدرج جوهر المقاربة الحديثة للتنبؤ الجوي التي تتجاوز المنظور العلمي الضيق إلى منظور تكاملي يُلامس احتياجات المجتمع وقطاعاته المتنوعة</w:t>
      </w:r>
      <w:r w:rsidRPr="00913340">
        <w:rPr>
          <w:rFonts w:ascii="Simplified Arabic" w:eastAsia="Times New Roman" w:hAnsi="Simplified Arabic" w:cs="Simplified Arabic"/>
          <w:color w:val="000000" w:themeColor="text1"/>
          <w:kern w:val="0"/>
          <w:sz w:val="28"/>
          <w:szCs w:val="28"/>
          <w14:ligatures w14:val="none"/>
        </w:rPr>
        <w:t>.</w:t>
      </w:r>
    </w:p>
    <w:p w14:paraId="46685745" w14:textId="307BC80C" w:rsidR="00D32D13" w:rsidRPr="00913340" w:rsidRDefault="00247647" w:rsidP="0024764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2" w:name="_Toc233883882"/>
      <w:r w:rsidRPr="00913340">
        <w:rPr>
          <w:rFonts w:ascii="Simplified Arabic" w:eastAsia="Times New Roman" w:hAnsi="Simplified Arabic" w:cs="Simplified Arabic" w:hint="cs"/>
          <w:b/>
          <w:bCs/>
          <w:color w:val="000000" w:themeColor="text1"/>
          <w:kern w:val="0"/>
          <w:sz w:val="32"/>
          <w:szCs w:val="32"/>
          <w:rtl/>
          <w14:ligatures w14:val="none"/>
        </w:rPr>
        <w:lastRenderedPageBreak/>
        <w:t>5.2.2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أبعاد دقة التنبؤات الجوية ودعم القرار</w:t>
      </w:r>
      <w:bookmarkEnd w:id="52"/>
    </w:p>
    <w:p w14:paraId="2BE8B97A"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تم تحديد أبعاد دقة التنبؤات الجوية ودعم القرار في الدراسة الحالية بناءً على ما ورد في دراسات</w:t>
      </w:r>
      <w:r w:rsidRPr="00913340">
        <w:rPr>
          <w:rFonts w:ascii="Simplified Arabic" w:eastAsia="Times New Roman" w:hAnsi="Simplified Arabic" w:cs="Simplified Arabic"/>
          <w:color w:val="000000" w:themeColor="text1"/>
          <w:kern w:val="0"/>
          <w:sz w:val="28"/>
          <w:szCs w:val="28"/>
          <w14:ligatures w14:val="none"/>
        </w:rPr>
        <w:t xml:space="preserve"> (Pagano et al., 2024)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 xml:space="preserve">(Na-Yemeh et al., 2022)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(Ripberger et al., 2022)</w:t>
      </w:r>
      <w:r w:rsidRPr="00913340">
        <w:rPr>
          <w:rFonts w:ascii="Simplified Arabic" w:eastAsia="Times New Roman" w:hAnsi="Simplified Arabic" w:cs="Simplified Arabic"/>
          <w:color w:val="000000" w:themeColor="text1"/>
          <w:kern w:val="0"/>
          <w:sz w:val="28"/>
          <w:szCs w:val="28"/>
          <w:rtl/>
          <w14:ligatures w14:val="none"/>
        </w:rPr>
        <w:t>، مع الإفادة من الإسهامات المكمّلة لكلٍّ من</w:t>
      </w:r>
      <w:r w:rsidRPr="00913340">
        <w:rPr>
          <w:rFonts w:ascii="Simplified Arabic" w:eastAsia="Times New Roman" w:hAnsi="Simplified Arabic" w:cs="Simplified Arabic"/>
          <w:color w:val="000000" w:themeColor="text1"/>
          <w:kern w:val="0"/>
          <w:sz w:val="28"/>
          <w:szCs w:val="28"/>
          <w14:ligatures w14:val="none"/>
        </w:rPr>
        <w:t xml:space="preserve"> (Schultz et al., 2021) </w:t>
      </w:r>
      <w:r w:rsidRPr="00913340">
        <w:rPr>
          <w:rFonts w:ascii="Simplified Arabic" w:eastAsia="Times New Roman" w:hAnsi="Simplified Arabic" w:cs="Simplified Arabic"/>
          <w:color w:val="000000" w:themeColor="text1"/>
          <w:kern w:val="0"/>
          <w:sz w:val="28"/>
          <w:szCs w:val="28"/>
          <w:rtl/>
          <w14:ligatures w14:val="none"/>
        </w:rPr>
        <w:t>و</w:t>
      </w:r>
      <w:r w:rsidRPr="00913340">
        <w:rPr>
          <w:rFonts w:ascii="Simplified Arabic" w:eastAsia="Times New Roman" w:hAnsi="Simplified Arabic" w:cs="Simplified Arabic"/>
          <w:color w:val="000000" w:themeColor="text1"/>
          <w:kern w:val="0"/>
          <w:sz w:val="28"/>
          <w:szCs w:val="28"/>
          <w14:ligatures w14:val="none"/>
        </w:rPr>
        <w:t>(Wu &amp; Xue, 2024)</w:t>
      </w:r>
      <w:r w:rsidRPr="00913340">
        <w:rPr>
          <w:rFonts w:ascii="Simplified Arabic" w:eastAsia="Times New Roman" w:hAnsi="Simplified Arabic" w:cs="Simplified Arabic"/>
          <w:color w:val="000000" w:themeColor="text1"/>
          <w:kern w:val="0"/>
          <w:sz w:val="28"/>
          <w:szCs w:val="28"/>
          <w:rtl/>
          <w14:ligatures w14:val="none"/>
        </w:rPr>
        <w:t>، وذلك بما يتلاءم مع طبيعة المركز الوطني للأرصاد بالمملكة العربية السعودية ومتطلبات بيئة عمله. وقد استقرت الدراسة على تناول المتغير بوصفه محوراً أحادي البعد يضم اثنتي عشرة فقرة تقيس مستوى دقة التنبؤات الجوية وفاعلية أنظمة دعم القرار، ويمكن تحليل هذا المحور إلى عدة عناصر مفاهيمية متكاملة تُشكّل في مجموعها الإطار التطبيقي للمتغير</w:t>
      </w:r>
      <w:r w:rsidRPr="00913340">
        <w:rPr>
          <w:rFonts w:ascii="Simplified Arabic" w:eastAsia="Times New Roman" w:hAnsi="Simplified Arabic" w:cs="Simplified Arabic"/>
          <w:color w:val="000000" w:themeColor="text1"/>
          <w:kern w:val="0"/>
          <w:sz w:val="28"/>
          <w:szCs w:val="28"/>
          <w14:ligatures w14:val="none"/>
        </w:rPr>
        <w:t>.</w:t>
      </w:r>
    </w:p>
    <w:p w14:paraId="1A2034C5"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العنصر الأول: الموثوقية العلمية للتنبؤات الجوية</w:t>
      </w:r>
    </w:p>
    <w:p w14:paraId="60952CED"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تُمثّل الموثوقية العلمية الركيزة الأساس التي تقوم عليها قيمة التنبؤات الجوية، إذ بدونها تفقد التنبؤات معناها وتتحول إلى تكهنات لا قيمة لها في دعم القرار. وتتحقق الموثوقية من خلال الالتزام بالمنهجيات العلمية المعتمدة في إنتاج التنبؤات، بدءاً من جودة البيانات المرصودة وتنوع مصادرها، مروراً بدقة النماذج المستخدمة في معالجة هذه البيانات، وانتهاءً بمنهجية تحليل المخرجات وتفسيرها. ويستلزم تحقيق الموثوقية تكاملاً بين القدرات البشرية للكوادر المتخصصة والقدرات التقنية للأنظمة الحاسوبية، بحيث تتضافر الخبرة العلمية مع التقنيات المتقدمة في إنتاج تنبؤات يمكن الوثوق بها</w:t>
      </w:r>
      <w:r w:rsidRPr="00913340">
        <w:rPr>
          <w:rFonts w:ascii="Simplified Arabic" w:eastAsia="Times New Roman" w:hAnsi="Simplified Arabic" w:cs="Simplified Arabic"/>
          <w:color w:val="000000" w:themeColor="text1"/>
          <w:kern w:val="0"/>
          <w:sz w:val="28"/>
          <w:szCs w:val="28"/>
          <w14:ligatures w14:val="none"/>
        </w:rPr>
        <w:t xml:space="preserve"> (Pagano et al., 2024).</w:t>
      </w:r>
    </w:p>
    <w:p w14:paraId="55E96540"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ويُضيف</w:t>
      </w:r>
      <w:r w:rsidRPr="00913340">
        <w:rPr>
          <w:rFonts w:ascii="Simplified Arabic" w:eastAsia="Times New Roman" w:hAnsi="Simplified Arabic" w:cs="Simplified Arabic"/>
          <w:color w:val="000000" w:themeColor="text1"/>
          <w:kern w:val="0"/>
          <w:sz w:val="28"/>
          <w:szCs w:val="28"/>
          <w14:ligatures w14:val="none"/>
        </w:rPr>
        <w:t xml:space="preserve"> (Schultz et al., 2021) </w:t>
      </w:r>
      <w:r w:rsidRPr="00913340">
        <w:rPr>
          <w:rFonts w:ascii="Simplified Arabic" w:eastAsia="Times New Roman" w:hAnsi="Simplified Arabic" w:cs="Simplified Arabic"/>
          <w:color w:val="000000" w:themeColor="text1"/>
          <w:kern w:val="0"/>
          <w:sz w:val="28"/>
          <w:szCs w:val="28"/>
          <w:rtl/>
          <w14:ligatures w14:val="none"/>
        </w:rPr>
        <w:t>أن الموثوقية العلمية في الحقبة المعاصرة تكتسب أبعاداً جديدة بفعل دخول تقنيات التعلم العميق ميدان التنبؤ الجوي، إذ إن دمج هذه التقنيات مع النماذج العددية التقليدية يُعزز الموثوقية من خلال الجمع بين الفهم الفيزيائي للظواهر الجوية والقدرات الاستخلاصية للخوارزميات المتقدمة. ويعكس هذا التطور تحولاً نوعياً في فلسفة بناء الموثوقية العلمية للتنبؤات</w:t>
      </w:r>
      <w:r w:rsidRPr="00913340">
        <w:rPr>
          <w:rFonts w:ascii="Simplified Arabic" w:eastAsia="Times New Roman" w:hAnsi="Simplified Arabic" w:cs="Simplified Arabic"/>
          <w:color w:val="000000" w:themeColor="text1"/>
          <w:kern w:val="0"/>
          <w:sz w:val="28"/>
          <w:szCs w:val="28"/>
          <w14:ligatures w14:val="none"/>
        </w:rPr>
        <w:t>.</w:t>
      </w:r>
    </w:p>
    <w:p w14:paraId="75DE2A54"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العنصر الثاني: دقة القياس والمؤشرات التقييمية</w:t>
      </w:r>
    </w:p>
    <w:p w14:paraId="670ACFCD"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تُمثّل دقة القياس والمؤشرات التقييمية الأداة التي تُتيح الحكم الموضوعي على جودة التنبؤات الجوية، وتتضمن مجموعة من المعايير الإحصائية والفنية التي تقيس مدى مطابقة التنبؤات للظواهر الجوية الفعلية. ويستلزم تقييم الدقة استخدام مؤشرات متعددة تُراعي تنوع الظواهر الجوية التي يجري التنبؤ بها، إذ تختلف المؤشرات الملائمة لتقييم التنبؤ بدرجات الحرارة عن تلك الملائمة لتقييم التنبؤ بهطول الأمطار أو سرعة </w:t>
      </w:r>
      <w:r w:rsidRPr="00913340">
        <w:rPr>
          <w:rFonts w:ascii="Simplified Arabic" w:eastAsia="Times New Roman" w:hAnsi="Simplified Arabic" w:cs="Simplified Arabic"/>
          <w:color w:val="000000" w:themeColor="text1"/>
          <w:kern w:val="0"/>
          <w:sz w:val="28"/>
          <w:szCs w:val="28"/>
          <w:rtl/>
          <w14:ligatures w14:val="none"/>
        </w:rPr>
        <w:lastRenderedPageBreak/>
        <w:t>الرياح، كما تختلف باختلاف المدى الزمني للتنبؤ من المدى القصير إلى المدى الطويل</w:t>
      </w:r>
      <w:r w:rsidRPr="00913340">
        <w:rPr>
          <w:rFonts w:ascii="Simplified Arabic" w:eastAsia="Times New Roman" w:hAnsi="Simplified Arabic" w:cs="Simplified Arabic"/>
          <w:color w:val="000000" w:themeColor="text1"/>
          <w:kern w:val="0"/>
          <w:sz w:val="28"/>
          <w:szCs w:val="28"/>
          <w14:ligatures w14:val="none"/>
        </w:rPr>
        <w:t xml:space="preserve"> (Pagano et al., 2024).</w:t>
      </w:r>
    </w:p>
    <w:p w14:paraId="24D2CBE8"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العنصر الثالث: فاعلية أنظمة دعم القرار</w:t>
      </w:r>
    </w:p>
    <w:p w14:paraId="45E5545B"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تُمثّل فاعلية أنظمة دعم القرار البُعد التطبيقي الذي يربط بين الإنتاج العلمي للتنبؤات والاستفادة الفعلية منها، وتتجلى في قدرة هذه الأنظمة على تحويل البيانات والتنبؤات الجوية إلى مخرجات قابلة للتفعيل من قِبل صانعي القرار في القطاعات المختلفة. ويتضمن هذا العنصر تصميم واجهات استخدام ملائمة تأخذ بعين الاعتبار خصائص المستخدمين النهائيين، وتطوير آليات لتخصيص المخرجات وفق احتياجات كل قطاع، وتوفير أدوات تحليلية تُتيح للمستخدمين استكشاف البيانات والتنبؤات بصورة تفاعلية</w:t>
      </w:r>
      <w:r w:rsidRPr="00913340">
        <w:rPr>
          <w:rFonts w:ascii="Simplified Arabic" w:eastAsia="Times New Roman" w:hAnsi="Simplified Arabic" w:cs="Simplified Arabic"/>
          <w:color w:val="000000" w:themeColor="text1"/>
          <w:kern w:val="0"/>
          <w:sz w:val="28"/>
          <w:szCs w:val="28"/>
          <w14:ligatures w14:val="none"/>
        </w:rPr>
        <w:t xml:space="preserve"> (Na-Yemeh et al., 2022).</w:t>
      </w:r>
    </w:p>
    <w:p w14:paraId="09E1EF11"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العنصر الرابع: كفاءة إيصال المعلومات الجوية</w:t>
      </w:r>
    </w:p>
    <w:p w14:paraId="3B9D2802"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تُمثّل كفاءة إيصال المعلومات الجوية الجسر الذي تعبر من خلاله التنبؤات من مرحلة الإنتاج إلى مرحلة التوظيف الفعلي، وتُعدّ من أبرز التحديات التي تواجه المؤسسات الجوية في العصر الحالي. وتكتسب هذه الكفاءة أهمية خاصة في إيصال المعلومات الاحتمالية المتعلقة بالظواهر الجوية، إذ تتطلب أساليب اتصالية متخصصة تأخذ بعين الاعتبار خصائص الجمهور المستهدف ومستوى فهمه للمفاهيم الاحتمالية، وتُراعي الفروق بين فئات المستخدمين من حيث احتياجاتهم المعلوماتية وقدراتهم على استيعاب المخرجات الفنية</w:t>
      </w:r>
      <w:r w:rsidRPr="00913340">
        <w:rPr>
          <w:rFonts w:ascii="Simplified Arabic" w:eastAsia="Times New Roman" w:hAnsi="Simplified Arabic" w:cs="Simplified Arabic"/>
          <w:color w:val="000000" w:themeColor="text1"/>
          <w:kern w:val="0"/>
          <w:sz w:val="28"/>
          <w:szCs w:val="28"/>
          <w14:ligatures w14:val="none"/>
        </w:rPr>
        <w:t xml:space="preserve"> (Ripberger et al., 2022).</w:t>
      </w:r>
    </w:p>
    <w:p w14:paraId="17149D7C"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العنصر الخامس: التكامل مع تقنيات البيانات الضخمة والذكاء الاصطناعي</w:t>
      </w:r>
    </w:p>
    <w:p w14:paraId="0CEA5FD6"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يُمثّل التكامل مع تقنيات البيانات الضخمة والذكاء الاصطناعي البُعد التطوري الذي يفتح آفاقاً جديدة لرفع دقة التنبؤات وتعزيز قدرات دعم القرار. وقد أتاح التحول إلى التنبؤ القائم على البيانات إمكانات غير مسبوقة للاستفادة من تدفقات البيانات الضخمة المستمدة من مصادر متنوعة كالأقمار الصناعية والرادارات ومحطات الرصد الأرضية وأجهزة الاستشعار المنتشرة، مع توظيف خوارزميات التعلم الآلي في استخلاص الأنماط من هذه البيانات وتوليد تنبؤات تجمع بين الدقة العلمية والكفاءة الحسابية</w:t>
      </w:r>
      <w:r w:rsidRPr="00913340">
        <w:rPr>
          <w:rFonts w:ascii="Simplified Arabic" w:eastAsia="Times New Roman" w:hAnsi="Simplified Arabic" w:cs="Simplified Arabic"/>
          <w:color w:val="000000" w:themeColor="text1"/>
          <w:kern w:val="0"/>
          <w:sz w:val="28"/>
          <w:szCs w:val="28"/>
          <w14:ligatures w14:val="none"/>
        </w:rPr>
        <w:t xml:space="preserve"> (Wu &amp; Xue, 2024).</w:t>
      </w:r>
    </w:p>
    <w:p w14:paraId="166B5AA7"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lastRenderedPageBreak/>
        <w:t>ويُضيف</w:t>
      </w:r>
      <w:r w:rsidRPr="00913340">
        <w:rPr>
          <w:rFonts w:ascii="Simplified Arabic" w:eastAsia="Times New Roman" w:hAnsi="Simplified Arabic" w:cs="Simplified Arabic"/>
          <w:color w:val="000000" w:themeColor="text1"/>
          <w:kern w:val="0"/>
          <w:sz w:val="28"/>
          <w:szCs w:val="28"/>
          <w14:ligatures w14:val="none"/>
        </w:rPr>
        <w:t xml:space="preserve"> (Chatterjee et al., 2023) </w:t>
      </w:r>
      <w:r w:rsidRPr="00913340">
        <w:rPr>
          <w:rFonts w:ascii="Simplified Arabic" w:eastAsia="Times New Roman" w:hAnsi="Simplified Arabic" w:cs="Simplified Arabic"/>
          <w:color w:val="000000" w:themeColor="text1"/>
          <w:kern w:val="0"/>
          <w:sz w:val="28"/>
          <w:szCs w:val="28"/>
          <w:rtl/>
          <w14:ligatures w14:val="none"/>
        </w:rPr>
        <w:t>أن التكامل مع تحليلات البيانات الضخمة يُتيح تطوير القدرات المؤسسية على تحويل البيانات إلى رؤى تنبؤية تدعم القرار، ويرفع كفاءة عمليات اتخاذ القرار في المنظمات المستفيدة، ويُسهم في تحسين الأداء المؤسسي بصورة شاملة. ويعكس هذا الطرح تحولاً جوهرياً في النظر إلى البيانات بوصفها أصلاً استراتيجياً يمكن استثماره لتعزيز القيمة المضافة لمنظومة التنبؤ الجوي</w:t>
      </w:r>
      <w:r w:rsidRPr="00913340">
        <w:rPr>
          <w:rFonts w:ascii="Simplified Arabic" w:eastAsia="Times New Roman" w:hAnsi="Simplified Arabic" w:cs="Simplified Arabic"/>
          <w:color w:val="000000" w:themeColor="text1"/>
          <w:kern w:val="0"/>
          <w:sz w:val="28"/>
          <w:szCs w:val="28"/>
          <w14:ligatures w14:val="none"/>
        </w:rPr>
        <w:t>.</w:t>
      </w:r>
    </w:p>
    <w:p w14:paraId="2F817E34"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العنصر السادس: التوقيت الزمني وملاءمة المخرجات</w:t>
      </w:r>
    </w:p>
    <w:p w14:paraId="15D359F3"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يُمثّل التوقيت الزمني وملاءمة المخرجات بُعداً حاسماً في تحديد القيمة الفعلية للتنبؤات الجوية، إذ إن التنبؤ الدقيق الذي يصل متأخراً عن وقت الحاجة إليه يفقد قدراً كبيراً من قيمته، كما أن التنبؤ غير الملائم لاحتياجات المستخدم يُصبح عبئاً معلوماتياً بدلاً من أن يكون أداة مساندة. ويتطلب تحقيق التوقيت المناسب بناء قدرات حسابية متقدمة تُتيح إنتاج التنبؤات بسرعة، وتطوير منظومة لإيصال المخرجات تضمن وصولها في الوقت المناسب، وتصميم آليات للتنبيه المبكر بالظواهر الجوية الخطرة تتيح هامشاً زمنياً كافياً لاتخاذ التدابير الوقائية</w:t>
      </w:r>
      <w:r w:rsidRPr="00913340">
        <w:rPr>
          <w:rFonts w:ascii="Simplified Arabic" w:eastAsia="Times New Roman" w:hAnsi="Simplified Arabic" w:cs="Simplified Arabic"/>
          <w:color w:val="000000" w:themeColor="text1"/>
          <w:kern w:val="0"/>
          <w:sz w:val="28"/>
          <w:szCs w:val="28"/>
          <w14:ligatures w14:val="none"/>
        </w:rPr>
        <w:t xml:space="preserve"> (Na-Yemeh et al., 2022).</w:t>
      </w:r>
    </w:p>
    <w:p w14:paraId="682E7693" w14:textId="77777777" w:rsidR="00D32D13" w:rsidRPr="00913340" w:rsidRDefault="00D32D13" w:rsidP="00E155E5">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913340">
        <w:rPr>
          <w:rFonts w:ascii="Simplified Arabic" w:eastAsia="Times New Roman" w:hAnsi="Simplified Arabic" w:cs="Simplified Arabic"/>
          <w:b/>
          <w:bCs/>
          <w:color w:val="000000" w:themeColor="text1"/>
          <w:kern w:val="0"/>
          <w:sz w:val="28"/>
          <w:szCs w:val="28"/>
          <w:rtl/>
          <w14:ligatures w14:val="none"/>
        </w:rPr>
        <w:t>العنصر السابع: التحسين المستمر للمنظومة التنبؤية</w:t>
      </w:r>
    </w:p>
    <w:p w14:paraId="5987C130"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يُمثّل التحسين المستمر للمنظومة التنبؤية البُعد الديناميكي الذي يضمن تطور المنظومة بتطور البيئة العلمية والتقنية المحيطة بها. ويستند هذا البُعد إلى فلسفة قائمة على التعلم من نتائج التقييم الدوري للتنبؤات، وتوظيف هذه النتائج في تحسين النماذج المستخدمة وأساليب المعالجة، ومواكبة التطورات العلمية الجارية في حقل التنبؤ الجوي. ويتطلب التحسين المستمر بناء قاعدة معرفية مؤسسية تُراكم الخبرات، وتطوير الكوادر البشرية بصورة دائمة، والاستثمار في البحث والتطوير بوصفه ركيزة للتميز في حقل التنبؤ الجوي</w:t>
      </w:r>
      <w:r w:rsidRPr="00913340">
        <w:rPr>
          <w:rFonts w:ascii="Simplified Arabic" w:eastAsia="Times New Roman" w:hAnsi="Simplified Arabic" w:cs="Simplified Arabic"/>
          <w:color w:val="000000" w:themeColor="text1"/>
          <w:kern w:val="0"/>
          <w:sz w:val="28"/>
          <w:szCs w:val="28"/>
          <w14:ligatures w14:val="none"/>
        </w:rPr>
        <w:t xml:space="preserve"> (Pagano et al., 2024).</w:t>
      </w:r>
    </w:p>
    <w:p w14:paraId="480B3BD5"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ويُكمل هذه الصورة</w:t>
      </w:r>
      <w:r w:rsidRPr="00913340">
        <w:rPr>
          <w:rFonts w:ascii="Simplified Arabic" w:eastAsia="Times New Roman" w:hAnsi="Simplified Arabic" w:cs="Simplified Arabic"/>
          <w:color w:val="000000" w:themeColor="text1"/>
          <w:kern w:val="0"/>
          <w:sz w:val="28"/>
          <w:szCs w:val="28"/>
          <w14:ligatures w14:val="none"/>
        </w:rPr>
        <w:t xml:space="preserve"> (Wu &amp; Xue, 2024) </w:t>
      </w:r>
      <w:r w:rsidRPr="00913340">
        <w:rPr>
          <w:rFonts w:ascii="Simplified Arabic" w:eastAsia="Times New Roman" w:hAnsi="Simplified Arabic" w:cs="Simplified Arabic"/>
          <w:color w:val="000000" w:themeColor="text1"/>
          <w:kern w:val="0"/>
          <w:sz w:val="28"/>
          <w:szCs w:val="28"/>
          <w:rtl/>
          <w14:ligatures w14:val="none"/>
        </w:rPr>
        <w:t>ببيان أن التحسين المستمر في الحقبة المعاصرة يستلزم استيعاب التحولات النوعية التي يشهدها الحقل بفعل دخول تقنيات الذكاء الاصطناعي والبيانات الضخمة، ومواكبة هذه التحولات بصورة تحافظ على الاستمرارية وتُحقق التطوير في آن واحد</w:t>
      </w:r>
      <w:r w:rsidRPr="00913340">
        <w:rPr>
          <w:rFonts w:ascii="Simplified Arabic" w:eastAsia="Times New Roman" w:hAnsi="Simplified Arabic" w:cs="Simplified Arabic"/>
          <w:color w:val="000000" w:themeColor="text1"/>
          <w:kern w:val="0"/>
          <w:sz w:val="28"/>
          <w:szCs w:val="28"/>
          <w14:ligatures w14:val="none"/>
        </w:rPr>
        <w:t>.</w:t>
      </w:r>
    </w:p>
    <w:p w14:paraId="72033BB5"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 xml:space="preserve">ويرى الباحث أن هذه العناصر تتكامل في منظومة عضوية تتشكل منها فاعلية المتغير التابع، إذ تُغذّي الموثوقية العلمية دقة المؤشرات التقييمية، وتُترجم هاتان إلى فاعلية في أنظمة دعم القرار، وتُكتمل </w:t>
      </w:r>
      <w:r w:rsidRPr="00913340">
        <w:rPr>
          <w:rFonts w:ascii="Simplified Arabic" w:eastAsia="Times New Roman" w:hAnsi="Simplified Arabic" w:cs="Simplified Arabic"/>
          <w:color w:val="000000" w:themeColor="text1"/>
          <w:kern w:val="0"/>
          <w:sz w:val="28"/>
          <w:szCs w:val="28"/>
          <w:rtl/>
          <w14:ligatures w14:val="none"/>
        </w:rPr>
        <w:lastRenderedPageBreak/>
        <w:t>قيمتها بكفاءة إيصال المعلومات وملاءمة توقيتها، ويُحافظ على ديناميكية المنظومة من خلال التكامل مع التقنيات الحديثة والتحسين المستمر. وفي سياق المركز الوطني للأرصاد بالمملكة العربية السعودية، تكتسب هذه العناصر أهمية مضاعفة بفعل التنوع المناخي للمملكة والتحديات الجوية الخاصة بها، مما يجعل التكامل بين هذه العناصر شرطاً لازماً لتحقيق رسالة المركز في خدمة القطاعات الوطنية المختلفة</w:t>
      </w:r>
      <w:r w:rsidRPr="00913340">
        <w:rPr>
          <w:rFonts w:ascii="Simplified Arabic" w:eastAsia="Times New Roman" w:hAnsi="Simplified Arabic" w:cs="Simplified Arabic"/>
          <w:color w:val="000000" w:themeColor="text1"/>
          <w:kern w:val="0"/>
          <w:sz w:val="28"/>
          <w:szCs w:val="28"/>
          <w14:ligatures w14:val="none"/>
        </w:rPr>
        <w:t>.</w:t>
      </w:r>
    </w:p>
    <w:p w14:paraId="01168D16" w14:textId="1A4B2C33" w:rsidR="00D32D13" w:rsidRPr="00913340" w:rsidRDefault="00247647" w:rsidP="00247647">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3" w:name="_Toc233883883"/>
      <w:r w:rsidRPr="00913340">
        <w:rPr>
          <w:rFonts w:ascii="Simplified Arabic" w:eastAsia="Times New Roman" w:hAnsi="Simplified Arabic" w:cs="Simplified Arabic" w:hint="cs"/>
          <w:b/>
          <w:bCs/>
          <w:color w:val="000000" w:themeColor="text1"/>
          <w:kern w:val="0"/>
          <w:sz w:val="32"/>
          <w:szCs w:val="32"/>
          <w:rtl/>
          <w14:ligatures w14:val="none"/>
        </w:rPr>
        <w:t>6.2.2</w:t>
      </w:r>
      <w:r w:rsidR="00D32D13" w:rsidRPr="00913340">
        <w:rPr>
          <w:rFonts w:ascii="Simplified Arabic" w:eastAsia="Times New Roman" w:hAnsi="Simplified Arabic" w:cs="Simplified Arabic"/>
          <w:b/>
          <w:bCs/>
          <w:color w:val="000000" w:themeColor="text1"/>
          <w:kern w:val="0"/>
          <w:sz w:val="32"/>
          <w:szCs w:val="32"/>
          <w:rtl/>
          <w14:ligatures w14:val="none"/>
        </w:rPr>
        <w:t xml:space="preserve"> العلاقة بين إدارة مخاطر تكنولوجيا البيانات ودقة التنبؤات الجوية ودعم القرار</w:t>
      </w:r>
      <w:bookmarkEnd w:id="53"/>
    </w:p>
    <w:p w14:paraId="592F420F"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تنبثق العلاقة بين إدارة مخاطر تكنولوجيا البيانات ودقة التنبؤات الجوية ودعم القرار من الطبيعة التقنية المعلوماتية الكثيفة لمنظومة التنبؤ الجوي، إذ إن إنتاج التنبؤات الدقيقة وتوظيفها في دعم القرار يستلزم منظومة تقنية متكاملة تتعامل مع كميات هائلة من البيانات، وتُشغّل نماذج حسابية معقدة، وتُوصل المخرجات إلى مستخدمين متعددين، وكل عنصر من هذه العناصر يُمثّل نقطة محتملة لمخاطر تقنية قد تُؤثر في جودة المنظومة بأكملها</w:t>
      </w:r>
      <w:r w:rsidRPr="00913340">
        <w:rPr>
          <w:rFonts w:ascii="Simplified Arabic" w:eastAsia="Times New Roman" w:hAnsi="Simplified Arabic" w:cs="Simplified Arabic"/>
          <w:color w:val="000000" w:themeColor="text1"/>
          <w:kern w:val="0"/>
          <w:sz w:val="28"/>
          <w:szCs w:val="28"/>
          <w14:ligatures w14:val="none"/>
        </w:rPr>
        <w:t xml:space="preserve"> (Cremer et al., 2022).</w:t>
      </w:r>
    </w:p>
    <w:p w14:paraId="050614B8"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ويُسهم تقييم المخاطر التقنية في حماية المدخلات البيانية للمنظومة التنبؤية من المخاطر التي قد تُؤثر في جودتها، إذ إن دقة التنبؤات تتأثر مباشرة بجودة البيانات المرصودة وموثوقيتها، وأي خلل في منظومة الرصد أو في معالجة البيانات قد ينعكس على دقة المخرجات النهائية. ويُكمل أمن البيانات والبنية التحتية هذه الحماية من خلال صون البيانات وأنظمة المعالجة من التهديدات السيبرانية التي قد تُعطّل عمل المنظومة أو تُحرّف مخرجاتها</w:t>
      </w:r>
      <w:r w:rsidRPr="00913340">
        <w:rPr>
          <w:rFonts w:ascii="Simplified Arabic" w:eastAsia="Times New Roman" w:hAnsi="Simplified Arabic" w:cs="Simplified Arabic"/>
          <w:color w:val="000000" w:themeColor="text1"/>
          <w:kern w:val="0"/>
          <w:sz w:val="28"/>
          <w:szCs w:val="28"/>
          <w14:ligatures w14:val="none"/>
        </w:rPr>
        <w:t xml:space="preserve"> (Al-Dosari &amp; Fetais, 2023).</w:t>
      </w:r>
    </w:p>
    <w:p w14:paraId="5555788F" w14:textId="77777777" w:rsidR="00D32D13" w:rsidRPr="00913340" w:rsidRDefault="00D32D13" w:rsidP="00247647">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913340">
        <w:rPr>
          <w:rFonts w:ascii="Simplified Arabic" w:eastAsia="Times New Roman" w:hAnsi="Simplified Arabic" w:cs="Simplified Arabic"/>
          <w:color w:val="000000" w:themeColor="text1"/>
          <w:kern w:val="0"/>
          <w:sz w:val="28"/>
          <w:szCs w:val="28"/>
          <w:rtl/>
          <w14:ligatures w14:val="none"/>
        </w:rPr>
        <w:t>وتُؤطّر حوكمة تكنولوجيا المعلومات هذه المنظومة ضمن إطار مؤسسي يضمن مواءمة الاستثمار التقني مع الأهداف الاستراتيجية للمركز الوطني للأرصاد، ويُحدد الأدوار والمسؤوليات في إدارة المخاطر التقنية، ويضع السياسات التي تحكم استخدام البيانات والأنظمة. ويُكمل بُعد المراقبة والتحسين المستمر هذه الدورة من خلال الرصد الدائم للأداء التقني واستكشاف فرص التطوير، بما يضمن تطور المنظومة التنبؤية بتطور البيئة التقنية المحيطة بها</w:t>
      </w:r>
      <w:r w:rsidRPr="00913340">
        <w:rPr>
          <w:rFonts w:ascii="Simplified Arabic" w:eastAsia="Times New Roman" w:hAnsi="Simplified Arabic" w:cs="Simplified Arabic"/>
          <w:color w:val="000000" w:themeColor="text1"/>
          <w:kern w:val="0"/>
          <w:sz w:val="28"/>
          <w:szCs w:val="28"/>
          <w14:ligatures w14:val="none"/>
        </w:rPr>
        <w:t xml:space="preserve"> (Settembre-Blundo et al., 2021).</w:t>
      </w:r>
    </w:p>
    <w:p w14:paraId="3D9F466B" w14:textId="0B5FDC6A" w:rsidR="00913340" w:rsidRPr="00913340" w:rsidRDefault="00247647" w:rsidP="00FA14A8">
      <w:pPr>
        <w:jc w:val="center"/>
        <w:outlineLvl w:val="0"/>
        <w:rPr>
          <w:rFonts w:ascii="Simplified Arabic" w:hAnsi="Simplified Arabic" w:cs="Simplified Arabic"/>
          <w:b/>
          <w:bCs/>
          <w:color w:val="000000" w:themeColor="text1"/>
          <w:szCs w:val="28"/>
          <w:rtl/>
        </w:rPr>
        <w:sectPr w:rsidR="00913340" w:rsidRPr="00913340" w:rsidSect="00E155E5">
          <w:footerReference w:type="default" r:id="rId11"/>
          <w:pgSz w:w="11906" w:h="16838" w:code="9"/>
          <w:pgMar w:top="1134" w:right="1701" w:bottom="1134" w:left="1134" w:header="720" w:footer="720" w:gutter="0"/>
          <w:pgNumType w:start="1"/>
          <w:cols w:space="708"/>
          <w:bidi/>
          <w:rtlGutter/>
          <w:docGrid w:linePitch="360"/>
        </w:sectPr>
      </w:pPr>
      <w:r w:rsidRPr="00913340">
        <w:rPr>
          <w:rFonts w:ascii="Simplified Arabic" w:eastAsia="Times New Roman" w:hAnsi="Simplified Arabic" w:cs="Simplified Arabic"/>
          <w:b/>
          <w:bCs/>
          <w:color w:val="000000" w:themeColor="text1"/>
          <w:kern w:val="0"/>
          <w:sz w:val="40"/>
          <w:szCs w:val="40"/>
          <w:rtl/>
          <w14:ligatures w14:val="none"/>
        </w:rPr>
        <w:br w:type="page"/>
      </w:r>
      <w:bookmarkEnd w:id="23"/>
    </w:p>
    <w:p w14:paraId="29D4231B" w14:textId="30799B5C" w:rsidR="0081623B" w:rsidRPr="00913340" w:rsidRDefault="00246C3F" w:rsidP="0091334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13340">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37BF017E">
            <wp:simplePos x="0" y="0"/>
            <wp:positionH relativeFrom="column">
              <wp:posOffset>4339590</wp:posOffset>
            </wp:positionH>
            <wp:positionV relativeFrom="paragraph">
              <wp:posOffset>0</wp:posOffset>
            </wp:positionV>
            <wp:extent cx="1464945" cy="1357630"/>
            <wp:effectExtent l="0" t="0" r="1905" b="0"/>
            <wp:wrapTight wrapText="bothSides">
              <wp:wrapPolygon edited="0">
                <wp:start x="0" y="0"/>
                <wp:lineTo x="0" y="21216"/>
                <wp:lineTo x="21347" y="21216"/>
                <wp:lineTo x="21347"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4945" cy="1357630"/>
                    </a:xfrm>
                    <a:prstGeom prst="rect">
                      <a:avLst/>
                    </a:prstGeom>
                    <a:noFill/>
                  </pic:spPr>
                </pic:pic>
              </a:graphicData>
            </a:graphic>
            <wp14:sizeRelH relativeFrom="margin">
              <wp14:pctWidth>0</wp14:pctWidth>
            </wp14:sizeRelH>
            <wp14:sizeRelV relativeFrom="margin">
              <wp14:pctHeight>0</wp14:pctHeight>
            </wp14:sizeRelV>
          </wp:anchor>
        </w:drawing>
      </w:r>
      <w:r w:rsidRPr="00913340">
        <w:rPr>
          <w:rFonts w:asciiTheme="majorBidi" w:eastAsia="Calibri" w:hAnsiTheme="majorBidi" w:cstheme="majorBidi"/>
          <w:b/>
          <w:bCs/>
          <w:color w:val="000000" w:themeColor="text1"/>
          <w:kern w:val="0"/>
          <w:sz w:val="32"/>
          <w:szCs w:val="32"/>
          <w:lang w:bidi="ar-EG"/>
          <w14:ligatures w14:val="none"/>
        </w:rPr>
        <w:t xml:space="preserve">Mid </w:t>
      </w:r>
      <w:r w:rsidR="0081623B" w:rsidRPr="00913340">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913340" w:rsidRDefault="0081623B" w:rsidP="0091334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913340">
        <w:rPr>
          <w:rFonts w:asciiTheme="majorBidi" w:eastAsia="Calibri" w:hAnsiTheme="majorBidi" w:cstheme="majorBidi"/>
          <w:b/>
          <w:bCs/>
          <w:color w:val="000000" w:themeColor="text1"/>
          <w:kern w:val="0"/>
          <w:sz w:val="32"/>
          <w:szCs w:val="32"/>
          <w:lang w:bidi="ar-EG"/>
          <w14:ligatures w14:val="none"/>
        </w:rPr>
        <w:t>College of Management</w:t>
      </w:r>
    </w:p>
    <w:p w14:paraId="1F6A29C8" w14:textId="18BAF99F" w:rsidR="00E66E20" w:rsidRPr="00913340" w:rsidRDefault="00857739" w:rsidP="00913340">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913340">
        <w:rPr>
          <w:rFonts w:asciiTheme="majorBidi" w:eastAsia="Calibri" w:hAnsiTheme="majorBidi" w:cstheme="majorBidi"/>
          <w:b/>
          <w:bCs/>
          <w:color w:val="000000" w:themeColor="text1"/>
          <w:kern w:val="0"/>
          <w:sz w:val="32"/>
          <w:szCs w:val="32"/>
          <w:lang w:bidi="ar-EG"/>
          <w14:ligatures w14:val="none"/>
        </w:rPr>
        <w:t xml:space="preserve">Department of </w:t>
      </w:r>
      <w:r w:rsidR="00251B8B" w:rsidRPr="00913340">
        <w:rPr>
          <w:rFonts w:asciiTheme="majorBidi" w:eastAsia="Calibri" w:hAnsiTheme="majorBidi" w:cstheme="majorBidi"/>
          <w:b/>
          <w:bCs/>
          <w:color w:val="000000" w:themeColor="text1"/>
          <w:kern w:val="0"/>
          <w:sz w:val="32"/>
          <w:szCs w:val="32"/>
          <w14:ligatures w14:val="none"/>
        </w:rPr>
        <w:t>risk management</w:t>
      </w:r>
    </w:p>
    <w:p w14:paraId="0CBE22B0" w14:textId="77777777" w:rsidR="00CC6261" w:rsidRPr="00913340" w:rsidRDefault="00CC6261" w:rsidP="00E155E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016F4189" w14:textId="77777777" w:rsidR="00FE784F" w:rsidRPr="00913340" w:rsidRDefault="00FE784F" w:rsidP="009133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3340">
        <w:rPr>
          <w:rFonts w:asciiTheme="majorBidi" w:eastAsia="Calibri" w:hAnsiTheme="majorBidi" w:cstheme="majorBidi"/>
          <w:b/>
          <w:bCs/>
          <w:color w:val="000000" w:themeColor="text1"/>
          <w:kern w:val="0"/>
          <w:sz w:val="36"/>
          <w:szCs w:val="36"/>
          <w:lang w:bidi="ar-EG"/>
          <w14:ligatures w14:val="none"/>
        </w:rPr>
        <w:t>The Impact of Data and Technology Risk Management on Forecast Accuracy and Decision Support in Meteorology: A Field Study on Meteorological Staff in the Kingdom of Saudi Arabia</w:t>
      </w:r>
    </w:p>
    <w:p w14:paraId="24D1F6A0" w14:textId="77777777" w:rsidR="00FE784F" w:rsidRPr="00913340" w:rsidRDefault="00FE784F" w:rsidP="00E155E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24532F5F" w14:textId="55B2EF6F" w:rsidR="000D353F" w:rsidRDefault="000D353F" w:rsidP="009133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3340">
        <w:rPr>
          <w:rFonts w:asciiTheme="majorBidi" w:eastAsia="Calibri" w:hAnsiTheme="majorBidi" w:cstheme="majorBidi"/>
          <w:b/>
          <w:bCs/>
          <w:color w:val="000000" w:themeColor="text1"/>
          <w:kern w:val="0"/>
          <w:sz w:val="36"/>
          <w:szCs w:val="36"/>
          <w:lang w:bidi="ar-EG"/>
          <w14:ligatures w14:val="none"/>
        </w:rPr>
        <w:t>Prepared by:</w:t>
      </w:r>
      <w:r w:rsidR="005E6E68">
        <w:rPr>
          <w:rFonts w:asciiTheme="majorBidi" w:eastAsia="Calibri" w:hAnsiTheme="majorBidi" w:cstheme="majorBidi"/>
          <w:b/>
          <w:bCs/>
          <w:color w:val="000000" w:themeColor="text1"/>
          <w:kern w:val="0"/>
          <w:sz w:val="36"/>
          <w:szCs w:val="36"/>
          <w:lang w:bidi="ar-EG"/>
          <w14:ligatures w14:val="none"/>
        </w:rPr>
        <w:t xml:space="preserve"> Meshal Abdulmughni Al-julsi</w:t>
      </w:r>
    </w:p>
    <w:p w14:paraId="0B38A363" w14:textId="3BA55ABC" w:rsidR="005E6E68" w:rsidRPr="00913340" w:rsidRDefault="005E6E68" w:rsidP="005E6E68">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Pr>
          <w:rFonts w:asciiTheme="majorBidi" w:eastAsia="Calibri" w:hAnsiTheme="majorBidi" w:cstheme="majorBidi"/>
          <w:b/>
          <w:bCs/>
          <w:color w:val="000000" w:themeColor="text1"/>
          <w:kern w:val="0"/>
          <w:sz w:val="36"/>
          <w:szCs w:val="36"/>
          <w:lang w:bidi="ar-EG"/>
          <w14:ligatures w14:val="none"/>
        </w:rPr>
        <w:t>253000678</w:t>
      </w:r>
    </w:p>
    <w:p w14:paraId="49F80B24" w14:textId="77777777" w:rsidR="00913340" w:rsidRPr="00913340" w:rsidRDefault="00913340" w:rsidP="009133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4BD0305B" w14:textId="77777777" w:rsidR="00913340" w:rsidRPr="00913340" w:rsidRDefault="00913340" w:rsidP="009133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13340" w:rsidRPr="00913340" w14:paraId="596822D7" w14:textId="77777777" w:rsidTr="001C427F">
        <w:tc>
          <w:tcPr>
            <w:tcW w:w="4530" w:type="dxa"/>
          </w:tcPr>
          <w:p w14:paraId="6B97CB2C" w14:textId="77777777" w:rsidR="00913340" w:rsidRPr="00913340" w:rsidRDefault="00913340" w:rsidP="001C42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3340">
              <w:rPr>
                <w:rFonts w:asciiTheme="majorBidi" w:eastAsia="Calibri" w:hAnsiTheme="majorBidi" w:cstheme="majorBidi"/>
                <w:b/>
                <w:bCs/>
                <w:color w:val="000000" w:themeColor="text1"/>
                <w:kern w:val="0"/>
                <w:sz w:val="36"/>
                <w:szCs w:val="36"/>
                <w:lang w:bidi="ar-EG"/>
                <w14:ligatures w14:val="none"/>
              </w:rPr>
              <w:t>Main supervisor</w:t>
            </w:r>
            <w:r w:rsidRPr="0091334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395A547D" w14:textId="77777777" w:rsidR="00913340" w:rsidRPr="00913340" w:rsidRDefault="00913340" w:rsidP="001C42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3340">
              <w:rPr>
                <w:rFonts w:asciiTheme="majorBidi" w:eastAsia="Calibri" w:hAnsiTheme="majorBidi" w:cstheme="majorBidi"/>
                <w:b/>
                <w:bCs/>
                <w:color w:val="000000" w:themeColor="text1"/>
                <w:kern w:val="0"/>
                <w:sz w:val="36"/>
                <w:szCs w:val="36"/>
                <w:lang w:bidi="ar-EG"/>
                <w14:ligatures w14:val="none"/>
              </w:rPr>
              <w:t>Second supervisor</w:t>
            </w:r>
            <w:r w:rsidRPr="00913340">
              <w:rPr>
                <w:rFonts w:asciiTheme="majorBidi" w:eastAsia="Calibri" w:hAnsiTheme="majorBidi" w:cstheme="majorBidi"/>
                <w:b/>
                <w:bCs/>
                <w:color w:val="000000" w:themeColor="text1"/>
                <w:kern w:val="0"/>
                <w:sz w:val="36"/>
                <w:szCs w:val="36"/>
                <w:rtl/>
                <w:lang w:bidi="ar-EG"/>
                <w14:ligatures w14:val="none"/>
              </w:rPr>
              <w:t>/</w:t>
            </w:r>
          </w:p>
        </w:tc>
      </w:tr>
      <w:tr w:rsidR="00913340" w:rsidRPr="00913340" w14:paraId="5ED7D3CD" w14:textId="77777777" w:rsidTr="001C427F">
        <w:tc>
          <w:tcPr>
            <w:tcW w:w="4530" w:type="dxa"/>
          </w:tcPr>
          <w:p w14:paraId="0B0D6D5F" w14:textId="77777777" w:rsidR="00913340" w:rsidRPr="00913340" w:rsidRDefault="00913340" w:rsidP="001C42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3340">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1D299222" w14:textId="77777777" w:rsidR="00913340" w:rsidRPr="00913340" w:rsidRDefault="00913340" w:rsidP="001C427F">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913340">
              <w:rPr>
                <w:rFonts w:asciiTheme="majorBidi" w:eastAsia="Calibri" w:hAnsiTheme="majorBidi" w:cstheme="majorBidi"/>
                <w:color w:val="000000" w:themeColor="text1"/>
                <w:kern w:val="0"/>
                <w:sz w:val="36"/>
                <w:szCs w:val="36"/>
                <w:lang w:bidi="ar-EG"/>
                <w14:ligatures w14:val="none"/>
              </w:rPr>
              <w:t>Dr. Fayez Jarad</w:t>
            </w:r>
          </w:p>
        </w:tc>
      </w:tr>
    </w:tbl>
    <w:p w14:paraId="18E55B2F" w14:textId="77777777" w:rsidR="00913340" w:rsidRPr="00913340" w:rsidRDefault="00913340" w:rsidP="00913340">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913340">
        <w:rPr>
          <w:rFonts w:asciiTheme="majorBidi" w:eastAsia="Calibri" w:hAnsiTheme="majorBidi" w:cstheme="majorBidi"/>
          <w:color w:val="000000" w:themeColor="text1"/>
          <w:kern w:val="0"/>
          <w:sz w:val="36"/>
          <w:szCs w:val="36"/>
          <w:rtl/>
          <w:lang w:bidi="ar-EG"/>
          <w14:ligatures w14:val="none"/>
        </w:rPr>
        <w:t>1448 – 2026</w:t>
      </w:r>
    </w:p>
    <w:p w14:paraId="0CDBE974" w14:textId="77777777" w:rsidR="00913340" w:rsidRPr="00913340" w:rsidRDefault="00913340" w:rsidP="0091334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27307412" w14:textId="77777777" w:rsidR="00EA15E2" w:rsidRPr="00913340" w:rsidRDefault="00EA15E2" w:rsidP="00E155E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9509A64" w14:textId="77777777" w:rsidR="00FE784F" w:rsidRPr="00913340" w:rsidRDefault="00FE784F" w:rsidP="00E155E5">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31E7C948" w:rsidR="009125CE" w:rsidRPr="00913340" w:rsidRDefault="009125CE" w:rsidP="00E155E5">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p w14:paraId="477A12A6" w14:textId="77777777" w:rsidR="00E155E5" w:rsidRPr="00913340" w:rsidRDefault="00E155E5">
      <w:pPr>
        <w:bidi w:val="0"/>
        <w:spacing w:before="100" w:beforeAutospacing="1" w:after="100" w:afterAutospacing="1" w:line="276" w:lineRule="auto"/>
        <w:jc w:val="both"/>
        <w:rPr>
          <w:rFonts w:ascii="Simplified Arabic" w:hAnsi="Simplified Arabic" w:cs="Simplified Arabic"/>
          <w:color w:val="000000" w:themeColor="text1"/>
          <w:sz w:val="28"/>
          <w:szCs w:val="28"/>
        </w:rPr>
      </w:pPr>
    </w:p>
    <w:sectPr w:rsidR="00E155E5" w:rsidRPr="00913340" w:rsidSect="00E155E5">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7826B" w14:textId="77777777" w:rsidR="004D69A5" w:rsidRDefault="004D69A5" w:rsidP="009125CE">
      <w:pPr>
        <w:spacing w:after="0" w:line="240" w:lineRule="auto"/>
      </w:pPr>
      <w:r>
        <w:separator/>
      </w:r>
    </w:p>
  </w:endnote>
  <w:endnote w:type="continuationSeparator" w:id="0">
    <w:p w14:paraId="548AAC65" w14:textId="77777777" w:rsidR="004D69A5" w:rsidRDefault="004D69A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39862772"/>
      <w:docPartObj>
        <w:docPartGallery w:val="Page Numbers (Bottom of Page)"/>
        <w:docPartUnique/>
      </w:docPartObj>
    </w:sdtPr>
    <w:sdtEndPr>
      <w:rPr>
        <w:noProof/>
      </w:rPr>
    </w:sdtEndPr>
    <w:sdtContent>
      <w:p w14:paraId="619FC1C6" w14:textId="7B207ED5" w:rsidR="006A17F5" w:rsidRDefault="006A17F5">
        <w:pPr>
          <w:pStyle w:val="Footer"/>
          <w:jc w:val="center"/>
        </w:pPr>
      </w:p>
      <w:p w14:paraId="40A39C61" w14:textId="06C77D3E" w:rsidR="006A17F5" w:rsidRDefault="00000000" w:rsidP="00E155E5">
        <w:pPr>
          <w:pStyle w:val="Footer"/>
          <w:jc w:val="cen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6A17F5" w:rsidRDefault="006A17F5">
        <w:pPr>
          <w:pStyle w:val="Footer"/>
          <w:jc w:val="center"/>
        </w:pPr>
        <w:r>
          <w:fldChar w:fldCharType="begin"/>
        </w:r>
        <w:r>
          <w:instrText xml:space="preserve"> PAGE   \* MERGEFORMAT </w:instrText>
        </w:r>
        <w:r>
          <w:fldChar w:fldCharType="separate"/>
        </w:r>
        <w:r>
          <w:rPr>
            <w:rFonts w:hint="eastAsia"/>
            <w:noProof/>
            <w:rtl/>
          </w:rPr>
          <w:t>‌أ</w:t>
        </w:r>
        <w:r>
          <w:rPr>
            <w:noProof/>
          </w:rPr>
          <w:fldChar w:fldCharType="end"/>
        </w:r>
      </w:p>
    </w:sdtContent>
  </w:sdt>
  <w:p w14:paraId="13047AE1" w14:textId="77777777" w:rsidR="006A17F5" w:rsidRDefault="006A17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Simplified Arabic" w:hAnsi="Simplified Arabic" w:cs="Simplified Arabic"/>
        <w:b/>
        <w:bCs/>
        <w:sz w:val="24"/>
        <w:szCs w:val="24"/>
        <w:rtl/>
      </w:rPr>
      <w:id w:val="-19701775"/>
      <w:docPartObj>
        <w:docPartGallery w:val="Page Numbers (Bottom of Page)"/>
        <w:docPartUnique/>
      </w:docPartObj>
    </w:sdtPr>
    <w:sdtEndPr>
      <w:rPr>
        <w:noProof/>
      </w:rPr>
    </w:sdtEndPr>
    <w:sdtContent>
      <w:p w14:paraId="76D8AE2C" w14:textId="77777777" w:rsidR="006A17F5" w:rsidRPr="00E155E5" w:rsidRDefault="006A17F5" w:rsidP="00E155E5">
        <w:pPr>
          <w:pStyle w:val="Footer"/>
          <w:jc w:val="center"/>
          <w:rPr>
            <w:rFonts w:ascii="Simplified Arabic" w:hAnsi="Simplified Arabic" w:cs="Simplified Arabic"/>
            <w:b/>
            <w:bCs/>
            <w:sz w:val="24"/>
            <w:szCs w:val="24"/>
          </w:rPr>
        </w:pPr>
        <w:r w:rsidRPr="00E155E5">
          <w:rPr>
            <w:rFonts w:ascii="Simplified Arabic" w:hAnsi="Simplified Arabic" w:cs="Simplified Arabic"/>
            <w:b/>
            <w:bCs/>
            <w:sz w:val="24"/>
            <w:szCs w:val="24"/>
          </w:rPr>
          <w:fldChar w:fldCharType="begin"/>
        </w:r>
        <w:r w:rsidRPr="00E155E5">
          <w:rPr>
            <w:rFonts w:ascii="Simplified Arabic" w:hAnsi="Simplified Arabic" w:cs="Simplified Arabic"/>
            <w:b/>
            <w:bCs/>
            <w:sz w:val="24"/>
            <w:szCs w:val="24"/>
          </w:rPr>
          <w:instrText xml:space="preserve"> PAGE   \* MERGEFORMAT </w:instrText>
        </w:r>
        <w:r w:rsidRPr="00E155E5">
          <w:rPr>
            <w:rFonts w:ascii="Simplified Arabic" w:hAnsi="Simplified Arabic" w:cs="Simplified Arabic"/>
            <w:b/>
            <w:bCs/>
            <w:sz w:val="24"/>
            <w:szCs w:val="24"/>
          </w:rPr>
          <w:fldChar w:fldCharType="separate"/>
        </w:r>
        <w:r w:rsidR="00FA14A8">
          <w:rPr>
            <w:rFonts w:ascii="Simplified Arabic" w:hAnsi="Simplified Arabic" w:cs="Simplified Arabic"/>
            <w:b/>
            <w:bCs/>
            <w:noProof/>
            <w:sz w:val="24"/>
            <w:szCs w:val="24"/>
            <w:rtl/>
          </w:rPr>
          <w:t>44</w:t>
        </w:r>
        <w:r w:rsidRPr="00E155E5">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202A2" w14:textId="2A4FA6F2" w:rsidR="00913340" w:rsidRPr="00E155E5" w:rsidRDefault="00913340" w:rsidP="00913340">
    <w:pPr>
      <w:pStyle w:val="Footer"/>
      <w:jc w:val="center"/>
      <w:rPr>
        <w:rFonts w:ascii="Simplified Arabic" w:hAnsi="Simplified Arabic" w:cs="Simplified Arabic"/>
        <w:b/>
        <w:bCs/>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F20F4" w14:textId="77777777" w:rsidR="004D69A5" w:rsidRDefault="004D69A5" w:rsidP="009125CE">
      <w:pPr>
        <w:spacing w:after="0" w:line="240" w:lineRule="auto"/>
      </w:pPr>
      <w:r>
        <w:separator/>
      </w:r>
    </w:p>
  </w:footnote>
  <w:footnote w:type="continuationSeparator" w:id="0">
    <w:p w14:paraId="5AAA576F" w14:textId="77777777" w:rsidR="004D69A5" w:rsidRDefault="004D69A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F1E4E"/>
    <w:multiLevelType w:val="multilevel"/>
    <w:tmpl w:val="85F8D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0135F8"/>
    <w:multiLevelType w:val="hybridMultilevel"/>
    <w:tmpl w:val="E5E641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305934"/>
    <w:multiLevelType w:val="hybridMultilevel"/>
    <w:tmpl w:val="BBDC9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25356B2"/>
    <w:multiLevelType w:val="multilevel"/>
    <w:tmpl w:val="79FC3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B03EED"/>
    <w:multiLevelType w:val="multilevel"/>
    <w:tmpl w:val="3EAE1E3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6C60228"/>
    <w:multiLevelType w:val="hybridMultilevel"/>
    <w:tmpl w:val="DEB44AD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BFE4BC3"/>
    <w:multiLevelType w:val="multilevel"/>
    <w:tmpl w:val="74EE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DD536D"/>
    <w:multiLevelType w:val="multilevel"/>
    <w:tmpl w:val="657A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6E5E8F"/>
    <w:multiLevelType w:val="hybridMultilevel"/>
    <w:tmpl w:val="A2284D4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E5247C"/>
    <w:multiLevelType w:val="multilevel"/>
    <w:tmpl w:val="BF640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12D49"/>
    <w:multiLevelType w:val="hybridMultilevel"/>
    <w:tmpl w:val="F9DAA4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33649C"/>
    <w:multiLevelType w:val="hybridMultilevel"/>
    <w:tmpl w:val="1C728A9E"/>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519E593A"/>
    <w:multiLevelType w:val="multilevel"/>
    <w:tmpl w:val="B4DA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880382"/>
    <w:multiLevelType w:val="hybridMultilevel"/>
    <w:tmpl w:val="5E94C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0D75087"/>
    <w:multiLevelType w:val="multilevel"/>
    <w:tmpl w:val="3EAE1E36"/>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1"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EC4943"/>
    <w:multiLevelType w:val="multilevel"/>
    <w:tmpl w:val="A56E1D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136A68"/>
    <w:multiLevelType w:val="hybridMultilevel"/>
    <w:tmpl w:val="B9BCFB5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19B1FF2"/>
    <w:multiLevelType w:val="hybridMultilevel"/>
    <w:tmpl w:val="58B0C5F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20F031E"/>
    <w:multiLevelType w:val="hybridMultilevel"/>
    <w:tmpl w:val="740440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B1E75EF"/>
    <w:multiLevelType w:val="hybridMultilevel"/>
    <w:tmpl w:val="66AAE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C004C4E"/>
    <w:multiLevelType w:val="hybridMultilevel"/>
    <w:tmpl w:val="38FEDA4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E613028"/>
    <w:multiLevelType w:val="hybridMultilevel"/>
    <w:tmpl w:val="2C38BD7A"/>
    <w:lvl w:ilvl="0" w:tplc="425A0528">
      <w:start w:val="13"/>
      <w:numFmt w:val="bullet"/>
      <w:lvlText w:val=""/>
      <w:lvlJc w:val="left"/>
      <w:pPr>
        <w:ind w:left="720" w:hanging="360"/>
      </w:pPr>
      <w:rPr>
        <w:rFonts w:ascii="Wingdings" w:eastAsiaTheme="minorHAnsi"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3214731">
    <w:abstractNumId w:val="14"/>
  </w:num>
  <w:num w:numId="2" w16cid:durableId="972979359">
    <w:abstractNumId w:val="34"/>
  </w:num>
  <w:num w:numId="3" w16cid:durableId="852034929">
    <w:abstractNumId w:val="29"/>
  </w:num>
  <w:num w:numId="4" w16cid:durableId="872615188">
    <w:abstractNumId w:val="31"/>
  </w:num>
  <w:num w:numId="5" w16cid:durableId="883247401">
    <w:abstractNumId w:val="2"/>
  </w:num>
  <w:num w:numId="6" w16cid:durableId="302656472">
    <w:abstractNumId w:val="39"/>
  </w:num>
  <w:num w:numId="7" w16cid:durableId="776801212">
    <w:abstractNumId w:val="6"/>
  </w:num>
  <w:num w:numId="8" w16cid:durableId="693968656">
    <w:abstractNumId w:val="7"/>
  </w:num>
  <w:num w:numId="9" w16cid:durableId="22363168">
    <w:abstractNumId w:val="35"/>
  </w:num>
  <w:num w:numId="10" w16cid:durableId="2130053471">
    <w:abstractNumId w:val="5"/>
  </w:num>
  <w:num w:numId="11" w16cid:durableId="582759207">
    <w:abstractNumId w:val="20"/>
  </w:num>
  <w:num w:numId="12" w16cid:durableId="660891579">
    <w:abstractNumId w:val="23"/>
  </w:num>
  <w:num w:numId="13" w16cid:durableId="693656614">
    <w:abstractNumId w:val="43"/>
  </w:num>
  <w:num w:numId="14" w16cid:durableId="1059747987">
    <w:abstractNumId w:val="28"/>
  </w:num>
  <w:num w:numId="15" w16cid:durableId="1889534303">
    <w:abstractNumId w:val="1"/>
  </w:num>
  <w:num w:numId="16" w16cid:durableId="790441555">
    <w:abstractNumId w:val="24"/>
  </w:num>
  <w:num w:numId="17" w16cid:durableId="1584952111">
    <w:abstractNumId w:val="41"/>
  </w:num>
  <w:num w:numId="18" w16cid:durableId="1378554559">
    <w:abstractNumId w:val="17"/>
  </w:num>
  <w:num w:numId="19" w16cid:durableId="525102503">
    <w:abstractNumId w:val="15"/>
  </w:num>
  <w:num w:numId="20" w16cid:durableId="1673793816">
    <w:abstractNumId w:val="25"/>
  </w:num>
  <w:num w:numId="21" w16cid:durableId="29914065">
    <w:abstractNumId w:val="38"/>
  </w:num>
  <w:num w:numId="22" w16cid:durableId="1902979538">
    <w:abstractNumId w:val="0"/>
  </w:num>
  <w:num w:numId="23" w16cid:durableId="1929269153">
    <w:abstractNumId w:val="32"/>
  </w:num>
  <w:num w:numId="24" w16cid:durableId="510409418">
    <w:abstractNumId w:val="9"/>
  </w:num>
  <w:num w:numId="25" w16cid:durableId="1461458843">
    <w:abstractNumId w:val="13"/>
  </w:num>
  <w:num w:numId="26" w16cid:durableId="125314717">
    <w:abstractNumId w:val="12"/>
  </w:num>
  <w:num w:numId="27" w16cid:durableId="1287353934">
    <w:abstractNumId w:val="22"/>
  </w:num>
  <w:num w:numId="28" w16cid:durableId="1511335518">
    <w:abstractNumId w:val="26"/>
  </w:num>
  <w:num w:numId="29" w16cid:durableId="1073165904">
    <w:abstractNumId w:val="40"/>
  </w:num>
  <w:num w:numId="30" w16cid:durableId="658268849">
    <w:abstractNumId w:val="18"/>
  </w:num>
  <w:num w:numId="31" w16cid:durableId="433746431">
    <w:abstractNumId w:val="19"/>
  </w:num>
  <w:num w:numId="32" w16cid:durableId="1641880417">
    <w:abstractNumId w:val="4"/>
  </w:num>
  <w:num w:numId="33" w16cid:durableId="1943223409">
    <w:abstractNumId w:val="16"/>
  </w:num>
  <w:num w:numId="34" w16cid:durableId="1148984192">
    <w:abstractNumId w:val="11"/>
  </w:num>
  <w:num w:numId="35" w16cid:durableId="1123962514">
    <w:abstractNumId w:val="36"/>
  </w:num>
  <w:num w:numId="36" w16cid:durableId="446779537">
    <w:abstractNumId w:val="44"/>
  </w:num>
  <w:num w:numId="37" w16cid:durableId="2117019727">
    <w:abstractNumId w:val="37"/>
  </w:num>
  <w:num w:numId="38" w16cid:durableId="1334604042">
    <w:abstractNumId w:val="33"/>
  </w:num>
  <w:num w:numId="39" w16cid:durableId="1443456110">
    <w:abstractNumId w:val="3"/>
  </w:num>
  <w:num w:numId="40" w16cid:durableId="174152255">
    <w:abstractNumId w:val="21"/>
  </w:num>
  <w:num w:numId="41" w16cid:durableId="553589297">
    <w:abstractNumId w:val="42"/>
  </w:num>
  <w:num w:numId="42" w16cid:durableId="102383278">
    <w:abstractNumId w:val="27"/>
  </w:num>
  <w:num w:numId="43" w16cid:durableId="1411653084">
    <w:abstractNumId w:val="10"/>
  </w:num>
  <w:num w:numId="44" w16cid:durableId="2034454162">
    <w:abstractNumId w:val="8"/>
  </w:num>
  <w:num w:numId="45" w16cid:durableId="1549026415">
    <w:abstractNumId w:val="3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1FB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2342D"/>
    <w:rsid w:val="001306F3"/>
    <w:rsid w:val="00131E44"/>
    <w:rsid w:val="001375AF"/>
    <w:rsid w:val="00143989"/>
    <w:rsid w:val="00150B32"/>
    <w:rsid w:val="001510C1"/>
    <w:rsid w:val="00152611"/>
    <w:rsid w:val="00153B41"/>
    <w:rsid w:val="00170871"/>
    <w:rsid w:val="00174E80"/>
    <w:rsid w:val="00175050"/>
    <w:rsid w:val="00180436"/>
    <w:rsid w:val="0018142E"/>
    <w:rsid w:val="001833A1"/>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220F"/>
    <w:rsid w:val="001F46A5"/>
    <w:rsid w:val="00207629"/>
    <w:rsid w:val="0021718D"/>
    <w:rsid w:val="00217ADA"/>
    <w:rsid w:val="00223AE0"/>
    <w:rsid w:val="00223EDB"/>
    <w:rsid w:val="002304C2"/>
    <w:rsid w:val="00234450"/>
    <w:rsid w:val="00244894"/>
    <w:rsid w:val="00246C3F"/>
    <w:rsid w:val="00247647"/>
    <w:rsid w:val="00250D99"/>
    <w:rsid w:val="00251B8B"/>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2403"/>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4D34"/>
    <w:rsid w:val="003873E8"/>
    <w:rsid w:val="00396510"/>
    <w:rsid w:val="003A5312"/>
    <w:rsid w:val="003A757C"/>
    <w:rsid w:val="003B30A9"/>
    <w:rsid w:val="003B44D3"/>
    <w:rsid w:val="003B48BD"/>
    <w:rsid w:val="003B51C3"/>
    <w:rsid w:val="003C2495"/>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B7609"/>
    <w:rsid w:val="004C0303"/>
    <w:rsid w:val="004C3BAD"/>
    <w:rsid w:val="004C4331"/>
    <w:rsid w:val="004D23E7"/>
    <w:rsid w:val="004D6581"/>
    <w:rsid w:val="004D69A5"/>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9A0"/>
    <w:rsid w:val="00597F74"/>
    <w:rsid w:val="005A4D65"/>
    <w:rsid w:val="005A4FB6"/>
    <w:rsid w:val="005A755A"/>
    <w:rsid w:val="005B112C"/>
    <w:rsid w:val="005B2F92"/>
    <w:rsid w:val="005B5824"/>
    <w:rsid w:val="005B7D85"/>
    <w:rsid w:val="005D0E3A"/>
    <w:rsid w:val="005D25AE"/>
    <w:rsid w:val="005D2620"/>
    <w:rsid w:val="005D5DB7"/>
    <w:rsid w:val="005E37C2"/>
    <w:rsid w:val="005E4AF3"/>
    <w:rsid w:val="005E6E68"/>
    <w:rsid w:val="005F2722"/>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17F5"/>
    <w:rsid w:val="006A2677"/>
    <w:rsid w:val="006A3B5F"/>
    <w:rsid w:val="006A6C3D"/>
    <w:rsid w:val="006A700F"/>
    <w:rsid w:val="006B07CD"/>
    <w:rsid w:val="006B3A4B"/>
    <w:rsid w:val="006B40EF"/>
    <w:rsid w:val="006B4F02"/>
    <w:rsid w:val="006D0A16"/>
    <w:rsid w:val="006D4C88"/>
    <w:rsid w:val="006E4126"/>
    <w:rsid w:val="006E41F3"/>
    <w:rsid w:val="006E65A3"/>
    <w:rsid w:val="006F162C"/>
    <w:rsid w:val="006F29F1"/>
    <w:rsid w:val="0070333D"/>
    <w:rsid w:val="00705AF7"/>
    <w:rsid w:val="00706E7F"/>
    <w:rsid w:val="0071504C"/>
    <w:rsid w:val="007178EE"/>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3340"/>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1D7D"/>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30BE"/>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3FD9"/>
    <w:rsid w:val="00D1454F"/>
    <w:rsid w:val="00D216C5"/>
    <w:rsid w:val="00D22171"/>
    <w:rsid w:val="00D274B5"/>
    <w:rsid w:val="00D27AED"/>
    <w:rsid w:val="00D30845"/>
    <w:rsid w:val="00D3210F"/>
    <w:rsid w:val="00D32470"/>
    <w:rsid w:val="00D32D13"/>
    <w:rsid w:val="00D417B5"/>
    <w:rsid w:val="00D5653F"/>
    <w:rsid w:val="00D60743"/>
    <w:rsid w:val="00D75AD3"/>
    <w:rsid w:val="00D853D2"/>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4E64"/>
    <w:rsid w:val="00DF6486"/>
    <w:rsid w:val="00DF6D7E"/>
    <w:rsid w:val="00E0124F"/>
    <w:rsid w:val="00E01CE8"/>
    <w:rsid w:val="00E042AB"/>
    <w:rsid w:val="00E04D94"/>
    <w:rsid w:val="00E07C45"/>
    <w:rsid w:val="00E114AA"/>
    <w:rsid w:val="00E155E5"/>
    <w:rsid w:val="00E17556"/>
    <w:rsid w:val="00E23F5D"/>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25A6"/>
    <w:rsid w:val="00F95872"/>
    <w:rsid w:val="00FA0A03"/>
    <w:rsid w:val="00FA14A8"/>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E784F"/>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335D11"/>
    <w:rPr>
      <w:i/>
      <w:iCs/>
    </w:rPr>
  </w:style>
  <w:style w:type="paragraph" w:customStyle="1" w:styleId="msonormal0">
    <w:name w:val="msonormal"/>
    <w:basedOn w:val="Normal"/>
    <w:rsid w:val="00D32D1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1">
    <w:name w:val="Grid Table 6 Colorful Accent 1"/>
    <w:basedOn w:val="TableNormal"/>
    <w:uiPriority w:val="51"/>
    <w:rsid w:val="00E155E5"/>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2">
    <w:name w:val="Grid Table 6 Colorful Accent 2"/>
    <w:basedOn w:val="TableNormal"/>
    <w:uiPriority w:val="51"/>
    <w:rsid w:val="006A17F5"/>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
    <w:name w:val="Grid Table 6 Colorful"/>
    <w:basedOn w:val="TableNormal"/>
    <w:uiPriority w:val="51"/>
    <w:rsid w:val="006A17F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3">
    <w:name w:val="Grid Table 6 Colorful Accent 3"/>
    <w:basedOn w:val="TableNormal"/>
    <w:uiPriority w:val="51"/>
    <w:rsid w:val="006A17F5"/>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02937">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27559291">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3943397">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1198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3430194">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1701108">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30084018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0814425">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47255400">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7944205">
      <w:bodyDiv w:val="1"/>
      <w:marLeft w:val="0"/>
      <w:marRight w:val="0"/>
      <w:marTop w:val="0"/>
      <w:marBottom w:val="0"/>
      <w:divBdr>
        <w:top w:val="none" w:sz="0" w:space="0" w:color="auto"/>
        <w:left w:val="none" w:sz="0" w:space="0" w:color="auto"/>
        <w:bottom w:val="none" w:sz="0" w:space="0" w:color="auto"/>
        <w:right w:val="none" w:sz="0" w:space="0" w:color="auto"/>
      </w:divBdr>
      <w:divsChild>
        <w:div w:id="1001617229">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6892646">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1646458">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0639770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3795925">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4E0D1B-2BAF-4DEF-8383-80635188C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12801</Words>
  <Characters>72070</Characters>
  <Application>Microsoft Office Word</Application>
  <DocSecurity>0</DocSecurity>
  <Lines>1075</Lines>
  <Paragraphs>335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Mishaal Abdulmoghni Al-Jalsi</cp:lastModifiedBy>
  <cp:revision>4</cp:revision>
  <cp:lastPrinted>2026-07-02T08:31:00Z</cp:lastPrinted>
  <dcterms:created xsi:type="dcterms:W3CDTF">2026-07-02T08:30:00Z</dcterms:created>
  <dcterms:modified xsi:type="dcterms:W3CDTF">2026-07-08T15:00:00Z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