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709B100" w:rsidR="009125CE" w:rsidRPr="00525FBB" w:rsidRDefault="00506A5D" w:rsidP="00F540ED">
      <w:pPr>
        <w:jc w:val="right"/>
        <w:rPr>
          <w:rFonts w:asciiTheme="majorBidi" w:hAnsiTheme="majorBidi" w:cstheme="majorBidi"/>
          <w:b/>
          <w:bCs/>
          <w:sz w:val="24"/>
          <w:szCs w:val="24"/>
          <w:lang w:bidi="ar-EG"/>
        </w:rPr>
      </w:pPr>
      <w:r w:rsidRPr="00525FBB">
        <w:rPr>
          <w:rFonts w:asciiTheme="majorBidi" w:hAnsiTheme="majorBidi" w:cstheme="majorBidi"/>
          <w:b/>
          <w:bCs/>
          <w:sz w:val="24"/>
          <w:szCs w:val="24"/>
          <w:lang w:bidi="ar-EG"/>
        </w:rPr>
        <w:t>Midocean University</w:t>
      </w:r>
    </w:p>
    <w:p w14:paraId="1E957002" w14:textId="28536B24" w:rsidR="00F546CE" w:rsidRPr="00525FBB" w:rsidRDefault="00506A5D" w:rsidP="00F540ED">
      <w:pPr>
        <w:jc w:val="right"/>
        <w:rPr>
          <w:rFonts w:asciiTheme="majorBidi" w:hAnsiTheme="majorBidi" w:cstheme="majorBidi"/>
          <w:b/>
          <w:bCs/>
          <w:sz w:val="24"/>
          <w:szCs w:val="24"/>
          <w:rtl/>
          <w:lang w:bidi="ar-EG"/>
        </w:rPr>
      </w:pPr>
      <w:r w:rsidRPr="00525FBB">
        <w:rPr>
          <w:rFonts w:asciiTheme="majorBidi" w:hAnsiTheme="majorBidi" w:cstheme="majorBidi"/>
          <w:b/>
          <w:bCs/>
          <w:sz w:val="24"/>
          <w:szCs w:val="24"/>
          <w:lang w:bidi="ar-EG"/>
        </w:rPr>
        <w:t>College Of Management</w:t>
      </w:r>
    </w:p>
    <w:p w14:paraId="0217C513" w14:textId="52D92E7C" w:rsidR="009125CE" w:rsidRPr="00525FBB" w:rsidRDefault="00F540ED" w:rsidP="00F540ED">
      <w:pPr>
        <w:jc w:val="right"/>
        <w:rPr>
          <w:rFonts w:asciiTheme="majorBidi" w:hAnsiTheme="majorBidi" w:cstheme="majorBidi"/>
          <w:sz w:val="24"/>
          <w:szCs w:val="24"/>
          <w:lang w:bidi="ar-EG"/>
        </w:rPr>
      </w:pPr>
      <w:r w:rsidRPr="00525FBB">
        <w:rPr>
          <w:rFonts w:asciiTheme="majorBidi" w:hAnsiTheme="majorBidi" w:cstheme="majorBidi"/>
          <w:b/>
          <w:bCs/>
          <w:sz w:val="24"/>
          <w:szCs w:val="24"/>
          <w:lang w:bidi="ar-EG"/>
        </w:rPr>
        <w:t>Department of Risk Management</w:t>
      </w:r>
    </w:p>
    <w:p w14:paraId="3A7BF367" w14:textId="0016176E" w:rsidR="009125CE" w:rsidRPr="00525FBB" w:rsidRDefault="00F540ED" w:rsidP="00F540ED">
      <w:pPr>
        <w:bidi w:val="0"/>
        <w:rPr>
          <w:rFonts w:asciiTheme="majorBidi" w:hAnsiTheme="majorBidi" w:cstheme="majorBidi"/>
          <w:b/>
          <w:bCs/>
          <w:sz w:val="24"/>
          <w:szCs w:val="24"/>
          <w:u w:val="single"/>
          <w:rtl/>
        </w:rPr>
      </w:pPr>
      <w:r w:rsidRPr="00525FBB">
        <w:rPr>
          <w:rFonts w:asciiTheme="majorBidi" w:hAnsiTheme="majorBidi" w:cstheme="majorBidi"/>
          <w:b/>
          <w:bCs/>
          <w:noProof/>
          <w:sz w:val="24"/>
          <w:szCs w:val="24"/>
        </w:rPr>
        <w:drawing>
          <wp:anchor distT="0" distB="0" distL="114300" distR="114300" simplePos="0" relativeHeight="251660288" behindDoc="0" locked="0" layoutInCell="1" allowOverlap="1" wp14:anchorId="676C7C7B" wp14:editId="47F055F2">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
    <w:p w14:paraId="5F6542BF" w14:textId="77777777" w:rsidR="009125CE" w:rsidRPr="00525FBB" w:rsidRDefault="009125CE" w:rsidP="009125CE">
      <w:pPr>
        <w:rPr>
          <w:rFonts w:asciiTheme="majorBidi" w:hAnsiTheme="majorBidi" w:cstheme="majorBidi"/>
          <w:sz w:val="24"/>
          <w:szCs w:val="24"/>
          <w:rtl/>
        </w:rPr>
      </w:pPr>
    </w:p>
    <w:p w14:paraId="08401F45" w14:textId="4BFF7F98" w:rsidR="009125CE" w:rsidRPr="00525FBB" w:rsidRDefault="00506A5D" w:rsidP="00506A5D">
      <w:pPr>
        <w:spacing w:after="0" w:line="480" w:lineRule="auto"/>
        <w:jc w:val="center"/>
        <w:rPr>
          <w:rFonts w:asciiTheme="majorBidi" w:hAnsiTheme="majorBidi" w:cstheme="majorBidi"/>
          <w:b/>
          <w:bCs/>
          <w:sz w:val="24"/>
          <w:szCs w:val="24"/>
          <w:rtl/>
        </w:rPr>
      </w:pPr>
      <w:r w:rsidRPr="00525FBB">
        <w:rPr>
          <w:rFonts w:asciiTheme="majorBidi" w:hAnsiTheme="majorBidi" w:cstheme="majorBidi"/>
          <w:b/>
          <w:bCs/>
          <w:sz w:val="24"/>
          <w:szCs w:val="24"/>
        </w:rPr>
        <w:t>RISK ASSESSMENT TRANSFORMATION OF HEALTH PROGRAMS IN SAUDI ARABIA: CHALLENGES, OPPORTUNITIES AND MITIGATIVE STRATEGIES – A SYSTEMATIC REVIEW</w:t>
      </w:r>
      <w:r w:rsidR="009125CE" w:rsidRPr="00525FBB">
        <w:rPr>
          <w:rFonts w:asciiTheme="majorBidi" w:hAnsiTheme="majorBidi" w:cstheme="majorBidi"/>
          <w:b/>
          <w:bCs/>
          <w:sz w:val="24"/>
          <w:szCs w:val="24"/>
          <w:rtl/>
          <w:lang w:bidi="ar-EG"/>
        </w:rPr>
        <w:t xml:space="preserve"> </w:t>
      </w:r>
    </w:p>
    <w:p w14:paraId="15C28831" w14:textId="77777777" w:rsidR="009125CE" w:rsidRPr="00525FBB" w:rsidRDefault="009125CE" w:rsidP="009125CE">
      <w:pPr>
        <w:jc w:val="center"/>
        <w:rPr>
          <w:rFonts w:asciiTheme="majorBidi" w:hAnsiTheme="majorBidi" w:cstheme="majorBidi"/>
          <w:sz w:val="24"/>
          <w:szCs w:val="24"/>
          <w:rtl/>
          <w:lang w:bidi="ar-EG"/>
        </w:rPr>
      </w:pPr>
    </w:p>
    <w:p w14:paraId="3024630C" w14:textId="23CEB73F" w:rsidR="009125CE" w:rsidRPr="00525FBB" w:rsidRDefault="009125CE" w:rsidP="00506A5D">
      <w:pPr>
        <w:rPr>
          <w:rFonts w:asciiTheme="majorBidi" w:hAnsiTheme="majorBidi" w:cstheme="majorBidi"/>
          <w:sz w:val="24"/>
          <w:szCs w:val="24"/>
          <w:rtl/>
          <w:lang w:bidi="ar-EG"/>
        </w:rPr>
      </w:pPr>
    </w:p>
    <w:p w14:paraId="232F19A4" w14:textId="77777777" w:rsidR="009125CE" w:rsidRPr="00525FBB" w:rsidRDefault="009125CE" w:rsidP="009125CE">
      <w:pPr>
        <w:jc w:val="center"/>
        <w:rPr>
          <w:rFonts w:asciiTheme="majorBidi" w:hAnsiTheme="majorBidi" w:cstheme="majorBidi"/>
          <w:sz w:val="24"/>
          <w:szCs w:val="24"/>
          <w:rtl/>
          <w:lang w:bidi="ar-EG"/>
        </w:rPr>
      </w:pPr>
    </w:p>
    <w:p w14:paraId="0EB57E30" w14:textId="03BBFA3C" w:rsidR="009125CE" w:rsidRPr="00525FBB" w:rsidRDefault="00F540ED" w:rsidP="009125CE">
      <w:pPr>
        <w:jc w:val="center"/>
        <w:rPr>
          <w:rFonts w:asciiTheme="majorBidi" w:hAnsiTheme="majorBidi" w:cstheme="majorBidi"/>
          <w:b/>
          <w:bCs/>
          <w:sz w:val="24"/>
          <w:szCs w:val="24"/>
          <w:rtl/>
          <w:lang w:bidi="ar-EG"/>
        </w:rPr>
      </w:pPr>
      <w:r w:rsidRPr="00525FBB">
        <w:rPr>
          <w:rFonts w:asciiTheme="majorBidi" w:hAnsiTheme="majorBidi" w:cstheme="majorBidi"/>
          <w:b/>
          <w:bCs/>
          <w:sz w:val="24"/>
          <w:szCs w:val="24"/>
          <w:lang w:bidi="ar-EG"/>
        </w:rPr>
        <w:t>Prepared by</w:t>
      </w:r>
    </w:p>
    <w:p w14:paraId="751A7E65" w14:textId="5A3F27AF" w:rsidR="009125CE" w:rsidRPr="00525FBB" w:rsidRDefault="00506A5D" w:rsidP="009125CE">
      <w:pPr>
        <w:jc w:val="center"/>
        <w:rPr>
          <w:rFonts w:asciiTheme="majorBidi" w:hAnsiTheme="majorBidi" w:cstheme="majorBidi"/>
          <w:b/>
          <w:bCs/>
          <w:sz w:val="24"/>
          <w:szCs w:val="24"/>
          <w:lang w:bidi="ar-EG"/>
        </w:rPr>
      </w:pPr>
      <w:r w:rsidRPr="00525FBB">
        <w:rPr>
          <w:rFonts w:asciiTheme="majorBidi" w:hAnsiTheme="majorBidi" w:cstheme="majorBidi"/>
          <w:b/>
          <w:bCs/>
          <w:sz w:val="24"/>
          <w:szCs w:val="24"/>
          <w:lang w:bidi="ar-EG"/>
        </w:rPr>
        <w:t xml:space="preserve">Yousef Hejji Alhassan </w:t>
      </w:r>
    </w:p>
    <w:p w14:paraId="43E24AA0" w14:textId="3F39D58A" w:rsidR="00506A5D" w:rsidRPr="00525FBB" w:rsidRDefault="00506A5D" w:rsidP="009125CE">
      <w:pPr>
        <w:jc w:val="center"/>
        <w:rPr>
          <w:rFonts w:asciiTheme="majorBidi" w:hAnsiTheme="majorBidi" w:cstheme="majorBidi"/>
          <w:b/>
          <w:bCs/>
          <w:sz w:val="24"/>
          <w:szCs w:val="24"/>
          <w:rtl/>
          <w:lang w:bidi="ar-EG"/>
        </w:rPr>
      </w:pPr>
      <w:r w:rsidRPr="00525FBB">
        <w:rPr>
          <w:rFonts w:asciiTheme="majorBidi" w:hAnsiTheme="majorBidi" w:cstheme="majorBidi"/>
          <w:b/>
          <w:bCs/>
          <w:sz w:val="24"/>
          <w:szCs w:val="24"/>
          <w:lang w:bidi="ar-EG"/>
        </w:rPr>
        <w:t>Student ID 242001646</w:t>
      </w:r>
    </w:p>
    <w:p w14:paraId="76AA45C9" w14:textId="77777777" w:rsidR="009125CE" w:rsidRPr="00525FBB" w:rsidRDefault="009125CE" w:rsidP="009125CE">
      <w:pPr>
        <w:jc w:val="center"/>
        <w:rPr>
          <w:rFonts w:asciiTheme="majorBidi" w:hAnsiTheme="majorBidi" w:cstheme="majorBidi"/>
          <w:b/>
          <w:bCs/>
          <w:sz w:val="24"/>
          <w:szCs w:val="24"/>
          <w:rtl/>
          <w:lang w:bidi="ar-EG"/>
        </w:rPr>
      </w:pPr>
    </w:p>
    <w:p w14:paraId="3D3CBDF8" w14:textId="77777777" w:rsidR="009125CE" w:rsidRPr="00525FBB" w:rsidRDefault="009125CE" w:rsidP="009125CE">
      <w:pPr>
        <w:jc w:val="center"/>
        <w:rPr>
          <w:rFonts w:asciiTheme="majorBidi" w:hAnsiTheme="majorBidi" w:cstheme="majorBidi"/>
          <w:b/>
          <w:bCs/>
          <w:sz w:val="24"/>
          <w:szCs w:val="24"/>
          <w:rtl/>
          <w:lang w:bidi="ar-EG"/>
        </w:rPr>
      </w:pPr>
    </w:p>
    <w:p w14:paraId="58D6152F" w14:textId="77777777" w:rsidR="009125CE" w:rsidRPr="00525FBB" w:rsidRDefault="009125CE" w:rsidP="009125CE">
      <w:pPr>
        <w:jc w:val="center"/>
        <w:rPr>
          <w:rFonts w:asciiTheme="majorBidi" w:hAnsiTheme="majorBidi" w:cstheme="majorBidi"/>
          <w:b/>
          <w:bCs/>
          <w:sz w:val="24"/>
          <w:szCs w:val="24"/>
          <w:rtl/>
          <w:lang w:bidi="ar-EG"/>
        </w:rPr>
      </w:pPr>
    </w:p>
    <w:p w14:paraId="5F4EE2DE" w14:textId="473499F0" w:rsidR="009125CE" w:rsidRPr="00525FBB" w:rsidRDefault="00F540ED" w:rsidP="009125CE">
      <w:pPr>
        <w:jc w:val="center"/>
        <w:rPr>
          <w:rFonts w:asciiTheme="majorBidi" w:hAnsiTheme="majorBidi" w:cstheme="majorBidi"/>
          <w:b/>
          <w:bCs/>
          <w:sz w:val="24"/>
          <w:szCs w:val="24"/>
          <w:lang w:bidi="ar-EG"/>
        </w:rPr>
      </w:pPr>
      <w:r w:rsidRPr="00525FBB">
        <w:rPr>
          <w:rFonts w:asciiTheme="majorBidi" w:hAnsiTheme="majorBidi" w:cstheme="majorBidi"/>
          <w:b/>
          <w:bCs/>
          <w:sz w:val="24"/>
          <w:szCs w:val="24"/>
          <w:lang w:bidi="ar-EG"/>
        </w:rPr>
        <w:t>Supervised by</w:t>
      </w:r>
    </w:p>
    <w:p w14:paraId="4797944E" w14:textId="17143DE6" w:rsidR="00506A5D" w:rsidRPr="00525FBB" w:rsidRDefault="00506A5D" w:rsidP="009125CE">
      <w:pPr>
        <w:jc w:val="center"/>
        <w:rPr>
          <w:rFonts w:asciiTheme="majorBidi" w:hAnsiTheme="majorBidi" w:cstheme="majorBidi"/>
          <w:b/>
          <w:bCs/>
          <w:sz w:val="24"/>
          <w:szCs w:val="24"/>
          <w:lang w:bidi="ar-EG"/>
        </w:rPr>
      </w:pPr>
      <w:r w:rsidRPr="00525FBB">
        <w:rPr>
          <w:rFonts w:asciiTheme="majorBidi" w:hAnsiTheme="majorBidi" w:cstheme="majorBidi"/>
          <w:b/>
          <w:bCs/>
          <w:sz w:val="24"/>
          <w:szCs w:val="24"/>
          <w:lang w:bidi="ar-EG"/>
        </w:rPr>
        <w:t>Dr. Alfaisal Abdulhameed</w:t>
      </w:r>
    </w:p>
    <w:p w14:paraId="16CF2D6A" w14:textId="4C64A65B" w:rsidR="009125CE" w:rsidRPr="00525FBB" w:rsidRDefault="00506A5D" w:rsidP="00506A5D">
      <w:pPr>
        <w:jc w:val="center"/>
        <w:rPr>
          <w:rFonts w:asciiTheme="majorBidi" w:hAnsiTheme="majorBidi" w:cstheme="majorBidi"/>
          <w:b/>
          <w:bCs/>
          <w:sz w:val="24"/>
          <w:szCs w:val="24"/>
          <w:rtl/>
        </w:rPr>
      </w:pPr>
      <w:r w:rsidRPr="00525FBB">
        <w:rPr>
          <w:rFonts w:asciiTheme="majorBidi" w:hAnsiTheme="majorBidi" w:cstheme="majorBidi"/>
          <w:b/>
          <w:bCs/>
          <w:sz w:val="24"/>
          <w:szCs w:val="24"/>
          <w:lang w:bidi="ar-EG"/>
        </w:rPr>
        <w:t>Dr. Fayez Jarad</w:t>
      </w:r>
    </w:p>
    <w:p w14:paraId="22738CC6" w14:textId="77777777" w:rsidR="009125CE" w:rsidRPr="00525FBB" w:rsidRDefault="009125CE" w:rsidP="009125CE">
      <w:pPr>
        <w:jc w:val="center"/>
        <w:rPr>
          <w:rFonts w:asciiTheme="majorBidi" w:hAnsiTheme="majorBidi" w:cstheme="majorBidi"/>
          <w:b/>
          <w:bCs/>
          <w:sz w:val="24"/>
          <w:szCs w:val="24"/>
          <w:rtl/>
          <w:lang w:bidi="ar-EG"/>
        </w:rPr>
      </w:pPr>
    </w:p>
    <w:p w14:paraId="0ECF42F7" w14:textId="06F02FC8" w:rsidR="009125CE" w:rsidRPr="00525FBB" w:rsidRDefault="009125CE" w:rsidP="009125CE">
      <w:pPr>
        <w:jc w:val="center"/>
        <w:rPr>
          <w:rFonts w:asciiTheme="majorBidi" w:hAnsiTheme="majorBidi" w:cstheme="majorBidi"/>
          <w:b/>
          <w:bCs/>
          <w:sz w:val="24"/>
          <w:szCs w:val="24"/>
          <w:rtl/>
          <w:lang w:bidi="ar-EG"/>
        </w:rPr>
      </w:pPr>
      <w:r w:rsidRPr="00525FBB">
        <w:rPr>
          <w:rFonts w:asciiTheme="majorBidi" w:hAnsiTheme="majorBidi" w:cstheme="majorBidi"/>
          <w:b/>
          <w:bCs/>
          <w:sz w:val="24"/>
          <w:szCs w:val="24"/>
          <w:rtl/>
          <w:lang w:bidi="ar-EG"/>
        </w:rPr>
        <w:t>202</w:t>
      </w:r>
      <w:r w:rsidR="00D52480" w:rsidRPr="00525FBB">
        <w:rPr>
          <w:rFonts w:asciiTheme="majorBidi" w:hAnsiTheme="majorBidi" w:cstheme="majorBidi"/>
          <w:b/>
          <w:bCs/>
          <w:sz w:val="24"/>
          <w:szCs w:val="24"/>
          <w:rtl/>
          <w:lang w:bidi="ar-EG"/>
        </w:rPr>
        <w:t>4</w:t>
      </w:r>
      <w:r w:rsidR="00F540ED" w:rsidRPr="00525FBB">
        <w:rPr>
          <w:rFonts w:asciiTheme="majorBidi" w:hAnsiTheme="majorBidi" w:cstheme="majorBidi"/>
          <w:b/>
          <w:bCs/>
          <w:sz w:val="24"/>
          <w:szCs w:val="24"/>
          <w:lang w:bidi="ar-EG"/>
        </w:rPr>
        <w:t xml:space="preserve">Year: </w:t>
      </w:r>
    </w:p>
    <w:p w14:paraId="5DBA947E" w14:textId="77777777" w:rsidR="009125CE" w:rsidRPr="00525FBB" w:rsidRDefault="009125CE" w:rsidP="009125CE">
      <w:pPr>
        <w:jc w:val="center"/>
        <w:rPr>
          <w:rFonts w:asciiTheme="majorBidi" w:hAnsiTheme="majorBidi" w:cstheme="majorBidi"/>
          <w:b/>
          <w:bCs/>
          <w:sz w:val="24"/>
          <w:szCs w:val="24"/>
          <w:rtl/>
          <w:lang w:bidi="ar-EG"/>
        </w:rPr>
      </w:pPr>
    </w:p>
    <w:p w14:paraId="71099ADB" w14:textId="77777777" w:rsidR="009125CE" w:rsidRPr="00525FBB" w:rsidRDefault="009125CE" w:rsidP="009125CE">
      <w:pPr>
        <w:jc w:val="center"/>
        <w:rPr>
          <w:rFonts w:asciiTheme="majorBidi" w:hAnsiTheme="majorBidi" w:cstheme="majorBidi"/>
          <w:b/>
          <w:bCs/>
          <w:sz w:val="24"/>
          <w:szCs w:val="24"/>
          <w:rtl/>
          <w:lang w:bidi="ar-EG"/>
        </w:rPr>
      </w:pPr>
    </w:p>
    <w:p w14:paraId="7D0AC58A" w14:textId="1A1000F3" w:rsidR="00D34361" w:rsidRDefault="00D34361" w:rsidP="00D34361">
      <w:pPr>
        <w:spacing w:after="0" w:line="480" w:lineRule="auto"/>
        <w:jc w:val="right"/>
        <w:rPr>
          <w:rFonts w:asciiTheme="majorBidi" w:hAnsiTheme="majorBidi" w:cstheme="majorBidi"/>
          <w:b/>
          <w:bCs/>
          <w:sz w:val="24"/>
          <w:szCs w:val="24"/>
        </w:rPr>
      </w:pPr>
    </w:p>
    <w:p w14:paraId="730128D7" w14:textId="0E88B3A6" w:rsidR="00525FBB" w:rsidRDefault="00525FBB" w:rsidP="00D34361">
      <w:pPr>
        <w:spacing w:after="0" w:line="480" w:lineRule="auto"/>
        <w:jc w:val="right"/>
        <w:rPr>
          <w:rFonts w:asciiTheme="majorBidi" w:hAnsiTheme="majorBidi" w:cstheme="majorBidi"/>
          <w:b/>
          <w:bCs/>
          <w:sz w:val="24"/>
          <w:szCs w:val="24"/>
        </w:rPr>
      </w:pPr>
    </w:p>
    <w:p w14:paraId="2D609E61" w14:textId="6EA8B61E" w:rsidR="00525FBB" w:rsidRDefault="00525FBB" w:rsidP="00D34361">
      <w:pPr>
        <w:spacing w:after="0" w:line="480" w:lineRule="auto"/>
        <w:jc w:val="right"/>
        <w:rPr>
          <w:rFonts w:asciiTheme="majorBidi" w:hAnsiTheme="majorBidi" w:cstheme="majorBidi"/>
          <w:b/>
          <w:bCs/>
          <w:sz w:val="24"/>
          <w:szCs w:val="24"/>
        </w:rPr>
      </w:pPr>
    </w:p>
    <w:p w14:paraId="595F96A8" w14:textId="43238B50" w:rsidR="00525FBB" w:rsidRDefault="00525FBB" w:rsidP="00D34361">
      <w:pPr>
        <w:spacing w:after="0" w:line="480" w:lineRule="auto"/>
        <w:jc w:val="right"/>
        <w:rPr>
          <w:rFonts w:asciiTheme="majorBidi" w:hAnsiTheme="majorBidi" w:cstheme="majorBidi"/>
          <w:b/>
          <w:bCs/>
          <w:sz w:val="24"/>
          <w:szCs w:val="24"/>
        </w:rPr>
      </w:pPr>
    </w:p>
    <w:p w14:paraId="791CFD64" w14:textId="6831DB7D" w:rsidR="00525FBB" w:rsidRPr="00525FBB" w:rsidRDefault="00525FBB" w:rsidP="00D34361">
      <w:pPr>
        <w:spacing w:after="0" w:line="480" w:lineRule="auto"/>
        <w:jc w:val="right"/>
        <w:rPr>
          <w:rFonts w:asciiTheme="majorBidi" w:hAnsiTheme="majorBidi" w:cstheme="majorBidi"/>
          <w:sz w:val="24"/>
          <w:szCs w:val="24"/>
        </w:rPr>
      </w:pPr>
    </w:p>
    <w:p w14:paraId="21493D50" w14:textId="77777777" w:rsidR="00D34361" w:rsidRPr="00525FBB" w:rsidRDefault="00D34361" w:rsidP="00D34361">
      <w:pPr>
        <w:spacing w:after="0" w:line="480" w:lineRule="auto"/>
        <w:jc w:val="right"/>
        <w:rPr>
          <w:rFonts w:asciiTheme="majorBidi" w:hAnsiTheme="majorBidi" w:cstheme="majorBidi"/>
          <w:b/>
          <w:bCs/>
          <w:sz w:val="24"/>
          <w:szCs w:val="24"/>
        </w:rPr>
      </w:pPr>
      <w:r w:rsidRPr="00525FBB">
        <w:rPr>
          <w:rFonts w:asciiTheme="majorBidi" w:hAnsiTheme="majorBidi" w:cstheme="majorBidi"/>
          <w:b/>
          <w:bCs/>
          <w:sz w:val="24"/>
          <w:szCs w:val="24"/>
        </w:rPr>
        <w:lastRenderedPageBreak/>
        <w:t>Abstract</w:t>
      </w:r>
    </w:p>
    <w:p w14:paraId="11C1FB69" w14:textId="72A21C02" w:rsidR="00D34361" w:rsidRPr="00525FBB" w:rsidRDefault="00D34361" w:rsidP="000E219F">
      <w:pPr>
        <w:spacing w:after="0" w:line="480" w:lineRule="auto"/>
        <w:jc w:val="right"/>
        <w:rPr>
          <w:rFonts w:asciiTheme="majorBidi" w:hAnsiTheme="majorBidi" w:cstheme="majorBidi"/>
          <w:sz w:val="24"/>
          <w:szCs w:val="24"/>
        </w:rPr>
      </w:pPr>
      <w:r w:rsidRPr="00525FBB">
        <w:rPr>
          <w:rFonts w:asciiTheme="majorBidi" w:hAnsiTheme="majorBidi" w:cstheme="majorBidi"/>
          <w:b/>
          <w:bCs/>
          <w:sz w:val="24"/>
          <w:szCs w:val="24"/>
        </w:rPr>
        <w:t xml:space="preserve">Background: </w:t>
      </w:r>
      <w:r w:rsidR="000E219F" w:rsidRPr="000E219F">
        <w:rPr>
          <w:rFonts w:asciiTheme="majorBidi" w:hAnsiTheme="majorBidi" w:cstheme="majorBidi"/>
          <w:sz w:val="24"/>
          <w:szCs w:val="24"/>
        </w:rPr>
        <w:t>In spite of numerous significant expenditures and policy changes, the Saudi healthcare system's transition to improve accessibility, quality, and sustainability under Vision 2030 is encountering difficulties with infrastructure, financial sustainability, and a lack of workers</w:t>
      </w:r>
      <w:r w:rsidR="000D3CC2" w:rsidRPr="000D3CC2">
        <w:rPr>
          <w:rFonts w:asciiTheme="majorBidi" w:hAnsiTheme="majorBidi" w:cstheme="majorBidi"/>
          <w:sz w:val="24"/>
          <w:szCs w:val="24"/>
        </w:rPr>
        <w:t xml:space="preserve">. </w:t>
      </w:r>
    </w:p>
    <w:p w14:paraId="5300E353" w14:textId="4E841B2E" w:rsidR="000D3CC2" w:rsidRPr="000D3CC2" w:rsidRDefault="00D34361" w:rsidP="000E219F">
      <w:pPr>
        <w:spacing w:after="0" w:line="480" w:lineRule="auto"/>
        <w:jc w:val="right"/>
        <w:rPr>
          <w:rFonts w:asciiTheme="majorBidi" w:hAnsiTheme="majorBidi" w:cstheme="majorBidi"/>
          <w:sz w:val="24"/>
          <w:szCs w:val="24"/>
        </w:rPr>
      </w:pPr>
      <w:r w:rsidRPr="00525FBB">
        <w:rPr>
          <w:rFonts w:asciiTheme="majorBidi" w:hAnsiTheme="majorBidi" w:cstheme="majorBidi"/>
          <w:b/>
          <w:bCs/>
          <w:sz w:val="24"/>
          <w:szCs w:val="24"/>
        </w:rPr>
        <w:t xml:space="preserve">Objectives: </w:t>
      </w:r>
      <w:r w:rsidR="00096F1F" w:rsidRPr="00096F1F">
        <w:rPr>
          <w:rFonts w:asciiTheme="majorBidi" w:hAnsiTheme="majorBidi" w:cstheme="majorBidi"/>
          <w:sz w:val="24"/>
          <w:szCs w:val="24"/>
        </w:rPr>
        <w:t>The primary objective of the study was to assess Saudi Arabia's recent healthcare reform, i.e., the implications of the Vision 2030 reforms. Specific objectives are to determine the primary challenges the healthcare sector is currently facing, identify areas of improvement, and suggest solutions to problems in the current environment are. A comparison of Saudi healthcare reforms with international trends was also attempted.</w:t>
      </w:r>
    </w:p>
    <w:p w14:paraId="641DBA19" w14:textId="77777777" w:rsidR="000D3CC2" w:rsidRPr="000D3CC2" w:rsidRDefault="000D3CC2" w:rsidP="000D3CC2">
      <w:pPr>
        <w:spacing w:after="0" w:line="480" w:lineRule="auto"/>
        <w:jc w:val="right"/>
        <w:rPr>
          <w:rFonts w:asciiTheme="majorBidi" w:hAnsiTheme="majorBidi" w:cstheme="majorBidi"/>
          <w:sz w:val="24"/>
          <w:szCs w:val="24"/>
        </w:rPr>
      </w:pPr>
      <w:r w:rsidRPr="000D3CC2">
        <w:rPr>
          <w:rFonts w:asciiTheme="majorBidi" w:hAnsiTheme="majorBidi" w:cstheme="majorBidi"/>
          <w:b/>
          <w:bCs/>
          <w:sz w:val="24"/>
          <w:szCs w:val="24"/>
        </w:rPr>
        <w:t xml:space="preserve">Methods: </w:t>
      </w:r>
      <w:r w:rsidRPr="000D3CC2">
        <w:rPr>
          <w:rFonts w:asciiTheme="majorBidi" w:hAnsiTheme="majorBidi" w:cstheme="majorBidi"/>
          <w:sz w:val="24"/>
          <w:szCs w:val="24"/>
        </w:rPr>
        <w:t>Comprehensive literature search was conducted in various databases, including PubMed, ScienceDirect, and Google Scholar, for articles published between 2020 and 2025. The articles included those that wrote about the health transformation programs under Vision 2030 with focus on workforce development, digital health integration, and public-private partnership. Thematic analysis was performed to extract recurring patterns and salient findings from the studies.</w:t>
      </w:r>
    </w:p>
    <w:p w14:paraId="70BB21D3" w14:textId="3B23C2B1" w:rsidR="000E219F" w:rsidRPr="000E219F" w:rsidRDefault="000D3CC2" w:rsidP="000E219F">
      <w:pPr>
        <w:spacing w:after="0" w:line="480" w:lineRule="auto"/>
        <w:jc w:val="right"/>
        <w:rPr>
          <w:rFonts w:asciiTheme="majorBidi" w:hAnsiTheme="majorBidi" w:cstheme="majorBidi"/>
          <w:sz w:val="24"/>
          <w:szCs w:val="24"/>
        </w:rPr>
      </w:pPr>
      <w:r w:rsidRPr="000D3CC2">
        <w:rPr>
          <w:rFonts w:asciiTheme="majorBidi" w:hAnsiTheme="majorBidi" w:cstheme="majorBidi"/>
          <w:b/>
          <w:bCs/>
          <w:sz w:val="24"/>
          <w:szCs w:val="24"/>
        </w:rPr>
        <w:t>Results:</w:t>
      </w:r>
      <w:r w:rsidRPr="000D3CC2">
        <w:rPr>
          <w:rFonts w:asciiTheme="majorBidi" w:hAnsiTheme="majorBidi" w:cstheme="majorBidi"/>
          <w:sz w:val="24"/>
          <w:szCs w:val="24"/>
        </w:rPr>
        <w:t xml:space="preserve"> </w:t>
      </w:r>
      <w:r w:rsidR="000E219F" w:rsidRPr="000E219F">
        <w:rPr>
          <w:rFonts w:asciiTheme="majorBidi" w:hAnsiTheme="majorBidi" w:cstheme="majorBidi"/>
          <w:sz w:val="24"/>
          <w:szCs w:val="24"/>
        </w:rPr>
        <w:t xml:space="preserve">Although </w:t>
      </w:r>
      <w:r w:rsidR="000E219F">
        <w:rPr>
          <w:rFonts w:asciiTheme="majorBidi" w:hAnsiTheme="majorBidi" w:cstheme="majorBidi"/>
          <w:sz w:val="24"/>
          <w:szCs w:val="24"/>
        </w:rPr>
        <w:t>c</w:t>
      </w:r>
      <w:r w:rsidR="000E219F" w:rsidRPr="000E219F">
        <w:rPr>
          <w:rFonts w:asciiTheme="majorBidi" w:hAnsiTheme="majorBidi" w:cstheme="majorBidi"/>
          <w:sz w:val="24"/>
          <w:szCs w:val="24"/>
        </w:rPr>
        <w:t xml:space="preserve">onstrained by a lack of human resources, regional health inequities, and infrastructure constraints, Saudi Arabia's Vision 2030 healthcare reform is making </w:t>
      </w:r>
      <w:r w:rsidR="000E219F">
        <w:rPr>
          <w:rFonts w:asciiTheme="majorBidi" w:hAnsiTheme="majorBidi" w:cstheme="majorBidi"/>
          <w:sz w:val="24"/>
          <w:szCs w:val="24"/>
        </w:rPr>
        <w:t>progress</w:t>
      </w:r>
      <w:r w:rsidR="000E219F" w:rsidRPr="000E219F">
        <w:rPr>
          <w:rFonts w:asciiTheme="majorBidi" w:hAnsiTheme="majorBidi" w:cstheme="majorBidi"/>
          <w:sz w:val="24"/>
          <w:szCs w:val="24"/>
        </w:rPr>
        <w:t xml:space="preserve">. The obstacles may be lessened by workforce training, public-private partnership (PPP) growth, and the incorporation of digital health technology. </w:t>
      </w:r>
      <w:r w:rsidR="00096F1F" w:rsidRPr="00096F1F">
        <w:rPr>
          <w:rFonts w:asciiTheme="majorBidi" w:hAnsiTheme="majorBidi" w:cstheme="majorBidi"/>
          <w:sz w:val="24"/>
          <w:szCs w:val="24"/>
        </w:rPr>
        <w:t>Mitigation efforts should be focused on the necessity for successful training programs, private sector involvement, and policy reforms to facilitate healthcare service sustainability and access.</w:t>
      </w:r>
    </w:p>
    <w:p w14:paraId="63792DD7" w14:textId="560D7EEE" w:rsidR="000D3CC2" w:rsidRPr="000D3CC2" w:rsidRDefault="000D3CC2" w:rsidP="000D3CC2">
      <w:pPr>
        <w:spacing w:after="0" w:line="480" w:lineRule="auto"/>
        <w:jc w:val="right"/>
        <w:rPr>
          <w:rFonts w:asciiTheme="majorBidi" w:hAnsiTheme="majorBidi" w:cstheme="majorBidi"/>
          <w:sz w:val="24"/>
          <w:szCs w:val="24"/>
        </w:rPr>
      </w:pPr>
    </w:p>
    <w:p w14:paraId="6237AA1E" w14:textId="6D46D67B" w:rsidR="000D3CC2" w:rsidRDefault="000D3CC2" w:rsidP="00402497">
      <w:pPr>
        <w:spacing w:after="0" w:line="480" w:lineRule="auto"/>
        <w:jc w:val="right"/>
        <w:rPr>
          <w:rFonts w:asciiTheme="majorBidi" w:hAnsiTheme="majorBidi" w:cstheme="majorBidi"/>
          <w:sz w:val="24"/>
          <w:szCs w:val="24"/>
        </w:rPr>
      </w:pPr>
      <w:r w:rsidRPr="000D3CC2">
        <w:rPr>
          <w:rFonts w:asciiTheme="majorBidi" w:hAnsiTheme="majorBidi" w:cstheme="majorBidi"/>
          <w:b/>
          <w:bCs/>
          <w:sz w:val="24"/>
          <w:szCs w:val="24"/>
        </w:rPr>
        <w:lastRenderedPageBreak/>
        <w:t xml:space="preserve">Conclusion: </w:t>
      </w:r>
      <w:r w:rsidR="00BC31D5" w:rsidRPr="00BC31D5">
        <w:rPr>
          <w:rFonts w:asciiTheme="majorBidi" w:hAnsiTheme="majorBidi" w:cstheme="majorBidi"/>
          <w:sz w:val="24"/>
          <w:szCs w:val="24"/>
        </w:rPr>
        <w:t>Through Vision 2030, the health sector of Saudi Arabia is moving in the right direction, but there are several key areas that should be taken into consideration. The key determinants for the achievement of goals are enhancement in workforce development, enhancement in digital health, and guarantying equitability of resources between places.</w:t>
      </w:r>
      <w:r w:rsidR="00402497" w:rsidRPr="00402497">
        <w:rPr>
          <w:rFonts w:asciiTheme="majorBidi" w:hAnsiTheme="majorBidi" w:cstheme="majorBidi"/>
          <w:sz w:val="24"/>
          <w:szCs w:val="24"/>
        </w:rPr>
        <w:t xml:space="preserve"> </w:t>
      </w:r>
    </w:p>
    <w:p w14:paraId="2B5EEC6C" w14:textId="77777777" w:rsidR="00804376" w:rsidRDefault="00804376" w:rsidP="00402497">
      <w:pPr>
        <w:spacing w:after="0" w:line="480" w:lineRule="auto"/>
        <w:jc w:val="right"/>
        <w:rPr>
          <w:rFonts w:asciiTheme="majorBidi" w:hAnsiTheme="majorBidi" w:cstheme="majorBidi"/>
          <w:sz w:val="24"/>
          <w:szCs w:val="24"/>
        </w:rPr>
      </w:pPr>
    </w:p>
    <w:p w14:paraId="63EDD379" w14:textId="53759DE8" w:rsidR="00D34361" w:rsidRPr="00525FBB" w:rsidRDefault="00D34361" w:rsidP="000D3CC2">
      <w:pPr>
        <w:spacing w:after="0" w:line="480" w:lineRule="auto"/>
        <w:jc w:val="right"/>
        <w:rPr>
          <w:rFonts w:asciiTheme="majorBidi" w:hAnsiTheme="majorBidi" w:cstheme="majorBidi"/>
          <w:sz w:val="24"/>
          <w:szCs w:val="24"/>
        </w:rPr>
      </w:pPr>
      <w:r w:rsidRPr="00525FBB">
        <w:rPr>
          <w:rFonts w:asciiTheme="majorBidi" w:hAnsiTheme="majorBidi" w:cstheme="majorBidi"/>
          <w:b/>
          <w:bCs/>
          <w:sz w:val="24"/>
          <w:szCs w:val="24"/>
        </w:rPr>
        <w:t xml:space="preserve">Keywords: </w:t>
      </w:r>
      <w:r w:rsidRPr="00525FBB">
        <w:rPr>
          <w:rFonts w:asciiTheme="majorBidi" w:hAnsiTheme="majorBidi" w:cstheme="majorBidi"/>
          <w:sz w:val="24"/>
          <w:szCs w:val="24"/>
        </w:rPr>
        <w:t>Saudi Arabia, healthcare transformation, Vision 2030, workforce development, digital health, public-private partnerships, healthcare challenges, health system reform</w:t>
      </w:r>
    </w:p>
    <w:p w14:paraId="35D6AC8A" w14:textId="77777777" w:rsidR="00D34361" w:rsidRPr="00525FBB" w:rsidRDefault="00D34361" w:rsidP="00D34361">
      <w:pPr>
        <w:spacing w:after="0" w:line="480" w:lineRule="auto"/>
        <w:rPr>
          <w:rFonts w:asciiTheme="majorBidi" w:hAnsiTheme="majorBidi" w:cstheme="majorBidi"/>
          <w:sz w:val="24"/>
          <w:szCs w:val="24"/>
        </w:rPr>
      </w:pPr>
    </w:p>
    <w:p w14:paraId="07A5ECF9" w14:textId="77777777" w:rsidR="00D34361" w:rsidRPr="00525FBB" w:rsidRDefault="00D34361" w:rsidP="00D34361">
      <w:pPr>
        <w:spacing w:after="0" w:line="480" w:lineRule="auto"/>
        <w:rPr>
          <w:rFonts w:asciiTheme="majorBidi" w:hAnsiTheme="majorBidi" w:cstheme="majorBidi"/>
          <w:sz w:val="24"/>
          <w:szCs w:val="24"/>
        </w:rPr>
      </w:pPr>
    </w:p>
    <w:p w14:paraId="7E2E940E" w14:textId="5BF2EA79" w:rsidR="00D34361" w:rsidRPr="00525FBB" w:rsidRDefault="00D34361" w:rsidP="00D34361">
      <w:pPr>
        <w:tabs>
          <w:tab w:val="left" w:pos="5292"/>
        </w:tabs>
        <w:jc w:val="right"/>
        <w:rPr>
          <w:rFonts w:asciiTheme="majorBidi" w:hAnsiTheme="majorBidi" w:cstheme="majorBidi"/>
          <w:sz w:val="24"/>
          <w:szCs w:val="24"/>
        </w:rPr>
      </w:pPr>
    </w:p>
    <w:p w14:paraId="111A1ADF" w14:textId="31859A9B" w:rsidR="00D34361" w:rsidRPr="00525FBB" w:rsidRDefault="00D34361" w:rsidP="00F540ED">
      <w:pPr>
        <w:tabs>
          <w:tab w:val="left" w:pos="5292"/>
        </w:tabs>
        <w:rPr>
          <w:rFonts w:asciiTheme="majorBidi" w:hAnsiTheme="majorBidi" w:cstheme="majorBidi"/>
          <w:b/>
          <w:bCs/>
          <w:sz w:val="24"/>
          <w:szCs w:val="24"/>
        </w:rPr>
      </w:pPr>
    </w:p>
    <w:p w14:paraId="6D88EB9F" w14:textId="38C41F42" w:rsidR="00D34361" w:rsidRPr="00525FBB" w:rsidRDefault="00D34361" w:rsidP="00F540ED">
      <w:pPr>
        <w:tabs>
          <w:tab w:val="left" w:pos="5292"/>
        </w:tabs>
        <w:rPr>
          <w:rFonts w:asciiTheme="majorBidi" w:hAnsiTheme="majorBidi" w:cstheme="majorBidi"/>
          <w:b/>
          <w:bCs/>
          <w:sz w:val="24"/>
          <w:szCs w:val="24"/>
        </w:rPr>
      </w:pPr>
    </w:p>
    <w:p w14:paraId="56F0016A" w14:textId="50732290" w:rsidR="00D34361" w:rsidRPr="00525FBB" w:rsidRDefault="00D34361" w:rsidP="00F540ED">
      <w:pPr>
        <w:tabs>
          <w:tab w:val="left" w:pos="5292"/>
        </w:tabs>
        <w:rPr>
          <w:rFonts w:asciiTheme="majorBidi" w:hAnsiTheme="majorBidi" w:cstheme="majorBidi"/>
          <w:b/>
          <w:bCs/>
          <w:sz w:val="24"/>
          <w:szCs w:val="24"/>
        </w:rPr>
      </w:pPr>
    </w:p>
    <w:p w14:paraId="6C01CD18" w14:textId="1C26094F" w:rsidR="00D34361" w:rsidRPr="00525FBB" w:rsidRDefault="00D34361" w:rsidP="00F540ED">
      <w:pPr>
        <w:tabs>
          <w:tab w:val="left" w:pos="5292"/>
        </w:tabs>
        <w:rPr>
          <w:rFonts w:asciiTheme="majorBidi" w:hAnsiTheme="majorBidi" w:cstheme="majorBidi"/>
          <w:b/>
          <w:bCs/>
          <w:sz w:val="24"/>
          <w:szCs w:val="24"/>
        </w:rPr>
      </w:pPr>
    </w:p>
    <w:p w14:paraId="7A3FCB47" w14:textId="7C6649BE" w:rsidR="00D34361" w:rsidRPr="00525FBB" w:rsidRDefault="00D34361" w:rsidP="00F540ED">
      <w:pPr>
        <w:tabs>
          <w:tab w:val="left" w:pos="5292"/>
        </w:tabs>
        <w:rPr>
          <w:rFonts w:asciiTheme="majorBidi" w:hAnsiTheme="majorBidi" w:cstheme="majorBidi"/>
          <w:b/>
          <w:bCs/>
          <w:sz w:val="24"/>
          <w:szCs w:val="24"/>
        </w:rPr>
      </w:pPr>
    </w:p>
    <w:p w14:paraId="7B27EE0A" w14:textId="45E3E4C0" w:rsidR="00D34361" w:rsidRPr="00525FBB" w:rsidRDefault="00D34361" w:rsidP="00F540ED">
      <w:pPr>
        <w:tabs>
          <w:tab w:val="left" w:pos="5292"/>
        </w:tabs>
        <w:rPr>
          <w:rFonts w:asciiTheme="majorBidi" w:hAnsiTheme="majorBidi" w:cstheme="majorBidi"/>
          <w:b/>
          <w:bCs/>
          <w:sz w:val="24"/>
          <w:szCs w:val="24"/>
        </w:rPr>
      </w:pPr>
    </w:p>
    <w:p w14:paraId="52CB81F9" w14:textId="644620B2" w:rsidR="00D34361" w:rsidRPr="00525FBB" w:rsidRDefault="00D34361" w:rsidP="00F540ED">
      <w:pPr>
        <w:tabs>
          <w:tab w:val="left" w:pos="5292"/>
        </w:tabs>
        <w:rPr>
          <w:rFonts w:asciiTheme="majorBidi" w:hAnsiTheme="majorBidi" w:cstheme="majorBidi"/>
          <w:b/>
          <w:bCs/>
          <w:sz w:val="24"/>
          <w:szCs w:val="24"/>
        </w:rPr>
      </w:pPr>
    </w:p>
    <w:p w14:paraId="71613470" w14:textId="39259C7B" w:rsidR="00D34361" w:rsidRPr="00525FBB" w:rsidRDefault="00D34361" w:rsidP="00F540ED">
      <w:pPr>
        <w:tabs>
          <w:tab w:val="left" w:pos="5292"/>
        </w:tabs>
        <w:rPr>
          <w:rFonts w:asciiTheme="majorBidi" w:hAnsiTheme="majorBidi" w:cstheme="majorBidi"/>
          <w:b/>
          <w:bCs/>
          <w:sz w:val="24"/>
          <w:szCs w:val="24"/>
        </w:rPr>
      </w:pPr>
    </w:p>
    <w:p w14:paraId="72F0F4D2" w14:textId="20ED09D6" w:rsidR="00D34361" w:rsidRPr="00525FBB" w:rsidRDefault="00D34361" w:rsidP="00F540ED">
      <w:pPr>
        <w:tabs>
          <w:tab w:val="left" w:pos="5292"/>
        </w:tabs>
        <w:rPr>
          <w:rFonts w:asciiTheme="majorBidi" w:hAnsiTheme="majorBidi" w:cstheme="majorBidi"/>
          <w:b/>
          <w:bCs/>
          <w:sz w:val="24"/>
          <w:szCs w:val="24"/>
        </w:rPr>
      </w:pPr>
    </w:p>
    <w:p w14:paraId="409F1FCC" w14:textId="3393B2C5" w:rsidR="00D34361" w:rsidRPr="00525FBB" w:rsidRDefault="00D34361" w:rsidP="00F540ED">
      <w:pPr>
        <w:tabs>
          <w:tab w:val="left" w:pos="5292"/>
        </w:tabs>
        <w:rPr>
          <w:rFonts w:asciiTheme="majorBidi" w:hAnsiTheme="majorBidi" w:cstheme="majorBidi"/>
          <w:b/>
          <w:bCs/>
          <w:sz w:val="24"/>
          <w:szCs w:val="24"/>
        </w:rPr>
      </w:pPr>
    </w:p>
    <w:p w14:paraId="443E0B5B" w14:textId="5BBE357B" w:rsidR="00D34361" w:rsidRDefault="00D34361" w:rsidP="00F540ED">
      <w:pPr>
        <w:tabs>
          <w:tab w:val="left" w:pos="5292"/>
        </w:tabs>
        <w:rPr>
          <w:rFonts w:asciiTheme="majorBidi" w:hAnsiTheme="majorBidi" w:cstheme="majorBidi"/>
          <w:b/>
          <w:bCs/>
          <w:sz w:val="24"/>
          <w:szCs w:val="24"/>
        </w:rPr>
      </w:pPr>
    </w:p>
    <w:p w14:paraId="42ABD802" w14:textId="77777777" w:rsidR="003A5D5C" w:rsidRDefault="003A5D5C" w:rsidP="00F540ED">
      <w:pPr>
        <w:tabs>
          <w:tab w:val="left" w:pos="5292"/>
        </w:tabs>
        <w:rPr>
          <w:rFonts w:asciiTheme="majorBidi" w:hAnsiTheme="majorBidi" w:cstheme="majorBidi"/>
          <w:b/>
          <w:bCs/>
          <w:sz w:val="24"/>
          <w:szCs w:val="24"/>
        </w:rPr>
      </w:pPr>
    </w:p>
    <w:p w14:paraId="4222D026" w14:textId="77777777" w:rsidR="003A5D5C" w:rsidRDefault="003A5D5C" w:rsidP="00F540ED">
      <w:pPr>
        <w:tabs>
          <w:tab w:val="left" w:pos="5292"/>
        </w:tabs>
        <w:rPr>
          <w:rFonts w:asciiTheme="majorBidi" w:hAnsiTheme="majorBidi" w:cstheme="majorBidi"/>
          <w:b/>
          <w:bCs/>
          <w:sz w:val="24"/>
          <w:szCs w:val="24"/>
        </w:rPr>
      </w:pPr>
    </w:p>
    <w:p w14:paraId="2B169F2E" w14:textId="1DE565FB" w:rsidR="00525FBB" w:rsidRDefault="00525FBB" w:rsidP="00F540ED">
      <w:pPr>
        <w:tabs>
          <w:tab w:val="left" w:pos="5292"/>
        </w:tabs>
        <w:rPr>
          <w:rFonts w:asciiTheme="majorBidi" w:hAnsiTheme="majorBidi" w:cstheme="majorBidi"/>
          <w:b/>
          <w:bCs/>
          <w:sz w:val="24"/>
          <w:szCs w:val="24"/>
        </w:rPr>
      </w:pPr>
    </w:p>
    <w:p w14:paraId="0485FF7E" w14:textId="77777777" w:rsidR="00525FBB" w:rsidRPr="00525FBB" w:rsidRDefault="00525FBB" w:rsidP="00F540ED">
      <w:pPr>
        <w:tabs>
          <w:tab w:val="left" w:pos="5292"/>
        </w:tabs>
        <w:rPr>
          <w:rFonts w:asciiTheme="majorBidi" w:hAnsiTheme="majorBidi" w:cstheme="majorBidi"/>
          <w:b/>
          <w:bCs/>
          <w:sz w:val="24"/>
          <w:szCs w:val="24"/>
        </w:rPr>
      </w:pPr>
    </w:p>
    <w:p w14:paraId="773A78AF" w14:textId="1934CFE8" w:rsidR="00D34361" w:rsidRPr="00525FBB" w:rsidRDefault="00D34361" w:rsidP="00F540ED">
      <w:pPr>
        <w:tabs>
          <w:tab w:val="left" w:pos="5292"/>
        </w:tabs>
        <w:rPr>
          <w:rFonts w:asciiTheme="majorBidi" w:hAnsiTheme="majorBidi" w:cstheme="majorBidi"/>
          <w:b/>
          <w:bCs/>
          <w:sz w:val="24"/>
          <w:szCs w:val="24"/>
        </w:rPr>
      </w:pPr>
    </w:p>
    <w:p w14:paraId="1A18B45A" w14:textId="40CB9598" w:rsidR="00D34361" w:rsidRPr="00525FBB" w:rsidRDefault="00D34361" w:rsidP="00F540ED">
      <w:pPr>
        <w:tabs>
          <w:tab w:val="left" w:pos="5292"/>
        </w:tabs>
        <w:rPr>
          <w:rFonts w:asciiTheme="majorBidi" w:hAnsiTheme="majorBidi" w:cstheme="majorBidi"/>
          <w:b/>
          <w:bCs/>
          <w:sz w:val="24"/>
          <w:szCs w:val="24"/>
        </w:rPr>
      </w:pPr>
    </w:p>
    <w:p w14:paraId="2F9B54BF" w14:textId="77777777" w:rsidR="00BE0C9A" w:rsidRDefault="00BE0C9A" w:rsidP="00525FBB">
      <w:pPr>
        <w:spacing w:after="0" w:line="480" w:lineRule="auto"/>
        <w:jc w:val="right"/>
        <w:rPr>
          <w:rFonts w:asciiTheme="majorBidi" w:hAnsiTheme="majorBidi" w:cstheme="majorBidi"/>
          <w:b/>
          <w:bCs/>
          <w:sz w:val="24"/>
          <w:szCs w:val="24"/>
        </w:rPr>
      </w:pPr>
    </w:p>
    <w:p w14:paraId="28A3BDE1" w14:textId="3E7C666F" w:rsidR="00BE0C9A" w:rsidRPr="00525FBB" w:rsidRDefault="00525FBB" w:rsidP="00BE0C9A">
      <w:pPr>
        <w:spacing w:after="0" w:line="480" w:lineRule="auto"/>
        <w:jc w:val="right"/>
        <w:rPr>
          <w:rFonts w:asciiTheme="majorBidi" w:hAnsiTheme="majorBidi" w:cstheme="majorBidi"/>
          <w:b/>
          <w:bCs/>
          <w:sz w:val="24"/>
          <w:szCs w:val="24"/>
        </w:rPr>
      </w:pPr>
      <w:r w:rsidRPr="00525FBB">
        <w:rPr>
          <w:rFonts w:asciiTheme="majorBidi" w:hAnsiTheme="majorBidi" w:cstheme="majorBidi"/>
          <w:b/>
          <w:bCs/>
          <w:sz w:val="24"/>
          <w:szCs w:val="24"/>
        </w:rPr>
        <w:lastRenderedPageBreak/>
        <w:t>Introduction</w:t>
      </w:r>
    </w:p>
    <w:p w14:paraId="1FAD63BD" w14:textId="77777777" w:rsidR="00243C81" w:rsidRPr="00243C81" w:rsidRDefault="00243C81" w:rsidP="00243C81">
      <w:pPr>
        <w:spacing w:after="0" w:line="480" w:lineRule="auto"/>
        <w:ind w:firstLine="720"/>
        <w:jc w:val="right"/>
        <w:rPr>
          <w:rFonts w:asciiTheme="majorBidi" w:hAnsiTheme="majorBidi" w:cstheme="majorBidi"/>
          <w:sz w:val="24"/>
          <w:szCs w:val="24"/>
        </w:rPr>
      </w:pPr>
      <w:r w:rsidRPr="00243C81">
        <w:rPr>
          <w:rFonts w:asciiTheme="majorBidi" w:hAnsiTheme="majorBidi" w:cstheme="majorBidi"/>
          <w:sz w:val="24"/>
          <w:szCs w:val="24"/>
        </w:rPr>
        <w:t>The healthcare system in Saudi Arabia has been crisis and treatment-oriented. In general, there has been a shift owing to the Vision 2030 ambitious plan. (Rahman &amp; Al-Borie, 2020). Over-reliance on foreign healthcare workers, an aging population, and noncommunicable diseases are some of the major problems this ambitious plan seeks to alleviate. Every effort possible has been undertaken to optimize sustainability, quality, and accessibility at the expense of reduced costs and a reduced reliance on the ever-fluctuating returns of petroleum.  (Chowdhury et al., 2021)</w:t>
      </w:r>
    </w:p>
    <w:p w14:paraId="59D7FDCF" w14:textId="77777777" w:rsidR="00243C81" w:rsidRPr="00243C81" w:rsidRDefault="00243C81" w:rsidP="00243C81">
      <w:pPr>
        <w:spacing w:after="0" w:line="480" w:lineRule="auto"/>
        <w:ind w:firstLine="720"/>
        <w:jc w:val="right"/>
        <w:rPr>
          <w:rFonts w:asciiTheme="majorBidi" w:hAnsiTheme="majorBidi" w:cstheme="majorBidi"/>
          <w:sz w:val="24"/>
          <w:szCs w:val="24"/>
        </w:rPr>
      </w:pPr>
      <w:r w:rsidRPr="00243C81">
        <w:rPr>
          <w:rFonts w:asciiTheme="majorBidi" w:hAnsiTheme="majorBidi" w:cstheme="majorBidi"/>
          <w:sz w:val="24"/>
          <w:szCs w:val="24"/>
        </w:rPr>
        <w:t>Risk analysis needs to be done to set up and deal with issues that may hamper redesigning and implementing healthcare reforms. Saudi Arabia's health system has achieved huge advancements in the last decades in life expectancy, and in reducing infant and maternal mortality. Yet, the healthcare system is being stretched by the growing urban population and the spread of non-communicable diseases such as diabetes, heart disease, and obesity. (Gurajala, 2023) The population of the country is expected to increase from 33.5 million in 2018 to 39.5 million by 2030, with an aging population placing pressure on already strained health systems, especially among rural populations with poor access to primary and specialist care, resulting in health disparities(Al-Hanawi et al., 2019; Alasiri &amp; Mohammed, 2022) These are compounded by system inefficiencies such as poorly developed clinical pathways, absence of coordinated care, and worker productivity inefficiencies. The country requires reforms at the system level, for example, decentralization of health care, creating primary care centers and embracing technological innovations like eHealth, to respond to problems brought about by health care policies and practices. (Suleiman &amp; Ming, 2025) The shift from a hospital-centered model of health care towards a primary and preventive care-based model is due to increased demand for health care.</w:t>
      </w:r>
    </w:p>
    <w:p w14:paraId="4E30D839" w14:textId="77777777" w:rsidR="00243C81" w:rsidRPr="00243C81" w:rsidRDefault="00243C81" w:rsidP="00243C81">
      <w:pPr>
        <w:spacing w:after="0" w:line="480" w:lineRule="auto"/>
        <w:ind w:firstLine="720"/>
        <w:jc w:val="right"/>
        <w:rPr>
          <w:rFonts w:asciiTheme="majorBidi" w:hAnsiTheme="majorBidi" w:cstheme="majorBidi"/>
          <w:sz w:val="24"/>
          <w:szCs w:val="24"/>
        </w:rPr>
      </w:pPr>
      <w:r w:rsidRPr="00243C81">
        <w:rPr>
          <w:rFonts w:asciiTheme="majorBidi" w:hAnsiTheme="majorBidi" w:cstheme="majorBidi"/>
          <w:sz w:val="24"/>
          <w:szCs w:val="24"/>
        </w:rPr>
        <w:lastRenderedPageBreak/>
        <w:t>The impetus behind this is the development of patient-centered healthcare systems.</w:t>
      </w:r>
    </w:p>
    <w:p w14:paraId="100AF520" w14:textId="1A0A9F98" w:rsidR="00525FBB" w:rsidRPr="00525FBB" w:rsidRDefault="00243C81" w:rsidP="00243C81">
      <w:pPr>
        <w:spacing w:after="0" w:line="480" w:lineRule="auto"/>
        <w:ind w:firstLine="720"/>
        <w:jc w:val="right"/>
        <w:rPr>
          <w:rFonts w:asciiTheme="majorBidi" w:hAnsiTheme="majorBidi" w:cstheme="majorBidi"/>
          <w:sz w:val="24"/>
          <w:szCs w:val="24"/>
        </w:rPr>
      </w:pPr>
      <w:r w:rsidRPr="00243C81">
        <w:rPr>
          <w:rFonts w:asciiTheme="majorBidi" w:hAnsiTheme="majorBidi" w:cstheme="majorBidi"/>
          <w:sz w:val="24"/>
          <w:szCs w:val="24"/>
        </w:rPr>
        <w:t>With an aim to not just cure, but also prevent from disease by promoting healthy lifestyles, better chronic disease care, and the early diagnosis of health states, Vision 2030 has taken on another level of health reform.(Gendelman et al., 2021; Lateef &amp; Mhlongo, 2020; Moore et al., 2017) This transformation represents global health care trends that have placed greatest priority on health promotion and comprehensive care ranging from primary prevention to the most advanced-level treatments.(Gandarillas &amp; Goswami, 2018; Nhavoto &amp; Grönlund, 2014; Turcotte et al., 2015) With a focus on risk analysis, challenges, opportunities, and mitigation solutions to enable a successful transition, this systematic review seeks to explore the vision of the KSA transforming healthcare system in Vision 2030.</w:t>
      </w:r>
    </w:p>
    <w:p w14:paraId="2C9FF8E6" w14:textId="313DAF4B" w:rsidR="00525FBB" w:rsidRPr="00525FBB" w:rsidRDefault="00525FBB" w:rsidP="00525FBB">
      <w:pPr>
        <w:tabs>
          <w:tab w:val="left" w:pos="5292"/>
        </w:tabs>
        <w:jc w:val="right"/>
        <w:rPr>
          <w:rFonts w:asciiTheme="majorBidi" w:hAnsiTheme="majorBidi" w:cstheme="majorBidi"/>
          <w:b/>
          <w:bCs/>
          <w:sz w:val="24"/>
          <w:szCs w:val="24"/>
        </w:rPr>
      </w:pPr>
    </w:p>
    <w:p w14:paraId="1FF63A07" w14:textId="77777777" w:rsidR="00525FBB" w:rsidRPr="00525FBB" w:rsidRDefault="00525FBB" w:rsidP="00525FBB">
      <w:pPr>
        <w:spacing w:after="0" w:line="480" w:lineRule="auto"/>
        <w:jc w:val="right"/>
        <w:rPr>
          <w:rFonts w:asciiTheme="majorBidi" w:hAnsiTheme="majorBidi" w:cstheme="majorBidi"/>
          <w:b/>
          <w:bCs/>
          <w:sz w:val="24"/>
          <w:szCs w:val="24"/>
        </w:rPr>
      </w:pPr>
      <w:r w:rsidRPr="00525FBB">
        <w:rPr>
          <w:rFonts w:asciiTheme="majorBidi" w:hAnsiTheme="majorBidi" w:cstheme="majorBidi"/>
          <w:b/>
          <w:bCs/>
          <w:sz w:val="24"/>
          <w:szCs w:val="24"/>
        </w:rPr>
        <w:t>Literature Review</w:t>
      </w:r>
    </w:p>
    <w:p w14:paraId="7D15CFCB" w14:textId="77777777" w:rsidR="00234426" w:rsidRPr="00234426" w:rsidRDefault="00234426" w:rsidP="00234426">
      <w:pPr>
        <w:spacing w:after="0" w:line="480" w:lineRule="auto"/>
        <w:ind w:firstLine="720"/>
        <w:jc w:val="right"/>
        <w:rPr>
          <w:rFonts w:asciiTheme="majorBidi" w:hAnsiTheme="majorBidi" w:cstheme="majorBidi"/>
          <w:sz w:val="24"/>
          <w:szCs w:val="24"/>
        </w:rPr>
      </w:pPr>
      <w:r w:rsidRPr="00234426">
        <w:rPr>
          <w:rFonts w:asciiTheme="majorBidi" w:hAnsiTheme="majorBidi" w:cstheme="majorBidi"/>
          <w:sz w:val="24"/>
          <w:szCs w:val="24"/>
        </w:rPr>
        <w:t>Saudi Arabia's traditionally government-controlled healthcare system is at a crossroads in the midst of demographic transition, rising healthcare spending, and expanding disease burden of diabetes, cardiovascular diseases, and obesity. Significant gains in terms of added years of life and improved infant and maternal survival are significantly undermined by high population growth rates, ageing populations, higher turnover of the health workforce, and a host of other determinants. Since there is a huge burden on the health system's infrastructure, particularly in the rural and underdeveloped regions, there is an even greater need for a more sustainable, restructured, and efficient health system that can better accommodate the evolving demands of the population. (Riley et al., 2024)</w:t>
      </w:r>
    </w:p>
    <w:p w14:paraId="48D18C5E" w14:textId="77777777" w:rsidR="00234426" w:rsidRPr="00234426" w:rsidRDefault="00234426" w:rsidP="00234426">
      <w:pPr>
        <w:spacing w:after="0" w:line="480" w:lineRule="auto"/>
        <w:ind w:firstLine="720"/>
        <w:jc w:val="right"/>
        <w:rPr>
          <w:rFonts w:asciiTheme="majorBidi" w:hAnsiTheme="majorBidi" w:cstheme="majorBidi"/>
          <w:sz w:val="24"/>
          <w:szCs w:val="24"/>
        </w:rPr>
      </w:pPr>
      <w:r w:rsidRPr="00234426">
        <w:rPr>
          <w:rFonts w:asciiTheme="majorBidi" w:hAnsiTheme="majorBidi" w:cstheme="majorBidi"/>
          <w:sz w:val="24"/>
          <w:szCs w:val="24"/>
        </w:rPr>
        <w:t xml:space="preserve">Saudi Arabia's social and economic transformation is indeed presented in clear detail in Vision 2030, which has very grave consequences for the healthcare sector. Vision </w:t>
      </w:r>
      <w:r w:rsidRPr="00234426">
        <w:rPr>
          <w:rFonts w:asciiTheme="majorBidi" w:hAnsiTheme="majorBidi" w:cstheme="majorBidi"/>
          <w:sz w:val="24"/>
          <w:szCs w:val="24"/>
        </w:rPr>
        <w:lastRenderedPageBreak/>
        <w:t>2030 is ultimately concerned with diversifying the economy, decreasing Saudi Arabia's reliance on oil, and increasing the standard of living of all of its citizens. One of the most important aspects of this strategy is healthcare reform, which will modernize the healthcare system, improve the quality of care, and make it more accessible to everyone, especially those living in rural communities. Saudi Arabia has placed adoption of preventive care practice, deployment of digital health technology, and expanding healthcare services under public-private partnerships at the forefront of its agenda during this transformation.(Rahman &amp; Al-Borie, 2020; Rahman &amp; Qattan, 2021)</w:t>
      </w:r>
    </w:p>
    <w:p w14:paraId="2A02C219" w14:textId="77777777" w:rsidR="00234426" w:rsidRPr="00234426" w:rsidRDefault="00234426" w:rsidP="00234426">
      <w:pPr>
        <w:spacing w:after="0" w:line="480" w:lineRule="auto"/>
        <w:ind w:firstLine="720"/>
        <w:jc w:val="right"/>
        <w:rPr>
          <w:rFonts w:asciiTheme="majorBidi" w:hAnsiTheme="majorBidi" w:cstheme="majorBidi"/>
          <w:sz w:val="24"/>
          <w:szCs w:val="24"/>
        </w:rPr>
      </w:pPr>
      <w:r w:rsidRPr="00234426">
        <w:rPr>
          <w:rFonts w:asciiTheme="majorBidi" w:hAnsiTheme="majorBidi" w:cstheme="majorBidi"/>
          <w:sz w:val="24"/>
          <w:szCs w:val="24"/>
        </w:rPr>
        <w:t>One of the core elements of Vision 2030's health vision is the shift to a preventative and proactive, rather than reactive, model of healthcare that has been proven to be more efficient and effective.(Mathur &amp; Sutton, 2017; Sheth, 2014) This includes the creation of new models of care that prioritize health promotion, early intervention, and improved management of long-term conditions. Saudi Arabia plans to improve the effectiveness and accessibility of health care services through the adoption of digital health technology like telemedicine and electronic health records (EHRs). Better data management, more informed decision-making, and better patient tailoring are sure dividends of the health care sector's digitization. Second, the participation of the private sector in the delivery of health care will contribute to competition, the rise in the quality of services, and the reduction in the public sector's cost burden.</w:t>
      </w:r>
    </w:p>
    <w:p w14:paraId="21C684C7" w14:textId="77777777" w:rsidR="00234426" w:rsidRDefault="00234426" w:rsidP="00234426">
      <w:pPr>
        <w:spacing w:after="0" w:line="480" w:lineRule="auto"/>
        <w:ind w:firstLine="720"/>
        <w:jc w:val="right"/>
        <w:rPr>
          <w:rFonts w:asciiTheme="majorBidi" w:hAnsiTheme="majorBidi" w:cstheme="majorBidi"/>
          <w:sz w:val="24"/>
          <w:szCs w:val="24"/>
        </w:rPr>
      </w:pPr>
      <w:r w:rsidRPr="00234426">
        <w:rPr>
          <w:rFonts w:asciiTheme="majorBidi" w:hAnsiTheme="majorBidi" w:cstheme="majorBidi"/>
          <w:sz w:val="24"/>
          <w:szCs w:val="24"/>
        </w:rPr>
        <w:t xml:space="preserve">Despite the significant progress that has been made under Vision 2030, there remain issues confronting Saudi Arabia's healthcare reform. Some of the greatest issues include institutional and healthcare professionals' resistance to change. As a result of familiarity, the majority of healthcare professionals may resist new organizational arrangements, models of care, or technology. Comprehensive training programs, public education campaigns, and good communication strategies are required to overcome such resistance and demonstrate </w:t>
      </w:r>
      <w:r w:rsidRPr="00234426">
        <w:rPr>
          <w:rFonts w:asciiTheme="majorBidi" w:hAnsiTheme="majorBidi" w:cstheme="majorBidi"/>
          <w:sz w:val="24"/>
          <w:szCs w:val="24"/>
        </w:rPr>
        <w:lastRenderedPageBreak/>
        <w:t>the benefits of the change to patients and healthcare professionals alike. (Alkhurayji et al., 2024; Riley et al., 2024)</w:t>
      </w:r>
    </w:p>
    <w:p w14:paraId="2CB65DAF" w14:textId="77777777" w:rsidR="00234426" w:rsidRPr="00234426" w:rsidRDefault="00234426" w:rsidP="00234426">
      <w:pPr>
        <w:spacing w:after="0" w:line="480" w:lineRule="auto"/>
        <w:ind w:firstLine="720"/>
        <w:jc w:val="right"/>
        <w:rPr>
          <w:rFonts w:asciiTheme="majorBidi" w:hAnsiTheme="majorBidi" w:cstheme="majorBidi"/>
          <w:sz w:val="24"/>
          <w:szCs w:val="24"/>
        </w:rPr>
      </w:pPr>
      <w:r w:rsidRPr="00234426">
        <w:rPr>
          <w:rFonts w:asciiTheme="majorBidi" w:hAnsiTheme="majorBidi" w:cstheme="majorBidi"/>
          <w:sz w:val="24"/>
          <w:szCs w:val="24"/>
        </w:rPr>
        <w:t>The rural-urban digital divide is yet another critical issue. Although urban areas in Saudi Arabia have made significant progress in adopting digital health technology, less affluent and rural areas are behind in connectivity and infrastructure to leverage these technologies. To safeguard sensitive health information, the adoption of digital technologies such as telemedicine and EHRs necessitates significant investment in infrastructure, security, and training. (Alharbi, 2018) Evidence shows that bridging this gap is necessary to ensure all citizens benefit from advances in medical technology. (Yousef et al., 2023)</w:t>
      </w:r>
    </w:p>
    <w:p w14:paraId="6B34CF60" w14:textId="77777777" w:rsidR="00234426" w:rsidRPr="00234426" w:rsidRDefault="00234426" w:rsidP="00234426">
      <w:pPr>
        <w:spacing w:after="0" w:line="480" w:lineRule="auto"/>
        <w:ind w:firstLine="720"/>
        <w:jc w:val="right"/>
        <w:rPr>
          <w:rFonts w:asciiTheme="majorBidi" w:hAnsiTheme="majorBidi" w:cstheme="majorBidi"/>
          <w:sz w:val="24"/>
          <w:szCs w:val="24"/>
        </w:rPr>
      </w:pPr>
      <w:r w:rsidRPr="00234426">
        <w:rPr>
          <w:rFonts w:asciiTheme="majorBidi" w:hAnsiTheme="majorBidi" w:cstheme="majorBidi"/>
          <w:sz w:val="24"/>
          <w:szCs w:val="24"/>
        </w:rPr>
        <w:t>Yet another issue of importance is the shortage of manpower in the medical line, particularly the specialized branches. Though there are attempts to improve the percentage of Saudi residents who work in the medical line, the business still largely relies on foreign labor. A greater focus must be laid in trying to curb this problem effectively on workforce development, i.e., training the medical professionals on forthcoming technology and non-traditional models of care.(Alkhurayji et al., 2024; Mani &amp; Goniewicz, 2024) This increasing demand for the healthcare services coupled with this shortage of properly trained workers puts healthcare practitioners at an increased burden of rendering effective quality care with no waste (Chowdhury et al., 2021). Despite all these setbacks, there are plenty of chances that can push Saudi Arabia's healthcare sector to transform.</w:t>
      </w:r>
    </w:p>
    <w:p w14:paraId="640476AE" w14:textId="77777777" w:rsidR="00234426" w:rsidRPr="00234426" w:rsidRDefault="00234426" w:rsidP="00234426">
      <w:pPr>
        <w:spacing w:after="0" w:line="480" w:lineRule="auto"/>
        <w:ind w:firstLine="720"/>
        <w:jc w:val="right"/>
        <w:rPr>
          <w:rFonts w:asciiTheme="majorBidi" w:hAnsiTheme="majorBidi" w:cstheme="majorBidi"/>
          <w:sz w:val="24"/>
          <w:szCs w:val="24"/>
        </w:rPr>
      </w:pPr>
      <w:r w:rsidRPr="00234426">
        <w:rPr>
          <w:rFonts w:asciiTheme="majorBidi" w:hAnsiTheme="majorBidi" w:cstheme="majorBidi"/>
          <w:sz w:val="24"/>
          <w:szCs w:val="24"/>
        </w:rPr>
        <w:t xml:space="preserve">One such area of focus is adoption of digital health technology including telemedicine, artificial intelligence (AI), and electronic health records (EHRs). By providing immediate access to patient information, these technologies have the ability to automate administrative work, improve diagnostic accuracy, reduce healthcare costs, and enable more personalized treatment. In rural and underserved populations, use of telemedicine in particular has the potential to significantly improve delivery of healthcare. </w:t>
      </w:r>
      <w:r w:rsidRPr="00234426">
        <w:rPr>
          <w:rFonts w:asciiTheme="majorBidi" w:hAnsiTheme="majorBidi" w:cstheme="majorBidi"/>
          <w:sz w:val="24"/>
          <w:szCs w:val="24"/>
        </w:rPr>
        <w:lastRenderedPageBreak/>
        <w:t>(Mohammed et al., 2024; Suleiman &amp; Ming, 2025) The focus on health promotion and prevention is the second great healthcare reform opportunity.</w:t>
      </w:r>
    </w:p>
    <w:p w14:paraId="48F61585" w14:textId="1A49E521" w:rsidR="00525FBB" w:rsidRPr="00525FBB" w:rsidRDefault="00234426" w:rsidP="00234426">
      <w:pPr>
        <w:spacing w:after="0" w:line="480" w:lineRule="auto"/>
        <w:ind w:firstLine="720"/>
        <w:jc w:val="right"/>
        <w:rPr>
          <w:rFonts w:asciiTheme="majorBidi" w:hAnsiTheme="majorBidi" w:cstheme="majorBidi"/>
          <w:sz w:val="24"/>
          <w:szCs w:val="24"/>
        </w:rPr>
      </w:pPr>
      <w:r w:rsidRPr="00234426">
        <w:rPr>
          <w:rFonts w:asciiTheme="majorBidi" w:hAnsiTheme="majorBidi" w:cstheme="majorBidi"/>
          <w:sz w:val="24"/>
          <w:szCs w:val="24"/>
        </w:rPr>
        <w:t>Saudi Arabia can reduce the future cost of chronic disease by investing in health programs at the community level, early intervention, and health education. By decreasing utilization of expensive treatment and hospitalization, preventive care not only yields better health outcomes but also saves healthcare costs in the long run. (Al Khashan et al., n.d.) Saudi Arabia would need to implement effective measures of mitigation to resolve the issues highlighted above in order to ensure success in the transformation. The new healthcare models should be implemented progressively and systematically. This would involve starting pilot schemes that can be piloted, evaluated, and perfected before implementation on a national level. Ongoing risk analysis will bring to the fore likely points of failure and allow the identification of countermeasures.(Alharbi, 2018; Suleiman &amp; Ming, 2025)</w:t>
      </w:r>
    </w:p>
    <w:p w14:paraId="6A39A489" w14:textId="737001E6" w:rsidR="00525FBB" w:rsidRPr="00525FBB" w:rsidRDefault="00525FBB" w:rsidP="00525FBB">
      <w:pPr>
        <w:spacing w:after="0" w:line="480" w:lineRule="auto"/>
        <w:rPr>
          <w:rFonts w:asciiTheme="majorBidi" w:hAnsiTheme="majorBidi" w:cstheme="majorBidi"/>
          <w:sz w:val="24"/>
          <w:szCs w:val="24"/>
        </w:rPr>
      </w:pPr>
    </w:p>
    <w:p w14:paraId="406A14B4" w14:textId="77777777" w:rsidR="00525FBB" w:rsidRPr="00525FBB" w:rsidRDefault="00525FBB" w:rsidP="00525FBB">
      <w:pPr>
        <w:spacing w:after="0" w:line="480" w:lineRule="auto"/>
        <w:jc w:val="right"/>
        <w:rPr>
          <w:rFonts w:asciiTheme="majorBidi" w:hAnsiTheme="majorBidi" w:cstheme="majorBidi"/>
          <w:b/>
          <w:bCs/>
          <w:sz w:val="24"/>
          <w:szCs w:val="24"/>
        </w:rPr>
      </w:pPr>
      <w:r w:rsidRPr="00525FBB">
        <w:rPr>
          <w:rFonts w:asciiTheme="majorBidi" w:hAnsiTheme="majorBidi" w:cstheme="majorBidi"/>
          <w:b/>
          <w:bCs/>
          <w:sz w:val="24"/>
          <w:szCs w:val="24"/>
        </w:rPr>
        <w:t>Methodology</w:t>
      </w:r>
    </w:p>
    <w:p w14:paraId="7B8A744D" w14:textId="77777777" w:rsidR="00DA0FF8" w:rsidRPr="00DA0FF8" w:rsidRDefault="00DA0FF8" w:rsidP="00DA0FF8">
      <w:pPr>
        <w:spacing w:after="0" w:line="480" w:lineRule="auto"/>
        <w:ind w:firstLine="720"/>
        <w:jc w:val="right"/>
        <w:rPr>
          <w:rFonts w:asciiTheme="majorBidi" w:hAnsiTheme="majorBidi" w:cstheme="majorBidi"/>
          <w:sz w:val="24"/>
          <w:szCs w:val="24"/>
        </w:rPr>
      </w:pPr>
      <w:r w:rsidRPr="00DA0FF8">
        <w:rPr>
          <w:rFonts w:asciiTheme="majorBidi" w:hAnsiTheme="majorBidi" w:cstheme="majorBidi"/>
          <w:sz w:val="24"/>
          <w:szCs w:val="24"/>
        </w:rPr>
        <w:t>A focused search strategy to find and access the literature upon which to concentrate the research question was developed, examining how the healthcare programs in Saudi Arabia are experiencing a shift, i.e., risk assessment, challenges, opportunities, and mitigative strategies. A systematic search approach was employed across databases to look for studies that were pertinent and had investigated the effect of healthcare reforms, in this case under Vision 2030, on the healthcare organisation, workforce, and patient outcomes. Searches were carried out across databases PubMed, Science Direct, Google Scholar, Semantic Scholar, and Directory of Open Access Journals (DOAJ).</w:t>
      </w:r>
    </w:p>
    <w:p w14:paraId="099C9767" w14:textId="77777777" w:rsidR="00DA0FF8" w:rsidRPr="00DA0FF8" w:rsidRDefault="00DA0FF8" w:rsidP="00DA0FF8">
      <w:pPr>
        <w:spacing w:after="0" w:line="480" w:lineRule="auto"/>
        <w:ind w:firstLine="720"/>
        <w:jc w:val="right"/>
        <w:rPr>
          <w:rFonts w:asciiTheme="majorBidi" w:hAnsiTheme="majorBidi" w:cstheme="majorBidi"/>
          <w:sz w:val="24"/>
          <w:szCs w:val="24"/>
        </w:rPr>
      </w:pPr>
      <w:r w:rsidRPr="00DA0FF8">
        <w:rPr>
          <w:rFonts w:asciiTheme="majorBidi" w:hAnsiTheme="majorBidi" w:cstheme="majorBidi"/>
          <w:sz w:val="24"/>
          <w:szCs w:val="24"/>
        </w:rPr>
        <w:t xml:space="preserve">Using a sequence of progressively sensitive search terms and filters with relevant medical subject heading terms (MeSH), the search was conducted using the words "Risk </w:t>
      </w:r>
      <w:r w:rsidRPr="00DA0FF8">
        <w:rPr>
          <w:rFonts w:asciiTheme="majorBidi" w:hAnsiTheme="majorBidi" w:cstheme="majorBidi"/>
          <w:sz w:val="24"/>
          <w:szCs w:val="24"/>
        </w:rPr>
        <w:lastRenderedPageBreak/>
        <w:t>Assessment," "Healthcare Transformation," "Vision 2030," and "Saudi Arabia Healthcare System." These words yielded a gigantic number of results, which were then systematically filtered. An initial search with the keyword "Saudi Arabia Healthcare System" yielded 707,860 articles. These sorts of phrases, like "Vision 2030 Healthcare Reform Saudi Arabia" or "Healthcare Transformation Saudi Arabia," yielded 177,674 articles. Inserting more specificity with "Saudi Arabia Healthcare Transformation Risk Assessment" reduced the number to 71,348 articles. Restricting to the past decade brought the results to 8773.</w:t>
      </w:r>
    </w:p>
    <w:p w14:paraId="39A15CC0" w14:textId="6F68A850" w:rsidR="00525FBB" w:rsidRPr="00992C84" w:rsidRDefault="00DA0FF8" w:rsidP="00DA0FF8">
      <w:pPr>
        <w:spacing w:after="0" w:line="480" w:lineRule="auto"/>
        <w:ind w:firstLine="720"/>
        <w:jc w:val="right"/>
        <w:rPr>
          <w:rFonts w:asciiTheme="majorBidi" w:hAnsiTheme="majorBidi" w:cstheme="majorBidi"/>
          <w:sz w:val="24"/>
          <w:szCs w:val="24"/>
        </w:rPr>
      </w:pPr>
      <w:r w:rsidRPr="00DA0FF8">
        <w:rPr>
          <w:rFonts w:asciiTheme="majorBidi" w:hAnsiTheme="majorBidi" w:cstheme="majorBidi"/>
          <w:sz w:val="24"/>
          <w:szCs w:val="24"/>
        </w:rPr>
        <w:t>There were other filters of peer-reviewed, human studies, and English-language journal articles used to get down to 649 articles. Out of these, 12 articles were within the study scope since the study addressed the opportunities, challenges, and risk in the transformation process of healthcare programs in Saudi Arabia under Vision 2030. The identified articles were subjected to intense scrutiny with the thematic analysis process for the purpose of coming up with thematic areas in the study. Synthesis of findings resulted in recurring challenges, emerging opportunities, and suggested healthcare transformation strategies. Quantitative data, where it existed, was examined for trends, and qualitative data used to enable main findings into healthcare.</w:t>
      </w:r>
    </w:p>
    <w:p w14:paraId="7E700451" w14:textId="77777777" w:rsidR="00525FBB" w:rsidRPr="00525FBB" w:rsidRDefault="00525FBB" w:rsidP="00525FBB">
      <w:pPr>
        <w:spacing w:line="276" w:lineRule="auto"/>
        <w:jc w:val="right"/>
        <w:rPr>
          <w:rFonts w:asciiTheme="majorBidi" w:hAnsiTheme="majorBidi" w:cstheme="majorBidi"/>
          <w:b/>
          <w:bCs/>
          <w:sz w:val="24"/>
          <w:szCs w:val="24"/>
          <w:u w:val="single"/>
        </w:rPr>
      </w:pPr>
    </w:p>
    <w:p w14:paraId="2A629E13" w14:textId="77777777" w:rsidR="00525FBB" w:rsidRPr="00525FBB" w:rsidRDefault="00525FBB" w:rsidP="00525FBB">
      <w:pPr>
        <w:spacing w:line="276" w:lineRule="auto"/>
        <w:jc w:val="right"/>
        <w:rPr>
          <w:rFonts w:asciiTheme="majorBidi" w:hAnsiTheme="majorBidi" w:cstheme="majorBidi"/>
          <w:b/>
          <w:bCs/>
          <w:sz w:val="24"/>
          <w:szCs w:val="24"/>
          <w:u w:val="single"/>
        </w:rPr>
      </w:pPr>
      <w:r w:rsidRPr="00525FBB">
        <w:rPr>
          <w:rFonts w:asciiTheme="majorBidi" w:hAnsiTheme="majorBidi" w:cstheme="majorBidi"/>
          <w:b/>
          <w:bCs/>
          <w:sz w:val="24"/>
          <w:szCs w:val="24"/>
          <w:u w:val="single"/>
        </w:rPr>
        <w:t>TABLE 1: RELEVANT SEARCH RESULTS</w:t>
      </w:r>
    </w:p>
    <w:tbl>
      <w:tblPr>
        <w:tblStyle w:val="TableGrid"/>
        <w:tblW w:w="5000" w:type="pct"/>
        <w:tblLayout w:type="fixed"/>
        <w:tblLook w:val="04A0" w:firstRow="1" w:lastRow="0" w:firstColumn="1" w:lastColumn="0" w:noHBand="0" w:noVBand="1"/>
      </w:tblPr>
      <w:tblGrid>
        <w:gridCol w:w="844"/>
        <w:gridCol w:w="2977"/>
        <w:gridCol w:w="833"/>
        <w:gridCol w:w="833"/>
        <w:gridCol w:w="870"/>
        <w:gridCol w:w="896"/>
        <w:gridCol w:w="734"/>
        <w:gridCol w:w="835"/>
      </w:tblGrid>
      <w:tr w:rsidR="00525FBB" w:rsidRPr="00525FBB" w14:paraId="4955D93E" w14:textId="77777777" w:rsidTr="006C25DC">
        <w:trPr>
          <w:trHeight w:val="576"/>
        </w:trPr>
        <w:tc>
          <w:tcPr>
            <w:tcW w:w="479" w:type="pct"/>
            <w:vAlign w:val="center"/>
          </w:tcPr>
          <w:p w14:paraId="2457021D" w14:textId="77777777" w:rsidR="00525FBB" w:rsidRPr="00525FBB" w:rsidRDefault="00525FBB" w:rsidP="00525FBB">
            <w:pPr>
              <w:spacing w:line="276" w:lineRule="auto"/>
              <w:jc w:val="right"/>
              <w:rPr>
                <w:rFonts w:asciiTheme="majorBidi" w:hAnsiTheme="majorBidi" w:cstheme="majorBidi"/>
                <w:b/>
                <w:bCs/>
                <w:sz w:val="24"/>
                <w:szCs w:val="24"/>
              </w:rPr>
            </w:pPr>
            <w:r w:rsidRPr="00525FBB">
              <w:rPr>
                <w:rFonts w:asciiTheme="majorBidi" w:hAnsiTheme="majorBidi" w:cstheme="majorBidi"/>
                <w:b/>
                <w:bCs/>
                <w:sz w:val="24"/>
                <w:szCs w:val="24"/>
              </w:rPr>
              <w:t xml:space="preserve">Search </w:t>
            </w:r>
          </w:p>
          <w:p w14:paraId="38F8E9C1" w14:textId="77777777" w:rsidR="00525FBB" w:rsidRPr="00525FBB" w:rsidRDefault="00525FBB" w:rsidP="00525FBB">
            <w:pPr>
              <w:spacing w:line="276" w:lineRule="auto"/>
              <w:jc w:val="right"/>
              <w:rPr>
                <w:rFonts w:asciiTheme="majorBidi" w:hAnsiTheme="majorBidi" w:cstheme="majorBidi"/>
                <w:b/>
                <w:bCs/>
                <w:sz w:val="24"/>
                <w:szCs w:val="24"/>
              </w:rPr>
            </w:pPr>
            <w:r w:rsidRPr="00525FBB">
              <w:rPr>
                <w:rFonts w:asciiTheme="majorBidi" w:hAnsiTheme="majorBidi" w:cstheme="majorBidi"/>
                <w:b/>
                <w:bCs/>
                <w:sz w:val="24"/>
                <w:szCs w:val="24"/>
              </w:rPr>
              <w:t>No.</w:t>
            </w:r>
          </w:p>
        </w:tc>
        <w:tc>
          <w:tcPr>
            <w:tcW w:w="1687" w:type="pct"/>
            <w:vAlign w:val="center"/>
          </w:tcPr>
          <w:p w14:paraId="402C5513" w14:textId="77777777" w:rsidR="00525FBB" w:rsidRPr="00525FBB" w:rsidRDefault="00525FBB" w:rsidP="00525FBB">
            <w:pPr>
              <w:spacing w:line="276" w:lineRule="auto"/>
              <w:jc w:val="right"/>
              <w:rPr>
                <w:rFonts w:asciiTheme="majorBidi" w:hAnsiTheme="majorBidi" w:cstheme="majorBidi"/>
                <w:b/>
                <w:bCs/>
                <w:sz w:val="24"/>
                <w:szCs w:val="24"/>
              </w:rPr>
            </w:pPr>
            <w:r w:rsidRPr="00525FBB">
              <w:rPr>
                <w:rFonts w:asciiTheme="majorBidi" w:hAnsiTheme="majorBidi" w:cstheme="majorBidi"/>
                <w:b/>
                <w:bCs/>
                <w:sz w:val="24"/>
                <w:szCs w:val="24"/>
              </w:rPr>
              <w:t>Search Term</w:t>
            </w:r>
          </w:p>
        </w:tc>
        <w:tc>
          <w:tcPr>
            <w:tcW w:w="472" w:type="pct"/>
            <w:vAlign w:val="center"/>
          </w:tcPr>
          <w:p w14:paraId="7FC88A12" w14:textId="77777777" w:rsidR="00525FBB" w:rsidRPr="00525FBB" w:rsidRDefault="00525FBB" w:rsidP="00525FBB">
            <w:pPr>
              <w:spacing w:line="276" w:lineRule="auto"/>
              <w:ind w:left="-44" w:right="-90"/>
              <w:jc w:val="right"/>
              <w:rPr>
                <w:rFonts w:asciiTheme="majorBidi" w:hAnsiTheme="majorBidi" w:cstheme="majorBidi"/>
                <w:b/>
                <w:bCs/>
                <w:sz w:val="24"/>
                <w:szCs w:val="24"/>
              </w:rPr>
            </w:pPr>
            <w:r w:rsidRPr="00525FBB">
              <w:rPr>
                <w:rFonts w:asciiTheme="majorBidi" w:hAnsiTheme="majorBidi" w:cstheme="majorBidi"/>
                <w:b/>
                <w:bCs/>
                <w:sz w:val="24"/>
                <w:szCs w:val="24"/>
              </w:rPr>
              <w:t>PubMed</w:t>
            </w:r>
          </w:p>
        </w:tc>
        <w:tc>
          <w:tcPr>
            <w:tcW w:w="472" w:type="pct"/>
            <w:vAlign w:val="center"/>
          </w:tcPr>
          <w:p w14:paraId="4B65E261" w14:textId="77777777" w:rsidR="00525FBB" w:rsidRPr="00525FBB" w:rsidRDefault="00525FBB" w:rsidP="00525FBB">
            <w:pPr>
              <w:spacing w:line="276" w:lineRule="auto"/>
              <w:ind w:left="-44" w:right="-90"/>
              <w:jc w:val="right"/>
              <w:rPr>
                <w:rFonts w:asciiTheme="majorBidi" w:hAnsiTheme="majorBidi" w:cstheme="majorBidi"/>
                <w:b/>
                <w:bCs/>
                <w:sz w:val="24"/>
                <w:szCs w:val="24"/>
              </w:rPr>
            </w:pPr>
            <w:r w:rsidRPr="00525FBB">
              <w:rPr>
                <w:rFonts w:asciiTheme="majorBidi" w:hAnsiTheme="majorBidi" w:cstheme="majorBidi"/>
                <w:b/>
                <w:bCs/>
                <w:sz w:val="24"/>
                <w:szCs w:val="24"/>
              </w:rPr>
              <w:t>Science Direct</w:t>
            </w:r>
          </w:p>
        </w:tc>
        <w:tc>
          <w:tcPr>
            <w:tcW w:w="493" w:type="pct"/>
            <w:vAlign w:val="center"/>
          </w:tcPr>
          <w:p w14:paraId="1EAA773C" w14:textId="77777777" w:rsidR="00525FBB" w:rsidRPr="00525FBB" w:rsidRDefault="00525FBB" w:rsidP="00525FBB">
            <w:pPr>
              <w:spacing w:line="276" w:lineRule="auto"/>
              <w:ind w:left="-44" w:right="-90"/>
              <w:jc w:val="right"/>
              <w:rPr>
                <w:rFonts w:asciiTheme="majorBidi" w:hAnsiTheme="majorBidi" w:cstheme="majorBidi"/>
                <w:b/>
                <w:bCs/>
                <w:sz w:val="24"/>
                <w:szCs w:val="24"/>
              </w:rPr>
            </w:pPr>
            <w:r w:rsidRPr="00525FBB">
              <w:rPr>
                <w:rFonts w:asciiTheme="majorBidi" w:hAnsiTheme="majorBidi" w:cstheme="majorBidi"/>
                <w:b/>
                <w:bCs/>
                <w:sz w:val="24"/>
                <w:szCs w:val="24"/>
              </w:rPr>
              <w:t>Google Scholar</w:t>
            </w:r>
          </w:p>
        </w:tc>
        <w:tc>
          <w:tcPr>
            <w:tcW w:w="508" w:type="pct"/>
            <w:vAlign w:val="center"/>
          </w:tcPr>
          <w:p w14:paraId="0CAD0407" w14:textId="77777777" w:rsidR="00525FBB" w:rsidRPr="00525FBB" w:rsidRDefault="00525FBB" w:rsidP="00525FBB">
            <w:pPr>
              <w:spacing w:line="276" w:lineRule="auto"/>
              <w:ind w:left="-44" w:right="-90"/>
              <w:jc w:val="right"/>
              <w:rPr>
                <w:rFonts w:asciiTheme="majorBidi" w:hAnsiTheme="majorBidi" w:cstheme="majorBidi"/>
                <w:b/>
                <w:bCs/>
                <w:sz w:val="24"/>
                <w:szCs w:val="24"/>
              </w:rPr>
            </w:pPr>
            <w:r w:rsidRPr="00525FBB">
              <w:rPr>
                <w:rFonts w:asciiTheme="majorBidi" w:hAnsiTheme="majorBidi" w:cstheme="majorBidi"/>
                <w:b/>
                <w:bCs/>
                <w:sz w:val="24"/>
                <w:szCs w:val="24"/>
              </w:rPr>
              <w:t>Semantic</w:t>
            </w:r>
            <w:r w:rsidRPr="00525FBB">
              <w:rPr>
                <w:rFonts w:asciiTheme="majorBidi" w:hAnsiTheme="majorBidi" w:cstheme="majorBidi"/>
                <w:b/>
                <w:bCs/>
                <w:sz w:val="24"/>
                <w:szCs w:val="24"/>
              </w:rPr>
              <w:br/>
              <w:t>Scholar</w:t>
            </w:r>
          </w:p>
        </w:tc>
        <w:tc>
          <w:tcPr>
            <w:tcW w:w="416" w:type="pct"/>
            <w:vAlign w:val="center"/>
          </w:tcPr>
          <w:p w14:paraId="6480421A" w14:textId="77777777" w:rsidR="00525FBB" w:rsidRPr="00525FBB" w:rsidRDefault="00525FBB" w:rsidP="00525FBB">
            <w:pPr>
              <w:spacing w:line="276" w:lineRule="auto"/>
              <w:ind w:left="-44" w:right="-90"/>
              <w:jc w:val="right"/>
              <w:rPr>
                <w:rFonts w:asciiTheme="majorBidi" w:hAnsiTheme="majorBidi" w:cstheme="majorBidi"/>
                <w:b/>
                <w:bCs/>
                <w:sz w:val="24"/>
                <w:szCs w:val="24"/>
              </w:rPr>
            </w:pPr>
            <w:r w:rsidRPr="00525FBB">
              <w:rPr>
                <w:rFonts w:asciiTheme="majorBidi" w:hAnsiTheme="majorBidi" w:cstheme="majorBidi"/>
                <w:b/>
                <w:bCs/>
                <w:sz w:val="24"/>
                <w:szCs w:val="24"/>
              </w:rPr>
              <w:t>DOAJ</w:t>
            </w:r>
          </w:p>
        </w:tc>
        <w:tc>
          <w:tcPr>
            <w:tcW w:w="473" w:type="pct"/>
            <w:vAlign w:val="center"/>
          </w:tcPr>
          <w:p w14:paraId="2774DD2D" w14:textId="77777777" w:rsidR="00525FBB" w:rsidRPr="00525FBB" w:rsidRDefault="00525FBB" w:rsidP="00525FBB">
            <w:pPr>
              <w:spacing w:line="276" w:lineRule="auto"/>
              <w:ind w:left="-44" w:right="-90"/>
              <w:jc w:val="right"/>
              <w:rPr>
                <w:rFonts w:asciiTheme="majorBidi" w:hAnsiTheme="majorBidi" w:cstheme="majorBidi"/>
                <w:b/>
                <w:bCs/>
                <w:sz w:val="24"/>
                <w:szCs w:val="24"/>
              </w:rPr>
            </w:pPr>
            <w:r w:rsidRPr="00525FBB">
              <w:rPr>
                <w:rFonts w:asciiTheme="majorBidi" w:hAnsiTheme="majorBidi" w:cstheme="majorBidi"/>
                <w:b/>
                <w:bCs/>
                <w:sz w:val="24"/>
                <w:szCs w:val="24"/>
              </w:rPr>
              <w:t xml:space="preserve">Total </w:t>
            </w:r>
          </w:p>
        </w:tc>
      </w:tr>
      <w:tr w:rsidR="00525FBB" w:rsidRPr="00525FBB" w14:paraId="5DE3DEDF" w14:textId="77777777" w:rsidTr="006C25DC">
        <w:trPr>
          <w:trHeight w:val="576"/>
        </w:trPr>
        <w:tc>
          <w:tcPr>
            <w:tcW w:w="479" w:type="pct"/>
            <w:vAlign w:val="center"/>
          </w:tcPr>
          <w:p w14:paraId="7D7C0DD1"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sz w:val="24"/>
                <w:szCs w:val="24"/>
              </w:rPr>
              <w:t>S1</w:t>
            </w:r>
          </w:p>
        </w:tc>
        <w:tc>
          <w:tcPr>
            <w:tcW w:w="1687" w:type="pct"/>
            <w:vAlign w:val="center"/>
          </w:tcPr>
          <w:p w14:paraId="1B2AF327"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Saudi Arabia Healthcare System</w:t>
            </w:r>
          </w:p>
        </w:tc>
        <w:tc>
          <w:tcPr>
            <w:tcW w:w="472" w:type="pct"/>
            <w:vAlign w:val="center"/>
          </w:tcPr>
          <w:p w14:paraId="59BEEC1E"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8,111</w:t>
            </w:r>
          </w:p>
        </w:tc>
        <w:tc>
          <w:tcPr>
            <w:tcW w:w="472" w:type="pct"/>
            <w:vAlign w:val="center"/>
          </w:tcPr>
          <w:p w14:paraId="0C7529A5"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17,349</w:t>
            </w:r>
          </w:p>
        </w:tc>
        <w:tc>
          <w:tcPr>
            <w:tcW w:w="493" w:type="pct"/>
            <w:vAlign w:val="center"/>
          </w:tcPr>
          <w:p w14:paraId="05CB6441"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661000</w:t>
            </w:r>
          </w:p>
        </w:tc>
        <w:tc>
          <w:tcPr>
            <w:tcW w:w="508" w:type="pct"/>
            <w:vAlign w:val="center"/>
          </w:tcPr>
          <w:p w14:paraId="66D1C5C3"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21,400</w:t>
            </w:r>
          </w:p>
        </w:tc>
        <w:tc>
          <w:tcPr>
            <w:tcW w:w="416" w:type="pct"/>
            <w:vAlign w:val="center"/>
          </w:tcPr>
          <w:p w14:paraId="189CB3DE"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0</w:t>
            </w:r>
          </w:p>
        </w:tc>
        <w:tc>
          <w:tcPr>
            <w:tcW w:w="473" w:type="pct"/>
            <w:vAlign w:val="center"/>
          </w:tcPr>
          <w:p w14:paraId="4EACFFF3"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707,860</w:t>
            </w:r>
          </w:p>
        </w:tc>
      </w:tr>
      <w:tr w:rsidR="00525FBB" w:rsidRPr="00525FBB" w14:paraId="72C4A7D7" w14:textId="77777777" w:rsidTr="006C25DC">
        <w:trPr>
          <w:trHeight w:val="576"/>
        </w:trPr>
        <w:tc>
          <w:tcPr>
            <w:tcW w:w="479" w:type="pct"/>
            <w:vAlign w:val="center"/>
          </w:tcPr>
          <w:p w14:paraId="09EA09CD"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sz w:val="24"/>
                <w:szCs w:val="24"/>
              </w:rPr>
              <w:t>S2</w:t>
            </w:r>
          </w:p>
        </w:tc>
        <w:tc>
          <w:tcPr>
            <w:tcW w:w="1687" w:type="pct"/>
            <w:vAlign w:val="center"/>
          </w:tcPr>
          <w:p w14:paraId="7286A974"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Vision 2030 Healthcare Reform Saudi Arabia</w:t>
            </w:r>
          </w:p>
        </w:tc>
        <w:tc>
          <w:tcPr>
            <w:tcW w:w="472" w:type="pct"/>
            <w:vAlign w:val="center"/>
          </w:tcPr>
          <w:p w14:paraId="331FB8E2"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14</w:t>
            </w:r>
          </w:p>
        </w:tc>
        <w:tc>
          <w:tcPr>
            <w:tcW w:w="472" w:type="pct"/>
            <w:vAlign w:val="center"/>
          </w:tcPr>
          <w:p w14:paraId="630485C0"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167</w:t>
            </w:r>
          </w:p>
        </w:tc>
        <w:tc>
          <w:tcPr>
            <w:tcW w:w="493" w:type="pct"/>
            <w:vAlign w:val="center"/>
          </w:tcPr>
          <w:p w14:paraId="3F8BF3D0"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23,200</w:t>
            </w:r>
          </w:p>
        </w:tc>
        <w:tc>
          <w:tcPr>
            <w:tcW w:w="508" w:type="pct"/>
            <w:vAlign w:val="center"/>
          </w:tcPr>
          <w:p w14:paraId="77153CF7"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24,800</w:t>
            </w:r>
          </w:p>
        </w:tc>
        <w:tc>
          <w:tcPr>
            <w:tcW w:w="416" w:type="pct"/>
            <w:vAlign w:val="center"/>
          </w:tcPr>
          <w:p w14:paraId="04D0B7BC"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0</w:t>
            </w:r>
          </w:p>
        </w:tc>
        <w:tc>
          <w:tcPr>
            <w:tcW w:w="473" w:type="pct"/>
            <w:vAlign w:val="center"/>
          </w:tcPr>
          <w:p w14:paraId="56255F44"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48,181</w:t>
            </w:r>
          </w:p>
        </w:tc>
      </w:tr>
      <w:tr w:rsidR="00525FBB" w:rsidRPr="00525FBB" w14:paraId="102911B3" w14:textId="77777777" w:rsidTr="006C25DC">
        <w:trPr>
          <w:trHeight w:val="576"/>
        </w:trPr>
        <w:tc>
          <w:tcPr>
            <w:tcW w:w="479" w:type="pct"/>
            <w:vAlign w:val="center"/>
          </w:tcPr>
          <w:p w14:paraId="7D67D1C5"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sz w:val="24"/>
                <w:szCs w:val="24"/>
              </w:rPr>
              <w:t>S3</w:t>
            </w:r>
          </w:p>
        </w:tc>
        <w:tc>
          <w:tcPr>
            <w:tcW w:w="1687" w:type="pct"/>
            <w:vAlign w:val="center"/>
          </w:tcPr>
          <w:p w14:paraId="12E77DB6"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Saudi Arabia Healthcare Transformation</w:t>
            </w:r>
          </w:p>
        </w:tc>
        <w:tc>
          <w:tcPr>
            <w:tcW w:w="472" w:type="pct"/>
            <w:vAlign w:val="center"/>
          </w:tcPr>
          <w:p w14:paraId="55CE6E6E"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188</w:t>
            </w:r>
          </w:p>
        </w:tc>
        <w:tc>
          <w:tcPr>
            <w:tcW w:w="472" w:type="pct"/>
            <w:vAlign w:val="center"/>
          </w:tcPr>
          <w:p w14:paraId="6B6F5E74"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3,865</w:t>
            </w:r>
          </w:p>
        </w:tc>
        <w:tc>
          <w:tcPr>
            <w:tcW w:w="493" w:type="pct"/>
            <w:vAlign w:val="center"/>
          </w:tcPr>
          <w:p w14:paraId="2A8788F2"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117000</w:t>
            </w:r>
          </w:p>
        </w:tc>
        <w:tc>
          <w:tcPr>
            <w:tcW w:w="508" w:type="pct"/>
            <w:vAlign w:val="center"/>
          </w:tcPr>
          <w:p w14:paraId="2C9D68AF"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8440</w:t>
            </w:r>
          </w:p>
        </w:tc>
        <w:tc>
          <w:tcPr>
            <w:tcW w:w="416" w:type="pct"/>
            <w:vAlign w:val="center"/>
          </w:tcPr>
          <w:p w14:paraId="2DC5C0F7"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0</w:t>
            </w:r>
          </w:p>
        </w:tc>
        <w:tc>
          <w:tcPr>
            <w:tcW w:w="473" w:type="pct"/>
            <w:vAlign w:val="center"/>
          </w:tcPr>
          <w:p w14:paraId="168890D6"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129,493</w:t>
            </w:r>
          </w:p>
        </w:tc>
      </w:tr>
      <w:tr w:rsidR="00525FBB" w:rsidRPr="00525FBB" w14:paraId="2CD466AD" w14:textId="77777777" w:rsidTr="006C25DC">
        <w:trPr>
          <w:trHeight w:val="576"/>
        </w:trPr>
        <w:tc>
          <w:tcPr>
            <w:tcW w:w="479" w:type="pct"/>
            <w:vAlign w:val="center"/>
          </w:tcPr>
          <w:p w14:paraId="1298BD19"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sz w:val="24"/>
                <w:szCs w:val="24"/>
              </w:rPr>
              <w:t>S4</w:t>
            </w:r>
          </w:p>
        </w:tc>
        <w:tc>
          <w:tcPr>
            <w:tcW w:w="1687" w:type="pct"/>
            <w:vAlign w:val="center"/>
          </w:tcPr>
          <w:p w14:paraId="089B1CFC" w14:textId="77777777" w:rsidR="00525FBB" w:rsidRPr="00525FBB" w:rsidRDefault="00525FBB" w:rsidP="00525FBB">
            <w:pPr>
              <w:spacing w:line="276" w:lineRule="auto"/>
              <w:jc w:val="right"/>
              <w:rPr>
                <w:rFonts w:asciiTheme="majorBidi" w:hAnsiTheme="majorBidi" w:cstheme="majorBidi"/>
                <w:color w:val="231F20"/>
                <w:w w:val="110"/>
                <w:sz w:val="24"/>
                <w:szCs w:val="24"/>
              </w:rPr>
            </w:pPr>
            <w:r w:rsidRPr="00525FBB">
              <w:rPr>
                <w:rFonts w:asciiTheme="majorBidi" w:hAnsiTheme="majorBidi" w:cstheme="majorBidi"/>
                <w:color w:val="000000"/>
                <w:sz w:val="24"/>
                <w:szCs w:val="24"/>
              </w:rPr>
              <w:t>Saudi Arabia Healthcare Transformation Risk Assessment</w:t>
            </w:r>
          </w:p>
        </w:tc>
        <w:tc>
          <w:tcPr>
            <w:tcW w:w="472" w:type="pct"/>
            <w:vAlign w:val="center"/>
          </w:tcPr>
          <w:p w14:paraId="41B3AC2A"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5</w:t>
            </w:r>
          </w:p>
        </w:tc>
        <w:tc>
          <w:tcPr>
            <w:tcW w:w="472" w:type="pct"/>
            <w:vAlign w:val="center"/>
          </w:tcPr>
          <w:p w14:paraId="24E09F13"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1,923</w:t>
            </w:r>
          </w:p>
        </w:tc>
        <w:tc>
          <w:tcPr>
            <w:tcW w:w="493" w:type="pct"/>
            <w:vAlign w:val="center"/>
          </w:tcPr>
          <w:p w14:paraId="5843713F"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65200</w:t>
            </w:r>
          </w:p>
        </w:tc>
        <w:tc>
          <w:tcPr>
            <w:tcW w:w="508" w:type="pct"/>
            <w:vAlign w:val="center"/>
          </w:tcPr>
          <w:p w14:paraId="2E5C5375"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4220</w:t>
            </w:r>
          </w:p>
        </w:tc>
        <w:tc>
          <w:tcPr>
            <w:tcW w:w="416" w:type="pct"/>
            <w:vAlign w:val="center"/>
          </w:tcPr>
          <w:p w14:paraId="26FA739E"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0</w:t>
            </w:r>
          </w:p>
        </w:tc>
        <w:tc>
          <w:tcPr>
            <w:tcW w:w="473" w:type="pct"/>
            <w:vAlign w:val="center"/>
          </w:tcPr>
          <w:p w14:paraId="71322C24"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71,348</w:t>
            </w:r>
          </w:p>
        </w:tc>
      </w:tr>
      <w:tr w:rsidR="00525FBB" w:rsidRPr="00525FBB" w14:paraId="7C075D09" w14:textId="77777777" w:rsidTr="006C25DC">
        <w:trPr>
          <w:trHeight w:val="576"/>
        </w:trPr>
        <w:tc>
          <w:tcPr>
            <w:tcW w:w="479" w:type="pct"/>
            <w:vAlign w:val="center"/>
          </w:tcPr>
          <w:p w14:paraId="6B73CF97"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sz w:val="24"/>
                <w:szCs w:val="24"/>
              </w:rPr>
              <w:lastRenderedPageBreak/>
              <w:t>S5</w:t>
            </w:r>
          </w:p>
        </w:tc>
        <w:tc>
          <w:tcPr>
            <w:tcW w:w="1687" w:type="pct"/>
            <w:vAlign w:val="center"/>
          </w:tcPr>
          <w:p w14:paraId="54EFBE67"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231F20"/>
                <w:sz w:val="24"/>
                <w:szCs w:val="24"/>
              </w:rPr>
              <w:t>S4 with limits: date (2015–2024)</w:t>
            </w:r>
          </w:p>
        </w:tc>
        <w:tc>
          <w:tcPr>
            <w:tcW w:w="472" w:type="pct"/>
            <w:vAlign w:val="center"/>
          </w:tcPr>
          <w:p w14:paraId="0C685AA6"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4</w:t>
            </w:r>
          </w:p>
        </w:tc>
        <w:tc>
          <w:tcPr>
            <w:tcW w:w="472" w:type="pct"/>
            <w:vAlign w:val="center"/>
          </w:tcPr>
          <w:p w14:paraId="1A6A54FE"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825</w:t>
            </w:r>
          </w:p>
        </w:tc>
        <w:tc>
          <w:tcPr>
            <w:tcW w:w="493" w:type="pct"/>
            <w:vAlign w:val="center"/>
          </w:tcPr>
          <w:p w14:paraId="7C4B6112"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7,346</w:t>
            </w:r>
          </w:p>
        </w:tc>
        <w:tc>
          <w:tcPr>
            <w:tcW w:w="508" w:type="pct"/>
            <w:vAlign w:val="center"/>
          </w:tcPr>
          <w:p w14:paraId="72D7F6B5"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598</w:t>
            </w:r>
          </w:p>
        </w:tc>
        <w:tc>
          <w:tcPr>
            <w:tcW w:w="416" w:type="pct"/>
            <w:vAlign w:val="center"/>
          </w:tcPr>
          <w:p w14:paraId="622071AB"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0</w:t>
            </w:r>
          </w:p>
        </w:tc>
        <w:tc>
          <w:tcPr>
            <w:tcW w:w="473" w:type="pct"/>
            <w:vAlign w:val="center"/>
          </w:tcPr>
          <w:p w14:paraId="11B586F7"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8,773</w:t>
            </w:r>
          </w:p>
        </w:tc>
      </w:tr>
      <w:tr w:rsidR="00525FBB" w:rsidRPr="00525FBB" w14:paraId="3652D4A9" w14:textId="77777777" w:rsidTr="006C25DC">
        <w:trPr>
          <w:trHeight w:val="576"/>
        </w:trPr>
        <w:tc>
          <w:tcPr>
            <w:tcW w:w="479" w:type="pct"/>
            <w:vAlign w:val="center"/>
          </w:tcPr>
          <w:p w14:paraId="41892206"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sz w:val="24"/>
                <w:szCs w:val="24"/>
              </w:rPr>
              <w:t>S6</w:t>
            </w:r>
          </w:p>
        </w:tc>
        <w:tc>
          <w:tcPr>
            <w:tcW w:w="1687" w:type="pct"/>
            <w:vAlign w:val="center"/>
          </w:tcPr>
          <w:p w14:paraId="44EB0E7B" w14:textId="77777777" w:rsidR="00525FBB" w:rsidRPr="00525FBB" w:rsidRDefault="00525FBB" w:rsidP="00525FBB">
            <w:pPr>
              <w:spacing w:line="276" w:lineRule="auto"/>
              <w:jc w:val="right"/>
              <w:rPr>
                <w:rFonts w:asciiTheme="majorBidi" w:hAnsiTheme="majorBidi" w:cstheme="majorBidi"/>
                <w:color w:val="231F20"/>
                <w:w w:val="110"/>
                <w:sz w:val="24"/>
                <w:szCs w:val="24"/>
              </w:rPr>
            </w:pPr>
            <w:r w:rsidRPr="00525FBB">
              <w:rPr>
                <w:rFonts w:asciiTheme="majorBidi" w:hAnsiTheme="majorBidi" w:cstheme="majorBidi"/>
                <w:color w:val="231F20"/>
                <w:sz w:val="24"/>
                <w:szCs w:val="24"/>
              </w:rPr>
              <w:t>S5 with peer reviewed, human, journal article and English language</w:t>
            </w:r>
          </w:p>
        </w:tc>
        <w:tc>
          <w:tcPr>
            <w:tcW w:w="472" w:type="pct"/>
            <w:vAlign w:val="center"/>
          </w:tcPr>
          <w:p w14:paraId="08975768"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4</w:t>
            </w:r>
          </w:p>
        </w:tc>
        <w:tc>
          <w:tcPr>
            <w:tcW w:w="472" w:type="pct"/>
            <w:vAlign w:val="center"/>
          </w:tcPr>
          <w:p w14:paraId="3100F8A4"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358</w:t>
            </w:r>
          </w:p>
        </w:tc>
        <w:tc>
          <w:tcPr>
            <w:tcW w:w="493" w:type="pct"/>
            <w:vAlign w:val="center"/>
          </w:tcPr>
          <w:p w14:paraId="0D4F667A"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234</w:t>
            </w:r>
          </w:p>
        </w:tc>
        <w:tc>
          <w:tcPr>
            <w:tcW w:w="508" w:type="pct"/>
            <w:vAlign w:val="center"/>
          </w:tcPr>
          <w:p w14:paraId="3A1B00F5"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53</w:t>
            </w:r>
          </w:p>
        </w:tc>
        <w:tc>
          <w:tcPr>
            <w:tcW w:w="416" w:type="pct"/>
            <w:vAlign w:val="center"/>
          </w:tcPr>
          <w:p w14:paraId="3900780B"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0</w:t>
            </w:r>
          </w:p>
        </w:tc>
        <w:tc>
          <w:tcPr>
            <w:tcW w:w="473" w:type="pct"/>
            <w:vAlign w:val="center"/>
          </w:tcPr>
          <w:p w14:paraId="620A0AF2"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649</w:t>
            </w:r>
          </w:p>
        </w:tc>
      </w:tr>
    </w:tbl>
    <w:p w14:paraId="22B51CB5" w14:textId="4A9FB4F7" w:rsidR="00525FBB" w:rsidRDefault="00525FBB" w:rsidP="00525FBB">
      <w:pPr>
        <w:spacing w:line="276" w:lineRule="auto"/>
        <w:jc w:val="right"/>
        <w:rPr>
          <w:rFonts w:asciiTheme="majorBidi" w:hAnsiTheme="majorBidi" w:cstheme="majorBidi"/>
          <w:sz w:val="24"/>
          <w:szCs w:val="24"/>
        </w:rPr>
      </w:pPr>
    </w:p>
    <w:p w14:paraId="6BEE4AA2" w14:textId="2FB22010" w:rsidR="00A55D84" w:rsidRDefault="00A55D84" w:rsidP="00525FBB">
      <w:pPr>
        <w:spacing w:line="276" w:lineRule="auto"/>
        <w:jc w:val="right"/>
        <w:rPr>
          <w:rFonts w:asciiTheme="majorBidi" w:hAnsiTheme="majorBidi" w:cstheme="majorBidi"/>
          <w:sz w:val="24"/>
          <w:szCs w:val="24"/>
        </w:rPr>
      </w:pPr>
    </w:p>
    <w:p w14:paraId="5F84DF5A" w14:textId="77777777" w:rsidR="00A55D84" w:rsidRPr="00525FBB" w:rsidRDefault="00A55D84" w:rsidP="00525FBB">
      <w:pPr>
        <w:spacing w:line="276" w:lineRule="auto"/>
        <w:jc w:val="right"/>
        <w:rPr>
          <w:rFonts w:asciiTheme="majorBidi" w:hAnsiTheme="majorBidi" w:cstheme="majorBidi"/>
          <w:sz w:val="24"/>
          <w:szCs w:val="24"/>
        </w:rPr>
      </w:pPr>
    </w:p>
    <w:p w14:paraId="191AFFE8" w14:textId="7BAA36E1" w:rsidR="00525FBB" w:rsidRDefault="00525FBB" w:rsidP="00525FBB">
      <w:pPr>
        <w:spacing w:line="276" w:lineRule="auto"/>
        <w:jc w:val="right"/>
        <w:rPr>
          <w:rFonts w:asciiTheme="majorBidi" w:hAnsiTheme="majorBidi" w:cstheme="majorBidi"/>
          <w:b/>
          <w:bCs/>
          <w:sz w:val="24"/>
          <w:szCs w:val="24"/>
          <w:u w:val="single"/>
        </w:rPr>
      </w:pPr>
      <w:r w:rsidRPr="00525FBB">
        <w:rPr>
          <w:rFonts w:asciiTheme="majorBidi" w:hAnsiTheme="majorBidi" w:cstheme="majorBidi"/>
          <w:b/>
          <w:bCs/>
          <w:sz w:val="24"/>
          <w:szCs w:val="24"/>
          <w:u w:val="single"/>
        </w:rPr>
        <w:t>FIGURE 1: PRISMA REVIEW FLOW CHART</w:t>
      </w:r>
    </w:p>
    <w:p w14:paraId="4C08538B" w14:textId="77777777" w:rsidR="00992C84" w:rsidRPr="00525FBB" w:rsidRDefault="00992C84" w:rsidP="00525FBB">
      <w:pPr>
        <w:spacing w:line="276" w:lineRule="auto"/>
        <w:jc w:val="right"/>
        <w:rPr>
          <w:rFonts w:asciiTheme="majorBidi" w:hAnsiTheme="majorBidi" w:cstheme="majorBidi"/>
          <w:b/>
          <w:bCs/>
          <w:sz w:val="24"/>
          <w:szCs w:val="24"/>
          <w:u w:val="single"/>
        </w:rPr>
      </w:pPr>
    </w:p>
    <w:p w14:paraId="3BD82AF1"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noProof/>
          <w:sz w:val="24"/>
          <w:szCs w:val="24"/>
        </w:rPr>
        <mc:AlternateContent>
          <mc:Choice Requires="wps">
            <w:drawing>
              <wp:anchor distT="45720" distB="45720" distL="114300" distR="114300" simplePos="0" relativeHeight="251663360" behindDoc="0" locked="0" layoutInCell="1" allowOverlap="1" wp14:anchorId="2CA1EACC" wp14:editId="5AB9616F">
                <wp:simplePos x="0" y="0"/>
                <wp:positionH relativeFrom="column">
                  <wp:posOffset>1009650</wp:posOffset>
                </wp:positionH>
                <wp:positionV relativeFrom="paragraph">
                  <wp:posOffset>270348</wp:posOffset>
                </wp:positionV>
                <wp:extent cx="2360930" cy="89979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899795"/>
                        </a:xfrm>
                        <a:prstGeom prst="rect">
                          <a:avLst/>
                        </a:prstGeom>
                        <a:noFill/>
                        <a:ln w="9525">
                          <a:noFill/>
                          <a:miter lim="800000"/>
                          <a:headEnd/>
                          <a:tailEnd/>
                        </a:ln>
                      </wps:spPr>
                      <wps:txbx>
                        <w:txbxContent>
                          <w:p w14:paraId="4835BAC1" w14:textId="77777777" w:rsidR="00525FBB" w:rsidRPr="009E4D82" w:rsidRDefault="00525FBB" w:rsidP="00525FBB">
                            <w:pPr>
                              <w:rPr>
                                <w:b/>
                                <w:bCs/>
                                <w:sz w:val="16"/>
                                <w:szCs w:val="16"/>
                              </w:rPr>
                            </w:pPr>
                            <w:r w:rsidRPr="009E4D82">
                              <w:rPr>
                                <w:b/>
                                <w:bCs/>
                                <w:sz w:val="16"/>
                                <w:szCs w:val="16"/>
                              </w:rPr>
                              <w:t>IDENTIFICATION</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0</wp14:pctHeight>
                </wp14:sizeRelV>
              </wp:anchor>
            </w:drawing>
          </mc:Choice>
          <mc:Fallback>
            <w:pict>
              <v:shapetype w14:anchorId="2CA1EACC" id="_x0000_t202" coordsize="21600,21600" o:spt="202" path="m,l,21600r21600,l21600,xe">
                <v:stroke joinstyle="miter"/>
                <v:path gradientshapeok="t" o:connecttype="rect"/>
              </v:shapetype>
              <v:shape id="Text Box 2" o:spid="_x0000_s1026" type="#_x0000_t202" style="position:absolute;margin-left:79.5pt;margin-top:21.3pt;width:185.9pt;height:70.85pt;z-index:25166336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" filled="f" stroked="f">
                <v:textbox style="layout-flow:vertical;mso-layout-flow-alt:bottom-to-top;mso-fit-shape-to-text:t">
                  <w:txbxContent>
                    <w:p w14:paraId="4835BAC1" w14:textId="77777777" w:rsidR="00525FBB" w:rsidRPr="009E4D82" w:rsidRDefault="00525FBB" w:rsidP="00525FBB">
                      <w:pPr>
                        <w:rPr>
                          <w:b/>
                          <w:bCs/>
                          <w:sz w:val="16"/>
                          <w:szCs w:val="16"/>
                        </w:rPr>
                      </w:pPr>
                      <w:r w:rsidRPr="009E4D82">
                        <w:rPr>
                          <w:b/>
                          <w:bCs/>
                          <w:sz w:val="16"/>
                          <w:szCs w:val="16"/>
                        </w:rPr>
                        <w:t>IDENTIFICATION</w:t>
                      </w:r>
                    </w:p>
                  </w:txbxContent>
                </v:textbox>
                <w10:wrap type="square"/>
              </v:shape>
            </w:pict>
          </mc:Fallback>
        </mc:AlternateContent>
      </w:r>
      <w:r w:rsidRPr="00525FBB">
        <w:rPr>
          <w:rFonts w:asciiTheme="majorBidi" w:hAnsiTheme="majorBidi" w:cstheme="majorBidi"/>
          <w:noProof/>
          <w:sz w:val="24"/>
          <w:szCs w:val="24"/>
        </w:rPr>
        <mc:AlternateContent>
          <mc:Choice Requires="wpg">
            <w:drawing>
              <wp:anchor distT="0" distB="0" distL="114300" distR="114300" simplePos="0" relativeHeight="251662336" behindDoc="0" locked="0" layoutInCell="1" allowOverlap="1" wp14:anchorId="14DBCA8D" wp14:editId="4EF633ED">
                <wp:simplePos x="0" y="0"/>
                <wp:positionH relativeFrom="page">
                  <wp:posOffset>1903228</wp:posOffset>
                </wp:positionH>
                <wp:positionV relativeFrom="paragraph">
                  <wp:posOffset>144307</wp:posOffset>
                </wp:positionV>
                <wp:extent cx="4316730" cy="4406900"/>
                <wp:effectExtent l="0" t="0" r="2667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16730" cy="4406900"/>
                          <a:chOff x="2454" y="-7083"/>
                          <a:chExt cx="6798" cy="6940"/>
                        </a:xfrm>
                      </wpg:grpSpPr>
                      <pic:pic xmlns:pic="http://schemas.openxmlformats.org/drawingml/2006/picture">
                        <pic:nvPicPr>
                          <pic:cNvPr id="18" name="Picture 1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2454" y="-6678"/>
                            <a:ext cx="4286" cy="6535"/>
                          </a:xfrm>
                          <a:prstGeom prst="rect">
                            <a:avLst/>
                          </a:prstGeom>
                          <a:noFill/>
                          <a:extLst>
                            <a:ext uri="{909E8E84-426E-40DD-AFC4-6F175D3DCCD1}">
                              <a14:hiddenFill xmlns:a14="http://schemas.microsoft.com/office/drawing/2010/main">
                                <a:solidFill>
                                  <a:srgbClr val="FFFFFF"/>
                                </a:solidFill>
                              </a14:hiddenFill>
                            </a:ext>
                          </a:extLst>
                        </pic:spPr>
                      </pic:pic>
                      <wps:wsp>
                        <wps:cNvPr id="19" name="AutoShape 20"/>
                        <wps:cNvSpPr>
                          <a:spLocks/>
                        </wps:cNvSpPr>
                        <wps:spPr bwMode="auto">
                          <a:xfrm>
                            <a:off x="3674" y="-6118"/>
                            <a:ext cx="3046" cy="5970"/>
                          </a:xfrm>
                          <a:custGeom>
                            <a:avLst/>
                            <a:gdLst>
                              <a:gd name="T0" fmla="*/ 1916 w 3046"/>
                              <a:gd name="T1" fmla="*/ -1093 h 5970"/>
                              <a:gd name="T2" fmla="*/ 1916 w 3046"/>
                              <a:gd name="T3" fmla="*/ -209 h 5970"/>
                              <a:gd name="T4" fmla="*/ 60 w 3046"/>
                              <a:gd name="T5" fmla="*/ -1081 h 5970"/>
                              <a:gd name="T6" fmla="*/ 1916 w 3046"/>
                              <a:gd name="T7" fmla="*/ -1093 h 5970"/>
                              <a:gd name="T8" fmla="*/ 48 w 3046"/>
                              <a:gd name="T9" fmla="*/ -197 h 5970"/>
                              <a:gd name="T10" fmla="*/ 1928 w 3046"/>
                              <a:gd name="T11" fmla="*/ -209 h 5970"/>
                              <a:gd name="T12" fmla="*/ 1928 w 3046"/>
                              <a:gd name="T13" fmla="*/ -1093 h 5970"/>
                              <a:gd name="T14" fmla="*/ 1974 w 3046"/>
                              <a:gd name="T15" fmla="*/ -1122 h 5970"/>
                              <a:gd name="T16" fmla="*/ 1958 w 3046"/>
                              <a:gd name="T17" fmla="*/ -1138 h 5970"/>
                              <a:gd name="T18" fmla="*/ 1940 w 3046"/>
                              <a:gd name="T19" fmla="*/ -1141 h 5970"/>
                              <a:gd name="T20" fmla="*/ 1940 w 3046"/>
                              <a:gd name="T21" fmla="*/ -185 h 5970"/>
                              <a:gd name="T22" fmla="*/ 36 w 3046"/>
                              <a:gd name="T23" fmla="*/ -1105 h 5970"/>
                              <a:gd name="T24" fmla="*/ 1940 w 3046"/>
                              <a:gd name="T25" fmla="*/ -1141 h 5970"/>
                              <a:gd name="T26" fmla="*/ 18 w 3046"/>
                              <a:gd name="T27" fmla="*/ -1138 h 5970"/>
                              <a:gd name="T28" fmla="*/ 2 w 3046"/>
                              <a:gd name="T29" fmla="*/ -1122 h 5970"/>
                              <a:gd name="T30" fmla="*/ 0 w 3046"/>
                              <a:gd name="T31" fmla="*/ -179 h 5970"/>
                              <a:gd name="T32" fmla="*/ 9 w 3046"/>
                              <a:gd name="T33" fmla="*/ -157 h 5970"/>
                              <a:gd name="T34" fmla="*/ 30 w 3046"/>
                              <a:gd name="T35" fmla="*/ -148 h 5970"/>
                              <a:gd name="T36" fmla="*/ 1958 w 3046"/>
                              <a:gd name="T37" fmla="*/ -151 h 5970"/>
                              <a:gd name="T38" fmla="*/ 1974 w 3046"/>
                              <a:gd name="T39" fmla="*/ -167 h 5970"/>
                              <a:gd name="T40" fmla="*/ 1976 w 3046"/>
                              <a:gd name="T41" fmla="*/ -185 h 5970"/>
                              <a:gd name="T42" fmla="*/ 1976 w 3046"/>
                              <a:gd name="T43" fmla="*/ -1111 h 5970"/>
                              <a:gd name="T44" fmla="*/ 3028 w 3046"/>
                              <a:gd name="T45" fmla="*/ -2146 h 5970"/>
                              <a:gd name="T46" fmla="*/ 2945 w 3046"/>
                              <a:gd name="T47" fmla="*/ -2194 h 5970"/>
                              <a:gd name="T48" fmla="*/ 2936 w 3046"/>
                              <a:gd name="T49" fmla="*/ -2188 h 5970"/>
                              <a:gd name="T50" fmla="*/ 2935 w 3046"/>
                              <a:gd name="T51" fmla="*/ -2177 h 5970"/>
                              <a:gd name="T52" fmla="*/ 1960 w 3046"/>
                              <a:gd name="T53" fmla="*/ -2146 h 5970"/>
                              <a:gd name="T54" fmla="*/ 2988 w 3046"/>
                              <a:gd name="T55" fmla="*/ -2126 h 5970"/>
                              <a:gd name="T56" fmla="*/ 2933 w 3046"/>
                              <a:gd name="T57" fmla="*/ -2089 h 5970"/>
                              <a:gd name="T58" fmla="*/ 2945 w 3046"/>
                              <a:gd name="T59" fmla="*/ -2077 h 5970"/>
                              <a:gd name="T60" fmla="*/ 3045 w 3046"/>
                              <a:gd name="T61" fmla="*/ -2136 h 5970"/>
                              <a:gd name="T62" fmla="*/ 3028 w 3046"/>
                              <a:gd name="T63" fmla="*/ -5525 h 5970"/>
                              <a:gd name="T64" fmla="*/ 2945 w 3046"/>
                              <a:gd name="T65" fmla="*/ -5573 h 5970"/>
                              <a:gd name="T66" fmla="*/ 2933 w 3046"/>
                              <a:gd name="T67" fmla="*/ -5562 h 5970"/>
                              <a:gd name="T68" fmla="*/ 2988 w 3046"/>
                              <a:gd name="T69" fmla="*/ -5525 h 5970"/>
                              <a:gd name="T70" fmla="*/ 884 w 3046"/>
                              <a:gd name="T71" fmla="*/ -6118 h 5970"/>
                              <a:gd name="T72" fmla="*/ 864 w 3046"/>
                              <a:gd name="T73" fmla="*/ -4848 h 5970"/>
                              <a:gd name="T74" fmla="*/ 864 w 3046"/>
                              <a:gd name="T75" fmla="*/ -4848 h 5970"/>
                              <a:gd name="T76" fmla="*/ 827 w 3046"/>
                              <a:gd name="T77" fmla="*/ -4903 h 5970"/>
                              <a:gd name="T78" fmla="*/ 816 w 3046"/>
                              <a:gd name="T79" fmla="*/ -4891 h 5970"/>
                              <a:gd name="T80" fmla="*/ 874 w 3046"/>
                              <a:gd name="T81" fmla="*/ -4791 h 5970"/>
                              <a:gd name="T82" fmla="*/ 930 w 3046"/>
                              <a:gd name="T83" fmla="*/ -4887 h 5970"/>
                              <a:gd name="T84" fmla="*/ 931 w 3046"/>
                              <a:gd name="T85" fmla="*/ -4897 h 5970"/>
                              <a:gd name="T86" fmla="*/ 915 w 3046"/>
                              <a:gd name="T87" fmla="*/ -4901 h 5970"/>
                              <a:gd name="T88" fmla="*/ 884 w 3046"/>
                              <a:gd name="T89" fmla="*/ -4848 h 5970"/>
                              <a:gd name="T90" fmla="*/ 2988 w 3046"/>
                              <a:gd name="T91" fmla="*/ -5505 h 5970"/>
                              <a:gd name="T92" fmla="*/ 2935 w 3046"/>
                              <a:gd name="T93" fmla="*/ -5474 h 5970"/>
                              <a:gd name="T94" fmla="*/ 2939 w 3046"/>
                              <a:gd name="T95" fmla="*/ -5458 h 5970"/>
                              <a:gd name="T96" fmla="*/ 3045 w 3046"/>
                              <a:gd name="T97" fmla="*/ -5515 h 5970"/>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3046" h="5970">
                                <a:moveTo>
                                  <a:pt x="1928" y="5025"/>
                                </a:moveTo>
                                <a:lnTo>
                                  <a:pt x="1916" y="5025"/>
                                </a:lnTo>
                                <a:lnTo>
                                  <a:pt x="1916" y="5037"/>
                                </a:lnTo>
                                <a:lnTo>
                                  <a:pt x="1916" y="5909"/>
                                </a:lnTo>
                                <a:lnTo>
                                  <a:pt x="60" y="5909"/>
                                </a:lnTo>
                                <a:lnTo>
                                  <a:pt x="60" y="5037"/>
                                </a:lnTo>
                                <a:lnTo>
                                  <a:pt x="1916" y="5037"/>
                                </a:lnTo>
                                <a:lnTo>
                                  <a:pt x="1916" y="5025"/>
                                </a:lnTo>
                                <a:lnTo>
                                  <a:pt x="48" y="5025"/>
                                </a:lnTo>
                                <a:lnTo>
                                  <a:pt x="48" y="5921"/>
                                </a:lnTo>
                                <a:lnTo>
                                  <a:pt x="1928" y="5921"/>
                                </a:lnTo>
                                <a:lnTo>
                                  <a:pt x="1928" y="5909"/>
                                </a:lnTo>
                                <a:lnTo>
                                  <a:pt x="1928" y="5037"/>
                                </a:lnTo>
                                <a:lnTo>
                                  <a:pt x="1928" y="5025"/>
                                </a:lnTo>
                                <a:close/>
                                <a:moveTo>
                                  <a:pt x="1976" y="5007"/>
                                </a:moveTo>
                                <a:lnTo>
                                  <a:pt x="1974" y="4996"/>
                                </a:lnTo>
                                <a:lnTo>
                                  <a:pt x="1967" y="4986"/>
                                </a:lnTo>
                                <a:lnTo>
                                  <a:pt x="1958" y="4980"/>
                                </a:lnTo>
                                <a:lnTo>
                                  <a:pt x="1946" y="4977"/>
                                </a:lnTo>
                                <a:lnTo>
                                  <a:pt x="1940" y="4977"/>
                                </a:lnTo>
                                <a:lnTo>
                                  <a:pt x="1940" y="5013"/>
                                </a:lnTo>
                                <a:lnTo>
                                  <a:pt x="1940" y="5933"/>
                                </a:lnTo>
                                <a:lnTo>
                                  <a:pt x="36" y="5933"/>
                                </a:lnTo>
                                <a:lnTo>
                                  <a:pt x="36" y="5013"/>
                                </a:lnTo>
                                <a:lnTo>
                                  <a:pt x="1940" y="5013"/>
                                </a:lnTo>
                                <a:lnTo>
                                  <a:pt x="1940" y="4977"/>
                                </a:lnTo>
                                <a:lnTo>
                                  <a:pt x="30" y="4977"/>
                                </a:lnTo>
                                <a:lnTo>
                                  <a:pt x="18" y="4980"/>
                                </a:lnTo>
                                <a:lnTo>
                                  <a:pt x="9" y="4986"/>
                                </a:lnTo>
                                <a:lnTo>
                                  <a:pt x="2" y="4996"/>
                                </a:lnTo>
                                <a:lnTo>
                                  <a:pt x="0" y="5007"/>
                                </a:lnTo>
                                <a:lnTo>
                                  <a:pt x="0" y="5939"/>
                                </a:lnTo>
                                <a:lnTo>
                                  <a:pt x="2" y="5951"/>
                                </a:lnTo>
                                <a:lnTo>
                                  <a:pt x="9" y="5961"/>
                                </a:lnTo>
                                <a:lnTo>
                                  <a:pt x="18" y="5967"/>
                                </a:lnTo>
                                <a:lnTo>
                                  <a:pt x="30" y="5970"/>
                                </a:lnTo>
                                <a:lnTo>
                                  <a:pt x="1946" y="5970"/>
                                </a:lnTo>
                                <a:lnTo>
                                  <a:pt x="1958" y="5967"/>
                                </a:lnTo>
                                <a:lnTo>
                                  <a:pt x="1967" y="5961"/>
                                </a:lnTo>
                                <a:lnTo>
                                  <a:pt x="1974" y="5951"/>
                                </a:lnTo>
                                <a:lnTo>
                                  <a:pt x="1976" y="5939"/>
                                </a:lnTo>
                                <a:lnTo>
                                  <a:pt x="1976" y="5933"/>
                                </a:lnTo>
                                <a:lnTo>
                                  <a:pt x="1976" y="5013"/>
                                </a:lnTo>
                                <a:lnTo>
                                  <a:pt x="1976" y="5007"/>
                                </a:lnTo>
                                <a:close/>
                                <a:moveTo>
                                  <a:pt x="3045" y="3982"/>
                                </a:moveTo>
                                <a:lnTo>
                                  <a:pt x="3028" y="3972"/>
                                </a:lnTo>
                                <a:lnTo>
                                  <a:pt x="2949" y="3927"/>
                                </a:lnTo>
                                <a:lnTo>
                                  <a:pt x="2945" y="3924"/>
                                </a:lnTo>
                                <a:lnTo>
                                  <a:pt x="2939" y="3926"/>
                                </a:lnTo>
                                <a:lnTo>
                                  <a:pt x="2936" y="3930"/>
                                </a:lnTo>
                                <a:lnTo>
                                  <a:pt x="2933" y="3935"/>
                                </a:lnTo>
                                <a:lnTo>
                                  <a:pt x="2935" y="3941"/>
                                </a:lnTo>
                                <a:lnTo>
                                  <a:pt x="2988" y="3972"/>
                                </a:lnTo>
                                <a:lnTo>
                                  <a:pt x="1960" y="3972"/>
                                </a:lnTo>
                                <a:lnTo>
                                  <a:pt x="1960" y="3992"/>
                                </a:lnTo>
                                <a:lnTo>
                                  <a:pt x="2988" y="3992"/>
                                </a:lnTo>
                                <a:lnTo>
                                  <a:pt x="2935" y="4023"/>
                                </a:lnTo>
                                <a:lnTo>
                                  <a:pt x="2933" y="4029"/>
                                </a:lnTo>
                                <a:lnTo>
                                  <a:pt x="2939" y="4039"/>
                                </a:lnTo>
                                <a:lnTo>
                                  <a:pt x="2945" y="4041"/>
                                </a:lnTo>
                                <a:lnTo>
                                  <a:pt x="3028" y="3992"/>
                                </a:lnTo>
                                <a:lnTo>
                                  <a:pt x="3045" y="3982"/>
                                </a:lnTo>
                                <a:close/>
                                <a:moveTo>
                                  <a:pt x="3045" y="603"/>
                                </a:moveTo>
                                <a:lnTo>
                                  <a:pt x="3028" y="593"/>
                                </a:lnTo>
                                <a:lnTo>
                                  <a:pt x="2950" y="547"/>
                                </a:lnTo>
                                <a:lnTo>
                                  <a:pt x="2945" y="545"/>
                                </a:lnTo>
                                <a:lnTo>
                                  <a:pt x="2939" y="546"/>
                                </a:lnTo>
                                <a:lnTo>
                                  <a:pt x="2933" y="556"/>
                                </a:lnTo>
                                <a:lnTo>
                                  <a:pt x="2935" y="562"/>
                                </a:lnTo>
                                <a:lnTo>
                                  <a:pt x="2988" y="593"/>
                                </a:lnTo>
                                <a:lnTo>
                                  <a:pt x="884" y="594"/>
                                </a:lnTo>
                                <a:lnTo>
                                  <a:pt x="884" y="0"/>
                                </a:lnTo>
                                <a:lnTo>
                                  <a:pt x="864" y="0"/>
                                </a:lnTo>
                                <a:lnTo>
                                  <a:pt x="864" y="1270"/>
                                </a:lnTo>
                                <a:lnTo>
                                  <a:pt x="864" y="1307"/>
                                </a:lnTo>
                                <a:lnTo>
                                  <a:pt x="864" y="1270"/>
                                </a:lnTo>
                                <a:lnTo>
                                  <a:pt x="833" y="1217"/>
                                </a:lnTo>
                                <a:lnTo>
                                  <a:pt x="827" y="1215"/>
                                </a:lnTo>
                                <a:lnTo>
                                  <a:pt x="817" y="1221"/>
                                </a:lnTo>
                                <a:lnTo>
                                  <a:pt x="816" y="1227"/>
                                </a:lnTo>
                                <a:lnTo>
                                  <a:pt x="819" y="1231"/>
                                </a:lnTo>
                                <a:lnTo>
                                  <a:pt x="874" y="1327"/>
                                </a:lnTo>
                                <a:lnTo>
                                  <a:pt x="886" y="1307"/>
                                </a:lnTo>
                                <a:lnTo>
                                  <a:pt x="930" y="1231"/>
                                </a:lnTo>
                                <a:lnTo>
                                  <a:pt x="933" y="1227"/>
                                </a:lnTo>
                                <a:lnTo>
                                  <a:pt x="931" y="1221"/>
                                </a:lnTo>
                                <a:lnTo>
                                  <a:pt x="921" y="1215"/>
                                </a:lnTo>
                                <a:lnTo>
                                  <a:pt x="915" y="1217"/>
                                </a:lnTo>
                                <a:lnTo>
                                  <a:pt x="884" y="1270"/>
                                </a:lnTo>
                                <a:lnTo>
                                  <a:pt x="884" y="614"/>
                                </a:lnTo>
                                <a:lnTo>
                                  <a:pt x="2988" y="613"/>
                                </a:lnTo>
                                <a:lnTo>
                                  <a:pt x="2939" y="641"/>
                                </a:lnTo>
                                <a:lnTo>
                                  <a:pt x="2935" y="644"/>
                                </a:lnTo>
                                <a:lnTo>
                                  <a:pt x="2933" y="650"/>
                                </a:lnTo>
                                <a:lnTo>
                                  <a:pt x="2939" y="660"/>
                                </a:lnTo>
                                <a:lnTo>
                                  <a:pt x="2945" y="662"/>
                                </a:lnTo>
                                <a:lnTo>
                                  <a:pt x="3045" y="603"/>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0" name="Picture 2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4490" y="-1473"/>
                            <a:ext cx="117" cy="362"/>
                          </a:xfrm>
                          <a:prstGeom prst="rect">
                            <a:avLst/>
                          </a:prstGeom>
                          <a:noFill/>
                          <a:extLst>
                            <a:ext uri="{909E8E84-426E-40DD-AFC4-6F175D3DCCD1}">
                              <a14:hiddenFill xmlns:a14="http://schemas.microsoft.com/office/drawing/2010/main">
                                <a:solidFill>
                                  <a:srgbClr val="FFFFFF"/>
                                </a:solidFill>
                              </a14:hiddenFill>
                            </a:ext>
                          </a:extLst>
                        </pic:spPr>
                      </pic:pic>
                      <wps:wsp>
                        <wps:cNvPr id="21" name="Freeform 22"/>
                        <wps:cNvSpPr>
                          <a:spLocks/>
                        </wps:cNvSpPr>
                        <wps:spPr bwMode="auto">
                          <a:xfrm>
                            <a:off x="2499" y="-6656"/>
                            <a:ext cx="483" cy="1086"/>
                          </a:xfrm>
                          <a:custGeom>
                            <a:avLst/>
                            <a:gdLst>
                              <a:gd name="T0" fmla="*/ 81 w 483"/>
                              <a:gd name="T1" fmla="*/ -5571 h 1086"/>
                              <a:gd name="T2" fmla="*/ 49 w 483"/>
                              <a:gd name="T3" fmla="*/ -5577 h 1086"/>
                              <a:gd name="T4" fmla="*/ 24 w 483"/>
                              <a:gd name="T5" fmla="*/ -5594 h 1086"/>
                              <a:gd name="T6" fmla="*/ 6 w 483"/>
                              <a:gd name="T7" fmla="*/ -5620 h 1086"/>
                              <a:gd name="T8" fmla="*/ 0 w 483"/>
                              <a:gd name="T9" fmla="*/ -5651 h 1086"/>
                              <a:gd name="T10" fmla="*/ 0 w 483"/>
                              <a:gd name="T11" fmla="*/ -6575 h 1086"/>
                              <a:gd name="T12" fmla="*/ 6 w 483"/>
                              <a:gd name="T13" fmla="*/ -6607 h 1086"/>
                              <a:gd name="T14" fmla="*/ 24 w 483"/>
                              <a:gd name="T15" fmla="*/ -6632 h 1086"/>
                              <a:gd name="T16" fmla="*/ 49 w 483"/>
                              <a:gd name="T17" fmla="*/ -6650 h 1086"/>
                              <a:gd name="T18" fmla="*/ 81 w 483"/>
                              <a:gd name="T19" fmla="*/ -6656 h 1086"/>
                              <a:gd name="T20" fmla="*/ 402 w 483"/>
                              <a:gd name="T21" fmla="*/ -6656 h 1086"/>
                              <a:gd name="T22" fmla="*/ 433 w 483"/>
                              <a:gd name="T23" fmla="*/ -6650 h 1086"/>
                              <a:gd name="T24" fmla="*/ 459 w 483"/>
                              <a:gd name="T25" fmla="*/ -6632 h 1086"/>
                              <a:gd name="T26" fmla="*/ 476 w 483"/>
                              <a:gd name="T27" fmla="*/ -6607 h 1086"/>
                              <a:gd name="T28" fmla="*/ 482 w 483"/>
                              <a:gd name="T29" fmla="*/ -6575 h 1086"/>
                              <a:gd name="T30" fmla="*/ 482 w 483"/>
                              <a:gd name="T31" fmla="*/ -5651 h 1086"/>
                              <a:gd name="T32" fmla="*/ 476 w 483"/>
                              <a:gd name="T33" fmla="*/ -5620 h 1086"/>
                              <a:gd name="T34" fmla="*/ 459 w 483"/>
                              <a:gd name="T35" fmla="*/ -5594 h 1086"/>
                              <a:gd name="T36" fmla="*/ 433 w 483"/>
                              <a:gd name="T37" fmla="*/ -5577 h 1086"/>
                              <a:gd name="T38" fmla="*/ 402 w 483"/>
                              <a:gd name="T39" fmla="*/ -5571 h 1086"/>
                              <a:gd name="T40" fmla="*/ 81 w 483"/>
                              <a:gd name="T41" fmla="*/ -5571 h 108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483" h="1086">
                                <a:moveTo>
                                  <a:pt x="81" y="1085"/>
                                </a:moveTo>
                                <a:lnTo>
                                  <a:pt x="49" y="1079"/>
                                </a:lnTo>
                                <a:lnTo>
                                  <a:pt x="24" y="1062"/>
                                </a:lnTo>
                                <a:lnTo>
                                  <a:pt x="6" y="1036"/>
                                </a:lnTo>
                                <a:lnTo>
                                  <a:pt x="0" y="1005"/>
                                </a:lnTo>
                                <a:lnTo>
                                  <a:pt x="0" y="81"/>
                                </a:lnTo>
                                <a:lnTo>
                                  <a:pt x="6" y="49"/>
                                </a:lnTo>
                                <a:lnTo>
                                  <a:pt x="24" y="24"/>
                                </a:lnTo>
                                <a:lnTo>
                                  <a:pt x="49" y="6"/>
                                </a:lnTo>
                                <a:lnTo>
                                  <a:pt x="81" y="0"/>
                                </a:lnTo>
                                <a:lnTo>
                                  <a:pt x="402" y="0"/>
                                </a:lnTo>
                                <a:lnTo>
                                  <a:pt x="433" y="6"/>
                                </a:lnTo>
                                <a:lnTo>
                                  <a:pt x="459" y="24"/>
                                </a:lnTo>
                                <a:lnTo>
                                  <a:pt x="476" y="49"/>
                                </a:lnTo>
                                <a:lnTo>
                                  <a:pt x="482" y="81"/>
                                </a:lnTo>
                                <a:lnTo>
                                  <a:pt x="482" y="1005"/>
                                </a:lnTo>
                                <a:lnTo>
                                  <a:pt x="476" y="1036"/>
                                </a:lnTo>
                                <a:lnTo>
                                  <a:pt x="459" y="1062"/>
                                </a:lnTo>
                                <a:lnTo>
                                  <a:pt x="433" y="1079"/>
                                </a:lnTo>
                                <a:lnTo>
                                  <a:pt x="402" y="1085"/>
                                </a:lnTo>
                                <a:lnTo>
                                  <a:pt x="81" y="1085"/>
                                </a:lnTo>
                                <a:close/>
                              </a:path>
                            </a:pathLst>
                          </a:custGeom>
                          <a:noFill/>
                          <a:ln w="63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Freeform 23"/>
                        <wps:cNvSpPr>
                          <a:spLocks/>
                        </wps:cNvSpPr>
                        <wps:spPr bwMode="auto">
                          <a:xfrm>
                            <a:off x="2499" y="-5024"/>
                            <a:ext cx="483" cy="1568"/>
                          </a:xfrm>
                          <a:custGeom>
                            <a:avLst/>
                            <a:gdLst>
                              <a:gd name="T0" fmla="*/ 81 w 483"/>
                              <a:gd name="T1" fmla="*/ -3456 h 1568"/>
                              <a:gd name="T2" fmla="*/ 49 w 483"/>
                              <a:gd name="T3" fmla="*/ -3462 h 1568"/>
                              <a:gd name="T4" fmla="*/ 24 w 483"/>
                              <a:gd name="T5" fmla="*/ -3480 h 1568"/>
                              <a:gd name="T6" fmla="*/ 6 w 483"/>
                              <a:gd name="T7" fmla="*/ -3505 h 1568"/>
                              <a:gd name="T8" fmla="*/ 0 w 483"/>
                              <a:gd name="T9" fmla="*/ -3537 h 1568"/>
                              <a:gd name="T10" fmla="*/ 0 w 483"/>
                              <a:gd name="T11" fmla="*/ -4943 h 1568"/>
                              <a:gd name="T12" fmla="*/ 6 w 483"/>
                              <a:gd name="T13" fmla="*/ -4975 h 1568"/>
                              <a:gd name="T14" fmla="*/ 24 w 483"/>
                              <a:gd name="T15" fmla="*/ -5000 h 1568"/>
                              <a:gd name="T16" fmla="*/ 49 w 483"/>
                              <a:gd name="T17" fmla="*/ -5018 h 1568"/>
                              <a:gd name="T18" fmla="*/ 81 w 483"/>
                              <a:gd name="T19" fmla="*/ -5024 h 1568"/>
                              <a:gd name="T20" fmla="*/ 402 w 483"/>
                              <a:gd name="T21" fmla="*/ -5024 h 1568"/>
                              <a:gd name="T22" fmla="*/ 433 w 483"/>
                              <a:gd name="T23" fmla="*/ -5018 h 1568"/>
                              <a:gd name="T24" fmla="*/ 459 w 483"/>
                              <a:gd name="T25" fmla="*/ -5000 h 1568"/>
                              <a:gd name="T26" fmla="*/ 476 w 483"/>
                              <a:gd name="T27" fmla="*/ -4975 h 1568"/>
                              <a:gd name="T28" fmla="*/ 482 w 483"/>
                              <a:gd name="T29" fmla="*/ -4943 h 1568"/>
                              <a:gd name="T30" fmla="*/ 482 w 483"/>
                              <a:gd name="T31" fmla="*/ -3537 h 1568"/>
                              <a:gd name="T32" fmla="*/ 476 w 483"/>
                              <a:gd name="T33" fmla="*/ -3505 h 1568"/>
                              <a:gd name="T34" fmla="*/ 459 w 483"/>
                              <a:gd name="T35" fmla="*/ -3480 h 1568"/>
                              <a:gd name="T36" fmla="*/ 433 w 483"/>
                              <a:gd name="T37" fmla="*/ -3462 h 1568"/>
                              <a:gd name="T38" fmla="*/ 402 w 483"/>
                              <a:gd name="T39" fmla="*/ -3456 h 1568"/>
                              <a:gd name="T40" fmla="*/ 81 w 483"/>
                              <a:gd name="T41" fmla="*/ -3456 h 1568"/>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483" h="1568">
                                <a:moveTo>
                                  <a:pt x="81" y="1568"/>
                                </a:moveTo>
                                <a:lnTo>
                                  <a:pt x="49" y="1562"/>
                                </a:lnTo>
                                <a:lnTo>
                                  <a:pt x="24" y="1544"/>
                                </a:lnTo>
                                <a:lnTo>
                                  <a:pt x="6" y="1519"/>
                                </a:lnTo>
                                <a:lnTo>
                                  <a:pt x="0" y="1487"/>
                                </a:lnTo>
                                <a:lnTo>
                                  <a:pt x="0" y="81"/>
                                </a:lnTo>
                                <a:lnTo>
                                  <a:pt x="6" y="49"/>
                                </a:lnTo>
                                <a:lnTo>
                                  <a:pt x="24" y="24"/>
                                </a:lnTo>
                                <a:lnTo>
                                  <a:pt x="49" y="6"/>
                                </a:lnTo>
                                <a:lnTo>
                                  <a:pt x="81" y="0"/>
                                </a:lnTo>
                                <a:lnTo>
                                  <a:pt x="402" y="0"/>
                                </a:lnTo>
                                <a:lnTo>
                                  <a:pt x="433" y="6"/>
                                </a:lnTo>
                                <a:lnTo>
                                  <a:pt x="459" y="24"/>
                                </a:lnTo>
                                <a:lnTo>
                                  <a:pt x="476" y="49"/>
                                </a:lnTo>
                                <a:lnTo>
                                  <a:pt x="482" y="81"/>
                                </a:lnTo>
                                <a:lnTo>
                                  <a:pt x="482" y="1487"/>
                                </a:lnTo>
                                <a:lnTo>
                                  <a:pt x="476" y="1519"/>
                                </a:lnTo>
                                <a:lnTo>
                                  <a:pt x="459" y="1544"/>
                                </a:lnTo>
                                <a:lnTo>
                                  <a:pt x="433" y="1562"/>
                                </a:lnTo>
                                <a:lnTo>
                                  <a:pt x="402" y="1568"/>
                                </a:lnTo>
                                <a:lnTo>
                                  <a:pt x="81" y="1568"/>
                                </a:lnTo>
                                <a:close/>
                              </a:path>
                            </a:pathLst>
                          </a:custGeom>
                          <a:noFill/>
                          <a:ln w="63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Freeform 24"/>
                        <wps:cNvSpPr>
                          <a:spLocks/>
                        </wps:cNvSpPr>
                        <wps:spPr bwMode="auto">
                          <a:xfrm>
                            <a:off x="2499" y="-2976"/>
                            <a:ext cx="483" cy="1086"/>
                          </a:xfrm>
                          <a:custGeom>
                            <a:avLst/>
                            <a:gdLst>
                              <a:gd name="T0" fmla="*/ 81 w 483"/>
                              <a:gd name="T1" fmla="*/ -1890 h 1086"/>
                              <a:gd name="T2" fmla="*/ 49 w 483"/>
                              <a:gd name="T3" fmla="*/ -1896 h 1086"/>
                              <a:gd name="T4" fmla="*/ 24 w 483"/>
                              <a:gd name="T5" fmla="*/ -1914 h 1086"/>
                              <a:gd name="T6" fmla="*/ 6 w 483"/>
                              <a:gd name="T7" fmla="*/ -1939 h 1086"/>
                              <a:gd name="T8" fmla="*/ 0 w 483"/>
                              <a:gd name="T9" fmla="*/ -1970 h 1086"/>
                              <a:gd name="T10" fmla="*/ 0 w 483"/>
                              <a:gd name="T11" fmla="*/ -2895 h 1086"/>
                              <a:gd name="T12" fmla="*/ 6 w 483"/>
                              <a:gd name="T13" fmla="*/ -2926 h 1086"/>
                              <a:gd name="T14" fmla="*/ 24 w 483"/>
                              <a:gd name="T15" fmla="*/ -2952 h 1086"/>
                              <a:gd name="T16" fmla="*/ 49 w 483"/>
                              <a:gd name="T17" fmla="*/ -2969 h 1086"/>
                              <a:gd name="T18" fmla="*/ 81 w 483"/>
                              <a:gd name="T19" fmla="*/ -2975 h 1086"/>
                              <a:gd name="T20" fmla="*/ 402 w 483"/>
                              <a:gd name="T21" fmla="*/ -2975 h 1086"/>
                              <a:gd name="T22" fmla="*/ 433 w 483"/>
                              <a:gd name="T23" fmla="*/ -2969 h 1086"/>
                              <a:gd name="T24" fmla="*/ 459 w 483"/>
                              <a:gd name="T25" fmla="*/ -2952 h 1086"/>
                              <a:gd name="T26" fmla="*/ 476 w 483"/>
                              <a:gd name="T27" fmla="*/ -2926 h 1086"/>
                              <a:gd name="T28" fmla="*/ 482 w 483"/>
                              <a:gd name="T29" fmla="*/ -2895 h 1086"/>
                              <a:gd name="T30" fmla="*/ 482 w 483"/>
                              <a:gd name="T31" fmla="*/ -1970 h 1086"/>
                              <a:gd name="T32" fmla="*/ 476 w 483"/>
                              <a:gd name="T33" fmla="*/ -1939 h 1086"/>
                              <a:gd name="T34" fmla="*/ 459 w 483"/>
                              <a:gd name="T35" fmla="*/ -1914 h 1086"/>
                              <a:gd name="T36" fmla="*/ 433 w 483"/>
                              <a:gd name="T37" fmla="*/ -1896 h 1086"/>
                              <a:gd name="T38" fmla="*/ 402 w 483"/>
                              <a:gd name="T39" fmla="*/ -1890 h 1086"/>
                              <a:gd name="T40" fmla="*/ 81 w 483"/>
                              <a:gd name="T41" fmla="*/ -1890 h 108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483" h="1086">
                                <a:moveTo>
                                  <a:pt x="81" y="1085"/>
                                </a:moveTo>
                                <a:lnTo>
                                  <a:pt x="49" y="1079"/>
                                </a:lnTo>
                                <a:lnTo>
                                  <a:pt x="24" y="1061"/>
                                </a:lnTo>
                                <a:lnTo>
                                  <a:pt x="6" y="1036"/>
                                </a:lnTo>
                                <a:lnTo>
                                  <a:pt x="0" y="1005"/>
                                </a:lnTo>
                                <a:lnTo>
                                  <a:pt x="0" y="80"/>
                                </a:lnTo>
                                <a:lnTo>
                                  <a:pt x="6" y="49"/>
                                </a:lnTo>
                                <a:lnTo>
                                  <a:pt x="24" y="23"/>
                                </a:lnTo>
                                <a:lnTo>
                                  <a:pt x="49" y="6"/>
                                </a:lnTo>
                                <a:lnTo>
                                  <a:pt x="81" y="0"/>
                                </a:lnTo>
                                <a:lnTo>
                                  <a:pt x="402" y="0"/>
                                </a:lnTo>
                                <a:lnTo>
                                  <a:pt x="433" y="6"/>
                                </a:lnTo>
                                <a:lnTo>
                                  <a:pt x="459" y="23"/>
                                </a:lnTo>
                                <a:lnTo>
                                  <a:pt x="476" y="49"/>
                                </a:lnTo>
                                <a:lnTo>
                                  <a:pt x="482" y="80"/>
                                </a:lnTo>
                                <a:lnTo>
                                  <a:pt x="482" y="1005"/>
                                </a:lnTo>
                                <a:lnTo>
                                  <a:pt x="476" y="1036"/>
                                </a:lnTo>
                                <a:lnTo>
                                  <a:pt x="459" y="1061"/>
                                </a:lnTo>
                                <a:lnTo>
                                  <a:pt x="433" y="1079"/>
                                </a:lnTo>
                                <a:lnTo>
                                  <a:pt x="402" y="1085"/>
                                </a:lnTo>
                                <a:lnTo>
                                  <a:pt x="81" y="1085"/>
                                </a:lnTo>
                                <a:close/>
                              </a:path>
                            </a:pathLst>
                          </a:custGeom>
                          <a:noFill/>
                          <a:ln w="63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Freeform 25"/>
                        <wps:cNvSpPr>
                          <a:spLocks/>
                        </wps:cNvSpPr>
                        <wps:spPr bwMode="auto">
                          <a:xfrm>
                            <a:off x="2499" y="-1165"/>
                            <a:ext cx="483" cy="965"/>
                          </a:xfrm>
                          <a:custGeom>
                            <a:avLst/>
                            <a:gdLst>
                              <a:gd name="T0" fmla="*/ 81 w 483"/>
                              <a:gd name="T1" fmla="*/ -200 h 965"/>
                              <a:gd name="T2" fmla="*/ 49 w 483"/>
                              <a:gd name="T3" fmla="*/ -206 h 965"/>
                              <a:gd name="T4" fmla="*/ 24 w 483"/>
                              <a:gd name="T5" fmla="*/ -224 h 965"/>
                              <a:gd name="T6" fmla="*/ 6 w 483"/>
                              <a:gd name="T7" fmla="*/ -249 h 965"/>
                              <a:gd name="T8" fmla="*/ 0 w 483"/>
                              <a:gd name="T9" fmla="*/ -280 h 965"/>
                              <a:gd name="T10" fmla="*/ 0 w 483"/>
                              <a:gd name="T11" fmla="*/ -1084 h 965"/>
                              <a:gd name="T12" fmla="*/ 6 w 483"/>
                              <a:gd name="T13" fmla="*/ -1116 h 965"/>
                              <a:gd name="T14" fmla="*/ 24 w 483"/>
                              <a:gd name="T15" fmla="*/ -1141 h 965"/>
                              <a:gd name="T16" fmla="*/ 49 w 483"/>
                              <a:gd name="T17" fmla="*/ -1159 h 965"/>
                              <a:gd name="T18" fmla="*/ 81 w 483"/>
                              <a:gd name="T19" fmla="*/ -1165 h 965"/>
                              <a:gd name="T20" fmla="*/ 402 w 483"/>
                              <a:gd name="T21" fmla="*/ -1165 h 965"/>
                              <a:gd name="T22" fmla="*/ 433 w 483"/>
                              <a:gd name="T23" fmla="*/ -1159 h 965"/>
                              <a:gd name="T24" fmla="*/ 459 w 483"/>
                              <a:gd name="T25" fmla="*/ -1141 h 965"/>
                              <a:gd name="T26" fmla="*/ 476 w 483"/>
                              <a:gd name="T27" fmla="*/ -1116 h 965"/>
                              <a:gd name="T28" fmla="*/ 482 w 483"/>
                              <a:gd name="T29" fmla="*/ -1084 h 965"/>
                              <a:gd name="T30" fmla="*/ 482 w 483"/>
                              <a:gd name="T31" fmla="*/ -280 h 965"/>
                              <a:gd name="T32" fmla="*/ 476 w 483"/>
                              <a:gd name="T33" fmla="*/ -249 h 965"/>
                              <a:gd name="T34" fmla="*/ 459 w 483"/>
                              <a:gd name="T35" fmla="*/ -224 h 965"/>
                              <a:gd name="T36" fmla="*/ 433 w 483"/>
                              <a:gd name="T37" fmla="*/ -206 h 965"/>
                              <a:gd name="T38" fmla="*/ 402 w 483"/>
                              <a:gd name="T39" fmla="*/ -200 h 965"/>
                              <a:gd name="T40" fmla="*/ 81 w 483"/>
                              <a:gd name="T41" fmla="*/ -200 h 965"/>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483" h="965">
                                <a:moveTo>
                                  <a:pt x="81" y="965"/>
                                </a:moveTo>
                                <a:lnTo>
                                  <a:pt x="49" y="959"/>
                                </a:lnTo>
                                <a:lnTo>
                                  <a:pt x="24" y="941"/>
                                </a:lnTo>
                                <a:lnTo>
                                  <a:pt x="6" y="916"/>
                                </a:lnTo>
                                <a:lnTo>
                                  <a:pt x="0" y="885"/>
                                </a:lnTo>
                                <a:lnTo>
                                  <a:pt x="0" y="81"/>
                                </a:lnTo>
                                <a:lnTo>
                                  <a:pt x="6" y="49"/>
                                </a:lnTo>
                                <a:lnTo>
                                  <a:pt x="24" y="24"/>
                                </a:lnTo>
                                <a:lnTo>
                                  <a:pt x="49" y="6"/>
                                </a:lnTo>
                                <a:lnTo>
                                  <a:pt x="81" y="0"/>
                                </a:lnTo>
                                <a:lnTo>
                                  <a:pt x="402" y="0"/>
                                </a:lnTo>
                                <a:lnTo>
                                  <a:pt x="433" y="6"/>
                                </a:lnTo>
                                <a:lnTo>
                                  <a:pt x="459" y="24"/>
                                </a:lnTo>
                                <a:lnTo>
                                  <a:pt x="476" y="49"/>
                                </a:lnTo>
                                <a:lnTo>
                                  <a:pt x="482" y="81"/>
                                </a:lnTo>
                                <a:lnTo>
                                  <a:pt x="482" y="885"/>
                                </a:lnTo>
                                <a:lnTo>
                                  <a:pt x="476" y="916"/>
                                </a:lnTo>
                                <a:lnTo>
                                  <a:pt x="459" y="941"/>
                                </a:lnTo>
                                <a:lnTo>
                                  <a:pt x="433" y="959"/>
                                </a:lnTo>
                                <a:lnTo>
                                  <a:pt x="402" y="965"/>
                                </a:lnTo>
                                <a:lnTo>
                                  <a:pt x="81" y="965"/>
                                </a:lnTo>
                                <a:close/>
                              </a:path>
                            </a:pathLst>
                          </a:custGeom>
                          <a:noFill/>
                          <a:ln w="63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 name="Freeform 26"/>
                        <wps:cNvSpPr>
                          <a:spLocks/>
                        </wps:cNvSpPr>
                        <wps:spPr bwMode="auto">
                          <a:xfrm>
                            <a:off x="4370" y="-3827"/>
                            <a:ext cx="2350" cy="668"/>
                          </a:xfrm>
                          <a:custGeom>
                            <a:avLst/>
                            <a:gdLst>
                              <a:gd name="T0" fmla="*/ 2350 w 2350"/>
                              <a:gd name="T1" fmla="*/ -3586 h 668"/>
                              <a:gd name="T2" fmla="*/ 2333 w 2350"/>
                              <a:gd name="T3" fmla="*/ -3596 h 668"/>
                              <a:gd name="T4" fmla="*/ 2250 w 2350"/>
                              <a:gd name="T5" fmla="*/ -3644 h 668"/>
                              <a:gd name="T6" fmla="*/ 2244 w 2350"/>
                              <a:gd name="T7" fmla="*/ -3642 h 668"/>
                              <a:gd name="T8" fmla="*/ 2241 w 2350"/>
                              <a:gd name="T9" fmla="*/ -3638 h 668"/>
                              <a:gd name="T10" fmla="*/ 2238 w 2350"/>
                              <a:gd name="T11" fmla="*/ -3633 h 668"/>
                              <a:gd name="T12" fmla="*/ 2240 w 2350"/>
                              <a:gd name="T13" fmla="*/ -3627 h 668"/>
                              <a:gd name="T14" fmla="*/ 2293 w 2350"/>
                              <a:gd name="T15" fmla="*/ -3596 h 668"/>
                              <a:gd name="T16" fmla="*/ 69 w 2350"/>
                              <a:gd name="T17" fmla="*/ -3596 h 668"/>
                              <a:gd name="T18" fmla="*/ 69 w 2350"/>
                              <a:gd name="T19" fmla="*/ -3827 h 668"/>
                              <a:gd name="T20" fmla="*/ 49 w 2350"/>
                              <a:gd name="T21" fmla="*/ -3827 h 668"/>
                              <a:gd name="T22" fmla="*/ 49 w 2350"/>
                              <a:gd name="T23" fmla="*/ -3217 h 668"/>
                              <a:gd name="T24" fmla="*/ 20 w 2350"/>
                              <a:gd name="T25" fmla="*/ -3265 h 668"/>
                              <a:gd name="T26" fmla="*/ 18 w 2350"/>
                              <a:gd name="T27" fmla="*/ -3270 h 668"/>
                              <a:gd name="T28" fmla="*/ 11 w 2350"/>
                              <a:gd name="T29" fmla="*/ -3271 h 668"/>
                              <a:gd name="T30" fmla="*/ 2 w 2350"/>
                              <a:gd name="T31" fmla="*/ -3266 h 668"/>
                              <a:gd name="T32" fmla="*/ 0 w 2350"/>
                              <a:gd name="T33" fmla="*/ -3260 h 668"/>
                              <a:gd name="T34" fmla="*/ 3 w 2350"/>
                              <a:gd name="T35" fmla="*/ -3255 h 668"/>
                              <a:gd name="T36" fmla="*/ 59 w 2350"/>
                              <a:gd name="T37" fmla="*/ -3159 h 668"/>
                              <a:gd name="T38" fmla="*/ 70 w 2350"/>
                              <a:gd name="T39" fmla="*/ -3179 h 668"/>
                              <a:gd name="T40" fmla="*/ 117 w 2350"/>
                              <a:gd name="T41" fmla="*/ -3260 h 668"/>
                              <a:gd name="T42" fmla="*/ 115 w 2350"/>
                              <a:gd name="T43" fmla="*/ -3266 h 668"/>
                              <a:gd name="T44" fmla="*/ 106 w 2350"/>
                              <a:gd name="T45" fmla="*/ -3271 h 668"/>
                              <a:gd name="T46" fmla="*/ 100 w 2350"/>
                              <a:gd name="T47" fmla="*/ -3270 h 668"/>
                              <a:gd name="T48" fmla="*/ 97 w 2350"/>
                              <a:gd name="T49" fmla="*/ -3265 h 668"/>
                              <a:gd name="T50" fmla="*/ 69 w 2350"/>
                              <a:gd name="T51" fmla="*/ -3217 h 668"/>
                              <a:gd name="T52" fmla="*/ 69 w 2350"/>
                              <a:gd name="T53" fmla="*/ -3576 h 668"/>
                              <a:gd name="T54" fmla="*/ 2293 w 2350"/>
                              <a:gd name="T55" fmla="*/ -3576 h 668"/>
                              <a:gd name="T56" fmla="*/ 2310 w 2350"/>
                              <a:gd name="T57" fmla="*/ -3586 h 668"/>
                              <a:gd name="T58" fmla="*/ 2245 w 2350"/>
                              <a:gd name="T59" fmla="*/ -3547 h 668"/>
                              <a:gd name="T60" fmla="*/ 2240 w 2350"/>
                              <a:gd name="T61" fmla="*/ -3545 h 668"/>
                              <a:gd name="T62" fmla="*/ 2238 w 2350"/>
                              <a:gd name="T63" fmla="*/ -3539 h 668"/>
                              <a:gd name="T64" fmla="*/ 2244 w 2350"/>
                              <a:gd name="T65" fmla="*/ -3529 h 668"/>
                              <a:gd name="T66" fmla="*/ 2250 w 2350"/>
                              <a:gd name="T67" fmla="*/ -3527 h 668"/>
                              <a:gd name="T68" fmla="*/ 2333 w 2350"/>
                              <a:gd name="T69" fmla="*/ -3576 h 668"/>
                              <a:gd name="T70" fmla="*/ 2350 w 2350"/>
                              <a:gd name="T71" fmla="*/ -3586 h 668"/>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2350" h="668">
                                <a:moveTo>
                                  <a:pt x="2350" y="241"/>
                                </a:moveTo>
                                <a:lnTo>
                                  <a:pt x="2333" y="231"/>
                                </a:lnTo>
                                <a:lnTo>
                                  <a:pt x="2250" y="183"/>
                                </a:lnTo>
                                <a:lnTo>
                                  <a:pt x="2244" y="185"/>
                                </a:lnTo>
                                <a:lnTo>
                                  <a:pt x="2241" y="189"/>
                                </a:lnTo>
                                <a:lnTo>
                                  <a:pt x="2238" y="194"/>
                                </a:lnTo>
                                <a:lnTo>
                                  <a:pt x="2240" y="200"/>
                                </a:lnTo>
                                <a:lnTo>
                                  <a:pt x="2293" y="231"/>
                                </a:lnTo>
                                <a:lnTo>
                                  <a:pt x="69" y="231"/>
                                </a:lnTo>
                                <a:lnTo>
                                  <a:pt x="69" y="0"/>
                                </a:lnTo>
                                <a:lnTo>
                                  <a:pt x="49" y="0"/>
                                </a:lnTo>
                                <a:lnTo>
                                  <a:pt x="49" y="610"/>
                                </a:lnTo>
                                <a:lnTo>
                                  <a:pt x="20" y="562"/>
                                </a:lnTo>
                                <a:lnTo>
                                  <a:pt x="18" y="557"/>
                                </a:lnTo>
                                <a:lnTo>
                                  <a:pt x="11" y="556"/>
                                </a:lnTo>
                                <a:lnTo>
                                  <a:pt x="2" y="561"/>
                                </a:lnTo>
                                <a:lnTo>
                                  <a:pt x="0" y="567"/>
                                </a:lnTo>
                                <a:lnTo>
                                  <a:pt x="3" y="572"/>
                                </a:lnTo>
                                <a:lnTo>
                                  <a:pt x="59" y="668"/>
                                </a:lnTo>
                                <a:lnTo>
                                  <a:pt x="70" y="648"/>
                                </a:lnTo>
                                <a:lnTo>
                                  <a:pt x="117" y="567"/>
                                </a:lnTo>
                                <a:lnTo>
                                  <a:pt x="115" y="561"/>
                                </a:lnTo>
                                <a:lnTo>
                                  <a:pt x="106" y="556"/>
                                </a:lnTo>
                                <a:lnTo>
                                  <a:pt x="100" y="557"/>
                                </a:lnTo>
                                <a:lnTo>
                                  <a:pt x="97" y="562"/>
                                </a:lnTo>
                                <a:lnTo>
                                  <a:pt x="69" y="610"/>
                                </a:lnTo>
                                <a:lnTo>
                                  <a:pt x="69" y="251"/>
                                </a:lnTo>
                                <a:lnTo>
                                  <a:pt x="2293" y="251"/>
                                </a:lnTo>
                                <a:lnTo>
                                  <a:pt x="2310" y="241"/>
                                </a:lnTo>
                                <a:lnTo>
                                  <a:pt x="2245" y="280"/>
                                </a:lnTo>
                                <a:lnTo>
                                  <a:pt x="2240" y="282"/>
                                </a:lnTo>
                                <a:lnTo>
                                  <a:pt x="2238" y="288"/>
                                </a:lnTo>
                                <a:lnTo>
                                  <a:pt x="2244" y="298"/>
                                </a:lnTo>
                                <a:lnTo>
                                  <a:pt x="2250" y="300"/>
                                </a:lnTo>
                                <a:lnTo>
                                  <a:pt x="2333" y="251"/>
                                </a:lnTo>
                                <a:lnTo>
                                  <a:pt x="2350" y="241"/>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Text Box 27"/>
                        <wps:cNvSpPr txBox="1">
                          <a:spLocks noChangeArrowheads="1"/>
                        </wps:cNvSpPr>
                        <wps:spPr bwMode="auto">
                          <a:xfrm>
                            <a:off x="4046" y="-1032"/>
                            <a:ext cx="1253" cy="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4A5B53" w14:textId="77777777" w:rsidR="00525FBB" w:rsidRPr="00C51F7F" w:rsidRDefault="00525FBB" w:rsidP="00525FBB">
                              <w:pPr>
                                <w:spacing w:after="0"/>
                                <w:ind w:right="14"/>
                                <w:jc w:val="center"/>
                                <w:rPr>
                                  <w:rFonts w:cstheme="minorHAnsi"/>
                                  <w:sz w:val="16"/>
                                </w:rPr>
                              </w:pPr>
                              <w:r w:rsidRPr="00C51F7F">
                                <w:rPr>
                                  <w:rFonts w:cstheme="minorHAnsi"/>
                                  <w:color w:val="231F20"/>
                                  <w:sz w:val="16"/>
                                </w:rPr>
                                <w:t>Studies included</w:t>
                              </w:r>
                              <w:r>
                                <w:rPr>
                                  <w:rFonts w:cstheme="minorHAnsi"/>
                                  <w:color w:val="231F20"/>
                                  <w:sz w:val="16"/>
                                </w:rPr>
                                <w:t xml:space="preserve"> in </w:t>
                              </w:r>
                              <w:r w:rsidRPr="00C51F7F">
                                <w:rPr>
                                  <w:rFonts w:cstheme="minorHAnsi"/>
                                  <w:color w:val="231F20"/>
                                  <w:sz w:val="16"/>
                                </w:rPr>
                                <w:t xml:space="preserve"> review.</w:t>
                              </w:r>
                            </w:p>
                            <w:p w14:paraId="4F9E577E" w14:textId="77777777" w:rsidR="00525FBB" w:rsidRPr="00C51F7F" w:rsidRDefault="00525FBB" w:rsidP="00525FBB">
                              <w:pPr>
                                <w:spacing w:after="0"/>
                                <w:ind w:right="14"/>
                                <w:jc w:val="center"/>
                                <w:rPr>
                                  <w:rFonts w:cstheme="minorHAnsi"/>
                                  <w:sz w:val="16"/>
                                </w:rPr>
                              </w:pPr>
                              <w:r w:rsidRPr="00C51F7F">
                                <w:rPr>
                                  <w:rFonts w:cstheme="minorHAnsi"/>
                                  <w:color w:val="231F20"/>
                                  <w:sz w:val="16"/>
                                </w:rPr>
                                <w:t>(</w:t>
                              </w:r>
                              <w:r w:rsidRPr="00C51F7F">
                                <w:rPr>
                                  <w:rFonts w:cstheme="minorHAnsi"/>
                                  <w:i/>
                                  <w:color w:val="231F20"/>
                                  <w:sz w:val="16"/>
                                </w:rPr>
                                <w:t xml:space="preserve">n </w:t>
                              </w:r>
                              <w:r w:rsidRPr="00C51F7F">
                                <w:rPr>
                                  <w:rFonts w:cstheme="minorHAnsi"/>
                                  <w:color w:val="231F20"/>
                                  <w:sz w:val="16"/>
                                </w:rPr>
                                <w:t>=</w:t>
                              </w:r>
                              <w:r>
                                <w:rPr>
                                  <w:rFonts w:cstheme="minorHAnsi"/>
                                  <w:color w:val="231F20"/>
                                  <w:sz w:val="16"/>
                                </w:rPr>
                                <w:t>12</w:t>
                              </w:r>
                              <w:r w:rsidRPr="00C51F7F">
                                <w:rPr>
                                  <w:rFonts w:cstheme="minorHAnsi"/>
                                  <w:color w:val="231F20"/>
                                  <w:sz w:val="16"/>
                                </w:rPr>
                                <w:t>)</w:t>
                              </w:r>
                            </w:p>
                          </w:txbxContent>
                        </wps:txbx>
                        <wps:bodyPr rot="0" vert="horz" wrap="square" lIns="0" tIns="0" rIns="0" bIns="0" anchor="t" anchorCtr="0" upright="1">
                          <a:noAutofit/>
                        </wps:bodyPr>
                      </wps:wsp>
                      <wps:wsp>
                        <wps:cNvPr id="27" name="Text Box 28"/>
                        <wps:cNvSpPr txBox="1">
                          <a:spLocks noChangeArrowheads="1"/>
                        </wps:cNvSpPr>
                        <wps:spPr bwMode="auto">
                          <a:xfrm>
                            <a:off x="6719" y="-2438"/>
                            <a:ext cx="2493" cy="603"/>
                          </a:xfrm>
                          <a:prstGeom prst="rect">
                            <a:avLst/>
                          </a:prstGeom>
                          <a:noFill/>
                          <a:ln w="6375">
                            <a:solidFill>
                              <a:srgbClr val="231F20"/>
                            </a:solidFill>
                            <a:miter lim="800000"/>
                            <a:headEnd/>
                            <a:tailEnd/>
                          </a:ln>
                          <a:extLst>
                            <a:ext uri="{909E8E84-426E-40DD-AFC4-6F175D3DCCD1}">
                              <a14:hiddenFill xmlns:a14="http://schemas.microsoft.com/office/drawing/2010/main">
                                <a:solidFill>
                                  <a:srgbClr val="FFFFFF"/>
                                </a:solidFill>
                              </a14:hiddenFill>
                            </a:ext>
                          </a:extLst>
                        </wps:spPr>
                        <wps:txbx>
                          <w:txbxContent>
                            <w:p w14:paraId="088F5C89" w14:textId="77777777" w:rsidR="00525FBB" w:rsidRPr="00C51F7F" w:rsidRDefault="00525FBB" w:rsidP="00525FBB">
                              <w:pPr>
                                <w:spacing w:before="40"/>
                                <w:ind w:left="422" w:right="231" w:hanging="222"/>
                                <w:rPr>
                                  <w:rFonts w:cstheme="minorHAnsi"/>
                                  <w:sz w:val="16"/>
                                </w:rPr>
                              </w:pPr>
                              <w:r w:rsidRPr="00C51F7F">
                                <w:rPr>
                                  <w:rFonts w:cstheme="minorHAnsi"/>
                                  <w:i/>
                                  <w:color w:val="231F20"/>
                                  <w:sz w:val="16"/>
                                </w:rPr>
                                <w:t xml:space="preserve">n </w:t>
                              </w:r>
                              <w:r w:rsidRPr="00C51F7F">
                                <w:rPr>
                                  <w:rFonts w:cstheme="minorHAnsi"/>
                                  <w:color w:val="231F20"/>
                                  <w:sz w:val="16"/>
                                </w:rPr>
                                <w:t>=</w:t>
                              </w:r>
                              <w:r>
                                <w:rPr>
                                  <w:rFonts w:cstheme="minorHAnsi"/>
                                  <w:color w:val="231F20"/>
                                  <w:sz w:val="16"/>
                                </w:rPr>
                                <w:t>25</w:t>
                              </w:r>
                              <w:r w:rsidRPr="00C51F7F">
                                <w:rPr>
                                  <w:rFonts w:cstheme="minorHAnsi"/>
                                  <w:color w:val="231F20"/>
                                  <w:sz w:val="16"/>
                                </w:rPr>
                                <w:t xml:space="preserve"> full text articles excluded after the quality appraisal</w:t>
                              </w:r>
                            </w:p>
                          </w:txbxContent>
                        </wps:txbx>
                        <wps:bodyPr rot="0" vert="horz" wrap="square" lIns="0" tIns="0" rIns="0" bIns="0" anchor="t" anchorCtr="0" upright="1">
                          <a:noAutofit/>
                        </wps:bodyPr>
                      </wps:wsp>
                      <wps:wsp>
                        <wps:cNvPr id="28" name="Text Box 29"/>
                        <wps:cNvSpPr txBox="1">
                          <a:spLocks noChangeArrowheads="1"/>
                        </wps:cNvSpPr>
                        <wps:spPr bwMode="auto">
                          <a:xfrm>
                            <a:off x="3705" y="-3161"/>
                            <a:ext cx="1917" cy="1692"/>
                          </a:xfrm>
                          <a:prstGeom prst="rect">
                            <a:avLst/>
                          </a:prstGeom>
                          <a:noFill/>
                          <a:ln w="6375">
                            <a:solidFill>
                              <a:srgbClr val="231F20"/>
                            </a:solidFill>
                            <a:miter lim="800000"/>
                            <a:headEnd/>
                            <a:tailEnd/>
                          </a:ln>
                          <a:extLst>
                            <a:ext uri="{909E8E84-426E-40DD-AFC4-6F175D3DCCD1}">
                              <a14:hiddenFill xmlns:a14="http://schemas.microsoft.com/office/drawing/2010/main">
                                <a:solidFill>
                                  <a:srgbClr val="FFFFFF"/>
                                </a:solidFill>
                              </a14:hiddenFill>
                            </a:ext>
                          </a:extLst>
                        </wps:spPr>
                        <wps:txbx>
                          <w:txbxContent>
                            <w:p w14:paraId="7EDDAC7D" w14:textId="77777777" w:rsidR="00525FBB" w:rsidRPr="00C51F7F" w:rsidRDefault="00525FBB" w:rsidP="00525FBB">
                              <w:pPr>
                                <w:spacing w:before="39" w:after="0" w:line="240" w:lineRule="auto"/>
                                <w:ind w:left="138" w:right="136"/>
                                <w:jc w:val="center"/>
                                <w:rPr>
                                  <w:rFonts w:cstheme="minorHAnsi"/>
                                  <w:sz w:val="16"/>
                                </w:rPr>
                              </w:pPr>
                              <w:r w:rsidRPr="00C51F7F">
                                <w:rPr>
                                  <w:rFonts w:cstheme="minorHAnsi"/>
                                  <w:color w:val="231F20"/>
                                  <w:sz w:val="16"/>
                                </w:rPr>
                                <w:t>Full text articles assessed for eligibility.</w:t>
                              </w:r>
                            </w:p>
                            <w:p w14:paraId="192F2482" w14:textId="77777777" w:rsidR="00525FBB" w:rsidRPr="00C51F7F" w:rsidRDefault="00525FBB" w:rsidP="00525FBB">
                              <w:pPr>
                                <w:spacing w:before="2" w:after="0" w:line="240" w:lineRule="auto"/>
                                <w:ind w:left="135" w:right="136"/>
                                <w:jc w:val="center"/>
                                <w:rPr>
                                  <w:rFonts w:cstheme="minorHAnsi"/>
                                  <w:sz w:val="16"/>
                                </w:rPr>
                              </w:pPr>
                              <w:r w:rsidRPr="00C51F7F">
                                <w:rPr>
                                  <w:rFonts w:cstheme="minorHAnsi"/>
                                  <w:color w:val="231F20"/>
                                  <w:sz w:val="16"/>
                                </w:rPr>
                                <w:t>(</w:t>
                              </w:r>
                              <w:r w:rsidRPr="00C51F7F">
                                <w:rPr>
                                  <w:rFonts w:cstheme="minorHAnsi"/>
                                  <w:i/>
                                  <w:color w:val="231F20"/>
                                  <w:sz w:val="16"/>
                                </w:rPr>
                                <w:t xml:space="preserve">n </w:t>
                              </w:r>
                              <w:r w:rsidRPr="00C51F7F">
                                <w:rPr>
                                  <w:rFonts w:cstheme="minorHAnsi"/>
                                  <w:color w:val="231F20"/>
                                  <w:sz w:val="16"/>
                                </w:rPr>
                                <w:t>=</w:t>
                              </w:r>
                              <w:r>
                                <w:rPr>
                                  <w:rFonts w:cstheme="minorHAnsi"/>
                                  <w:color w:val="231F20"/>
                                  <w:sz w:val="16"/>
                                </w:rPr>
                                <w:t>34</w:t>
                              </w:r>
                              <w:r w:rsidRPr="00C51F7F">
                                <w:rPr>
                                  <w:rFonts w:cstheme="minorHAnsi"/>
                                  <w:color w:val="231F20"/>
                                  <w:sz w:val="16"/>
                                </w:rPr>
                                <w:t>)</w:t>
                              </w:r>
                            </w:p>
                            <w:p w14:paraId="409854AF" w14:textId="77777777" w:rsidR="00525FBB" w:rsidRPr="00C51F7F" w:rsidRDefault="00525FBB" w:rsidP="00525FBB">
                              <w:pPr>
                                <w:spacing w:before="1" w:after="0" w:line="240" w:lineRule="auto"/>
                                <w:ind w:left="2"/>
                                <w:jc w:val="center"/>
                                <w:rPr>
                                  <w:rFonts w:cstheme="minorHAnsi"/>
                                  <w:sz w:val="16"/>
                                </w:rPr>
                              </w:pPr>
                              <w:r w:rsidRPr="00C51F7F">
                                <w:rPr>
                                  <w:rFonts w:cstheme="minorHAnsi"/>
                                  <w:color w:val="231F20"/>
                                  <w:sz w:val="16"/>
                                </w:rPr>
                                <w:t>+</w:t>
                              </w:r>
                            </w:p>
                            <w:p w14:paraId="2EF5A607" w14:textId="77777777" w:rsidR="00525FBB" w:rsidRPr="00C51F7F" w:rsidRDefault="00525FBB" w:rsidP="00525FBB">
                              <w:pPr>
                                <w:spacing w:before="1" w:after="0" w:line="240" w:lineRule="auto"/>
                                <w:ind w:left="230" w:right="226"/>
                                <w:jc w:val="center"/>
                                <w:rPr>
                                  <w:rFonts w:cstheme="minorHAnsi"/>
                                  <w:sz w:val="16"/>
                                </w:rPr>
                              </w:pPr>
                              <w:r w:rsidRPr="00C51F7F">
                                <w:rPr>
                                  <w:rFonts w:cstheme="minorHAnsi"/>
                                  <w:i/>
                                  <w:color w:val="231F20"/>
                                  <w:sz w:val="16"/>
                                </w:rPr>
                                <w:t xml:space="preserve">n </w:t>
                              </w:r>
                              <w:r w:rsidRPr="00C51F7F">
                                <w:rPr>
                                  <w:rFonts w:cstheme="minorHAnsi"/>
                                  <w:color w:val="231F20"/>
                                  <w:sz w:val="16"/>
                                </w:rPr>
                                <w:t xml:space="preserve">= 3 articles retrieved from references lists </w:t>
                              </w:r>
                              <w:r>
                                <w:rPr>
                                  <w:rFonts w:cstheme="minorHAnsi"/>
                                  <w:color w:val="231F20"/>
                                  <w:sz w:val="16"/>
                                </w:rPr>
                                <w:t>3</w:t>
                              </w:r>
                              <w:r w:rsidRPr="00C51F7F">
                                <w:rPr>
                                  <w:rFonts w:cstheme="minorHAnsi"/>
                                  <w:color w:val="231F20"/>
                                  <w:sz w:val="16"/>
                                </w:rPr>
                                <w:t>7 articles for full text review</w:t>
                              </w:r>
                            </w:p>
                          </w:txbxContent>
                        </wps:txbx>
                        <wps:bodyPr rot="0" vert="horz" wrap="square" lIns="0" tIns="0" rIns="0" bIns="0" anchor="ctr" anchorCtr="0" upright="1">
                          <a:noAutofit/>
                        </wps:bodyPr>
                      </wps:wsp>
                      <wps:wsp>
                        <wps:cNvPr id="29" name="Text Box 30"/>
                        <wps:cNvSpPr txBox="1">
                          <a:spLocks noChangeArrowheads="1"/>
                        </wps:cNvSpPr>
                        <wps:spPr bwMode="auto">
                          <a:xfrm>
                            <a:off x="6719" y="-3948"/>
                            <a:ext cx="2533" cy="788"/>
                          </a:xfrm>
                          <a:prstGeom prst="rect">
                            <a:avLst/>
                          </a:prstGeom>
                          <a:noFill/>
                          <a:ln w="6375">
                            <a:solidFill>
                              <a:srgbClr val="231F20"/>
                            </a:solidFill>
                            <a:miter lim="800000"/>
                            <a:headEnd/>
                            <a:tailEnd/>
                          </a:ln>
                          <a:extLst>
                            <a:ext uri="{909E8E84-426E-40DD-AFC4-6F175D3DCCD1}">
                              <a14:hiddenFill xmlns:a14="http://schemas.microsoft.com/office/drawing/2010/main">
                                <a:solidFill>
                                  <a:srgbClr val="FFFFFF"/>
                                </a:solidFill>
                              </a14:hiddenFill>
                            </a:ext>
                          </a:extLst>
                        </wps:spPr>
                        <wps:txbx>
                          <w:txbxContent>
                            <w:p w14:paraId="20EF15F7" w14:textId="77777777" w:rsidR="00525FBB" w:rsidRPr="00C51F7F" w:rsidRDefault="00525FBB" w:rsidP="00525FBB">
                              <w:pPr>
                                <w:spacing w:before="40" w:line="249" w:lineRule="auto"/>
                                <w:ind w:left="954" w:right="158" w:hanging="748"/>
                                <w:rPr>
                                  <w:rFonts w:cstheme="minorHAnsi"/>
                                  <w:sz w:val="16"/>
                                </w:rPr>
                              </w:pPr>
                              <w:r w:rsidRPr="00C51F7F">
                                <w:rPr>
                                  <w:rFonts w:cstheme="minorHAnsi"/>
                                  <w:i/>
                                  <w:color w:val="231F20"/>
                                  <w:sz w:val="16"/>
                                </w:rPr>
                                <w:t xml:space="preserve">n </w:t>
                              </w:r>
                              <w:r w:rsidRPr="00C51F7F">
                                <w:rPr>
                                  <w:rFonts w:cstheme="minorHAnsi"/>
                                  <w:color w:val="231F20"/>
                                  <w:sz w:val="16"/>
                                </w:rPr>
                                <w:t xml:space="preserve">= </w:t>
                              </w:r>
                              <w:r>
                                <w:rPr>
                                  <w:rFonts w:cstheme="minorHAnsi"/>
                                  <w:color w:val="231F20"/>
                                  <w:sz w:val="16"/>
                                </w:rPr>
                                <w:t>2</w:t>
                              </w:r>
                              <w:r w:rsidRPr="00C51F7F">
                                <w:rPr>
                                  <w:rFonts w:cstheme="minorHAnsi"/>
                                  <w:color w:val="231F20"/>
                                  <w:sz w:val="16"/>
                                </w:rPr>
                                <w:t>7 excluded after the full text screening</w:t>
                              </w:r>
                            </w:p>
                          </w:txbxContent>
                        </wps:txbx>
                        <wps:bodyPr rot="0" vert="horz" wrap="square" lIns="0" tIns="0" rIns="0" bIns="0" anchor="t" anchorCtr="0" upright="1">
                          <a:noAutofit/>
                        </wps:bodyPr>
                      </wps:wsp>
                      <wps:wsp>
                        <wps:cNvPr id="30" name="Text Box 31"/>
                        <wps:cNvSpPr txBox="1">
                          <a:spLocks noChangeArrowheads="1"/>
                        </wps:cNvSpPr>
                        <wps:spPr bwMode="auto">
                          <a:xfrm>
                            <a:off x="3705" y="-4792"/>
                            <a:ext cx="1897" cy="965"/>
                          </a:xfrm>
                          <a:prstGeom prst="rect">
                            <a:avLst/>
                          </a:prstGeom>
                          <a:noFill/>
                          <a:ln w="6375">
                            <a:solidFill>
                              <a:srgbClr val="231F20"/>
                            </a:solidFill>
                            <a:miter lim="800000"/>
                            <a:headEnd/>
                            <a:tailEnd/>
                          </a:ln>
                          <a:extLst>
                            <a:ext uri="{909E8E84-426E-40DD-AFC4-6F175D3DCCD1}">
                              <a14:hiddenFill xmlns:a14="http://schemas.microsoft.com/office/drawing/2010/main">
                                <a:solidFill>
                                  <a:srgbClr val="FFFFFF"/>
                                </a:solidFill>
                              </a14:hiddenFill>
                            </a:ext>
                          </a:extLst>
                        </wps:spPr>
                        <wps:txbx>
                          <w:txbxContent>
                            <w:p w14:paraId="0F2A59C8" w14:textId="77777777" w:rsidR="00525FBB" w:rsidRPr="00C51F7F" w:rsidRDefault="00525FBB" w:rsidP="00525FBB">
                              <w:pPr>
                                <w:spacing w:before="40"/>
                                <w:ind w:left="321" w:right="302" w:firstLine="24"/>
                                <w:jc w:val="center"/>
                                <w:rPr>
                                  <w:rFonts w:cstheme="minorHAnsi"/>
                                  <w:sz w:val="16"/>
                                </w:rPr>
                              </w:pPr>
                              <w:r w:rsidRPr="00C51F7F">
                                <w:rPr>
                                  <w:rFonts w:cstheme="minorHAnsi"/>
                                  <w:i/>
                                  <w:color w:val="231F20"/>
                                  <w:sz w:val="16"/>
                                </w:rPr>
                                <w:t xml:space="preserve">n </w:t>
                              </w:r>
                              <w:r w:rsidRPr="00C51F7F">
                                <w:rPr>
                                  <w:rFonts w:cstheme="minorHAnsi"/>
                                  <w:color w:val="231F20"/>
                                  <w:sz w:val="16"/>
                                </w:rPr>
                                <w:t xml:space="preserve">= </w:t>
                              </w:r>
                              <w:r>
                                <w:rPr>
                                  <w:rFonts w:cstheme="minorHAnsi"/>
                                  <w:color w:val="231F20"/>
                                  <w:sz w:val="16"/>
                                </w:rPr>
                                <w:t>64</w:t>
                              </w:r>
                              <w:r w:rsidRPr="00C51F7F">
                                <w:rPr>
                                  <w:rFonts w:cstheme="minorHAnsi"/>
                                  <w:color w:val="231F20"/>
                                  <w:sz w:val="16"/>
                                </w:rPr>
                                <w:t xml:space="preserve"> articles considered for inclusion</w:t>
                              </w:r>
                            </w:p>
                          </w:txbxContent>
                        </wps:txbx>
                        <wps:bodyPr rot="0" vert="horz" wrap="square" lIns="0" tIns="0" rIns="0" bIns="0" anchor="ctr" anchorCtr="0" upright="1">
                          <a:noAutofit/>
                        </wps:bodyPr>
                      </wps:wsp>
                      <wps:wsp>
                        <wps:cNvPr id="31" name="Text Box 32"/>
                        <wps:cNvSpPr txBox="1">
                          <a:spLocks noChangeArrowheads="1"/>
                        </wps:cNvSpPr>
                        <wps:spPr bwMode="auto">
                          <a:xfrm>
                            <a:off x="6719" y="-5877"/>
                            <a:ext cx="2493" cy="1604"/>
                          </a:xfrm>
                          <a:prstGeom prst="rect">
                            <a:avLst/>
                          </a:prstGeom>
                          <a:noFill/>
                          <a:ln w="6375">
                            <a:solidFill>
                              <a:srgbClr val="231F20"/>
                            </a:solidFill>
                            <a:miter lim="800000"/>
                            <a:headEnd/>
                            <a:tailEnd/>
                          </a:ln>
                          <a:extLst>
                            <a:ext uri="{909E8E84-426E-40DD-AFC4-6F175D3DCCD1}">
                              <a14:hiddenFill xmlns:a14="http://schemas.microsoft.com/office/drawing/2010/main">
                                <a:solidFill>
                                  <a:srgbClr val="FFFFFF"/>
                                </a:solidFill>
                              </a14:hiddenFill>
                            </a:ext>
                          </a:extLst>
                        </wps:spPr>
                        <wps:txbx>
                          <w:txbxContent>
                            <w:p w14:paraId="66C31835" w14:textId="77777777" w:rsidR="00525FBB" w:rsidRPr="00C51F7F" w:rsidRDefault="00525FBB" w:rsidP="00525FBB">
                              <w:pPr>
                                <w:spacing w:before="39" w:after="100" w:afterAutospacing="1" w:line="240" w:lineRule="auto"/>
                                <w:ind w:left="621" w:right="620"/>
                                <w:jc w:val="center"/>
                                <w:rPr>
                                  <w:rFonts w:cstheme="minorHAnsi"/>
                                  <w:sz w:val="16"/>
                                </w:rPr>
                              </w:pPr>
                              <w:r w:rsidRPr="00C51F7F">
                                <w:rPr>
                                  <w:rFonts w:cstheme="minorHAnsi"/>
                                  <w:i/>
                                  <w:color w:val="231F20"/>
                                  <w:sz w:val="16"/>
                                </w:rPr>
                                <w:t xml:space="preserve">n </w:t>
                              </w:r>
                              <w:r w:rsidRPr="00C51F7F">
                                <w:rPr>
                                  <w:rFonts w:cstheme="minorHAnsi"/>
                                  <w:color w:val="231F20"/>
                                  <w:sz w:val="16"/>
                                </w:rPr>
                                <w:t xml:space="preserve">= </w:t>
                              </w:r>
                              <w:r>
                                <w:rPr>
                                  <w:rFonts w:cstheme="minorHAnsi"/>
                                  <w:color w:val="231F20"/>
                                  <w:sz w:val="16"/>
                                </w:rPr>
                                <w:t>96</w:t>
                              </w:r>
                              <w:r w:rsidRPr="00C51F7F">
                                <w:rPr>
                                  <w:rFonts w:cstheme="minorHAnsi"/>
                                  <w:color w:val="231F20"/>
                                  <w:sz w:val="16"/>
                                </w:rPr>
                                <w:br/>
                                <w:t>due to duplication.</w:t>
                              </w:r>
                            </w:p>
                            <w:p w14:paraId="65849F30" w14:textId="77777777" w:rsidR="00525FBB" w:rsidRPr="00C51F7F" w:rsidRDefault="00525FBB" w:rsidP="00525FBB">
                              <w:pPr>
                                <w:spacing w:before="1" w:after="100" w:afterAutospacing="1" w:line="240" w:lineRule="auto"/>
                                <w:ind w:left="195" w:right="191" w:hanging="3"/>
                                <w:jc w:val="center"/>
                                <w:rPr>
                                  <w:rFonts w:cstheme="minorHAnsi"/>
                                  <w:sz w:val="16"/>
                                </w:rPr>
                              </w:pPr>
                              <w:r w:rsidRPr="00C51F7F">
                                <w:rPr>
                                  <w:rFonts w:cstheme="minorHAnsi"/>
                                  <w:i/>
                                  <w:color w:val="231F20"/>
                                  <w:sz w:val="16"/>
                                </w:rPr>
                                <w:t xml:space="preserve">n </w:t>
                              </w:r>
                              <w:r w:rsidRPr="00C51F7F">
                                <w:rPr>
                                  <w:rFonts w:cstheme="minorHAnsi"/>
                                  <w:color w:val="231F20"/>
                                  <w:sz w:val="16"/>
                                </w:rPr>
                                <w:t xml:space="preserve">= </w:t>
                              </w:r>
                              <w:r>
                                <w:rPr>
                                  <w:rFonts w:cstheme="minorHAnsi"/>
                                  <w:color w:val="231F20"/>
                                  <w:sz w:val="16"/>
                                </w:rPr>
                                <w:t>489</w:t>
                              </w:r>
                              <w:r w:rsidRPr="00C51F7F">
                                <w:rPr>
                                  <w:rFonts w:cstheme="minorHAnsi"/>
                                  <w:color w:val="231F20"/>
                                  <w:sz w:val="16"/>
                                </w:rPr>
                                <w:t xml:space="preserve"> excluded: did not meet inclusion criteria screening titles</w:t>
                              </w:r>
                              <w:r>
                                <w:rPr>
                                  <w:rFonts w:cstheme="minorHAnsi"/>
                                  <w:color w:val="231F20"/>
                                  <w:sz w:val="16"/>
                                </w:rPr>
                                <w:t xml:space="preserve"> </w:t>
                              </w:r>
                              <w:r w:rsidRPr="00C51F7F">
                                <w:rPr>
                                  <w:rFonts w:cstheme="minorHAnsi"/>
                                  <w:color w:val="231F20"/>
                                  <w:sz w:val="16"/>
                                </w:rPr>
                                <w:t>and abstracts</w:t>
                              </w:r>
                            </w:p>
                          </w:txbxContent>
                        </wps:txbx>
                        <wps:bodyPr rot="0" vert="horz" wrap="square" lIns="0" tIns="0" rIns="0" bIns="0" anchor="t" anchorCtr="0" upright="1">
                          <a:noAutofit/>
                        </wps:bodyPr>
                      </wps:wsp>
                      <wps:wsp>
                        <wps:cNvPr id="32" name="Text Box 33"/>
                        <wps:cNvSpPr txBox="1">
                          <a:spLocks noChangeArrowheads="1"/>
                        </wps:cNvSpPr>
                        <wps:spPr bwMode="auto">
                          <a:xfrm>
                            <a:off x="3705" y="-7083"/>
                            <a:ext cx="5426" cy="965"/>
                          </a:xfrm>
                          <a:prstGeom prst="rect">
                            <a:avLst/>
                          </a:prstGeom>
                          <a:noFill/>
                          <a:ln w="6375">
                            <a:solidFill>
                              <a:srgbClr val="231F20"/>
                            </a:solidFill>
                            <a:miter lim="800000"/>
                            <a:headEnd/>
                            <a:tailEnd/>
                          </a:ln>
                          <a:extLst>
                            <a:ext uri="{909E8E84-426E-40DD-AFC4-6F175D3DCCD1}">
                              <a14:hiddenFill xmlns:a14="http://schemas.microsoft.com/office/drawing/2010/main">
                                <a:solidFill>
                                  <a:srgbClr val="FFFFFF"/>
                                </a:solidFill>
                              </a14:hiddenFill>
                            </a:ext>
                          </a:extLst>
                        </wps:spPr>
                        <wps:txbx>
                          <w:txbxContent>
                            <w:p w14:paraId="2BDBF0E5" w14:textId="77777777" w:rsidR="00525FBB" w:rsidRPr="00C51F7F" w:rsidRDefault="00525FBB" w:rsidP="00525FBB">
                              <w:pPr>
                                <w:spacing w:before="39" w:after="0" w:line="240" w:lineRule="auto"/>
                                <w:ind w:left="363" w:right="360"/>
                                <w:jc w:val="center"/>
                                <w:rPr>
                                  <w:rFonts w:cstheme="minorHAnsi"/>
                                  <w:sz w:val="18"/>
                                </w:rPr>
                              </w:pPr>
                              <w:r w:rsidRPr="00C51F7F">
                                <w:rPr>
                                  <w:rFonts w:cstheme="minorHAnsi"/>
                                  <w:color w:val="231F20"/>
                                  <w:sz w:val="18"/>
                                </w:rPr>
                                <w:t>Records identified through Academic Search:</w:t>
                              </w:r>
                            </w:p>
                            <w:p w14:paraId="2FB54FB8" w14:textId="77777777" w:rsidR="00525FBB" w:rsidRPr="00C51F7F" w:rsidRDefault="00525FBB" w:rsidP="00525FBB">
                              <w:pPr>
                                <w:spacing w:before="1" w:after="0" w:line="240" w:lineRule="auto"/>
                                <w:ind w:left="366" w:right="360"/>
                                <w:jc w:val="center"/>
                                <w:rPr>
                                  <w:rFonts w:cstheme="minorHAnsi"/>
                                  <w:sz w:val="18"/>
                                </w:rPr>
                              </w:pPr>
                              <w:r w:rsidRPr="00C51F7F">
                                <w:rPr>
                                  <w:rFonts w:cstheme="minorHAnsi"/>
                                  <w:color w:val="231F20"/>
                                  <w:sz w:val="18"/>
                                </w:rPr>
                                <w:t>PubMed, Science Direct, Google Scholar</w:t>
                              </w:r>
                              <w:r>
                                <w:rPr>
                                  <w:rFonts w:cstheme="minorHAnsi"/>
                                  <w:color w:val="231F20"/>
                                  <w:sz w:val="18"/>
                                </w:rPr>
                                <w:t xml:space="preserve"> etc</w:t>
                              </w:r>
                            </w:p>
                            <w:p w14:paraId="59C0071B" w14:textId="77777777" w:rsidR="00525FBB" w:rsidRPr="00C51F7F" w:rsidRDefault="00525FBB" w:rsidP="00525FBB">
                              <w:pPr>
                                <w:spacing w:before="2" w:after="0" w:line="240" w:lineRule="auto"/>
                                <w:ind w:left="324" w:right="360"/>
                                <w:jc w:val="center"/>
                                <w:rPr>
                                  <w:rFonts w:cstheme="minorHAnsi"/>
                                  <w:sz w:val="18"/>
                                </w:rPr>
                              </w:pPr>
                              <w:r w:rsidRPr="00C51F7F">
                                <w:rPr>
                                  <w:rFonts w:cstheme="minorHAnsi"/>
                                  <w:color w:val="231F20"/>
                                  <w:sz w:val="18"/>
                                </w:rPr>
                                <w:t>(</w:t>
                              </w:r>
                              <w:r w:rsidRPr="00C51F7F">
                                <w:rPr>
                                  <w:rFonts w:cstheme="minorHAnsi"/>
                                  <w:i/>
                                  <w:color w:val="231F20"/>
                                  <w:sz w:val="18"/>
                                </w:rPr>
                                <w:t xml:space="preserve">n </w:t>
                              </w:r>
                              <w:r w:rsidRPr="00C51F7F">
                                <w:rPr>
                                  <w:rFonts w:cstheme="minorHAnsi"/>
                                  <w:color w:val="231F20"/>
                                  <w:sz w:val="18"/>
                                </w:rPr>
                                <w:t>=</w:t>
                              </w:r>
                              <w:r>
                                <w:rPr>
                                  <w:rFonts w:cstheme="minorHAnsi"/>
                                  <w:color w:val="231F20"/>
                                  <w:sz w:val="18"/>
                                </w:rPr>
                                <w:t>649</w:t>
                              </w:r>
                              <w:r w:rsidRPr="00C51F7F">
                                <w:rPr>
                                  <w:rFonts w:cstheme="minorHAnsi"/>
                                  <w:color w:val="231F20"/>
                                  <w:sz w:val="18"/>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4DBCA8D" id="Group 17" o:spid="_x0000_s1027" style="position:absolute;margin-left:149.85pt;margin-top:11.35pt;width:339.9pt;height:347pt;z-index:251662336;mso-position-horizontal-relative:page" coordorigin="2454,-7083" coordsize="6798,69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28" type="#_x0000_t75" style="position:absolute;left:2454;top:-6678;width:4286;height:65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">
                  <v:imagedata r:id="rId9" o:title=""/>
                </v:shape>
                <v:shape id="AutoShape 20" o:spid="_x0000_s1029" style="position:absolute;left:3674;top:-6118;width:3046;height:5970;visibility:visible;mso-wrap-style:square;v-text-anchor:top" coordsize="3046,5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" path="m1928,5025r-12,l1916,5037r,872l60,5909r,-872l1916,5037r,-12l48,5025r,896l1928,5921r,-12l1928,5037r,-12xm1976,5007r-2,-11l1967,4986r-9,-6l1946,4977r-6,l1940,5013r,920l36,5933r,-920l1940,5013r,-36l30,4977r-12,3l9,4986r-7,10l,5007r,932l2,5951r7,10l18,5967r12,3l1946,5970r12,-3l1967,5961r7,-10l1976,5939r,-6l1976,5013r,-6xm3045,3982r-17,-10l2949,3927r-4,-3l2939,3926r-3,4l2933,3935r2,6l2988,3972r-1028,l1960,3992r1028,l2935,4023r-2,6l2939,4039r6,2l3028,3992r17,-10xm3045,603r-17,-10l2950,547r-5,-2l2939,546r-6,10l2935,562r53,31l884,594,884,,864,r,1270l864,1307r,-37l833,1217r-6,-2l817,1221r-1,6l819,1231r55,96l886,1307r44,-76l933,1227r-2,-6l921,1215r-6,2l884,1270r,-656l2988,613r-49,28l2935,644r-2,6l2939,660r6,2l3045,603xe" fillcolor="#231f20" stroked="f">
                  <v:path arrowok="t" o:connecttype="custom" o:connectlocs="1916,-1093;1916,-209;60,-1081;1916,-1093;48,-197;1928,-209;1928,-1093;1974,-1122;1958,-1138;1940,-1141;1940,-185;36,-1105;1940,-1141;18,-1138;2,-1122;0,-179;9,-157;30,-148;1958,-151;1974,-167;1976,-185;1976,-1111;3028,-2146;2945,-2194;2936,-2188;2935,-2177;1960,-2146;2988,-2126;2933,-2089;2945,-2077;3045,-2136;3028,-5525;2945,-5573;2933,-5562;2988,-5525;884,-6118;864,-4848;864,-4848;827,-4903;816,-4891;874,-4791;930,-4887;931,-4897;915,-4901;884,-4848;2988,-5505;2935,-5474;2939,-5458;3045,-5515" o:connectangles="0,0,0,0,0,0,0,0,0,0,0,0,0,0,0,0,0,0,0,0,0,0,0,0,0,0,0,0,0,0,0,0,0,0,0,0,0,0,0,0,0,0,0,0,0,0,0,0,0"/>
                </v:shape>
                <v:shape id="Picture 21" o:spid="_x0000_s1030" type="#_x0000_t75" style="position:absolute;left:4490;top:-1473;width:117;height:3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">
                  <v:imagedata r:id="rId10" o:title=""/>
                </v:shape>
                <v:shape id="Freeform 22" o:spid="_x0000_s1031" style="position:absolute;left:2499;top:-6656;width:483;height:1086;visibility:visible;mso-wrap-style:square;v-text-anchor:top" coordsize="483,1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" path="m81,1085r-32,-6l24,1062,6,1036,,1005,,81,6,49,24,24,49,6,81,,402,r31,6l459,24r17,25l482,81r,924l476,1036r-17,26l433,1079r-31,6l81,1085xe" filled="f" strokecolor="#231f20" strokeweight=".17708mm">
                  <v:path arrowok="t" o:connecttype="custom" o:connectlocs="81,-5571;49,-5577;24,-5594;6,-5620;0,-5651;0,-6575;6,-6607;24,-6632;49,-6650;81,-6656;402,-6656;433,-6650;459,-6632;476,-6607;482,-6575;482,-5651;476,-5620;459,-5594;433,-5577;402,-5571;81,-5571" o:connectangles="0,0,0,0,0,0,0,0,0,0,0,0,0,0,0,0,0,0,0,0,0"/>
                </v:shape>
                <v:shape id="Freeform 23" o:spid="_x0000_s1032" style="position:absolute;left:2499;top:-5024;width:483;height:1568;visibility:visible;mso-wrap-style:square;v-text-anchor:top" coordsize="483,15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" path="m81,1568r-32,-6l24,1544,6,1519,,1487,,81,6,49,24,24,49,6,81,,402,r31,6l459,24r17,25l482,81r,1406l476,1519r-17,25l433,1562r-31,6l81,1568xe" filled="f" strokecolor="#231f20" strokeweight=".17708mm">
                  <v:path arrowok="t" o:connecttype="custom" o:connectlocs="81,-3456;49,-3462;24,-3480;6,-3505;0,-3537;0,-4943;6,-4975;24,-5000;49,-5018;81,-5024;402,-5024;433,-5018;459,-5000;476,-4975;482,-4943;482,-3537;476,-3505;459,-3480;433,-3462;402,-3456;81,-3456" o:connectangles="0,0,0,0,0,0,0,0,0,0,0,0,0,0,0,0,0,0,0,0,0"/>
                </v:shape>
                <v:shape id="Freeform 24" o:spid="_x0000_s1033" style="position:absolute;left:2499;top:-2976;width:483;height:1086;visibility:visible;mso-wrap-style:square;v-text-anchor:top" coordsize="483,1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" path="m81,1085r-32,-6l24,1061,6,1036,,1005,,80,6,49,24,23,49,6,81,,402,r31,6l459,23r17,26l482,80r,925l476,1036r-17,25l433,1079r-31,6l81,1085xe" filled="f" strokecolor="#231f20" strokeweight=".17708mm">
                  <v:path arrowok="t" o:connecttype="custom" o:connectlocs="81,-1890;49,-1896;24,-1914;6,-1939;0,-1970;0,-2895;6,-2926;24,-2952;49,-2969;81,-2975;402,-2975;433,-2969;459,-2952;476,-2926;482,-2895;482,-1970;476,-1939;459,-1914;433,-1896;402,-1890;81,-1890" o:connectangles="0,0,0,0,0,0,0,0,0,0,0,0,0,0,0,0,0,0,0,0,0"/>
                </v:shape>
                <v:shape id="Freeform 25" o:spid="_x0000_s1034" style="position:absolute;left:2499;top:-1165;width:483;height:965;visibility:visible;mso-wrap-style:square;v-text-anchor:top" coordsize="483,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" path="m81,965l49,959,24,941,6,916,,885,,81,6,49,24,24,49,6,81,,402,r31,6l459,24r17,25l482,81r,804l476,916r-17,25l433,959r-31,6l81,965xe" filled="f" strokecolor="#231f20" strokeweight=".17708mm">
                  <v:path arrowok="t" o:connecttype="custom" o:connectlocs="81,-200;49,-206;24,-224;6,-249;0,-280;0,-1084;6,-1116;24,-1141;49,-1159;81,-1165;402,-1165;433,-1159;459,-1141;476,-1116;482,-1084;482,-280;476,-249;459,-224;433,-206;402,-200;81,-200" o:connectangles="0,0,0,0,0,0,0,0,0,0,0,0,0,0,0,0,0,0,0,0,0"/>
                </v:shape>
                <v:shape id="Freeform 26" o:spid="_x0000_s1035" style="position:absolute;left:4370;top:-3827;width:2350;height:668;visibility:visible;mso-wrap-style:square;v-text-anchor:top" coordsize="235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" path="m2350,241r-17,-10l2250,183r-6,2l2241,189r-3,5l2240,200r53,31l69,231,69,,49,r,610l20,562r-2,-5l11,556r-9,5l,567r3,5l59,668,70,648r47,-81l115,561r-9,-5l100,557r-3,5l69,610r,-359l2293,251r17,-10l2245,280r-5,2l2238,288r6,10l2250,300r83,-49l2350,241xe" fillcolor="#231f20" stroked="f">
                  <v:path arrowok="t" o:connecttype="custom" o:connectlocs="2350,-3586;2333,-3596;2250,-3644;2244,-3642;2241,-3638;2238,-3633;2240,-3627;2293,-3596;69,-3596;69,-3827;49,-3827;49,-3217;20,-3265;18,-3270;11,-3271;2,-3266;0,-3260;3,-3255;59,-3159;70,-3179;117,-3260;115,-3266;106,-3271;100,-3270;97,-3265;69,-3217;69,-3576;2293,-3576;2310,-3586;2245,-3547;2240,-3545;2238,-3539;2244,-3529;2250,-3527;2333,-3576;2350,-3586" o:connectangles="0,0,0,0,0,0,0,0,0,0,0,0,0,0,0,0,0,0,0,0,0,0,0,0,0,0,0,0,0,0,0,0,0,0,0,0"/>
                </v:shape>
                <v:shape id="Text Box 27" o:spid="_x0000_s1036" type="#_x0000_t202" style="position:absolute;left:4046;top:-1032;width:1253;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504A5B53" w14:textId="77777777" w:rsidR="00525FBB" w:rsidRPr="00C51F7F" w:rsidRDefault="00525FBB" w:rsidP="00525FBB">
                        <w:pPr>
                          <w:spacing w:after="0"/>
                          <w:ind w:right="14"/>
                          <w:jc w:val="center"/>
                          <w:rPr>
                            <w:rFonts w:cstheme="minorHAnsi"/>
                            <w:sz w:val="16"/>
                          </w:rPr>
                        </w:pPr>
                        <w:r w:rsidRPr="00C51F7F">
                          <w:rPr>
                            <w:rFonts w:cstheme="minorHAnsi"/>
                            <w:color w:val="231F20"/>
                            <w:sz w:val="16"/>
                          </w:rPr>
                          <w:t>Studies included</w:t>
                        </w:r>
                        <w:r>
                          <w:rPr>
                            <w:rFonts w:cstheme="minorHAnsi"/>
                            <w:color w:val="231F20"/>
                            <w:sz w:val="16"/>
                          </w:rPr>
                          <w:t xml:space="preserve"> in </w:t>
                        </w:r>
                        <w:r w:rsidRPr="00C51F7F">
                          <w:rPr>
                            <w:rFonts w:cstheme="minorHAnsi"/>
                            <w:color w:val="231F20"/>
                            <w:sz w:val="16"/>
                          </w:rPr>
                          <w:t xml:space="preserve"> review.</w:t>
                        </w:r>
                      </w:p>
                      <w:p w14:paraId="4F9E577E" w14:textId="77777777" w:rsidR="00525FBB" w:rsidRPr="00C51F7F" w:rsidRDefault="00525FBB" w:rsidP="00525FBB">
                        <w:pPr>
                          <w:spacing w:after="0"/>
                          <w:ind w:right="14"/>
                          <w:jc w:val="center"/>
                          <w:rPr>
                            <w:rFonts w:cstheme="minorHAnsi"/>
                            <w:sz w:val="16"/>
                          </w:rPr>
                        </w:pPr>
                        <w:r w:rsidRPr="00C51F7F">
                          <w:rPr>
                            <w:rFonts w:cstheme="minorHAnsi"/>
                            <w:color w:val="231F20"/>
                            <w:sz w:val="16"/>
                          </w:rPr>
                          <w:t>(</w:t>
                        </w:r>
                        <w:r w:rsidRPr="00C51F7F">
                          <w:rPr>
                            <w:rFonts w:cstheme="minorHAnsi"/>
                            <w:i/>
                            <w:color w:val="231F20"/>
                            <w:sz w:val="16"/>
                          </w:rPr>
                          <w:t xml:space="preserve">n </w:t>
                        </w:r>
                        <w:r w:rsidRPr="00C51F7F">
                          <w:rPr>
                            <w:rFonts w:cstheme="minorHAnsi"/>
                            <w:color w:val="231F20"/>
                            <w:sz w:val="16"/>
                          </w:rPr>
                          <w:t>=</w:t>
                        </w:r>
                        <w:r>
                          <w:rPr>
                            <w:rFonts w:cstheme="minorHAnsi"/>
                            <w:color w:val="231F20"/>
                            <w:sz w:val="16"/>
                          </w:rPr>
                          <w:t>12</w:t>
                        </w:r>
                        <w:r w:rsidRPr="00C51F7F">
                          <w:rPr>
                            <w:rFonts w:cstheme="minorHAnsi"/>
                            <w:color w:val="231F20"/>
                            <w:sz w:val="16"/>
                          </w:rPr>
                          <w:t>)</w:t>
                        </w:r>
                      </w:p>
                    </w:txbxContent>
                  </v:textbox>
                </v:shape>
                <v:shape id="Text Box 28" o:spid="_x0000_s1037" type="#_x0000_t202" style="position:absolute;left:6719;top:-2438;width:2493;height:6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" filled="f" strokecolor="#231f20" strokeweight=".17708mm">
                  <v:textbox inset="0,0,0,0">
                    <w:txbxContent>
                      <w:p w14:paraId="088F5C89" w14:textId="77777777" w:rsidR="00525FBB" w:rsidRPr="00C51F7F" w:rsidRDefault="00525FBB" w:rsidP="00525FBB">
                        <w:pPr>
                          <w:spacing w:before="40"/>
                          <w:ind w:left="422" w:right="231" w:hanging="222"/>
                          <w:rPr>
                            <w:rFonts w:cstheme="minorHAnsi"/>
                            <w:sz w:val="16"/>
                          </w:rPr>
                        </w:pPr>
                        <w:r w:rsidRPr="00C51F7F">
                          <w:rPr>
                            <w:rFonts w:cstheme="minorHAnsi"/>
                            <w:i/>
                            <w:color w:val="231F20"/>
                            <w:sz w:val="16"/>
                          </w:rPr>
                          <w:t xml:space="preserve">n </w:t>
                        </w:r>
                        <w:r w:rsidRPr="00C51F7F">
                          <w:rPr>
                            <w:rFonts w:cstheme="minorHAnsi"/>
                            <w:color w:val="231F20"/>
                            <w:sz w:val="16"/>
                          </w:rPr>
                          <w:t>=</w:t>
                        </w:r>
                        <w:r>
                          <w:rPr>
                            <w:rFonts w:cstheme="minorHAnsi"/>
                            <w:color w:val="231F20"/>
                            <w:sz w:val="16"/>
                          </w:rPr>
                          <w:t>25</w:t>
                        </w:r>
                        <w:r w:rsidRPr="00C51F7F">
                          <w:rPr>
                            <w:rFonts w:cstheme="minorHAnsi"/>
                            <w:color w:val="231F20"/>
                            <w:sz w:val="16"/>
                          </w:rPr>
                          <w:t xml:space="preserve"> full text articles excluded after the quality appraisal</w:t>
                        </w:r>
                      </w:p>
                    </w:txbxContent>
                  </v:textbox>
                </v:shape>
                <v:shape id="Text Box 29" o:spid="_x0000_s1038" type="#_x0000_t202" style="position:absolute;left:3705;top:-3161;width:1917;height:16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" filled="f" strokecolor="#231f20" strokeweight=".17708mm">
                  <v:textbox inset="0,0,0,0">
                    <w:txbxContent>
                      <w:p w14:paraId="7EDDAC7D" w14:textId="77777777" w:rsidR="00525FBB" w:rsidRPr="00C51F7F" w:rsidRDefault="00525FBB" w:rsidP="00525FBB">
                        <w:pPr>
                          <w:spacing w:before="39" w:after="0" w:line="240" w:lineRule="auto"/>
                          <w:ind w:left="138" w:right="136"/>
                          <w:jc w:val="center"/>
                          <w:rPr>
                            <w:rFonts w:cstheme="minorHAnsi"/>
                            <w:sz w:val="16"/>
                          </w:rPr>
                        </w:pPr>
                        <w:r w:rsidRPr="00C51F7F">
                          <w:rPr>
                            <w:rFonts w:cstheme="minorHAnsi"/>
                            <w:color w:val="231F20"/>
                            <w:sz w:val="16"/>
                          </w:rPr>
                          <w:t>Full text articles assessed for eligibility.</w:t>
                        </w:r>
                      </w:p>
                      <w:p w14:paraId="192F2482" w14:textId="77777777" w:rsidR="00525FBB" w:rsidRPr="00C51F7F" w:rsidRDefault="00525FBB" w:rsidP="00525FBB">
                        <w:pPr>
                          <w:spacing w:before="2" w:after="0" w:line="240" w:lineRule="auto"/>
                          <w:ind w:left="135" w:right="136"/>
                          <w:jc w:val="center"/>
                          <w:rPr>
                            <w:rFonts w:cstheme="minorHAnsi"/>
                            <w:sz w:val="16"/>
                          </w:rPr>
                        </w:pPr>
                        <w:r w:rsidRPr="00C51F7F">
                          <w:rPr>
                            <w:rFonts w:cstheme="minorHAnsi"/>
                            <w:color w:val="231F20"/>
                            <w:sz w:val="16"/>
                          </w:rPr>
                          <w:t>(</w:t>
                        </w:r>
                        <w:r w:rsidRPr="00C51F7F">
                          <w:rPr>
                            <w:rFonts w:cstheme="minorHAnsi"/>
                            <w:i/>
                            <w:color w:val="231F20"/>
                            <w:sz w:val="16"/>
                          </w:rPr>
                          <w:t xml:space="preserve">n </w:t>
                        </w:r>
                        <w:r w:rsidRPr="00C51F7F">
                          <w:rPr>
                            <w:rFonts w:cstheme="minorHAnsi"/>
                            <w:color w:val="231F20"/>
                            <w:sz w:val="16"/>
                          </w:rPr>
                          <w:t>=</w:t>
                        </w:r>
                        <w:r>
                          <w:rPr>
                            <w:rFonts w:cstheme="minorHAnsi"/>
                            <w:color w:val="231F20"/>
                            <w:sz w:val="16"/>
                          </w:rPr>
                          <w:t>34</w:t>
                        </w:r>
                        <w:r w:rsidRPr="00C51F7F">
                          <w:rPr>
                            <w:rFonts w:cstheme="minorHAnsi"/>
                            <w:color w:val="231F20"/>
                            <w:sz w:val="16"/>
                          </w:rPr>
                          <w:t>)</w:t>
                        </w:r>
                      </w:p>
                      <w:p w14:paraId="409854AF" w14:textId="77777777" w:rsidR="00525FBB" w:rsidRPr="00C51F7F" w:rsidRDefault="00525FBB" w:rsidP="00525FBB">
                        <w:pPr>
                          <w:spacing w:before="1" w:after="0" w:line="240" w:lineRule="auto"/>
                          <w:ind w:left="2"/>
                          <w:jc w:val="center"/>
                          <w:rPr>
                            <w:rFonts w:cstheme="minorHAnsi"/>
                            <w:sz w:val="16"/>
                          </w:rPr>
                        </w:pPr>
                        <w:r w:rsidRPr="00C51F7F">
                          <w:rPr>
                            <w:rFonts w:cstheme="minorHAnsi"/>
                            <w:color w:val="231F20"/>
                            <w:sz w:val="16"/>
                          </w:rPr>
                          <w:t>+</w:t>
                        </w:r>
                      </w:p>
                      <w:p w14:paraId="2EF5A607" w14:textId="77777777" w:rsidR="00525FBB" w:rsidRPr="00C51F7F" w:rsidRDefault="00525FBB" w:rsidP="00525FBB">
                        <w:pPr>
                          <w:spacing w:before="1" w:after="0" w:line="240" w:lineRule="auto"/>
                          <w:ind w:left="230" w:right="226"/>
                          <w:jc w:val="center"/>
                          <w:rPr>
                            <w:rFonts w:cstheme="minorHAnsi"/>
                            <w:sz w:val="16"/>
                          </w:rPr>
                        </w:pPr>
                        <w:r w:rsidRPr="00C51F7F">
                          <w:rPr>
                            <w:rFonts w:cstheme="minorHAnsi"/>
                            <w:i/>
                            <w:color w:val="231F20"/>
                            <w:sz w:val="16"/>
                          </w:rPr>
                          <w:t xml:space="preserve">n </w:t>
                        </w:r>
                        <w:r w:rsidRPr="00C51F7F">
                          <w:rPr>
                            <w:rFonts w:cstheme="minorHAnsi"/>
                            <w:color w:val="231F20"/>
                            <w:sz w:val="16"/>
                          </w:rPr>
                          <w:t xml:space="preserve">= 3 articles retrieved from references lists </w:t>
                        </w:r>
                        <w:r>
                          <w:rPr>
                            <w:rFonts w:cstheme="minorHAnsi"/>
                            <w:color w:val="231F20"/>
                            <w:sz w:val="16"/>
                          </w:rPr>
                          <w:t>3</w:t>
                        </w:r>
                        <w:r w:rsidRPr="00C51F7F">
                          <w:rPr>
                            <w:rFonts w:cstheme="minorHAnsi"/>
                            <w:color w:val="231F20"/>
                            <w:sz w:val="16"/>
                          </w:rPr>
                          <w:t>7 articles for full text review</w:t>
                        </w:r>
                      </w:p>
                    </w:txbxContent>
                  </v:textbox>
                </v:shape>
                <v:shape id="Text Box 30" o:spid="_x0000_s1039" type="#_x0000_t202" style="position:absolute;left:6719;top:-3948;width:2533;height: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" filled="f" strokecolor="#231f20" strokeweight=".17708mm">
                  <v:textbox inset="0,0,0,0">
                    <w:txbxContent>
                      <w:p w14:paraId="20EF15F7" w14:textId="77777777" w:rsidR="00525FBB" w:rsidRPr="00C51F7F" w:rsidRDefault="00525FBB" w:rsidP="00525FBB">
                        <w:pPr>
                          <w:spacing w:before="40" w:line="249" w:lineRule="auto"/>
                          <w:ind w:left="954" w:right="158" w:hanging="748"/>
                          <w:rPr>
                            <w:rFonts w:cstheme="minorHAnsi"/>
                            <w:sz w:val="16"/>
                          </w:rPr>
                        </w:pPr>
                        <w:r w:rsidRPr="00C51F7F">
                          <w:rPr>
                            <w:rFonts w:cstheme="minorHAnsi"/>
                            <w:i/>
                            <w:color w:val="231F20"/>
                            <w:sz w:val="16"/>
                          </w:rPr>
                          <w:t xml:space="preserve">n </w:t>
                        </w:r>
                        <w:r w:rsidRPr="00C51F7F">
                          <w:rPr>
                            <w:rFonts w:cstheme="minorHAnsi"/>
                            <w:color w:val="231F20"/>
                            <w:sz w:val="16"/>
                          </w:rPr>
                          <w:t xml:space="preserve">= </w:t>
                        </w:r>
                        <w:r>
                          <w:rPr>
                            <w:rFonts w:cstheme="minorHAnsi"/>
                            <w:color w:val="231F20"/>
                            <w:sz w:val="16"/>
                          </w:rPr>
                          <w:t>2</w:t>
                        </w:r>
                        <w:r w:rsidRPr="00C51F7F">
                          <w:rPr>
                            <w:rFonts w:cstheme="minorHAnsi"/>
                            <w:color w:val="231F20"/>
                            <w:sz w:val="16"/>
                          </w:rPr>
                          <w:t>7 excluded after the full text screening</w:t>
                        </w:r>
                      </w:p>
                    </w:txbxContent>
                  </v:textbox>
                </v:shape>
                <v:shape id="Text Box 31" o:spid="_x0000_s1040" type="#_x0000_t202" style="position:absolute;left:3705;top:-4792;width:1897;height:9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" filled="f" strokecolor="#231f20" strokeweight=".17708mm">
                  <v:textbox inset="0,0,0,0">
                    <w:txbxContent>
                      <w:p w14:paraId="0F2A59C8" w14:textId="77777777" w:rsidR="00525FBB" w:rsidRPr="00C51F7F" w:rsidRDefault="00525FBB" w:rsidP="00525FBB">
                        <w:pPr>
                          <w:spacing w:before="40"/>
                          <w:ind w:left="321" w:right="302" w:firstLine="24"/>
                          <w:jc w:val="center"/>
                          <w:rPr>
                            <w:rFonts w:cstheme="minorHAnsi"/>
                            <w:sz w:val="16"/>
                          </w:rPr>
                        </w:pPr>
                        <w:r w:rsidRPr="00C51F7F">
                          <w:rPr>
                            <w:rFonts w:cstheme="minorHAnsi"/>
                            <w:i/>
                            <w:color w:val="231F20"/>
                            <w:sz w:val="16"/>
                          </w:rPr>
                          <w:t xml:space="preserve">n </w:t>
                        </w:r>
                        <w:r w:rsidRPr="00C51F7F">
                          <w:rPr>
                            <w:rFonts w:cstheme="minorHAnsi"/>
                            <w:color w:val="231F20"/>
                            <w:sz w:val="16"/>
                          </w:rPr>
                          <w:t xml:space="preserve">= </w:t>
                        </w:r>
                        <w:r>
                          <w:rPr>
                            <w:rFonts w:cstheme="minorHAnsi"/>
                            <w:color w:val="231F20"/>
                            <w:sz w:val="16"/>
                          </w:rPr>
                          <w:t>64</w:t>
                        </w:r>
                        <w:r w:rsidRPr="00C51F7F">
                          <w:rPr>
                            <w:rFonts w:cstheme="minorHAnsi"/>
                            <w:color w:val="231F20"/>
                            <w:sz w:val="16"/>
                          </w:rPr>
                          <w:t xml:space="preserve"> articles considered for inclusion</w:t>
                        </w:r>
                      </w:p>
                    </w:txbxContent>
                  </v:textbox>
                </v:shape>
                <v:shape id="Text Box 32" o:spid="_x0000_s1041" type="#_x0000_t202" style="position:absolute;left:6719;top:-5877;width:2493;height:16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" filled="f" strokecolor="#231f20" strokeweight=".17708mm">
                  <v:textbox inset="0,0,0,0">
                    <w:txbxContent>
                      <w:p w14:paraId="66C31835" w14:textId="77777777" w:rsidR="00525FBB" w:rsidRPr="00C51F7F" w:rsidRDefault="00525FBB" w:rsidP="00525FBB">
                        <w:pPr>
                          <w:spacing w:before="39" w:after="100" w:afterAutospacing="1" w:line="240" w:lineRule="auto"/>
                          <w:ind w:left="621" w:right="620"/>
                          <w:jc w:val="center"/>
                          <w:rPr>
                            <w:rFonts w:cstheme="minorHAnsi"/>
                            <w:sz w:val="16"/>
                          </w:rPr>
                        </w:pPr>
                        <w:r w:rsidRPr="00C51F7F">
                          <w:rPr>
                            <w:rFonts w:cstheme="minorHAnsi"/>
                            <w:i/>
                            <w:color w:val="231F20"/>
                            <w:sz w:val="16"/>
                          </w:rPr>
                          <w:t xml:space="preserve">n </w:t>
                        </w:r>
                        <w:r w:rsidRPr="00C51F7F">
                          <w:rPr>
                            <w:rFonts w:cstheme="minorHAnsi"/>
                            <w:color w:val="231F20"/>
                            <w:sz w:val="16"/>
                          </w:rPr>
                          <w:t xml:space="preserve">= </w:t>
                        </w:r>
                        <w:r>
                          <w:rPr>
                            <w:rFonts w:cstheme="minorHAnsi"/>
                            <w:color w:val="231F20"/>
                            <w:sz w:val="16"/>
                          </w:rPr>
                          <w:t>96</w:t>
                        </w:r>
                        <w:r w:rsidRPr="00C51F7F">
                          <w:rPr>
                            <w:rFonts w:cstheme="minorHAnsi"/>
                            <w:color w:val="231F20"/>
                            <w:sz w:val="16"/>
                          </w:rPr>
                          <w:br/>
                          <w:t>due to duplication.</w:t>
                        </w:r>
                      </w:p>
                      <w:p w14:paraId="65849F30" w14:textId="77777777" w:rsidR="00525FBB" w:rsidRPr="00C51F7F" w:rsidRDefault="00525FBB" w:rsidP="00525FBB">
                        <w:pPr>
                          <w:spacing w:before="1" w:after="100" w:afterAutospacing="1" w:line="240" w:lineRule="auto"/>
                          <w:ind w:left="195" w:right="191" w:hanging="3"/>
                          <w:jc w:val="center"/>
                          <w:rPr>
                            <w:rFonts w:cstheme="minorHAnsi"/>
                            <w:sz w:val="16"/>
                          </w:rPr>
                        </w:pPr>
                        <w:r w:rsidRPr="00C51F7F">
                          <w:rPr>
                            <w:rFonts w:cstheme="minorHAnsi"/>
                            <w:i/>
                            <w:color w:val="231F20"/>
                            <w:sz w:val="16"/>
                          </w:rPr>
                          <w:t xml:space="preserve">n </w:t>
                        </w:r>
                        <w:r w:rsidRPr="00C51F7F">
                          <w:rPr>
                            <w:rFonts w:cstheme="minorHAnsi"/>
                            <w:color w:val="231F20"/>
                            <w:sz w:val="16"/>
                          </w:rPr>
                          <w:t xml:space="preserve">= </w:t>
                        </w:r>
                        <w:r>
                          <w:rPr>
                            <w:rFonts w:cstheme="minorHAnsi"/>
                            <w:color w:val="231F20"/>
                            <w:sz w:val="16"/>
                          </w:rPr>
                          <w:t>489</w:t>
                        </w:r>
                        <w:r w:rsidRPr="00C51F7F">
                          <w:rPr>
                            <w:rFonts w:cstheme="minorHAnsi"/>
                            <w:color w:val="231F20"/>
                            <w:sz w:val="16"/>
                          </w:rPr>
                          <w:t xml:space="preserve"> excluded: did not meet inclusion criteria screening titles</w:t>
                        </w:r>
                        <w:r>
                          <w:rPr>
                            <w:rFonts w:cstheme="minorHAnsi"/>
                            <w:color w:val="231F20"/>
                            <w:sz w:val="16"/>
                          </w:rPr>
                          <w:t xml:space="preserve"> </w:t>
                        </w:r>
                        <w:r w:rsidRPr="00C51F7F">
                          <w:rPr>
                            <w:rFonts w:cstheme="minorHAnsi"/>
                            <w:color w:val="231F20"/>
                            <w:sz w:val="16"/>
                          </w:rPr>
                          <w:t>and abstracts</w:t>
                        </w:r>
                      </w:p>
                    </w:txbxContent>
                  </v:textbox>
                </v:shape>
                <v:shape id="Text Box 33" o:spid="_x0000_s1042" type="#_x0000_t202" style="position:absolute;left:3705;top:-7083;width:5426;height:9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" filled="f" strokecolor="#231f20" strokeweight=".17708mm">
                  <v:textbox inset="0,0,0,0">
                    <w:txbxContent>
                      <w:p w14:paraId="2BDBF0E5" w14:textId="77777777" w:rsidR="00525FBB" w:rsidRPr="00C51F7F" w:rsidRDefault="00525FBB" w:rsidP="00525FBB">
                        <w:pPr>
                          <w:spacing w:before="39" w:after="0" w:line="240" w:lineRule="auto"/>
                          <w:ind w:left="363" w:right="360"/>
                          <w:jc w:val="center"/>
                          <w:rPr>
                            <w:rFonts w:cstheme="minorHAnsi"/>
                            <w:sz w:val="18"/>
                          </w:rPr>
                        </w:pPr>
                        <w:r w:rsidRPr="00C51F7F">
                          <w:rPr>
                            <w:rFonts w:cstheme="minorHAnsi"/>
                            <w:color w:val="231F20"/>
                            <w:sz w:val="18"/>
                          </w:rPr>
                          <w:t>Records identified through Academic Search:</w:t>
                        </w:r>
                      </w:p>
                      <w:p w14:paraId="2FB54FB8" w14:textId="77777777" w:rsidR="00525FBB" w:rsidRPr="00C51F7F" w:rsidRDefault="00525FBB" w:rsidP="00525FBB">
                        <w:pPr>
                          <w:spacing w:before="1" w:after="0" w:line="240" w:lineRule="auto"/>
                          <w:ind w:left="366" w:right="360"/>
                          <w:jc w:val="center"/>
                          <w:rPr>
                            <w:rFonts w:cstheme="minorHAnsi"/>
                            <w:sz w:val="18"/>
                          </w:rPr>
                        </w:pPr>
                        <w:r w:rsidRPr="00C51F7F">
                          <w:rPr>
                            <w:rFonts w:cstheme="minorHAnsi"/>
                            <w:color w:val="231F20"/>
                            <w:sz w:val="18"/>
                          </w:rPr>
                          <w:t>PubMed, Science Direct, Google Scholar</w:t>
                        </w:r>
                        <w:r>
                          <w:rPr>
                            <w:rFonts w:cstheme="minorHAnsi"/>
                            <w:color w:val="231F20"/>
                            <w:sz w:val="18"/>
                          </w:rPr>
                          <w:t xml:space="preserve"> etc</w:t>
                        </w:r>
                      </w:p>
                      <w:p w14:paraId="59C0071B" w14:textId="77777777" w:rsidR="00525FBB" w:rsidRPr="00C51F7F" w:rsidRDefault="00525FBB" w:rsidP="00525FBB">
                        <w:pPr>
                          <w:spacing w:before="2" w:after="0" w:line="240" w:lineRule="auto"/>
                          <w:ind w:left="324" w:right="360"/>
                          <w:jc w:val="center"/>
                          <w:rPr>
                            <w:rFonts w:cstheme="minorHAnsi"/>
                            <w:sz w:val="18"/>
                          </w:rPr>
                        </w:pPr>
                        <w:r w:rsidRPr="00C51F7F">
                          <w:rPr>
                            <w:rFonts w:cstheme="minorHAnsi"/>
                            <w:color w:val="231F20"/>
                            <w:sz w:val="18"/>
                          </w:rPr>
                          <w:t>(</w:t>
                        </w:r>
                        <w:r w:rsidRPr="00C51F7F">
                          <w:rPr>
                            <w:rFonts w:cstheme="minorHAnsi"/>
                            <w:i/>
                            <w:color w:val="231F20"/>
                            <w:sz w:val="18"/>
                          </w:rPr>
                          <w:t xml:space="preserve">n </w:t>
                        </w:r>
                        <w:r w:rsidRPr="00C51F7F">
                          <w:rPr>
                            <w:rFonts w:cstheme="minorHAnsi"/>
                            <w:color w:val="231F20"/>
                            <w:sz w:val="18"/>
                          </w:rPr>
                          <w:t>=</w:t>
                        </w:r>
                        <w:r>
                          <w:rPr>
                            <w:rFonts w:cstheme="minorHAnsi"/>
                            <w:color w:val="231F20"/>
                            <w:sz w:val="18"/>
                          </w:rPr>
                          <w:t>649</w:t>
                        </w:r>
                        <w:r w:rsidRPr="00C51F7F">
                          <w:rPr>
                            <w:rFonts w:cstheme="minorHAnsi"/>
                            <w:color w:val="231F20"/>
                            <w:sz w:val="18"/>
                          </w:rPr>
                          <w:t>)</w:t>
                        </w:r>
                      </w:p>
                    </w:txbxContent>
                  </v:textbox>
                </v:shape>
                <w10:wrap anchorx="page"/>
              </v:group>
            </w:pict>
          </mc:Fallback>
        </mc:AlternateContent>
      </w:r>
    </w:p>
    <w:p w14:paraId="6EF43A36" w14:textId="77777777" w:rsidR="00525FBB" w:rsidRPr="00525FBB" w:rsidRDefault="00525FBB" w:rsidP="00525FBB">
      <w:pPr>
        <w:spacing w:line="276" w:lineRule="auto"/>
        <w:jc w:val="right"/>
        <w:rPr>
          <w:rFonts w:asciiTheme="majorBidi" w:hAnsiTheme="majorBidi" w:cstheme="majorBidi"/>
          <w:sz w:val="24"/>
          <w:szCs w:val="24"/>
        </w:rPr>
      </w:pPr>
    </w:p>
    <w:p w14:paraId="2A6A2194" w14:textId="77777777" w:rsidR="00525FBB" w:rsidRPr="00525FBB" w:rsidRDefault="00525FBB" w:rsidP="00525FBB">
      <w:pPr>
        <w:spacing w:line="276" w:lineRule="auto"/>
        <w:jc w:val="right"/>
        <w:rPr>
          <w:rFonts w:asciiTheme="majorBidi" w:hAnsiTheme="majorBidi" w:cstheme="majorBidi"/>
          <w:sz w:val="24"/>
          <w:szCs w:val="24"/>
        </w:rPr>
      </w:pPr>
    </w:p>
    <w:p w14:paraId="4496FD43" w14:textId="77777777" w:rsidR="00525FBB" w:rsidRPr="00525FBB" w:rsidRDefault="00525FBB" w:rsidP="00525FBB">
      <w:pPr>
        <w:spacing w:line="276" w:lineRule="auto"/>
        <w:jc w:val="right"/>
        <w:rPr>
          <w:rFonts w:asciiTheme="majorBidi" w:hAnsiTheme="majorBidi" w:cstheme="majorBidi"/>
          <w:sz w:val="24"/>
          <w:szCs w:val="24"/>
        </w:rPr>
      </w:pPr>
    </w:p>
    <w:p w14:paraId="6F7ECCA7"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noProof/>
          <w:sz w:val="24"/>
          <w:szCs w:val="24"/>
        </w:rPr>
        <mc:AlternateContent>
          <mc:Choice Requires="wps">
            <w:drawing>
              <wp:anchor distT="45720" distB="45720" distL="114300" distR="114300" simplePos="0" relativeHeight="251664384" behindDoc="0" locked="0" layoutInCell="1" allowOverlap="1" wp14:anchorId="5632E77C" wp14:editId="79E75876">
                <wp:simplePos x="0" y="0"/>
                <wp:positionH relativeFrom="column">
                  <wp:posOffset>1012987</wp:posOffset>
                </wp:positionH>
                <wp:positionV relativeFrom="paragraph">
                  <wp:posOffset>191770</wp:posOffset>
                </wp:positionV>
                <wp:extent cx="2360930" cy="1020445"/>
                <wp:effectExtent l="0" t="0" r="0" b="0"/>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020445"/>
                        </a:xfrm>
                        <a:prstGeom prst="rect">
                          <a:avLst/>
                        </a:prstGeom>
                        <a:noFill/>
                        <a:ln w="9525">
                          <a:noFill/>
                          <a:miter lim="800000"/>
                          <a:headEnd/>
                          <a:tailEnd/>
                        </a:ln>
                      </wps:spPr>
                      <wps:txbx>
                        <w:txbxContent>
                          <w:p w14:paraId="36DD78AA" w14:textId="77777777" w:rsidR="00525FBB" w:rsidRPr="009E4D82" w:rsidRDefault="00525FBB" w:rsidP="00525FBB">
                            <w:pPr>
                              <w:jc w:val="center"/>
                              <w:rPr>
                                <w:b/>
                                <w:bCs/>
                                <w:sz w:val="16"/>
                                <w:szCs w:val="16"/>
                              </w:rPr>
                            </w:pPr>
                            <w:r>
                              <w:rPr>
                                <w:b/>
                                <w:bCs/>
                                <w:sz w:val="16"/>
                                <w:szCs w:val="16"/>
                              </w:rPr>
                              <w:t>SCREENING</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0</wp14:pctHeight>
                </wp14:sizeRelV>
              </wp:anchor>
            </w:drawing>
          </mc:Choice>
          <mc:Fallback>
            <w:pict>
              <v:shape w14:anchorId="5632E77C" id="_x0000_s1043" type="#_x0000_t202" style="position:absolute;margin-left:79.75pt;margin-top:15.1pt;width:185.9pt;height:80.35pt;z-index:25166438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" filled="f" stroked="f">
                <v:textbox style="layout-flow:vertical;mso-layout-flow-alt:bottom-to-top;mso-fit-shape-to-text:t">
                  <w:txbxContent>
                    <w:p w14:paraId="36DD78AA" w14:textId="77777777" w:rsidR="00525FBB" w:rsidRPr="009E4D82" w:rsidRDefault="00525FBB" w:rsidP="00525FBB">
                      <w:pPr>
                        <w:jc w:val="center"/>
                        <w:rPr>
                          <w:b/>
                          <w:bCs/>
                          <w:sz w:val="16"/>
                          <w:szCs w:val="16"/>
                        </w:rPr>
                      </w:pPr>
                      <w:r>
                        <w:rPr>
                          <w:b/>
                          <w:bCs/>
                          <w:sz w:val="16"/>
                          <w:szCs w:val="16"/>
                        </w:rPr>
                        <w:t>SCREENING</w:t>
                      </w:r>
                    </w:p>
                  </w:txbxContent>
                </v:textbox>
                <w10:wrap type="square"/>
              </v:shape>
            </w:pict>
          </mc:Fallback>
        </mc:AlternateContent>
      </w:r>
    </w:p>
    <w:p w14:paraId="6E7E1049" w14:textId="77777777" w:rsidR="00525FBB" w:rsidRPr="00525FBB" w:rsidRDefault="00525FBB" w:rsidP="00525FBB">
      <w:pPr>
        <w:spacing w:line="276" w:lineRule="auto"/>
        <w:jc w:val="right"/>
        <w:rPr>
          <w:rFonts w:asciiTheme="majorBidi" w:hAnsiTheme="majorBidi" w:cstheme="majorBidi"/>
          <w:sz w:val="24"/>
          <w:szCs w:val="24"/>
        </w:rPr>
      </w:pPr>
    </w:p>
    <w:p w14:paraId="7543B6D4" w14:textId="77777777" w:rsidR="00525FBB" w:rsidRPr="00525FBB" w:rsidRDefault="00525FBB" w:rsidP="00525FBB">
      <w:pPr>
        <w:spacing w:line="276" w:lineRule="auto"/>
        <w:jc w:val="right"/>
        <w:rPr>
          <w:rFonts w:asciiTheme="majorBidi" w:hAnsiTheme="majorBidi" w:cstheme="majorBidi"/>
          <w:sz w:val="24"/>
          <w:szCs w:val="24"/>
        </w:rPr>
      </w:pPr>
    </w:p>
    <w:p w14:paraId="41C9DC06" w14:textId="77777777" w:rsidR="00525FBB" w:rsidRPr="00525FBB" w:rsidRDefault="00525FBB" w:rsidP="00525FBB">
      <w:pPr>
        <w:spacing w:line="276" w:lineRule="auto"/>
        <w:jc w:val="right"/>
        <w:rPr>
          <w:rFonts w:asciiTheme="majorBidi" w:hAnsiTheme="majorBidi" w:cstheme="majorBidi"/>
          <w:sz w:val="24"/>
          <w:szCs w:val="24"/>
        </w:rPr>
      </w:pPr>
    </w:p>
    <w:p w14:paraId="780AB981"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noProof/>
          <w:sz w:val="24"/>
          <w:szCs w:val="24"/>
        </w:rPr>
        <mc:AlternateContent>
          <mc:Choice Requires="wps">
            <w:drawing>
              <wp:anchor distT="45720" distB="45720" distL="114300" distR="114300" simplePos="0" relativeHeight="251665408" behindDoc="0" locked="0" layoutInCell="1" allowOverlap="1" wp14:anchorId="3B398D98" wp14:editId="29F9DB42">
                <wp:simplePos x="0" y="0"/>
                <wp:positionH relativeFrom="column">
                  <wp:posOffset>1012352</wp:posOffset>
                </wp:positionH>
                <wp:positionV relativeFrom="paragraph">
                  <wp:posOffset>252095</wp:posOffset>
                </wp:positionV>
                <wp:extent cx="2360930" cy="673100"/>
                <wp:effectExtent l="0" t="0" r="0" b="0"/>
                <wp:wrapSquare wrapText="bothSides"/>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73100"/>
                        </a:xfrm>
                        <a:prstGeom prst="rect">
                          <a:avLst/>
                        </a:prstGeom>
                        <a:noFill/>
                        <a:ln w="9525">
                          <a:noFill/>
                          <a:miter lim="800000"/>
                          <a:headEnd/>
                          <a:tailEnd/>
                        </a:ln>
                      </wps:spPr>
                      <wps:txbx>
                        <w:txbxContent>
                          <w:p w14:paraId="696AF423" w14:textId="77777777" w:rsidR="00525FBB" w:rsidRPr="009E4D82" w:rsidRDefault="00525FBB" w:rsidP="00525FBB">
                            <w:pPr>
                              <w:jc w:val="center"/>
                              <w:rPr>
                                <w:b/>
                                <w:bCs/>
                                <w:sz w:val="16"/>
                                <w:szCs w:val="16"/>
                              </w:rPr>
                            </w:pPr>
                            <w:r>
                              <w:rPr>
                                <w:b/>
                                <w:bCs/>
                                <w:sz w:val="16"/>
                                <w:szCs w:val="16"/>
                              </w:rPr>
                              <w:t>ELIGIBILITY</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0</wp14:pctHeight>
                </wp14:sizeRelV>
              </wp:anchor>
            </w:drawing>
          </mc:Choice>
          <mc:Fallback>
            <w:pict>
              <v:shape w14:anchorId="3B398D98" id="_x0000_s1044" type="#_x0000_t202" style="position:absolute;margin-left:79.7pt;margin-top:19.85pt;width:185.9pt;height:53pt;z-index:2516654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" filled="f" stroked="f">
                <v:textbox style="layout-flow:vertical;mso-layout-flow-alt:bottom-to-top;mso-fit-shape-to-text:t">
                  <w:txbxContent>
                    <w:p w14:paraId="696AF423" w14:textId="77777777" w:rsidR="00525FBB" w:rsidRPr="009E4D82" w:rsidRDefault="00525FBB" w:rsidP="00525FBB">
                      <w:pPr>
                        <w:jc w:val="center"/>
                        <w:rPr>
                          <w:b/>
                          <w:bCs/>
                          <w:sz w:val="16"/>
                          <w:szCs w:val="16"/>
                        </w:rPr>
                      </w:pPr>
                      <w:r>
                        <w:rPr>
                          <w:b/>
                          <w:bCs/>
                          <w:sz w:val="16"/>
                          <w:szCs w:val="16"/>
                        </w:rPr>
                        <w:t>ELIGIBILITY</w:t>
                      </w:r>
                    </w:p>
                  </w:txbxContent>
                </v:textbox>
                <w10:wrap type="square"/>
              </v:shape>
            </w:pict>
          </mc:Fallback>
        </mc:AlternateContent>
      </w:r>
    </w:p>
    <w:p w14:paraId="4E7B7636" w14:textId="77777777" w:rsidR="00525FBB" w:rsidRPr="00525FBB" w:rsidRDefault="00525FBB" w:rsidP="00525FBB">
      <w:pPr>
        <w:spacing w:line="276" w:lineRule="auto"/>
        <w:jc w:val="right"/>
        <w:rPr>
          <w:rFonts w:asciiTheme="majorBidi" w:hAnsiTheme="majorBidi" w:cstheme="majorBidi"/>
          <w:sz w:val="24"/>
          <w:szCs w:val="24"/>
        </w:rPr>
      </w:pPr>
    </w:p>
    <w:p w14:paraId="7172C244" w14:textId="77777777" w:rsidR="00525FBB" w:rsidRPr="00525FBB" w:rsidRDefault="00525FBB" w:rsidP="00525FBB">
      <w:pPr>
        <w:spacing w:line="276" w:lineRule="auto"/>
        <w:jc w:val="right"/>
        <w:rPr>
          <w:rFonts w:asciiTheme="majorBidi" w:hAnsiTheme="majorBidi" w:cstheme="majorBidi"/>
          <w:sz w:val="24"/>
          <w:szCs w:val="24"/>
        </w:rPr>
      </w:pPr>
    </w:p>
    <w:p w14:paraId="5A93A3F0" w14:textId="77777777" w:rsidR="00525FBB" w:rsidRPr="00525FBB" w:rsidRDefault="00525FBB" w:rsidP="00525FBB">
      <w:pPr>
        <w:spacing w:line="276" w:lineRule="auto"/>
        <w:jc w:val="right"/>
        <w:rPr>
          <w:rFonts w:asciiTheme="majorBidi" w:hAnsiTheme="majorBidi" w:cstheme="majorBidi"/>
          <w:sz w:val="24"/>
          <w:szCs w:val="24"/>
        </w:rPr>
      </w:pPr>
    </w:p>
    <w:p w14:paraId="6D050421" w14:textId="77777777" w:rsidR="00525FBB" w:rsidRPr="00525FBB" w:rsidRDefault="00525FBB" w:rsidP="00525FBB">
      <w:pPr>
        <w:spacing w:line="276" w:lineRule="auto"/>
        <w:jc w:val="right"/>
        <w:rPr>
          <w:rFonts w:asciiTheme="majorBidi" w:hAnsiTheme="majorBidi" w:cstheme="majorBidi"/>
          <w:sz w:val="24"/>
          <w:szCs w:val="24"/>
        </w:rPr>
      </w:pPr>
    </w:p>
    <w:p w14:paraId="747C4CF0"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noProof/>
          <w:sz w:val="24"/>
          <w:szCs w:val="24"/>
        </w:rPr>
        <mc:AlternateContent>
          <mc:Choice Requires="wps">
            <w:drawing>
              <wp:anchor distT="45720" distB="45720" distL="114300" distR="114300" simplePos="0" relativeHeight="251666432" behindDoc="0" locked="0" layoutInCell="1" allowOverlap="1" wp14:anchorId="715D410D" wp14:editId="219573E7">
                <wp:simplePos x="0" y="0"/>
                <wp:positionH relativeFrom="column">
                  <wp:posOffset>1021080</wp:posOffset>
                </wp:positionH>
                <wp:positionV relativeFrom="paragraph">
                  <wp:posOffset>8890</wp:posOffset>
                </wp:positionV>
                <wp:extent cx="2360930" cy="562610"/>
                <wp:effectExtent l="0" t="0" r="0" b="0"/>
                <wp:wrapSquare wrapText="bothSides"/>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62610"/>
                        </a:xfrm>
                        <a:prstGeom prst="rect">
                          <a:avLst/>
                        </a:prstGeom>
                        <a:noFill/>
                        <a:ln w="9525">
                          <a:noFill/>
                          <a:miter lim="800000"/>
                          <a:headEnd/>
                          <a:tailEnd/>
                        </a:ln>
                      </wps:spPr>
                      <wps:txbx>
                        <w:txbxContent>
                          <w:p w14:paraId="4724CF83" w14:textId="77777777" w:rsidR="00525FBB" w:rsidRPr="009E4D82" w:rsidRDefault="00525FBB" w:rsidP="00525FBB">
                            <w:pPr>
                              <w:jc w:val="center"/>
                              <w:rPr>
                                <w:b/>
                                <w:bCs/>
                                <w:sz w:val="16"/>
                                <w:szCs w:val="16"/>
                              </w:rPr>
                            </w:pPr>
                            <w:r>
                              <w:rPr>
                                <w:b/>
                                <w:bCs/>
                                <w:sz w:val="16"/>
                                <w:szCs w:val="16"/>
                              </w:rPr>
                              <w:t>INCLUDED</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0</wp14:pctHeight>
                </wp14:sizeRelV>
              </wp:anchor>
            </w:drawing>
          </mc:Choice>
          <mc:Fallback>
            <w:pict>
              <v:shape w14:anchorId="715D410D" id="_x0000_s1045" type="#_x0000_t202" style="position:absolute;margin-left:80.4pt;margin-top:.7pt;width:185.9pt;height:44.3pt;z-index:25166643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" filled="f" stroked="f">
                <v:textbox style="layout-flow:vertical;mso-layout-flow-alt:bottom-to-top;mso-fit-shape-to-text:t">
                  <w:txbxContent>
                    <w:p w14:paraId="4724CF83" w14:textId="77777777" w:rsidR="00525FBB" w:rsidRPr="009E4D82" w:rsidRDefault="00525FBB" w:rsidP="00525FBB">
                      <w:pPr>
                        <w:jc w:val="center"/>
                        <w:rPr>
                          <w:b/>
                          <w:bCs/>
                          <w:sz w:val="16"/>
                          <w:szCs w:val="16"/>
                        </w:rPr>
                      </w:pPr>
                      <w:r>
                        <w:rPr>
                          <w:b/>
                          <w:bCs/>
                          <w:sz w:val="16"/>
                          <w:szCs w:val="16"/>
                        </w:rPr>
                        <w:t>INCLUDED</w:t>
                      </w:r>
                    </w:p>
                  </w:txbxContent>
                </v:textbox>
                <w10:wrap type="square"/>
              </v:shape>
            </w:pict>
          </mc:Fallback>
        </mc:AlternateContent>
      </w:r>
    </w:p>
    <w:p w14:paraId="5FA08334" w14:textId="77777777" w:rsidR="00525FBB" w:rsidRPr="00525FBB" w:rsidRDefault="00525FBB" w:rsidP="00525FBB">
      <w:pPr>
        <w:spacing w:line="276" w:lineRule="auto"/>
        <w:jc w:val="right"/>
        <w:rPr>
          <w:rFonts w:asciiTheme="majorBidi" w:hAnsiTheme="majorBidi" w:cstheme="majorBidi"/>
          <w:sz w:val="24"/>
          <w:szCs w:val="24"/>
        </w:rPr>
      </w:pPr>
    </w:p>
    <w:p w14:paraId="55C5CA6E" w14:textId="30314AB9" w:rsidR="00A55D84" w:rsidRDefault="00A55D84" w:rsidP="00A55D84">
      <w:pPr>
        <w:spacing w:after="0" w:line="480" w:lineRule="auto"/>
        <w:jc w:val="right"/>
        <w:rPr>
          <w:rFonts w:asciiTheme="majorBidi" w:hAnsiTheme="majorBidi" w:cstheme="majorBidi"/>
          <w:b/>
          <w:bCs/>
          <w:sz w:val="24"/>
          <w:szCs w:val="24"/>
        </w:rPr>
      </w:pPr>
    </w:p>
    <w:p w14:paraId="2DA31CB3" w14:textId="77777777" w:rsidR="001D29EE" w:rsidRDefault="001D29EE" w:rsidP="00A55D84">
      <w:pPr>
        <w:spacing w:after="0" w:line="480" w:lineRule="auto"/>
        <w:jc w:val="right"/>
        <w:rPr>
          <w:rFonts w:asciiTheme="majorBidi" w:hAnsiTheme="majorBidi" w:cstheme="majorBidi"/>
          <w:b/>
          <w:bCs/>
          <w:sz w:val="24"/>
          <w:szCs w:val="24"/>
        </w:rPr>
      </w:pPr>
    </w:p>
    <w:p w14:paraId="7C02C630" w14:textId="77777777" w:rsidR="001D29EE" w:rsidRDefault="001D29EE" w:rsidP="00A55D84">
      <w:pPr>
        <w:spacing w:after="0" w:line="480" w:lineRule="auto"/>
        <w:jc w:val="right"/>
        <w:rPr>
          <w:rFonts w:asciiTheme="majorBidi" w:hAnsiTheme="majorBidi" w:cstheme="majorBidi"/>
          <w:b/>
          <w:bCs/>
          <w:sz w:val="24"/>
          <w:szCs w:val="24"/>
        </w:rPr>
      </w:pPr>
    </w:p>
    <w:p w14:paraId="108EE87B" w14:textId="77777777" w:rsidR="00DA0FF8" w:rsidRDefault="00DA0FF8" w:rsidP="00A55D84">
      <w:pPr>
        <w:spacing w:after="0" w:line="480" w:lineRule="auto"/>
        <w:jc w:val="right"/>
        <w:rPr>
          <w:rFonts w:asciiTheme="majorBidi" w:hAnsiTheme="majorBidi" w:cstheme="majorBidi"/>
          <w:b/>
          <w:bCs/>
          <w:sz w:val="24"/>
          <w:szCs w:val="24"/>
        </w:rPr>
      </w:pPr>
    </w:p>
    <w:p w14:paraId="2EEA4D0F" w14:textId="77777777" w:rsidR="00DA0FF8" w:rsidRDefault="00DA0FF8" w:rsidP="00A55D84">
      <w:pPr>
        <w:spacing w:after="0" w:line="480" w:lineRule="auto"/>
        <w:jc w:val="right"/>
        <w:rPr>
          <w:rFonts w:asciiTheme="majorBidi" w:hAnsiTheme="majorBidi" w:cstheme="majorBidi"/>
          <w:b/>
          <w:bCs/>
          <w:sz w:val="24"/>
          <w:szCs w:val="24"/>
        </w:rPr>
      </w:pPr>
    </w:p>
    <w:p w14:paraId="6E0C6E3A" w14:textId="6D9AFC55" w:rsidR="00A55D84" w:rsidRDefault="00A55D84" w:rsidP="00A55D84">
      <w:pPr>
        <w:spacing w:after="0" w:line="480" w:lineRule="auto"/>
        <w:jc w:val="right"/>
        <w:rPr>
          <w:rFonts w:asciiTheme="majorBidi" w:hAnsiTheme="majorBidi" w:cstheme="majorBidi"/>
          <w:b/>
          <w:bCs/>
          <w:sz w:val="24"/>
          <w:szCs w:val="24"/>
        </w:rPr>
      </w:pPr>
      <w:r>
        <w:rPr>
          <w:rFonts w:asciiTheme="majorBidi" w:hAnsiTheme="majorBidi" w:cstheme="majorBidi"/>
          <w:b/>
          <w:bCs/>
          <w:sz w:val="24"/>
          <w:szCs w:val="24"/>
        </w:rPr>
        <w:lastRenderedPageBreak/>
        <w:t>Result:</w:t>
      </w:r>
    </w:p>
    <w:p w14:paraId="1389C5AF" w14:textId="4EA43568" w:rsidR="00030628" w:rsidRPr="00030628" w:rsidRDefault="00525FBB" w:rsidP="00030628">
      <w:pPr>
        <w:spacing w:after="0" w:line="480" w:lineRule="auto"/>
        <w:jc w:val="right"/>
        <w:rPr>
          <w:rFonts w:asciiTheme="majorBidi" w:hAnsiTheme="majorBidi" w:cstheme="majorBidi"/>
          <w:sz w:val="24"/>
          <w:szCs w:val="24"/>
        </w:rPr>
      </w:pPr>
      <w:r w:rsidRPr="00525FBB">
        <w:rPr>
          <w:rFonts w:asciiTheme="majorBidi" w:hAnsiTheme="majorBidi" w:cstheme="majorBidi"/>
          <w:sz w:val="24"/>
          <w:szCs w:val="24"/>
        </w:rPr>
        <w:tab/>
      </w:r>
      <w:r w:rsidR="00DA0FF8" w:rsidRPr="00DA0FF8">
        <w:rPr>
          <w:rFonts w:asciiTheme="majorBidi" w:hAnsiTheme="majorBidi" w:cstheme="majorBidi"/>
          <w:sz w:val="24"/>
          <w:szCs w:val="24"/>
        </w:rPr>
        <w:t>Once the studies were analyzed, the data that was gathered was placed in a data table for ease. (Table 2). Three of the studies were conducted based on the Eastern regions, and all were conducted in Saudi Arabia. Most of the studies considered the healthcare reforms under Vision 2030's health transformation programs. One of the core elements of Saudi efforts towards economic diversification and ensuring sustainability of its healthcare infrastructures is restructuring the country's healthcare system, an initiative that is spearheaded in major respects by Vision 2030. Multiple studies have focused on the multifaceted aspects of such transformation in the last couple of years and come up with core themes, challenges, potentialities, and mitigation factors.</w:t>
      </w:r>
    </w:p>
    <w:p w14:paraId="21018C05" w14:textId="277196B4" w:rsidR="00A55D84" w:rsidRPr="00525FBB" w:rsidRDefault="00525FBB" w:rsidP="00A55D84">
      <w:pPr>
        <w:spacing w:after="0" w:line="480" w:lineRule="auto"/>
        <w:jc w:val="right"/>
        <w:rPr>
          <w:rFonts w:asciiTheme="majorBidi" w:hAnsiTheme="majorBidi" w:cstheme="majorBidi"/>
          <w:sz w:val="24"/>
          <w:szCs w:val="24"/>
        </w:rPr>
      </w:pPr>
      <w:r w:rsidRPr="00525FBB">
        <w:rPr>
          <w:rFonts w:asciiTheme="majorBidi" w:hAnsiTheme="majorBidi" w:cstheme="majorBidi"/>
          <w:sz w:val="24"/>
          <w:szCs w:val="24"/>
        </w:rPr>
        <w:t>.</w:t>
      </w:r>
    </w:p>
    <w:p w14:paraId="7343035F" w14:textId="77777777" w:rsidR="00437935" w:rsidRDefault="00437935" w:rsidP="00525FBB">
      <w:pPr>
        <w:spacing w:after="0" w:line="480" w:lineRule="auto"/>
        <w:jc w:val="right"/>
        <w:rPr>
          <w:rFonts w:asciiTheme="majorBidi" w:hAnsiTheme="majorBidi" w:cstheme="majorBidi"/>
          <w:b/>
          <w:bCs/>
          <w:sz w:val="24"/>
          <w:szCs w:val="24"/>
          <w:u w:val="single"/>
        </w:rPr>
      </w:pPr>
    </w:p>
    <w:p w14:paraId="32B87D06" w14:textId="77777777" w:rsidR="00437935" w:rsidRDefault="00437935" w:rsidP="00525FBB">
      <w:pPr>
        <w:spacing w:after="0" w:line="480" w:lineRule="auto"/>
        <w:jc w:val="right"/>
        <w:rPr>
          <w:rFonts w:asciiTheme="majorBidi" w:hAnsiTheme="majorBidi" w:cstheme="majorBidi"/>
          <w:b/>
          <w:bCs/>
          <w:sz w:val="24"/>
          <w:szCs w:val="24"/>
          <w:u w:val="single"/>
        </w:rPr>
      </w:pPr>
    </w:p>
    <w:p w14:paraId="43537AA0" w14:textId="77777777" w:rsidR="00437935" w:rsidRDefault="00437935" w:rsidP="00525FBB">
      <w:pPr>
        <w:spacing w:after="0" w:line="480" w:lineRule="auto"/>
        <w:jc w:val="right"/>
        <w:rPr>
          <w:rFonts w:asciiTheme="majorBidi" w:hAnsiTheme="majorBidi" w:cstheme="majorBidi"/>
          <w:b/>
          <w:bCs/>
          <w:sz w:val="24"/>
          <w:szCs w:val="24"/>
          <w:u w:val="single"/>
        </w:rPr>
      </w:pPr>
    </w:p>
    <w:p w14:paraId="74F3EA35" w14:textId="77777777" w:rsidR="00437935" w:rsidRDefault="00437935" w:rsidP="00525FBB">
      <w:pPr>
        <w:spacing w:after="0" w:line="480" w:lineRule="auto"/>
        <w:jc w:val="right"/>
        <w:rPr>
          <w:rFonts w:asciiTheme="majorBidi" w:hAnsiTheme="majorBidi" w:cstheme="majorBidi"/>
          <w:b/>
          <w:bCs/>
          <w:sz w:val="24"/>
          <w:szCs w:val="24"/>
          <w:u w:val="single"/>
        </w:rPr>
      </w:pPr>
    </w:p>
    <w:p w14:paraId="084C3DB5" w14:textId="77777777" w:rsidR="00437935" w:rsidRDefault="00437935" w:rsidP="00525FBB">
      <w:pPr>
        <w:spacing w:after="0" w:line="480" w:lineRule="auto"/>
        <w:jc w:val="right"/>
        <w:rPr>
          <w:rFonts w:asciiTheme="majorBidi" w:hAnsiTheme="majorBidi" w:cstheme="majorBidi"/>
          <w:b/>
          <w:bCs/>
          <w:sz w:val="24"/>
          <w:szCs w:val="24"/>
          <w:u w:val="single"/>
        </w:rPr>
      </w:pPr>
    </w:p>
    <w:p w14:paraId="30A1E22B" w14:textId="77777777" w:rsidR="00437935" w:rsidRDefault="00437935" w:rsidP="00525FBB">
      <w:pPr>
        <w:spacing w:after="0" w:line="480" w:lineRule="auto"/>
        <w:jc w:val="right"/>
        <w:rPr>
          <w:rFonts w:asciiTheme="majorBidi" w:hAnsiTheme="majorBidi" w:cstheme="majorBidi"/>
          <w:b/>
          <w:bCs/>
          <w:sz w:val="24"/>
          <w:szCs w:val="24"/>
          <w:u w:val="single"/>
        </w:rPr>
      </w:pPr>
    </w:p>
    <w:p w14:paraId="1E4B7C25" w14:textId="77777777" w:rsidR="00437935" w:rsidRDefault="00437935" w:rsidP="00525FBB">
      <w:pPr>
        <w:spacing w:after="0" w:line="480" w:lineRule="auto"/>
        <w:jc w:val="right"/>
        <w:rPr>
          <w:rFonts w:asciiTheme="majorBidi" w:hAnsiTheme="majorBidi" w:cstheme="majorBidi"/>
          <w:b/>
          <w:bCs/>
          <w:sz w:val="24"/>
          <w:szCs w:val="24"/>
          <w:u w:val="single"/>
        </w:rPr>
      </w:pPr>
    </w:p>
    <w:p w14:paraId="3269B647" w14:textId="77777777" w:rsidR="00437935" w:rsidRDefault="00437935" w:rsidP="00525FBB">
      <w:pPr>
        <w:spacing w:after="0" w:line="480" w:lineRule="auto"/>
        <w:jc w:val="right"/>
        <w:rPr>
          <w:rFonts w:asciiTheme="majorBidi" w:hAnsiTheme="majorBidi" w:cstheme="majorBidi"/>
          <w:b/>
          <w:bCs/>
          <w:sz w:val="24"/>
          <w:szCs w:val="24"/>
          <w:u w:val="single"/>
        </w:rPr>
      </w:pPr>
    </w:p>
    <w:p w14:paraId="5A851CEB" w14:textId="77777777" w:rsidR="00437935" w:rsidRDefault="00437935" w:rsidP="00525FBB">
      <w:pPr>
        <w:spacing w:after="0" w:line="480" w:lineRule="auto"/>
        <w:jc w:val="right"/>
        <w:rPr>
          <w:rFonts w:asciiTheme="majorBidi" w:hAnsiTheme="majorBidi" w:cstheme="majorBidi"/>
          <w:b/>
          <w:bCs/>
          <w:sz w:val="24"/>
          <w:szCs w:val="24"/>
          <w:u w:val="single"/>
        </w:rPr>
      </w:pPr>
    </w:p>
    <w:p w14:paraId="5B488664" w14:textId="77777777" w:rsidR="00437935" w:rsidRDefault="00437935" w:rsidP="00525FBB">
      <w:pPr>
        <w:spacing w:after="0" w:line="480" w:lineRule="auto"/>
        <w:jc w:val="right"/>
        <w:rPr>
          <w:rFonts w:asciiTheme="majorBidi" w:hAnsiTheme="majorBidi" w:cstheme="majorBidi"/>
          <w:b/>
          <w:bCs/>
          <w:sz w:val="24"/>
          <w:szCs w:val="24"/>
          <w:u w:val="single"/>
        </w:rPr>
        <w:sectPr w:rsidR="00437935" w:rsidSect="00877AAC">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6370AEB7" w14:textId="1C82A1C7" w:rsidR="00525FBB" w:rsidRPr="00525FBB" w:rsidRDefault="00525FBB" w:rsidP="00525FBB">
      <w:pPr>
        <w:spacing w:after="0" w:line="480" w:lineRule="auto"/>
        <w:jc w:val="right"/>
        <w:rPr>
          <w:rFonts w:asciiTheme="majorBidi" w:hAnsiTheme="majorBidi" w:cstheme="majorBidi"/>
          <w:b/>
          <w:bCs/>
          <w:sz w:val="24"/>
          <w:szCs w:val="24"/>
          <w:u w:val="single"/>
        </w:rPr>
      </w:pPr>
      <w:r w:rsidRPr="00525FBB">
        <w:rPr>
          <w:rFonts w:asciiTheme="majorBidi" w:hAnsiTheme="majorBidi" w:cstheme="majorBidi"/>
          <w:b/>
          <w:bCs/>
          <w:sz w:val="24"/>
          <w:szCs w:val="24"/>
          <w:u w:val="single"/>
        </w:rPr>
        <w:lastRenderedPageBreak/>
        <w:t>Table 2</w:t>
      </w:r>
      <w:r w:rsidR="00A55D84">
        <w:rPr>
          <w:rFonts w:asciiTheme="majorBidi" w:hAnsiTheme="majorBidi" w:cstheme="majorBidi"/>
          <w:b/>
          <w:bCs/>
          <w:sz w:val="24"/>
          <w:szCs w:val="24"/>
          <w:u w:val="single"/>
        </w:rPr>
        <w:t>: Review of Studies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70"/>
        <w:gridCol w:w="1612"/>
        <w:gridCol w:w="1208"/>
        <w:gridCol w:w="1208"/>
        <w:gridCol w:w="1208"/>
        <w:gridCol w:w="1208"/>
        <w:gridCol w:w="1208"/>
        <w:gridCol w:w="1208"/>
        <w:gridCol w:w="1208"/>
        <w:gridCol w:w="1208"/>
        <w:gridCol w:w="1202"/>
      </w:tblGrid>
      <w:tr w:rsidR="00525FBB" w:rsidRPr="00525FBB" w14:paraId="507EB12B" w14:textId="77777777" w:rsidTr="00554632">
        <w:trPr>
          <w:trHeight w:val="20"/>
        </w:trPr>
        <w:tc>
          <w:tcPr>
            <w:tcW w:w="527" w:type="pct"/>
            <w:shd w:val="clear" w:color="auto" w:fill="auto"/>
            <w:hideMark/>
          </w:tcPr>
          <w:p w14:paraId="74EBA142" w14:textId="77777777" w:rsidR="00525FBB" w:rsidRPr="00437935" w:rsidRDefault="00525FBB" w:rsidP="00554632">
            <w:pPr>
              <w:spacing w:after="0" w:line="240" w:lineRule="auto"/>
              <w:ind w:left="17"/>
              <w:jc w:val="right"/>
              <w:rPr>
                <w:rFonts w:asciiTheme="majorBidi" w:eastAsia="Times New Roman" w:hAnsiTheme="majorBidi" w:cstheme="majorBidi"/>
                <w:b/>
                <w:bCs/>
                <w:color w:val="000000"/>
                <w:kern w:val="0"/>
                <w:sz w:val="16"/>
                <w:szCs w:val="16"/>
                <w14:ligatures w14:val="none"/>
              </w:rPr>
            </w:pPr>
            <w:r w:rsidRPr="00437935">
              <w:rPr>
                <w:rFonts w:asciiTheme="majorBidi" w:eastAsia="Times New Roman" w:hAnsiTheme="majorBidi" w:cstheme="majorBidi"/>
                <w:b/>
                <w:bCs/>
                <w:color w:val="000000"/>
                <w:kern w:val="0"/>
                <w:sz w:val="16"/>
                <w:szCs w:val="16"/>
                <w14:ligatures w14:val="none"/>
              </w:rPr>
              <w:t>Author(s)</w:t>
            </w:r>
          </w:p>
          <w:p w14:paraId="0E9647B5" w14:textId="77777777" w:rsidR="00525FBB" w:rsidRPr="00437935" w:rsidRDefault="00525FBB" w:rsidP="00554632">
            <w:pPr>
              <w:spacing w:after="0" w:line="240" w:lineRule="auto"/>
              <w:ind w:left="17"/>
              <w:jc w:val="right"/>
              <w:rPr>
                <w:rFonts w:asciiTheme="majorBidi" w:eastAsia="Times New Roman" w:hAnsiTheme="majorBidi" w:cstheme="majorBidi"/>
                <w:b/>
                <w:bCs/>
                <w:color w:val="000000"/>
                <w:kern w:val="0"/>
                <w:sz w:val="16"/>
                <w:szCs w:val="16"/>
                <w14:ligatures w14:val="none"/>
              </w:rPr>
            </w:pPr>
            <w:r w:rsidRPr="00437935">
              <w:rPr>
                <w:rFonts w:asciiTheme="majorBidi" w:eastAsia="Times New Roman" w:hAnsiTheme="majorBidi" w:cstheme="majorBidi"/>
                <w:b/>
                <w:bCs/>
                <w:color w:val="000000"/>
                <w:kern w:val="0"/>
                <w:sz w:val="16"/>
                <w:szCs w:val="16"/>
                <w14:ligatures w14:val="none"/>
              </w:rPr>
              <w:t xml:space="preserve">Year </w:t>
            </w:r>
          </w:p>
          <w:p w14:paraId="36499F6E" w14:textId="77777777" w:rsidR="00525FBB" w:rsidRPr="00437935" w:rsidRDefault="00525FBB" w:rsidP="00554632">
            <w:pPr>
              <w:spacing w:after="0" w:line="240" w:lineRule="auto"/>
              <w:ind w:left="17"/>
              <w:jc w:val="right"/>
              <w:rPr>
                <w:rFonts w:asciiTheme="majorBidi" w:eastAsia="Times New Roman" w:hAnsiTheme="majorBidi" w:cstheme="majorBidi"/>
                <w:b/>
                <w:bCs/>
                <w:color w:val="000000"/>
                <w:kern w:val="0"/>
                <w:sz w:val="16"/>
                <w:szCs w:val="16"/>
                <w14:ligatures w14:val="none"/>
              </w:rPr>
            </w:pPr>
            <w:r w:rsidRPr="00437935">
              <w:rPr>
                <w:rFonts w:asciiTheme="majorBidi" w:eastAsia="Times New Roman" w:hAnsiTheme="majorBidi" w:cstheme="majorBidi"/>
                <w:b/>
                <w:bCs/>
                <w:color w:val="000000"/>
                <w:kern w:val="0"/>
                <w:sz w:val="16"/>
                <w:szCs w:val="16"/>
                <w14:ligatures w14:val="none"/>
              </w:rPr>
              <w:t>Country</w:t>
            </w:r>
          </w:p>
          <w:p w14:paraId="41760D09" w14:textId="77777777" w:rsidR="00525FBB" w:rsidRPr="00437935" w:rsidRDefault="00525FBB" w:rsidP="00554632">
            <w:pPr>
              <w:spacing w:after="0" w:line="240" w:lineRule="auto"/>
              <w:ind w:left="17"/>
              <w:jc w:val="right"/>
              <w:rPr>
                <w:rFonts w:asciiTheme="majorBidi" w:eastAsia="Times New Roman" w:hAnsiTheme="majorBidi" w:cstheme="majorBidi"/>
                <w:b/>
                <w:bCs/>
                <w:color w:val="000000"/>
                <w:kern w:val="0"/>
                <w:sz w:val="16"/>
                <w:szCs w:val="16"/>
                <w14:ligatures w14:val="none"/>
              </w:rPr>
            </w:pPr>
            <w:r w:rsidRPr="00437935">
              <w:rPr>
                <w:rFonts w:asciiTheme="majorBidi" w:eastAsia="Times New Roman" w:hAnsiTheme="majorBidi" w:cstheme="majorBidi"/>
                <w:b/>
                <w:bCs/>
                <w:color w:val="000000"/>
                <w:kern w:val="0"/>
                <w:sz w:val="16"/>
                <w:szCs w:val="16"/>
                <w14:ligatures w14:val="none"/>
              </w:rPr>
              <w:t>Region</w:t>
            </w:r>
          </w:p>
        </w:tc>
        <w:tc>
          <w:tcPr>
            <w:tcW w:w="578" w:type="pct"/>
            <w:shd w:val="clear" w:color="auto" w:fill="auto"/>
            <w:hideMark/>
          </w:tcPr>
          <w:p w14:paraId="68DEF672" w14:textId="77777777" w:rsidR="00525FBB" w:rsidRPr="00437935" w:rsidRDefault="00525FBB" w:rsidP="00554632">
            <w:pPr>
              <w:spacing w:after="0" w:line="240" w:lineRule="auto"/>
              <w:ind w:left="17"/>
              <w:jc w:val="right"/>
              <w:rPr>
                <w:rFonts w:asciiTheme="majorBidi" w:eastAsia="Times New Roman" w:hAnsiTheme="majorBidi" w:cstheme="majorBidi"/>
                <w:b/>
                <w:bCs/>
                <w:color w:val="000000"/>
                <w:kern w:val="0"/>
                <w:sz w:val="16"/>
                <w:szCs w:val="16"/>
                <w14:ligatures w14:val="none"/>
              </w:rPr>
            </w:pPr>
            <w:r w:rsidRPr="00437935">
              <w:rPr>
                <w:rFonts w:asciiTheme="majorBidi" w:eastAsia="Times New Roman" w:hAnsiTheme="majorBidi" w:cstheme="majorBidi"/>
                <w:b/>
                <w:bCs/>
                <w:color w:val="000000"/>
                <w:kern w:val="0"/>
                <w:sz w:val="16"/>
                <w:szCs w:val="16"/>
                <w14:ligatures w14:val="none"/>
              </w:rPr>
              <w:t>Health Program</w:t>
            </w:r>
          </w:p>
        </w:tc>
        <w:tc>
          <w:tcPr>
            <w:tcW w:w="433" w:type="pct"/>
            <w:shd w:val="clear" w:color="auto" w:fill="auto"/>
            <w:hideMark/>
          </w:tcPr>
          <w:p w14:paraId="4CA16DFF" w14:textId="77777777" w:rsidR="00525FBB" w:rsidRPr="00437935" w:rsidRDefault="00525FBB" w:rsidP="00554632">
            <w:pPr>
              <w:spacing w:after="0" w:line="240" w:lineRule="auto"/>
              <w:ind w:left="17"/>
              <w:jc w:val="right"/>
              <w:rPr>
                <w:rFonts w:asciiTheme="majorBidi" w:eastAsia="Times New Roman" w:hAnsiTheme="majorBidi" w:cstheme="majorBidi"/>
                <w:b/>
                <w:bCs/>
                <w:color w:val="000000"/>
                <w:kern w:val="0"/>
                <w:sz w:val="16"/>
                <w:szCs w:val="16"/>
                <w14:ligatures w14:val="none"/>
              </w:rPr>
            </w:pPr>
            <w:r w:rsidRPr="00437935">
              <w:rPr>
                <w:rFonts w:asciiTheme="majorBidi" w:eastAsia="Times New Roman" w:hAnsiTheme="majorBidi" w:cstheme="majorBidi"/>
                <w:b/>
                <w:bCs/>
                <w:color w:val="000000"/>
                <w:kern w:val="0"/>
                <w:sz w:val="16"/>
                <w:szCs w:val="16"/>
                <w14:ligatures w14:val="none"/>
              </w:rPr>
              <w:t>Risk Assessment Approach</w:t>
            </w:r>
          </w:p>
        </w:tc>
        <w:tc>
          <w:tcPr>
            <w:tcW w:w="433" w:type="pct"/>
            <w:shd w:val="clear" w:color="auto" w:fill="auto"/>
            <w:hideMark/>
          </w:tcPr>
          <w:p w14:paraId="6805AFC5" w14:textId="77777777" w:rsidR="00525FBB" w:rsidRPr="00437935" w:rsidRDefault="00525FBB" w:rsidP="00554632">
            <w:pPr>
              <w:spacing w:after="0" w:line="240" w:lineRule="auto"/>
              <w:ind w:left="17"/>
              <w:jc w:val="right"/>
              <w:rPr>
                <w:rFonts w:asciiTheme="majorBidi" w:eastAsia="Times New Roman" w:hAnsiTheme="majorBidi" w:cstheme="majorBidi"/>
                <w:b/>
                <w:bCs/>
                <w:color w:val="000000"/>
                <w:kern w:val="0"/>
                <w:sz w:val="16"/>
                <w:szCs w:val="16"/>
                <w14:ligatures w14:val="none"/>
              </w:rPr>
            </w:pPr>
            <w:r w:rsidRPr="00437935">
              <w:rPr>
                <w:rFonts w:asciiTheme="majorBidi" w:eastAsia="Times New Roman" w:hAnsiTheme="majorBidi" w:cstheme="majorBidi"/>
                <w:b/>
                <w:bCs/>
                <w:color w:val="000000"/>
                <w:kern w:val="0"/>
                <w:sz w:val="16"/>
                <w:szCs w:val="16"/>
                <w14:ligatures w14:val="none"/>
              </w:rPr>
              <w:t>Key Challenges</w:t>
            </w:r>
          </w:p>
        </w:tc>
        <w:tc>
          <w:tcPr>
            <w:tcW w:w="433" w:type="pct"/>
            <w:shd w:val="clear" w:color="auto" w:fill="auto"/>
            <w:hideMark/>
          </w:tcPr>
          <w:p w14:paraId="3D34F421" w14:textId="77777777" w:rsidR="00525FBB" w:rsidRPr="00437935" w:rsidRDefault="00525FBB" w:rsidP="00554632">
            <w:pPr>
              <w:spacing w:after="0" w:line="240" w:lineRule="auto"/>
              <w:ind w:left="17"/>
              <w:jc w:val="right"/>
              <w:rPr>
                <w:rFonts w:asciiTheme="majorBidi" w:eastAsia="Times New Roman" w:hAnsiTheme="majorBidi" w:cstheme="majorBidi"/>
                <w:b/>
                <w:bCs/>
                <w:color w:val="000000"/>
                <w:kern w:val="0"/>
                <w:sz w:val="16"/>
                <w:szCs w:val="16"/>
                <w14:ligatures w14:val="none"/>
              </w:rPr>
            </w:pPr>
            <w:r w:rsidRPr="00437935">
              <w:rPr>
                <w:rFonts w:asciiTheme="majorBidi" w:eastAsia="Times New Roman" w:hAnsiTheme="majorBidi" w:cstheme="majorBidi"/>
                <w:b/>
                <w:bCs/>
                <w:color w:val="000000"/>
                <w:kern w:val="0"/>
                <w:sz w:val="16"/>
                <w:szCs w:val="16"/>
                <w14:ligatures w14:val="none"/>
              </w:rPr>
              <w:t>Opportunities</w:t>
            </w:r>
          </w:p>
        </w:tc>
        <w:tc>
          <w:tcPr>
            <w:tcW w:w="433" w:type="pct"/>
            <w:shd w:val="clear" w:color="auto" w:fill="auto"/>
            <w:hideMark/>
          </w:tcPr>
          <w:p w14:paraId="33866E7B" w14:textId="77777777" w:rsidR="00525FBB" w:rsidRPr="00437935" w:rsidRDefault="00525FBB" w:rsidP="00554632">
            <w:pPr>
              <w:spacing w:after="0" w:line="240" w:lineRule="auto"/>
              <w:ind w:left="17"/>
              <w:jc w:val="right"/>
              <w:rPr>
                <w:rFonts w:asciiTheme="majorBidi" w:eastAsia="Times New Roman" w:hAnsiTheme="majorBidi" w:cstheme="majorBidi"/>
                <w:b/>
                <w:bCs/>
                <w:color w:val="000000"/>
                <w:kern w:val="0"/>
                <w:sz w:val="16"/>
                <w:szCs w:val="16"/>
                <w14:ligatures w14:val="none"/>
              </w:rPr>
            </w:pPr>
            <w:r w:rsidRPr="00437935">
              <w:rPr>
                <w:rFonts w:asciiTheme="majorBidi" w:eastAsia="Times New Roman" w:hAnsiTheme="majorBidi" w:cstheme="majorBidi"/>
                <w:b/>
                <w:bCs/>
                <w:color w:val="000000"/>
                <w:kern w:val="0"/>
                <w:sz w:val="16"/>
                <w:szCs w:val="16"/>
                <w14:ligatures w14:val="none"/>
              </w:rPr>
              <w:t>Mitigative Strategies</w:t>
            </w:r>
          </w:p>
        </w:tc>
        <w:tc>
          <w:tcPr>
            <w:tcW w:w="433" w:type="pct"/>
            <w:shd w:val="clear" w:color="auto" w:fill="auto"/>
            <w:hideMark/>
          </w:tcPr>
          <w:p w14:paraId="47492C04" w14:textId="77777777" w:rsidR="00525FBB" w:rsidRPr="00437935" w:rsidRDefault="00525FBB" w:rsidP="00554632">
            <w:pPr>
              <w:spacing w:after="0" w:line="240" w:lineRule="auto"/>
              <w:ind w:left="17"/>
              <w:jc w:val="right"/>
              <w:rPr>
                <w:rFonts w:asciiTheme="majorBidi" w:eastAsia="Times New Roman" w:hAnsiTheme="majorBidi" w:cstheme="majorBidi"/>
                <w:b/>
                <w:bCs/>
                <w:color w:val="000000"/>
                <w:kern w:val="0"/>
                <w:sz w:val="16"/>
                <w:szCs w:val="16"/>
                <w14:ligatures w14:val="none"/>
              </w:rPr>
            </w:pPr>
            <w:r w:rsidRPr="00437935">
              <w:rPr>
                <w:rFonts w:asciiTheme="majorBidi" w:eastAsia="Times New Roman" w:hAnsiTheme="majorBidi" w:cstheme="majorBidi"/>
                <w:b/>
                <w:bCs/>
                <w:color w:val="000000"/>
                <w:kern w:val="0"/>
                <w:sz w:val="16"/>
                <w:szCs w:val="16"/>
                <w14:ligatures w14:val="none"/>
              </w:rPr>
              <w:t>Data Sources</w:t>
            </w:r>
          </w:p>
        </w:tc>
        <w:tc>
          <w:tcPr>
            <w:tcW w:w="433" w:type="pct"/>
            <w:shd w:val="clear" w:color="auto" w:fill="auto"/>
            <w:hideMark/>
          </w:tcPr>
          <w:p w14:paraId="5D2A6C4B" w14:textId="77777777" w:rsidR="00525FBB" w:rsidRPr="00437935" w:rsidRDefault="00525FBB" w:rsidP="00554632">
            <w:pPr>
              <w:spacing w:after="0" w:line="240" w:lineRule="auto"/>
              <w:ind w:left="17"/>
              <w:jc w:val="right"/>
              <w:rPr>
                <w:rFonts w:asciiTheme="majorBidi" w:eastAsia="Times New Roman" w:hAnsiTheme="majorBidi" w:cstheme="majorBidi"/>
                <w:b/>
                <w:bCs/>
                <w:color w:val="000000"/>
                <w:kern w:val="0"/>
                <w:sz w:val="16"/>
                <w:szCs w:val="16"/>
                <w14:ligatures w14:val="none"/>
              </w:rPr>
            </w:pPr>
            <w:r w:rsidRPr="00437935">
              <w:rPr>
                <w:rFonts w:asciiTheme="majorBidi" w:eastAsia="Times New Roman" w:hAnsiTheme="majorBidi" w:cstheme="majorBidi"/>
                <w:b/>
                <w:bCs/>
                <w:color w:val="000000"/>
                <w:kern w:val="0"/>
                <w:sz w:val="16"/>
                <w:szCs w:val="16"/>
                <w14:ligatures w14:val="none"/>
              </w:rPr>
              <w:t>Key Findings</w:t>
            </w:r>
          </w:p>
        </w:tc>
        <w:tc>
          <w:tcPr>
            <w:tcW w:w="433" w:type="pct"/>
            <w:shd w:val="clear" w:color="auto" w:fill="auto"/>
            <w:hideMark/>
          </w:tcPr>
          <w:p w14:paraId="3F896717" w14:textId="77777777" w:rsidR="00525FBB" w:rsidRPr="00437935" w:rsidRDefault="00525FBB" w:rsidP="00554632">
            <w:pPr>
              <w:spacing w:after="0" w:line="240" w:lineRule="auto"/>
              <w:ind w:left="17"/>
              <w:jc w:val="right"/>
              <w:rPr>
                <w:rFonts w:asciiTheme="majorBidi" w:eastAsia="Times New Roman" w:hAnsiTheme="majorBidi" w:cstheme="majorBidi"/>
                <w:b/>
                <w:bCs/>
                <w:color w:val="000000"/>
                <w:kern w:val="0"/>
                <w:sz w:val="16"/>
                <w:szCs w:val="16"/>
                <w14:ligatures w14:val="none"/>
              </w:rPr>
            </w:pPr>
            <w:r w:rsidRPr="00437935">
              <w:rPr>
                <w:rFonts w:asciiTheme="majorBidi" w:eastAsia="Times New Roman" w:hAnsiTheme="majorBidi" w:cstheme="majorBidi"/>
                <w:b/>
                <w:bCs/>
                <w:color w:val="000000"/>
                <w:kern w:val="0"/>
                <w:sz w:val="16"/>
                <w:szCs w:val="16"/>
                <w14:ligatures w14:val="none"/>
              </w:rPr>
              <w:t>Recommendations</w:t>
            </w:r>
          </w:p>
        </w:tc>
        <w:tc>
          <w:tcPr>
            <w:tcW w:w="433" w:type="pct"/>
            <w:shd w:val="clear" w:color="auto" w:fill="auto"/>
            <w:hideMark/>
          </w:tcPr>
          <w:p w14:paraId="1544C223" w14:textId="77777777" w:rsidR="00525FBB" w:rsidRPr="00437935" w:rsidRDefault="00525FBB" w:rsidP="00554632">
            <w:pPr>
              <w:spacing w:after="0" w:line="240" w:lineRule="auto"/>
              <w:ind w:left="17"/>
              <w:jc w:val="right"/>
              <w:rPr>
                <w:rFonts w:asciiTheme="majorBidi" w:eastAsia="Times New Roman" w:hAnsiTheme="majorBidi" w:cstheme="majorBidi"/>
                <w:b/>
                <w:bCs/>
                <w:color w:val="000000"/>
                <w:kern w:val="0"/>
                <w:sz w:val="16"/>
                <w:szCs w:val="16"/>
                <w14:ligatures w14:val="none"/>
              </w:rPr>
            </w:pPr>
            <w:r w:rsidRPr="00437935">
              <w:rPr>
                <w:rFonts w:asciiTheme="majorBidi" w:eastAsia="Times New Roman" w:hAnsiTheme="majorBidi" w:cstheme="majorBidi"/>
                <w:b/>
                <w:bCs/>
                <w:color w:val="000000"/>
                <w:kern w:val="0"/>
                <w:sz w:val="16"/>
                <w:szCs w:val="16"/>
                <w14:ligatures w14:val="none"/>
              </w:rPr>
              <w:t>Limitations</w:t>
            </w:r>
          </w:p>
        </w:tc>
        <w:tc>
          <w:tcPr>
            <w:tcW w:w="433" w:type="pct"/>
            <w:shd w:val="clear" w:color="auto" w:fill="auto"/>
            <w:hideMark/>
          </w:tcPr>
          <w:p w14:paraId="09D877F5" w14:textId="77777777" w:rsidR="00525FBB" w:rsidRPr="00437935" w:rsidRDefault="00525FBB" w:rsidP="00554632">
            <w:pPr>
              <w:spacing w:after="0" w:line="240" w:lineRule="auto"/>
              <w:ind w:left="17"/>
              <w:jc w:val="right"/>
              <w:rPr>
                <w:rFonts w:asciiTheme="majorBidi" w:eastAsia="Times New Roman" w:hAnsiTheme="majorBidi" w:cstheme="majorBidi"/>
                <w:b/>
                <w:bCs/>
                <w:color w:val="000000"/>
                <w:kern w:val="0"/>
                <w:sz w:val="16"/>
                <w:szCs w:val="16"/>
                <w14:ligatures w14:val="none"/>
              </w:rPr>
            </w:pPr>
            <w:r w:rsidRPr="00437935">
              <w:rPr>
                <w:rFonts w:asciiTheme="majorBidi" w:eastAsia="Times New Roman" w:hAnsiTheme="majorBidi" w:cstheme="majorBidi"/>
                <w:b/>
                <w:bCs/>
                <w:color w:val="000000"/>
                <w:kern w:val="0"/>
                <w:sz w:val="16"/>
                <w:szCs w:val="16"/>
                <w14:ligatures w14:val="none"/>
              </w:rPr>
              <w:t>Implications for Saudi Healthcare</w:t>
            </w:r>
          </w:p>
        </w:tc>
      </w:tr>
      <w:tr w:rsidR="00525FBB" w:rsidRPr="00525FBB" w14:paraId="486400B2" w14:textId="77777777" w:rsidTr="00554632">
        <w:trPr>
          <w:trHeight w:val="20"/>
        </w:trPr>
        <w:tc>
          <w:tcPr>
            <w:tcW w:w="527" w:type="pct"/>
            <w:shd w:val="clear" w:color="auto" w:fill="auto"/>
            <w:hideMark/>
          </w:tcPr>
          <w:p w14:paraId="275F9D2F"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Ahmed et al</w:t>
            </w:r>
          </w:p>
          <w:p w14:paraId="1A1DD065"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2024</w:t>
            </w:r>
          </w:p>
          <w:p w14:paraId="04D06EA3"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Saudi Arabia</w:t>
            </w:r>
          </w:p>
          <w:p w14:paraId="4B3122AE"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p>
        </w:tc>
        <w:tc>
          <w:tcPr>
            <w:tcW w:w="578" w:type="pct"/>
            <w:shd w:val="clear" w:color="auto" w:fill="auto"/>
            <w:hideMark/>
          </w:tcPr>
          <w:p w14:paraId="370C4148"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Healthcare Transformation under Vision 2030</w:t>
            </w:r>
          </w:p>
        </w:tc>
        <w:tc>
          <w:tcPr>
            <w:tcW w:w="433" w:type="pct"/>
            <w:shd w:val="clear" w:color="auto" w:fill="auto"/>
            <w:hideMark/>
          </w:tcPr>
          <w:p w14:paraId="6C31395A"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Not explicitly mentioned, but implied through assessment of challenges and opportunities in healthcare transformation</w:t>
            </w:r>
          </w:p>
        </w:tc>
        <w:tc>
          <w:tcPr>
            <w:tcW w:w="433" w:type="pct"/>
            <w:shd w:val="clear" w:color="auto" w:fill="auto"/>
            <w:hideMark/>
          </w:tcPr>
          <w:p w14:paraId="37721580"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High healthcare costs, low health literacy, limited healthcare infrastructure in rural areas, and workforce shortages</w:t>
            </w:r>
          </w:p>
        </w:tc>
        <w:tc>
          <w:tcPr>
            <w:tcW w:w="433" w:type="pct"/>
            <w:shd w:val="clear" w:color="auto" w:fill="auto"/>
            <w:hideMark/>
          </w:tcPr>
          <w:p w14:paraId="2EAFA73E"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Leveraging technology (e-health, telemedicine), public medical education, and professional citizen ownership of health</w:t>
            </w:r>
          </w:p>
        </w:tc>
        <w:tc>
          <w:tcPr>
            <w:tcW w:w="433" w:type="pct"/>
            <w:shd w:val="clear" w:color="auto" w:fill="auto"/>
            <w:hideMark/>
          </w:tcPr>
          <w:p w14:paraId="23AFC3E7"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Adoption of value-based care, public-private partnerships, healthcare reforms, ecosystem collaboration</w:t>
            </w:r>
          </w:p>
        </w:tc>
        <w:tc>
          <w:tcPr>
            <w:tcW w:w="433" w:type="pct"/>
            <w:shd w:val="clear" w:color="auto" w:fill="auto"/>
            <w:hideMark/>
          </w:tcPr>
          <w:p w14:paraId="28FB283F"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Government reports, literature reviews, and relevant healthcare transformation case studies</w:t>
            </w:r>
          </w:p>
        </w:tc>
        <w:tc>
          <w:tcPr>
            <w:tcW w:w="433" w:type="pct"/>
            <w:shd w:val="clear" w:color="auto" w:fill="auto"/>
            <w:hideMark/>
          </w:tcPr>
          <w:p w14:paraId="4643BC9F"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Opportunities lie in technology integration, public health education, and ecosystem-based healthcare transformation</w:t>
            </w:r>
          </w:p>
        </w:tc>
        <w:tc>
          <w:tcPr>
            <w:tcW w:w="433" w:type="pct"/>
            <w:shd w:val="clear" w:color="auto" w:fill="auto"/>
            <w:hideMark/>
          </w:tcPr>
          <w:p w14:paraId="2FA80165"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Focus on technology-driven reforms, ecosystem collaboration, and a health realization economy</w:t>
            </w:r>
          </w:p>
        </w:tc>
        <w:tc>
          <w:tcPr>
            <w:tcW w:w="433" w:type="pct"/>
            <w:shd w:val="clear" w:color="auto" w:fill="auto"/>
            <w:hideMark/>
          </w:tcPr>
          <w:p w14:paraId="5B4A4D2A"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Limited research on infrastructure and workforce, need for further studies on assessment of transformation efforts</w:t>
            </w:r>
          </w:p>
        </w:tc>
        <w:tc>
          <w:tcPr>
            <w:tcW w:w="433" w:type="pct"/>
            <w:shd w:val="clear" w:color="auto" w:fill="auto"/>
            <w:hideMark/>
          </w:tcPr>
          <w:p w14:paraId="4C7F3D6B"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Emphasizes the need for sustainable healthcare transformation using technology and value-based models</w:t>
            </w:r>
          </w:p>
        </w:tc>
      </w:tr>
      <w:tr w:rsidR="00525FBB" w:rsidRPr="00525FBB" w14:paraId="42360957" w14:textId="77777777" w:rsidTr="00554632">
        <w:trPr>
          <w:trHeight w:val="20"/>
        </w:trPr>
        <w:tc>
          <w:tcPr>
            <w:tcW w:w="527" w:type="pct"/>
            <w:shd w:val="clear" w:color="auto" w:fill="auto"/>
            <w:hideMark/>
          </w:tcPr>
          <w:p w14:paraId="3F7B89CD"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Alkhurayji et al</w:t>
            </w:r>
          </w:p>
          <w:p w14:paraId="01624ED9"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2024</w:t>
            </w:r>
          </w:p>
          <w:p w14:paraId="33779859"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Saudi Arabia</w:t>
            </w:r>
          </w:p>
          <w:p w14:paraId="0E1C6D0C"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Eastern Region, Riyadh, Qassim, Makkah</w:t>
            </w:r>
          </w:p>
        </w:tc>
        <w:tc>
          <w:tcPr>
            <w:tcW w:w="578" w:type="pct"/>
            <w:shd w:val="clear" w:color="auto" w:fill="auto"/>
            <w:hideMark/>
          </w:tcPr>
          <w:p w14:paraId="739014C0"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National Transformation Program (NTP) in Saudi Arabia</w:t>
            </w:r>
          </w:p>
        </w:tc>
        <w:tc>
          <w:tcPr>
            <w:tcW w:w="433" w:type="pct"/>
            <w:shd w:val="clear" w:color="auto" w:fill="auto"/>
            <w:hideMark/>
          </w:tcPr>
          <w:p w14:paraId="7978F276"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Value Transformation Framework, systematic literature review, PRISMA criteria</w:t>
            </w:r>
          </w:p>
        </w:tc>
        <w:tc>
          <w:tcPr>
            <w:tcW w:w="433" w:type="pct"/>
            <w:shd w:val="clear" w:color="auto" w:fill="auto"/>
            <w:hideMark/>
          </w:tcPr>
          <w:p w14:paraId="2FFA7FE5"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Sustainability of healthcare services, workforce issues, geographic distribution of resources, integration of reforms</w:t>
            </w:r>
          </w:p>
        </w:tc>
        <w:tc>
          <w:tcPr>
            <w:tcW w:w="433" w:type="pct"/>
            <w:shd w:val="clear" w:color="auto" w:fill="auto"/>
            <w:hideMark/>
          </w:tcPr>
          <w:p w14:paraId="380944BD"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Digital transformation, public-private partnerships, adoption of value-based healthcare models</w:t>
            </w:r>
          </w:p>
        </w:tc>
        <w:tc>
          <w:tcPr>
            <w:tcW w:w="433" w:type="pct"/>
            <w:shd w:val="clear" w:color="auto" w:fill="auto"/>
            <w:hideMark/>
          </w:tcPr>
          <w:p w14:paraId="569EEA9D"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Improved workforce training, digital healthcare solutions, ongoing assessment of healthcare reforms</w:t>
            </w:r>
          </w:p>
        </w:tc>
        <w:tc>
          <w:tcPr>
            <w:tcW w:w="433" w:type="pct"/>
            <w:shd w:val="clear" w:color="auto" w:fill="auto"/>
            <w:hideMark/>
          </w:tcPr>
          <w:p w14:paraId="299B6EB7"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PubMed, Web of Science, UpToDate, Google Scholar, Summon, using Boolean search strategy and PRISMA methodology</w:t>
            </w:r>
          </w:p>
        </w:tc>
        <w:tc>
          <w:tcPr>
            <w:tcW w:w="433" w:type="pct"/>
            <w:shd w:val="clear" w:color="auto" w:fill="auto"/>
            <w:hideMark/>
          </w:tcPr>
          <w:p w14:paraId="4AF3289D"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The NTP faces significant risks, but with correct tracking and measurement, it has the potential to meet Saudi healthcare goals</w:t>
            </w:r>
          </w:p>
        </w:tc>
        <w:tc>
          <w:tcPr>
            <w:tcW w:w="433" w:type="pct"/>
            <w:shd w:val="clear" w:color="auto" w:fill="auto"/>
            <w:hideMark/>
          </w:tcPr>
          <w:p w14:paraId="6D69E979"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Need for focused research on workforce sustainability, infrastructure improvement, and health system integration</w:t>
            </w:r>
          </w:p>
        </w:tc>
        <w:tc>
          <w:tcPr>
            <w:tcW w:w="433" w:type="pct"/>
            <w:shd w:val="clear" w:color="auto" w:fill="auto"/>
            <w:hideMark/>
          </w:tcPr>
          <w:p w14:paraId="132EAA04"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Lack of studies on assessing the NTP's impact, insufficient focus on people and infrastructure dimensions</w:t>
            </w:r>
          </w:p>
        </w:tc>
        <w:tc>
          <w:tcPr>
            <w:tcW w:w="433" w:type="pct"/>
            <w:shd w:val="clear" w:color="auto" w:fill="auto"/>
            <w:hideMark/>
          </w:tcPr>
          <w:p w14:paraId="003D1407"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Emphasizes the importance of monitoring, measuring, and adjusting the NTP's healthcare reforms for long-term success</w:t>
            </w:r>
          </w:p>
        </w:tc>
      </w:tr>
      <w:tr w:rsidR="00525FBB" w:rsidRPr="00525FBB" w14:paraId="4DDB06EA" w14:textId="77777777" w:rsidTr="00554632">
        <w:trPr>
          <w:trHeight w:val="20"/>
        </w:trPr>
        <w:tc>
          <w:tcPr>
            <w:tcW w:w="527" w:type="pct"/>
            <w:shd w:val="clear" w:color="auto" w:fill="auto"/>
            <w:hideMark/>
          </w:tcPr>
          <w:p w14:paraId="2E111C4F"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Khashan,  et al</w:t>
            </w:r>
          </w:p>
          <w:p w14:paraId="6177D26C"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2021</w:t>
            </w:r>
          </w:p>
          <w:p w14:paraId="4CD05D43"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Saudi Arabia</w:t>
            </w:r>
          </w:p>
        </w:tc>
        <w:tc>
          <w:tcPr>
            <w:tcW w:w="578" w:type="pct"/>
            <w:shd w:val="clear" w:color="auto" w:fill="auto"/>
            <w:hideMark/>
          </w:tcPr>
          <w:p w14:paraId="7096BFFC"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Primary Health Care (PHC) Reform under Vision 2030</w:t>
            </w:r>
          </w:p>
        </w:tc>
        <w:tc>
          <w:tcPr>
            <w:tcW w:w="433" w:type="pct"/>
            <w:shd w:val="clear" w:color="auto" w:fill="auto"/>
            <w:hideMark/>
          </w:tcPr>
          <w:p w14:paraId="62500EEC"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Review of previous studies and governmental reports, addressing progress, challenges, and prospects</w:t>
            </w:r>
          </w:p>
        </w:tc>
        <w:tc>
          <w:tcPr>
            <w:tcW w:w="433" w:type="pct"/>
            <w:shd w:val="clear" w:color="auto" w:fill="auto"/>
            <w:hideMark/>
          </w:tcPr>
          <w:p w14:paraId="34594EA0"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Increasing burden of noncommunicable diseases (NCDs), demographic changes, workforce shortages, inadequate public trust in PHC</w:t>
            </w:r>
          </w:p>
        </w:tc>
        <w:tc>
          <w:tcPr>
            <w:tcW w:w="433" w:type="pct"/>
            <w:shd w:val="clear" w:color="auto" w:fill="auto"/>
            <w:hideMark/>
          </w:tcPr>
          <w:p w14:paraId="612A1043"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Family-centered care, integration of mental health into primary care, use of technology, and improving public health education</w:t>
            </w:r>
          </w:p>
        </w:tc>
        <w:tc>
          <w:tcPr>
            <w:tcW w:w="433" w:type="pct"/>
            <w:shd w:val="clear" w:color="auto" w:fill="auto"/>
            <w:hideMark/>
          </w:tcPr>
          <w:p w14:paraId="25BEC6C3"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Strengthening the family medicine approach, increasing primary care accessibility, improving workforce training and quality standards</w:t>
            </w:r>
          </w:p>
        </w:tc>
        <w:tc>
          <w:tcPr>
            <w:tcW w:w="433" w:type="pct"/>
            <w:shd w:val="clear" w:color="auto" w:fill="auto"/>
            <w:hideMark/>
          </w:tcPr>
          <w:p w14:paraId="22DBFA50"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Government reports, previous studies, PHC reform documentation, World Health Organization (WHO) reviews</w:t>
            </w:r>
          </w:p>
        </w:tc>
        <w:tc>
          <w:tcPr>
            <w:tcW w:w="433" w:type="pct"/>
            <w:shd w:val="clear" w:color="auto" w:fill="auto"/>
            <w:hideMark/>
          </w:tcPr>
          <w:p w14:paraId="6C1E8FE0"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PHC reform increased healthcare visits, improved satisfaction, and enhanced coverage, but challenges in workforce and infrastructure persist</w:t>
            </w:r>
          </w:p>
        </w:tc>
        <w:tc>
          <w:tcPr>
            <w:tcW w:w="433" w:type="pct"/>
            <w:shd w:val="clear" w:color="auto" w:fill="auto"/>
            <w:hideMark/>
          </w:tcPr>
          <w:p w14:paraId="6B8262C8"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Increase investment in healthcare infrastructure, strengthen the integration of NCDs into PHC, and enhance workforce training</w:t>
            </w:r>
          </w:p>
        </w:tc>
        <w:tc>
          <w:tcPr>
            <w:tcW w:w="433" w:type="pct"/>
            <w:shd w:val="clear" w:color="auto" w:fill="auto"/>
            <w:hideMark/>
          </w:tcPr>
          <w:p w14:paraId="04148DC4"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Challenges in workforce development, cultural barriers to care access, and underutilization of PHC services</w:t>
            </w:r>
          </w:p>
        </w:tc>
        <w:tc>
          <w:tcPr>
            <w:tcW w:w="433" w:type="pct"/>
            <w:shd w:val="clear" w:color="auto" w:fill="auto"/>
            <w:hideMark/>
          </w:tcPr>
          <w:p w14:paraId="238F5C77"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Key to addressing the rising burden of NCDs and improving the quality and accessibility of primary care services through Vision 2030</w:t>
            </w:r>
          </w:p>
        </w:tc>
      </w:tr>
      <w:tr w:rsidR="00525FBB" w:rsidRPr="00525FBB" w14:paraId="737D31DF" w14:textId="77777777" w:rsidTr="00554632">
        <w:trPr>
          <w:trHeight w:val="20"/>
        </w:trPr>
        <w:tc>
          <w:tcPr>
            <w:tcW w:w="527" w:type="pct"/>
            <w:shd w:val="clear" w:color="auto" w:fill="auto"/>
            <w:hideMark/>
          </w:tcPr>
          <w:p w14:paraId="66A515FF"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Alharbi</w:t>
            </w:r>
          </w:p>
          <w:p w14:paraId="6649D36B"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2020</w:t>
            </w:r>
          </w:p>
          <w:p w14:paraId="39408C69"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Saudi Arabia</w:t>
            </w:r>
          </w:p>
        </w:tc>
        <w:tc>
          <w:tcPr>
            <w:tcW w:w="578" w:type="pct"/>
            <w:shd w:val="clear" w:color="auto" w:fill="auto"/>
            <w:hideMark/>
          </w:tcPr>
          <w:p w14:paraId="7C575821"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Saudi National Healthcare Plan under Vision 2030</w:t>
            </w:r>
          </w:p>
        </w:tc>
        <w:tc>
          <w:tcPr>
            <w:tcW w:w="433" w:type="pct"/>
            <w:shd w:val="clear" w:color="auto" w:fill="auto"/>
            <w:hideMark/>
          </w:tcPr>
          <w:p w14:paraId="3DDCEED6"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Organizational readiness for change, review of empirical studies and documents</w:t>
            </w:r>
          </w:p>
        </w:tc>
        <w:tc>
          <w:tcPr>
            <w:tcW w:w="433" w:type="pct"/>
            <w:shd w:val="clear" w:color="auto" w:fill="auto"/>
            <w:hideMark/>
          </w:tcPr>
          <w:p w14:paraId="5FC36387"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 xml:space="preserve">Human resource issues, cultural barriers, infrastructure limitations, </w:t>
            </w:r>
            <w:r w:rsidRPr="00437935">
              <w:rPr>
                <w:rFonts w:asciiTheme="majorBidi" w:eastAsia="Times New Roman" w:hAnsiTheme="majorBidi" w:cstheme="majorBidi"/>
                <w:color w:val="000000"/>
                <w:kern w:val="0"/>
                <w:sz w:val="16"/>
                <w:szCs w:val="16"/>
                <w14:ligatures w14:val="none"/>
              </w:rPr>
              <w:lastRenderedPageBreak/>
              <w:t>and resistance to change</w:t>
            </w:r>
          </w:p>
        </w:tc>
        <w:tc>
          <w:tcPr>
            <w:tcW w:w="433" w:type="pct"/>
            <w:shd w:val="clear" w:color="auto" w:fill="auto"/>
            <w:hideMark/>
          </w:tcPr>
          <w:p w14:paraId="65CE1F70"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lastRenderedPageBreak/>
              <w:t xml:space="preserve">Technology adoption, improved governance, better resource allocation, </w:t>
            </w:r>
            <w:r w:rsidRPr="00437935">
              <w:rPr>
                <w:rFonts w:asciiTheme="majorBidi" w:eastAsia="Times New Roman" w:hAnsiTheme="majorBidi" w:cstheme="majorBidi"/>
                <w:color w:val="000000"/>
                <w:kern w:val="0"/>
                <w:sz w:val="16"/>
                <w:szCs w:val="16"/>
                <w14:ligatures w14:val="none"/>
              </w:rPr>
              <w:lastRenderedPageBreak/>
              <w:t>public-private partnerships</w:t>
            </w:r>
          </w:p>
        </w:tc>
        <w:tc>
          <w:tcPr>
            <w:tcW w:w="433" w:type="pct"/>
            <w:shd w:val="clear" w:color="auto" w:fill="auto"/>
            <w:hideMark/>
          </w:tcPr>
          <w:p w14:paraId="2F98ED05"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lastRenderedPageBreak/>
              <w:t xml:space="preserve">Training, education, stakeholder engagement, financial incentives, and </w:t>
            </w:r>
            <w:r w:rsidRPr="00437935">
              <w:rPr>
                <w:rFonts w:asciiTheme="majorBidi" w:eastAsia="Times New Roman" w:hAnsiTheme="majorBidi" w:cstheme="majorBidi"/>
                <w:color w:val="000000"/>
                <w:kern w:val="0"/>
                <w:sz w:val="16"/>
                <w:szCs w:val="16"/>
                <w14:ligatures w14:val="none"/>
              </w:rPr>
              <w:lastRenderedPageBreak/>
              <w:t>leadership commitment</w:t>
            </w:r>
          </w:p>
        </w:tc>
        <w:tc>
          <w:tcPr>
            <w:tcW w:w="433" w:type="pct"/>
            <w:shd w:val="clear" w:color="auto" w:fill="auto"/>
            <w:hideMark/>
          </w:tcPr>
          <w:p w14:paraId="18C9B0C9"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lastRenderedPageBreak/>
              <w:t xml:space="preserve">Government reports, empirical studies, organizational documents, </w:t>
            </w:r>
            <w:r w:rsidRPr="00437935">
              <w:rPr>
                <w:rFonts w:asciiTheme="majorBidi" w:eastAsia="Times New Roman" w:hAnsiTheme="majorBidi" w:cstheme="majorBidi"/>
                <w:color w:val="000000"/>
                <w:kern w:val="0"/>
                <w:sz w:val="16"/>
                <w:szCs w:val="16"/>
                <w14:ligatures w14:val="none"/>
              </w:rPr>
              <w:lastRenderedPageBreak/>
              <w:t>and strategic plans</w:t>
            </w:r>
          </w:p>
        </w:tc>
        <w:tc>
          <w:tcPr>
            <w:tcW w:w="433" w:type="pct"/>
            <w:shd w:val="clear" w:color="auto" w:fill="auto"/>
            <w:hideMark/>
          </w:tcPr>
          <w:p w14:paraId="0C8FCBF1"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lastRenderedPageBreak/>
              <w:t>High readiness for change will lead to successful transformation with fewer complications</w:t>
            </w:r>
          </w:p>
        </w:tc>
        <w:tc>
          <w:tcPr>
            <w:tcW w:w="433" w:type="pct"/>
            <w:shd w:val="clear" w:color="auto" w:fill="auto"/>
            <w:hideMark/>
          </w:tcPr>
          <w:p w14:paraId="038F8384"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 xml:space="preserve">Focus on human factors, workforce readiness, and financial support for </w:t>
            </w:r>
            <w:r w:rsidRPr="00437935">
              <w:rPr>
                <w:rFonts w:asciiTheme="majorBidi" w:eastAsia="Times New Roman" w:hAnsiTheme="majorBidi" w:cstheme="majorBidi"/>
                <w:color w:val="000000"/>
                <w:kern w:val="0"/>
                <w:sz w:val="16"/>
                <w:szCs w:val="16"/>
                <w14:ligatures w14:val="none"/>
              </w:rPr>
              <w:lastRenderedPageBreak/>
              <w:t>change processes</w:t>
            </w:r>
          </w:p>
        </w:tc>
        <w:tc>
          <w:tcPr>
            <w:tcW w:w="433" w:type="pct"/>
            <w:shd w:val="clear" w:color="auto" w:fill="auto"/>
            <w:hideMark/>
          </w:tcPr>
          <w:p w14:paraId="33B523D0"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lastRenderedPageBreak/>
              <w:t>Limited specific frameworks on organizational readiness for healthcare transformation</w:t>
            </w:r>
          </w:p>
        </w:tc>
        <w:tc>
          <w:tcPr>
            <w:tcW w:w="433" w:type="pct"/>
            <w:shd w:val="clear" w:color="auto" w:fill="auto"/>
            <w:hideMark/>
          </w:tcPr>
          <w:p w14:paraId="472BB9A1"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 xml:space="preserve">Emphasizes improving healthcare governance and reducing resistance to change for </w:t>
            </w:r>
            <w:r w:rsidRPr="00437935">
              <w:rPr>
                <w:rFonts w:asciiTheme="majorBidi" w:eastAsia="Times New Roman" w:hAnsiTheme="majorBidi" w:cstheme="majorBidi"/>
                <w:color w:val="000000"/>
                <w:kern w:val="0"/>
                <w:sz w:val="16"/>
                <w:szCs w:val="16"/>
                <w14:ligatures w14:val="none"/>
              </w:rPr>
              <w:lastRenderedPageBreak/>
              <w:t>successful Vision 2030 implementation</w:t>
            </w:r>
          </w:p>
        </w:tc>
      </w:tr>
      <w:tr w:rsidR="00525FBB" w:rsidRPr="00525FBB" w14:paraId="4899468B" w14:textId="77777777" w:rsidTr="00554632">
        <w:trPr>
          <w:trHeight w:val="20"/>
        </w:trPr>
        <w:tc>
          <w:tcPr>
            <w:tcW w:w="527" w:type="pct"/>
            <w:shd w:val="clear" w:color="auto" w:fill="auto"/>
            <w:hideMark/>
          </w:tcPr>
          <w:p w14:paraId="24EF36CB"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lastRenderedPageBreak/>
              <w:t>Alanazi</w:t>
            </w:r>
          </w:p>
          <w:p w14:paraId="0815CA1D"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2023</w:t>
            </w:r>
          </w:p>
          <w:p w14:paraId="46F76F22"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Saudi Arabia</w:t>
            </w:r>
          </w:p>
        </w:tc>
        <w:tc>
          <w:tcPr>
            <w:tcW w:w="578" w:type="pct"/>
            <w:shd w:val="clear" w:color="auto" w:fill="auto"/>
            <w:hideMark/>
          </w:tcPr>
          <w:p w14:paraId="1D6F58D3"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Healthcare Transformation in Saudi Arabia, part of Vision 2030</w:t>
            </w:r>
          </w:p>
        </w:tc>
        <w:tc>
          <w:tcPr>
            <w:tcW w:w="433" w:type="pct"/>
            <w:shd w:val="clear" w:color="auto" w:fill="auto"/>
            <w:hideMark/>
          </w:tcPr>
          <w:p w14:paraId="53AF5897"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Review of healthcare system transformation and critical success factors for Vision 2030</w:t>
            </w:r>
          </w:p>
        </w:tc>
        <w:tc>
          <w:tcPr>
            <w:tcW w:w="433" w:type="pct"/>
            <w:shd w:val="clear" w:color="auto" w:fill="auto"/>
            <w:hideMark/>
          </w:tcPr>
          <w:p w14:paraId="08E66CB4"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Population growth, healthcare disparities, insufficient primary care, workforce capacity, rising non-communicable diseases</w:t>
            </w:r>
          </w:p>
        </w:tc>
        <w:tc>
          <w:tcPr>
            <w:tcW w:w="433" w:type="pct"/>
            <w:shd w:val="clear" w:color="auto" w:fill="auto"/>
            <w:hideMark/>
          </w:tcPr>
          <w:p w14:paraId="0AE4F2AF"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Private sector involvement, e-health integration, workforce development, healthcare financing improvements</w:t>
            </w:r>
          </w:p>
        </w:tc>
        <w:tc>
          <w:tcPr>
            <w:tcW w:w="433" w:type="pct"/>
            <w:shd w:val="clear" w:color="auto" w:fill="auto"/>
            <w:hideMark/>
          </w:tcPr>
          <w:p w14:paraId="0C3EED62"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Public-private partnerships (PPPs), e-health solutions, workforce localization, healthcare system optimization</w:t>
            </w:r>
          </w:p>
        </w:tc>
        <w:tc>
          <w:tcPr>
            <w:tcW w:w="433" w:type="pct"/>
            <w:shd w:val="clear" w:color="auto" w:fill="auto"/>
            <w:hideMark/>
          </w:tcPr>
          <w:p w14:paraId="652578DA"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Government reports, Vision 2030 documentation, literature reviews, articles, and secondary data</w:t>
            </w:r>
          </w:p>
        </w:tc>
        <w:tc>
          <w:tcPr>
            <w:tcW w:w="433" w:type="pct"/>
            <w:shd w:val="clear" w:color="auto" w:fill="auto"/>
            <w:hideMark/>
          </w:tcPr>
          <w:p w14:paraId="699A427F"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Substantial progress in healthcare transformation under Vision 2030, but challenges remain in workforce and infrastructure</w:t>
            </w:r>
          </w:p>
        </w:tc>
        <w:tc>
          <w:tcPr>
            <w:tcW w:w="433" w:type="pct"/>
            <w:shd w:val="clear" w:color="auto" w:fill="auto"/>
            <w:hideMark/>
          </w:tcPr>
          <w:p w14:paraId="5DF5F347"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Increase private sector participation, develop e-health systems, improve workforce training, expand healthcare access</w:t>
            </w:r>
          </w:p>
        </w:tc>
        <w:tc>
          <w:tcPr>
            <w:tcW w:w="433" w:type="pct"/>
            <w:shd w:val="clear" w:color="auto" w:fill="auto"/>
            <w:hideMark/>
          </w:tcPr>
          <w:p w14:paraId="3F82CF46"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Limited qualitative data on privatization, implementation barriers, and workforce challenges</w:t>
            </w:r>
          </w:p>
        </w:tc>
        <w:tc>
          <w:tcPr>
            <w:tcW w:w="433" w:type="pct"/>
            <w:shd w:val="clear" w:color="auto" w:fill="auto"/>
            <w:hideMark/>
          </w:tcPr>
          <w:p w14:paraId="18567A29"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Supports a multifaceted approach to healthcare transformation, with emphasis on legislative frameworks and effective implementation</w:t>
            </w:r>
          </w:p>
        </w:tc>
      </w:tr>
      <w:tr w:rsidR="00525FBB" w:rsidRPr="00525FBB" w14:paraId="7BF6D451" w14:textId="77777777" w:rsidTr="00554632">
        <w:trPr>
          <w:trHeight w:val="20"/>
        </w:trPr>
        <w:tc>
          <w:tcPr>
            <w:tcW w:w="527" w:type="pct"/>
            <w:shd w:val="clear" w:color="auto" w:fill="auto"/>
            <w:hideMark/>
          </w:tcPr>
          <w:p w14:paraId="3B341F8F"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Alasiri et al</w:t>
            </w:r>
          </w:p>
          <w:p w14:paraId="59AB7B5A"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2022</w:t>
            </w:r>
          </w:p>
          <w:p w14:paraId="22A813B3"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Saudi Arabia</w:t>
            </w:r>
          </w:p>
        </w:tc>
        <w:tc>
          <w:tcPr>
            <w:tcW w:w="578" w:type="pct"/>
            <w:shd w:val="clear" w:color="auto" w:fill="auto"/>
            <w:hideMark/>
          </w:tcPr>
          <w:p w14:paraId="25087200"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Healthcare Transformation under Vision 2030</w:t>
            </w:r>
          </w:p>
        </w:tc>
        <w:tc>
          <w:tcPr>
            <w:tcW w:w="433" w:type="pct"/>
            <w:shd w:val="clear" w:color="auto" w:fill="auto"/>
            <w:hideMark/>
          </w:tcPr>
          <w:p w14:paraId="500A37C6"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Scoping literature review, analysis of healthcare sector transformation and barriers</w:t>
            </w:r>
          </w:p>
        </w:tc>
        <w:tc>
          <w:tcPr>
            <w:tcW w:w="433" w:type="pct"/>
            <w:shd w:val="clear" w:color="auto" w:fill="auto"/>
            <w:hideMark/>
          </w:tcPr>
          <w:p w14:paraId="330A959A"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Rising healthcare costs, privatization implementation challenges, healthcare financing, population growth, workforce shortages</w:t>
            </w:r>
          </w:p>
        </w:tc>
        <w:tc>
          <w:tcPr>
            <w:tcW w:w="433" w:type="pct"/>
            <w:shd w:val="clear" w:color="auto" w:fill="auto"/>
            <w:hideMark/>
          </w:tcPr>
          <w:p w14:paraId="3819F349"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Public-private partnerships, expansion of primary care, increase in private sector contribution, healthcare financing</w:t>
            </w:r>
          </w:p>
        </w:tc>
        <w:tc>
          <w:tcPr>
            <w:tcW w:w="433" w:type="pct"/>
            <w:shd w:val="clear" w:color="auto" w:fill="auto"/>
            <w:hideMark/>
          </w:tcPr>
          <w:p w14:paraId="56971627"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Legislation for privatization, workforce training, improved healthcare policies, PPP models</w:t>
            </w:r>
          </w:p>
        </w:tc>
        <w:tc>
          <w:tcPr>
            <w:tcW w:w="433" w:type="pct"/>
            <w:shd w:val="clear" w:color="auto" w:fill="auto"/>
            <w:hideMark/>
          </w:tcPr>
          <w:p w14:paraId="7D39BFD0"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Literature reviews, government reports, secondary data, Vision 2030 official documents</w:t>
            </w:r>
          </w:p>
        </w:tc>
        <w:tc>
          <w:tcPr>
            <w:tcW w:w="433" w:type="pct"/>
            <w:shd w:val="clear" w:color="auto" w:fill="auto"/>
            <w:hideMark/>
          </w:tcPr>
          <w:p w14:paraId="2B80931D"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The government has made legislative progress in healthcare transformation but faces challenges in privatization and workforce development</w:t>
            </w:r>
          </w:p>
        </w:tc>
        <w:tc>
          <w:tcPr>
            <w:tcW w:w="433" w:type="pct"/>
            <w:shd w:val="clear" w:color="auto" w:fill="auto"/>
            <w:hideMark/>
          </w:tcPr>
          <w:p w14:paraId="7E987F72"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Focus on legislative frameworks, ensure equitable healthcare access, and improve workforce readiness for transformation</w:t>
            </w:r>
          </w:p>
        </w:tc>
        <w:tc>
          <w:tcPr>
            <w:tcW w:w="433" w:type="pct"/>
            <w:shd w:val="clear" w:color="auto" w:fill="auto"/>
            <w:hideMark/>
          </w:tcPr>
          <w:p w14:paraId="3B5E364B"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Limited qualitative research on privatization, potential barriers to PPP implementation</w:t>
            </w:r>
          </w:p>
        </w:tc>
        <w:tc>
          <w:tcPr>
            <w:tcW w:w="433" w:type="pct"/>
            <w:shd w:val="clear" w:color="auto" w:fill="auto"/>
            <w:hideMark/>
          </w:tcPr>
          <w:p w14:paraId="2855BB15"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The transformation must address workforce needs, infrastructure challenges, and ensure equitable healthcare access for all citizens</w:t>
            </w:r>
          </w:p>
        </w:tc>
      </w:tr>
      <w:tr w:rsidR="00525FBB" w:rsidRPr="00525FBB" w14:paraId="08111023" w14:textId="77777777" w:rsidTr="00554632">
        <w:trPr>
          <w:trHeight w:val="20"/>
        </w:trPr>
        <w:tc>
          <w:tcPr>
            <w:tcW w:w="527" w:type="pct"/>
            <w:shd w:val="clear" w:color="auto" w:fill="auto"/>
            <w:hideMark/>
          </w:tcPr>
          <w:p w14:paraId="473C1066"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Yami, A. et al.</w:t>
            </w:r>
          </w:p>
          <w:p w14:paraId="664E0553"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2024</w:t>
            </w:r>
          </w:p>
          <w:p w14:paraId="5A2F2D0C"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Saudi Arabia</w:t>
            </w:r>
          </w:p>
        </w:tc>
        <w:tc>
          <w:tcPr>
            <w:tcW w:w="578" w:type="pct"/>
            <w:shd w:val="clear" w:color="auto" w:fill="auto"/>
            <w:hideMark/>
          </w:tcPr>
          <w:p w14:paraId="5EE014C7"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Healthcare Delivery and Reform</w:t>
            </w:r>
          </w:p>
        </w:tc>
        <w:tc>
          <w:tcPr>
            <w:tcW w:w="433" w:type="pct"/>
            <w:shd w:val="clear" w:color="auto" w:fill="auto"/>
            <w:hideMark/>
          </w:tcPr>
          <w:p w14:paraId="5589F3F4"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Data analysis and risk framework based on healthcare system transformation</w:t>
            </w:r>
          </w:p>
        </w:tc>
        <w:tc>
          <w:tcPr>
            <w:tcW w:w="433" w:type="pct"/>
            <w:shd w:val="clear" w:color="auto" w:fill="auto"/>
            <w:hideMark/>
          </w:tcPr>
          <w:p w14:paraId="2860B36E"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Aging population, rising non-communicable diseases (NCDs), uneven access to healthcare</w:t>
            </w:r>
          </w:p>
        </w:tc>
        <w:tc>
          <w:tcPr>
            <w:tcW w:w="433" w:type="pct"/>
            <w:shd w:val="clear" w:color="auto" w:fill="auto"/>
            <w:hideMark/>
          </w:tcPr>
          <w:p w14:paraId="20D049FF"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Digital health innovation, enhancing healthcare workforce capacity, improved governance models</w:t>
            </w:r>
          </w:p>
        </w:tc>
        <w:tc>
          <w:tcPr>
            <w:tcW w:w="433" w:type="pct"/>
            <w:shd w:val="clear" w:color="auto" w:fill="auto"/>
            <w:hideMark/>
          </w:tcPr>
          <w:p w14:paraId="71B3769A"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Integration of telemedicine, improved healthcare financing, public-private sector collaboration</w:t>
            </w:r>
          </w:p>
        </w:tc>
        <w:tc>
          <w:tcPr>
            <w:tcW w:w="433" w:type="pct"/>
            <w:shd w:val="clear" w:color="auto" w:fill="auto"/>
            <w:hideMark/>
          </w:tcPr>
          <w:p w14:paraId="0CD9F047"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Government health statistics, surveys, healthcare provider assessments</w:t>
            </w:r>
          </w:p>
        </w:tc>
        <w:tc>
          <w:tcPr>
            <w:tcW w:w="433" w:type="pct"/>
            <w:shd w:val="clear" w:color="auto" w:fill="auto"/>
            <w:hideMark/>
          </w:tcPr>
          <w:p w14:paraId="1FE390DD"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The healthcare system faces significant challenges but has potential for improvement through strategic reforms</w:t>
            </w:r>
          </w:p>
        </w:tc>
        <w:tc>
          <w:tcPr>
            <w:tcW w:w="433" w:type="pct"/>
            <w:shd w:val="clear" w:color="auto" w:fill="auto"/>
            <w:hideMark/>
          </w:tcPr>
          <w:p w14:paraId="7839232E"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Expand digital infrastructure, train healthcare professionals, foster collaboration with private sector</w:t>
            </w:r>
          </w:p>
        </w:tc>
        <w:tc>
          <w:tcPr>
            <w:tcW w:w="433" w:type="pct"/>
            <w:shd w:val="clear" w:color="auto" w:fill="auto"/>
            <w:hideMark/>
          </w:tcPr>
          <w:p w14:paraId="4307A50E"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Data gaps in workforce training and healthcare access, limited longitudinal studies</w:t>
            </w:r>
          </w:p>
        </w:tc>
        <w:tc>
          <w:tcPr>
            <w:tcW w:w="433" w:type="pct"/>
            <w:shd w:val="clear" w:color="auto" w:fill="auto"/>
            <w:hideMark/>
          </w:tcPr>
          <w:p w14:paraId="1753E1FB"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Strong focus on building a resilient, innovative healthcare infrastructure, expanding digital health solutions</w:t>
            </w:r>
          </w:p>
        </w:tc>
      </w:tr>
      <w:tr w:rsidR="00525FBB" w:rsidRPr="00525FBB" w14:paraId="528BFDF7" w14:textId="77777777" w:rsidTr="00554632">
        <w:trPr>
          <w:trHeight w:val="20"/>
        </w:trPr>
        <w:tc>
          <w:tcPr>
            <w:tcW w:w="527" w:type="pct"/>
            <w:shd w:val="clear" w:color="auto" w:fill="auto"/>
            <w:hideMark/>
          </w:tcPr>
          <w:p w14:paraId="11A4B9CD"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Suleiman, A. et al.</w:t>
            </w:r>
          </w:p>
          <w:p w14:paraId="7778B1F4"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2025</w:t>
            </w:r>
          </w:p>
          <w:p w14:paraId="6C4FDE97"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Saudi Arabia</w:t>
            </w:r>
          </w:p>
        </w:tc>
        <w:tc>
          <w:tcPr>
            <w:tcW w:w="578" w:type="pct"/>
            <w:shd w:val="clear" w:color="auto" w:fill="auto"/>
            <w:hideMark/>
          </w:tcPr>
          <w:p w14:paraId="4F1B37EC"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Vision 2030 Healthcare Transformation Program</w:t>
            </w:r>
          </w:p>
        </w:tc>
        <w:tc>
          <w:tcPr>
            <w:tcW w:w="433" w:type="pct"/>
            <w:shd w:val="clear" w:color="auto" w:fill="auto"/>
            <w:hideMark/>
          </w:tcPr>
          <w:p w14:paraId="623D3651"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Systematic literature review and assessment of healthcare system readiness for transformation</w:t>
            </w:r>
          </w:p>
        </w:tc>
        <w:tc>
          <w:tcPr>
            <w:tcW w:w="433" w:type="pct"/>
            <w:shd w:val="clear" w:color="auto" w:fill="auto"/>
            <w:hideMark/>
          </w:tcPr>
          <w:p w14:paraId="6159BC9B"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Resistance to change, infrastructure limitations, financial sustainability of reforms</w:t>
            </w:r>
          </w:p>
        </w:tc>
        <w:tc>
          <w:tcPr>
            <w:tcW w:w="433" w:type="pct"/>
            <w:shd w:val="clear" w:color="auto" w:fill="auto"/>
            <w:hideMark/>
          </w:tcPr>
          <w:p w14:paraId="4AA577D3"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Incorporation of advanced health technologies, improving governance, and engaging in international collaborations</w:t>
            </w:r>
          </w:p>
        </w:tc>
        <w:tc>
          <w:tcPr>
            <w:tcW w:w="433" w:type="pct"/>
            <w:shd w:val="clear" w:color="auto" w:fill="auto"/>
            <w:hideMark/>
          </w:tcPr>
          <w:p w14:paraId="48F2BA9C"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Strengthen the digital health infrastructure, continuous policy evaluation, public-private sector partnerships</w:t>
            </w:r>
          </w:p>
        </w:tc>
        <w:tc>
          <w:tcPr>
            <w:tcW w:w="433" w:type="pct"/>
            <w:shd w:val="clear" w:color="auto" w:fill="auto"/>
            <w:hideMark/>
          </w:tcPr>
          <w:p w14:paraId="22EDCE29"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Systematic literature, government publications, expert interviews</w:t>
            </w:r>
          </w:p>
        </w:tc>
        <w:tc>
          <w:tcPr>
            <w:tcW w:w="433" w:type="pct"/>
            <w:shd w:val="clear" w:color="auto" w:fill="auto"/>
            <w:hideMark/>
          </w:tcPr>
          <w:p w14:paraId="180ACC6B"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Significant progress in Vision 2030 healthcare goals, though financial and logistical challenges remain</w:t>
            </w:r>
          </w:p>
        </w:tc>
        <w:tc>
          <w:tcPr>
            <w:tcW w:w="433" w:type="pct"/>
            <w:shd w:val="clear" w:color="auto" w:fill="auto"/>
            <w:hideMark/>
          </w:tcPr>
          <w:p w14:paraId="7150F052"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 xml:space="preserve">Strengthen human resources in healthcare, improve financial sustainability, expand digital </w:t>
            </w:r>
            <w:r w:rsidRPr="00437935">
              <w:rPr>
                <w:rFonts w:asciiTheme="majorBidi" w:eastAsia="Times New Roman" w:hAnsiTheme="majorBidi" w:cstheme="majorBidi"/>
                <w:color w:val="000000"/>
                <w:kern w:val="0"/>
                <w:sz w:val="16"/>
                <w:szCs w:val="16"/>
                <w14:ligatures w14:val="none"/>
              </w:rPr>
              <w:lastRenderedPageBreak/>
              <w:t>health initiatives</w:t>
            </w:r>
          </w:p>
        </w:tc>
        <w:tc>
          <w:tcPr>
            <w:tcW w:w="433" w:type="pct"/>
            <w:shd w:val="clear" w:color="auto" w:fill="auto"/>
            <w:hideMark/>
          </w:tcPr>
          <w:p w14:paraId="4920769F"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lastRenderedPageBreak/>
              <w:t>Limited data on the long-term impacts of reforms, challenges in workforce development</w:t>
            </w:r>
          </w:p>
        </w:tc>
        <w:tc>
          <w:tcPr>
            <w:tcW w:w="433" w:type="pct"/>
            <w:shd w:val="clear" w:color="auto" w:fill="auto"/>
            <w:hideMark/>
          </w:tcPr>
          <w:p w14:paraId="7D737CE9"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 xml:space="preserve">Focus on sustainable healthcare models that integrate both technological innovation and skilled </w:t>
            </w:r>
            <w:r w:rsidRPr="00437935">
              <w:rPr>
                <w:rFonts w:asciiTheme="majorBidi" w:eastAsia="Times New Roman" w:hAnsiTheme="majorBidi" w:cstheme="majorBidi"/>
                <w:color w:val="000000"/>
                <w:kern w:val="0"/>
                <w:sz w:val="16"/>
                <w:szCs w:val="16"/>
                <w14:ligatures w14:val="none"/>
              </w:rPr>
              <w:lastRenderedPageBreak/>
              <w:t>workforce expansion</w:t>
            </w:r>
          </w:p>
        </w:tc>
      </w:tr>
      <w:tr w:rsidR="00525FBB" w:rsidRPr="00525FBB" w14:paraId="37E80008" w14:textId="77777777" w:rsidTr="00554632">
        <w:trPr>
          <w:trHeight w:val="20"/>
        </w:trPr>
        <w:tc>
          <w:tcPr>
            <w:tcW w:w="527" w:type="pct"/>
            <w:shd w:val="clear" w:color="auto" w:fill="auto"/>
            <w:hideMark/>
          </w:tcPr>
          <w:p w14:paraId="5F9AC85E"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lastRenderedPageBreak/>
              <w:t>Yousef, M. et al.</w:t>
            </w:r>
          </w:p>
          <w:p w14:paraId="50059D9B"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2023</w:t>
            </w:r>
          </w:p>
          <w:p w14:paraId="027C2CE3"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Saudi Arabia</w:t>
            </w:r>
          </w:p>
          <w:p w14:paraId="70D2B151"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Eastern Region, Riyadh, Southern Regions</w:t>
            </w:r>
          </w:p>
        </w:tc>
        <w:tc>
          <w:tcPr>
            <w:tcW w:w="578" w:type="pct"/>
            <w:shd w:val="clear" w:color="auto" w:fill="auto"/>
            <w:hideMark/>
          </w:tcPr>
          <w:p w14:paraId="5DE95AC0"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Model of Care (MoC) in healthcare reform</w:t>
            </w:r>
          </w:p>
        </w:tc>
        <w:tc>
          <w:tcPr>
            <w:tcW w:w="433" w:type="pct"/>
            <w:shd w:val="clear" w:color="auto" w:fill="auto"/>
            <w:hideMark/>
          </w:tcPr>
          <w:p w14:paraId="5C4B5EED"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Assessment based on healthcare cluster pilots and risk of integration issues across regions</w:t>
            </w:r>
          </w:p>
        </w:tc>
        <w:tc>
          <w:tcPr>
            <w:tcW w:w="433" w:type="pct"/>
            <w:shd w:val="clear" w:color="auto" w:fill="auto"/>
            <w:hideMark/>
          </w:tcPr>
          <w:p w14:paraId="52858882"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Lack of integration, workforce burnout, low buy-in from healthcare professionals, insufficient change management</w:t>
            </w:r>
          </w:p>
        </w:tc>
        <w:tc>
          <w:tcPr>
            <w:tcW w:w="433" w:type="pct"/>
            <w:shd w:val="clear" w:color="auto" w:fill="auto"/>
            <w:hideMark/>
          </w:tcPr>
          <w:p w14:paraId="67D2B7F8"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Patient-centered care, health coaching programs, digital health data management</w:t>
            </w:r>
          </w:p>
        </w:tc>
        <w:tc>
          <w:tcPr>
            <w:tcW w:w="433" w:type="pct"/>
            <w:shd w:val="clear" w:color="auto" w:fill="auto"/>
            <w:hideMark/>
          </w:tcPr>
          <w:p w14:paraId="19E88FA5"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Developing change management strategies, improving workforce engagement, training for new care models</w:t>
            </w:r>
          </w:p>
        </w:tc>
        <w:tc>
          <w:tcPr>
            <w:tcW w:w="433" w:type="pct"/>
            <w:shd w:val="clear" w:color="auto" w:fill="auto"/>
            <w:hideMark/>
          </w:tcPr>
          <w:p w14:paraId="09DB6BA9"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Cluster data, patient feedback, healthcare provider surveys</w:t>
            </w:r>
          </w:p>
        </w:tc>
        <w:tc>
          <w:tcPr>
            <w:tcW w:w="433" w:type="pct"/>
            <w:shd w:val="clear" w:color="auto" w:fill="auto"/>
            <w:hideMark/>
          </w:tcPr>
          <w:p w14:paraId="41BDE725"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Initial success in the MoC pilot programs, but challenges in full-scale implementation remain</w:t>
            </w:r>
          </w:p>
        </w:tc>
        <w:tc>
          <w:tcPr>
            <w:tcW w:w="433" w:type="pct"/>
            <w:shd w:val="clear" w:color="auto" w:fill="auto"/>
            <w:hideMark/>
          </w:tcPr>
          <w:p w14:paraId="2D594B7D"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Focus on leadership commitment, enhance workforce readiness, strengthen change management systems</w:t>
            </w:r>
          </w:p>
        </w:tc>
        <w:tc>
          <w:tcPr>
            <w:tcW w:w="433" w:type="pct"/>
            <w:shd w:val="clear" w:color="auto" w:fill="auto"/>
            <w:hideMark/>
          </w:tcPr>
          <w:p w14:paraId="55B1B41B"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Lack of awareness campaigns, inconsistent stakeholder engagement, limited strategic planning</w:t>
            </w:r>
          </w:p>
        </w:tc>
        <w:tc>
          <w:tcPr>
            <w:tcW w:w="433" w:type="pct"/>
            <w:shd w:val="clear" w:color="auto" w:fill="auto"/>
            <w:hideMark/>
          </w:tcPr>
          <w:p w14:paraId="1D574468"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MoC can help transform Saudi healthcare by addressing chronic diseases and improving overall care outcomes</w:t>
            </w:r>
          </w:p>
        </w:tc>
      </w:tr>
      <w:tr w:rsidR="00525FBB" w:rsidRPr="00525FBB" w14:paraId="377FEE9F" w14:textId="77777777" w:rsidTr="00554632">
        <w:trPr>
          <w:trHeight w:val="20"/>
        </w:trPr>
        <w:tc>
          <w:tcPr>
            <w:tcW w:w="527" w:type="pct"/>
            <w:shd w:val="clear" w:color="auto" w:fill="auto"/>
            <w:hideMark/>
          </w:tcPr>
          <w:p w14:paraId="5A55F9DD"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Zakaria A. Mani, Krzysztof Goniewicz</w:t>
            </w:r>
          </w:p>
          <w:p w14:paraId="2F5F6DA6"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2024</w:t>
            </w:r>
          </w:p>
          <w:p w14:paraId="7AFE5563"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Saudi Arabia</w:t>
            </w:r>
          </w:p>
        </w:tc>
        <w:tc>
          <w:tcPr>
            <w:tcW w:w="578" w:type="pct"/>
            <w:shd w:val="clear" w:color="auto" w:fill="auto"/>
            <w:hideMark/>
          </w:tcPr>
          <w:p w14:paraId="0A1EC03D"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Healthcare transformation under Vision 2030</w:t>
            </w:r>
          </w:p>
        </w:tc>
        <w:tc>
          <w:tcPr>
            <w:tcW w:w="433" w:type="pct"/>
            <w:shd w:val="clear" w:color="auto" w:fill="auto"/>
            <w:hideMark/>
          </w:tcPr>
          <w:p w14:paraId="58C18EA5"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Structured framework for evaluating Vision 2030’s impact on healthcare transformation</w:t>
            </w:r>
          </w:p>
        </w:tc>
        <w:tc>
          <w:tcPr>
            <w:tcW w:w="433" w:type="pct"/>
            <w:shd w:val="clear" w:color="auto" w:fill="auto"/>
            <w:hideMark/>
          </w:tcPr>
          <w:p w14:paraId="148A2969"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Healthcare infrastructure, workforce capacity, geographical disparities, quality of care, and financing</w:t>
            </w:r>
          </w:p>
        </w:tc>
        <w:tc>
          <w:tcPr>
            <w:tcW w:w="433" w:type="pct"/>
            <w:shd w:val="clear" w:color="auto" w:fill="auto"/>
            <w:hideMark/>
          </w:tcPr>
          <w:p w14:paraId="13634FFA"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Digital health, public-private partnerships, workforce development, improved quality of care</w:t>
            </w:r>
          </w:p>
        </w:tc>
        <w:tc>
          <w:tcPr>
            <w:tcW w:w="433" w:type="pct"/>
            <w:shd w:val="clear" w:color="auto" w:fill="auto"/>
            <w:hideMark/>
          </w:tcPr>
          <w:p w14:paraId="63FFF173"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Integration of technology, improving governance, public health initiatives, workforce education</w:t>
            </w:r>
          </w:p>
        </w:tc>
        <w:tc>
          <w:tcPr>
            <w:tcW w:w="433" w:type="pct"/>
            <w:shd w:val="clear" w:color="auto" w:fill="auto"/>
            <w:hideMark/>
          </w:tcPr>
          <w:p w14:paraId="6CDEBB7D"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Government reports, literature reviews, healthcare provider assessments</w:t>
            </w:r>
          </w:p>
        </w:tc>
        <w:tc>
          <w:tcPr>
            <w:tcW w:w="433" w:type="pct"/>
            <w:shd w:val="clear" w:color="auto" w:fill="auto"/>
            <w:hideMark/>
          </w:tcPr>
          <w:p w14:paraId="37CBAE23"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Significant progress toward healthcare transformation, but challenges remain in workforce and infrastructure</w:t>
            </w:r>
          </w:p>
        </w:tc>
        <w:tc>
          <w:tcPr>
            <w:tcW w:w="433" w:type="pct"/>
            <w:shd w:val="clear" w:color="auto" w:fill="auto"/>
            <w:hideMark/>
          </w:tcPr>
          <w:p w14:paraId="1BE434C8"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Strengthen public-private partnerships, enhance workforce training, expand digital health infrastructure</w:t>
            </w:r>
          </w:p>
        </w:tc>
        <w:tc>
          <w:tcPr>
            <w:tcW w:w="433" w:type="pct"/>
            <w:shd w:val="clear" w:color="auto" w:fill="auto"/>
            <w:hideMark/>
          </w:tcPr>
          <w:p w14:paraId="1CC99BC0"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Insufficient longitudinal studies on long-term impacts of reforms, data gaps in some areas</w:t>
            </w:r>
          </w:p>
        </w:tc>
        <w:tc>
          <w:tcPr>
            <w:tcW w:w="433" w:type="pct"/>
            <w:shd w:val="clear" w:color="auto" w:fill="auto"/>
            <w:hideMark/>
          </w:tcPr>
          <w:p w14:paraId="7D68C5F9"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Focus on building digital health infrastructure and expanding workforce training for sustainable healthcare reform</w:t>
            </w:r>
          </w:p>
        </w:tc>
      </w:tr>
      <w:tr w:rsidR="00525FBB" w:rsidRPr="00525FBB" w14:paraId="795AA46C" w14:textId="77777777" w:rsidTr="00554632">
        <w:trPr>
          <w:trHeight w:val="20"/>
        </w:trPr>
        <w:tc>
          <w:tcPr>
            <w:tcW w:w="527" w:type="pct"/>
            <w:shd w:val="clear" w:color="auto" w:fill="auto"/>
            <w:hideMark/>
          </w:tcPr>
          <w:p w14:paraId="41F22BB1"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Riley et al</w:t>
            </w:r>
          </w:p>
          <w:p w14:paraId="02830EA7"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2023</w:t>
            </w:r>
          </w:p>
          <w:p w14:paraId="78D5DEFA"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Saudi Arabia</w:t>
            </w:r>
          </w:p>
          <w:p w14:paraId="3FD81382"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Eastern Region, Riyadh, Qassim</w:t>
            </w:r>
          </w:p>
        </w:tc>
        <w:tc>
          <w:tcPr>
            <w:tcW w:w="578" w:type="pct"/>
            <w:shd w:val="clear" w:color="auto" w:fill="auto"/>
            <w:hideMark/>
          </w:tcPr>
          <w:p w14:paraId="5F71485A"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Accelerated Transformation Programme (ATP) for healthcare transformation in non-clustered regions of KSA</w:t>
            </w:r>
          </w:p>
        </w:tc>
        <w:tc>
          <w:tcPr>
            <w:tcW w:w="433" w:type="pct"/>
            <w:shd w:val="clear" w:color="auto" w:fill="auto"/>
            <w:hideMark/>
          </w:tcPr>
          <w:p w14:paraId="17F194A4"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Governance and risk management in transforming healthcare service delivery</w:t>
            </w:r>
          </w:p>
        </w:tc>
        <w:tc>
          <w:tcPr>
            <w:tcW w:w="433" w:type="pct"/>
            <w:shd w:val="clear" w:color="auto" w:fill="auto"/>
            <w:hideMark/>
          </w:tcPr>
          <w:p w14:paraId="29E0194B"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Resistance to change, workforce capacity, engagement with local communities, coordination across regions</w:t>
            </w:r>
          </w:p>
        </w:tc>
        <w:tc>
          <w:tcPr>
            <w:tcW w:w="433" w:type="pct"/>
            <w:shd w:val="clear" w:color="auto" w:fill="auto"/>
            <w:hideMark/>
          </w:tcPr>
          <w:p w14:paraId="15371130"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Engaging local healthcare communities, promoting ownership in the transformation process, building capacity</w:t>
            </w:r>
          </w:p>
        </w:tc>
        <w:tc>
          <w:tcPr>
            <w:tcW w:w="433" w:type="pct"/>
            <w:shd w:val="clear" w:color="auto" w:fill="auto"/>
            <w:hideMark/>
          </w:tcPr>
          <w:p w14:paraId="7C9B2817"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Training, development of local leadership, establishing steering committees for regional governance</w:t>
            </w:r>
          </w:p>
        </w:tc>
        <w:tc>
          <w:tcPr>
            <w:tcW w:w="433" w:type="pct"/>
            <w:shd w:val="clear" w:color="auto" w:fill="auto"/>
            <w:hideMark/>
          </w:tcPr>
          <w:p w14:paraId="675DE966"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Regional health directorates data, reports from healthcare service clusters, participation surveys</w:t>
            </w:r>
          </w:p>
        </w:tc>
        <w:tc>
          <w:tcPr>
            <w:tcW w:w="433" w:type="pct"/>
            <w:shd w:val="clear" w:color="auto" w:fill="auto"/>
            <w:hideMark/>
          </w:tcPr>
          <w:p w14:paraId="18CFCF64"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Successful engagement in initial clusters, lessons learned in workforce readiness and governance across regions</w:t>
            </w:r>
          </w:p>
        </w:tc>
        <w:tc>
          <w:tcPr>
            <w:tcW w:w="433" w:type="pct"/>
            <w:shd w:val="clear" w:color="auto" w:fill="auto"/>
            <w:hideMark/>
          </w:tcPr>
          <w:p w14:paraId="7753E0ED"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Enhance local ownership of transformation, improve knowledge transfer, accelerate cluster readiness</w:t>
            </w:r>
          </w:p>
        </w:tc>
        <w:tc>
          <w:tcPr>
            <w:tcW w:w="433" w:type="pct"/>
            <w:shd w:val="clear" w:color="auto" w:fill="auto"/>
            <w:hideMark/>
          </w:tcPr>
          <w:p w14:paraId="67E8EDBD"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Lack of long-term evaluation of ATP effectiveness, inconsistent stakeholder engagement across regions</w:t>
            </w:r>
          </w:p>
        </w:tc>
        <w:tc>
          <w:tcPr>
            <w:tcW w:w="433" w:type="pct"/>
            <w:shd w:val="clear" w:color="auto" w:fill="auto"/>
            <w:hideMark/>
          </w:tcPr>
          <w:p w14:paraId="6DF55F6C"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Need for more localized transformation strategies, lessons to scale healthcare improvements nationally</w:t>
            </w:r>
          </w:p>
        </w:tc>
      </w:tr>
      <w:tr w:rsidR="00525FBB" w:rsidRPr="00525FBB" w14:paraId="65E2FAE0" w14:textId="77777777" w:rsidTr="00554632">
        <w:trPr>
          <w:trHeight w:val="20"/>
        </w:trPr>
        <w:tc>
          <w:tcPr>
            <w:tcW w:w="527" w:type="pct"/>
            <w:shd w:val="clear" w:color="auto" w:fill="auto"/>
            <w:hideMark/>
          </w:tcPr>
          <w:p w14:paraId="2562BC8C"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Chowdhury et al</w:t>
            </w:r>
          </w:p>
          <w:p w14:paraId="57E7FD55"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2021</w:t>
            </w:r>
          </w:p>
          <w:p w14:paraId="79EE81BD"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Saudi Arabia</w:t>
            </w:r>
          </w:p>
        </w:tc>
        <w:tc>
          <w:tcPr>
            <w:tcW w:w="578" w:type="pct"/>
            <w:shd w:val="clear" w:color="auto" w:fill="auto"/>
            <w:hideMark/>
          </w:tcPr>
          <w:p w14:paraId="4DF42406"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National Transformation Program (NTP) and the Model of Care (MoC) under Vision 2030</w:t>
            </w:r>
          </w:p>
        </w:tc>
        <w:tc>
          <w:tcPr>
            <w:tcW w:w="433" w:type="pct"/>
            <w:shd w:val="clear" w:color="auto" w:fill="auto"/>
            <w:hideMark/>
          </w:tcPr>
          <w:p w14:paraId="2A16D778"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Systematic review of healthcare system transformation with a focus on MoC implementation</w:t>
            </w:r>
          </w:p>
        </w:tc>
        <w:tc>
          <w:tcPr>
            <w:tcW w:w="433" w:type="pct"/>
            <w:shd w:val="clear" w:color="auto" w:fill="auto"/>
            <w:hideMark/>
          </w:tcPr>
          <w:p w14:paraId="4954CF8A"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Limited access to healthcare, quality and efficiency gaps, inadequate preventive healthcare infrastructure</w:t>
            </w:r>
          </w:p>
        </w:tc>
        <w:tc>
          <w:tcPr>
            <w:tcW w:w="433" w:type="pct"/>
            <w:shd w:val="clear" w:color="auto" w:fill="auto"/>
            <w:hideMark/>
          </w:tcPr>
          <w:p w14:paraId="55AABCC5"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Digital health adoption, expansion of e-health services, comprehensive healthcare reform across sectors</w:t>
            </w:r>
          </w:p>
        </w:tc>
        <w:tc>
          <w:tcPr>
            <w:tcW w:w="433" w:type="pct"/>
            <w:shd w:val="clear" w:color="auto" w:fill="auto"/>
            <w:hideMark/>
          </w:tcPr>
          <w:p w14:paraId="1218B107"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Expansion of healthcare facilities, improved workforce planning, focus on public health and prevention programs</w:t>
            </w:r>
          </w:p>
        </w:tc>
        <w:tc>
          <w:tcPr>
            <w:tcW w:w="433" w:type="pct"/>
            <w:shd w:val="clear" w:color="auto" w:fill="auto"/>
            <w:hideMark/>
          </w:tcPr>
          <w:p w14:paraId="584C1CC1"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Literature review, government reports, healthcare professional surveys, stakeholder workshops</w:t>
            </w:r>
          </w:p>
        </w:tc>
        <w:tc>
          <w:tcPr>
            <w:tcW w:w="433" w:type="pct"/>
            <w:shd w:val="clear" w:color="auto" w:fill="auto"/>
            <w:hideMark/>
          </w:tcPr>
          <w:p w14:paraId="7AF7EF54"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Major healthcare transformation required, particularly in workforce training and service accessibility</w:t>
            </w:r>
          </w:p>
        </w:tc>
        <w:tc>
          <w:tcPr>
            <w:tcW w:w="433" w:type="pct"/>
            <w:shd w:val="clear" w:color="auto" w:fill="auto"/>
            <w:hideMark/>
          </w:tcPr>
          <w:p w14:paraId="14A553D8"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Improve healthcare quality, enhance digital solutions, expand preventive health services, increase workforce investment</w:t>
            </w:r>
          </w:p>
        </w:tc>
        <w:tc>
          <w:tcPr>
            <w:tcW w:w="433" w:type="pct"/>
            <w:shd w:val="clear" w:color="auto" w:fill="auto"/>
            <w:hideMark/>
          </w:tcPr>
          <w:p w14:paraId="258E2F5B"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Insufficient data on workforce challenges, variability in healthcare service quality across regions</w:t>
            </w:r>
          </w:p>
        </w:tc>
        <w:tc>
          <w:tcPr>
            <w:tcW w:w="433" w:type="pct"/>
            <w:shd w:val="clear" w:color="auto" w:fill="auto"/>
            <w:hideMark/>
          </w:tcPr>
          <w:p w14:paraId="5ABB7E23" w14:textId="77777777" w:rsidR="00525FBB" w:rsidRPr="00437935" w:rsidRDefault="00525FBB" w:rsidP="00554632">
            <w:pPr>
              <w:spacing w:after="0" w:line="240" w:lineRule="auto"/>
              <w:ind w:left="17"/>
              <w:jc w:val="right"/>
              <w:rPr>
                <w:rFonts w:asciiTheme="majorBidi" w:eastAsia="Times New Roman" w:hAnsiTheme="majorBidi" w:cstheme="majorBidi"/>
                <w:color w:val="000000"/>
                <w:kern w:val="0"/>
                <w:sz w:val="16"/>
                <w:szCs w:val="16"/>
                <w14:ligatures w14:val="none"/>
              </w:rPr>
            </w:pPr>
            <w:r w:rsidRPr="00437935">
              <w:rPr>
                <w:rFonts w:asciiTheme="majorBidi" w:eastAsia="Times New Roman" w:hAnsiTheme="majorBidi" w:cstheme="majorBidi"/>
                <w:color w:val="000000"/>
                <w:kern w:val="0"/>
                <w:sz w:val="16"/>
                <w:szCs w:val="16"/>
                <w14:ligatures w14:val="none"/>
              </w:rPr>
              <w:t>A holistic approach to healthcare reform is necessary, focusing on prevention, accessibility, and digital health integration</w:t>
            </w:r>
          </w:p>
        </w:tc>
      </w:tr>
    </w:tbl>
    <w:p w14:paraId="6F2D0F46" w14:textId="77777777" w:rsidR="00437935" w:rsidRDefault="00437935" w:rsidP="00525FBB">
      <w:pPr>
        <w:spacing w:after="0" w:line="480" w:lineRule="auto"/>
        <w:ind w:firstLine="720"/>
        <w:jc w:val="right"/>
        <w:rPr>
          <w:rFonts w:asciiTheme="majorBidi" w:hAnsiTheme="majorBidi" w:cstheme="majorBidi"/>
          <w:sz w:val="24"/>
          <w:szCs w:val="24"/>
          <w:rtl/>
        </w:rPr>
        <w:sectPr w:rsidR="00437935" w:rsidSect="00437935">
          <w:pgSz w:w="16838" w:h="11906" w:orient="landscape"/>
          <w:pgMar w:top="1274" w:right="1440" w:bottom="180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6E9BFAEB" w14:textId="77777777" w:rsidR="008868F9" w:rsidRPr="008868F9" w:rsidRDefault="008868F9" w:rsidP="008868F9">
      <w:pPr>
        <w:spacing w:after="0" w:line="480" w:lineRule="auto"/>
        <w:ind w:firstLine="720"/>
        <w:jc w:val="right"/>
        <w:rPr>
          <w:rFonts w:asciiTheme="majorBidi" w:hAnsiTheme="majorBidi" w:cstheme="majorBidi"/>
          <w:sz w:val="24"/>
          <w:szCs w:val="24"/>
        </w:rPr>
      </w:pPr>
      <w:r w:rsidRPr="008868F9">
        <w:rPr>
          <w:rFonts w:asciiTheme="majorBidi" w:hAnsiTheme="majorBidi" w:cstheme="majorBidi"/>
          <w:sz w:val="24"/>
          <w:szCs w:val="24"/>
        </w:rPr>
        <w:lastRenderedPageBreak/>
        <w:t>The general theme dominating all 12 studies was Vision 2030's future healthcare. Vision 2030 seeks a more technologically advanced, sustainable, equitable, and more efficient healthcare sector. Vision 2030's visionary healthcare ambitions are dealt with specifically in the overwhelming majority of the studies. The major drivers of the transformation plan include the promotion of public-private partnerships (PPPs), the utilization of digital health solutions, and moving towards a patient-centered model of care. Training and development of the workforce is also a common thread running through. A number of reports highlight that one of the main hindrances to attaining the aims set out in Vision 2030 is an underqualified and culturally unsuitable healthcare workforce.</w:t>
      </w:r>
    </w:p>
    <w:p w14:paraId="70F5EB26" w14:textId="77777777" w:rsidR="008868F9" w:rsidRPr="008868F9" w:rsidRDefault="008868F9" w:rsidP="008868F9">
      <w:pPr>
        <w:spacing w:after="0" w:line="480" w:lineRule="auto"/>
        <w:ind w:firstLine="720"/>
        <w:jc w:val="right"/>
        <w:rPr>
          <w:rFonts w:asciiTheme="majorBidi" w:hAnsiTheme="majorBidi" w:cstheme="majorBidi"/>
          <w:sz w:val="24"/>
          <w:szCs w:val="24"/>
        </w:rPr>
      </w:pPr>
      <w:r w:rsidRPr="008868F9">
        <w:rPr>
          <w:rFonts w:asciiTheme="majorBidi" w:hAnsiTheme="majorBidi" w:cstheme="majorBidi"/>
          <w:sz w:val="24"/>
          <w:szCs w:val="24"/>
        </w:rPr>
        <w:t>The need to develop healthcare worker capacity, update specialist training, and align the workforce with new technologies and health care models was highlighted in the majority of the studies.</w:t>
      </w:r>
    </w:p>
    <w:p w14:paraId="04ED81DE" w14:textId="09696EFF" w:rsidR="00030628" w:rsidRPr="00030628" w:rsidRDefault="008868F9" w:rsidP="008868F9">
      <w:pPr>
        <w:spacing w:after="0" w:line="480" w:lineRule="auto"/>
        <w:ind w:firstLine="720"/>
        <w:jc w:val="right"/>
        <w:rPr>
          <w:rFonts w:asciiTheme="majorBidi" w:hAnsiTheme="majorBidi" w:cstheme="majorBidi"/>
          <w:sz w:val="24"/>
          <w:szCs w:val="24"/>
        </w:rPr>
      </w:pPr>
      <w:r w:rsidRPr="008868F9">
        <w:rPr>
          <w:rFonts w:asciiTheme="majorBidi" w:hAnsiTheme="majorBidi" w:cstheme="majorBidi"/>
          <w:sz w:val="24"/>
          <w:szCs w:val="24"/>
        </w:rPr>
        <w:t>These human resource challenges are seen as essential to the successful implementation of reforms. In the case of healthcare reform, EHR interoperability and digital health, telemedicine, and other virtual platforms were seen as promising solutions. The dream of transitioning to digital solutions is to improve access to care, particularly in rural settings, bring in improved patient outcomes, and improve data management</w:t>
      </w:r>
      <w:r w:rsidR="00030628" w:rsidRPr="00030628">
        <w:rPr>
          <w:rFonts w:asciiTheme="majorBidi" w:hAnsiTheme="majorBidi" w:cstheme="majorBidi"/>
          <w:sz w:val="24"/>
          <w:szCs w:val="24"/>
        </w:rPr>
        <w:t>.</w:t>
      </w:r>
    </w:p>
    <w:p w14:paraId="055CD0D8" w14:textId="1F6C0044" w:rsidR="00525FBB" w:rsidRDefault="00525FBB" w:rsidP="00525FBB">
      <w:pPr>
        <w:spacing w:after="0" w:line="480" w:lineRule="auto"/>
        <w:ind w:firstLine="720"/>
        <w:jc w:val="right"/>
        <w:rPr>
          <w:rFonts w:asciiTheme="majorBidi" w:hAnsiTheme="majorBidi" w:cstheme="majorBidi"/>
          <w:sz w:val="24"/>
          <w:szCs w:val="24"/>
        </w:rPr>
      </w:pPr>
    </w:p>
    <w:p w14:paraId="0D52EF92" w14:textId="41BD76BA" w:rsidR="00A55D84" w:rsidRDefault="00A55D84" w:rsidP="00525FBB">
      <w:pPr>
        <w:spacing w:after="0" w:line="480" w:lineRule="auto"/>
        <w:ind w:firstLine="720"/>
        <w:jc w:val="right"/>
        <w:rPr>
          <w:rFonts w:asciiTheme="majorBidi" w:hAnsiTheme="majorBidi" w:cstheme="majorBidi"/>
          <w:sz w:val="24"/>
          <w:szCs w:val="24"/>
        </w:rPr>
      </w:pPr>
    </w:p>
    <w:p w14:paraId="1C808A60" w14:textId="0A493F53" w:rsidR="00A55D84" w:rsidRDefault="00A55D84" w:rsidP="00525FBB">
      <w:pPr>
        <w:spacing w:after="0" w:line="480" w:lineRule="auto"/>
        <w:ind w:firstLine="720"/>
        <w:jc w:val="right"/>
        <w:rPr>
          <w:rFonts w:asciiTheme="majorBidi" w:hAnsiTheme="majorBidi" w:cstheme="majorBidi"/>
          <w:sz w:val="24"/>
          <w:szCs w:val="24"/>
        </w:rPr>
      </w:pPr>
    </w:p>
    <w:p w14:paraId="370EFA57" w14:textId="54A6B55E" w:rsidR="00A55D84" w:rsidRDefault="00A55D84" w:rsidP="00525FBB">
      <w:pPr>
        <w:spacing w:after="0" w:line="480" w:lineRule="auto"/>
        <w:ind w:firstLine="720"/>
        <w:jc w:val="right"/>
        <w:rPr>
          <w:rFonts w:asciiTheme="majorBidi" w:hAnsiTheme="majorBidi" w:cstheme="majorBidi"/>
          <w:sz w:val="24"/>
          <w:szCs w:val="24"/>
        </w:rPr>
      </w:pPr>
    </w:p>
    <w:p w14:paraId="1A88C838" w14:textId="0C75C37F" w:rsidR="00A55D84" w:rsidRDefault="00A55D84" w:rsidP="00525FBB">
      <w:pPr>
        <w:spacing w:after="0" w:line="480" w:lineRule="auto"/>
        <w:ind w:firstLine="720"/>
        <w:jc w:val="right"/>
        <w:rPr>
          <w:rFonts w:asciiTheme="majorBidi" w:hAnsiTheme="majorBidi" w:cstheme="majorBidi"/>
          <w:sz w:val="24"/>
          <w:szCs w:val="24"/>
        </w:rPr>
      </w:pPr>
    </w:p>
    <w:p w14:paraId="1CD986A0" w14:textId="600E7766" w:rsidR="00A55D84" w:rsidRDefault="00A55D84" w:rsidP="00525FBB">
      <w:pPr>
        <w:spacing w:after="0" w:line="480" w:lineRule="auto"/>
        <w:ind w:firstLine="720"/>
        <w:jc w:val="right"/>
        <w:rPr>
          <w:rFonts w:asciiTheme="majorBidi" w:hAnsiTheme="majorBidi" w:cstheme="majorBidi"/>
          <w:sz w:val="24"/>
          <w:szCs w:val="24"/>
        </w:rPr>
      </w:pPr>
    </w:p>
    <w:p w14:paraId="1C2E20D5" w14:textId="77777777" w:rsidR="00B0545D" w:rsidRDefault="00B0545D" w:rsidP="00525FBB">
      <w:pPr>
        <w:spacing w:after="0" w:line="480" w:lineRule="auto"/>
        <w:ind w:firstLine="720"/>
        <w:jc w:val="right"/>
        <w:rPr>
          <w:rFonts w:asciiTheme="majorBidi" w:hAnsiTheme="majorBidi" w:cstheme="majorBidi"/>
          <w:sz w:val="24"/>
          <w:szCs w:val="24"/>
        </w:rPr>
      </w:pPr>
    </w:p>
    <w:p w14:paraId="2A182D6D" w14:textId="77777777" w:rsidR="00B0545D" w:rsidRDefault="00B0545D" w:rsidP="00525FBB">
      <w:pPr>
        <w:spacing w:after="0" w:line="480" w:lineRule="auto"/>
        <w:ind w:firstLine="720"/>
        <w:jc w:val="right"/>
        <w:rPr>
          <w:rFonts w:asciiTheme="majorBidi" w:hAnsiTheme="majorBidi" w:cstheme="majorBidi"/>
          <w:sz w:val="24"/>
          <w:szCs w:val="24"/>
        </w:rPr>
      </w:pPr>
    </w:p>
    <w:p w14:paraId="260764A4" w14:textId="77777777" w:rsidR="00A55D84" w:rsidRPr="00525FBB" w:rsidRDefault="00A55D84" w:rsidP="00525FBB">
      <w:pPr>
        <w:spacing w:after="0" w:line="480" w:lineRule="auto"/>
        <w:ind w:firstLine="720"/>
        <w:jc w:val="right"/>
        <w:rPr>
          <w:rFonts w:asciiTheme="majorBidi" w:hAnsiTheme="majorBidi" w:cstheme="majorBidi"/>
          <w:sz w:val="24"/>
          <w:szCs w:val="24"/>
        </w:rPr>
      </w:pPr>
    </w:p>
    <w:p w14:paraId="54C4B247" w14:textId="77777777" w:rsidR="00525FBB" w:rsidRPr="00525FBB" w:rsidRDefault="00525FBB" w:rsidP="00525FBB">
      <w:pPr>
        <w:spacing w:after="0" w:line="480" w:lineRule="auto"/>
        <w:jc w:val="right"/>
        <w:rPr>
          <w:rFonts w:asciiTheme="majorBidi" w:hAnsiTheme="majorBidi" w:cstheme="majorBidi"/>
          <w:b/>
          <w:bCs/>
          <w:sz w:val="24"/>
          <w:szCs w:val="24"/>
        </w:rPr>
      </w:pPr>
      <w:r w:rsidRPr="00525FBB">
        <w:rPr>
          <w:rFonts w:asciiTheme="majorBidi" w:hAnsiTheme="majorBidi" w:cstheme="majorBidi"/>
          <w:b/>
          <w:bCs/>
          <w:sz w:val="24"/>
          <w:szCs w:val="24"/>
        </w:rPr>
        <w:t>Figure 2: Key Themes</w:t>
      </w:r>
    </w:p>
    <w:p w14:paraId="18F83665" w14:textId="77777777" w:rsidR="00525FBB" w:rsidRPr="00525FBB" w:rsidRDefault="00525FBB" w:rsidP="00525FBB">
      <w:pPr>
        <w:spacing w:after="0" w:line="480" w:lineRule="auto"/>
        <w:jc w:val="right"/>
        <w:rPr>
          <w:rFonts w:asciiTheme="majorBidi" w:hAnsiTheme="majorBidi" w:cstheme="majorBidi"/>
          <w:b/>
          <w:bCs/>
          <w:sz w:val="24"/>
          <w:szCs w:val="24"/>
        </w:rPr>
      </w:pPr>
      <w:r w:rsidRPr="00525FBB">
        <w:rPr>
          <w:rFonts w:asciiTheme="majorBidi" w:hAnsiTheme="majorBidi" w:cstheme="majorBidi"/>
          <w:noProof/>
          <w:sz w:val="24"/>
          <w:szCs w:val="24"/>
        </w:rPr>
        <w:drawing>
          <wp:inline distT="0" distB="0" distL="0" distR="0" wp14:anchorId="7D8C3935" wp14:editId="077BB3B9">
            <wp:extent cx="4572000" cy="2743200"/>
            <wp:effectExtent l="0" t="0" r="0" b="0"/>
            <wp:docPr id="1706129376" name="Chart 1">
              <a:extLst xmlns:a="http://schemas.openxmlformats.org/drawingml/2006/main">
                <a:ext uri="{FF2B5EF4-FFF2-40B4-BE49-F238E27FC236}">
                  <a16:creationId xmlns:a16="http://schemas.microsoft.com/office/drawing/2014/main" id="{9939655D-0C94-300B-F02F-05E85679A4D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7CFBBDA" w14:textId="77777777" w:rsidR="00B0545D" w:rsidRDefault="00B0545D" w:rsidP="00525FBB">
      <w:pPr>
        <w:spacing w:after="0" w:line="480" w:lineRule="auto"/>
        <w:ind w:firstLine="720"/>
        <w:jc w:val="right"/>
        <w:rPr>
          <w:rFonts w:asciiTheme="majorBidi" w:hAnsiTheme="majorBidi" w:cstheme="majorBidi"/>
          <w:sz w:val="24"/>
          <w:szCs w:val="24"/>
        </w:rPr>
      </w:pPr>
    </w:p>
    <w:p w14:paraId="7B1C0FE1" w14:textId="77777777" w:rsidR="00F04531" w:rsidRPr="00F04531" w:rsidRDefault="00F04531" w:rsidP="00F04531">
      <w:pPr>
        <w:spacing w:after="0" w:line="480" w:lineRule="auto"/>
        <w:ind w:firstLine="720"/>
        <w:jc w:val="right"/>
        <w:rPr>
          <w:rFonts w:asciiTheme="majorBidi" w:hAnsiTheme="majorBidi" w:cstheme="majorBidi"/>
          <w:sz w:val="24"/>
          <w:szCs w:val="24"/>
        </w:rPr>
      </w:pPr>
      <w:r w:rsidRPr="00F04531">
        <w:rPr>
          <w:rFonts w:asciiTheme="majorBidi" w:hAnsiTheme="majorBidi" w:cstheme="majorBidi"/>
          <w:sz w:val="24"/>
          <w:szCs w:val="24"/>
        </w:rPr>
        <w:t>The studies created a set of obstacles to the implementation of healthcare reform in Saudi Arabia. There was one issue that was brought up over and over again across all the studies: the workforce issue. The health sector is confronted with the challenge of keeping pace with increasing demands for service, particularly from the increasing rates of non-communicable disease (NCDs), in the face of acute shortages in staff, and capacity deficits exacerbated by poor training programs. These studies such as Suleiman et al. (2025) and Alkhurayji et al. (2024) have asserted that no way exists by which the current health workforce can be able to cater to an aging population and increasing needs for health care even when there was a drive to boost the number of health professionals.</w:t>
      </w:r>
    </w:p>
    <w:p w14:paraId="7CA7831F" w14:textId="77777777" w:rsidR="00F04531" w:rsidRPr="00F04531" w:rsidRDefault="00F04531" w:rsidP="00F04531">
      <w:pPr>
        <w:spacing w:after="0" w:line="480" w:lineRule="auto"/>
        <w:ind w:firstLine="720"/>
        <w:jc w:val="right"/>
        <w:rPr>
          <w:rFonts w:asciiTheme="majorBidi" w:hAnsiTheme="majorBidi" w:cstheme="majorBidi"/>
          <w:sz w:val="24"/>
          <w:szCs w:val="24"/>
        </w:rPr>
      </w:pPr>
      <w:r w:rsidRPr="00F04531">
        <w:rPr>
          <w:rFonts w:asciiTheme="majorBidi" w:hAnsiTheme="majorBidi" w:cstheme="majorBidi"/>
          <w:sz w:val="24"/>
          <w:szCs w:val="24"/>
        </w:rPr>
        <w:t xml:space="preserve">The infrastructural deficits continue to be a problem. The research shows that one of the highest hindrances to achieving equitable healthcare is unequal distribution of healthcare resources, i.e., between urban and rural societies. Khashan et al. (2021) and Riley et al. (2023) all agree that the majority of provinces, especially from the Eastern and </w:t>
      </w:r>
      <w:r w:rsidRPr="00F04531">
        <w:rPr>
          <w:rFonts w:asciiTheme="majorBidi" w:hAnsiTheme="majorBidi" w:cstheme="majorBidi"/>
          <w:sz w:val="24"/>
          <w:szCs w:val="24"/>
        </w:rPr>
        <w:lastRenderedPageBreak/>
        <w:t>Southern provinces, still lack infrastructure and means capable of implementing the suggested healthcare reforms.</w:t>
      </w:r>
    </w:p>
    <w:p w14:paraId="58E0605A" w14:textId="77777777" w:rsidR="00F04531" w:rsidRPr="00F04531" w:rsidRDefault="00F04531" w:rsidP="00F04531">
      <w:pPr>
        <w:spacing w:after="0" w:line="480" w:lineRule="auto"/>
        <w:ind w:firstLine="720"/>
        <w:jc w:val="right"/>
        <w:rPr>
          <w:rFonts w:asciiTheme="majorBidi" w:hAnsiTheme="majorBidi" w:cstheme="majorBidi"/>
          <w:sz w:val="24"/>
          <w:szCs w:val="24"/>
        </w:rPr>
      </w:pPr>
      <w:r w:rsidRPr="00F04531">
        <w:rPr>
          <w:rFonts w:asciiTheme="majorBidi" w:hAnsiTheme="majorBidi" w:cstheme="majorBidi"/>
          <w:sz w:val="24"/>
          <w:szCs w:val="24"/>
        </w:rPr>
        <w:t>Financial sustainability too remained at the forefront, besides labor and infrastructure needs. The medical field, involving enormous investment, still is searching for answers regarding building a persistent and sustainable fiscal system. Various research papers, including Alkhurayji et al. (2024), reiterated the need to reinvent funding health with escalating pressures towards the drift of medical paradigms into preventive medicine and primary healthcare tendencies.</w:t>
      </w:r>
    </w:p>
    <w:p w14:paraId="2264657F" w14:textId="32DD516F" w:rsidR="00525FBB" w:rsidRDefault="00F04531" w:rsidP="00F04531">
      <w:pPr>
        <w:spacing w:after="0" w:line="480" w:lineRule="auto"/>
        <w:ind w:firstLine="720"/>
        <w:jc w:val="right"/>
        <w:rPr>
          <w:rFonts w:asciiTheme="majorBidi" w:hAnsiTheme="majorBidi" w:cstheme="majorBidi"/>
          <w:sz w:val="24"/>
          <w:szCs w:val="24"/>
        </w:rPr>
      </w:pPr>
      <w:r w:rsidRPr="00F04531">
        <w:rPr>
          <w:rFonts w:asciiTheme="majorBidi" w:hAnsiTheme="majorBidi" w:cstheme="majorBidi"/>
          <w:sz w:val="24"/>
          <w:szCs w:val="24"/>
        </w:rPr>
        <w:t>Resistance to change was recognized as being among the largest bottle-necks within the healthcare sector. Alharbi (2020) is of the opinion that healthcare professionals and administrative managers resist new models of care or policy, which delays or even prevents the reform process.</w:t>
      </w:r>
    </w:p>
    <w:p w14:paraId="653215C5" w14:textId="77777777" w:rsidR="00395719" w:rsidRPr="00525FBB" w:rsidRDefault="00395719" w:rsidP="00F04531">
      <w:pPr>
        <w:spacing w:after="0" w:line="480" w:lineRule="auto"/>
        <w:ind w:firstLine="720"/>
        <w:jc w:val="right"/>
        <w:rPr>
          <w:rFonts w:asciiTheme="majorBidi" w:hAnsiTheme="majorBidi" w:cstheme="majorBidi"/>
          <w:sz w:val="24"/>
          <w:szCs w:val="24"/>
        </w:rPr>
      </w:pPr>
    </w:p>
    <w:p w14:paraId="00967D8D" w14:textId="77777777" w:rsidR="00525FBB" w:rsidRPr="00525FBB" w:rsidRDefault="00525FBB" w:rsidP="00525FBB">
      <w:pPr>
        <w:spacing w:after="0" w:line="480" w:lineRule="auto"/>
        <w:ind w:firstLine="720"/>
        <w:jc w:val="right"/>
        <w:rPr>
          <w:rFonts w:asciiTheme="majorBidi" w:hAnsiTheme="majorBidi" w:cstheme="majorBidi"/>
          <w:b/>
          <w:bCs/>
          <w:sz w:val="24"/>
          <w:szCs w:val="24"/>
        </w:rPr>
      </w:pPr>
      <w:r w:rsidRPr="00525FBB">
        <w:rPr>
          <w:rFonts w:asciiTheme="majorBidi" w:hAnsiTheme="majorBidi" w:cstheme="majorBidi"/>
          <w:b/>
          <w:bCs/>
          <w:sz w:val="24"/>
          <w:szCs w:val="24"/>
        </w:rPr>
        <w:t>Figure 3: Challenges</w:t>
      </w:r>
    </w:p>
    <w:p w14:paraId="285B42FC" w14:textId="77777777" w:rsidR="00525FBB" w:rsidRPr="00525FBB" w:rsidRDefault="00525FBB" w:rsidP="00525FBB">
      <w:pPr>
        <w:spacing w:after="0" w:line="480" w:lineRule="auto"/>
        <w:jc w:val="right"/>
        <w:rPr>
          <w:rFonts w:asciiTheme="majorBidi" w:hAnsiTheme="majorBidi" w:cstheme="majorBidi"/>
          <w:sz w:val="24"/>
          <w:szCs w:val="24"/>
        </w:rPr>
      </w:pPr>
      <w:r w:rsidRPr="00525FBB">
        <w:rPr>
          <w:rFonts w:asciiTheme="majorBidi" w:hAnsiTheme="majorBidi" w:cstheme="majorBidi"/>
          <w:noProof/>
          <w:sz w:val="24"/>
          <w:szCs w:val="24"/>
        </w:rPr>
        <w:drawing>
          <wp:inline distT="0" distB="0" distL="0" distR="0" wp14:anchorId="2FAA7149" wp14:editId="38C8D663">
            <wp:extent cx="5448297" cy="3243263"/>
            <wp:effectExtent l="0" t="0" r="635" b="14605"/>
            <wp:docPr id="2062428542" name="Chart 1">
              <a:extLst xmlns:a="http://schemas.openxmlformats.org/drawingml/2006/main">
                <a:ext uri="{FF2B5EF4-FFF2-40B4-BE49-F238E27FC236}">
                  <a16:creationId xmlns:a16="http://schemas.microsoft.com/office/drawing/2014/main" id="{57B605C6-8370-C345-1312-18C797D21B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0257495" w14:textId="77777777" w:rsidR="00525FBB" w:rsidRPr="00525FBB" w:rsidRDefault="00525FBB" w:rsidP="00525FBB">
      <w:pPr>
        <w:spacing w:after="0" w:line="480" w:lineRule="auto"/>
        <w:jc w:val="right"/>
        <w:rPr>
          <w:rFonts w:asciiTheme="majorBidi" w:hAnsiTheme="majorBidi" w:cstheme="majorBidi"/>
          <w:sz w:val="24"/>
          <w:szCs w:val="24"/>
        </w:rPr>
      </w:pPr>
    </w:p>
    <w:p w14:paraId="55813EDD" w14:textId="77777777" w:rsidR="00683762" w:rsidRPr="00683762" w:rsidRDefault="00525FBB" w:rsidP="00683762">
      <w:pPr>
        <w:spacing w:after="0" w:line="480" w:lineRule="auto"/>
        <w:jc w:val="right"/>
        <w:rPr>
          <w:rFonts w:asciiTheme="majorBidi" w:hAnsiTheme="majorBidi" w:cstheme="majorBidi"/>
          <w:sz w:val="24"/>
          <w:szCs w:val="24"/>
        </w:rPr>
      </w:pPr>
      <w:r w:rsidRPr="00525FBB">
        <w:rPr>
          <w:rFonts w:asciiTheme="majorBidi" w:hAnsiTheme="majorBidi" w:cstheme="majorBidi"/>
          <w:sz w:val="24"/>
          <w:szCs w:val="24"/>
        </w:rPr>
        <w:lastRenderedPageBreak/>
        <w:tab/>
      </w:r>
      <w:r w:rsidR="00683762" w:rsidRPr="00683762">
        <w:rPr>
          <w:rFonts w:asciiTheme="majorBidi" w:hAnsiTheme="majorBidi" w:cstheme="majorBidi"/>
          <w:sz w:val="24"/>
          <w:szCs w:val="24"/>
        </w:rPr>
        <w:t>Opportunity-wise, the availability of digital health solutions is unprecedented. Through telemedicine, EHRs, and health IT, Saudi Arabia is well-placed to drastically improve the efficiency and accessibility of the health sector, especially in rural regions. Telemedicine, Yami et al. (2024) aver, can reach rural patients with timely treatment where there are no physical facilities and allow health workers to see more patients.</w:t>
      </w:r>
    </w:p>
    <w:p w14:paraId="5A559919" w14:textId="77777777" w:rsidR="00683762" w:rsidRPr="00683762" w:rsidRDefault="00683762" w:rsidP="00683762">
      <w:pPr>
        <w:spacing w:after="0" w:line="480" w:lineRule="auto"/>
        <w:jc w:val="right"/>
        <w:rPr>
          <w:rFonts w:asciiTheme="majorBidi" w:hAnsiTheme="majorBidi" w:cstheme="majorBidi"/>
          <w:sz w:val="24"/>
          <w:szCs w:val="24"/>
        </w:rPr>
      </w:pPr>
      <w:r w:rsidRPr="00683762">
        <w:rPr>
          <w:rFonts w:asciiTheme="majorBidi" w:hAnsiTheme="majorBidi" w:cstheme="majorBidi"/>
          <w:sz w:val="24"/>
          <w:szCs w:val="24"/>
        </w:rPr>
        <w:t>The second priority opportunity is additional public-private partnerships (PPPs). Scholars such as Yousef et al. (2023) and Alanazi et al. (2023) state that coordination between the government and private health providers can enhance the quality of services and availability. The collaboration of the government and private health providers is most needed to enhance the quality of care and resource allocation and reduce the cost to the government.</w:t>
      </w:r>
    </w:p>
    <w:p w14:paraId="20DF34BE" w14:textId="77777777" w:rsidR="00683762" w:rsidRPr="00683762" w:rsidRDefault="00683762" w:rsidP="00683762">
      <w:pPr>
        <w:spacing w:after="0" w:line="480" w:lineRule="auto"/>
        <w:jc w:val="right"/>
        <w:rPr>
          <w:rFonts w:asciiTheme="majorBidi" w:hAnsiTheme="majorBidi" w:cstheme="majorBidi"/>
          <w:sz w:val="24"/>
          <w:szCs w:val="24"/>
        </w:rPr>
      </w:pPr>
      <w:r w:rsidRPr="00683762">
        <w:rPr>
          <w:rFonts w:asciiTheme="majorBidi" w:hAnsiTheme="majorBidi" w:cstheme="majorBidi"/>
          <w:sz w:val="24"/>
          <w:szCs w:val="24"/>
        </w:rPr>
        <w:t>Staff development is also important. Many of the studies recommended training programs that would allow healthcare staff to be trained to adopt new technology and learn how to manage increasing levels of chronic disease. New models of care, like the Model of Care (MoC) depicted in Chowdhury et al. (2021), allow the possibility for staff to be trained to facilitate more patient-centered practice.</w:t>
      </w:r>
    </w:p>
    <w:p w14:paraId="48390BBF" w14:textId="7C127B38" w:rsidR="00525FBB" w:rsidRDefault="00683762" w:rsidP="00683762">
      <w:pPr>
        <w:spacing w:after="0" w:line="480" w:lineRule="auto"/>
        <w:jc w:val="right"/>
        <w:rPr>
          <w:rFonts w:asciiTheme="majorBidi" w:hAnsiTheme="majorBidi" w:cstheme="majorBidi"/>
          <w:sz w:val="24"/>
          <w:szCs w:val="24"/>
        </w:rPr>
      </w:pPr>
      <w:r w:rsidRPr="00683762">
        <w:rPr>
          <w:rFonts w:asciiTheme="majorBidi" w:hAnsiTheme="majorBidi" w:cstheme="majorBidi"/>
          <w:sz w:val="24"/>
          <w:szCs w:val="24"/>
        </w:rPr>
        <w:t>Apart from this, frequent mention is also made of the privatization of health care services as a viable option. As Alasiri et al. (2022) observe, apart from having the potential to bring about efficiency, privatization can also bring in competition that stimulates cost cutting while promoting quality improvement in care.</w:t>
      </w:r>
    </w:p>
    <w:p w14:paraId="1ECAD104" w14:textId="65C15354" w:rsidR="00A55D84" w:rsidRDefault="00A55D84" w:rsidP="00525FBB">
      <w:pPr>
        <w:spacing w:after="0" w:line="480" w:lineRule="auto"/>
        <w:jc w:val="right"/>
        <w:rPr>
          <w:rFonts w:asciiTheme="majorBidi" w:hAnsiTheme="majorBidi" w:cstheme="majorBidi"/>
          <w:sz w:val="24"/>
          <w:szCs w:val="24"/>
        </w:rPr>
      </w:pPr>
    </w:p>
    <w:p w14:paraId="44A6A54B" w14:textId="481FF7AD" w:rsidR="00A55D84" w:rsidRDefault="00A55D84" w:rsidP="00525FBB">
      <w:pPr>
        <w:spacing w:after="0" w:line="480" w:lineRule="auto"/>
        <w:jc w:val="right"/>
        <w:rPr>
          <w:rFonts w:asciiTheme="majorBidi" w:hAnsiTheme="majorBidi" w:cstheme="majorBidi"/>
          <w:sz w:val="24"/>
          <w:szCs w:val="24"/>
        </w:rPr>
      </w:pPr>
    </w:p>
    <w:p w14:paraId="0D6D81FD" w14:textId="3D208E18" w:rsidR="00A55D84" w:rsidRDefault="00A55D84" w:rsidP="00525FBB">
      <w:pPr>
        <w:spacing w:after="0" w:line="480" w:lineRule="auto"/>
        <w:jc w:val="right"/>
        <w:rPr>
          <w:rFonts w:asciiTheme="majorBidi" w:hAnsiTheme="majorBidi" w:cstheme="majorBidi"/>
          <w:sz w:val="24"/>
          <w:szCs w:val="24"/>
        </w:rPr>
      </w:pPr>
    </w:p>
    <w:p w14:paraId="24F7F7A0" w14:textId="57E384D9" w:rsidR="00A55D84" w:rsidRDefault="00A55D84" w:rsidP="00525FBB">
      <w:pPr>
        <w:spacing w:after="0" w:line="480" w:lineRule="auto"/>
        <w:jc w:val="right"/>
        <w:rPr>
          <w:rFonts w:asciiTheme="majorBidi" w:hAnsiTheme="majorBidi" w:cstheme="majorBidi"/>
          <w:sz w:val="24"/>
          <w:szCs w:val="24"/>
        </w:rPr>
      </w:pPr>
    </w:p>
    <w:p w14:paraId="4E6C5CDC" w14:textId="2E335092" w:rsidR="00A55D84" w:rsidRDefault="00A55D84" w:rsidP="00525FBB">
      <w:pPr>
        <w:spacing w:after="0" w:line="480" w:lineRule="auto"/>
        <w:jc w:val="right"/>
        <w:rPr>
          <w:rFonts w:asciiTheme="majorBidi" w:hAnsiTheme="majorBidi" w:cstheme="majorBidi"/>
          <w:sz w:val="24"/>
          <w:szCs w:val="24"/>
        </w:rPr>
      </w:pPr>
    </w:p>
    <w:p w14:paraId="01A6B30E" w14:textId="732FD488" w:rsidR="00A55D84" w:rsidRDefault="00A55D84" w:rsidP="00525FBB">
      <w:pPr>
        <w:spacing w:after="0" w:line="480" w:lineRule="auto"/>
        <w:jc w:val="right"/>
        <w:rPr>
          <w:rFonts w:asciiTheme="majorBidi" w:hAnsiTheme="majorBidi" w:cstheme="majorBidi"/>
          <w:sz w:val="24"/>
          <w:szCs w:val="24"/>
        </w:rPr>
      </w:pPr>
    </w:p>
    <w:p w14:paraId="0CF96B4F" w14:textId="77777777" w:rsidR="00A55D84" w:rsidRPr="00525FBB" w:rsidRDefault="00A55D84" w:rsidP="00525FBB">
      <w:pPr>
        <w:spacing w:after="0" w:line="480" w:lineRule="auto"/>
        <w:jc w:val="right"/>
        <w:rPr>
          <w:rFonts w:asciiTheme="majorBidi" w:hAnsiTheme="majorBidi" w:cstheme="majorBidi"/>
          <w:sz w:val="24"/>
          <w:szCs w:val="24"/>
        </w:rPr>
      </w:pPr>
    </w:p>
    <w:p w14:paraId="4F848CC1" w14:textId="77777777" w:rsidR="00525FBB" w:rsidRPr="00525FBB" w:rsidRDefault="00525FBB" w:rsidP="00525FBB">
      <w:pPr>
        <w:spacing w:after="0" w:line="480" w:lineRule="auto"/>
        <w:jc w:val="right"/>
        <w:rPr>
          <w:rFonts w:asciiTheme="majorBidi" w:hAnsiTheme="majorBidi" w:cstheme="majorBidi"/>
          <w:b/>
          <w:bCs/>
          <w:sz w:val="24"/>
          <w:szCs w:val="24"/>
        </w:rPr>
      </w:pPr>
      <w:r w:rsidRPr="00525FBB">
        <w:rPr>
          <w:rFonts w:asciiTheme="majorBidi" w:hAnsiTheme="majorBidi" w:cstheme="majorBidi"/>
          <w:b/>
          <w:bCs/>
          <w:sz w:val="24"/>
          <w:szCs w:val="24"/>
        </w:rPr>
        <w:t>Figure 4: Opportunities</w:t>
      </w:r>
    </w:p>
    <w:p w14:paraId="2B18B74F" w14:textId="77777777" w:rsidR="00525FBB" w:rsidRPr="00525FBB" w:rsidRDefault="00525FBB" w:rsidP="00525FBB">
      <w:pPr>
        <w:spacing w:after="0" w:line="480" w:lineRule="auto"/>
        <w:jc w:val="right"/>
        <w:rPr>
          <w:rFonts w:asciiTheme="majorBidi" w:hAnsiTheme="majorBidi" w:cstheme="majorBidi"/>
          <w:sz w:val="24"/>
          <w:szCs w:val="24"/>
        </w:rPr>
      </w:pPr>
      <w:r w:rsidRPr="00525FBB">
        <w:rPr>
          <w:rFonts w:asciiTheme="majorBidi" w:hAnsiTheme="majorBidi" w:cstheme="majorBidi"/>
          <w:noProof/>
          <w:sz w:val="24"/>
          <w:szCs w:val="24"/>
        </w:rPr>
        <w:drawing>
          <wp:inline distT="0" distB="0" distL="0" distR="0" wp14:anchorId="0BD557C7" wp14:editId="12952F88">
            <wp:extent cx="6127668" cy="3443845"/>
            <wp:effectExtent l="0" t="0" r="6985" b="4445"/>
            <wp:docPr id="290900753" name="Chart 1">
              <a:extLst xmlns:a="http://schemas.openxmlformats.org/drawingml/2006/main">
                <a:ext uri="{FF2B5EF4-FFF2-40B4-BE49-F238E27FC236}">
                  <a16:creationId xmlns:a16="http://schemas.microsoft.com/office/drawing/2014/main" id="{D372A5E1-8FD3-ED75-98E0-6DA243A3526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DA08362" w14:textId="77777777" w:rsidR="009B5EC2" w:rsidRPr="009B5EC2" w:rsidRDefault="009B5EC2" w:rsidP="009B5EC2">
      <w:pPr>
        <w:spacing w:after="0" w:line="480" w:lineRule="auto"/>
        <w:ind w:firstLine="720"/>
        <w:jc w:val="right"/>
        <w:rPr>
          <w:rFonts w:asciiTheme="majorBidi" w:hAnsiTheme="majorBidi" w:cstheme="majorBidi"/>
          <w:sz w:val="24"/>
          <w:szCs w:val="24"/>
        </w:rPr>
      </w:pPr>
      <w:r w:rsidRPr="009B5EC2">
        <w:rPr>
          <w:rFonts w:asciiTheme="majorBidi" w:hAnsiTheme="majorBidi" w:cstheme="majorBidi"/>
          <w:sz w:val="24"/>
          <w:szCs w:val="24"/>
        </w:rPr>
        <w:t>To overcome the threats and harness the opportunities, the study came up with some mitigant interventions. The most-quoted intervention is workforce training. The study refers to specialist training courses as a step towards an attempt to meet healthcare capacity shortages. It also proposed public-private partnerships (PPPs) as a means to maximize the effectiveness of healthcare delivery and resource access.</w:t>
      </w:r>
    </w:p>
    <w:p w14:paraId="6D48B9E2" w14:textId="41DD2EC1" w:rsidR="00525FBB" w:rsidRDefault="009B5EC2" w:rsidP="009B5EC2">
      <w:pPr>
        <w:spacing w:after="0" w:line="480" w:lineRule="auto"/>
        <w:ind w:firstLine="720"/>
        <w:jc w:val="right"/>
        <w:rPr>
          <w:rFonts w:asciiTheme="majorBidi" w:hAnsiTheme="majorBidi" w:cstheme="majorBidi"/>
          <w:sz w:val="24"/>
          <w:szCs w:val="24"/>
        </w:rPr>
      </w:pPr>
      <w:r w:rsidRPr="009B5EC2">
        <w:rPr>
          <w:rFonts w:asciiTheme="majorBidi" w:hAnsiTheme="majorBidi" w:cstheme="majorBidi"/>
          <w:sz w:val="24"/>
          <w:szCs w:val="24"/>
        </w:rPr>
        <w:t xml:space="preserve">The adoption of digital solutions such as e-health portals, telemedicine, and EHRs was the second content mitigation strategy recommended. Yami et al. (2024) and Riley et al. (2023) explained that the technologies would improve data management, expand healthcare services, and improve patient outcomes. Stronger governance and policy changes were also urged as the most important actions towards health reform sustainability. Most evidence supports change management and community engagement as prevailing solutions. Employee engagement, as advocated in studies such as those by Yousef et al. </w:t>
      </w:r>
      <w:r w:rsidRPr="009B5EC2">
        <w:rPr>
          <w:rFonts w:asciiTheme="majorBidi" w:hAnsiTheme="majorBidi" w:cstheme="majorBidi"/>
          <w:sz w:val="24"/>
          <w:szCs w:val="24"/>
        </w:rPr>
        <w:lastRenderedPageBreak/>
        <w:t>(2023), can alleviate resistance to new models of care and foster interpersonal-level relationships between managers and practitioners</w:t>
      </w:r>
      <w:r w:rsidR="00525FBB" w:rsidRPr="00525FBB">
        <w:rPr>
          <w:rFonts w:asciiTheme="majorBidi" w:hAnsiTheme="majorBidi" w:cstheme="majorBidi"/>
          <w:sz w:val="24"/>
          <w:szCs w:val="24"/>
        </w:rPr>
        <w:t>.</w:t>
      </w:r>
    </w:p>
    <w:p w14:paraId="2DD4283E" w14:textId="77777777" w:rsidR="009B5EC2" w:rsidRPr="00525FBB" w:rsidRDefault="009B5EC2" w:rsidP="009B5EC2">
      <w:pPr>
        <w:spacing w:after="0" w:line="480" w:lineRule="auto"/>
        <w:ind w:firstLine="720"/>
        <w:jc w:val="right"/>
        <w:rPr>
          <w:rFonts w:asciiTheme="majorBidi" w:hAnsiTheme="majorBidi" w:cstheme="majorBidi"/>
          <w:sz w:val="24"/>
          <w:szCs w:val="24"/>
        </w:rPr>
      </w:pPr>
    </w:p>
    <w:p w14:paraId="00A4C503" w14:textId="03B64EDB" w:rsidR="00525FBB" w:rsidRPr="00525FBB" w:rsidRDefault="00525FBB" w:rsidP="00525FBB">
      <w:pPr>
        <w:spacing w:after="0" w:line="480" w:lineRule="auto"/>
        <w:jc w:val="right"/>
        <w:rPr>
          <w:rFonts w:asciiTheme="majorBidi" w:hAnsiTheme="majorBidi" w:cstheme="majorBidi"/>
          <w:b/>
          <w:bCs/>
          <w:sz w:val="24"/>
          <w:szCs w:val="24"/>
        </w:rPr>
      </w:pPr>
      <w:r w:rsidRPr="00525FBB">
        <w:rPr>
          <w:rFonts w:asciiTheme="majorBidi" w:hAnsiTheme="majorBidi" w:cstheme="majorBidi"/>
          <w:b/>
          <w:bCs/>
          <w:sz w:val="24"/>
          <w:szCs w:val="24"/>
        </w:rPr>
        <w:t>Figure 5: Mitigative strategies</w:t>
      </w:r>
    </w:p>
    <w:p w14:paraId="322F36CF" w14:textId="77777777" w:rsidR="00525FBB" w:rsidRPr="00525FBB" w:rsidRDefault="00525FBB" w:rsidP="00525FBB">
      <w:pPr>
        <w:spacing w:after="0" w:line="480" w:lineRule="auto"/>
        <w:jc w:val="right"/>
        <w:rPr>
          <w:rFonts w:asciiTheme="majorBidi" w:hAnsiTheme="majorBidi" w:cstheme="majorBidi"/>
          <w:sz w:val="24"/>
          <w:szCs w:val="24"/>
        </w:rPr>
      </w:pPr>
      <w:r w:rsidRPr="00525FBB">
        <w:rPr>
          <w:rFonts w:asciiTheme="majorBidi" w:hAnsiTheme="majorBidi" w:cstheme="majorBidi"/>
          <w:noProof/>
          <w:sz w:val="24"/>
          <w:szCs w:val="24"/>
        </w:rPr>
        <w:drawing>
          <wp:inline distT="0" distB="0" distL="0" distR="0" wp14:anchorId="004D3DC4" wp14:editId="2E473503">
            <wp:extent cx="5664530" cy="3253839"/>
            <wp:effectExtent l="0" t="0" r="12700" b="3810"/>
            <wp:docPr id="820884262" name="Chart 1">
              <a:extLst xmlns:a="http://schemas.openxmlformats.org/drawingml/2006/main">
                <a:ext uri="{FF2B5EF4-FFF2-40B4-BE49-F238E27FC236}">
                  <a16:creationId xmlns:a16="http://schemas.microsoft.com/office/drawing/2014/main" id="{91F49F04-AB70-1820-B9DF-E34A7FC348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8566403" w14:textId="77777777" w:rsidR="00525FBB" w:rsidRPr="00525FBB" w:rsidRDefault="00525FBB" w:rsidP="00525FBB">
      <w:pPr>
        <w:spacing w:after="0" w:line="480" w:lineRule="auto"/>
        <w:jc w:val="right"/>
        <w:rPr>
          <w:rFonts w:asciiTheme="majorBidi" w:hAnsiTheme="majorBidi" w:cstheme="majorBidi"/>
          <w:sz w:val="24"/>
          <w:szCs w:val="24"/>
        </w:rPr>
      </w:pPr>
    </w:p>
    <w:p w14:paraId="0547A581" w14:textId="77777777" w:rsidR="00525FBB" w:rsidRPr="00525FBB" w:rsidRDefault="00525FBB" w:rsidP="00525FBB">
      <w:pPr>
        <w:spacing w:after="0" w:line="480" w:lineRule="auto"/>
        <w:jc w:val="right"/>
        <w:rPr>
          <w:rFonts w:asciiTheme="majorBidi" w:hAnsiTheme="majorBidi" w:cstheme="majorBidi"/>
          <w:sz w:val="24"/>
          <w:szCs w:val="24"/>
        </w:rPr>
      </w:pPr>
    </w:p>
    <w:p w14:paraId="28A4F43F" w14:textId="77777777" w:rsidR="00525FBB" w:rsidRPr="00525FBB" w:rsidRDefault="00525FBB" w:rsidP="00525FBB">
      <w:pPr>
        <w:spacing w:after="0" w:line="480" w:lineRule="auto"/>
        <w:jc w:val="right"/>
        <w:rPr>
          <w:rFonts w:asciiTheme="majorBidi" w:hAnsiTheme="majorBidi" w:cstheme="majorBidi"/>
          <w:b/>
          <w:bCs/>
          <w:sz w:val="24"/>
          <w:szCs w:val="24"/>
        </w:rPr>
      </w:pPr>
      <w:r w:rsidRPr="00525FBB">
        <w:rPr>
          <w:rFonts w:asciiTheme="majorBidi" w:hAnsiTheme="majorBidi" w:cstheme="majorBidi"/>
          <w:b/>
          <w:bCs/>
          <w:sz w:val="24"/>
          <w:szCs w:val="24"/>
        </w:rPr>
        <w:t>Discussion</w:t>
      </w:r>
    </w:p>
    <w:p w14:paraId="5B484D99" w14:textId="77777777" w:rsidR="00F0327B" w:rsidRPr="00F0327B" w:rsidRDefault="00F0327B" w:rsidP="00F0327B">
      <w:pPr>
        <w:spacing w:after="0" w:line="480" w:lineRule="auto"/>
        <w:ind w:firstLine="720"/>
        <w:jc w:val="right"/>
        <w:rPr>
          <w:rFonts w:asciiTheme="majorBidi" w:hAnsiTheme="majorBidi" w:cstheme="majorBidi"/>
          <w:sz w:val="24"/>
          <w:szCs w:val="24"/>
        </w:rPr>
      </w:pPr>
      <w:r w:rsidRPr="00F0327B">
        <w:rPr>
          <w:rFonts w:asciiTheme="majorBidi" w:hAnsiTheme="majorBidi" w:cstheme="majorBidi"/>
          <w:sz w:val="24"/>
          <w:szCs w:val="24"/>
        </w:rPr>
        <w:t>The world's health systems are transforming due to some problems like the growing number of elderly, rising prevalence of non-communicable diseases (NCDs), financial constraints, and human resource shortages. Value-based care, health digitalization, and patient-centric care are leading trends in the health sector across most countries. Saudi Arabia's health transformation, under Vision 2030, is consistent with these international trends but also has unique challenges and opportunities within its own socio-economic and cultural context. (Chowdhury et al., 2021)</w:t>
      </w:r>
    </w:p>
    <w:p w14:paraId="7FD5D3C0" w14:textId="77777777" w:rsidR="00F0327B" w:rsidRPr="00F0327B" w:rsidRDefault="00F0327B" w:rsidP="00F0327B">
      <w:pPr>
        <w:spacing w:after="0" w:line="480" w:lineRule="auto"/>
        <w:ind w:firstLine="720"/>
        <w:jc w:val="right"/>
        <w:rPr>
          <w:rFonts w:asciiTheme="majorBidi" w:hAnsiTheme="majorBidi" w:cstheme="majorBidi"/>
          <w:sz w:val="24"/>
          <w:szCs w:val="24"/>
        </w:rPr>
      </w:pPr>
      <w:r w:rsidRPr="00F0327B">
        <w:rPr>
          <w:rFonts w:asciiTheme="majorBidi" w:hAnsiTheme="majorBidi" w:cstheme="majorBidi"/>
          <w:sz w:val="24"/>
          <w:szCs w:val="24"/>
        </w:rPr>
        <w:lastRenderedPageBreak/>
        <w:t>This conversation situates Saudi Arabia's health transformation in an international perspective and asks for the most common themes, problems, potentialities, and redemptive processes of earlier studies.</w:t>
      </w:r>
    </w:p>
    <w:p w14:paraId="49295F8A" w14:textId="77777777" w:rsidR="00F0327B" w:rsidRPr="00F0327B" w:rsidRDefault="00F0327B" w:rsidP="00F0327B">
      <w:pPr>
        <w:spacing w:after="0" w:line="480" w:lineRule="auto"/>
        <w:ind w:firstLine="720"/>
        <w:jc w:val="right"/>
        <w:rPr>
          <w:rFonts w:asciiTheme="majorBidi" w:hAnsiTheme="majorBidi" w:cstheme="majorBidi"/>
          <w:sz w:val="24"/>
          <w:szCs w:val="24"/>
        </w:rPr>
      </w:pPr>
      <w:r w:rsidRPr="00F0327B">
        <w:rPr>
          <w:rFonts w:asciiTheme="majorBidi" w:hAnsiTheme="majorBidi" w:cstheme="majorBidi"/>
          <w:sz w:val="24"/>
          <w:szCs w:val="24"/>
        </w:rPr>
        <w:t>The need to address increased incidence of chronic disease, ageing, and demands for more accessible and efficient care is pushing healthcare systems to further shift towards patient-centered care. According to the World Health Organization (WHO), the promise of global movement towards digital health and universal health coverage (UHC) is reduction of cost, improved access, and quality improvement of care primarily in vulnerable groups. (World Health Organization(WHO), 2019; Zarocostas, 2021)</w:t>
      </w:r>
    </w:p>
    <w:p w14:paraId="53431576" w14:textId="77777777" w:rsidR="00F0327B" w:rsidRPr="00F0327B" w:rsidRDefault="00F0327B" w:rsidP="00F0327B">
      <w:pPr>
        <w:spacing w:after="0" w:line="480" w:lineRule="auto"/>
        <w:ind w:firstLine="720"/>
        <w:jc w:val="right"/>
        <w:rPr>
          <w:rFonts w:asciiTheme="majorBidi" w:hAnsiTheme="majorBidi" w:cstheme="majorBidi"/>
          <w:sz w:val="24"/>
          <w:szCs w:val="24"/>
        </w:rPr>
      </w:pPr>
      <w:r w:rsidRPr="00F0327B">
        <w:rPr>
          <w:rFonts w:asciiTheme="majorBidi" w:hAnsiTheme="majorBidi" w:cstheme="majorBidi"/>
          <w:sz w:val="24"/>
          <w:szCs w:val="24"/>
        </w:rPr>
        <w:t>While seeking to optimize their healthcare systems, nations like the United States of America, the United Kingdom of Great Britain, and the rest of European countries invest substantially on telemedicine like data analysis as well as on e-health technology. (OECD, 2021) Further, most countries have introduced public-private partnerships, or PPPs, as the preferred framework for the implementation of delivering health care. Especially in the developing world, private-public sector collaboration improves service delivery, optimizes resource utilization, and ensures fiscal sustainability. (Borden &amp; Nallamothu, 2018; Buse, 2012)</w:t>
      </w:r>
    </w:p>
    <w:p w14:paraId="5C05D6D9" w14:textId="34FF8030" w:rsidR="00F0327B" w:rsidRPr="002B0E31" w:rsidRDefault="00F0327B" w:rsidP="00F0327B">
      <w:pPr>
        <w:spacing w:after="0" w:line="480" w:lineRule="auto"/>
        <w:ind w:firstLine="720"/>
        <w:jc w:val="right"/>
        <w:rPr>
          <w:rFonts w:asciiTheme="majorBidi" w:hAnsiTheme="majorBidi" w:cstheme="majorBidi"/>
          <w:sz w:val="24"/>
          <w:szCs w:val="24"/>
        </w:rPr>
      </w:pPr>
      <w:r w:rsidRPr="00F0327B">
        <w:rPr>
          <w:rFonts w:asciiTheme="majorBidi" w:hAnsiTheme="majorBidi" w:cstheme="majorBidi"/>
          <w:sz w:val="24"/>
          <w:szCs w:val="24"/>
        </w:rPr>
        <w:t>One of the globe's most pressing problems is human resource scarcity, mainly in the developing world. According to the WHO, it will fall 18 million health workers short of the global supply in 2030, triggered by global health worker mobility (World Health Organization, 2023). In an effort to equip healthcare professionals with the ability to handle an aging population and the rising prevalence of chronic illnesses, most countries, for example, the United States and the United Kingdom, are handling this by implementing training and workforce development programs.  (World Health Organization, 2023)</w:t>
      </w:r>
      <w:r>
        <w:rPr>
          <w:rFonts w:asciiTheme="majorBidi" w:hAnsiTheme="majorBidi" w:cstheme="majorBidi"/>
          <w:sz w:val="24"/>
          <w:szCs w:val="24"/>
        </w:rPr>
        <w:t>.</w:t>
      </w:r>
    </w:p>
    <w:p w14:paraId="10BEE3C8" w14:textId="77777777" w:rsidR="002C51BE" w:rsidRPr="002C51BE" w:rsidRDefault="002C51BE" w:rsidP="002C51BE">
      <w:pPr>
        <w:spacing w:after="0" w:line="480" w:lineRule="auto"/>
        <w:ind w:firstLine="720"/>
        <w:jc w:val="right"/>
        <w:rPr>
          <w:rFonts w:asciiTheme="majorBidi" w:hAnsiTheme="majorBidi" w:cstheme="majorBidi"/>
          <w:sz w:val="24"/>
          <w:szCs w:val="24"/>
        </w:rPr>
      </w:pPr>
      <w:r w:rsidRPr="002C51BE">
        <w:rPr>
          <w:rFonts w:asciiTheme="majorBidi" w:hAnsiTheme="majorBidi" w:cstheme="majorBidi"/>
          <w:sz w:val="24"/>
          <w:szCs w:val="24"/>
        </w:rPr>
        <w:lastRenderedPageBreak/>
        <w:t>A whole strategy of Saudi Arabia's upgrading the health sector is set out in Vision 2030. With the establishment of a knowledge economy, the Vision targets diversification of the economy and reducing dependence on the income from oil. The topmost element of transformation is the upgrading the healthcare sector through the e-health technologies, digital solutions, and patient-centered approach. As per the study, telemedicine and e-health platforms are essential parts of Saudi Arabia's vision to improve healthcare quality and access, particularly in rural regions that are under-served. (Alkhurayji et al., 2024).</w:t>
      </w:r>
    </w:p>
    <w:p w14:paraId="06352DED" w14:textId="77777777" w:rsidR="002C51BE" w:rsidRPr="002C51BE" w:rsidRDefault="002C51BE" w:rsidP="002C51BE">
      <w:pPr>
        <w:spacing w:after="0" w:line="480" w:lineRule="auto"/>
        <w:ind w:firstLine="720"/>
        <w:jc w:val="right"/>
        <w:rPr>
          <w:rFonts w:asciiTheme="majorBidi" w:hAnsiTheme="majorBidi" w:cstheme="majorBidi"/>
          <w:sz w:val="24"/>
          <w:szCs w:val="24"/>
        </w:rPr>
      </w:pPr>
      <w:r w:rsidRPr="002C51BE">
        <w:rPr>
          <w:rFonts w:asciiTheme="majorBidi" w:hAnsiTheme="majorBidi" w:cstheme="majorBidi"/>
          <w:sz w:val="24"/>
          <w:szCs w:val="24"/>
        </w:rPr>
        <w:t>The focus on the development of the workforce is perhaps the most marked similarity between Saudi Arabian healthcare reform and global trends.</w:t>
      </w:r>
    </w:p>
    <w:p w14:paraId="412F8E67" w14:textId="77777777" w:rsidR="002C51BE" w:rsidRPr="002C51BE" w:rsidRDefault="002C51BE" w:rsidP="002C51BE">
      <w:pPr>
        <w:spacing w:after="0" w:line="480" w:lineRule="auto"/>
        <w:ind w:firstLine="720"/>
        <w:jc w:val="right"/>
        <w:rPr>
          <w:rFonts w:asciiTheme="majorBidi" w:hAnsiTheme="majorBidi" w:cstheme="majorBidi"/>
          <w:sz w:val="24"/>
          <w:szCs w:val="24"/>
        </w:rPr>
      </w:pPr>
      <w:r w:rsidRPr="002C51BE">
        <w:rPr>
          <w:rFonts w:asciiTheme="majorBidi" w:hAnsiTheme="majorBidi" w:cstheme="majorBidi"/>
          <w:sz w:val="24"/>
          <w:szCs w:val="24"/>
        </w:rPr>
        <w:t>There is an urgent need for doctors in the Kingdom, especially specialized ones, as in most other countries. While as the nation's health requirements develop due to intensified population aging as well as more prevalence of non-communicable diseases (NCDs), this is of particular concern (Alasiri &amp; Mohammed, 2022) Saudi Arabia is putting large investments in schemes of professional education and training so as to help curb the menace and have the workforce of the healthcare sector equipped and trained enough to prepare it to cater to the sector's needs in the future. This approach is also in line with what is happening globally in nations such as the United States and India, where training and retention programs are being employed to tackle personnel shortages. (A Breckon et al., 2020; US-UAE Business Council, 2014) Saudi Arabia's public-private partnership approach is also at the same level as what is happening globally.</w:t>
      </w:r>
    </w:p>
    <w:p w14:paraId="7291D097" w14:textId="77777777" w:rsidR="002C51BE" w:rsidRDefault="002C51BE" w:rsidP="002C51BE">
      <w:pPr>
        <w:spacing w:after="0" w:line="480" w:lineRule="auto"/>
        <w:ind w:firstLine="720"/>
        <w:jc w:val="right"/>
        <w:rPr>
          <w:rFonts w:asciiTheme="majorBidi" w:hAnsiTheme="majorBidi" w:cstheme="majorBidi"/>
          <w:sz w:val="24"/>
          <w:szCs w:val="24"/>
        </w:rPr>
      </w:pPr>
      <w:r w:rsidRPr="002C51BE">
        <w:rPr>
          <w:rFonts w:asciiTheme="majorBidi" w:hAnsiTheme="majorBidi" w:cstheme="majorBidi"/>
          <w:sz w:val="24"/>
          <w:szCs w:val="24"/>
        </w:rPr>
        <w:t xml:space="preserve">Involvement of the private sector in the provision of healthcare services is necessary to enhance the quality of services and achieve financial sustainability. The Saudi government's Health Holding Company (HHC) is a critical part of this framework, which aims to create a more efficient and sustainable health system. (Yousef et al., 2023). UK and </w:t>
      </w:r>
      <w:r w:rsidRPr="002C51BE">
        <w:rPr>
          <w:rFonts w:asciiTheme="majorBidi" w:hAnsiTheme="majorBidi" w:cstheme="majorBidi"/>
          <w:sz w:val="24"/>
          <w:szCs w:val="24"/>
        </w:rPr>
        <w:lastRenderedPageBreak/>
        <w:t xml:space="preserve">Canada have also utilized PPPs to oversee healthcare provision and increase access to care (Buse, 2012). </w:t>
      </w:r>
    </w:p>
    <w:p w14:paraId="5C16CE99" w14:textId="77777777" w:rsidR="002C51BE" w:rsidRPr="002C51BE" w:rsidRDefault="002C51BE" w:rsidP="002C51BE">
      <w:pPr>
        <w:spacing w:after="0" w:line="480" w:lineRule="auto"/>
        <w:ind w:firstLine="720"/>
        <w:jc w:val="right"/>
        <w:rPr>
          <w:rFonts w:asciiTheme="majorBidi" w:hAnsiTheme="majorBidi" w:cstheme="majorBidi"/>
          <w:sz w:val="24"/>
          <w:szCs w:val="24"/>
        </w:rPr>
      </w:pPr>
      <w:r w:rsidRPr="002C51BE">
        <w:rPr>
          <w:rFonts w:asciiTheme="majorBidi" w:hAnsiTheme="majorBidi" w:cstheme="majorBidi"/>
          <w:sz w:val="24"/>
          <w:szCs w:val="24"/>
        </w:rPr>
        <w:t>Saudi Arabia's healthcare system is still struggling with cost sustainability. Like the majority of nations worldwide, including Brazil and the U.S., Saudi Arabia's healthcare system is also experiencing increased costs as its services become more sought after. Implementing the transition to primary healthcare (PHC) and prevention models, as suggested in the research (Alkhurayji et al., 2024), is essential in stemming costs and maintaining sustainability in the long run. A few nations like Canada have been able to implement primary healthcare reforms that will ease the burden on specialist services and enhance health outcomes (Flood &amp; Thomas, 2016).</w:t>
      </w:r>
    </w:p>
    <w:p w14:paraId="7200A19D" w14:textId="77777777" w:rsidR="002C51BE" w:rsidRPr="002C51BE" w:rsidRDefault="002C51BE" w:rsidP="002C51BE">
      <w:pPr>
        <w:spacing w:after="0" w:line="480" w:lineRule="auto"/>
        <w:ind w:firstLine="720"/>
        <w:jc w:val="right"/>
        <w:rPr>
          <w:rFonts w:asciiTheme="majorBidi" w:hAnsiTheme="majorBidi" w:cstheme="majorBidi"/>
          <w:sz w:val="24"/>
          <w:szCs w:val="24"/>
        </w:rPr>
      </w:pPr>
      <w:r w:rsidRPr="002C51BE">
        <w:rPr>
          <w:rFonts w:asciiTheme="majorBidi" w:hAnsiTheme="majorBidi" w:cstheme="majorBidi"/>
          <w:sz w:val="24"/>
          <w:szCs w:val="24"/>
        </w:rPr>
        <w:t>One of Saudi Arabia's largest issues is the global shortage of the healthcare workforce. The WHO in 2021 also declared that in 2030, 18 million health workers across the world would be severely short and that it would be at its lowest ebb in the United States, the United Kingdom, and India (Boniol et al., 2022; Aluttis et al., 2014). Similarly, the nation of Saudi Arabia is also confronted with a shortage of employees, especially in the rural areas. The sustainability and quality of the healthcare services are impacted since the country is highly dependent on foreign medical personnel. (Yousef and others, 2023)</w:t>
      </w:r>
    </w:p>
    <w:p w14:paraId="1D4502AB" w14:textId="77777777" w:rsidR="002C51BE" w:rsidRPr="002C51BE" w:rsidRDefault="002C51BE" w:rsidP="002C51BE">
      <w:pPr>
        <w:spacing w:after="0" w:line="480" w:lineRule="auto"/>
        <w:ind w:firstLine="720"/>
        <w:jc w:val="right"/>
        <w:rPr>
          <w:rFonts w:asciiTheme="majorBidi" w:hAnsiTheme="majorBidi" w:cstheme="majorBidi"/>
          <w:sz w:val="24"/>
          <w:szCs w:val="24"/>
        </w:rPr>
      </w:pPr>
      <w:r w:rsidRPr="002C51BE">
        <w:rPr>
          <w:rFonts w:asciiTheme="majorBidi" w:hAnsiTheme="majorBidi" w:cstheme="majorBidi"/>
          <w:sz w:val="24"/>
          <w:szCs w:val="24"/>
        </w:rPr>
        <w:t xml:space="preserve">Various countries have attempted to address this, such as localizing workers, training programs, and monetary incentives to doctors so that they relocate and practice in poor neighborhoods. (Dzakula et al., 2022; Angel &amp; Fire, 2023; Agyeman-Manu et al., 2023) Through the need to train and certify local healthcare personnel, Saudi Arabia has also shown attention to it and has subsidized programs like Saudi Commission for Health Specialties (Alkhurayji et al., 2024). In order to get past this barrier, however, there must be a enormous investment in health training and employee retention programs. Numerous nations have implemented policy interventions to arrest this, which include localizing the </w:t>
      </w:r>
      <w:r w:rsidRPr="002C51BE">
        <w:rPr>
          <w:rFonts w:asciiTheme="majorBidi" w:hAnsiTheme="majorBidi" w:cstheme="majorBidi"/>
          <w:sz w:val="24"/>
          <w:szCs w:val="24"/>
        </w:rPr>
        <w:lastRenderedPageBreak/>
        <w:t>workforce, training initiatives, and fiscal incentives for practitioners to practice in deprived areas. (Agyeman-Manu et al., 2023; Angel &amp; Fire, 2023; Dzakula et al., 2022)</w:t>
      </w:r>
    </w:p>
    <w:p w14:paraId="7B840CB2" w14:textId="77777777" w:rsidR="002C51BE" w:rsidRPr="002C51BE" w:rsidRDefault="002C51BE" w:rsidP="002C51BE">
      <w:pPr>
        <w:spacing w:after="0" w:line="480" w:lineRule="auto"/>
        <w:ind w:firstLine="720"/>
        <w:jc w:val="right"/>
        <w:rPr>
          <w:rFonts w:asciiTheme="majorBidi" w:hAnsiTheme="majorBidi" w:cstheme="majorBidi"/>
          <w:sz w:val="24"/>
          <w:szCs w:val="24"/>
        </w:rPr>
      </w:pPr>
      <w:r w:rsidRPr="002C51BE">
        <w:rPr>
          <w:rFonts w:asciiTheme="majorBidi" w:hAnsiTheme="majorBidi" w:cstheme="majorBidi"/>
          <w:sz w:val="24"/>
          <w:szCs w:val="24"/>
        </w:rPr>
        <w:t>Saudi Arabia is funding initiatives such as the Saudi Commission for Health Specialties to accredit and train regional healthcare practitioners because it is sensitive to this deficit. To remove this barrier, however, serious investment in health education and retention programs will be required. (Alkhurayji et al., 2024).</w:t>
      </w:r>
    </w:p>
    <w:p w14:paraId="13E7F9CF" w14:textId="77777777" w:rsidR="002C51BE" w:rsidRPr="002C51BE" w:rsidRDefault="002C51BE" w:rsidP="002C51BE">
      <w:pPr>
        <w:spacing w:after="0" w:line="480" w:lineRule="auto"/>
        <w:ind w:firstLine="720"/>
        <w:jc w:val="right"/>
        <w:rPr>
          <w:rFonts w:asciiTheme="majorBidi" w:hAnsiTheme="majorBidi" w:cstheme="majorBidi"/>
          <w:sz w:val="24"/>
          <w:szCs w:val="24"/>
        </w:rPr>
      </w:pPr>
      <w:r w:rsidRPr="002C51BE">
        <w:rPr>
          <w:rFonts w:asciiTheme="majorBidi" w:hAnsiTheme="majorBidi" w:cstheme="majorBidi"/>
          <w:sz w:val="24"/>
          <w:szCs w:val="24"/>
        </w:rPr>
        <w:t>Incorporating e-health solutions, which is indicative of the world's e-health acceptance trend, is one of Saudi Arabia's biggest opportunities. According to the study, digital health platforms, telemedicine, and electronic health records (EHRs) are opportunities for the improvement of healthcare delivery and its accessibility, especially among rural and underserved populations. In nations like the US and the UK, where the regulations were eased to pave the way for the broader use of digital health technologies, the COVID-19 pandemic hastened the adoption of telemedicine. (Alghamdi et al., 2020; Nhavoto &amp; Grönlund, 2014; Shah et al., 2020)</w:t>
      </w:r>
    </w:p>
    <w:p w14:paraId="434FA589" w14:textId="23EE04E6" w:rsidR="00525FBB" w:rsidRPr="002B0E31" w:rsidRDefault="002C51BE" w:rsidP="002C51BE">
      <w:pPr>
        <w:spacing w:after="0" w:line="480" w:lineRule="auto"/>
        <w:ind w:firstLine="720"/>
        <w:jc w:val="right"/>
        <w:rPr>
          <w:rFonts w:asciiTheme="majorBidi" w:hAnsiTheme="majorBidi" w:cstheme="majorBidi"/>
          <w:sz w:val="24"/>
          <w:szCs w:val="24"/>
        </w:rPr>
      </w:pPr>
      <w:r w:rsidRPr="002C51BE">
        <w:rPr>
          <w:rFonts w:asciiTheme="majorBidi" w:hAnsiTheme="majorBidi" w:cstheme="majorBidi"/>
          <w:sz w:val="24"/>
          <w:szCs w:val="24"/>
        </w:rPr>
        <w:t>Saudi Arabia also has followed suit with the introduction of apps such as the Sehhaty and Mawid, which provide telemedicine services to the citizens (Alasiri et al., 2022). Saudi Arabia's Ministry of Health, through its ongoing development of digital health infrastructure, aims to build a healthcare system that is networked and more accessible. (Riley et al., 2023). Public-private partnerships (PPPs) are gaining traction in Saudi Arabia, which have been a global model for the reformation of health care. As a global phenomenon, PPPs can improve provision of health care by promoting public sector, private enterprise, and non-governmental agency (NGO) collaboration (Buse et al., 2012). In light of mitigating the burden on the public sector, as well as promoting fiscal sustainability, the Kingdom is leveraging PPP frameworks to improve the delivery of services, especially in the direction of Vision 2030</w:t>
      </w:r>
      <w:r w:rsidR="00525FBB" w:rsidRPr="002B0E31">
        <w:rPr>
          <w:rFonts w:asciiTheme="majorBidi" w:hAnsiTheme="majorBidi" w:cstheme="majorBidi"/>
          <w:sz w:val="24"/>
          <w:szCs w:val="24"/>
        </w:rPr>
        <w:t>.</w:t>
      </w:r>
    </w:p>
    <w:p w14:paraId="56F264CB" w14:textId="77777777" w:rsidR="002C51BE" w:rsidRDefault="002C51BE" w:rsidP="002C51BE">
      <w:pPr>
        <w:spacing w:after="0" w:line="480" w:lineRule="auto"/>
        <w:ind w:firstLine="720"/>
        <w:jc w:val="right"/>
        <w:rPr>
          <w:rFonts w:asciiTheme="majorBidi" w:hAnsiTheme="majorBidi" w:cstheme="majorBidi"/>
          <w:sz w:val="24"/>
          <w:szCs w:val="24"/>
        </w:rPr>
      </w:pPr>
      <w:r w:rsidRPr="002C51BE">
        <w:rPr>
          <w:rFonts w:asciiTheme="majorBidi" w:hAnsiTheme="majorBidi" w:cstheme="majorBidi"/>
          <w:sz w:val="24"/>
          <w:szCs w:val="24"/>
        </w:rPr>
        <w:lastRenderedPageBreak/>
        <w:t>PPPs have also been applied successfully in the healthcare industry of nations like the UK, Australia, and India, which have realized enhanced infrastructure, easier access to services, and quality of care enhancement (Buse et al., 2012). Such international trends align with Saudi Arabia's objective at developing private sector involvement in the healthcare industry through the application of mechanisms like the Health Holding Company.</w:t>
      </w:r>
    </w:p>
    <w:p w14:paraId="07EBBADF" w14:textId="77777777" w:rsidR="002C51BE" w:rsidRDefault="002C51BE" w:rsidP="002C51BE">
      <w:pPr>
        <w:spacing w:after="0" w:line="480" w:lineRule="auto"/>
        <w:ind w:firstLine="720"/>
        <w:jc w:val="right"/>
        <w:rPr>
          <w:rFonts w:asciiTheme="majorBidi" w:hAnsiTheme="majorBidi" w:cstheme="majorBidi"/>
          <w:sz w:val="24"/>
          <w:szCs w:val="24"/>
        </w:rPr>
      </w:pPr>
    </w:p>
    <w:p w14:paraId="58CFC7AF" w14:textId="77777777" w:rsidR="002C51BE" w:rsidRPr="002C51BE" w:rsidRDefault="002C51BE" w:rsidP="002C51BE">
      <w:pPr>
        <w:spacing w:after="0" w:line="480" w:lineRule="auto"/>
        <w:ind w:firstLine="720"/>
        <w:jc w:val="right"/>
        <w:rPr>
          <w:rFonts w:asciiTheme="majorBidi" w:hAnsiTheme="majorBidi" w:cstheme="majorBidi"/>
          <w:sz w:val="24"/>
          <w:szCs w:val="24"/>
        </w:rPr>
      </w:pPr>
    </w:p>
    <w:p w14:paraId="2C11A580" w14:textId="77777777" w:rsidR="002C51BE" w:rsidRPr="002C51BE" w:rsidRDefault="002C51BE" w:rsidP="002C51BE">
      <w:pPr>
        <w:spacing w:after="0" w:line="480" w:lineRule="auto"/>
        <w:ind w:firstLine="720"/>
        <w:jc w:val="right"/>
        <w:rPr>
          <w:rFonts w:asciiTheme="majorBidi" w:hAnsiTheme="majorBidi" w:cstheme="majorBidi"/>
          <w:b/>
          <w:bCs/>
          <w:sz w:val="24"/>
          <w:szCs w:val="24"/>
        </w:rPr>
      </w:pPr>
      <w:r w:rsidRPr="002C51BE">
        <w:rPr>
          <w:rFonts w:asciiTheme="majorBidi" w:hAnsiTheme="majorBidi" w:cstheme="majorBidi"/>
          <w:b/>
          <w:bCs/>
          <w:sz w:val="24"/>
          <w:szCs w:val="24"/>
        </w:rPr>
        <w:t>Conclusion</w:t>
      </w:r>
    </w:p>
    <w:p w14:paraId="3C06EC9A" w14:textId="77777777" w:rsidR="002C51BE" w:rsidRPr="002C51BE" w:rsidRDefault="002C51BE" w:rsidP="002C51BE">
      <w:pPr>
        <w:spacing w:after="0" w:line="480" w:lineRule="auto"/>
        <w:ind w:firstLine="720"/>
        <w:jc w:val="right"/>
        <w:rPr>
          <w:rFonts w:asciiTheme="majorBidi" w:hAnsiTheme="majorBidi" w:cstheme="majorBidi"/>
          <w:sz w:val="24"/>
          <w:szCs w:val="24"/>
        </w:rPr>
      </w:pPr>
      <w:r w:rsidRPr="002C51BE">
        <w:rPr>
          <w:rFonts w:asciiTheme="majorBidi" w:hAnsiTheme="majorBidi" w:cstheme="majorBidi"/>
          <w:sz w:val="24"/>
          <w:szCs w:val="24"/>
        </w:rPr>
        <w:t>The ambitious and sweeping Saudi healthcare transformation, based on Vision 2030, is designed to restructure the healthcare system to accommodate an aging and expanding population while addressing increasing non-communicable diseases (NCDs) and the increased need for high-quality and efficient services. As the research results in the reviewed studies indicate, it is apparent that Saudi Arabia is emulating international trends by focusing on key pillars of such activity as workforce development, digital health, and public-private partnerships (PPPs). The adoption of e-health solutions, including telemedicine and electronic health records (EHRs), is at the vanguard of the nation's effort to enhance the provision of healthcare and increase coverage, particularly among rural and underserved communities.</w:t>
      </w:r>
    </w:p>
    <w:p w14:paraId="70AFA643" w14:textId="77777777" w:rsidR="002C51BE" w:rsidRPr="002C51BE" w:rsidRDefault="002C51BE" w:rsidP="002C51BE">
      <w:pPr>
        <w:spacing w:after="0" w:line="480" w:lineRule="auto"/>
        <w:ind w:firstLine="720"/>
        <w:jc w:val="right"/>
        <w:rPr>
          <w:rFonts w:asciiTheme="majorBidi" w:hAnsiTheme="majorBidi" w:cstheme="majorBidi"/>
          <w:sz w:val="24"/>
          <w:szCs w:val="24"/>
        </w:rPr>
      </w:pPr>
      <w:r w:rsidRPr="002C51BE">
        <w:rPr>
          <w:rFonts w:asciiTheme="majorBidi" w:hAnsiTheme="majorBidi" w:cstheme="majorBidi"/>
          <w:sz w:val="24"/>
          <w:szCs w:val="24"/>
        </w:rPr>
        <w:t xml:space="preserve">While efforts to reform healthcare have been ongoing, the Kingdom still suffers from some issues that would hinder successful implementation of Vision 2030's health ambitions. A number of these issues are mainly shortage issues in workforce, infrastructure constraints, and sustainability issues. The highly expatriate-dependent healthcare workforce is not well locally equipped and never adequately skilled to meet the increasing demands of </w:t>
      </w:r>
      <w:r w:rsidRPr="002C51BE">
        <w:rPr>
          <w:rFonts w:asciiTheme="majorBidi" w:hAnsiTheme="majorBidi" w:cstheme="majorBidi"/>
          <w:sz w:val="24"/>
          <w:szCs w:val="24"/>
        </w:rPr>
        <w:lastRenderedPageBreak/>
        <w:t>the system. Furthermore, the medical facilities are irregularly distributed with extensive rural underservicing, exacerbating various differentials of access to care.</w:t>
      </w:r>
    </w:p>
    <w:p w14:paraId="5A0CFCD5" w14:textId="1D8A3BC6" w:rsidR="00C04162" w:rsidRPr="00C04162" w:rsidRDefault="002C51BE" w:rsidP="002C51BE">
      <w:pPr>
        <w:spacing w:after="0" w:line="480" w:lineRule="auto"/>
        <w:ind w:firstLine="720"/>
        <w:jc w:val="right"/>
        <w:rPr>
          <w:rFonts w:asciiTheme="majorBidi" w:hAnsiTheme="majorBidi" w:cstheme="majorBidi"/>
          <w:sz w:val="24"/>
          <w:szCs w:val="24"/>
        </w:rPr>
      </w:pPr>
      <w:r w:rsidRPr="002C51BE">
        <w:rPr>
          <w:rFonts w:asciiTheme="majorBidi" w:hAnsiTheme="majorBidi" w:cstheme="majorBidi"/>
          <w:sz w:val="24"/>
          <w:szCs w:val="24"/>
        </w:rPr>
        <w:t>The report puts the estimate that there is a need for significant capacity development and staff training to address present and future demands of the healthcare system. Additionally, there are numerous opportunities to improve the quality of care, optimize the efficiency of resources, and minimize the economic pressure on the public healthcare system by leveraging private sector engagement through PPPs. Based on various studies, digital health can transform healthcare delivery as a whole to more individuals to receive services quicker and at reduced costs. Saudi Arabia can establish an effective and sustainable healthcare system that can meet the demands of its growing population by focusing on these areas and prioritizing its strategies to match international best practices</w:t>
      </w:r>
      <w:r w:rsidR="00C04162" w:rsidRPr="00C04162">
        <w:rPr>
          <w:rFonts w:asciiTheme="majorBidi" w:hAnsiTheme="majorBidi" w:cstheme="majorBidi"/>
          <w:sz w:val="24"/>
          <w:szCs w:val="24"/>
        </w:rPr>
        <w:t>.</w:t>
      </w:r>
    </w:p>
    <w:p w14:paraId="0506346D" w14:textId="71C62882" w:rsid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t>.</w:t>
      </w:r>
    </w:p>
    <w:p w14:paraId="28468688" w14:textId="34A3D983" w:rsidR="00A55D84" w:rsidRDefault="00A55D84" w:rsidP="00525FBB">
      <w:pPr>
        <w:spacing w:after="0" w:line="480" w:lineRule="auto"/>
        <w:ind w:firstLine="720"/>
        <w:jc w:val="right"/>
        <w:rPr>
          <w:rFonts w:asciiTheme="majorBidi" w:hAnsiTheme="majorBidi" w:cstheme="majorBidi"/>
          <w:sz w:val="24"/>
          <w:szCs w:val="24"/>
        </w:rPr>
      </w:pPr>
    </w:p>
    <w:p w14:paraId="1382E29E" w14:textId="77777777" w:rsidR="00525FBB" w:rsidRPr="00525FBB" w:rsidRDefault="00525FBB" w:rsidP="00525FBB">
      <w:pPr>
        <w:spacing w:after="0" w:line="480" w:lineRule="auto"/>
        <w:jc w:val="right"/>
        <w:rPr>
          <w:rFonts w:asciiTheme="majorBidi" w:hAnsiTheme="majorBidi" w:cstheme="majorBidi"/>
          <w:sz w:val="24"/>
          <w:szCs w:val="24"/>
        </w:rPr>
      </w:pPr>
      <w:r w:rsidRPr="00525FBB">
        <w:rPr>
          <w:rFonts w:asciiTheme="majorBidi" w:hAnsiTheme="majorBidi" w:cstheme="majorBidi"/>
          <w:b/>
          <w:bCs/>
          <w:sz w:val="24"/>
          <w:szCs w:val="24"/>
        </w:rPr>
        <w:t>Limitations</w:t>
      </w:r>
    </w:p>
    <w:p w14:paraId="7783259C" w14:textId="77777777" w:rsidR="00E5790D" w:rsidRPr="00E5790D" w:rsidRDefault="00E5790D" w:rsidP="00E5790D">
      <w:pPr>
        <w:spacing w:after="0" w:line="480" w:lineRule="auto"/>
        <w:ind w:firstLine="720"/>
        <w:jc w:val="right"/>
        <w:rPr>
          <w:rFonts w:asciiTheme="majorBidi" w:hAnsiTheme="majorBidi" w:cstheme="majorBidi"/>
          <w:sz w:val="24"/>
          <w:szCs w:val="24"/>
        </w:rPr>
      </w:pPr>
      <w:r w:rsidRPr="00E5790D">
        <w:rPr>
          <w:rFonts w:asciiTheme="majorBidi" w:hAnsiTheme="majorBidi" w:cstheme="majorBidi"/>
          <w:sz w:val="24"/>
          <w:szCs w:val="24"/>
        </w:rPr>
        <w:t>While Saudi Arabia's Vision 2030 for healthcare reform is encouraging, the studies reviewed here have several limitations. The biggest disadvantage may be the lack of longitudinal data; the majority of studies look at pilot projects or short-term outcomes, and it is not possible to know the long-term consequences. The studies are geographically limited, with rural regions—which have unique challenges—underrepresented and urban regions—like Riyadh and the Eastern Region—overrepresented. Secondly, a lot of the research is based on self-reported data, and this can be misleading as what healthcare workers believe may differ from what patients believe. The absence of studies on private sector integration, including public-private partnerships (PPPs), which are considered to enhance health care but are not represented as being implemented on a large scale, is another gigantic limitation.</w:t>
      </w:r>
    </w:p>
    <w:p w14:paraId="67019E3A" w14:textId="77777777" w:rsidR="00E5790D" w:rsidRDefault="00E5790D" w:rsidP="00E5790D">
      <w:pPr>
        <w:spacing w:after="0" w:line="480" w:lineRule="auto"/>
        <w:ind w:firstLine="720"/>
        <w:jc w:val="right"/>
        <w:rPr>
          <w:rFonts w:asciiTheme="majorBidi" w:hAnsiTheme="majorBidi" w:cstheme="majorBidi"/>
          <w:sz w:val="24"/>
          <w:szCs w:val="24"/>
        </w:rPr>
      </w:pPr>
      <w:r w:rsidRPr="00E5790D">
        <w:rPr>
          <w:rFonts w:asciiTheme="majorBidi" w:hAnsiTheme="majorBidi" w:cstheme="majorBidi"/>
          <w:sz w:val="24"/>
          <w:szCs w:val="24"/>
        </w:rPr>
        <w:lastRenderedPageBreak/>
        <w:t xml:space="preserve">Social and cultural determinants, such as gender differences, cultural beliefs, and health care attitudes, tend to be underemphasized. It may be that a comprehension of such factors will help remove obstacles to access to health care and maximize the efficiency of patient-centered health care models, something that can have a tremendous impact on reform success. In order to fully evaluate and improve the efficiency of Vision 2030's health transformation, these limitations must be addressed. </w:t>
      </w:r>
    </w:p>
    <w:p w14:paraId="1E40A912" w14:textId="77777777" w:rsidR="00E5790D" w:rsidRDefault="00E5790D" w:rsidP="00E5790D">
      <w:pPr>
        <w:spacing w:after="0" w:line="480" w:lineRule="auto"/>
        <w:ind w:firstLine="720"/>
        <w:jc w:val="right"/>
        <w:rPr>
          <w:rFonts w:asciiTheme="majorBidi" w:hAnsiTheme="majorBidi" w:cstheme="majorBidi"/>
          <w:sz w:val="24"/>
          <w:szCs w:val="24"/>
        </w:rPr>
      </w:pPr>
    </w:p>
    <w:p w14:paraId="7D46B818" w14:textId="442017DF" w:rsidR="00E5790D" w:rsidRPr="00E5790D" w:rsidRDefault="00E5790D" w:rsidP="00E5790D">
      <w:pPr>
        <w:spacing w:after="0" w:line="480" w:lineRule="auto"/>
        <w:ind w:firstLine="720"/>
        <w:jc w:val="right"/>
        <w:rPr>
          <w:rFonts w:asciiTheme="majorBidi" w:hAnsiTheme="majorBidi" w:cstheme="majorBidi"/>
          <w:b/>
          <w:bCs/>
          <w:sz w:val="24"/>
          <w:szCs w:val="24"/>
        </w:rPr>
      </w:pPr>
      <w:r w:rsidRPr="00E5790D">
        <w:rPr>
          <w:rFonts w:asciiTheme="majorBidi" w:hAnsiTheme="majorBidi" w:cstheme="majorBidi"/>
          <w:b/>
          <w:bCs/>
          <w:sz w:val="24"/>
          <w:szCs w:val="24"/>
        </w:rPr>
        <w:t>Recommendations</w:t>
      </w:r>
    </w:p>
    <w:p w14:paraId="20D00123" w14:textId="77777777" w:rsidR="00E5790D" w:rsidRPr="00E5790D" w:rsidRDefault="00E5790D" w:rsidP="00E5790D">
      <w:pPr>
        <w:spacing w:after="0" w:line="480" w:lineRule="auto"/>
        <w:ind w:firstLine="720"/>
        <w:jc w:val="right"/>
        <w:rPr>
          <w:rFonts w:asciiTheme="majorBidi" w:hAnsiTheme="majorBidi" w:cstheme="majorBidi"/>
          <w:sz w:val="24"/>
          <w:szCs w:val="24"/>
        </w:rPr>
      </w:pPr>
      <w:r w:rsidRPr="00E5790D">
        <w:rPr>
          <w:rFonts w:asciiTheme="majorBidi" w:hAnsiTheme="majorBidi" w:cstheme="majorBidi"/>
          <w:sz w:val="24"/>
          <w:szCs w:val="24"/>
        </w:rPr>
        <w:t>Several suggestions are made to ensure continued success of Saudi Arabia's Vision 2030 healthcare reform initiative. With high-quality databases and repeated follow-up surveys collected more than once to inform planning, longitudinal studies can be methodically evaluated to identify long-term impacts of reforms.</w:t>
      </w:r>
    </w:p>
    <w:p w14:paraId="66C86C43" w14:textId="77777777" w:rsidR="00E5790D" w:rsidRPr="00E5790D" w:rsidRDefault="00E5790D" w:rsidP="00E5790D">
      <w:pPr>
        <w:spacing w:after="0" w:line="480" w:lineRule="auto"/>
        <w:ind w:firstLine="720"/>
        <w:jc w:val="right"/>
        <w:rPr>
          <w:rFonts w:asciiTheme="majorBidi" w:hAnsiTheme="majorBidi" w:cstheme="majorBidi"/>
          <w:sz w:val="24"/>
          <w:szCs w:val="24"/>
        </w:rPr>
      </w:pPr>
      <w:r w:rsidRPr="00E5790D">
        <w:rPr>
          <w:rFonts w:asciiTheme="majorBidi" w:hAnsiTheme="majorBidi" w:cstheme="majorBidi"/>
          <w:sz w:val="24"/>
          <w:szCs w:val="24"/>
        </w:rPr>
        <w:t>The government must give high priority to building its human resources, filling in the gaps existing today through training, professional development, and incentives.</w:t>
      </w:r>
    </w:p>
    <w:p w14:paraId="4C6D68CB" w14:textId="31EE2A4C" w:rsidR="00A55D84" w:rsidRDefault="00E5790D" w:rsidP="00E5790D">
      <w:pPr>
        <w:spacing w:after="0" w:line="480" w:lineRule="auto"/>
        <w:ind w:firstLine="720"/>
        <w:jc w:val="right"/>
        <w:rPr>
          <w:rFonts w:asciiTheme="majorBidi" w:hAnsiTheme="majorBidi" w:cstheme="majorBidi"/>
          <w:sz w:val="24"/>
          <w:szCs w:val="24"/>
        </w:rPr>
      </w:pPr>
      <w:r w:rsidRPr="00E5790D">
        <w:rPr>
          <w:rFonts w:asciiTheme="majorBidi" w:hAnsiTheme="majorBidi" w:cstheme="majorBidi"/>
          <w:sz w:val="24"/>
          <w:szCs w:val="24"/>
        </w:rPr>
        <w:t>It must also combine foreign talent with successful localization measures. International recruitment with integration mechanisms and more attractive incentives are two mechanisms of retaining talent. In order to ensure increased access to healthcare across the Kingdom, among the highest priorities must be the deployment of digital health technologies such as telemedicine, electronic health records (EHRs), and e-health platforms. Due to the continued persistence of healthcare access inequalities, greater emphasis must be given to underserved and rural communities.</w:t>
      </w:r>
    </w:p>
    <w:p w14:paraId="449A32BE" w14:textId="6A998720" w:rsidR="00A55D84" w:rsidRDefault="00A55D84" w:rsidP="00525FBB">
      <w:pPr>
        <w:spacing w:after="0" w:line="480" w:lineRule="auto"/>
        <w:ind w:firstLine="720"/>
        <w:jc w:val="right"/>
        <w:rPr>
          <w:rFonts w:asciiTheme="majorBidi" w:hAnsiTheme="majorBidi" w:cstheme="majorBidi"/>
          <w:sz w:val="24"/>
          <w:szCs w:val="24"/>
        </w:rPr>
      </w:pPr>
    </w:p>
    <w:p w14:paraId="1EE1CA3E" w14:textId="57186A6A" w:rsidR="00A55D84" w:rsidRDefault="00A55D84" w:rsidP="00525FBB">
      <w:pPr>
        <w:spacing w:after="0" w:line="480" w:lineRule="auto"/>
        <w:ind w:firstLine="720"/>
        <w:jc w:val="right"/>
        <w:rPr>
          <w:rFonts w:asciiTheme="majorBidi" w:hAnsiTheme="majorBidi" w:cstheme="majorBidi"/>
          <w:sz w:val="24"/>
          <w:szCs w:val="24"/>
        </w:rPr>
      </w:pPr>
    </w:p>
    <w:p w14:paraId="5EB73FB2" w14:textId="37136BAD" w:rsidR="00A55D84" w:rsidRDefault="00A55D84" w:rsidP="00525FBB">
      <w:pPr>
        <w:spacing w:after="0" w:line="480" w:lineRule="auto"/>
        <w:ind w:firstLine="720"/>
        <w:jc w:val="right"/>
        <w:rPr>
          <w:rFonts w:asciiTheme="majorBidi" w:hAnsiTheme="majorBidi" w:cstheme="majorBidi"/>
          <w:sz w:val="24"/>
          <w:szCs w:val="24"/>
        </w:rPr>
      </w:pPr>
    </w:p>
    <w:p w14:paraId="7F16A7C8" w14:textId="232F9EFE" w:rsidR="00A55D84" w:rsidRDefault="00A55D84" w:rsidP="00525FBB">
      <w:pPr>
        <w:spacing w:after="0" w:line="480" w:lineRule="auto"/>
        <w:ind w:firstLine="720"/>
        <w:jc w:val="right"/>
        <w:rPr>
          <w:rFonts w:asciiTheme="majorBidi" w:hAnsiTheme="majorBidi" w:cstheme="majorBidi"/>
          <w:sz w:val="24"/>
          <w:szCs w:val="24"/>
        </w:rPr>
      </w:pPr>
    </w:p>
    <w:p w14:paraId="208CF613" w14:textId="63EEB771" w:rsidR="00525FBB" w:rsidRP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b/>
          <w:bCs/>
          <w:sz w:val="24"/>
          <w:szCs w:val="24"/>
        </w:rPr>
        <w:lastRenderedPageBreak/>
        <w:t>References</w:t>
      </w:r>
    </w:p>
    <w:p w14:paraId="5AC8FE3C"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sz w:val="24"/>
          <w:szCs w:val="24"/>
        </w:rPr>
        <w:fldChar w:fldCharType="begin" w:fldLock="1"/>
      </w:r>
      <w:r w:rsidRPr="00525FBB">
        <w:rPr>
          <w:rFonts w:asciiTheme="majorBidi" w:hAnsiTheme="majorBidi" w:cstheme="majorBidi"/>
          <w:sz w:val="24"/>
          <w:szCs w:val="24"/>
        </w:rPr>
        <w:instrText xml:space="preserve">ADDIN Mendeley Bibliography CSL_BIBLIOGRAPHY </w:instrText>
      </w:r>
      <w:r w:rsidRPr="00525FBB">
        <w:rPr>
          <w:rFonts w:asciiTheme="majorBidi" w:hAnsiTheme="majorBidi" w:cstheme="majorBidi"/>
          <w:sz w:val="24"/>
          <w:szCs w:val="24"/>
        </w:rPr>
        <w:fldChar w:fldCharType="separate"/>
      </w:r>
      <w:r w:rsidRPr="00525FBB">
        <w:rPr>
          <w:rFonts w:asciiTheme="majorBidi" w:hAnsiTheme="majorBidi" w:cstheme="majorBidi"/>
          <w:noProof/>
          <w:kern w:val="0"/>
          <w:sz w:val="24"/>
          <w:szCs w:val="24"/>
        </w:rPr>
        <w:t xml:space="preserve">A Breckon, D., L Goldberg, K., C Pruett, C., A Harsanyi, M., &amp; C Rodriguez, R. (2020). Case Study: A Systematic Review of the Most Effective Career Training Programs for a Workforce Board. </w:t>
      </w:r>
      <w:r w:rsidRPr="00525FBB">
        <w:rPr>
          <w:rFonts w:asciiTheme="majorBidi" w:hAnsiTheme="majorBidi" w:cstheme="majorBidi"/>
          <w:i/>
          <w:iCs/>
          <w:noProof/>
          <w:kern w:val="0"/>
          <w:sz w:val="24"/>
          <w:szCs w:val="24"/>
        </w:rPr>
        <w:t>Muma Business Review</w:t>
      </w:r>
      <w:r w:rsidRPr="00525FBB">
        <w:rPr>
          <w:rFonts w:asciiTheme="majorBidi" w:hAnsiTheme="majorBidi" w:cstheme="majorBidi"/>
          <w:noProof/>
          <w:kern w:val="0"/>
          <w:sz w:val="24"/>
          <w:szCs w:val="24"/>
        </w:rPr>
        <w:t>. https://doi.org/10.28945/4571</w:t>
      </w:r>
    </w:p>
    <w:p w14:paraId="6BCE1AA3"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Agyeman-Manu, K., Ghebreyesus, T. A., Maait, M., Rafila, A., Tom, L., Lima, N. T., &amp; Wangmo, D. (2023). Prioritising the health and care workforce shortage: protect, invest, together. In </w:t>
      </w:r>
      <w:r w:rsidRPr="00525FBB">
        <w:rPr>
          <w:rFonts w:asciiTheme="majorBidi" w:hAnsiTheme="majorBidi" w:cstheme="majorBidi"/>
          <w:i/>
          <w:iCs/>
          <w:noProof/>
          <w:kern w:val="0"/>
          <w:sz w:val="24"/>
          <w:szCs w:val="24"/>
        </w:rPr>
        <w:t>The Lancet Global Health</w:t>
      </w:r>
      <w:r w:rsidRPr="00525FBB">
        <w:rPr>
          <w:rFonts w:asciiTheme="majorBidi" w:hAnsiTheme="majorBidi" w:cstheme="majorBidi"/>
          <w:noProof/>
          <w:kern w:val="0"/>
          <w:sz w:val="24"/>
          <w:szCs w:val="24"/>
        </w:rPr>
        <w:t>. https://doi.org/10.1016/S2214-109X(23)00224-3</w:t>
      </w:r>
    </w:p>
    <w:p w14:paraId="5CE0CD0F"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Al-Hanawi, M. K., Khan, S. A., &amp; Al-Borie, H. M. (2019). Healthcare human resource development in Saudi Arabia: Emerging challenges and opportunities - A critical review. </w:t>
      </w:r>
      <w:r w:rsidRPr="00525FBB">
        <w:rPr>
          <w:rFonts w:asciiTheme="majorBidi" w:hAnsiTheme="majorBidi" w:cstheme="majorBidi"/>
          <w:i/>
          <w:iCs/>
          <w:noProof/>
          <w:kern w:val="0"/>
          <w:sz w:val="24"/>
          <w:szCs w:val="24"/>
        </w:rPr>
        <w:t>Public Health Reviews</w:t>
      </w:r>
      <w:r w:rsidRPr="00525FBB">
        <w:rPr>
          <w:rFonts w:asciiTheme="majorBidi" w:hAnsiTheme="majorBidi" w:cstheme="majorBidi"/>
          <w:noProof/>
          <w:kern w:val="0"/>
          <w:sz w:val="24"/>
          <w:szCs w:val="24"/>
        </w:rPr>
        <w:t xml:space="preserve">, </w:t>
      </w:r>
      <w:r w:rsidRPr="00525FBB">
        <w:rPr>
          <w:rFonts w:asciiTheme="majorBidi" w:hAnsiTheme="majorBidi" w:cstheme="majorBidi"/>
          <w:i/>
          <w:iCs/>
          <w:noProof/>
          <w:kern w:val="0"/>
          <w:sz w:val="24"/>
          <w:szCs w:val="24"/>
        </w:rPr>
        <w:t>40</w:t>
      </w:r>
      <w:r w:rsidRPr="00525FBB">
        <w:rPr>
          <w:rFonts w:asciiTheme="majorBidi" w:hAnsiTheme="majorBidi" w:cstheme="majorBidi"/>
          <w:noProof/>
          <w:kern w:val="0"/>
          <w:sz w:val="24"/>
          <w:szCs w:val="24"/>
        </w:rPr>
        <w:t>(1). https://doi.org/10.1186/S40985-019-0112-4</w:t>
      </w:r>
    </w:p>
    <w:p w14:paraId="37279D61"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Al Khashan, H., Abogazalah, F., Alomary, S., Nahhas, M., Alwadey, A., Al-Khudhair, B., Alamri, F., Aleisa, N., Mahmoud, N., &amp; Hassanein, M. (n.d.). Primary health care reform in Saudi Arabia: progress, challenges and prospects. </w:t>
      </w:r>
      <w:r w:rsidRPr="00525FBB">
        <w:rPr>
          <w:rFonts w:asciiTheme="majorBidi" w:hAnsiTheme="majorBidi" w:cstheme="majorBidi"/>
          <w:i/>
          <w:iCs/>
          <w:noProof/>
          <w:kern w:val="0"/>
          <w:sz w:val="24"/>
          <w:szCs w:val="24"/>
        </w:rPr>
        <w:t>Review EMHJ</w:t>
      </w:r>
      <w:r w:rsidRPr="00525FBB">
        <w:rPr>
          <w:rFonts w:asciiTheme="majorBidi" w:hAnsiTheme="majorBidi" w:cstheme="majorBidi"/>
          <w:noProof/>
          <w:kern w:val="0"/>
          <w:sz w:val="24"/>
          <w:szCs w:val="24"/>
        </w:rPr>
        <w:t xml:space="preserve">, </w:t>
      </w:r>
      <w:r w:rsidRPr="00525FBB">
        <w:rPr>
          <w:rFonts w:asciiTheme="majorBidi" w:hAnsiTheme="majorBidi" w:cstheme="majorBidi"/>
          <w:i/>
          <w:iCs/>
          <w:noProof/>
          <w:kern w:val="0"/>
          <w:sz w:val="24"/>
          <w:szCs w:val="24"/>
        </w:rPr>
        <w:t>27</w:t>
      </w:r>
      <w:r w:rsidRPr="00525FBB">
        <w:rPr>
          <w:rFonts w:asciiTheme="majorBidi" w:hAnsiTheme="majorBidi" w:cstheme="majorBidi"/>
          <w:noProof/>
          <w:kern w:val="0"/>
          <w:sz w:val="24"/>
          <w:szCs w:val="24"/>
        </w:rPr>
        <w:t>, 10–2021. https://doi.org/10.26719/emhj.21.042</w:t>
      </w:r>
    </w:p>
    <w:p w14:paraId="05CD5F6B"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Alasiri, A. A., &amp; Mohammed, V. (2022). Healthcare Transformation in Saudi Arabia: An Overview Since the Launch of Vision 2030. </w:t>
      </w:r>
      <w:r w:rsidRPr="00525FBB">
        <w:rPr>
          <w:rFonts w:asciiTheme="majorBidi" w:hAnsiTheme="majorBidi" w:cstheme="majorBidi"/>
          <w:i/>
          <w:iCs/>
          <w:noProof/>
          <w:kern w:val="0"/>
          <w:sz w:val="24"/>
          <w:szCs w:val="24"/>
        </w:rPr>
        <w:t>Health Services Insights</w:t>
      </w:r>
      <w:r w:rsidRPr="00525FBB">
        <w:rPr>
          <w:rFonts w:asciiTheme="majorBidi" w:hAnsiTheme="majorBidi" w:cstheme="majorBidi"/>
          <w:noProof/>
          <w:kern w:val="0"/>
          <w:sz w:val="24"/>
          <w:szCs w:val="24"/>
        </w:rPr>
        <w:t xml:space="preserve">, </w:t>
      </w:r>
      <w:r w:rsidRPr="00525FBB">
        <w:rPr>
          <w:rFonts w:asciiTheme="majorBidi" w:hAnsiTheme="majorBidi" w:cstheme="majorBidi"/>
          <w:i/>
          <w:iCs/>
          <w:noProof/>
          <w:kern w:val="0"/>
          <w:sz w:val="24"/>
          <w:szCs w:val="24"/>
        </w:rPr>
        <w:t>15</w:t>
      </w:r>
      <w:r w:rsidRPr="00525FBB">
        <w:rPr>
          <w:rFonts w:asciiTheme="majorBidi" w:hAnsiTheme="majorBidi" w:cstheme="majorBidi"/>
          <w:noProof/>
          <w:kern w:val="0"/>
          <w:sz w:val="24"/>
          <w:szCs w:val="24"/>
        </w:rPr>
        <w:t>. https://doi.org/10.1177/11786329221121214/SUPPL_FILE/SJ-DOCX-1-HIS-10.1177_11786329221121214.DOCX</w:t>
      </w:r>
    </w:p>
    <w:p w14:paraId="32D242CB"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Alghamdi, S., Alqahtani, J., &amp; Aldhahir, A. (2020). Current status of telehealth in Saudi Arabia during COVID-19. </w:t>
      </w:r>
      <w:r w:rsidRPr="00525FBB">
        <w:rPr>
          <w:rFonts w:asciiTheme="majorBidi" w:hAnsiTheme="majorBidi" w:cstheme="majorBidi"/>
          <w:i/>
          <w:iCs/>
          <w:noProof/>
          <w:kern w:val="0"/>
          <w:sz w:val="24"/>
          <w:szCs w:val="24"/>
        </w:rPr>
        <w:t>Journal of Family and Community Medicine</w:t>
      </w:r>
      <w:r w:rsidRPr="00525FBB">
        <w:rPr>
          <w:rFonts w:asciiTheme="majorBidi" w:hAnsiTheme="majorBidi" w:cstheme="majorBidi"/>
          <w:noProof/>
          <w:kern w:val="0"/>
          <w:sz w:val="24"/>
          <w:szCs w:val="24"/>
        </w:rPr>
        <w:t xml:space="preserve">, </w:t>
      </w:r>
      <w:r w:rsidRPr="00525FBB">
        <w:rPr>
          <w:rFonts w:asciiTheme="majorBidi" w:hAnsiTheme="majorBidi" w:cstheme="majorBidi"/>
          <w:i/>
          <w:iCs/>
          <w:noProof/>
          <w:kern w:val="0"/>
          <w:sz w:val="24"/>
          <w:szCs w:val="24"/>
        </w:rPr>
        <w:t>27</w:t>
      </w:r>
      <w:r w:rsidRPr="00525FBB">
        <w:rPr>
          <w:rFonts w:asciiTheme="majorBidi" w:hAnsiTheme="majorBidi" w:cstheme="majorBidi"/>
          <w:noProof/>
          <w:kern w:val="0"/>
          <w:sz w:val="24"/>
          <w:szCs w:val="24"/>
        </w:rPr>
        <w:t>(3), 208–211. https://doi.org/10.4103/JFCM.JFCM_295_20</w:t>
      </w:r>
    </w:p>
    <w:p w14:paraId="4759450E"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Alharbi, M. F. (2018). An analysis of the Saudi health-care system’s readiness to change in the context of the Saudi National Health-care Plan in Vision 2030. </w:t>
      </w:r>
      <w:r w:rsidRPr="00525FBB">
        <w:rPr>
          <w:rFonts w:asciiTheme="majorBidi" w:hAnsiTheme="majorBidi" w:cstheme="majorBidi"/>
          <w:i/>
          <w:iCs/>
          <w:noProof/>
          <w:kern w:val="0"/>
          <w:sz w:val="24"/>
          <w:szCs w:val="24"/>
        </w:rPr>
        <w:t>International Journal of Health Sciences</w:t>
      </w:r>
      <w:r w:rsidRPr="00525FBB">
        <w:rPr>
          <w:rFonts w:asciiTheme="majorBidi" w:hAnsiTheme="majorBidi" w:cstheme="majorBidi"/>
          <w:noProof/>
          <w:kern w:val="0"/>
          <w:sz w:val="24"/>
          <w:szCs w:val="24"/>
        </w:rPr>
        <w:t xml:space="preserve">, </w:t>
      </w:r>
      <w:r w:rsidRPr="00525FBB">
        <w:rPr>
          <w:rFonts w:asciiTheme="majorBidi" w:hAnsiTheme="majorBidi" w:cstheme="majorBidi"/>
          <w:i/>
          <w:iCs/>
          <w:noProof/>
          <w:kern w:val="0"/>
          <w:sz w:val="24"/>
          <w:szCs w:val="24"/>
        </w:rPr>
        <w:t>12</w:t>
      </w:r>
      <w:r w:rsidRPr="00525FBB">
        <w:rPr>
          <w:rFonts w:asciiTheme="majorBidi" w:hAnsiTheme="majorBidi" w:cstheme="majorBidi"/>
          <w:noProof/>
          <w:kern w:val="0"/>
          <w:sz w:val="24"/>
          <w:szCs w:val="24"/>
        </w:rPr>
        <w:t xml:space="preserve">(3), 83. </w:t>
      </w:r>
      <w:r w:rsidRPr="00525FBB">
        <w:rPr>
          <w:rFonts w:asciiTheme="majorBidi" w:hAnsiTheme="majorBidi" w:cstheme="majorBidi"/>
          <w:noProof/>
          <w:kern w:val="0"/>
          <w:sz w:val="24"/>
          <w:szCs w:val="24"/>
        </w:rPr>
        <w:lastRenderedPageBreak/>
        <w:t>https://pmc.ncbi.nlm.nih.gov/articles/PMC5969787/</w:t>
      </w:r>
    </w:p>
    <w:p w14:paraId="46BB05B9"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Alkhurayji, K., Alzahrani, H. A., Alotaibi, A. S., Alharbi, A. G., Zandan, A. A., &amp; Alsheikhi, H. (2024). </w:t>
      </w:r>
      <w:r w:rsidRPr="00525FBB">
        <w:rPr>
          <w:rFonts w:asciiTheme="majorBidi" w:hAnsiTheme="majorBidi" w:cstheme="majorBidi"/>
          <w:i/>
          <w:iCs/>
          <w:noProof/>
          <w:kern w:val="0"/>
          <w:sz w:val="24"/>
          <w:szCs w:val="24"/>
        </w:rPr>
        <w:t>Categories: Epidemiology/Public Health, Health Policy</w:t>
      </w:r>
      <w:r w:rsidRPr="00525FBB">
        <w:rPr>
          <w:rFonts w:asciiTheme="majorBidi" w:hAnsiTheme="majorBidi" w:cstheme="majorBidi"/>
          <w:noProof/>
          <w:kern w:val="0"/>
          <w:sz w:val="24"/>
          <w:szCs w:val="24"/>
        </w:rPr>
        <w:t>. https://doi.org/10.7759/cureus.65047</w:t>
      </w:r>
    </w:p>
    <w:p w14:paraId="0FD769AB"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Aluttis, C., Bishaw, T., &amp; Frank, M. W. (2014). The workforce for health in a globalized context - global shortages and international migration. In </w:t>
      </w:r>
      <w:r w:rsidRPr="00525FBB">
        <w:rPr>
          <w:rFonts w:asciiTheme="majorBidi" w:hAnsiTheme="majorBidi" w:cstheme="majorBidi"/>
          <w:i/>
          <w:iCs/>
          <w:noProof/>
          <w:kern w:val="0"/>
          <w:sz w:val="24"/>
          <w:szCs w:val="24"/>
        </w:rPr>
        <w:t>Global Health Action</w:t>
      </w:r>
      <w:r w:rsidRPr="00525FBB">
        <w:rPr>
          <w:rFonts w:asciiTheme="majorBidi" w:hAnsiTheme="majorBidi" w:cstheme="majorBidi"/>
          <w:noProof/>
          <w:kern w:val="0"/>
          <w:sz w:val="24"/>
          <w:szCs w:val="24"/>
        </w:rPr>
        <w:t>. https://doi.org/10.3402/gha.v7.23611</w:t>
      </w:r>
    </w:p>
    <w:p w14:paraId="55FD8855"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Angel, Y., &amp; Fire, G. (2023). Healthcare policy changes in an era of health workforce shortage. </w:t>
      </w:r>
      <w:r w:rsidRPr="00525FBB">
        <w:rPr>
          <w:rFonts w:asciiTheme="majorBidi" w:hAnsiTheme="majorBidi" w:cstheme="majorBidi"/>
          <w:i/>
          <w:iCs/>
          <w:noProof/>
          <w:kern w:val="0"/>
          <w:sz w:val="24"/>
          <w:szCs w:val="24"/>
        </w:rPr>
        <w:t>Israel Journal of Health Policy Research</w:t>
      </w:r>
      <w:r w:rsidRPr="00525FBB">
        <w:rPr>
          <w:rFonts w:asciiTheme="majorBidi" w:hAnsiTheme="majorBidi" w:cstheme="majorBidi"/>
          <w:noProof/>
          <w:kern w:val="0"/>
          <w:sz w:val="24"/>
          <w:szCs w:val="24"/>
        </w:rPr>
        <w:t>. https://doi.org/10.1186/s13584-023-00576-7</w:t>
      </w:r>
    </w:p>
    <w:p w14:paraId="7A63FC18"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Boniol, M., Kunjumen, T., Nair, T. S., Siyam, A., Campbell, J., &amp; Diallo, K. (2022). The global health workforce stock and distribution in 2020 and 2030: A threat to equity and â € universal’ health coverage? </w:t>
      </w:r>
      <w:r w:rsidRPr="00525FBB">
        <w:rPr>
          <w:rFonts w:asciiTheme="majorBidi" w:hAnsiTheme="majorBidi" w:cstheme="majorBidi"/>
          <w:i/>
          <w:iCs/>
          <w:noProof/>
          <w:kern w:val="0"/>
          <w:sz w:val="24"/>
          <w:szCs w:val="24"/>
        </w:rPr>
        <w:t>BMJ Global Health</w:t>
      </w:r>
      <w:r w:rsidRPr="00525FBB">
        <w:rPr>
          <w:rFonts w:asciiTheme="majorBidi" w:hAnsiTheme="majorBidi" w:cstheme="majorBidi"/>
          <w:noProof/>
          <w:kern w:val="0"/>
          <w:sz w:val="24"/>
          <w:szCs w:val="24"/>
        </w:rPr>
        <w:t>. https://doi.org/10.1136/bmjgh-2022-009316</w:t>
      </w:r>
    </w:p>
    <w:p w14:paraId="68CB0F0A"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Borden, W. B., &amp; Nallamothu, B. K. (2018). Making Health Policy More Accessible. In </w:t>
      </w:r>
      <w:r w:rsidRPr="00525FBB">
        <w:rPr>
          <w:rFonts w:asciiTheme="majorBidi" w:hAnsiTheme="majorBidi" w:cstheme="majorBidi"/>
          <w:i/>
          <w:iCs/>
          <w:noProof/>
          <w:kern w:val="0"/>
          <w:sz w:val="24"/>
          <w:szCs w:val="24"/>
        </w:rPr>
        <w:t>Circulation. Cardiovascular quality and outcomes</w:t>
      </w:r>
      <w:r w:rsidRPr="00525FBB">
        <w:rPr>
          <w:rFonts w:asciiTheme="majorBidi" w:hAnsiTheme="majorBidi" w:cstheme="majorBidi"/>
          <w:noProof/>
          <w:kern w:val="0"/>
          <w:sz w:val="24"/>
          <w:szCs w:val="24"/>
        </w:rPr>
        <w:t>. https://doi.org/10.1161/CIRCOUTCOMES.118.005372</w:t>
      </w:r>
    </w:p>
    <w:p w14:paraId="510CE93E"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Buse,  et al. (2012). Making Health Policy. In </w:t>
      </w:r>
      <w:r w:rsidRPr="00525FBB">
        <w:rPr>
          <w:rFonts w:asciiTheme="majorBidi" w:hAnsiTheme="majorBidi" w:cstheme="majorBidi"/>
          <w:i/>
          <w:iCs/>
          <w:noProof/>
          <w:kern w:val="0"/>
          <w:sz w:val="24"/>
          <w:szCs w:val="24"/>
        </w:rPr>
        <w:t>Making Health Policy</w:t>
      </w:r>
      <w:r w:rsidRPr="00525FBB">
        <w:rPr>
          <w:rFonts w:asciiTheme="majorBidi" w:hAnsiTheme="majorBidi" w:cstheme="majorBidi"/>
          <w:noProof/>
          <w:kern w:val="0"/>
          <w:sz w:val="24"/>
          <w:szCs w:val="24"/>
        </w:rPr>
        <w:t>.</w:t>
      </w:r>
    </w:p>
    <w:p w14:paraId="775CDDF7"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Chowdhury, S., Mok, D., &amp; Leenen, L. (2021). Transformation of health care and the new model of care in Saudi Arabia: Kingdom’s Vision 2030. </w:t>
      </w:r>
      <w:r w:rsidRPr="00525FBB">
        <w:rPr>
          <w:rFonts w:asciiTheme="majorBidi" w:hAnsiTheme="majorBidi" w:cstheme="majorBidi"/>
          <w:i/>
          <w:iCs/>
          <w:noProof/>
          <w:kern w:val="0"/>
          <w:sz w:val="24"/>
          <w:szCs w:val="24"/>
        </w:rPr>
        <w:t>Journal of Medicine and Life</w:t>
      </w:r>
      <w:r w:rsidRPr="00525FBB">
        <w:rPr>
          <w:rFonts w:asciiTheme="majorBidi" w:hAnsiTheme="majorBidi" w:cstheme="majorBidi"/>
          <w:noProof/>
          <w:kern w:val="0"/>
          <w:sz w:val="24"/>
          <w:szCs w:val="24"/>
        </w:rPr>
        <w:t xml:space="preserve">, </w:t>
      </w:r>
      <w:r w:rsidRPr="00525FBB">
        <w:rPr>
          <w:rFonts w:asciiTheme="majorBidi" w:hAnsiTheme="majorBidi" w:cstheme="majorBidi"/>
          <w:i/>
          <w:iCs/>
          <w:noProof/>
          <w:kern w:val="0"/>
          <w:sz w:val="24"/>
          <w:szCs w:val="24"/>
        </w:rPr>
        <w:t>2021</w:t>
      </w:r>
      <w:r w:rsidRPr="00525FBB">
        <w:rPr>
          <w:rFonts w:asciiTheme="majorBidi" w:hAnsiTheme="majorBidi" w:cstheme="majorBidi"/>
          <w:noProof/>
          <w:kern w:val="0"/>
          <w:sz w:val="24"/>
          <w:szCs w:val="24"/>
        </w:rPr>
        <w:t>(3), 347–354. https://doi.org/10.25122/JML-2021-0070</w:t>
      </w:r>
    </w:p>
    <w:p w14:paraId="40BC42E5"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Dzakula, A., Relic, D., &amp; Michelutti, P. (2022). Health workforce shortage - Doing the right things or doing things right? In </w:t>
      </w:r>
      <w:r w:rsidRPr="00525FBB">
        <w:rPr>
          <w:rFonts w:asciiTheme="majorBidi" w:hAnsiTheme="majorBidi" w:cstheme="majorBidi"/>
          <w:i/>
          <w:iCs/>
          <w:noProof/>
          <w:kern w:val="0"/>
          <w:sz w:val="24"/>
          <w:szCs w:val="24"/>
        </w:rPr>
        <w:t>Croatian Medical Journal</w:t>
      </w:r>
      <w:r w:rsidRPr="00525FBB">
        <w:rPr>
          <w:rFonts w:asciiTheme="majorBidi" w:hAnsiTheme="majorBidi" w:cstheme="majorBidi"/>
          <w:noProof/>
          <w:kern w:val="0"/>
          <w:sz w:val="24"/>
          <w:szCs w:val="24"/>
        </w:rPr>
        <w:t>. https://doi.org/10.3325/cmj.2022.63.107</w:t>
      </w:r>
    </w:p>
    <w:p w14:paraId="115F0FE7"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Flood, C. M., &amp; Thomas, B. (2016). Modernizing the Canada Health Act. </w:t>
      </w:r>
      <w:r w:rsidRPr="00525FBB">
        <w:rPr>
          <w:rFonts w:asciiTheme="majorBidi" w:hAnsiTheme="majorBidi" w:cstheme="majorBidi"/>
          <w:i/>
          <w:iCs/>
          <w:noProof/>
          <w:kern w:val="0"/>
          <w:sz w:val="24"/>
          <w:szCs w:val="24"/>
        </w:rPr>
        <w:t xml:space="preserve">Dalhousie Law </w:t>
      </w:r>
      <w:r w:rsidRPr="00525FBB">
        <w:rPr>
          <w:rFonts w:asciiTheme="majorBidi" w:hAnsiTheme="majorBidi" w:cstheme="majorBidi"/>
          <w:i/>
          <w:iCs/>
          <w:noProof/>
          <w:kern w:val="0"/>
          <w:sz w:val="24"/>
          <w:szCs w:val="24"/>
        </w:rPr>
        <w:lastRenderedPageBreak/>
        <w:t>Journal</w:t>
      </w:r>
      <w:r w:rsidRPr="00525FBB">
        <w:rPr>
          <w:rFonts w:asciiTheme="majorBidi" w:hAnsiTheme="majorBidi" w:cstheme="majorBidi"/>
          <w:noProof/>
          <w:kern w:val="0"/>
          <w:sz w:val="24"/>
          <w:szCs w:val="24"/>
        </w:rPr>
        <w:t>.</w:t>
      </w:r>
    </w:p>
    <w:p w14:paraId="06F1DA0D"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Gandarillas, M. Á., &amp; Goswami, N. (2018). Merging current health care trends: Innovative perspective in aging care. In </w:t>
      </w:r>
      <w:r w:rsidRPr="00525FBB">
        <w:rPr>
          <w:rFonts w:asciiTheme="majorBidi" w:hAnsiTheme="majorBidi" w:cstheme="majorBidi"/>
          <w:i/>
          <w:iCs/>
          <w:noProof/>
          <w:kern w:val="0"/>
          <w:sz w:val="24"/>
          <w:szCs w:val="24"/>
        </w:rPr>
        <w:t>Clinical Interventions in Aging</w:t>
      </w:r>
      <w:r w:rsidRPr="00525FBB">
        <w:rPr>
          <w:rFonts w:asciiTheme="majorBidi" w:hAnsiTheme="majorBidi" w:cstheme="majorBidi"/>
          <w:noProof/>
          <w:kern w:val="0"/>
          <w:sz w:val="24"/>
          <w:szCs w:val="24"/>
        </w:rPr>
        <w:t>. https://doi.org/10.2147/CIA.S177286</w:t>
      </w:r>
    </w:p>
    <w:p w14:paraId="0746E2FE"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Gendelman, R., Preis, H., Chandran, L., Blair, R. J., Chitkara, M., &amp; Pati, S. (2021). Healthcare workforce transformation: implementing patient-centered medical home standards in an academic medical center. </w:t>
      </w:r>
      <w:r w:rsidRPr="00525FBB">
        <w:rPr>
          <w:rFonts w:asciiTheme="majorBidi" w:hAnsiTheme="majorBidi" w:cstheme="majorBidi"/>
          <w:i/>
          <w:iCs/>
          <w:noProof/>
          <w:kern w:val="0"/>
          <w:sz w:val="24"/>
          <w:szCs w:val="24"/>
        </w:rPr>
        <w:t>BMC Medical Education</w:t>
      </w:r>
      <w:r w:rsidRPr="00525FBB">
        <w:rPr>
          <w:rFonts w:asciiTheme="majorBidi" w:hAnsiTheme="majorBidi" w:cstheme="majorBidi"/>
          <w:noProof/>
          <w:kern w:val="0"/>
          <w:sz w:val="24"/>
          <w:szCs w:val="24"/>
        </w:rPr>
        <w:t>. https://doi.org/10.1186/s12909-021-02775-9</w:t>
      </w:r>
    </w:p>
    <w:p w14:paraId="457EDB94"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Gurajala, S. (2023). Healthcare System in the Kingdom of Saudi Arabia: An Expat Doctor’s Perspective. </w:t>
      </w:r>
      <w:r w:rsidRPr="00525FBB">
        <w:rPr>
          <w:rFonts w:asciiTheme="majorBidi" w:hAnsiTheme="majorBidi" w:cstheme="majorBidi"/>
          <w:i/>
          <w:iCs/>
          <w:noProof/>
          <w:kern w:val="0"/>
          <w:sz w:val="24"/>
          <w:szCs w:val="24"/>
        </w:rPr>
        <w:t>Cureus</w:t>
      </w:r>
      <w:r w:rsidRPr="00525FBB">
        <w:rPr>
          <w:rFonts w:asciiTheme="majorBidi" w:hAnsiTheme="majorBidi" w:cstheme="majorBidi"/>
          <w:noProof/>
          <w:kern w:val="0"/>
          <w:sz w:val="24"/>
          <w:szCs w:val="24"/>
        </w:rPr>
        <w:t>. https://doi.org/10.7759/cureus.38806</w:t>
      </w:r>
    </w:p>
    <w:p w14:paraId="2EBA842C"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Lateef, A. M., &amp; Mhlongo, E. M. (2020). Trends in Patient-Centered Care in South West Nigeria: A Holistic Assessment of the Nurses Perception of Primary Healthcare Practice. </w:t>
      </w:r>
      <w:r w:rsidRPr="00525FBB">
        <w:rPr>
          <w:rFonts w:asciiTheme="majorBidi" w:hAnsiTheme="majorBidi" w:cstheme="majorBidi"/>
          <w:i/>
          <w:iCs/>
          <w:noProof/>
          <w:kern w:val="0"/>
          <w:sz w:val="24"/>
          <w:szCs w:val="24"/>
        </w:rPr>
        <w:t>Global Journal of Health Science</w:t>
      </w:r>
      <w:r w:rsidRPr="00525FBB">
        <w:rPr>
          <w:rFonts w:asciiTheme="majorBidi" w:hAnsiTheme="majorBidi" w:cstheme="majorBidi"/>
          <w:noProof/>
          <w:kern w:val="0"/>
          <w:sz w:val="24"/>
          <w:szCs w:val="24"/>
        </w:rPr>
        <w:t>. https://doi.org/10.5539/gjhs.v12n6p73</w:t>
      </w:r>
    </w:p>
    <w:p w14:paraId="446D69CB"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Mani, Z. A., &amp; Goniewicz, K. (2024). Transforming Healthcare in Saudi Arabia: A Comprehensive Evaluation of Vision 2030’s Impact. </w:t>
      </w:r>
      <w:r w:rsidRPr="00525FBB">
        <w:rPr>
          <w:rFonts w:asciiTheme="majorBidi" w:hAnsiTheme="majorBidi" w:cstheme="majorBidi"/>
          <w:i/>
          <w:iCs/>
          <w:noProof/>
          <w:kern w:val="0"/>
          <w:sz w:val="24"/>
          <w:szCs w:val="24"/>
        </w:rPr>
        <w:t>Sustainability 2024, Vol. 16, Page 3277</w:t>
      </w:r>
      <w:r w:rsidRPr="00525FBB">
        <w:rPr>
          <w:rFonts w:asciiTheme="majorBidi" w:hAnsiTheme="majorBidi" w:cstheme="majorBidi"/>
          <w:noProof/>
          <w:kern w:val="0"/>
          <w:sz w:val="24"/>
          <w:szCs w:val="24"/>
        </w:rPr>
        <w:t xml:space="preserve">, </w:t>
      </w:r>
      <w:r w:rsidRPr="00525FBB">
        <w:rPr>
          <w:rFonts w:asciiTheme="majorBidi" w:hAnsiTheme="majorBidi" w:cstheme="majorBidi"/>
          <w:i/>
          <w:iCs/>
          <w:noProof/>
          <w:kern w:val="0"/>
          <w:sz w:val="24"/>
          <w:szCs w:val="24"/>
        </w:rPr>
        <w:t>16</w:t>
      </w:r>
      <w:r w:rsidRPr="00525FBB">
        <w:rPr>
          <w:rFonts w:asciiTheme="majorBidi" w:hAnsiTheme="majorBidi" w:cstheme="majorBidi"/>
          <w:noProof/>
          <w:kern w:val="0"/>
          <w:sz w:val="24"/>
          <w:szCs w:val="24"/>
        </w:rPr>
        <w:t>(8), 3277. https://doi.org/10.3390/SU16083277</w:t>
      </w:r>
    </w:p>
    <w:p w14:paraId="34807A79"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Mathur, S., &amp; Sutton, J. (2017). Personalized medicine could transform healthcare (Review). In </w:t>
      </w:r>
      <w:r w:rsidRPr="00525FBB">
        <w:rPr>
          <w:rFonts w:asciiTheme="majorBidi" w:hAnsiTheme="majorBidi" w:cstheme="majorBidi"/>
          <w:i/>
          <w:iCs/>
          <w:noProof/>
          <w:kern w:val="0"/>
          <w:sz w:val="24"/>
          <w:szCs w:val="24"/>
        </w:rPr>
        <w:t>Biomedical Reports</w:t>
      </w:r>
      <w:r w:rsidRPr="00525FBB">
        <w:rPr>
          <w:rFonts w:asciiTheme="majorBidi" w:hAnsiTheme="majorBidi" w:cstheme="majorBidi"/>
          <w:noProof/>
          <w:kern w:val="0"/>
          <w:sz w:val="24"/>
          <w:szCs w:val="24"/>
        </w:rPr>
        <w:t>. https://doi.org/10.3892/br.2017.922</w:t>
      </w:r>
    </w:p>
    <w:p w14:paraId="3FE732BF"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Mohammed, S., Al Yami, A., Hamad, A., Alyami, K., Algobry, B. Y., Shabeh, H. A., Shaibah, R. A., Ali, M., Hamaim, B., Saif, M., Alyami, H., Ghaseb, H., Al Mreah, M., Muhammad, H., Al Hattab, H., Mahdi, S., Saleh, M. A., &amp; Sinan, A. (2024). Challenges and Opportunities in Healthcare Delivery in Saudi Arabia. </w:t>
      </w:r>
      <w:r w:rsidRPr="00525FBB">
        <w:rPr>
          <w:rFonts w:asciiTheme="majorBidi" w:hAnsiTheme="majorBidi" w:cstheme="majorBidi"/>
          <w:i/>
          <w:iCs/>
          <w:noProof/>
          <w:kern w:val="0"/>
          <w:sz w:val="24"/>
          <w:szCs w:val="24"/>
        </w:rPr>
        <w:t>Journal of International Crisis and Risk Communication Research</w:t>
      </w:r>
      <w:r w:rsidRPr="00525FBB">
        <w:rPr>
          <w:rFonts w:asciiTheme="majorBidi" w:hAnsiTheme="majorBidi" w:cstheme="majorBidi"/>
          <w:noProof/>
          <w:kern w:val="0"/>
          <w:sz w:val="24"/>
          <w:szCs w:val="24"/>
        </w:rPr>
        <w:t>, 1907–1925. https://doi.org/10.63278/JICRCR.VI.1197</w:t>
      </w:r>
    </w:p>
    <w:p w14:paraId="2392AB78"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Moore, L., Britten, N., Lydahl, D., Naldemirci, Ö., Elam, M., &amp; Wolf, A. (2017). Barriers </w:t>
      </w:r>
      <w:r w:rsidRPr="00525FBB">
        <w:rPr>
          <w:rFonts w:asciiTheme="majorBidi" w:hAnsiTheme="majorBidi" w:cstheme="majorBidi"/>
          <w:noProof/>
          <w:kern w:val="0"/>
          <w:sz w:val="24"/>
          <w:szCs w:val="24"/>
        </w:rPr>
        <w:lastRenderedPageBreak/>
        <w:t xml:space="preserve">and facilitators to the implementation of person-centred care in different healthcare contexts. </w:t>
      </w:r>
      <w:r w:rsidRPr="00525FBB">
        <w:rPr>
          <w:rFonts w:asciiTheme="majorBidi" w:hAnsiTheme="majorBidi" w:cstheme="majorBidi"/>
          <w:i/>
          <w:iCs/>
          <w:noProof/>
          <w:kern w:val="0"/>
          <w:sz w:val="24"/>
          <w:szCs w:val="24"/>
        </w:rPr>
        <w:t>Scandinavian Journal of Caring Sciences</w:t>
      </w:r>
      <w:r w:rsidRPr="00525FBB">
        <w:rPr>
          <w:rFonts w:asciiTheme="majorBidi" w:hAnsiTheme="majorBidi" w:cstheme="majorBidi"/>
          <w:noProof/>
          <w:kern w:val="0"/>
          <w:sz w:val="24"/>
          <w:szCs w:val="24"/>
        </w:rPr>
        <w:t>. https://doi.org/10.1111/scs.12376</w:t>
      </w:r>
    </w:p>
    <w:p w14:paraId="4CC8EB84"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Nhavoto, J. A., &amp; Grönlund, A. (2014). Mobile technologies and geographic information systems to improve health care systems: A literature review. In </w:t>
      </w:r>
      <w:r w:rsidRPr="00525FBB">
        <w:rPr>
          <w:rFonts w:asciiTheme="majorBidi" w:hAnsiTheme="majorBidi" w:cstheme="majorBidi"/>
          <w:i/>
          <w:iCs/>
          <w:noProof/>
          <w:kern w:val="0"/>
          <w:sz w:val="24"/>
          <w:szCs w:val="24"/>
        </w:rPr>
        <w:t>JMIR mHealth and uHealth</w:t>
      </w:r>
      <w:r w:rsidRPr="00525FBB">
        <w:rPr>
          <w:rFonts w:asciiTheme="majorBidi" w:hAnsiTheme="majorBidi" w:cstheme="majorBidi"/>
          <w:noProof/>
          <w:kern w:val="0"/>
          <w:sz w:val="24"/>
          <w:szCs w:val="24"/>
        </w:rPr>
        <w:t>. https://doi.org/10.2196/mhealth.3216</w:t>
      </w:r>
    </w:p>
    <w:p w14:paraId="53000763"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OECD. (2021). Long-term care settings | Health at a Glance 2021 : In </w:t>
      </w:r>
      <w:r w:rsidRPr="00525FBB">
        <w:rPr>
          <w:rFonts w:asciiTheme="majorBidi" w:hAnsiTheme="majorBidi" w:cstheme="majorBidi"/>
          <w:i/>
          <w:iCs/>
          <w:noProof/>
          <w:kern w:val="0"/>
          <w:sz w:val="24"/>
          <w:szCs w:val="24"/>
        </w:rPr>
        <w:t>OECD Indicators, OECD iLibrary</w:t>
      </w:r>
      <w:r w:rsidRPr="00525FBB">
        <w:rPr>
          <w:rFonts w:asciiTheme="majorBidi" w:hAnsiTheme="majorBidi" w:cstheme="majorBidi"/>
          <w:noProof/>
          <w:kern w:val="0"/>
          <w:sz w:val="24"/>
          <w:szCs w:val="24"/>
        </w:rPr>
        <w:t>.</w:t>
      </w:r>
    </w:p>
    <w:p w14:paraId="4328320A"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Rahman, R., &amp; Al-Borie, H. M. (2020). Strengthening the Saudi Arabian healthcare system: Role of Vision 2030. In </w:t>
      </w:r>
      <w:r w:rsidRPr="00525FBB">
        <w:rPr>
          <w:rFonts w:asciiTheme="majorBidi" w:hAnsiTheme="majorBidi" w:cstheme="majorBidi"/>
          <w:i/>
          <w:iCs/>
          <w:noProof/>
          <w:kern w:val="0"/>
          <w:sz w:val="24"/>
          <w:szCs w:val="24"/>
        </w:rPr>
        <w:t>International Journal of Healthcare Management</w:t>
      </w:r>
      <w:r w:rsidRPr="00525FBB">
        <w:rPr>
          <w:rFonts w:asciiTheme="majorBidi" w:hAnsiTheme="majorBidi" w:cstheme="majorBidi"/>
          <w:noProof/>
          <w:kern w:val="0"/>
          <w:sz w:val="24"/>
          <w:szCs w:val="24"/>
        </w:rPr>
        <w:t xml:space="preserve"> (pp. 1–9). Taylor and Francis Ltd. https://doi.org/10.1080/20479700.2020.1788334</w:t>
      </w:r>
    </w:p>
    <w:p w14:paraId="781471A3"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Rahman, R., &amp; Qattan, A. (2021). Vision 2030 and Sustainable Development: State Capacity to Revitalize the Healthcare System in Saudi Arabia. </w:t>
      </w:r>
      <w:r w:rsidRPr="00525FBB">
        <w:rPr>
          <w:rFonts w:asciiTheme="majorBidi" w:hAnsiTheme="majorBidi" w:cstheme="majorBidi"/>
          <w:i/>
          <w:iCs/>
          <w:noProof/>
          <w:kern w:val="0"/>
          <w:sz w:val="24"/>
          <w:szCs w:val="24"/>
        </w:rPr>
        <w:t>Inquiry (United States)</w:t>
      </w:r>
      <w:r w:rsidRPr="00525FBB">
        <w:rPr>
          <w:rFonts w:asciiTheme="majorBidi" w:hAnsiTheme="majorBidi" w:cstheme="majorBidi"/>
          <w:noProof/>
          <w:kern w:val="0"/>
          <w:sz w:val="24"/>
          <w:szCs w:val="24"/>
        </w:rPr>
        <w:t xml:space="preserve">, </w:t>
      </w:r>
      <w:r w:rsidRPr="00525FBB">
        <w:rPr>
          <w:rFonts w:asciiTheme="majorBidi" w:hAnsiTheme="majorBidi" w:cstheme="majorBidi"/>
          <w:i/>
          <w:iCs/>
          <w:noProof/>
          <w:kern w:val="0"/>
          <w:sz w:val="24"/>
          <w:szCs w:val="24"/>
        </w:rPr>
        <w:t>58</w:t>
      </w:r>
      <w:r w:rsidRPr="00525FBB">
        <w:rPr>
          <w:rFonts w:asciiTheme="majorBidi" w:hAnsiTheme="majorBidi" w:cstheme="majorBidi"/>
          <w:noProof/>
          <w:kern w:val="0"/>
          <w:sz w:val="24"/>
          <w:szCs w:val="24"/>
        </w:rPr>
        <w:t>. https://doi.org/10.1177/0046958020984682</w:t>
      </w:r>
    </w:p>
    <w:p w14:paraId="43586969"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Riley, A. J., Alshammary, S. A., Abuzied, Y., Al-Amer, R., Bin-Hussain, I., Alwaalah, M., Alshammari, K., &amp; Alqumaizi, K. I. (2024). Accelerated transformation programme for healthcare services: Structure, function and the lessons learnt. </w:t>
      </w:r>
      <w:r w:rsidRPr="00525FBB">
        <w:rPr>
          <w:rFonts w:asciiTheme="majorBidi" w:hAnsiTheme="majorBidi" w:cstheme="majorBidi"/>
          <w:i/>
          <w:iCs/>
          <w:noProof/>
          <w:kern w:val="0"/>
          <w:sz w:val="24"/>
          <w:szCs w:val="24"/>
        </w:rPr>
        <w:t>BMJ Leader</w:t>
      </w:r>
      <w:r w:rsidRPr="00525FBB">
        <w:rPr>
          <w:rFonts w:asciiTheme="majorBidi" w:hAnsiTheme="majorBidi" w:cstheme="majorBidi"/>
          <w:noProof/>
          <w:kern w:val="0"/>
          <w:sz w:val="24"/>
          <w:szCs w:val="24"/>
        </w:rPr>
        <w:t>. https://doi.org/10.1136/leader-2023-000851</w:t>
      </w:r>
    </w:p>
    <w:p w14:paraId="31D0A9E7"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Shah, S., Diwan, S., Kohan, L., Rosenblum, D., Gharibo, C., Soin, A., Sulindro, A., Nguyen, Q., &amp; Provenzano, D. (2020). The technological impact of COVID-19 on the future of education and health care delivery. </w:t>
      </w:r>
      <w:r w:rsidRPr="00525FBB">
        <w:rPr>
          <w:rFonts w:asciiTheme="majorBidi" w:hAnsiTheme="majorBidi" w:cstheme="majorBidi"/>
          <w:i/>
          <w:iCs/>
          <w:noProof/>
          <w:kern w:val="0"/>
          <w:sz w:val="24"/>
          <w:szCs w:val="24"/>
        </w:rPr>
        <w:t>Pain Physician</w:t>
      </w:r>
      <w:r w:rsidRPr="00525FBB">
        <w:rPr>
          <w:rFonts w:asciiTheme="majorBidi" w:hAnsiTheme="majorBidi" w:cstheme="majorBidi"/>
          <w:noProof/>
          <w:kern w:val="0"/>
          <w:sz w:val="24"/>
          <w:szCs w:val="24"/>
        </w:rPr>
        <w:t>. https://doi.org/10.36076/ppj.2020/23/s367</w:t>
      </w:r>
    </w:p>
    <w:p w14:paraId="2D12C4B5"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Sheth, A. (2014). kHealth : Proactive Personalized Actionable Information for Better Healthcare. </w:t>
      </w:r>
      <w:r w:rsidRPr="00525FBB">
        <w:rPr>
          <w:rFonts w:asciiTheme="majorBidi" w:hAnsiTheme="majorBidi" w:cstheme="majorBidi"/>
          <w:i/>
          <w:iCs/>
          <w:noProof/>
          <w:kern w:val="0"/>
          <w:sz w:val="24"/>
          <w:szCs w:val="24"/>
        </w:rPr>
        <w:t>Workshop on Personal Data Analytics in the Internet of Things (PDA@IOT 2014)</w:t>
      </w:r>
      <w:r w:rsidRPr="00525FBB">
        <w:rPr>
          <w:rFonts w:asciiTheme="majorBidi" w:hAnsiTheme="majorBidi" w:cstheme="majorBidi"/>
          <w:noProof/>
          <w:kern w:val="0"/>
          <w:sz w:val="24"/>
          <w:szCs w:val="24"/>
        </w:rPr>
        <w:t>.</w:t>
      </w:r>
    </w:p>
    <w:p w14:paraId="441119A9"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Suleiman, A. K., &amp; Ming, L. C. (2025). Transforming healthcare: Saudi Arabia’s vision </w:t>
      </w:r>
      <w:r w:rsidRPr="00525FBB">
        <w:rPr>
          <w:rFonts w:asciiTheme="majorBidi" w:hAnsiTheme="majorBidi" w:cstheme="majorBidi"/>
          <w:noProof/>
          <w:kern w:val="0"/>
          <w:sz w:val="24"/>
          <w:szCs w:val="24"/>
        </w:rPr>
        <w:lastRenderedPageBreak/>
        <w:t xml:space="preserve">2030 healthcare model. In </w:t>
      </w:r>
      <w:r w:rsidRPr="00525FBB">
        <w:rPr>
          <w:rFonts w:asciiTheme="majorBidi" w:hAnsiTheme="majorBidi" w:cstheme="majorBidi"/>
          <w:i/>
          <w:iCs/>
          <w:noProof/>
          <w:kern w:val="0"/>
          <w:sz w:val="24"/>
          <w:szCs w:val="24"/>
        </w:rPr>
        <w:t>Journal of Pharmaceutical Policy and Practice</w:t>
      </w:r>
      <w:r w:rsidRPr="00525FBB">
        <w:rPr>
          <w:rFonts w:asciiTheme="majorBidi" w:hAnsiTheme="majorBidi" w:cstheme="majorBidi"/>
          <w:noProof/>
          <w:kern w:val="0"/>
          <w:sz w:val="24"/>
          <w:szCs w:val="24"/>
        </w:rPr>
        <w:t xml:space="preserve"> (Vol. 18, Issue 1, p. 2449051). Taylor and Francis Ltd. https://doi.org/10.1080/20523211.2024.2449051</w:t>
      </w:r>
    </w:p>
    <w:p w14:paraId="5F12544A"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Turcotte, P. L., Carrier, A., Desrosiers, J., &amp; Levasseur, M. (2015). Are health promotion and prevention interventions integrated into occupational therapy practice with older adults having disabilities? Insights from six community health settings in Québec, Canada. </w:t>
      </w:r>
      <w:r w:rsidRPr="00525FBB">
        <w:rPr>
          <w:rFonts w:asciiTheme="majorBidi" w:hAnsiTheme="majorBidi" w:cstheme="majorBidi"/>
          <w:i/>
          <w:iCs/>
          <w:noProof/>
          <w:kern w:val="0"/>
          <w:sz w:val="24"/>
          <w:szCs w:val="24"/>
        </w:rPr>
        <w:t>Australian Occupational Therapy Journal</w:t>
      </w:r>
      <w:r w:rsidRPr="00525FBB">
        <w:rPr>
          <w:rFonts w:asciiTheme="majorBidi" w:hAnsiTheme="majorBidi" w:cstheme="majorBidi"/>
          <w:noProof/>
          <w:kern w:val="0"/>
          <w:sz w:val="24"/>
          <w:szCs w:val="24"/>
        </w:rPr>
        <w:t>. https://doi.org/10.1111/1440-1630.12174</w:t>
      </w:r>
    </w:p>
    <w:p w14:paraId="5D388A4D"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US-UAE Business Council. (2014). The U.A.E. Healthcare Sector. </w:t>
      </w:r>
      <w:r w:rsidRPr="00525FBB">
        <w:rPr>
          <w:rFonts w:asciiTheme="majorBidi" w:hAnsiTheme="majorBidi" w:cstheme="majorBidi"/>
          <w:i/>
          <w:iCs/>
          <w:noProof/>
          <w:kern w:val="0"/>
          <w:sz w:val="24"/>
          <w:szCs w:val="24"/>
        </w:rPr>
        <w:t>UAE Business Council</w:t>
      </w:r>
      <w:r w:rsidRPr="00525FBB">
        <w:rPr>
          <w:rFonts w:asciiTheme="majorBidi" w:hAnsiTheme="majorBidi" w:cstheme="majorBidi"/>
          <w:noProof/>
          <w:kern w:val="0"/>
          <w:sz w:val="24"/>
          <w:szCs w:val="24"/>
        </w:rPr>
        <w:t>.</w:t>
      </w:r>
    </w:p>
    <w:p w14:paraId="5D1E89A2"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World Health Organization(WHO). (2019). Medication Safety in high-risk situations. </w:t>
      </w:r>
      <w:r w:rsidRPr="00525FBB">
        <w:rPr>
          <w:rFonts w:asciiTheme="majorBidi" w:hAnsiTheme="majorBidi" w:cstheme="majorBidi"/>
          <w:i/>
          <w:iCs/>
          <w:noProof/>
          <w:kern w:val="0"/>
          <w:sz w:val="24"/>
          <w:szCs w:val="24"/>
        </w:rPr>
        <w:t>The Third Global Patient Safety Challenge: Medication Without Harm, Webinar on Medication Safety</w:t>
      </w:r>
      <w:r w:rsidRPr="00525FBB">
        <w:rPr>
          <w:rFonts w:asciiTheme="majorBidi" w:hAnsiTheme="majorBidi" w:cstheme="majorBidi"/>
          <w:noProof/>
          <w:kern w:val="0"/>
          <w:sz w:val="24"/>
          <w:szCs w:val="24"/>
        </w:rPr>
        <w:t>.</w:t>
      </w:r>
    </w:p>
    <w:p w14:paraId="7792E7A3"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World Health Organization. (2023). </w:t>
      </w:r>
      <w:r w:rsidRPr="00525FBB">
        <w:rPr>
          <w:rFonts w:asciiTheme="majorBidi" w:hAnsiTheme="majorBidi" w:cstheme="majorBidi"/>
          <w:i/>
          <w:iCs/>
          <w:noProof/>
          <w:kern w:val="0"/>
          <w:sz w:val="24"/>
          <w:szCs w:val="24"/>
        </w:rPr>
        <w:t>WHO Global Health Workforce Statistics Database</w:t>
      </w:r>
      <w:r w:rsidRPr="00525FBB">
        <w:rPr>
          <w:rFonts w:asciiTheme="majorBidi" w:hAnsiTheme="majorBidi" w:cstheme="majorBidi"/>
          <w:noProof/>
          <w:kern w:val="0"/>
          <w:sz w:val="24"/>
          <w:szCs w:val="24"/>
        </w:rPr>
        <w:t>. Geneva. https://www.who.int/data/gho/data/themes/topics/health-workforce</w:t>
      </w:r>
    </w:p>
    <w:p w14:paraId="59CD459C"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Yousef, L., Alangari, D., Alshehri, R., Alsharif, B., Bayameen, O., &amp; Alnemer, Z. (2023). Healthcare transformation journey in the Eastern Region of Saudi Arabia: an overview, challenges and lessons learned. </w:t>
      </w:r>
      <w:r w:rsidRPr="00525FBB">
        <w:rPr>
          <w:rFonts w:asciiTheme="majorBidi" w:hAnsiTheme="majorBidi" w:cstheme="majorBidi"/>
          <w:i/>
          <w:iCs/>
          <w:noProof/>
          <w:kern w:val="0"/>
          <w:sz w:val="24"/>
          <w:szCs w:val="24"/>
        </w:rPr>
        <w:t>Journal of Medicine and Life</w:t>
      </w:r>
      <w:r w:rsidRPr="00525FBB">
        <w:rPr>
          <w:rFonts w:asciiTheme="majorBidi" w:hAnsiTheme="majorBidi" w:cstheme="majorBidi"/>
          <w:noProof/>
          <w:kern w:val="0"/>
          <w:sz w:val="24"/>
          <w:szCs w:val="24"/>
        </w:rPr>
        <w:t>. https://doi.org/10.25122/jml-2023-0010</w:t>
      </w:r>
    </w:p>
    <w:p w14:paraId="32F45301"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sz w:val="24"/>
          <w:szCs w:val="24"/>
        </w:rPr>
      </w:pPr>
      <w:r w:rsidRPr="00525FBB">
        <w:rPr>
          <w:rFonts w:asciiTheme="majorBidi" w:hAnsiTheme="majorBidi" w:cstheme="majorBidi"/>
          <w:noProof/>
          <w:kern w:val="0"/>
          <w:sz w:val="24"/>
          <w:szCs w:val="24"/>
        </w:rPr>
        <w:t xml:space="preserve">Zarocostas, J. (2021). WHO and World Bank urge spending for UHC. In </w:t>
      </w:r>
      <w:r w:rsidRPr="00525FBB">
        <w:rPr>
          <w:rFonts w:asciiTheme="majorBidi" w:hAnsiTheme="majorBidi" w:cstheme="majorBidi"/>
          <w:i/>
          <w:iCs/>
          <w:noProof/>
          <w:kern w:val="0"/>
          <w:sz w:val="24"/>
          <w:szCs w:val="24"/>
        </w:rPr>
        <w:t>Lancet (London, England)</w:t>
      </w:r>
      <w:r w:rsidRPr="00525FBB">
        <w:rPr>
          <w:rFonts w:asciiTheme="majorBidi" w:hAnsiTheme="majorBidi" w:cstheme="majorBidi"/>
          <w:noProof/>
          <w:kern w:val="0"/>
          <w:sz w:val="24"/>
          <w:szCs w:val="24"/>
        </w:rPr>
        <w:t>. https://doi.org/10.1016/S0140-6736(21)02792-6</w:t>
      </w:r>
    </w:p>
    <w:p w14:paraId="62212554" w14:textId="77777777" w:rsidR="00525FBB" w:rsidRPr="00525FBB" w:rsidRDefault="00525FBB" w:rsidP="00525FBB">
      <w:pPr>
        <w:spacing w:after="0" w:line="480" w:lineRule="auto"/>
        <w:jc w:val="right"/>
        <w:rPr>
          <w:rFonts w:asciiTheme="majorBidi" w:hAnsiTheme="majorBidi" w:cstheme="majorBidi"/>
          <w:sz w:val="24"/>
          <w:szCs w:val="24"/>
        </w:rPr>
      </w:pPr>
      <w:r w:rsidRPr="00525FBB">
        <w:rPr>
          <w:rFonts w:asciiTheme="majorBidi" w:hAnsiTheme="majorBidi" w:cstheme="majorBidi"/>
          <w:sz w:val="24"/>
          <w:szCs w:val="24"/>
        </w:rPr>
        <w:fldChar w:fldCharType="end"/>
      </w:r>
    </w:p>
    <w:p w14:paraId="01FEEAE7" w14:textId="3C9B2511" w:rsidR="00D34361" w:rsidRPr="00525FBB" w:rsidRDefault="00D34361" w:rsidP="00525FBB">
      <w:pPr>
        <w:tabs>
          <w:tab w:val="left" w:pos="5292"/>
        </w:tabs>
        <w:jc w:val="right"/>
        <w:rPr>
          <w:rFonts w:asciiTheme="majorBidi" w:hAnsiTheme="majorBidi" w:cstheme="majorBidi"/>
          <w:sz w:val="24"/>
          <w:szCs w:val="24"/>
        </w:rPr>
      </w:pPr>
    </w:p>
    <w:sectPr w:rsidR="00D34361" w:rsidRPr="00525FBB"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AFC6E0" w14:textId="77777777" w:rsidR="0043651F" w:rsidRDefault="0043651F" w:rsidP="009125CE">
      <w:pPr>
        <w:spacing w:after="0" w:line="240" w:lineRule="auto"/>
      </w:pPr>
      <w:r>
        <w:separator/>
      </w:r>
    </w:p>
  </w:endnote>
  <w:endnote w:type="continuationSeparator" w:id="0">
    <w:p w14:paraId="14D99D9D" w14:textId="77777777" w:rsidR="0043651F" w:rsidRDefault="0043651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144572916"/>
      <w:docPartObj>
        <w:docPartGallery w:val="Page Numbers (Bottom of Page)"/>
        <w:docPartUnique/>
      </w:docPartObj>
    </w:sdtPr>
    <w:sdtEndPr>
      <w:rPr>
        <w:noProof/>
      </w:rPr>
    </w:sdtEndPr>
    <w:sdtContent>
      <w:p w14:paraId="336B106C" w14:textId="299378D0" w:rsidR="00A55D84" w:rsidRDefault="00A55D84">
        <w:pPr>
          <w:pStyle w:val="Footer"/>
        </w:pPr>
        <w:r>
          <w:fldChar w:fldCharType="begin"/>
        </w:r>
        <w:r>
          <w:instrText xml:space="preserve"> PAGE   \* MERGEFORMAT </w:instrText>
        </w:r>
        <w:r>
          <w:fldChar w:fldCharType="separate"/>
        </w:r>
        <w:r>
          <w:rPr>
            <w:noProof/>
            <w:rtl/>
          </w:rPr>
          <w:t>33</w:t>
        </w:r>
        <w:r>
          <w:rPr>
            <w:noProof/>
          </w:rPr>
          <w:fldChar w:fldCharType="end"/>
        </w:r>
      </w:p>
    </w:sdtContent>
  </w:sdt>
  <w:p w14:paraId="72C6F7BB" w14:textId="77777777" w:rsidR="00C56A95" w:rsidRDefault="00C56A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0B3059" w14:textId="77777777" w:rsidR="0043651F" w:rsidRDefault="0043651F" w:rsidP="009125CE">
      <w:pPr>
        <w:spacing w:after="0" w:line="240" w:lineRule="auto"/>
      </w:pPr>
      <w:r>
        <w:separator/>
      </w:r>
    </w:p>
  </w:footnote>
  <w:footnote w:type="continuationSeparator" w:id="0">
    <w:p w14:paraId="1F4F6A73" w14:textId="77777777" w:rsidR="0043651F" w:rsidRDefault="0043651F" w:rsidP="009125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2405D"/>
    <w:rsid w:val="00030628"/>
    <w:rsid w:val="000362FA"/>
    <w:rsid w:val="00083B13"/>
    <w:rsid w:val="00090F21"/>
    <w:rsid w:val="00095F07"/>
    <w:rsid w:val="00096F1F"/>
    <w:rsid w:val="000D3CC2"/>
    <w:rsid w:val="000E03D7"/>
    <w:rsid w:val="000E219F"/>
    <w:rsid w:val="000F44B4"/>
    <w:rsid w:val="0014555A"/>
    <w:rsid w:val="00185A54"/>
    <w:rsid w:val="001902DB"/>
    <w:rsid w:val="001A60E3"/>
    <w:rsid w:val="001C2162"/>
    <w:rsid w:val="001D29EE"/>
    <w:rsid w:val="00234426"/>
    <w:rsid w:val="00243C81"/>
    <w:rsid w:val="002B0E31"/>
    <w:rsid w:val="002B4D04"/>
    <w:rsid w:val="002B5969"/>
    <w:rsid w:val="002C51BE"/>
    <w:rsid w:val="002D496A"/>
    <w:rsid w:val="00340F0A"/>
    <w:rsid w:val="0037265D"/>
    <w:rsid w:val="00395719"/>
    <w:rsid w:val="003A5D5C"/>
    <w:rsid w:val="003B275F"/>
    <w:rsid w:val="003D3F48"/>
    <w:rsid w:val="003E7E9C"/>
    <w:rsid w:val="00402497"/>
    <w:rsid w:val="004163C7"/>
    <w:rsid w:val="0043651F"/>
    <w:rsid w:val="00437935"/>
    <w:rsid w:val="004B7140"/>
    <w:rsid w:val="00506A5D"/>
    <w:rsid w:val="00525FBB"/>
    <w:rsid w:val="005466A8"/>
    <w:rsid w:val="00554632"/>
    <w:rsid w:val="00683762"/>
    <w:rsid w:val="006878B6"/>
    <w:rsid w:val="006948DE"/>
    <w:rsid w:val="00705B02"/>
    <w:rsid w:val="007B0E54"/>
    <w:rsid w:val="007E3A20"/>
    <w:rsid w:val="007E657E"/>
    <w:rsid w:val="007F5BAF"/>
    <w:rsid w:val="00804376"/>
    <w:rsid w:val="00877AAC"/>
    <w:rsid w:val="008868F9"/>
    <w:rsid w:val="00896FE4"/>
    <w:rsid w:val="008C3D8C"/>
    <w:rsid w:val="008D28C1"/>
    <w:rsid w:val="008D36B1"/>
    <w:rsid w:val="008D761C"/>
    <w:rsid w:val="008E4A69"/>
    <w:rsid w:val="008F1EAE"/>
    <w:rsid w:val="009125CE"/>
    <w:rsid w:val="00946F5F"/>
    <w:rsid w:val="009753FE"/>
    <w:rsid w:val="00975667"/>
    <w:rsid w:val="0098049D"/>
    <w:rsid w:val="00992C84"/>
    <w:rsid w:val="00993FD3"/>
    <w:rsid w:val="009B5EC2"/>
    <w:rsid w:val="009B6888"/>
    <w:rsid w:val="009C0161"/>
    <w:rsid w:val="009D108D"/>
    <w:rsid w:val="009D27A0"/>
    <w:rsid w:val="009E1436"/>
    <w:rsid w:val="009E3C06"/>
    <w:rsid w:val="009E5668"/>
    <w:rsid w:val="00A01639"/>
    <w:rsid w:val="00A55D84"/>
    <w:rsid w:val="00AA79E9"/>
    <w:rsid w:val="00AB0A70"/>
    <w:rsid w:val="00AB79B1"/>
    <w:rsid w:val="00AF3EF9"/>
    <w:rsid w:val="00B0545D"/>
    <w:rsid w:val="00B63B0F"/>
    <w:rsid w:val="00B7678A"/>
    <w:rsid w:val="00BC094B"/>
    <w:rsid w:val="00BC31D5"/>
    <w:rsid w:val="00BE0C9A"/>
    <w:rsid w:val="00C04162"/>
    <w:rsid w:val="00C04FC0"/>
    <w:rsid w:val="00C56A95"/>
    <w:rsid w:val="00C61C60"/>
    <w:rsid w:val="00C72744"/>
    <w:rsid w:val="00C97D8D"/>
    <w:rsid w:val="00CB2A44"/>
    <w:rsid w:val="00CD4734"/>
    <w:rsid w:val="00CF5D2B"/>
    <w:rsid w:val="00D04F62"/>
    <w:rsid w:val="00D22171"/>
    <w:rsid w:val="00D227D4"/>
    <w:rsid w:val="00D2468F"/>
    <w:rsid w:val="00D34361"/>
    <w:rsid w:val="00D515A6"/>
    <w:rsid w:val="00D52480"/>
    <w:rsid w:val="00DA0FF8"/>
    <w:rsid w:val="00DD0C02"/>
    <w:rsid w:val="00E5790D"/>
    <w:rsid w:val="00E80FD9"/>
    <w:rsid w:val="00F0327B"/>
    <w:rsid w:val="00F04531"/>
    <w:rsid w:val="00F05E4E"/>
    <w:rsid w:val="00F229FD"/>
    <w:rsid w:val="00F540ED"/>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9E3C06"/>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246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08176">
      <w:bodyDiv w:val="1"/>
      <w:marLeft w:val="0"/>
      <w:marRight w:val="0"/>
      <w:marTop w:val="0"/>
      <w:marBottom w:val="0"/>
      <w:divBdr>
        <w:top w:val="none" w:sz="0" w:space="0" w:color="auto"/>
        <w:left w:val="none" w:sz="0" w:space="0" w:color="auto"/>
        <w:bottom w:val="none" w:sz="0" w:space="0" w:color="auto"/>
        <w:right w:val="none" w:sz="0" w:space="0" w:color="auto"/>
      </w:divBdr>
    </w:div>
    <w:div w:id="38820331">
      <w:bodyDiv w:val="1"/>
      <w:marLeft w:val="0"/>
      <w:marRight w:val="0"/>
      <w:marTop w:val="0"/>
      <w:marBottom w:val="0"/>
      <w:divBdr>
        <w:top w:val="none" w:sz="0" w:space="0" w:color="auto"/>
        <w:left w:val="none" w:sz="0" w:space="0" w:color="auto"/>
        <w:bottom w:val="none" w:sz="0" w:space="0" w:color="auto"/>
        <w:right w:val="none" w:sz="0" w:space="0" w:color="auto"/>
      </w:divBdr>
    </w:div>
    <w:div w:id="83693149">
      <w:bodyDiv w:val="1"/>
      <w:marLeft w:val="0"/>
      <w:marRight w:val="0"/>
      <w:marTop w:val="0"/>
      <w:marBottom w:val="0"/>
      <w:divBdr>
        <w:top w:val="none" w:sz="0" w:space="0" w:color="auto"/>
        <w:left w:val="none" w:sz="0" w:space="0" w:color="auto"/>
        <w:bottom w:val="none" w:sz="0" w:space="0" w:color="auto"/>
        <w:right w:val="none" w:sz="0" w:space="0" w:color="auto"/>
      </w:divBdr>
    </w:div>
    <w:div w:id="108478479">
      <w:bodyDiv w:val="1"/>
      <w:marLeft w:val="0"/>
      <w:marRight w:val="0"/>
      <w:marTop w:val="0"/>
      <w:marBottom w:val="0"/>
      <w:divBdr>
        <w:top w:val="none" w:sz="0" w:space="0" w:color="auto"/>
        <w:left w:val="none" w:sz="0" w:space="0" w:color="auto"/>
        <w:bottom w:val="none" w:sz="0" w:space="0" w:color="auto"/>
        <w:right w:val="none" w:sz="0" w:space="0" w:color="auto"/>
      </w:divBdr>
    </w:div>
    <w:div w:id="108933652">
      <w:bodyDiv w:val="1"/>
      <w:marLeft w:val="0"/>
      <w:marRight w:val="0"/>
      <w:marTop w:val="0"/>
      <w:marBottom w:val="0"/>
      <w:divBdr>
        <w:top w:val="none" w:sz="0" w:space="0" w:color="auto"/>
        <w:left w:val="none" w:sz="0" w:space="0" w:color="auto"/>
        <w:bottom w:val="none" w:sz="0" w:space="0" w:color="auto"/>
        <w:right w:val="none" w:sz="0" w:space="0" w:color="auto"/>
      </w:divBdr>
    </w:div>
    <w:div w:id="127937244">
      <w:bodyDiv w:val="1"/>
      <w:marLeft w:val="0"/>
      <w:marRight w:val="0"/>
      <w:marTop w:val="0"/>
      <w:marBottom w:val="0"/>
      <w:divBdr>
        <w:top w:val="none" w:sz="0" w:space="0" w:color="auto"/>
        <w:left w:val="none" w:sz="0" w:space="0" w:color="auto"/>
        <w:bottom w:val="none" w:sz="0" w:space="0" w:color="auto"/>
        <w:right w:val="none" w:sz="0" w:space="0" w:color="auto"/>
      </w:divBdr>
    </w:div>
    <w:div w:id="186407562">
      <w:bodyDiv w:val="1"/>
      <w:marLeft w:val="0"/>
      <w:marRight w:val="0"/>
      <w:marTop w:val="0"/>
      <w:marBottom w:val="0"/>
      <w:divBdr>
        <w:top w:val="none" w:sz="0" w:space="0" w:color="auto"/>
        <w:left w:val="none" w:sz="0" w:space="0" w:color="auto"/>
        <w:bottom w:val="none" w:sz="0" w:space="0" w:color="auto"/>
        <w:right w:val="none" w:sz="0" w:space="0" w:color="auto"/>
      </w:divBdr>
    </w:div>
    <w:div w:id="186873393">
      <w:bodyDiv w:val="1"/>
      <w:marLeft w:val="0"/>
      <w:marRight w:val="0"/>
      <w:marTop w:val="0"/>
      <w:marBottom w:val="0"/>
      <w:divBdr>
        <w:top w:val="none" w:sz="0" w:space="0" w:color="auto"/>
        <w:left w:val="none" w:sz="0" w:space="0" w:color="auto"/>
        <w:bottom w:val="none" w:sz="0" w:space="0" w:color="auto"/>
        <w:right w:val="none" w:sz="0" w:space="0" w:color="auto"/>
      </w:divBdr>
    </w:div>
    <w:div w:id="188957089">
      <w:bodyDiv w:val="1"/>
      <w:marLeft w:val="0"/>
      <w:marRight w:val="0"/>
      <w:marTop w:val="0"/>
      <w:marBottom w:val="0"/>
      <w:divBdr>
        <w:top w:val="none" w:sz="0" w:space="0" w:color="auto"/>
        <w:left w:val="none" w:sz="0" w:space="0" w:color="auto"/>
        <w:bottom w:val="none" w:sz="0" w:space="0" w:color="auto"/>
        <w:right w:val="none" w:sz="0" w:space="0" w:color="auto"/>
      </w:divBdr>
    </w:div>
    <w:div w:id="199170255">
      <w:bodyDiv w:val="1"/>
      <w:marLeft w:val="0"/>
      <w:marRight w:val="0"/>
      <w:marTop w:val="0"/>
      <w:marBottom w:val="0"/>
      <w:divBdr>
        <w:top w:val="none" w:sz="0" w:space="0" w:color="auto"/>
        <w:left w:val="none" w:sz="0" w:space="0" w:color="auto"/>
        <w:bottom w:val="none" w:sz="0" w:space="0" w:color="auto"/>
        <w:right w:val="none" w:sz="0" w:space="0" w:color="auto"/>
      </w:divBdr>
    </w:div>
    <w:div w:id="202139710">
      <w:bodyDiv w:val="1"/>
      <w:marLeft w:val="0"/>
      <w:marRight w:val="0"/>
      <w:marTop w:val="0"/>
      <w:marBottom w:val="0"/>
      <w:divBdr>
        <w:top w:val="none" w:sz="0" w:space="0" w:color="auto"/>
        <w:left w:val="none" w:sz="0" w:space="0" w:color="auto"/>
        <w:bottom w:val="none" w:sz="0" w:space="0" w:color="auto"/>
        <w:right w:val="none" w:sz="0" w:space="0" w:color="auto"/>
      </w:divBdr>
    </w:div>
    <w:div w:id="238246717">
      <w:bodyDiv w:val="1"/>
      <w:marLeft w:val="0"/>
      <w:marRight w:val="0"/>
      <w:marTop w:val="0"/>
      <w:marBottom w:val="0"/>
      <w:divBdr>
        <w:top w:val="none" w:sz="0" w:space="0" w:color="auto"/>
        <w:left w:val="none" w:sz="0" w:space="0" w:color="auto"/>
        <w:bottom w:val="none" w:sz="0" w:space="0" w:color="auto"/>
        <w:right w:val="none" w:sz="0" w:space="0" w:color="auto"/>
      </w:divBdr>
    </w:div>
    <w:div w:id="264922326">
      <w:bodyDiv w:val="1"/>
      <w:marLeft w:val="0"/>
      <w:marRight w:val="0"/>
      <w:marTop w:val="0"/>
      <w:marBottom w:val="0"/>
      <w:divBdr>
        <w:top w:val="none" w:sz="0" w:space="0" w:color="auto"/>
        <w:left w:val="none" w:sz="0" w:space="0" w:color="auto"/>
        <w:bottom w:val="none" w:sz="0" w:space="0" w:color="auto"/>
        <w:right w:val="none" w:sz="0" w:space="0" w:color="auto"/>
      </w:divBdr>
    </w:div>
    <w:div w:id="364335818">
      <w:bodyDiv w:val="1"/>
      <w:marLeft w:val="0"/>
      <w:marRight w:val="0"/>
      <w:marTop w:val="0"/>
      <w:marBottom w:val="0"/>
      <w:divBdr>
        <w:top w:val="none" w:sz="0" w:space="0" w:color="auto"/>
        <w:left w:val="none" w:sz="0" w:space="0" w:color="auto"/>
        <w:bottom w:val="none" w:sz="0" w:space="0" w:color="auto"/>
        <w:right w:val="none" w:sz="0" w:space="0" w:color="auto"/>
      </w:divBdr>
    </w:div>
    <w:div w:id="410738031">
      <w:bodyDiv w:val="1"/>
      <w:marLeft w:val="0"/>
      <w:marRight w:val="0"/>
      <w:marTop w:val="0"/>
      <w:marBottom w:val="0"/>
      <w:divBdr>
        <w:top w:val="none" w:sz="0" w:space="0" w:color="auto"/>
        <w:left w:val="none" w:sz="0" w:space="0" w:color="auto"/>
        <w:bottom w:val="none" w:sz="0" w:space="0" w:color="auto"/>
        <w:right w:val="none" w:sz="0" w:space="0" w:color="auto"/>
      </w:divBdr>
    </w:div>
    <w:div w:id="422805086">
      <w:bodyDiv w:val="1"/>
      <w:marLeft w:val="0"/>
      <w:marRight w:val="0"/>
      <w:marTop w:val="0"/>
      <w:marBottom w:val="0"/>
      <w:divBdr>
        <w:top w:val="none" w:sz="0" w:space="0" w:color="auto"/>
        <w:left w:val="none" w:sz="0" w:space="0" w:color="auto"/>
        <w:bottom w:val="none" w:sz="0" w:space="0" w:color="auto"/>
        <w:right w:val="none" w:sz="0" w:space="0" w:color="auto"/>
      </w:divBdr>
    </w:div>
    <w:div w:id="436218637">
      <w:bodyDiv w:val="1"/>
      <w:marLeft w:val="0"/>
      <w:marRight w:val="0"/>
      <w:marTop w:val="0"/>
      <w:marBottom w:val="0"/>
      <w:divBdr>
        <w:top w:val="none" w:sz="0" w:space="0" w:color="auto"/>
        <w:left w:val="none" w:sz="0" w:space="0" w:color="auto"/>
        <w:bottom w:val="none" w:sz="0" w:space="0" w:color="auto"/>
        <w:right w:val="none" w:sz="0" w:space="0" w:color="auto"/>
      </w:divBdr>
    </w:div>
    <w:div w:id="449784612">
      <w:bodyDiv w:val="1"/>
      <w:marLeft w:val="0"/>
      <w:marRight w:val="0"/>
      <w:marTop w:val="0"/>
      <w:marBottom w:val="0"/>
      <w:divBdr>
        <w:top w:val="none" w:sz="0" w:space="0" w:color="auto"/>
        <w:left w:val="none" w:sz="0" w:space="0" w:color="auto"/>
        <w:bottom w:val="none" w:sz="0" w:space="0" w:color="auto"/>
        <w:right w:val="none" w:sz="0" w:space="0" w:color="auto"/>
      </w:divBdr>
    </w:div>
    <w:div w:id="450638578">
      <w:bodyDiv w:val="1"/>
      <w:marLeft w:val="0"/>
      <w:marRight w:val="0"/>
      <w:marTop w:val="0"/>
      <w:marBottom w:val="0"/>
      <w:divBdr>
        <w:top w:val="none" w:sz="0" w:space="0" w:color="auto"/>
        <w:left w:val="none" w:sz="0" w:space="0" w:color="auto"/>
        <w:bottom w:val="none" w:sz="0" w:space="0" w:color="auto"/>
        <w:right w:val="none" w:sz="0" w:space="0" w:color="auto"/>
      </w:divBdr>
    </w:div>
    <w:div w:id="451754780">
      <w:bodyDiv w:val="1"/>
      <w:marLeft w:val="0"/>
      <w:marRight w:val="0"/>
      <w:marTop w:val="0"/>
      <w:marBottom w:val="0"/>
      <w:divBdr>
        <w:top w:val="none" w:sz="0" w:space="0" w:color="auto"/>
        <w:left w:val="none" w:sz="0" w:space="0" w:color="auto"/>
        <w:bottom w:val="none" w:sz="0" w:space="0" w:color="auto"/>
        <w:right w:val="none" w:sz="0" w:space="0" w:color="auto"/>
      </w:divBdr>
    </w:div>
    <w:div w:id="464811491">
      <w:bodyDiv w:val="1"/>
      <w:marLeft w:val="0"/>
      <w:marRight w:val="0"/>
      <w:marTop w:val="0"/>
      <w:marBottom w:val="0"/>
      <w:divBdr>
        <w:top w:val="none" w:sz="0" w:space="0" w:color="auto"/>
        <w:left w:val="none" w:sz="0" w:space="0" w:color="auto"/>
        <w:bottom w:val="none" w:sz="0" w:space="0" w:color="auto"/>
        <w:right w:val="none" w:sz="0" w:space="0" w:color="auto"/>
      </w:divBdr>
    </w:div>
    <w:div w:id="523521461">
      <w:bodyDiv w:val="1"/>
      <w:marLeft w:val="0"/>
      <w:marRight w:val="0"/>
      <w:marTop w:val="0"/>
      <w:marBottom w:val="0"/>
      <w:divBdr>
        <w:top w:val="none" w:sz="0" w:space="0" w:color="auto"/>
        <w:left w:val="none" w:sz="0" w:space="0" w:color="auto"/>
        <w:bottom w:val="none" w:sz="0" w:space="0" w:color="auto"/>
        <w:right w:val="none" w:sz="0" w:space="0" w:color="auto"/>
      </w:divBdr>
    </w:div>
    <w:div w:id="546572430">
      <w:bodyDiv w:val="1"/>
      <w:marLeft w:val="0"/>
      <w:marRight w:val="0"/>
      <w:marTop w:val="0"/>
      <w:marBottom w:val="0"/>
      <w:divBdr>
        <w:top w:val="none" w:sz="0" w:space="0" w:color="auto"/>
        <w:left w:val="none" w:sz="0" w:space="0" w:color="auto"/>
        <w:bottom w:val="none" w:sz="0" w:space="0" w:color="auto"/>
        <w:right w:val="none" w:sz="0" w:space="0" w:color="auto"/>
      </w:divBdr>
    </w:div>
    <w:div w:id="567960690">
      <w:bodyDiv w:val="1"/>
      <w:marLeft w:val="0"/>
      <w:marRight w:val="0"/>
      <w:marTop w:val="0"/>
      <w:marBottom w:val="0"/>
      <w:divBdr>
        <w:top w:val="none" w:sz="0" w:space="0" w:color="auto"/>
        <w:left w:val="none" w:sz="0" w:space="0" w:color="auto"/>
        <w:bottom w:val="none" w:sz="0" w:space="0" w:color="auto"/>
        <w:right w:val="none" w:sz="0" w:space="0" w:color="auto"/>
      </w:divBdr>
    </w:div>
    <w:div w:id="595093237">
      <w:bodyDiv w:val="1"/>
      <w:marLeft w:val="0"/>
      <w:marRight w:val="0"/>
      <w:marTop w:val="0"/>
      <w:marBottom w:val="0"/>
      <w:divBdr>
        <w:top w:val="none" w:sz="0" w:space="0" w:color="auto"/>
        <w:left w:val="none" w:sz="0" w:space="0" w:color="auto"/>
        <w:bottom w:val="none" w:sz="0" w:space="0" w:color="auto"/>
        <w:right w:val="none" w:sz="0" w:space="0" w:color="auto"/>
      </w:divBdr>
    </w:div>
    <w:div w:id="617221740">
      <w:bodyDiv w:val="1"/>
      <w:marLeft w:val="0"/>
      <w:marRight w:val="0"/>
      <w:marTop w:val="0"/>
      <w:marBottom w:val="0"/>
      <w:divBdr>
        <w:top w:val="none" w:sz="0" w:space="0" w:color="auto"/>
        <w:left w:val="none" w:sz="0" w:space="0" w:color="auto"/>
        <w:bottom w:val="none" w:sz="0" w:space="0" w:color="auto"/>
        <w:right w:val="none" w:sz="0" w:space="0" w:color="auto"/>
      </w:divBdr>
    </w:div>
    <w:div w:id="719548940">
      <w:bodyDiv w:val="1"/>
      <w:marLeft w:val="0"/>
      <w:marRight w:val="0"/>
      <w:marTop w:val="0"/>
      <w:marBottom w:val="0"/>
      <w:divBdr>
        <w:top w:val="none" w:sz="0" w:space="0" w:color="auto"/>
        <w:left w:val="none" w:sz="0" w:space="0" w:color="auto"/>
        <w:bottom w:val="none" w:sz="0" w:space="0" w:color="auto"/>
        <w:right w:val="none" w:sz="0" w:space="0" w:color="auto"/>
      </w:divBdr>
    </w:div>
    <w:div w:id="747772571">
      <w:bodyDiv w:val="1"/>
      <w:marLeft w:val="0"/>
      <w:marRight w:val="0"/>
      <w:marTop w:val="0"/>
      <w:marBottom w:val="0"/>
      <w:divBdr>
        <w:top w:val="none" w:sz="0" w:space="0" w:color="auto"/>
        <w:left w:val="none" w:sz="0" w:space="0" w:color="auto"/>
        <w:bottom w:val="none" w:sz="0" w:space="0" w:color="auto"/>
        <w:right w:val="none" w:sz="0" w:space="0" w:color="auto"/>
      </w:divBdr>
    </w:div>
    <w:div w:id="796919368">
      <w:bodyDiv w:val="1"/>
      <w:marLeft w:val="0"/>
      <w:marRight w:val="0"/>
      <w:marTop w:val="0"/>
      <w:marBottom w:val="0"/>
      <w:divBdr>
        <w:top w:val="none" w:sz="0" w:space="0" w:color="auto"/>
        <w:left w:val="none" w:sz="0" w:space="0" w:color="auto"/>
        <w:bottom w:val="none" w:sz="0" w:space="0" w:color="auto"/>
        <w:right w:val="none" w:sz="0" w:space="0" w:color="auto"/>
      </w:divBdr>
    </w:div>
    <w:div w:id="818423819">
      <w:bodyDiv w:val="1"/>
      <w:marLeft w:val="0"/>
      <w:marRight w:val="0"/>
      <w:marTop w:val="0"/>
      <w:marBottom w:val="0"/>
      <w:divBdr>
        <w:top w:val="none" w:sz="0" w:space="0" w:color="auto"/>
        <w:left w:val="none" w:sz="0" w:space="0" w:color="auto"/>
        <w:bottom w:val="none" w:sz="0" w:space="0" w:color="auto"/>
        <w:right w:val="none" w:sz="0" w:space="0" w:color="auto"/>
      </w:divBdr>
    </w:div>
    <w:div w:id="839007686">
      <w:bodyDiv w:val="1"/>
      <w:marLeft w:val="0"/>
      <w:marRight w:val="0"/>
      <w:marTop w:val="0"/>
      <w:marBottom w:val="0"/>
      <w:divBdr>
        <w:top w:val="none" w:sz="0" w:space="0" w:color="auto"/>
        <w:left w:val="none" w:sz="0" w:space="0" w:color="auto"/>
        <w:bottom w:val="none" w:sz="0" w:space="0" w:color="auto"/>
        <w:right w:val="none" w:sz="0" w:space="0" w:color="auto"/>
      </w:divBdr>
    </w:div>
    <w:div w:id="856315105">
      <w:bodyDiv w:val="1"/>
      <w:marLeft w:val="0"/>
      <w:marRight w:val="0"/>
      <w:marTop w:val="0"/>
      <w:marBottom w:val="0"/>
      <w:divBdr>
        <w:top w:val="none" w:sz="0" w:space="0" w:color="auto"/>
        <w:left w:val="none" w:sz="0" w:space="0" w:color="auto"/>
        <w:bottom w:val="none" w:sz="0" w:space="0" w:color="auto"/>
        <w:right w:val="none" w:sz="0" w:space="0" w:color="auto"/>
      </w:divBdr>
    </w:div>
    <w:div w:id="873611599">
      <w:bodyDiv w:val="1"/>
      <w:marLeft w:val="0"/>
      <w:marRight w:val="0"/>
      <w:marTop w:val="0"/>
      <w:marBottom w:val="0"/>
      <w:divBdr>
        <w:top w:val="none" w:sz="0" w:space="0" w:color="auto"/>
        <w:left w:val="none" w:sz="0" w:space="0" w:color="auto"/>
        <w:bottom w:val="none" w:sz="0" w:space="0" w:color="auto"/>
        <w:right w:val="none" w:sz="0" w:space="0" w:color="auto"/>
      </w:divBdr>
    </w:div>
    <w:div w:id="888154811">
      <w:bodyDiv w:val="1"/>
      <w:marLeft w:val="0"/>
      <w:marRight w:val="0"/>
      <w:marTop w:val="0"/>
      <w:marBottom w:val="0"/>
      <w:divBdr>
        <w:top w:val="none" w:sz="0" w:space="0" w:color="auto"/>
        <w:left w:val="none" w:sz="0" w:space="0" w:color="auto"/>
        <w:bottom w:val="none" w:sz="0" w:space="0" w:color="auto"/>
        <w:right w:val="none" w:sz="0" w:space="0" w:color="auto"/>
      </w:divBdr>
    </w:div>
    <w:div w:id="888300729">
      <w:bodyDiv w:val="1"/>
      <w:marLeft w:val="0"/>
      <w:marRight w:val="0"/>
      <w:marTop w:val="0"/>
      <w:marBottom w:val="0"/>
      <w:divBdr>
        <w:top w:val="none" w:sz="0" w:space="0" w:color="auto"/>
        <w:left w:val="none" w:sz="0" w:space="0" w:color="auto"/>
        <w:bottom w:val="none" w:sz="0" w:space="0" w:color="auto"/>
        <w:right w:val="none" w:sz="0" w:space="0" w:color="auto"/>
      </w:divBdr>
    </w:div>
    <w:div w:id="892931389">
      <w:bodyDiv w:val="1"/>
      <w:marLeft w:val="0"/>
      <w:marRight w:val="0"/>
      <w:marTop w:val="0"/>
      <w:marBottom w:val="0"/>
      <w:divBdr>
        <w:top w:val="none" w:sz="0" w:space="0" w:color="auto"/>
        <w:left w:val="none" w:sz="0" w:space="0" w:color="auto"/>
        <w:bottom w:val="none" w:sz="0" w:space="0" w:color="auto"/>
        <w:right w:val="none" w:sz="0" w:space="0" w:color="auto"/>
      </w:divBdr>
    </w:div>
    <w:div w:id="937522702">
      <w:bodyDiv w:val="1"/>
      <w:marLeft w:val="0"/>
      <w:marRight w:val="0"/>
      <w:marTop w:val="0"/>
      <w:marBottom w:val="0"/>
      <w:divBdr>
        <w:top w:val="none" w:sz="0" w:space="0" w:color="auto"/>
        <w:left w:val="none" w:sz="0" w:space="0" w:color="auto"/>
        <w:bottom w:val="none" w:sz="0" w:space="0" w:color="auto"/>
        <w:right w:val="none" w:sz="0" w:space="0" w:color="auto"/>
      </w:divBdr>
    </w:div>
    <w:div w:id="975791004">
      <w:bodyDiv w:val="1"/>
      <w:marLeft w:val="0"/>
      <w:marRight w:val="0"/>
      <w:marTop w:val="0"/>
      <w:marBottom w:val="0"/>
      <w:divBdr>
        <w:top w:val="none" w:sz="0" w:space="0" w:color="auto"/>
        <w:left w:val="none" w:sz="0" w:space="0" w:color="auto"/>
        <w:bottom w:val="none" w:sz="0" w:space="0" w:color="auto"/>
        <w:right w:val="none" w:sz="0" w:space="0" w:color="auto"/>
      </w:divBdr>
    </w:div>
    <w:div w:id="993681875">
      <w:bodyDiv w:val="1"/>
      <w:marLeft w:val="0"/>
      <w:marRight w:val="0"/>
      <w:marTop w:val="0"/>
      <w:marBottom w:val="0"/>
      <w:divBdr>
        <w:top w:val="none" w:sz="0" w:space="0" w:color="auto"/>
        <w:left w:val="none" w:sz="0" w:space="0" w:color="auto"/>
        <w:bottom w:val="none" w:sz="0" w:space="0" w:color="auto"/>
        <w:right w:val="none" w:sz="0" w:space="0" w:color="auto"/>
      </w:divBdr>
    </w:div>
    <w:div w:id="995105353">
      <w:bodyDiv w:val="1"/>
      <w:marLeft w:val="0"/>
      <w:marRight w:val="0"/>
      <w:marTop w:val="0"/>
      <w:marBottom w:val="0"/>
      <w:divBdr>
        <w:top w:val="none" w:sz="0" w:space="0" w:color="auto"/>
        <w:left w:val="none" w:sz="0" w:space="0" w:color="auto"/>
        <w:bottom w:val="none" w:sz="0" w:space="0" w:color="auto"/>
        <w:right w:val="none" w:sz="0" w:space="0" w:color="auto"/>
      </w:divBdr>
    </w:div>
    <w:div w:id="996881299">
      <w:bodyDiv w:val="1"/>
      <w:marLeft w:val="0"/>
      <w:marRight w:val="0"/>
      <w:marTop w:val="0"/>
      <w:marBottom w:val="0"/>
      <w:divBdr>
        <w:top w:val="none" w:sz="0" w:space="0" w:color="auto"/>
        <w:left w:val="none" w:sz="0" w:space="0" w:color="auto"/>
        <w:bottom w:val="none" w:sz="0" w:space="0" w:color="auto"/>
        <w:right w:val="none" w:sz="0" w:space="0" w:color="auto"/>
      </w:divBdr>
    </w:div>
    <w:div w:id="1006710254">
      <w:bodyDiv w:val="1"/>
      <w:marLeft w:val="0"/>
      <w:marRight w:val="0"/>
      <w:marTop w:val="0"/>
      <w:marBottom w:val="0"/>
      <w:divBdr>
        <w:top w:val="none" w:sz="0" w:space="0" w:color="auto"/>
        <w:left w:val="none" w:sz="0" w:space="0" w:color="auto"/>
        <w:bottom w:val="none" w:sz="0" w:space="0" w:color="auto"/>
        <w:right w:val="none" w:sz="0" w:space="0" w:color="auto"/>
      </w:divBdr>
    </w:div>
    <w:div w:id="1044791401">
      <w:bodyDiv w:val="1"/>
      <w:marLeft w:val="0"/>
      <w:marRight w:val="0"/>
      <w:marTop w:val="0"/>
      <w:marBottom w:val="0"/>
      <w:divBdr>
        <w:top w:val="none" w:sz="0" w:space="0" w:color="auto"/>
        <w:left w:val="none" w:sz="0" w:space="0" w:color="auto"/>
        <w:bottom w:val="none" w:sz="0" w:space="0" w:color="auto"/>
        <w:right w:val="none" w:sz="0" w:space="0" w:color="auto"/>
      </w:divBdr>
    </w:div>
    <w:div w:id="1054234608">
      <w:bodyDiv w:val="1"/>
      <w:marLeft w:val="0"/>
      <w:marRight w:val="0"/>
      <w:marTop w:val="0"/>
      <w:marBottom w:val="0"/>
      <w:divBdr>
        <w:top w:val="none" w:sz="0" w:space="0" w:color="auto"/>
        <w:left w:val="none" w:sz="0" w:space="0" w:color="auto"/>
        <w:bottom w:val="none" w:sz="0" w:space="0" w:color="auto"/>
        <w:right w:val="none" w:sz="0" w:space="0" w:color="auto"/>
      </w:divBdr>
    </w:div>
    <w:div w:id="1057556135">
      <w:bodyDiv w:val="1"/>
      <w:marLeft w:val="0"/>
      <w:marRight w:val="0"/>
      <w:marTop w:val="0"/>
      <w:marBottom w:val="0"/>
      <w:divBdr>
        <w:top w:val="none" w:sz="0" w:space="0" w:color="auto"/>
        <w:left w:val="none" w:sz="0" w:space="0" w:color="auto"/>
        <w:bottom w:val="none" w:sz="0" w:space="0" w:color="auto"/>
        <w:right w:val="none" w:sz="0" w:space="0" w:color="auto"/>
      </w:divBdr>
    </w:div>
    <w:div w:id="1094591610">
      <w:bodyDiv w:val="1"/>
      <w:marLeft w:val="0"/>
      <w:marRight w:val="0"/>
      <w:marTop w:val="0"/>
      <w:marBottom w:val="0"/>
      <w:divBdr>
        <w:top w:val="none" w:sz="0" w:space="0" w:color="auto"/>
        <w:left w:val="none" w:sz="0" w:space="0" w:color="auto"/>
        <w:bottom w:val="none" w:sz="0" w:space="0" w:color="auto"/>
        <w:right w:val="none" w:sz="0" w:space="0" w:color="auto"/>
      </w:divBdr>
    </w:div>
    <w:div w:id="1109816015">
      <w:bodyDiv w:val="1"/>
      <w:marLeft w:val="0"/>
      <w:marRight w:val="0"/>
      <w:marTop w:val="0"/>
      <w:marBottom w:val="0"/>
      <w:divBdr>
        <w:top w:val="none" w:sz="0" w:space="0" w:color="auto"/>
        <w:left w:val="none" w:sz="0" w:space="0" w:color="auto"/>
        <w:bottom w:val="none" w:sz="0" w:space="0" w:color="auto"/>
        <w:right w:val="none" w:sz="0" w:space="0" w:color="auto"/>
      </w:divBdr>
    </w:div>
    <w:div w:id="1190755976">
      <w:bodyDiv w:val="1"/>
      <w:marLeft w:val="0"/>
      <w:marRight w:val="0"/>
      <w:marTop w:val="0"/>
      <w:marBottom w:val="0"/>
      <w:divBdr>
        <w:top w:val="none" w:sz="0" w:space="0" w:color="auto"/>
        <w:left w:val="none" w:sz="0" w:space="0" w:color="auto"/>
        <w:bottom w:val="none" w:sz="0" w:space="0" w:color="auto"/>
        <w:right w:val="none" w:sz="0" w:space="0" w:color="auto"/>
      </w:divBdr>
    </w:div>
    <w:div w:id="1193878914">
      <w:bodyDiv w:val="1"/>
      <w:marLeft w:val="0"/>
      <w:marRight w:val="0"/>
      <w:marTop w:val="0"/>
      <w:marBottom w:val="0"/>
      <w:divBdr>
        <w:top w:val="none" w:sz="0" w:space="0" w:color="auto"/>
        <w:left w:val="none" w:sz="0" w:space="0" w:color="auto"/>
        <w:bottom w:val="none" w:sz="0" w:space="0" w:color="auto"/>
        <w:right w:val="none" w:sz="0" w:space="0" w:color="auto"/>
      </w:divBdr>
    </w:div>
    <w:div w:id="1201743413">
      <w:bodyDiv w:val="1"/>
      <w:marLeft w:val="0"/>
      <w:marRight w:val="0"/>
      <w:marTop w:val="0"/>
      <w:marBottom w:val="0"/>
      <w:divBdr>
        <w:top w:val="none" w:sz="0" w:space="0" w:color="auto"/>
        <w:left w:val="none" w:sz="0" w:space="0" w:color="auto"/>
        <w:bottom w:val="none" w:sz="0" w:space="0" w:color="auto"/>
        <w:right w:val="none" w:sz="0" w:space="0" w:color="auto"/>
      </w:divBdr>
    </w:div>
    <w:div w:id="1204442425">
      <w:bodyDiv w:val="1"/>
      <w:marLeft w:val="0"/>
      <w:marRight w:val="0"/>
      <w:marTop w:val="0"/>
      <w:marBottom w:val="0"/>
      <w:divBdr>
        <w:top w:val="none" w:sz="0" w:space="0" w:color="auto"/>
        <w:left w:val="none" w:sz="0" w:space="0" w:color="auto"/>
        <w:bottom w:val="none" w:sz="0" w:space="0" w:color="auto"/>
        <w:right w:val="none" w:sz="0" w:space="0" w:color="auto"/>
      </w:divBdr>
    </w:div>
    <w:div w:id="1236473188">
      <w:bodyDiv w:val="1"/>
      <w:marLeft w:val="0"/>
      <w:marRight w:val="0"/>
      <w:marTop w:val="0"/>
      <w:marBottom w:val="0"/>
      <w:divBdr>
        <w:top w:val="none" w:sz="0" w:space="0" w:color="auto"/>
        <w:left w:val="none" w:sz="0" w:space="0" w:color="auto"/>
        <w:bottom w:val="none" w:sz="0" w:space="0" w:color="auto"/>
        <w:right w:val="none" w:sz="0" w:space="0" w:color="auto"/>
      </w:divBdr>
    </w:div>
    <w:div w:id="1251354397">
      <w:bodyDiv w:val="1"/>
      <w:marLeft w:val="0"/>
      <w:marRight w:val="0"/>
      <w:marTop w:val="0"/>
      <w:marBottom w:val="0"/>
      <w:divBdr>
        <w:top w:val="none" w:sz="0" w:space="0" w:color="auto"/>
        <w:left w:val="none" w:sz="0" w:space="0" w:color="auto"/>
        <w:bottom w:val="none" w:sz="0" w:space="0" w:color="auto"/>
        <w:right w:val="none" w:sz="0" w:space="0" w:color="auto"/>
      </w:divBdr>
    </w:div>
    <w:div w:id="1255942912">
      <w:bodyDiv w:val="1"/>
      <w:marLeft w:val="0"/>
      <w:marRight w:val="0"/>
      <w:marTop w:val="0"/>
      <w:marBottom w:val="0"/>
      <w:divBdr>
        <w:top w:val="none" w:sz="0" w:space="0" w:color="auto"/>
        <w:left w:val="none" w:sz="0" w:space="0" w:color="auto"/>
        <w:bottom w:val="none" w:sz="0" w:space="0" w:color="auto"/>
        <w:right w:val="none" w:sz="0" w:space="0" w:color="auto"/>
      </w:divBdr>
    </w:div>
    <w:div w:id="1267885056">
      <w:bodyDiv w:val="1"/>
      <w:marLeft w:val="0"/>
      <w:marRight w:val="0"/>
      <w:marTop w:val="0"/>
      <w:marBottom w:val="0"/>
      <w:divBdr>
        <w:top w:val="none" w:sz="0" w:space="0" w:color="auto"/>
        <w:left w:val="none" w:sz="0" w:space="0" w:color="auto"/>
        <w:bottom w:val="none" w:sz="0" w:space="0" w:color="auto"/>
        <w:right w:val="none" w:sz="0" w:space="0" w:color="auto"/>
      </w:divBdr>
    </w:div>
    <w:div w:id="1289043253">
      <w:bodyDiv w:val="1"/>
      <w:marLeft w:val="0"/>
      <w:marRight w:val="0"/>
      <w:marTop w:val="0"/>
      <w:marBottom w:val="0"/>
      <w:divBdr>
        <w:top w:val="none" w:sz="0" w:space="0" w:color="auto"/>
        <w:left w:val="none" w:sz="0" w:space="0" w:color="auto"/>
        <w:bottom w:val="none" w:sz="0" w:space="0" w:color="auto"/>
        <w:right w:val="none" w:sz="0" w:space="0" w:color="auto"/>
      </w:divBdr>
    </w:div>
    <w:div w:id="1309095027">
      <w:bodyDiv w:val="1"/>
      <w:marLeft w:val="0"/>
      <w:marRight w:val="0"/>
      <w:marTop w:val="0"/>
      <w:marBottom w:val="0"/>
      <w:divBdr>
        <w:top w:val="none" w:sz="0" w:space="0" w:color="auto"/>
        <w:left w:val="none" w:sz="0" w:space="0" w:color="auto"/>
        <w:bottom w:val="none" w:sz="0" w:space="0" w:color="auto"/>
        <w:right w:val="none" w:sz="0" w:space="0" w:color="auto"/>
      </w:divBdr>
    </w:div>
    <w:div w:id="1329869284">
      <w:bodyDiv w:val="1"/>
      <w:marLeft w:val="0"/>
      <w:marRight w:val="0"/>
      <w:marTop w:val="0"/>
      <w:marBottom w:val="0"/>
      <w:divBdr>
        <w:top w:val="none" w:sz="0" w:space="0" w:color="auto"/>
        <w:left w:val="none" w:sz="0" w:space="0" w:color="auto"/>
        <w:bottom w:val="none" w:sz="0" w:space="0" w:color="auto"/>
        <w:right w:val="none" w:sz="0" w:space="0" w:color="auto"/>
      </w:divBdr>
    </w:div>
    <w:div w:id="1348872638">
      <w:bodyDiv w:val="1"/>
      <w:marLeft w:val="0"/>
      <w:marRight w:val="0"/>
      <w:marTop w:val="0"/>
      <w:marBottom w:val="0"/>
      <w:divBdr>
        <w:top w:val="none" w:sz="0" w:space="0" w:color="auto"/>
        <w:left w:val="none" w:sz="0" w:space="0" w:color="auto"/>
        <w:bottom w:val="none" w:sz="0" w:space="0" w:color="auto"/>
        <w:right w:val="none" w:sz="0" w:space="0" w:color="auto"/>
      </w:divBdr>
    </w:div>
    <w:div w:id="1390764165">
      <w:bodyDiv w:val="1"/>
      <w:marLeft w:val="0"/>
      <w:marRight w:val="0"/>
      <w:marTop w:val="0"/>
      <w:marBottom w:val="0"/>
      <w:divBdr>
        <w:top w:val="none" w:sz="0" w:space="0" w:color="auto"/>
        <w:left w:val="none" w:sz="0" w:space="0" w:color="auto"/>
        <w:bottom w:val="none" w:sz="0" w:space="0" w:color="auto"/>
        <w:right w:val="none" w:sz="0" w:space="0" w:color="auto"/>
      </w:divBdr>
    </w:div>
    <w:div w:id="1442336370">
      <w:bodyDiv w:val="1"/>
      <w:marLeft w:val="0"/>
      <w:marRight w:val="0"/>
      <w:marTop w:val="0"/>
      <w:marBottom w:val="0"/>
      <w:divBdr>
        <w:top w:val="none" w:sz="0" w:space="0" w:color="auto"/>
        <w:left w:val="none" w:sz="0" w:space="0" w:color="auto"/>
        <w:bottom w:val="none" w:sz="0" w:space="0" w:color="auto"/>
        <w:right w:val="none" w:sz="0" w:space="0" w:color="auto"/>
      </w:divBdr>
    </w:div>
    <w:div w:id="1453094347">
      <w:bodyDiv w:val="1"/>
      <w:marLeft w:val="0"/>
      <w:marRight w:val="0"/>
      <w:marTop w:val="0"/>
      <w:marBottom w:val="0"/>
      <w:divBdr>
        <w:top w:val="none" w:sz="0" w:space="0" w:color="auto"/>
        <w:left w:val="none" w:sz="0" w:space="0" w:color="auto"/>
        <w:bottom w:val="none" w:sz="0" w:space="0" w:color="auto"/>
        <w:right w:val="none" w:sz="0" w:space="0" w:color="auto"/>
      </w:divBdr>
    </w:div>
    <w:div w:id="1456170113">
      <w:bodyDiv w:val="1"/>
      <w:marLeft w:val="0"/>
      <w:marRight w:val="0"/>
      <w:marTop w:val="0"/>
      <w:marBottom w:val="0"/>
      <w:divBdr>
        <w:top w:val="none" w:sz="0" w:space="0" w:color="auto"/>
        <w:left w:val="none" w:sz="0" w:space="0" w:color="auto"/>
        <w:bottom w:val="none" w:sz="0" w:space="0" w:color="auto"/>
        <w:right w:val="none" w:sz="0" w:space="0" w:color="auto"/>
      </w:divBdr>
    </w:div>
    <w:div w:id="1535968064">
      <w:bodyDiv w:val="1"/>
      <w:marLeft w:val="0"/>
      <w:marRight w:val="0"/>
      <w:marTop w:val="0"/>
      <w:marBottom w:val="0"/>
      <w:divBdr>
        <w:top w:val="none" w:sz="0" w:space="0" w:color="auto"/>
        <w:left w:val="none" w:sz="0" w:space="0" w:color="auto"/>
        <w:bottom w:val="none" w:sz="0" w:space="0" w:color="auto"/>
        <w:right w:val="none" w:sz="0" w:space="0" w:color="auto"/>
      </w:divBdr>
    </w:div>
    <w:div w:id="1540556436">
      <w:bodyDiv w:val="1"/>
      <w:marLeft w:val="0"/>
      <w:marRight w:val="0"/>
      <w:marTop w:val="0"/>
      <w:marBottom w:val="0"/>
      <w:divBdr>
        <w:top w:val="none" w:sz="0" w:space="0" w:color="auto"/>
        <w:left w:val="none" w:sz="0" w:space="0" w:color="auto"/>
        <w:bottom w:val="none" w:sz="0" w:space="0" w:color="auto"/>
        <w:right w:val="none" w:sz="0" w:space="0" w:color="auto"/>
      </w:divBdr>
    </w:div>
    <w:div w:id="1582182680">
      <w:bodyDiv w:val="1"/>
      <w:marLeft w:val="0"/>
      <w:marRight w:val="0"/>
      <w:marTop w:val="0"/>
      <w:marBottom w:val="0"/>
      <w:divBdr>
        <w:top w:val="none" w:sz="0" w:space="0" w:color="auto"/>
        <w:left w:val="none" w:sz="0" w:space="0" w:color="auto"/>
        <w:bottom w:val="none" w:sz="0" w:space="0" w:color="auto"/>
        <w:right w:val="none" w:sz="0" w:space="0" w:color="auto"/>
      </w:divBdr>
    </w:div>
    <w:div w:id="1609464032">
      <w:bodyDiv w:val="1"/>
      <w:marLeft w:val="0"/>
      <w:marRight w:val="0"/>
      <w:marTop w:val="0"/>
      <w:marBottom w:val="0"/>
      <w:divBdr>
        <w:top w:val="none" w:sz="0" w:space="0" w:color="auto"/>
        <w:left w:val="none" w:sz="0" w:space="0" w:color="auto"/>
        <w:bottom w:val="none" w:sz="0" w:space="0" w:color="auto"/>
        <w:right w:val="none" w:sz="0" w:space="0" w:color="auto"/>
      </w:divBdr>
    </w:div>
    <w:div w:id="1621182402">
      <w:bodyDiv w:val="1"/>
      <w:marLeft w:val="0"/>
      <w:marRight w:val="0"/>
      <w:marTop w:val="0"/>
      <w:marBottom w:val="0"/>
      <w:divBdr>
        <w:top w:val="none" w:sz="0" w:space="0" w:color="auto"/>
        <w:left w:val="none" w:sz="0" w:space="0" w:color="auto"/>
        <w:bottom w:val="none" w:sz="0" w:space="0" w:color="auto"/>
        <w:right w:val="none" w:sz="0" w:space="0" w:color="auto"/>
      </w:divBdr>
    </w:div>
    <w:div w:id="1624188771">
      <w:bodyDiv w:val="1"/>
      <w:marLeft w:val="0"/>
      <w:marRight w:val="0"/>
      <w:marTop w:val="0"/>
      <w:marBottom w:val="0"/>
      <w:divBdr>
        <w:top w:val="none" w:sz="0" w:space="0" w:color="auto"/>
        <w:left w:val="none" w:sz="0" w:space="0" w:color="auto"/>
        <w:bottom w:val="none" w:sz="0" w:space="0" w:color="auto"/>
        <w:right w:val="none" w:sz="0" w:space="0" w:color="auto"/>
      </w:divBdr>
    </w:div>
    <w:div w:id="1679888713">
      <w:bodyDiv w:val="1"/>
      <w:marLeft w:val="0"/>
      <w:marRight w:val="0"/>
      <w:marTop w:val="0"/>
      <w:marBottom w:val="0"/>
      <w:divBdr>
        <w:top w:val="none" w:sz="0" w:space="0" w:color="auto"/>
        <w:left w:val="none" w:sz="0" w:space="0" w:color="auto"/>
        <w:bottom w:val="none" w:sz="0" w:space="0" w:color="auto"/>
        <w:right w:val="none" w:sz="0" w:space="0" w:color="auto"/>
      </w:divBdr>
    </w:div>
    <w:div w:id="1712459037">
      <w:bodyDiv w:val="1"/>
      <w:marLeft w:val="0"/>
      <w:marRight w:val="0"/>
      <w:marTop w:val="0"/>
      <w:marBottom w:val="0"/>
      <w:divBdr>
        <w:top w:val="none" w:sz="0" w:space="0" w:color="auto"/>
        <w:left w:val="none" w:sz="0" w:space="0" w:color="auto"/>
        <w:bottom w:val="none" w:sz="0" w:space="0" w:color="auto"/>
        <w:right w:val="none" w:sz="0" w:space="0" w:color="auto"/>
      </w:divBdr>
    </w:div>
    <w:div w:id="1718117515">
      <w:bodyDiv w:val="1"/>
      <w:marLeft w:val="0"/>
      <w:marRight w:val="0"/>
      <w:marTop w:val="0"/>
      <w:marBottom w:val="0"/>
      <w:divBdr>
        <w:top w:val="none" w:sz="0" w:space="0" w:color="auto"/>
        <w:left w:val="none" w:sz="0" w:space="0" w:color="auto"/>
        <w:bottom w:val="none" w:sz="0" w:space="0" w:color="auto"/>
        <w:right w:val="none" w:sz="0" w:space="0" w:color="auto"/>
      </w:divBdr>
    </w:div>
    <w:div w:id="1795096798">
      <w:bodyDiv w:val="1"/>
      <w:marLeft w:val="0"/>
      <w:marRight w:val="0"/>
      <w:marTop w:val="0"/>
      <w:marBottom w:val="0"/>
      <w:divBdr>
        <w:top w:val="none" w:sz="0" w:space="0" w:color="auto"/>
        <w:left w:val="none" w:sz="0" w:space="0" w:color="auto"/>
        <w:bottom w:val="none" w:sz="0" w:space="0" w:color="auto"/>
        <w:right w:val="none" w:sz="0" w:space="0" w:color="auto"/>
      </w:divBdr>
    </w:div>
    <w:div w:id="1803619791">
      <w:bodyDiv w:val="1"/>
      <w:marLeft w:val="0"/>
      <w:marRight w:val="0"/>
      <w:marTop w:val="0"/>
      <w:marBottom w:val="0"/>
      <w:divBdr>
        <w:top w:val="none" w:sz="0" w:space="0" w:color="auto"/>
        <w:left w:val="none" w:sz="0" w:space="0" w:color="auto"/>
        <w:bottom w:val="none" w:sz="0" w:space="0" w:color="auto"/>
        <w:right w:val="none" w:sz="0" w:space="0" w:color="auto"/>
      </w:divBdr>
    </w:div>
    <w:div w:id="1810397802">
      <w:bodyDiv w:val="1"/>
      <w:marLeft w:val="0"/>
      <w:marRight w:val="0"/>
      <w:marTop w:val="0"/>
      <w:marBottom w:val="0"/>
      <w:divBdr>
        <w:top w:val="none" w:sz="0" w:space="0" w:color="auto"/>
        <w:left w:val="none" w:sz="0" w:space="0" w:color="auto"/>
        <w:bottom w:val="none" w:sz="0" w:space="0" w:color="auto"/>
        <w:right w:val="none" w:sz="0" w:space="0" w:color="auto"/>
      </w:divBdr>
    </w:div>
    <w:div w:id="1817063972">
      <w:bodyDiv w:val="1"/>
      <w:marLeft w:val="0"/>
      <w:marRight w:val="0"/>
      <w:marTop w:val="0"/>
      <w:marBottom w:val="0"/>
      <w:divBdr>
        <w:top w:val="none" w:sz="0" w:space="0" w:color="auto"/>
        <w:left w:val="none" w:sz="0" w:space="0" w:color="auto"/>
        <w:bottom w:val="none" w:sz="0" w:space="0" w:color="auto"/>
        <w:right w:val="none" w:sz="0" w:space="0" w:color="auto"/>
      </w:divBdr>
    </w:div>
    <w:div w:id="1849714340">
      <w:bodyDiv w:val="1"/>
      <w:marLeft w:val="0"/>
      <w:marRight w:val="0"/>
      <w:marTop w:val="0"/>
      <w:marBottom w:val="0"/>
      <w:divBdr>
        <w:top w:val="none" w:sz="0" w:space="0" w:color="auto"/>
        <w:left w:val="none" w:sz="0" w:space="0" w:color="auto"/>
        <w:bottom w:val="none" w:sz="0" w:space="0" w:color="auto"/>
        <w:right w:val="none" w:sz="0" w:space="0" w:color="auto"/>
      </w:divBdr>
    </w:div>
    <w:div w:id="1871454810">
      <w:bodyDiv w:val="1"/>
      <w:marLeft w:val="0"/>
      <w:marRight w:val="0"/>
      <w:marTop w:val="0"/>
      <w:marBottom w:val="0"/>
      <w:divBdr>
        <w:top w:val="none" w:sz="0" w:space="0" w:color="auto"/>
        <w:left w:val="none" w:sz="0" w:space="0" w:color="auto"/>
        <w:bottom w:val="none" w:sz="0" w:space="0" w:color="auto"/>
        <w:right w:val="none" w:sz="0" w:space="0" w:color="auto"/>
      </w:divBdr>
    </w:div>
    <w:div w:id="1876655805">
      <w:bodyDiv w:val="1"/>
      <w:marLeft w:val="0"/>
      <w:marRight w:val="0"/>
      <w:marTop w:val="0"/>
      <w:marBottom w:val="0"/>
      <w:divBdr>
        <w:top w:val="none" w:sz="0" w:space="0" w:color="auto"/>
        <w:left w:val="none" w:sz="0" w:space="0" w:color="auto"/>
        <w:bottom w:val="none" w:sz="0" w:space="0" w:color="auto"/>
        <w:right w:val="none" w:sz="0" w:space="0" w:color="auto"/>
      </w:divBdr>
    </w:div>
    <w:div w:id="1880429570">
      <w:bodyDiv w:val="1"/>
      <w:marLeft w:val="0"/>
      <w:marRight w:val="0"/>
      <w:marTop w:val="0"/>
      <w:marBottom w:val="0"/>
      <w:divBdr>
        <w:top w:val="none" w:sz="0" w:space="0" w:color="auto"/>
        <w:left w:val="none" w:sz="0" w:space="0" w:color="auto"/>
        <w:bottom w:val="none" w:sz="0" w:space="0" w:color="auto"/>
        <w:right w:val="none" w:sz="0" w:space="0" w:color="auto"/>
      </w:divBdr>
    </w:div>
    <w:div w:id="1905872843">
      <w:bodyDiv w:val="1"/>
      <w:marLeft w:val="0"/>
      <w:marRight w:val="0"/>
      <w:marTop w:val="0"/>
      <w:marBottom w:val="0"/>
      <w:divBdr>
        <w:top w:val="none" w:sz="0" w:space="0" w:color="auto"/>
        <w:left w:val="none" w:sz="0" w:space="0" w:color="auto"/>
        <w:bottom w:val="none" w:sz="0" w:space="0" w:color="auto"/>
        <w:right w:val="none" w:sz="0" w:space="0" w:color="auto"/>
      </w:divBdr>
    </w:div>
    <w:div w:id="1916086397">
      <w:bodyDiv w:val="1"/>
      <w:marLeft w:val="0"/>
      <w:marRight w:val="0"/>
      <w:marTop w:val="0"/>
      <w:marBottom w:val="0"/>
      <w:divBdr>
        <w:top w:val="none" w:sz="0" w:space="0" w:color="auto"/>
        <w:left w:val="none" w:sz="0" w:space="0" w:color="auto"/>
        <w:bottom w:val="none" w:sz="0" w:space="0" w:color="auto"/>
        <w:right w:val="none" w:sz="0" w:space="0" w:color="auto"/>
      </w:divBdr>
    </w:div>
    <w:div w:id="2016153529">
      <w:bodyDiv w:val="1"/>
      <w:marLeft w:val="0"/>
      <w:marRight w:val="0"/>
      <w:marTop w:val="0"/>
      <w:marBottom w:val="0"/>
      <w:divBdr>
        <w:top w:val="none" w:sz="0" w:space="0" w:color="auto"/>
        <w:left w:val="none" w:sz="0" w:space="0" w:color="auto"/>
        <w:bottom w:val="none" w:sz="0" w:space="0" w:color="auto"/>
        <w:right w:val="none" w:sz="0" w:space="0" w:color="auto"/>
      </w:divBdr>
    </w:div>
    <w:div w:id="2079473252">
      <w:bodyDiv w:val="1"/>
      <w:marLeft w:val="0"/>
      <w:marRight w:val="0"/>
      <w:marTop w:val="0"/>
      <w:marBottom w:val="0"/>
      <w:divBdr>
        <w:top w:val="none" w:sz="0" w:space="0" w:color="auto"/>
        <w:left w:val="none" w:sz="0" w:space="0" w:color="auto"/>
        <w:bottom w:val="none" w:sz="0" w:space="0" w:color="auto"/>
        <w:right w:val="none" w:sz="0" w:space="0" w:color="auto"/>
      </w:divBdr>
    </w:div>
    <w:div w:id="2095467872">
      <w:bodyDiv w:val="1"/>
      <w:marLeft w:val="0"/>
      <w:marRight w:val="0"/>
      <w:marTop w:val="0"/>
      <w:marBottom w:val="0"/>
      <w:divBdr>
        <w:top w:val="none" w:sz="0" w:space="0" w:color="auto"/>
        <w:left w:val="none" w:sz="0" w:space="0" w:color="auto"/>
        <w:bottom w:val="none" w:sz="0" w:space="0" w:color="auto"/>
        <w:right w:val="none" w:sz="0" w:space="0" w:color="auto"/>
      </w:divBdr>
    </w:div>
    <w:div w:id="2124885980">
      <w:bodyDiv w:val="1"/>
      <w:marLeft w:val="0"/>
      <w:marRight w:val="0"/>
      <w:marTop w:val="0"/>
      <w:marBottom w:val="0"/>
      <w:divBdr>
        <w:top w:val="none" w:sz="0" w:space="0" w:color="auto"/>
        <w:left w:val="none" w:sz="0" w:space="0" w:color="auto"/>
        <w:bottom w:val="none" w:sz="0" w:space="0" w:color="auto"/>
        <w:right w:val="none" w:sz="0" w:space="0" w:color="auto"/>
      </w:divBdr>
    </w:div>
    <w:div w:id="2125034343">
      <w:bodyDiv w:val="1"/>
      <w:marLeft w:val="0"/>
      <w:marRight w:val="0"/>
      <w:marTop w:val="0"/>
      <w:marBottom w:val="0"/>
      <w:divBdr>
        <w:top w:val="none" w:sz="0" w:space="0" w:color="auto"/>
        <w:left w:val="none" w:sz="0" w:space="0" w:color="auto"/>
        <w:bottom w:val="none" w:sz="0" w:space="0" w:color="auto"/>
        <w:right w:val="none" w:sz="0" w:space="0" w:color="auto"/>
      </w:divBdr>
    </w:div>
    <w:div w:id="21284301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chart" Target="charts/chart2.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chart" Target="charts/chart1.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chart" Target="charts/chart4.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Admin\Downloads\sstable.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dmin\Downloads\sstable.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dmin\Downloads\sstable.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dmin\Downloads\sstable.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n-US"/>
              <a:t>Key Themes</a:t>
            </a:r>
          </a:p>
        </c:rich>
      </c:tx>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Sheet2!$B$3</c:f>
              <c:strCache>
                <c:ptCount val="1"/>
                <c:pt idx="0">
                  <c:v>Frequency</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trendline>
            <c:spPr>
              <a:ln w="19050" cap="rnd">
                <a:solidFill>
                  <a:schemeClr val="accent1"/>
                </a:solidFill>
              </a:ln>
              <a:effectLst/>
            </c:spPr>
            <c:trendlineType val="log"/>
            <c:dispRSqr val="0"/>
            <c:dispEq val="0"/>
          </c:trendline>
          <c:cat>
            <c:strRef>
              <c:f>Sheet2!$A$4:$A$8</c:f>
              <c:strCache>
                <c:ptCount val="5"/>
                <c:pt idx="0">
                  <c:v>Healthcare Transformation</c:v>
                </c:pt>
                <c:pt idx="1">
                  <c:v>Vision 2030 Healthcare Reform</c:v>
                </c:pt>
                <c:pt idx="2">
                  <c:v>Workforce Development</c:v>
                </c:pt>
                <c:pt idx="3">
                  <c:v>Digital Health Solutions</c:v>
                </c:pt>
                <c:pt idx="4">
                  <c:v>Public-Private Partnerships (PPPs)</c:v>
                </c:pt>
              </c:strCache>
            </c:strRef>
          </c:cat>
          <c:val>
            <c:numRef>
              <c:f>Sheet2!$B$4:$B$8</c:f>
              <c:numCache>
                <c:formatCode>General</c:formatCode>
                <c:ptCount val="5"/>
                <c:pt idx="0">
                  <c:v>12</c:v>
                </c:pt>
                <c:pt idx="1">
                  <c:v>9</c:v>
                </c:pt>
                <c:pt idx="2">
                  <c:v>7</c:v>
                </c:pt>
                <c:pt idx="3">
                  <c:v>6</c:v>
                </c:pt>
                <c:pt idx="4">
                  <c:v>5</c:v>
                </c:pt>
              </c:numCache>
            </c:numRef>
          </c:val>
          <c:extLst>
            <c:ext xmlns:c16="http://schemas.microsoft.com/office/drawing/2014/chart" uri="{C3380CC4-5D6E-409C-BE32-E72D297353CC}">
              <c16:uniqueId val="{00000000-6D58-420E-BFE8-B5BF2CB2CBFB}"/>
            </c:ext>
          </c:extLst>
        </c:ser>
        <c:dLbls>
          <c:showLegendKey val="0"/>
          <c:showVal val="0"/>
          <c:showCatName val="0"/>
          <c:showSerName val="0"/>
          <c:showPercent val="0"/>
          <c:showBubbleSize val="0"/>
        </c:dLbls>
        <c:gapWidth val="164"/>
        <c:overlap val="-22"/>
        <c:axId val="482625952"/>
        <c:axId val="482626312"/>
      </c:barChart>
      <c:catAx>
        <c:axId val="482625952"/>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2626312"/>
        <c:crosses val="autoZero"/>
        <c:auto val="1"/>
        <c:lblAlgn val="ctr"/>
        <c:lblOffset val="100"/>
        <c:noMultiLvlLbl val="0"/>
      </c:catAx>
      <c:valAx>
        <c:axId val="48262631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26259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US" b="1"/>
              <a:t>Challenges</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Sheet2!$B$14</c:f>
              <c:strCache>
                <c:ptCount val="1"/>
                <c:pt idx="0">
                  <c:v>Frequency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Sheet2!$A$15:$A$19</c:f>
              <c:strCache>
                <c:ptCount val="5"/>
                <c:pt idx="0">
                  <c:v>Workforce Issues (shortages, capacity)</c:v>
                </c:pt>
                <c:pt idx="1">
                  <c:v>Infrastructure Limitations</c:v>
                </c:pt>
                <c:pt idx="2">
                  <c:v>Access to Healthcare</c:v>
                </c:pt>
                <c:pt idx="3">
                  <c:v>Non-communicable Diseases (NCDs)</c:v>
                </c:pt>
                <c:pt idx="4">
                  <c:v>Financial Sustainability of Healthcare</c:v>
                </c:pt>
              </c:strCache>
            </c:strRef>
          </c:cat>
          <c:val>
            <c:numRef>
              <c:f>Sheet2!$B$15:$B$19</c:f>
              <c:numCache>
                <c:formatCode>General</c:formatCode>
                <c:ptCount val="5"/>
                <c:pt idx="0">
                  <c:v>8</c:v>
                </c:pt>
                <c:pt idx="1">
                  <c:v>6</c:v>
                </c:pt>
                <c:pt idx="2">
                  <c:v>5</c:v>
                </c:pt>
                <c:pt idx="3">
                  <c:v>4</c:v>
                </c:pt>
                <c:pt idx="4">
                  <c:v>4</c:v>
                </c:pt>
              </c:numCache>
            </c:numRef>
          </c:val>
          <c:extLst>
            <c:ext xmlns:c16="http://schemas.microsoft.com/office/drawing/2014/chart" uri="{C3380CC4-5D6E-409C-BE32-E72D297353CC}">
              <c16:uniqueId val="{00000000-4FE7-4F3B-89BD-02E9ED7C2519}"/>
            </c:ext>
          </c:extLst>
        </c:ser>
        <c:dLbls>
          <c:dLblPos val="inEnd"/>
          <c:showLegendKey val="0"/>
          <c:showVal val="1"/>
          <c:showCatName val="0"/>
          <c:showSerName val="0"/>
          <c:showPercent val="0"/>
          <c:showBubbleSize val="0"/>
        </c:dLbls>
        <c:gapWidth val="219"/>
        <c:overlap val="-27"/>
        <c:axId val="493956384"/>
        <c:axId val="493958904"/>
      </c:barChart>
      <c:catAx>
        <c:axId val="4939563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3958904"/>
        <c:crosses val="autoZero"/>
        <c:auto val="1"/>
        <c:lblAlgn val="ctr"/>
        <c:lblOffset val="100"/>
        <c:noMultiLvlLbl val="0"/>
      </c:catAx>
      <c:valAx>
        <c:axId val="4939589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39563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US" b="1"/>
              <a:t>Opportunities</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Sheet2!$B$26</c:f>
              <c:strCache>
                <c:ptCount val="1"/>
                <c:pt idx="0">
                  <c:v>Frequency</c:v>
                </c:pt>
              </c:strCache>
            </c:strRef>
          </c:tx>
          <c:spPr>
            <a:solidFill>
              <a:schemeClr val="accent1"/>
            </a:solidFill>
            <a:ln>
              <a:noFill/>
            </a:ln>
            <a:effectLst/>
          </c:spPr>
          <c:invertIfNegative val="0"/>
          <c:cat>
            <c:strRef>
              <c:f>Sheet2!$A$27:$A$31</c:f>
              <c:strCache>
                <c:ptCount val="5"/>
                <c:pt idx="0">
                  <c:v>Expansion of Primary Care</c:v>
                </c:pt>
                <c:pt idx="1">
                  <c:v>Improved Governance/Policy Reform</c:v>
                </c:pt>
                <c:pt idx="2">
                  <c:v>Workforce Development</c:v>
                </c:pt>
                <c:pt idx="3">
                  <c:v>Private Sector Involvement/PPP</c:v>
                </c:pt>
                <c:pt idx="4">
                  <c:v>Technology Integration (e-health, telemedicine)</c:v>
                </c:pt>
              </c:strCache>
            </c:strRef>
          </c:cat>
          <c:val>
            <c:numRef>
              <c:f>Sheet2!$B$27:$B$31</c:f>
              <c:numCache>
                <c:formatCode>General</c:formatCode>
                <c:ptCount val="5"/>
                <c:pt idx="0">
                  <c:v>3</c:v>
                </c:pt>
                <c:pt idx="1">
                  <c:v>4</c:v>
                </c:pt>
                <c:pt idx="2">
                  <c:v>5</c:v>
                </c:pt>
                <c:pt idx="3">
                  <c:v>6</c:v>
                </c:pt>
                <c:pt idx="4">
                  <c:v>8</c:v>
                </c:pt>
              </c:numCache>
            </c:numRef>
          </c:val>
          <c:extLst>
            <c:ext xmlns:c16="http://schemas.microsoft.com/office/drawing/2014/chart" uri="{C3380CC4-5D6E-409C-BE32-E72D297353CC}">
              <c16:uniqueId val="{00000000-7AA2-4C80-BB63-85950284E6C0}"/>
            </c:ext>
          </c:extLst>
        </c:ser>
        <c:dLbls>
          <c:showLegendKey val="0"/>
          <c:showVal val="0"/>
          <c:showCatName val="0"/>
          <c:showSerName val="0"/>
          <c:showPercent val="0"/>
          <c:showBubbleSize val="0"/>
        </c:dLbls>
        <c:gapWidth val="182"/>
        <c:axId val="490354184"/>
        <c:axId val="490352744"/>
      </c:barChart>
      <c:catAx>
        <c:axId val="49035418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0352744"/>
        <c:crosses val="autoZero"/>
        <c:auto val="1"/>
        <c:lblAlgn val="ctr"/>
        <c:lblOffset val="100"/>
        <c:noMultiLvlLbl val="0"/>
      </c:catAx>
      <c:valAx>
        <c:axId val="49035274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035418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US"/>
              <a:t>Mitigative Strategies</a:t>
            </a: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Sheet2!$B$37</c:f>
              <c:strCache>
                <c:ptCount val="1"/>
                <c:pt idx="0">
                  <c:v>Frequency</c:v>
                </c:pt>
              </c:strCache>
            </c:strRef>
          </c:tx>
          <c:dPt>
            <c:idx val="0"/>
            <c:bubble3D val="0"/>
            <c:spPr>
              <a:solidFill>
                <a:schemeClr val="accent6">
                  <a:lumMod val="75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4018-4D15-ADC9-1CBA02C25885}"/>
              </c:ext>
            </c:extLst>
          </c:dPt>
          <c:dPt>
            <c:idx val="1"/>
            <c:bubble3D val="0"/>
            <c:spPr>
              <a:solidFill>
                <a:srgbClr val="FFC000"/>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4018-4D15-ADC9-1CBA02C25885}"/>
              </c:ext>
            </c:extLst>
          </c:dPt>
          <c:dPt>
            <c:idx val="2"/>
            <c:bubble3D val="0"/>
            <c:spPr>
              <a:solidFill>
                <a:srgbClr val="7030A0"/>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4018-4D15-ADC9-1CBA02C25885}"/>
              </c:ext>
            </c:extLst>
          </c:dPt>
          <c:dPt>
            <c:idx val="3"/>
            <c:bubble3D val="0"/>
            <c:spPr>
              <a:solidFill>
                <a:srgbClr val="FF0000"/>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4018-4D15-ADC9-1CBA02C25885}"/>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4018-4D15-ADC9-1CBA02C25885}"/>
              </c:ext>
            </c:extLst>
          </c:dPt>
          <c:dLbls>
            <c:dLbl>
              <c:idx val="0"/>
              <c:layout>
                <c:manualLayout>
                  <c:x val="6.9444444444444545E-2"/>
                  <c:y val="5.5555555555555552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lumMod val="75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4018-4D15-ADC9-1CBA02C25885}"/>
                </c:ext>
              </c:extLst>
            </c:dLbl>
            <c:dLbl>
              <c:idx val="1"/>
              <c:layout>
                <c:manualLayout>
                  <c:x val="0.13333333333333314"/>
                  <c:y val="-6.9444444444444531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rgbClr val="FFC000"/>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4018-4D15-ADC9-1CBA02C25885}"/>
                </c:ext>
              </c:extLst>
            </c:dLbl>
            <c:dLbl>
              <c:idx val="2"/>
              <c:layout>
                <c:manualLayout>
                  <c:x val="1.5277777777777777E-2"/>
                  <c:y val="3.2407407407407322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rgbClr val="7030A0"/>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24813888888888888"/>
                      <c:h val="0.2964122193059201"/>
                    </c:manualLayout>
                  </c15:layout>
                </c:ext>
                <c:ext xmlns:c16="http://schemas.microsoft.com/office/drawing/2014/chart" uri="{C3380CC4-5D6E-409C-BE32-E72D297353CC}">
                  <c16:uniqueId val="{00000005-4018-4D15-ADC9-1CBA02C25885}"/>
                </c:ext>
              </c:extLst>
            </c:dLbl>
            <c:dLbl>
              <c:idx val="3"/>
              <c:layout>
                <c:manualLayout>
                  <c:x val="-1.1111111111111112E-2"/>
                  <c:y val="6.4814814814814811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rgbClr val="C00000"/>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4018-4D15-ADC9-1CBA02C25885}"/>
                </c:ext>
              </c:extLst>
            </c:dLbl>
            <c:dLbl>
              <c:idx val="4"/>
              <c:layout>
                <c:manualLayout>
                  <c:x val="0.13472233158355201"/>
                  <c:y val="5.0925925925925923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41187510936132976"/>
                      <c:h val="0.18340296004666085"/>
                    </c:manualLayout>
                  </c15:layout>
                </c:ext>
                <c:ext xmlns:c16="http://schemas.microsoft.com/office/drawing/2014/chart" uri="{C3380CC4-5D6E-409C-BE32-E72D297353CC}">
                  <c16:uniqueId val="{00000009-4018-4D15-ADC9-1CBA02C25885}"/>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Sheet2!$A$38:$A$42</c:f>
              <c:strCache>
                <c:ptCount val="5"/>
                <c:pt idx="0">
                  <c:v>Workforce Training and Capacity Building</c:v>
                </c:pt>
                <c:pt idx="1">
                  <c:v>Public-Private Partnerships (PPPs)</c:v>
                </c:pt>
                <c:pt idx="2">
                  <c:v>Technology Adoption (Digital Health, e-health)</c:v>
                </c:pt>
                <c:pt idx="3">
                  <c:v>Governance and Policy Reforms</c:v>
                </c:pt>
                <c:pt idx="4">
                  <c:v>Healthcare Financing Reforms</c:v>
                </c:pt>
              </c:strCache>
            </c:strRef>
          </c:cat>
          <c:val>
            <c:numRef>
              <c:f>Sheet2!$B$38:$B$42</c:f>
              <c:numCache>
                <c:formatCode>General</c:formatCode>
                <c:ptCount val="5"/>
                <c:pt idx="0">
                  <c:v>8</c:v>
                </c:pt>
                <c:pt idx="1">
                  <c:v>6</c:v>
                </c:pt>
                <c:pt idx="2">
                  <c:v>5</c:v>
                </c:pt>
                <c:pt idx="3">
                  <c:v>4</c:v>
                </c:pt>
                <c:pt idx="4">
                  <c:v>3</c:v>
                </c:pt>
              </c:numCache>
            </c:numRef>
          </c:val>
          <c:extLst>
            <c:ext xmlns:c16="http://schemas.microsoft.com/office/drawing/2014/chart" uri="{C3380CC4-5D6E-409C-BE32-E72D297353CC}">
              <c16:uniqueId val="{0000000A-4018-4D15-ADC9-1CBA02C25885}"/>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524</TotalTime>
  <Pages>32</Pages>
  <Words>8427</Words>
  <Characters>48036</Characters>
  <Application>Microsoft Office Word</Application>
  <DocSecurity>0</DocSecurity>
  <Lines>400</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rohitha ravisekar</cp:lastModifiedBy>
  <cp:revision>56</cp:revision>
  <dcterms:created xsi:type="dcterms:W3CDTF">2025-03-14T07:20:00Z</dcterms:created>
  <dcterms:modified xsi:type="dcterms:W3CDTF">2025-04-23T08:27:00Z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