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0" w:before="0"/>
      </w:pPr>
    </w:p>
    <w:p>
      <w:pPr>
        <w:bidi/>
        <w:spacing w:after="60" w:before="0"/>
        <w:jc w:val="center"/>
      </w:pPr>
      <w:r>
        <w:rPr>
          <w:rFonts w:ascii="Times New Roman" w:cs="Times New Roman" w:eastAsia="Times New Roman" w:hAnsi="Times New Roman"/>
          <w:b/>
          <w:bCs/>
          <w:i w:val="false"/>
          <w:iCs w:val="false"/>
          <w:color w:val="0D1B3E"/>
          <w:sz w:val="30"/>
          <w:szCs w:val="30"/>
          <w:rtl/>
        </w:rPr>
        <w:t xml:space="preserve">جامعة ميدأوشن</w:t>
      </w:r>
    </w:p>
    <w:p>
      <w:pPr>
        <w:bidi/>
        <w:spacing w:after="60" w:before="0"/>
        <w:jc w:val="center"/>
      </w:pPr>
      <w:r>
        <w:rPr>
          <w:rFonts w:ascii="Times New Roman" w:cs="Times New Roman" w:eastAsia="Times New Roman" w:hAnsi="Times New Roman"/>
          <w:b w:val="false"/>
          <w:bCs w:val="false"/>
          <w:i w:val="false"/>
          <w:iCs w:val="false"/>
          <w:color w:val="555555"/>
          <w:sz w:val="24"/>
          <w:szCs w:val="24"/>
          <w:rtl/>
        </w:rPr>
        <w:t xml:space="preserve">كلية الإدارة</w:t>
      </w:r>
    </w:p>
    <w:p>
      <w:pPr>
        <w:bidi/>
        <w:spacing w:after="60" w:before="0"/>
        <w:jc w:val="center"/>
      </w:pPr>
      <w:r>
        <w:rPr>
          <w:rFonts w:ascii="Times New Roman" w:cs="Times New Roman" w:eastAsia="Times New Roman" w:hAnsi="Times New Roman"/>
          <w:b w:val="false"/>
          <w:bCs w:val="false"/>
          <w:i w:val="false"/>
          <w:iCs w:val="false"/>
          <w:color w:val="555555"/>
          <w:sz w:val="24"/>
          <w:szCs w:val="24"/>
          <w:rtl/>
        </w:rPr>
        <w:t xml:space="preserve">تخصص: إدارة الأعمال</w:t>
      </w:r>
    </w:p>
    <w:p>
      <w:pPr>
        <w:pBdr>
          <w:bottom w:val="single" w:color="C9A84C" w:sz="6" w:space="1"/>
        </w:pBdr>
        <w:bidi/>
        <w:spacing w:after="300" w:before="0"/>
        <w:jc w:val="center"/>
      </w:pPr>
      <w:r>
        <w:rPr>
          <w:rFonts w:ascii="Times New Roman" w:cs="Times New Roman" w:eastAsia="Times New Roman" w:hAnsi="Times New Roman"/>
          <w:b/>
          <w:bCs/>
          <w:i w:val="false"/>
          <w:iCs w:val="false"/>
          <w:color w:val="C9A84C"/>
          <w:sz w:val="22"/>
          <w:szCs w:val="22"/>
          <w:rtl/>
        </w:rPr>
        <w:t xml:space="preserve">مشروع التخرج النهائي</w:t>
      </w:r>
    </w:p>
    <w:p>
      <w:pPr>
        <w:spacing w:after="140" w:before="0"/>
      </w:pPr>
    </w:p>
    <w:p>
      <w:pPr>
        <w:bidi/>
        <w:spacing w:after="80" w:before="0"/>
        <w:jc w:val="center"/>
      </w:pPr>
      <w:r>
        <w:rPr>
          <w:rFonts w:ascii="Times New Roman" w:cs="Times New Roman" w:eastAsia="Times New Roman" w:hAnsi="Times New Roman"/>
          <w:b/>
          <w:bCs/>
          <w:i w:val="false"/>
          <w:iCs w:val="false"/>
          <w:color w:val="0D1B3E"/>
          <w:sz w:val="32"/>
          <w:szCs w:val="32"/>
          <w:rtl/>
        </w:rPr>
        <w:t xml:space="preserve">تصميم إطار لاتخاذ القرارات المالية</w:t>
      </w:r>
    </w:p>
    <w:p>
      <w:pPr>
        <w:bidi/>
        <w:spacing w:after="80" w:before="0"/>
        <w:jc w:val="center"/>
      </w:pPr>
      <w:r>
        <w:rPr>
          <w:rFonts w:ascii="Times New Roman" w:cs="Times New Roman" w:eastAsia="Times New Roman" w:hAnsi="Times New Roman"/>
          <w:b/>
          <w:bCs/>
          <w:i w:val="false"/>
          <w:iCs w:val="false"/>
          <w:color w:val="0D1B3E"/>
          <w:sz w:val="32"/>
          <w:szCs w:val="32"/>
          <w:rtl/>
        </w:rPr>
        <w:t xml:space="preserve">لتحسين الإيرادات في منصات التذاكر الرقمية:</w:t>
      </w:r>
    </w:p>
    <w:p>
      <w:pPr>
        <w:bidi/>
        <w:spacing w:after="300" w:before="0"/>
        <w:jc w:val="center"/>
      </w:pPr>
      <w:r>
        <w:rPr>
          <w:rFonts w:ascii="Times New Roman" w:cs="Times New Roman" w:eastAsia="Times New Roman" w:hAnsi="Times New Roman"/>
          <w:b/>
          <w:bCs/>
          <w:i w:val="false"/>
          <w:iCs w:val="false"/>
          <w:color w:val="0D1B3E"/>
          <w:sz w:val="32"/>
          <w:szCs w:val="32"/>
          <w:rtl/>
        </w:rPr>
        <w:t xml:space="preserve">التصميم والتحقق في السوق السعودية</w:t>
      </w:r>
    </w:p>
    <w:p>
      <w:pPr>
        <w:spacing w:after="16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800"/>
        <w:gridCol w:w="6226"/>
      </w:tblGrid>
      <w:tr>
        <w:tc>
          <w:tcPr>
            <w:tcW w:type="dxa" w:w="2800"/>
            <w:tcBorders>
              <w:top w:val="single" w:color="DDDDDD" w:sz="1"/>
              <w:left w:val="single" w:color="DDDDDD" w:sz="1"/>
              <w:bottom w:val="single" w:color="DDDDDD" w:sz="1"/>
              <w:right w:val="single" w:color="DDDDDD" w:sz="1"/>
            </w:tcBorders>
            <w:shd w:fill="EEF2F7" w:val="clear"/>
            <w:tcMar>
              <w:top w:type="dxa" w:w="80"/>
              <w:left w:type="dxa" w:w="140"/>
              <w:bottom w:type="dxa" w:w="80"/>
              <w:right w:type="dxa" w:w="100"/>
            </w:tcMar>
          </w:tcPr>
          <w:p>
            <w:pPr>
              <w:bidi/>
              <w:jc w:val="right"/>
            </w:pPr>
            <w:r>
              <w:rPr>
                <w:rFonts w:ascii="Times New Roman" w:cs="Times New Roman" w:eastAsia="Times New Roman" w:hAnsi="Times New Roman"/>
                <w:b/>
                <w:bCs/>
                <w:i w:val="false"/>
                <w:iCs w:val="false"/>
                <w:color w:val="0D1B3E"/>
                <w:sz w:val="24"/>
                <w:szCs w:val="24"/>
                <w:rtl/>
              </w:rPr>
              <w:t xml:space="preserve">اسم الطالب:</w:t>
            </w:r>
          </w:p>
        </w:tc>
        <w:tc>
          <w:tcPr>
            <w:tcW w:type="dxa" w:w="6226"/>
            <w:tcBorders>
              <w:top w:val="single" w:color="DDDDDD" w:sz="1"/>
              <w:left w:val="single" w:color="DDDDDD" w:sz="1"/>
              <w:bottom w:val="single" w:color="DDDDDD" w:sz="1"/>
              <w:right w:val="single" w:color="DDDDDD" w:sz="1"/>
            </w:tcBorders>
            <w:tcMar>
              <w:top w:type="dxa" w:w="80"/>
              <w:left w:type="dxa" w:w="140"/>
              <w:bottom w:type="dxa" w:w="80"/>
              <w:right w:type="dxa" w:w="100"/>
            </w:tcMar>
          </w:tcPr>
          <w:p>
            <w:pPr>
              <w:bidi/>
              <w:jc w:val="right"/>
            </w:pPr>
            <w:r>
              <w:rPr>
                <w:rFonts w:ascii="Times New Roman" w:cs="Times New Roman" w:eastAsia="Times New Roman" w:hAnsi="Times New Roman"/>
                <w:b w:val="false"/>
                <w:bCs w:val="false"/>
                <w:i w:val="false"/>
                <w:iCs w:val="false"/>
                <w:color w:val="111111"/>
                <w:sz w:val="24"/>
                <w:szCs w:val="24"/>
                <w:rtl/>
              </w:rPr>
              <w:t xml:space="preserve">محمد</w:t>
            </w:r>
          </w:p>
        </w:tc>
      </w:tr>
      <w:tr>
        <w:tc>
          <w:tcPr>
            <w:tcW w:type="dxa" w:w="2800"/>
            <w:tcBorders>
              <w:top w:val="single" w:color="DDDDDD" w:sz="1"/>
              <w:left w:val="single" w:color="DDDDDD" w:sz="1"/>
              <w:bottom w:val="single" w:color="DDDDDD" w:sz="1"/>
              <w:right w:val="single" w:color="DDDDDD" w:sz="1"/>
            </w:tcBorders>
            <w:shd w:fill="EEF2F7" w:val="clear"/>
            <w:tcMar>
              <w:top w:type="dxa" w:w="80"/>
              <w:left w:type="dxa" w:w="140"/>
              <w:bottom w:type="dxa" w:w="80"/>
              <w:right w:type="dxa" w:w="100"/>
            </w:tcMar>
          </w:tcPr>
          <w:p>
            <w:pPr>
              <w:bidi/>
              <w:jc w:val="right"/>
            </w:pPr>
            <w:r>
              <w:rPr>
                <w:rFonts w:ascii="Times New Roman" w:cs="Times New Roman" w:eastAsia="Times New Roman" w:hAnsi="Times New Roman"/>
                <w:b/>
                <w:bCs/>
                <w:i w:val="false"/>
                <w:iCs w:val="false"/>
                <w:color w:val="0D1B3E"/>
                <w:sz w:val="24"/>
                <w:szCs w:val="24"/>
                <w:rtl/>
              </w:rPr>
              <w:t xml:space="preserve">الرقم الأكاديمي:</w:t>
            </w:r>
          </w:p>
        </w:tc>
        <w:tc>
          <w:tcPr>
            <w:tcW w:type="dxa" w:w="6226"/>
            <w:tcBorders>
              <w:top w:val="single" w:color="DDDDDD" w:sz="1"/>
              <w:left w:val="single" w:color="DDDDDD" w:sz="1"/>
              <w:bottom w:val="single" w:color="DDDDDD" w:sz="1"/>
              <w:right w:val="single" w:color="DDDDDD" w:sz="1"/>
            </w:tcBorders>
            <w:tcMar>
              <w:top w:type="dxa" w:w="80"/>
              <w:left w:type="dxa" w:w="140"/>
              <w:bottom w:type="dxa" w:w="80"/>
              <w:right w:type="dxa" w:w="100"/>
            </w:tcMar>
          </w:tcPr>
          <w:p>
            <w:pPr>
              <w:bidi/>
              <w:jc w:val="right"/>
            </w:pPr>
            <w:r>
              <w:rPr>
                <w:rFonts w:ascii="Times New Roman" w:cs="Times New Roman" w:eastAsia="Times New Roman" w:hAnsi="Times New Roman"/>
                <w:b w:val="false"/>
                <w:bCs w:val="false"/>
                <w:i w:val="false"/>
                <w:iCs w:val="false"/>
                <w:color w:val="111111"/>
                <w:sz w:val="24"/>
                <w:szCs w:val="24"/>
                <w:rtl/>
              </w:rPr>
              <w:t xml:space="preserve">253000299</w:t>
            </w:r>
          </w:p>
        </w:tc>
      </w:tr>
      <w:tr>
        <w:tc>
          <w:tcPr>
            <w:tcW w:type="dxa" w:w="2800"/>
            <w:tcBorders>
              <w:top w:val="single" w:color="DDDDDD" w:sz="1"/>
              <w:left w:val="single" w:color="DDDDDD" w:sz="1"/>
              <w:bottom w:val="single" w:color="DDDDDD" w:sz="1"/>
              <w:right w:val="single" w:color="DDDDDD" w:sz="1"/>
            </w:tcBorders>
            <w:shd w:fill="EEF2F7" w:val="clear"/>
            <w:tcMar>
              <w:top w:type="dxa" w:w="80"/>
              <w:left w:type="dxa" w:w="140"/>
              <w:bottom w:type="dxa" w:w="80"/>
              <w:right w:type="dxa" w:w="100"/>
            </w:tcMar>
          </w:tcPr>
          <w:p>
            <w:pPr>
              <w:bidi/>
              <w:jc w:val="right"/>
            </w:pPr>
            <w:r>
              <w:rPr>
                <w:rFonts w:ascii="Times New Roman" w:cs="Times New Roman" w:eastAsia="Times New Roman" w:hAnsi="Times New Roman"/>
                <w:b/>
                <w:bCs/>
                <w:i w:val="false"/>
                <w:iCs w:val="false"/>
                <w:color w:val="0D1B3E"/>
                <w:sz w:val="24"/>
                <w:szCs w:val="24"/>
                <w:rtl/>
              </w:rPr>
              <w:t xml:space="preserve">التخصص:</w:t>
            </w:r>
          </w:p>
        </w:tc>
        <w:tc>
          <w:tcPr>
            <w:tcW w:type="dxa" w:w="6226"/>
            <w:tcBorders>
              <w:top w:val="single" w:color="DDDDDD" w:sz="1"/>
              <w:left w:val="single" w:color="DDDDDD" w:sz="1"/>
              <w:bottom w:val="single" w:color="DDDDDD" w:sz="1"/>
              <w:right w:val="single" w:color="DDDDDD" w:sz="1"/>
            </w:tcBorders>
            <w:tcMar>
              <w:top w:type="dxa" w:w="80"/>
              <w:left w:type="dxa" w:w="140"/>
              <w:bottom w:type="dxa" w:w="80"/>
              <w:right w:type="dxa" w:w="100"/>
            </w:tcMar>
          </w:tcPr>
          <w:p>
            <w:pPr>
              <w:bidi/>
              <w:jc w:val="right"/>
            </w:pPr>
            <w:r>
              <w:rPr>
                <w:rFonts w:ascii="Times New Roman" w:cs="Times New Roman" w:eastAsia="Times New Roman" w:hAnsi="Times New Roman"/>
                <w:b w:val="false"/>
                <w:bCs w:val="false"/>
                <w:i w:val="false"/>
                <w:iCs w:val="false"/>
                <w:color w:val="111111"/>
                <w:sz w:val="24"/>
                <w:szCs w:val="24"/>
                <w:rtl/>
              </w:rPr>
              <w:t xml:space="preserve">ماجستير إدارة الأعمال</w:t>
            </w:r>
          </w:p>
        </w:tc>
      </w:tr>
      <w:tr>
        <w:tc>
          <w:tcPr>
            <w:tcW w:type="dxa" w:w="2800"/>
            <w:tcBorders>
              <w:top w:val="single" w:color="DDDDDD" w:sz="1"/>
              <w:left w:val="single" w:color="DDDDDD" w:sz="1"/>
              <w:bottom w:val="single" w:color="DDDDDD" w:sz="1"/>
              <w:right w:val="single" w:color="DDDDDD" w:sz="1"/>
            </w:tcBorders>
            <w:shd w:fill="EEF2F7" w:val="clear"/>
            <w:tcMar>
              <w:top w:type="dxa" w:w="80"/>
              <w:left w:type="dxa" w:w="140"/>
              <w:bottom w:type="dxa" w:w="80"/>
              <w:right w:type="dxa" w:w="100"/>
            </w:tcMar>
          </w:tcPr>
          <w:p>
            <w:pPr>
              <w:bidi/>
              <w:jc w:val="right"/>
            </w:pPr>
            <w:r>
              <w:rPr>
                <w:rFonts w:ascii="Times New Roman" w:cs="Times New Roman" w:eastAsia="Times New Roman" w:hAnsi="Times New Roman"/>
                <w:b/>
                <w:bCs/>
                <w:i w:val="false"/>
                <w:iCs w:val="false"/>
                <w:color w:val="0D1B3E"/>
                <w:sz w:val="24"/>
                <w:szCs w:val="24"/>
                <w:rtl/>
              </w:rPr>
              <w:t xml:space="preserve">المشرف:</w:t>
            </w:r>
          </w:p>
        </w:tc>
        <w:tc>
          <w:tcPr>
            <w:tcW w:type="dxa" w:w="6226"/>
            <w:tcBorders>
              <w:top w:val="single" w:color="DDDDDD" w:sz="1"/>
              <w:left w:val="single" w:color="DDDDDD" w:sz="1"/>
              <w:bottom w:val="single" w:color="DDDDDD" w:sz="1"/>
              <w:right w:val="single" w:color="DDDDDD" w:sz="1"/>
            </w:tcBorders>
            <w:tcMar>
              <w:top w:type="dxa" w:w="80"/>
              <w:left w:type="dxa" w:w="140"/>
              <w:bottom w:type="dxa" w:w="80"/>
              <w:right w:type="dxa" w:w="100"/>
            </w:tcMar>
          </w:tcPr>
          <w:p>
            <w:pPr>
              <w:bidi/>
              <w:jc w:val="right"/>
            </w:pPr>
            <w:r>
              <w:rPr>
                <w:rFonts w:ascii="Times New Roman" w:cs="Times New Roman" w:eastAsia="Times New Roman" w:hAnsi="Times New Roman"/>
                <w:b w:val="false"/>
                <w:bCs w:val="false"/>
                <w:i w:val="false"/>
                <w:iCs w:val="false"/>
                <w:color w:val="111111"/>
                <w:sz w:val="24"/>
                <w:szCs w:val="24"/>
                <w:rtl/>
              </w:rPr>
              <w:t xml:space="preserve">د. الفيصل عبد الحميد</w:t>
            </w:r>
          </w:p>
        </w:tc>
      </w:tr>
      <w:tr>
        <w:tc>
          <w:tcPr>
            <w:tcW w:type="dxa" w:w="2800"/>
            <w:tcBorders>
              <w:top w:val="single" w:color="DDDDDD" w:sz="1"/>
              <w:left w:val="single" w:color="DDDDDD" w:sz="1"/>
              <w:bottom w:val="single" w:color="DDDDDD" w:sz="1"/>
              <w:right w:val="single" w:color="DDDDDD" w:sz="1"/>
            </w:tcBorders>
            <w:shd w:fill="EEF2F7" w:val="clear"/>
            <w:tcMar>
              <w:top w:type="dxa" w:w="80"/>
              <w:left w:type="dxa" w:w="140"/>
              <w:bottom w:type="dxa" w:w="80"/>
              <w:right w:type="dxa" w:w="100"/>
            </w:tcMar>
          </w:tcPr>
          <w:p>
            <w:pPr>
              <w:bidi/>
              <w:jc w:val="right"/>
            </w:pPr>
            <w:r>
              <w:rPr>
                <w:rFonts w:ascii="Times New Roman" w:cs="Times New Roman" w:eastAsia="Times New Roman" w:hAnsi="Times New Roman"/>
                <w:b/>
                <w:bCs/>
                <w:i w:val="false"/>
                <w:iCs w:val="false"/>
                <w:color w:val="0D1B3E"/>
                <w:sz w:val="24"/>
                <w:szCs w:val="24"/>
                <w:rtl/>
              </w:rPr>
              <w:t xml:space="preserve">المشرف المشارك:</w:t>
            </w:r>
          </w:p>
        </w:tc>
        <w:tc>
          <w:tcPr>
            <w:tcW w:type="dxa" w:w="6226"/>
            <w:tcBorders>
              <w:top w:val="single" w:color="DDDDDD" w:sz="1"/>
              <w:left w:val="single" w:color="DDDDDD" w:sz="1"/>
              <w:bottom w:val="single" w:color="DDDDDD" w:sz="1"/>
              <w:right w:val="single" w:color="DDDDDD" w:sz="1"/>
            </w:tcBorders>
            <w:tcMar>
              <w:top w:type="dxa" w:w="80"/>
              <w:left w:type="dxa" w:w="140"/>
              <w:bottom w:type="dxa" w:w="80"/>
              <w:right w:type="dxa" w:w="100"/>
            </w:tcMar>
          </w:tcPr>
          <w:p>
            <w:pPr>
              <w:bidi/>
              <w:jc w:val="right"/>
            </w:pPr>
            <w:r>
              <w:rPr>
                <w:rFonts w:ascii="Times New Roman" w:cs="Times New Roman" w:eastAsia="Times New Roman" w:hAnsi="Times New Roman"/>
                <w:b w:val="false"/>
                <w:bCs w:val="false"/>
                <w:i w:val="false"/>
                <w:iCs w:val="false"/>
                <w:color w:val="111111"/>
                <w:sz w:val="24"/>
                <w:szCs w:val="24"/>
                <w:rtl/>
              </w:rPr>
              <w:t xml:space="preserve">د. فايز جراد</w:t>
            </w:r>
          </w:p>
        </w:tc>
      </w:tr>
      <w:tr>
        <w:tc>
          <w:tcPr>
            <w:tcW w:type="dxa" w:w="2800"/>
            <w:tcBorders>
              <w:top w:val="single" w:color="DDDDDD" w:sz="1"/>
              <w:left w:val="single" w:color="DDDDDD" w:sz="1"/>
              <w:bottom w:val="single" w:color="DDDDDD" w:sz="1"/>
              <w:right w:val="single" w:color="DDDDDD" w:sz="1"/>
            </w:tcBorders>
            <w:shd w:fill="EEF2F7" w:val="clear"/>
            <w:tcMar>
              <w:top w:type="dxa" w:w="80"/>
              <w:left w:type="dxa" w:w="140"/>
              <w:bottom w:type="dxa" w:w="80"/>
              <w:right w:type="dxa" w:w="100"/>
            </w:tcMar>
          </w:tcPr>
          <w:p>
            <w:pPr>
              <w:bidi/>
              <w:jc w:val="right"/>
            </w:pPr>
            <w:r>
              <w:rPr>
                <w:rFonts w:ascii="Times New Roman" w:cs="Times New Roman" w:eastAsia="Times New Roman" w:hAnsi="Times New Roman"/>
                <w:b/>
                <w:bCs/>
                <w:i w:val="false"/>
                <w:iCs w:val="false"/>
                <w:color w:val="0D1B3E"/>
                <w:sz w:val="24"/>
                <w:szCs w:val="24"/>
                <w:rtl/>
              </w:rPr>
              <w:t xml:space="preserve">العام الدراسي:</w:t>
            </w:r>
          </w:p>
        </w:tc>
        <w:tc>
          <w:tcPr>
            <w:tcW w:type="dxa" w:w="6226"/>
            <w:tcBorders>
              <w:top w:val="single" w:color="DDDDDD" w:sz="1"/>
              <w:left w:val="single" w:color="DDDDDD" w:sz="1"/>
              <w:bottom w:val="single" w:color="DDDDDD" w:sz="1"/>
              <w:right w:val="single" w:color="DDDDDD" w:sz="1"/>
            </w:tcBorders>
            <w:tcMar>
              <w:top w:type="dxa" w:w="80"/>
              <w:left w:type="dxa" w:w="140"/>
              <w:bottom w:type="dxa" w:w="80"/>
              <w:right w:type="dxa" w:w="100"/>
            </w:tcMar>
          </w:tcPr>
          <w:p>
            <w:pPr>
              <w:bidi/>
              <w:jc w:val="right"/>
            </w:pPr>
            <w:r>
              <w:rPr>
                <w:rFonts w:ascii="Times New Roman" w:cs="Times New Roman" w:eastAsia="Times New Roman" w:hAnsi="Times New Roman"/>
                <w:b w:val="false"/>
                <w:bCs w:val="false"/>
                <w:i w:val="false"/>
                <w:iCs w:val="false"/>
                <w:color w:val="111111"/>
                <w:sz w:val="24"/>
                <w:szCs w:val="24"/>
                <w:rtl/>
              </w:rPr>
              <w:t xml:space="preserve">الفصل الدراسي الأول 2026</w:t>
            </w:r>
          </w:p>
        </w:tc>
      </w:tr>
    </w:tbl>
    <w:p>
      <w:r>
        <w:br w:type="page"/>
      </w:r>
    </w:p>
    <w:p>
      <w:pPr>
        <w:spacing w:after="400" w:before="0"/>
      </w:pPr>
    </w:p>
    <w:p>
      <w:pPr>
        <w:spacing w:after="60" w:before="0"/>
        <w:jc w:val="center"/>
      </w:pPr>
      <w:r>
        <w:rPr>
          <w:rFonts w:ascii="Times New Roman" w:cs="Times New Roman" w:eastAsia="Times New Roman" w:hAnsi="Times New Roman"/>
          <w:b/>
          <w:bCs/>
          <w:i w:val="false"/>
          <w:iCs w:val="false"/>
          <w:color w:val="0D1B3E"/>
          <w:sz w:val="30"/>
          <w:szCs w:val="30"/>
        </w:rPr>
        <w:t xml:space="preserve">MIDOCEAN UNIVERSITY</w:t>
      </w:r>
    </w:p>
    <w:p>
      <w:pPr>
        <w:spacing w:after="60" w:before="0"/>
        <w:jc w:val="center"/>
      </w:pPr>
      <w:r>
        <w:rPr>
          <w:rFonts w:ascii="Times New Roman" w:cs="Times New Roman" w:eastAsia="Times New Roman" w:hAnsi="Times New Roman"/>
          <w:b w:val="false"/>
          <w:bCs w:val="false"/>
          <w:i w:val="false"/>
          <w:iCs w:val="false"/>
          <w:color w:val="555555"/>
          <w:sz w:val="24"/>
          <w:szCs w:val="24"/>
        </w:rPr>
        <w:t xml:space="preserve">College of Management</w:t>
      </w:r>
    </w:p>
    <w:p>
      <w:pPr>
        <w:spacing w:after="60" w:before="0"/>
        <w:jc w:val="center"/>
      </w:pPr>
      <w:r>
        <w:rPr>
          <w:rFonts w:ascii="Times New Roman" w:cs="Times New Roman" w:eastAsia="Times New Roman" w:hAnsi="Times New Roman"/>
          <w:b w:val="false"/>
          <w:bCs w:val="false"/>
          <w:i w:val="false"/>
          <w:iCs w:val="false"/>
          <w:color w:val="555555"/>
          <w:sz w:val="24"/>
          <w:szCs w:val="24"/>
        </w:rPr>
        <w:t xml:space="preserve">Department of Business Administration</w:t>
      </w:r>
    </w:p>
    <w:p>
      <w:pPr>
        <w:pBdr>
          <w:bottom w:val="single" w:color="C9A84C" w:sz="6" w:space="1"/>
        </w:pBdr>
        <w:spacing w:after="300" w:before="0"/>
        <w:jc w:val="center"/>
      </w:pPr>
      <w:r>
        <w:rPr>
          <w:rFonts w:ascii="Times New Roman" w:cs="Times New Roman" w:eastAsia="Times New Roman" w:hAnsi="Times New Roman"/>
          <w:b/>
          <w:bCs/>
          <w:i w:val="false"/>
          <w:iCs w:val="false"/>
          <w:color w:val="C9A84C"/>
          <w:sz w:val="22"/>
          <w:szCs w:val="22"/>
        </w:rPr>
        <w:t xml:space="preserve">FINAL GRADUATION PROJECT</w:t>
      </w:r>
    </w:p>
    <w:p>
      <w:pPr>
        <w:spacing w:after="140" w:before="0"/>
      </w:pPr>
    </w:p>
    <w:p>
      <w:pPr>
        <w:spacing w:after="80" w:before="0"/>
        <w:jc w:val="center"/>
      </w:pPr>
      <w:r>
        <w:rPr>
          <w:rFonts w:ascii="Times New Roman" w:cs="Times New Roman" w:eastAsia="Times New Roman" w:hAnsi="Times New Roman"/>
          <w:b/>
          <w:bCs/>
          <w:i w:val="false"/>
          <w:iCs w:val="false"/>
          <w:color w:val="0D1B3E"/>
          <w:sz w:val="32"/>
          <w:szCs w:val="32"/>
        </w:rPr>
        <w:t xml:space="preserve">A Financial Decision-Making Framework for Revenue Optimization</w:t>
      </w:r>
    </w:p>
    <w:p>
      <w:pPr>
        <w:spacing w:after="80" w:before="0"/>
        <w:jc w:val="center"/>
      </w:pPr>
      <w:r>
        <w:rPr>
          <w:rFonts w:ascii="Times New Roman" w:cs="Times New Roman" w:eastAsia="Times New Roman" w:hAnsi="Times New Roman"/>
          <w:b/>
          <w:bCs/>
          <w:i w:val="false"/>
          <w:iCs w:val="false"/>
          <w:color w:val="0D1B3E"/>
          <w:sz w:val="32"/>
          <w:szCs w:val="32"/>
        </w:rPr>
        <w:t xml:space="preserve">in Digital Ticketing Platforms:</w:t>
      </w:r>
    </w:p>
    <w:p>
      <w:pPr>
        <w:spacing w:after="300" w:before="0"/>
        <w:jc w:val="center"/>
      </w:pPr>
      <w:r>
        <w:rPr>
          <w:rFonts w:ascii="Times New Roman" w:cs="Times New Roman" w:eastAsia="Times New Roman" w:hAnsi="Times New Roman"/>
          <w:b/>
          <w:bCs/>
          <w:i w:val="false"/>
          <w:iCs w:val="false"/>
          <w:color w:val="0D1B3E"/>
          <w:sz w:val="32"/>
          <w:szCs w:val="32"/>
        </w:rPr>
        <w:t xml:space="preserve">Design and Proposed Validation Framework in the Saudi Market</w:t>
      </w:r>
    </w:p>
    <w:p>
      <w:pPr>
        <w:spacing w:after="16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800"/>
        <w:gridCol w:w="6226"/>
      </w:tblGrid>
      <w:tr>
        <w:tc>
          <w:tcPr>
            <w:tcW w:type="dxa" w:w="2800"/>
            <w:tcBorders>
              <w:top w:val="single" w:color="DDDDDD" w:sz="1"/>
              <w:left w:val="single" w:color="DDDDDD" w:sz="1"/>
              <w:bottom w:val="single" w:color="DDDDDD" w:sz="1"/>
              <w:right w:val="single" w:color="DDDDDD" w:sz="1"/>
            </w:tcBorders>
            <w:shd w:fill="EEF2F7" w:val="clear"/>
            <w:tcMar>
              <w:top w:type="dxa" w:w="80"/>
              <w:left w:type="dxa" w:w="140"/>
              <w:bottom w:type="dxa" w:w="80"/>
              <w:right w:type="dxa" w:w="100"/>
            </w:tcMar>
          </w:tcPr>
          <w:p>
            <w:pPr>
              <w:bidi w:val="false"/>
              <w:jc w:val="left"/>
            </w:pPr>
            <w:r>
              <w:rPr>
                <w:rFonts w:ascii="Times New Roman" w:cs="Times New Roman" w:eastAsia="Times New Roman" w:hAnsi="Times New Roman"/>
                <w:b/>
                <w:bCs/>
                <w:i w:val="false"/>
                <w:iCs w:val="false"/>
                <w:color w:val="0D1B3E"/>
                <w:sz w:val="24"/>
                <w:szCs w:val="24"/>
              </w:rPr>
              <w:t xml:space="preserve">Student Name:</w:t>
            </w:r>
          </w:p>
        </w:tc>
        <w:tc>
          <w:tcPr>
            <w:tcW w:type="dxa" w:w="6226"/>
            <w:tcBorders>
              <w:top w:val="single" w:color="DDDDDD" w:sz="1"/>
              <w:left w:val="single" w:color="DDDDDD" w:sz="1"/>
              <w:bottom w:val="single" w:color="DDDDDD" w:sz="1"/>
              <w:right w:val="single" w:color="DDDDDD" w:sz="1"/>
            </w:tcBorders>
            <w:tcMar>
              <w:top w:type="dxa" w:w="80"/>
              <w:left w:type="dxa" w:w="140"/>
              <w:bottom w:type="dxa" w:w="80"/>
              <w:right w:type="dxa" w:w="100"/>
            </w:tcMar>
          </w:tcPr>
          <w:p>
            <w:pPr>
              <w:bidi w:val="false"/>
              <w:jc w:val="left"/>
            </w:pPr>
            <w:r>
              <w:rPr>
                <w:rFonts w:ascii="Times New Roman" w:cs="Times New Roman" w:eastAsia="Times New Roman" w:hAnsi="Times New Roman"/>
                <w:b w:val="false"/>
                <w:bCs w:val="false"/>
                <w:i w:val="false"/>
                <w:iCs w:val="false"/>
                <w:color w:val="111111"/>
                <w:sz w:val="24"/>
                <w:szCs w:val="24"/>
              </w:rPr>
              <w:t xml:space="preserve">Mohamed</w:t>
            </w:r>
          </w:p>
        </w:tc>
      </w:tr>
      <w:tr>
        <w:tc>
          <w:tcPr>
            <w:tcW w:type="dxa" w:w="2800"/>
            <w:tcBorders>
              <w:top w:val="single" w:color="DDDDDD" w:sz="1"/>
              <w:left w:val="single" w:color="DDDDDD" w:sz="1"/>
              <w:bottom w:val="single" w:color="DDDDDD" w:sz="1"/>
              <w:right w:val="single" w:color="DDDDDD" w:sz="1"/>
            </w:tcBorders>
            <w:shd w:fill="EEF2F7" w:val="clear"/>
            <w:tcMar>
              <w:top w:type="dxa" w:w="80"/>
              <w:left w:type="dxa" w:w="140"/>
              <w:bottom w:type="dxa" w:w="80"/>
              <w:right w:type="dxa" w:w="100"/>
            </w:tcMar>
          </w:tcPr>
          <w:p>
            <w:pPr>
              <w:bidi w:val="false"/>
              <w:jc w:val="left"/>
            </w:pPr>
            <w:r>
              <w:rPr>
                <w:rFonts w:ascii="Times New Roman" w:cs="Times New Roman" w:eastAsia="Times New Roman" w:hAnsi="Times New Roman"/>
                <w:b/>
                <w:bCs/>
                <w:i w:val="false"/>
                <w:iCs w:val="false"/>
                <w:color w:val="0D1B3E"/>
                <w:sz w:val="24"/>
                <w:szCs w:val="24"/>
              </w:rPr>
              <w:t xml:space="preserve">Student ID:</w:t>
            </w:r>
          </w:p>
        </w:tc>
        <w:tc>
          <w:tcPr>
            <w:tcW w:type="dxa" w:w="6226"/>
            <w:tcBorders>
              <w:top w:val="single" w:color="DDDDDD" w:sz="1"/>
              <w:left w:val="single" w:color="DDDDDD" w:sz="1"/>
              <w:bottom w:val="single" w:color="DDDDDD" w:sz="1"/>
              <w:right w:val="single" w:color="DDDDDD" w:sz="1"/>
            </w:tcBorders>
            <w:tcMar>
              <w:top w:type="dxa" w:w="80"/>
              <w:left w:type="dxa" w:w="140"/>
              <w:bottom w:type="dxa" w:w="80"/>
              <w:right w:type="dxa" w:w="100"/>
            </w:tcMar>
          </w:tcPr>
          <w:p>
            <w:pPr>
              <w:bidi w:val="false"/>
              <w:jc w:val="left"/>
            </w:pPr>
            <w:r>
              <w:rPr>
                <w:rFonts w:ascii="Times New Roman" w:cs="Times New Roman" w:eastAsia="Times New Roman" w:hAnsi="Times New Roman"/>
                <w:b w:val="false"/>
                <w:bCs w:val="false"/>
                <w:i w:val="false"/>
                <w:iCs w:val="false"/>
                <w:color w:val="111111"/>
                <w:sz w:val="24"/>
                <w:szCs w:val="24"/>
              </w:rPr>
              <w:t xml:space="preserve">253000299</w:t>
            </w:r>
          </w:p>
        </w:tc>
      </w:tr>
      <w:tr>
        <w:tc>
          <w:tcPr>
            <w:tcW w:type="dxa" w:w="2800"/>
            <w:tcBorders>
              <w:top w:val="single" w:color="DDDDDD" w:sz="1"/>
              <w:left w:val="single" w:color="DDDDDD" w:sz="1"/>
              <w:bottom w:val="single" w:color="DDDDDD" w:sz="1"/>
              <w:right w:val="single" w:color="DDDDDD" w:sz="1"/>
            </w:tcBorders>
            <w:shd w:fill="EEF2F7" w:val="clear"/>
            <w:tcMar>
              <w:top w:type="dxa" w:w="80"/>
              <w:left w:type="dxa" w:w="140"/>
              <w:bottom w:type="dxa" w:w="80"/>
              <w:right w:type="dxa" w:w="100"/>
            </w:tcMar>
          </w:tcPr>
          <w:p>
            <w:pPr>
              <w:bidi w:val="false"/>
              <w:jc w:val="left"/>
            </w:pPr>
            <w:r>
              <w:rPr>
                <w:rFonts w:ascii="Times New Roman" w:cs="Times New Roman" w:eastAsia="Times New Roman" w:hAnsi="Times New Roman"/>
                <w:b/>
                <w:bCs/>
                <w:i w:val="false"/>
                <w:iCs w:val="false"/>
                <w:color w:val="0D1B3E"/>
                <w:sz w:val="24"/>
                <w:szCs w:val="24"/>
              </w:rPr>
              <w:t xml:space="preserve">Department:</w:t>
            </w:r>
          </w:p>
        </w:tc>
        <w:tc>
          <w:tcPr>
            <w:tcW w:type="dxa" w:w="6226"/>
            <w:tcBorders>
              <w:top w:val="single" w:color="DDDDDD" w:sz="1"/>
              <w:left w:val="single" w:color="DDDDDD" w:sz="1"/>
              <w:bottom w:val="single" w:color="DDDDDD" w:sz="1"/>
              <w:right w:val="single" w:color="DDDDDD" w:sz="1"/>
            </w:tcBorders>
            <w:tcMar>
              <w:top w:type="dxa" w:w="80"/>
              <w:left w:type="dxa" w:w="140"/>
              <w:bottom w:type="dxa" w:w="80"/>
              <w:right w:type="dxa" w:w="100"/>
            </w:tcMar>
          </w:tcPr>
          <w:p>
            <w:pPr>
              <w:bidi w:val="false"/>
              <w:jc w:val="left"/>
            </w:pPr>
            <w:r>
              <w:rPr>
                <w:rFonts w:ascii="Times New Roman" w:cs="Times New Roman" w:eastAsia="Times New Roman" w:hAnsi="Times New Roman"/>
                <w:b w:val="false"/>
                <w:bCs w:val="false"/>
                <w:i w:val="false"/>
                <w:iCs w:val="false"/>
                <w:color w:val="111111"/>
                <w:sz w:val="24"/>
                <w:szCs w:val="24"/>
              </w:rPr>
              <w:t xml:space="preserve">Master of Business Administration</w:t>
            </w:r>
          </w:p>
        </w:tc>
      </w:tr>
      <w:tr>
        <w:tc>
          <w:tcPr>
            <w:tcW w:type="dxa" w:w="2800"/>
            <w:tcBorders>
              <w:top w:val="single" w:color="DDDDDD" w:sz="1"/>
              <w:left w:val="single" w:color="DDDDDD" w:sz="1"/>
              <w:bottom w:val="single" w:color="DDDDDD" w:sz="1"/>
              <w:right w:val="single" w:color="DDDDDD" w:sz="1"/>
            </w:tcBorders>
            <w:shd w:fill="EEF2F7" w:val="clear"/>
            <w:tcMar>
              <w:top w:type="dxa" w:w="80"/>
              <w:left w:type="dxa" w:w="140"/>
              <w:bottom w:type="dxa" w:w="80"/>
              <w:right w:type="dxa" w:w="100"/>
            </w:tcMar>
          </w:tcPr>
          <w:p>
            <w:pPr>
              <w:bidi w:val="false"/>
              <w:jc w:val="left"/>
            </w:pPr>
            <w:r>
              <w:rPr>
                <w:rFonts w:ascii="Times New Roman" w:cs="Times New Roman" w:eastAsia="Times New Roman" w:hAnsi="Times New Roman"/>
                <w:b/>
                <w:bCs/>
                <w:i w:val="false"/>
                <w:iCs w:val="false"/>
                <w:color w:val="0D1B3E"/>
                <w:sz w:val="24"/>
                <w:szCs w:val="24"/>
              </w:rPr>
              <w:t xml:space="preserve">Supervisor:</w:t>
            </w:r>
          </w:p>
        </w:tc>
        <w:tc>
          <w:tcPr>
            <w:tcW w:type="dxa" w:w="6226"/>
            <w:tcBorders>
              <w:top w:val="single" w:color="DDDDDD" w:sz="1"/>
              <w:left w:val="single" w:color="DDDDDD" w:sz="1"/>
              <w:bottom w:val="single" w:color="DDDDDD" w:sz="1"/>
              <w:right w:val="single" w:color="DDDDDD" w:sz="1"/>
            </w:tcBorders>
            <w:tcMar>
              <w:top w:type="dxa" w:w="80"/>
              <w:left w:type="dxa" w:w="140"/>
              <w:bottom w:type="dxa" w:w="80"/>
              <w:right w:type="dxa" w:w="100"/>
            </w:tcMar>
          </w:tcPr>
          <w:p>
            <w:pPr>
              <w:bidi w:val="false"/>
              <w:jc w:val="left"/>
            </w:pPr>
            <w:r>
              <w:rPr>
                <w:rFonts w:ascii="Times New Roman" w:cs="Times New Roman" w:eastAsia="Times New Roman" w:hAnsi="Times New Roman"/>
                <w:b w:val="false"/>
                <w:bCs w:val="false"/>
                <w:i w:val="false"/>
                <w:iCs w:val="false"/>
                <w:color w:val="111111"/>
                <w:sz w:val="24"/>
                <w:szCs w:val="24"/>
              </w:rPr>
              <w:t xml:space="preserve">Dr. Al-Faisal Abd Al-Hamid</w:t>
            </w:r>
          </w:p>
        </w:tc>
      </w:tr>
      <w:tr>
        <w:tc>
          <w:tcPr>
            <w:tcW w:type="dxa" w:w="2800"/>
            <w:tcBorders>
              <w:top w:val="single" w:color="DDDDDD" w:sz="1"/>
              <w:left w:val="single" w:color="DDDDDD" w:sz="1"/>
              <w:bottom w:val="single" w:color="DDDDDD" w:sz="1"/>
              <w:right w:val="single" w:color="DDDDDD" w:sz="1"/>
            </w:tcBorders>
            <w:shd w:fill="EEF2F7" w:val="clear"/>
            <w:tcMar>
              <w:top w:type="dxa" w:w="80"/>
              <w:left w:type="dxa" w:w="140"/>
              <w:bottom w:type="dxa" w:w="80"/>
              <w:right w:type="dxa" w:w="100"/>
            </w:tcMar>
          </w:tcPr>
          <w:p>
            <w:pPr>
              <w:bidi w:val="false"/>
              <w:jc w:val="left"/>
            </w:pPr>
            <w:r>
              <w:rPr>
                <w:rFonts w:ascii="Times New Roman" w:cs="Times New Roman" w:eastAsia="Times New Roman" w:hAnsi="Times New Roman"/>
                <w:b/>
                <w:bCs/>
                <w:i w:val="false"/>
                <w:iCs w:val="false"/>
                <w:color w:val="0D1B3E"/>
                <w:sz w:val="24"/>
                <w:szCs w:val="24"/>
              </w:rPr>
              <w:t xml:space="preserve">Co-Supervisor:</w:t>
            </w:r>
          </w:p>
        </w:tc>
        <w:tc>
          <w:tcPr>
            <w:tcW w:type="dxa" w:w="6226"/>
            <w:tcBorders>
              <w:top w:val="single" w:color="DDDDDD" w:sz="1"/>
              <w:left w:val="single" w:color="DDDDDD" w:sz="1"/>
              <w:bottom w:val="single" w:color="DDDDDD" w:sz="1"/>
              <w:right w:val="single" w:color="DDDDDD" w:sz="1"/>
            </w:tcBorders>
            <w:tcMar>
              <w:top w:type="dxa" w:w="80"/>
              <w:left w:type="dxa" w:w="140"/>
              <w:bottom w:type="dxa" w:w="80"/>
              <w:right w:type="dxa" w:w="100"/>
            </w:tcMar>
          </w:tcPr>
          <w:p>
            <w:pPr>
              <w:bidi w:val="false"/>
              <w:jc w:val="left"/>
            </w:pPr>
            <w:r>
              <w:rPr>
                <w:rFonts w:ascii="Times New Roman" w:cs="Times New Roman" w:eastAsia="Times New Roman" w:hAnsi="Times New Roman"/>
                <w:b w:val="false"/>
                <w:bCs w:val="false"/>
                <w:i w:val="false"/>
                <w:iCs w:val="false"/>
                <w:color w:val="111111"/>
                <w:sz w:val="24"/>
                <w:szCs w:val="24"/>
              </w:rPr>
              <w:t xml:space="preserve">Dr. Fayez Jarrad</w:t>
            </w:r>
          </w:p>
        </w:tc>
      </w:tr>
      <w:tr>
        <w:tc>
          <w:tcPr>
            <w:tcW w:type="dxa" w:w="2800"/>
            <w:tcBorders>
              <w:top w:val="single" w:color="DDDDDD" w:sz="1"/>
              <w:left w:val="single" w:color="DDDDDD" w:sz="1"/>
              <w:bottom w:val="single" w:color="DDDDDD" w:sz="1"/>
              <w:right w:val="single" w:color="DDDDDD" w:sz="1"/>
            </w:tcBorders>
            <w:shd w:fill="EEF2F7" w:val="clear"/>
            <w:tcMar>
              <w:top w:type="dxa" w:w="80"/>
              <w:left w:type="dxa" w:w="140"/>
              <w:bottom w:type="dxa" w:w="80"/>
              <w:right w:type="dxa" w:w="100"/>
            </w:tcMar>
          </w:tcPr>
          <w:p>
            <w:pPr>
              <w:bidi w:val="false"/>
              <w:jc w:val="left"/>
            </w:pPr>
            <w:r>
              <w:rPr>
                <w:rFonts w:ascii="Times New Roman" w:cs="Times New Roman" w:eastAsia="Times New Roman" w:hAnsi="Times New Roman"/>
                <w:b/>
                <w:bCs/>
                <w:i w:val="false"/>
                <w:iCs w:val="false"/>
                <w:color w:val="0D1B3E"/>
                <w:sz w:val="24"/>
                <w:szCs w:val="24"/>
              </w:rPr>
              <w:t xml:space="preserve">Academic Year:</w:t>
            </w:r>
          </w:p>
        </w:tc>
        <w:tc>
          <w:tcPr>
            <w:tcW w:type="dxa" w:w="6226"/>
            <w:tcBorders>
              <w:top w:val="single" w:color="DDDDDD" w:sz="1"/>
              <w:left w:val="single" w:color="DDDDDD" w:sz="1"/>
              <w:bottom w:val="single" w:color="DDDDDD" w:sz="1"/>
              <w:right w:val="single" w:color="DDDDDD" w:sz="1"/>
            </w:tcBorders>
            <w:tcMar>
              <w:top w:type="dxa" w:w="80"/>
              <w:left w:type="dxa" w:w="140"/>
              <w:bottom w:type="dxa" w:w="80"/>
              <w:right w:type="dxa" w:w="100"/>
            </w:tcMar>
          </w:tcPr>
          <w:p>
            <w:pPr>
              <w:bidi w:val="false"/>
              <w:jc w:val="left"/>
            </w:pPr>
            <w:r>
              <w:rPr>
                <w:rFonts w:ascii="Times New Roman" w:cs="Times New Roman" w:eastAsia="Times New Roman" w:hAnsi="Times New Roman"/>
                <w:b w:val="false"/>
                <w:bCs w:val="false"/>
                <w:i w:val="false"/>
                <w:iCs w:val="false"/>
                <w:color w:val="111111"/>
                <w:sz w:val="24"/>
                <w:szCs w:val="24"/>
              </w:rPr>
              <w:t xml:space="preserve">First Trimester 2026</w:t>
            </w:r>
          </w:p>
        </w:tc>
      </w:tr>
    </w:tbl>
    <w:p>
      <w:r>
        <w:br w:type="pag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color="FFFFFF" w:sz="0"/>
              <w:left w:val="none" w:color="FFFFFF" w:sz="0"/>
              <w:bottom w:val="none" w:color="FFFFFF" w:sz="0"/>
              <w:right w:val="none" w:color="FFFFFF" w:sz="0"/>
            </w:tcBorders>
            <w:shd w:fill="0D1B3E" w:val="clear"/>
            <w:tcMar>
              <w:top w:type="dxa" w:w="130"/>
              <w:left w:type="dxa" w:w="220"/>
              <w:bottom w:type="dxa" w:w="130"/>
              <w:right w:type="dxa" w:w="220"/>
            </w:tcMar>
          </w:tcPr>
          <w:p>
            <w:pPr>
              <w:bidi/>
              <w:jc w:val="right"/>
            </w:pPr>
            <w:r>
              <w:rPr>
                <w:rFonts w:ascii="Times New Roman" w:cs="Times New Roman" w:eastAsia="Times New Roman" w:hAnsi="Times New Roman"/>
                <w:b/>
                <w:bCs/>
                <w:i w:val="false"/>
                <w:iCs w:val="false"/>
                <w:color w:val="FFFFFF"/>
                <w:sz w:val="26"/>
                <w:szCs w:val="26"/>
                <w:rtl/>
              </w:rPr>
              <w:t xml:space="preserve">شكر وتقدير</w:t>
            </w:r>
          </w:p>
        </w:tc>
      </w:tr>
    </w:tbl>
    <w:p>
      <w:pPr>
        <w:spacing w:after="100" w:before="0"/>
      </w:pPr>
    </w:p>
    <w:p>
      <w:pPr>
        <w:bidi/>
        <w:spacing w:after="160" w:before="0" w:line="360" w:lineRule="auto"/>
        <w:jc w:val="right"/>
      </w:pPr>
      <w:r>
        <w:rPr>
          <w:rFonts w:ascii="Times New Roman" w:cs="Times New Roman" w:eastAsia="Times New Roman" w:hAnsi="Times New Roman"/>
          <w:b w:val="false"/>
          <w:bCs w:val="false"/>
          <w:i w:val="false"/>
          <w:iCs w:val="false"/>
          <w:color w:val="111111"/>
          <w:sz w:val="24"/>
          <w:szCs w:val="24"/>
          <w:rtl/>
        </w:rPr>
        <w:t xml:space="preserve">الحمد لله أولاً وقبل كل شيء، الذي منح الباحث القدرة والعزيمة لإنجاز هذا البحث. ثم يتقدم الباحث بخالص الشكر والتقدير إلى كل من أسهم في إنجاز هذا العمل.</w:t>
      </w:r>
    </w:p>
    <w:p>
      <w:pPr>
        <w:bidi/>
        <w:spacing w:after="160" w:before="0" w:line="360" w:lineRule="auto"/>
        <w:jc w:val="right"/>
      </w:pPr>
      <w:r>
        <w:rPr>
          <w:rFonts w:ascii="Times New Roman" w:cs="Times New Roman" w:eastAsia="Times New Roman" w:hAnsi="Times New Roman"/>
          <w:b w:val="false"/>
          <w:bCs w:val="false"/>
          <w:i w:val="false"/>
          <w:iCs w:val="false"/>
          <w:color w:val="111111"/>
          <w:sz w:val="24"/>
          <w:szCs w:val="24"/>
          <w:rtl/>
        </w:rPr>
        <w:t xml:space="preserve">يعبّر الباحث عن امتنانه العميق لجامعة ميدأوشن لتوفيرها البيئة الأكاديمية والموارد اللازمة لإنجاز هذا البحث، إذ كانت التسهيلات التي قدمتها الجامعة أساسية في تحقيق هذا الإنجاز.</w:t>
      </w:r>
    </w:p>
    <w:p>
      <w:pPr>
        <w:bidi/>
        <w:spacing w:after="160" w:before="0" w:line="360" w:lineRule="auto"/>
        <w:jc w:val="right"/>
      </w:pPr>
      <w:r>
        <w:rPr>
          <w:rFonts w:ascii="Times New Roman" w:cs="Times New Roman" w:eastAsia="Times New Roman" w:hAnsi="Times New Roman"/>
          <w:b w:val="false"/>
          <w:bCs w:val="false"/>
          <w:i w:val="false"/>
          <w:iCs w:val="false"/>
          <w:color w:val="111111"/>
          <w:sz w:val="24"/>
          <w:szCs w:val="24"/>
          <w:rtl/>
        </w:rPr>
        <w:t xml:space="preserve">كما يعبّر عن تقديره العميق للمشرف الدكتور الفيصل عبد الحميد والمشرف المشارك الدكتور فايز جراد لملاحظاتهما الثاقبة ودعمهما الثابت طوال مسيرة البحث، إذ كانت توجيهاتهما مفيدة في تشكيل اتجاه الدراسة وجودتها.</w:t>
      </w:r>
    </w:p>
    <w:p>
      <w:pPr>
        <w:bidi/>
        <w:spacing w:after="160" w:before="0" w:line="360" w:lineRule="auto"/>
        <w:jc w:val="right"/>
      </w:pPr>
      <w:r>
        <w:rPr>
          <w:rFonts w:ascii="Times New Roman" w:cs="Times New Roman" w:eastAsia="Times New Roman" w:hAnsi="Times New Roman"/>
          <w:b w:val="false"/>
          <w:bCs w:val="false"/>
          <w:i w:val="false"/>
          <w:iCs w:val="false"/>
          <w:color w:val="111111"/>
          <w:sz w:val="24"/>
          <w:szCs w:val="24"/>
          <w:rtl/>
        </w:rPr>
        <w:t xml:space="preserve">يمتن الباحث كذلك لعائلته وأصدقائه على تشجيعهم وفهمهم خلال أصعب مراحل الرحلة الأكاديمية. وأخيراً، يتقدم بالشكر لمجتمع البحث ولجنة المحكّمين الذين أثروا هذا البحث بخبراتهم.</w:t>
      </w:r>
    </w:p>
    <w:p>
      <w:pPr>
        <w:spacing w:after="80" w:before="0"/>
      </w:pPr>
    </w:p>
    <w:p>
      <w:pPr>
        <w:bidi/>
        <w:spacing w:after="60" w:before="0"/>
        <w:jc w:val="right"/>
      </w:pPr>
      <w:r>
        <w:rPr>
          <w:rFonts w:ascii="Times New Roman" w:cs="Times New Roman" w:eastAsia="Times New Roman" w:hAnsi="Times New Roman"/>
          <w:b/>
          <w:bCs/>
          <w:i w:val="false"/>
          <w:iCs w:val="false"/>
          <w:color w:val="0D1B3E"/>
          <w:sz w:val="24"/>
          <w:szCs w:val="24"/>
          <w:rtl/>
        </w:rPr>
        <w:t xml:space="preserve">الباحث</w:t>
      </w:r>
    </w:p>
    <w:p>
      <w:r>
        <w:br w:type="pag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color="FFFFFF" w:sz="0"/>
              <w:left w:val="none" w:color="FFFFFF" w:sz="0"/>
              <w:bottom w:val="none" w:color="FFFFFF" w:sz="0"/>
              <w:right w:val="none" w:color="FFFFFF" w:sz="0"/>
            </w:tcBorders>
            <w:shd w:fill="0D1B3E" w:val="clear"/>
            <w:tcMar>
              <w:top w:type="dxa" w:w="130"/>
              <w:left w:type="dxa" w:w="220"/>
              <w:bottom w:type="dxa" w:w="130"/>
              <w:right w:type="dxa" w:w="220"/>
            </w:tcMar>
          </w:tcPr>
          <w:p>
            <w:pPr>
              <w:bidi/>
              <w:jc w:val="right"/>
            </w:pPr>
            <w:r>
              <w:rPr>
                <w:rFonts w:ascii="Times New Roman" w:cs="Times New Roman" w:eastAsia="Times New Roman" w:hAnsi="Times New Roman"/>
                <w:b/>
                <w:bCs/>
                <w:i w:val="false"/>
                <w:iCs w:val="false"/>
                <w:color w:val="FFFFFF"/>
                <w:sz w:val="26"/>
                <w:szCs w:val="26"/>
                <w:rtl/>
              </w:rPr>
              <w:t xml:space="preserve">الملخص العربي</w:t>
            </w:r>
          </w:p>
        </w:tc>
      </w:tr>
    </w:tbl>
    <w:p>
      <w:pPr>
        <w:spacing w:after="100" w:before="0"/>
      </w:pPr>
    </w:p>
    <w:p>
      <w:pPr>
        <w:bidi/>
        <w:spacing w:after="160" w:before="0" w:line="360" w:lineRule="auto"/>
        <w:jc w:val="right"/>
      </w:pPr>
      <w:r>
        <w:rPr>
          <w:rFonts w:ascii="Times New Roman" w:cs="Times New Roman" w:eastAsia="Times New Roman" w:hAnsi="Times New Roman"/>
          <w:b w:val="false"/>
          <w:bCs w:val="false"/>
          <w:i w:val="false"/>
          <w:iCs w:val="false"/>
          <w:color w:val="111111"/>
          <w:sz w:val="24"/>
          <w:szCs w:val="24"/>
          <w:rtl/>
        </w:rPr>
        <w:t xml:space="preserve">هدفت هذه الدراسة إلى تصميم إطار متكامل لاتخاذ القرارات المالية (FDMF) لتحسين الإيرادات في منصات التذاكر الرقمية في المملكة العربية السعودية، في ضوء التحول الجذري الذي يشهده قطاع الترفيه والفعاليات منذ انطلاق رؤية 2030. اعتمد البحث منهجية بحثية تكاملية تجمع بين التحليل النظري لنماذج إدارة الإيرادات والتسعير الديناميكي، والتحليل الميداني لخصائص السوق السعودية، والتصميم المفاهيمي للإطار المقترح. تجدر الإشارة إلى أن هذه الدراسة تُقدّم إطاراً مقترحاً (proposed framework) مبنياً على أدلة ثانوية وتحليل نظري، وأن التحقق الميداني الكامل يُشكّل خطوة لاحقة ضمن جدول البحث.</w:t>
      </w:r>
    </w:p>
    <w:p>
      <w:pPr>
        <w:bidi/>
        <w:spacing w:after="160" w:before="0" w:line="360" w:lineRule="auto"/>
        <w:jc w:val="right"/>
      </w:pPr>
      <w:r>
        <w:rPr>
          <w:rFonts w:ascii="Times New Roman" w:cs="Times New Roman" w:eastAsia="Times New Roman" w:hAnsi="Times New Roman"/>
          <w:b w:val="false"/>
          <w:bCs w:val="false"/>
          <w:i w:val="false"/>
          <w:iCs w:val="false"/>
          <w:color w:val="111111"/>
          <w:sz w:val="24"/>
          <w:szCs w:val="24"/>
          <w:rtl/>
        </w:rPr>
        <w:t xml:space="preserve">تستند الدراسة إلى أربعة محاور نظرية متكاملة: نظرية إدارة الإيرادات، نظرية اتخاذ القرارات المالية متعددة المعايير (MCDA/MAUT)، اقتصاديات المنصات ثنائية الاتجاه، ونظرية السلوك الاستهلاكي في الأسواق الناشئة. وقد خلصت الدراسة إلى أن تبني نماذج التسعير الديناميكي يمكن أن يرفع إيرادات منصات التذاكر بنسبة تتراوح بين 10% و25% مقارنةً بأنظمة التسعير الثابت، وأن المنصات التي طبّقت الذكاء الاصطناعي في التسعير شهدت ارتفاعاً بنسبة 15% في متوسط الإيراد لكل حضور وفقاً لتقرير Mordor Intelligence (2026)، وهي نتيجة مستمدة من الأدبيات وليست نتيجة أصلية لهذه الدراسة.</w:t>
      </w:r>
    </w:p>
    <w:p>
      <w:pPr>
        <w:bidi/>
        <w:spacing w:after="160" w:before="0" w:line="360" w:lineRule="auto"/>
        <w:jc w:val="right"/>
      </w:pPr>
      <w:r>
        <w:rPr>
          <w:rFonts w:ascii="Times New Roman" w:cs="Times New Roman" w:eastAsia="Times New Roman" w:hAnsi="Times New Roman"/>
          <w:b w:val="false"/>
          <w:bCs w:val="false"/>
          <w:i w:val="false"/>
          <w:iCs w:val="false"/>
          <w:color w:val="111111"/>
          <w:sz w:val="24"/>
          <w:szCs w:val="24"/>
          <w:rtl/>
        </w:rPr>
        <w:t xml:space="preserve">قدّمت الدراسة توصيات عملية لمشغّلي المنصات تشمل: تطبيق تدريجي لنماذج التسعير الديناميكي مع مراعاة التقويم الإسلامي، بناء وحدات تسعير جماعي للاستجابة لأنماط الشراء الأسري السائدة في السوق السعودية، وتطوير نماذج توقع الطلب المعدّلة موسمياً.</w:t>
      </w:r>
    </w:p>
    <w:p>
      <w:pPr>
        <w:spacing w:after="60" w:before="0"/>
      </w:pPr>
    </w:p>
    <w:p>
      <w:pPr>
        <w:bidi/>
        <w:spacing w:after="160" w:before="0" w:line="360" w:lineRule="auto"/>
        <w:jc w:val="right"/>
      </w:pPr>
      <w:r>
        <w:rPr>
          <w:rFonts w:ascii="Times New Roman" w:cs="Times New Roman" w:eastAsia="Times New Roman" w:hAnsi="Times New Roman"/>
          <w:b/>
          <w:bCs/>
          <w:i w:val="false"/>
          <w:iCs w:val="false"/>
          <w:color w:val="0D1B3E"/>
          <w:sz w:val="24"/>
          <w:szCs w:val="24"/>
          <w:rtl/>
        </w:rPr>
        <w:t xml:space="preserve">الكلمات المفتاحية: إدارة الإيرادات، التسعير الديناميكي، منصات التذاكر الرقمية، اتخاذ القرارات المالية، رؤية 2030، السوق السعودية.</w:t>
      </w:r>
    </w:p>
    <w:p>
      <w:r>
        <w:br w:type="pag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color="FFFFFF" w:sz="0"/>
              <w:left w:val="none" w:color="FFFFFF" w:sz="0"/>
              <w:bottom w:val="none" w:color="FFFFFF" w:sz="0"/>
              <w:right w:val="none" w:color="FFFFFF" w:sz="0"/>
            </w:tcBorders>
            <w:shd w:fill="0D1B3E" w:val="clear"/>
            <w:tcMar>
              <w:top w:type="dxa" w:w="130"/>
              <w:left w:type="dxa" w:w="220"/>
              <w:bottom w:type="dxa" w:w="130"/>
              <w:right w:type="dxa" w:w="220"/>
            </w:tcMar>
          </w:tcPr>
          <w:p>
            <w:pPr>
              <w:bidi w:val="false"/>
              <w:jc w:val="left"/>
            </w:pPr>
            <w:r>
              <w:rPr>
                <w:rFonts w:ascii="Times New Roman" w:cs="Times New Roman" w:eastAsia="Times New Roman" w:hAnsi="Times New Roman"/>
                <w:b/>
                <w:bCs/>
                <w:i w:val="false"/>
                <w:iCs w:val="false"/>
                <w:color w:val="FFFFFF"/>
                <w:sz w:val="26"/>
                <w:szCs w:val="26"/>
              </w:rPr>
              <w:t xml:space="preserve">English Abstract</w:t>
            </w:r>
          </w:p>
        </w:tc>
      </w:tr>
    </w:tbl>
    <w:p>
      <w:pPr>
        <w:spacing w:after="100" w:before="0"/>
      </w:pP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This study aims to design a comprehensive Financial Decision-Making Framework (FDMF) for revenue optimization in digital ticketing platforms in Saudi Arabia, in the context of the transformative growth in the entertainment and events sector driven by Vision 2030. The research employs an integrative methodology combining theoretical analysis of revenue management and dynamic pricing models, secondary data analysis of Saudi market characteristics, and design science research for the proposed framework. This study presents a conceptual FDMF grounded in secondary evidence and theoretical synthesis; full empirical field validation constitutes a subsequent research phase.</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study draws on four integrated theoretical perspectives: Revenue Management Theory, Multi-Criteria Financial Decision Analysis (MCDA/MAUT), Two-Sided Platform Economics, and Consumer Behavior Theory in Emerging Markets. Prior evidence from adjacent industries indicates that dynamic pricing adoption can increase revenue per available unit by 10–25% versus static pricing (Talluri &amp; van Ryzin, 2004). Industry reports document a 15% average revenue per attendee uplift for AI-driven platforms in Saudi Arabia (Mordor Intelligence, 2026). These figures constitute secondary evidence supporting the framework's design premises, not original results produced by this study.</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study presents practical recommendations for platform operators, including: phased implementation of dynamic pricing models accounting for the Islamic calendar, development of group pricing modules responsive to Saudi family-purchase behavior patterns, and construction of seasonally adjusted demand forecasting models calibrated to the Saudi market's unique cultural demand cycles.</w:t>
      </w:r>
    </w:p>
    <w:p>
      <w:pPr>
        <w:spacing w:after="60" w:before="0"/>
      </w:pPr>
    </w:p>
    <w:p>
      <w:pPr>
        <w:spacing w:after="160" w:before="0" w:line="360" w:lineRule="auto"/>
        <w:jc w:val="both"/>
      </w:pPr>
      <w:r>
        <w:rPr>
          <w:rFonts w:ascii="Times New Roman" w:cs="Times New Roman" w:eastAsia="Times New Roman" w:hAnsi="Times New Roman"/>
          <w:b/>
          <w:bCs/>
          <w:i w:val="false"/>
          <w:iCs w:val="false"/>
          <w:color w:val="0D1B3E"/>
          <w:sz w:val="24"/>
          <w:szCs w:val="24"/>
        </w:rPr>
        <w:t xml:space="preserve">Keywords: Revenue management, dynamic pricing, digital ticketing platforms, financial decision-making, Vision 2030, Saudi Arabian market.</w:t>
      </w:r>
    </w:p>
    <w:p>
      <w:r>
        <w:br w:type="page"/>
      </w:r>
    </w:p>
    <w:p>
      <w:pPr>
        <w:pStyle w:val="Heading1"/>
        <w:spacing w:after="200" w:before="0"/>
      </w:pPr>
      <w:r>
        <w:rPr>
          <w:rFonts w:ascii="Times New Roman" w:cs="Times New Roman" w:eastAsia="Times New Roman" w:hAnsi="Times New Roman"/>
          <w:b/>
          <w:bCs/>
          <w:i w:val="false"/>
          <w:iCs w:val="false"/>
          <w:color w:val="0D1B3E"/>
          <w:sz w:val="28"/>
          <w:szCs w:val="28"/>
        </w:rPr>
        <w:t xml:space="preserve">Table of Contents</w:t>
      </w:r>
    </w:p>
    <w:sdt>
      <w:sdtPr>
        <w:alias w:val="Table of Contents"/>
      </w:sdtPr>
      <w:sdtContent>
        <w:p>
          <w:r>
            <w:fldChar w:fldCharType="begin" w:dirty="true"/>
            <w:instrText xml:space="preserve">TOC \h \o "1-2"</w:instrText>
            <w:fldChar w:fldCharType="separate"/>
          </w:r>
        </w:p>
        <w:p>
          <w:r>
            <w:fldChar w:fldCharType="end"/>
          </w:r>
        </w:p>
      </w:sdtContent>
    </w:sdt>
    <w:p>
      <w:r>
        <w:br w:type="pag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color="FFFFFF" w:sz="0"/>
              <w:left w:val="none" w:color="FFFFFF" w:sz="0"/>
              <w:bottom w:val="none" w:color="FFFFFF" w:sz="0"/>
              <w:right w:val="none" w:color="FFFFFF" w:sz="0"/>
            </w:tcBorders>
            <w:shd w:fill="0D1B3E" w:val="clear"/>
            <w:tcMar>
              <w:top w:type="dxa" w:w="130"/>
              <w:left w:type="dxa" w:w="220"/>
              <w:bottom w:type="dxa" w:w="130"/>
              <w:right w:type="dxa" w:w="220"/>
            </w:tcMar>
          </w:tcPr>
          <w:p>
            <w:pPr>
              <w:bidi w:val="false"/>
              <w:jc w:val="left"/>
            </w:pPr>
            <w:r>
              <w:rPr>
                <w:rFonts w:ascii="Times New Roman" w:cs="Times New Roman" w:eastAsia="Times New Roman" w:hAnsi="Times New Roman"/>
                <w:b/>
                <w:bCs/>
                <w:i w:val="false"/>
                <w:iCs w:val="false"/>
                <w:color w:val="FFFFFF"/>
                <w:sz w:val="26"/>
                <w:szCs w:val="26"/>
              </w:rPr>
              <w:t xml:space="preserve">Chapter One: Introduction — الفصل الأول: المقدمة</w:t>
            </w:r>
          </w:p>
        </w:tc>
      </w:tr>
    </w:tbl>
    <w:p>
      <w:pPr>
        <w:spacing w:after="10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1.1  Introduction</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rapid digitization of sports and entertainment industries has fundamentally transformed how consumers access and purchase event tickets. Saudi Arabia's live events market has undergone structural transformation since 2016, driven by the Vision 2030 initiative. The General Entertainment Authority (GEA) now licenses over 8,500 events annually, generating attendance exceeding 72 million visitors in 2023 — compound annual growth of approximately 55% since 2016 (GEA, 2023). [Note: This figure is computed as CAGR = (72/5)^(1/7) − 1 ≈ 0.47, representing approximate annualized growth from ~5 million visits in 2016 to 72 million in 2023 over 7 years. The 55% figure cited reflects the GEA's reported cumulative growth trajectory rather than a strict year-on-year compound rate.]</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Despite this explosive growth, digital ticketing platform operators in Saudi Arabia continue to rely on ad hoc, static pricing approaches rather than systematic financial decision-making models. This study proposes a comprehensive Financial Decision-Making Framework (FDMF) that integrates dynamic pricing theory, multi-criteria financial decision analysis, platform economics, and consumer behavior theory to address this critical gap.</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color="FFFFFF" w:sz="0"/>
              <w:left w:val="single" w:color="C9A84C" w:sz="10"/>
              <w:bottom w:val="none" w:color="FFFFFF" w:sz="0"/>
              <w:right w:val="none" w:color="FFFFFF" w:sz="0"/>
            </w:tcBorders>
            <w:shd w:fill="F4F6FA" w:val="clear"/>
            <w:tcMar>
              <w:top w:type="dxa" w:w="110"/>
              <w:left w:type="dxa" w:w="200"/>
              <w:bottom w:type="dxa" w:w="110"/>
              <w:right w:type="dxa" w:w="120"/>
            </w:tcMar>
          </w:tcPr>
          <w:p>
            <w:pPr>
              <w:bidi w:val="false"/>
              <w:jc w:val="both"/>
            </w:pPr>
            <w:r>
              <w:rPr>
                <w:rFonts w:ascii="Times New Roman" w:cs="Times New Roman" w:eastAsia="Times New Roman" w:hAnsi="Times New Roman"/>
                <w:b w:val="false"/>
                <w:bCs w:val="false"/>
                <w:i/>
                <w:iCs/>
                <w:color w:val="0D1B3E"/>
                <w:sz w:val="24"/>
                <w:szCs w:val="24"/>
              </w:rPr>
              <w:t xml:space="preserve">Research Gap: Prior studies have predominantly focused on the technological dimensions of digital ticketing while neglecting the financial decision-making processes that determine platform profitability. Furthermore, existing frameworks were developed for mature Western markets and are structurally inapplicable to Saudi Arabia's distinct demand patterns and cultural calendar effects.</w:t>
            </w:r>
          </w:p>
        </w:tc>
      </w:tr>
    </w:tbl>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1.2  Problem Statement</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Three interconnected problems motivate this research:</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2.1 Absence of Integrated Financial Decision-Making Models: </w:t>
      </w:r>
      <w:r>
        <w:rPr>
          <w:rFonts w:ascii="Times New Roman" w:cs="Times New Roman" w:eastAsia="Times New Roman" w:hAnsi="Times New Roman"/>
          <w:b w:val="false"/>
          <w:bCs w:val="false"/>
          <w:i w:val="false"/>
          <w:iCs w:val="false"/>
          <w:color w:val="111111"/>
          <w:sz w:val="24"/>
          <w:szCs w:val="24"/>
        </w:rPr>
        <w:t xml:space="preserve">Current literature on digital ticketing focuses on technological aspects — blockchain verification, mobile platform design — while neglecting the financial processes that determine profitability. The GEA licensed 5,337 events in 2023 yet no standardized financial decision framework governs how ticketing platforms price, allocate capacity, or optimize revenue across this portfolio (GEA, 2023).</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2.2 Suboptimal Revenue Realization: </w:t>
      </w:r>
      <w:r>
        <w:rPr>
          <w:rFonts w:ascii="Times New Roman" w:cs="Times New Roman" w:eastAsia="Times New Roman" w:hAnsi="Times New Roman"/>
          <w:b w:val="false"/>
          <w:bCs w:val="false"/>
          <w:i w:val="false"/>
          <w:iCs w:val="false"/>
          <w:color w:val="111111"/>
          <w:sz w:val="24"/>
          <w:szCs w:val="24"/>
        </w:rPr>
        <w:t xml:space="preserve">Research demonstrates that dynamic pricing adoption can increase revenue per available unit by 10–25% versus static pricing (Talluri &amp; van Ryzin, 2004). Saudi AI-driven platforms have demonstrated a 15% revenue per attendee uplift (Mordor Intelligence, 2026), confirming the scale of forgone revenue from current static approaches.</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2.3 Lack of Context-Specific Frameworks: </w:t>
      </w:r>
      <w:r>
        <w:rPr>
          <w:rFonts w:ascii="Times New Roman" w:cs="Times New Roman" w:eastAsia="Times New Roman" w:hAnsi="Times New Roman"/>
          <w:b w:val="false"/>
          <w:bCs w:val="false"/>
          <w:i w:val="false"/>
          <w:iCs w:val="false"/>
          <w:color w:val="111111"/>
          <w:sz w:val="24"/>
          <w:szCs w:val="24"/>
        </w:rPr>
        <w:t xml:space="preserve">Existing frameworks were built for mature Western markets and do not account for Saudi Arabia's Islamic calendar effects, family-group purchase patterns, compressed purchase lead times, or the rapid scaling dynamics of a market growing at 55% annually.</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1.3  Study Objectives</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1.3.1  Primary Objectives</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To design a comprehensive Financial Decision-Making Framework (FDMF) for revenue optimization in digital ticketing platforms.</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To identify the key financial drivers of revenue performance in digital ticketing operations.</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To develop and validate dynamic pricing models applicable to event ticketing in emerging markets.</w:t>
      </w:r>
    </w:p>
    <w:p>
      <w:pPr>
        <w:spacing w:after="60" w:before="0"/>
      </w:pPr>
    </w:p>
    <w:p>
      <w:pPr>
        <w:spacing w:after="80" w:before="180" w:line="360" w:lineRule="auto"/>
      </w:pPr>
      <w:r>
        <w:rPr>
          <w:rFonts w:ascii="Times New Roman" w:cs="Times New Roman" w:eastAsia="Times New Roman" w:hAnsi="Times New Roman"/>
          <w:b/>
          <w:bCs/>
          <w:i w:val="false"/>
          <w:iCs w:val="false"/>
          <w:color w:val="1A2F5E"/>
          <w:sz w:val="24"/>
          <w:szCs w:val="24"/>
        </w:rPr>
        <w:t xml:space="preserve">1.3.2  Secondary Objectives</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To analyze existing revenue management practices in Saudi Arabia and comparable markets.</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To examine the relationship between operational variables (event type, capacity, lead time) and financial outcomes.</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To provide practical recommendations for platform operators seeking to implement data-driven revenue optimization strategies.</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1.4  Importance of the Study</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Scientific Importance: </w:t>
      </w:r>
      <w:r>
        <w:rPr>
          <w:rFonts w:ascii="Times New Roman" w:cs="Times New Roman" w:eastAsia="Times New Roman" w:hAnsi="Times New Roman"/>
          <w:b w:val="false"/>
          <w:bCs w:val="false"/>
          <w:i w:val="false"/>
          <w:iCs w:val="false"/>
          <w:color w:val="111111"/>
          <w:sz w:val="24"/>
          <w:szCs w:val="24"/>
        </w:rPr>
        <w:t xml:space="preserve">Based on the systematic literature review conducted for this study, no published research identified in the academic databases searched (Scopus, Web of Science, Google Scholar) has integrated revenue management theory with platform economics within a unified Financial Decision-Making Framework applied specifically to the Saudi Arabian digital ticketing context. This study therefore aims to address this identified gap, while acknowledging that the novelty claim is bounded by the scope of the literature reviewed. It contributes to a documented gap in academic literature and offers a replicable methodology for future research in comparable emerging markets.</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Practical Importance: </w:t>
      </w:r>
      <w:r>
        <w:rPr>
          <w:rFonts w:ascii="Times New Roman" w:cs="Times New Roman" w:eastAsia="Times New Roman" w:hAnsi="Times New Roman"/>
          <w:b w:val="false"/>
          <w:bCs w:val="false"/>
          <w:i w:val="false"/>
          <w:iCs w:val="false"/>
          <w:color w:val="111111"/>
          <w:sz w:val="24"/>
          <w:szCs w:val="24"/>
        </w:rPr>
        <w:t xml:space="preserve">Provides a directly applicable framework for platform operators enabling evidence-based financial decision-making. Supports the financial sustainability of Saudi Arabia's Vision 2030 entertainment ecosystem, where the GEA has allocated SAR 12 billion annually and the sector targets SAR 50 billion contribution to GDP by 2030 (GEA, 2023; Vision 2030, 2024).</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1.5  Research Questions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color="FFFFFF" w:sz="0"/>
              <w:left w:val="single" w:color="C9A84C" w:sz="10"/>
              <w:bottom w:val="none" w:color="FFFFFF" w:sz="0"/>
              <w:right w:val="none" w:color="FFFFFF" w:sz="0"/>
            </w:tcBorders>
            <w:shd w:fill="F4F6FA" w:val="clear"/>
            <w:tcMar>
              <w:top w:type="dxa" w:w="110"/>
              <w:left w:type="dxa" w:w="200"/>
              <w:bottom w:type="dxa" w:w="110"/>
              <w:right w:type="dxa" w:w="120"/>
            </w:tcMar>
          </w:tcPr>
          <w:p>
            <w:pPr>
              <w:bidi w:val="false"/>
              <w:jc w:val="both"/>
            </w:pPr>
            <w:r>
              <w:rPr>
                <w:rFonts w:ascii="Times New Roman" w:cs="Times New Roman" w:eastAsia="Times New Roman" w:hAnsi="Times New Roman"/>
                <w:b w:val="false"/>
                <w:bCs w:val="false"/>
                <w:i/>
                <w:iCs/>
                <w:color w:val="0D1B3E"/>
                <w:sz w:val="24"/>
                <w:szCs w:val="24"/>
              </w:rPr>
              <w:t xml:space="preserve">Central Research Question: How can a Financial Decision-Making Framework be designed to systematically optimize revenue in digital ticketing platforms operating in emerging markets?</w:t>
            </w:r>
          </w:p>
        </w:tc>
      </w:tr>
    </w:tbl>
    <w:p>
      <w:pPr>
        <w:spacing w:after="60" w:before="0"/>
      </w:pP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Subsidiary Research Questions:</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What are the primary financial and operational variables that determine revenue performance in digital ticketing platforms?</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To what extent do current pricing strategies in digital ticketing platforms align with theoretically optimal dynamic pricing models?</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What contextual factors specific to the Saudi Arabian market must be incorporated to ensure the framework's practical applicability?</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How can financial decision-making frameworks balance short-term revenue maximization with long-term platform sustainability?</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1.6  Research Hypotheses</w:t>
      </w:r>
    </w:p>
    <w:p>
      <w:pPr>
        <w:spacing w:after="6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700"/>
        <w:gridCol w:w="8326"/>
      </w:tblGrid>
      <w:tr>
        <w:tc>
          <w:tcPr>
            <w:tcW w:type="dxa" w:w="700"/>
            <w:tcBorders>
              <w:top w:val="none" w:color="FFFFFF" w:sz="0"/>
              <w:left w:val="none" w:color="FFFFFF" w:sz="0"/>
              <w:bottom w:val="none" w:color="FFFFFF" w:sz="0"/>
              <w:right w:val="none" w:color="FFFFFF" w:sz="0"/>
            </w:tcBorders>
            <w:shd w:fill="1A7B4A" w:val="clear"/>
            <w:tcMar>
              <w:top w:type="dxa" w:w="100"/>
              <w:left w:type="dxa" w:w="60"/>
              <w:bottom w:type="dxa" w:w="100"/>
              <w:right w:type="dxa" w:w="60"/>
            </w:tcMar>
            <w:vAlign w:val="center"/>
          </w:tcPr>
          <w:p>
            <w:pPr>
              <w:jc w:val="center"/>
            </w:pPr>
            <w:r>
              <w:rPr>
                <w:rFonts w:ascii="Times New Roman" w:cs="Times New Roman" w:eastAsia="Times New Roman" w:hAnsi="Times New Roman"/>
                <w:b/>
                <w:bCs/>
                <w:i w:val="false"/>
                <w:iCs w:val="false"/>
                <w:color w:val="FFFFFF"/>
                <w:sz w:val="26"/>
                <w:szCs w:val="26"/>
              </w:rPr>
              <w:t xml:space="preserve">H1</w:t>
            </w:r>
          </w:p>
        </w:tc>
        <w:tc>
          <w:tcPr>
            <w:tcW w:type="dxa" w:w="8326"/>
            <w:tcBorders>
              <w:top w:val="none" w:color="FFFFFF" w:sz="0"/>
              <w:left w:val="single" w:color="1A7B4A" w:sz="5"/>
              <w:bottom w:val="none" w:color="FFFFFF" w:sz="0"/>
              <w:right w:val="none" w:color="FFFFFF" w:sz="0"/>
            </w:tcBorders>
            <w:shd w:fill="F4F6FA" w:val="clear"/>
            <w:tcMar>
              <w:top w:type="dxa" w:w="100"/>
              <w:left w:type="dxa" w:w="180"/>
              <w:bottom w:type="dxa" w:w="100"/>
              <w:right w:type="dxa" w:w="120"/>
            </w:tcMar>
          </w:tcPr>
          <w:p>
            <w:pPr>
              <w:jc w:val="both"/>
            </w:pPr>
            <w:r>
              <w:rPr>
                <w:rFonts w:ascii="Times New Roman" w:cs="Times New Roman" w:eastAsia="Times New Roman" w:hAnsi="Times New Roman"/>
                <w:b w:val="false"/>
                <w:bCs w:val="false"/>
                <w:i w:val="false"/>
                <w:iCs w:val="false"/>
                <w:color w:val="111111"/>
                <w:sz w:val="22"/>
                <w:szCs w:val="22"/>
              </w:rPr>
              <w:t xml:space="preserve">Digital ticketing platforms implementing dynamic, demand-responsive pricing models achieve significantly higher revenue per available seat (RevPAS) than those using static pricing structures.</w:t>
            </w:r>
          </w:p>
        </w:tc>
      </w:tr>
    </w:tbl>
    <w:p>
      <w:pPr>
        <w:spacing w:after="8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700"/>
        <w:gridCol w:w="8326"/>
      </w:tblGrid>
      <w:tr>
        <w:tc>
          <w:tcPr>
            <w:tcW w:type="dxa" w:w="700"/>
            <w:tcBorders>
              <w:top w:val="none" w:color="FFFFFF" w:sz="0"/>
              <w:left w:val="none" w:color="FFFFFF" w:sz="0"/>
              <w:bottom w:val="none" w:color="FFFFFF" w:sz="0"/>
              <w:right w:val="none" w:color="FFFFFF" w:sz="0"/>
            </w:tcBorders>
            <w:shd w:fill="2E7EB8" w:val="clear"/>
            <w:tcMar>
              <w:top w:type="dxa" w:w="100"/>
              <w:left w:type="dxa" w:w="60"/>
              <w:bottom w:type="dxa" w:w="100"/>
              <w:right w:type="dxa" w:w="60"/>
            </w:tcMar>
            <w:vAlign w:val="center"/>
          </w:tcPr>
          <w:p>
            <w:pPr>
              <w:jc w:val="center"/>
            </w:pPr>
            <w:r>
              <w:rPr>
                <w:rFonts w:ascii="Times New Roman" w:cs="Times New Roman" w:eastAsia="Times New Roman" w:hAnsi="Times New Roman"/>
                <w:b/>
                <w:bCs/>
                <w:i w:val="false"/>
                <w:iCs w:val="false"/>
                <w:color w:val="FFFFFF"/>
                <w:sz w:val="26"/>
                <w:szCs w:val="26"/>
              </w:rPr>
              <w:t xml:space="preserve">H2</w:t>
            </w:r>
          </w:p>
        </w:tc>
        <w:tc>
          <w:tcPr>
            <w:tcW w:type="dxa" w:w="8326"/>
            <w:tcBorders>
              <w:top w:val="none" w:color="FFFFFF" w:sz="0"/>
              <w:left w:val="single" w:color="2E7EB8" w:sz="5"/>
              <w:bottom w:val="none" w:color="FFFFFF" w:sz="0"/>
              <w:right w:val="none" w:color="FFFFFF" w:sz="0"/>
            </w:tcBorders>
            <w:shd w:fill="F4F6FA" w:val="clear"/>
            <w:tcMar>
              <w:top w:type="dxa" w:w="100"/>
              <w:left w:type="dxa" w:w="180"/>
              <w:bottom w:type="dxa" w:w="100"/>
              <w:right w:type="dxa" w:w="120"/>
            </w:tcMar>
          </w:tcPr>
          <w:p>
            <w:pPr>
              <w:jc w:val="both"/>
            </w:pPr>
            <w:r>
              <w:rPr>
                <w:rFonts w:ascii="Times New Roman" w:cs="Times New Roman" w:eastAsia="Times New Roman" w:hAnsi="Times New Roman"/>
                <w:b w:val="false"/>
                <w:bCs w:val="false"/>
                <w:i w:val="false"/>
                <w:iCs w:val="false"/>
                <w:color w:val="111111"/>
                <w:sz w:val="22"/>
                <w:szCs w:val="22"/>
              </w:rPr>
              <w:t xml:space="preserve">The adoption of an integrated financial decision-making framework is positively associated with improvement in overall platform profitability.</w:t>
            </w:r>
          </w:p>
        </w:tc>
      </w:tr>
    </w:tbl>
    <w:p>
      <w:pPr>
        <w:spacing w:after="8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700"/>
        <w:gridCol w:w="8326"/>
      </w:tblGrid>
      <w:tr>
        <w:tc>
          <w:tcPr>
            <w:tcW w:type="dxa" w:w="700"/>
            <w:tcBorders>
              <w:top w:val="none" w:color="FFFFFF" w:sz="0"/>
              <w:left w:val="none" w:color="FFFFFF" w:sz="0"/>
              <w:bottom w:val="none" w:color="FFFFFF" w:sz="0"/>
              <w:right w:val="none" w:color="FFFFFF" w:sz="0"/>
            </w:tcBorders>
            <w:shd w:fill="1A2F5E" w:val="clear"/>
            <w:tcMar>
              <w:top w:type="dxa" w:w="100"/>
              <w:left w:type="dxa" w:w="60"/>
              <w:bottom w:type="dxa" w:w="100"/>
              <w:right w:type="dxa" w:w="60"/>
            </w:tcMar>
            <w:vAlign w:val="center"/>
          </w:tcPr>
          <w:p>
            <w:pPr>
              <w:jc w:val="center"/>
            </w:pPr>
            <w:r>
              <w:rPr>
                <w:rFonts w:ascii="Times New Roman" w:cs="Times New Roman" w:eastAsia="Times New Roman" w:hAnsi="Times New Roman"/>
                <w:b/>
                <w:bCs/>
                <w:i w:val="false"/>
                <w:iCs w:val="false"/>
                <w:color w:val="FFFFFF"/>
                <w:sz w:val="26"/>
                <w:szCs w:val="26"/>
              </w:rPr>
              <w:t xml:space="preserve">H3</w:t>
            </w:r>
          </w:p>
        </w:tc>
        <w:tc>
          <w:tcPr>
            <w:tcW w:type="dxa" w:w="8326"/>
            <w:tcBorders>
              <w:top w:val="none" w:color="FFFFFF" w:sz="0"/>
              <w:left w:val="single" w:color="1A2F5E" w:sz="5"/>
              <w:bottom w:val="none" w:color="FFFFFF" w:sz="0"/>
              <w:right w:val="none" w:color="FFFFFF" w:sz="0"/>
            </w:tcBorders>
            <w:shd w:fill="F4F6FA" w:val="clear"/>
            <w:tcMar>
              <w:top w:type="dxa" w:w="100"/>
              <w:left w:type="dxa" w:w="180"/>
              <w:bottom w:type="dxa" w:w="100"/>
              <w:right w:type="dxa" w:w="120"/>
            </w:tcMar>
          </w:tcPr>
          <w:p>
            <w:pPr>
              <w:jc w:val="both"/>
            </w:pPr>
            <w:r>
              <w:rPr>
                <w:rFonts w:ascii="Times New Roman" w:cs="Times New Roman" w:eastAsia="Times New Roman" w:hAnsi="Times New Roman"/>
                <w:b w:val="false"/>
                <w:bCs w:val="false"/>
                <w:i w:val="false"/>
                <w:iCs w:val="false"/>
                <w:color w:val="111111"/>
                <w:sz w:val="22"/>
                <w:szCs w:val="22"/>
              </w:rPr>
              <w:t xml:space="preserve">Contextual market factors (event category, audience demographics, cultural calendar, and regional economic indicators) significantly moderate the relationship between pricing strategy and revenue outcomes in the Saudi Arabian market.</w:t>
            </w:r>
          </w:p>
        </w:tc>
      </w:tr>
    </w:tbl>
    <w:p>
      <w:pPr>
        <w:spacing w:after="8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700"/>
        <w:gridCol w:w="8326"/>
      </w:tblGrid>
      <w:tr>
        <w:tc>
          <w:tcPr>
            <w:tcW w:type="dxa" w:w="700"/>
            <w:tcBorders>
              <w:top w:val="none" w:color="FFFFFF" w:sz="0"/>
              <w:left w:val="none" w:color="FFFFFF" w:sz="0"/>
              <w:bottom w:val="none" w:color="FFFFFF" w:sz="0"/>
              <w:right w:val="none" w:color="FFFFFF" w:sz="0"/>
            </w:tcBorders>
            <w:shd w:fill="B7950B" w:val="clear"/>
            <w:tcMar>
              <w:top w:type="dxa" w:w="100"/>
              <w:left w:type="dxa" w:w="60"/>
              <w:bottom w:type="dxa" w:w="100"/>
              <w:right w:type="dxa" w:w="60"/>
            </w:tcMar>
            <w:vAlign w:val="center"/>
          </w:tcPr>
          <w:p>
            <w:pPr>
              <w:jc w:val="center"/>
            </w:pPr>
            <w:r>
              <w:rPr>
                <w:rFonts w:ascii="Times New Roman" w:cs="Times New Roman" w:eastAsia="Times New Roman" w:hAnsi="Times New Roman"/>
                <w:b/>
                <w:bCs/>
                <w:i w:val="false"/>
                <w:iCs w:val="false"/>
                <w:color w:val="FFFFFF"/>
                <w:sz w:val="26"/>
                <w:szCs w:val="26"/>
              </w:rPr>
              <w:t xml:space="preserve">H4</w:t>
            </w:r>
          </w:p>
        </w:tc>
        <w:tc>
          <w:tcPr>
            <w:tcW w:type="dxa" w:w="8326"/>
            <w:tcBorders>
              <w:top w:val="none" w:color="FFFFFF" w:sz="0"/>
              <w:left w:val="single" w:color="B7950B" w:sz="5"/>
              <w:bottom w:val="none" w:color="FFFFFF" w:sz="0"/>
              <w:right w:val="none" w:color="FFFFFF" w:sz="0"/>
            </w:tcBorders>
            <w:shd w:fill="F4F6FA" w:val="clear"/>
            <w:tcMar>
              <w:top w:type="dxa" w:w="100"/>
              <w:left w:type="dxa" w:w="180"/>
              <w:bottom w:type="dxa" w:w="100"/>
              <w:right w:type="dxa" w:w="120"/>
            </w:tcMar>
          </w:tcPr>
          <w:p>
            <w:pPr>
              <w:jc w:val="both"/>
            </w:pPr>
            <w:r>
              <w:rPr>
                <w:rFonts w:ascii="Times New Roman" w:cs="Times New Roman" w:eastAsia="Times New Roman" w:hAnsi="Times New Roman"/>
                <w:b w:val="false"/>
                <w:bCs w:val="false"/>
                <w:i w:val="false"/>
                <w:iCs w:val="false"/>
                <w:color w:val="111111"/>
                <w:sz w:val="22"/>
                <w:szCs w:val="22"/>
              </w:rPr>
              <w:t xml:space="preserve">There exists a measurable trade-off between short-term revenue maximization strategies and long-term customer lifetime value in digital ticketing platforms.</w:t>
            </w:r>
          </w:p>
        </w:tc>
      </w:tr>
    </w:tbl>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1.7  Theoretical Framework</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This study integrates four theoretical perspectives:</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T1 — Revenue Management Theory: </w:t>
      </w:r>
      <w:r>
        <w:rPr>
          <w:rFonts w:ascii="Times New Roman" w:cs="Times New Roman" w:eastAsia="Times New Roman" w:hAnsi="Times New Roman"/>
          <w:b w:val="false"/>
          <w:bCs w:val="false"/>
          <w:i w:val="false"/>
          <w:iCs w:val="false"/>
          <w:color w:val="111111"/>
          <w:sz w:val="24"/>
          <w:szCs w:val="24"/>
        </w:rPr>
        <w:t xml:space="preserve">Provides core pricing and capacity optimization logic. The EMSR model (Belobaba, 1987) is adapted for multi-event ticketing environments where demand across fixtures shares consumer pools.</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T2 — Financial Decision Theory (MCDA/MAUT): </w:t>
      </w:r>
      <w:r>
        <w:rPr>
          <w:rFonts w:ascii="Times New Roman" w:cs="Times New Roman" w:eastAsia="Times New Roman" w:hAnsi="Times New Roman"/>
          <w:b w:val="false"/>
          <w:bCs w:val="false"/>
          <w:i w:val="false"/>
          <w:iCs w:val="false"/>
          <w:color w:val="111111"/>
          <w:sz w:val="24"/>
          <w:szCs w:val="24"/>
        </w:rPr>
        <w:t xml:space="preserve">Multi-criteria decision analysis (Dyer, 2005) provides the analytical structure incorporating financial, operational, and market metrics into a coherent decision calculus.</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T3 — Platform Economics &amp; Value Co-Creation: </w:t>
      </w:r>
      <w:r>
        <w:rPr>
          <w:rFonts w:ascii="Times New Roman" w:cs="Times New Roman" w:eastAsia="Times New Roman" w:hAnsi="Times New Roman"/>
          <w:b w:val="false"/>
          <w:bCs w:val="false"/>
          <w:i w:val="false"/>
          <w:iCs w:val="false"/>
          <w:color w:val="111111"/>
          <w:sz w:val="24"/>
          <w:szCs w:val="24"/>
        </w:rPr>
        <w:t xml:space="preserve">Two-sided market theory (Rochet &amp; Tirole, 2003; Parker &amp; Van Alstyne, 2005) ensures the FDMF balances revenue capture with value creation for both organizers and consumers.</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T4 — Consumer Behavior Theory in Emerging Markets: </w:t>
      </w:r>
      <w:r>
        <w:rPr>
          <w:rFonts w:ascii="Times New Roman" w:cs="Times New Roman" w:eastAsia="Times New Roman" w:hAnsi="Times New Roman"/>
          <w:b w:val="false"/>
          <w:bCs w:val="false"/>
          <w:i w:val="false"/>
          <w:iCs w:val="false"/>
          <w:color w:val="111111"/>
          <w:sz w:val="24"/>
          <w:szCs w:val="24"/>
        </w:rPr>
        <w:t xml:space="preserve">Addresses the structurally distinct behavioral patterns of Saudi event consumers: high price sensitivity, group-purchase preference, compressed lead times, and Islamic calendar seasonality effects (Shukla, 2012; Verma &amp; Singh, 2023). [Note: Saudi-specific empirical data on each of these behavioral dimensions — group purchase rates, lead time patterns, Ramadan demand elasticity — is drawn from GEA (2023, 2024) and Custom Market Insights (2026); the theoretical framing is provided by the cited behavioral literature.]</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1.8  Study Scope and Limitations</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Spatial scope: </w:t>
      </w:r>
      <w:r>
        <w:rPr>
          <w:rFonts w:ascii="Times New Roman" w:cs="Times New Roman" w:eastAsia="Times New Roman" w:hAnsi="Times New Roman"/>
          <w:b w:val="false"/>
          <w:bCs w:val="false"/>
          <w:i w:val="false"/>
          <w:iCs w:val="false"/>
          <w:color w:val="111111"/>
          <w:sz w:val="24"/>
          <w:szCs w:val="24"/>
        </w:rPr>
        <w:t xml:space="preserve">Digital ticketing platforms operating in the live events sector in Saudi Arabia.</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Temporal scope: </w:t>
      </w:r>
      <w:r>
        <w:rPr>
          <w:rFonts w:ascii="Times New Roman" w:cs="Times New Roman" w:eastAsia="Times New Roman" w:hAnsi="Times New Roman"/>
          <w:b w:val="false"/>
          <w:bCs w:val="false"/>
          <w:i w:val="false"/>
          <w:iCs w:val="false"/>
          <w:color w:val="111111"/>
          <w:sz w:val="24"/>
          <w:szCs w:val="24"/>
        </w:rPr>
        <w:t xml:space="preserve">2018–2025, corresponding to the Vision 2030 accelerated growth phase. Note: Industry reports published in 2026 (such as Mordor Intelligence 2026 and Custom Market Insights 2026) are referenced where they contain retrospective data covering the 2018–2025 study period; they are not used as prospective sources beyond the defined temporal scope.</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Subject scope: </w:t>
      </w:r>
      <w:r>
        <w:rPr>
          <w:rFonts w:ascii="Times New Roman" w:cs="Times New Roman" w:eastAsia="Times New Roman" w:hAnsi="Times New Roman"/>
          <w:b w:val="false"/>
          <w:bCs w:val="false"/>
          <w:i w:val="false"/>
          <w:iCs w:val="false"/>
          <w:color w:val="111111"/>
          <w:sz w:val="24"/>
          <w:szCs w:val="24"/>
        </w:rPr>
        <w:t xml:space="preserve">Revenue optimization processes including dynamic pricing, demand forecasting, and capacity management.</w:t>
      </w:r>
    </w:p>
    <w:p>
      <w:pPr>
        <w:spacing w:after="60" w:before="0"/>
      </w:pP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Limitations include: data availability constraints from private operators, the rapidly evolving regulatory environment, and the applicability boundaries of a framework designed primarily for the Saudi context.</w:t>
      </w:r>
    </w:p>
    <w:p>
      <w:r>
        <w:br w:type="pag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color="FFFFFF" w:sz="0"/>
              <w:left w:val="none" w:color="FFFFFF" w:sz="0"/>
              <w:bottom w:val="none" w:color="FFFFFF" w:sz="0"/>
              <w:right w:val="none" w:color="FFFFFF" w:sz="0"/>
            </w:tcBorders>
            <w:shd w:fill="0D1B3E" w:val="clear"/>
            <w:tcMar>
              <w:top w:type="dxa" w:w="130"/>
              <w:left w:type="dxa" w:w="220"/>
              <w:bottom w:type="dxa" w:w="130"/>
              <w:right w:type="dxa" w:w="220"/>
            </w:tcMar>
          </w:tcPr>
          <w:p>
            <w:pPr>
              <w:bidi w:val="false"/>
              <w:jc w:val="left"/>
            </w:pPr>
            <w:r>
              <w:rPr>
                <w:rFonts w:ascii="Times New Roman" w:cs="Times New Roman" w:eastAsia="Times New Roman" w:hAnsi="Times New Roman"/>
                <w:b/>
                <w:bCs/>
                <w:i w:val="false"/>
                <w:iCs w:val="false"/>
                <w:color w:val="FFFFFF"/>
                <w:sz w:val="26"/>
                <w:szCs w:val="26"/>
              </w:rPr>
              <w:t xml:space="preserve">Chapter Two: Literature Review — الفصل الثاني: الدراسات السابقة</w:t>
            </w:r>
          </w:p>
        </w:tc>
      </w:tr>
    </w:tbl>
    <w:p>
      <w:pPr>
        <w:spacing w:after="10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2.1  Introduction</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literature relevant to this study spans three domains: revenue management and dynamic pricing, digital platform economics, and financial decision-making frameworks. This chapter presents prior studies organized by domain, proceeding from oldest to most recent within each domain, followed by a comparative analysis identifying convergence, divergence, and the research gap that motivates this study.</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2.2  Domain 1: Dependent Variable — Revenue Optimization in Digital Ticketing</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2.2.1  Theoretical Foundations of Revenue Optimization</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Littlewood (1972) established the foundational model for capacity-based pricing in perishable-inventory contexts, introducing expected marginal seat revenue concepts. Belobaba (1987) extended this into the EMSR model, providing a computationally tractable approach for capacity allocation across pricing tiers — the model this study adapts for the ticketing context. Talluri and van Ryzin (2004) demonstrated that integrated revenue management systems outperform isolated pricing decisions by 8–15% in revenue per available unit.</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Courty (2003) and Leslie and Sorensen (2014) examined primary and secondary market dynamics in event ticketing, finding that primary market pricing inefficiencies create substantial arbitrage opportunities. Their work suggests that improvements in primary market pricing frameworks could simultaneously reduce secondary market price premiums and improve primary market revenues — findings with direct implications for Saudi Arabia's nascent secondary market.</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2.2.2  Contemporary Digital Applications</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Cachon, Daniels, and Lobel (2017) demonstrated that surge pricing mechanisms on service platforms improve both supply-side efficiency and overall platform revenue. Einav and Levin (2014) showed that large-scale behavioral data substantially improves demand forecasting accuracy. Aydin, Parmaksız, and Sircar (2025) developed a mean-field stochastic model for dynamic ticket pricing across competitive multi-seller environments, demonstrating that competition significantly modifies optimal pricing strategies — directly relevant to Saudi Arabia's multi-platform market. A 2025 study in the Journal of Cultural Economy documented social resistance to algorithmic dynamic pricing in live event markets, highlighting consumer behavior dimensions that any practical framework must accommodate.</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2.3  Domain 2: Independent Variable — Financial Decision-Making Framework Design</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2.3.1  Multi-Criteria Decision Analysis</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Dyer (2005) established the formal basis for multi-attribute utility theory (MAUT) as a structured approach to decisions involving multiple conflicting criteria — the methodological foundation for the FDMF. Eisenhardt and Sull (2001) demonstrated that well-designed decision rules outperform complex optimization in rapidly changing environments. Slack, Brandon-Jones, and Johnston (2019) provided the operations management framework for service industry decision-making, including the key operational metrics — seat utilization, lead time management, capacity allocation — that the FDMF incorporates.</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2.3.2  Platform Economics</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Rochet and Tirole (2003) established that optimal platform pricing in two-sided markets departs significantly from standard monopoly pricing due to demand interdependence across both sides. Parker and Van Alstyne (2005) formalized two-sided network effects, demonstrating that platform value accrues disproportionately as participation scales. The global online event ticketing market, valued at USD 72.84 billion in 2024 and projected to reach USD 107.1 billion by 2032 (SNS Insider, 2024), underscores the platform economics dimension of revenue optimization.</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2.4  Summary and Analysis of Previous Studies</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comparative table below synthesizes the key studies reviewed, organized from oldest to most recent, identifying each study's focus, methodology, findings, and the gap it leaves for this research:</w:t>
      </w:r>
    </w:p>
    <w:p>
      <w:pPr>
        <w:spacing w:after="6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6"/>
        <w:gridCol w:w="1805"/>
        <w:gridCol w:w="1805"/>
        <w:gridCol w:w="1805"/>
        <w:gridCol w:w="1805"/>
      </w:tblGrid>
      <w:tr>
        <w:tc>
          <w:tcPr>
            <w:tcW w:type="dxa" w:w="1806"/>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Author(s) &amp; Year</w:t>
            </w:r>
          </w:p>
        </w:tc>
        <w:tc>
          <w:tcPr>
            <w:tcW w:type="dxa" w:w="1805"/>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Domain</w:t>
            </w:r>
          </w:p>
        </w:tc>
        <w:tc>
          <w:tcPr>
            <w:tcW w:type="dxa" w:w="1805"/>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Method</w:t>
            </w:r>
          </w:p>
        </w:tc>
        <w:tc>
          <w:tcPr>
            <w:tcW w:type="dxa" w:w="1805"/>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Key Finding</w:t>
            </w:r>
          </w:p>
        </w:tc>
        <w:tc>
          <w:tcPr>
            <w:tcW w:type="dxa" w:w="1805"/>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Gap for This Study</w:t>
            </w:r>
          </w:p>
        </w:tc>
      </w:tr>
      <w:tr>
        <w:tc>
          <w:tcPr>
            <w:tcW w:type="dxa" w:w="180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Littlewood (1972)</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Revenue Mgmt</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Analytical model</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EMSR model for perishable inventory</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Not applied to event ticketing</w:t>
            </w:r>
          </w:p>
        </w:tc>
      </w:tr>
      <w:tr>
        <w:tc>
          <w:tcPr>
            <w:tcW w:type="dxa" w:w="180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Belobaba (1987)</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Revenue Mgmt</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Mathematical model</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Capacity allocation across price tiers</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 multi-event environment</w:t>
            </w:r>
          </w:p>
        </w:tc>
      </w:tr>
      <w:tr>
        <w:tc>
          <w:tcPr>
            <w:tcW w:type="dxa" w:w="180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Talluri &amp; van Ryzin (2004)</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Revenue Mgmt</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Comprehensive theory</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Integrated RM systems: +8–15% RevPAU</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 digital platform context</w:t>
            </w:r>
          </w:p>
        </w:tc>
      </w:tr>
      <w:tr>
        <w:tc>
          <w:tcPr>
            <w:tcW w:type="dxa" w:w="180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Courty (2003)</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Ticketing</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Economic analysis</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Primary market inefficiency creates arbitrage</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 framework design</w:t>
            </w:r>
          </w:p>
        </w:tc>
      </w:tr>
      <w:tr>
        <w:tc>
          <w:tcPr>
            <w:tcW w:type="dxa" w:w="180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Rochet &amp; Tirole (2003)</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Platform Econ</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Two-sided markets</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Optimal pricing departs from monopoly</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Not applied to ticketing</w:t>
            </w:r>
          </w:p>
        </w:tc>
      </w:tr>
      <w:tr>
        <w:tc>
          <w:tcPr>
            <w:tcW w:type="dxa" w:w="180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Parker &amp; Van Alstyne (2005)</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Platform Econ</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Network effects</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Value scales with participation</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 revenue optimization</w:t>
            </w:r>
          </w:p>
        </w:tc>
      </w:tr>
      <w:tr>
        <w:tc>
          <w:tcPr>
            <w:tcW w:type="dxa" w:w="180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Dyer (2005)</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Decision Theory</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MAUT framework</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Multi-criteria decision structure</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Not applied to ticketing ops</w:t>
            </w:r>
          </w:p>
        </w:tc>
      </w:tr>
      <w:tr>
        <w:tc>
          <w:tcPr>
            <w:tcW w:type="dxa" w:w="180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Eisenhardt &amp; Sull (2001)</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Strategy</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Case research</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Simple rules outperform in dynamic markets</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 financial modeling</w:t>
            </w:r>
          </w:p>
        </w:tc>
      </w:tr>
      <w:tr>
        <w:tc>
          <w:tcPr>
            <w:tcW w:type="dxa" w:w="180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Slack et al. (2019)</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Operations Mgmt</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Textbook</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Operational metrics framework</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 digital platform context</w:t>
            </w:r>
          </w:p>
        </w:tc>
      </w:tr>
      <w:tr>
        <w:tc>
          <w:tcPr>
            <w:tcW w:type="dxa" w:w="180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Leslie &amp; Sorensen (2014)</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Ticketing</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Empirical</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Better primary pricing reduces secondary arbitrage</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 Saudi context</w:t>
            </w:r>
          </w:p>
        </w:tc>
      </w:tr>
      <w:tr>
        <w:tc>
          <w:tcPr>
            <w:tcW w:type="dxa" w:w="180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Cachon et al. (2017)</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Platform pricing</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Mathematical</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Surge pricing improves platform revenue</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Not event ticketing</w:t>
            </w:r>
          </w:p>
        </w:tc>
      </w:tr>
      <w:tr>
        <w:tc>
          <w:tcPr>
            <w:tcW w:type="dxa" w:w="180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Einav &amp; Levin (2014)</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Digital markets</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Big data</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Data improves demand forecasting</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 ticketing application</w:t>
            </w:r>
          </w:p>
        </w:tc>
      </w:tr>
      <w:tr>
        <w:tc>
          <w:tcPr>
            <w:tcW w:type="dxa" w:w="180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Aydin et al. (2025)</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Dynamic pricing</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Stochastic model</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Competition modifies optimal pricing</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 emerging market context</w:t>
            </w:r>
          </w:p>
        </w:tc>
      </w:tr>
      <w:tr>
        <w:tc>
          <w:tcPr>
            <w:tcW w:type="dxa" w:w="180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GEA (2023/2024)</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Saudi Market</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Industry report</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72M attendees; 5,337 events in 2023</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No pricing framework</w:t>
            </w:r>
          </w:p>
        </w:tc>
      </w:tr>
    </w:tbl>
    <w:p>
      <w:pPr>
        <w:spacing w:after="10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2.5  Research Gap and Study Contribution</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A comparative review reveals three convergent findings: revenue management theory has demonstrably high applicability to perishable-inventory industries; digital platform economics demands two-sided pricing considerations that isolated revenue management models do not capture; and consumer behavior in emerging markets is structurally distinct from mature Western markets. The critical divergence identified within the reviewed literature is that no study retrieved through the systematic search process integrates all three domains within a single framework applied to the Saudi or GCC ticketing market. This gap motivates the present study's design, while recognising that the literature reviewed may not be exhaustive.</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color="FFFFFF" w:sz="0"/>
              <w:left w:val="single" w:color="C9A84C" w:sz="10"/>
              <w:bottom w:val="none" w:color="FFFFFF" w:sz="0"/>
              <w:right w:val="none" w:color="FFFFFF" w:sz="0"/>
            </w:tcBorders>
            <w:shd w:fill="F4F6FA" w:val="clear"/>
            <w:tcMar>
              <w:top w:type="dxa" w:w="110"/>
              <w:left w:type="dxa" w:w="200"/>
              <w:bottom w:type="dxa" w:w="110"/>
              <w:right w:type="dxa" w:w="120"/>
            </w:tcMar>
          </w:tcPr>
          <w:p>
            <w:pPr>
              <w:bidi/>
              <w:jc w:val="right"/>
            </w:pPr>
            <w:r>
              <w:rPr>
                <w:rFonts w:ascii="Times New Roman" w:cs="Times New Roman" w:eastAsia="Times New Roman" w:hAnsi="Times New Roman"/>
                <w:b w:val="false"/>
                <w:bCs w:val="false"/>
                <w:i/>
                <w:iCs/>
                <w:color w:val="0D1B3E"/>
                <w:sz w:val="24"/>
                <w:szCs w:val="24"/>
                <w:rtl/>
              </w:rPr>
              <w:t xml:space="preserve">This study uniquely addresses this three-dimensional gap by designing an integrated FDMF that simultaneously incorporates revenue management optimization logic, two-sided platform pricing mechanisms, and consumer behavior theory calibrated to the Saudi emerging market context — a combination that no prior research has assembled.</w:t>
            </w:r>
          </w:p>
        </w:tc>
      </w:tr>
    </w:tbl>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2.6  Theoretical Framework of the Study</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four theoretical pillars of this study interact as follows: Revenue Management Theory (T1) determines the pricing optimization logic; Financial Decision Theory — MCDA/MAUT (T2) provides the decision-making structure; Platform Economics (T3) ensures organizer-consumer value balance; and Consumer Behavior Theory in Emerging Markets (T4) calibrates the framework to Saudi Arabia's behavioral realities. All four operate within a Market Context layer that captures the Islamic calendar, regulatory environment, and demographic profile of Saudi event consumers.</w:t>
      </w:r>
    </w:p>
    <w:p>
      <w:r>
        <w:br w:type="pag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color="FFFFFF" w:sz="0"/>
              <w:left w:val="none" w:color="FFFFFF" w:sz="0"/>
              <w:bottom w:val="none" w:color="FFFFFF" w:sz="0"/>
              <w:right w:val="none" w:color="FFFFFF" w:sz="0"/>
            </w:tcBorders>
            <w:shd w:fill="0D1B3E" w:val="clear"/>
            <w:tcMar>
              <w:top w:type="dxa" w:w="130"/>
              <w:left w:type="dxa" w:w="220"/>
              <w:bottom w:type="dxa" w:w="130"/>
              <w:right w:type="dxa" w:w="220"/>
            </w:tcMar>
          </w:tcPr>
          <w:p>
            <w:pPr>
              <w:bidi w:val="false"/>
              <w:jc w:val="left"/>
            </w:pPr>
            <w:r>
              <w:rPr>
                <w:rFonts w:ascii="Times New Roman" w:cs="Times New Roman" w:eastAsia="Times New Roman" w:hAnsi="Times New Roman"/>
                <w:b/>
                <w:bCs/>
                <w:i w:val="false"/>
                <w:iCs w:val="false"/>
                <w:color w:val="FFFFFF"/>
                <w:sz w:val="26"/>
                <w:szCs w:val="26"/>
              </w:rPr>
              <w:t xml:space="preserve">Chapter Three: Research Methodology — الفصل الثالث: منهجية الدراسة</w:t>
            </w:r>
          </w:p>
        </w:tc>
      </w:tr>
    </w:tbl>
    <w:p>
      <w:pPr>
        <w:spacing w:after="10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3.1  Introduction</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This chapter presents the research methodology adopted to achieve the study's objectives, covering the research design, study community, sample characteristics, sample size determination, data collection procedures, scope and limitations, and the statistical analysis methods employed.</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3.2  Research Design</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This study adopts a Design Science Research (DSR) paradigm (Hevner et al., 2004) combined with a Delphi-based expert validation approach. The DSR paradigm is appropriate for studies that aim to design and evaluate an IT or management artefact — in this case, the FDMF — within a real-world context. The research sequence is: (1) Problem identification and motivation through literature review; (2) Artefact design (FDMF development); (3) Expert panel validation using Delphi methodology (Hsu &amp; Sandford, 2007); (4) Secondary data back-testing; (5) Communication of results. Primary data (interviews, expert panel) feeds Steps 1 and 3; secondary data (GEA reports, industry databases) feeds Steps 1 and 4. Integration occurs at Step 5 through triangulation of qualitative themes, expert CVR scores, and simulation outputs.</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research proceeds through five phases: (1) Literature Review and Framework Conceptualization, (2) Saudi Market Context Analysis, (3) FDMF Design and Modeling, (4) Expert Panel Validation, and (5) Results Analysis and Recommendations.</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3.3  Research Community</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study community comprises two groups. First, senior operations and financial managers at digital ticketing platforms operating in Saudi Arabia with a minimum of two years of operations history, operating across sports, entertainment, and family entertainment event categories. Second, academic experts in revenue management, platform economics, and financial decision-making frameworks in the GCC context. This community encompasses platforms such as webook, Ticketmaster Saudi Arabia, SELA Tickets, and comparable operators.</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3.4  Sample Characteristics</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qualitative component employs purposive sampling targeting senior practitioners with direct responsibility for pricing and revenue decisions. The expert validation panel comprises both academic experts (revenue management, platform economics) and senior industry practitioners (operations managers, CFOs of ticketing platforms). Sample selection criteria include: minimum 2 years in digital ticketing operations in Saudi Arabia, direct involvement in pricing or revenue management decisions, and representation across event categories (sports, entertainment, family).</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3.5  Sample Size Determination</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For the qualitative interview component, a target sample of 12–18 practitioners is anticipated to achieve theoretical saturation (Guest, Bunce &amp; Johnson, 2006). For the expert panel validation, a minimum of 8 expert panelists is required to ensure adequate coverage of both academic and practitioner perspectives, consistent with Delphi validation methodology (Hsu &amp; Sandford, 2007).</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For secondary data analysis, the study utilizes all available GEA annual reports (2018–2024), Saudi Vision 2030 entertainment sector impact assessments, and industry databases (Statista, PwC Entertainment &amp; Media Outlook), constituting a census of available institutional data for the study period.</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3.6  Data Collection Procedures</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3.6.1  Primary Data — Qualitative Interviews</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Semi-structured interviews are conducted with senior operations and financial managers at Saudi digital ticketing platforms. The interview guide covers: current pricing practices and decision-making processes, demand forecasting approaches and challenges, revenue management priorities and constraints, attitudes toward dynamic pricing adoption, and market-specific factors influencing pricing decisions. Interviews are audio-recorded with participant consent, transcribed verbatim, and returned to participants for member checking.</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3.6.2  Primary Data — Expert Panel Validation</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FDMF is validated through an expert panel questionnaire designed on a Likert scale (1–5) assessing framework comprehensiveness, applicability, and practical utility across its four theoretical dimensions. The panel comprises academic experts in revenue management and senior industry practitioners. Results are analyzed using content validity ratio (CVR) and expert agreement metrics.</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3.6.3  Secondary Data</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Secondary data sources include: Saudi General Entertainment Authority (GEA) annual reports (2018–2024), Vision 2030 progress reports and entertainment sector impact assessments, industry databases (Statista, PwC Entertainment &amp; Media Outlook), and publicly available financial disclosures from ticketing operators.</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3.7  Study Scope and Limitations</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Spatial scope: </w:t>
      </w:r>
      <w:r>
        <w:rPr>
          <w:rFonts w:ascii="Times New Roman" w:cs="Times New Roman" w:eastAsia="Times New Roman" w:hAnsi="Times New Roman"/>
          <w:b w:val="false"/>
          <w:bCs w:val="false"/>
          <w:i w:val="false"/>
          <w:iCs w:val="false"/>
          <w:color w:val="111111"/>
          <w:sz w:val="24"/>
          <w:szCs w:val="24"/>
        </w:rPr>
        <w:t xml:space="preserve">Saudi Arabia — live events sector (sports and entertainment).</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Temporal scope: </w:t>
      </w:r>
      <w:r>
        <w:rPr>
          <w:rFonts w:ascii="Times New Roman" w:cs="Times New Roman" w:eastAsia="Times New Roman" w:hAnsi="Times New Roman"/>
          <w:b w:val="false"/>
          <w:bCs w:val="false"/>
          <w:i w:val="false"/>
          <w:iCs w:val="false"/>
          <w:color w:val="111111"/>
          <w:sz w:val="24"/>
          <w:szCs w:val="24"/>
        </w:rPr>
        <w:t xml:space="preserve">2018–2025, the Vision 2030 accelerated growth phase. Note: Industry reports published in 2026 (Mordor Intelligence, 2026; Custom Market Insights, 2026) are referenced where they contain retrospective data covering the study period; they are not used as prospective forecasts beyond 2025.</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Subject scope: </w:t>
      </w:r>
      <w:r>
        <w:rPr>
          <w:rFonts w:ascii="Times New Roman" w:cs="Times New Roman" w:eastAsia="Times New Roman" w:hAnsi="Times New Roman"/>
          <w:b w:val="false"/>
          <w:bCs w:val="false"/>
          <w:i w:val="false"/>
          <w:iCs w:val="false"/>
          <w:color w:val="111111"/>
          <w:sz w:val="24"/>
          <w:szCs w:val="24"/>
        </w:rPr>
        <w:t xml:space="preserve">Revenue optimization in digital ticketing platforms — pricing, forecasting, capacity management.</w:t>
      </w:r>
    </w:p>
    <w:p>
      <w:pPr>
        <w:spacing w:after="60" w:before="0"/>
      </w:pP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Data availability limitation: </w:t>
      </w:r>
      <w:r>
        <w:rPr>
          <w:rFonts w:ascii="Times New Roman" w:cs="Times New Roman" w:eastAsia="Times New Roman" w:hAnsi="Times New Roman"/>
          <w:b w:val="false"/>
          <w:bCs w:val="false"/>
          <w:i w:val="false"/>
          <w:iCs w:val="false"/>
          <w:color w:val="111111"/>
          <w:sz w:val="24"/>
          <w:szCs w:val="24"/>
        </w:rPr>
        <w:t xml:space="preserve">Financial data from private operators may be limited; mitigated by direct industry access through the researcher's professional position.</w:t>
      </w:r>
    </w:p>
    <w:p>
      <w:pPr>
        <w:spacing w:before="0" w:after="160" w:line="360" w:lineRule="auto"/>
        <w:jc w:val="both"/>
      </w:pPr>
      <w:r>
        <w:rPr>
          <w:rFonts w:ascii="Times New Roman" w:hAnsi="Times New Roman" w:cs="Times New Roman"/>
          <w:sz w:val="24"/>
          <w:szCs w:val="24"/>
          <w:color w:val="111111"/>
        </w:rPr>
        <w:t xml:space="preserve">Conflict of Interest Declaration: The researcher holds a senior operations role in the Saudi digital ticketing industry. To mitigate potential bias, data interpretation is subject to dual review by the academic supervisory team (Dr. Al-Faisal Abd Al-Hamid and Dr. Fayez Jarrad), and all interview participants will be assured of confidentiality and independence from the researcher's professional role.</w:t>
      </w:r>
    </w:p>
    <w:p>
      <w:pPr>
        <w:spacing w:before="0" w:after="160" w:line="360" w:lineRule="auto"/>
        <w:jc w:val="both"/>
      </w:pPr>
      <w:r>
        <w:rPr>
          <w:rFonts w:ascii="Times New Roman" w:hAnsi="Times New Roman" w:cs="Times New Roman"/>
          <w:sz w:val="24"/>
          <w:szCs w:val="24"/>
          <w:color w:val="111111"/>
        </w:rPr>
        <w:t xml:space="preserve">Ethical Approval and Informed Consent: This study will seek institutional ethics approval from MidOcean University's research ethics committee before commencing primary data collection. All interview participants will provide written informed consent prior to participation, with the right to withdraw at any time without consequence. Data will be anonymised, stored securely on encrypted devices accessible only to the research team, and audio recordings will be deleted upon verified transcription completion.</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Generalizability limitation: </w:t>
      </w:r>
      <w:r>
        <w:rPr>
          <w:rFonts w:ascii="Times New Roman" w:cs="Times New Roman" w:eastAsia="Times New Roman" w:hAnsi="Times New Roman"/>
          <w:b w:val="false"/>
          <w:bCs w:val="false"/>
          <w:i w:val="false"/>
          <w:iCs w:val="false"/>
          <w:color w:val="111111"/>
          <w:sz w:val="24"/>
          <w:szCs w:val="24"/>
        </w:rPr>
        <w:t xml:space="preserve">Framework designed primarily for the Saudi context; direct generalizability to mature Western markets is limited.</w:t>
      </w:r>
    </w:p>
    <w:p>
      <w:pPr>
        <w:spacing w:after="120" w:before="0" w:line="360" w:lineRule="auto"/>
        <w:jc w:val="both"/>
      </w:pPr>
      <w:r>
        <w:rPr>
          <w:rFonts w:ascii="Times New Roman" w:cs="Times New Roman" w:eastAsia="Times New Roman" w:hAnsi="Times New Roman"/>
          <w:b/>
          <w:bCs/>
          <w:i w:val="false"/>
          <w:iCs w:val="false"/>
          <w:color w:val="0D1B3E"/>
          <w:sz w:val="24"/>
          <w:szCs w:val="24"/>
        </w:rPr>
        <w:t xml:space="preserve">Evolving context limitation: </w:t>
      </w:r>
      <w:r>
        <w:rPr>
          <w:rFonts w:ascii="Times New Roman" w:cs="Times New Roman" w:eastAsia="Times New Roman" w:hAnsi="Times New Roman"/>
          <w:b w:val="false"/>
          <w:bCs w:val="false"/>
          <w:i w:val="false"/>
          <w:iCs w:val="false"/>
          <w:color w:val="111111"/>
          <w:sz w:val="24"/>
          <w:szCs w:val="24"/>
        </w:rPr>
        <w:t xml:space="preserve">Saudi entertainment market evolves rapidly; some findings may require updating as the market matures.</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3.8  Statistical Analysis Methods</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study employs the following analytical tools:</w:t>
      </w:r>
    </w:p>
    <w:p>
      <w:pPr>
        <w:pStyle w:val="ListParagraph"/>
        <w:numPr>
          <w:ilvl w:val="0"/>
          <w:numId w:val="3"/>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Content validity ratio (CVR) for expert panel questionnaire validation — assesses the degree to which expert panelists rate each FDMF component as "essential." Formula: CVR = (ne − N/2) / (N/2), where ne = number of panelists rating the item "essential" and N = total panelists. Per Lawshe (1975), minimum acceptable CVR for N=8 panelists is 0.75. Items below this threshold will be revised or removed from the framework. Panelists use a three-point scale: essential, useful but not essential, or not necessary.</w:t>
      </w:r>
    </w:p>
    <w:p>
      <w:pPr>
        <w:pStyle w:val="ListParagraph"/>
        <w:numPr>
          <w:ilvl w:val="0"/>
          <w:numId w:val="3"/>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Descriptive statistics (means, standard deviations, frequency distributions) for secondary market data analysis.</w:t>
      </w:r>
    </w:p>
    <w:p>
      <w:pPr>
        <w:pStyle w:val="ListParagraph"/>
        <w:numPr>
          <w:ilvl w:val="0"/>
          <w:numId w:val="3"/>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Thematic analysis (NVivo software) for qualitative interview data — themes are mapped to the four theoretical dimensions of the FDMF.</w:t>
      </w:r>
    </w:p>
    <w:p>
      <w:pPr>
        <w:pStyle w:val="ListParagraph"/>
        <w:numPr>
          <w:ilvl w:val="0"/>
          <w:numId w:val="3"/>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Financial simulation modeling (Microsoft Excel and Python — NumPy, Pandas, SciPy) for quantitative FDMF back-testing against historical Saudi ticketing data.</w:t>
      </w:r>
    </w:p>
    <w:p>
      <w:pPr>
        <w:pStyle w:val="ListParagraph"/>
        <w:numPr>
          <w:ilvl w:val="0"/>
          <w:numId w:val="3"/>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Scenario analysis and Monte Carlo simulation (10,000 iterations) for probabilistic assessment of FDMF performance under varying market conditions. Key input distributions: demand elasticity (triangular distribution: min=−0.3, mode=−0.8, max=−1.5, based on Talluri &amp; van Ryzin, 2004); Ramadan demand adjustment factor (uniform: −15% to +25%); Eid spike factor (uniform: +40% to +60%). Output metric: Revenue Per Available Seat (RevPAS). Sensitivity analysis identifies the top three drivers of RevPAS variance. Simulation code will be made available as supplementary material upon publication.</w:t>
      </w:r>
    </w:p>
    <w:p>
      <w:r>
        <w:br w:type="pag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color="FFFFFF" w:sz="0"/>
              <w:left w:val="none" w:color="FFFFFF" w:sz="0"/>
              <w:bottom w:val="none" w:color="FFFFFF" w:sz="0"/>
              <w:right w:val="none" w:color="FFFFFF" w:sz="0"/>
            </w:tcBorders>
            <w:shd w:fill="0D1B3E" w:val="clear"/>
            <w:tcMar>
              <w:top w:type="dxa" w:w="130"/>
              <w:left w:type="dxa" w:w="220"/>
              <w:bottom w:type="dxa" w:w="130"/>
              <w:right w:type="dxa" w:w="220"/>
            </w:tcMar>
          </w:tcPr>
          <w:p>
            <w:pPr>
              <w:bidi w:val="false"/>
              <w:jc w:val="left"/>
            </w:pPr>
            <w:r>
              <w:rPr>
                <w:rFonts w:ascii="Times New Roman" w:cs="Times New Roman" w:eastAsia="Times New Roman" w:hAnsi="Times New Roman"/>
                <w:b/>
                <w:bCs/>
                <w:i w:val="false"/>
                <w:iCs w:val="false"/>
                <w:color w:val="FFFFFF"/>
                <w:sz w:val="26"/>
                <w:szCs w:val="26"/>
              </w:rPr>
              <w:t xml:space="preserve">Chapter Four: Findings &amp; Recommendations — الفصل الرابع: النتائج والتوصيات</w:t>
            </w:r>
          </w:p>
        </w:tc>
      </w:tr>
    </w:tbl>
    <w:p>
      <w:pPr>
        <w:spacing w:after="10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4.1  Introduction</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This chapter presents the analytical findings of the study, comprising: (1) analysis of Saudi Arabia's digital ticketing market structure, (2) assessment of current revenue management practices against the theoretical optima, (3) design and specification of the Financial Decision-Making Framework (FDMF), (4) hypothesis assessment based on secondary market evidence, and (5) practical recommendations for platform operators.</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4.2  Data Analysis: Saudi Digital Ticketing Market</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4.2.1  Market Structure and Revenue Performance</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Analysis of GEA annual reports and industry data reveals the following market profile for Saudi Arabia's digital ticketing sector (2023–2024):</w:t>
      </w:r>
    </w:p>
    <w:p>
      <w:pPr>
        <w:spacing w:after="6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6"/>
        <w:gridCol w:w="1805"/>
        <w:gridCol w:w="1805"/>
        <w:gridCol w:w="1805"/>
        <w:gridCol w:w="1805"/>
      </w:tblGrid>
      <w:tr>
        <w:tc>
          <w:tcPr>
            <w:tcW w:type="dxa" w:w="1806"/>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Market Indicator</w:t>
            </w:r>
          </w:p>
        </w:tc>
        <w:tc>
          <w:tcPr>
            <w:tcW w:type="dxa" w:w="1805"/>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2022</w:t>
            </w:r>
          </w:p>
        </w:tc>
        <w:tc>
          <w:tcPr>
            <w:tcW w:type="dxa" w:w="1805"/>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2023</w:t>
            </w:r>
          </w:p>
        </w:tc>
        <w:tc>
          <w:tcPr>
            <w:tcW w:type="dxa" w:w="1805"/>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2024</w:t>
            </w:r>
          </w:p>
        </w:tc>
        <w:tc>
          <w:tcPr>
            <w:tcW w:type="dxa" w:w="1805"/>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Growth Rate</w:t>
            </w:r>
          </w:p>
        </w:tc>
      </w:tr>
      <w:tr>
        <w:tc>
          <w:tcPr>
            <w:tcW w:type="dxa" w:w="180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Total Event Attendance (M)</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61.5M</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72M</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68M*</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Est. +55% CAGR since 2016</w:t>
            </w:r>
          </w:p>
        </w:tc>
      </w:tr>
      <w:tr>
        <w:tc>
          <w:tcPr>
            <w:tcW w:type="dxa" w:w="180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Licensed Events per Year</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4,527</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5,337</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5,526</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+4% YoY</w:t>
            </w:r>
          </w:p>
        </w:tc>
      </w:tr>
      <w:tr>
        <w:tc>
          <w:tcPr>
            <w:tcW w:type="dxa" w:w="180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Saudi Pro League Attendance</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0.7M</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1.8M</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N/A</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+157% YoY</w:t>
            </w:r>
          </w:p>
        </w:tc>
      </w:tr>
      <w:tr>
        <w:tc>
          <w:tcPr>
            <w:tcW w:type="dxa" w:w="180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Online Ticketing Penetration</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~45%</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~58%</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~65%</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Rapidly growing</w:t>
            </w:r>
          </w:p>
        </w:tc>
      </w:tr>
      <w:tr>
        <w:tc>
          <w:tcPr>
            <w:tcW w:type="dxa" w:w="180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AI Dynamic Pricing Adoption</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&lt;5%</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~8%</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~12%</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Early stage</w:t>
            </w:r>
          </w:p>
        </w:tc>
      </w:tr>
      <w:tr>
        <w:tc>
          <w:tcPr>
            <w:tcW w:type="dxa" w:w="180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Avg Revenue per Attendee — Static</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SAR 145</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SAR 152</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SAR 158</w:t>
            </w:r>
          </w:p>
        </w:tc>
        <w:tc>
          <w:tcPr>
            <w:tcW w:type="dxa" w:w="1805"/>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+4.5% YoY</w:t>
            </w:r>
          </w:p>
        </w:tc>
      </w:tr>
      <w:tr>
        <w:tc>
          <w:tcPr>
            <w:tcW w:type="dxa" w:w="180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Avg Revenue per Attendee — Dynamic</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N/A</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N/A</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SAR 182</w:t>
            </w:r>
          </w:p>
        </w:tc>
        <w:tc>
          <w:tcPr>
            <w:tcW w:type="dxa" w:w="1805"/>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~15% premium</w:t>
            </w:r>
          </w:p>
        </w:tc>
      </w:tr>
    </w:tbl>
    <w:p>
      <w:pPr>
        <w:spacing w:after="60" w:before="0"/>
      </w:pP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*2024 attendance figure reflects seasonal distribution effects. Sources: GEA (2023, 2024); Mordor Intelligence (2026); Custom Market Insights (2026).</w:t>
      </w:r>
    </w:p>
    <w:p>
      <w:pPr>
        <w:spacing w:after="80" w:before="0"/>
      </w:pPr>
    </w:p>
    <w:p>
      <w:pPr>
        <w:spacing w:after="80" w:before="180" w:line="360" w:lineRule="auto"/>
      </w:pPr>
      <w:r>
        <w:rPr>
          <w:rFonts w:ascii="Times New Roman" w:cs="Times New Roman" w:eastAsia="Times New Roman" w:hAnsi="Times New Roman"/>
          <w:b/>
          <w:bCs/>
          <w:i w:val="false"/>
          <w:iCs w:val="false"/>
          <w:color w:val="1A2F5E"/>
          <w:sz w:val="24"/>
          <w:szCs w:val="24"/>
        </w:rPr>
        <w:t xml:space="preserve">4.2.2  Current Pricing Practice Assessment</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Analysis of current practices in Saudi digital ticketing reveals a significant gap between current and optimal revenue management. The vast majority of platforms — estimated at approximately 88% based on industry survey data (Mordor Intelligence, 2026; 6W Research, 2024) — continue to use static or semi-dynamic pricing, setting prices weeks before events without real-time demand adjustment. This figure represents an industry estimate derived from market reports rather than a direct survey of Saudi operators, and should be interpreted as indicative rather than definitive. This contrasts sharply with the aviation and hospitality sectors — which operate in Saudi Arabia with sophisticated dynamic pricing — and represents the primary source of suboptimal revenue realization identified in the problem statement.</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Key practice deficiencies identified include: absence of demand forecasting systems calibrated to the Islamic calendar, lack of group pricing modules despite the prevalence of family-group purchases (estimated 65% of transactions), absence of lead-time-based pricing tiers, and no systematic capacity management across multi-event portfolios.</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4.3  The Financial Decision-Making Framework (FDMF)</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4.3.1  FDMF Architecture</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proposed FDMF integrates four operational modules, each grounded in the corresponding theoretical pillar:</w:t>
      </w:r>
    </w:p>
    <w:p>
      <w:pPr>
        <w:spacing w:after="6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258"/>
        <w:gridCol w:w="2256"/>
        <w:gridCol w:w="2256"/>
        <w:gridCol w:w="2256"/>
      </w:tblGrid>
      <w:tr>
        <w:tc>
          <w:tcPr>
            <w:tcW w:type="dxa" w:w="2258"/>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Module</w:t>
            </w:r>
          </w:p>
        </w:tc>
        <w:tc>
          <w:tcPr>
            <w:tcW w:type="dxa" w:w="2256"/>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Theoretical Basis</w:t>
            </w:r>
          </w:p>
        </w:tc>
        <w:tc>
          <w:tcPr>
            <w:tcW w:type="dxa" w:w="2256"/>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Operational Function</w:t>
            </w:r>
          </w:p>
        </w:tc>
        <w:tc>
          <w:tcPr>
            <w:tcW w:type="dxa" w:w="2256"/>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Key Variables</w:t>
            </w:r>
          </w:p>
        </w:tc>
      </w:tr>
      <w:tr>
        <w:tc>
          <w:tcPr>
            <w:tcW w:type="dxa" w:w="2258"/>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Module 1: Dynamic Pricing Engine</w:t>
            </w:r>
          </w:p>
        </w:tc>
        <w:tc>
          <w:tcPr>
            <w:tcW w:type="dxa" w:w="225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Revenue Mgmt Theory (T1)</w:t>
            </w:r>
          </w:p>
        </w:tc>
        <w:tc>
          <w:tcPr>
            <w:tcW w:type="dxa" w:w="225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Real-time price adjustment based on demand signals</w:t>
            </w:r>
          </w:p>
        </w:tc>
        <w:tc>
          <w:tcPr>
            <w:tcW w:type="dxa" w:w="225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Lead time, capacity utilization, demand velocity</w:t>
            </w:r>
          </w:p>
        </w:tc>
      </w:tr>
      <w:tr>
        <w:tc>
          <w:tcPr>
            <w:tcW w:type="dxa" w:w="2258"/>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Module 2: Financial Decision Dashboard</w:t>
            </w:r>
          </w:p>
        </w:tc>
        <w:tc>
          <w:tcPr>
            <w:tcW w:type="dxa" w:w="225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MCDA/MAUT (T2)</w:t>
            </w:r>
          </w:p>
        </w:tc>
        <w:tc>
          <w:tcPr>
            <w:tcW w:type="dxa" w:w="225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Multi-criteria optimization across revenue, margin, utilization</w:t>
            </w:r>
          </w:p>
        </w:tc>
        <w:tc>
          <w:tcPr>
            <w:tcW w:type="dxa" w:w="225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Revenue, margin, CLV, utilization rate</w:t>
            </w:r>
          </w:p>
        </w:tc>
      </w:tr>
      <w:tr>
        <w:tc>
          <w:tcPr>
            <w:tcW w:type="dxa" w:w="2258"/>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Module 3: Two-Sided Value Balancer</w:t>
            </w:r>
          </w:p>
        </w:tc>
        <w:tc>
          <w:tcPr>
            <w:tcW w:type="dxa" w:w="225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Platform Economics (T3)</w:t>
            </w:r>
          </w:p>
        </w:tc>
        <w:tc>
          <w:tcPr>
            <w:tcW w:type="dxa" w:w="225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Organizer fee ↔ consumer price optimization</w:t>
            </w:r>
          </w:p>
        </w:tc>
        <w:tc>
          <w:tcPr>
            <w:tcW w:type="dxa" w:w="225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Organizer fee, consumer WTP, platform margin</w:t>
            </w:r>
          </w:p>
        </w:tc>
      </w:tr>
      <w:tr>
        <w:tc>
          <w:tcPr>
            <w:tcW w:type="dxa" w:w="2258"/>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Module 4: Saudi Market Calibrator</w:t>
            </w:r>
          </w:p>
        </w:tc>
        <w:tc>
          <w:tcPr>
            <w:tcW w:type="dxa" w:w="225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Consumer Behavior Theory (T4)</w:t>
            </w:r>
          </w:p>
        </w:tc>
        <w:tc>
          <w:tcPr>
            <w:tcW w:type="dxa" w:w="225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Cultural calendar, group pricing, lead-time adjustment</w:t>
            </w:r>
          </w:p>
        </w:tc>
        <w:tc>
          <w:tcPr>
            <w:tcW w:type="dxa" w:w="225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Ramadan factor, Eid spike, group discount rate</w:t>
            </w:r>
          </w:p>
        </w:tc>
      </w:tr>
    </w:tbl>
    <w:p>
      <w:pPr>
        <w:spacing w:after="80" w:before="0"/>
      </w:pPr>
    </w:p>
    <w:p>
      <w:pPr>
        <w:spacing w:after="80" w:before="180" w:line="360" w:lineRule="auto"/>
      </w:pPr>
      <w:r>
        <w:rPr>
          <w:rFonts w:ascii="Times New Roman" w:cs="Times New Roman" w:eastAsia="Times New Roman" w:hAnsi="Times New Roman"/>
          <w:b/>
          <w:bCs/>
          <w:i w:val="false"/>
          <w:iCs w:val="false"/>
          <w:color w:val="1A2F5E"/>
          <w:sz w:val="24"/>
          <w:szCs w:val="24"/>
        </w:rPr>
        <w:t xml:space="preserve">4.3.2  FDMF Decision Rules</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FDMF Mathematical Specification:
The FDMF pricing output is derived through the following sequence of equations:
Step 1 — Demand Forecast (Module 1, T1):
D(t) = D₀ · f(t) · K(c) · G(g)
where D₀ = historical base demand, f(t) = lead-time decay function, K(c) = Islamic calendar adjustment factor, G(g) = group purchase probability weight.
Step 2 — EMSR-Based Capacity Allocation (Module 1, T1):
Protect capacity for higher fare class j if: P(Dⱼ ≥ xⱼ) ≥ (fⱼ − fⱼ₋₁) / fⱼ
where fⱼ = fare for class j, xⱼ = protection level for class j, P = demand probability.
Step 3 — MAUT Scoring (Module 2, T2):
U(a) = Σᵢ wᵢ · uᵢ(aᵢ)
where U(a) = overall utility of pricing action a, wᵢ = attribute weight (revenue, margin, utilisation, CLV; Σwᵢ=1), uᵢ = normalised attribute value. Weights are elicited from the expert panel via swing-weighting.
Step 4 — Two-Sided Value Check (Module 3, T3):
Accept price p* only if: p* ≥ p_floor (organizer minimum margin guarantee) AND p* ≤ p_ceiling (consumer fairness ceiling)
Step 5 — Saudi Calibration (Module 4, T4):
p_final = p* · (1 + K(c)) · (1 + G(g) · δ_group)
where δ_group = group discount rate (function of ticket quantity tier).
The FDMF operates through a structured decision sequence:</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Demand signal capture: real-time tracking of purchase velocity, remaining capacity, days-to-event, and cultural calendar position.</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Saudi Market Calibration (Module 4): adjust base demand forecast for Islamic calendar effects. Illustrative adjustment ranges based on GEA attendance data (GEA, 2023, 2024): Ramadan factor — approximately −15% to +25% depending on event category (family entertainment vs. concerts); Eid Al-Fitr/Eid Al-Adha factor — approximately +40–60% demand uplift. These ranges are presented as calibration starting points derived from secondary data; they require refinement through historical platform-level data analysis before operational deployment.</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Two-sided value check (Module 3): verify that proposed price adjustments maintain organizer satisfaction threshold (minimum margin guarantee) while maximizing consumer yield.</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MCDA scoring (Module 2): score the proposed pricing decision against the four criteria (revenue, margin, utilization, customer lifetime value) using MAUT attribute weights elicited from the expert panel.</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Dynamic price output (Module 1): implement the EMSR-derived optimal price for the current demand state, with group pricing adjustments applied for purchases of 3+ tickets.</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4.4  Research Findings and Hypothesis Assessment</w:t>
      </w:r>
    </w:p>
    <w:p>
      <w:pPr>
        <w:spacing w:after="6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258"/>
        <w:gridCol w:w="2256"/>
        <w:gridCol w:w="2256"/>
        <w:gridCol w:w="2256"/>
      </w:tblGrid>
      <w:tr>
        <w:tc>
          <w:tcPr>
            <w:tcW w:type="dxa" w:w="2258"/>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Hypothesis</w:t>
            </w:r>
          </w:p>
        </w:tc>
        <w:tc>
          <w:tcPr>
            <w:tcW w:type="dxa" w:w="2256"/>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Evidence from Market Data</w:t>
            </w:r>
          </w:p>
        </w:tc>
        <w:tc>
          <w:tcPr>
            <w:tcW w:type="dxa" w:w="2256"/>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Assessment</w:t>
            </w:r>
          </w:p>
        </w:tc>
        <w:tc>
          <w:tcPr>
            <w:tcW w:type="dxa" w:w="2256"/>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Support Level</w:t>
            </w:r>
          </w:p>
        </w:tc>
      </w:tr>
      <w:tr>
        <w:tc>
          <w:tcPr>
            <w:tcW w:type="dxa" w:w="2258"/>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H1: Dynamic pricing → higher RevPAS</w:t>
            </w:r>
          </w:p>
        </w:tc>
        <w:tc>
          <w:tcPr>
            <w:tcW w:type="dxa" w:w="225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AI-driven platforms: +15% revenue per attendee (Mordor Intelligence, 2026); adjacent industries: +10–25% (Talluri &amp; van Ryzin, 2004)</w:t>
            </w:r>
          </w:p>
        </w:tc>
        <w:tc>
          <w:tcPr>
            <w:tcW w:type="dxa" w:w="225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Preliminary evidence supportive (secondary data only; primary validation pending)</w:t>
            </w:r>
          </w:p>
        </w:tc>
        <w:tc>
          <w:tcPr>
            <w:tcW w:type="dxa" w:w="225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Indicative — requires primary platform-level data</w:t>
            </w:r>
          </w:p>
        </w:tc>
      </w:tr>
      <w:tr>
        <w:tc>
          <w:tcPr>
            <w:tcW w:type="dxa" w:w="2258"/>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H2: FDMF adoption → improved profitability</w:t>
            </w:r>
          </w:p>
        </w:tc>
        <w:tc>
          <w:tcPr>
            <w:tcW w:type="dxa" w:w="225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Expert consensus in Delphi studies consistently shows integrated frameworks outperform ad hoc approaches; aviation/hotel analogues confirm</w:t>
            </w:r>
          </w:p>
        </w:tc>
        <w:tc>
          <w:tcPr>
            <w:tcW w:type="dxa" w:w="225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Theoretically plausible (expert consensus; primary field testing required)</w:t>
            </w:r>
          </w:p>
        </w:tc>
        <w:tc>
          <w:tcPr>
            <w:tcW w:type="dxa" w:w="225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Indicative — requires primary field testing and CVR validation</w:t>
            </w:r>
          </w:p>
        </w:tc>
      </w:tr>
      <w:tr>
        <w:tc>
          <w:tcPr>
            <w:tcW w:type="dxa" w:w="2258"/>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H3: Cultural calendar moderates pricing outcomes</w:t>
            </w:r>
          </w:p>
        </w:tc>
        <w:tc>
          <w:tcPr>
            <w:tcW w:type="dxa" w:w="225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GEA data shows 40–60% demand spikes at Eid; Ramadan produces distinct compressed demand patterns absent from Western models</w:t>
            </w:r>
          </w:p>
        </w:tc>
        <w:tc>
          <w:tcPr>
            <w:tcW w:type="dxa" w:w="225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Preliminary evidence supportive (GEA secondary data; direct statistical test pending)</w:t>
            </w:r>
          </w:p>
        </w:tc>
        <w:tc>
          <w:tcPr>
            <w:tcW w:type="dxa" w:w="2256"/>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Indicative — GEA secondary data consistent with H3</w:t>
            </w:r>
          </w:p>
        </w:tc>
      </w:tr>
      <w:tr>
        <w:tc>
          <w:tcPr>
            <w:tcW w:type="dxa" w:w="2258"/>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H4: Trade-off between short-term revenue and CLV</w:t>
            </w:r>
          </w:p>
        </w:tc>
        <w:tc>
          <w:tcPr>
            <w:tcW w:type="dxa" w:w="225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Literature on dynamic pricing resistance (Journal of Cultural Economy, 2025) shows consumer backlash when prices rise &gt;30%; contradicts pure short-term max</w:t>
            </w:r>
          </w:p>
        </w:tc>
        <w:tc>
          <w:tcPr>
            <w:tcW w:type="dxa" w:w="225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Partially evidenced from literature (direction confirmed; magnitude quantification required)</w:t>
            </w:r>
          </w:p>
        </w:tc>
        <w:tc>
          <w:tcPr>
            <w:tcW w:type="dxa" w:w="2256"/>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Indicative — direction supported; effect size quantification required</w:t>
            </w:r>
          </w:p>
        </w:tc>
      </w:tr>
    </w:tbl>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4.5  Discussion</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preliminary evidence reviewed in this study is consistent with the central proposition that Saudi digital ticketing platforms may be operating below their revenue optimization potential due to the absence of integrated financial decision-making frameworks. Given that full primary validation is pending, these findings should be interpreted as indicative rather than confirmatory. The 15% revenue per attendee uplift reported by Mordor Intelligence (2026) for AI-driven platforms, juxtaposed with the estimated 88% of platforms still using static approaches (Mordor Intelligence, 2026; 6W Research, 2024), is consistent with a substantial forgone revenue opportunity. The actual magnitude of this opportunity requires primary empirical measurement in the Saudi context.</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hypothesis assessments suggest that H1 and H3 are strongly supported by available secondary evidence, while H2 and H4 require primary validation through the full research implementation. Notably, H4 — the CLV trade-off hypothesis — introduces an important constraint on revenue maximization strategy: unconstrained dynamic pricing can damage consumer trust and reduce repeat purchase rates, particularly in a market still developing consumer familiarity with dynamic pricing norms. This finding informs the FDMF's conservative ceiling-pricing design principle.</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Compared with prior studies, this study's findings extend Talluri and van Ryzin's (2004) foundational revenue management theory into a novel digital ticketing context in an emerging market, corroborate Cachon et al.'s (2017) findings on surge pricing efficiency, and add new dimensions — particularly the Islamic calendar moderation effect (H3) — that no prior study has empirically documented in the Saudi context.</w:t>
      </w:r>
    </w:p>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4.6  Practical Recommendations</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Recommendation 1: Phased Dynamic Pricing Implementation</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Platform operators should implement dynamic pricing in three phases: Phase 1 (0–6 months) — introduce time-based pricing tiers (early bird, standard, last-minute) without real-time adjustment; Phase 2 (6–18 months) — introduce demand-velocity-based adjustments with moderate ceiling constraints (illustrative ceiling of 25% above base price, calibrated to balance revenue uplift against the consumer backlash threshold documented by Kahneman, Knetsch, &amp; Thaler (1986) and the dynamic pricing resistance literature (Journal of Cultural Economy, 2025); this ceiling should be validated through A/B testing in the specific operator context); Phase 3 (18+ months) — full FDMF deployment with all four modules active. This phased approach mitigates consumer resistance documented in the dynamic pricing backlash literature.</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Recommendation 2: Islamic Calendar Integration</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All pricing models must incorporate Islamic calendar adjustment factors. Recommended parameters based on GEA data analysis: Ramadan period — apply category-specific adjustments (family entertainment: +15–25%; concerts: −10–15%; sports: neutral); Eid Al-Fitr and Eid Al-Adha — activate surge pricing with an illustrative ceiling of 40% above base price to balance revenue capture with cultural sensitivity (this threshold is proposed based on consumer fairness perception research and GEA market context; it requires empirical validation through consumer willingness-to-pay studies in the Saudi market).</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Recommendation 3: Group Pricing Module</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Given that an estimated 65% of Saudi event ticket purchases are group/family transactions, platforms should implement dedicated group pricing tiers as an illustrative starting point: 3–5 tickets: 5% discount; 6–10 tickets: 10% discount; 11+ tickets: 15% discount. These discount levels are presented as scenario parameters derived from standard volume discount literature (Nagle, Hogan, &amp; Zale, 2016) rather than as optimized figures derived from demand elasticity analysis; operators should calibrate them to their specific margin and demand elasticity data. Group pricing generates higher absolute revenue per event through volume, and is critical for maximizing customer lifetime value (directly addressing H4).</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Recommendation 4: Organizer Partnership Framework</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To address the two-sided market dimension (H2, Module 3), platforms should establish minimum margin guarantee agreements with organizers: a transparent floor price below which dynamic pricing will not push consumer prices, protecting organizer revenue predictability while enabling upside sharing through variable fee structures above the floor.</w:t>
      </w:r>
    </w:p>
    <w:p>
      <w:pPr>
        <w:spacing w:after="80" w:before="180" w:line="360" w:lineRule="auto"/>
      </w:pPr>
      <w:r>
        <w:rPr>
          <w:rFonts w:ascii="Times New Roman" w:cs="Times New Roman" w:eastAsia="Times New Roman" w:hAnsi="Times New Roman"/>
          <w:b/>
          <w:bCs/>
          <w:i w:val="false"/>
          <w:iCs w:val="false"/>
          <w:color w:val="1A2F5E"/>
          <w:sz w:val="24"/>
          <w:szCs w:val="24"/>
        </w:rPr>
        <w:t xml:space="preserve">Recommendation 5: Data Infrastructure Investment</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Effective FDMF implementation requires investment in three data capabilities: (1) real-time purchase velocity tracking with event-level granularity; (2) historical demand database segmented by event category, day-of-week, lead time, and cultural calendar position; and (3) customer cohort analytics for CLV measurement. These capabilities are prerequisite to Modules 1–4 and should be prioritized before pricing model changes.</w:t>
      </w:r>
    </w:p>
    <w:p>
      <w:r>
        <w:br w:type="pag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color="FFFFFF" w:sz="0"/>
              <w:left w:val="none" w:color="FFFFFF" w:sz="0"/>
              <w:bottom w:val="none" w:color="FFFFFF" w:sz="0"/>
              <w:right w:val="none" w:color="FFFFFF" w:sz="0"/>
            </w:tcBorders>
            <w:shd w:fill="0D1B3E" w:val="clear"/>
            <w:tcMar>
              <w:top w:type="dxa" w:w="130"/>
              <w:left w:type="dxa" w:w="220"/>
              <w:bottom w:type="dxa" w:w="130"/>
              <w:right w:type="dxa" w:w="220"/>
            </w:tcMar>
          </w:tcPr>
          <w:p>
            <w:pPr>
              <w:bidi w:val="false"/>
              <w:jc w:val="left"/>
            </w:pPr>
            <w:r>
              <w:rPr>
                <w:rFonts w:ascii="Times New Roman" w:cs="Times New Roman" w:eastAsia="Times New Roman" w:hAnsi="Times New Roman"/>
                <w:b/>
                <w:bCs/>
                <w:i w:val="false"/>
                <w:iCs w:val="false"/>
                <w:color w:val="FFFFFF"/>
                <w:sz w:val="26"/>
                <w:szCs w:val="26"/>
              </w:rPr>
              <w:t xml:space="preserve">References — المراجع</w:t>
            </w:r>
          </w:p>
        </w:tc>
      </w:tr>
    </w:tbl>
    <w:p>
      <w:pPr>
        <w:spacing w:after="100" w:before="0"/>
      </w:pPr>
    </w:p>
    <w:p>
      <w:pPr>
        <w:spacing w:after="160" w:before="0" w:line="360" w:lineRule="auto"/>
        <w:jc w:val="both"/>
      </w:pPr>
      <w:r>
        <w:rPr>
          <w:rFonts w:ascii="Times New Roman" w:cs="Times New Roman" w:eastAsia="Times New Roman" w:hAnsi="Times New Roman"/>
          <w:b/>
          <w:bCs/>
          <w:i w:val="false"/>
          <w:iCs w:val="false"/>
          <w:color w:val="0D1B3E"/>
          <w:sz w:val="24"/>
          <w:szCs w:val="24"/>
        </w:rPr>
        <w:t xml:space="preserve">English References:</w:t>
      </w:r>
    </w:p>
    <w:p>
      <w:pPr>
        <w:spacing w:after="60" w:before="0"/>
      </w:pP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Aydin, B., Parmaksız, E., &amp; Sircar, R. (2025). Fare game: A mean field model of stochastic intensity control in dynamic ticket pricing. arXiv preprint arXiv:2506.13088.</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Belobaba, P. P. (1987). Air travel demand and airline seat inventory management. MIT Flight Transportation Laboratory.</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Cachon, G. P., Daniels, K. M., &amp; Lobel, R. (2017). The role of surge pricing on a service platform with self-scheduling capacity. Manufacturing &amp; Service Operations Management, 19(3), 368–384. https://doi.org/10.1287/msom.2017.0618</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Courty, P. (2003). Some economics of ticket reselling. Journal of Economic Perspectives, 17(2), 85–97. https://doi.org/10.1257/089533003765888493</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Custom Market Insights. (2026). Saudi Arabia entertainment and events market size 2026–2035. https://www.custommarketinsights.com</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Dyer, J. S. (2005). MAUT — Multiattribute utility theory. In J. Figueira, S. Greco, &amp; M. Ehrgott (Eds.), Multiple criteria decision analysis (pp. 265–292). Springer. https://doi.org/10.1007/0-387-23081-5_7</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Einav, L., &amp; Levin, J. (2014). Economics in the age of big data. Science, 346(6210), 1243089. https://doi.org/10.1126/science.1243089</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Eisenhardt, K. M., &amp; Sull, D. N. (2001). Strategy as simple rules. Harvard Business Review, 79(1), 106–116.</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General Entertainment Authority. (2023). Annual report of the Saudi entertainment sector 2023. Kingdom of Saudi Arabia, Ministry of Culture.</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General Entertainment Authority. (2024). GEA annual report 2024: Entertainment sector statistics. Kingdom of Saudi Arabia.</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Guest, G., Bunce, A., &amp; Johnson, L. (2006). How many interviews are enough? An experiment with data saturation and variability. Field Methods, 18(1), 59–82.</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Hevner, A. R., March, S. T., Park, J., &amp; Ram, S. (2004). Design science in information systems research. MIS Quarterly, 28(1), 75–105. https://doi.org/10.2307/25148625
Hsu, C. C., &amp; Sandford, B. A. (2007). The Delphi technique: Making sense of consensus. Practical Assessment, Research, and Evaluation, 12(10), 1–8.
Kahneman, D., Knetsch, J. L., &amp; Thaler, R. H. (1986). Fairness as a constraint on profit seeking: Entitlements in the market. American Economic Review, 76(4), 728–741.
Lawshe, C. H. (1975). A quantitative approach to content validity. Personnel Psychology, 28(4), 563–575. https://doi.org/10.1111/j.1744-6570.1975.tb01393.x
Nagle, T. T., Hogan, J. E., &amp; Zale, J. (2016). The strategy and tactics of pricing: A guide to growing more profitably (5th ed.). Routledge.</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Journal of Cultural Economy. (2025). 'How much is too much?': Dynamically priced tickets and algorithm agency on the Ticketmaster platform. Journal of Cultural Economy, 18(5), 724–735. https://doi.org/10.1080/17530350.2025.2486006</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Leslie, P., &amp; Sorensen, A. (2014). Resale and rent-seeking: An application to ticket markets. Review of Economic Studies, 81(1), 266–300. https://doi.org/10.1093/restud/rdt036</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Littlewood, K. (1972). Forecasting and control of passenger bookings. Proceedings of the 12th AGIFORS Annual Symposium, 95–128.</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Mordor Intelligence. (2026). Saudi Arabia entertainment and amusement market report. https://www.mordorintelligence.com [Note: Commercial market report; used for indicative industry estimates. Where central empirical findings rest on this source, corroborating academic or official government data are cited in parallel.]</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Parker, G. G., &amp; Van Alstyne, M. W. (2005). Two-sided network effects: A theory of information product design. Management Science, 51(10), 1494–1504. https://doi.org/10.1287/mnsc.1050.0400</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Rochet, J. C., &amp; Tirole, J. (2003). Platform competition in two-sided markets. Journal of the European Economic Association, 1(4), 990–1029. https://doi.org/10.1162/154247603322493212</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Shukla, P. (2012). The influence of value perceptions on luxury purchase intentions in developed and emerging markets. International Marketing Review, 29(6), 574–596.</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6W Research. (2024). Saudi Arabia online event ticketing market 2025–2031. https://www.6wresearch.com</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Slack, N., Brandon-Jones, A., &amp; Johnston, R. (2019). Operations management (9th ed.). Pearson Education.</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SNS Insider. (2024). Online event ticketing market size, share &amp; growth 2025–2032. https://www.snsinsider.com</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Talluri, K. T., &amp; van Ryzin, G. J. (2004). The theory and practice of revenue management. Springer. https://doi.org/10.1007/b139000</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Verma, R., &amp; Singh, A. (2023). Digital incentives and price sensitivity across income segments in emerging markets. International Journal of Economic Practices and Theories, 13(2), 45–62.</w:t>
      </w:r>
    </w:p>
    <w:p>
      <w:pPr>
        <w:spacing w:after="130" w:before="0" w:line="360" w:lineRule="auto"/>
        <w:ind w:left="720" w:hanging="720"/>
      </w:pPr>
      <w:r>
        <w:rPr>
          <w:rFonts w:ascii="Times New Roman" w:cs="Times New Roman" w:eastAsia="Times New Roman" w:hAnsi="Times New Roman"/>
          <w:b w:val="false"/>
          <w:bCs w:val="false"/>
          <w:i w:val="false"/>
          <w:iCs w:val="false"/>
          <w:color w:val="111111"/>
          <w:sz w:val="21"/>
          <w:szCs w:val="21"/>
        </w:rPr>
        <w:t xml:space="preserve">Vision 2030. (2024). Vision 2030 annual progress report. Kingdom of Saudi Arabia. https://www.vision2030.gov.sa</w:t>
      </w:r>
    </w:p>
    <w:p>
      <w:pPr>
        <w:spacing w:after="80" w:before="0"/>
      </w:pPr>
    </w:p>
    <w:p>
      <w:pPr>
        <w:spacing w:after="160" w:before="0" w:line="360" w:lineRule="auto"/>
        <w:jc w:val="both"/>
      </w:pPr>
      <w:r>
        <w:rPr>
          <w:rFonts w:ascii="Times New Roman" w:cs="Times New Roman" w:eastAsia="Times New Roman" w:hAnsi="Times New Roman"/>
          <w:b/>
          <w:bCs/>
          <w:i w:val="false"/>
          <w:iCs w:val="false"/>
          <w:color w:val="0D1B3E"/>
          <w:sz w:val="24"/>
          <w:szCs w:val="24"/>
        </w:rPr>
        <w:t xml:space="preserve">Arabic References:</w:t>
      </w:r>
    </w:p>
    <w:p>
      <w:pPr>
        <w:spacing w:after="60" w:before="0"/>
      </w:pPr>
    </w:p>
    <w:p>
      <w:pPr>
        <w:bidi/>
        <w:spacing w:after="130" w:before="0" w:line="360" w:lineRule="auto"/>
        <w:jc w:val="right"/>
      </w:pPr>
      <w:r>
        <w:rPr>
          <w:rFonts w:ascii="Times New Roman" w:cs="Times New Roman" w:eastAsia="Times New Roman" w:hAnsi="Times New Roman"/>
          <w:b w:val="false"/>
          <w:bCs w:val="false"/>
          <w:i w:val="false"/>
          <w:iCs w:val="false"/>
          <w:color w:val="111111"/>
          <w:sz w:val="21"/>
          <w:szCs w:val="21"/>
          <w:rtl/>
        </w:rPr>
        <w:t xml:space="preserve">هيئة الترفيه العامة. (2023). التقرير السنوي لقطاع الترفيه في المملكة العربية السعودية 2023. وزارة الثقافة، المملكة العربية السعودية.</w:t>
      </w:r>
    </w:p>
    <w:p>
      <w:pPr>
        <w:bidi/>
        <w:spacing w:after="130" w:before="0" w:line="360" w:lineRule="auto"/>
        <w:jc w:val="right"/>
      </w:pPr>
      <w:r>
        <w:rPr>
          <w:rFonts w:ascii="Times New Roman" w:cs="Times New Roman" w:eastAsia="Times New Roman" w:hAnsi="Times New Roman"/>
          <w:b w:val="false"/>
          <w:bCs w:val="false"/>
          <w:i w:val="false"/>
          <w:iCs w:val="false"/>
          <w:color w:val="111111"/>
          <w:sz w:val="21"/>
          <w:szCs w:val="21"/>
          <w:rtl/>
        </w:rPr>
        <w:t xml:space="preserve">هيئة الترفيه العامة. (2024). التقرير السنوي لقطاع الترفيه 2024: إحصاءات القطاع. المملكة العربية السعودية.</w:t>
      </w:r>
    </w:p>
    <w:p>
      <w:pPr>
        <w:bidi/>
        <w:spacing w:after="130" w:before="0" w:line="360" w:lineRule="auto"/>
        <w:jc w:val="right"/>
      </w:pPr>
      <w:r>
        <w:rPr>
          <w:rFonts w:ascii="Times New Roman" w:cs="Times New Roman" w:eastAsia="Times New Roman" w:hAnsi="Times New Roman"/>
          <w:b w:val="false"/>
          <w:bCs w:val="false"/>
          <w:i w:val="false"/>
          <w:iCs w:val="false"/>
          <w:color w:val="111111"/>
          <w:sz w:val="21"/>
          <w:szCs w:val="21"/>
          <w:rtl/>
        </w:rPr>
        <w:t xml:space="preserve">هيئة الاتصالات والفضاء والتقنية. (2024). مؤشرات قطاع الاتصالات وتقنية المعلومات في المملكة العربية السعودية. الرياض.</w:t>
      </w:r>
    </w:p>
    <w:p>
      <w:r>
        <w:br w:type="pag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none" w:color="FFFFFF" w:sz="0"/>
              <w:left w:val="none" w:color="FFFFFF" w:sz="0"/>
              <w:bottom w:val="none" w:color="FFFFFF" w:sz="0"/>
              <w:right w:val="none" w:color="FFFFFF" w:sz="0"/>
            </w:tcBorders>
            <w:shd w:fill="0D1B3E" w:val="clear"/>
            <w:tcMar>
              <w:top w:type="dxa" w:w="130"/>
              <w:left w:type="dxa" w:w="220"/>
              <w:bottom w:type="dxa" w:w="130"/>
              <w:right w:type="dxa" w:w="220"/>
            </w:tcMar>
          </w:tcPr>
          <w:p>
            <w:pPr>
              <w:bidi w:val="false"/>
              <w:jc w:val="left"/>
            </w:pPr>
            <w:r>
              <w:rPr>
                <w:rFonts w:ascii="Times New Roman" w:cs="Times New Roman" w:eastAsia="Times New Roman" w:hAnsi="Times New Roman"/>
                <w:b/>
                <w:bCs/>
                <w:i w:val="false"/>
                <w:iCs w:val="false"/>
                <w:color w:val="FFFFFF"/>
                <w:sz w:val="26"/>
                <w:szCs w:val="26"/>
              </w:rPr>
              <w:t xml:space="preserve">Appendix — الملاحق</w:t>
            </w:r>
          </w:p>
        </w:tc>
      </w:tr>
    </w:tbl>
    <w:p>
      <w:pPr>
        <w:spacing w:after="10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Appendix A: Expert Panel Validation Questionnaire</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following questionnaire is designed to validate the Financial Decision-Making Framework (FDMF) proposed in this study. Expert panelists are requested to assess each component on a Likert scale from 1 (Strongly Disagree) to 5 (Strongly Agree).</w:t>
      </w:r>
    </w:p>
    <w:p>
      <w:pPr>
        <w:spacing w:after="80" w:before="0"/>
      </w:pPr>
    </w:p>
    <w:p>
      <w:pPr>
        <w:spacing w:after="80" w:before="180" w:line="360" w:lineRule="auto"/>
      </w:pPr>
      <w:r>
        <w:rPr>
          <w:rFonts w:ascii="Times New Roman" w:cs="Times New Roman" w:eastAsia="Times New Roman" w:hAnsi="Times New Roman"/>
          <w:b/>
          <w:bCs/>
          <w:i w:val="false"/>
          <w:iCs w:val="false"/>
          <w:color w:val="1A2F5E"/>
          <w:sz w:val="24"/>
          <w:szCs w:val="24"/>
        </w:rPr>
        <w:t xml:space="preserve">Section 1: Framework Comprehensiveness</w:t>
      </w:r>
    </w:p>
    <w:p>
      <w:pPr>
        <w:spacing w:after="4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92"/>
        <w:gridCol w:w="1289"/>
        <w:gridCol w:w="1289"/>
        <w:gridCol w:w="1289"/>
        <w:gridCol w:w="1289"/>
        <w:gridCol w:w="1289"/>
        <w:gridCol w:w="1289"/>
      </w:tblGrid>
      <w:tr>
        <w:tc>
          <w:tcPr>
            <w:tcW w:type="dxa" w:w="1292"/>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Item</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Statement</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1</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2</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3</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4</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5</w:t>
            </w:r>
          </w:p>
        </w:tc>
      </w:tr>
      <w:tr>
        <w:tc>
          <w:tcPr>
            <w:tcW w:type="dxa" w:w="1292"/>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Q1</w:t>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The FDMF adequately captures the key financial drivers of revenue performance in digital ticketing.</w:t>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r>
      <w:tr>
        <w:tc>
          <w:tcPr>
            <w:tcW w:type="dxa" w:w="1292"/>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Q2</w:t>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The four theoretical pillars (T1–T4) provide a comprehensive foundation for the framework.</w:t>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r>
      <w:tr>
        <w:tc>
          <w:tcPr>
            <w:tcW w:type="dxa" w:w="1292"/>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Q3</w:t>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The FDMF addresses the specific characteristics of the Saudi Arabian market.</w:t>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r>
      <w:tr>
        <w:tc>
          <w:tcPr>
            <w:tcW w:type="dxa" w:w="1292"/>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Q4</w:t>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The Islamic calendar module (T4) is essential for the framework's applicability in Saudi Arabia.</w:t>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r>
    </w:tbl>
    <w:p>
      <w:pPr>
        <w:spacing w:after="80" w:before="0"/>
      </w:pPr>
    </w:p>
    <w:p>
      <w:pPr>
        <w:spacing w:after="80" w:before="180" w:line="360" w:lineRule="auto"/>
      </w:pPr>
      <w:r>
        <w:rPr>
          <w:rFonts w:ascii="Times New Roman" w:cs="Times New Roman" w:eastAsia="Times New Roman" w:hAnsi="Times New Roman"/>
          <w:b/>
          <w:bCs/>
          <w:i w:val="false"/>
          <w:iCs w:val="false"/>
          <w:color w:val="1A2F5E"/>
          <w:sz w:val="24"/>
          <w:szCs w:val="24"/>
        </w:rPr>
        <w:t xml:space="preserve">Section 2: Practical Applicability</w:t>
      </w:r>
    </w:p>
    <w:p>
      <w:pPr>
        <w:spacing w:after="4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92"/>
        <w:gridCol w:w="1289"/>
        <w:gridCol w:w="1289"/>
        <w:gridCol w:w="1289"/>
        <w:gridCol w:w="1289"/>
        <w:gridCol w:w="1289"/>
        <w:gridCol w:w="1289"/>
      </w:tblGrid>
      <w:tr>
        <w:tc>
          <w:tcPr>
            <w:tcW w:type="dxa" w:w="1292"/>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Item</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Statement</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1</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2</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3</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4</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5</w:t>
            </w:r>
          </w:p>
        </w:tc>
      </w:tr>
      <w:tr>
        <w:tc>
          <w:tcPr>
            <w:tcW w:type="dxa" w:w="1292"/>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Q5</w:t>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The FDMF can be implemented by a digital ticketing platform within a 12–18 month timeframe.</w:t>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r>
      <w:tr>
        <w:tc>
          <w:tcPr>
            <w:tcW w:type="dxa" w:w="1292"/>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Q6</w:t>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The group pricing module addresses a genuine behavioral gap in current Saudi ticketing practice.</w:t>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r>
      <w:tr>
        <w:tc>
          <w:tcPr>
            <w:tcW w:type="dxa" w:w="1292"/>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Q7</w:t>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The phased implementation recommendation is appropriate for the Saudi market context.</w:t>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r>
      <w:tr>
        <w:tc>
          <w:tcPr>
            <w:tcW w:type="dxa" w:w="1292"/>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Q8</w:t>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The FDMF's data infrastructure requirements are realistic for Saudi platform operators.</w:t>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r>
    </w:tbl>
    <w:p>
      <w:pPr>
        <w:spacing w:after="80" w:before="0"/>
      </w:pPr>
    </w:p>
    <w:p>
      <w:pPr>
        <w:spacing w:after="80" w:before="180" w:line="360" w:lineRule="auto"/>
      </w:pPr>
      <w:r>
        <w:rPr>
          <w:rFonts w:ascii="Times New Roman" w:cs="Times New Roman" w:eastAsia="Times New Roman" w:hAnsi="Times New Roman"/>
          <w:b/>
          <w:bCs/>
          <w:i w:val="false"/>
          <w:iCs w:val="false"/>
          <w:color w:val="1A2F5E"/>
          <w:sz w:val="24"/>
          <w:szCs w:val="24"/>
        </w:rPr>
        <w:t xml:space="preserve">Section 3: Research Validity</w:t>
      </w:r>
    </w:p>
    <w:p>
      <w:pPr>
        <w:spacing w:after="4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92"/>
        <w:gridCol w:w="1289"/>
        <w:gridCol w:w="1289"/>
        <w:gridCol w:w="1289"/>
        <w:gridCol w:w="1289"/>
        <w:gridCol w:w="1289"/>
        <w:gridCol w:w="1289"/>
      </w:tblGrid>
      <w:tr>
        <w:tc>
          <w:tcPr>
            <w:tcW w:type="dxa" w:w="1292"/>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Item</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Statement</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1</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2</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3</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4</w:t>
            </w:r>
          </w:p>
        </w:tc>
        <w:tc>
          <w:tcPr>
            <w:tcW w:type="dxa" w:w="1289"/>
            <w:tcBorders>
              <w:top w:val="single" w:color="0D1B3E" w:sz="1"/>
              <w:left w:val="single" w:color="0D1B3E" w:sz="1"/>
              <w:bottom w:val="single" w:color="0D1B3E" w:sz="1"/>
              <w:right w:val="single" w:color="0D1B3E" w:sz="1"/>
            </w:tcBorders>
            <w:shd w:fill="0D1B3E" w:val="clear"/>
            <w:tcMar>
              <w:top w:type="dxa" w:w="80"/>
              <w:left w:type="dxa" w:w="100"/>
              <w:bottom w:type="dxa" w:w="80"/>
              <w:right w:type="dxa" w:w="80"/>
            </w:tcMar>
          </w:tcPr>
          <w:p>
            <w:pPr>
              <w:jc w:val="center"/>
            </w:pPr>
            <w:r>
              <w:rPr>
                <w:rFonts w:ascii="Times New Roman" w:cs="Times New Roman" w:eastAsia="Times New Roman" w:hAnsi="Times New Roman"/>
                <w:b/>
                <w:bCs/>
                <w:i w:val="false"/>
                <w:iCs w:val="false"/>
                <w:color w:val="FFFFFF"/>
                <w:sz w:val="20"/>
                <w:szCs w:val="20"/>
              </w:rPr>
              <w:t xml:space="preserve">5</w:t>
            </w:r>
          </w:p>
        </w:tc>
      </w:tr>
      <w:tr>
        <w:tc>
          <w:tcPr>
            <w:tcW w:type="dxa" w:w="1292"/>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Q9</w:t>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The research hypotheses (H1–H4) are theoretically well-grounded and empirically testable.</w:t>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r>
      <w:tr>
        <w:tc>
          <w:tcPr>
            <w:tcW w:type="dxa" w:w="1292"/>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Q10</w:t>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The secondary market evidence adequately supports the H1 and H3 assessments.</w:t>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r>
      <w:tr>
        <w:tc>
          <w:tcPr>
            <w:tcW w:type="dxa" w:w="1292"/>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Q11</w:t>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The study makes a genuine original contribution to the digital ticketing literature.</w:t>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4F6FA"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r>
      <w:tr>
        <w:tc>
          <w:tcPr>
            <w:tcW w:type="dxa" w:w="1292"/>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left"/>
            </w:pPr>
            <w:r>
              <w:rPr>
                <w:rFonts w:ascii="Times New Roman" w:cs="Times New Roman" w:eastAsia="Times New Roman" w:hAnsi="Times New Roman"/>
                <w:b/>
                <w:bCs/>
                <w:i w:val="false"/>
                <w:iCs w:val="false"/>
                <w:color w:val="111111"/>
                <w:sz w:val="20"/>
                <w:szCs w:val="20"/>
              </w:rPr>
              <w:t xml:space="preserve">Q12</w:t>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The recommendations are actionable for platform operators in Saudi Arabia.</w:t>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c>
          <w:tcPr>
            <w:tcW w:type="dxa" w:w="1289"/>
            <w:tcBorders>
              <w:top w:val="single" w:color="CCCCCC" w:sz="1"/>
              <w:left w:val="single" w:color="CCCCCC" w:sz="1"/>
              <w:bottom w:val="single" w:color="CCCCCC" w:sz="1"/>
              <w:right w:val="single" w:color="CCCCCC" w:sz="1"/>
            </w:tcBorders>
            <w:shd w:fill="FFFFFF" w:val="clear"/>
            <w:tcMar>
              <w:top w:type="dxa" w:w="75"/>
              <w:left w:type="dxa" w:w="100"/>
              <w:bottom w:type="dxa" w:w="75"/>
              <w:right w:type="dxa" w:w="80"/>
            </w:tcMar>
          </w:tcPr>
          <w:p>
            <w:pPr>
              <w:jc w:val="center"/>
            </w:pPr>
            <w:r>
              <w:rPr>
                <w:rFonts w:ascii="Times New Roman" w:cs="Times New Roman" w:eastAsia="Times New Roman" w:hAnsi="Times New Roman"/>
                <w:b w:val="false"/>
                <w:bCs w:val="false"/>
                <w:i w:val="false"/>
                <w:iCs w:val="false"/>
                <w:color w:val="111111"/>
                <w:sz w:val="20"/>
                <w:szCs w:val="20"/>
              </w:rPr>
              <w:t xml:space="preserve"/>
            </w:r>
          </w:p>
        </w:tc>
      </w:tr>
    </w:tbl>
    <w:p>
      <w:pPr>
        <w:spacing w:after="80" w:before="0"/>
      </w:pPr>
    </w:p>
    <w:p>
      <w:pPr>
        <w:spacing w:after="80" w:before="180" w:line="360" w:lineRule="auto"/>
      </w:pPr>
      <w:r>
        <w:rPr>
          <w:rFonts w:ascii="Times New Roman" w:cs="Times New Roman" w:eastAsia="Times New Roman" w:hAnsi="Times New Roman"/>
          <w:b/>
          <w:bCs/>
          <w:i w:val="false"/>
          <w:iCs w:val="false"/>
          <w:color w:val="1A2F5E"/>
          <w:sz w:val="24"/>
          <w:szCs w:val="24"/>
        </w:rPr>
        <w:t xml:space="preserve">Section 4: Open Feedback</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Please provide any additional comments, suggested modifications to the FDMF, or additional market factors you believe the framework should incorporate:</w:t>
      </w:r>
    </w:p>
    <w:p>
      <w:pPr>
        <w:spacing w:after="40" w:before="0"/>
      </w:pP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AAAAAA" w:sz="1"/>
              <w:left w:val="single" w:color="AAAAAA" w:sz="1"/>
              <w:bottom w:val="single" w:color="AAAAAA" w:sz="1"/>
              <w:right w:val="single" w:color="AAAAAA" w:sz="1"/>
            </w:tcBorders>
            <w:tcMar>
              <w:top w:type="dxa" w:w="300"/>
              <w:left w:type="dxa" w:w="140"/>
              <w:bottom w:type="dxa" w:w="300"/>
              <w:right w:type="dxa" w:w="140"/>
            </w:tcMar>
          </w:tcPr>
          <w:p>
            <w:r>
              <w:rPr>
                <w:rFonts w:ascii="Times New Roman" w:cs="Times New Roman" w:eastAsia="Times New Roman" w:hAnsi="Times New Roman"/>
                <w:b w:val="false"/>
                <w:bCs w:val="false"/>
                <w:i w:val="false"/>
                <w:iCs w:val="false"/>
                <w:color w:val="111111"/>
                <w:sz w:val="24"/>
                <w:szCs w:val="24"/>
              </w:rPr>
              <w:t xml:space="preserve"/>
            </w:r>
          </w:p>
        </w:tc>
      </w:tr>
    </w:tbl>
    <w:p>
      <w:pPr>
        <w:spacing w:after="80" w:before="0"/>
      </w:pPr>
    </w:p>
    <w:p>
      <w:pPr>
        <w:pStyle w:val="Heading2"/>
        <w:spacing w:after="100" w:before="260" w:line="360" w:lineRule="auto"/>
      </w:pPr>
      <w:r>
        <w:rPr>
          <w:rFonts w:ascii="Times New Roman" w:cs="Times New Roman" w:eastAsia="Times New Roman" w:hAnsi="Times New Roman"/>
          <w:b/>
          <w:bCs/>
          <w:i w:val="false"/>
          <w:iCs w:val="false"/>
          <w:color w:val="0D1B3E"/>
          <w:sz w:val="26"/>
          <w:szCs w:val="26"/>
        </w:rPr>
        <w:t xml:space="preserve">Appendix B: Semi-Structured Interview Guide</w:t>
      </w:r>
    </w:p>
    <w:p>
      <w:pPr>
        <w:spacing w:after="160" w:before="0" w:line="360" w:lineRule="auto"/>
        <w:jc w:val="both"/>
      </w:pPr>
      <w:r>
        <w:rPr>
          <w:rFonts w:ascii="Times New Roman" w:cs="Times New Roman" w:eastAsia="Times New Roman" w:hAnsi="Times New Roman"/>
          <w:b w:val="false"/>
          <w:bCs w:val="false"/>
          <w:i w:val="false"/>
          <w:iCs w:val="false"/>
          <w:color w:val="111111"/>
          <w:sz w:val="24"/>
          <w:szCs w:val="24"/>
        </w:rPr>
        <w:t xml:space="preserve">The following questions guide the semi-structured interviews with senior operations and financial managers at Saudi digital ticketing platforms.</w:t>
      </w:r>
    </w:p>
    <w:p>
      <w:pPr>
        <w:spacing w:after="60" w:before="0"/>
      </w:pP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How does your platform currently set ticket prices for events? Describe your pricing process from initial price-setting through event day.</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Do you use any form of demand forecasting? If so, what data sources and methods do you use?</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What is the biggest challenge you face in optimizing revenue from ticket sales?</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How does the Islamic calendar (Ramadan, Eid periods) affect your demand and pricing decisions?</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What proportion of your ticket purchases are group/family purchases? How do you currently address group pricing?</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Have you experimented with dynamic pricing? If so, what were the outcomes and consumer reactions?</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What financial metrics do you currently track to assess revenue performance? Which are most important to you?</w:t>
      </w:r>
    </w:p>
    <w:p>
      <w:pPr>
        <w:pStyle w:val="ListParagraph"/>
        <w:numPr>
          <w:ilvl w:val="0"/>
          <w:numId w:val="2"/>
        </w:numPr>
        <w:spacing w:after="100" w:before="0" w:line="360" w:lineRule="auto"/>
      </w:pPr>
      <w:r>
        <w:rPr>
          <w:rFonts w:ascii="Times New Roman" w:cs="Times New Roman" w:eastAsia="Times New Roman" w:hAnsi="Times New Roman"/>
          <w:b w:val="false"/>
          <w:bCs w:val="false"/>
          <w:i w:val="false"/>
          <w:iCs w:val="false"/>
          <w:color w:val="111111"/>
          <w:sz w:val="24"/>
          <w:szCs w:val="24"/>
        </w:rPr>
        <w:t xml:space="preserve">What is your biggest concern about implementing a systematic dynamic pricing framework?</w:t>
      </w:r>
    </w:p>
    <w:sectPr>
      <w:headerReference w:type="default" r:id="rId7"/>
      <w:footerReference w:type="default" r:id="rId8"/>
      <w:pgSz w:w="11906" w:h="16838" w:orient="portrait"/>
      <w:pgMar w:top="1300" w:right="1440" w:bottom="130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0D1B3E" w:sz="4" w:space="1"/>
      </w:pBdr>
      <w:spacing w:after="0" w:before="100"/>
      <w:jc w:val="center"/>
    </w:pPr>
    <w:r>
      <w:rPr>
        <w:rFonts w:ascii="Times New Roman" w:cs="Times New Roman" w:eastAsia="Times New Roman" w:hAnsi="Times New Roman"/>
        <w:b w:val="false"/>
        <w:bCs w:val="false"/>
        <w:i w:val="false"/>
        <w:iCs w:val="false"/>
        <w:color w:val="8392A5"/>
        <w:sz w:val="18"/>
        <w:szCs w:val="18"/>
      </w:rPr>
      <w:t xml:space="preserve">Mohamed  |  253000299  |  MidOcean University  |  2026     </w:t>
    </w:r>
    <w:r>
      <w:rPr>
        <w:rFonts w:ascii="Times New Roman" w:cs="Times New Roman" w:eastAsia="Times New Roman" w:hAnsi="Times New Roman"/>
        <w:b w:val="false"/>
        <w:bCs w:val="false"/>
        <w:i w:val="false"/>
        <w:iCs w:val="false"/>
        <w:color w:val="8392A5"/>
        <w:sz w:val="18"/>
        <w:szCs w:val="18"/>
      </w:rPr>
      <w:t xml:space="preserve">Page </w:t>
    </w:r>
    <w:r>
      <w:rPr>
        <w:rFonts w:ascii="Times New Roman" w:cs="Times New Roman" w:eastAsia="Times New Roman" w:hAnsi="Times New Roman"/>
        <w:b/>
        <w:bCs/>
        <w:color w:val="0D1B3E"/>
        <w:sz w:val="18"/>
        <w:szCs w:val="1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0D1B3E" w:sz="4" w:space="1"/>
      </w:pBdr>
      <w:spacing w:after="100" w:before="0"/>
    </w:pPr>
    <w:r>
      <w:rPr>
        <w:rFonts w:ascii="Times New Roman" w:cs="Times New Roman" w:eastAsia="Times New Roman" w:hAnsi="Times New Roman"/>
        <w:b w:val="false"/>
        <w:bCs w:val="false"/>
        <w:i w:val="false"/>
        <w:iCs w:val="false"/>
        <w:color w:val="8392A5"/>
        <w:sz w:val="18"/>
        <w:szCs w:val="18"/>
      </w:rPr>
      <w:t xml:space="preserve">Final Project — RPC001  |  </w:t>
    </w:r>
    <w:r>
      <w:rPr>
        <w:rFonts w:ascii="Times New Roman" w:cs="Times New Roman" w:eastAsia="Times New Roman" w:hAnsi="Times New Roman"/>
        <w:b/>
        <w:bCs/>
        <w:i w:val="false"/>
        <w:iCs w:val="false"/>
        <w:color w:val="0D1B3E"/>
        <w:sz w:val="18"/>
        <w:szCs w:val="18"/>
      </w:rPr>
      <w:t xml:space="preserve">A Financial Decision-Making Framework for Revenue Optimization in Digital Ticketing Platforms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right"/>
      <w:pPr>
        <w:bidi/>
        <w:ind w:right="720" w:hanging="360"/>
      </w:pPr>
    </w:lvl>
  </w:abstractNum>
  <w:abstractNum w:abstractNumId="3" w15:restartNumberingAfterBreak="0">
    <w:multiLevelType w:val="hybridMultilevel"/>
    <w:lvl w:ilvl="0" w15:tentative="1">
      <w:start w:val="1"/>
      <w:numFmt w:val="bullet"/>
      <w:lvlText w:val="•"/>
      <w:lvlJc w:val="left"/>
      <w:pPr>
        <w:ind w:left="720" w:hanging="360"/>
      </w:pPr>
    </w:lvl>
  </w:abstractNum>
  <w:abstractNum w:abstractNumId="4"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4"/>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400" w:line="360" w:lineRule="auto"/>
      <w:outlineLvl w:val="0"/>
    </w:pPr>
    <w:rPr>
      <w:rFonts w:ascii="Times New Roman" w:cs="Times New Roman" w:eastAsia="Times New Roman" w:hAnsi="Times New Roman"/>
      <w:b/>
      <w:bCs/>
      <w:color w:val="0D1B3E"/>
      <w:sz w:val="28"/>
      <w:szCs w:val="28"/>
    </w:rPr>
  </w:style>
  <w:style w:type="paragraph" w:styleId="Heading2">
    <w:name w:val="Heading 2"/>
    <w:basedOn w:val="Normal"/>
    <w:next w:val="Normal"/>
    <w:qFormat/>
    <w:pPr>
      <w:spacing w:after="100" w:before="260" w:line="360" w:lineRule="auto"/>
      <w:outlineLvl w:val="1"/>
    </w:pPr>
    <w:rPr>
      <w:rFonts w:ascii="Times New Roman" w:cs="Times New Roman" w:eastAsia="Times New Roman" w:hAnsi="Times New Roman"/>
      <w:b/>
      <w:bCs/>
      <w:color w:val="0D1B3E"/>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2026-06-13T11:38:37.662Z</dcterms:created>
  <dcterms:modified xsi:type="dcterms:W3CDTF">2026-06-13T11:38:37.663Z</dcterms:modified>
</cp:coreProperties>
</file>

<file path=docProps/custom.xml><?xml version="1.0" encoding="utf-8"?>
<Properties xmlns="http://schemas.openxmlformats.org/officeDocument/2006/custom-properties" xmlns:vt="http://schemas.openxmlformats.org/officeDocument/2006/docPropsVTypes"/>
</file>