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8BF763D" w:rsidR="009125CE" w:rsidRPr="001E1970" w:rsidRDefault="00383BBF" w:rsidP="00383BBF">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E1970">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8B3DD12">
            <wp:simplePos x="0" y="0"/>
            <wp:positionH relativeFrom="margin">
              <wp:posOffset>128270</wp:posOffset>
            </wp:positionH>
            <wp:positionV relativeFrom="margin">
              <wp:posOffset>-144780</wp:posOffset>
            </wp:positionV>
            <wp:extent cx="1762125" cy="1635353"/>
            <wp:effectExtent l="0" t="0" r="0" b="317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2125" cy="1635353"/>
                    </a:xfrm>
                    <a:prstGeom prst="rect">
                      <a:avLst/>
                    </a:prstGeom>
                  </pic:spPr>
                </pic:pic>
              </a:graphicData>
            </a:graphic>
            <wp14:sizeRelH relativeFrom="margin">
              <wp14:pctWidth>0</wp14:pctWidth>
            </wp14:sizeRelH>
            <wp14:sizeRelV relativeFrom="margin">
              <wp14:pctHeight>0</wp14:pctHeight>
            </wp14:sizeRelV>
          </wp:anchor>
        </w:drawing>
      </w:r>
      <w:r w:rsidR="009125CE" w:rsidRPr="001E1970">
        <w:rPr>
          <w:rFonts w:ascii="Sakkal Majalla" w:hAnsi="Sakkal Majalla" w:cs="Sakkal Majalla"/>
          <w:b/>
          <w:bCs/>
          <w:color w:val="000000" w:themeColor="text1"/>
          <w:sz w:val="32"/>
          <w:szCs w:val="32"/>
          <w:rtl/>
          <w:lang w:bidi="ar-EG"/>
        </w:rPr>
        <w:t xml:space="preserve">جامعة ميدأوشن </w:t>
      </w:r>
    </w:p>
    <w:p w14:paraId="1E957002" w14:textId="0AD64270" w:rsidR="00F546CE" w:rsidRPr="001E1970" w:rsidRDefault="009125CE" w:rsidP="00383BB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E1970">
        <w:rPr>
          <w:rFonts w:ascii="Sakkal Majalla" w:hAnsi="Sakkal Majalla" w:cs="Sakkal Majalla"/>
          <w:b/>
          <w:bCs/>
          <w:color w:val="000000" w:themeColor="text1"/>
          <w:sz w:val="32"/>
          <w:szCs w:val="32"/>
          <w:rtl/>
          <w:lang w:bidi="ar-EG"/>
        </w:rPr>
        <w:t xml:space="preserve">كلية </w:t>
      </w:r>
      <w:r w:rsidR="008C42C1" w:rsidRPr="001E1970">
        <w:rPr>
          <w:rFonts w:ascii="Sakkal Majalla" w:hAnsi="Sakkal Majalla" w:cs="Sakkal Majalla"/>
          <w:b/>
          <w:bCs/>
          <w:color w:val="000000" w:themeColor="text1"/>
          <w:sz w:val="32"/>
          <w:szCs w:val="32"/>
          <w:rtl/>
          <w:lang w:bidi="ar-EG"/>
        </w:rPr>
        <w:t>الإدارة</w:t>
      </w:r>
      <w:r w:rsidRPr="001E1970">
        <w:rPr>
          <w:rFonts w:ascii="Sakkal Majalla" w:hAnsi="Sakkal Majalla" w:cs="Sakkal Majalla"/>
          <w:b/>
          <w:bCs/>
          <w:color w:val="000000" w:themeColor="text1"/>
          <w:sz w:val="32"/>
          <w:szCs w:val="32"/>
          <w:rtl/>
          <w:lang w:bidi="ar-EG"/>
        </w:rPr>
        <w:t xml:space="preserve"> </w:t>
      </w:r>
    </w:p>
    <w:p w14:paraId="5C0D8FF0" w14:textId="78758196" w:rsidR="0050030C" w:rsidRPr="001E1970" w:rsidRDefault="00065595" w:rsidP="00383BBF">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E1970">
        <w:rPr>
          <w:rFonts w:ascii="Sakkal Majalla" w:hAnsi="Sakkal Majalla" w:cs="Sakkal Majalla"/>
          <w:b/>
          <w:bCs/>
          <w:color w:val="000000" w:themeColor="text1"/>
          <w:sz w:val="32"/>
          <w:szCs w:val="32"/>
          <w:rtl/>
          <w:lang w:bidi="ar-EG"/>
        </w:rPr>
        <w:t>ماجستير ادارة ا</w:t>
      </w:r>
      <w:r w:rsidR="00281A27" w:rsidRPr="001E1970">
        <w:rPr>
          <w:rFonts w:ascii="Sakkal Majalla" w:hAnsi="Sakkal Majalla" w:cs="Sakkal Majalla"/>
          <w:b/>
          <w:bCs/>
          <w:color w:val="000000" w:themeColor="text1"/>
          <w:sz w:val="32"/>
          <w:szCs w:val="32"/>
          <w:rtl/>
          <w:lang w:bidi="ar-EG"/>
        </w:rPr>
        <w:t xml:space="preserve">لمشاريع </w:t>
      </w:r>
    </w:p>
    <w:p w14:paraId="026EF12D" w14:textId="3B33EF60" w:rsidR="00822E2C" w:rsidRPr="001E1970" w:rsidRDefault="00006607" w:rsidP="00383BBF">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E1970">
        <w:rPr>
          <w:rFonts w:ascii="Sakkal Majalla" w:hAnsi="Sakkal Majalla" w:cs="Sakkal Majalla"/>
          <w:b/>
          <w:bCs/>
          <w:color w:val="000000" w:themeColor="text1"/>
          <w:sz w:val="40"/>
          <w:szCs w:val="40"/>
          <w:rtl/>
        </w:rPr>
        <w:t>أثر إدارة التغيير في مشاريع تحديث الأجهزة الطبية على معدلات استيعاب الكوادر الفنية: دراسة ميدانية على مستشفى حفر الباطن المركزي</w:t>
      </w:r>
      <w:r w:rsidR="0050030C" w:rsidRPr="001E1970">
        <w:rPr>
          <w:rFonts w:ascii="Sakkal Majalla" w:hAnsi="Sakkal Majalla" w:cs="Sakkal Majalla"/>
          <w:b/>
          <w:bCs/>
          <w:color w:val="000000" w:themeColor="text1"/>
          <w:sz w:val="40"/>
          <w:szCs w:val="40"/>
          <w:rtl/>
          <w:lang w:bidi="ar-EG"/>
        </w:rPr>
        <w:t>.</w:t>
      </w:r>
    </w:p>
    <w:p w14:paraId="751A7E65" w14:textId="043F10AA" w:rsidR="009125CE" w:rsidRPr="001E1970" w:rsidRDefault="009125CE" w:rsidP="00383BB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E1970">
        <w:rPr>
          <w:rFonts w:ascii="Sakkal Majalla" w:hAnsi="Sakkal Majalla" w:cs="Sakkal Majalla"/>
          <w:b/>
          <w:bCs/>
          <w:color w:val="000000" w:themeColor="text1"/>
          <w:sz w:val="36"/>
          <w:szCs w:val="36"/>
          <w:rtl/>
          <w:lang w:bidi="ar-EG"/>
        </w:rPr>
        <w:t>إعداد الطالب/</w:t>
      </w:r>
    </w:p>
    <w:p w14:paraId="0880EBC1" w14:textId="77777777" w:rsidR="00006607" w:rsidRPr="001E1970" w:rsidRDefault="00006607" w:rsidP="00383BBF">
      <w:pPr>
        <w:spacing w:before="100" w:beforeAutospacing="1" w:after="100" w:afterAutospacing="1" w:line="360" w:lineRule="auto"/>
        <w:jc w:val="center"/>
        <w:rPr>
          <w:rFonts w:ascii="Sakkal Majalla" w:hAnsi="Sakkal Majalla" w:cs="Sakkal Majalla"/>
          <w:color w:val="000000" w:themeColor="text1"/>
          <w:sz w:val="36"/>
          <w:szCs w:val="36"/>
          <w:rtl/>
        </w:rPr>
      </w:pPr>
      <w:r w:rsidRPr="001E1970">
        <w:rPr>
          <w:rFonts w:ascii="Sakkal Majalla" w:hAnsi="Sakkal Majalla" w:cs="Sakkal Majalla"/>
          <w:color w:val="000000" w:themeColor="text1"/>
          <w:sz w:val="36"/>
          <w:szCs w:val="36"/>
          <w:rtl/>
        </w:rPr>
        <w:t>أحمد بن قاسم بن محمد الحسني العنزي</w:t>
      </w:r>
    </w:p>
    <w:p w14:paraId="11CFE76E" w14:textId="0734CEDD" w:rsidR="00C35BC1" w:rsidRPr="001E1970" w:rsidRDefault="00006607" w:rsidP="00383BBF">
      <w:pPr>
        <w:spacing w:before="100" w:beforeAutospacing="1" w:after="100" w:afterAutospacing="1" w:line="360" w:lineRule="auto"/>
        <w:jc w:val="center"/>
        <w:rPr>
          <w:rFonts w:ascii="Sakkal Majalla" w:hAnsi="Sakkal Majalla" w:cs="Sakkal Majalla"/>
          <w:color w:val="000000" w:themeColor="text1"/>
          <w:sz w:val="36"/>
          <w:szCs w:val="36"/>
          <w:rtl/>
        </w:rPr>
      </w:pPr>
      <w:r w:rsidRPr="001E1970">
        <w:rPr>
          <w:rFonts w:ascii="Sakkal Majalla" w:hAnsi="Sakkal Majalla" w:cs="Sakkal Majalla"/>
          <w:color w:val="000000" w:themeColor="text1"/>
          <w:sz w:val="36"/>
          <w:szCs w:val="36"/>
          <w:rtl/>
        </w:rPr>
        <w:t>252001389</w:t>
      </w:r>
    </w:p>
    <w:p w14:paraId="5F4EE2DE" w14:textId="54C08A8B" w:rsidR="009125CE" w:rsidRPr="001E1970" w:rsidRDefault="009125CE" w:rsidP="00383BB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E1970">
        <w:rPr>
          <w:rFonts w:ascii="Sakkal Majalla" w:hAnsi="Sakkal Majalla" w:cs="Sakkal Majalla"/>
          <w:b/>
          <w:bCs/>
          <w:color w:val="000000" w:themeColor="text1"/>
          <w:sz w:val="36"/>
          <w:szCs w:val="36"/>
          <w:rtl/>
          <w:lang w:bidi="ar-EG"/>
        </w:rPr>
        <w:t>إشراف/</w:t>
      </w:r>
    </w:p>
    <w:p w14:paraId="39900BA8" w14:textId="0F4B3CE5" w:rsidR="00D32470" w:rsidRPr="001E1970" w:rsidRDefault="00BA5817" w:rsidP="00383BBF">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E1970">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546BCEF1" w:rsidR="000A06E6" w:rsidRPr="001E1970" w:rsidRDefault="000A06E6" w:rsidP="00383BBF">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E1970">
        <w:rPr>
          <w:rFonts w:ascii="Sakkal Majalla" w:eastAsia="Calibri" w:hAnsi="Sakkal Majalla" w:cs="Sakkal Majalla"/>
          <w:color w:val="000000" w:themeColor="text1"/>
          <w:kern w:val="0"/>
          <w:sz w:val="36"/>
          <w:szCs w:val="36"/>
          <w:rtl/>
          <w:lang w:bidi="ar-EG"/>
          <w14:ligatures w14:val="none"/>
        </w:rPr>
        <w:t>د.فايز جراد</w:t>
      </w:r>
    </w:p>
    <w:p w14:paraId="05DD91B1" w14:textId="0FF0A72A" w:rsidR="00377D51" w:rsidRPr="001E1970" w:rsidRDefault="009125CE" w:rsidP="00383BB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E1970">
        <w:rPr>
          <w:rFonts w:ascii="Sakkal Majalla" w:hAnsi="Sakkal Majalla" w:cs="Sakkal Majalla"/>
          <w:b/>
          <w:bCs/>
          <w:color w:val="000000" w:themeColor="text1"/>
          <w:sz w:val="36"/>
          <w:szCs w:val="36"/>
          <w:rtl/>
          <w:lang w:bidi="ar-EG"/>
        </w:rPr>
        <w:t>العام الدراسي:</w:t>
      </w:r>
    </w:p>
    <w:p w14:paraId="6E4FE9E3" w14:textId="77777777" w:rsidR="00383BBF" w:rsidRPr="001E1970" w:rsidRDefault="00383BBF" w:rsidP="00383BBF">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83BBF" w:rsidRPr="001E1970" w:rsidSect="00383BBF">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E1970">
        <w:rPr>
          <w:rFonts w:ascii="Sakkal Majalla" w:hAnsi="Sakkal Majalla" w:cs="Sakkal Majalla" w:hint="cs"/>
          <w:color w:val="000000" w:themeColor="text1"/>
          <w:sz w:val="36"/>
          <w:szCs w:val="36"/>
          <w:rtl/>
          <w:lang w:bidi="ar-EG"/>
        </w:rPr>
        <w:t xml:space="preserve">1447 </w:t>
      </w:r>
      <w:r w:rsidRPr="001E1970">
        <w:rPr>
          <w:rFonts w:ascii="Sakkal Majalla" w:hAnsi="Sakkal Majalla" w:cs="Sakkal Majalla"/>
          <w:color w:val="000000" w:themeColor="text1"/>
          <w:sz w:val="36"/>
          <w:szCs w:val="36"/>
          <w:rtl/>
          <w:lang w:bidi="ar-EG"/>
        </w:rPr>
        <w:t>–</w:t>
      </w:r>
      <w:r w:rsidRPr="001E1970">
        <w:rPr>
          <w:rFonts w:ascii="Sakkal Majalla" w:hAnsi="Sakkal Majalla" w:cs="Sakkal Majalla" w:hint="cs"/>
          <w:color w:val="000000" w:themeColor="text1"/>
          <w:sz w:val="36"/>
          <w:szCs w:val="36"/>
          <w:rtl/>
          <w:lang w:bidi="ar-EG"/>
        </w:rPr>
        <w:t xml:space="preserve"> 2026</w:t>
      </w:r>
    </w:p>
    <w:p w14:paraId="4141749A" w14:textId="2749B5B2" w:rsidR="00383BBF" w:rsidRPr="001E1970" w:rsidRDefault="00383BBF" w:rsidP="00383BBF">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0" w:name="_Toc223527751"/>
      <w:r w:rsidRPr="001E1970">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2BF0F245" w14:textId="4E699CFC" w:rsidR="00E47B7D" w:rsidRPr="001E1970" w:rsidRDefault="00383BBF" w:rsidP="00383BBF">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69790487"/>
      <w:bookmarkStart w:id="2" w:name="_Toc223527752"/>
      <w:r w:rsidRPr="001E1970">
        <w:rPr>
          <w:rFonts w:ascii="Sakkal Majalla" w:hAnsi="Sakkal Majalla" w:cs="Sakkal Majalla" w:hint="cs"/>
          <w:b/>
          <w:bCs/>
          <w:color w:val="000000" w:themeColor="text1"/>
          <w:sz w:val="36"/>
          <w:szCs w:val="36"/>
          <w:rtl/>
          <w:lang w:bidi="ar-EG"/>
        </w:rPr>
        <w:t>1.1 المقدمة</w:t>
      </w:r>
      <w:bookmarkEnd w:id="2"/>
      <w:r w:rsidRPr="001E1970">
        <w:rPr>
          <w:rFonts w:ascii="Sakkal Majalla" w:hAnsi="Sakkal Majalla" w:cs="Sakkal Majalla" w:hint="cs"/>
          <w:b/>
          <w:bCs/>
          <w:color w:val="000000" w:themeColor="text1"/>
          <w:sz w:val="36"/>
          <w:szCs w:val="36"/>
          <w:rtl/>
          <w:lang w:bidi="ar-EG"/>
        </w:rPr>
        <w:t xml:space="preserve"> </w:t>
      </w:r>
    </w:p>
    <w:p w14:paraId="62A06B32" w14:textId="77777777" w:rsidR="002A62F6" w:rsidRPr="001E1970" w:rsidRDefault="002A62F6" w:rsidP="00383B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3" w:name="_Toc213769054"/>
      <w:bookmarkStart w:id="4" w:name="_Hlk172151144"/>
      <w:bookmarkStart w:id="5" w:name="_Toc169790489"/>
      <w:bookmarkEnd w:id="1"/>
      <w:r w:rsidRPr="001E1970">
        <w:rPr>
          <w:rFonts w:ascii="Sakkal Majalla" w:hAnsi="Sakkal Majalla" w:cs="Sakkal Majalla"/>
          <w:color w:val="000000" w:themeColor="text1"/>
          <w:sz w:val="28"/>
          <w:szCs w:val="28"/>
          <w:rtl/>
        </w:rPr>
        <w:t>يشهد العالم المعاصر تحولات متسارعة في مختلف القطاعات، ويُعد القطاع الصحي من أكثر القطاعات تأثرًا بهذه التحولات، لاسيما في ظل التطور المتلاحق للتكنولوجيا الطبية والرقمية. فقد أصبحت الأجهزة الطبية الحديثة عنصرًا محوريًا في تحسين جودة الرعاية الصحية، ورفع كفاءة الخدمات التشخيصية والعلاجية، وتعزيز سلامة المرضى. ويعكس هذا التوجه العالمي اهتمام المؤسسات الصحية بتبنّي التقنيات المتقدمة كوسيلة لتحقيق التميز المؤسسي والاستجابة لمتطلبات الأنظمة الصحية الحديثة، الأمر الذي يفرض على هذه المؤسسات إعادة النظر في أساليب إدارتها، وبخاصة إدارة التغيير المصاحبة لمشاريع التحديث التقني (</w:t>
      </w:r>
      <w:r w:rsidRPr="001E1970">
        <w:rPr>
          <w:rFonts w:ascii="Sakkal Majalla" w:hAnsi="Sakkal Majalla" w:cs="Sakkal Majalla"/>
          <w:color w:val="000000" w:themeColor="text1"/>
          <w:sz w:val="28"/>
          <w:szCs w:val="28"/>
        </w:rPr>
        <w:t>Hossain et al., 2019</w:t>
      </w:r>
      <w:r w:rsidRPr="001E1970">
        <w:rPr>
          <w:rFonts w:ascii="Sakkal Majalla" w:hAnsi="Sakkal Majalla" w:cs="Sakkal Majalla"/>
          <w:color w:val="000000" w:themeColor="text1"/>
          <w:sz w:val="28"/>
          <w:szCs w:val="28"/>
          <w:rtl/>
        </w:rPr>
        <w:t>).</w:t>
      </w:r>
    </w:p>
    <w:p w14:paraId="2BC723C7" w14:textId="77777777" w:rsidR="002A62F6" w:rsidRPr="001E1970" w:rsidRDefault="002A62F6" w:rsidP="00383B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1970">
        <w:rPr>
          <w:rFonts w:ascii="Sakkal Majalla" w:hAnsi="Sakkal Majalla" w:cs="Sakkal Majalla"/>
          <w:color w:val="000000" w:themeColor="text1"/>
          <w:sz w:val="28"/>
          <w:szCs w:val="28"/>
          <w:rtl/>
        </w:rPr>
        <w:t>وفي هذا السياق، تبرز إدارة التغيير بوصفها إطارًا إداريًا استراتيجيًا يهدف إلى تنظيم عملية الانتقال من النظم التقليدية إلى النظم الحديثة، وضمان التكيف الفعّال مع المستجدات التكنولوجية والتنظيمية. ولا يقتصر مفهوم إدارة التغيير على إدخال التقنيات الجديدة فحسب، بل يمتد ليشمل التغيير في الهياكل التنظيمية، والعمليات التشغيلية، والثقافة المؤسسية، والسلوكيات المهنية للعاملين. وقد أكدت الأدبيات الإدارية أن نجاح أي مشروع تحديث تقني يعتمد بدرجة كبيرة على مدى كفاءة إدارة التغيير المصاحبة له، خاصة في المؤسسات الصحية التي تتسم بدرجة عالية من التعقيد التنظيمي والتقني (</w:t>
      </w:r>
      <w:r w:rsidRPr="001E1970">
        <w:rPr>
          <w:rFonts w:ascii="Sakkal Majalla" w:hAnsi="Sakkal Majalla" w:cs="Sakkal Majalla"/>
          <w:color w:val="000000" w:themeColor="text1"/>
          <w:sz w:val="28"/>
          <w:szCs w:val="28"/>
        </w:rPr>
        <w:t>Alotaibi et al., 2023</w:t>
      </w:r>
      <w:r w:rsidRPr="001E1970">
        <w:rPr>
          <w:rFonts w:ascii="Sakkal Majalla" w:hAnsi="Sakkal Majalla" w:cs="Sakkal Majalla"/>
          <w:color w:val="000000" w:themeColor="text1"/>
          <w:sz w:val="28"/>
          <w:szCs w:val="28"/>
          <w:rtl/>
        </w:rPr>
        <w:t>).</w:t>
      </w:r>
    </w:p>
    <w:p w14:paraId="4C580E8C" w14:textId="55940804" w:rsidR="002A62F6" w:rsidRPr="001E1970" w:rsidRDefault="002A62F6" w:rsidP="00383B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1970">
        <w:rPr>
          <w:rFonts w:ascii="Sakkal Majalla" w:hAnsi="Sakkal Majalla" w:cs="Sakkal Majalla"/>
          <w:color w:val="000000" w:themeColor="text1"/>
          <w:sz w:val="28"/>
          <w:szCs w:val="28"/>
          <w:rtl/>
        </w:rPr>
        <w:t xml:space="preserve">وتُعد مشاريع تحديث الأجهزة الطبية من أبرز مظاهر التغيير التكنولوجي في المستشفيات الحديثة، حيث تهدف إلى استبدال أو تطوير الأجهزة الطبية بما يتوافق مع المعايير العالمية، ويواكب التطور العلمي والتقني. إلا أن هذه المشاريع لا تمثل مجرد استثمارات رأسمالية، بل هي عمليات تغيير شاملة تتطلب مواءمة دقيقة بين التكنولوجيا والموارد البشرية والتنظيمية. وقد أشارت دراسات عديدة إلى أن غياب الإدارة </w:t>
      </w:r>
      <w:r w:rsidRPr="001E1970">
        <w:rPr>
          <w:rFonts w:ascii="Sakkal Majalla" w:hAnsi="Sakkal Majalla" w:cs="Sakkal Majalla"/>
          <w:color w:val="000000" w:themeColor="text1"/>
          <w:sz w:val="28"/>
          <w:szCs w:val="28"/>
          <w:rtl/>
        </w:rPr>
        <w:lastRenderedPageBreak/>
        <w:t>العلمية المتكاملة للمعدات الطبية قد يؤدي إلى ضعف كفاءة التشغيل أو عدم الاستفادة المثلى من الإمكانات التقنية المتاحة، وهو ما يستدعي إدارة واعية لمختلف أبعاد التغيير (</w:t>
      </w:r>
      <w:r w:rsidRPr="001E1970">
        <w:rPr>
          <w:rFonts w:ascii="Sakkal Majalla" w:hAnsi="Sakkal Majalla" w:cs="Sakkal Majalla"/>
          <w:color w:val="000000" w:themeColor="text1"/>
          <w:sz w:val="28"/>
          <w:szCs w:val="28"/>
        </w:rPr>
        <w:t xml:space="preserve">CHEN, </w:t>
      </w:r>
      <w:r w:rsidR="008C258E" w:rsidRPr="001E1970">
        <w:rPr>
          <w:rFonts w:ascii="Sakkal Majalla" w:hAnsi="Sakkal Majalla" w:cs="Sakkal Majalla"/>
          <w:color w:val="000000" w:themeColor="text1"/>
          <w:sz w:val="28"/>
          <w:szCs w:val="28"/>
        </w:rPr>
        <w:t>2024</w:t>
      </w:r>
      <w:r w:rsidRPr="001E1970">
        <w:rPr>
          <w:rFonts w:ascii="Sakkal Majalla" w:hAnsi="Sakkal Majalla" w:cs="Sakkal Majalla"/>
          <w:color w:val="000000" w:themeColor="text1"/>
          <w:sz w:val="28"/>
          <w:szCs w:val="28"/>
          <w:rtl/>
        </w:rPr>
        <w:t>.).</w:t>
      </w:r>
    </w:p>
    <w:p w14:paraId="603D73E4" w14:textId="77777777" w:rsidR="002A62F6" w:rsidRPr="001E1970" w:rsidRDefault="002A62F6" w:rsidP="00383B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1970">
        <w:rPr>
          <w:rFonts w:ascii="Sakkal Majalla" w:hAnsi="Sakkal Majalla" w:cs="Sakkal Majalla"/>
          <w:color w:val="000000" w:themeColor="text1"/>
          <w:sz w:val="28"/>
          <w:szCs w:val="28"/>
          <w:rtl/>
        </w:rPr>
        <w:t>ويحتل العنصر البشري، وبخاصة الكوادر الفنية المتخصصة في الأجهزة الطبية، مكانة مركزية في إنجاح مشاريع التحديث التقني. فمهما بلغت درجة تطور الأجهزة الطبية، فإن فاعليتها تبقى مرهونة بقدرة الكوادر الفنية على استيعابها وتشغيلها وصيانتها بكفاءة. ويُقصد باستيعاب الكوادر الفنية امتلاكهم المعارف والمهارات والاتجاهات اللازمة للتعامل مع التقنيات الحديثة، وهو ما يتأثر بعوامل متعددة، من أهمها مستوى التدريب، والدعم الإداري، والثقافة التنظيمية، وفاعلية إدارة التغيير. وقد أبرزت بعض الدراسات أن ضعف استيعاب الكوادر الفنية يُعد من الأسباب الرئيسة لتعطل الأجهزة الطبية أو انخفاض كفاءتها التشغيلية (</w:t>
      </w:r>
      <w:r w:rsidRPr="001E1970">
        <w:rPr>
          <w:rFonts w:ascii="Sakkal Majalla" w:hAnsi="Sakkal Majalla" w:cs="Sakkal Majalla"/>
          <w:color w:val="000000" w:themeColor="text1"/>
          <w:sz w:val="28"/>
          <w:szCs w:val="28"/>
        </w:rPr>
        <w:t>Thapa, 2022</w:t>
      </w:r>
      <w:r w:rsidRPr="001E1970">
        <w:rPr>
          <w:rFonts w:ascii="Sakkal Majalla" w:hAnsi="Sakkal Majalla" w:cs="Sakkal Majalla"/>
          <w:color w:val="000000" w:themeColor="text1"/>
          <w:sz w:val="28"/>
          <w:szCs w:val="28"/>
          <w:rtl/>
        </w:rPr>
        <w:t>).</w:t>
      </w:r>
    </w:p>
    <w:p w14:paraId="45C60843" w14:textId="2B04614A" w:rsidR="002A62F6" w:rsidRPr="001E1970" w:rsidRDefault="002A62F6" w:rsidP="00383B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1970">
        <w:rPr>
          <w:rFonts w:ascii="Sakkal Majalla" w:hAnsi="Sakkal Majalla" w:cs="Sakkal Majalla"/>
          <w:color w:val="000000" w:themeColor="text1"/>
          <w:sz w:val="28"/>
          <w:szCs w:val="28"/>
          <w:rtl/>
        </w:rPr>
        <w:t>وفي إطار القطاع الصحي السعودي، تتزايد وتيرة مشاريع التحديث والتطوير انسجامًا مع التوجهات الوطنية الرامية إلى تحسين جودة الخدمات الصحية وتعزيز كفاءة الأداء المؤسسي. وقد تناولت بعض الدراسات أثر إدارة التغيير في تحسين جودة الخدمة الصحية أو كفاءة الأداء المؤسسي أو تبنّي الأنظمة الإلكترونية، إلا أن التركيز على معدلات استيعاب الكوادر الفنية في مشاريع تحديث الأجهزة الطبية لا يزال محدودًا، الأمر الذي يبرز الحاجة إلى دراسات ميدانية معمقة تتناول هذا الجانب الحيوي في بيئة المستشفيات الحكومية (زائري والحازمي، 2023).</w:t>
      </w:r>
    </w:p>
    <w:p w14:paraId="77CFD63E" w14:textId="77777777" w:rsidR="002A62F6" w:rsidRPr="001E1970" w:rsidRDefault="002A62F6" w:rsidP="00383BBF">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E1970">
        <w:rPr>
          <w:rFonts w:ascii="Sakkal Majalla" w:hAnsi="Sakkal Majalla" w:cs="Sakkal Majalla"/>
          <w:color w:val="000000" w:themeColor="text1"/>
          <w:sz w:val="28"/>
          <w:szCs w:val="28"/>
          <w:rtl/>
        </w:rPr>
        <w:t>وانطلاقًا من ذلك، تأتي هذه الدراسة لتسلط الضوء على أثر إدارة التغيير في مشاريع تحديث الأجهزة الطبية على معدلات استيعاب الكوادر الفنية، من خلال دراسة ميدانية على مستشفى حفر الباطن المركزي، سعيًا إلى الإسهام في سد فجوة معرفية قائمة، وتقديم فهم علمي أعمق للعلاقة بين أبعاد إدارة التغيير والاستيعاب الفني للتحديثات التقنية في المؤسسات الصحية.</w:t>
      </w:r>
    </w:p>
    <w:p w14:paraId="6CE7CC50" w14:textId="440EE667" w:rsidR="00383BBF" w:rsidRPr="001E1970" w:rsidRDefault="00383BBF" w:rsidP="00383BBF">
      <w:pPr>
        <w:spacing w:before="100" w:beforeAutospacing="1" w:after="100" w:afterAutospacing="1"/>
        <w:outlineLvl w:val="1"/>
        <w:rPr>
          <w:rFonts w:ascii="Sakkal Majalla" w:eastAsia="Calibri" w:hAnsi="Sakkal Majalla" w:cs="Sakkal Majalla"/>
          <w:b/>
          <w:bCs/>
          <w:color w:val="000000" w:themeColor="text1"/>
          <w:kern w:val="0"/>
          <w:sz w:val="36"/>
          <w:szCs w:val="36"/>
          <w:rtl/>
          <w14:ligatures w14:val="none"/>
        </w:rPr>
      </w:pPr>
      <w:bookmarkStart w:id="6" w:name="_Toc213769055"/>
      <w:bookmarkEnd w:id="3"/>
      <w:bookmarkEnd w:id="4"/>
      <w:r w:rsidRPr="001E1970">
        <w:rPr>
          <w:rFonts w:ascii="Sakkal Majalla" w:eastAsia="Calibri" w:hAnsi="Sakkal Majalla" w:cs="Sakkal Majalla"/>
          <w:b/>
          <w:bCs/>
          <w:color w:val="000000" w:themeColor="text1"/>
          <w:kern w:val="0"/>
          <w:sz w:val="36"/>
          <w:szCs w:val="36"/>
          <w:rtl/>
          <w14:ligatures w14:val="none"/>
        </w:rPr>
        <w:br w:type="page"/>
      </w:r>
      <w:bookmarkStart w:id="7" w:name="_Toc223527753"/>
      <w:r w:rsidRPr="001E1970">
        <w:rPr>
          <w:rFonts w:ascii="Sakkal Majalla" w:eastAsia="Calibri" w:hAnsi="Sakkal Majalla" w:cs="Sakkal Majalla" w:hint="cs"/>
          <w:b/>
          <w:bCs/>
          <w:color w:val="000000" w:themeColor="text1"/>
          <w:kern w:val="0"/>
          <w:sz w:val="36"/>
          <w:szCs w:val="36"/>
          <w:rtl/>
          <w14:ligatures w14:val="none"/>
        </w:rPr>
        <w:lastRenderedPageBreak/>
        <w:t xml:space="preserve">2.1 </w:t>
      </w:r>
      <w:r w:rsidRPr="001E1970">
        <w:rPr>
          <w:rFonts w:ascii="Sakkal Majalla" w:eastAsia="Calibri" w:hAnsi="Sakkal Majalla" w:cs="Sakkal Majalla"/>
          <w:b/>
          <w:bCs/>
          <w:color w:val="000000" w:themeColor="text1"/>
          <w:kern w:val="0"/>
          <w:sz w:val="36"/>
          <w:szCs w:val="36"/>
          <w:rtl/>
          <w14:ligatures w14:val="none"/>
        </w:rPr>
        <w:t>مشكلة الدراسة</w:t>
      </w:r>
      <w:bookmarkEnd w:id="7"/>
    </w:p>
    <w:p w14:paraId="7071B974" w14:textId="77777777" w:rsidR="002A62F6" w:rsidRPr="001E1970" w:rsidRDefault="002A62F6" w:rsidP="00383BB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1E1970">
        <w:rPr>
          <w:rFonts w:ascii="Sakkal Majalla" w:eastAsia="Calibri" w:hAnsi="Sakkal Majalla" w:cs="Sakkal Majalla"/>
          <w:color w:val="000000" w:themeColor="text1"/>
          <w:kern w:val="0"/>
          <w:sz w:val="28"/>
          <w:szCs w:val="28"/>
          <w:rtl/>
          <w14:ligatures w14:val="none"/>
        </w:rPr>
        <w:t>تشهد المؤسسات الصحية في الوقت الراهن تسارعًا ملحوظًا في مشاريع تحديث الأجهزة الطبية، مدفوعًا بالتطور التكنولوجي المتسارع والحاجة إلى تحسين جودة الخدمات الصحية ورفع كفاءة الأداء وسلامة المرضى. وقد أكدت دراسات عديدة أن الأجهزة الطبية الحديثة تمثل عنصرًا حاسمًا في تحسين دقة التشخيص وكفاءة العلاج</w:t>
      </w:r>
      <w:r w:rsidRPr="001E1970">
        <w:rPr>
          <w:rFonts w:ascii="Sakkal Majalla" w:eastAsia="Calibri" w:hAnsi="Sakkal Majalla" w:cs="Sakkal Majalla"/>
          <w:color w:val="000000" w:themeColor="text1"/>
          <w:kern w:val="0"/>
          <w:sz w:val="28"/>
          <w:szCs w:val="28"/>
          <w14:ligatures w14:val="none"/>
        </w:rPr>
        <w:t xml:space="preserve"> (Hossain et al., 2019</w:t>
      </w:r>
      <w:r w:rsidRPr="001E1970">
        <w:rPr>
          <w:rFonts w:ascii="Sakkal Majalla" w:eastAsia="Calibri" w:hAnsi="Sakkal Majalla" w:cs="Sakkal Majalla"/>
          <w:color w:val="000000" w:themeColor="text1"/>
          <w:kern w:val="0"/>
          <w:sz w:val="28"/>
          <w:szCs w:val="28"/>
          <w:rtl/>
          <w14:ligatures w14:val="none"/>
        </w:rPr>
        <w:t>؛</w:t>
      </w:r>
      <w:r w:rsidRPr="001E1970">
        <w:rPr>
          <w:rFonts w:ascii="Sakkal Majalla" w:eastAsia="Calibri" w:hAnsi="Sakkal Majalla" w:cs="Sakkal Majalla"/>
          <w:color w:val="000000" w:themeColor="text1"/>
          <w:kern w:val="0"/>
          <w:sz w:val="28"/>
          <w:szCs w:val="28"/>
          <w14:ligatures w14:val="none"/>
        </w:rPr>
        <w:t xml:space="preserve"> Mansour et al., 2024). </w:t>
      </w:r>
      <w:r w:rsidRPr="001E1970">
        <w:rPr>
          <w:rFonts w:ascii="Sakkal Majalla" w:eastAsia="Calibri" w:hAnsi="Sakkal Majalla" w:cs="Sakkal Majalla"/>
          <w:color w:val="000000" w:themeColor="text1"/>
          <w:kern w:val="0"/>
          <w:sz w:val="28"/>
          <w:szCs w:val="28"/>
          <w:rtl/>
          <w14:ligatures w14:val="none"/>
        </w:rPr>
        <w:t>إلا أن نجاح هذه المشاريع لا يرتبط فقط بتوفير الأجهزة المتطورة، بل يعتمد بدرجة كبيرة على قدرة الكوادر الفنية على استيعاب هذه التحديثات وتشغيلها وصيانتها بكفاءة</w:t>
      </w:r>
      <w:r w:rsidRPr="001E1970">
        <w:rPr>
          <w:rFonts w:ascii="Sakkal Majalla" w:eastAsia="Calibri" w:hAnsi="Sakkal Majalla" w:cs="Sakkal Majalla"/>
          <w:color w:val="000000" w:themeColor="text1"/>
          <w:kern w:val="0"/>
          <w:sz w:val="28"/>
          <w:szCs w:val="28"/>
          <w14:ligatures w14:val="none"/>
        </w:rPr>
        <w:t>.</w:t>
      </w:r>
    </w:p>
    <w:p w14:paraId="55E490AC" w14:textId="77777777" w:rsidR="002A62F6" w:rsidRPr="001E1970" w:rsidRDefault="002A62F6" w:rsidP="00383BB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1E1970">
        <w:rPr>
          <w:rFonts w:ascii="Sakkal Majalla" w:eastAsia="Calibri" w:hAnsi="Sakkal Majalla" w:cs="Sakkal Majalla"/>
          <w:color w:val="000000" w:themeColor="text1"/>
          <w:kern w:val="0"/>
          <w:sz w:val="28"/>
          <w:szCs w:val="28"/>
          <w:rtl/>
          <w14:ligatures w14:val="none"/>
        </w:rPr>
        <w:t>وعلى الرغم من الاستثمارات الكبيرة التي تُوجَّه لتحديث الأجهزة الطبية، تشير الأدبيات إلى أن العديد من المؤسسات الصحية، خصوصًا في القطاع الحكومي، تواجه تحديات جوهرية في استيعاب الكوادر الفنية للتقنيات الحديثة، ما يؤدي إلى ضعف الاستفادة من هذه الأجهزة أو ارتفاع معدلات الأعطال التشغيلية</w:t>
      </w:r>
      <w:r w:rsidRPr="001E1970">
        <w:rPr>
          <w:rFonts w:ascii="Sakkal Majalla" w:eastAsia="Calibri" w:hAnsi="Sakkal Majalla" w:cs="Sakkal Majalla"/>
          <w:color w:val="000000" w:themeColor="text1"/>
          <w:kern w:val="0"/>
          <w:sz w:val="28"/>
          <w:szCs w:val="28"/>
          <w14:ligatures w14:val="none"/>
        </w:rPr>
        <w:t xml:space="preserve"> (Thapa, 2022). </w:t>
      </w:r>
      <w:r w:rsidRPr="001E1970">
        <w:rPr>
          <w:rFonts w:ascii="Sakkal Majalla" w:eastAsia="Calibri" w:hAnsi="Sakkal Majalla" w:cs="Sakkal Majalla"/>
          <w:color w:val="000000" w:themeColor="text1"/>
          <w:kern w:val="0"/>
          <w:sz w:val="28"/>
          <w:szCs w:val="28"/>
          <w:rtl/>
          <w14:ligatures w14:val="none"/>
        </w:rPr>
        <w:t>ويعزى ذلك في كثير من الأحيان إلى قصور في التخطيط للتغيير، وضعف برامج التدريب، ومقاومة التغيير، وعدم مواءمة الهياكل التنظيمية مع متطلبات التحديث التقني</w:t>
      </w:r>
      <w:r w:rsidRPr="001E1970">
        <w:rPr>
          <w:rFonts w:ascii="Sakkal Majalla" w:eastAsia="Calibri" w:hAnsi="Sakkal Majalla" w:cs="Sakkal Majalla"/>
          <w:color w:val="000000" w:themeColor="text1"/>
          <w:kern w:val="0"/>
          <w:sz w:val="28"/>
          <w:szCs w:val="28"/>
          <w14:ligatures w14:val="none"/>
        </w:rPr>
        <w:t>.</w:t>
      </w:r>
    </w:p>
    <w:p w14:paraId="3C8F084D" w14:textId="1B5E75F5" w:rsidR="002A62F6" w:rsidRPr="001E1970" w:rsidRDefault="002A62F6" w:rsidP="00383BB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1E1970">
        <w:rPr>
          <w:rFonts w:ascii="Sakkal Majalla" w:eastAsia="Calibri" w:hAnsi="Sakkal Majalla" w:cs="Sakkal Majalla"/>
          <w:color w:val="000000" w:themeColor="text1"/>
          <w:kern w:val="0"/>
          <w:sz w:val="28"/>
          <w:szCs w:val="28"/>
          <w:rtl/>
          <w14:ligatures w14:val="none"/>
        </w:rPr>
        <w:t>وتؤكد دراسات إدارة التغيير أن غياب إدارة تغيير فعّالة يُعد من أبرز أسباب فشل أو تعثر مشاريع التحول التقني، سواء في القطاع الصحي أو غيره</w:t>
      </w:r>
      <w:r w:rsidRPr="001E1970">
        <w:rPr>
          <w:rFonts w:ascii="Sakkal Majalla" w:eastAsia="Calibri" w:hAnsi="Sakkal Majalla" w:cs="Sakkal Majalla"/>
          <w:color w:val="000000" w:themeColor="text1"/>
          <w:kern w:val="0"/>
          <w:sz w:val="28"/>
          <w:szCs w:val="28"/>
          <w14:ligatures w14:val="none"/>
        </w:rPr>
        <w:t xml:space="preserve"> (Alnaim et al., </w:t>
      </w:r>
      <w:r w:rsidR="008C258E" w:rsidRPr="001E1970">
        <w:rPr>
          <w:rFonts w:ascii="Sakkal Majalla" w:eastAsia="Calibri" w:hAnsi="Sakkal Majalla" w:cs="Sakkal Majalla"/>
          <w:color w:val="000000" w:themeColor="text1"/>
          <w:kern w:val="0"/>
          <w:sz w:val="28"/>
          <w:szCs w:val="28"/>
          <w14:ligatures w14:val="none"/>
        </w:rPr>
        <w:t>2024</w:t>
      </w:r>
      <w:r w:rsidRPr="001E1970">
        <w:rPr>
          <w:rFonts w:ascii="Sakkal Majalla" w:eastAsia="Calibri" w:hAnsi="Sakkal Majalla" w:cs="Sakkal Majalla"/>
          <w:color w:val="000000" w:themeColor="text1"/>
          <w:kern w:val="0"/>
          <w:sz w:val="28"/>
          <w:szCs w:val="28"/>
          <w14:ligatures w14:val="none"/>
        </w:rPr>
        <w:t>.</w:t>
      </w:r>
      <w:r w:rsidRPr="001E1970">
        <w:rPr>
          <w:rFonts w:ascii="Sakkal Majalla" w:eastAsia="Calibri" w:hAnsi="Sakkal Majalla" w:cs="Sakkal Majalla"/>
          <w:color w:val="000000" w:themeColor="text1"/>
          <w:kern w:val="0"/>
          <w:sz w:val="28"/>
          <w:szCs w:val="28"/>
          <w:rtl/>
          <w14:ligatures w14:val="none"/>
        </w:rPr>
        <w:t>؛</w:t>
      </w:r>
      <w:r w:rsidRPr="001E1970">
        <w:rPr>
          <w:rFonts w:ascii="Sakkal Majalla" w:eastAsia="Calibri" w:hAnsi="Sakkal Majalla" w:cs="Sakkal Majalla"/>
          <w:color w:val="000000" w:themeColor="text1"/>
          <w:kern w:val="0"/>
          <w:sz w:val="28"/>
          <w:szCs w:val="28"/>
          <w14:ligatures w14:val="none"/>
        </w:rPr>
        <w:t xml:space="preserve"> Alotaibi et al., 2023). </w:t>
      </w:r>
      <w:r w:rsidRPr="001E1970">
        <w:rPr>
          <w:rFonts w:ascii="Sakkal Majalla" w:eastAsia="Calibri" w:hAnsi="Sakkal Majalla" w:cs="Sakkal Majalla"/>
          <w:color w:val="000000" w:themeColor="text1"/>
          <w:kern w:val="0"/>
          <w:sz w:val="28"/>
          <w:szCs w:val="28"/>
          <w:rtl/>
          <w14:ligatures w14:val="none"/>
        </w:rPr>
        <w:t>فقد بيّنت هذه الدراسات أن التغيير التكنولوجي غير المصحوب بتغيير تنظيمي وبشري وثقافي متكامل يؤدي إلى انخفاض مستوى القبول الوظيفي، وارتفاع مقاومة العاملين، وضعف الكفاءة التشغيلية، وهو ما ينعكس سلبًا على جودة الخدمات المقدمة</w:t>
      </w:r>
      <w:r w:rsidRPr="001E1970">
        <w:rPr>
          <w:rFonts w:ascii="Sakkal Majalla" w:eastAsia="Calibri" w:hAnsi="Sakkal Majalla" w:cs="Sakkal Majalla"/>
          <w:color w:val="000000" w:themeColor="text1"/>
          <w:kern w:val="0"/>
          <w:sz w:val="28"/>
          <w:szCs w:val="28"/>
          <w14:ligatures w14:val="none"/>
        </w:rPr>
        <w:t>.</w:t>
      </w:r>
    </w:p>
    <w:p w14:paraId="563E4870" w14:textId="17EA466C" w:rsidR="002A62F6" w:rsidRPr="001E1970" w:rsidRDefault="002A62F6" w:rsidP="00383BB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1E1970">
        <w:rPr>
          <w:rFonts w:ascii="Sakkal Majalla" w:eastAsia="Calibri" w:hAnsi="Sakkal Majalla" w:cs="Sakkal Majalla"/>
          <w:color w:val="000000" w:themeColor="text1"/>
          <w:kern w:val="0"/>
          <w:sz w:val="28"/>
          <w:szCs w:val="28"/>
          <w:rtl/>
          <w14:ligatures w14:val="none"/>
        </w:rPr>
        <w:t>كما أوضحت دراسات حديثة أن إدارة التغيير بأبعادها المختلفة تسهم بشكل مباشر في تحسين الأداء المؤسسي وجودة الخدمات الصحية، وتعزيز تبنّي الأنظمة والتقنيات الحديثة</w:t>
      </w:r>
      <w:r w:rsidRPr="001E1970">
        <w:rPr>
          <w:rFonts w:ascii="Sakkal Majalla" w:eastAsia="Calibri" w:hAnsi="Sakkal Majalla" w:cs="Sakkal Majalla"/>
          <w:color w:val="000000" w:themeColor="text1"/>
          <w:kern w:val="0"/>
          <w:sz w:val="28"/>
          <w:szCs w:val="28"/>
          <w14:ligatures w14:val="none"/>
        </w:rPr>
        <w:t xml:space="preserve"> (Almutair et al., 2023</w:t>
      </w:r>
      <w:r w:rsidRPr="001E1970">
        <w:rPr>
          <w:rFonts w:ascii="Sakkal Majalla" w:eastAsia="Calibri" w:hAnsi="Sakkal Majalla" w:cs="Sakkal Majalla"/>
          <w:color w:val="000000" w:themeColor="text1"/>
          <w:kern w:val="0"/>
          <w:sz w:val="28"/>
          <w:szCs w:val="28"/>
          <w:rtl/>
          <w14:ligatures w14:val="none"/>
        </w:rPr>
        <w:t>؛ زائري والحازمي، 2023</w:t>
      </w:r>
      <w:r w:rsidR="008C258E" w:rsidRPr="001E1970">
        <w:rPr>
          <w:rFonts w:ascii="Sakkal Majalla" w:eastAsia="Calibri" w:hAnsi="Sakkal Majalla" w:cs="Sakkal Majalla"/>
          <w:color w:val="000000" w:themeColor="text1"/>
          <w:kern w:val="0"/>
          <w:sz w:val="28"/>
          <w:szCs w:val="28"/>
          <w14:ligatures w14:val="none"/>
        </w:rPr>
        <w:t>(</w:t>
      </w:r>
      <w:r w:rsidRPr="001E1970">
        <w:rPr>
          <w:rFonts w:ascii="Sakkal Majalla" w:eastAsia="Calibri" w:hAnsi="Sakkal Majalla" w:cs="Sakkal Majalla"/>
          <w:color w:val="000000" w:themeColor="text1"/>
          <w:kern w:val="0"/>
          <w:sz w:val="28"/>
          <w:szCs w:val="28"/>
          <w:rtl/>
          <w14:ligatures w14:val="none"/>
        </w:rPr>
        <w:t>إلا أن معظم هذه الدراسات ركزت على متغيرات مثل كفاءة الأداء، جودة الخدمة الصحية، أو تبنّي الأنظمة الإلكترونية، في حين لم تحظَ معدلات استيعاب الكوادر الفنية في سياق مشاريع تحديث الأجهزة الطبية بالاهتمام البحثي الكافي، خاصة في البيئة العربية والسعودية</w:t>
      </w:r>
      <w:r w:rsidRPr="001E1970">
        <w:rPr>
          <w:rFonts w:ascii="Sakkal Majalla" w:eastAsia="Calibri" w:hAnsi="Sakkal Majalla" w:cs="Sakkal Majalla"/>
          <w:color w:val="000000" w:themeColor="text1"/>
          <w:kern w:val="0"/>
          <w:sz w:val="28"/>
          <w:szCs w:val="28"/>
          <w14:ligatures w14:val="none"/>
        </w:rPr>
        <w:t>.</w:t>
      </w:r>
    </w:p>
    <w:p w14:paraId="2E6DE20E" w14:textId="77777777" w:rsidR="002A62F6" w:rsidRPr="001E1970" w:rsidRDefault="002A62F6" w:rsidP="00383BB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1E1970">
        <w:rPr>
          <w:rFonts w:ascii="Sakkal Majalla" w:eastAsia="Calibri" w:hAnsi="Sakkal Majalla" w:cs="Sakkal Majalla"/>
          <w:color w:val="000000" w:themeColor="text1"/>
          <w:kern w:val="0"/>
          <w:sz w:val="28"/>
          <w:szCs w:val="28"/>
          <w:rtl/>
          <w14:ligatures w14:val="none"/>
        </w:rPr>
        <w:lastRenderedPageBreak/>
        <w:t>وفي ضوء ما سبق، تتجسد مشكلة الدراسة الحالية في وجود فجوة بحثية وتطبيقية تتعلق بعدم وضوح الدور الذي تؤديه إدارة التغيير بأبعادها التنظيمية والتكنولوجية والبشرية والثقافية في رفع معدلات استيعاب الكوادر الفنية لمشاريع تحديث الأجهزة الطبية داخل المستشفيات الحكومية. وتزداد هذه المشكلة أهمية في مستشفى حفر الباطن المركزي، بوصفه مؤسسة صحية تشهد توسعًا وتحديثًا مستمرًا في بنيتها التقنية، مما يستدعي دراسة علمية معمقة لتشخيص واقع إدارة التغيير، وقياس أثرها الفعلي على استيعاب الكوادر الفنية، وصولًا إلى تقديم توصيات تسهم في تعزيز نجاح واستدامة مشاريع تحديث الأجهزة الطبية</w:t>
      </w:r>
      <w:r w:rsidRPr="001E1970">
        <w:rPr>
          <w:rFonts w:ascii="Sakkal Majalla" w:eastAsia="Calibri" w:hAnsi="Sakkal Majalla" w:cs="Sakkal Majalla"/>
          <w:color w:val="000000" w:themeColor="text1"/>
          <w:kern w:val="0"/>
          <w:sz w:val="28"/>
          <w:szCs w:val="28"/>
          <w14:ligatures w14:val="none"/>
        </w:rPr>
        <w:t>.</w:t>
      </w:r>
    </w:p>
    <w:p w14:paraId="1A124AB7" w14:textId="529CDA6C" w:rsidR="00383BBF" w:rsidRPr="001E1970" w:rsidRDefault="00383BBF" w:rsidP="00383BBF">
      <w:pPr>
        <w:pStyle w:val="NormalWeb"/>
        <w:bidi/>
        <w:spacing w:line="360" w:lineRule="auto"/>
        <w:jc w:val="both"/>
        <w:outlineLvl w:val="1"/>
        <w:rPr>
          <w:rStyle w:val="Strong"/>
          <w:rFonts w:ascii="Sakkal Majalla" w:hAnsi="Sakkal Majalla" w:cs="Sakkal Majalla"/>
          <w:color w:val="000000" w:themeColor="text1"/>
          <w:sz w:val="36"/>
          <w:szCs w:val="36"/>
          <w:rtl/>
        </w:rPr>
      </w:pPr>
      <w:bookmarkStart w:id="8" w:name="_Toc169790490"/>
      <w:bookmarkStart w:id="9" w:name="_Toc213769056"/>
      <w:bookmarkStart w:id="10" w:name="_Toc223527754"/>
      <w:bookmarkEnd w:id="5"/>
      <w:bookmarkEnd w:id="6"/>
      <w:r w:rsidRPr="001E1970">
        <w:rPr>
          <w:rStyle w:val="Strong"/>
          <w:rFonts w:ascii="Sakkal Majalla" w:hAnsi="Sakkal Majalla" w:cs="Sakkal Majalla"/>
          <w:color w:val="000000" w:themeColor="text1"/>
          <w:sz w:val="36"/>
          <w:szCs w:val="36"/>
          <w:rtl/>
        </w:rPr>
        <w:t>3.1 أهمية الدراسة:</w:t>
      </w:r>
      <w:bookmarkEnd w:id="10"/>
    </w:p>
    <w:p w14:paraId="54674115" w14:textId="77777777" w:rsidR="00383BBF" w:rsidRPr="001E1970" w:rsidRDefault="002A62F6" w:rsidP="00383BBF">
      <w:pPr>
        <w:pStyle w:val="NormalWeb"/>
        <w:bidi/>
        <w:spacing w:line="360" w:lineRule="auto"/>
        <w:jc w:val="both"/>
        <w:rPr>
          <w:rFonts w:ascii="Sakkal Majalla" w:hAnsi="Sakkal Majalla" w:cs="Sakkal Majalla"/>
          <w:color w:val="000000" w:themeColor="text1"/>
          <w:sz w:val="32"/>
          <w:szCs w:val="32"/>
          <w:rtl/>
        </w:rPr>
      </w:pPr>
      <w:r w:rsidRPr="001E1970">
        <w:rPr>
          <w:rStyle w:val="Strong"/>
          <w:rFonts w:ascii="Sakkal Majalla" w:hAnsi="Sakkal Majalla" w:cs="Sakkal Majalla"/>
          <w:color w:val="000000" w:themeColor="text1"/>
          <w:sz w:val="32"/>
          <w:szCs w:val="32"/>
          <w:rtl/>
        </w:rPr>
        <w:t>أهمية الدراسة العلمية</w:t>
      </w:r>
    </w:p>
    <w:p w14:paraId="12BE555E" w14:textId="183899EC" w:rsidR="002A62F6" w:rsidRPr="001E1970" w:rsidRDefault="002A62F6" w:rsidP="00383BBF">
      <w:pPr>
        <w:pStyle w:val="NormalWeb"/>
        <w:bidi/>
        <w:spacing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تنبع الأهمية العلمية لهذه الدراسة من إسهامها في </w:t>
      </w:r>
      <w:r w:rsidRPr="001E1970">
        <w:rPr>
          <w:rStyle w:val="Strong"/>
          <w:rFonts w:ascii="Sakkal Majalla" w:hAnsi="Sakkal Majalla" w:cs="Sakkal Majalla"/>
          <w:b w:val="0"/>
          <w:bCs w:val="0"/>
          <w:color w:val="000000" w:themeColor="text1"/>
          <w:sz w:val="28"/>
          <w:szCs w:val="28"/>
          <w:rtl/>
        </w:rPr>
        <w:t>إثراء الأدبيات العلمية</w:t>
      </w:r>
      <w:r w:rsidRPr="001E1970">
        <w:rPr>
          <w:rFonts w:ascii="Sakkal Majalla" w:hAnsi="Sakkal Majalla" w:cs="Sakkal Majalla"/>
          <w:color w:val="000000" w:themeColor="text1"/>
          <w:sz w:val="28"/>
          <w:szCs w:val="28"/>
          <w:rtl/>
        </w:rPr>
        <w:t xml:space="preserve"> في مجال </w:t>
      </w:r>
      <w:r w:rsidRPr="001E1970">
        <w:rPr>
          <w:rStyle w:val="Strong"/>
          <w:rFonts w:ascii="Sakkal Majalla" w:hAnsi="Sakkal Majalla" w:cs="Sakkal Majalla"/>
          <w:b w:val="0"/>
          <w:bCs w:val="0"/>
          <w:color w:val="000000" w:themeColor="text1"/>
          <w:sz w:val="28"/>
          <w:szCs w:val="28"/>
          <w:rtl/>
        </w:rPr>
        <w:t>إدارة التغيير في القطاع الصحي</w:t>
      </w:r>
      <w:r w:rsidRPr="001E1970">
        <w:rPr>
          <w:rFonts w:ascii="Sakkal Majalla" w:hAnsi="Sakkal Majalla" w:cs="Sakkal Majalla"/>
          <w:color w:val="000000" w:themeColor="text1"/>
          <w:sz w:val="28"/>
          <w:szCs w:val="28"/>
          <w:rtl/>
        </w:rPr>
        <w:t xml:space="preserve">، وبخاصة في </w:t>
      </w:r>
      <w:r w:rsidRPr="001E1970">
        <w:rPr>
          <w:rStyle w:val="Strong"/>
          <w:rFonts w:ascii="Sakkal Majalla" w:hAnsi="Sakkal Majalla" w:cs="Sakkal Majalla"/>
          <w:b w:val="0"/>
          <w:bCs w:val="0"/>
          <w:color w:val="000000" w:themeColor="text1"/>
          <w:sz w:val="28"/>
          <w:szCs w:val="28"/>
          <w:rtl/>
        </w:rPr>
        <w:t>مشاريع تحديث الأجهزة الطبية</w:t>
      </w:r>
      <w:r w:rsidRPr="001E1970">
        <w:rPr>
          <w:rFonts w:ascii="Sakkal Majalla" w:hAnsi="Sakkal Majalla" w:cs="Sakkal Majalla"/>
          <w:color w:val="000000" w:themeColor="text1"/>
          <w:sz w:val="28"/>
          <w:szCs w:val="28"/>
          <w:rtl/>
        </w:rPr>
        <w:t xml:space="preserve">، من خلال ربط أبعاد إدارة التغيير بمعدلات </w:t>
      </w:r>
      <w:r w:rsidRPr="001E1970">
        <w:rPr>
          <w:rStyle w:val="Strong"/>
          <w:rFonts w:ascii="Sakkal Majalla" w:hAnsi="Sakkal Majalla" w:cs="Sakkal Majalla"/>
          <w:b w:val="0"/>
          <w:bCs w:val="0"/>
          <w:color w:val="000000" w:themeColor="text1"/>
          <w:sz w:val="28"/>
          <w:szCs w:val="28"/>
          <w:rtl/>
        </w:rPr>
        <w:t>استيعاب الكوادر الفنية</w:t>
      </w:r>
      <w:r w:rsidRPr="001E1970">
        <w:rPr>
          <w:rFonts w:ascii="Sakkal Majalla" w:hAnsi="Sakkal Majalla" w:cs="Sakkal Majalla"/>
          <w:color w:val="000000" w:themeColor="text1"/>
          <w:sz w:val="28"/>
          <w:szCs w:val="28"/>
          <w:rtl/>
        </w:rPr>
        <w:t xml:space="preserve">، وهو متغير لم يحظَ بالاهتمام الكافي في الدراسات السابقة. كما تسهم الدراسة في </w:t>
      </w:r>
      <w:r w:rsidRPr="001E1970">
        <w:rPr>
          <w:rStyle w:val="Strong"/>
          <w:rFonts w:ascii="Sakkal Majalla" w:hAnsi="Sakkal Majalla" w:cs="Sakkal Majalla"/>
          <w:b w:val="0"/>
          <w:bCs w:val="0"/>
          <w:color w:val="000000" w:themeColor="text1"/>
          <w:sz w:val="28"/>
          <w:szCs w:val="28"/>
          <w:rtl/>
        </w:rPr>
        <w:t>تقديم إطار نظري تحليلي</w:t>
      </w:r>
      <w:r w:rsidRPr="001E1970">
        <w:rPr>
          <w:rFonts w:ascii="Sakkal Majalla" w:hAnsi="Sakkal Majalla" w:cs="Sakkal Majalla"/>
          <w:color w:val="000000" w:themeColor="text1"/>
          <w:sz w:val="28"/>
          <w:szCs w:val="28"/>
          <w:rtl/>
        </w:rPr>
        <w:t xml:space="preserve"> يوضح طبيعة العلاقة بين التغيير التنظيمي والتكنولوجي والبشري والثقافي وبين قدرة الكوادر الفنية على التكيّف مع التقنيات الطبية الحديثة. وتوفر نتائجها أساسًا علميًا يمكن البناء عليه في </w:t>
      </w:r>
      <w:r w:rsidRPr="001E1970">
        <w:rPr>
          <w:rStyle w:val="Strong"/>
          <w:rFonts w:ascii="Sakkal Majalla" w:hAnsi="Sakkal Majalla" w:cs="Sakkal Majalla"/>
          <w:b w:val="0"/>
          <w:bCs w:val="0"/>
          <w:color w:val="000000" w:themeColor="text1"/>
          <w:sz w:val="28"/>
          <w:szCs w:val="28"/>
          <w:rtl/>
        </w:rPr>
        <w:t>دراسات مستقبلية مقارنة</w:t>
      </w:r>
      <w:r w:rsidRPr="001E1970">
        <w:rPr>
          <w:rFonts w:ascii="Sakkal Majalla" w:hAnsi="Sakkal Majalla" w:cs="Sakkal Majalla"/>
          <w:color w:val="000000" w:themeColor="text1"/>
          <w:sz w:val="28"/>
          <w:szCs w:val="28"/>
          <w:rtl/>
        </w:rPr>
        <w:t xml:space="preserve"> داخل المستشفيات أو القطاعات الصحية المختلفة، إضافة إلى إمكانية الإفادة منها في تطوير نماذج بحثية تجمع بين إدارة التغيير وإدارة التكنولوجيا الطبية</w:t>
      </w:r>
      <w:r w:rsidRPr="001E1970">
        <w:rPr>
          <w:rFonts w:ascii="Sakkal Majalla" w:hAnsi="Sakkal Majalla" w:cs="Sakkal Majalla"/>
          <w:color w:val="000000" w:themeColor="text1"/>
          <w:sz w:val="28"/>
          <w:szCs w:val="28"/>
        </w:rPr>
        <w:t>.</w:t>
      </w:r>
    </w:p>
    <w:p w14:paraId="3AA4023A" w14:textId="77777777" w:rsidR="00383BBF" w:rsidRPr="001E1970" w:rsidRDefault="002A62F6" w:rsidP="00383BBF">
      <w:pPr>
        <w:pStyle w:val="NormalWeb"/>
        <w:bidi/>
        <w:spacing w:line="360" w:lineRule="auto"/>
        <w:jc w:val="both"/>
        <w:rPr>
          <w:rFonts w:ascii="Sakkal Majalla" w:hAnsi="Sakkal Majalla" w:cs="Sakkal Majalla"/>
          <w:color w:val="000000" w:themeColor="text1"/>
          <w:sz w:val="32"/>
          <w:szCs w:val="32"/>
          <w:rtl/>
        </w:rPr>
      </w:pPr>
      <w:r w:rsidRPr="001E1970">
        <w:rPr>
          <w:rStyle w:val="Strong"/>
          <w:rFonts w:ascii="Sakkal Majalla" w:hAnsi="Sakkal Majalla" w:cs="Sakkal Majalla"/>
          <w:color w:val="000000" w:themeColor="text1"/>
          <w:sz w:val="32"/>
          <w:szCs w:val="32"/>
          <w:rtl/>
        </w:rPr>
        <w:t>الأهمية العملية للدراسة</w:t>
      </w:r>
    </w:p>
    <w:p w14:paraId="2ADDC18E" w14:textId="40F642A9" w:rsidR="002A62F6" w:rsidRPr="001E1970" w:rsidRDefault="002A62F6" w:rsidP="00383BBF">
      <w:pPr>
        <w:pStyle w:val="NormalWeb"/>
        <w:bidi/>
        <w:spacing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تتمثل الأهمية العملية للدراسة في </w:t>
      </w:r>
      <w:r w:rsidRPr="001E1970">
        <w:rPr>
          <w:rStyle w:val="Strong"/>
          <w:rFonts w:ascii="Sakkal Majalla" w:hAnsi="Sakkal Majalla" w:cs="Sakkal Majalla"/>
          <w:b w:val="0"/>
          <w:bCs w:val="0"/>
          <w:color w:val="000000" w:themeColor="text1"/>
          <w:sz w:val="28"/>
          <w:szCs w:val="28"/>
          <w:rtl/>
        </w:rPr>
        <w:t>تقديم نتائج وتوصيات قابلة للتطبيق</w:t>
      </w:r>
      <w:r w:rsidRPr="001E1970">
        <w:rPr>
          <w:rFonts w:ascii="Sakkal Majalla" w:hAnsi="Sakkal Majalla" w:cs="Sakkal Majalla"/>
          <w:color w:val="000000" w:themeColor="text1"/>
          <w:sz w:val="28"/>
          <w:szCs w:val="28"/>
          <w:rtl/>
        </w:rPr>
        <w:t xml:space="preserve"> تسهم في دعم صُنّاع القرار والإدارات الصحية في </w:t>
      </w:r>
      <w:r w:rsidRPr="001E1970">
        <w:rPr>
          <w:rStyle w:val="Strong"/>
          <w:rFonts w:ascii="Sakkal Majalla" w:hAnsi="Sakkal Majalla" w:cs="Sakkal Majalla"/>
          <w:b w:val="0"/>
          <w:bCs w:val="0"/>
          <w:color w:val="000000" w:themeColor="text1"/>
          <w:sz w:val="28"/>
          <w:szCs w:val="28"/>
          <w:rtl/>
        </w:rPr>
        <w:t>تحسين إدارة مشاريع تحديث الأجهزة الطبية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 xml:space="preserve">كما تساعد نتائج الدراسة إدارات المستشفيات على </w:t>
      </w:r>
      <w:r w:rsidRPr="001E1970">
        <w:rPr>
          <w:rStyle w:val="Strong"/>
          <w:rFonts w:ascii="Sakkal Majalla" w:hAnsi="Sakkal Majalla" w:cs="Sakkal Majalla"/>
          <w:b w:val="0"/>
          <w:bCs w:val="0"/>
          <w:color w:val="000000" w:themeColor="text1"/>
          <w:sz w:val="28"/>
          <w:szCs w:val="28"/>
          <w:rtl/>
        </w:rPr>
        <w:t>رفع معدلات استيعاب الكوادر الفنية</w:t>
      </w:r>
      <w:r w:rsidRPr="001E1970">
        <w:rPr>
          <w:rFonts w:ascii="Sakkal Majalla" w:hAnsi="Sakkal Majalla" w:cs="Sakkal Majalla"/>
          <w:color w:val="000000" w:themeColor="text1"/>
          <w:sz w:val="28"/>
          <w:szCs w:val="28"/>
          <w:rtl/>
        </w:rPr>
        <w:t xml:space="preserve"> وتقليل مقاومة التغيير، من خلال توجيه الجهود نحو الأبعاد الأكثر تأثيرًا لإدارة التغيير. وتوفر الدراسة مؤشرات عملية لتطوير </w:t>
      </w:r>
      <w:r w:rsidRPr="001E1970">
        <w:rPr>
          <w:rStyle w:val="Strong"/>
          <w:rFonts w:ascii="Sakkal Majalla" w:hAnsi="Sakkal Majalla" w:cs="Sakkal Majalla"/>
          <w:b w:val="0"/>
          <w:bCs w:val="0"/>
          <w:color w:val="000000" w:themeColor="text1"/>
          <w:sz w:val="28"/>
          <w:szCs w:val="28"/>
          <w:rtl/>
        </w:rPr>
        <w:t xml:space="preserve">برامج التدريب والتأهيل </w:t>
      </w:r>
      <w:r w:rsidRPr="001E1970">
        <w:rPr>
          <w:rStyle w:val="Strong"/>
          <w:rFonts w:ascii="Sakkal Majalla" w:hAnsi="Sakkal Majalla" w:cs="Sakkal Majalla"/>
          <w:b w:val="0"/>
          <w:bCs w:val="0"/>
          <w:color w:val="000000" w:themeColor="text1"/>
          <w:sz w:val="28"/>
          <w:szCs w:val="28"/>
          <w:rtl/>
        </w:rPr>
        <w:lastRenderedPageBreak/>
        <w:t>الفني</w:t>
      </w:r>
      <w:r w:rsidRPr="001E1970">
        <w:rPr>
          <w:rFonts w:ascii="Sakkal Majalla" w:hAnsi="Sakkal Majalla" w:cs="Sakkal Majalla"/>
          <w:color w:val="000000" w:themeColor="text1"/>
          <w:sz w:val="28"/>
          <w:szCs w:val="28"/>
          <w:rtl/>
        </w:rPr>
        <w:t xml:space="preserve">، وتحسين البيئة التنظيمية والثقافية الداعمة للتحديث التقني. كما يمكن الاستفادة من نتائجها في </w:t>
      </w:r>
      <w:r w:rsidRPr="001E1970">
        <w:rPr>
          <w:rStyle w:val="Strong"/>
          <w:rFonts w:ascii="Sakkal Majalla" w:hAnsi="Sakkal Majalla" w:cs="Sakkal Majalla"/>
          <w:b w:val="0"/>
          <w:bCs w:val="0"/>
          <w:color w:val="000000" w:themeColor="text1"/>
          <w:sz w:val="28"/>
          <w:szCs w:val="28"/>
          <w:rtl/>
        </w:rPr>
        <w:t>تعظيم العائد الاستثماري للأجهزة الطبية الحديثة</w:t>
      </w:r>
      <w:r w:rsidRPr="001E1970">
        <w:rPr>
          <w:rFonts w:ascii="Sakkal Majalla" w:hAnsi="Sakkal Majalla" w:cs="Sakkal Majalla"/>
          <w:color w:val="000000" w:themeColor="text1"/>
          <w:sz w:val="28"/>
          <w:szCs w:val="28"/>
          <w:rtl/>
        </w:rPr>
        <w:t xml:space="preserve">، وضمان التشغيل الآمن والفعّال لها، بما ينعكس إيجابًا على </w:t>
      </w:r>
      <w:r w:rsidRPr="001E1970">
        <w:rPr>
          <w:rStyle w:val="Strong"/>
          <w:rFonts w:ascii="Sakkal Majalla" w:hAnsi="Sakkal Majalla" w:cs="Sakkal Majalla"/>
          <w:b w:val="0"/>
          <w:bCs w:val="0"/>
          <w:color w:val="000000" w:themeColor="text1"/>
          <w:sz w:val="28"/>
          <w:szCs w:val="28"/>
          <w:rtl/>
        </w:rPr>
        <w:t>جودة الخدمات الصحية واستدامتها</w:t>
      </w:r>
      <w:r w:rsidRPr="001E1970">
        <w:rPr>
          <w:rFonts w:ascii="Sakkal Majalla" w:hAnsi="Sakkal Majalla" w:cs="Sakkal Majalla"/>
          <w:color w:val="000000" w:themeColor="text1"/>
          <w:sz w:val="28"/>
          <w:szCs w:val="28"/>
          <w:rtl/>
        </w:rPr>
        <w:t xml:space="preserve"> في مستشفى حفر الباطن المركزي وفي المؤسسات الصحية المماثلة</w:t>
      </w:r>
      <w:r w:rsidRPr="001E1970">
        <w:rPr>
          <w:rFonts w:ascii="Sakkal Majalla" w:hAnsi="Sakkal Majalla" w:cs="Sakkal Majalla"/>
          <w:color w:val="000000" w:themeColor="text1"/>
          <w:sz w:val="28"/>
          <w:szCs w:val="28"/>
        </w:rPr>
        <w:t>.</w:t>
      </w:r>
    </w:p>
    <w:p w14:paraId="07AC1E63" w14:textId="7A0C291E" w:rsidR="00383BBF" w:rsidRPr="001E1970" w:rsidRDefault="00383BBF" w:rsidP="00383BBF">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1" w:name="_Toc169790491"/>
      <w:bookmarkStart w:id="12" w:name="_Toc213769057"/>
      <w:bookmarkStart w:id="13" w:name="_Toc223527755"/>
      <w:bookmarkEnd w:id="8"/>
      <w:bookmarkEnd w:id="9"/>
      <w:r w:rsidRPr="001E1970">
        <w:rPr>
          <w:rFonts w:ascii="Sakkal Majalla" w:eastAsia="Calibri" w:hAnsi="Sakkal Majalla" w:cs="Sakkal Majalla"/>
          <w:b/>
          <w:bCs/>
          <w:color w:val="000000" w:themeColor="text1"/>
          <w:kern w:val="0"/>
          <w:sz w:val="36"/>
          <w:szCs w:val="36"/>
          <w:rtl/>
          <w14:ligatures w14:val="none"/>
        </w:rPr>
        <w:t>4.1 أهداف الدراسة:</w:t>
      </w:r>
      <w:bookmarkEnd w:id="13"/>
    </w:p>
    <w:p w14:paraId="03C070F2" w14:textId="77777777" w:rsidR="00EF3675" w:rsidRPr="001E1970" w:rsidRDefault="00430068" w:rsidP="00383BBF">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kern w:val="0"/>
          <w:sz w:val="28"/>
          <w:szCs w:val="28"/>
          <w:rtl/>
          <w14:ligatures w14:val="none"/>
        </w:rPr>
        <w:t xml:space="preserve">هدفت الدراسة إلى </w:t>
      </w:r>
      <w:r w:rsidR="00EF3675" w:rsidRPr="001E1970">
        <w:rPr>
          <w:rFonts w:ascii="Sakkal Majalla" w:eastAsia="Calibri" w:hAnsi="Sakkal Majalla" w:cs="Sakkal Majalla"/>
          <w:color w:val="000000" w:themeColor="text1"/>
          <w:sz w:val="28"/>
          <w:szCs w:val="28"/>
          <w:rtl/>
        </w:rPr>
        <w:t>تهدف هذه الدراسة إلى دراسة أثر إدارة التغيير بأبعادها (التغيير التنظيمي، التغيير التكنولوجي، التغيير البشري، والتغيير الثقافي) على معدلات استيعاب الكوادر الفنية لمشاريع تحديث الأجهزة الطبية في مستشفى حفر الباطن المركزي</w:t>
      </w:r>
      <w:r w:rsidR="00EF3675" w:rsidRPr="001E1970">
        <w:rPr>
          <w:rFonts w:ascii="Sakkal Majalla" w:eastAsia="Calibri" w:hAnsi="Sakkal Majalla" w:cs="Sakkal Majalla"/>
          <w:color w:val="000000" w:themeColor="text1"/>
          <w:sz w:val="28"/>
          <w:szCs w:val="28"/>
        </w:rPr>
        <w:t>.</w:t>
      </w:r>
    </w:p>
    <w:p w14:paraId="08B99D21" w14:textId="16445B11" w:rsidR="00EF3675" w:rsidRPr="001E1970" w:rsidRDefault="00EF3675" w:rsidP="00383BBF">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Pr>
      </w:pPr>
      <w:r w:rsidRPr="001E1970">
        <w:rPr>
          <w:rFonts w:ascii="Sakkal Majalla" w:eastAsia="Calibri" w:hAnsi="Sakkal Majalla" w:cs="Sakkal Majalla"/>
          <w:b/>
          <w:bCs/>
          <w:color w:val="000000" w:themeColor="text1"/>
          <w:sz w:val="28"/>
          <w:szCs w:val="28"/>
          <w:rtl/>
        </w:rPr>
        <w:t>ويتفرع عن الهدف الرئيس مجموعة من الأهداف الفرعية الغنية، تتمثل فيما يلي</w:t>
      </w:r>
      <w:r w:rsidRPr="001E1970">
        <w:rPr>
          <w:rFonts w:ascii="Sakkal Majalla" w:eastAsia="Calibri" w:hAnsi="Sakkal Majalla" w:cs="Sakkal Majalla"/>
          <w:b/>
          <w:bCs/>
          <w:color w:val="000000" w:themeColor="text1"/>
          <w:sz w:val="28"/>
          <w:szCs w:val="28"/>
        </w:rPr>
        <w:t>:</w:t>
      </w:r>
    </w:p>
    <w:p w14:paraId="53CDAAB7"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التعرّف على مستوى تطبيق إدارة التغيير في مشاريع تحديث الأجهزة الطبية بمستشفى حفر الباطن المركزي</w:t>
      </w:r>
      <w:r w:rsidRPr="001E1970">
        <w:rPr>
          <w:rFonts w:ascii="Sakkal Majalla" w:eastAsia="Calibri" w:hAnsi="Sakkal Majalla" w:cs="Sakkal Majalla"/>
          <w:color w:val="000000" w:themeColor="text1"/>
          <w:sz w:val="28"/>
          <w:szCs w:val="28"/>
        </w:rPr>
        <w:t>.</w:t>
      </w:r>
    </w:p>
    <w:p w14:paraId="141B235F"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قياس مستوى استيعاب الكوادر الفنية للتقنيات الحديثة المصاحبة لمشاريع تحديث الأجهزة الطبية</w:t>
      </w:r>
      <w:r w:rsidRPr="001E1970">
        <w:rPr>
          <w:rFonts w:ascii="Sakkal Majalla" w:eastAsia="Calibri" w:hAnsi="Sakkal Majalla" w:cs="Sakkal Majalla"/>
          <w:color w:val="000000" w:themeColor="text1"/>
          <w:sz w:val="28"/>
          <w:szCs w:val="28"/>
        </w:rPr>
        <w:t>.</w:t>
      </w:r>
    </w:p>
    <w:p w14:paraId="7028B4C6"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تحليل أثر التغيير التنظيمي في تحسين قدرة الكوادر الفنية على التكيّف مع الأجهزة الطبية الحديثة وإجراءات تشغيلها وصيانتها</w:t>
      </w:r>
      <w:r w:rsidRPr="001E1970">
        <w:rPr>
          <w:rFonts w:ascii="Sakkal Majalla" w:eastAsia="Calibri" w:hAnsi="Sakkal Majalla" w:cs="Sakkal Majalla"/>
          <w:color w:val="000000" w:themeColor="text1"/>
          <w:sz w:val="28"/>
          <w:szCs w:val="28"/>
        </w:rPr>
        <w:t>.</w:t>
      </w:r>
    </w:p>
    <w:p w14:paraId="64ABF1C9"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دراسة أثر التغيير التكنولوجي في رفع كفاءة الاستيعاب الفني والتعامل مع الأنظمة والتقنيات الطبية المتطورة</w:t>
      </w:r>
      <w:r w:rsidRPr="001E1970">
        <w:rPr>
          <w:rFonts w:ascii="Sakkal Majalla" w:eastAsia="Calibri" w:hAnsi="Sakkal Majalla" w:cs="Sakkal Majalla"/>
          <w:color w:val="000000" w:themeColor="text1"/>
          <w:sz w:val="28"/>
          <w:szCs w:val="28"/>
        </w:rPr>
        <w:t>.</w:t>
      </w:r>
    </w:p>
    <w:p w14:paraId="33678E8D"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تحديد أثر التغيير البشري المتمثل في التدريب، والتحفيز، وتنمية المهارات، على معدلات استيعاب الكوادر الفنية لمشاريع التحديث</w:t>
      </w:r>
      <w:r w:rsidRPr="001E1970">
        <w:rPr>
          <w:rFonts w:ascii="Sakkal Majalla" w:eastAsia="Calibri" w:hAnsi="Sakkal Majalla" w:cs="Sakkal Majalla"/>
          <w:color w:val="000000" w:themeColor="text1"/>
          <w:sz w:val="28"/>
          <w:szCs w:val="28"/>
        </w:rPr>
        <w:t>.</w:t>
      </w:r>
    </w:p>
    <w:p w14:paraId="26D48B98"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تقييم أثر التغيير الثقافي في تعزيز تقبّل الكوادر الفنية للتحديث التقني وتقليل مقاومة التغيير داخل بيئة العمل</w:t>
      </w:r>
      <w:r w:rsidRPr="001E1970">
        <w:rPr>
          <w:rFonts w:ascii="Sakkal Majalla" w:eastAsia="Calibri" w:hAnsi="Sakkal Majalla" w:cs="Sakkal Majalla"/>
          <w:color w:val="000000" w:themeColor="text1"/>
          <w:sz w:val="28"/>
          <w:szCs w:val="28"/>
        </w:rPr>
        <w:t>.</w:t>
      </w:r>
    </w:p>
    <w:p w14:paraId="0915B21D" w14:textId="77777777" w:rsidR="00EF3675" w:rsidRPr="001E1970" w:rsidRDefault="00EF3675" w:rsidP="00383BBF">
      <w:pPr>
        <w:numPr>
          <w:ilvl w:val="0"/>
          <w:numId w:val="2"/>
        </w:numPr>
        <w:tabs>
          <w:tab w:val="clear" w:pos="720"/>
          <w:tab w:val="num" w:pos="423"/>
        </w:tabs>
        <w:spacing w:before="100" w:beforeAutospacing="1" w:after="100" w:afterAutospacing="1" w:line="360" w:lineRule="auto"/>
        <w:ind w:left="423"/>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lastRenderedPageBreak/>
        <w:t>اقتراح آليات واستراتيجيات عملية لتعزيز دور إدارة التغيير في رفع معدلات استيعاب الكوادر الفنية وضمان نجاح واستدامة مشاريع تحديث الأجهزة الطبية بالمستشفى</w:t>
      </w:r>
      <w:r w:rsidRPr="001E1970">
        <w:rPr>
          <w:rFonts w:ascii="Sakkal Majalla" w:eastAsia="Calibri" w:hAnsi="Sakkal Majalla" w:cs="Sakkal Majalla"/>
          <w:color w:val="000000" w:themeColor="text1"/>
          <w:sz w:val="28"/>
          <w:szCs w:val="28"/>
        </w:rPr>
        <w:t>.</w:t>
      </w:r>
    </w:p>
    <w:p w14:paraId="36F619BF" w14:textId="6AFD7966" w:rsidR="00A74F76" w:rsidRPr="001E1970" w:rsidRDefault="00383BBF" w:rsidP="00383BBF">
      <w:pPr>
        <w:spacing w:before="100" w:beforeAutospacing="1" w:after="100" w:afterAutospacing="1" w:line="360" w:lineRule="auto"/>
        <w:jc w:val="both"/>
        <w:outlineLvl w:val="1"/>
        <w:rPr>
          <w:rFonts w:ascii="Sakkal Majalla" w:hAnsi="Sakkal Majalla" w:cs="Sakkal Majalla"/>
          <w:color w:val="000000" w:themeColor="text1"/>
          <w:sz w:val="36"/>
          <w:szCs w:val="36"/>
          <w:rtl/>
        </w:rPr>
      </w:pPr>
      <w:bookmarkStart w:id="14" w:name="_Toc223527756"/>
      <w:r w:rsidRPr="001E1970">
        <w:rPr>
          <w:rFonts w:ascii="Sakkal Majalla" w:eastAsia="Calibri" w:hAnsi="Sakkal Majalla" w:cs="Sakkal Majalla" w:hint="cs"/>
          <w:color w:val="000000" w:themeColor="text1"/>
          <w:kern w:val="0"/>
          <w:sz w:val="36"/>
          <w:szCs w:val="36"/>
          <w:rtl/>
          <w14:ligatures w14:val="none"/>
        </w:rPr>
        <w:t xml:space="preserve">5.1 </w:t>
      </w:r>
      <w:r w:rsidR="00D22171" w:rsidRPr="001E1970">
        <w:rPr>
          <w:rStyle w:val="Heading1Char"/>
          <w:color w:val="000000" w:themeColor="text1"/>
          <w:sz w:val="36"/>
          <w:u w:val="none"/>
          <w:rtl/>
        </w:rPr>
        <w:t>تساؤلات الدراسة</w:t>
      </w:r>
      <w:bookmarkEnd w:id="11"/>
      <w:bookmarkEnd w:id="12"/>
      <w:bookmarkEnd w:id="14"/>
    </w:p>
    <w:p w14:paraId="36146D38" w14:textId="6CFEC912" w:rsidR="00EF3675" w:rsidRPr="001E1970" w:rsidRDefault="00430068" w:rsidP="00383BBF">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kern w:val="0"/>
          <w:sz w:val="28"/>
          <w:szCs w:val="28"/>
          <w:rtl/>
          <w14:ligatures w14:val="none"/>
        </w:rPr>
        <w:t xml:space="preserve">السؤال الرئيسي التالى : </w:t>
      </w:r>
      <w:r w:rsidR="00EF3675" w:rsidRPr="001E1970">
        <w:rPr>
          <w:rFonts w:ascii="Sakkal Majalla" w:hAnsi="Sakkal Majalla" w:cs="Sakkal Majalla"/>
          <w:color w:val="000000" w:themeColor="text1"/>
          <w:sz w:val="28"/>
          <w:szCs w:val="28"/>
          <w:rtl/>
        </w:rPr>
        <w:t>ما أثر إدارة التغيير بأبعادها (التغيير التنظيمي، التغيير التكنولوجي، التغيير البشري، التغيير الثقافي) على معدلات استيعاب الكوادر الفنية لمشاريع تحديث الأجهزة الطبية في مستشفى حفر الباطن المركزي؟</w:t>
      </w:r>
    </w:p>
    <w:p w14:paraId="48AED04A" w14:textId="77777777" w:rsidR="00EF3675" w:rsidRPr="001E1970" w:rsidRDefault="00EF3675" w:rsidP="00383BBF">
      <w:pPr>
        <w:spacing w:before="100" w:beforeAutospacing="1" w:after="100" w:afterAutospacing="1" w:line="360" w:lineRule="auto"/>
        <w:jc w:val="both"/>
        <w:rPr>
          <w:rFonts w:ascii="Sakkal Majalla" w:hAnsi="Sakkal Majalla" w:cs="Sakkal Majalla"/>
          <w:b/>
          <w:bCs/>
          <w:color w:val="000000" w:themeColor="text1"/>
          <w:sz w:val="32"/>
          <w:szCs w:val="32"/>
        </w:rPr>
      </w:pPr>
      <w:r w:rsidRPr="001E1970">
        <w:rPr>
          <w:rFonts w:ascii="Sakkal Majalla" w:hAnsi="Sakkal Majalla" w:cs="Sakkal Majalla"/>
          <w:b/>
          <w:bCs/>
          <w:color w:val="000000" w:themeColor="text1"/>
          <w:sz w:val="32"/>
          <w:szCs w:val="32"/>
          <w:rtl/>
        </w:rPr>
        <w:t>الأسئلة الفرعية للدراسة</w:t>
      </w:r>
    </w:p>
    <w:p w14:paraId="757983A4"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مستوى تطبيق إدارة التغيير في مشاريع تحديث الأجهزة الطبية بمستشفى حفر الباطن المركزي؟</w:t>
      </w:r>
    </w:p>
    <w:p w14:paraId="51BC25D6"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مستوى استيعاب الكوادر الفنية لمشاريع تحديث الأجهزة الطبية في المستشفى؟</w:t>
      </w:r>
    </w:p>
    <w:p w14:paraId="3A0454F0"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أثر التغيير التنظيمي على معدلات استيعاب الكوادر الفنية لمشاريع تحديث الأجهزة الطبية؟</w:t>
      </w:r>
    </w:p>
    <w:p w14:paraId="533B5EFE"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أثر التغيير التكنولوجي على قدرة الكوادر الفنية على التكيّف مع الأجهزة الطبية الحديثة وأنظمتها التشغيلية؟</w:t>
      </w:r>
    </w:p>
    <w:p w14:paraId="27B80E04"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أثر التغيير البشري (التدريب، التحفيز، تنمية المهارات) على معدلات استيعاب الكوادر الفنية لمشاريع تحديث الأجهزة الطبية؟</w:t>
      </w:r>
    </w:p>
    <w:p w14:paraId="5AFE7DD4"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أثر التغيير الثقافي على تقبّل الكوادر الفنية للتحديث التقني وتقليل مقاومة التغيير داخل بيئة العمل؟</w:t>
      </w:r>
    </w:p>
    <w:p w14:paraId="2C9D930B" w14:textId="77777777" w:rsidR="00EF3675" w:rsidRPr="001E1970" w:rsidRDefault="00EF3675" w:rsidP="00383BBF">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ما الآليات المقترحة لتعزيز فاعلية إدارة التغيير بما يرفع معدلات استيعاب الكوادر الفنية ويضمن نجاح مشاريع تحديث الأجهزة الطبية؟</w:t>
      </w:r>
    </w:p>
    <w:p w14:paraId="7FB019DA" w14:textId="16B4D824" w:rsidR="00383BBF" w:rsidRPr="001E1970" w:rsidRDefault="00383BBF" w:rsidP="00383BBF">
      <w:pPr>
        <w:spacing w:before="100" w:beforeAutospacing="1" w:after="100" w:afterAutospacing="1"/>
        <w:outlineLvl w:val="1"/>
        <w:rPr>
          <w:rFonts w:ascii="Sakkal Majalla" w:eastAsia="Times New Roman" w:hAnsi="Sakkal Majalla" w:cs="Sakkal Majalla"/>
          <w:b/>
          <w:bCs/>
          <w:color w:val="000000" w:themeColor="text1"/>
          <w:kern w:val="0"/>
          <w:sz w:val="36"/>
          <w:szCs w:val="36"/>
          <w:rtl/>
          <w:lang w:bidi="ar-JO"/>
          <w14:ligatures w14:val="none"/>
        </w:rPr>
      </w:pPr>
      <w:bookmarkStart w:id="15" w:name="_Toc169790500"/>
      <w:bookmarkStart w:id="16" w:name="_Toc213769061"/>
      <w:bookmarkStart w:id="17" w:name="_Hlk149435281"/>
      <w:r w:rsidRPr="001E1970">
        <w:rPr>
          <w:rFonts w:ascii="Sakkal Majalla" w:eastAsia="Times New Roman" w:hAnsi="Sakkal Majalla" w:cs="Sakkal Majalla"/>
          <w:b/>
          <w:bCs/>
          <w:color w:val="000000" w:themeColor="text1"/>
          <w:kern w:val="0"/>
          <w:sz w:val="36"/>
          <w:szCs w:val="36"/>
          <w:rtl/>
          <w:lang w:bidi="ar-JO"/>
          <w14:ligatures w14:val="none"/>
        </w:rPr>
        <w:br w:type="page"/>
      </w:r>
      <w:bookmarkStart w:id="18" w:name="_Toc223527757"/>
      <w:r w:rsidRPr="001E1970">
        <w:rPr>
          <w:rFonts w:ascii="Sakkal Majalla" w:eastAsia="Times New Roman" w:hAnsi="Sakkal Majalla" w:cs="Sakkal Majalla" w:hint="cs"/>
          <w:b/>
          <w:bCs/>
          <w:color w:val="000000" w:themeColor="text1"/>
          <w:kern w:val="0"/>
          <w:sz w:val="36"/>
          <w:szCs w:val="36"/>
          <w:rtl/>
          <w:lang w:bidi="ar-JO"/>
          <w14:ligatures w14:val="none"/>
        </w:rPr>
        <w:lastRenderedPageBreak/>
        <w:t xml:space="preserve">6.1 </w:t>
      </w:r>
      <w:r w:rsidRPr="001E1970">
        <w:rPr>
          <w:rFonts w:ascii="Sakkal Majalla" w:eastAsia="Times New Roman" w:hAnsi="Sakkal Majalla" w:cs="Sakkal Majalla"/>
          <w:b/>
          <w:bCs/>
          <w:color w:val="000000" w:themeColor="text1"/>
          <w:kern w:val="0"/>
          <w:sz w:val="36"/>
          <w:szCs w:val="36"/>
          <w:rtl/>
          <w:lang w:bidi="ar-JO"/>
          <w14:ligatures w14:val="none"/>
        </w:rPr>
        <w:t xml:space="preserve">    فروض الدراسة:</w:t>
      </w:r>
      <w:bookmarkEnd w:id="18"/>
    </w:p>
    <w:p w14:paraId="1C0709E4" w14:textId="77777777" w:rsidR="002A62F6" w:rsidRPr="001E1970" w:rsidRDefault="00430068" w:rsidP="00383BBF">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eastAsia="Times New Roman" w:hAnsi="Sakkal Majalla" w:cs="Sakkal Majalla"/>
          <w:color w:val="000000" w:themeColor="text1"/>
          <w:kern w:val="0"/>
          <w:sz w:val="28"/>
          <w:szCs w:val="28"/>
          <w:rtl/>
          <w:lang w:bidi="ar-JO"/>
          <w14:ligatures w14:val="none"/>
        </w:rPr>
        <w:t xml:space="preserve">الفرضية الرئيسة الأولى:  </w:t>
      </w:r>
      <w:r w:rsidR="002A62F6" w:rsidRPr="001E1970">
        <w:rPr>
          <w:rFonts w:ascii="Sakkal Majalla" w:hAnsi="Sakkal Majalla" w:cs="Sakkal Majalla"/>
          <w:color w:val="000000" w:themeColor="text1"/>
          <w:sz w:val="28"/>
          <w:szCs w:val="28"/>
          <w:rtl/>
        </w:rPr>
        <w:t>توجد علاقة ذات دلالة إحصائية عند مستوى</w:t>
      </w:r>
      <w:r w:rsidR="002A62F6" w:rsidRPr="001E1970">
        <w:rPr>
          <w:rFonts w:ascii="Sakkal Majalla" w:hAnsi="Sakkal Majalla" w:cs="Sakkal Majalla"/>
          <w:color w:val="000000" w:themeColor="text1"/>
          <w:sz w:val="28"/>
          <w:szCs w:val="28"/>
        </w:rPr>
        <w:t xml:space="preserve"> (</w:t>
      </w:r>
      <w:r w:rsidR="002A62F6" w:rsidRPr="001E1970">
        <w:rPr>
          <w:rFonts w:ascii="Cambria" w:hAnsi="Cambria" w:cs="Cambria"/>
          <w:color w:val="000000" w:themeColor="text1"/>
          <w:sz w:val="28"/>
          <w:szCs w:val="28"/>
        </w:rPr>
        <w:t>α</w:t>
      </w:r>
      <w:r w:rsidR="002A62F6" w:rsidRPr="001E1970">
        <w:rPr>
          <w:rFonts w:ascii="Sakkal Majalla" w:hAnsi="Sakkal Majalla" w:cs="Sakkal Majalla"/>
          <w:color w:val="000000" w:themeColor="text1"/>
          <w:sz w:val="28"/>
          <w:szCs w:val="28"/>
        </w:rPr>
        <w:t xml:space="preserve"> ≤ 0.05) </w:t>
      </w:r>
      <w:r w:rsidR="002A62F6" w:rsidRPr="001E1970">
        <w:rPr>
          <w:rFonts w:ascii="Sakkal Majalla" w:hAnsi="Sakkal Majalla" w:cs="Sakkal Majalla"/>
          <w:color w:val="000000" w:themeColor="text1"/>
          <w:sz w:val="28"/>
          <w:szCs w:val="28"/>
          <w:rtl/>
        </w:rPr>
        <w:t>بين إدارة التغيير بأبعادها (التغيير التنظيمي، التغيير التكنولوجي، التغيير البشري، التغيير الثقافي) ومعدلات استيعاب الكوادر الفنية لمشاريع تحديث الأجهزة الطبية في مستشفى حفر الباطن المركزي</w:t>
      </w:r>
      <w:r w:rsidR="002A62F6" w:rsidRPr="001E1970">
        <w:rPr>
          <w:rFonts w:ascii="Sakkal Majalla" w:hAnsi="Sakkal Majalla" w:cs="Sakkal Majalla"/>
          <w:color w:val="000000" w:themeColor="text1"/>
          <w:sz w:val="28"/>
          <w:szCs w:val="28"/>
        </w:rPr>
        <w:t>.</w:t>
      </w:r>
    </w:p>
    <w:p w14:paraId="551337D5" w14:textId="77777777" w:rsidR="002A62F6" w:rsidRPr="001E1970" w:rsidRDefault="002A62F6" w:rsidP="00383BBF">
      <w:pPr>
        <w:spacing w:before="100" w:beforeAutospacing="1" w:after="100" w:afterAutospacing="1" w:line="360" w:lineRule="auto"/>
        <w:jc w:val="both"/>
        <w:rPr>
          <w:rFonts w:ascii="Sakkal Majalla" w:hAnsi="Sakkal Majalla" w:cs="Sakkal Majalla"/>
          <w:b/>
          <w:bCs/>
          <w:color w:val="000000" w:themeColor="text1"/>
          <w:sz w:val="32"/>
          <w:szCs w:val="32"/>
        </w:rPr>
      </w:pPr>
      <w:r w:rsidRPr="001E1970">
        <w:rPr>
          <w:rFonts w:ascii="Sakkal Majalla" w:hAnsi="Sakkal Majalla" w:cs="Sakkal Majalla"/>
          <w:b/>
          <w:bCs/>
          <w:color w:val="000000" w:themeColor="text1"/>
          <w:sz w:val="32"/>
          <w:szCs w:val="32"/>
          <w:rtl/>
        </w:rPr>
        <w:t>الفروض الفرعية</w:t>
      </w:r>
    </w:p>
    <w:p w14:paraId="5D51D592" w14:textId="77777777" w:rsidR="002A62F6" w:rsidRPr="001E1970" w:rsidRDefault="002A62F6" w:rsidP="00383BBF">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توجد علاقة ذات دلالة إحصائية عند مستوى</w:t>
      </w:r>
      <w:r w:rsidRPr="001E1970">
        <w:rPr>
          <w:rFonts w:ascii="Sakkal Majalla" w:hAnsi="Sakkal Majalla" w:cs="Sakkal Majalla"/>
          <w:color w:val="000000" w:themeColor="text1"/>
          <w:sz w:val="28"/>
          <w:szCs w:val="28"/>
        </w:rPr>
        <w:t xml:space="preserve"> (</w:t>
      </w:r>
      <w:r w:rsidRPr="001E1970">
        <w:rPr>
          <w:rFonts w:ascii="Cambria" w:hAnsi="Cambria" w:cs="Cambria"/>
          <w:color w:val="000000" w:themeColor="text1"/>
          <w:sz w:val="28"/>
          <w:szCs w:val="28"/>
        </w:rPr>
        <w:t>α</w:t>
      </w:r>
      <w:r w:rsidRPr="001E1970">
        <w:rPr>
          <w:rFonts w:ascii="Sakkal Majalla" w:hAnsi="Sakkal Majalla" w:cs="Sakkal Majalla"/>
          <w:color w:val="000000" w:themeColor="text1"/>
          <w:sz w:val="28"/>
          <w:szCs w:val="28"/>
        </w:rPr>
        <w:t xml:space="preserve"> ≤ 0.05) </w:t>
      </w:r>
      <w:r w:rsidRPr="001E1970">
        <w:rPr>
          <w:rFonts w:ascii="Sakkal Majalla" w:hAnsi="Sakkal Majalla" w:cs="Sakkal Majalla"/>
          <w:color w:val="000000" w:themeColor="text1"/>
          <w:sz w:val="28"/>
          <w:szCs w:val="28"/>
          <w:rtl/>
        </w:rPr>
        <w:t>بين التغيير التنظيمي ومعدلات استيعاب الكوادر الفنية لمشاريع تحديث الأجهزة الطبية في مستشفى حفر الباطن المركزي</w:t>
      </w:r>
      <w:r w:rsidRPr="001E1970">
        <w:rPr>
          <w:rFonts w:ascii="Sakkal Majalla" w:hAnsi="Sakkal Majalla" w:cs="Sakkal Majalla"/>
          <w:color w:val="000000" w:themeColor="text1"/>
          <w:sz w:val="28"/>
          <w:szCs w:val="28"/>
        </w:rPr>
        <w:t>.</w:t>
      </w:r>
    </w:p>
    <w:p w14:paraId="277B3129" w14:textId="77777777" w:rsidR="002A62F6" w:rsidRPr="001E1970" w:rsidRDefault="002A62F6" w:rsidP="00383BBF">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توجد علاقة ذات دلالة إحصائية عند مستوى</w:t>
      </w:r>
      <w:r w:rsidRPr="001E1970">
        <w:rPr>
          <w:rFonts w:ascii="Sakkal Majalla" w:hAnsi="Sakkal Majalla" w:cs="Sakkal Majalla"/>
          <w:color w:val="000000" w:themeColor="text1"/>
          <w:sz w:val="28"/>
          <w:szCs w:val="28"/>
        </w:rPr>
        <w:t xml:space="preserve"> (</w:t>
      </w:r>
      <w:r w:rsidRPr="001E1970">
        <w:rPr>
          <w:rFonts w:ascii="Cambria" w:hAnsi="Cambria" w:cs="Cambria"/>
          <w:color w:val="000000" w:themeColor="text1"/>
          <w:sz w:val="28"/>
          <w:szCs w:val="28"/>
        </w:rPr>
        <w:t>α</w:t>
      </w:r>
      <w:r w:rsidRPr="001E1970">
        <w:rPr>
          <w:rFonts w:ascii="Sakkal Majalla" w:hAnsi="Sakkal Majalla" w:cs="Sakkal Majalla"/>
          <w:color w:val="000000" w:themeColor="text1"/>
          <w:sz w:val="28"/>
          <w:szCs w:val="28"/>
        </w:rPr>
        <w:t xml:space="preserve"> ≤ 0.05) </w:t>
      </w:r>
      <w:r w:rsidRPr="001E1970">
        <w:rPr>
          <w:rFonts w:ascii="Sakkal Majalla" w:hAnsi="Sakkal Majalla" w:cs="Sakkal Majalla"/>
          <w:color w:val="000000" w:themeColor="text1"/>
          <w:sz w:val="28"/>
          <w:szCs w:val="28"/>
          <w:rtl/>
        </w:rPr>
        <w:t>بين التغيير التكنولوجي ومعدلات استيعاب الكوادر الفنية لمشاريع تحديث الأجهزة الطبية في مستشفى حفر الباطن المركزي</w:t>
      </w:r>
      <w:r w:rsidRPr="001E1970">
        <w:rPr>
          <w:rFonts w:ascii="Sakkal Majalla" w:hAnsi="Sakkal Majalla" w:cs="Sakkal Majalla"/>
          <w:color w:val="000000" w:themeColor="text1"/>
          <w:sz w:val="28"/>
          <w:szCs w:val="28"/>
        </w:rPr>
        <w:t>.</w:t>
      </w:r>
    </w:p>
    <w:p w14:paraId="3C19B3AF" w14:textId="77777777" w:rsidR="002A62F6" w:rsidRPr="001E1970" w:rsidRDefault="002A62F6" w:rsidP="00383BBF">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توجد علاقة ذات دلالة إحصائية عند مستوى</w:t>
      </w:r>
      <w:r w:rsidRPr="001E1970">
        <w:rPr>
          <w:rFonts w:ascii="Sakkal Majalla" w:hAnsi="Sakkal Majalla" w:cs="Sakkal Majalla"/>
          <w:color w:val="000000" w:themeColor="text1"/>
          <w:sz w:val="28"/>
          <w:szCs w:val="28"/>
        </w:rPr>
        <w:t xml:space="preserve"> (</w:t>
      </w:r>
      <w:r w:rsidRPr="001E1970">
        <w:rPr>
          <w:rFonts w:ascii="Cambria" w:hAnsi="Cambria" w:cs="Cambria"/>
          <w:color w:val="000000" w:themeColor="text1"/>
          <w:sz w:val="28"/>
          <w:szCs w:val="28"/>
        </w:rPr>
        <w:t>α</w:t>
      </w:r>
      <w:r w:rsidRPr="001E1970">
        <w:rPr>
          <w:rFonts w:ascii="Sakkal Majalla" w:hAnsi="Sakkal Majalla" w:cs="Sakkal Majalla"/>
          <w:color w:val="000000" w:themeColor="text1"/>
          <w:sz w:val="28"/>
          <w:szCs w:val="28"/>
        </w:rPr>
        <w:t xml:space="preserve"> ≤ 0.05) </w:t>
      </w:r>
      <w:r w:rsidRPr="001E1970">
        <w:rPr>
          <w:rFonts w:ascii="Sakkal Majalla" w:hAnsi="Sakkal Majalla" w:cs="Sakkal Majalla"/>
          <w:color w:val="000000" w:themeColor="text1"/>
          <w:sz w:val="28"/>
          <w:szCs w:val="28"/>
          <w:rtl/>
        </w:rPr>
        <w:t>بين التغيير البشري (التدريب، التحفيز، تنمية المهارات) ومعدلات استيعاب الكوادر الفنية لمشاريع تحديث الأجهزة الطبية في مستشفى حفر الباطن المركزي</w:t>
      </w:r>
      <w:r w:rsidRPr="001E1970">
        <w:rPr>
          <w:rFonts w:ascii="Sakkal Majalla" w:hAnsi="Sakkal Majalla" w:cs="Sakkal Majalla"/>
          <w:color w:val="000000" w:themeColor="text1"/>
          <w:sz w:val="28"/>
          <w:szCs w:val="28"/>
        </w:rPr>
        <w:t>.</w:t>
      </w:r>
    </w:p>
    <w:p w14:paraId="410F067C" w14:textId="77777777" w:rsidR="002A62F6" w:rsidRPr="001E1970" w:rsidRDefault="002A62F6" w:rsidP="00383BBF">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توجد علاقة ذات دلالة إحصائية عند مستوى</w:t>
      </w:r>
      <w:r w:rsidRPr="001E1970">
        <w:rPr>
          <w:rFonts w:ascii="Sakkal Majalla" w:hAnsi="Sakkal Majalla" w:cs="Sakkal Majalla"/>
          <w:color w:val="000000" w:themeColor="text1"/>
          <w:sz w:val="28"/>
          <w:szCs w:val="28"/>
        </w:rPr>
        <w:t xml:space="preserve"> (</w:t>
      </w:r>
      <w:r w:rsidRPr="001E1970">
        <w:rPr>
          <w:rFonts w:ascii="Cambria" w:hAnsi="Cambria" w:cs="Cambria"/>
          <w:color w:val="000000" w:themeColor="text1"/>
          <w:sz w:val="28"/>
          <w:szCs w:val="28"/>
        </w:rPr>
        <w:t>α</w:t>
      </w:r>
      <w:r w:rsidRPr="001E1970">
        <w:rPr>
          <w:rFonts w:ascii="Sakkal Majalla" w:hAnsi="Sakkal Majalla" w:cs="Sakkal Majalla"/>
          <w:color w:val="000000" w:themeColor="text1"/>
          <w:sz w:val="28"/>
          <w:szCs w:val="28"/>
        </w:rPr>
        <w:t xml:space="preserve"> ≤ 0.05) </w:t>
      </w:r>
      <w:r w:rsidRPr="001E1970">
        <w:rPr>
          <w:rFonts w:ascii="Sakkal Majalla" w:hAnsi="Sakkal Majalla" w:cs="Sakkal Majalla"/>
          <w:color w:val="000000" w:themeColor="text1"/>
          <w:sz w:val="28"/>
          <w:szCs w:val="28"/>
          <w:rtl/>
        </w:rPr>
        <w:t>بين التغيير الثقافي ومعدلات استيعاب الكوادر الفنية لمشاريع تحديث الأجهزة الطبية في مستشفى حفر الباطن المركزي</w:t>
      </w:r>
      <w:r w:rsidRPr="001E1970">
        <w:rPr>
          <w:rFonts w:ascii="Sakkal Majalla" w:hAnsi="Sakkal Majalla" w:cs="Sakkal Majalla"/>
          <w:color w:val="000000" w:themeColor="text1"/>
          <w:sz w:val="28"/>
          <w:szCs w:val="28"/>
        </w:rPr>
        <w:t>.</w:t>
      </w:r>
    </w:p>
    <w:p w14:paraId="508409C8" w14:textId="20EBA933" w:rsidR="00383BBF" w:rsidRPr="001E1970" w:rsidRDefault="00383BBF" w:rsidP="00383BBF">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19" w:name="_Toc170243312"/>
      <w:bookmarkStart w:id="20" w:name="_Hlk175630202"/>
      <w:bookmarkStart w:id="21" w:name="_Toc213769062"/>
      <w:bookmarkStart w:id="22" w:name="_Toc223527758"/>
      <w:bookmarkEnd w:id="15"/>
      <w:bookmarkEnd w:id="16"/>
      <w:bookmarkEnd w:id="17"/>
      <w:r w:rsidRPr="001E1970">
        <w:rPr>
          <w:rFonts w:ascii="Sakkal Majalla" w:eastAsia="Calibri" w:hAnsi="Sakkal Majalla" w:cs="Sakkal Majalla"/>
          <w:b/>
          <w:bCs/>
          <w:color w:val="000000" w:themeColor="text1"/>
          <w:sz w:val="36"/>
          <w:szCs w:val="36"/>
          <w:rtl/>
        </w:rPr>
        <w:t>7.1 الدراسات السابقة:</w:t>
      </w:r>
      <w:bookmarkEnd w:id="22"/>
    </w:p>
    <w:p w14:paraId="4AFB20A2" w14:textId="77777777" w:rsidR="00383BBF" w:rsidRPr="001E1970" w:rsidRDefault="00383BBF" w:rsidP="00383BBF">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3" w:name="_Hlk175630213"/>
      <w:bookmarkStart w:id="24" w:name="_Hlk175630363"/>
      <w:bookmarkStart w:id="25" w:name="_Hlk175630396"/>
      <w:r w:rsidRPr="001E1970">
        <w:rPr>
          <w:rFonts w:ascii="Sakkal Majalla" w:eastAsia="Calibri" w:hAnsi="Sakkal Majalla" w:cs="Sakkal Majalla"/>
          <w:b/>
          <w:bCs/>
          <w:color w:val="000000" w:themeColor="text1"/>
          <w:sz w:val="28"/>
          <w:szCs w:val="28"/>
          <w:rtl/>
        </w:rPr>
        <w:t xml:space="preserve">دراسة </w:t>
      </w:r>
      <w:bookmarkEnd w:id="25"/>
      <w:r w:rsidRPr="001E1970">
        <w:rPr>
          <w:rFonts w:ascii="Sakkal Majalla" w:eastAsia="Calibri" w:hAnsi="Sakkal Majalla" w:cs="Sakkal Majalla"/>
          <w:b/>
          <w:bCs/>
          <w:color w:val="000000" w:themeColor="text1"/>
          <w:sz w:val="28"/>
          <w:szCs w:val="28"/>
        </w:rPr>
        <w:t>(Mansour et al., 2024)</w:t>
      </w:r>
    </w:p>
    <w:p w14:paraId="1F1FBCF2" w14:textId="77777777" w:rsidR="00383BBF" w:rsidRPr="001E1970" w:rsidRDefault="00383BBF" w:rsidP="00383BB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 xml:space="preserve">هدفت الدراسة إلى تحليل الأثر المزدوج لاستخدام الأجهزة الطبية على أداء وكفاءة الكوادر الصحية ورفاههم الوظيفي في بيئات الرعاية الصحية الحديثة، من خلال استعراض منهجي للأدبيات العلمية الحديثة. كما سعت الدراسة إلى تقييم إسهام الأجهزة الطبية في تحسين الكفاءة والدقة وجودة </w:t>
      </w:r>
      <w:r w:rsidRPr="001E1970">
        <w:rPr>
          <w:rFonts w:ascii="Sakkal Majalla" w:eastAsia="Calibri" w:hAnsi="Sakkal Majalla" w:cs="Sakkal Majalla"/>
          <w:color w:val="000000" w:themeColor="text1"/>
          <w:sz w:val="28"/>
          <w:szCs w:val="28"/>
          <w:rtl/>
        </w:rPr>
        <w:lastRenderedPageBreak/>
        <w:t>رعاية المرضى، مقابل ما تفرضه من تحديات مهنية وتنظيمية تتمثل في زيادة أعباء العمل، والضغوط النفسية، والمشكلات الإرغونومية</w:t>
      </w:r>
      <w:r w:rsidRPr="001E1970">
        <w:rPr>
          <w:rFonts w:ascii="Sakkal Majalla" w:eastAsia="Calibri" w:hAnsi="Sakkal Majalla" w:cs="Sakkal Majalla"/>
          <w:color w:val="000000" w:themeColor="text1"/>
          <w:sz w:val="28"/>
          <w:szCs w:val="28"/>
        </w:rPr>
        <w:t>.</w:t>
      </w:r>
    </w:p>
    <w:p w14:paraId="1FA05E71" w14:textId="77777777" w:rsidR="00383BBF" w:rsidRPr="001E1970" w:rsidRDefault="00383BBF" w:rsidP="00383BB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 xml:space="preserve">واعتمدت الدراسة منهج المراجعة العلمية التحليلية للأدبيات </w:t>
      </w:r>
      <w:r w:rsidRPr="001E1970">
        <w:rPr>
          <w:rFonts w:ascii="Sakkal Majalla" w:eastAsia="Calibri" w:hAnsi="Sakkal Majalla" w:cs="Sakkal Majalla"/>
          <w:color w:val="000000" w:themeColor="text1"/>
          <w:sz w:val="28"/>
          <w:szCs w:val="28"/>
        </w:rPr>
        <w:t>(Literature Review)</w:t>
      </w:r>
      <w:r w:rsidRPr="001E1970">
        <w:rPr>
          <w:rFonts w:ascii="Sakkal Majalla" w:eastAsia="Calibri" w:hAnsi="Sakkal Majalla" w:cs="Sakkal Majalla"/>
          <w:color w:val="000000" w:themeColor="text1"/>
          <w:sz w:val="28"/>
          <w:szCs w:val="28"/>
          <w:rtl/>
        </w:rPr>
        <w:t>، حيث تم تحليل ودراسة عدد من البحوث والدراسات الحديثة ذات الصلة بتأثير الأجهزة الطبية على الممارسات السريرية وأداء العاملين في القطاع الصحي</w:t>
      </w:r>
      <w:r w:rsidRPr="001E1970">
        <w:rPr>
          <w:rFonts w:ascii="Sakkal Majalla" w:eastAsia="Calibri" w:hAnsi="Sakkal Majalla" w:cs="Sakkal Majalla"/>
          <w:color w:val="000000" w:themeColor="text1"/>
          <w:sz w:val="28"/>
          <w:szCs w:val="28"/>
        </w:rPr>
        <w:t>.</w:t>
      </w:r>
    </w:p>
    <w:p w14:paraId="363C865B" w14:textId="39519CEB" w:rsidR="00383BBF" w:rsidRPr="001E1970" w:rsidRDefault="00383BBF" w:rsidP="00383BBF">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وتوصلت نتائج الدراسة إلى أن الأجهزة الطبية أسهمت بشكل ملحوظ في تحسين كفاءة الأداء السريري، ودقة الإجراءات الطبية، وجودة رعاية المرضى، إلا أن ذلك ترافق مع تحديات تتعلق بإجهاد العاملين، وارتفاع متطلبات التشغيل، ومخاطر التصميم غير الملائم لبعض الأجهزة</w:t>
      </w:r>
      <w:r w:rsidRPr="001E1970">
        <w:rPr>
          <w:rFonts w:ascii="Sakkal Majalla" w:eastAsia="Calibri" w:hAnsi="Sakkal Majalla" w:cs="Sakkal Majalla"/>
          <w:color w:val="000000" w:themeColor="text1"/>
          <w:sz w:val="28"/>
          <w:szCs w:val="28"/>
        </w:rPr>
        <w:t xml:space="preserve">. </w:t>
      </w:r>
      <w:r w:rsidRPr="001E1970">
        <w:rPr>
          <w:rFonts w:ascii="Sakkal Majalla" w:eastAsia="Calibri" w:hAnsi="Sakkal Majalla" w:cs="Sakkal Majalla"/>
          <w:color w:val="000000" w:themeColor="text1"/>
          <w:sz w:val="28"/>
          <w:szCs w:val="28"/>
          <w:rtl/>
        </w:rPr>
        <w:t>كما أظهرت النتائج أن ضعف قابلية الاستخدام ونقص التدريب يعدان من أبرز العوامل المؤثرة سلبًا على تجربة الكوادر الصحية</w:t>
      </w:r>
      <w:r w:rsidRPr="001E1970">
        <w:rPr>
          <w:rFonts w:ascii="Sakkal Majalla" w:eastAsia="Calibri" w:hAnsi="Sakkal Majalla" w:cs="Sakkal Majalla"/>
          <w:color w:val="000000" w:themeColor="text1"/>
          <w:sz w:val="28"/>
          <w:szCs w:val="28"/>
        </w:rPr>
        <w:t>.</w:t>
      </w:r>
    </w:p>
    <w:p w14:paraId="76EA1E06" w14:textId="77777777" w:rsidR="00383BBF" w:rsidRPr="001E1970" w:rsidRDefault="00383BBF"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r w:rsidRPr="001E1970">
        <w:rPr>
          <w:rFonts w:ascii="Sakkal Majalla" w:eastAsia="Calibri" w:hAnsi="Sakkal Majalla" w:cs="Sakkal Majalla"/>
          <w:b/>
          <w:bCs/>
          <w:color w:val="000000" w:themeColor="text1"/>
          <w:sz w:val="28"/>
          <w:szCs w:val="28"/>
          <w:rtl/>
        </w:rPr>
        <w:t xml:space="preserve">دراسة </w:t>
      </w:r>
      <w:r w:rsidRPr="001E1970">
        <w:rPr>
          <w:rFonts w:ascii="Sakkal Majalla" w:eastAsia="Calibri" w:hAnsi="Sakkal Majalla" w:cs="Sakkal Majalla"/>
          <w:b/>
          <w:bCs/>
          <w:color w:val="000000" w:themeColor="text1"/>
          <w:sz w:val="28"/>
          <w:szCs w:val="28"/>
        </w:rPr>
        <w:t>(CHEN, 2024)</w:t>
      </w:r>
    </w:p>
    <w:bookmarkEnd w:id="24"/>
    <w:p w14:paraId="0E8ED693"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هدفت الدراسة إلى استكشاف استراتيجيات الإدارة الفعّالة للمعدات الطبية في المستشفيات الشاملة الكبرى ذات الطابع البحثي، من خلال التركيز على دور الإدارة العلمية للمعدات الطبية في دعم التحديث المؤسسي وتحسين الأداء الطبي والبحثي. كما سعت إلى إبراز أهمية المعدات الطبية بوصفها ركيزة أساسية لعمليات التطوير والتحديث في المستشفيات الحديثة.</w:t>
      </w:r>
    </w:p>
    <w:p w14:paraId="18CA8BC3"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واستخدمت الدراسة المنهج الوصفي التحليلي القائم على الممارسة التطبيقية، حيث اعتمدت على تحليل الخبرة العملية في إدارة المعدات الطبية داخل المستشفى، مع تناول محاور الإدارة بصورة تكاملية.</w:t>
      </w:r>
    </w:p>
    <w:p w14:paraId="2D6080D2"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وتناولت الدراسة خمسة أبعاد رئيسة للإدارة العلمية للمعدات الطبية، تمثلت في: الشراء الرشيد للمعدات الطبية، وحسن الاستغلال والتشغيل، والصيانة الدورية والوقائية، وتدريب وتأهيل الكوادر البشرية، وتقييم الأداء.</w:t>
      </w:r>
    </w:p>
    <w:p w14:paraId="6A3ACEFB"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lastRenderedPageBreak/>
        <w:t>وتوصلت نتائج الدراسة إلى أن التكامل بين هذه الأبعاد الخمسة يسهم بشكل مباشر في تحسين كفاءة تشغيل المعدات الطبية، وضمان استمراريتها، ورفع جودة الخدمات الصحية والبحثية، كما يدعم تحقيق الاستخدام الأمثل للموارد ويعزز القدرة التنافسية للمستشفيات الشاملة الحديثة</w:t>
      </w:r>
      <w:r w:rsidRPr="001E1970">
        <w:rPr>
          <w:rFonts w:ascii="Sakkal Majalla" w:eastAsia="Calibri" w:hAnsi="Sakkal Majalla" w:cs="Sakkal Majalla"/>
          <w:color w:val="000000" w:themeColor="text1"/>
          <w:sz w:val="28"/>
          <w:szCs w:val="28"/>
        </w:rPr>
        <w:t>.</w:t>
      </w:r>
    </w:p>
    <w:p w14:paraId="6D235317" w14:textId="77777777" w:rsidR="00383BBF" w:rsidRPr="001E1970" w:rsidRDefault="00383BBF"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6" w:name="_Hlk175630384"/>
      <w:r w:rsidRPr="001E1970">
        <w:rPr>
          <w:rFonts w:ascii="Sakkal Majalla" w:eastAsia="Calibri" w:hAnsi="Sakkal Majalla" w:cs="Sakkal Majalla"/>
          <w:b/>
          <w:bCs/>
          <w:color w:val="000000" w:themeColor="text1"/>
          <w:sz w:val="28"/>
          <w:szCs w:val="28"/>
          <w:rtl/>
        </w:rPr>
        <w:t xml:space="preserve">دراسة </w:t>
      </w:r>
      <w:bookmarkEnd w:id="26"/>
      <w:r w:rsidRPr="001E1970">
        <w:rPr>
          <w:rFonts w:ascii="Sakkal Majalla" w:eastAsia="Calibri" w:hAnsi="Sakkal Majalla" w:cs="Sakkal Majalla"/>
          <w:b/>
          <w:bCs/>
          <w:color w:val="000000" w:themeColor="text1"/>
          <w:sz w:val="28"/>
          <w:szCs w:val="28"/>
        </w:rPr>
        <w:t>(Alotaibi et al., 2023)</w:t>
      </w:r>
    </w:p>
    <w:p w14:paraId="102AF5CF" w14:textId="3FFBB431"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هدفت الدراسة إلى التعرّف على أثر إدارة التغيير بأبعادها (الثقافي، والتقني، والهيكلي، والبشري) في تعزيز كفاءة الأداء المؤسسي في مستشفى الأمير محمد بن عبدالعزيز بمدينة الرياض. واعتمدت الدراسة المنهج الوصفي التحليلي لملاءمته لطبيعة المشكلة البحثية وأهداف الدراسة.</w:t>
      </w:r>
    </w:p>
    <w:p w14:paraId="5B24AD16"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وتكوّنت عينة الدراسة من (150) مفردة من العاملين في المستشفى، شملت الفئات الإدارية، والأطباء، والتمريض، والفنيين. واستخدمت الدراسة الاستبانة أداةً رئيسة لجمع البيانات وتحليلها.</w:t>
      </w:r>
    </w:p>
    <w:p w14:paraId="2911093F"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وتوصلت نتائج الدراسة إلى وجود علاقة ارتباط إيجابية ذات دلالة إحصائية بين استراتيجيات إدارة التغيير الفعّالة بأبعادها المختلفة وبين تحسين كفاءة الأداء داخل المنظمة، بما يسهم في رفع مستوى الأداء والإنتاجية في المستشفى. كما أكدت النتائج أن تبنّي ممارسات إدارة التغيير يعد عاملًا محوريًا في مواجهة بيئة العمل الديناميكية والحفاظ على الفاعلية التشغيلية.</w:t>
      </w:r>
    </w:p>
    <w:p w14:paraId="13F346A7" w14:textId="4A7661EA"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وأوصت الدراسة بضرورة تطبيق إدارة تغيير شاملة ومخططة بعناية من خلال إعداد خطط استراتيجية طويلة المدى مدعومة بأهداف قصيرة المدى، وضمان مواءمة التغييرات الهيكلية مع متطلبات العمل الداخلي بالمستشفى في ضوء تحليل دقيق للبيئتين الداخلية والخارجية، إضافة إلى تعزيز أتمتة الأنظمة وتطوير البنية التكنولوجية في القطاع الحكومي الصحي بما يسهم في تحسين جودة الخدمات الصحية المقدمة</w:t>
      </w:r>
      <w:r w:rsidRPr="001E1970">
        <w:rPr>
          <w:rFonts w:ascii="Sakkal Majalla" w:eastAsia="Calibri" w:hAnsi="Sakkal Majalla" w:cs="Sakkal Majalla"/>
          <w:color w:val="000000" w:themeColor="text1"/>
          <w:sz w:val="28"/>
          <w:szCs w:val="28"/>
        </w:rPr>
        <w:t>.</w:t>
      </w:r>
    </w:p>
    <w:p w14:paraId="36C5CDA6" w14:textId="6D915495" w:rsidR="00383BBF" w:rsidRPr="001E1970" w:rsidRDefault="00C8194B" w:rsidP="00C8194B">
      <w:pPr>
        <w:pStyle w:val="ListParagraph"/>
        <w:numPr>
          <w:ilvl w:val="0"/>
          <w:numId w:val="18"/>
        </w:numPr>
        <w:ind w:left="423"/>
        <w:rPr>
          <w:rFonts w:ascii="Sakkal Majalla" w:eastAsia="Calibri" w:hAnsi="Sakkal Majalla" w:cs="Sakkal Majalla"/>
          <w:b/>
          <w:bCs/>
          <w:color w:val="000000" w:themeColor="text1"/>
          <w:sz w:val="28"/>
          <w:szCs w:val="28"/>
        </w:rPr>
      </w:pPr>
      <w:r w:rsidRPr="001E1970">
        <w:rPr>
          <w:rFonts w:ascii="Sakkal Majalla" w:eastAsia="Calibri" w:hAnsi="Sakkal Majalla" w:cs="Sakkal Majalla"/>
          <w:b/>
          <w:bCs/>
          <w:color w:val="000000" w:themeColor="text1"/>
          <w:sz w:val="28"/>
          <w:szCs w:val="28"/>
          <w:rtl/>
        </w:rPr>
        <w:br w:type="page"/>
      </w:r>
      <w:r w:rsidR="00383BBF" w:rsidRPr="001E1970">
        <w:rPr>
          <w:rFonts w:ascii="Sakkal Majalla" w:eastAsia="Calibri" w:hAnsi="Sakkal Majalla" w:cs="Sakkal Majalla"/>
          <w:b/>
          <w:bCs/>
          <w:color w:val="000000" w:themeColor="text1"/>
          <w:sz w:val="28"/>
          <w:szCs w:val="28"/>
          <w:rtl/>
        </w:rPr>
        <w:lastRenderedPageBreak/>
        <w:t xml:space="preserve">دراسة </w:t>
      </w:r>
      <w:bookmarkEnd w:id="23"/>
      <w:r w:rsidR="00383BBF" w:rsidRPr="001E1970">
        <w:rPr>
          <w:rFonts w:ascii="Sakkal Majalla" w:eastAsia="Calibri" w:hAnsi="Sakkal Majalla" w:cs="Sakkal Majalla"/>
          <w:b/>
          <w:bCs/>
          <w:color w:val="000000" w:themeColor="text1"/>
          <w:sz w:val="28"/>
          <w:szCs w:val="28"/>
        </w:rPr>
        <w:t>(Alnaim et al., 2024)</w:t>
      </w:r>
    </w:p>
    <w:p w14:paraId="5D6F3CA9"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هدفت الدراسة إلى تقييم فاعلية منهجيات إدارة التغيير بأبعادها (التقنية، والتنظيمية، والبشرية) في تحسين تبنّي العاملين لأنظمة الرعاية الصحية الإلكترونية في المملكة العربية السعودية</w:t>
      </w:r>
      <w:r w:rsidRPr="001E1970">
        <w:rPr>
          <w:rFonts w:ascii="Sakkal Majalla" w:eastAsia="Calibri" w:hAnsi="Sakkal Majalla" w:cs="Sakkal Majalla"/>
          <w:color w:val="000000" w:themeColor="text1"/>
          <w:sz w:val="28"/>
          <w:szCs w:val="28"/>
        </w:rPr>
        <w:t xml:space="preserve">. </w:t>
      </w:r>
      <w:r w:rsidRPr="001E1970">
        <w:rPr>
          <w:rFonts w:ascii="Sakkal Majalla" w:eastAsia="Calibri" w:hAnsi="Sakkal Majalla" w:cs="Sakkal Majalla"/>
          <w:color w:val="000000" w:themeColor="text1"/>
          <w:sz w:val="28"/>
          <w:szCs w:val="28"/>
          <w:rtl/>
        </w:rPr>
        <w:t>واستخدمت الدراسة المنهج المختلط (الكمي والكيفي)، من خلال توظيف الاستبانات، والمقابلات، ومجموعات النقاش البؤرية، وتحليل الوثائق، بما يحقق شمولية في تشخيص واقع تطبيق الأنظمة الإلكترونية الصحية. وتكوّنت عينة الدراسة من عدد من العاملين والمهنيين في القطاع الصحي بالمملكة ممن يتعاملون مباشرة مع أنظمة الرعاية الصحية الإلكترونية</w:t>
      </w:r>
      <w:r w:rsidRPr="001E1970">
        <w:rPr>
          <w:rFonts w:ascii="Sakkal Majalla" w:eastAsia="Calibri" w:hAnsi="Sakkal Majalla" w:cs="Sakkal Majalla"/>
          <w:color w:val="000000" w:themeColor="text1"/>
          <w:sz w:val="28"/>
          <w:szCs w:val="28"/>
        </w:rPr>
        <w:t>.</w:t>
      </w:r>
    </w:p>
    <w:p w14:paraId="0F770AB2"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وتوصلت نتائج الدراسة إلى وجود اتجاهات إيجابية لدى العاملين نحو تبنّي أنظمة الرعاية الصحية الإلكترونية، مع بروز أثر واضح لمنهجيات إدارة التغيير في تعزيز القبول الوظيفي وتقليل مقاومة التغيير، حيث بلغت نسبة الفاعلية الكلية (73.10%). كما كشفت النتائج أن أبرز معوقات التطبيق تمثلت في التحديات التقنية، والمعوقات التنظيمية، والعوامل البشرية، وأن أكثر استراتيجيات إدارة التغيير فاعلية شملت التقييم الشامل قبل التطبيق، والتواصل المفتوح، ووضوح مبررات التغيير، ومشاركة العاملين، والتدريب المستمر والدعم الفني</w:t>
      </w:r>
      <w:r w:rsidRPr="001E1970">
        <w:rPr>
          <w:rFonts w:ascii="Sakkal Majalla" w:eastAsia="Calibri" w:hAnsi="Sakkal Majalla" w:cs="Sakkal Majalla"/>
          <w:color w:val="000000" w:themeColor="text1"/>
          <w:sz w:val="28"/>
          <w:szCs w:val="28"/>
        </w:rPr>
        <w:t>.</w:t>
      </w:r>
    </w:p>
    <w:p w14:paraId="0314246B" w14:textId="4E19E982"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وأوصت الدراسة بضرورة تبني منهجيات إدارة تغيير متكاملة عند تطبيق أنظمة الرعاية الصحية الإلكترونية، مع التركيز على تعزيز التواصل المؤسسي، وتكثيف برامج التدريب وبناء القدرات، وضمان الدعم المستمر للعاملين، بما يسهم في تحقيق التطبيق الفعّال والمستدام لتلك الأنظمة وتحسين جودة الخدمات الصحية</w:t>
      </w:r>
      <w:r w:rsidRPr="001E1970">
        <w:rPr>
          <w:rFonts w:ascii="Sakkal Majalla" w:eastAsia="Calibri" w:hAnsi="Sakkal Majalla" w:cs="Sakkal Majalla"/>
          <w:color w:val="000000" w:themeColor="text1"/>
          <w:sz w:val="28"/>
          <w:szCs w:val="28"/>
        </w:rPr>
        <w:t>.</w:t>
      </w:r>
    </w:p>
    <w:p w14:paraId="03701E95" w14:textId="77777777" w:rsidR="00EF3675" w:rsidRPr="001E1970" w:rsidRDefault="00430068"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E1970">
        <w:rPr>
          <w:rFonts w:ascii="Sakkal Majalla" w:eastAsia="Calibri" w:hAnsi="Sakkal Majalla" w:cs="Sakkal Majalla"/>
          <w:b/>
          <w:bCs/>
          <w:color w:val="000000" w:themeColor="text1"/>
          <w:sz w:val="28"/>
          <w:szCs w:val="28"/>
          <w:rtl/>
        </w:rPr>
        <w:t xml:space="preserve">دراسة </w:t>
      </w:r>
      <w:bookmarkEnd w:id="20"/>
      <w:r w:rsidR="00EF3675" w:rsidRPr="001E1970">
        <w:rPr>
          <w:rFonts w:ascii="Sakkal Majalla" w:eastAsia="Calibri" w:hAnsi="Sakkal Majalla" w:cs="Sakkal Majalla"/>
          <w:b/>
          <w:bCs/>
          <w:color w:val="000000" w:themeColor="text1"/>
          <w:sz w:val="28"/>
          <w:szCs w:val="28"/>
        </w:rPr>
        <w:t>(Almutair et al., 2023)</w:t>
      </w:r>
      <w:r w:rsidR="00EF3675" w:rsidRPr="001E1970">
        <w:rPr>
          <w:rFonts w:ascii="Sakkal Majalla" w:eastAsia="Calibri" w:hAnsi="Sakkal Majalla" w:cs="Sakkal Majalla"/>
          <w:b/>
          <w:bCs/>
          <w:color w:val="000000" w:themeColor="text1"/>
          <w:sz w:val="28"/>
          <w:szCs w:val="28"/>
          <w:rtl/>
        </w:rPr>
        <w:t xml:space="preserve"> </w:t>
      </w:r>
    </w:p>
    <w:p w14:paraId="1CA33B43" w14:textId="71AFE1A3"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هدفت الدراسة إلى التعرّف على أثر التحول الرقمي بأبعاده (التقنية، والتنظيمية، والاستراتيجية) على كفاءة أداء العاملين في مجال الأجهزة الطبية، وذلك في مؤسسات الرعاية الصحية</w:t>
      </w:r>
      <w:r w:rsidRPr="001E1970">
        <w:rPr>
          <w:rFonts w:ascii="Sakkal Majalla" w:eastAsia="Calibri" w:hAnsi="Sakkal Majalla" w:cs="Sakkal Majalla"/>
          <w:color w:val="000000" w:themeColor="text1"/>
          <w:sz w:val="28"/>
          <w:szCs w:val="28"/>
        </w:rPr>
        <w:t xml:space="preserve">. </w:t>
      </w:r>
      <w:r w:rsidRPr="001E1970">
        <w:rPr>
          <w:rFonts w:ascii="Sakkal Majalla" w:eastAsia="Calibri" w:hAnsi="Sakkal Majalla" w:cs="Sakkal Majalla"/>
          <w:color w:val="000000" w:themeColor="text1"/>
          <w:sz w:val="28"/>
          <w:szCs w:val="28"/>
          <w:rtl/>
        </w:rPr>
        <w:t xml:space="preserve">واستخدمت </w:t>
      </w:r>
      <w:r w:rsidRPr="001E1970">
        <w:rPr>
          <w:rFonts w:ascii="Sakkal Majalla" w:eastAsia="Calibri" w:hAnsi="Sakkal Majalla" w:cs="Sakkal Majalla"/>
          <w:color w:val="000000" w:themeColor="text1"/>
          <w:sz w:val="28"/>
          <w:szCs w:val="28"/>
          <w:rtl/>
        </w:rPr>
        <w:lastRenderedPageBreak/>
        <w:t xml:space="preserve">الدراسة المنهج الوصفي التحليلي لملاءمته لطبيعة الدراسة وأهدافها. وتكوّنت عينة الدراسة من </w:t>
      </w:r>
      <w:r w:rsidRPr="001E1970">
        <w:rPr>
          <w:rFonts w:ascii="Sakkal Majalla" w:eastAsia="Calibri" w:hAnsi="Sakkal Majalla" w:cs="Sakkal Majalla"/>
          <w:color w:val="000000" w:themeColor="text1"/>
          <w:sz w:val="28"/>
          <w:szCs w:val="28"/>
        </w:rPr>
        <w:t xml:space="preserve">400 </w:t>
      </w:r>
      <w:r w:rsidRPr="001E1970">
        <w:rPr>
          <w:rFonts w:ascii="Sakkal Majalla" w:eastAsia="Calibri" w:hAnsi="Sakkal Majalla" w:cs="Sakkal Majalla"/>
          <w:color w:val="000000" w:themeColor="text1"/>
          <w:sz w:val="28"/>
          <w:szCs w:val="28"/>
          <w:rtl/>
        </w:rPr>
        <w:t xml:space="preserve">مشارك من العاملين في مجال الأجهزة الطبية، بواقع </w:t>
      </w:r>
      <w:r w:rsidRPr="001E1970">
        <w:rPr>
          <w:rFonts w:ascii="Sakkal Majalla" w:eastAsia="Calibri" w:hAnsi="Sakkal Majalla" w:cs="Sakkal Majalla"/>
          <w:color w:val="000000" w:themeColor="text1"/>
          <w:sz w:val="28"/>
          <w:szCs w:val="28"/>
        </w:rPr>
        <w:t xml:space="preserve">300 </w:t>
      </w:r>
      <w:r w:rsidRPr="001E1970">
        <w:rPr>
          <w:rFonts w:ascii="Sakkal Majalla" w:eastAsia="Calibri" w:hAnsi="Sakkal Majalla" w:cs="Sakkal Majalla"/>
          <w:color w:val="000000" w:themeColor="text1"/>
          <w:sz w:val="28"/>
          <w:szCs w:val="28"/>
          <w:rtl/>
        </w:rPr>
        <w:t>استبانة إلكترونية و100 استبانة ورقية</w:t>
      </w:r>
      <w:r w:rsidRPr="001E1970">
        <w:rPr>
          <w:rFonts w:ascii="Sakkal Majalla" w:eastAsia="Calibri" w:hAnsi="Sakkal Majalla" w:cs="Sakkal Majalla"/>
          <w:color w:val="000000" w:themeColor="text1"/>
          <w:sz w:val="28"/>
          <w:szCs w:val="28"/>
        </w:rPr>
        <w:t>.</w:t>
      </w:r>
    </w:p>
    <w:p w14:paraId="3D253A87"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وتوصلت نتائج الدراسة إلى أن مستوى كفاءة أداء العاملين كان مرتفعًا، حيث بلغ المتوسط الحسابي (4.17)، كما أظهرت النتائج وجود تأثير إيجابي للتحول الرقمي في تحسين كفاءة الأداء، خاصة من خلال استخدام السجلات الطبية الرقمية وأدوات التحليل الرقمي في دعم اتخاذ القرار، في حين جاءت تقنيات مثل الواقع الافتراضي وتحليل البيانات الضخمة بنسب استخدام أقل</w:t>
      </w:r>
      <w:r w:rsidRPr="001E1970">
        <w:rPr>
          <w:rFonts w:ascii="Sakkal Majalla" w:eastAsia="Calibri" w:hAnsi="Sakkal Majalla" w:cs="Sakkal Majalla"/>
          <w:color w:val="000000" w:themeColor="text1"/>
          <w:sz w:val="28"/>
          <w:szCs w:val="28"/>
        </w:rPr>
        <w:t>.</w:t>
      </w:r>
    </w:p>
    <w:p w14:paraId="584327EE"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وأوصت الدراسة بضرورة تعزيز تبني تقنيات التحول الرقمي الحديثة في مؤسسات الأجهزة الطبية، وتكثيف برامج التدريب والتأهيل الرقمي للعاملين، وتطوير الاستراتيجيات التنظيمية بما يدعم الاستفادة القصوى من التحول الرقمي في رفع كفاءة الأداء وتحسين جودة الخدمات الصحية</w:t>
      </w:r>
      <w:r w:rsidRPr="001E1970">
        <w:rPr>
          <w:rFonts w:ascii="Sakkal Majalla" w:eastAsia="Calibri" w:hAnsi="Sakkal Majalla" w:cs="Sakkal Majalla"/>
          <w:color w:val="000000" w:themeColor="text1"/>
          <w:sz w:val="28"/>
          <w:szCs w:val="28"/>
        </w:rPr>
        <w:t>.</w:t>
      </w:r>
    </w:p>
    <w:p w14:paraId="303DB685" w14:textId="77777777" w:rsidR="00383BBF" w:rsidRPr="001E1970" w:rsidRDefault="00383BBF"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7" w:name="_Hlk175630421"/>
      <w:r w:rsidRPr="001E1970">
        <w:rPr>
          <w:rFonts w:ascii="Sakkal Majalla" w:eastAsia="Calibri" w:hAnsi="Sakkal Majalla" w:cs="Sakkal Majalla"/>
          <w:b/>
          <w:bCs/>
          <w:color w:val="000000" w:themeColor="text1"/>
          <w:sz w:val="28"/>
          <w:szCs w:val="28"/>
          <w:rtl/>
        </w:rPr>
        <w:t>دراسة (زائرى والحازمى،2023)</w:t>
      </w:r>
    </w:p>
    <w:p w14:paraId="4A8FD8AB"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هدفت الدراسة إلى التعرّف على أثر إدارة التغيير بأبعادها (التغيير التكنولوجي، والتغيير التنظيمي، والتغيير الإنساني، والتغيير الثقافي) على جودة الخدمة الصحية المقدمة في مستشفى الملك عبد العزيز بجدة</w:t>
      </w:r>
      <w:r w:rsidRPr="001E1970">
        <w:rPr>
          <w:rFonts w:ascii="Sakkal Majalla" w:eastAsia="Calibri" w:hAnsi="Sakkal Majalla" w:cs="Sakkal Majalla"/>
          <w:color w:val="000000" w:themeColor="text1"/>
          <w:sz w:val="28"/>
          <w:szCs w:val="28"/>
        </w:rPr>
        <w:t>.</w:t>
      </w:r>
    </w:p>
    <w:p w14:paraId="0B77F57C"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واستخدمت الدراسة المنهج الوصفي التحليلي، بالاعتماد على مجموعة من الأساليب الإحصائية شملت التكرارات والنسب المئوية، والمتوسط الحسابي، والانحراف المعياري، ومعامل ارتباط بيرسون، ومعامل الانحدار، ومعامل ألفا كرونباخ، واختبار التوزيع الطبيعي، واختبار (ت) للعينات المستقلة، وتحليل التباين الأحادي</w:t>
      </w:r>
      <w:r w:rsidRPr="001E1970">
        <w:rPr>
          <w:rFonts w:ascii="Sakkal Majalla" w:eastAsia="Calibri" w:hAnsi="Sakkal Majalla" w:cs="Sakkal Majalla"/>
          <w:color w:val="000000" w:themeColor="text1"/>
          <w:sz w:val="28"/>
          <w:szCs w:val="28"/>
        </w:rPr>
        <w:t>.</w:t>
      </w:r>
    </w:p>
    <w:p w14:paraId="141155F7"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 xml:space="preserve">وتوصلت نتائج الدراسة إلى أن أثر إدارة التغيير على جودة الخدمة الصحية كان مرتفعًا، حيث أظهرت النتائج وجود علاقة ارتباط طردية قوية بين إدارة التغيير وجودة الخدمة الصحية، بما يعني أن ارتفاع مستوى إدارة التغيير يؤدي إلى تحسن مستوى جودة الخدمات الصحية المقدمة في المستشفى. كما </w:t>
      </w:r>
      <w:r w:rsidRPr="001E1970">
        <w:rPr>
          <w:rFonts w:ascii="Sakkal Majalla" w:eastAsia="Calibri" w:hAnsi="Sakkal Majalla" w:cs="Sakkal Majalla"/>
          <w:color w:val="000000" w:themeColor="text1"/>
          <w:sz w:val="28"/>
          <w:szCs w:val="28"/>
          <w:rtl/>
        </w:rPr>
        <w:lastRenderedPageBreak/>
        <w:t>بينت النتائج وجود علاقة ارتباط طردية قوية بين كل بعد من أبعاد إدارة التغيير على حدة وجودة الخدمة الصحية، مما يؤكد التأثير الفعّال والمباشر لهذه الأبعاد في تحسين جودة الخدمات الصحية</w:t>
      </w:r>
      <w:r w:rsidRPr="001E1970">
        <w:rPr>
          <w:rFonts w:ascii="Sakkal Majalla" w:eastAsia="Calibri" w:hAnsi="Sakkal Majalla" w:cs="Sakkal Majalla"/>
          <w:color w:val="000000" w:themeColor="text1"/>
          <w:sz w:val="28"/>
          <w:szCs w:val="28"/>
        </w:rPr>
        <w:t>.</w:t>
      </w:r>
    </w:p>
    <w:p w14:paraId="7167A54F" w14:textId="5551DEEF"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وأوصت الدراسة بضرورة تبني أساليب إدارة التغيير الحديثة بما يسهم في رفع أداء العاملين بالمستشفى، وتعزيز مشاركة العاملين في عملية إدارة التغيير، لما لذلك من دور إيجابي في تحسين جودة الخدمة الصحية وتحقيق الاستدامة التنظيمية</w:t>
      </w:r>
      <w:r w:rsidRPr="001E1970">
        <w:rPr>
          <w:rFonts w:ascii="Sakkal Majalla" w:eastAsia="Calibri" w:hAnsi="Sakkal Majalla" w:cs="Sakkal Majalla"/>
          <w:color w:val="000000" w:themeColor="text1"/>
          <w:sz w:val="28"/>
          <w:szCs w:val="28"/>
        </w:rPr>
        <w:t>.</w:t>
      </w:r>
    </w:p>
    <w:p w14:paraId="24B6552E" w14:textId="77777777" w:rsidR="00EF3675" w:rsidRPr="001E1970" w:rsidRDefault="00430068"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E1970">
        <w:rPr>
          <w:rFonts w:ascii="Sakkal Majalla" w:eastAsia="Calibri" w:hAnsi="Sakkal Majalla" w:cs="Sakkal Majalla"/>
          <w:b/>
          <w:bCs/>
          <w:color w:val="000000" w:themeColor="text1"/>
          <w:sz w:val="28"/>
          <w:szCs w:val="28"/>
          <w:rtl/>
        </w:rPr>
        <w:t xml:space="preserve">دراسة </w:t>
      </w:r>
      <w:bookmarkEnd w:id="27"/>
      <w:r w:rsidR="00EF3675" w:rsidRPr="001E1970">
        <w:rPr>
          <w:rFonts w:ascii="Sakkal Majalla" w:eastAsia="Calibri" w:hAnsi="Sakkal Majalla" w:cs="Sakkal Majalla"/>
          <w:b/>
          <w:bCs/>
          <w:color w:val="000000" w:themeColor="text1"/>
          <w:sz w:val="28"/>
          <w:szCs w:val="28"/>
        </w:rPr>
        <w:t>(Thapa, 2022)</w:t>
      </w:r>
      <w:r w:rsidR="00EF3675" w:rsidRPr="001E1970">
        <w:rPr>
          <w:rFonts w:ascii="Sakkal Majalla" w:eastAsia="Calibri" w:hAnsi="Sakkal Majalla" w:cs="Sakkal Majalla"/>
          <w:b/>
          <w:bCs/>
          <w:color w:val="000000" w:themeColor="text1"/>
          <w:sz w:val="28"/>
          <w:szCs w:val="28"/>
          <w:rtl/>
        </w:rPr>
        <w:t xml:space="preserve"> </w:t>
      </w:r>
    </w:p>
    <w:p w14:paraId="39819686" w14:textId="06B68FC6"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هدفت الدراسة إلى تقييم فاعلية توظيف فني الأجهزة الطبية الحيوية (</w:t>
      </w:r>
      <w:r w:rsidRPr="001E1970">
        <w:rPr>
          <w:rFonts w:ascii="Sakkal Majalla" w:eastAsia="Calibri" w:hAnsi="Sakkal Majalla" w:cs="Sakkal Majalla"/>
          <w:color w:val="000000" w:themeColor="text1"/>
          <w:sz w:val="28"/>
          <w:szCs w:val="28"/>
        </w:rPr>
        <w:t>Biomedical Equipment Technician – BMET</w:t>
      </w:r>
      <w:r w:rsidRPr="001E1970">
        <w:rPr>
          <w:rFonts w:ascii="Sakkal Majalla" w:eastAsia="Calibri" w:hAnsi="Sakkal Majalla" w:cs="Sakkal Majalla"/>
          <w:color w:val="000000" w:themeColor="text1"/>
          <w:sz w:val="28"/>
          <w:szCs w:val="28"/>
          <w:rtl/>
        </w:rPr>
        <w:t>) بوصفه كادرًا تقنيًا متوسط المستوى، في تحسين الحالة الوظيفية للأجهزة الطبية داخل المستشفيات الحكومية الريفية في نيبال، في ظل ما تعانيه الدول النامية من ارتفاع معدلات تعطل المعدات الطبية نتيجة نقص الكوادر المؤهلة للصيانة والدعم الفني.</w:t>
      </w:r>
    </w:p>
    <w:p w14:paraId="16131A0D"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 xml:space="preserve">واعتمدت الدراسة المنهج المختلط (الكمي والكيفي) باستخدام تصميم بحثي مقارن، حيث تم فحص 2189 جهازًا طبيًا في 22 مستشفى (مستشفيات تضم </w:t>
      </w:r>
      <w:r w:rsidRPr="001E1970">
        <w:rPr>
          <w:rFonts w:ascii="Sakkal Majalla" w:eastAsia="Calibri" w:hAnsi="Sakkal Majalla" w:cs="Sakkal Majalla"/>
          <w:color w:val="000000" w:themeColor="text1"/>
          <w:sz w:val="28"/>
          <w:szCs w:val="28"/>
        </w:rPr>
        <w:t>BMET</w:t>
      </w:r>
      <w:r w:rsidRPr="001E1970">
        <w:rPr>
          <w:rFonts w:ascii="Sakkal Majalla" w:eastAsia="Calibri" w:hAnsi="Sakkal Majalla" w:cs="Sakkal Majalla"/>
          <w:color w:val="000000" w:themeColor="text1"/>
          <w:sz w:val="28"/>
          <w:szCs w:val="28"/>
          <w:rtl/>
        </w:rPr>
        <w:t xml:space="preserve"> وأخرى لا تضم)، مع تصنيف الأجهزة إلى ست فئات حسب الأقسام الطبية، واستخدام اختبارات (</w:t>
      </w:r>
      <w:r w:rsidRPr="001E1970">
        <w:rPr>
          <w:rFonts w:ascii="Sakkal Majalla" w:eastAsia="Calibri" w:hAnsi="Sakkal Majalla" w:cs="Sakkal Majalla"/>
          <w:color w:val="000000" w:themeColor="text1"/>
          <w:sz w:val="28"/>
          <w:szCs w:val="28"/>
        </w:rPr>
        <w:t>T-test</w:t>
      </w:r>
      <w:r w:rsidRPr="001E1970">
        <w:rPr>
          <w:rFonts w:ascii="Sakkal Majalla" w:eastAsia="Calibri" w:hAnsi="Sakkal Majalla" w:cs="Sakkal Majalla"/>
          <w:color w:val="000000" w:themeColor="text1"/>
          <w:sz w:val="28"/>
          <w:szCs w:val="28"/>
          <w:rtl/>
        </w:rPr>
        <w:t xml:space="preserve">) لتحليل الفروق الإحصائية. كما جُمعت البيانات الكيفية من خلال مقابلات شبه مقننة ومجموعات نقاش بؤرية شملت 9 من فنيي </w:t>
      </w:r>
      <w:r w:rsidRPr="001E1970">
        <w:rPr>
          <w:rFonts w:ascii="Sakkal Majalla" w:eastAsia="Calibri" w:hAnsi="Sakkal Majalla" w:cs="Sakkal Majalla"/>
          <w:color w:val="000000" w:themeColor="text1"/>
          <w:sz w:val="28"/>
          <w:szCs w:val="28"/>
        </w:rPr>
        <w:t>BMET</w:t>
      </w:r>
      <w:r w:rsidRPr="001E1970">
        <w:rPr>
          <w:rFonts w:ascii="Sakkal Majalla" w:eastAsia="Calibri" w:hAnsi="Sakkal Majalla" w:cs="Sakkal Majalla"/>
          <w:color w:val="000000" w:themeColor="text1"/>
          <w:sz w:val="28"/>
          <w:szCs w:val="28"/>
          <w:rtl/>
        </w:rPr>
        <w:t>، و22 مدير مستشفى، و22 من الكوادر الصحية، وتم تحليلها باستخدام التحليل الموضوعي للمحتوى.</w:t>
      </w:r>
    </w:p>
    <w:p w14:paraId="20E5289F" w14:textId="4FDB08E4" w:rsidR="007D7862"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 xml:space="preserve">وتوصلت نتائج الدراسة إلى أن نسبة الأجهزة غير العاملة في المستشفيات التي لا تضم </w:t>
      </w:r>
      <w:r w:rsidRPr="001E1970">
        <w:rPr>
          <w:rFonts w:ascii="Sakkal Majalla" w:eastAsia="Calibri" w:hAnsi="Sakkal Majalla" w:cs="Sakkal Majalla"/>
          <w:color w:val="000000" w:themeColor="text1"/>
          <w:sz w:val="28"/>
          <w:szCs w:val="28"/>
        </w:rPr>
        <w:t>BMET</w:t>
      </w:r>
      <w:r w:rsidRPr="001E1970">
        <w:rPr>
          <w:rFonts w:ascii="Sakkal Majalla" w:eastAsia="Calibri" w:hAnsi="Sakkal Majalla" w:cs="Sakkal Majalla"/>
          <w:color w:val="000000" w:themeColor="text1"/>
          <w:sz w:val="28"/>
          <w:szCs w:val="28"/>
          <w:rtl/>
        </w:rPr>
        <w:t xml:space="preserve"> كانت ضعف مثيلتها في المستشفيات التي تضم </w:t>
      </w:r>
      <w:r w:rsidRPr="001E1970">
        <w:rPr>
          <w:rFonts w:ascii="Sakkal Majalla" w:eastAsia="Calibri" w:hAnsi="Sakkal Majalla" w:cs="Sakkal Majalla"/>
          <w:color w:val="000000" w:themeColor="text1"/>
          <w:sz w:val="28"/>
          <w:szCs w:val="28"/>
        </w:rPr>
        <w:t>BMET</w:t>
      </w:r>
      <w:r w:rsidRPr="001E1970">
        <w:rPr>
          <w:rFonts w:ascii="Sakkal Majalla" w:eastAsia="Calibri" w:hAnsi="Sakkal Majalla" w:cs="Sakkal Majalla"/>
          <w:color w:val="000000" w:themeColor="text1"/>
          <w:sz w:val="28"/>
          <w:szCs w:val="28"/>
          <w:rtl/>
        </w:rPr>
        <w:t xml:space="preserve"> (14% مقابل 7%)، مع فروق ذات دلالة إحصائية واضحة، كما أظهرت النتائج تحسنًا ملحوظًا في جميع الأقسام الطبية، بما في ذلك الأقسام العامة والمختبرات وغرف العمليات. كذلك بيّنت النتائج أن المستشفيات التي يعمل بها </w:t>
      </w:r>
      <w:r w:rsidRPr="001E1970">
        <w:rPr>
          <w:rFonts w:ascii="Sakkal Majalla" w:eastAsia="Calibri" w:hAnsi="Sakkal Majalla" w:cs="Sakkal Majalla"/>
          <w:color w:val="000000" w:themeColor="text1"/>
          <w:sz w:val="28"/>
          <w:szCs w:val="28"/>
        </w:rPr>
        <w:t>BMET</w:t>
      </w:r>
      <w:r w:rsidRPr="001E1970">
        <w:rPr>
          <w:rFonts w:ascii="Sakkal Majalla" w:eastAsia="Calibri" w:hAnsi="Sakkal Majalla" w:cs="Sakkal Majalla"/>
          <w:color w:val="000000" w:themeColor="text1"/>
          <w:sz w:val="28"/>
          <w:szCs w:val="28"/>
          <w:rtl/>
        </w:rPr>
        <w:t xml:space="preserve"> سجلت نسبًا أقل من الأجهزة التي تتطلب صيانة بسيطة أو متقدمة مقارنة بالمستشفيات الأخرى. وأظهرت النتائج الكيفية أن وجود </w:t>
      </w:r>
      <w:r w:rsidRPr="001E1970">
        <w:rPr>
          <w:rFonts w:ascii="Sakkal Majalla" w:eastAsia="Calibri" w:hAnsi="Sakkal Majalla" w:cs="Sakkal Majalla"/>
          <w:color w:val="000000" w:themeColor="text1"/>
          <w:sz w:val="28"/>
          <w:szCs w:val="28"/>
        </w:rPr>
        <w:t>BMET</w:t>
      </w:r>
      <w:r w:rsidRPr="001E1970">
        <w:rPr>
          <w:rFonts w:ascii="Sakkal Majalla" w:eastAsia="Calibri" w:hAnsi="Sakkal Majalla" w:cs="Sakkal Majalla"/>
          <w:color w:val="000000" w:themeColor="text1"/>
          <w:sz w:val="28"/>
          <w:szCs w:val="28"/>
          <w:rtl/>
        </w:rPr>
        <w:t xml:space="preserve"> مقيم في المستشفى كان محل تقدير كبير من قبل العاملين، وأنه أكثر فاعلية من الزيارات الدورية المحدودة </w:t>
      </w:r>
      <w:r w:rsidRPr="001E1970">
        <w:rPr>
          <w:rFonts w:ascii="Sakkal Majalla" w:eastAsia="Calibri" w:hAnsi="Sakkal Majalla" w:cs="Sakkal Majalla"/>
          <w:color w:val="000000" w:themeColor="text1"/>
          <w:sz w:val="28"/>
          <w:szCs w:val="28"/>
          <w:rtl/>
        </w:rPr>
        <w:lastRenderedPageBreak/>
        <w:t>لفنيي الصيانة المركزيين، مع التأكيد على أن تهيئة بيئة عمل داعمة شرط أساسي لتحقيق الأداء الأمثل لهذا الكادر</w:t>
      </w:r>
      <w:r w:rsidR="007D7862" w:rsidRPr="001E1970">
        <w:rPr>
          <w:rFonts w:ascii="Sakkal Majalla" w:eastAsia="Calibri" w:hAnsi="Sakkal Majalla" w:cs="Sakkal Majalla"/>
          <w:color w:val="000000" w:themeColor="text1"/>
          <w:sz w:val="28"/>
          <w:szCs w:val="28"/>
        </w:rPr>
        <w:t>.</w:t>
      </w:r>
    </w:p>
    <w:p w14:paraId="5BF11DC3" w14:textId="77777777" w:rsidR="00383BBF" w:rsidRPr="001E1970" w:rsidRDefault="00383BBF"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r w:rsidRPr="001E1970">
        <w:rPr>
          <w:rFonts w:ascii="Sakkal Majalla" w:eastAsia="Calibri" w:hAnsi="Sakkal Majalla" w:cs="Sakkal Majalla"/>
          <w:b/>
          <w:bCs/>
          <w:color w:val="000000" w:themeColor="text1"/>
          <w:sz w:val="28"/>
          <w:szCs w:val="28"/>
          <w:rtl/>
        </w:rPr>
        <w:t>دراسة (فريد وحمانه،2021)</w:t>
      </w:r>
    </w:p>
    <w:p w14:paraId="4C0FA0D9"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 xml:space="preserve">هدفت الدراسة إلى التعرّف على أثر أساليب قيادة التغيير بأبعادها المختلفة على عملية التغيير التنظيمي في المؤسسة المينائية لسكيكدة، واستخدمت الدراسة المنهج الوصفي التحليلي لملاءمته لطبيعة الدراسة وأهدافها. وتكوّنت عينة الدراسة من الإداريين العاملين بالمؤسسة المينائية لسكيكدة، حيث تم تحليل </w:t>
      </w:r>
      <w:r w:rsidRPr="001E1970">
        <w:rPr>
          <w:rFonts w:ascii="Sakkal Majalla" w:eastAsia="Calibri" w:hAnsi="Sakkal Majalla" w:cs="Sakkal Majalla"/>
          <w:color w:val="000000" w:themeColor="text1"/>
          <w:sz w:val="28"/>
          <w:szCs w:val="28"/>
        </w:rPr>
        <w:t xml:space="preserve">(85) </w:t>
      </w:r>
      <w:r w:rsidRPr="001E1970">
        <w:rPr>
          <w:rFonts w:ascii="Sakkal Majalla" w:eastAsia="Calibri" w:hAnsi="Sakkal Majalla" w:cs="Sakkal Majalla"/>
          <w:color w:val="000000" w:themeColor="text1"/>
          <w:sz w:val="28"/>
          <w:szCs w:val="28"/>
          <w:rtl/>
        </w:rPr>
        <w:t>استبانة صالحة لأغراض التحليل الإحصائي</w:t>
      </w:r>
      <w:r w:rsidRPr="001E1970">
        <w:rPr>
          <w:rFonts w:ascii="Sakkal Majalla" w:eastAsia="Calibri" w:hAnsi="Sakkal Majalla" w:cs="Sakkal Majalla"/>
          <w:color w:val="000000" w:themeColor="text1"/>
          <w:sz w:val="28"/>
          <w:szCs w:val="28"/>
        </w:rPr>
        <w:t>.</w:t>
      </w:r>
    </w:p>
    <w:p w14:paraId="0E9A8AF6"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وتوصلت نتائج الدراسة إلى وجود علاقة ذات دلالة إحصائية بين أساليب قيادة التغيير وعملية التغيير التنظيمي داخل المؤسسة، بما يؤكد الدور المحوري لقيادة التغيير في إنجاح عمليات التحول التنظيمي</w:t>
      </w:r>
      <w:r w:rsidRPr="001E1970">
        <w:rPr>
          <w:rFonts w:ascii="Sakkal Majalla" w:eastAsia="Calibri" w:hAnsi="Sakkal Majalla" w:cs="Sakkal Majalla"/>
          <w:color w:val="000000" w:themeColor="text1"/>
          <w:sz w:val="28"/>
          <w:szCs w:val="28"/>
        </w:rPr>
        <w:t>.</w:t>
      </w:r>
    </w:p>
    <w:p w14:paraId="52AD4306" w14:textId="6016D3FD"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وأوصت الدراسة بضرورة تطبيق التغيير وفق منهجية علمية واضحة، مع اختيار وتوظيف أساليب قيادة التغيير بما يتلاءم مع ظروف المؤسسة وطبيعة بيئة العمل ومستويات التغيير المطلوبة، بما يسهم في تحقيق فاعلية واستدامة عملية التغيير</w:t>
      </w:r>
      <w:r w:rsidRPr="001E1970">
        <w:rPr>
          <w:rFonts w:ascii="Sakkal Majalla" w:eastAsia="Calibri" w:hAnsi="Sakkal Majalla" w:cs="Sakkal Majalla"/>
          <w:color w:val="000000" w:themeColor="text1"/>
          <w:sz w:val="28"/>
          <w:szCs w:val="28"/>
        </w:rPr>
        <w:t>.</w:t>
      </w:r>
    </w:p>
    <w:p w14:paraId="793E1C17" w14:textId="220D5114" w:rsidR="00430068" w:rsidRPr="001E1970" w:rsidRDefault="00430068"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Pr>
      </w:pPr>
      <w:bookmarkStart w:id="28" w:name="_Hlk175630431"/>
      <w:r w:rsidRPr="001E1970">
        <w:rPr>
          <w:rFonts w:ascii="Sakkal Majalla" w:eastAsia="Calibri" w:hAnsi="Sakkal Majalla" w:cs="Sakkal Majalla"/>
          <w:b/>
          <w:bCs/>
          <w:color w:val="000000" w:themeColor="text1"/>
          <w:sz w:val="28"/>
          <w:szCs w:val="28"/>
          <w:rtl/>
        </w:rPr>
        <w:t xml:space="preserve">دراسة </w:t>
      </w:r>
      <w:bookmarkEnd w:id="28"/>
      <w:r w:rsidR="007D7862" w:rsidRPr="001E1970">
        <w:rPr>
          <w:rFonts w:ascii="Sakkal Majalla" w:eastAsia="Calibri" w:hAnsi="Sakkal Majalla" w:cs="Sakkal Majalla"/>
          <w:b/>
          <w:bCs/>
          <w:color w:val="000000" w:themeColor="text1"/>
          <w:sz w:val="28"/>
          <w:szCs w:val="28"/>
          <w:rtl/>
        </w:rPr>
        <w:t>(</w:t>
      </w:r>
      <w:r w:rsidR="00EF3675" w:rsidRPr="001E1970">
        <w:rPr>
          <w:rFonts w:ascii="Sakkal Majalla" w:eastAsia="Calibri" w:hAnsi="Sakkal Majalla" w:cs="Sakkal Majalla"/>
          <w:b/>
          <w:bCs/>
          <w:color w:val="000000" w:themeColor="text1"/>
          <w:sz w:val="28"/>
          <w:szCs w:val="28"/>
          <w:rtl/>
        </w:rPr>
        <w:t>هملان واخرون</w:t>
      </w:r>
      <w:r w:rsidR="007D7862" w:rsidRPr="001E1970">
        <w:rPr>
          <w:rFonts w:ascii="Sakkal Majalla" w:eastAsia="Calibri" w:hAnsi="Sakkal Majalla" w:cs="Sakkal Majalla"/>
          <w:b/>
          <w:bCs/>
          <w:color w:val="000000" w:themeColor="text1"/>
          <w:sz w:val="28"/>
          <w:szCs w:val="28"/>
          <w:rtl/>
        </w:rPr>
        <w:t>،2020)</w:t>
      </w:r>
    </w:p>
    <w:p w14:paraId="50D1B68B"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هدفت الدراسة إلى التعرّف على أثر إدارة التغيير بأبعادها المختلفة في تحقيق الميزة التنافسية بأبعادها (بعد التكلفة، وبعد التمايز) من خلال إدارة الإبداع في شركة الخطوط الجوية الملكية الأردنية</w:t>
      </w:r>
      <w:r w:rsidRPr="001E1970">
        <w:rPr>
          <w:rFonts w:ascii="Sakkal Majalla" w:eastAsia="Calibri" w:hAnsi="Sakkal Majalla" w:cs="Sakkal Majalla"/>
          <w:color w:val="000000" w:themeColor="text1"/>
          <w:sz w:val="28"/>
          <w:szCs w:val="28"/>
        </w:rPr>
        <w:t>.</w:t>
      </w:r>
    </w:p>
    <w:p w14:paraId="1854DBC7"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 xml:space="preserve">واستخدمت الدراسة المنهج الوصفي التحليلي لملاءمته لطبيعة الدراسة وأهدافها. وتكوّنت عينة الدراسة من جميع العاملين في الإدارة العليا والوسطى في شركة الخطوط الجوية الملكية الأردنية، والبالغ عددهم </w:t>
      </w:r>
      <w:r w:rsidRPr="001E1970">
        <w:rPr>
          <w:rFonts w:ascii="Sakkal Majalla" w:eastAsia="Calibri" w:hAnsi="Sakkal Majalla" w:cs="Sakkal Majalla"/>
          <w:color w:val="000000" w:themeColor="text1"/>
          <w:sz w:val="28"/>
          <w:szCs w:val="28"/>
        </w:rPr>
        <w:t xml:space="preserve">208 </w:t>
      </w:r>
      <w:r w:rsidRPr="001E1970">
        <w:rPr>
          <w:rFonts w:ascii="Sakkal Majalla" w:eastAsia="Calibri" w:hAnsi="Sakkal Majalla" w:cs="Sakkal Majalla"/>
          <w:color w:val="000000" w:themeColor="text1"/>
          <w:sz w:val="28"/>
          <w:szCs w:val="28"/>
          <w:rtl/>
        </w:rPr>
        <w:t xml:space="preserve">مديرًا، حيث تم اعتماد أسلوب الحصر الشامل، وتم استرداد </w:t>
      </w:r>
      <w:r w:rsidRPr="001E1970">
        <w:rPr>
          <w:rFonts w:ascii="Sakkal Majalla" w:eastAsia="Calibri" w:hAnsi="Sakkal Majalla" w:cs="Sakkal Majalla"/>
          <w:color w:val="000000" w:themeColor="text1"/>
          <w:sz w:val="28"/>
          <w:szCs w:val="28"/>
        </w:rPr>
        <w:t xml:space="preserve">196 </w:t>
      </w:r>
      <w:r w:rsidRPr="001E1970">
        <w:rPr>
          <w:rFonts w:ascii="Sakkal Majalla" w:eastAsia="Calibri" w:hAnsi="Sakkal Majalla" w:cs="Sakkal Majalla"/>
          <w:color w:val="000000" w:themeColor="text1"/>
          <w:sz w:val="28"/>
          <w:szCs w:val="28"/>
          <w:rtl/>
        </w:rPr>
        <w:t xml:space="preserve">استبانة صالحة للتحليل بنسبة استجابة بلغت </w:t>
      </w:r>
      <w:r w:rsidRPr="001E1970">
        <w:rPr>
          <w:rFonts w:ascii="Sakkal Majalla" w:eastAsia="Calibri" w:hAnsi="Sakkal Majalla" w:cs="Sakkal Majalla"/>
          <w:color w:val="000000" w:themeColor="text1"/>
          <w:sz w:val="28"/>
          <w:szCs w:val="28"/>
        </w:rPr>
        <w:t>94.2%.</w:t>
      </w:r>
    </w:p>
    <w:p w14:paraId="0A800D48"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lastRenderedPageBreak/>
        <w:t>وتوصلت نتائج الدراسة إلى وجود أثر ذو دلالة إحصائية لإدارة التغيير في تحقيق الميزة التنافسية بأبعادها (التكلفة والتميّز)، كما أظهرت النتائج وجود أثر معنوي لإدارة التغيير في إدارة الإبداع، ووجود أثر ذي دلالة إحصائية لإدارة الإبداع في تحقيق الميزة التنافسية</w:t>
      </w:r>
      <w:r w:rsidRPr="001E1970">
        <w:rPr>
          <w:rFonts w:ascii="Sakkal Majalla" w:eastAsia="Calibri" w:hAnsi="Sakkal Majalla" w:cs="Sakkal Majalla"/>
          <w:color w:val="000000" w:themeColor="text1"/>
          <w:sz w:val="28"/>
          <w:szCs w:val="28"/>
        </w:rPr>
        <w:t xml:space="preserve">. </w:t>
      </w:r>
      <w:r w:rsidRPr="001E1970">
        <w:rPr>
          <w:rFonts w:ascii="Sakkal Majalla" w:eastAsia="Calibri" w:hAnsi="Sakkal Majalla" w:cs="Sakkal Majalla"/>
          <w:color w:val="000000" w:themeColor="text1"/>
          <w:sz w:val="28"/>
          <w:szCs w:val="28"/>
          <w:rtl/>
        </w:rPr>
        <w:t>كما أكدت النتائج أن إدارة الإبداع تمثل متغيرًا وسيطًا فاعلًا يعزز أثر إدارة التغيير في تحقيق الميزة التنافسية للشركة</w:t>
      </w:r>
      <w:r w:rsidRPr="001E1970">
        <w:rPr>
          <w:rFonts w:ascii="Sakkal Majalla" w:eastAsia="Calibri" w:hAnsi="Sakkal Majalla" w:cs="Sakkal Majalla"/>
          <w:color w:val="000000" w:themeColor="text1"/>
          <w:sz w:val="28"/>
          <w:szCs w:val="28"/>
        </w:rPr>
        <w:t>.</w:t>
      </w:r>
    </w:p>
    <w:p w14:paraId="6D8A282B" w14:textId="77777777" w:rsidR="00D92B44" w:rsidRPr="001E1970" w:rsidRDefault="00D92B44"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وأوصت الدراسة بضرورة تعزيز المرونة التنظيمية من خلال دمج وتعديل الوحدات الإدارية بما يدعم القدرات التنافسية للشركة، وتبنّي أنماط قيادية حديثة قادرة على مواجهة مقاومة التغيير، إلى جانب ترسيخ قيم ثقافية تنظيمية مرنة تسهم في تفعيل إدارة الإبداع، فضلاً عن الاهتمام بتبني أحدث التقنيات التكنولوجية في مجال الطيران وتدريب العاملين عليها بما يعزز تحقيق الميزة التنافسية المستدامة</w:t>
      </w:r>
      <w:r w:rsidRPr="001E1970">
        <w:rPr>
          <w:rFonts w:ascii="Sakkal Majalla" w:eastAsia="Calibri" w:hAnsi="Sakkal Majalla" w:cs="Sakkal Majalla"/>
          <w:color w:val="000000" w:themeColor="text1"/>
          <w:sz w:val="28"/>
          <w:szCs w:val="28"/>
        </w:rPr>
        <w:t>.</w:t>
      </w:r>
    </w:p>
    <w:p w14:paraId="3C1F5E25" w14:textId="77777777" w:rsidR="00383BBF" w:rsidRPr="001E1970" w:rsidRDefault="00383BBF" w:rsidP="00C8194B">
      <w:pPr>
        <w:pStyle w:val="ListParagraph"/>
        <w:numPr>
          <w:ilvl w:val="0"/>
          <w:numId w:val="18"/>
        </w:numPr>
        <w:spacing w:before="100" w:beforeAutospacing="1" w:after="100" w:afterAutospacing="1" w:line="360" w:lineRule="auto"/>
        <w:ind w:left="423"/>
        <w:jc w:val="both"/>
        <w:rPr>
          <w:rFonts w:ascii="Sakkal Majalla" w:eastAsia="Calibri" w:hAnsi="Sakkal Majalla" w:cs="Sakkal Majalla"/>
          <w:b/>
          <w:bCs/>
          <w:color w:val="000000" w:themeColor="text1"/>
          <w:sz w:val="28"/>
          <w:szCs w:val="28"/>
          <w:rtl/>
        </w:rPr>
      </w:pPr>
      <w:bookmarkStart w:id="29" w:name="_Hlk175630350"/>
      <w:r w:rsidRPr="001E1970">
        <w:rPr>
          <w:rFonts w:ascii="Sakkal Majalla" w:eastAsia="Calibri" w:hAnsi="Sakkal Majalla" w:cs="Sakkal Majalla"/>
          <w:b/>
          <w:bCs/>
          <w:color w:val="000000" w:themeColor="text1"/>
          <w:sz w:val="28"/>
          <w:szCs w:val="28"/>
          <w:rtl/>
        </w:rPr>
        <w:t xml:space="preserve">دراسة </w:t>
      </w:r>
      <w:bookmarkEnd w:id="29"/>
      <w:r w:rsidRPr="001E1970">
        <w:rPr>
          <w:rFonts w:ascii="Sakkal Majalla" w:eastAsia="Calibri" w:hAnsi="Sakkal Majalla" w:cs="Sakkal Majalla"/>
          <w:b/>
          <w:bCs/>
          <w:color w:val="000000" w:themeColor="text1"/>
          <w:sz w:val="28"/>
          <w:szCs w:val="28"/>
        </w:rPr>
        <w:t>(Hossain et al., 2019)</w:t>
      </w:r>
    </w:p>
    <w:p w14:paraId="1A6B8836"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هدفت الدراسة إلى تحليل العلاقة بين مستوى أداء إدارة تكنولوجيا المعدات الطبية وجودة رعاية المرضى، مع التركيز على دور الهندسة السريرية في تقليل الحوادث غير المرغوبة مثل الإصابات والوفيات غير الطبيعية المرتبطة باستخدام الأجهزة الطبية والجراحية. كما سعت الدراسة إلى تقييم أثر اختلاف مستويات الأداء المهني للهندسة السريرية على سلامة المرضى وكفاءة التكلفة من خلال تطبيق نماذج رياضية ومنهجية الهندسة السريرية في إدارة تكنولوجيا المعدات الطبية.</w:t>
      </w:r>
    </w:p>
    <w:p w14:paraId="2A554022" w14:textId="77777777"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t>واستخدمت الدراسة المنهج التحليلي المقارن القائم على النمذجة الرياضية وتحليل الأداء، واعتمدت على جمع البيانات من 18 دولة تمثل دولًا ذات دخل مرتفع ومتوسط (علوي وسفلي)، بما أتاح المقارنة بين برامج الهندسة السريرية والهندسة الطبية الحيوية ذات مستويات الأداء المختلفة. وتكوّنت عينة الدراسة من برامج وأنظمة إدارة تكنولوجيا المعدات الطبية والهندسة السريرية في تلك الدول، مع تقييم جودة أقسام الهندسة السريرية بناءً على المؤهل العلمي، وشهادات الاعتماد المهني، والتدريب، وعدد سنوات الخبرة.</w:t>
      </w:r>
    </w:p>
    <w:p w14:paraId="75FC69D9" w14:textId="04365BB2" w:rsidR="00383BBF" w:rsidRPr="001E1970" w:rsidRDefault="00383BBF"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tl/>
        </w:rPr>
      </w:pPr>
      <w:r w:rsidRPr="001E1970">
        <w:rPr>
          <w:rFonts w:ascii="Sakkal Majalla" w:eastAsia="Calibri" w:hAnsi="Sakkal Majalla" w:cs="Sakkal Majalla"/>
          <w:color w:val="000000" w:themeColor="text1"/>
          <w:sz w:val="28"/>
          <w:szCs w:val="28"/>
          <w:rtl/>
        </w:rPr>
        <w:lastRenderedPageBreak/>
        <w:t>وتوصلت نتائج الدراسة إلى وجود علاقة إيجابية قوية بين كفاءة أداء أنظمة إدارة تكنولوجيا المعدات الطبية وتحسين نتائج رعاية المرضى، لاسيما في خفض عوامل الخطر المرتبطة بالمعدات الطبية والجراحية، وتحقيق مستويات أعلى من سلامة المرضى وكفاءة التكلفة. كما أظهرت النتائج أن تحسين أداء أقسام الهندسة السريرية يسهم في الحفاظ على الحالة التشغيلية الآمنة للمعدات الطبية وإطالة عمرها التشغيلي بما يتوافق مع العمر الافتراضي الموصى به من قبل الشركات المصنعة</w:t>
      </w:r>
      <w:r w:rsidRPr="001E1970">
        <w:rPr>
          <w:rFonts w:ascii="Sakkal Majalla" w:eastAsia="Calibri" w:hAnsi="Sakkal Majalla" w:cs="Sakkal Majalla"/>
          <w:color w:val="000000" w:themeColor="text1"/>
          <w:sz w:val="28"/>
          <w:szCs w:val="28"/>
        </w:rPr>
        <w:t>.</w:t>
      </w:r>
    </w:p>
    <w:p w14:paraId="454707B8" w14:textId="7E830665" w:rsidR="00C8194B" w:rsidRPr="001E1970" w:rsidRDefault="00C8194B" w:rsidP="00C8194B">
      <w:pPr>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0" w:name="_Toc169790501"/>
      <w:bookmarkStart w:id="31" w:name="_Toc213769063"/>
      <w:bookmarkStart w:id="32" w:name="_Toc223527759"/>
      <w:bookmarkEnd w:id="19"/>
      <w:bookmarkEnd w:id="21"/>
      <w:r w:rsidRPr="001E1970">
        <w:rPr>
          <w:rFonts w:ascii="Sakkal Majalla" w:eastAsia="Calibri" w:hAnsi="Sakkal Majalla" w:cs="Sakkal Majalla"/>
          <w:b/>
          <w:bCs/>
          <w:color w:val="000000" w:themeColor="text1"/>
          <w:sz w:val="36"/>
          <w:szCs w:val="36"/>
          <w:rtl/>
        </w:rPr>
        <w:t>8.1 الفجوة البحثية:</w:t>
      </w:r>
      <w:bookmarkEnd w:id="32"/>
    </w:p>
    <w:p w14:paraId="1C2699B4" w14:textId="77777777" w:rsidR="002A62F6" w:rsidRPr="001E1970" w:rsidRDefault="002A62F6"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تتفق الدراسة الحالية مع معظم الدراسات السابقة المعروضة في تأكيدها على الدور المحوري لإدارة التغيير والتحول التقني في تحسين الأداء المؤسسي والمهني داخل المؤسسات الصحية</w:t>
      </w:r>
      <w:r w:rsidRPr="001E1970">
        <w:rPr>
          <w:rFonts w:ascii="Sakkal Majalla" w:eastAsia="Calibri" w:hAnsi="Sakkal Majalla" w:cs="Sakkal Majalla"/>
          <w:color w:val="000000" w:themeColor="text1"/>
          <w:sz w:val="28"/>
          <w:szCs w:val="28"/>
        </w:rPr>
        <w:t xml:space="preserve">. </w:t>
      </w:r>
      <w:r w:rsidRPr="001E1970">
        <w:rPr>
          <w:rFonts w:ascii="Sakkal Majalla" w:eastAsia="Calibri" w:hAnsi="Sakkal Majalla" w:cs="Sakkal Majalla"/>
          <w:color w:val="000000" w:themeColor="text1"/>
          <w:sz w:val="28"/>
          <w:szCs w:val="28"/>
          <w:rtl/>
        </w:rPr>
        <w:t>فقد أظهرت دراسات</w:t>
      </w:r>
      <w:r w:rsidRPr="001E1970">
        <w:rPr>
          <w:rFonts w:ascii="Sakkal Majalla" w:eastAsia="Calibri" w:hAnsi="Sakkal Majalla" w:cs="Sakkal Majalla"/>
          <w:color w:val="000000" w:themeColor="text1"/>
          <w:sz w:val="28"/>
          <w:szCs w:val="28"/>
        </w:rPr>
        <w:t xml:space="preserve"> (Almutair et al., 2023) </w:t>
      </w:r>
      <w:proofErr w:type="gramStart"/>
      <w:r w:rsidRPr="001E1970">
        <w:rPr>
          <w:rFonts w:ascii="Sakkal Majalla" w:eastAsia="Calibri" w:hAnsi="Sakkal Majalla" w:cs="Sakkal Majalla"/>
          <w:color w:val="000000" w:themeColor="text1"/>
          <w:sz w:val="28"/>
          <w:szCs w:val="28"/>
          <w:rtl/>
        </w:rPr>
        <w:t>و</w:t>
      </w:r>
      <w:r w:rsidRPr="001E1970">
        <w:rPr>
          <w:rFonts w:ascii="Sakkal Majalla" w:eastAsia="Calibri" w:hAnsi="Sakkal Majalla" w:cs="Sakkal Majalla"/>
          <w:color w:val="000000" w:themeColor="text1"/>
          <w:sz w:val="28"/>
          <w:szCs w:val="28"/>
        </w:rPr>
        <w:t>(</w:t>
      </w:r>
      <w:proofErr w:type="gramEnd"/>
      <w:r w:rsidRPr="001E1970">
        <w:rPr>
          <w:rFonts w:ascii="Sakkal Majalla" w:eastAsia="Calibri" w:hAnsi="Sakkal Majalla" w:cs="Sakkal Majalla"/>
          <w:color w:val="000000" w:themeColor="text1"/>
          <w:sz w:val="28"/>
          <w:szCs w:val="28"/>
        </w:rPr>
        <w:t xml:space="preserve">Alnaim et al.) </w:t>
      </w:r>
      <w:r w:rsidRPr="001E1970">
        <w:rPr>
          <w:rFonts w:ascii="Sakkal Majalla" w:eastAsia="Calibri" w:hAnsi="Sakkal Majalla" w:cs="Sakkal Majalla"/>
          <w:color w:val="000000" w:themeColor="text1"/>
          <w:sz w:val="28"/>
          <w:szCs w:val="28"/>
          <w:rtl/>
        </w:rPr>
        <w:t>و</w:t>
      </w:r>
      <w:r w:rsidRPr="001E1970">
        <w:rPr>
          <w:rFonts w:ascii="Sakkal Majalla" w:eastAsia="Calibri" w:hAnsi="Sakkal Majalla" w:cs="Sakkal Majalla"/>
          <w:color w:val="000000" w:themeColor="text1"/>
          <w:sz w:val="28"/>
          <w:szCs w:val="28"/>
        </w:rPr>
        <w:t xml:space="preserve">(Alotaibi et al., 2023) </w:t>
      </w:r>
      <w:r w:rsidRPr="001E1970">
        <w:rPr>
          <w:rFonts w:ascii="Sakkal Majalla" w:eastAsia="Calibri" w:hAnsi="Sakkal Majalla" w:cs="Sakkal Majalla"/>
          <w:color w:val="000000" w:themeColor="text1"/>
          <w:sz w:val="28"/>
          <w:szCs w:val="28"/>
          <w:rtl/>
        </w:rPr>
        <w:t>و(زائري والحازمي، 2023) وجود علاقات إيجابية ذات دلالة إحصائية بين أبعاد إدارة التغيير أو التحول الرقمي وبين متغيرات حيوية مثل كفاءة الأداء، تبنّي الأنظمة الإلكترونية، وجودة الخدمة الصحية، وهو ما ينسجم مع توجه الدراسة الحالية التي تركز على أثر إدارة التغيير في مشاريع تحديث الأجهزة الطبية على معدلات استيعاب الكوادر الفنية</w:t>
      </w:r>
      <w:r w:rsidRPr="001E1970">
        <w:rPr>
          <w:rFonts w:ascii="Sakkal Majalla" w:eastAsia="Calibri" w:hAnsi="Sakkal Majalla" w:cs="Sakkal Majalla"/>
          <w:color w:val="000000" w:themeColor="text1"/>
          <w:sz w:val="28"/>
          <w:szCs w:val="28"/>
        </w:rPr>
        <w:t xml:space="preserve">. </w:t>
      </w:r>
      <w:r w:rsidRPr="001E1970">
        <w:rPr>
          <w:rFonts w:ascii="Sakkal Majalla" w:eastAsia="Calibri" w:hAnsi="Sakkal Majalla" w:cs="Sakkal Majalla"/>
          <w:color w:val="000000" w:themeColor="text1"/>
          <w:sz w:val="28"/>
          <w:szCs w:val="28"/>
          <w:rtl/>
        </w:rPr>
        <w:t>كما تتقاطع نتائج دراسة</w:t>
      </w:r>
      <w:r w:rsidRPr="001E1970">
        <w:rPr>
          <w:rFonts w:ascii="Sakkal Majalla" w:eastAsia="Calibri" w:hAnsi="Sakkal Majalla" w:cs="Sakkal Majalla"/>
          <w:color w:val="000000" w:themeColor="text1"/>
          <w:sz w:val="28"/>
          <w:szCs w:val="28"/>
        </w:rPr>
        <w:t xml:space="preserve"> (Hossain et al., 2019) </w:t>
      </w:r>
      <w:proofErr w:type="gramStart"/>
      <w:r w:rsidRPr="001E1970">
        <w:rPr>
          <w:rFonts w:ascii="Sakkal Majalla" w:eastAsia="Calibri" w:hAnsi="Sakkal Majalla" w:cs="Sakkal Majalla"/>
          <w:color w:val="000000" w:themeColor="text1"/>
          <w:sz w:val="28"/>
          <w:szCs w:val="28"/>
          <w:rtl/>
        </w:rPr>
        <w:t>و</w:t>
      </w:r>
      <w:r w:rsidRPr="001E1970">
        <w:rPr>
          <w:rFonts w:ascii="Sakkal Majalla" w:eastAsia="Calibri" w:hAnsi="Sakkal Majalla" w:cs="Sakkal Majalla"/>
          <w:color w:val="000000" w:themeColor="text1"/>
          <w:sz w:val="28"/>
          <w:szCs w:val="28"/>
        </w:rPr>
        <w:t>(</w:t>
      </w:r>
      <w:proofErr w:type="gramEnd"/>
      <w:r w:rsidRPr="001E1970">
        <w:rPr>
          <w:rFonts w:ascii="Sakkal Majalla" w:eastAsia="Calibri" w:hAnsi="Sakkal Majalla" w:cs="Sakkal Majalla"/>
          <w:color w:val="000000" w:themeColor="text1"/>
          <w:sz w:val="28"/>
          <w:szCs w:val="28"/>
        </w:rPr>
        <w:t xml:space="preserve">Thapa, 2022) </w:t>
      </w:r>
      <w:r w:rsidRPr="001E1970">
        <w:rPr>
          <w:rFonts w:ascii="Sakkal Majalla" w:eastAsia="Calibri" w:hAnsi="Sakkal Majalla" w:cs="Sakkal Majalla"/>
          <w:color w:val="000000" w:themeColor="text1"/>
          <w:sz w:val="28"/>
          <w:szCs w:val="28"/>
          <w:rtl/>
        </w:rPr>
        <w:t>مع الدراسة الحالية في إبراز أهمية العنصر البشري المؤهل والتدريب والدعم الفني في ضمان التشغيل الآمن والفعّال للأجهزة الطبية وتحقيق الاستدامة التشغيلية، وهو ما يعزز الأساس النظري والعملي للدراسة الحالية</w:t>
      </w:r>
      <w:r w:rsidRPr="001E1970">
        <w:rPr>
          <w:rFonts w:ascii="Sakkal Majalla" w:eastAsia="Calibri" w:hAnsi="Sakkal Majalla" w:cs="Sakkal Majalla"/>
          <w:color w:val="000000" w:themeColor="text1"/>
          <w:sz w:val="28"/>
          <w:szCs w:val="28"/>
        </w:rPr>
        <w:t>.</w:t>
      </w:r>
    </w:p>
    <w:p w14:paraId="0FE36011" w14:textId="6DE5D693" w:rsidR="002A62F6" w:rsidRPr="001E1970" w:rsidRDefault="002A62F6" w:rsidP="00C8194B">
      <w:pPr>
        <w:spacing w:before="100" w:beforeAutospacing="1" w:after="100" w:afterAutospacing="1" w:line="360" w:lineRule="auto"/>
        <w:ind w:left="-2" w:firstLine="708"/>
        <w:jc w:val="both"/>
        <w:rPr>
          <w:rFonts w:ascii="Sakkal Majalla" w:eastAsia="Calibri" w:hAnsi="Sakkal Majalla" w:cs="Sakkal Majalla"/>
          <w:color w:val="000000" w:themeColor="text1"/>
          <w:sz w:val="28"/>
          <w:szCs w:val="28"/>
        </w:rPr>
      </w:pPr>
      <w:r w:rsidRPr="001E1970">
        <w:rPr>
          <w:rFonts w:ascii="Sakkal Majalla" w:eastAsia="Calibri" w:hAnsi="Sakkal Majalla" w:cs="Sakkal Majalla"/>
          <w:color w:val="000000" w:themeColor="text1"/>
          <w:sz w:val="28"/>
          <w:szCs w:val="28"/>
          <w:rtl/>
        </w:rPr>
        <w:t>تختلف الدراسة الحالية عن الدراسات السابقة من حيث زاوية المعالجة والمتغير التابع؛ إذ تركز بشكل مباشر على معدلات استيعاب الكوادر الفنية بوصفها متغيرًا تابعًا رئيسًا في سياق مشاريع تحديث الأجهزة الطبية، بينما انصبت معظم الدراسات السابقة على متغيرات أخرى مثل كفاءة الأداء المؤسسي، جودة الخدمة الصحية، سلامة المرضى، أو الميزة التنافسية. كما أن بعض الدراسات مثل</w:t>
      </w:r>
      <w:r w:rsidRPr="001E1970">
        <w:rPr>
          <w:rFonts w:ascii="Sakkal Majalla" w:eastAsia="Calibri" w:hAnsi="Sakkal Majalla" w:cs="Sakkal Majalla"/>
          <w:color w:val="000000" w:themeColor="text1"/>
          <w:sz w:val="28"/>
          <w:szCs w:val="28"/>
        </w:rPr>
        <w:t xml:space="preserve"> (Mansour et al., 2024) </w:t>
      </w:r>
      <w:r w:rsidRPr="001E1970">
        <w:rPr>
          <w:rFonts w:ascii="Sakkal Majalla" w:eastAsia="Calibri" w:hAnsi="Sakkal Majalla" w:cs="Sakkal Majalla"/>
          <w:color w:val="000000" w:themeColor="text1"/>
          <w:sz w:val="28"/>
          <w:szCs w:val="28"/>
          <w:rtl/>
        </w:rPr>
        <w:t xml:space="preserve">اعتمدت منهج المراجعة الأدبية دون تطبيق ميداني، في حين أن الدراسة الحالية تتبنى دراسة ميدانية تطبيقية في بيئة صحية محددة. إضافة إلى ذلك، فإن الدراسات غير الصحية مثل (هملان وآخرون، 2020) و(فريد وحمانه، 2021) تناولت إدارة التغيير في قطاعات خدمية وصناعية مختلفة، بينما تنفرد </w:t>
      </w:r>
      <w:r w:rsidRPr="001E1970">
        <w:rPr>
          <w:rFonts w:ascii="Sakkal Majalla" w:eastAsia="Calibri" w:hAnsi="Sakkal Majalla" w:cs="Sakkal Majalla"/>
          <w:color w:val="000000" w:themeColor="text1"/>
          <w:sz w:val="28"/>
          <w:szCs w:val="28"/>
          <w:rtl/>
        </w:rPr>
        <w:lastRenderedPageBreak/>
        <w:t>الدراسة الحالية بتركيزها على القطاع الصحي ومجال الأجهزة الطبية تحديدًا، وهو ما يمنحها بعدًا تخصصيًا يسد فجوة بحثية واضحة في الأدبيات العربية المعاصرة</w:t>
      </w:r>
      <w:r w:rsidRPr="001E1970">
        <w:rPr>
          <w:rFonts w:ascii="Sakkal Majalla" w:eastAsia="Calibri" w:hAnsi="Sakkal Majalla" w:cs="Sakkal Majalla"/>
          <w:color w:val="000000" w:themeColor="text1"/>
          <w:sz w:val="28"/>
          <w:szCs w:val="28"/>
        </w:rPr>
        <w:t>.</w:t>
      </w:r>
    </w:p>
    <w:p w14:paraId="6BA13489" w14:textId="2B870273" w:rsidR="00C8194B" w:rsidRPr="001E1970" w:rsidRDefault="00C8194B" w:rsidP="00C819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169790502"/>
      <w:bookmarkStart w:id="34" w:name="_Toc223527760"/>
      <w:bookmarkEnd w:id="30"/>
      <w:bookmarkEnd w:id="31"/>
      <w:r w:rsidRPr="001E1970">
        <w:rPr>
          <w:rFonts w:ascii="Sakkal Majalla" w:hAnsi="Sakkal Majalla" w:cs="Sakkal Majalla"/>
          <w:b/>
          <w:bCs/>
          <w:color w:val="000000" w:themeColor="text1"/>
          <w:sz w:val="36"/>
          <w:szCs w:val="36"/>
          <w:rtl/>
        </w:rPr>
        <w:t>9.1 المنطلقات النظرية للدراسة:</w:t>
      </w:r>
      <w:bookmarkEnd w:id="34"/>
    </w:p>
    <w:p w14:paraId="70E07888" w14:textId="77777777" w:rsidR="002A62F6" w:rsidRPr="001E1970" w:rsidRDefault="00CC1EF2" w:rsidP="00383BB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E1970">
        <w:rPr>
          <w:rFonts w:ascii="Sakkal Majalla" w:hAnsi="Sakkal Majalla" w:cs="Sakkal Majalla"/>
          <w:b/>
          <w:bCs/>
          <w:color w:val="000000" w:themeColor="text1"/>
          <w:sz w:val="32"/>
          <w:szCs w:val="32"/>
        </w:rPr>
        <w:t xml:space="preserve"> </w:t>
      </w:r>
      <w:bookmarkStart w:id="35" w:name="_Toc213769064"/>
      <w:r w:rsidR="00D63D9D" w:rsidRPr="001E1970">
        <w:rPr>
          <w:rFonts w:ascii="Sakkal Majalla" w:eastAsia="Times New Roman" w:hAnsi="Sakkal Majalla" w:cs="Sakkal Majalla"/>
          <w:b/>
          <w:bCs/>
          <w:color w:val="000000" w:themeColor="text1"/>
          <w:kern w:val="0"/>
          <w:sz w:val="32"/>
          <w:szCs w:val="32"/>
          <w:rtl/>
          <w14:ligatures w14:val="none"/>
        </w:rPr>
        <w:t xml:space="preserve"> </w:t>
      </w:r>
      <w:r w:rsidR="002A62F6" w:rsidRPr="001E1970">
        <w:rPr>
          <w:rFonts w:ascii="Sakkal Majalla" w:eastAsia="Times New Roman" w:hAnsi="Sakkal Majalla" w:cs="Sakkal Majalla"/>
          <w:b/>
          <w:bCs/>
          <w:color w:val="000000" w:themeColor="text1"/>
          <w:kern w:val="0"/>
          <w:sz w:val="32"/>
          <w:szCs w:val="32"/>
          <w:rtl/>
          <w14:ligatures w14:val="none"/>
        </w:rPr>
        <w:t>أولًا: مفهوم إدارة التغيير وأهميته التنظيمية</w:t>
      </w:r>
    </w:p>
    <w:p w14:paraId="6E7CECA5"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تُعد إدارة التغيير من المفاهيم الإدارية المعاصرة التي حظيت باهتمام واسع في الفكر الإداري الحديث، نظرًا لما تواجهه المنظمات من تحديات متسارعة ناتجة عن التطورات التكنولوجية، والتغيرات الاقتصادية، والتحولات التنظيمية. ويُقصد بإدارة التغيير مجموعة العمليات المخططة والمنهجية التي تهدف إلى الانتقال بالمنظمة من وضعها الحالي إلى وضع مستقبلي أكثر كفاءة وفاعلية، من خلال التأثير في الهياكل التنظيمية، والموارد البشرية، والثقافة التنظيمية، والتقنيات المستخدمة، بما يضمن تحقيق الأهداف الاستراتيجية وتقليل مقاومة التغيير</w:t>
      </w:r>
      <w:r w:rsidRPr="001E1970">
        <w:rPr>
          <w:rFonts w:ascii="Sakkal Majalla" w:eastAsia="Times New Roman" w:hAnsi="Sakkal Majalla" w:cs="Sakkal Majalla"/>
          <w:color w:val="000000" w:themeColor="text1"/>
          <w:kern w:val="0"/>
          <w:sz w:val="28"/>
          <w:szCs w:val="28"/>
          <w14:ligatures w14:val="none"/>
        </w:rPr>
        <w:t>.</w:t>
      </w:r>
    </w:p>
    <w:p w14:paraId="498F5DDE"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وتبرز أهمية إدارة التغيير في كونها أداة استراتيجية تساعد المؤسسات على التكيف مع البيئة الخارجية، وتحسين الأداء، وتعزيز الاستدامة التنظيمية. وفي المؤسسات الصحية على وجه الخصوص، تزداد أهمية إدارة التغيير نظرًا لحساسية الخدمات المقدمة، وارتباطها المباشر بسلامة المرضى وجودة الرعاية الصحية، مما يتطلب إدارة واعية للتغييرات التقنية والتنظيمية والبشرية</w:t>
      </w:r>
      <w:r w:rsidRPr="001E1970">
        <w:rPr>
          <w:rFonts w:ascii="Sakkal Majalla" w:eastAsia="Times New Roman" w:hAnsi="Sakkal Majalla" w:cs="Sakkal Majalla"/>
          <w:color w:val="000000" w:themeColor="text1"/>
          <w:kern w:val="0"/>
          <w:sz w:val="28"/>
          <w:szCs w:val="28"/>
          <w14:ligatures w14:val="none"/>
        </w:rPr>
        <w:t>.</w:t>
      </w:r>
    </w:p>
    <w:p w14:paraId="1C10E518" w14:textId="77777777" w:rsidR="002A62F6" w:rsidRPr="001E1970" w:rsidRDefault="002A62F6" w:rsidP="00383BB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E1970">
        <w:rPr>
          <w:rFonts w:ascii="Sakkal Majalla" w:eastAsia="Times New Roman" w:hAnsi="Sakkal Majalla" w:cs="Sakkal Majalla"/>
          <w:b/>
          <w:bCs/>
          <w:color w:val="000000" w:themeColor="text1"/>
          <w:kern w:val="0"/>
          <w:sz w:val="32"/>
          <w:szCs w:val="32"/>
          <w:rtl/>
          <w14:ligatures w14:val="none"/>
        </w:rPr>
        <w:t>ثانيًا: أبعاد إدارة التغيير</w:t>
      </w:r>
    </w:p>
    <w:p w14:paraId="4F317C38"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تتعدد أبعاد إدارة التغيير وفقًا للأدبيات الإدارية، إلا أن الدراسة الحالية تعتمد أربعة أبعاد رئيسة، نظرًا لملاءمتها لطبيعة مشاريع تحديث الأجهزة الطبية، وهي</w:t>
      </w:r>
      <w:r w:rsidRPr="001E1970">
        <w:rPr>
          <w:rFonts w:ascii="Sakkal Majalla" w:eastAsia="Times New Roman" w:hAnsi="Sakkal Majalla" w:cs="Sakkal Majalla"/>
          <w:color w:val="000000" w:themeColor="text1"/>
          <w:kern w:val="0"/>
          <w:sz w:val="28"/>
          <w:szCs w:val="28"/>
          <w14:ligatures w14:val="none"/>
        </w:rPr>
        <w:t>:</w:t>
      </w:r>
    </w:p>
    <w:p w14:paraId="38775A85" w14:textId="69A8EB20" w:rsidR="002A62F6" w:rsidRPr="001E1970" w:rsidRDefault="00C8194B" w:rsidP="00C8194B">
      <w:pPr>
        <w:pStyle w:val="ListParagraph"/>
        <w:numPr>
          <w:ilvl w:val="0"/>
          <w:numId w:val="19"/>
        </w:numPr>
        <w:ind w:left="423"/>
        <w:rPr>
          <w:rFonts w:ascii="Sakkal Majalla" w:eastAsia="Times New Roman" w:hAnsi="Sakkal Majalla" w:cs="Sakkal Majalla"/>
          <w:b/>
          <w:bCs/>
          <w:color w:val="000000" w:themeColor="text1"/>
          <w:kern w:val="0"/>
          <w:sz w:val="28"/>
          <w:szCs w:val="28"/>
          <w14:ligatures w14:val="none"/>
        </w:rPr>
      </w:pPr>
      <w:r w:rsidRPr="001E1970">
        <w:rPr>
          <w:rFonts w:ascii="Sakkal Majalla" w:eastAsia="Times New Roman" w:hAnsi="Sakkal Majalla" w:cs="Sakkal Majalla"/>
          <w:b/>
          <w:bCs/>
          <w:color w:val="000000" w:themeColor="text1"/>
          <w:kern w:val="0"/>
          <w:sz w:val="28"/>
          <w:szCs w:val="28"/>
          <w:rtl/>
          <w14:ligatures w14:val="none"/>
        </w:rPr>
        <w:br w:type="page"/>
      </w:r>
      <w:r w:rsidR="002A62F6" w:rsidRPr="001E1970">
        <w:rPr>
          <w:rFonts w:ascii="Sakkal Majalla" w:eastAsia="Times New Roman" w:hAnsi="Sakkal Majalla" w:cs="Sakkal Majalla"/>
          <w:b/>
          <w:bCs/>
          <w:color w:val="000000" w:themeColor="text1"/>
          <w:kern w:val="0"/>
          <w:sz w:val="28"/>
          <w:szCs w:val="28"/>
          <w:rtl/>
          <w14:ligatures w14:val="none"/>
        </w:rPr>
        <w:lastRenderedPageBreak/>
        <w:t>التغيير التنظيمي</w:t>
      </w:r>
    </w:p>
    <w:p w14:paraId="4E32E10B" w14:textId="77777777" w:rsidR="00C8194B"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E1970">
        <w:rPr>
          <w:rFonts w:ascii="Sakkal Majalla" w:eastAsia="Times New Roman" w:hAnsi="Sakkal Majalla" w:cs="Sakkal Majalla"/>
          <w:color w:val="000000" w:themeColor="text1"/>
          <w:kern w:val="0"/>
          <w:sz w:val="28"/>
          <w:szCs w:val="28"/>
          <w:rtl/>
          <w14:ligatures w14:val="none"/>
        </w:rPr>
        <w:t>يشير التغيير التنظيمي إلى التعديلات التي تطرأ على الهياكل التنظيمية، والإجراءات، والسياسات، وأنماط الاتصال داخل المؤسسة. ويشمل ذلك إعادة توزيع الصلاحيات، وتحديث الإجراءات التشغيلية، وتحسين التنسيق بين الإدارات المختلفة</w:t>
      </w:r>
      <w:r w:rsidR="00C8194B" w:rsidRPr="001E1970">
        <w:rPr>
          <w:rFonts w:ascii="Sakkal Majalla" w:eastAsia="Times New Roman" w:hAnsi="Sakkal Majalla" w:cs="Sakkal Majalla"/>
          <w:color w:val="000000" w:themeColor="text1"/>
          <w:kern w:val="0"/>
          <w:sz w:val="28"/>
          <w:szCs w:val="28"/>
          <w14:ligatures w14:val="none"/>
        </w:rPr>
        <w:t>.</w:t>
      </w:r>
    </w:p>
    <w:p w14:paraId="55D8628D" w14:textId="10F03CEA"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في مشاريع تحديث الأجهزة الطبية، يلعب التغيير التنظيمي دورًا محوريًا في تسهيل دمج الأجهزة الجديدة ضمن بيئة العمل، وتوضيح الأدوار والمسؤوليات بين الإدارات الفنية والطبية، مما ينعكس إيجابًا على قدرة الكوادر الفنية على استيعاب التحديثات التقنية</w:t>
      </w:r>
      <w:r w:rsidRPr="001E1970">
        <w:rPr>
          <w:rFonts w:ascii="Sakkal Majalla" w:eastAsia="Times New Roman" w:hAnsi="Sakkal Majalla" w:cs="Sakkal Majalla"/>
          <w:color w:val="000000" w:themeColor="text1"/>
          <w:kern w:val="0"/>
          <w:sz w:val="28"/>
          <w:szCs w:val="28"/>
          <w14:ligatures w14:val="none"/>
        </w:rPr>
        <w:t>.</w:t>
      </w:r>
    </w:p>
    <w:p w14:paraId="6949AAF0" w14:textId="1792C152" w:rsidR="002A62F6" w:rsidRPr="001E1970" w:rsidRDefault="002A62F6" w:rsidP="00C8194B">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E1970">
        <w:rPr>
          <w:rFonts w:ascii="Sakkal Majalla" w:eastAsia="Times New Roman" w:hAnsi="Sakkal Majalla" w:cs="Sakkal Majalla"/>
          <w:b/>
          <w:bCs/>
          <w:color w:val="000000" w:themeColor="text1"/>
          <w:kern w:val="0"/>
          <w:sz w:val="28"/>
          <w:szCs w:val="28"/>
          <w:rtl/>
          <w14:ligatures w14:val="none"/>
        </w:rPr>
        <w:t>التغيير التكنولوجي</w:t>
      </w:r>
    </w:p>
    <w:p w14:paraId="4A2FB2B9"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يُقصد بالتغيير التكنولوجي إدخال أو تطوير التقنيات والأنظمة والأجهزة الحديثة داخل المؤسسة، بما يشمل الأجهزة الطبية المتقدمة، وأنظمة المعلومات الصحية، وبرمجيات التشغيل والصيانة</w:t>
      </w:r>
      <w:r w:rsidRPr="001E1970">
        <w:rPr>
          <w:rFonts w:ascii="Sakkal Majalla" w:eastAsia="Times New Roman" w:hAnsi="Sakkal Majalla" w:cs="Sakkal Majalla"/>
          <w:color w:val="000000" w:themeColor="text1"/>
          <w:kern w:val="0"/>
          <w:sz w:val="28"/>
          <w:szCs w:val="28"/>
          <w14:ligatures w14:val="none"/>
        </w:rPr>
        <w:t>.</w:t>
      </w:r>
      <w:r w:rsidRPr="001E1970">
        <w:rPr>
          <w:rFonts w:ascii="Sakkal Majalla" w:eastAsia="Times New Roman" w:hAnsi="Sakkal Majalla" w:cs="Sakkal Majalla"/>
          <w:color w:val="000000" w:themeColor="text1"/>
          <w:kern w:val="0"/>
          <w:sz w:val="28"/>
          <w:szCs w:val="28"/>
          <w14:ligatures w14:val="none"/>
        </w:rPr>
        <w:br/>
      </w:r>
      <w:r w:rsidRPr="001E1970">
        <w:rPr>
          <w:rFonts w:ascii="Sakkal Majalla" w:eastAsia="Times New Roman" w:hAnsi="Sakkal Majalla" w:cs="Sakkal Majalla"/>
          <w:color w:val="000000" w:themeColor="text1"/>
          <w:kern w:val="0"/>
          <w:sz w:val="28"/>
          <w:szCs w:val="28"/>
          <w:rtl/>
          <w14:ligatures w14:val="none"/>
        </w:rPr>
        <w:t>ويُعد التغيير التكنولوجي من أكثر أبعاد التغيير حساسية، نظرًا لما يتطلبه من مهارات فنية متخصصة وقدرة على التعلم والتكيف السريع. ويؤثر هذا البعد بشكل مباشر على معدلات استيعاب الكوادر الفنية، إذ إن غياب التخطيط الجيد أو ضعف التدريب قد يؤدي إلى مقاومة التغيير أو سوء استخدام الأجهزة الطبية الحديثة</w:t>
      </w:r>
      <w:r w:rsidRPr="001E1970">
        <w:rPr>
          <w:rFonts w:ascii="Sakkal Majalla" w:eastAsia="Times New Roman" w:hAnsi="Sakkal Majalla" w:cs="Sakkal Majalla"/>
          <w:color w:val="000000" w:themeColor="text1"/>
          <w:kern w:val="0"/>
          <w:sz w:val="28"/>
          <w:szCs w:val="28"/>
          <w14:ligatures w14:val="none"/>
        </w:rPr>
        <w:t>.</w:t>
      </w:r>
    </w:p>
    <w:p w14:paraId="22E82E83" w14:textId="4ACF8E4B" w:rsidR="002A62F6" w:rsidRPr="001E1970" w:rsidRDefault="002A62F6" w:rsidP="00C8194B">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E1970">
        <w:rPr>
          <w:rFonts w:ascii="Sakkal Majalla" w:eastAsia="Times New Roman" w:hAnsi="Sakkal Majalla" w:cs="Sakkal Majalla"/>
          <w:b/>
          <w:bCs/>
          <w:color w:val="000000" w:themeColor="text1"/>
          <w:kern w:val="0"/>
          <w:sz w:val="28"/>
          <w:szCs w:val="28"/>
          <w:rtl/>
          <w14:ligatures w14:val="none"/>
        </w:rPr>
        <w:t>التغيير البشري</w:t>
      </w:r>
    </w:p>
    <w:p w14:paraId="65CF15EF" w14:textId="77777777" w:rsidR="00C8194B"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E1970">
        <w:rPr>
          <w:rFonts w:ascii="Sakkal Majalla" w:eastAsia="Times New Roman" w:hAnsi="Sakkal Majalla" w:cs="Sakkal Majalla"/>
          <w:color w:val="000000" w:themeColor="text1"/>
          <w:kern w:val="0"/>
          <w:sz w:val="28"/>
          <w:szCs w:val="28"/>
          <w:rtl/>
          <w14:ligatures w14:val="none"/>
        </w:rPr>
        <w:t>يركز التغيير البشري على العنصر الإنساني باعتباره محور عملية التغيير، ويشمل ذلك تطوير المهارات، وبناء القدرات، والتحفيز، وإدارة مقاومة التغيير، وتعزيز المشاركة الفعّالة للعاملين</w:t>
      </w:r>
      <w:r w:rsidR="00C8194B" w:rsidRPr="001E1970">
        <w:rPr>
          <w:rFonts w:ascii="Sakkal Majalla" w:eastAsia="Times New Roman" w:hAnsi="Sakkal Majalla" w:cs="Sakkal Majalla"/>
          <w:color w:val="000000" w:themeColor="text1"/>
          <w:kern w:val="0"/>
          <w:sz w:val="28"/>
          <w:szCs w:val="28"/>
          <w14:ligatures w14:val="none"/>
        </w:rPr>
        <w:t>.</w:t>
      </w:r>
    </w:p>
    <w:p w14:paraId="404D201F" w14:textId="548964B0"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وتُعد الكوادر الفنية في المستشفيات من أكثر الفئات تأثرًا بالتغيير، لا سيما في مشاريع تحديث الأجهزة الطبية، حيث يتطلب الأمر اكتساب معارف تقنية جديدة، وتحمّل أعباء تشغيلية إضافية. ومن ثم، فإن الاستثمار في التدريب المستمر، والدعم الفني، والتحفيز المعنوي والمادي يُعد عاملًا حاسمًا في رفع معدلات الاستيعاب والقبول بالتغيير</w:t>
      </w:r>
      <w:r w:rsidRPr="001E1970">
        <w:rPr>
          <w:rFonts w:ascii="Sakkal Majalla" w:eastAsia="Times New Roman" w:hAnsi="Sakkal Majalla" w:cs="Sakkal Majalla"/>
          <w:color w:val="000000" w:themeColor="text1"/>
          <w:kern w:val="0"/>
          <w:sz w:val="28"/>
          <w:szCs w:val="28"/>
          <w14:ligatures w14:val="none"/>
        </w:rPr>
        <w:t>.</w:t>
      </w:r>
    </w:p>
    <w:p w14:paraId="69D61881" w14:textId="6D0097E1" w:rsidR="002A62F6" w:rsidRPr="001E1970" w:rsidRDefault="002A62F6" w:rsidP="00C8194B">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1E1970">
        <w:rPr>
          <w:rFonts w:ascii="Sakkal Majalla" w:eastAsia="Times New Roman" w:hAnsi="Sakkal Majalla" w:cs="Sakkal Majalla"/>
          <w:b/>
          <w:bCs/>
          <w:color w:val="000000" w:themeColor="text1"/>
          <w:kern w:val="0"/>
          <w:sz w:val="28"/>
          <w:szCs w:val="28"/>
          <w:rtl/>
          <w14:ligatures w14:val="none"/>
        </w:rPr>
        <w:lastRenderedPageBreak/>
        <w:t>التغيير الثقافي</w:t>
      </w:r>
    </w:p>
    <w:p w14:paraId="5577057F"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يشير التغيير الثقافي إلى التعديلات التي تطرأ على القيم والمعتقدات والاتجاهات التنظيمية السائدة داخل المؤسسة. ويُعد هذا البعد من أكثر الأبعاد تعقيدًا، نظرًا لارتباطه بالسلوكيات الراسخة للعاملين</w:t>
      </w:r>
      <w:r w:rsidRPr="001E1970">
        <w:rPr>
          <w:rFonts w:ascii="Sakkal Majalla" w:eastAsia="Times New Roman" w:hAnsi="Sakkal Majalla" w:cs="Sakkal Majalla"/>
          <w:color w:val="000000" w:themeColor="text1"/>
          <w:kern w:val="0"/>
          <w:sz w:val="28"/>
          <w:szCs w:val="28"/>
          <w14:ligatures w14:val="none"/>
        </w:rPr>
        <w:t>.</w:t>
      </w:r>
      <w:r w:rsidRPr="001E1970">
        <w:rPr>
          <w:rFonts w:ascii="Sakkal Majalla" w:eastAsia="Times New Roman" w:hAnsi="Sakkal Majalla" w:cs="Sakkal Majalla"/>
          <w:color w:val="000000" w:themeColor="text1"/>
          <w:kern w:val="0"/>
          <w:sz w:val="28"/>
          <w:szCs w:val="28"/>
          <w14:ligatures w14:val="none"/>
        </w:rPr>
        <w:br/>
      </w:r>
      <w:r w:rsidRPr="001E1970">
        <w:rPr>
          <w:rFonts w:ascii="Sakkal Majalla" w:eastAsia="Times New Roman" w:hAnsi="Sakkal Majalla" w:cs="Sakkal Majalla"/>
          <w:color w:val="000000" w:themeColor="text1"/>
          <w:kern w:val="0"/>
          <w:sz w:val="28"/>
          <w:szCs w:val="28"/>
          <w:rtl/>
          <w14:ligatures w14:val="none"/>
        </w:rPr>
        <w:t>وفي سياق المؤسسات الصحية، تسهم الثقافة التنظيمية الداعمة للتعلم والابتكار والعمل الجماعي في تقليل مقاومة التغيير، وتعزيز تقبل الكوادر الفنية لمشاريع التحديث التقني، بما ينعكس إيجابًا على نجاح تلك المشاريع واستدامتها</w:t>
      </w:r>
      <w:r w:rsidRPr="001E1970">
        <w:rPr>
          <w:rFonts w:ascii="Sakkal Majalla" w:eastAsia="Times New Roman" w:hAnsi="Sakkal Majalla" w:cs="Sakkal Majalla"/>
          <w:color w:val="000000" w:themeColor="text1"/>
          <w:kern w:val="0"/>
          <w:sz w:val="28"/>
          <w:szCs w:val="28"/>
          <w14:ligatures w14:val="none"/>
        </w:rPr>
        <w:t>.</w:t>
      </w:r>
    </w:p>
    <w:p w14:paraId="521AC3E9" w14:textId="77777777" w:rsidR="002A62F6" w:rsidRPr="001E1970" w:rsidRDefault="002A62F6" w:rsidP="00383BB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E1970">
        <w:rPr>
          <w:rFonts w:ascii="Sakkal Majalla" w:eastAsia="Times New Roman" w:hAnsi="Sakkal Majalla" w:cs="Sakkal Majalla"/>
          <w:b/>
          <w:bCs/>
          <w:color w:val="000000" w:themeColor="text1"/>
          <w:kern w:val="0"/>
          <w:sz w:val="32"/>
          <w:szCs w:val="32"/>
          <w:rtl/>
          <w14:ligatures w14:val="none"/>
        </w:rPr>
        <w:t>ثالثًا: مشاريع تحديث الأجهزة الطبية في المستشفيات</w:t>
      </w:r>
    </w:p>
    <w:p w14:paraId="67DA9543"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تُعد الأجهزة الطبية عنصرًا أساسيًا في المنظومة الصحية الحديثة، إذ تعتمد عليها عمليات التشخيص والعلاج والمتابعة. وتشير مشاريع تحديث الأجهزة الطبية إلى استبدال أو تطوير أو إدخال أجهزة وتقنيات طبية حديثة بهدف تحسين جودة الخدمات الصحية، ورفع كفاءة التشغيل، وتعزيز سلامة المرضى</w:t>
      </w:r>
      <w:r w:rsidRPr="001E1970">
        <w:rPr>
          <w:rFonts w:ascii="Sakkal Majalla" w:eastAsia="Times New Roman" w:hAnsi="Sakkal Majalla" w:cs="Sakkal Majalla"/>
          <w:color w:val="000000" w:themeColor="text1"/>
          <w:kern w:val="0"/>
          <w:sz w:val="28"/>
          <w:szCs w:val="28"/>
          <w14:ligatures w14:val="none"/>
        </w:rPr>
        <w:t>.</w:t>
      </w:r>
      <w:r w:rsidRPr="001E1970">
        <w:rPr>
          <w:rFonts w:ascii="Sakkal Majalla" w:eastAsia="Times New Roman" w:hAnsi="Sakkal Majalla" w:cs="Sakkal Majalla"/>
          <w:color w:val="000000" w:themeColor="text1"/>
          <w:kern w:val="0"/>
          <w:sz w:val="28"/>
          <w:szCs w:val="28"/>
          <w14:ligatures w14:val="none"/>
        </w:rPr>
        <w:br/>
      </w:r>
      <w:r w:rsidRPr="001E1970">
        <w:rPr>
          <w:rFonts w:ascii="Sakkal Majalla" w:eastAsia="Times New Roman" w:hAnsi="Sakkal Majalla" w:cs="Sakkal Majalla"/>
          <w:color w:val="000000" w:themeColor="text1"/>
          <w:kern w:val="0"/>
          <w:sz w:val="28"/>
          <w:szCs w:val="28"/>
          <w:rtl/>
          <w14:ligatures w14:val="none"/>
        </w:rPr>
        <w:t>وتتسم هذه المشاريع بالتعقيد، نظرًا لتداخل الجوانب التقنية والتنظيمية والبشرية، إضافة إلى ارتفاع تكلفتها، وحساسيتها التشغيلية. ومن هنا، فإن نجاح مشاريع تحديث الأجهزة الطبية لا يعتمد فقط على توفر الأجهزة الحديثة، بل يرتبط بدرجة كبيرة بقدرة الكوادر الفنية على استيعاب هذه الأجهزة وتشغيلها وصيانتها بكفاءة</w:t>
      </w:r>
      <w:r w:rsidRPr="001E1970">
        <w:rPr>
          <w:rFonts w:ascii="Sakkal Majalla" w:eastAsia="Times New Roman" w:hAnsi="Sakkal Majalla" w:cs="Sakkal Majalla"/>
          <w:color w:val="000000" w:themeColor="text1"/>
          <w:kern w:val="0"/>
          <w:sz w:val="28"/>
          <w:szCs w:val="28"/>
          <w14:ligatures w14:val="none"/>
        </w:rPr>
        <w:t>.</w:t>
      </w:r>
    </w:p>
    <w:p w14:paraId="479D2074" w14:textId="77777777" w:rsidR="002A62F6" w:rsidRPr="001E1970" w:rsidRDefault="002A62F6" w:rsidP="00383BB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E1970">
        <w:rPr>
          <w:rFonts w:ascii="Sakkal Majalla" w:eastAsia="Times New Roman" w:hAnsi="Sakkal Majalla" w:cs="Sakkal Majalla"/>
          <w:b/>
          <w:bCs/>
          <w:color w:val="000000" w:themeColor="text1"/>
          <w:kern w:val="0"/>
          <w:sz w:val="32"/>
          <w:szCs w:val="32"/>
          <w:rtl/>
          <w14:ligatures w14:val="none"/>
        </w:rPr>
        <w:t>رابعًا: مفهوم استيعاب الكوادر الفنية</w:t>
      </w:r>
    </w:p>
    <w:p w14:paraId="71F2D84E" w14:textId="482B147E"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يُقصد باستيعاب الكوادر الفنية قدرة العاملين الفنيين على فهم التقنيات الجديدة، والتعامل معها بكفاءة، وتطبيقها عمليًا في بيئة العمل، بما يشمل الجوانب المعرفية والمهارية والسلوكية</w:t>
      </w:r>
      <w:r w:rsidR="00C8194B" w:rsidRPr="001E1970">
        <w:rPr>
          <w:rFonts w:ascii="Sakkal Majalla" w:eastAsia="Times New Roman" w:hAnsi="Sakkal Majalla" w:cs="Sakkal Majalla"/>
          <w:color w:val="000000" w:themeColor="text1"/>
          <w:kern w:val="0"/>
          <w:sz w:val="28"/>
          <w:szCs w:val="28"/>
          <w14:ligatures w14:val="none"/>
        </w:rPr>
        <w:t>.</w:t>
      </w:r>
      <w:r w:rsidR="00C8194B" w:rsidRPr="001E1970">
        <w:rPr>
          <w:rFonts w:ascii="Sakkal Majalla" w:eastAsia="Times New Roman" w:hAnsi="Sakkal Majalla" w:cs="Sakkal Majalla" w:hint="cs"/>
          <w:color w:val="000000" w:themeColor="text1"/>
          <w:kern w:val="0"/>
          <w:sz w:val="28"/>
          <w:szCs w:val="28"/>
          <w:rtl/>
          <w14:ligatures w14:val="none"/>
        </w:rPr>
        <w:t xml:space="preserve"> </w:t>
      </w:r>
      <w:r w:rsidRPr="001E1970">
        <w:rPr>
          <w:rFonts w:ascii="Sakkal Majalla" w:eastAsia="Times New Roman" w:hAnsi="Sakkal Majalla" w:cs="Sakkal Majalla"/>
          <w:color w:val="000000" w:themeColor="text1"/>
          <w:kern w:val="0"/>
          <w:sz w:val="28"/>
          <w:szCs w:val="28"/>
          <w:rtl/>
          <w14:ligatures w14:val="none"/>
        </w:rPr>
        <w:t xml:space="preserve">ويتأثر استيعاب الكوادر الفنية بعدة عوامل، من أبرزها: مستوى التدريب، والخبرة العملية، والدعم الإداري، </w:t>
      </w:r>
      <w:r w:rsidRPr="001E1970">
        <w:rPr>
          <w:rFonts w:ascii="Sakkal Majalla" w:eastAsia="Times New Roman" w:hAnsi="Sakkal Majalla" w:cs="Sakkal Majalla"/>
          <w:color w:val="000000" w:themeColor="text1"/>
          <w:kern w:val="0"/>
          <w:sz w:val="28"/>
          <w:szCs w:val="28"/>
          <w:rtl/>
          <w14:ligatures w14:val="none"/>
        </w:rPr>
        <w:lastRenderedPageBreak/>
        <w:t>ووضوح الأدوار، والثقافة التنظيمية، ومدى فاعلية إدارة التغيير. ويُعد ضعف الاستيعاب أحد الأسباب الرئيسة لفشل مشاريع التحديث التقني أو انخفاض العائد المتوقع منها</w:t>
      </w:r>
      <w:r w:rsidRPr="001E1970">
        <w:rPr>
          <w:rFonts w:ascii="Sakkal Majalla" w:eastAsia="Times New Roman" w:hAnsi="Sakkal Majalla" w:cs="Sakkal Majalla"/>
          <w:color w:val="000000" w:themeColor="text1"/>
          <w:kern w:val="0"/>
          <w:sz w:val="28"/>
          <w:szCs w:val="28"/>
          <w14:ligatures w14:val="none"/>
        </w:rPr>
        <w:t>.</w:t>
      </w:r>
    </w:p>
    <w:p w14:paraId="0C612432" w14:textId="77777777" w:rsidR="002A62F6" w:rsidRPr="001E1970" w:rsidRDefault="002A62F6" w:rsidP="00383BB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E1970">
        <w:rPr>
          <w:rFonts w:ascii="Sakkal Majalla" w:eastAsia="Times New Roman" w:hAnsi="Sakkal Majalla" w:cs="Sakkal Majalla"/>
          <w:b/>
          <w:bCs/>
          <w:color w:val="000000" w:themeColor="text1"/>
          <w:kern w:val="0"/>
          <w:sz w:val="32"/>
          <w:szCs w:val="32"/>
          <w:rtl/>
          <w14:ligatures w14:val="none"/>
        </w:rPr>
        <w:t>خامسًا: العلاقة بين إدارة التغيير واستيعاب الكوادر الفنية</w:t>
      </w:r>
    </w:p>
    <w:p w14:paraId="05B64F62" w14:textId="56543E4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تشير الأدبيات إلى وجود علاقة وثيقة بين فاعلية إدارة التغيير ونجاح المشاريع التقنية، ولا سيما في القطاع الصحي. فكلما كانت إدارة التغيير أكثر شمولية وتخطيطًا، زادت قدرة الكوادر الفنية على التكيف مع التحديثات التقنية، وارتفعت معدلات الاستيعاب والقبول</w:t>
      </w:r>
      <w:r w:rsidR="00C8194B" w:rsidRPr="001E1970">
        <w:rPr>
          <w:rFonts w:ascii="Sakkal Majalla" w:eastAsia="Times New Roman" w:hAnsi="Sakkal Majalla" w:cs="Sakkal Majalla"/>
          <w:color w:val="000000" w:themeColor="text1"/>
          <w:kern w:val="0"/>
          <w:sz w:val="28"/>
          <w:szCs w:val="28"/>
          <w14:ligatures w14:val="none"/>
        </w:rPr>
        <w:t>.</w:t>
      </w:r>
      <w:r w:rsidR="00C8194B" w:rsidRPr="001E1970">
        <w:rPr>
          <w:rFonts w:ascii="Sakkal Majalla" w:eastAsia="Times New Roman" w:hAnsi="Sakkal Majalla" w:cs="Sakkal Majalla" w:hint="cs"/>
          <w:color w:val="000000" w:themeColor="text1"/>
          <w:kern w:val="0"/>
          <w:sz w:val="28"/>
          <w:szCs w:val="28"/>
          <w:rtl/>
          <w14:ligatures w14:val="none"/>
        </w:rPr>
        <w:t xml:space="preserve"> </w:t>
      </w:r>
      <w:r w:rsidRPr="001E1970">
        <w:rPr>
          <w:rFonts w:ascii="Sakkal Majalla" w:eastAsia="Times New Roman" w:hAnsi="Sakkal Majalla" w:cs="Sakkal Majalla"/>
          <w:color w:val="000000" w:themeColor="text1"/>
          <w:kern w:val="0"/>
          <w:sz w:val="28"/>
          <w:szCs w:val="28"/>
          <w:rtl/>
          <w14:ligatures w14:val="none"/>
        </w:rPr>
        <w:t>وتسهم أبعاد إدارة التغيير مجتمعة في خلق بيئة تنظيمية داعمة، تُشجع التعلم المستمر، وتقلل مقاومة التغيير، وتعزز الثقة في الإدارة، وهو ما يُعد شرطًا أساسيًا لنجاح مشاريع تحديث الأجهزة الطبية</w:t>
      </w:r>
      <w:r w:rsidRPr="001E1970">
        <w:rPr>
          <w:rFonts w:ascii="Sakkal Majalla" w:eastAsia="Times New Roman" w:hAnsi="Sakkal Majalla" w:cs="Sakkal Majalla"/>
          <w:color w:val="000000" w:themeColor="text1"/>
          <w:kern w:val="0"/>
          <w:sz w:val="28"/>
          <w:szCs w:val="28"/>
          <w14:ligatures w14:val="none"/>
        </w:rPr>
        <w:t>.</w:t>
      </w:r>
    </w:p>
    <w:p w14:paraId="3E102570" w14:textId="77777777" w:rsidR="002A62F6" w:rsidRPr="001E1970" w:rsidRDefault="002A62F6" w:rsidP="00383BBF">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1E1970">
        <w:rPr>
          <w:rFonts w:ascii="Sakkal Majalla" w:eastAsia="Times New Roman" w:hAnsi="Sakkal Majalla" w:cs="Sakkal Majalla"/>
          <w:b/>
          <w:bCs/>
          <w:color w:val="000000" w:themeColor="text1"/>
          <w:kern w:val="0"/>
          <w:sz w:val="32"/>
          <w:szCs w:val="32"/>
          <w:rtl/>
          <w14:ligatures w14:val="none"/>
        </w:rPr>
        <w:t>سادسًا: أهمية إدارة التغيير في المستشفيات الحكومية</w:t>
      </w:r>
    </w:p>
    <w:p w14:paraId="0C79146E"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تكتسب إدارة التغيير في المستشفيات الحكومية أهمية مضاعفة، نظرًا لما تواجهه من تحديات مثل محدودية الموارد، وتعقيد الإجراءات الإدارية، وتعدد الفئات الوظيفية. ومن ثم، فإن تطبيق إدارة تغيير فعّالة في مشاريع تحديث الأجهزة الطبية يسهم في تحسين كفاءة التشغيل، وضمان الاستغلال الأمثل للأجهزة الحديثة، وتحقيق أهداف التحديث الصحي بما يتماشى مع خطط التطوير الوطنية</w:t>
      </w:r>
      <w:r w:rsidRPr="001E1970">
        <w:rPr>
          <w:rFonts w:ascii="Sakkal Majalla" w:eastAsia="Times New Roman" w:hAnsi="Sakkal Majalla" w:cs="Sakkal Majalla"/>
          <w:color w:val="000000" w:themeColor="text1"/>
          <w:kern w:val="0"/>
          <w:sz w:val="28"/>
          <w:szCs w:val="28"/>
          <w14:ligatures w14:val="none"/>
        </w:rPr>
        <w:t>.</w:t>
      </w:r>
    </w:p>
    <w:p w14:paraId="443CA8C7" w14:textId="3D567B85" w:rsidR="00C8194B" w:rsidRPr="001E1970" w:rsidRDefault="00C8194B" w:rsidP="00C8194B">
      <w:pPr>
        <w:pStyle w:val="NormalWeb"/>
        <w:bidi/>
        <w:spacing w:line="360" w:lineRule="auto"/>
        <w:jc w:val="both"/>
        <w:outlineLvl w:val="1"/>
        <w:rPr>
          <w:rFonts w:ascii="Sakkal Majalla" w:hAnsi="Sakkal Majalla" w:cs="Sakkal Majalla"/>
          <w:b/>
          <w:bCs/>
          <w:color w:val="000000" w:themeColor="text1"/>
          <w:sz w:val="36"/>
          <w:szCs w:val="36"/>
          <w:rtl/>
        </w:rPr>
      </w:pPr>
      <w:bookmarkStart w:id="36" w:name="_Toc193461959"/>
      <w:bookmarkStart w:id="37" w:name="_Toc223527761"/>
      <w:bookmarkEnd w:id="33"/>
      <w:bookmarkEnd w:id="35"/>
      <w:r w:rsidRPr="001E1970">
        <w:rPr>
          <w:rFonts w:ascii="Sakkal Majalla" w:hAnsi="Sakkal Majalla" w:cs="Sakkal Majalla"/>
          <w:b/>
          <w:bCs/>
          <w:color w:val="000000" w:themeColor="text1"/>
          <w:sz w:val="36"/>
          <w:szCs w:val="36"/>
          <w:rtl/>
        </w:rPr>
        <w:t>10.1 المنهجية وطرق البحث:</w:t>
      </w:r>
      <w:bookmarkEnd w:id="37"/>
    </w:p>
    <w:p w14:paraId="097E76AF" w14:textId="77777777" w:rsidR="002A62F6" w:rsidRPr="001E1970" w:rsidRDefault="002A62F6" w:rsidP="00C8194B">
      <w:pPr>
        <w:pStyle w:val="NormalWeb"/>
        <w:bidi/>
        <w:spacing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ستعتمد هذه الدراسة على </w:t>
      </w:r>
      <w:r w:rsidRPr="001E1970">
        <w:rPr>
          <w:rStyle w:val="Strong"/>
          <w:rFonts w:ascii="Sakkal Majalla" w:hAnsi="Sakkal Majalla" w:cs="Sakkal Majalla"/>
          <w:b w:val="0"/>
          <w:bCs w:val="0"/>
          <w:color w:val="000000" w:themeColor="text1"/>
          <w:sz w:val="28"/>
          <w:szCs w:val="28"/>
          <w:rtl/>
        </w:rPr>
        <w:t>المنهج الوصفي التحليلي</w:t>
      </w:r>
      <w:r w:rsidRPr="001E1970">
        <w:rPr>
          <w:rFonts w:ascii="Sakkal Majalla" w:hAnsi="Sakkal Majalla" w:cs="Sakkal Majalla"/>
          <w:color w:val="000000" w:themeColor="text1"/>
          <w:sz w:val="28"/>
          <w:szCs w:val="28"/>
          <w:rtl/>
        </w:rPr>
        <w:t xml:space="preserve">؛ لملاءمته لطبيعة الدراسة وأهدافها، حيث سيُستخدم لوصف واقع إدارة التغيير في مشاريع تحديث الأجهزة الطبية، وتحليل أبعادها المتمثلة في (التغيير التنظيمي، التغيير التكنولوجي، التغيير البشري، والتغيير الثقافي)، وبيان أثرها على معدلات استيعاب الكوادر الفنية في مستشفى حفر الباطن المركزي. وسيتم جمع البيانات باستخدام </w:t>
      </w:r>
      <w:r w:rsidRPr="001E1970">
        <w:rPr>
          <w:rStyle w:val="Strong"/>
          <w:rFonts w:ascii="Sakkal Majalla" w:hAnsi="Sakkal Majalla" w:cs="Sakkal Majalla"/>
          <w:b w:val="0"/>
          <w:bCs w:val="0"/>
          <w:color w:val="000000" w:themeColor="text1"/>
          <w:sz w:val="28"/>
          <w:szCs w:val="28"/>
          <w:rtl/>
        </w:rPr>
        <w:t>أداة الاستبانة</w:t>
      </w:r>
      <w:r w:rsidRPr="001E1970">
        <w:rPr>
          <w:rFonts w:ascii="Sakkal Majalla" w:hAnsi="Sakkal Majalla" w:cs="Sakkal Majalla"/>
          <w:color w:val="000000" w:themeColor="text1"/>
          <w:sz w:val="28"/>
          <w:szCs w:val="28"/>
          <w:rtl/>
        </w:rPr>
        <w:t xml:space="preserve"> بوصفها الأداة الرئيسة للدراسة، لما توفره من إمكانية قياس آراء واتجاهات المبحوثين بصورة كمية منظمة، إلى جانب الاعتماد على الأدبيات والدراسات السابقة لبناء الإطار النظري وصياغة فقرات الأداة البحثية</w:t>
      </w:r>
      <w:r w:rsidRPr="001E1970">
        <w:rPr>
          <w:rFonts w:ascii="Sakkal Majalla" w:hAnsi="Sakkal Majalla" w:cs="Sakkal Majalla"/>
          <w:color w:val="000000" w:themeColor="text1"/>
          <w:sz w:val="28"/>
          <w:szCs w:val="28"/>
        </w:rPr>
        <w:t>.</w:t>
      </w:r>
    </w:p>
    <w:p w14:paraId="539BC761" w14:textId="77777777" w:rsidR="002A62F6" w:rsidRPr="001E1970" w:rsidRDefault="002A62F6" w:rsidP="00C8194B">
      <w:pPr>
        <w:pStyle w:val="NormalWeb"/>
        <w:bidi/>
        <w:spacing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 xml:space="preserve">كما ستتكوّن عينة الدراسة من </w:t>
      </w:r>
      <w:r w:rsidRPr="001E1970">
        <w:rPr>
          <w:rStyle w:val="Strong"/>
          <w:rFonts w:ascii="Sakkal Majalla" w:hAnsi="Sakkal Majalla" w:cs="Sakkal Majalla"/>
          <w:b w:val="0"/>
          <w:bCs w:val="0"/>
          <w:color w:val="000000" w:themeColor="text1"/>
          <w:sz w:val="28"/>
          <w:szCs w:val="28"/>
          <w:rtl/>
        </w:rPr>
        <w:t>الكوادر الفنية العاملة في مستشفى حفر الباطن المركزي</w:t>
      </w:r>
      <w:r w:rsidRPr="001E1970">
        <w:rPr>
          <w:rFonts w:ascii="Sakkal Majalla" w:hAnsi="Sakkal Majalla" w:cs="Sakkal Majalla"/>
          <w:color w:val="000000" w:themeColor="text1"/>
          <w:sz w:val="28"/>
          <w:szCs w:val="28"/>
          <w:rtl/>
        </w:rPr>
        <w:t xml:space="preserve"> ممن لهم علاقة مباشرة بتشغيل وصيانة الأجهزة الطبية الحديثة، وسيتم اختيارها وفق أسلوب مناسب يتماشى مع حجم المجتمع البحثي. وستُحلل البيانات باستخدام </w:t>
      </w:r>
      <w:r w:rsidRPr="001E1970">
        <w:rPr>
          <w:rStyle w:val="Strong"/>
          <w:rFonts w:ascii="Sakkal Majalla" w:hAnsi="Sakkal Majalla" w:cs="Sakkal Majalla"/>
          <w:b w:val="0"/>
          <w:bCs w:val="0"/>
          <w:color w:val="000000" w:themeColor="text1"/>
          <w:sz w:val="28"/>
          <w:szCs w:val="28"/>
          <w:rtl/>
        </w:rPr>
        <w:t>الأساليب الإحصائية الملائمة</w:t>
      </w:r>
      <w:r w:rsidRPr="001E1970">
        <w:rPr>
          <w:rFonts w:ascii="Sakkal Majalla" w:hAnsi="Sakkal Majalla" w:cs="Sakkal Majalla"/>
          <w:color w:val="000000" w:themeColor="text1"/>
          <w:sz w:val="28"/>
          <w:szCs w:val="28"/>
          <w:rtl/>
        </w:rPr>
        <w:t>، مثل المتوسطات الحسابية، والانحرافات المعيارية، ومعاملات الارتباط، وتحليل الانحدار، واختبارات الفروق الإحصائية، للتحقق من فروض الدراسة والإجابة عن أسئلتها، وصولًا إلى استخلاص النتائج وتقديم التوصيات التي تسهم في تعزيز فاعلية إدارة التغيير ورفع معدلات استيعاب الكوادر الفنية في مشاريع تحديث الأجهزة الطبية</w:t>
      </w:r>
      <w:r w:rsidRPr="001E1970">
        <w:rPr>
          <w:rFonts w:ascii="Sakkal Majalla" w:hAnsi="Sakkal Majalla" w:cs="Sakkal Majalla"/>
          <w:color w:val="000000" w:themeColor="text1"/>
          <w:sz w:val="28"/>
          <w:szCs w:val="28"/>
        </w:rPr>
        <w:t>.</w:t>
      </w:r>
    </w:p>
    <w:p w14:paraId="1DA0B47B" w14:textId="5658815A" w:rsidR="00C8194B" w:rsidRPr="001E1970" w:rsidRDefault="00C8194B" w:rsidP="00383BBF">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E1970">
        <w:rPr>
          <w:rFonts w:ascii="Sakkal Majalla" w:hAnsi="Sakkal Majalla" w:cs="Sakkal Majalla" w:hint="cs"/>
          <w:b/>
          <w:bCs/>
          <w:color w:val="000000" w:themeColor="text1"/>
          <w:sz w:val="32"/>
          <w:szCs w:val="32"/>
          <w:rtl/>
        </w:rPr>
        <w:t xml:space="preserve">1. </w:t>
      </w:r>
      <w:r w:rsidRPr="001E1970">
        <w:rPr>
          <w:rFonts w:ascii="Sakkal Majalla" w:hAnsi="Sakkal Majalla" w:cs="Sakkal Majalla"/>
          <w:b/>
          <w:bCs/>
          <w:color w:val="000000" w:themeColor="text1"/>
          <w:sz w:val="32"/>
          <w:szCs w:val="32"/>
          <w:rtl/>
        </w:rPr>
        <w:t>مجتمع وعينة الدراسة</w:t>
      </w:r>
    </w:p>
    <w:p w14:paraId="314CE014" w14:textId="77777777" w:rsidR="002A62F6" w:rsidRPr="001E1970" w:rsidRDefault="002A62F6" w:rsidP="00C819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سيتمثل مجتمع الدراسة في جميع الكوادر الفنية العاملة في مجال الأجهزة الطبية بمستشفى حفر الباطن المركزي، ممن تشمل مهامهم تشغيل الأجهزة الطبية الحديثة أو صيانتها أو الإشراف الفني عليها. ووفقًا لبيانات وسجلات الموارد البشرية بالمستشفى، يُقدَّر عدد أفراد مجتمع الدراسة بـ </w:t>
      </w:r>
      <w:r w:rsidRPr="001E1970">
        <w:rPr>
          <w:rFonts w:ascii="Sakkal Majalla" w:hAnsi="Sakkal Majalla" w:cs="Sakkal Majalla"/>
          <w:color w:val="000000" w:themeColor="text1"/>
          <w:sz w:val="28"/>
          <w:szCs w:val="28"/>
        </w:rPr>
        <w:t xml:space="preserve">(120) </w:t>
      </w:r>
      <w:r w:rsidRPr="001E1970">
        <w:rPr>
          <w:rFonts w:ascii="Sakkal Majalla" w:hAnsi="Sakkal Majalla" w:cs="Sakkal Majalla"/>
          <w:color w:val="000000" w:themeColor="text1"/>
          <w:sz w:val="28"/>
          <w:szCs w:val="28"/>
          <w:rtl/>
        </w:rPr>
        <w:t>فنيًا ومهندسًا في تخصصات الأجهزة الطبية والهندسة الطبية الحيوية والتخصصات الفنية المساندة، وهو ما يجعل مجتمع الدراسة محددًا وواضح المعالم، ويسمح بإجراء دراسة ميدانية دقيقة تعكس الواقع الفعلي لتطبيق إدارة التغيير في مشاريع تحديث الأجهزة الطبية</w:t>
      </w:r>
      <w:r w:rsidRPr="001E1970">
        <w:rPr>
          <w:rFonts w:ascii="Sakkal Majalla" w:hAnsi="Sakkal Majalla" w:cs="Sakkal Majalla"/>
          <w:color w:val="000000" w:themeColor="text1"/>
          <w:sz w:val="28"/>
          <w:szCs w:val="28"/>
        </w:rPr>
        <w:t>.</w:t>
      </w:r>
    </w:p>
    <w:p w14:paraId="3EF457A6" w14:textId="7E070C79" w:rsidR="00C8194B" w:rsidRPr="001E1970" w:rsidRDefault="00C8194B" w:rsidP="00383BBF">
      <w:pPr>
        <w:spacing w:before="100" w:beforeAutospacing="1" w:after="100" w:afterAutospacing="1" w:line="360" w:lineRule="auto"/>
        <w:jc w:val="both"/>
        <w:rPr>
          <w:rFonts w:ascii="Sakkal Majalla" w:hAnsi="Sakkal Majalla" w:cs="Sakkal Majalla"/>
          <w:b/>
          <w:bCs/>
          <w:color w:val="000000" w:themeColor="text1"/>
          <w:sz w:val="32"/>
          <w:szCs w:val="32"/>
          <w:rtl/>
        </w:rPr>
      </w:pPr>
      <w:r w:rsidRPr="001E1970">
        <w:rPr>
          <w:rFonts w:ascii="Sakkal Majalla" w:hAnsi="Sakkal Majalla" w:cs="Sakkal Majalla" w:hint="cs"/>
          <w:b/>
          <w:bCs/>
          <w:color w:val="000000" w:themeColor="text1"/>
          <w:sz w:val="32"/>
          <w:szCs w:val="32"/>
          <w:rtl/>
        </w:rPr>
        <w:t xml:space="preserve">2. </w:t>
      </w:r>
      <w:r w:rsidR="002A62F6" w:rsidRPr="001E1970">
        <w:rPr>
          <w:rFonts w:ascii="Sakkal Majalla" w:hAnsi="Sakkal Majalla" w:cs="Sakkal Majalla"/>
          <w:b/>
          <w:bCs/>
          <w:color w:val="000000" w:themeColor="text1"/>
          <w:sz w:val="32"/>
          <w:szCs w:val="32"/>
          <w:rtl/>
        </w:rPr>
        <w:t>عينة الدراسة</w:t>
      </w:r>
    </w:p>
    <w:p w14:paraId="6D3D35F5" w14:textId="3ED34901" w:rsidR="002A62F6" w:rsidRPr="001E1970" w:rsidRDefault="002A62F6" w:rsidP="00C8194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نظرًا لمحدودية حجم مجتمع الدراسة، ستعتمد الدراسة على أسلوب الحصر الشامل، حيث سيتم استهداف جميع أفراد المجتمع البالغ عددهم </w:t>
      </w:r>
      <w:r w:rsidRPr="001E1970">
        <w:rPr>
          <w:rFonts w:ascii="Sakkal Majalla" w:hAnsi="Sakkal Majalla" w:cs="Sakkal Majalla"/>
          <w:color w:val="000000" w:themeColor="text1"/>
          <w:sz w:val="28"/>
          <w:szCs w:val="28"/>
        </w:rPr>
        <w:t xml:space="preserve">(120) </w:t>
      </w:r>
      <w:r w:rsidRPr="001E1970">
        <w:rPr>
          <w:rFonts w:ascii="Sakkal Majalla" w:hAnsi="Sakkal Majalla" w:cs="Sakkal Majalla"/>
          <w:color w:val="000000" w:themeColor="text1"/>
          <w:sz w:val="28"/>
          <w:szCs w:val="28"/>
          <w:rtl/>
        </w:rPr>
        <w:t xml:space="preserve">فردًا، بما يضمن شمولية النتائج ودقتها وتقليل احتمالات التحيز الإحصائي. وفي حال تعذّر استرداد جميع الاستبانات، فسيتم تحليل الاستبانات المسترجعة الصالحة للتحليل الإحصائي، والتي يُتوقع ألا تقل عن </w:t>
      </w:r>
      <w:r w:rsidRPr="001E1970">
        <w:rPr>
          <w:rFonts w:ascii="Sakkal Majalla" w:hAnsi="Sakkal Majalla" w:cs="Sakkal Majalla"/>
          <w:color w:val="000000" w:themeColor="text1"/>
          <w:sz w:val="28"/>
          <w:szCs w:val="28"/>
        </w:rPr>
        <w:t xml:space="preserve">(100) </w:t>
      </w:r>
      <w:r w:rsidRPr="001E1970">
        <w:rPr>
          <w:rFonts w:ascii="Sakkal Majalla" w:hAnsi="Sakkal Majalla" w:cs="Sakkal Majalla"/>
          <w:color w:val="000000" w:themeColor="text1"/>
          <w:sz w:val="28"/>
          <w:szCs w:val="28"/>
          <w:rtl/>
        </w:rPr>
        <w:t xml:space="preserve">استبانة بنسبة استجابة تتجاوز </w:t>
      </w:r>
      <w:r w:rsidRPr="001E1970">
        <w:rPr>
          <w:rFonts w:ascii="Sakkal Majalla" w:hAnsi="Sakkal Majalla" w:cs="Sakkal Majalla"/>
          <w:color w:val="000000" w:themeColor="text1"/>
          <w:sz w:val="28"/>
          <w:szCs w:val="28"/>
        </w:rPr>
        <w:t>83%</w:t>
      </w:r>
      <w:r w:rsidRPr="001E1970">
        <w:rPr>
          <w:rFonts w:ascii="Sakkal Majalla" w:hAnsi="Sakkal Majalla" w:cs="Sakkal Majalla"/>
          <w:color w:val="000000" w:themeColor="text1"/>
          <w:sz w:val="28"/>
          <w:szCs w:val="28"/>
          <w:rtl/>
        </w:rPr>
        <w:t>، وهي نسبة تُعد مقبولة إحصائيًا في الدراسات الميدانية، وتكفل تمثيلًا مناسبًا لمجتمع الدراسة وتحقيق موثوقية النتائج</w:t>
      </w:r>
      <w:r w:rsidRPr="001E1970">
        <w:rPr>
          <w:rFonts w:ascii="Sakkal Majalla" w:hAnsi="Sakkal Majalla" w:cs="Sakkal Majalla"/>
          <w:color w:val="000000" w:themeColor="text1"/>
          <w:sz w:val="28"/>
          <w:szCs w:val="28"/>
        </w:rPr>
        <w:t>.</w:t>
      </w:r>
    </w:p>
    <w:p w14:paraId="04E86F53" w14:textId="3C80DB3C" w:rsidR="00C8194B" w:rsidRPr="001E1970" w:rsidRDefault="00C8194B" w:rsidP="00C8194B">
      <w:pPr>
        <w:pStyle w:val="NormalWeb"/>
        <w:bidi/>
        <w:spacing w:line="360" w:lineRule="auto"/>
        <w:jc w:val="both"/>
        <w:rPr>
          <w:rFonts w:ascii="Sakkal Majalla" w:hAnsi="Sakkal Majalla" w:cs="Sakkal Majalla"/>
          <w:b/>
          <w:bCs/>
          <w:color w:val="000000" w:themeColor="text1"/>
          <w:sz w:val="32"/>
          <w:szCs w:val="32"/>
          <w:rtl/>
        </w:rPr>
      </w:pPr>
      <w:r w:rsidRPr="001E1970">
        <w:rPr>
          <w:rFonts w:ascii="Sakkal Majalla" w:hAnsi="Sakkal Majalla" w:cs="Sakkal Majalla" w:hint="cs"/>
          <w:b/>
          <w:bCs/>
          <w:color w:val="000000" w:themeColor="text1"/>
          <w:sz w:val="32"/>
          <w:szCs w:val="32"/>
          <w:rtl/>
        </w:rPr>
        <w:lastRenderedPageBreak/>
        <w:t xml:space="preserve">3. </w:t>
      </w:r>
      <w:r w:rsidRPr="001E1970">
        <w:rPr>
          <w:rFonts w:ascii="Sakkal Majalla" w:hAnsi="Sakkal Majalla" w:cs="Sakkal Majalla"/>
          <w:b/>
          <w:bCs/>
          <w:color w:val="000000" w:themeColor="text1"/>
          <w:sz w:val="32"/>
          <w:szCs w:val="32"/>
          <w:rtl/>
        </w:rPr>
        <w:t xml:space="preserve"> أداة الدراسة</w:t>
      </w:r>
    </w:p>
    <w:p w14:paraId="65F78897" w14:textId="77777777" w:rsidR="002A62F6" w:rsidRPr="001E1970" w:rsidRDefault="002A62F6" w:rsidP="00C8194B">
      <w:pPr>
        <w:pStyle w:val="NormalWeb"/>
        <w:bidi/>
        <w:spacing w:line="360" w:lineRule="auto"/>
        <w:ind w:left="-2" w:firstLine="708"/>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ستعتمد الدراسة الحالية على الاستبانة أداةً رئيسة لجمع البيانات، نظرًا لملاءمتها لطبيعة الدراسة وأهدافها، وقدرتها على قياس آراء واتجاهات الكوادر الفنية بدقة وموضوعية. وسيتم تصميم الاستبانة بالاستناد إلى الإطار النظري للدراسة، والدراسات السابقة ذات الصلة بإدارة التغيير ومشاريع تحديث الأجهزة الطبية، بما يضمن شمولية الأداة وارتباطها المباشر بمتغيرات الدراسة. وستتكون الاستبانة من قسمين رئيسين؛ يتناول القسم الأول البيانات الديموغرافية للمبحوثين مثل (المؤهل العلمي، سنوات الخبرة، التخصص الفني، طبيعة العمل)، في حين يختص القسم الثاني بقياس متغيرات الدراسة، حيث سيشمل فقرات تقيس أبعاد إدارة التغيير (التغيير التنظيمي، التغيير التكنولوجي، التغيير البشري، التغيير الثقافي)، إضافة إلى فقرات تقيس معدلات استيعاب الكوادر الفنية لمشاريع تحديث الأجهزة الطبية</w:t>
      </w:r>
      <w:r w:rsidRPr="001E1970">
        <w:rPr>
          <w:rFonts w:ascii="Sakkal Majalla" w:hAnsi="Sakkal Majalla" w:cs="Sakkal Majalla"/>
          <w:color w:val="000000" w:themeColor="text1"/>
          <w:sz w:val="28"/>
          <w:szCs w:val="28"/>
        </w:rPr>
        <w:t>.</w:t>
      </w:r>
    </w:p>
    <w:p w14:paraId="64400456" w14:textId="77777777" w:rsidR="002A62F6" w:rsidRPr="001E1970" w:rsidRDefault="002A62F6" w:rsidP="00C8194B">
      <w:pPr>
        <w:pStyle w:val="NormalWeb"/>
        <w:bidi/>
        <w:spacing w:line="360" w:lineRule="auto"/>
        <w:ind w:left="-2" w:firstLine="708"/>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وسيتم اعتماد مقياس ليكرت الخماسي لتقدير استجابات أفراد العينة، بما يتراوح بين (موافق بشدة – موافق – محايد – غير موافق – غير موافق بشدة)، لما يوفره من دقة في القياس وسهولة في التحليل الإحصائي. كما ستخضع أداة الدراسة لاختبارات الصدق والثبات، حيث سيتم التحقق من الصدق الظاهري من خلال عرضها على مجموعة من المحكمين المختصين، في حين سيُقاس الثبات باستخدام معامل ألفا كرونباخ للتأكد من اتساق فقرات الاستبانة داخليًا. وستُستخدم البيانات المستخلصة من الاستبانة في التحليل الإحصائي للإجابة عن أسئلة الدراسة واختبار فروضها والتوصل إلى النتائج والتوصيات المناسبة</w:t>
      </w:r>
      <w:r w:rsidRPr="001E1970">
        <w:rPr>
          <w:rFonts w:ascii="Sakkal Majalla" w:hAnsi="Sakkal Majalla" w:cs="Sakkal Majalla"/>
          <w:color w:val="000000" w:themeColor="text1"/>
          <w:sz w:val="28"/>
          <w:szCs w:val="28"/>
        </w:rPr>
        <w:t>.</w:t>
      </w:r>
    </w:p>
    <w:p w14:paraId="53B8B323" w14:textId="2F046926" w:rsidR="00882D53" w:rsidRPr="001E1970" w:rsidRDefault="00C8194B" w:rsidP="00C8194B">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38" w:name="_Toc223527762"/>
      <w:r w:rsidRPr="001E1970">
        <w:rPr>
          <w:rFonts w:ascii="Sakkal Majalla" w:hAnsi="Sakkal Majalla" w:cs="Sakkal Majalla" w:hint="cs"/>
          <w:b/>
          <w:bCs/>
          <w:color w:val="000000" w:themeColor="text1"/>
          <w:sz w:val="36"/>
          <w:szCs w:val="36"/>
          <w:rtl/>
          <w:lang w:bidi="ar-EG"/>
        </w:rPr>
        <w:t xml:space="preserve">11.1 </w:t>
      </w:r>
      <w:r w:rsidR="00882D53" w:rsidRPr="001E1970">
        <w:rPr>
          <w:rFonts w:ascii="Sakkal Majalla" w:hAnsi="Sakkal Majalla" w:cs="Sakkal Majalla"/>
          <w:b/>
          <w:bCs/>
          <w:color w:val="000000" w:themeColor="text1"/>
          <w:sz w:val="36"/>
          <w:szCs w:val="36"/>
          <w:rtl/>
          <w:lang w:bidi="ar-EG"/>
        </w:rPr>
        <w:t>الأساليب الإحصائية المستخدمة</w:t>
      </w:r>
      <w:bookmarkEnd w:id="36"/>
      <w:bookmarkEnd w:id="38"/>
    </w:p>
    <w:p w14:paraId="764DD0EE" w14:textId="77777777" w:rsidR="002A62F6" w:rsidRPr="001E1970" w:rsidRDefault="002A62F6" w:rsidP="00C8194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bookmarkStart w:id="39" w:name="_Toc169790505"/>
      <w:r w:rsidRPr="001E1970">
        <w:rPr>
          <w:rFonts w:ascii="Sakkal Majalla" w:eastAsia="Times New Roman" w:hAnsi="Sakkal Majalla" w:cs="Sakkal Majalla"/>
          <w:color w:val="000000" w:themeColor="text1"/>
          <w:kern w:val="0"/>
          <w:sz w:val="28"/>
          <w:szCs w:val="28"/>
          <w:rtl/>
          <w14:ligatures w14:val="none"/>
        </w:rPr>
        <w:t>ستُعالج بيانات الدراسة باستخدام الحزمة الإحصائية للعلوم الاجتماعية</w:t>
      </w:r>
      <w:r w:rsidRPr="001E1970">
        <w:rPr>
          <w:rFonts w:ascii="Sakkal Majalla" w:eastAsia="Times New Roman" w:hAnsi="Sakkal Majalla" w:cs="Sakkal Majalla"/>
          <w:color w:val="000000" w:themeColor="text1"/>
          <w:kern w:val="0"/>
          <w:sz w:val="28"/>
          <w:szCs w:val="28"/>
          <w14:ligatures w14:val="none"/>
        </w:rPr>
        <w:t xml:space="preserve"> (SPSS)</w:t>
      </w:r>
      <w:r w:rsidRPr="001E1970">
        <w:rPr>
          <w:rFonts w:ascii="Sakkal Majalla" w:eastAsia="Times New Roman" w:hAnsi="Sakkal Majalla" w:cs="Sakkal Majalla"/>
          <w:color w:val="000000" w:themeColor="text1"/>
          <w:kern w:val="0"/>
          <w:sz w:val="28"/>
          <w:szCs w:val="28"/>
          <w:rtl/>
          <w14:ligatures w14:val="none"/>
        </w:rPr>
        <w:t>، وذلك بالاعتماد على مجموعة من الأساليب الإحصائية التي تتلاءم مع طبيعة المتغيرات وأهداف الدراسة، وذلك على النحو الآتي</w:t>
      </w:r>
      <w:r w:rsidRPr="001E1970">
        <w:rPr>
          <w:rFonts w:ascii="Sakkal Majalla" w:eastAsia="Times New Roman" w:hAnsi="Sakkal Majalla" w:cs="Sakkal Majalla"/>
          <w:color w:val="000000" w:themeColor="text1"/>
          <w:kern w:val="0"/>
          <w:sz w:val="28"/>
          <w:szCs w:val="28"/>
          <w14:ligatures w14:val="none"/>
        </w:rPr>
        <w:t>:</w:t>
      </w:r>
    </w:p>
    <w:p w14:paraId="2255374B"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التكرارات والنسب المئوية لوصف الخصائص الديموغرافية لأفراد عينة الدراسة</w:t>
      </w:r>
      <w:r w:rsidRPr="001E1970">
        <w:rPr>
          <w:rFonts w:ascii="Sakkal Majalla" w:eastAsia="Times New Roman" w:hAnsi="Sakkal Majalla" w:cs="Sakkal Majalla"/>
          <w:color w:val="000000" w:themeColor="text1"/>
          <w:kern w:val="0"/>
          <w:sz w:val="28"/>
          <w:szCs w:val="28"/>
          <w14:ligatures w14:val="none"/>
        </w:rPr>
        <w:t>.</w:t>
      </w:r>
    </w:p>
    <w:p w14:paraId="3A370366"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lastRenderedPageBreak/>
        <w:t>المتوسطات الحسابية والانحرافات المعيارية لقياس مستوى أبعاد إدارة التغيير ومستوى معدلات استيعاب الكوادر الفنية لمشاريع تحديث الأجهزة الطبية</w:t>
      </w:r>
      <w:r w:rsidRPr="001E1970">
        <w:rPr>
          <w:rFonts w:ascii="Sakkal Majalla" w:eastAsia="Times New Roman" w:hAnsi="Sakkal Majalla" w:cs="Sakkal Majalla"/>
          <w:color w:val="000000" w:themeColor="text1"/>
          <w:kern w:val="0"/>
          <w:sz w:val="28"/>
          <w:szCs w:val="28"/>
          <w14:ligatures w14:val="none"/>
        </w:rPr>
        <w:t>.</w:t>
      </w:r>
    </w:p>
    <w:p w14:paraId="6B8A4102"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اختبار التوزيع الطبيعي للبيانات للتأكد من ملاءمة استخدام الاختبارات الإحصائية البارامترية</w:t>
      </w:r>
      <w:r w:rsidRPr="001E1970">
        <w:rPr>
          <w:rFonts w:ascii="Sakkal Majalla" w:eastAsia="Times New Roman" w:hAnsi="Sakkal Majalla" w:cs="Sakkal Majalla"/>
          <w:color w:val="000000" w:themeColor="text1"/>
          <w:kern w:val="0"/>
          <w:sz w:val="28"/>
          <w:szCs w:val="28"/>
          <w14:ligatures w14:val="none"/>
        </w:rPr>
        <w:t>.</w:t>
      </w:r>
    </w:p>
    <w:p w14:paraId="31ECEB94"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معامل ألفا كرونباخ لقياس درجة ثبات أداة الدراسة والتحقق من الاتساق الداخلي لفقراتها</w:t>
      </w:r>
      <w:r w:rsidRPr="001E1970">
        <w:rPr>
          <w:rFonts w:ascii="Sakkal Majalla" w:eastAsia="Times New Roman" w:hAnsi="Sakkal Majalla" w:cs="Sakkal Majalla"/>
          <w:color w:val="000000" w:themeColor="text1"/>
          <w:kern w:val="0"/>
          <w:sz w:val="28"/>
          <w:szCs w:val="28"/>
          <w14:ligatures w14:val="none"/>
        </w:rPr>
        <w:t>.</w:t>
      </w:r>
    </w:p>
    <w:p w14:paraId="69165E5C"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معامل ارتباط بيرسون لقياس قوة واتجاه العلاقة بين أبعاد إدارة التغيير ومعدلات استيعاب الكوادر الفنية</w:t>
      </w:r>
      <w:r w:rsidRPr="001E1970">
        <w:rPr>
          <w:rFonts w:ascii="Sakkal Majalla" w:eastAsia="Times New Roman" w:hAnsi="Sakkal Majalla" w:cs="Sakkal Majalla"/>
          <w:color w:val="000000" w:themeColor="text1"/>
          <w:kern w:val="0"/>
          <w:sz w:val="28"/>
          <w:szCs w:val="28"/>
          <w14:ligatures w14:val="none"/>
        </w:rPr>
        <w:t>.</w:t>
      </w:r>
    </w:p>
    <w:p w14:paraId="1A2EE835"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تحليل الانحدار الخطي المتعدد لقياس أثر أبعاد إدارة التغيير مجتمعة ومنفردة على المتغير التابع</w:t>
      </w:r>
      <w:r w:rsidRPr="001E1970">
        <w:rPr>
          <w:rFonts w:ascii="Sakkal Majalla" w:eastAsia="Times New Roman" w:hAnsi="Sakkal Majalla" w:cs="Sakkal Majalla"/>
          <w:color w:val="000000" w:themeColor="text1"/>
          <w:kern w:val="0"/>
          <w:sz w:val="28"/>
          <w:szCs w:val="28"/>
          <w14:ligatures w14:val="none"/>
        </w:rPr>
        <w:t>.</w:t>
      </w:r>
    </w:p>
    <w:p w14:paraId="148F0B9A"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اختبار (ت) للعينات المستقلة للكشف عن الفروق في معدلات استيعاب الكوادر الفنية وفقًا لبعض المتغيرات الديموغرافية</w:t>
      </w:r>
      <w:r w:rsidRPr="001E1970">
        <w:rPr>
          <w:rFonts w:ascii="Sakkal Majalla" w:eastAsia="Times New Roman" w:hAnsi="Sakkal Majalla" w:cs="Sakkal Majalla"/>
          <w:color w:val="000000" w:themeColor="text1"/>
          <w:kern w:val="0"/>
          <w:sz w:val="28"/>
          <w:szCs w:val="28"/>
          <w14:ligatures w14:val="none"/>
        </w:rPr>
        <w:t>.</w:t>
      </w:r>
    </w:p>
    <w:p w14:paraId="4EBCDE53" w14:textId="77777777" w:rsidR="002A62F6" w:rsidRPr="001E1970" w:rsidRDefault="002A62F6" w:rsidP="00C8194B">
      <w:pPr>
        <w:numPr>
          <w:ilvl w:val="0"/>
          <w:numId w:val="5"/>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1E1970">
        <w:rPr>
          <w:rFonts w:ascii="Sakkal Majalla" w:eastAsia="Times New Roman" w:hAnsi="Sakkal Majalla" w:cs="Sakkal Majalla"/>
          <w:color w:val="000000" w:themeColor="text1"/>
          <w:kern w:val="0"/>
          <w:sz w:val="28"/>
          <w:szCs w:val="28"/>
          <w:rtl/>
          <w14:ligatures w14:val="none"/>
        </w:rPr>
        <w:t>تحليل التباين الأحادي</w:t>
      </w:r>
      <w:r w:rsidRPr="001E1970">
        <w:rPr>
          <w:rFonts w:ascii="Sakkal Majalla" w:eastAsia="Times New Roman" w:hAnsi="Sakkal Majalla" w:cs="Sakkal Majalla"/>
          <w:color w:val="000000" w:themeColor="text1"/>
          <w:kern w:val="0"/>
          <w:sz w:val="28"/>
          <w:szCs w:val="28"/>
          <w14:ligatures w14:val="none"/>
        </w:rPr>
        <w:t xml:space="preserve"> (ANOVA) </w:t>
      </w:r>
      <w:r w:rsidRPr="001E1970">
        <w:rPr>
          <w:rFonts w:ascii="Sakkal Majalla" w:eastAsia="Times New Roman" w:hAnsi="Sakkal Majalla" w:cs="Sakkal Majalla"/>
          <w:color w:val="000000" w:themeColor="text1"/>
          <w:kern w:val="0"/>
          <w:sz w:val="28"/>
          <w:szCs w:val="28"/>
          <w:rtl/>
          <w14:ligatures w14:val="none"/>
        </w:rPr>
        <w:t>لاختبار الفروق ذات الدلالة الإحصائية بين متوسطات استجابات أفراد العينة تبعًا للمتغيرات الديموغرافية متعددة المستويات</w:t>
      </w:r>
      <w:r w:rsidRPr="001E1970">
        <w:rPr>
          <w:rFonts w:ascii="Sakkal Majalla" w:eastAsia="Times New Roman" w:hAnsi="Sakkal Majalla" w:cs="Sakkal Majalla"/>
          <w:color w:val="000000" w:themeColor="text1"/>
          <w:kern w:val="0"/>
          <w:sz w:val="28"/>
          <w:szCs w:val="28"/>
          <w14:ligatures w14:val="none"/>
        </w:rPr>
        <w:t>.</w:t>
      </w:r>
    </w:p>
    <w:p w14:paraId="466A5D0B" w14:textId="758512D2" w:rsidR="00D22171" w:rsidRPr="001E1970" w:rsidRDefault="00C8194B" w:rsidP="00C8194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0" w:name="_Toc223527763"/>
      <w:r w:rsidRPr="001E1970">
        <w:rPr>
          <w:rFonts w:ascii="Sakkal Majalla" w:hAnsi="Sakkal Majalla" w:cs="Sakkal Majalla" w:hint="cs"/>
          <w:b/>
          <w:bCs/>
          <w:color w:val="000000" w:themeColor="text1"/>
          <w:sz w:val="36"/>
          <w:szCs w:val="36"/>
          <w:rtl/>
        </w:rPr>
        <w:t xml:space="preserve">12.1 </w:t>
      </w:r>
      <w:r w:rsidR="00A74F76" w:rsidRPr="001E1970">
        <w:rPr>
          <w:rFonts w:ascii="Sakkal Majalla" w:hAnsi="Sakkal Majalla" w:cs="Sakkal Majalla"/>
          <w:b/>
          <w:bCs/>
          <w:color w:val="000000" w:themeColor="text1"/>
          <w:sz w:val="36"/>
          <w:szCs w:val="36"/>
          <w:rtl/>
        </w:rPr>
        <w:t>حدود</w:t>
      </w:r>
      <w:r w:rsidR="00D22171" w:rsidRPr="001E1970">
        <w:rPr>
          <w:rFonts w:ascii="Sakkal Majalla" w:hAnsi="Sakkal Majalla" w:cs="Sakkal Majalla"/>
          <w:b/>
          <w:bCs/>
          <w:color w:val="000000" w:themeColor="text1"/>
          <w:sz w:val="36"/>
          <w:szCs w:val="36"/>
          <w:rtl/>
        </w:rPr>
        <w:t xml:space="preserve"> الدراسة</w:t>
      </w:r>
      <w:r w:rsidR="00A74F76" w:rsidRPr="001E1970">
        <w:rPr>
          <w:rFonts w:ascii="Sakkal Majalla" w:hAnsi="Sakkal Majalla" w:cs="Sakkal Majalla"/>
          <w:b/>
          <w:bCs/>
          <w:color w:val="000000" w:themeColor="text1"/>
          <w:sz w:val="36"/>
          <w:szCs w:val="36"/>
          <w:rtl/>
        </w:rPr>
        <w:t>:</w:t>
      </w:r>
      <w:bookmarkEnd w:id="39"/>
      <w:bookmarkEnd w:id="40"/>
    </w:p>
    <w:p w14:paraId="25A330B3" w14:textId="0A480295" w:rsidR="00CA49E9" w:rsidRPr="001E1970" w:rsidRDefault="00053122" w:rsidP="00C819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E1970">
        <w:rPr>
          <w:rFonts w:ascii="Sakkal Majalla" w:hAnsi="Sakkal Majalla" w:cs="Sakkal Majalla"/>
          <w:b/>
          <w:bCs/>
          <w:color w:val="000000" w:themeColor="text1"/>
          <w:sz w:val="28"/>
          <w:szCs w:val="28"/>
          <w:rtl/>
        </w:rPr>
        <w:t>حدود موضوعية</w:t>
      </w:r>
      <w:r w:rsidRPr="001E1970">
        <w:rPr>
          <w:rFonts w:ascii="Sakkal Majalla" w:hAnsi="Sakkal Majalla" w:cs="Sakkal Majalla"/>
          <w:color w:val="000000" w:themeColor="text1"/>
          <w:sz w:val="28"/>
          <w:szCs w:val="28"/>
          <w:rtl/>
        </w:rPr>
        <w:t xml:space="preserve">: </w:t>
      </w:r>
      <w:r w:rsidR="002A62F6" w:rsidRPr="001E1970">
        <w:rPr>
          <w:rFonts w:ascii="Sakkal Majalla" w:hAnsi="Sakkal Majalla" w:cs="Sakkal Majalla"/>
          <w:color w:val="000000" w:themeColor="text1"/>
          <w:sz w:val="28"/>
          <w:szCs w:val="28"/>
          <w:rtl/>
        </w:rPr>
        <w:t>تقتصر الدراسة على إدارة التغيير بأبعادها (التغيير التنظيمي، التغيير التكنولوجي، التغيير البشري، التغيير الثقافي)، وعلى قياس أثرها في معدلات استيعاب الكوادر الفنية لمشاريع تحديث الأجهزة الطبية</w:t>
      </w:r>
      <w:r w:rsidR="00D63D9D" w:rsidRPr="001E1970">
        <w:rPr>
          <w:rFonts w:ascii="Sakkal Majalla" w:hAnsi="Sakkal Majalla" w:cs="Sakkal Majalla"/>
          <w:color w:val="000000" w:themeColor="text1"/>
          <w:sz w:val="28"/>
          <w:szCs w:val="28"/>
          <w:rtl/>
        </w:rPr>
        <w:t>.</w:t>
      </w:r>
    </w:p>
    <w:p w14:paraId="7D403AAD" w14:textId="498AAF00" w:rsidR="00A60AAE" w:rsidRPr="001E1970" w:rsidRDefault="00053122" w:rsidP="00C819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E1970">
        <w:rPr>
          <w:rFonts w:ascii="Sakkal Majalla" w:hAnsi="Sakkal Majalla" w:cs="Sakkal Majalla"/>
          <w:b/>
          <w:bCs/>
          <w:color w:val="000000" w:themeColor="text1"/>
          <w:sz w:val="28"/>
          <w:szCs w:val="28"/>
          <w:rtl/>
        </w:rPr>
        <w:t>حدود مكانية</w:t>
      </w:r>
      <w:r w:rsidRPr="001E1970">
        <w:rPr>
          <w:rFonts w:ascii="Sakkal Majalla" w:hAnsi="Sakkal Majalla" w:cs="Sakkal Majalla"/>
          <w:color w:val="000000" w:themeColor="text1"/>
          <w:sz w:val="28"/>
          <w:szCs w:val="28"/>
          <w:rtl/>
        </w:rPr>
        <w:t xml:space="preserve">: </w:t>
      </w:r>
      <w:r w:rsidR="002A62F6" w:rsidRPr="001E1970">
        <w:rPr>
          <w:rFonts w:ascii="Sakkal Majalla" w:hAnsi="Sakkal Majalla" w:cs="Sakkal Majalla"/>
          <w:color w:val="000000" w:themeColor="text1"/>
          <w:sz w:val="28"/>
          <w:szCs w:val="28"/>
          <w:rtl/>
        </w:rPr>
        <w:t>تقتصر الدراسة ميدانيًا على مستشفى حفر الباطن المركزي</w:t>
      </w:r>
      <w:r w:rsidR="00812416" w:rsidRPr="001E1970">
        <w:rPr>
          <w:rFonts w:ascii="Sakkal Majalla" w:hAnsi="Sakkal Majalla" w:cs="Sakkal Majalla"/>
          <w:color w:val="000000" w:themeColor="text1"/>
          <w:sz w:val="28"/>
          <w:szCs w:val="28"/>
        </w:rPr>
        <w:t>.</w:t>
      </w:r>
    </w:p>
    <w:p w14:paraId="1ABED148" w14:textId="46DD5585" w:rsidR="00BC6C90" w:rsidRPr="001E1970" w:rsidRDefault="00053122" w:rsidP="00C819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E1970">
        <w:rPr>
          <w:rFonts w:ascii="Sakkal Majalla" w:hAnsi="Sakkal Majalla" w:cs="Sakkal Majalla"/>
          <w:b/>
          <w:bCs/>
          <w:color w:val="000000" w:themeColor="text1"/>
          <w:sz w:val="28"/>
          <w:szCs w:val="28"/>
          <w:rtl/>
        </w:rPr>
        <w:t>حدود زمانية</w:t>
      </w:r>
      <w:r w:rsidRPr="001E1970">
        <w:rPr>
          <w:rFonts w:ascii="Sakkal Majalla" w:hAnsi="Sakkal Majalla" w:cs="Sakkal Majalla"/>
          <w:color w:val="000000" w:themeColor="text1"/>
          <w:sz w:val="28"/>
          <w:szCs w:val="28"/>
          <w:rtl/>
        </w:rPr>
        <w:t xml:space="preserve">: </w:t>
      </w:r>
      <w:r w:rsidR="003422F3" w:rsidRPr="001E1970">
        <w:rPr>
          <w:rFonts w:ascii="Sakkal Majalla" w:hAnsi="Sakkal Majalla" w:cs="Sakkal Majalla"/>
          <w:color w:val="000000" w:themeColor="text1"/>
          <w:sz w:val="28"/>
          <w:szCs w:val="28"/>
          <w:rtl/>
        </w:rPr>
        <w:t>ستُجرى هذه الدراسة خلال العام 2025</w:t>
      </w:r>
      <w:r w:rsidR="00B346DF" w:rsidRPr="001E1970">
        <w:rPr>
          <w:rFonts w:ascii="Sakkal Majalla" w:hAnsi="Sakkal Majalla" w:cs="Sakkal Majalla"/>
          <w:color w:val="000000" w:themeColor="text1"/>
          <w:sz w:val="28"/>
          <w:szCs w:val="28"/>
          <w:rtl/>
        </w:rPr>
        <w:t>.</w:t>
      </w:r>
    </w:p>
    <w:p w14:paraId="316D32F7" w14:textId="2CF6DC51" w:rsidR="003227DA" w:rsidRPr="001E1970" w:rsidRDefault="003227DA" w:rsidP="00C8194B">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E1970">
        <w:rPr>
          <w:rFonts w:ascii="Sakkal Majalla" w:hAnsi="Sakkal Majalla" w:cs="Sakkal Majalla"/>
          <w:b/>
          <w:bCs/>
          <w:color w:val="000000" w:themeColor="text1"/>
          <w:sz w:val="28"/>
          <w:szCs w:val="28"/>
          <w:rtl/>
        </w:rPr>
        <w:t>الحدود البشرية</w:t>
      </w:r>
      <w:r w:rsidRPr="001E1970">
        <w:rPr>
          <w:rFonts w:ascii="Sakkal Majalla" w:hAnsi="Sakkal Majalla" w:cs="Sakkal Majalla"/>
          <w:color w:val="000000" w:themeColor="text1"/>
          <w:sz w:val="28"/>
          <w:szCs w:val="28"/>
          <w:rtl/>
        </w:rPr>
        <w:t xml:space="preserve">: </w:t>
      </w:r>
      <w:r w:rsidR="002A62F6" w:rsidRPr="001E1970">
        <w:rPr>
          <w:rFonts w:ascii="Sakkal Majalla" w:hAnsi="Sakkal Majalla" w:cs="Sakkal Majalla"/>
          <w:color w:val="000000" w:themeColor="text1"/>
          <w:sz w:val="28"/>
          <w:szCs w:val="28"/>
          <w:rtl/>
        </w:rPr>
        <w:t>تنحصر الدراسة في الكوادر الفنية العاملة في مجال الأجهزة الطبية بمستشفى حفر الباطن المركزي</w:t>
      </w:r>
      <w:r w:rsidR="00D63D9D" w:rsidRPr="001E1970">
        <w:rPr>
          <w:rFonts w:ascii="Sakkal Majalla" w:hAnsi="Sakkal Majalla" w:cs="Sakkal Majalla"/>
          <w:color w:val="000000" w:themeColor="text1"/>
          <w:sz w:val="28"/>
          <w:szCs w:val="28"/>
          <w:rtl/>
        </w:rPr>
        <w:t>.</w:t>
      </w:r>
      <w:r w:rsidRPr="001E1970">
        <w:rPr>
          <w:rFonts w:ascii="Sakkal Majalla" w:hAnsi="Sakkal Majalla" w:cs="Sakkal Majalla"/>
          <w:color w:val="000000" w:themeColor="text1"/>
          <w:sz w:val="28"/>
          <w:szCs w:val="28"/>
          <w:rtl/>
        </w:rPr>
        <w:t>.</w:t>
      </w:r>
    </w:p>
    <w:p w14:paraId="53960328" w14:textId="77777777" w:rsidR="00BB3751" w:rsidRPr="001E1970" w:rsidRDefault="00BB3751" w:rsidP="00383BBF">
      <w:pPr>
        <w:spacing w:before="100" w:beforeAutospacing="1" w:after="100" w:afterAutospacing="1" w:line="360" w:lineRule="auto"/>
        <w:jc w:val="both"/>
        <w:rPr>
          <w:rFonts w:ascii="Sakkal Majalla" w:hAnsi="Sakkal Majalla" w:cs="Sakkal Majalla"/>
          <w:color w:val="000000" w:themeColor="text1"/>
          <w:sz w:val="28"/>
          <w:szCs w:val="28"/>
          <w:rtl/>
        </w:rPr>
      </w:pPr>
    </w:p>
    <w:p w14:paraId="76694F4D" w14:textId="63DAA563" w:rsidR="00C8194B" w:rsidRPr="001E1970" w:rsidRDefault="00270FB7" w:rsidP="00270FB7">
      <w:pPr>
        <w:spacing w:before="100" w:beforeAutospacing="1" w:after="100" w:afterAutospacing="1"/>
        <w:jc w:val="center"/>
        <w:outlineLvl w:val="0"/>
        <w:rPr>
          <w:rFonts w:ascii="Sakkal Majalla" w:hAnsi="Sakkal Majalla" w:cs="Sakkal Majalla"/>
          <w:b/>
          <w:bCs/>
          <w:color w:val="000000" w:themeColor="text1"/>
          <w:sz w:val="40"/>
          <w:szCs w:val="40"/>
          <w:rtl/>
        </w:rPr>
      </w:pPr>
      <w:r w:rsidRPr="001E1970">
        <w:rPr>
          <w:rFonts w:ascii="Sakkal Majalla" w:hAnsi="Sakkal Majalla" w:cs="Sakkal Majalla"/>
          <w:b/>
          <w:bCs/>
          <w:color w:val="000000" w:themeColor="text1"/>
          <w:sz w:val="40"/>
          <w:szCs w:val="40"/>
          <w:rtl/>
        </w:rPr>
        <w:br w:type="page"/>
      </w:r>
      <w:bookmarkStart w:id="41" w:name="_Toc223527764"/>
      <w:r w:rsidR="00C8194B" w:rsidRPr="001E1970">
        <w:rPr>
          <w:rFonts w:ascii="Sakkal Majalla" w:hAnsi="Sakkal Majalla" w:cs="Sakkal Majalla" w:hint="cs"/>
          <w:b/>
          <w:bCs/>
          <w:color w:val="000000" w:themeColor="text1"/>
          <w:sz w:val="40"/>
          <w:szCs w:val="40"/>
          <w:rtl/>
        </w:rPr>
        <w:lastRenderedPageBreak/>
        <w:t>الفصل الثاني: الإطار النظري</w:t>
      </w:r>
      <w:bookmarkEnd w:id="41"/>
    </w:p>
    <w:p w14:paraId="61340D68" w14:textId="3D15755F" w:rsidR="00BB3751" w:rsidRPr="001E1970" w:rsidRDefault="00BB3751" w:rsidP="00270FB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23527765"/>
      <w:r w:rsidRPr="001E1970">
        <w:rPr>
          <w:rFonts w:ascii="Sakkal Majalla" w:hAnsi="Sakkal Majalla" w:cs="Sakkal Majalla"/>
          <w:b/>
          <w:bCs/>
          <w:color w:val="000000" w:themeColor="text1"/>
          <w:sz w:val="36"/>
          <w:szCs w:val="36"/>
          <w:rtl/>
        </w:rPr>
        <w:t>المبحث الأول: إدارة التغيير</w:t>
      </w:r>
      <w:bookmarkEnd w:id="42"/>
    </w:p>
    <w:p w14:paraId="24F32F84" w14:textId="40ED4BBE"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527766"/>
      <w:r w:rsidRPr="001E1970">
        <w:rPr>
          <w:rFonts w:ascii="Sakkal Majalla" w:hAnsi="Sakkal Majalla" w:cs="Sakkal Majalla" w:hint="cs"/>
          <w:b/>
          <w:bCs/>
          <w:color w:val="000000" w:themeColor="text1"/>
          <w:sz w:val="32"/>
          <w:szCs w:val="32"/>
          <w:rtl/>
        </w:rPr>
        <w:t xml:space="preserve">1.1.2 </w:t>
      </w:r>
      <w:r w:rsidR="00BB3751" w:rsidRPr="001E1970">
        <w:rPr>
          <w:rFonts w:ascii="Sakkal Majalla" w:hAnsi="Sakkal Majalla" w:cs="Sakkal Majalla"/>
          <w:b/>
          <w:bCs/>
          <w:color w:val="000000" w:themeColor="text1"/>
          <w:sz w:val="32"/>
          <w:szCs w:val="32"/>
          <w:rtl/>
        </w:rPr>
        <w:t>تمهيد</w:t>
      </w:r>
      <w:bookmarkEnd w:id="43"/>
    </w:p>
    <w:p w14:paraId="2072A18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تواجه المؤسسات الصحية المعاصرة موجات متلاحقة من التحولات التي تفرضها بيئة تتسم بالتعقيد والديناميكية المتسارعة، حيث لم يعد التغيير خياراً تتبناه المنظمات طوعاً بقدر ما أصبح استجابة حتمية تمليها ضغوط تكنولوجية وتنظيمية واجتماعية متشابكة. ويبرز في هذا السياق مفهوم إدارة التغيير بوصفه أحد الحقول المعرفية الأكثر حيوية في أدبيات الإدارة الحديثة، إذ يوفر إطاراً منهجياً يُمكّن المؤسسات من الانتقال من أوضاعها الراهنة إلى أوضاع مستهدفة بكفاءة تُقلّل الاضطرابات وتُعظّم العوائد. ويكتسب هذا المفهوم زخماً خاصاً في قطاع الرعاية الصحية الذي تتشابك فيه المتطلبات التقنية والبشرية والتنظيمية بصورة تجعل من إدارة أي تحوّل عملية بالغة الدقة والحساسية، لا سيما حين يتعلق الأمر بمشاريع تحديث الأجهزة الطبية التي تمس صميم العمل الفني والسريري</w:t>
      </w:r>
      <w:r w:rsidRPr="001E1970">
        <w:rPr>
          <w:rFonts w:ascii="Sakkal Majalla" w:hAnsi="Sakkal Majalla" w:cs="Sakkal Majalla"/>
          <w:color w:val="000000" w:themeColor="text1"/>
          <w:sz w:val="28"/>
          <w:szCs w:val="28"/>
        </w:rPr>
        <w:t>.</w:t>
      </w:r>
    </w:p>
    <w:p w14:paraId="68ABE2A7"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ويتناول هذا المبحث إدارة التغيير من خلال خمسة محاور متكاملة: يُعالج المحور الأول مفهوم إدارة التغيير وتعريفاته في الأدبيات الإدارية مع بيان رأي الباحث، ويستعرض المحور الثاني أهمية إدارة التغيير في المؤسسات عامة والمؤسسات الصحية خاصة، ويتناول المحور الثالث أهداف إدارة التغيير كما طرحها الباحثون، ويُحلّل المحور الرابع أبعاد إدارة التغيير المعتمدة في الدراسة الحالية بشكل مستفيض، ويختتم المحور الخامس باستراتيجيات إدارة التغيير وآلياتها التطبيقية</w:t>
      </w:r>
      <w:r w:rsidRPr="001E1970">
        <w:rPr>
          <w:rFonts w:ascii="Sakkal Majalla" w:hAnsi="Sakkal Majalla" w:cs="Sakkal Majalla"/>
          <w:color w:val="000000" w:themeColor="text1"/>
          <w:sz w:val="28"/>
          <w:szCs w:val="28"/>
        </w:rPr>
        <w:t>.</w:t>
      </w:r>
    </w:p>
    <w:p w14:paraId="4D5DD774" w14:textId="5CE24C1F"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527767"/>
      <w:r w:rsidRPr="001E1970">
        <w:rPr>
          <w:rFonts w:ascii="Sakkal Majalla" w:hAnsi="Sakkal Majalla" w:cs="Sakkal Majalla" w:hint="cs"/>
          <w:b/>
          <w:bCs/>
          <w:color w:val="000000" w:themeColor="text1"/>
          <w:sz w:val="32"/>
          <w:szCs w:val="32"/>
          <w:rtl/>
        </w:rPr>
        <w:t xml:space="preserve">2.1.2 </w:t>
      </w:r>
      <w:r w:rsidR="00BB3751" w:rsidRPr="001E1970">
        <w:rPr>
          <w:rFonts w:ascii="Sakkal Majalla" w:hAnsi="Sakkal Majalla" w:cs="Sakkal Majalla"/>
          <w:b/>
          <w:bCs/>
          <w:color w:val="000000" w:themeColor="text1"/>
          <w:sz w:val="32"/>
          <w:szCs w:val="32"/>
          <w:rtl/>
        </w:rPr>
        <w:t>مفهوم إدارة التغيير</w:t>
      </w:r>
      <w:bookmarkEnd w:id="44"/>
    </w:p>
    <w:p w14:paraId="241F5F99"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شهد مفهوم إدارة التغيير تعددية اصطلاحية واضحة في الأدبيات الإدارية، إذ تباينت التعريفات تبعاً للمنطلق الفكري الذي يتبناه كل باحث والزاوية التي يُعالج من خلالها هذا المفهوم، وتراوحت المقاربات بين من يراه عملية تحوّلية شاملة تطال جميع مكونات المنظمة، ومن يُركّز على بعده الاستراتيجي التنافسي، </w:t>
      </w:r>
      <w:r w:rsidRPr="001E1970">
        <w:rPr>
          <w:rFonts w:ascii="Sakkal Majalla" w:hAnsi="Sakkal Majalla" w:cs="Sakkal Majalla"/>
          <w:color w:val="000000" w:themeColor="text1"/>
          <w:sz w:val="28"/>
          <w:szCs w:val="28"/>
          <w:rtl/>
        </w:rPr>
        <w:lastRenderedPageBreak/>
        <w:t>ومن يُبرز جانبه الإنساني السلوكي، ومن يربطه بمخرجات الأداء المؤسسي. وهذا التباين يعكس في جوهره ثراء المفهوم وتعدد أوجهه أكثر مما يُشير إلى تعارض أو اضطراب في التأصيل</w:t>
      </w:r>
      <w:r w:rsidRPr="001E1970">
        <w:rPr>
          <w:rFonts w:ascii="Sakkal Majalla" w:hAnsi="Sakkal Majalla" w:cs="Sakkal Majalla"/>
          <w:color w:val="000000" w:themeColor="text1"/>
          <w:sz w:val="28"/>
          <w:szCs w:val="28"/>
        </w:rPr>
        <w:t>.</w:t>
      </w:r>
    </w:p>
    <w:p w14:paraId="62A33DFB"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فقد تناول هملان وأبو عرابي والشورة</w:t>
      </w:r>
      <w:r w:rsidRPr="001E1970">
        <w:rPr>
          <w:rFonts w:ascii="Sakkal Majalla" w:hAnsi="Sakkal Majalla" w:cs="Sakkal Majalla"/>
          <w:color w:val="000000" w:themeColor="text1"/>
          <w:sz w:val="28"/>
          <w:szCs w:val="28"/>
        </w:rPr>
        <w:t xml:space="preserve"> (2020) </w:t>
      </w:r>
      <w:r w:rsidRPr="001E1970">
        <w:rPr>
          <w:rFonts w:ascii="Sakkal Majalla" w:hAnsi="Sakkal Majalla" w:cs="Sakkal Majalla"/>
          <w:color w:val="000000" w:themeColor="text1"/>
          <w:sz w:val="28"/>
          <w:szCs w:val="28"/>
          <w:rtl/>
        </w:rPr>
        <w:t>إدارة التغيير بوصفها منهجاً إدارياً متكاملاً يقوم على نقل المنظمة من وضعها القائم إلى وضع أكثر كفاءة وفاعلية، من خلال إدارة الأبعاد التنظيمية والبشرية والتكنولوجية والثقافية إدارة متوازنة ومتناسقة. ويعكس هذا التعريف مقاربة كلّية تنظر إلى التغيير بوصفه ظاهرة متعددة الأبعاد لا يمكن اختزالها في بعد واحد، وتُؤكد أنّ نجاح التغيير مرهون بالتعامل المتزامن مع جميع مكوناته دون إغفال أي منها أو تغليبه على حساب المكونات الأخرى</w:t>
      </w:r>
      <w:r w:rsidRPr="001E1970">
        <w:rPr>
          <w:rFonts w:ascii="Sakkal Majalla" w:hAnsi="Sakkal Majalla" w:cs="Sakkal Majalla"/>
          <w:color w:val="000000" w:themeColor="text1"/>
          <w:sz w:val="28"/>
          <w:szCs w:val="28"/>
        </w:rPr>
        <w:t>.</w:t>
      </w:r>
    </w:p>
    <w:p w14:paraId="2B8DB860"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وفي اتجاه يُعلي من البعد المؤسسي والأدائي، عرّف باشري وحمدي (2022) إدارة التغيير بأنها مجموعة من العمليات المنظمة التي تستهدف إحداث تعديلات جوهرية في الهياكل والعمليات والسلوكيات التنظيمية بما يُفضي إلى تطوير الأداء المؤسسي الشامل. ويتميز هذا التعريف بتأكيده على الطابع الهادف والمنهجي لعملية التغيير وربطها بمخرجات قابلة للملاحظة والقياس، مما يُخرج التغيير من كونه غاية في ذاته إلى كونه وسيلة لتحسين الأداء الكلّي للمؤسسة</w:t>
      </w:r>
      <w:r w:rsidRPr="001E1970">
        <w:rPr>
          <w:rFonts w:ascii="Sakkal Majalla" w:hAnsi="Sakkal Majalla" w:cs="Sakkal Majalla"/>
          <w:color w:val="000000" w:themeColor="text1"/>
          <w:sz w:val="28"/>
          <w:szCs w:val="28"/>
        </w:rPr>
        <w:t>.</w:t>
      </w:r>
    </w:p>
    <w:p w14:paraId="76E70DD1"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أما عيسى (2022) فقد عالج المفهوم من منظور الريادة والتنافسية، معرّفاً إدارة التغيير بأنها قدرة المنظمة على التكيّف مع المتغيرات المحيطة بها من خلال تبنّي أساليب ومنهجيات جديدة في العمل تُتيح لها تحقيق التفوّق والسبق. ويُبرز هذا التعريف البعد الاستراتيجي لإدارة التغيير وارتباطها بالمكانة التنافسية للمنظمة، وهو ما يجعله وثيق الصلة بالمؤسسات الصحية التي تسعى إلى التميّز في تقديم خدماتها ضمن بيئة تنافسية متزايدة</w:t>
      </w:r>
      <w:r w:rsidRPr="001E1970">
        <w:rPr>
          <w:rFonts w:ascii="Sakkal Majalla" w:hAnsi="Sakkal Majalla" w:cs="Sakkal Majalla"/>
          <w:color w:val="000000" w:themeColor="text1"/>
          <w:sz w:val="28"/>
          <w:szCs w:val="28"/>
        </w:rPr>
        <w:t>.</w:t>
      </w:r>
    </w:p>
    <w:p w14:paraId="190A0E0E"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وعند الانتقال إلى السياق الصحي تحديداً، تناول زائري والحازمي (2023) إدارة التغيير من زاوية علاقتها بجودة الخدمة الصحية، وعالجاها بوصفها حزمة من الممارسات الإدارية الموجّهة التي تُوظَّف في البيئة الاستشفائية من خلال أربعة أبعاد مترابطة: التغيير التكنولوجي، والتغيير التنظيمي، والتغيير الإنساني، والتغيير الثقافي. ويكتسب هذا التعريف أهمية خاصة للدراسة الحالية كونه ينطلق من بيئة صحية سعودية مشابهة ويعتمد الأبعاد ذاتها التي يتبناها النموذج البحثي الراهن. كما عالجت المعولية </w:t>
      </w:r>
      <w:r w:rsidRPr="001E1970">
        <w:rPr>
          <w:rFonts w:ascii="Sakkal Majalla" w:hAnsi="Sakkal Majalla" w:cs="Sakkal Majalla"/>
          <w:color w:val="000000" w:themeColor="text1"/>
          <w:sz w:val="28"/>
          <w:szCs w:val="28"/>
          <w:rtl/>
        </w:rPr>
        <w:lastRenderedPageBreak/>
        <w:t>والعسيري (2025) المفهوم في البيئة الاستشفائية بوصفه مدخلاً لتطوير مستوى أداء العاملين في المستشفيات وتعزيز كفاءتهم التشغيلية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وتناول السرحان والحرافشة (2022) إدارة التغيير من منظور تأثيرها المباشر في السلوك الوظيفي للأفراد، مما يُبرز البعد الفردي لعملية التغيير إلى جانب بعدها المؤسسي. أما عيد (2024) فقد عالج المفهوم من منظور معاصر يرصد تأثير المتغيرات الرقمية في إعادة تشكيل ممارسات إدارة التغيير التنظيمي ومتطلباتها القيادية في ظل التحولات الرقمية المتسارعة</w:t>
      </w:r>
      <w:r w:rsidRPr="001E1970">
        <w:rPr>
          <w:rFonts w:ascii="Sakkal Majalla" w:hAnsi="Sakkal Majalla" w:cs="Sakkal Majalla"/>
          <w:color w:val="000000" w:themeColor="text1"/>
          <w:sz w:val="28"/>
          <w:szCs w:val="28"/>
        </w:rPr>
        <w:t>.</w:t>
      </w:r>
    </w:p>
    <w:p w14:paraId="31C9DDC4" w14:textId="038733EA"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ويرى الباحث </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 xml:space="preserve">في ضوء ما سبق من تعريفات — أنّ إدارة التغيير في سياق مشاريع تحديث الأجهزة الطبية يمكن تعريفها بأنها: العملية الإدارية المنهجية والمخططة التي تتبناها المؤسسة الصحية لإحداث تحولات متكاملة في أبعادها التنظيمية والتكنولوجية والبشرية والثقافية، بما يُهيّئ البيئة المؤسسية لاستيعاب مشاريع التحديث التقني للأجهزة الطبية ويُمكّن الكوادر الفنية من التفاعل الإيجابي مع هذه المشاريع وتوظيفها بالكفاءة المطلوبة. </w:t>
      </w:r>
    </w:p>
    <w:p w14:paraId="417146EF" w14:textId="02551C24"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527768"/>
      <w:r w:rsidRPr="001E1970">
        <w:rPr>
          <w:rFonts w:ascii="Sakkal Majalla" w:hAnsi="Sakkal Majalla" w:cs="Sakkal Majalla" w:hint="cs"/>
          <w:b/>
          <w:bCs/>
          <w:color w:val="000000" w:themeColor="text1"/>
          <w:sz w:val="32"/>
          <w:szCs w:val="32"/>
          <w:rtl/>
        </w:rPr>
        <w:t xml:space="preserve">3.1.2 </w:t>
      </w:r>
      <w:r w:rsidR="00BB3751" w:rsidRPr="001E1970">
        <w:rPr>
          <w:rFonts w:ascii="Sakkal Majalla" w:hAnsi="Sakkal Majalla" w:cs="Sakkal Majalla"/>
          <w:b/>
          <w:bCs/>
          <w:color w:val="000000" w:themeColor="text1"/>
          <w:sz w:val="32"/>
          <w:szCs w:val="32"/>
          <w:rtl/>
        </w:rPr>
        <w:t>أهمية إدارة التغيير</w:t>
      </w:r>
      <w:bookmarkEnd w:id="45"/>
    </w:p>
    <w:p w14:paraId="31BB1B70"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تنبع أهمية إدارة التغيير من كونها الأداة التي تُمكّن المؤسسات من التحوّل الواعي والمنظّم في بيئة لم يعد الثبات فيها خياراً قابلاً للاستمرار. فالمؤسسات التي تفتقر إلى منهجيات فعّالة لإدارة التغيير تجد نفسها أمام خطر التقادم والتراجع، في حين أنّ المؤسسات التي تُحسن إدارة تحوّلاتها تُعزّز قدرتها على البقاء والنمو والتميّز</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وتتعاظم هذه الأهمية في القطاع الصحي حيث يرتبط التغيير مباشرة بسلامة المرضى وجودة الرعاية المقدمة لهم، مما يجعل من إدارة التغيير ليست مجرد ممارسة إدارية حسنة بل ضرورة مهنية وأخلاقية</w:t>
      </w:r>
      <w:r w:rsidRPr="001E1970">
        <w:rPr>
          <w:rFonts w:ascii="Sakkal Majalla" w:hAnsi="Sakkal Majalla" w:cs="Sakkal Majalla"/>
          <w:color w:val="000000" w:themeColor="text1"/>
          <w:sz w:val="28"/>
          <w:szCs w:val="28"/>
        </w:rPr>
        <w:t>.</w:t>
      </w:r>
    </w:p>
    <w:p w14:paraId="72185EA4"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ويشير هملان وأبو عرابي والشورة (2020) إلى أنّ أهمية إدارة التغيير تتجلى في عدة أوجه جوهرية</w:t>
      </w:r>
      <w:r w:rsidRPr="001E1970">
        <w:rPr>
          <w:rFonts w:ascii="Sakkal Majalla" w:hAnsi="Sakkal Majalla" w:cs="Sakkal Majalla"/>
          <w:color w:val="000000" w:themeColor="text1"/>
          <w:sz w:val="28"/>
          <w:szCs w:val="28"/>
        </w:rPr>
        <w:t>:</w:t>
      </w:r>
    </w:p>
    <w:p w14:paraId="2BF3BA4E" w14:textId="77777777" w:rsidR="00BB3751" w:rsidRPr="001E1970" w:rsidRDefault="00BB3751" w:rsidP="00270FB7">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تحقيق الميزة التنافسية المستدامة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حيث تُمكّن إدارة التغيير المنظمات من تجديد قدراتها ومواردها بشكل مستمر بما يمنحها تفوّقاً على المنافسين، إذ إنّ المنظمة التي تُحسن إدارة تحوّلاتها تكون أقدر على اقتناص الفرص والاستجابة للتحديات بمرونة وسرعة تفتقر إليها المنظمات الجامدة</w:t>
      </w:r>
      <w:r w:rsidRPr="001E1970">
        <w:rPr>
          <w:rFonts w:ascii="Sakkal Majalla" w:hAnsi="Sakkal Majalla" w:cs="Sakkal Majalla"/>
          <w:color w:val="000000" w:themeColor="text1"/>
          <w:sz w:val="28"/>
          <w:szCs w:val="28"/>
        </w:rPr>
        <w:t>.</w:t>
      </w:r>
    </w:p>
    <w:p w14:paraId="403F1E93" w14:textId="77777777" w:rsidR="00BB3751" w:rsidRPr="001E1970" w:rsidRDefault="00BB3751" w:rsidP="00270FB7">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تعزيز القدرة الإبداعية للمنظمة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إذ إنّ عمليات التغيير المُدارة بفاعلية تخلق بيئة محفّزة للابتكار والتجريب، حيث يشعر العاملون بالأمان الكافي لطرح أفكار جديدة وتجربة أساليب عمل مبتكرة دون خشية من العقاب أو التهميش</w:t>
      </w:r>
      <w:r w:rsidRPr="001E1970">
        <w:rPr>
          <w:rFonts w:ascii="Sakkal Majalla" w:hAnsi="Sakkal Majalla" w:cs="Sakkal Majalla"/>
          <w:color w:val="000000" w:themeColor="text1"/>
          <w:sz w:val="28"/>
          <w:szCs w:val="28"/>
        </w:rPr>
        <w:t>.</w:t>
      </w:r>
    </w:p>
    <w:p w14:paraId="5084B7E1" w14:textId="77777777" w:rsidR="00BB3751" w:rsidRPr="001E1970" w:rsidRDefault="00BB3751" w:rsidP="00270FB7">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ضمان التكامل بين أبعاد التغيير المختلفة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فالتغيير غير المُدار قد يُحدث اختلالات تنظيمية ناجمة عن عدم التناسق بين التغييرات الحاصلة في مختلف جوانب المنظمة، بينما تكفل إدارة التغيير المنهجية تحقيق التوازن والانسجام بين الأبعاد التنظيمية والتكنولوجية والبشرية والثقافية</w:t>
      </w:r>
      <w:r w:rsidRPr="001E1970">
        <w:rPr>
          <w:rFonts w:ascii="Sakkal Majalla" w:hAnsi="Sakkal Majalla" w:cs="Sakkal Majalla"/>
          <w:color w:val="000000" w:themeColor="text1"/>
          <w:sz w:val="28"/>
          <w:szCs w:val="28"/>
        </w:rPr>
        <w:t>.</w:t>
      </w:r>
    </w:p>
    <w:p w14:paraId="0E8F21B6"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ويرى باشري وحمدي (2022) أنّ أهمية إدارة التغيير تبرز كذلك في</w:t>
      </w:r>
      <w:r w:rsidRPr="001E1970">
        <w:rPr>
          <w:rFonts w:ascii="Sakkal Majalla" w:hAnsi="Sakkal Majalla" w:cs="Sakkal Majalla"/>
          <w:b/>
          <w:bCs/>
          <w:color w:val="000000" w:themeColor="text1"/>
          <w:sz w:val="28"/>
          <w:szCs w:val="28"/>
        </w:rPr>
        <w:t>:</w:t>
      </w:r>
    </w:p>
    <w:p w14:paraId="240CF6F8" w14:textId="77777777" w:rsidR="00BB3751" w:rsidRPr="001E1970" w:rsidRDefault="00BB3751" w:rsidP="00270FB7">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تطوير الأداء المؤسسي الشامل</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حيث توفر إدارة التغيير آلية منظمة لتشخيص الفجوات في الأداء وتحديد مجالات التحسين ووضع خطط تنفيذية لمعالجتها، مما يرفع مستوى الأداء الكلّي للمؤسسة بشكل متدرج ومنهجي</w:t>
      </w:r>
      <w:r w:rsidRPr="001E1970">
        <w:rPr>
          <w:rFonts w:ascii="Sakkal Majalla" w:hAnsi="Sakkal Majalla" w:cs="Sakkal Majalla"/>
          <w:color w:val="000000" w:themeColor="text1"/>
          <w:sz w:val="28"/>
          <w:szCs w:val="28"/>
        </w:rPr>
        <w:t>.</w:t>
      </w:r>
    </w:p>
    <w:p w14:paraId="206B563F" w14:textId="77777777" w:rsidR="00BB3751" w:rsidRPr="001E1970" w:rsidRDefault="00BB3751" w:rsidP="00270FB7">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بناء القدرات المؤسسية للتكيّف</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إذ إنّ الممارسة المتكررة لإدارة التغيير تُكسب المؤسسة وعامليها خبرة تراكمية في التعامل مع التحولات، مما يُقلّل من حدة المقاومة ويُسرّع من وتيرة التكيّف مع التغييرات المستقبلية</w:t>
      </w:r>
      <w:r w:rsidRPr="001E1970">
        <w:rPr>
          <w:rFonts w:ascii="Sakkal Majalla" w:hAnsi="Sakkal Majalla" w:cs="Sakkal Majalla"/>
          <w:color w:val="000000" w:themeColor="text1"/>
          <w:sz w:val="28"/>
          <w:szCs w:val="28"/>
        </w:rPr>
        <w:t>.</w:t>
      </w:r>
    </w:p>
    <w:p w14:paraId="50D873AC" w14:textId="77777777" w:rsidR="00BB3751" w:rsidRPr="001E1970" w:rsidRDefault="00BB3751" w:rsidP="00270FB7">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الحفاظ على استقرار العمليات التشغيلية أثناء التحوّل</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إذ تكمن إحدى أخطر تبعات التغيير غير المُدار في تعطّل العمليات الجارية وتراجع مستوى الخدمة خلال فترة الانتقال، وهنا تُسهم إدارة التغيير في ضمان استمرارية العمل بمستويات مقبولة أثناء مراحل التحوّل</w:t>
      </w:r>
      <w:r w:rsidRPr="001E1970">
        <w:rPr>
          <w:rFonts w:ascii="Sakkal Majalla" w:hAnsi="Sakkal Majalla" w:cs="Sakkal Majalla"/>
          <w:color w:val="000000" w:themeColor="text1"/>
          <w:sz w:val="28"/>
          <w:szCs w:val="28"/>
        </w:rPr>
        <w:t>.</w:t>
      </w:r>
    </w:p>
    <w:p w14:paraId="1ADA5D96"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وفي السياق الصحي، يُؤكد زائري والحازمي (2023) أنّ أهمية إدارة التغيير في المستشفيات تكتسب بعداً إضافياً بالغ الحساسية يتمثل في</w:t>
      </w:r>
      <w:r w:rsidRPr="001E1970">
        <w:rPr>
          <w:rFonts w:ascii="Sakkal Majalla" w:hAnsi="Sakkal Majalla" w:cs="Sakkal Majalla"/>
          <w:color w:val="000000" w:themeColor="text1"/>
          <w:sz w:val="28"/>
          <w:szCs w:val="28"/>
        </w:rPr>
        <w:t>:</w:t>
      </w:r>
    </w:p>
    <w:p w14:paraId="4644FDA3" w14:textId="77777777" w:rsidR="00BB3751" w:rsidRPr="001E1970" w:rsidRDefault="00BB3751" w:rsidP="00270FB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الارتباط المباشر بجودة الخدمة الصحية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حيث إنّ جودة الرعاية المقدمة للمرضى تتأثر تأثراً مباشراً بمدى فاعلية إدارة التحولات في البيئة الاستشفائية، إذ إنّ أي خلل في إدارة التغيير قد ينعكس سلباً على سلامة المرضى ومستوى الخدمة المقدمة لهم</w:t>
      </w:r>
      <w:r w:rsidRPr="001E1970">
        <w:rPr>
          <w:rFonts w:ascii="Sakkal Majalla" w:hAnsi="Sakkal Majalla" w:cs="Sakkal Majalla"/>
          <w:color w:val="000000" w:themeColor="text1"/>
          <w:sz w:val="28"/>
          <w:szCs w:val="28"/>
        </w:rPr>
        <w:t>.</w:t>
      </w:r>
    </w:p>
    <w:p w14:paraId="5FC32E41" w14:textId="77777777" w:rsidR="00BB3751" w:rsidRPr="001E1970" w:rsidRDefault="00BB3751" w:rsidP="00270FB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تعدد أصحاب المصلحة في البيئة الصحية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فالتغيير في المستشفيات لا يمس فئة واحدة بل يطال أطباء وممرضين وفنيين وإداريين ومرضى، ولكل فئة احتياجاتها ومخاوفها وتوقعاتها، مما يستدعي إدارة تغيير تأخذ في الحسبان هذا التنوع وتوازن بين المصالح المتباينة</w:t>
      </w:r>
      <w:r w:rsidRPr="001E1970">
        <w:rPr>
          <w:rFonts w:ascii="Sakkal Majalla" w:hAnsi="Sakkal Majalla" w:cs="Sakkal Majalla"/>
          <w:color w:val="000000" w:themeColor="text1"/>
          <w:sz w:val="28"/>
          <w:szCs w:val="28"/>
        </w:rPr>
        <w:t>.</w:t>
      </w:r>
    </w:p>
    <w:p w14:paraId="5DD25DDC" w14:textId="77777777" w:rsidR="00BB3751" w:rsidRPr="001E1970" w:rsidRDefault="00BB3751" w:rsidP="00270FB7">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خصوصية التقنية الطبية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فالأجهزة الطبية ليست مجرد أدوات إنتاجية عادية بل هي وسائل تشخيصية وعلاجية ترتبط بحياة الإنسان، مما يفرض مستوى أعلى من الدقة والحذر في إدارة عمليات تحديثها واستبدالها</w:t>
      </w:r>
      <w:r w:rsidRPr="001E1970">
        <w:rPr>
          <w:rFonts w:ascii="Sakkal Majalla" w:hAnsi="Sakkal Majalla" w:cs="Sakkal Majalla"/>
          <w:color w:val="000000" w:themeColor="text1"/>
          <w:sz w:val="28"/>
          <w:szCs w:val="28"/>
        </w:rPr>
        <w:t>.</w:t>
      </w:r>
    </w:p>
    <w:p w14:paraId="26EA9702" w14:textId="11576371"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3527769"/>
      <w:r w:rsidRPr="001E1970">
        <w:rPr>
          <w:rFonts w:ascii="Sakkal Majalla" w:hAnsi="Sakkal Majalla" w:cs="Sakkal Majalla" w:hint="cs"/>
          <w:b/>
          <w:bCs/>
          <w:color w:val="000000" w:themeColor="text1"/>
          <w:sz w:val="32"/>
          <w:szCs w:val="32"/>
          <w:rtl/>
        </w:rPr>
        <w:t xml:space="preserve">4.1.2 </w:t>
      </w:r>
      <w:r w:rsidR="00BB3751" w:rsidRPr="001E1970">
        <w:rPr>
          <w:rFonts w:ascii="Sakkal Majalla" w:hAnsi="Sakkal Majalla" w:cs="Sakkal Majalla"/>
          <w:b/>
          <w:bCs/>
          <w:color w:val="000000" w:themeColor="text1"/>
          <w:sz w:val="32"/>
          <w:szCs w:val="32"/>
          <w:rtl/>
        </w:rPr>
        <w:t>أهداف إدارة التغيير</w:t>
      </w:r>
      <w:bookmarkEnd w:id="46"/>
    </w:p>
    <w:p w14:paraId="10AFFB46"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تتنوع أهداف إدارة التغيير وتتكامل فيما بينها لتشكّل منظومة متسقة تسعى إلى تحقيق التحوّل المنشود بأقل تكلفة وأعلى عائد. وقد تناول الباحثون هذه الأهداف من زوايا متعددة تعكس تنوع اهتماماتهم ومجالات دراساتهم</w:t>
      </w:r>
      <w:r w:rsidRPr="001E1970">
        <w:rPr>
          <w:rFonts w:ascii="Sakkal Majalla" w:hAnsi="Sakkal Majalla" w:cs="Sakkal Majalla"/>
          <w:color w:val="000000" w:themeColor="text1"/>
          <w:sz w:val="28"/>
          <w:szCs w:val="28"/>
        </w:rPr>
        <w:t>.</w:t>
      </w:r>
    </w:p>
    <w:p w14:paraId="4A477436"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فقد حدّد هملان وأبو عرابي والشورة</w:t>
      </w:r>
      <w:r w:rsidRPr="001E1970">
        <w:rPr>
          <w:rFonts w:ascii="Sakkal Majalla" w:hAnsi="Sakkal Majalla" w:cs="Sakkal Majalla"/>
          <w:color w:val="000000" w:themeColor="text1"/>
          <w:sz w:val="28"/>
          <w:szCs w:val="28"/>
        </w:rPr>
        <w:t xml:space="preserve"> (2020) </w:t>
      </w:r>
      <w:r w:rsidRPr="001E1970">
        <w:rPr>
          <w:rFonts w:ascii="Sakkal Majalla" w:hAnsi="Sakkal Majalla" w:cs="Sakkal Majalla"/>
          <w:color w:val="000000" w:themeColor="text1"/>
          <w:sz w:val="28"/>
          <w:szCs w:val="28"/>
          <w:rtl/>
        </w:rPr>
        <w:t>أهداف إدارة التغيير في إطار سعي المنظمة إلى بناء ميزة تنافسية مستدامة، ويمكن استخلاص ثلاثة أهداف محورية من هذا المنظور</w:t>
      </w:r>
      <w:r w:rsidRPr="001E1970">
        <w:rPr>
          <w:rFonts w:ascii="Sakkal Majalla" w:hAnsi="Sakkal Majalla" w:cs="Sakkal Majalla"/>
          <w:color w:val="000000" w:themeColor="text1"/>
          <w:sz w:val="28"/>
          <w:szCs w:val="28"/>
        </w:rPr>
        <w:t>:</w:t>
      </w:r>
    </w:p>
    <w:p w14:paraId="324215E8" w14:textId="77777777" w:rsidR="00BB3751" w:rsidRPr="001E1970" w:rsidRDefault="00BB3751" w:rsidP="00270FB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مواءمة القدرات المؤسسية مع المتطلبات البيئية المتجددة بما يضمن استمرارية التفوّق التنافسي</w:t>
      </w:r>
      <w:r w:rsidRPr="001E1970">
        <w:rPr>
          <w:rFonts w:ascii="Sakkal Majalla" w:hAnsi="Sakkal Majalla" w:cs="Sakkal Majalla"/>
          <w:color w:val="000000" w:themeColor="text1"/>
          <w:sz w:val="28"/>
          <w:szCs w:val="28"/>
        </w:rPr>
        <w:t>.</w:t>
      </w:r>
    </w:p>
    <w:p w14:paraId="2C4F3A67" w14:textId="77777777" w:rsidR="00BB3751" w:rsidRPr="001E1970" w:rsidRDefault="00BB3751" w:rsidP="00270FB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تعزيز المرونة التنظيمية وقدرة المنظمة على الاستجابة السريعة للمتغيرات</w:t>
      </w:r>
      <w:r w:rsidRPr="001E1970">
        <w:rPr>
          <w:rFonts w:ascii="Sakkal Majalla" w:hAnsi="Sakkal Majalla" w:cs="Sakkal Majalla"/>
          <w:color w:val="000000" w:themeColor="text1"/>
          <w:sz w:val="28"/>
          <w:szCs w:val="28"/>
        </w:rPr>
        <w:t>.</w:t>
      </w:r>
    </w:p>
    <w:p w14:paraId="76804214" w14:textId="77777777" w:rsidR="00BB3751" w:rsidRPr="001E1970" w:rsidRDefault="00BB3751" w:rsidP="00270FB7">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تفعيل الدور الإبداعي داخل المنظمة وتحويل الأفكار المبتكرة إلى ممارسات تشغيلية قابلة للتطبيق</w:t>
      </w:r>
      <w:r w:rsidRPr="001E1970">
        <w:rPr>
          <w:rFonts w:ascii="Sakkal Majalla" w:hAnsi="Sakkal Majalla" w:cs="Sakkal Majalla"/>
          <w:color w:val="000000" w:themeColor="text1"/>
          <w:sz w:val="28"/>
          <w:szCs w:val="28"/>
        </w:rPr>
        <w:t>.</w:t>
      </w:r>
    </w:p>
    <w:p w14:paraId="3173F01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أما عيسى (2022) فقد ربط أهداف إدارة التغيير بتحقيق الريادة المؤسسية، مُحدداً ثلاثة أهداف رئيسية</w:t>
      </w:r>
      <w:r w:rsidRPr="001E1970">
        <w:rPr>
          <w:rFonts w:ascii="Sakkal Majalla" w:hAnsi="Sakkal Majalla" w:cs="Sakkal Majalla"/>
          <w:color w:val="000000" w:themeColor="text1"/>
          <w:sz w:val="28"/>
          <w:szCs w:val="28"/>
        </w:rPr>
        <w:t>:</w:t>
      </w:r>
    </w:p>
    <w:p w14:paraId="47CEF295" w14:textId="77777777" w:rsidR="00BB3751" w:rsidRPr="001E1970" w:rsidRDefault="00BB3751" w:rsidP="00270FB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تمكين المنظمة من تبنّي أفضل الممارسات والمنهجيات الإدارية والتشغيلية المتاحة</w:t>
      </w:r>
      <w:r w:rsidRPr="001E1970">
        <w:rPr>
          <w:rFonts w:ascii="Sakkal Majalla" w:hAnsi="Sakkal Majalla" w:cs="Sakkal Majalla"/>
          <w:color w:val="000000" w:themeColor="text1"/>
          <w:sz w:val="28"/>
          <w:szCs w:val="28"/>
        </w:rPr>
        <w:t>.</w:t>
      </w:r>
    </w:p>
    <w:p w14:paraId="693D0F80" w14:textId="77777777" w:rsidR="00BB3751" w:rsidRPr="001E1970" w:rsidRDefault="00BB3751" w:rsidP="00270FB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تطوير القدرات التنافسية للمنظمة بما يُتيح لها تصدّر القطاع الذي تعمل فيه</w:t>
      </w:r>
      <w:r w:rsidRPr="001E1970">
        <w:rPr>
          <w:rFonts w:ascii="Sakkal Majalla" w:hAnsi="Sakkal Majalla" w:cs="Sakkal Majalla"/>
          <w:color w:val="000000" w:themeColor="text1"/>
          <w:sz w:val="28"/>
          <w:szCs w:val="28"/>
        </w:rPr>
        <w:t>.</w:t>
      </w:r>
    </w:p>
    <w:p w14:paraId="66888561" w14:textId="77777777" w:rsidR="00BB3751" w:rsidRPr="001E1970" w:rsidRDefault="00BB3751" w:rsidP="00270FB7">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بناء ثقافة مؤسسية ترى في التغيير فرصة للتطوير لا تهديداً للاستقرار</w:t>
      </w:r>
      <w:r w:rsidRPr="001E1970">
        <w:rPr>
          <w:rFonts w:ascii="Sakkal Majalla" w:hAnsi="Sakkal Majalla" w:cs="Sakkal Majalla"/>
          <w:color w:val="000000" w:themeColor="text1"/>
          <w:sz w:val="28"/>
          <w:szCs w:val="28"/>
        </w:rPr>
        <w:t>.</w:t>
      </w:r>
    </w:p>
    <w:p w14:paraId="1E71B8F3"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lastRenderedPageBreak/>
        <w:t>وفي سياق المؤسسات الصحية، يمكن استخلاص أهداف نوعية من معالجة زائري والحازمي</w:t>
      </w:r>
      <w:r w:rsidRPr="001E1970">
        <w:rPr>
          <w:rFonts w:ascii="Sakkal Majalla" w:hAnsi="Sakkal Majalla" w:cs="Sakkal Majalla"/>
          <w:b/>
          <w:bCs/>
          <w:color w:val="000000" w:themeColor="text1"/>
          <w:sz w:val="28"/>
          <w:szCs w:val="28"/>
        </w:rPr>
        <w:t xml:space="preserve"> (2023):</w:t>
      </w:r>
    </w:p>
    <w:p w14:paraId="0BD10C89" w14:textId="77777777" w:rsidR="00BB3751" w:rsidRPr="001E1970" w:rsidRDefault="00BB3751" w:rsidP="00270FB7">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رفع مستوى جودة الخدمة الصحية المقدمة للمرضى من خلال تحديث المنظومة التقنية والإدارية</w:t>
      </w:r>
      <w:r w:rsidRPr="001E1970">
        <w:rPr>
          <w:rFonts w:ascii="Sakkal Majalla" w:hAnsi="Sakkal Majalla" w:cs="Sakkal Majalla"/>
          <w:color w:val="000000" w:themeColor="text1"/>
          <w:sz w:val="28"/>
          <w:szCs w:val="28"/>
        </w:rPr>
        <w:t>.</w:t>
      </w:r>
    </w:p>
    <w:p w14:paraId="6DDA9778" w14:textId="77777777" w:rsidR="00BB3751" w:rsidRPr="001E1970" w:rsidRDefault="00BB3751" w:rsidP="00270FB7">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تهيئة البيئة المؤسسية لاستيعاب التقنيات الطبية الحديثة وتوظيفها بالكفاءة المطلوبة</w:t>
      </w:r>
      <w:r w:rsidRPr="001E1970">
        <w:rPr>
          <w:rFonts w:ascii="Sakkal Majalla" w:hAnsi="Sakkal Majalla" w:cs="Sakkal Majalla"/>
          <w:color w:val="000000" w:themeColor="text1"/>
          <w:sz w:val="28"/>
          <w:szCs w:val="28"/>
        </w:rPr>
        <w:t>.</w:t>
      </w:r>
    </w:p>
    <w:p w14:paraId="75F1BD2B" w14:textId="77777777" w:rsidR="00BB3751" w:rsidRPr="001E1970" w:rsidRDefault="00BB3751" w:rsidP="00270FB7">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تطوير الكوادر البشرية وتعزيز قدراتها على التعامل مع متطلبات بيئة العمل المتجددة</w:t>
      </w:r>
      <w:r w:rsidRPr="001E1970">
        <w:rPr>
          <w:rFonts w:ascii="Sakkal Majalla" w:hAnsi="Sakkal Majalla" w:cs="Sakkal Majalla"/>
          <w:color w:val="000000" w:themeColor="text1"/>
          <w:sz w:val="28"/>
          <w:szCs w:val="28"/>
        </w:rPr>
        <w:t>.</w:t>
      </w:r>
    </w:p>
    <w:p w14:paraId="55F30E16"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كما حدّد عشال وثابت (2025) هدفاً محورياً لإدارة التغيير التنظيمي يتمثل في بناء جاهزية المؤسسة لمواجهة الأزمات والمواقف الطارئة من خلال تطوير هياكلها وعملياتها بصورة تُعزّز مرونتها وقدرتها على التكيّف السريع. وأضاف الخصاونة والزوايدة (2023) بعداً قيادياً لأهداف إدارة التغيير، يتمحور حول بناء قيادات تحويلية قادرة على إلهام العاملين وتوجيههم نحو تبنّي التغيير والمشاركة الفاعلة في تحقيقه</w:t>
      </w:r>
      <w:r w:rsidRPr="001E1970">
        <w:rPr>
          <w:rFonts w:ascii="Sakkal Majalla" w:hAnsi="Sakkal Majalla" w:cs="Sakkal Majalla"/>
          <w:color w:val="000000" w:themeColor="text1"/>
          <w:sz w:val="28"/>
          <w:szCs w:val="28"/>
        </w:rPr>
        <w:t>.</w:t>
      </w:r>
    </w:p>
    <w:p w14:paraId="342FF200" w14:textId="7CFDF16A"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3527770"/>
      <w:r w:rsidRPr="001E1970">
        <w:rPr>
          <w:rFonts w:ascii="Sakkal Majalla" w:hAnsi="Sakkal Majalla" w:cs="Sakkal Majalla" w:hint="cs"/>
          <w:b/>
          <w:bCs/>
          <w:color w:val="000000" w:themeColor="text1"/>
          <w:sz w:val="32"/>
          <w:szCs w:val="32"/>
          <w:rtl/>
        </w:rPr>
        <w:t xml:space="preserve">5.1.2 </w:t>
      </w:r>
      <w:r w:rsidR="00BB3751" w:rsidRPr="001E1970">
        <w:rPr>
          <w:rFonts w:ascii="Sakkal Majalla" w:hAnsi="Sakkal Majalla" w:cs="Sakkal Majalla"/>
          <w:b/>
          <w:bCs/>
          <w:color w:val="000000" w:themeColor="text1"/>
          <w:sz w:val="32"/>
          <w:szCs w:val="32"/>
          <w:rtl/>
        </w:rPr>
        <w:t>أبعاد إدارة التغيير المعتمدة في الدراسة</w:t>
      </w:r>
      <w:bookmarkEnd w:id="47"/>
    </w:p>
    <w:p w14:paraId="2E63C125"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تم تحديد أبعاد إدارة التغيير في الدراسة الحالية بناءً على مراجعة معمّقة للأدبيات ذات الصلة، حيث اعتمدت الدراسة التصنيف الرباعي الذي تبنّاه زائري والحازمي (2023) في دراستهما على البيئة الصحية السعودية، والذي يتوافق مع ما تبنّاه السرحان والحرافشة (2022) في إطارهما التحليلي لأبعاد إدارة التغيير. وقد تم اختيار هذه الأبعاد الأربعة </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التغيير التنظيمي، والتغيير التكنولوجي، والتغيير البشري، والتغيير الثقافي — لملاءمتها لطبيعة بيئة الدراسة المتمثلة في مشاريع تحديث الأجهزة الطبية في مستشفى حفر الباطن المركزي، حيث إنّ هذه المشاريع تفرض تحولات متزامنة في الهياكل التنظيمية والمنظومة التقنية والقدرات البشرية والثقافة المؤسسية</w:t>
      </w:r>
      <w:r w:rsidRPr="001E1970">
        <w:rPr>
          <w:rFonts w:ascii="Sakkal Majalla" w:hAnsi="Sakkal Majalla" w:cs="Sakkal Majalla"/>
          <w:color w:val="000000" w:themeColor="text1"/>
          <w:sz w:val="28"/>
          <w:szCs w:val="28"/>
        </w:rPr>
        <w:t>.</w:t>
      </w:r>
    </w:p>
    <w:p w14:paraId="43F5656F" w14:textId="77777777" w:rsidR="00BB3751" w:rsidRPr="001E1970" w:rsidRDefault="00BB3751" w:rsidP="00270FB7">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البعد الأول: التغيير التنظيمي</w:t>
      </w:r>
    </w:p>
    <w:p w14:paraId="3841279F"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يُمثّل التغيير التنظيمي البنية الأساسية التي تقوم عليها عمليات التحوّل المؤسسي، إذ يتناول مجمل التعديلات المخططة التي تطال الإطار الهيكلي والإجرائي للمنظمة بما يشمل تصميم الهياكل التنظيمية وتوزيع الصلاحيات وخطوط الإبلاغ وأنظمة العمل الداخلية وبروتوكولات التشغيل ونظم </w:t>
      </w:r>
      <w:r w:rsidRPr="001E1970">
        <w:rPr>
          <w:rFonts w:ascii="Sakkal Majalla" w:hAnsi="Sakkal Majalla" w:cs="Sakkal Majalla"/>
          <w:color w:val="000000" w:themeColor="text1"/>
          <w:sz w:val="28"/>
          <w:szCs w:val="28"/>
          <w:rtl/>
        </w:rPr>
        <w:lastRenderedPageBreak/>
        <w:t>الاتصال والتنسيق بين الوحدات الإدارية والفنية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ويتميز هذا البعد بشموليته وعمق تأثيره، إذ إنّ أي تعديل في الهيكل التنظيمي أو إجراءات العمل ينعكس حتماً على طريقة أداء الأفراد وتفاعلاتهم الوظيفية ويُعيد تشكيل خريطة العلاقات والمسؤوليات داخل المؤسسة</w:t>
      </w:r>
      <w:r w:rsidRPr="001E1970">
        <w:rPr>
          <w:rFonts w:ascii="Sakkal Majalla" w:hAnsi="Sakkal Majalla" w:cs="Sakkal Majalla"/>
          <w:color w:val="000000" w:themeColor="text1"/>
          <w:sz w:val="28"/>
          <w:szCs w:val="28"/>
        </w:rPr>
        <w:t>.</w:t>
      </w:r>
    </w:p>
    <w:p w14:paraId="3699BF80"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وفي البيئة الاستشفائية، يتخذ التغيير التنظيمي أبعاداً خاصة مرتبطة بتعقّد الهياكل الصحية التي تجمع بين تخصصات طبية وتمريضية وفنية وإدارية ذات ثقافات مهنية متباينة. فالمستشفى بطبيعته منظمة مصفوفية تتقاطع فيها خطوط السلطة الإدارية مع خطوط السلطة المهنية، مما يجعل التغيير التنظيمي فيه أكثر تشابكاً من نظيره في المنظمات ذات البنية الهرمية البسيطة. وفي سياق مشاريع تحديث الأجهزة الطبية، يفرض التغيير التنظيمي نفسه بقوة لأنّ إدخال أجهزة حديثة يستلزم في الغالب إعادة تصميم تدفقات العمل بين أقسام الهندسة الطبية والأقسام السريرية، وتحديث بروتوكولات التشغيل والصيانة المعيارية، وربما إنشاء وحدات تنظيمية جديدة أو إعادة تحديد صلاحيات الوحدات القائمة. كما يتطلب تطوير نظم التوثيق والمتابعة وآليات تقييم الأداء لتتوافق مع المعايير التقنية للأجهزة المُحدَّثة، فضلاً عن تعديل قنوات الاتصال والتنسيق بين الإدارات المختلفة المعنية بعملية التحديث</w:t>
      </w:r>
      <w:r w:rsidRPr="001E1970">
        <w:rPr>
          <w:rFonts w:ascii="Sakkal Majalla" w:hAnsi="Sakkal Majalla" w:cs="Sakkal Majalla"/>
          <w:color w:val="000000" w:themeColor="text1"/>
          <w:sz w:val="28"/>
          <w:szCs w:val="28"/>
        </w:rPr>
        <w:t>.</w:t>
      </w:r>
    </w:p>
    <w:p w14:paraId="435468F1"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ويمتد التغيير التنظيمي كذلك ليشمل تطوير السياسات المؤسسية الحاكمة لعمليات اقتناء الأجهزة الطبية واستقبالها وتركيبها وتشغيلها، وإعادة صياغة الأوصاف الوظيفية للكوادر الفنية بما يعكس المتطلبات الجديدة التي تفرضها التقنيات المُحدَّثة. ولا يقتصر الأمر على التعديلات الداخلية، بل يمتد ليشمل إعادة صياغة العلاقات التعاقدية مع مورّدي الأجهزة وشركات الصيانة والدعم الفني، وتطوير آليات الرقابة وضبط الجودة وإدارة المخاطر المرتبطة بتشغيل الأجهزة الجديدة. ومن ثمّ فإنّ التغيير التنظيمي في هذا السياق يتجاوز كونه تعديلاً في المخططات التنظيمية ليشمل إعادة هندسة شاملة للعمليات والعلاقات المؤسسية بما يُهيّئ المناخ التنظيمي لاستيعاب مشاريع التحديث بسلاسة وفاعلية</w:t>
      </w:r>
      <w:r w:rsidRPr="001E1970">
        <w:rPr>
          <w:rFonts w:ascii="Sakkal Majalla" w:hAnsi="Sakkal Majalla" w:cs="Sakkal Majalla"/>
          <w:color w:val="000000" w:themeColor="text1"/>
          <w:sz w:val="28"/>
          <w:szCs w:val="28"/>
        </w:rPr>
        <w:t>.</w:t>
      </w:r>
    </w:p>
    <w:p w14:paraId="184ABE6B" w14:textId="77777777" w:rsidR="00BB3751" w:rsidRPr="001E1970" w:rsidRDefault="00BB3751" w:rsidP="00270FB7">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البعد الثاني: التغيير التكنولوجي</w:t>
      </w:r>
    </w:p>
    <w:p w14:paraId="0677D2AF"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يحتل التغيير التكنولوجي موقعاً محورياً ضمن منظومة أبعاد إدارة التغيير، لا سيما في ظل الثورة التقنية المتسارعة التي أعادت تشكيل بيئة العمل في القطاع الصحي بصورة جذرية. ويتناول هذا البعد </w:t>
      </w:r>
      <w:r w:rsidRPr="001E1970">
        <w:rPr>
          <w:rFonts w:ascii="Sakkal Majalla" w:hAnsi="Sakkal Majalla" w:cs="Sakkal Majalla"/>
          <w:color w:val="000000" w:themeColor="text1"/>
          <w:sz w:val="28"/>
          <w:szCs w:val="28"/>
          <w:rtl/>
        </w:rPr>
        <w:lastRenderedPageBreak/>
        <w:t>عملية إدخال تقنيات وأدوات ومعدات وأنظمة جديدة أو مُحدَّثة إلى بيئة العمل المؤسسية، بما يشمل الأجهزة المادية والبرمجيات والأنظمة التشغيلية والبنية التحتية الرقمية. وفي سياق الدراسة الحالية، يتجسّد التغيير التكنولوجي في مشاريع تحديث الأجهزة الطبية التشخيصية والعلاجية وما يصاحبها من تحوّل في المنظومة التقنية الكلية للمستشفى</w:t>
      </w:r>
      <w:r w:rsidRPr="001E1970">
        <w:rPr>
          <w:rFonts w:ascii="Sakkal Majalla" w:hAnsi="Sakkal Majalla" w:cs="Sakkal Majalla"/>
          <w:color w:val="000000" w:themeColor="text1"/>
          <w:sz w:val="28"/>
          <w:szCs w:val="28"/>
        </w:rPr>
        <w:t>.</w:t>
      </w:r>
    </w:p>
    <w:p w14:paraId="3DDA45D0"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ويتسم التغيير التكنولوجي في مجال الأجهزة الطبية بخصوصية مزدوجة ناجمة عن التقاطع بين المتطلبات الهندسية والمتطلبات السريرية. فالأجهزة الطبية الحديثة لا تُمثّل مجرد أدوات إنتاجية يمكن استبدالها ببساطة، بل هي منظومات تقنية معقدة تتكامل مع بيئة العمل السريري وتتطلب مستوى عالياً من الخبرة الفنية لتشغيلها ومعايرتها وصيانتها وإصلاحها. وقد تناول</w:t>
      </w:r>
      <w:r w:rsidRPr="001E1970">
        <w:rPr>
          <w:rFonts w:ascii="Sakkal Majalla" w:hAnsi="Sakkal Majalla" w:cs="Sakkal Majalla"/>
          <w:color w:val="000000" w:themeColor="text1"/>
          <w:sz w:val="28"/>
          <w:szCs w:val="28"/>
        </w:rPr>
        <w:t xml:space="preserve"> Almutair, Al Harbi, and Alanazi (2023) </w:t>
      </w:r>
      <w:r w:rsidRPr="001E1970">
        <w:rPr>
          <w:rFonts w:ascii="Sakkal Majalla" w:hAnsi="Sakkal Majalla" w:cs="Sakkal Majalla"/>
          <w:color w:val="000000" w:themeColor="text1"/>
          <w:sz w:val="28"/>
          <w:szCs w:val="28"/>
          <w:rtl/>
        </w:rPr>
        <w:t>دور التحول الرقمي في رفع كفاءة العاملين في مجال الأجهزة الطبية، حيث عالجوا المفهوم من خلال مؤشرات تتصل بأنماط التحول الرقمي المختلفة كالواقع الافتراضي وتحليل البيانات الضخمة والسجلات الطبية الرقمية، واستخدموا قياسات تتعلق بمستوى الكفاءة التشغيلية للعاملين في ظل التوظيف التقني. وتستفيد الدراسة الحالية من هذا التناول في فهم كيف يؤثر التحول التكنولوجي في أنماط عمل الكوادر الفنية ومستوى كفاءتها</w:t>
      </w:r>
      <w:r w:rsidRPr="001E1970">
        <w:rPr>
          <w:rFonts w:ascii="Sakkal Majalla" w:hAnsi="Sakkal Majalla" w:cs="Sakkal Majalla"/>
          <w:color w:val="000000" w:themeColor="text1"/>
          <w:sz w:val="28"/>
          <w:szCs w:val="28"/>
        </w:rPr>
        <w:t>.</w:t>
      </w:r>
    </w:p>
    <w:p w14:paraId="79B505E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ويتضمن التغيير التكنولوجي في مشاريع تحديث الأجهزة الطبية عدة مكونات متشابكة تتجاوز مجرد استبدال المعدات القديمة بأخرى جديدة. فثمة مكوّن يتعلق بالبنية التحتية الرقمية اللازمة لتشغيل الأجهزة الحديثة وربطها بشبكات المعلومات الصحية، وهو ما يُعرف بمفهوم التكامل التقني الذي يقتضي توافق الأجهزة الجديدة مع المنظومة المعلوماتية القائمة في المستشفى. كما يشمل مكوّناً يتصل بتقنيات الصيانة المتقدمة كالصيانة التنبؤية القائمة على تحليل البيانات، وهو ما عالجه</w:t>
      </w:r>
      <w:r w:rsidRPr="001E1970">
        <w:rPr>
          <w:rFonts w:ascii="Sakkal Majalla" w:hAnsi="Sakkal Majalla" w:cs="Sakkal Majalla"/>
          <w:color w:val="000000" w:themeColor="text1"/>
          <w:sz w:val="28"/>
          <w:szCs w:val="28"/>
        </w:rPr>
        <w:t xml:space="preserve"> Li, Mao, and Zhang (2022) </w:t>
      </w:r>
      <w:r w:rsidRPr="001E1970">
        <w:rPr>
          <w:rFonts w:ascii="Sakkal Majalla" w:hAnsi="Sakkal Majalla" w:cs="Sakkal Majalla"/>
          <w:color w:val="000000" w:themeColor="text1"/>
          <w:sz w:val="28"/>
          <w:szCs w:val="28"/>
          <w:rtl/>
        </w:rPr>
        <w:t>من خلال تناول دور تقنيات اندماج المعلومات في صيانة المعدات الطبية ومراقبة جودتها، حيث تبنّوا مقاربة ترى أنّ توظيف التقنيات الذكية في الصيانة يُحدث نقلة نوعية في كيفية إدارة الأجهزة الطبية والحفاظ على أدائها. وتستفيد الدراسة الحالية من هذا المنظور في فهم البعد التقني لعملية التحديث وانعكاساتها على طبيعة عمل الكوادر الفنية</w:t>
      </w:r>
      <w:r w:rsidRPr="001E1970">
        <w:rPr>
          <w:rFonts w:ascii="Sakkal Majalla" w:hAnsi="Sakkal Majalla" w:cs="Sakkal Majalla"/>
          <w:color w:val="000000" w:themeColor="text1"/>
          <w:sz w:val="28"/>
          <w:szCs w:val="28"/>
        </w:rPr>
        <w:t>.</w:t>
      </w:r>
    </w:p>
    <w:p w14:paraId="30B0DB8B"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فضلاً عن ذلك، يرتبط التغيير التكنولوجي في الأجهزة الطبية بمنظومة الابتكار الأوسع في صناعة المعدات الطبية المتقدمة، وهو ما تناوله</w:t>
      </w:r>
      <w:r w:rsidRPr="001E1970">
        <w:rPr>
          <w:rFonts w:ascii="Sakkal Majalla" w:hAnsi="Sakkal Majalla" w:cs="Sakkal Majalla"/>
          <w:color w:val="000000" w:themeColor="text1"/>
          <w:sz w:val="28"/>
          <w:szCs w:val="28"/>
        </w:rPr>
        <w:t xml:space="preserve"> Hu et al. (2025) </w:t>
      </w:r>
      <w:r w:rsidRPr="001E1970">
        <w:rPr>
          <w:rFonts w:ascii="Sakkal Majalla" w:hAnsi="Sakkal Majalla" w:cs="Sakkal Majalla"/>
          <w:color w:val="000000" w:themeColor="text1"/>
          <w:sz w:val="28"/>
          <w:szCs w:val="28"/>
          <w:rtl/>
        </w:rPr>
        <w:t>من خلال تحليل شبكات الابتكار في هذه الصناعة ودورها في دعم منظومات الصحة الرقمية، مستخدمين إطاراً تحليلياً يربط بين المستوى المحلي والمستوى الوطني في تدفقات الابتكار التقني</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ويُضيء هذا التناول على حقيقة أنّ التغيير التكنولوجي في المستشفيات لا يحدث بمعزل عن الحركة الابتكارية العالمية في مجال التقنيات الطبية، وأنّ قدرة المستشفى على استيعاب مشاريع التحديث مرهونة بمدى اتصاله بمصادر المعرفة التقنية وشبكات الدعم الفني. كما أنّ التغيير التكنولوجي يفرض تحديات تتعلق بالأمن السيبراني للأجهزة الطبية المتصلة بالشبكات، وإدارة دورة حياة التقنية من الاقتناء إلى التخلّص منها، وضمان التحديث المستمر للبرمجيات التشغيلية، وكلها جوانب تستلزم كوادر فنية عالية التأهيل قادرة على التعامل مع هذا المستوى من التعقيد التقني</w:t>
      </w:r>
      <w:r w:rsidRPr="001E1970">
        <w:rPr>
          <w:rFonts w:ascii="Sakkal Majalla" w:hAnsi="Sakkal Majalla" w:cs="Sakkal Majalla"/>
          <w:color w:val="000000" w:themeColor="text1"/>
          <w:sz w:val="28"/>
          <w:szCs w:val="28"/>
        </w:rPr>
        <w:t>.</w:t>
      </w:r>
    </w:p>
    <w:p w14:paraId="0BE32EF4" w14:textId="77777777" w:rsidR="00BB3751" w:rsidRPr="001E1970" w:rsidRDefault="00BB3751" w:rsidP="00270FB7">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البعد الثالث: التغيير البشري</w:t>
      </w:r>
    </w:p>
    <w:p w14:paraId="258CF6BF"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يُشكّل التغيير البشري البعد الأكثر حساسية وتعقيداً في منظومة إدارة التغيير، وذلك لأنّ العنصر البشري بطبيعته أقل قابلية للتنبؤ والتحكّم مقارنة بالهياكل والتقنيات، فالتعامل مع اتجاهات الأفراد ودوافعهم ومخاوفهم ومقاومتهم يتطلب فهماً عميقاً للسلوك الإنساني ومرونة في الأساليب والأدوات المستخدمة. ويتناول هذا البعد في الدراسة الحالية ثلاثة محاور مترابطة هي: التدريب، والتحفيز، وتنمية المهارات، وهي المحاور التي تُغطّي المسار الكامل لتأهيل الكوادر البشرية للتعامل مع متطلبات التغيير بدءاً من بناء المعرفة مروراً بتعزيز الدافعية وصولاً إلى تطوير القدرات التطبيقية</w:t>
      </w:r>
      <w:r w:rsidRPr="001E1970">
        <w:rPr>
          <w:rFonts w:ascii="Sakkal Majalla" w:hAnsi="Sakkal Majalla" w:cs="Sakkal Majalla"/>
          <w:color w:val="000000" w:themeColor="text1"/>
          <w:sz w:val="28"/>
          <w:szCs w:val="28"/>
        </w:rPr>
        <w:t>.</w:t>
      </w:r>
    </w:p>
    <w:p w14:paraId="2BE2C864"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أما التدريب فيُمثّل الركيزة الأولى للتغيير البشري، إذ يُعدّ الوسيلة الأساسية لسدّ الفجوة بين المعارف والمهارات المتوفرة لدى العاملين والمعارف والمهارات المطلوبة للتعامل مع البيئة الجديدة التي يفرضها التغيير. وفي سياق مشاريع تحديث الأجهزة الطبية، يكتسب التدريب أهمية مضاعفة لأنّ التقنيات الطبية الحديثة تتطلب مستوى عالياً من المعرفة المتخصصة في مجالات متعددة كالإلكترونيات الرقمية والبرمجيات الطبية وبروتوكولات الشبكات والأنظمة الميكانيكية الدقيقة. وقد تناول</w:t>
      </w:r>
      <w:r w:rsidRPr="001E1970">
        <w:rPr>
          <w:rFonts w:ascii="Sakkal Majalla" w:hAnsi="Sakkal Majalla" w:cs="Sakkal Majalla"/>
          <w:color w:val="000000" w:themeColor="text1"/>
          <w:sz w:val="28"/>
          <w:szCs w:val="28"/>
        </w:rPr>
        <w:t xml:space="preserve"> Thapa (2022) </w:t>
      </w:r>
      <w:r w:rsidRPr="001E1970">
        <w:rPr>
          <w:rFonts w:ascii="Sakkal Majalla" w:hAnsi="Sakkal Majalla" w:cs="Sakkal Majalla"/>
          <w:color w:val="000000" w:themeColor="text1"/>
          <w:sz w:val="28"/>
          <w:szCs w:val="28"/>
          <w:rtl/>
        </w:rPr>
        <w:t xml:space="preserve">أثر نشر فنيّي المعدات الطبية الحيوية في المستشفيات الحكومية في المناطق الريفية، مستخدماً مقاربة تقييمية </w:t>
      </w:r>
      <w:r w:rsidRPr="001E1970">
        <w:rPr>
          <w:rFonts w:ascii="Sakkal Majalla" w:hAnsi="Sakkal Majalla" w:cs="Sakkal Majalla"/>
          <w:color w:val="000000" w:themeColor="text1"/>
          <w:sz w:val="28"/>
          <w:szCs w:val="28"/>
          <w:rtl/>
        </w:rPr>
        <w:lastRenderedPageBreak/>
        <w:t>تقيس مؤشرات وظيفية للمعدات الطبية قبل التدخل التدريبي وبعده، مما يُوفر نموذجاً لفهم كيف يمكن للتأهيل المهني المتخصص أن يُحدث فارقاً نوعياً في أداء المنظومة التقنية الصحية. وتستفيد الدراسة الحالية من هذه المقاربة في تأطير العلاقة بين التدريب الفني واستيعاب مشاريع التحديث</w:t>
      </w:r>
      <w:r w:rsidRPr="001E1970">
        <w:rPr>
          <w:rFonts w:ascii="Sakkal Majalla" w:hAnsi="Sakkal Majalla" w:cs="Sakkal Majalla"/>
          <w:color w:val="000000" w:themeColor="text1"/>
          <w:sz w:val="28"/>
          <w:szCs w:val="28"/>
        </w:rPr>
        <w:t>.</w:t>
      </w:r>
    </w:p>
    <w:p w14:paraId="362E7759"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ويحتاج التدريب في هذا السياق إلى أن يتجاوز الطابع التقليدي القائم على نقل المعلومات النظرية، ليتبنى مقاربات تطبيقية تتضمن التدريب العملي على الأجهزة الفعلية والمحاكاة التقنية وورش العمل التخصصية والتعلم التعاوني بين الأقران. كما ينبغي أن يكون التدريب مستمراً وليس حدثاً لمرة واحدة، بما يواكب التحديثات المتلاحقة في البرمجيات والبروتوكولات التشغيلية للأجهزة. ويتصل بذلك أيضاً ضرورة وجود منظومة لتقييم أثر التدريب والتحقق من انتقال المعارف والمهارات المكتسبة إلى بيئة العمل الفعلية</w:t>
      </w:r>
      <w:r w:rsidRPr="001E1970">
        <w:rPr>
          <w:rFonts w:ascii="Sakkal Majalla" w:hAnsi="Sakkal Majalla" w:cs="Sakkal Majalla"/>
          <w:color w:val="000000" w:themeColor="text1"/>
          <w:sz w:val="28"/>
          <w:szCs w:val="28"/>
        </w:rPr>
        <w:t>.</w:t>
      </w:r>
    </w:p>
    <w:p w14:paraId="2FA57510"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أما التحفيز فيُمثّل المحرّك الوجداني لعملية التغيير البشري، إذ يتناول مجمل الأدوات والأساليب الموجّهة لاستثارة دافعية العاملين وتعزيز رغبتهم في المشاركة الفاعلة في عملية التغيير وتبنّيها. ولا يقتصر التحفيز على الجانب المادي المتمثل في المكافآت والحوافز المالية، بل يمتد ليشمل الجانب المعنوي المتمثل في التقدير والاعتراف بالإنجازات وإتاحة فرص النمو المهني وإشراك العاملين في صنع القرارات المتعلقة بعملية التحديث. ففي مشاريع تحديث الأجهزة الطبية، يواجه الفنيون تحدياً مزدوجاً يتمثل في ضرورة التخلي عن مهارات اكتسبوها على مدى سنوات من العمل مع الأجهزة القديمة مع اكتساب مهارات جديدة بالكامل، وهو ما قد يُولّد شعوراً بالقلق وعدم الكفاءة ما لم يُصاحبه تحفيز كافٍ يُعزّز ثقتهم بقدرتهم على التكيّف ويُشعرهم بأنّ المؤسسة تقدّر جهودهم في هذا الانتقال</w:t>
      </w:r>
      <w:r w:rsidRPr="001E1970">
        <w:rPr>
          <w:rFonts w:ascii="Sakkal Majalla" w:hAnsi="Sakkal Majalla" w:cs="Sakkal Majalla"/>
          <w:color w:val="000000" w:themeColor="text1"/>
          <w:sz w:val="28"/>
          <w:szCs w:val="28"/>
        </w:rPr>
        <w:t>.</w:t>
      </w:r>
    </w:p>
    <w:p w14:paraId="7988B795"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وأما تنمية المهارات فتتجاوز مفهوم التدريب التقليدي لتشمل تطوير القدرات والكفاءات الشاملة للعاملين بما يتلاءم مع متطلبات بيئة العمل المتجددة. ففي مجال تحديث الأجهزة الطبية، لا يكفي أن يتعلم الفنّي كيفية تشغيل الجهاز الجديد، بل يحتاج إلى تنمية مهاراته في التحليل المنطقي وحلّ المشكلات التقنية المعقدة وقراءة البيانات الرقمية وتفسيرها واستخدام أدوات التشخيص المتقدمة والتعامل مع أنظمة المعلومات المتكاملة. وقد تناول</w:t>
      </w:r>
      <w:r w:rsidRPr="001E1970">
        <w:rPr>
          <w:rFonts w:ascii="Sakkal Majalla" w:hAnsi="Sakkal Majalla" w:cs="Sakkal Majalla"/>
          <w:color w:val="000000" w:themeColor="text1"/>
          <w:sz w:val="28"/>
          <w:szCs w:val="28"/>
        </w:rPr>
        <w:t xml:space="preserve"> Hossain, Ahmad, Islam, and David (2019) </w:t>
      </w:r>
      <w:r w:rsidRPr="001E1970">
        <w:rPr>
          <w:rFonts w:ascii="Sakkal Majalla" w:hAnsi="Sakkal Majalla" w:cs="Sakkal Majalla"/>
          <w:color w:val="000000" w:themeColor="text1"/>
          <w:sz w:val="28"/>
          <w:szCs w:val="28"/>
          <w:rtl/>
        </w:rPr>
        <w:t xml:space="preserve">مفهوم كفاءة المهندس </w:t>
      </w:r>
      <w:r w:rsidRPr="001E1970">
        <w:rPr>
          <w:rFonts w:ascii="Sakkal Majalla" w:hAnsi="Sakkal Majalla" w:cs="Sakkal Majalla"/>
          <w:color w:val="000000" w:themeColor="text1"/>
          <w:sz w:val="28"/>
          <w:szCs w:val="28"/>
          <w:rtl/>
        </w:rPr>
        <w:lastRenderedPageBreak/>
        <w:t>السريري المتخصص في إدارة تكنولوجيا المعدات الطبية، حيث اعتمدوا مؤشرات تقييمية تتصل بمخرجات الأداء التقني وسلامة المرضى، مما يُوفر إطاراً لفهم مستويات الكفاءة المطلوبة من الكوادر الفنية في ظل التحديث التكنولوجي. وتستفيد الدراسة الحالية من هذا الإطار في تحديد نطاق تنمية المهارات اللازمة لاستيعاب مشاريع التحديث</w:t>
      </w:r>
      <w:r w:rsidRPr="001E1970">
        <w:rPr>
          <w:rFonts w:ascii="Sakkal Majalla" w:hAnsi="Sakkal Majalla" w:cs="Sakkal Majalla"/>
          <w:color w:val="000000" w:themeColor="text1"/>
          <w:sz w:val="28"/>
          <w:szCs w:val="28"/>
        </w:rPr>
        <w:t>.</w:t>
      </w:r>
    </w:p>
    <w:p w14:paraId="0CF7C7FE"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ولا يمكن الحديث عن التغيير البشري دون التطرق إلى ظاهرة مقاومة التغيير التي تُعدّ من أبرز التحديات التي تواجه عمليات التحوّل في المنظمات. فالأفراد يميلون بطبيعتهم إلى تفضيل الاستقرار والألفة، ويشعرون بالتهديد حين تمسّ التغييرات أنماط عملهم المعتادة أو تُعيد تشكيل أدوارهم المهنية. وتتنوع مصادر المقاومة لتشمل الخوف من المجهول والقلق من فقدان المكانة ونقص المعلومات حول التغيير والشعور بعدم الكفاءة، وكلها عوامل ينبغي أن تأخذها إدارة التغيير البشري في الحسبان من خلال استراتيجيات تواصل فعّالة وإشراك حقيقي للعاملين وتوفير الدعم النفسي والمهني اللازم</w:t>
      </w:r>
      <w:r w:rsidRPr="001E1970">
        <w:rPr>
          <w:rFonts w:ascii="Sakkal Majalla" w:hAnsi="Sakkal Majalla" w:cs="Sakkal Majalla"/>
          <w:color w:val="000000" w:themeColor="text1"/>
          <w:sz w:val="28"/>
          <w:szCs w:val="28"/>
        </w:rPr>
        <w:t>.</w:t>
      </w:r>
    </w:p>
    <w:p w14:paraId="18C00E4D" w14:textId="77777777" w:rsidR="00BB3751" w:rsidRPr="001E1970" w:rsidRDefault="00BB3751" w:rsidP="00270FB7">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البعد الرابع: التغيير الثقافي</w:t>
      </w:r>
    </w:p>
    <w:p w14:paraId="1AF16E33"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يُمثّل التغيير الثقافي البعد العميق والأكثر تجذّراً في منظومة إدارة التغيير، إذ يتناول القيم والمعتقدات والافتراضات المشتركة والأعراف السلوكية التي تُشكّل الهوية الجماعية للمنظمة وتُوجّه سلوك أفرادها. ويتميز هذا البعد بكونه الأبطأ في التشكّل والأكثر مقاومة للتغيير مقارنة بالأبعاد الأخرى، لأنّ الثقافة التنظيمية تتبلور عبر سنوات من التفاعل والممارسة وتترسخ في الوعي الجمعي للعاملين بصورة قد لا يكونون واعين بها بشكل كامل. وقد عالج الشيخي والشيخي</w:t>
      </w:r>
      <w:r w:rsidRPr="001E1970">
        <w:rPr>
          <w:rFonts w:ascii="Sakkal Majalla" w:hAnsi="Sakkal Majalla" w:cs="Sakkal Majalla"/>
          <w:color w:val="000000" w:themeColor="text1"/>
          <w:sz w:val="28"/>
          <w:szCs w:val="28"/>
        </w:rPr>
        <w:t xml:space="preserve"> (2022) </w:t>
      </w:r>
      <w:r w:rsidRPr="001E1970">
        <w:rPr>
          <w:rFonts w:ascii="Sakkal Majalla" w:hAnsi="Sakkal Majalla" w:cs="Sakkal Majalla"/>
          <w:color w:val="000000" w:themeColor="text1"/>
          <w:sz w:val="28"/>
          <w:szCs w:val="28"/>
          <w:rtl/>
        </w:rPr>
        <w:t>العلاقة التبادلية بين الثقافة التنظيمية وإدارة التغيير التنظيمي، حيث تبنّيا إطاراً تحليلياً يرى أنّ الثقافة التنظيمية قد تكون عامل تمكين يُسهّل التغيير أو عامل إعاقة يُقاومه، بحسب طبيعتها وسماتها ومدى انفتاحها على التجديد. وتستفيد الدراسة الحالية من هذا الإطار في فهم كيف يمكن للثقافة التنظيمية السائدة في المستشفى أن تؤثر في معدلات استيعاب الكوادر الفنية لمشاريع التحديث</w:t>
      </w:r>
      <w:r w:rsidRPr="001E1970">
        <w:rPr>
          <w:rFonts w:ascii="Sakkal Majalla" w:hAnsi="Sakkal Majalla" w:cs="Sakkal Majalla"/>
          <w:color w:val="000000" w:themeColor="text1"/>
          <w:sz w:val="28"/>
          <w:szCs w:val="28"/>
        </w:rPr>
        <w:t>.</w:t>
      </w:r>
    </w:p>
    <w:p w14:paraId="3B1D6648"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ويشمل التغيير الثقافي في سياق مشاريع تحديث الأجهزة الطبية عدة أوجه مترابطة. فثمة الحاجة إلى تحويل ثقافة المؤسسة من ثقافة تُقاوم التجديد وتتمسك بالمألوف إلى ثقافة منفتحة على التعلّم المستمر </w:t>
      </w:r>
      <w:r w:rsidRPr="001E1970">
        <w:rPr>
          <w:rFonts w:ascii="Sakkal Majalla" w:hAnsi="Sakkal Majalla" w:cs="Sakkal Majalla"/>
          <w:color w:val="000000" w:themeColor="text1"/>
          <w:sz w:val="28"/>
          <w:szCs w:val="28"/>
          <w:rtl/>
        </w:rPr>
        <w:lastRenderedPageBreak/>
        <w:t>والتجريب وتقبّل الخطأ بوصفه جزءاً من عملية التعلّم. وثمة الحاجة إلى بناء ثقافة الجودة والسلامة التي ترى في التحديث التقني أداة لتحسين مخرجات الرعاية الصحية وليس مجرد عبء إضافي. كما يشمل التغيير الثقافي ترسيخ قيم العمل الجماعي والتعاون بين التخصصات المختلفة، لأنّ مشاريع التحديث تتطلب تضافر جهود الكوادر الفنية والطبية والتمريضية والإدارية في منظومة عمل متكاملة</w:t>
      </w:r>
      <w:r w:rsidRPr="001E1970">
        <w:rPr>
          <w:rFonts w:ascii="Sakkal Majalla" w:hAnsi="Sakkal Majalla" w:cs="Sakkal Majalla"/>
          <w:color w:val="000000" w:themeColor="text1"/>
          <w:sz w:val="28"/>
          <w:szCs w:val="28"/>
        </w:rPr>
        <w:t>.</w:t>
      </w:r>
    </w:p>
    <w:p w14:paraId="71E9A421"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ومن الأوجه المهمة للتغيير الثقافي في هذا السياق أيضاً تحوّل النظرة إلى الكوادر الفنية ذاتها ودورها في المنظومة الصحية. فكثيراً ما تسود ثقافة مؤسسية تُهمّش الدور الفني وتعتبره ثانوياً مقارنة بالدور الطبي والسريري، وهو ما يؤثر سلباً في دافعية الفنيين ومستوى مشاركتهم. لذا فإنّ التغيير الثقافي الناجح يتضمن إعادة تعريف الدور الفني وإبراز أهميته الحيوية في ضمان جودة الخدمة الصحية وسلامة المرضى، وتعزيز الاعتراف المؤسسي بمساهمة الكوادر الفنية في نجاح مشاريع التحديث</w:t>
      </w:r>
      <w:r w:rsidRPr="001E1970">
        <w:rPr>
          <w:rFonts w:ascii="Sakkal Majalla" w:hAnsi="Sakkal Majalla" w:cs="Sakkal Majalla"/>
          <w:color w:val="000000" w:themeColor="text1"/>
          <w:sz w:val="28"/>
          <w:szCs w:val="28"/>
        </w:rPr>
        <w:t>.</w:t>
      </w:r>
    </w:p>
    <w:p w14:paraId="2B4A8D3C"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كذلك يتصل التغيير الثقافي بمسألة بناء ثقافة التعلّم التنظيمي التي تُشجّع على تبادل المعرفة والخبرات بين العاملين وتوثيق الدروس المستفادة من تجارب التحديث السابقة والاستفادة منها في المشاريع المستقبلية. فالمنظمة التي تمتلك ثقافة تعلّمية قوية تكون أقدر على استيعاب التحولات التقنية المتلاحقة لأنها تبني رصيداً معرفياً متراكماً يُسهّل عمليات التكيّف والتحديث المتكررة. وتجدر الإشارة إلى أنّ التغيير الثقافي لا يمكن فرضه بقرارات إدارية فوقية، بل يحتاج إلى مقاربة تشاركية طويلة الأمد تبدأ من القيادة العليا التي تُجسّد القيم الجديدة في سلوكها وقراراتها وتمتد لتشمل جميع المستويات التنظيمية</w:t>
      </w:r>
      <w:r w:rsidRPr="001E1970">
        <w:rPr>
          <w:rFonts w:ascii="Sakkal Majalla" w:hAnsi="Sakkal Majalla" w:cs="Sakkal Majalla"/>
          <w:color w:val="000000" w:themeColor="text1"/>
          <w:sz w:val="28"/>
          <w:szCs w:val="28"/>
        </w:rPr>
        <w:t>.</w:t>
      </w:r>
    </w:p>
    <w:p w14:paraId="69D6D7F0" w14:textId="0C9D43D0"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3527771"/>
      <w:r w:rsidRPr="001E1970">
        <w:rPr>
          <w:rFonts w:ascii="Sakkal Majalla" w:hAnsi="Sakkal Majalla" w:cs="Sakkal Majalla" w:hint="cs"/>
          <w:b/>
          <w:bCs/>
          <w:color w:val="000000" w:themeColor="text1"/>
          <w:sz w:val="32"/>
          <w:szCs w:val="32"/>
          <w:rtl/>
        </w:rPr>
        <w:t xml:space="preserve">6.1.2 </w:t>
      </w:r>
      <w:r w:rsidR="00BB3751" w:rsidRPr="001E1970">
        <w:rPr>
          <w:rFonts w:ascii="Sakkal Majalla" w:hAnsi="Sakkal Majalla" w:cs="Sakkal Majalla"/>
          <w:b/>
          <w:bCs/>
          <w:color w:val="000000" w:themeColor="text1"/>
          <w:sz w:val="32"/>
          <w:szCs w:val="32"/>
          <w:rtl/>
        </w:rPr>
        <w:t>استراتيجيات إدارة التغيير</w:t>
      </w:r>
      <w:bookmarkEnd w:id="48"/>
    </w:p>
    <w:p w14:paraId="7226FF81"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تتعدد الاستراتيجيات التي يمكن للمؤسسات الصحية توظيفها لإدارة التغيير بفاعلية، وتتراوح بين استراتيجيات تركز على التخطيط والتدرج وأخرى تركز على المشاركة والتمكين وثالثة تركز على التواصل والإقناع. ويتوقف اختيار الاستراتيجية المناسبة على عدة عوامل منها طبيعة التغيير المطلوب ونطاقه وعمقه، ومدى إلحاحيته، وخصائص البيئة التنظيمية والثقافية، ومستوى جاهزية العاملين واستعدادهم</w:t>
      </w:r>
      <w:r w:rsidRPr="001E1970">
        <w:rPr>
          <w:rFonts w:ascii="Sakkal Majalla" w:hAnsi="Sakkal Majalla" w:cs="Sakkal Majalla"/>
          <w:color w:val="000000" w:themeColor="text1"/>
          <w:sz w:val="28"/>
          <w:szCs w:val="28"/>
        </w:rPr>
        <w:t>.</w:t>
      </w:r>
    </w:p>
    <w:p w14:paraId="5D24F897" w14:textId="7C070890" w:rsidR="00BB3751" w:rsidRPr="001E1970" w:rsidRDefault="00270FB7" w:rsidP="00270FB7">
      <w:pPr>
        <w:pStyle w:val="ListParagraph"/>
        <w:numPr>
          <w:ilvl w:val="0"/>
          <w:numId w:val="20"/>
        </w:numPr>
        <w:spacing w:before="100" w:beforeAutospacing="1" w:after="100" w:afterAutospacing="1"/>
        <w:ind w:left="423"/>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Pr>
        <w:br w:type="page"/>
      </w:r>
      <w:r w:rsidR="00BB3751" w:rsidRPr="001E1970">
        <w:rPr>
          <w:rFonts w:ascii="Sakkal Majalla" w:hAnsi="Sakkal Majalla" w:cs="Sakkal Majalla"/>
          <w:b/>
          <w:bCs/>
          <w:color w:val="000000" w:themeColor="text1"/>
          <w:sz w:val="28"/>
          <w:szCs w:val="28"/>
          <w:rtl/>
        </w:rPr>
        <w:lastRenderedPageBreak/>
        <w:t>استراتيجية التخطيط المرحلي والتدرج</w:t>
      </w:r>
    </w:p>
    <w:p w14:paraId="6E619517"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تقوم هذه الاستراتيجية على تقسيم عملية التغيير إلى مراحل متتالية ومتدرجة، بحيث يتم إنجاز كل مرحلة وتثبيتها قبل الانتقال إلى المرحلة التالية. وتتميز هذه الاستراتيجية بأنها تُقلّل من حدة الصدمة التنظيمية وتُتيح للعاملين وقتاً كافياً للتكيّف مع كل مرحلة على حدة. وفي سياق مشاريع تحديث الأجهزة الطبية، يمكن تطبيق هذه الاستراتيجية من خلال البدء بتحديث الأجهزة في قسم واحد ثم التوسع تدريجياً إلى الأقسام الأخرى بعد التأكد من نجاح التجربة الأولى وتوثيق الدروس المستفادة منها. وقد أشار فريد وحمانة (2021) إلى أنّ أسلوب القيادة المتّبع يؤثر في اختيار استراتيجية التغيير المناسبة، حيث إنّ القيادة المتأنية تميل إلى تبنّي التدرج بينما قد تتبنى القيادة الحازمة مقاربات أكثر سرعة وشمولية</w:t>
      </w:r>
      <w:r w:rsidRPr="001E1970">
        <w:rPr>
          <w:rFonts w:ascii="Sakkal Majalla" w:hAnsi="Sakkal Majalla" w:cs="Sakkal Majalla"/>
          <w:color w:val="000000" w:themeColor="text1"/>
          <w:sz w:val="28"/>
          <w:szCs w:val="28"/>
        </w:rPr>
        <w:t>.</w:t>
      </w:r>
    </w:p>
    <w:p w14:paraId="30A18433" w14:textId="34E066A3" w:rsidR="00BB3751" w:rsidRPr="001E1970" w:rsidRDefault="00BB3751" w:rsidP="00270FB7">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استراتيجية المشاركة والتمكين</w:t>
      </w:r>
    </w:p>
    <w:p w14:paraId="3F596148"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تستند هذه الاستراتيجية إلى إشراك العاملين المتأثرين بالتغيير في التخطيط له وتنفيذه، انطلاقاً من قناعة بأنّ الأفراد يكونون أكثر تقبّلاً للتغيير حين يشعرون بأنهم جزء منه لا موضوع له</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وتتضمن هذه الاستراتيجية تشكيل فرق عمل متعددة التخصصات تُشارك في تقييم الأجهزة الجديدة ووضع بروتوكولات التشغيل وتحديد الاحتياجات التدريبية. وفي مجال تحديث الأجهزة الطبية، يُمكن لهذه الاستراتيجية أن تُعزّز ملكية الكوادر الفنية لمشروع التحديث من خلال إشراكها في مراحل الاختيار والتقييم والتخطيط، مما يُقلّل من المقاومة ويُعزّز الالتزام. وقد تبنّى الخصاونة والزوايدة (2023) مقاربة ترى أنّ القيادة التحويلية تُسهّل تطبيق هذه الاستراتيجية من خلال ما توفره من تمكين فكري واستثارة عقلية وتحفيز إلهامي للعاملين</w:t>
      </w:r>
      <w:r w:rsidRPr="001E1970">
        <w:rPr>
          <w:rFonts w:ascii="Sakkal Majalla" w:hAnsi="Sakkal Majalla" w:cs="Sakkal Majalla"/>
          <w:color w:val="000000" w:themeColor="text1"/>
          <w:sz w:val="28"/>
          <w:szCs w:val="28"/>
        </w:rPr>
        <w:t>.</w:t>
      </w:r>
    </w:p>
    <w:p w14:paraId="62F5EF4E" w14:textId="42A74367" w:rsidR="00BB3751" w:rsidRPr="001E1970" w:rsidRDefault="00BB3751" w:rsidP="00270FB7">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استراتيجية التواصل والتثقيف</w:t>
      </w:r>
    </w:p>
    <w:p w14:paraId="0FEA6F9C"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تركز هذه الاستراتيجية على بناء فهم مشترك لأسباب التغيير وأهدافه وفوائده المتوقعة ومراحل تنفيذه، من خلال برامج تواصل مكثفة ومتنوعة تستهدف جميع المستويات والفئات المعنية. وتنطلق من فرضية مفادها أنّ كثيراً من المقاومة يعود إلى نقص المعلومات وسوء الفهم وليس إلى رفض مبدئي للتغيير ذاته. وفي مشاريع تحديث الأجهزة الطبية، تتضمن هذه الاستراتيجية شرح المبررات الفنية والسريرية </w:t>
      </w:r>
      <w:r w:rsidRPr="001E1970">
        <w:rPr>
          <w:rFonts w:ascii="Sakkal Majalla" w:hAnsi="Sakkal Majalla" w:cs="Sakkal Majalla"/>
          <w:color w:val="000000" w:themeColor="text1"/>
          <w:sz w:val="28"/>
          <w:szCs w:val="28"/>
          <w:rtl/>
        </w:rPr>
        <w:lastRenderedPageBreak/>
        <w:t>للتحديث، وتوضيح الفوائد المتوقعة للكوادر الفنية والمرضى على حد سواء، وبيان خطة التنفيذ الزمنية وآليات الدعم المتاحة خلال فترة الانتقال</w:t>
      </w:r>
      <w:r w:rsidRPr="001E1970">
        <w:rPr>
          <w:rFonts w:ascii="Sakkal Majalla" w:hAnsi="Sakkal Majalla" w:cs="Sakkal Majalla"/>
          <w:color w:val="000000" w:themeColor="text1"/>
          <w:sz w:val="28"/>
          <w:szCs w:val="28"/>
        </w:rPr>
        <w:t>.</w:t>
      </w:r>
    </w:p>
    <w:p w14:paraId="2FC87935" w14:textId="57E28FFC" w:rsidR="00BB3751" w:rsidRPr="001E1970" w:rsidRDefault="00BB3751" w:rsidP="00270FB7">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استراتيجية الدعم والتيسير</w:t>
      </w:r>
    </w:p>
    <w:p w14:paraId="38DEAF4F"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تُعنى هذه الاستراتيجية بتوفير الموارد والأدوات والبيئة المواتية التي تُسهّل على العاملين التكيّف مع المتطلبات الجديدة. وتشمل توفير برامج تدريبية مكثفة ومخصصة، وإتاحة فترات انتقالية كافية، وتقديم الدعم الفني المستمر أثناء المراحل الأولى للتشغيل، وتوفير منصات لتبادل الخبرات والتعلّم من الأقران. وقد تناول</w:t>
      </w:r>
      <w:r w:rsidRPr="001E1970">
        <w:rPr>
          <w:rFonts w:ascii="Sakkal Majalla" w:hAnsi="Sakkal Majalla" w:cs="Sakkal Majalla"/>
          <w:color w:val="000000" w:themeColor="text1"/>
          <w:sz w:val="28"/>
          <w:szCs w:val="28"/>
        </w:rPr>
        <w:t xml:space="preserve"> Njagi, Iloka, Wawira, Thiga, and Muraguri (2025) </w:t>
      </w:r>
      <w:r w:rsidRPr="001E1970">
        <w:rPr>
          <w:rFonts w:ascii="Sakkal Majalla" w:hAnsi="Sakkal Majalla" w:cs="Sakkal Majalla"/>
          <w:color w:val="000000" w:themeColor="text1"/>
          <w:sz w:val="28"/>
          <w:szCs w:val="28"/>
          <w:rtl/>
        </w:rPr>
        <w:t>تجربة خدمات المعدات الطبية المُدارة في كينيا، حيث استخلصوا مجموعة من الدروس المتعلقة بتطبيق استراتيجيات الدعم والتيسير في مشاريع تحديث الأجهزة الطبية في البلدان النامية، مع التركيز على المتطلبات التنظيمية والبشرية اللازمة لنجاح هذه المشاريع</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وتستفيد الدراسة الحالية من هذه المعالجة في فهم التحديات العملية التي تواجه تطبيق استراتيجيات الدعم في سياقات مشابهة</w:t>
      </w:r>
      <w:r w:rsidRPr="001E1970">
        <w:rPr>
          <w:rFonts w:ascii="Sakkal Majalla" w:hAnsi="Sakkal Majalla" w:cs="Sakkal Majalla"/>
          <w:color w:val="000000" w:themeColor="text1"/>
          <w:sz w:val="28"/>
          <w:szCs w:val="28"/>
        </w:rPr>
        <w:t>.</w:t>
      </w:r>
    </w:p>
    <w:p w14:paraId="51F8475C" w14:textId="29BAA6DE" w:rsidR="00BB3751" w:rsidRPr="001E1970" w:rsidRDefault="00BB3751" w:rsidP="00270FB7">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استراتيجية إدارة المقاومة</w:t>
      </w:r>
    </w:p>
    <w:p w14:paraId="3CD67036"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تتعامل هذه الاستراتيجية بشكل مباشر مع ظاهرة مقاومة التغيير باعتبارها استجابة طبيعية ومتوقعة وليست سلوكاً عدائياً ينبغي قمعه. وتتضمن تشخيص مصادر المقاومة وأسبابها الحقيقية، والتمييز بين المقاومة المشروعة التي تعكس مخاوف حقيقية ينبغي معالجتها والمقاومة غير المبررة التي تنبع من الجمود والتمسك بالمألوف. وفي مشاريع تحديث الأجهزة الطبية، قد تنبع المقاومة من مخاوف مشروعة تتعلق بمدى ملاءمة الأجهزة الجديدة لظروف العمل المحلية أو بمدى كفاية التدريب المقدّم أو بالتأثيرات المحتملة في الأمان الوظيفي، ولكل مصدر من هذه المصادر معالجة مختلفة تتطلب حساسية وفهماً عميقاً لدوافع المقاومة وسبل تحويلها إلى مشاركة بنّاءة</w:t>
      </w:r>
      <w:r w:rsidRPr="001E1970">
        <w:rPr>
          <w:rFonts w:ascii="Sakkal Majalla" w:hAnsi="Sakkal Majalla" w:cs="Sakkal Majalla"/>
          <w:color w:val="000000" w:themeColor="text1"/>
          <w:sz w:val="28"/>
          <w:szCs w:val="28"/>
        </w:rPr>
        <w:t>.</w:t>
      </w:r>
    </w:p>
    <w:p w14:paraId="3024B78C" w14:textId="77777777" w:rsidR="00BB3751" w:rsidRPr="001E1970" w:rsidRDefault="00BB3751" w:rsidP="00383BBF">
      <w:pPr>
        <w:spacing w:before="100" w:beforeAutospacing="1" w:after="100" w:afterAutospacing="1" w:line="360" w:lineRule="auto"/>
        <w:jc w:val="both"/>
        <w:rPr>
          <w:rFonts w:ascii="Sakkal Majalla" w:hAnsi="Sakkal Majalla" w:cs="Sakkal Majalla"/>
          <w:color w:val="000000" w:themeColor="text1"/>
          <w:sz w:val="28"/>
          <w:szCs w:val="28"/>
          <w:rtl/>
        </w:rPr>
      </w:pPr>
    </w:p>
    <w:p w14:paraId="62B8006E" w14:textId="5E3FC6C0" w:rsidR="00BB3751" w:rsidRPr="001E1970" w:rsidRDefault="00270FB7" w:rsidP="00270FB7">
      <w:pPr>
        <w:spacing w:before="100" w:beforeAutospacing="1" w:after="100" w:afterAutospacing="1"/>
        <w:jc w:val="center"/>
        <w:outlineLvl w:val="1"/>
        <w:rPr>
          <w:rFonts w:ascii="Sakkal Majalla" w:hAnsi="Sakkal Majalla" w:cs="Sakkal Majalla"/>
          <w:b/>
          <w:bCs/>
          <w:color w:val="000000" w:themeColor="text1"/>
          <w:sz w:val="36"/>
          <w:szCs w:val="36"/>
        </w:rPr>
      </w:pPr>
      <w:r w:rsidRPr="001E1970">
        <w:rPr>
          <w:rFonts w:ascii="Sakkal Majalla" w:hAnsi="Sakkal Majalla" w:cs="Sakkal Majalla"/>
          <w:b/>
          <w:bCs/>
          <w:color w:val="000000" w:themeColor="text1"/>
          <w:sz w:val="36"/>
          <w:szCs w:val="36"/>
          <w:rtl/>
        </w:rPr>
        <w:br w:type="page"/>
      </w:r>
      <w:bookmarkStart w:id="49" w:name="_Toc223527772"/>
      <w:r w:rsidR="00BB3751" w:rsidRPr="001E1970">
        <w:rPr>
          <w:rFonts w:ascii="Sakkal Majalla" w:hAnsi="Sakkal Majalla" w:cs="Sakkal Majalla"/>
          <w:b/>
          <w:bCs/>
          <w:color w:val="000000" w:themeColor="text1"/>
          <w:sz w:val="36"/>
          <w:szCs w:val="36"/>
          <w:rtl/>
        </w:rPr>
        <w:lastRenderedPageBreak/>
        <w:t>المبحث الثاني: معدلات استيعاب الكوادر الفنية لمشاريع تحديث الأجهزة الطبية</w:t>
      </w:r>
      <w:bookmarkEnd w:id="49"/>
    </w:p>
    <w:p w14:paraId="47F56276" w14:textId="0538FE52"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0" w:name="_Toc223527773"/>
      <w:r w:rsidRPr="001E1970">
        <w:rPr>
          <w:rFonts w:ascii="Sakkal Majalla" w:hAnsi="Sakkal Majalla" w:cs="Sakkal Majalla" w:hint="cs"/>
          <w:b/>
          <w:bCs/>
          <w:color w:val="000000" w:themeColor="text1"/>
          <w:sz w:val="32"/>
          <w:szCs w:val="32"/>
          <w:rtl/>
        </w:rPr>
        <w:t xml:space="preserve">1.2.2 </w:t>
      </w:r>
      <w:r w:rsidR="00BB3751" w:rsidRPr="001E1970">
        <w:rPr>
          <w:rFonts w:ascii="Sakkal Majalla" w:hAnsi="Sakkal Majalla" w:cs="Sakkal Majalla"/>
          <w:b/>
          <w:bCs/>
          <w:color w:val="000000" w:themeColor="text1"/>
          <w:sz w:val="32"/>
          <w:szCs w:val="32"/>
          <w:rtl/>
        </w:rPr>
        <w:t>تمهيد</w:t>
      </w:r>
      <w:bookmarkEnd w:id="50"/>
    </w:p>
    <w:p w14:paraId="2BCF354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يُشكّل استيعاب الكوادر الفنية لمشاريع تحديث الأجهزة الطبية الحلقة الحرجة التي يتوقف عليها نجاح هذه المشاريع أو إخفاقها، إذ إنّ اقتناء أحدث الأجهزة وأكثرها تطوراً يظل محدود الجدوى ما لم تتوفر كوادر بشرية قادرة على تشغيلها وصيانتها وتوظيفها بالكفاءة المطلوبة. وتتجاوز فكرة الاستيعاب في هذا السياق مجرد الإلمام السطحي بكيفية تشغيل الأجهزة الجديدة، لتمتد إلى الفهم العميق لمبادئها التقنية ومنظوماتها البرمجية وبروتوكولات صيانتها وإصلاحها ومعايرتها، فضلاً عن القدرة على التشخيص الدقيق لأعطالها والتعامل مع التحديثات المتلاحقة في أنظمتها التشغيلية. وتبرز أهمية هذا المتغير بوضوح في بيئة المستشفيات التي تتسم بحساسية عالية تجاه أي قصور في أداء الأجهزة الطبية، نظراً لارتباطها المباشر بعمليات التشخيص والعلاج وسلامة المرضى</w:t>
      </w:r>
      <w:r w:rsidRPr="001E1970">
        <w:rPr>
          <w:rFonts w:ascii="Sakkal Majalla" w:hAnsi="Sakkal Majalla" w:cs="Sakkal Majalla"/>
          <w:color w:val="000000" w:themeColor="text1"/>
          <w:sz w:val="28"/>
          <w:szCs w:val="28"/>
        </w:rPr>
        <w:t>.</w:t>
      </w:r>
    </w:p>
    <w:p w14:paraId="473C2B5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ويتناول هذا المبحث معدلات استيعاب الكوادر الفنية لمشاريع تحديث الأجهزة الطبية من خلال خمسة محاور متكاملة: يُعالج المحور الأول مفهوم الاستيعاب الفني وتعريفاته مع بيان رأي الباحث، ويستعرض المحور الثاني أهمية استيعاب الكوادر الفنية لمشاريع التحديث، ويتناول المحور الثالث العوامل المؤثرة في معدلات الاستيعاب، ويُحلّل المحور الرابع مؤشرات قياس الاستيعاب الفني، ويختتم المحور الخامس بمتطلبات تعزيز الاستيعاب الفني في البيئة الصحية</w:t>
      </w:r>
      <w:r w:rsidRPr="001E1970">
        <w:rPr>
          <w:rFonts w:ascii="Sakkal Majalla" w:hAnsi="Sakkal Majalla" w:cs="Sakkal Majalla"/>
          <w:color w:val="000000" w:themeColor="text1"/>
          <w:sz w:val="28"/>
          <w:szCs w:val="28"/>
        </w:rPr>
        <w:t>.</w:t>
      </w:r>
    </w:p>
    <w:p w14:paraId="4D73036C" w14:textId="737BA1F7"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23527774"/>
      <w:r w:rsidRPr="001E1970">
        <w:rPr>
          <w:rFonts w:ascii="Sakkal Majalla" w:hAnsi="Sakkal Majalla" w:cs="Sakkal Majalla" w:hint="cs"/>
          <w:b/>
          <w:bCs/>
          <w:color w:val="000000" w:themeColor="text1"/>
          <w:sz w:val="32"/>
          <w:szCs w:val="32"/>
          <w:rtl/>
        </w:rPr>
        <w:t xml:space="preserve">2.2.2 </w:t>
      </w:r>
      <w:r w:rsidR="00BB3751" w:rsidRPr="001E1970">
        <w:rPr>
          <w:rFonts w:ascii="Sakkal Majalla" w:hAnsi="Sakkal Majalla" w:cs="Sakkal Majalla"/>
          <w:b/>
          <w:bCs/>
          <w:color w:val="000000" w:themeColor="text1"/>
          <w:sz w:val="32"/>
          <w:szCs w:val="32"/>
          <w:rtl/>
        </w:rPr>
        <w:t>مفهوم استيعاب الكوادر الفنية لمشاريع تحديث الأجهزة الطبية</w:t>
      </w:r>
      <w:bookmarkEnd w:id="51"/>
    </w:p>
    <w:p w14:paraId="50571AF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يتطلب التأصيل المفاهيمي لهذا المتغير البدء بتفكيك مكوناته الاصطلاحية الثلاثة: الاستيعاب، والكوادر الفنية، ومشاريع تحديث الأجهزة الطبية، ثم بناء تعريف تركيبي يجمع بينها في إطار مفاهيمي متماسك</w:t>
      </w:r>
      <w:r w:rsidRPr="001E1970">
        <w:rPr>
          <w:rFonts w:ascii="Sakkal Majalla" w:hAnsi="Sakkal Majalla" w:cs="Sakkal Majalla"/>
          <w:color w:val="000000" w:themeColor="text1"/>
          <w:sz w:val="28"/>
          <w:szCs w:val="28"/>
        </w:rPr>
        <w:t>.</w:t>
      </w:r>
    </w:p>
    <w:p w14:paraId="38B2D35E"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فالاستيعاب في سياقه التنظيمي والمهني يتجاوز المعنى اللغوي المتمثل في مجرد الاحتواء أو الاستقبال، ليدلّ على عملية معرفية ومهارية وسلوكية مركّبة يتمكن من خلالها الفرد أو الجماعة من فهم الموضوع الجديد فهماً عميقاً وإدماجه في ممارساتهم اليومية بصورة فعّالة ومستدامة. وقد تناول</w:t>
      </w:r>
      <w:r w:rsidRPr="001E1970">
        <w:rPr>
          <w:rFonts w:ascii="Sakkal Majalla" w:hAnsi="Sakkal Majalla" w:cs="Sakkal Majalla"/>
          <w:color w:val="000000" w:themeColor="text1"/>
          <w:sz w:val="28"/>
          <w:szCs w:val="28"/>
        </w:rPr>
        <w:t xml:space="preserve"> Hossain, Ahmad, Islam, and David (2019) </w:t>
      </w:r>
      <w:r w:rsidRPr="001E1970">
        <w:rPr>
          <w:rFonts w:ascii="Sakkal Majalla" w:hAnsi="Sakkal Majalla" w:cs="Sakkal Majalla"/>
          <w:color w:val="000000" w:themeColor="text1"/>
          <w:sz w:val="28"/>
          <w:szCs w:val="28"/>
          <w:rtl/>
        </w:rPr>
        <w:t>مفهوم الكفاءة الفنية في إدارة تكنولوجيا المعدات الطبية من منظور يربط بين القدرة المعرفية والأداء التطبيقي وسلامة المخرجات، حيث اعتمدوا إطاراً تحليلياً يرى أنّ الاستيعاب الحقيقي للتكنولوجيا الطبية يتحقق حين يُترجم إلى مخرجات أداء قابلة للقياس تنعكس إيجاباً على جودة الخدمة وسلامة المريض. ويُوفر هذا التناول أساساً مفاهيمياً لفهم الاستيعاب بوصفه عملية متعددة المراحل تبدأ بالوعي والفهم وتمر بالتطبيق والممارسة وتصل إلى التمكّن والإتقان</w:t>
      </w:r>
      <w:r w:rsidRPr="001E1970">
        <w:rPr>
          <w:rFonts w:ascii="Sakkal Majalla" w:hAnsi="Sakkal Majalla" w:cs="Sakkal Majalla"/>
          <w:color w:val="000000" w:themeColor="text1"/>
          <w:sz w:val="28"/>
          <w:szCs w:val="28"/>
        </w:rPr>
        <w:t>.</w:t>
      </w:r>
    </w:p>
    <w:p w14:paraId="3F63A23A"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أما الكوادر الفنية في البيئة الاستشفائية فتُشير إلى العاملين المتخصصين في المجالات التقنية والهندسية المرتبطة بتشغيل الأجهزة والمعدات الطبية وصيانتها وإدارتها، ويشمل ذلك مهندسي الأجهزة الطبية وفنيّي الصيانة الطبية الحيوية وتقنيّي المعدات التشخيصية والعلاجية. وقد تناول</w:t>
      </w:r>
      <w:r w:rsidRPr="001E1970">
        <w:rPr>
          <w:rFonts w:ascii="Sakkal Majalla" w:hAnsi="Sakkal Majalla" w:cs="Sakkal Majalla"/>
          <w:color w:val="000000" w:themeColor="text1"/>
          <w:sz w:val="28"/>
          <w:szCs w:val="28"/>
        </w:rPr>
        <w:t xml:space="preserve"> Thapa (2022) </w:t>
      </w:r>
      <w:r w:rsidRPr="001E1970">
        <w:rPr>
          <w:rFonts w:ascii="Sakkal Majalla" w:hAnsi="Sakkal Majalla" w:cs="Sakkal Majalla"/>
          <w:color w:val="000000" w:themeColor="text1"/>
          <w:sz w:val="28"/>
          <w:szCs w:val="28"/>
          <w:rtl/>
        </w:rPr>
        <w:t>دور فنيّي المعدات الطبية الحيوية في المنظومة الصحية من منظور تأثير وجودهم في وظيفية الأجهزة ومستوى أدائها، حيث استخدم مقاربة تقييمية تقيس مؤشرات وظيفية للمعدات في بيئات تفتقر إلى كوادر فنية متخصصة مقارنة ببيئات تتوفر فيها هذه الكوادر. وتُبرز هذه المقاربة الدور المحوري الذي يلعبه الفنّي المتخصص في ضمان فاعلية المنظومة التقنية الصحية. كما تناول</w:t>
      </w:r>
      <w:r w:rsidRPr="001E1970">
        <w:rPr>
          <w:rFonts w:ascii="Sakkal Majalla" w:hAnsi="Sakkal Majalla" w:cs="Sakkal Majalla"/>
          <w:color w:val="000000" w:themeColor="text1"/>
          <w:sz w:val="28"/>
          <w:szCs w:val="28"/>
        </w:rPr>
        <w:t xml:space="preserve"> Wragg, Harris, Noyes, and Vere (2023) </w:t>
      </w:r>
      <w:r w:rsidRPr="001E1970">
        <w:rPr>
          <w:rFonts w:ascii="Sakkal Majalla" w:hAnsi="Sakkal Majalla" w:cs="Sakkal Majalla"/>
          <w:color w:val="000000" w:themeColor="text1"/>
          <w:sz w:val="28"/>
          <w:szCs w:val="28"/>
          <w:rtl/>
        </w:rPr>
        <w:t>الدور المتنامي للكوادر الفنية في بيئات التعليم والتعلّم من منظور يرى أنّ الفنيين لم يعودوا مجرد منفّذين لمهام تشغيلية روتينية بل أصبحوا مساهمين فاعلين في نقل المعرفة وتطوير الممارسات، وهو ما ينطبق على الكوادر الفنية في المستشفيات التي يتوسع دورها باستمرار ليشمل التدريب والاستشارة والتطوير إلى جانب المهام التقنية التقليدية</w:t>
      </w:r>
      <w:r w:rsidRPr="001E1970">
        <w:rPr>
          <w:rFonts w:ascii="Sakkal Majalla" w:hAnsi="Sakkal Majalla" w:cs="Sakkal Majalla"/>
          <w:color w:val="000000" w:themeColor="text1"/>
          <w:sz w:val="28"/>
          <w:szCs w:val="28"/>
        </w:rPr>
        <w:t>.</w:t>
      </w:r>
    </w:p>
    <w:p w14:paraId="6C53662E"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وأما مشاريع تحديث الأجهزة الطبية فتُشير إلى تلك المبادرات المؤسسية المخططة التي تستهدف استبدال الأجهزة والمعدات الطبية القائمة بأخرى أحدث وأكثر تطوراً، أو ترقية الأنظمة التشغيلية للأجهزة الحالية، بهدف تحسين القدرات التشخيصية والعلاجية للمستشفى ومواكبة المعايير التقنية المعاصرة. وقد تناول</w:t>
      </w:r>
      <w:r w:rsidRPr="001E1970">
        <w:rPr>
          <w:rFonts w:ascii="Sakkal Majalla" w:hAnsi="Sakkal Majalla" w:cs="Sakkal Majalla"/>
          <w:color w:val="000000" w:themeColor="text1"/>
          <w:sz w:val="28"/>
          <w:szCs w:val="28"/>
        </w:rPr>
        <w:t xml:space="preserve"> CHEN (2024) </w:t>
      </w:r>
      <w:r w:rsidRPr="001E1970">
        <w:rPr>
          <w:rFonts w:ascii="Sakkal Majalla" w:hAnsi="Sakkal Majalla" w:cs="Sakkal Majalla"/>
          <w:color w:val="000000" w:themeColor="text1"/>
          <w:sz w:val="28"/>
          <w:szCs w:val="28"/>
          <w:rtl/>
        </w:rPr>
        <w:t xml:space="preserve">استراتيجيات إدارة المعدات الطبية في المستشفيات الشاملة وأداءها، حيث عالج </w:t>
      </w:r>
      <w:r w:rsidRPr="001E1970">
        <w:rPr>
          <w:rFonts w:ascii="Sakkal Majalla" w:hAnsi="Sakkal Majalla" w:cs="Sakkal Majalla"/>
          <w:color w:val="000000" w:themeColor="text1"/>
          <w:sz w:val="28"/>
          <w:szCs w:val="28"/>
          <w:rtl/>
        </w:rPr>
        <w:lastRenderedPageBreak/>
        <w:t>الموضوع من خلال مؤشرات تتصل بكفاءة التخطيط والاقتناء والتشغيل والصيانة، مما يُوفر إطاراً لفهم مشاريع التحديث بوصفها عملية إدارية متكاملة تمتد عبر دورة حياة الجهاز الطبي بأكملها. كما تناول</w:t>
      </w:r>
      <w:r w:rsidRPr="001E1970">
        <w:rPr>
          <w:rFonts w:ascii="Sakkal Majalla" w:hAnsi="Sakkal Majalla" w:cs="Sakkal Majalla"/>
          <w:color w:val="000000" w:themeColor="text1"/>
          <w:sz w:val="28"/>
          <w:szCs w:val="28"/>
        </w:rPr>
        <w:t xml:space="preserve"> Njagi, Iloka, Wawira, Thiga, and Muraguri (2025) </w:t>
      </w:r>
      <w:r w:rsidRPr="001E1970">
        <w:rPr>
          <w:rFonts w:ascii="Sakkal Majalla" w:hAnsi="Sakkal Majalla" w:cs="Sakkal Majalla"/>
          <w:color w:val="000000" w:themeColor="text1"/>
          <w:sz w:val="28"/>
          <w:szCs w:val="28"/>
          <w:rtl/>
        </w:rPr>
        <w:t>خدمات المعدات الطبية المُدارة من منظور التجربة الكينية، حيث استخلصوا مجموعة من المتطلبات التنظيمية والبشرية والتمويلية اللازمة لتطبيق مشاريع تحديث الأجهزة الطبية في البلدان النامية، مع التركيز على الدروس المستفادة من التحديات العملية التي واجهتها هذه التجربة</w:t>
      </w:r>
      <w:r w:rsidRPr="001E1970">
        <w:rPr>
          <w:rFonts w:ascii="Sakkal Majalla" w:hAnsi="Sakkal Majalla" w:cs="Sakkal Majalla"/>
          <w:color w:val="000000" w:themeColor="text1"/>
          <w:sz w:val="28"/>
          <w:szCs w:val="28"/>
        </w:rPr>
        <w:t>.</w:t>
      </w:r>
    </w:p>
    <w:p w14:paraId="5683EE1E"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ويرى الباحث </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في ضوء ما تقدّم من مقاربات — أنّ معدلات استيعاب الكوادر الفنية لمشاريع تحديث الأجهزة الطبية يمكن تعريفها بأنها: المستوى الذي تبلغه الكوادر الفنية العاملة في المستشفى من حيث الفهم المعرفي والقدرة التطبيقية والتكيّف السلوكي في التعامل مع الأجهزة الطبية المُحدَّثة، بما يُمكّنها من تشغيلها وصيانتها ومعايرتها وإصلاحها وفق المعايير التقنية المعتمدة وبالكفاءة التي تضمن استمرارية أدائها وسلامة مخرجاتها. ويتضمن هذا التعريف ثلاثة أبعاد مترابطة: البعد المعرفي المتعلق بفهم المبادئ والأسس التقنية، والبعد المهاري المتعلق بالقدرة على الأداء التطبيقي الفعلي، والبعد السلوكي المتعلق بالاتجاهات والاستعداد النفسي للتعامل مع التقنيات الجديدة</w:t>
      </w:r>
      <w:r w:rsidRPr="001E1970">
        <w:rPr>
          <w:rFonts w:ascii="Sakkal Majalla" w:hAnsi="Sakkal Majalla" w:cs="Sakkal Majalla"/>
          <w:color w:val="000000" w:themeColor="text1"/>
          <w:sz w:val="28"/>
          <w:szCs w:val="28"/>
        </w:rPr>
        <w:t>.</w:t>
      </w:r>
    </w:p>
    <w:p w14:paraId="6AC36F77" w14:textId="586E1593"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2" w:name="_Toc223527775"/>
      <w:r w:rsidRPr="001E1970">
        <w:rPr>
          <w:rFonts w:ascii="Sakkal Majalla" w:hAnsi="Sakkal Majalla" w:cs="Sakkal Majalla" w:hint="cs"/>
          <w:b/>
          <w:bCs/>
          <w:color w:val="000000" w:themeColor="text1"/>
          <w:sz w:val="32"/>
          <w:szCs w:val="32"/>
          <w:rtl/>
        </w:rPr>
        <w:t xml:space="preserve">3.2.2 </w:t>
      </w:r>
      <w:r w:rsidR="00BB3751" w:rsidRPr="001E1970">
        <w:rPr>
          <w:rFonts w:ascii="Sakkal Majalla" w:hAnsi="Sakkal Majalla" w:cs="Sakkal Majalla"/>
          <w:b/>
          <w:bCs/>
          <w:color w:val="000000" w:themeColor="text1"/>
          <w:sz w:val="32"/>
          <w:szCs w:val="32"/>
          <w:rtl/>
        </w:rPr>
        <w:t>أهمية استيعاب الكوادر الفنية لمشاريع تحديث الأجهزة الطبية</w:t>
      </w:r>
      <w:bookmarkEnd w:id="52"/>
    </w:p>
    <w:p w14:paraId="66982715"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تنبثق أهمية استيعاب الكوادر الفنية لمشاريع التحديث من حقيقة جوهرية مفادها أنّ الأجهزة الطبية — مهما بلغت درجة تطورها — تظل أدوات صامتة ما لم تتوفر الأيدي الخبيرة القادرة على تفعيلها وإدامة عملها بالمستوى المطلوب. فالفجوة بين التقنية المتاحة والقدرة البشرية على توظيفها تُمثّل أحد أخطر التحديات التي تواجه المؤسسات الصحية في مشاريع التحديث، إذ قد يؤدي هذا التفاوت إلى تعطّل الأجهزة المكلفة أو استخدامها بأقل من طاقتها التصميمية أو — في أسوأ السيناريوهات — تعريض سلامة المرضى للخطر</w:t>
      </w:r>
      <w:r w:rsidRPr="001E1970">
        <w:rPr>
          <w:rFonts w:ascii="Sakkal Majalla" w:hAnsi="Sakkal Majalla" w:cs="Sakkal Majalla"/>
          <w:color w:val="000000" w:themeColor="text1"/>
          <w:sz w:val="28"/>
          <w:szCs w:val="28"/>
        </w:rPr>
        <w:t>.</w:t>
      </w:r>
    </w:p>
    <w:p w14:paraId="76203E52"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ويُشير</w:t>
      </w:r>
      <w:r w:rsidRPr="001E1970">
        <w:rPr>
          <w:rFonts w:ascii="Sakkal Majalla" w:hAnsi="Sakkal Majalla" w:cs="Sakkal Majalla"/>
          <w:color w:val="000000" w:themeColor="text1"/>
          <w:sz w:val="28"/>
          <w:szCs w:val="28"/>
        </w:rPr>
        <w:t xml:space="preserve"> Thapa (2022) </w:t>
      </w:r>
      <w:r w:rsidRPr="001E1970">
        <w:rPr>
          <w:rFonts w:ascii="Sakkal Majalla" w:hAnsi="Sakkal Majalla" w:cs="Sakkal Majalla"/>
          <w:color w:val="000000" w:themeColor="text1"/>
          <w:sz w:val="28"/>
          <w:szCs w:val="28"/>
          <w:rtl/>
        </w:rPr>
        <w:t>إلى أنّ أهمية توفير كوادر فنية مؤهلة ومستوعبة للتقنيات الطبية تتجلى في عدة أوجه</w:t>
      </w:r>
      <w:r w:rsidRPr="001E1970">
        <w:rPr>
          <w:rFonts w:ascii="Sakkal Majalla" w:hAnsi="Sakkal Majalla" w:cs="Sakkal Majalla"/>
          <w:color w:val="000000" w:themeColor="text1"/>
          <w:sz w:val="28"/>
          <w:szCs w:val="28"/>
        </w:rPr>
        <w:t>:</w:t>
      </w:r>
    </w:p>
    <w:p w14:paraId="4E03CCFE" w14:textId="77777777" w:rsidR="00BB3751" w:rsidRPr="001E1970" w:rsidRDefault="00BB3751" w:rsidP="00270FB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ضمان وظيفية الأجهزة الطبية واستمراريتها</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حيث إنّ الكوادر الفنية المستوعبة للأجهزة المُحدَّثة تكون قادرة على إجراء الصيانة الوقائية الدورية والتدخل السريع عند حدوث الأعطال، مما يُقلّل من فترات التوقف عن العمل ويُطيل العمر التشغيلي للأجهزة ويضمن جاهزيتها الدائمة لخدمة المرضى</w:t>
      </w:r>
      <w:r w:rsidRPr="001E1970">
        <w:rPr>
          <w:rFonts w:ascii="Sakkal Majalla" w:hAnsi="Sakkal Majalla" w:cs="Sakkal Majalla"/>
          <w:color w:val="000000" w:themeColor="text1"/>
          <w:sz w:val="28"/>
          <w:szCs w:val="28"/>
        </w:rPr>
        <w:t>.</w:t>
      </w:r>
    </w:p>
    <w:p w14:paraId="02DC1A33" w14:textId="77777777" w:rsidR="00BB3751" w:rsidRPr="001E1970" w:rsidRDefault="00BB3751" w:rsidP="00270FB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خفض تكاليف الصيانة والتشغيل على المدى البعيد</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إذ إنّ الاعتماد على كوادر فنية داخلية مستوعبة للأجهزة يُغني المستشفى عن الاستعانة المتكررة بفنيّي الشركات المصنّعة أو المورّدة، وهو ما يُمثّل توفيراً مالياً كبيراً لا سيما في المستشفيات التي تمتلك أعداداً كبيرة من الأجهزة المتنوعة</w:t>
      </w:r>
      <w:r w:rsidRPr="001E1970">
        <w:rPr>
          <w:rFonts w:ascii="Sakkal Majalla" w:hAnsi="Sakkal Majalla" w:cs="Sakkal Majalla"/>
          <w:color w:val="000000" w:themeColor="text1"/>
          <w:sz w:val="28"/>
          <w:szCs w:val="28"/>
        </w:rPr>
        <w:t>.</w:t>
      </w:r>
    </w:p>
    <w:p w14:paraId="50E5B58C" w14:textId="77777777" w:rsidR="00BB3751" w:rsidRPr="001E1970" w:rsidRDefault="00BB3751" w:rsidP="00270FB7">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تقليل المخاطر السريرية المرتبطة بالأعطال التقنية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فالأجهزة الطبية التي تُصان وتُدار من قبل كوادر مستوعبة لتقنياتها تكون أقل عرضة للأعطال المفاجئة التي قد تُعرقل إجراءات تشخيصية أو علاجية حرجة</w:t>
      </w:r>
      <w:r w:rsidRPr="001E1970">
        <w:rPr>
          <w:rFonts w:ascii="Sakkal Majalla" w:hAnsi="Sakkal Majalla" w:cs="Sakkal Majalla"/>
          <w:color w:val="000000" w:themeColor="text1"/>
          <w:sz w:val="28"/>
          <w:szCs w:val="28"/>
        </w:rPr>
        <w:t>.</w:t>
      </w:r>
    </w:p>
    <w:p w14:paraId="17729D59"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ويرى</w:t>
      </w:r>
      <w:r w:rsidRPr="001E1970">
        <w:rPr>
          <w:rFonts w:ascii="Sakkal Majalla" w:hAnsi="Sakkal Majalla" w:cs="Sakkal Majalla"/>
          <w:color w:val="000000" w:themeColor="text1"/>
          <w:sz w:val="28"/>
          <w:szCs w:val="28"/>
        </w:rPr>
        <w:t xml:space="preserve"> Hossain et al. (2019) </w:t>
      </w:r>
      <w:r w:rsidRPr="001E1970">
        <w:rPr>
          <w:rFonts w:ascii="Sakkal Majalla" w:hAnsi="Sakkal Majalla" w:cs="Sakkal Majalla"/>
          <w:color w:val="000000" w:themeColor="text1"/>
          <w:sz w:val="28"/>
          <w:szCs w:val="28"/>
          <w:rtl/>
        </w:rPr>
        <w:t>أنّ أهمية الكفاءة الفنية في إدارة الأجهزة الطبية تبرز أيضاً في</w:t>
      </w:r>
      <w:r w:rsidRPr="001E1970">
        <w:rPr>
          <w:rFonts w:ascii="Sakkal Majalla" w:hAnsi="Sakkal Majalla" w:cs="Sakkal Majalla"/>
          <w:color w:val="000000" w:themeColor="text1"/>
          <w:sz w:val="28"/>
          <w:szCs w:val="28"/>
        </w:rPr>
        <w:t>:</w:t>
      </w:r>
    </w:p>
    <w:p w14:paraId="230B0F83" w14:textId="77777777" w:rsidR="00BB3751" w:rsidRPr="001E1970" w:rsidRDefault="00BB3751" w:rsidP="00270FB7">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تحقيق مخرجات أداء تقنية تنعكس على سلامة المريض</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حيث إنّ المعايرة الدقيقة والصيانة المنتظمة والتشغيل الصحيح للأجهزة الطبية تُسهم مباشرة في دقة التشخيص وفاعلية العلاج، وأي قصور في هذه الجوانب قد يُفضي إلى نتائج تشخيصية خاطئة أو إجراءات علاجية غير آمنة</w:t>
      </w:r>
      <w:r w:rsidRPr="001E1970">
        <w:rPr>
          <w:rFonts w:ascii="Sakkal Majalla" w:hAnsi="Sakkal Majalla" w:cs="Sakkal Majalla"/>
          <w:color w:val="000000" w:themeColor="text1"/>
          <w:sz w:val="28"/>
          <w:szCs w:val="28"/>
        </w:rPr>
        <w:t>.</w:t>
      </w:r>
    </w:p>
    <w:p w14:paraId="7A5EE68F" w14:textId="77777777" w:rsidR="00BB3751" w:rsidRPr="001E1970" w:rsidRDefault="00BB3751" w:rsidP="00270FB7">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بناء الثقة المؤسسية في المنظومة التقنية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إذ إنّ وجود كوادر فنية مستوعبة يبعث على الاطمئنان لدى الكوادر الطبية والتمريضية التي تعتمد على هذه الأجهزة في عملها اليومي، مما يُعزّز الثقة في المنظومة التقنية ككل ويُحسّن مناخ العمل التعاوني بين التخصصات المختلفة</w:t>
      </w:r>
      <w:r w:rsidRPr="001E1970">
        <w:rPr>
          <w:rFonts w:ascii="Sakkal Majalla" w:hAnsi="Sakkal Majalla" w:cs="Sakkal Majalla"/>
          <w:color w:val="000000" w:themeColor="text1"/>
          <w:sz w:val="28"/>
          <w:szCs w:val="28"/>
        </w:rPr>
        <w:t>.</w:t>
      </w:r>
    </w:p>
    <w:p w14:paraId="25BFF137" w14:textId="77777777" w:rsidR="00BB3751" w:rsidRPr="001E1970" w:rsidRDefault="00BB3751" w:rsidP="00270FB7">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تمكين المستشفى من مواكبة التحديثات المتلاحقة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فالتكنولوجيا الطبية تتطور بوتيرة متسارعة، والكوادر الفنية التي تمتلك قاعدة استيعابية قوية تكون أقدر على تبنّي التحديثات المتلاحقة في البرمجيات والبروتوكولات التشغيلية دون الحاجة إلى إعادة التأهيل من الصفر</w:t>
      </w:r>
      <w:r w:rsidRPr="001E1970">
        <w:rPr>
          <w:rFonts w:ascii="Sakkal Majalla" w:hAnsi="Sakkal Majalla" w:cs="Sakkal Majalla"/>
          <w:color w:val="000000" w:themeColor="text1"/>
          <w:sz w:val="28"/>
          <w:szCs w:val="28"/>
        </w:rPr>
        <w:t>.</w:t>
      </w:r>
    </w:p>
    <w:p w14:paraId="4F9588CC"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وفي السياق السعودي تحديداً، يُؤكد</w:t>
      </w:r>
      <w:r w:rsidRPr="001E1970">
        <w:rPr>
          <w:rFonts w:ascii="Sakkal Majalla" w:hAnsi="Sakkal Majalla" w:cs="Sakkal Majalla"/>
          <w:color w:val="000000" w:themeColor="text1"/>
          <w:sz w:val="28"/>
          <w:szCs w:val="28"/>
        </w:rPr>
        <w:t xml:space="preserve"> Almutair et al. (2023) </w:t>
      </w:r>
      <w:r w:rsidRPr="001E1970">
        <w:rPr>
          <w:rFonts w:ascii="Sakkal Majalla" w:hAnsi="Sakkal Majalla" w:cs="Sakkal Majalla"/>
          <w:color w:val="000000" w:themeColor="text1"/>
          <w:sz w:val="28"/>
          <w:szCs w:val="28"/>
          <w:rtl/>
        </w:rPr>
        <w:t xml:space="preserve">أنّ أهمية رفع مستوى استيعاب العاملين في مجال الأجهزة الطبية ترتبط ارتباطاً وثيقاً بتوجهات التحول الرقمي في القطاع الصحي، حيث إنّ مشاريع التحديث لم تعد تقتصر على استبدال المعدات المادية بل باتت تتضمن منظومات رقمية متكاملة </w:t>
      </w:r>
      <w:r w:rsidRPr="001E1970">
        <w:rPr>
          <w:rFonts w:ascii="Sakkal Majalla" w:hAnsi="Sakkal Majalla" w:cs="Sakkal Majalla"/>
          <w:color w:val="000000" w:themeColor="text1"/>
          <w:sz w:val="28"/>
          <w:szCs w:val="28"/>
          <w:rtl/>
        </w:rPr>
        <w:lastRenderedPageBreak/>
        <w:t>تتطلب مستوى أعلى من الكفاءة الرقمية والقدرة على التعامل مع البيانات الضخمة وأنظمة المعلومات الصحية المتشابكة</w:t>
      </w:r>
      <w:r w:rsidRPr="001E1970">
        <w:rPr>
          <w:rFonts w:ascii="Sakkal Majalla" w:hAnsi="Sakkal Majalla" w:cs="Sakkal Majalla"/>
          <w:color w:val="000000" w:themeColor="text1"/>
          <w:sz w:val="28"/>
          <w:szCs w:val="28"/>
        </w:rPr>
        <w:t>.</w:t>
      </w:r>
    </w:p>
    <w:p w14:paraId="36ADCE54"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كما يُضيف</w:t>
      </w:r>
      <w:r w:rsidRPr="001E1970">
        <w:rPr>
          <w:rFonts w:ascii="Sakkal Majalla" w:hAnsi="Sakkal Majalla" w:cs="Sakkal Majalla"/>
          <w:color w:val="000000" w:themeColor="text1"/>
          <w:sz w:val="28"/>
          <w:szCs w:val="28"/>
        </w:rPr>
        <w:t xml:space="preserve"> Mansour et al. (2024) </w:t>
      </w:r>
      <w:r w:rsidRPr="001E1970">
        <w:rPr>
          <w:rFonts w:ascii="Sakkal Majalla" w:hAnsi="Sakkal Majalla" w:cs="Sakkal Majalla"/>
          <w:color w:val="000000" w:themeColor="text1"/>
          <w:sz w:val="28"/>
          <w:szCs w:val="28"/>
          <w:rtl/>
        </w:rPr>
        <w:t>بُعداً يتعلق بتأثير الأجهزة الطبية في أداء العاملين الصحيين ورفاهيتهم، حيث تناولوا الموضوع من منظور شمولي يرصد كيف يمكن للأجهزة الطبية أن تكون عامل دعم أو عامل إرهاق للعاملين بحسب مستوى جاهزيتهم للتعامل معها. وتُبرز هذه المقاربة أنّ أهمية الاستيعاب لا تقتصر على الجانب التقني والمؤسسي بل تمتد لتشمل البعد الإنساني المتعلق بصحة العاملين ورضاهم الوظيفي</w:t>
      </w:r>
      <w:r w:rsidRPr="001E1970">
        <w:rPr>
          <w:rFonts w:ascii="Sakkal Majalla" w:hAnsi="Sakkal Majalla" w:cs="Sakkal Majalla"/>
          <w:color w:val="000000" w:themeColor="text1"/>
          <w:sz w:val="28"/>
          <w:szCs w:val="28"/>
        </w:rPr>
        <w:t>.</w:t>
      </w:r>
    </w:p>
    <w:p w14:paraId="2C7657DE" w14:textId="1C888DA7" w:rsidR="00BB3751" w:rsidRPr="001E1970" w:rsidRDefault="00270FB7" w:rsidP="00270FB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3" w:name="_Toc223527776"/>
      <w:r w:rsidRPr="001E1970">
        <w:rPr>
          <w:rFonts w:ascii="Sakkal Majalla" w:hAnsi="Sakkal Majalla" w:cs="Sakkal Majalla" w:hint="cs"/>
          <w:b/>
          <w:bCs/>
          <w:color w:val="000000" w:themeColor="text1"/>
          <w:sz w:val="32"/>
          <w:szCs w:val="32"/>
          <w:rtl/>
        </w:rPr>
        <w:t xml:space="preserve">4.2.2 </w:t>
      </w:r>
      <w:r w:rsidR="00BB3751" w:rsidRPr="001E1970">
        <w:rPr>
          <w:rFonts w:ascii="Sakkal Majalla" w:hAnsi="Sakkal Majalla" w:cs="Sakkal Majalla"/>
          <w:b/>
          <w:bCs/>
          <w:color w:val="000000" w:themeColor="text1"/>
          <w:sz w:val="32"/>
          <w:szCs w:val="32"/>
          <w:rtl/>
        </w:rPr>
        <w:t>العوامل المؤثرة في معدلات استيعاب الكوادر الفنية</w:t>
      </w:r>
      <w:bookmarkEnd w:id="53"/>
    </w:p>
    <w:p w14:paraId="5315B823"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تتأثر معدلات استيعاب الكوادر الفنية لمشاريع تحديث الأجهزة الطبية بمجموعة متشابكة من العوامل التي يمكن تصنيفها في ثلاث فئات رئيسية: عوامل فردية تتعلق بالفنّي ذاته، وعوامل تنظيمية تتعلق ببيئة العمل المؤسسية، وعوامل تقنية تتعلق بطبيعة الأجهزة المُحدَّثة وخصائصها</w:t>
      </w:r>
      <w:r w:rsidRPr="001E1970">
        <w:rPr>
          <w:rFonts w:ascii="Sakkal Majalla" w:hAnsi="Sakkal Majalla" w:cs="Sakkal Majalla"/>
          <w:color w:val="000000" w:themeColor="text1"/>
          <w:sz w:val="28"/>
          <w:szCs w:val="28"/>
        </w:rPr>
        <w:t>.</w:t>
      </w:r>
    </w:p>
    <w:p w14:paraId="0346046A" w14:textId="126AB409" w:rsidR="00BB3751" w:rsidRPr="001E1970" w:rsidRDefault="00BB3751" w:rsidP="00270FB7">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العوامل الفردية</w:t>
      </w:r>
    </w:p>
    <w:p w14:paraId="302406FD"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تُمثّل العوامل الفردية المحدد الأول لقدرة الفنّي على استيعاب التقنيات الجديدة، وتشمل المؤهل العلمي والتخصص الأكاديمي وسنوات الخبرة المهنية ومستوى المعرفة التقنية المسبقة والقدرة على التعلم الذاتي والاستعداد النفسي لتقبّل التغيير. فالفنّي الذي يمتلك قاعدة معرفية صلبة في مبادئ الهندسة الطبية والإلكترونيات والبرمجيات يكون أقدر على استيعاب الأجهزة الحديثة مقارنة بمن يفتقر إلى هذه القاعدة. وقد تناول</w:t>
      </w:r>
      <w:r w:rsidRPr="001E1970">
        <w:rPr>
          <w:rFonts w:ascii="Sakkal Majalla" w:hAnsi="Sakkal Majalla" w:cs="Sakkal Majalla"/>
          <w:color w:val="000000" w:themeColor="text1"/>
          <w:sz w:val="28"/>
          <w:szCs w:val="28"/>
        </w:rPr>
        <w:t xml:space="preserve"> Almutair et al. (2023) </w:t>
      </w:r>
      <w:r w:rsidRPr="001E1970">
        <w:rPr>
          <w:rFonts w:ascii="Sakkal Majalla" w:hAnsi="Sakkal Majalla" w:cs="Sakkal Majalla"/>
          <w:color w:val="000000" w:themeColor="text1"/>
          <w:sz w:val="28"/>
          <w:szCs w:val="28"/>
          <w:rtl/>
        </w:rPr>
        <w:t>المتغيرات الديموغرافية والمهنية للعاملين في مجال الأجهزة الطبية كالمؤهل العلمي وسنوات الخبرة ومستوى التعامل مع التقنيات الرقمية، ورصدوا تبايناً في مستويات الكفاءة تبعاً لهذه المتغيرات، مما يُشير إلى أنّ العوامل الفردية تلعب دوراً مؤثراً في تحديد قدرة الفنّي الاستيعابية</w:t>
      </w:r>
      <w:r w:rsidRPr="001E1970">
        <w:rPr>
          <w:rFonts w:ascii="Sakkal Majalla" w:hAnsi="Sakkal Majalla" w:cs="Sakkal Majalla"/>
          <w:color w:val="000000" w:themeColor="text1"/>
          <w:sz w:val="28"/>
          <w:szCs w:val="28"/>
        </w:rPr>
        <w:t>.</w:t>
      </w:r>
    </w:p>
    <w:p w14:paraId="712CDF64"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lastRenderedPageBreak/>
        <w:t xml:space="preserve">كما تتضمن العوامل الفردية الجانب السلوكي والنفسي المتمثل في اتجاهات الفنّي نحو التغيير ومستوى ثقته بقدرته على التكيّف ودرجة انفتاحه على التعلّم المستمر. فالفنّي الذي ينظر إلى التحديث بوصفه فرصة للتطور المهني يكون أكثر استعداداً لبذل الجهد المطلوب للاستيعاب مقارنة بمن يراه تهديداً لمكانته أو إرهاقاً إضافياً. وقد تناول </w:t>
      </w:r>
      <w:r w:rsidRPr="001E1970">
        <w:rPr>
          <w:rFonts w:ascii="Sakkal Majalla" w:hAnsi="Sakkal Majalla" w:cs="Sakkal Majalla"/>
          <w:color w:val="000000" w:themeColor="text1"/>
          <w:sz w:val="28"/>
          <w:szCs w:val="28"/>
        </w:rPr>
        <w:t xml:space="preserve">Ghislieri, Molino, Dolce, Sanseverino, and Presutti (2021) </w:t>
      </w:r>
      <w:r w:rsidRPr="001E1970">
        <w:rPr>
          <w:rFonts w:ascii="Sakkal Majalla" w:hAnsi="Sakkal Majalla" w:cs="Sakkal Majalla"/>
          <w:color w:val="000000" w:themeColor="text1"/>
          <w:sz w:val="28"/>
          <w:szCs w:val="28"/>
          <w:rtl/>
        </w:rPr>
        <w:t>العوامل النفسية والاجتماعية المؤثرة في الكوادر الفنية والإدارية في البيئة الصحية، حيث عالجوا الموضوع من منظور التوازن بين متطلبات العمل والحياة الشخصية وتأثيره في الأداء المهني والرضا الوظيفي. وتستفيد الدراسة الحالية من هذه المقاربة في فهم كيف يمكن للضغوط النفسية والاجتماعية أن تؤثر في قدرة الفنّي على استيعاب المتطلبات الجديدة التي تفرضها مشاريع التحديث</w:t>
      </w:r>
      <w:r w:rsidRPr="001E1970">
        <w:rPr>
          <w:rFonts w:ascii="Sakkal Majalla" w:hAnsi="Sakkal Majalla" w:cs="Sakkal Majalla"/>
          <w:color w:val="000000" w:themeColor="text1"/>
          <w:sz w:val="28"/>
          <w:szCs w:val="28"/>
        </w:rPr>
        <w:t>.</w:t>
      </w:r>
    </w:p>
    <w:p w14:paraId="6182FB1C" w14:textId="0816EBBA" w:rsidR="00BB3751" w:rsidRPr="001E1970" w:rsidRDefault="00BB3751" w:rsidP="00270FB7">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العوامل التنظيمية</w:t>
      </w:r>
    </w:p>
    <w:p w14:paraId="78E83DB5"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تُشكّل العوامل التنظيمية البيئة الحاضنة التي تُيسّر أو تُعيق عملية الاستيعاب، وتشمل جودة البرامج التدريبية المقدمة ومدى ملاءمتها للاحتياجات الفعلية، وتوفر الدعم الإداري والفني خلال مراحل التحوّل، ومستوى التحفيز والتقدير المؤسسي، وفاعلية نظم الاتصال والتنسيق، ومدى وضوح السياسات والإجراءات المتعلقة بمشاريع التحديث. وقد تناول </w:t>
      </w:r>
      <w:r w:rsidRPr="001E1970">
        <w:rPr>
          <w:rFonts w:ascii="Sakkal Majalla" w:hAnsi="Sakkal Majalla" w:cs="Sakkal Majalla"/>
          <w:color w:val="000000" w:themeColor="text1"/>
          <w:sz w:val="28"/>
          <w:szCs w:val="28"/>
        </w:rPr>
        <w:t xml:space="preserve">Alotaibi et al. (2023) </w:t>
      </w:r>
      <w:r w:rsidRPr="001E1970">
        <w:rPr>
          <w:rFonts w:ascii="Sakkal Majalla" w:hAnsi="Sakkal Majalla" w:cs="Sakkal Majalla"/>
          <w:color w:val="000000" w:themeColor="text1"/>
          <w:sz w:val="28"/>
          <w:szCs w:val="28"/>
          <w:rtl/>
        </w:rPr>
        <w:t>البيئة التنظيمية في مستشفى الأمير محمد بن عبدالعزيز بالرياض من منظور تأثير إدارة التغيير في كفاءة الأداء المؤسسي، حيث عالجوا مجموعة من المتغيرات التنظيمية كالقيادة والتواصل والتدريب والتحفيز وارتباطها بمستوى استجابة العاملين لعمليات التغيير. وتُوفر هذه المعالجة إطاراً لفهم كيف تُسهم البيئة التنظيمية الداعمة في تعزيز قدرة الكوادر الفنية على استيعاب مشاريع التحديث</w:t>
      </w:r>
      <w:r w:rsidRPr="001E1970">
        <w:rPr>
          <w:rFonts w:ascii="Sakkal Majalla" w:hAnsi="Sakkal Majalla" w:cs="Sakkal Majalla"/>
          <w:color w:val="000000" w:themeColor="text1"/>
          <w:sz w:val="28"/>
          <w:szCs w:val="28"/>
        </w:rPr>
        <w:t>.</w:t>
      </w:r>
    </w:p>
    <w:p w14:paraId="00942F1C"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كما تندرج ضمن العوامل التنظيمية طبيعة الثقافة المؤسسية السائدة ومدى دعمها للتعلّم والتطوير المستمر. فالمستشفى الذي يمتلك ثقافة تنظيمية تُقدّر التعلّم وتُشجّع على التجريب وتتسامح مع الأخطاء في سياق التعلّم يُوفر بيئة أكثر ملاءمة لاستيعاب الكوادر الفنية للتقنيات الجديدة مقارنة بالمستشفى الذي تسود فيه ثقافة جامدة تُقاوم التغيير وتُعاقب على الخطأ. وقد سبقت الإشارة في المبحث </w:t>
      </w:r>
      <w:r w:rsidRPr="001E1970">
        <w:rPr>
          <w:rFonts w:ascii="Sakkal Majalla" w:hAnsi="Sakkal Majalla" w:cs="Sakkal Majalla"/>
          <w:color w:val="000000" w:themeColor="text1"/>
          <w:sz w:val="28"/>
          <w:szCs w:val="28"/>
          <w:rtl/>
        </w:rPr>
        <w:lastRenderedPageBreak/>
        <w:t>الأول إلى معالجة الشيخي والشيخي (2022) للعلاقة بين الثقافة التنظيمية وإدارة التغيير، وهي معالجة تنطبق بدرجة كبيرة على سياق استيعاب الكوادر الفنية لمشاريع التحديث</w:t>
      </w:r>
      <w:r w:rsidRPr="001E1970">
        <w:rPr>
          <w:rFonts w:ascii="Sakkal Majalla" w:hAnsi="Sakkal Majalla" w:cs="Sakkal Majalla"/>
          <w:color w:val="000000" w:themeColor="text1"/>
          <w:sz w:val="28"/>
          <w:szCs w:val="28"/>
        </w:rPr>
        <w:t>.</w:t>
      </w:r>
    </w:p>
    <w:p w14:paraId="4FDFFD71"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ومن العوامل التنظيمية المؤثرة أيضاً مستوى التنسيق بين الجهات المعنية بمشروع التحديث داخل المستشفى، بما يشمل التنسيق بين إدارة الهندسة الطبية وإدارة التدريب وإدارة المشتريات والأقسام السريرية المستفيدة. فغياب التنسيق الفعّال قد يؤدي إلى وصول أجهزة جديدة قبل اكتمال تأهيل الكوادر الفنية، أو إلى تصميم برامج تدريبية لا تتوافق مع الاحتياجات الفعلية، أو إلى تضارب في الأولويات والتوقعات بين الجهات المختلفة</w:t>
      </w:r>
      <w:r w:rsidRPr="001E1970">
        <w:rPr>
          <w:rFonts w:ascii="Sakkal Majalla" w:hAnsi="Sakkal Majalla" w:cs="Sakkal Majalla"/>
          <w:color w:val="000000" w:themeColor="text1"/>
          <w:sz w:val="28"/>
          <w:szCs w:val="28"/>
        </w:rPr>
        <w:t>.</w:t>
      </w:r>
    </w:p>
    <w:p w14:paraId="5F0AC1B3" w14:textId="68988B81" w:rsidR="00BB3751" w:rsidRPr="001E1970" w:rsidRDefault="00BB3751" w:rsidP="00270FB7">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العوامل التقنية</w:t>
      </w:r>
    </w:p>
    <w:p w14:paraId="3AB5D9AD"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ترتبط العوامل التقنية بخصائص الأجهزة المُحدَّثة ذاتها ومدى تعقيدها وحداثتها ودرجة اختلافها عن الأجهزة السابقة. فكلما كانت الفجوة التقنية بين الأجهزة القديمة والجديدة أوسع، كان التحدي الاستيعابي أكبر والحاجة إلى التأهيل أعمق. وقد تناول</w:t>
      </w:r>
      <w:r w:rsidRPr="001E1970">
        <w:rPr>
          <w:rFonts w:ascii="Sakkal Majalla" w:hAnsi="Sakkal Majalla" w:cs="Sakkal Majalla"/>
          <w:color w:val="000000" w:themeColor="text1"/>
          <w:sz w:val="28"/>
          <w:szCs w:val="28"/>
        </w:rPr>
        <w:t xml:space="preserve"> Li et al. (2022) </w:t>
      </w:r>
      <w:r w:rsidRPr="001E1970">
        <w:rPr>
          <w:rFonts w:ascii="Sakkal Majalla" w:hAnsi="Sakkal Majalla" w:cs="Sakkal Majalla"/>
          <w:color w:val="000000" w:themeColor="text1"/>
          <w:sz w:val="28"/>
          <w:szCs w:val="28"/>
          <w:rtl/>
        </w:rPr>
        <w:t>تقنيات صيانة المعدات الطبية القائمة على اندماج المعلومات، حيث عالجوا مستوى التعقيد التقني الذي تفرضه هذه التقنيات الحديثة ومتطلبات التعامل معها من حيث المعرفة والمهارة. وتستفيد الدراسة الحالية من هذا التناول في فهم كيف تؤثر درجة التعقيد التقني للأجهزة المُحدَّثة في قدرة الكوادر الفنية على استيعابها</w:t>
      </w:r>
      <w:r w:rsidRPr="001E1970">
        <w:rPr>
          <w:rFonts w:ascii="Sakkal Majalla" w:hAnsi="Sakkal Majalla" w:cs="Sakkal Majalla"/>
          <w:color w:val="000000" w:themeColor="text1"/>
          <w:sz w:val="28"/>
          <w:szCs w:val="28"/>
        </w:rPr>
        <w:t>.</w:t>
      </w:r>
    </w:p>
    <w:p w14:paraId="6D6CA008" w14:textId="77777777" w:rsidR="00BB3751" w:rsidRPr="001E1970" w:rsidRDefault="00BB3751" w:rsidP="00270FB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كما تشمل العوامل التقنية مدى توفر الوثائق الفنية وأدلة التشغيل والصيانة باللغات التي يتقنها الفنيون، وجودة الدعم الفني المقدّم من الشركات المصنّعة أو المورّدة، ومدى توافق الأجهزة الجديدة مع البنية التحتية التقنية القائمة في المستشفى. فالجهاز الذي يأتي مصحوباً بوثائق فنية شاملة وبرامج تدريبية متكاملة ودعم فني متواصل يكون أسهل استيعاباً من الجهاز الذي يفتقر إلى هذه العناصر. وقد أشار</w:t>
      </w:r>
      <w:r w:rsidRPr="001E1970">
        <w:rPr>
          <w:rFonts w:ascii="Sakkal Majalla" w:hAnsi="Sakkal Majalla" w:cs="Sakkal Majalla"/>
          <w:color w:val="000000" w:themeColor="text1"/>
          <w:sz w:val="28"/>
          <w:szCs w:val="28"/>
        </w:rPr>
        <w:t xml:space="preserve"> Hu et al. (2025) </w:t>
      </w:r>
      <w:r w:rsidRPr="001E1970">
        <w:rPr>
          <w:rFonts w:ascii="Sakkal Majalla" w:hAnsi="Sakkal Majalla" w:cs="Sakkal Majalla"/>
          <w:color w:val="000000" w:themeColor="text1"/>
          <w:sz w:val="28"/>
          <w:szCs w:val="28"/>
          <w:rtl/>
        </w:rPr>
        <w:t>إلى أنّ شبكات الابتكار في صناعة المعدات الطبية المتقدمة تلعب دوراً في توفير منظومات دعم معرفي وتقني تُسهّل عملية نقل التكنولوجيا واستيعابها في البيئات الصحية المحلية</w:t>
      </w:r>
      <w:r w:rsidRPr="001E1970">
        <w:rPr>
          <w:rFonts w:ascii="Sakkal Majalla" w:hAnsi="Sakkal Majalla" w:cs="Sakkal Majalla"/>
          <w:color w:val="000000" w:themeColor="text1"/>
          <w:sz w:val="28"/>
          <w:szCs w:val="28"/>
        </w:rPr>
        <w:t>.</w:t>
      </w:r>
    </w:p>
    <w:p w14:paraId="034FB7B9" w14:textId="7DFD6B86" w:rsidR="00BB3751" w:rsidRPr="001E1970" w:rsidRDefault="00270FB7" w:rsidP="00DE23C6">
      <w:pPr>
        <w:spacing w:before="100" w:beforeAutospacing="1" w:after="100" w:afterAutospacing="1"/>
        <w:outlineLvl w:val="2"/>
        <w:rPr>
          <w:rFonts w:ascii="Sakkal Majalla" w:hAnsi="Sakkal Majalla" w:cs="Sakkal Majalla"/>
          <w:b/>
          <w:bCs/>
          <w:color w:val="000000" w:themeColor="text1"/>
          <w:sz w:val="32"/>
          <w:szCs w:val="32"/>
        </w:rPr>
      </w:pPr>
      <w:r w:rsidRPr="001E1970">
        <w:rPr>
          <w:rFonts w:ascii="Sakkal Majalla" w:hAnsi="Sakkal Majalla" w:cs="Sakkal Majalla"/>
          <w:b/>
          <w:bCs/>
          <w:color w:val="000000" w:themeColor="text1"/>
          <w:sz w:val="32"/>
          <w:szCs w:val="32"/>
        </w:rPr>
        <w:br w:type="page"/>
      </w:r>
      <w:bookmarkStart w:id="54" w:name="_Toc223527777"/>
      <w:r w:rsidR="00DE23C6" w:rsidRPr="001E1970">
        <w:rPr>
          <w:rFonts w:ascii="Sakkal Majalla" w:hAnsi="Sakkal Majalla" w:cs="Sakkal Majalla" w:hint="cs"/>
          <w:b/>
          <w:bCs/>
          <w:color w:val="000000" w:themeColor="text1"/>
          <w:sz w:val="32"/>
          <w:szCs w:val="32"/>
          <w:rtl/>
        </w:rPr>
        <w:lastRenderedPageBreak/>
        <w:t xml:space="preserve">5.2.2 </w:t>
      </w:r>
      <w:r w:rsidR="00BB3751" w:rsidRPr="001E1970">
        <w:rPr>
          <w:rFonts w:ascii="Sakkal Majalla" w:hAnsi="Sakkal Majalla" w:cs="Sakkal Majalla"/>
          <w:b/>
          <w:bCs/>
          <w:color w:val="000000" w:themeColor="text1"/>
          <w:sz w:val="32"/>
          <w:szCs w:val="32"/>
          <w:rtl/>
        </w:rPr>
        <w:t>مؤشرات قياس استيعاب الكوادر الفنية</w:t>
      </w:r>
      <w:bookmarkEnd w:id="54"/>
    </w:p>
    <w:p w14:paraId="2447F1E0"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يتطلب قياس معدلات الاستيعاب تحديد مؤشرات واضحة وقابلة للقياس تعكس المستوى الحقيقي لقدرة الكوادر الفنية على التعامل مع الأجهزة المُحدَّثة. ويمكن تصنيف هذه المؤشرات في ثلاث فئات تتوافق مع الأبعاد الثلاثة للاستيعاب التي حدّدها الباحث في التعريف الإجرائي</w:t>
      </w:r>
      <w:r w:rsidRPr="001E1970">
        <w:rPr>
          <w:rFonts w:ascii="Sakkal Majalla" w:hAnsi="Sakkal Majalla" w:cs="Sakkal Majalla"/>
          <w:color w:val="000000" w:themeColor="text1"/>
          <w:sz w:val="28"/>
          <w:szCs w:val="28"/>
        </w:rPr>
        <w:t>.</w:t>
      </w:r>
    </w:p>
    <w:p w14:paraId="7716E4A8" w14:textId="13A8A3E2"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مؤشرات الاستيعاب المعرفي</w:t>
      </w:r>
    </w:p>
    <w:p w14:paraId="444F0069"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يتعلق الاستيعاب المعرفي بمستوى فهم الكوادر الفنية للمبادئ والأسس النظرية التي تقوم عليها الأجهزة المُحدَّثة، ويشمل ذلك فهم الآليات التشغيلية والمكونات الرئيسية والبرمجيات المضمّنة والمواصفات الفنية ومعايير الأداء والمتطلبات البيئية لتشغيل الأجهزة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ويمكن قياس هذا البعد من خلال مؤشرات تتصل بقدرة الفنّي على شرح مبادئ عمل الجهاز ومكوناته الرئيسية، وفهمه للمواصفات الفنية ودلالاتها العملية، وإلمامه ببروتوكولات التشغيل والصيانة المعتمدة من الشركة المصنّعة. وقد استخدم</w:t>
      </w:r>
      <w:r w:rsidRPr="001E1970">
        <w:rPr>
          <w:rFonts w:ascii="Sakkal Majalla" w:hAnsi="Sakkal Majalla" w:cs="Sakkal Majalla"/>
          <w:color w:val="000000" w:themeColor="text1"/>
          <w:sz w:val="28"/>
          <w:szCs w:val="28"/>
        </w:rPr>
        <w:t xml:space="preserve"> Hossain et al. (2019) </w:t>
      </w:r>
      <w:r w:rsidRPr="001E1970">
        <w:rPr>
          <w:rFonts w:ascii="Sakkal Majalla" w:hAnsi="Sakkal Majalla" w:cs="Sakkal Majalla"/>
          <w:color w:val="000000" w:themeColor="text1"/>
          <w:sz w:val="28"/>
          <w:szCs w:val="28"/>
          <w:rtl/>
        </w:rPr>
        <w:t>في إطارهم التحليلي مؤشرات معرفية تتصل بفهم المهندسين السريريين لمبادئ إدارة تكنولوجيا المعدات الطبية ومتطلبات سلامة المرضى المرتبطة بها، مما يُوفر نموذجاً لبناء مؤشرات الاستيعاب المعرفي في الدراسة الحالية</w:t>
      </w:r>
      <w:r w:rsidRPr="001E1970">
        <w:rPr>
          <w:rFonts w:ascii="Sakkal Majalla" w:hAnsi="Sakkal Majalla" w:cs="Sakkal Majalla"/>
          <w:color w:val="000000" w:themeColor="text1"/>
          <w:sz w:val="28"/>
          <w:szCs w:val="28"/>
        </w:rPr>
        <w:t>.</w:t>
      </w:r>
    </w:p>
    <w:p w14:paraId="25CF8DE5" w14:textId="54C25EBB"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مؤشرات الاستيعاب المهاري</w:t>
      </w:r>
    </w:p>
    <w:p w14:paraId="26834430"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يتناول الاستيعاب المهاري قدرة الكوادر الفنية على تنفيذ المهام التطبيقية المرتبطة بالأجهزة المُحدَّثة بكفاءة ودقة، ويشمل ذلك القدرة على تشغيل الأجهزة ومعايرتها وإجراء الصيانة الوقائية والتصحيحية والتشخيص الدقيق للأعطال وإصلاحها وتحديث البرمجيات التشغيلية واستخدام أدوات القياس والتشخيص المتخصصة. ويمكن قياس هذا البعد من خلال مؤشرات أدائية كزمن الاستجابة للأعطال ومعدل الإصلاح من المرة الأولى ونسبة التوقف غير المخطط للأجهزة ومستوى الالتزام بجداول الصيانة الوقائية. وقد استخدم</w:t>
      </w:r>
      <w:r w:rsidRPr="001E1970">
        <w:rPr>
          <w:rFonts w:ascii="Sakkal Majalla" w:hAnsi="Sakkal Majalla" w:cs="Sakkal Majalla"/>
          <w:color w:val="000000" w:themeColor="text1"/>
          <w:sz w:val="28"/>
          <w:szCs w:val="28"/>
        </w:rPr>
        <w:t xml:space="preserve"> Thapa (2022) </w:t>
      </w:r>
      <w:r w:rsidRPr="001E1970">
        <w:rPr>
          <w:rFonts w:ascii="Sakkal Majalla" w:hAnsi="Sakkal Majalla" w:cs="Sakkal Majalla"/>
          <w:color w:val="000000" w:themeColor="text1"/>
          <w:sz w:val="28"/>
          <w:szCs w:val="28"/>
          <w:rtl/>
        </w:rPr>
        <w:t xml:space="preserve">مؤشرات وظيفية مشابهة في تقييم أثر نشر فنيّي المعدات </w:t>
      </w:r>
      <w:r w:rsidRPr="001E1970">
        <w:rPr>
          <w:rFonts w:ascii="Sakkal Majalla" w:hAnsi="Sakkal Majalla" w:cs="Sakkal Majalla"/>
          <w:color w:val="000000" w:themeColor="text1"/>
          <w:sz w:val="28"/>
          <w:szCs w:val="28"/>
          <w:rtl/>
        </w:rPr>
        <w:lastRenderedPageBreak/>
        <w:t>الطبية الحيوية في المستشفيات، حيث ارتكز على مؤشرات تتصل بعدد الأجهزة العاملة وغير العاملة ونسبة التغطية بالصيانة الدورية</w:t>
      </w:r>
      <w:r w:rsidRPr="001E1970">
        <w:rPr>
          <w:rFonts w:ascii="Sakkal Majalla" w:hAnsi="Sakkal Majalla" w:cs="Sakkal Majalla"/>
          <w:color w:val="000000" w:themeColor="text1"/>
          <w:sz w:val="28"/>
          <w:szCs w:val="28"/>
        </w:rPr>
        <w:t>.</w:t>
      </w:r>
    </w:p>
    <w:p w14:paraId="14DBAF8B" w14:textId="6ABAEAC1"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مؤشرات الاستيعاب السلوكي</w:t>
      </w:r>
    </w:p>
    <w:p w14:paraId="4AEA339F"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يتناول الاستيعاب السلوكي اتجاهات الكوادر الفنية ومواقفها واستعداداتها النفسية تجاه الأجهزة المُحدَّثة وعمليات التحديث بشكل عام، ويشمل ذلك مستوى الثقة بالقدرة على التعامل مع التقنيات الجديدة، ودرجة المبادرة في التعلّم الذاتي والاطلاع على التحديثات، ومستوى التعاون مع الزملاء في تبادل المعرفة والخبرات، والاستعداد لتحمّل مسؤوليات جديدة ترتبط بالأجهزة المُحدَّثة. وقد تناول</w:t>
      </w:r>
      <w:r w:rsidRPr="001E1970">
        <w:rPr>
          <w:rFonts w:ascii="Sakkal Majalla" w:hAnsi="Sakkal Majalla" w:cs="Sakkal Majalla"/>
          <w:color w:val="000000" w:themeColor="text1"/>
          <w:sz w:val="28"/>
          <w:szCs w:val="28"/>
        </w:rPr>
        <w:t xml:space="preserve"> Mansour et al. (2024) </w:t>
      </w:r>
      <w:r w:rsidRPr="001E1970">
        <w:rPr>
          <w:rFonts w:ascii="Sakkal Majalla" w:hAnsi="Sakkal Majalla" w:cs="Sakkal Majalla"/>
          <w:color w:val="000000" w:themeColor="text1"/>
          <w:sz w:val="28"/>
          <w:szCs w:val="28"/>
          <w:rtl/>
        </w:rPr>
        <w:t>الجانب السلوكي والنفسي لتفاعل العاملين الصحيين مع الأجهزة الطبية، حيث رصدوا مؤشرات تتصل برضا العاملين ومستوى ارتياحهم في استخدام الأجهزة وتأثير ذلك في أدائهم الوظيفي ورفاهيتهم المهنية. وتستفيد الدراسة الحالية من هذه المقاربة في تضمين البعد السلوكي ضمن مؤشرات قياس الاستيعاب</w:t>
      </w:r>
      <w:r w:rsidRPr="001E1970">
        <w:rPr>
          <w:rFonts w:ascii="Sakkal Majalla" w:hAnsi="Sakkal Majalla" w:cs="Sakkal Majalla"/>
          <w:color w:val="000000" w:themeColor="text1"/>
          <w:sz w:val="28"/>
          <w:szCs w:val="28"/>
        </w:rPr>
        <w:t>.</w:t>
      </w:r>
    </w:p>
    <w:p w14:paraId="32D2A568" w14:textId="63E40F51" w:rsidR="00BB3751" w:rsidRPr="001E1970" w:rsidRDefault="00DE23C6" w:rsidP="00DE23C6">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5" w:name="_Toc223527778"/>
      <w:r w:rsidRPr="001E1970">
        <w:rPr>
          <w:rFonts w:ascii="Sakkal Majalla" w:hAnsi="Sakkal Majalla" w:cs="Sakkal Majalla" w:hint="cs"/>
          <w:b/>
          <w:bCs/>
          <w:color w:val="000000" w:themeColor="text1"/>
          <w:sz w:val="32"/>
          <w:szCs w:val="32"/>
          <w:rtl/>
        </w:rPr>
        <w:t xml:space="preserve">6.2.2 </w:t>
      </w:r>
      <w:r w:rsidR="00BB3751" w:rsidRPr="001E1970">
        <w:rPr>
          <w:rFonts w:ascii="Sakkal Majalla" w:hAnsi="Sakkal Majalla" w:cs="Sakkal Majalla"/>
          <w:b/>
          <w:bCs/>
          <w:color w:val="000000" w:themeColor="text1"/>
          <w:sz w:val="32"/>
          <w:szCs w:val="32"/>
          <w:rtl/>
        </w:rPr>
        <w:t>متطلبات تعزيز الاستيعاب الفني في البيئة الصحية</w:t>
      </w:r>
      <w:bookmarkEnd w:id="55"/>
    </w:p>
    <w:p w14:paraId="56205D2C"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يستدعي تعزيز معدلات استيعاب الكوادر الفنية لمشاريع تحديث الأجهزة الطبية توفير مجموعة من المتطلبات المتكاملة التي تُهيّئ البيئة المناسبة لحدوث الاستيعاب بالمستوى المطلوب وفي الإطار الزمني المحدد. وتتوزع هذه المتطلبات على مستويات متعددة تتراوح بين المستوى الفردي والمستوى التنظيمي والمستوى التقني</w:t>
      </w:r>
      <w:r w:rsidRPr="001E1970">
        <w:rPr>
          <w:rFonts w:ascii="Sakkal Majalla" w:hAnsi="Sakkal Majalla" w:cs="Sakkal Majalla"/>
          <w:color w:val="000000" w:themeColor="text1"/>
          <w:sz w:val="28"/>
          <w:szCs w:val="28"/>
        </w:rPr>
        <w:t>.</w:t>
      </w:r>
    </w:p>
    <w:p w14:paraId="32A34B62" w14:textId="56020B6F"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متطلبات التأهيل والتدريب المتخصص</w:t>
      </w:r>
    </w:p>
    <w:p w14:paraId="3D8FC5BE"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يُعدّ التأهيل والتدريب المتخصص الركيزة الأولى لتعزيز الاستيعاب الفني، ويتطلب تصميم برامج تدريبية تراعي الاحتياجات الفعلية للكوادر الفنية والفجوات المعرفية والمهارية القائمة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وينبغي أن تجمع هذه البرامج بين الجانب النظري والجانب التطبيقي، مع التركيز على التدريب العملي المباشر على الأجهزة الفعلية في بيئة عمل واقعية أو محاكاة. وقد تناول</w:t>
      </w:r>
      <w:r w:rsidRPr="001E1970">
        <w:rPr>
          <w:rFonts w:ascii="Sakkal Majalla" w:hAnsi="Sakkal Majalla" w:cs="Sakkal Majalla"/>
          <w:color w:val="000000" w:themeColor="text1"/>
          <w:sz w:val="28"/>
          <w:szCs w:val="28"/>
        </w:rPr>
        <w:t xml:space="preserve"> Alnaim, Abdelhamid, and Grad (2024) </w:t>
      </w:r>
      <w:r w:rsidRPr="001E1970">
        <w:rPr>
          <w:rFonts w:ascii="Sakkal Majalla" w:hAnsi="Sakkal Majalla" w:cs="Sakkal Majalla"/>
          <w:color w:val="000000" w:themeColor="text1"/>
          <w:sz w:val="28"/>
          <w:szCs w:val="28"/>
          <w:rtl/>
        </w:rPr>
        <w:t xml:space="preserve">منهجيات إدارة </w:t>
      </w:r>
      <w:r w:rsidRPr="001E1970">
        <w:rPr>
          <w:rFonts w:ascii="Sakkal Majalla" w:hAnsi="Sakkal Majalla" w:cs="Sakkal Majalla"/>
          <w:color w:val="000000" w:themeColor="text1"/>
          <w:sz w:val="28"/>
          <w:szCs w:val="28"/>
          <w:rtl/>
        </w:rPr>
        <w:lastRenderedPageBreak/>
        <w:t>التغيير لتعزيز تبنّي العاملين للأنظمة الصحية الإلكترونية الجديدة في المملكة العربية السعودية، حيث عالجوا الموضوع من منظور فاعلية المنهجيات المختلفة في تسريع عملية التبنّي وتعزيز مستوى الكفاءة في استخدام الأنظمة الجديدة. وتستفيد الدراسة الحالية من هذا التناول في فهم أنسب المنهجيات التدريبية لتعزيز استيعاب الكوادر الفنية للأجهزة الطبية المُحدَّثة في السياق السعودي</w:t>
      </w:r>
      <w:r w:rsidRPr="001E1970">
        <w:rPr>
          <w:rFonts w:ascii="Sakkal Majalla" w:hAnsi="Sakkal Majalla" w:cs="Sakkal Majalla"/>
          <w:color w:val="000000" w:themeColor="text1"/>
          <w:sz w:val="28"/>
          <w:szCs w:val="28"/>
        </w:rPr>
        <w:t>.</w:t>
      </w:r>
    </w:p>
    <w:p w14:paraId="4FA1ED61"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ومن المتطلبات التدريبية الجوهرية أيضاً استمرارية التدريب وعدم اقتصاره على مرحلة التركيب الأولي للأجهزة، بل امتداده ليشمل التحديثات المتلاحقة في البرمجيات والبروتوكولات التشغيلية</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كما ينبغي أن يتضمن التدريب برامج لنقل المعرفة بين الأقران بحيث يتحوّل الفنيون الذين اكتسبوا خبرة مبكرة بالأجهزة الجديدة إلى مدرّبين داخليين يُسهمون في تسريع عملية الاستيعاب لزملائهم</w:t>
      </w:r>
      <w:r w:rsidRPr="001E1970">
        <w:rPr>
          <w:rFonts w:ascii="Sakkal Majalla" w:hAnsi="Sakkal Majalla" w:cs="Sakkal Majalla"/>
          <w:color w:val="000000" w:themeColor="text1"/>
          <w:sz w:val="28"/>
          <w:szCs w:val="28"/>
        </w:rPr>
        <w:t>.</w:t>
      </w:r>
    </w:p>
    <w:p w14:paraId="121C7689" w14:textId="6852189F"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متطلبات البيئة التنظيمية الداعمة</w:t>
      </w:r>
    </w:p>
    <w:p w14:paraId="68FC2681"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يحتاج الاستيعاب الفعّال إلى بيئة تنظيمية تُوفر الظروف المواتية لعملية التعلّم والتكيّف، وتشمل هذه المتطلبات وجود قيادة إدارية مؤمنة بأهمية التأهيل الفني وملتزمة بتوفير الموارد اللازمة له، وتوفر هياكل تنظيمية مرنة تُسهّل التواصل بين الأقسام المعنية، ووجود نظم تحفيزية تُكافئ التعلّم والتطور المهني، وتوفر الوقت الكافي للفنيين لاستيعاب التقنيات الجديدة دون ضغط مفرط من أعباء العمل الروتيني. وقد عالج </w:t>
      </w:r>
      <w:r w:rsidRPr="001E1970">
        <w:rPr>
          <w:rFonts w:ascii="Sakkal Majalla" w:hAnsi="Sakkal Majalla" w:cs="Sakkal Majalla"/>
          <w:color w:val="000000" w:themeColor="text1"/>
          <w:sz w:val="28"/>
          <w:szCs w:val="28"/>
        </w:rPr>
        <w:t xml:space="preserve">Alotaibi et al. (2023) </w:t>
      </w:r>
      <w:r w:rsidRPr="001E1970">
        <w:rPr>
          <w:rFonts w:ascii="Sakkal Majalla" w:hAnsi="Sakkal Majalla" w:cs="Sakkal Majalla"/>
          <w:color w:val="000000" w:themeColor="text1"/>
          <w:sz w:val="28"/>
          <w:szCs w:val="28"/>
          <w:rtl/>
        </w:rPr>
        <w:t>دور إدارة التغيير في تهيئة البيئة التنظيمية المناسبة لتعزيز كفاءة الأداء في المستشفيات، حيث تناولوا مؤشرات تتصل بمستوى الدعم الإداري وفاعلية التواصل المؤسسي ومناخ العمل التنظيمي وارتباط هذه المؤشرات بمستوى استجابة العاملين لعمليات التطوير والتحديث</w:t>
      </w:r>
      <w:r w:rsidRPr="001E1970">
        <w:rPr>
          <w:rFonts w:ascii="Sakkal Majalla" w:hAnsi="Sakkal Majalla" w:cs="Sakkal Majalla"/>
          <w:color w:val="000000" w:themeColor="text1"/>
          <w:sz w:val="28"/>
          <w:szCs w:val="28"/>
        </w:rPr>
        <w:t>.</w:t>
      </w:r>
    </w:p>
    <w:p w14:paraId="2C5E20AB"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كما يتطلب الاستيعاب الفعّال وجود نظام مؤسسي لإدارة المعرفة يُتيح توثيق الخبرات الفنية المتراكمة وتبادلها بين العاملين والاحتفاظ بها حتى في حال انتقال بعض الكوادر أو تقاعدها. فكثيراً ما تفقد المستشفيات جزءاً من رصيدها المعرفي حين يغادرها فنيون ذوو خبرة دون أن تكون معارفهم قد وُثّقت ونُقلت بشكل منهجي إلى الجيل التالي</w:t>
      </w:r>
      <w:r w:rsidRPr="001E1970">
        <w:rPr>
          <w:rFonts w:ascii="Sakkal Majalla" w:hAnsi="Sakkal Majalla" w:cs="Sakkal Majalla"/>
          <w:color w:val="000000" w:themeColor="text1"/>
          <w:sz w:val="28"/>
          <w:szCs w:val="28"/>
        </w:rPr>
        <w:t>.</w:t>
      </w:r>
    </w:p>
    <w:p w14:paraId="321818FD" w14:textId="13347B8B" w:rsidR="00BB3751" w:rsidRPr="001E1970" w:rsidRDefault="00DE23C6" w:rsidP="00DE23C6">
      <w:pPr>
        <w:pStyle w:val="ListParagraph"/>
        <w:numPr>
          <w:ilvl w:val="0"/>
          <w:numId w:val="22"/>
        </w:numPr>
        <w:ind w:left="423"/>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Pr>
        <w:br w:type="page"/>
      </w:r>
      <w:r w:rsidR="00BB3751" w:rsidRPr="001E1970">
        <w:rPr>
          <w:rFonts w:ascii="Sakkal Majalla" w:hAnsi="Sakkal Majalla" w:cs="Sakkal Majalla"/>
          <w:b/>
          <w:bCs/>
          <w:color w:val="000000" w:themeColor="text1"/>
          <w:sz w:val="28"/>
          <w:szCs w:val="28"/>
          <w:rtl/>
        </w:rPr>
        <w:lastRenderedPageBreak/>
        <w:t>متطلبات الدعم التقني المستمر</w:t>
      </w:r>
    </w:p>
    <w:p w14:paraId="618365B8"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لا يكتمل الاستيعاب دون توفر منظومة دعم تقني مستمرة تُساند الكوادر الفنية خلال المراحل الأولى للتعامل مع الأجهزة المُحدَّثة وتظل متاحة للاستشارة والمساعدة عند مواجهة تحديات تقنية غير مسبوقة. ويشمل ذلك توفير خطوط اتصال مباشرة مع الشركات المصنّعة أو وكلائها المحليين، وإتاحة الوصول إلى قواعد البيانات الفنية والوثائق المرجعية، وتوفير أدوات التشخيص والقياس المتخصصة، وبناء علاقات تعاون مع مؤسسات صحية أخرى تستخدم أجهزة مماثلة لتبادل الخبرات والمعارف. وقد تناول</w:t>
      </w:r>
      <w:r w:rsidRPr="001E1970">
        <w:rPr>
          <w:rFonts w:ascii="Sakkal Majalla" w:hAnsi="Sakkal Majalla" w:cs="Sakkal Majalla"/>
          <w:color w:val="000000" w:themeColor="text1"/>
          <w:sz w:val="28"/>
          <w:szCs w:val="28"/>
        </w:rPr>
        <w:t xml:space="preserve"> Njagi et al. (2025) </w:t>
      </w:r>
      <w:r w:rsidRPr="001E1970">
        <w:rPr>
          <w:rFonts w:ascii="Sakkal Majalla" w:hAnsi="Sakkal Majalla" w:cs="Sakkal Majalla"/>
          <w:color w:val="000000" w:themeColor="text1"/>
          <w:sz w:val="28"/>
          <w:szCs w:val="28"/>
          <w:rtl/>
        </w:rPr>
        <w:t>منظومات الدعم التقني في مشاريع تحديث الأجهزة الطبية في كينيا من منظور الدروس المستفادة للبلدان النامية، حيث ركّزوا على أهمية بناء شراكات مستدامة بين المستشفيات والموردين وأهمية تطوير القدرات المحلية للدعم الفني الذاتي بما يُقلّل من الاعتماد المفرط على الخبرات الأجنبية</w:t>
      </w:r>
      <w:r w:rsidRPr="001E1970">
        <w:rPr>
          <w:rFonts w:ascii="Sakkal Majalla" w:hAnsi="Sakkal Majalla" w:cs="Sakkal Majalla"/>
          <w:color w:val="000000" w:themeColor="text1"/>
          <w:sz w:val="28"/>
          <w:szCs w:val="28"/>
        </w:rPr>
        <w:t>.</w:t>
      </w:r>
    </w:p>
    <w:p w14:paraId="08E22C73" w14:textId="64BA4846"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متطلبات التكيّف الثقافي والنفسي</w:t>
      </w:r>
    </w:p>
    <w:p w14:paraId="67CFDAC4"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يتطلب تعزيز الاستيعاب الفني الاهتمام بالجانب النفسي والثقافي للكوادر الفنية، من خلال بناء مناخ عمل يُشجّع على الاستكشاف والتجريب ويتقبّل الخطأ بوصفه جزءاً طبيعياً من عملية التعلّم</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وقد تناول</w:t>
      </w:r>
      <w:r w:rsidRPr="001E1970">
        <w:rPr>
          <w:rFonts w:ascii="Sakkal Majalla" w:hAnsi="Sakkal Majalla" w:cs="Sakkal Majalla"/>
          <w:color w:val="000000" w:themeColor="text1"/>
          <w:sz w:val="28"/>
          <w:szCs w:val="28"/>
        </w:rPr>
        <w:t xml:space="preserve"> Ghislieri et al. (2021) </w:t>
      </w:r>
      <w:r w:rsidRPr="001E1970">
        <w:rPr>
          <w:rFonts w:ascii="Sakkal Majalla" w:hAnsi="Sakkal Majalla" w:cs="Sakkal Majalla"/>
          <w:color w:val="000000" w:themeColor="text1"/>
          <w:sz w:val="28"/>
          <w:szCs w:val="28"/>
          <w:rtl/>
        </w:rPr>
        <w:t>تأثير ضغوط العمل والتحديات النفسية والاجتماعية في أداء الكوادر الفنية والإدارية في البيئة الصحية، حيث عالجوا مؤشرات تتصل بالإجهاد الوظيفي والتوازن بين متطلبات العمل والحياة الشخصية. وتُبرز هذه المعالجة أهمية مراعاة الأبعاد النفسية والاجتماعية عند تصميم برامج تعزيز الاستيعاب، إذ إنّ الفنّي الذي يُعاني من إجهاد مزمن أو اختلال في التوازن الوظيفي يكون أقل قدرة على تخصيص الطاقة الذهنية والجهد اللازمين لاستيعاب تقنيات جديدة</w:t>
      </w:r>
      <w:r w:rsidRPr="001E1970">
        <w:rPr>
          <w:rFonts w:ascii="Sakkal Majalla" w:hAnsi="Sakkal Majalla" w:cs="Sakkal Majalla"/>
          <w:color w:val="000000" w:themeColor="text1"/>
          <w:sz w:val="28"/>
          <w:szCs w:val="28"/>
        </w:rPr>
        <w:t>.</w:t>
      </w:r>
    </w:p>
    <w:p w14:paraId="2C088ABD"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 xml:space="preserve">كما يتطلب التكيّف الثقافي تحوّلاً في النظرة إلى مشاريع التحديث من كونها عبئاً إضافياً يُثقل كاهل الفنيين إلى كونها فرصة للنمو المهني وتعزيز المكانة الوظيفية. ويتطلب هذا التحوّل جهوداً مؤسسية واعية تتضمن إبراز الدور المحوري للكوادر الفنية في نجاح مشاريع التحديث، وتوفير مسارات وظيفية واضحة </w:t>
      </w:r>
      <w:r w:rsidRPr="001E1970">
        <w:rPr>
          <w:rFonts w:ascii="Sakkal Majalla" w:hAnsi="Sakkal Majalla" w:cs="Sakkal Majalla"/>
          <w:color w:val="000000" w:themeColor="text1"/>
          <w:sz w:val="28"/>
          <w:szCs w:val="28"/>
          <w:rtl/>
        </w:rPr>
        <w:lastRenderedPageBreak/>
        <w:t>ترتبط بمستوى الكفاءة التقنية، وتكريم المتميزين في استيعاب التقنيات الجديدة وإبرازهم كنماذج يُحتذى بها</w:t>
      </w:r>
      <w:r w:rsidRPr="001E1970">
        <w:rPr>
          <w:rFonts w:ascii="Sakkal Majalla" w:hAnsi="Sakkal Majalla" w:cs="Sakkal Majalla"/>
          <w:color w:val="000000" w:themeColor="text1"/>
          <w:sz w:val="28"/>
          <w:szCs w:val="28"/>
        </w:rPr>
        <w:t>.</w:t>
      </w:r>
    </w:p>
    <w:p w14:paraId="5EBF3FF6" w14:textId="54454384" w:rsidR="00BB3751" w:rsidRPr="001E1970" w:rsidRDefault="00BB3751" w:rsidP="00DE23C6">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E1970">
        <w:rPr>
          <w:rFonts w:ascii="Sakkal Majalla" w:hAnsi="Sakkal Majalla" w:cs="Sakkal Majalla"/>
          <w:b/>
          <w:bCs/>
          <w:color w:val="000000" w:themeColor="text1"/>
          <w:sz w:val="28"/>
          <w:szCs w:val="28"/>
          <w:rtl/>
        </w:rPr>
        <w:t>متطلبات الرصد والتقييم المستمر</w:t>
      </w:r>
    </w:p>
    <w:p w14:paraId="6A05AF42"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لا يمكن تعزيز الاستيعاب دون وجود منظومة رصد وتقييم تُتابع تطور مستويات الاستيعاب بشكل دوري وتُحدد الفجوات والتحديات القائمة وتُوجّه التدخلات التصحيحية اللازمة. وتشمل هذه المنظومة أدوات تقييم متنوعة كالاختبارات المعرفية والتقييمات العملية ومؤشرات الأداء التشغيلي واستطلاعات رأي الكوادر الفنية والتقييم الذاتي. وقد استخدم</w:t>
      </w:r>
      <w:r w:rsidRPr="001E1970">
        <w:rPr>
          <w:rFonts w:ascii="Sakkal Majalla" w:hAnsi="Sakkal Majalla" w:cs="Sakkal Majalla"/>
          <w:color w:val="000000" w:themeColor="text1"/>
          <w:sz w:val="28"/>
          <w:szCs w:val="28"/>
        </w:rPr>
        <w:t xml:space="preserve"> Hossain et al. (2019) </w:t>
      </w:r>
      <w:r w:rsidRPr="001E1970">
        <w:rPr>
          <w:rFonts w:ascii="Sakkal Majalla" w:hAnsi="Sakkal Majalla" w:cs="Sakkal Majalla"/>
          <w:color w:val="000000" w:themeColor="text1"/>
          <w:sz w:val="28"/>
          <w:szCs w:val="28"/>
          <w:rtl/>
        </w:rPr>
        <w:t>مقاربة تقييمية متعددة الأبعاد لقياس مخرجات أداء المهندسين السريريين في إدارة تكنولوجيا المعدات الطبية، حيث جمعوا بين مؤشرات معرفية ومهارية وسلامتية لرصد مستوى الكفاءة الفنية بشكل شامل</w:t>
      </w:r>
      <w:r w:rsidRPr="001E1970">
        <w:rPr>
          <w:rFonts w:ascii="Sakkal Majalla" w:hAnsi="Sakkal Majalla" w:cs="Sakkal Majalla"/>
          <w:color w:val="000000" w:themeColor="text1"/>
          <w:sz w:val="28"/>
          <w:szCs w:val="28"/>
        </w:rPr>
        <w:t xml:space="preserve">. </w:t>
      </w:r>
      <w:r w:rsidRPr="001E1970">
        <w:rPr>
          <w:rFonts w:ascii="Sakkal Majalla" w:hAnsi="Sakkal Majalla" w:cs="Sakkal Majalla"/>
          <w:color w:val="000000" w:themeColor="text1"/>
          <w:sz w:val="28"/>
          <w:szCs w:val="28"/>
          <w:rtl/>
        </w:rPr>
        <w:t>وتستفيد الدراسة الحالية من هذه المقاربة في تصميم إطار للرصد والتقييم يُمكن من خلاله متابعة معدلات الاستيعاب وتحديد نقاط القوة والضعف</w:t>
      </w:r>
      <w:r w:rsidRPr="001E1970">
        <w:rPr>
          <w:rFonts w:ascii="Sakkal Majalla" w:hAnsi="Sakkal Majalla" w:cs="Sakkal Majalla"/>
          <w:color w:val="000000" w:themeColor="text1"/>
          <w:sz w:val="28"/>
          <w:szCs w:val="28"/>
        </w:rPr>
        <w:t>.</w:t>
      </w:r>
    </w:p>
    <w:p w14:paraId="77217095" w14:textId="77777777" w:rsidR="00BB3751" w:rsidRPr="001E1970" w:rsidRDefault="00BB3751" w:rsidP="00DE23C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E1970">
        <w:rPr>
          <w:rFonts w:ascii="Sakkal Majalla" w:hAnsi="Sakkal Majalla" w:cs="Sakkal Majalla"/>
          <w:color w:val="000000" w:themeColor="text1"/>
          <w:sz w:val="28"/>
          <w:szCs w:val="28"/>
          <w:rtl/>
        </w:rPr>
        <w:t>ومن الأهمية بمكان أن يكون التقييم مستمراً لا مرحلياً، بمعنى أن لا يقتصر على فترة ما بعد التدريب الأوّلي بل يمتد ليشمل مراحل التشغيل الفعلي على المدى المتوسط والبعيد، وذلك للتحقق من استدامة الاستيعاب وعدم تآكله مع مرور الوقت أو مع تراكم التحديثات التقنية المتلاحقة</w:t>
      </w:r>
      <w:r w:rsidRPr="001E1970">
        <w:rPr>
          <w:rFonts w:ascii="Sakkal Majalla" w:hAnsi="Sakkal Majalla" w:cs="Sakkal Majalla"/>
          <w:color w:val="000000" w:themeColor="text1"/>
          <w:sz w:val="28"/>
          <w:szCs w:val="28"/>
        </w:rPr>
        <w:t>.</w:t>
      </w:r>
    </w:p>
    <w:p w14:paraId="36310AE5" w14:textId="5BA21981" w:rsidR="001E1970" w:rsidRPr="001E1970" w:rsidRDefault="00DE23C6" w:rsidP="00093144">
      <w:pPr>
        <w:spacing w:before="100" w:beforeAutospacing="1" w:after="100" w:afterAutospacing="1"/>
        <w:jc w:val="center"/>
        <w:outlineLvl w:val="0"/>
        <w:rPr>
          <w:rFonts w:cs="Sakkal Majalla"/>
          <w:b/>
          <w:bCs/>
          <w:color w:val="000000" w:themeColor="text1"/>
          <w:sz w:val="24"/>
          <w:szCs w:val="32"/>
          <w:rtl/>
        </w:rPr>
        <w:sectPr w:rsidR="001E1970" w:rsidRPr="001E1970" w:rsidSect="00383BBF">
          <w:footerReference w:type="default" r:id="rId10"/>
          <w:pgSz w:w="11906" w:h="16838" w:code="9"/>
          <w:pgMar w:top="1440" w:right="1985" w:bottom="1440" w:left="1418" w:header="720" w:footer="720" w:gutter="567"/>
          <w:pgNumType w:start="1"/>
          <w:cols w:space="708"/>
          <w:bidi/>
          <w:rtlGutter/>
          <w:docGrid w:linePitch="360"/>
        </w:sectPr>
      </w:pPr>
      <w:r w:rsidRPr="001E1970">
        <w:rPr>
          <w:rFonts w:ascii="Sakkal Majalla" w:hAnsi="Sakkal Majalla" w:cs="Sakkal Majalla"/>
          <w:b/>
          <w:bCs/>
          <w:color w:val="000000" w:themeColor="text1"/>
          <w:sz w:val="40"/>
          <w:szCs w:val="40"/>
          <w:rtl/>
        </w:rPr>
        <w:br w:type="page"/>
      </w:r>
      <w:bookmarkStart w:id="56" w:name="_GoBack"/>
      <w:bookmarkEnd w:id="56"/>
    </w:p>
    <w:p w14:paraId="29D4231B" w14:textId="12A9E691" w:rsidR="0081623B" w:rsidRPr="001E1970" w:rsidRDefault="0081623B" w:rsidP="00383BB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E1970">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04753925">
            <wp:simplePos x="0" y="0"/>
            <wp:positionH relativeFrom="column">
              <wp:posOffset>3066415</wp:posOffset>
            </wp:positionH>
            <wp:positionV relativeFrom="paragraph">
              <wp:posOffset>0</wp:posOffset>
            </wp:positionV>
            <wp:extent cx="1669415" cy="1546860"/>
            <wp:effectExtent l="0" t="0" r="6985" b="0"/>
            <wp:wrapTight wrapText="bothSides">
              <wp:wrapPolygon edited="0">
                <wp:start x="0" y="0"/>
                <wp:lineTo x="0" y="21281"/>
                <wp:lineTo x="21444" y="21281"/>
                <wp:lineTo x="2144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9415" cy="1546860"/>
                    </a:xfrm>
                    <a:prstGeom prst="rect">
                      <a:avLst/>
                    </a:prstGeom>
                    <a:noFill/>
                  </pic:spPr>
                </pic:pic>
              </a:graphicData>
            </a:graphic>
            <wp14:sizeRelH relativeFrom="margin">
              <wp14:pctWidth>0</wp14:pctWidth>
            </wp14:sizeRelH>
            <wp14:sizeRelV relativeFrom="margin">
              <wp14:pctHeight>0</wp14:pctHeight>
            </wp14:sizeRelV>
          </wp:anchor>
        </w:drawing>
      </w:r>
      <w:r w:rsidRPr="001E1970">
        <w:rPr>
          <w:rFonts w:ascii="Sakkal Majalla" w:eastAsia="Calibri" w:hAnsi="Sakkal Majalla" w:cs="Sakkal Majalla"/>
          <w:b/>
          <w:bCs/>
          <w:color w:val="000000" w:themeColor="text1"/>
          <w:kern w:val="0"/>
          <w:sz w:val="32"/>
          <w:szCs w:val="32"/>
          <w:lang w:bidi="ar-EG"/>
          <w14:ligatures w14:val="none"/>
        </w:rPr>
        <w:t>Mid</w:t>
      </w:r>
      <w:r w:rsidR="000D353F" w:rsidRPr="001E1970">
        <w:rPr>
          <w:rFonts w:ascii="Sakkal Majalla" w:eastAsia="Calibri" w:hAnsi="Sakkal Majalla" w:cs="Sakkal Majalla"/>
          <w:b/>
          <w:bCs/>
          <w:color w:val="000000" w:themeColor="text1"/>
          <w:kern w:val="0"/>
          <w:sz w:val="32"/>
          <w:szCs w:val="32"/>
          <w:lang w:bidi="ar-EG"/>
          <w14:ligatures w14:val="none"/>
        </w:rPr>
        <w:t xml:space="preserve"> </w:t>
      </w:r>
      <w:r w:rsidRPr="001E1970">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1E1970" w:rsidRDefault="0081623B" w:rsidP="00383BB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E1970">
        <w:rPr>
          <w:rFonts w:ascii="Sakkal Majalla" w:eastAsia="Calibri" w:hAnsi="Sakkal Majalla" w:cs="Sakkal Majalla"/>
          <w:b/>
          <w:bCs/>
          <w:color w:val="000000" w:themeColor="text1"/>
          <w:kern w:val="0"/>
          <w:sz w:val="32"/>
          <w:szCs w:val="32"/>
          <w:lang w:bidi="ar-EG"/>
          <w14:ligatures w14:val="none"/>
        </w:rPr>
        <w:t>College of Management</w:t>
      </w:r>
    </w:p>
    <w:p w14:paraId="17372067" w14:textId="201DE83B" w:rsidR="00534DA5" w:rsidRPr="001E1970" w:rsidRDefault="00295BBE" w:rsidP="001E197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1E1970">
        <w:rPr>
          <w:rFonts w:ascii="Sakkal Majalla" w:eastAsia="Calibri" w:hAnsi="Sakkal Majalla" w:cs="Sakkal Majalla"/>
          <w:b/>
          <w:bCs/>
          <w:color w:val="000000" w:themeColor="text1"/>
          <w:kern w:val="0"/>
          <w:sz w:val="32"/>
          <w:szCs w:val="32"/>
          <w:lang w:bidi="ar-EG"/>
          <w14:ligatures w14:val="none"/>
        </w:rPr>
        <w:t xml:space="preserve">Master of </w:t>
      </w:r>
      <w:r w:rsidR="00B5323C" w:rsidRPr="001E1970">
        <w:rPr>
          <w:rFonts w:ascii="Sakkal Majalla" w:eastAsia="Calibri" w:hAnsi="Sakkal Majalla" w:cs="Sakkal Majalla"/>
          <w:b/>
          <w:bCs/>
          <w:color w:val="000000" w:themeColor="text1"/>
          <w:kern w:val="0"/>
          <w:sz w:val="32"/>
          <w:szCs w:val="32"/>
          <w14:ligatures w14:val="none"/>
        </w:rPr>
        <w:t xml:space="preserve">project management </w:t>
      </w:r>
    </w:p>
    <w:p w14:paraId="5FDAB238" w14:textId="6982B78E" w:rsidR="008C258E" w:rsidRPr="001E1970" w:rsidRDefault="008C258E" w:rsidP="001E1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E1970">
        <w:rPr>
          <w:rFonts w:ascii="Sakkal Majalla" w:eastAsia="Calibri" w:hAnsi="Sakkal Majalla" w:cs="Sakkal Majalla"/>
          <w:b/>
          <w:bCs/>
          <w:color w:val="000000" w:themeColor="text1"/>
          <w:kern w:val="0"/>
          <w:sz w:val="40"/>
          <w:szCs w:val="40"/>
          <w:lang w:bidi="ar-EG"/>
          <w14:ligatures w14:val="none"/>
        </w:rPr>
        <w:t>The Impact of Change Management on Medical Equipment Modernization Projects on the Absor</w:t>
      </w:r>
      <w:r w:rsidR="001E1970" w:rsidRPr="001E1970">
        <w:rPr>
          <w:rFonts w:ascii="Sakkal Majalla" w:eastAsia="Calibri" w:hAnsi="Sakkal Majalla" w:cs="Sakkal Majalla"/>
          <w:b/>
          <w:bCs/>
          <w:color w:val="000000" w:themeColor="text1"/>
          <w:kern w:val="0"/>
          <w:sz w:val="40"/>
          <w:szCs w:val="40"/>
          <w:lang w:bidi="ar-EG"/>
          <w14:ligatures w14:val="none"/>
        </w:rPr>
        <w:t>ption Rates of Technical Staff:</w:t>
      </w:r>
      <w:r w:rsidR="001E1970" w:rsidRPr="001E1970">
        <w:rPr>
          <w:rFonts w:ascii="Sakkal Majalla" w:eastAsia="Calibri" w:hAnsi="Sakkal Majalla" w:cs="Sakkal Majalla" w:hint="cs"/>
          <w:b/>
          <w:bCs/>
          <w:color w:val="000000" w:themeColor="text1"/>
          <w:kern w:val="0"/>
          <w:sz w:val="40"/>
          <w:szCs w:val="40"/>
          <w:rtl/>
          <w:lang w:bidi="ar-EG"/>
          <w14:ligatures w14:val="none"/>
        </w:rPr>
        <w:t xml:space="preserve"> </w:t>
      </w:r>
      <w:r w:rsidRPr="001E1970">
        <w:rPr>
          <w:rFonts w:ascii="Sakkal Majalla" w:eastAsia="Calibri" w:hAnsi="Sakkal Majalla" w:cs="Sakkal Majalla"/>
          <w:b/>
          <w:bCs/>
          <w:color w:val="000000" w:themeColor="text1"/>
          <w:kern w:val="0"/>
          <w:sz w:val="40"/>
          <w:szCs w:val="40"/>
          <w:lang w:bidi="ar-EG"/>
          <w14:ligatures w14:val="none"/>
        </w:rPr>
        <w:t>A Field Study at Hafr Al-Batin Central Hospital</w:t>
      </w:r>
    </w:p>
    <w:p w14:paraId="24532F5F" w14:textId="0802623D" w:rsidR="000D353F" w:rsidRPr="001E1970" w:rsidRDefault="000D353F" w:rsidP="001E1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1970">
        <w:rPr>
          <w:rFonts w:ascii="Sakkal Majalla" w:eastAsia="Calibri" w:hAnsi="Sakkal Majalla" w:cs="Sakkal Majalla"/>
          <w:b/>
          <w:bCs/>
          <w:color w:val="000000" w:themeColor="text1"/>
          <w:kern w:val="0"/>
          <w:sz w:val="36"/>
          <w:szCs w:val="36"/>
          <w:lang w:bidi="ar-EG"/>
          <w14:ligatures w14:val="none"/>
        </w:rPr>
        <w:t>Prepared by:</w:t>
      </w:r>
    </w:p>
    <w:p w14:paraId="56B57389" w14:textId="77777777" w:rsidR="008C258E" w:rsidRPr="001E1970" w:rsidRDefault="008C258E" w:rsidP="001E19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E1970">
        <w:rPr>
          <w:rFonts w:ascii="Sakkal Majalla" w:eastAsia="Calibri" w:hAnsi="Sakkal Majalla" w:cs="Sakkal Majalla"/>
          <w:color w:val="000000" w:themeColor="text1"/>
          <w:kern w:val="0"/>
          <w:sz w:val="36"/>
          <w:szCs w:val="36"/>
          <w:lang w:bidi="ar-EG"/>
          <w14:ligatures w14:val="none"/>
        </w:rPr>
        <w:t>ALANAZI, AHMED QASEM M</w:t>
      </w:r>
    </w:p>
    <w:p w14:paraId="4A9157CC" w14:textId="0A1E3773" w:rsidR="00E4605D" w:rsidRPr="001E1970" w:rsidRDefault="008C258E" w:rsidP="001E19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E1970">
        <w:rPr>
          <w:rFonts w:ascii="Sakkal Majalla" w:eastAsia="Calibri" w:hAnsi="Sakkal Majalla" w:cs="Sakkal Majalla"/>
          <w:color w:val="000000" w:themeColor="text1"/>
          <w:kern w:val="0"/>
          <w:sz w:val="36"/>
          <w:szCs w:val="36"/>
          <w:lang w:bidi="ar-EG"/>
          <w14:ligatures w14:val="none"/>
        </w:rPr>
        <w:t>252001389</w:t>
      </w:r>
    </w:p>
    <w:p w14:paraId="11FA3077" w14:textId="59BC1BBB" w:rsidR="0081623B" w:rsidRPr="001E1970" w:rsidRDefault="0081623B" w:rsidP="001E1970">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E1970">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1E1970" w:rsidRDefault="00BA5817" w:rsidP="001E19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E1970">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1E1970" w:rsidRDefault="000A06E6" w:rsidP="001E197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E1970">
        <w:rPr>
          <w:rFonts w:ascii="Sakkal Majalla" w:eastAsia="Calibri" w:hAnsi="Sakkal Majalla" w:cs="Sakkal Majalla"/>
          <w:color w:val="000000" w:themeColor="text1"/>
          <w:kern w:val="0"/>
          <w:sz w:val="36"/>
          <w:szCs w:val="36"/>
          <w:lang w:bidi="ar-EG"/>
          <w14:ligatures w14:val="none"/>
        </w:rPr>
        <w:t>Dr. Fayez Jarad</w:t>
      </w:r>
    </w:p>
    <w:p w14:paraId="6E52896B" w14:textId="7B9C4710" w:rsidR="009125CE" w:rsidRPr="001E1970" w:rsidRDefault="001E1970" w:rsidP="001E1970">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1E1970">
        <w:rPr>
          <w:rFonts w:ascii="Sakkal Majalla" w:eastAsia="Calibri" w:hAnsi="Sakkal Majalla" w:cs="Sakkal Majalla" w:hint="cs"/>
          <w:color w:val="000000" w:themeColor="text1"/>
          <w:kern w:val="0"/>
          <w:sz w:val="36"/>
          <w:szCs w:val="36"/>
          <w:rtl/>
          <w:lang w:bidi="ar-EG"/>
          <w14:ligatures w14:val="none"/>
        </w:rPr>
        <w:t xml:space="preserve">1447 </w:t>
      </w:r>
      <w:r w:rsidRPr="001E1970">
        <w:rPr>
          <w:rFonts w:ascii="Sakkal Majalla" w:eastAsia="Calibri" w:hAnsi="Sakkal Majalla" w:cs="Sakkal Majalla"/>
          <w:color w:val="000000" w:themeColor="text1"/>
          <w:kern w:val="0"/>
          <w:sz w:val="36"/>
          <w:szCs w:val="36"/>
          <w:rtl/>
          <w:lang w:bidi="ar-EG"/>
          <w14:ligatures w14:val="none"/>
        </w:rPr>
        <w:t>–</w:t>
      </w:r>
      <w:r w:rsidRPr="001E1970">
        <w:rPr>
          <w:rFonts w:ascii="Sakkal Majalla" w:eastAsia="Calibri" w:hAnsi="Sakkal Majalla" w:cs="Sakkal Majalla" w:hint="cs"/>
          <w:color w:val="000000" w:themeColor="text1"/>
          <w:kern w:val="0"/>
          <w:sz w:val="36"/>
          <w:szCs w:val="36"/>
          <w:rtl/>
          <w:lang w:bidi="ar-EG"/>
          <w14:ligatures w14:val="none"/>
        </w:rPr>
        <w:t xml:space="preserve"> 2026</w:t>
      </w:r>
    </w:p>
    <w:p w14:paraId="765AD0FB" w14:textId="77777777" w:rsidR="001E1970" w:rsidRPr="001E1970" w:rsidRDefault="001E1970">
      <w:pPr>
        <w:bidi w:val="0"/>
        <w:spacing w:before="100" w:beforeAutospacing="1" w:after="100" w:afterAutospacing="1" w:line="360" w:lineRule="auto"/>
        <w:jc w:val="center"/>
        <w:rPr>
          <w:rFonts w:ascii="Sakkal Majalla" w:hAnsi="Sakkal Majalla" w:cs="Sakkal Majalla"/>
          <w:color w:val="000000" w:themeColor="text1"/>
          <w:sz w:val="36"/>
          <w:szCs w:val="36"/>
          <w:u w:val="single"/>
        </w:rPr>
      </w:pPr>
    </w:p>
    <w:sectPr w:rsidR="001E1970" w:rsidRPr="001E1970" w:rsidSect="00383BBF">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AB781" w14:textId="77777777" w:rsidR="00716D30" w:rsidRDefault="00716D30" w:rsidP="009125CE">
      <w:pPr>
        <w:spacing w:after="0" w:line="240" w:lineRule="auto"/>
      </w:pPr>
      <w:r>
        <w:separator/>
      </w:r>
    </w:p>
  </w:endnote>
  <w:endnote w:type="continuationSeparator" w:id="0">
    <w:p w14:paraId="7B6F5FA7" w14:textId="77777777" w:rsidR="00716D30" w:rsidRDefault="00716D3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auto"/>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4563934"/>
      <w:docPartObj>
        <w:docPartGallery w:val="Page Numbers (Bottom of Page)"/>
        <w:docPartUnique/>
      </w:docPartObj>
    </w:sdtPr>
    <w:sdtEndPr>
      <w:rPr>
        <w:rFonts w:ascii="Sakkal Majalla" w:hAnsi="Sakkal Majalla" w:cs="Sakkal Majalla"/>
        <w:b/>
        <w:bCs/>
        <w:noProof/>
        <w:sz w:val="24"/>
        <w:szCs w:val="24"/>
      </w:rPr>
    </w:sdtEndPr>
    <w:sdtContent>
      <w:p w14:paraId="08828B50" w14:textId="61589C47" w:rsidR="002E323A" w:rsidRDefault="002E323A">
        <w:pPr>
          <w:pStyle w:val="Footer"/>
          <w:jc w:val="center"/>
        </w:pPr>
      </w:p>
      <w:p w14:paraId="13047AE1" w14:textId="3B670CE5" w:rsidR="002E323A" w:rsidRPr="00383BBF" w:rsidRDefault="002E323A" w:rsidP="00383BBF">
        <w:pPr>
          <w:pStyle w:val="Footer"/>
          <w:jc w:val="center"/>
          <w:rPr>
            <w:rFonts w:ascii="Sakkal Majalla" w:hAnsi="Sakkal Majalla" w:cs="Sakkal Majalla"/>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81823126"/>
      <w:docPartObj>
        <w:docPartGallery w:val="Page Numbers (Bottom of Page)"/>
        <w:docPartUnique/>
      </w:docPartObj>
    </w:sdtPr>
    <w:sdtEndPr>
      <w:rPr>
        <w:rFonts w:ascii="Sakkal Majalla" w:hAnsi="Sakkal Majalla" w:cs="Sakkal Majalla"/>
        <w:b/>
        <w:bCs/>
        <w:noProof/>
        <w:sz w:val="24"/>
        <w:szCs w:val="24"/>
      </w:rPr>
    </w:sdtEndPr>
    <w:sdtContent>
      <w:p w14:paraId="4A4B195E" w14:textId="77777777" w:rsidR="002E323A" w:rsidRDefault="002E323A">
        <w:pPr>
          <w:pStyle w:val="Footer"/>
          <w:jc w:val="center"/>
        </w:pPr>
        <w:r>
          <w:rPr>
            <w:noProof/>
          </w:rPr>
          <mc:AlternateContent>
            <mc:Choice Requires="wps">
              <w:drawing>
                <wp:inline distT="0" distB="0" distL="0" distR="0" wp14:anchorId="636DB239" wp14:editId="025B25B4">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7300823"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E1915FF" w14:textId="77777777" w:rsidR="002E323A" w:rsidRPr="00383BBF" w:rsidRDefault="002E323A" w:rsidP="00383BBF">
        <w:pPr>
          <w:pStyle w:val="Footer"/>
          <w:jc w:val="center"/>
          <w:rPr>
            <w:rFonts w:ascii="Sakkal Majalla" w:hAnsi="Sakkal Majalla" w:cs="Sakkal Majalla"/>
            <w:b/>
            <w:bCs/>
            <w:sz w:val="24"/>
            <w:szCs w:val="24"/>
          </w:rPr>
        </w:pPr>
        <w:r w:rsidRPr="00383BBF">
          <w:rPr>
            <w:rFonts w:ascii="Sakkal Majalla" w:hAnsi="Sakkal Majalla" w:cs="Sakkal Majalla"/>
            <w:b/>
            <w:bCs/>
            <w:sz w:val="24"/>
            <w:szCs w:val="24"/>
          </w:rPr>
          <w:fldChar w:fldCharType="begin"/>
        </w:r>
        <w:r w:rsidRPr="00383BBF">
          <w:rPr>
            <w:rFonts w:ascii="Sakkal Majalla" w:hAnsi="Sakkal Majalla" w:cs="Sakkal Majalla"/>
            <w:b/>
            <w:bCs/>
            <w:sz w:val="24"/>
            <w:szCs w:val="24"/>
          </w:rPr>
          <w:instrText xml:space="preserve"> PAGE    \* MERGEFORMAT </w:instrText>
        </w:r>
        <w:r w:rsidRPr="00383BBF">
          <w:rPr>
            <w:rFonts w:ascii="Sakkal Majalla" w:hAnsi="Sakkal Majalla" w:cs="Sakkal Majalla"/>
            <w:b/>
            <w:bCs/>
            <w:sz w:val="24"/>
            <w:szCs w:val="24"/>
          </w:rPr>
          <w:fldChar w:fldCharType="separate"/>
        </w:r>
        <w:r w:rsidR="00093144">
          <w:rPr>
            <w:rFonts w:ascii="Sakkal Majalla" w:hAnsi="Sakkal Majalla" w:cs="Sakkal Majalla"/>
            <w:b/>
            <w:bCs/>
            <w:noProof/>
            <w:sz w:val="24"/>
            <w:szCs w:val="24"/>
            <w:rtl/>
          </w:rPr>
          <w:t>48</w:t>
        </w:r>
        <w:r w:rsidRPr="00383BBF">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018532736"/>
      <w:docPartObj>
        <w:docPartGallery w:val="Page Numbers (Bottom of Page)"/>
        <w:docPartUnique/>
      </w:docPartObj>
    </w:sdtPr>
    <w:sdtEndPr>
      <w:rPr>
        <w:rFonts w:ascii="Sakkal Majalla" w:hAnsi="Sakkal Majalla" w:cs="Sakkal Majalla"/>
        <w:b/>
        <w:bCs/>
        <w:noProof/>
        <w:sz w:val="24"/>
        <w:szCs w:val="24"/>
      </w:rPr>
    </w:sdtEndPr>
    <w:sdtContent>
      <w:p w14:paraId="2F14C44E" w14:textId="63FFAB7E" w:rsidR="001E1970" w:rsidRDefault="001E1970">
        <w:pPr>
          <w:pStyle w:val="Footer"/>
          <w:jc w:val="center"/>
        </w:pPr>
      </w:p>
      <w:p w14:paraId="4ABBBE8D" w14:textId="12E1BF54" w:rsidR="001E1970" w:rsidRPr="00383BBF" w:rsidRDefault="001E1970" w:rsidP="00383BBF">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008DE9" w14:textId="77777777" w:rsidR="00716D30" w:rsidRDefault="00716D30" w:rsidP="009125CE">
      <w:pPr>
        <w:spacing w:after="0" w:line="240" w:lineRule="auto"/>
      </w:pPr>
      <w:r>
        <w:separator/>
      </w:r>
    </w:p>
  </w:footnote>
  <w:footnote w:type="continuationSeparator" w:id="0">
    <w:p w14:paraId="4DCBDEB8" w14:textId="77777777" w:rsidR="00716D30" w:rsidRDefault="00716D30"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5E6B58"/>
    <w:multiLevelType w:val="multilevel"/>
    <w:tmpl w:val="9816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5321E"/>
    <w:multiLevelType w:val="multilevel"/>
    <w:tmpl w:val="A9268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0434C8"/>
    <w:multiLevelType w:val="multilevel"/>
    <w:tmpl w:val="406CD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2B3C7D"/>
    <w:multiLevelType w:val="multilevel"/>
    <w:tmpl w:val="8E26E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B6C6E60"/>
    <w:multiLevelType w:val="multilevel"/>
    <w:tmpl w:val="7436A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951522"/>
    <w:multiLevelType w:val="hybridMultilevel"/>
    <w:tmpl w:val="00762F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9B0A27"/>
    <w:multiLevelType w:val="multilevel"/>
    <w:tmpl w:val="3FEA7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C74825"/>
    <w:multiLevelType w:val="hybridMultilevel"/>
    <w:tmpl w:val="A1442AD0"/>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D990015"/>
    <w:multiLevelType w:val="hybridMultilevel"/>
    <w:tmpl w:val="9CC6B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9E5652"/>
    <w:multiLevelType w:val="multilevel"/>
    <w:tmpl w:val="9CE8D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914011D"/>
    <w:multiLevelType w:val="multilevel"/>
    <w:tmpl w:val="E42E7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D6A3BD0"/>
    <w:multiLevelType w:val="multilevel"/>
    <w:tmpl w:val="C918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4F2ED0"/>
    <w:multiLevelType w:val="hybridMultilevel"/>
    <w:tmpl w:val="A7E489CA"/>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37C275B"/>
    <w:multiLevelType w:val="hybridMultilevel"/>
    <w:tmpl w:val="A674288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DD2748"/>
    <w:multiLevelType w:val="hybridMultilevel"/>
    <w:tmpl w:val="45121D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4E70D7E"/>
    <w:multiLevelType w:val="hybridMultilevel"/>
    <w:tmpl w:val="F2B2269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E79457D"/>
    <w:multiLevelType w:val="hybridMultilevel"/>
    <w:tmpl w:val="4118B9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A17C1C"/>
    <w:multiLevelType w:val="multilevel"/>
    <w:tmpl w:val="480A2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9E458F1"/>
    <w:multiLevelType w:val="hybridMultilevel"/>
    <w:tmpl w:val="A3B860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04731D"/>
    <w:multiLevelType w:val="multilevel"/>
    <w:tmpl w:val="E4089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A213480"/>
    <w:multiLevelType w:val="multilevel"/>
    <w:tmpl w:val="A2CE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887EF3"/>
    <w:multiLevelType w:val="multilevel"/>
    <w:tmpl w:val="E8E6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E4760C2"/>
    <w:multiLevelType w:val="hybridMultilevel"/>
    <w:tmpl w:val="7E5862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30C5ED1"/>
    <w:multiLevelType w:val="hybridMultilevel"/>
    <w:tmpl w:val="A798E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FED7B3B"/>
    <w:multiLevelType w:val="multilevel"/>
    <w:tmpl w:val="93827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4"/>
  </w:num>
  <w:num w:numId="3">
    <w:abstractNumId w:val="11"/>
  </w:num>
  <w:num w:numId="4">
    <w:abstractNumId w:val="21"/>
  </w:num>
  <w:num w:numId="5">
    <w:abstractNumId w:val="12"/>
  </w:num>
  <w:num w:numId="6">
    <w:abstractNumId w:val="10"/>
  </w:num>
  <w:num w:numId="7">
    <w:abstractNumId w:val="27"/>
  </w:num>
  <w:num w:numId="8">
    <w:abstractNumId w:val="6"/>
  </w:num>
  <w:num w:numId="9">
    <w:abstractNumId w:val="19"/>
  </w:num>
  <w:num w:numId="10">
    <w:abstractNumId w:val="2"/>
  </w:num>
  <w:num w:numId="11">
    <w:abstractNumId w:val="24"/>
  </w:num>
  <w:num w:numId="12">
    <w:abstractNumId w:val="1"/>
  </w:num>
  <w:num w:numId="13">
    <w:abstractNumId w:val="0"/>
  </w:num>
  <w:num w:numId="14">
    <w:abstractNumId w:val="3"/>
  </w:num>
  <w:num w:numId="15">
    <w:abstractNumId w:val="13"/>
  </w:num>
  <w:num w:numId="16">
    <w:abstractNumId w:val="23"/>
  </w:num>
  <w:num w:numId="17">
    <w:abstractNumId w:val="20"/>
  </w:num>
  <w:num w:numId="18">
    <w:abstractNumId w:val="7"/>
  </w:num>
  <w:num w:numId="19">
    <w:abstractNumId w:val="17"/>
  </w:num>
  <w:num w:numId="20">
    <w:abstractNumId w:val="16"/>
  </w:num>
  <w:num w:numId="21">
    <w:abstractNumId w:val="25"/>
  </w:num>
  <w:num w:numId="22">
    <w:abstractNumId w:val="5"/>
  </w:num>
  <w:num w:numId="23">
    <w:abstractNumId w:val="18"/>
  </w:num>
  <w:num w:numId="24">
    <w:abstractNumId w:val="15"/>
  </w:num>
  <w:num w:numId="25">
    <w:abstractNumId w:val="14"/>
  </w:num>
  <w:num w:numId="26">
    <w:abstractNumId w:val="26"/>
  </w:num>
  <w:num w:numId="27">
    <w:abstractNumId w:val="8"/>
  </w:num>
  <w:num w:numId="28">
    <w:abstractNumId w:val="2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06607"/>
    <w:rsid w:val="00011F23"/>
    <w:rsid w:val="000125CD"/>
    <w:rsid w:val="00012629"/>
    <w:rsid w:val="000146E6"/>
    <w:rsid w:val="00017410"/>
    <w:rsid w:val="00017820"/>
    <w:rsid w:val="000204A8"/>
    <w:rsid w:val="00020F7B"/>
    <w:rsid w:val="00022B3A"/>
    <w:rsid w:val="000318AB"/>
    <w:rsid w:val="00041AA9"/>
    <w:rsid w:val="0004554E"/>
    <w:rsid w:val="00052AB0"/>
    <w:rsid w:val="00053122"/>
    <w:rsid w:val="000543EF"/>
    <w:rsid w:val="000602CA"/>
    <w:rsid w:val="000610C9"/>
    <w:rsid w:val="00061FA2"/>
    <w:rsid w:val="00062D0A"/>
    <w:rsid w:val="00064FF1"/>
    <w:rsid w:val="00065595"/>
    <w:rsid w:val="00067938"/>
    <w:rsid w:val="000727F8"/>
    <w:rsid w:val="0007370A"/>
    <w:rsid w:val="000769E1"/>
    <w:rsid w:val="000842EB"/>
    <w:rsid w:val="00086A13"/>
    <w:rsid w:val="00091D00"/>
    <w:rsid w:val="00093144"/>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2F0"/>
    <w:rsid w:val="000F44B4"/>
    <w:rsid w:val="000F7802"/>
    <w:rsid w:val="00110487"/>
    <w:rsid w:val="0011209C"/>
    <w:rsid w:val="0011321B"/>
    <w:rsid w:val="0012342D"/>
    <w:rsid w:val="00125FC8"/>
    <w:rsid w:val="00130029"/>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2CA4"/>
    <w:rsid w:val="001840E8"/>
    <w:rsid w:val="001856D4"/>
    <w:rsid w:val="001867D0"/>
    <w:rsid w:val="00186C33"/>
    <w:rsid w:val="001902DB"/>
    <w:rsid w:val="0019163E"/>
    <w:rsid w:val="00192C49"/>
    <w:rsid w:val="00194472"/>
    <w:rsid w:val="001962D1"/>
    <w:rsid w:val="00197155"/>
    <w:rsid w:val="001A1039"/>
    <w:rsid w:val="001A1758"/>
    <w:rsid w:val="001A41B9"/>
    <w:rsid w:val="001A5094"/>
    <w:rsid w:val="001B0A36"/>
    <w:rsid w:val="001B0D06"/>
    <w:rsid w:val="001B6D18"/>
    <w:rsid w:val="001B7151"/>
    <w:rsid w:val="001C2162"/>
    <w:rsid w:val="001C42F9"/>
    <w:rsid w:val="001D4406"/>
    <w:rsid w:val="001D5ED4"/>
    <w:rsid w:val="001E1970"/>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65F66"/>
    <w:rsid w:val="00270FB5"/>
    <w:rsid w:val="00270FB7"/>
    <w:rsid w:val="002740A5"/>
    <w:rsid w:val="00274BDE"/>
    <w:rsid w:val="002766BC"/>
    <w:rsid w:val="00280068"/>
    <w:rsid w:val="00281A27"/>
    <w:rsid w:val="002828EF"/>
    <w:rsid w:val="00286958"/>
    <w:rsid w:val="00291DA4"/>
    <w:rsid w:val="00295BBE"/>
    <w:rsid w:val="0029680E"/>
    <w:rsid w:val="002A32D6"/>
    <w:rsid w:val="002A365A"/>
    <w:rsid w:val="002A471C"/>
    <w:rsid w:val="002A62F6"/>
    <w:rsid w:val="002A76B5"/>
    <w:rsid w:val="002B1274"/>
    <w:rsid w:val="002B38F6"/>
    <w:rsid w:val="002C205F"/>
    <w:rsid w:val="002C21BB"/>
    <w:rsid w:val="002C4369"/>
    <w:rsid w:val="002C5EE0"/>
    <w:rsid w:val="002D0190"/>
    <w:rsid w:val="002D30A7"/>
    <w:rsid w:val="002D3120"/>
    <w:rsid w:val="002D5C0C"/>
    <w:rsid w:val="002E323A"/>
    <w:rsid w:val="002E3257"/>
    <w:rsid w:val="002E36BC"/>
    <w:rsid w:val="002E4629"/>
    <w:rsid w:val="002F5FA3"/>
    <w:rsid w:val="002F6D22"/>
    <w:rsid w:val="00301731"/>
    <w:rsid w:val="00302B85"/>
    <w:rsid w:val="00303658"/>
    <w:rsid w:val="00303BF8"/>
    <w:rsid w:val="00304304"/>
    <w:rsid w:val="00307336"/>
    <w:rsid w:val="0031075C"/>
    <w:rsid w:val="00310B47"/>
    <w:rsid w:val="00311651"/>
    <w:rsid w:val="00314CCC"/>
    <w:rsid w:val="003227DA"/>
    <w:rsid w:val="00323FD3"/>
    <w:rsid w:val="00326DE3"/>
    <w:rsid w:val="003324D3"/>
    <w:rsid w:val="00333A26"/>
    <w:rsid w:val="0033775D"/>
    <w:rsid w:val="00341565"/>
    <w:rsid w:val="0034173E"/>
    <w:rsid w:val="00341900"/>
    <w:rsid w:val="003422F3"/>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1CDE"/>
    <w:rsid w:val="003832FC"/>
    <w:rsid w:val="0038357B"/>
    <w:rsid w:val="00383BBF"/>
    <w:rsid w:val="00384D34"/>
    <w:rsid w:val="003873E8"/>
    <w:rsid w:val="00396510"/>
    <w:rsid w:val="003A5136"/>
    <w:rsid w:val="003A5312"/>
    <w:rsid w:val="003A7003"/>
    <w:rsid w:val="003A757C"/>
    <w:rsid w:val="003B30A9"/>
    <w:rsid w:val="003B48BD"/>
    <w:rsid w:val="003B51C3"/>
    <w:rsid w:val="003B6375"/>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0068"/>
    <w:rsid w:val="00433FD4"/>
    <w:rsid w:val="0043649D"/>
    <w:rsid w:val="00445231"/>
    <w:rsid w:val="00446D28"/>
    <w:rsid w:val="00446ED1"/>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91EAB"/>
    <w:rsid w:val="004A035D"/>
    <w:rsid w:val="004A1755"/>
    <w:rsid w:val="004B1EF3"/>
    <w:rsid w:val="004B352F"/>
    <w:rsid w:val="004C0303"/>
    <w:rsid w:val="004C2D78"/>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A75BC"/>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34E3F"/>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95C"/>
    <w:rsid w:val="00706E7F"/>
    <w:rsid w:val="0071504C"/>
    <w:rsid w:val="00716D30"/>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D7862"/>
    <w:rsid w:val="007E0AD8"/>
    <w:rsid w:val="007E1EBB"/>
    <w:rsid w:val="007E3A20"/>
    <w:rsid w:val="007E6564"/>
    <w:rsid w:val="007E751F"/>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64E6"/>
    <w:rsid w:val="008269EC"/>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258E"/>
    <w:rsid w:val="008C300E"/>
    <w:rsid w:val="008C42C1"/>
    <w:rsid w:val="008C4A35"/>
    <w:rsid w:val="008C7BB4"/>
    <w:rsid w:val="008D0A7D"/>
    <w:rsid w:val="008D15AF"/>
    <w:rsid w:val="008D1829"/>
    <w:rsid w:val="008E17AD"/>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658B1"/>
    <w:rsid w:val="00970F41"/>
    <w:rsid w:val="0097383F"/>
    <w:rsid w:val="009760DA"/>
    <w:rsid w:val="00976DC2"/>
    <w:rsid w:val="00977427"/>
    <w:rsid w:val="00980234"/>
    <w:rsid w:val="00985B71"/>
    <w:rsid w:val="0098768E"/>
    <w:rsid w:val="00991C7F"/>
    <w:rsid w:val="00991D78"/>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4C6A"/>
    <w:rsid w:val="00A65AA5"/>
    <w:rsid w:val="00A66EEA"/>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23C"/>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1A04"/>
    <w:rsid w:val="00BA3D6A"/>
    <w:rsid w:val="00BA5817"/>
    <w:rsid w:val="00BB1144"/>
    <w:rsid w:val="00BB3514"/>
    <w:rsid w:val="00BB3735"/>
    <w:rsid w:val="00BB3751"/>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35BC1"/>
    <w:rsid w:val="00C41FD3"/>
    <w:rsid w:val="00C43D61"/>
    <w:rsid w:val="00C45767"/>
    <w:rsid w:val="00C46354"/>
    <w:rsid w:val="00C532D2"/>
    <w:rsid w:val="00C62935"/>
    <w:rsid w:val="00C671AF"/>
    <w:rsid w:val="00C67472"/>
    <w:rsid w:val="00C67A1A"/>
    <w:rsid w:val="00C67B73"/>
    <w:rsid w:val="00C71349"/>
    <w:rsid w:val="00C71E18"/>
    <w:rsid w:val="00C73E76"/>
    <w:rsid w:val="00C74890"/>
    <w:rsid w:val="00C75293"/>
    <w:rsid w:val="00C75BC1"/>
    <w:rsid w:val="00C77324"/>
    <w:rsid w:val="00C77A43"/>
    <w:rsid w:val="00C8194B"/>
    <w:rsid w:val="00C82F15"/>
    <w:rsid w:val="00C83C91"/>
    <w:rsid w:val="00C83DD5"/>
    <w:rsid w:val="00C83F6A"/>
    <w:rsid w:val="00C853AE"/>
    <w:rsid w:val="00C87CB3"/>
    <w:rsid w:val="00C9427A"/>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D6BFB"/>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63D9D"/>
    <w:rsid w:val="00D7196E"/>
    <w:rsid w:val="00D76CFA"/>
    <w:rsid w:val="00D7719C"/>
    <w:rsid w:val="00D81039"/>
    <w:rsid w:val="00D826E8"/>
    <w:rsid w:val="00D82A72"/>
    <w:rsid w:val="00D92B44"/>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23C6"/>
    <w:rsid w:val="00DE50C4"/>
    <w:rsid w:val="00DE5DD0"/>
    <w:rsid w:val="00DE6A61"/>
    <w:rsid w:val="00DF232F"/>
    <w:rsid w:val="00DF6486"/>
    <w:rsid w:val="00DF6D7E"/>
    <w:rsid w:val="00E0124F"/>
    <w:rsid w:val="00E01CE8"/>
    <w:rsid w:val="00E042AB"/>
    <w:rsid w:val="00E047D7"/>
    <w:rsid w:val="00E04D94"/>
    <w:rsid w:val="00E07C45"/>
    <w:rsid w:val="00E13C37"/>
    <w:rsid w:val="00E149CA"/>
    <w:rsid w:val="00E17556"/>
    <w:rsid w:val="00E24460"/>
    <w:rsid w:val="00E2784D"/>
    <w:rsid w:val="00E27A21"/>
    <w:rsid w:val="00E3001E"/>
    <w:rsid w:val="00E30EB7"/>
    <w:rsid w:val="00E3112D"/>
    <w:rsid w:val="00E355A5"/>
    <w:rsid w:val="00E373EB"/>
    <w:rsid w:val="00E43E62"/>
    <w:rsid w:val="00E452A2"/>
    <w:rsid w:val="00E4605D"/>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3675"/>
    <w:rsid w:val="00EF5F43"/>
    <w:rsid w:val="00EF5F9E"/>
    <w:rsid w:val="00F00FB8"/>
    <w:rsid w:val="00F0769A"/>
    <w:rsid w:val="00F10C89"/>
    <w:rsid w:val="00F11345"/>
    <w:rsid w:val="00F12EEC"/>
    <w:rsid w:val="00F1646F"/>
    <w:rsid w:val="00F30BD7"/>
    <w:rsid w:val="00F310F2"/>
    <w:rsid w:val="00F33937"/>
    <w:rsid w:val="00F3442D"/>
    <w:rsid w:val="00F359B0"/>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A7D96"/>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2C0D"/>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BB37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PlainTable5">
    <w:name w:val="Plain Table 5"/>
    <w:basedOn w:val="TableNormal"/>
    <w:uiPriority w:val="45"/>
    <w:rsid w:val="00383BBF"/>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383BBF"/>
    <w:pPr>
      <w:spacing w:after="0" w:line="240" w:lineRule="auto"/>
    </w:pPr>
    <w:rPr>
      <w:color w:val="7B7B7B" w:themeColor="accent3" w:themeShade="BF"/>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192C49"/>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4941610">
      <w:bodyDiv w:val="1"/>
      <w:marLeft w:val="0"/>
      <w:marRight w:val="0"/>
      <w:marTop w:val="0"/>
      <w:marBottom w:val="0"/>
      <w:divBdr>
        <w:top w:val="none" w:sz="0" w:space="0" w:color="auto"/>
        <w:left w:val="none" w:sz="0" w:space="0" w:color="auto"/>
        <w:bottom w:val="none" w:sz="0" w:space="0" w:color="auto"/>
        <w:right w:val="none" w:sz="0" w:space="0" w:color="auto"/>
      </w:divBdr>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1326470">
      <w:bodyDiv w:val="1"/>
      <w:marLeft w:val="0"/>
      <w:marRight w:val="0"/>
      <w:marTop w:val="0"/>
      <w:marBottom w:val="0"/>
      <w:divBdr>
        <w:top w:val="none" w:sz="0" w:space="0" w:color="auto"/>
        <w:left w:val="none" w:sz="0" w:space="0" w:color="auto"/>
        <w:bottom w:val="none" w:sz="0" w:space="0" w:color="auto"/>
        <w:right w:val="none" w:sz="0" w:space="0" w:color="auto"/>
      </w:divBdr>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1271382">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0032647">
      <w:bodyDiv w:val="1"/>
      <w:marLeft w:val="0"/>
      <w:marRight w:val="0"/>
      <w:marTop w:val="0"/>
      <w:marBottom w:val="0"/>
      <w:divBdr>
        <w:top w:val="none" w:sz="0" w:space="0" w:color="auto"/>
        <w:left w:val="none" w:sz="0" w:space="0" w:color="auto"/>
        <w:bottom w:val="none" w:sz="0" w:space="0" w:color="auto"/>
        <w:right w:val="none" w:sz="0" w:space="0" w:color="auto"/>
      </w:divBdr>
      <w:divsChild>
        <w:div w:id="885146655">
          <w:marLeft w:val="0"/>
          <w:marRight w:val="0"/>
          <w:marTop w:val="0"/>
          <w:marBottom w:val="0"/>
          <w:divBdr>
            <w:top w:val="none" w:sz="0" w:space="0" w:color="auto"/>
            <w:left w:val="none" w:sz="0" w:space="0" w:color="auto"/>
            <w:bottom w:val="none" w:sz="0" w:space="0" w:color="auto"/>
            <w:right w:val="none" w:sz="0" w:space="0" w:color="auto"/>
          </w:divBdr>
          <w:divsChild>
            <w:div w:id="640312078">
              <w:marLeft w:val="0"/>
              <w:marRight w:val="0"/>
              <w:marTop w:val="0"/>
              <w:marBottom w:val="0"/>
              <w:divBdr>
                <w:top w:val="none" w:sz="0" w:space="0" w:color="auto"/>
                <w:left w:val="none" w:sz="0" w:space="0" w:color="auto"/>
                <w:bottom w:val="none" w:sz="0" w:space="0" w:color="auto"/>
                <w:right w:val="none" w:sz="0" w:space="0" w:color="auto"/>
              </w:divBdr>
              <w:divsChild>
                <w:div w:id="1868639803">
                  <w:marLeft w:val="0"/>
                  <w:marRight w:val="0"/>
                  <w:marTop w:val="0"/>
                  <w:marBottom w:val="0"/>
                  <w:divBdr>
                    <w:top w:val="none" w:sz="0" w:space="0" w:color="auto"/>
                    <w:left w:val="none" w:sz="0" w:space="0" w:color="auto"/>
                    <w:bottom w:val="none" w:sz="0" w:space="0" w:color="auto"/>
                    <w:right w:val="none" w:sz="0" w:space="0" w:color="auto"/>
                  </w:divBdr>
                  <w:divsChild>
                    <w:div w:id="1647852861">
                      <w:marLeft w:val="0"/>
                      <w:marRight w:val="0"/>
                      <w:marTop w:val="0"/>
                      <w:marBottom w:val="0"/>
                      <w:divBdr>
                        <w:top w:val="none" w:sz="0" w:space="0" w:color="auto"/>
                        <w:left w:val="none" w:sz="0" w:space="0" w:color="auto"/>
                        <w:bottom w:val="none" w:sz="0" w:space="0" w:color="auto"/>
                        <w:right w:val="none" w:sz="0" w:space="0" w:color="auto"/>
                      </w:divBdr>
                      <w:divsChild>
                        <w:div w:id="1925994525">
                          <w:marLeft w:val="0"/>
                          <w:marRight w:val="0"/>
                          <w:marTop w:val="0"/>
                          <w:marBottom w:val="0"/>
                          <w:divBdr>
                            <w:top w:val="none" w:sz="0" w:space="0" w:color="auto"/>
                            <w:left w:val="none" w:sz="0" w:space="0" w:color="auto"/>
                            <w:bottom w:val="none" w:sz="0" w:space="0" w:color="auto"/>
                            <w:right w:val="none" w:sz="0" w:space="0" w:color="auto"/>
                          </w:divBdr>
                          <w:divsChild>
                            <w:div w:id="1268199530">
                              <w:marLeft w:val="0"/>
                              <w:marRight w:val="0"/>
                              <w:marTop w:val="0"/>
                              <w:marBottom w:val="0"/>
                              <w:divBdr>
                                <w:top w:val="none" w:sz="0" w:space="0" w:color="auto"/>
                                <w:left w:val="none" w:sz="0" w:space="0" w:color="auto"/>
                                <w:bottom w:val="none" w:sz="0" w:space="0" w:color="auto"/>
                                <w:right w:val="none" w:sz="0" w:space="0" w:color="auto"/>
                              </w:divBdr>
                              <w:divsChild>
                                <w:div w:id="1129712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615626">
      <w:bodyDiv w:val="1"/>
      <w:marLeft w:val="0"/>
      <w:marRight w:val="0"/>
      <w:marTop w:val="0"/>
      <w:marBottom w:val="0"/>
      <w:divBdr>
        <w:top w:val="none" w:sz="0" w:space="0" w:color="auto"/>
        <w:left w:val="none" w:sz="0" w:space="0" w:color="auto"/>
        <w:bottom w:val="none" w:sz="0" w:space="0" w:color="auto"/>
        <w:right w:val="none" w:sz="0" w:space="0" w:color="auto"/>
      </w:divBdr>
    </w:div>
    <w:div w:id="109781833">
      <w:bodyDiv w:val="1"/>
      <w:marLeft w:val="0"/>
      <w:marRight w:val="0"/>
      <w:marTop w:val="0"/>
      <w:marBottom w:val="0"/>
      <w:divBdr>
        <w:top w:val="none" w:sz="0" w:space="0" w:color="auto"/>
        <w:left w:val="none" w:sz="0" w:space="0" w:color="auto"/>
        <w:bottom w:val="none" w:sz="0" w:space="0" w:color="auto"/>
        <w:right w:val="none" w:sz="0" w:space="0" w:color="auto"/>
      </w:divBdr>
    </w:div>
    <w:div w:id="123697696">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7861218">
      <w:bodyDiv w:val="1"/>
      <w:marLeft w:val="0"/>
      <w:marRight w:val="0"/>
      <w:marTop w:val="0"/>
      <w:marBottom w:val="0"/>
      <w:divBdr>
        <w:top w:val="none" w:sz="0" w:space="0" w:color="auto"/>
        <w:left w:val="none" w:sz="0" w:space="0" w:color="auto"/>
        <w:bottom w:val="none" w:sz="0" w:space="0" w:color="auto"/>
        <w:right w:val="none" w:sz="0" w:space="0" w:color="auto"/>
      </w:divBdr>
    </w:div>
    <w:div w:id="13029692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35487492">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1628142">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6671791">
      <w:bodyDiv w:val="1"/>
      <w:marLeft w:val="0"/>
      <w:marRight w:val="0"/>
      <w:marTop w:val="0"/>
      <w:marBottom w:val="0"/>
      <w:divBdr>
        <w:top w:val="none" w:sz="0" w:space="0" w:color="auto"/>
        <w:left w:val="none" w:sz="0" w:space="0" w:color="auto"/>
        <w:bottom w:val="none" w:sz="0" w:space="0" w:color="auto"/>
        <w:right w:val="none" w:sz="0" w:space="0" w:color="auto"/>
      </w:divBdr>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7773660">
      <w:bodyDiv w:val="1"/>
      <w:marLeft w:val="0"/>
      <w:marRight w:val="0"/>
      <w:marTop w:val="0"/>
      <w:marBottom w:val="0"/>
      <w:divBdr>
        <w:top w:val="none" w:sz="0" w:space="0" w:color="auto"/>
        <w:left w:val="none" w:sz="0" w:space="0" w:color="auto"/>
        <w:bottom w:val="none" w:sz="0" w:space="0" w:color="auto"/>
        <w:right w:val="none" w:sz="0" w:space="0" w:color="auto"/>
      </w:divBdr>
    </w:div>
    <w:div w:id="159349906">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539923">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19441032">
      <w:bodyDiv w:val="1"/>
      <w:marLeft w:val="0"/>
      <w:marRight w:val="0"/>
      <w:marTop w:val="0"/>
      <w:marBottom w:val="0"/>
      <w:divBdr>
        <w:top w:val="none" w:sz="0" w:space="0" w:color="auto"/>
        <w:left w:val="none" w:sz="0" w:space="0" w:color="auto"/>
        <w:bottom w:val="none" w:sz="0" w:space="0" w:color="auto"/>
        <w:right w:val="none" w:sz="0" w:space="0" w:color="auto"/>
      </w:divBdr>
      <w:divsChild>
        <w:div w:id="1508980533">
          <w:marLeft w:val="0"/>
          <w:marRight w:val="0"/>
          <w:marTop w:val="0"/>
          <w:marBottom w:val="0"/>
          <w:divBdr>
            <w:top w:val="none" w:sz="0" w:space="0" w:color="auto"/>
            <w:left w:val="none" w:sz="0" w:space="0" w:color="auto"/>
            <w:bottom w:val="none" w:sz="0" w:space="0" w:color="auto"/>
            <w:right w:val="none" w:sz="0" w:space="0" w:color="auto"/>
          </w:divBdr>
          <w:divsChild>
            <w:div w:id="1567641548">
              <w:marLeft w:val="0"/>
              <w:marRight w:val="0"/>
              <w:marTop w:val="0"/>
              <w:marBottom w:val="0"/>
              <w:divBdr>
                <w:top w:val="none" w:sz="0" w:space="0" w:color="auto"/>
                <w:left w:val="none" w:sz="0" w:space="0" w:color="auto"/>
                <w:bottom w:val="none" w:sz="0" w:space="0" w:color="auto"/>
                <w:right w:val="none" w:sz="0" w:space="0" w:color="auto"/>
              </w:divBdr>
              <w:divsChild>
                <w:div w:id="460853378">
                  <w:marLeft w:val="0"/>
                  <w:marRight w:val="0"/>
                  <w:marTop w:val="0"/>
                  <w:marBottom w:val="0"/>
                  <w:divBdr>
                    <w:top w:val="none" w:sz="0" w:space="0" w:color="auto"/>
                    <w:left w:val="none" w:sz="0" w:space="0" w:color="auto"/>
                    <w:bottom w:val="none" w:sz="0" w:space="0" w:color="auto"/>
                    <w:right w:val="none" w:sz="0" w:space="0" w:color="auto"/>
                  </w:divBdr>
                  <w:divsChild>
                    <w:div w:id="498622328">
                      <w:marLeft w:val="0"/>
                      <w:marRight w:val="0"/>
                      <w:marTop w:val="0"/>
                      <w:marBottom w:val="0"/>
                      <w:divBdr>
                        <w:top w:val="none" w:sz="0" w:space="0" w:color="auto"/>
                        <w:left w:val="none" w:sz="0" w:space="0" w:color="auto"/>
                        <w:bottom w:val="none" w:sz="0" w:space="0" w:color="auto"/>
                        <w:right w:val="none" w:sz="0" w:space="0" w:color="auto"/>
                      </w:divBdr>
                      <w:divsChild>
                        <w:div w:id="1498154629">
                          <w:marLeft w:val="0"/>
                          <w:marRight w:val="0"/>
                          <w:marTop w:val="0"/>
                          <w:marBottom w:val="0"/>
                          <w:divBdr>
                            <w:top w:val="none" w:sz="0" w:space="0" w:color="auto"/>
                            <w:left w:val="none" w:sz="0" w:space="0" w:color="auto"/>
                            <w:bottom w:val="none" w:sz="0" w:space="0" w:color="auto"/>
                            <w:right w:val="none" w:sz="0" w:space="0" w:color="auto"/>
                          </w:divBdr>
                          <w:divsChild>
                            <w:div w:id="19046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0586016">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2737733">
      <w:bodyDiv w:val="1"/>
      <w:marLeft w:val="0"/>
      <w:marRight w:val="0"/>
      <w:marTop w:val="0"/>
      <w:marBottom w:val="0"/>
      <w:divBdr>
        <w:top w:val="none" w:sz="0" w:space="0" w:color="auto"/>
        <w:left w:val="none" w:sz="0" w:space="0" w:color="auto"/>
        <w:bottom w:val="none" w:sz="0" w:space="0" w:color="auto"/>
        <w:right w:val="none" w:sz="0" w:space="0" w:color="auto"/>
      </w:divBdr>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4830831">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2757394">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3052427">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766124">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5542963">
      <w:bodyDiv w:val="1"/>
      <w:marLeft w:val="0"/>
      <w:marRight w:val="0"/>
      <w:marTop w:val="0"/>
      <w:marBottom w:val="0"/>
      <w:divBdr>
        <w:top w:val="none" w:sz="0" w:space="0" w:color="auto"/>
        <w:left w:val="none" w:sz="0" w:space="0" w:color="auto"/>
        <w:bottom w:val="none" w:sz="0" w:space="0" w:color="auto"/>
        <w:right w:val="none" w:sz="0" w:space="0" w:color="auto"/>
      </w:divBdr>
      <w:divsChild>
        <w:div w:id="1482651717">
          <w:marLeft w:val="0"/>
          <w:marRight w:val="0"/>
          <w:marTop w:val="0"/>
          <w:marBottom w:val="0"/>
          <w:divBdr>
            <w:top w:val="none" w:sz="0" w:space="0" w:color="auto"/>
            <w:left w:val="none" w:sz="0" w:space="0" w:color="auto"/>
            <w:bottom w:val="none" w:sz="0" w:space="0" w:color="auto"/>
            <w:right w:val="none" w:sz="0" w:space="0" w:color="auto"/>
          </w:divBdr>
        </w:div>
      </w:divsChild>
    </w:div>
    <w:div w:id="358504744">
      <w:bodyDiv w:val="1"/>
      <w:marLeft w:val="0"/>
      <w:marRight w:val="0"/>
      <w:marTop w:val="0"/>
      <w:marBottom w:val="0"/>
      <w:divBdr>
        <w:top w:val="none" w:sz="0" w:space="0" w:color="auto"/>
        <w:left w:val="none" w:sz="0" w:space="0" w:color="auto"/>
        <w:bottom w:val="none" w:sz="0" w:space="0" w:color="auto"/>
        <w:right w:val="none" w:sz="0" w:space="0" w:color="auto"/>
      </w:divBdr>
      <w:divsChild>
        <w:div w:id="1241981615">
          <w:marLeft w:val="0"/>
          <w:marRight w:val="0"/>
          <w:marTop w:val="0"/>
          <w:marBottom w:val="0"/>
          <w:divBdr>
            <w:top w:val="none" w:sz="0" w:space="0" w:color="auto"/>
            <w:left w:val="none" w:sz="0" w:space="0" w:color="auto"/>
            <w:bottom w:val="none" w:sz="0" w:space="0" w:color="auto"/>
            <w:right w:val="none" w:sz="0" w:space="0" w:color="auto"/>
          </w:divBdr>
        </w:div>
      </w:divsChild>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095224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92308">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4662094">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68199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11739">
      <w:bodyDiv w:val="1"/>
      <w:marLeft w:val="0"/>
      <w:marRight w:val="0"/>
      <w:marTop w:val="0"/>
      <w:marBottom w:val="0"/>
      <w:divBdr>
        <w:top w:val="none" w:sz="0" w:space="0" w:color="auto"/>
        <w:left w:val="none" w:sz="0" w:space="0" w:color="auto"/>
        <w:bottom w:val="none" w:sz="0" w:space="0" w:color="auto"/>
        <w:right w:val="none" w:sz="0" w:space="0" w:color="auto"/>
      </w:divBdr>
      <w:divsChild>
        <w:div w:id="859509065">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278679">
      <w:bodyDiv w:val="1"/>
      <w:marLeft w:val="0"/>
      <w:marRight w:val="0"/>
      <w:marTop w:val="0"/>
      <w:marBottom w:val="0"/>
      <w:divBdr>
        <w:top w:val="none" w:sz="0" w:space="0" w:color="auto"/>
        <w:left w:val="none" w:sz="0" w:space="0" w:color="auto"/>
        <w:bottom w:val="none" w:sz="0" w:space="0" w:color="auto"/>
        <w:right w:val="none" w:sz="0" w:space="0" w:color="auto"/>
      </w:divBdr>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25606640">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173790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753011">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111587">
      <w:bodyDiv w:val="1"/>
      <w:marLeft w:val="0"/>
      <w:marRight w:val="0"/>
      <w:marTop w:val="0"/>
      <w:marBottom w:val="0"/>
      <w:divBdr>
        <w:top w:val="none" w:sz="0" w:space="0" w:color="auto"/>
        <w:left w:val="none" w:sz="0" w:space="0" w:color="auto"/>
        <w:bottom w:val="none" w:sz="0" w:space="0" w:color="auto"/>
        <w:right w:val="none" w:sz="0" w:space="0" w:color="auto"/>
      </w:divBdr>
      <w:divsChild>
        <w:div w:id="377434560">
          <w:marLeft w:val="0"/>
          <w:marRight w:val="0"/>
          <w:marTop w:val="0"/>
          <w:marBottom w:val="0"/>
          <w:divBdr>
            <w:top w:val="none" w:sz="0" w:space="0" w:color="auto"/>
            <w:left w:val="none" w:sz="0" w:space="0" w:color="auto"/>
            <w:bottom w:val="none" w:sz="0" w:space="0" w:color="auto"/>
            <w:right w:val="none" w:sz="0" w:space="0" w:color="auto"/>
          </w:divBdr>
        </w:div>
      </w:divsChild>
    </w:div>
    <w:div w:id="601382745">
      <w:bodyDiv w:val="1"/>
      <w:marLeft w:val="0"/>
      <w:marRight w:val="0"/>
      <w:marTop w:val="0"/>
      <w:marBottom w:val="0"/>
      <w:divBdr>
        <w:top w:val="none" w:sz="0" w:space="0" w:color="auto"/>
        <w:left w:val="none" w:sz="0" w:space="0" w:color="auto"/>
        <w:bottom w:val="none" w:sz="0" w:space="0" w:color="auto"/>
        <w:right w:val="none" w:sz="0" w:space="0" w:color="auto"/>
      </w:divBdr>
      <w:divsChild>
        <w:div w:id="2069959572">
          <w:marLeft w:val="0"/>
          <w:marRight w:val="0"/>
          <w:marTop w:val="0"/>
          <w:marBottom w:val="0"/>
          <w:divBdr>
            <w:top w:val="none" w:sz="0" w:space="0" w:color="auto"/>
            <w:left w:val="none" w:sz="0" w:space="0" w:color="auto"/>
            <w:bottom w:val="none" w:sz="0" w:space="0" w:color="auto"/>
            <w:right w:val="none" w:sz="0" w:space="0" w:color="auto"/>
          </w:divBdr>
        </w:div>
      </w:divsChild>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352934">
      <w:bodyDiv w:val="1"/>
      <w:marLeft w:val="0"/>
      <w:marRight w:val="0"/>
      <w:marTop w:val="0"/>
      <w:marBottom w:val="0"/>
      <w:divBdr>
        <w:top w:val="none" w:sz="0" w:space="0" w:color="auto"/>
        <w:left w:val="none" w:sz="0" w:space="0" w:color="auto"/>
        <w:bottom w:val="none" w:sz="0" w:space="0" w:color="auto"/>
        <w:right w:val="none" w:sz="0" w:space="0" w:color="auto"/>
      </w:divBdr>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316752">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1890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0702569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0402920">
      <w:bodyDiv w:val="1"/>
      <w:marLeft w:val="0"/>
      <w:marRight w:val="0"/>
      <w:marTop w:val="0"/>
      <w:marBottom w:val="0"/>
      <w:divBdr>
        <w:top w:val="none" w:sz="0" w:space="0" w:color="auto"/>
        <w:left w:val="none" w:sz="0" w:space="0" w:color="auto"/>
        <w:bottom w:val="none" w:sz="0" w:space="0" w:color="auto"/>
        <w:right w:val="none" w:sz="0" w:space="0" w:color="auto"/>
      </w:divBdr>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4374238">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1506979">
      <w:bodyDiv w:val="1"/>
      <w:marLeft w:val="0"/>
      <w:marRight w:val="0"/>
      <w:marTop w:val="0"/>
      <w:marBottom w:val="0"/>
      <w:divBdr>
        <w:top w:val="none" w:sz="0" w:space="0" w:color="auto"/>
        <w:left w:val="none" w:sz="0" w:space="0" w:color="auto"/>
        <w:bottom w:val="none" w:sz="0" w:space="0" w:color="auto"/>
        <w:right w:val="none" w:sz="0" w:space="0" w:color="auto"/>
      </w:divBdr>
      <w:divsChild>
        <w:div w:id="93508902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2743225">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47520648">
      <w:bodyDiv w:val="1"/>
      <w:marLeft w:val="0"/>
      <w:marRight w:val="0"/>
      <w:marTop w:val="0"/>
      <w:marBottom w:val="0"/>
      <w:divBdr>
        <w:top w:val="none" w:sz="0" w:space="0" w:color="auto"/>
        <w:left w:val="none" w:sz="0" w:space="0" w:color="auto"/>
        <w:bottom w:val="none" w:sz="0" w:space="0" w:color="auto"/>
        <w:right w:val="none" w:sz="0" w:space="0" w:color="auto"/>
      </w:divBdr>
    </w:div>
    <w:div w:id="85172733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273013">
      <w:bodyDiv w:val="1"/>
      <w:marLeft w:val="0"/>
      <w:marRight w:val="0"/>
      <w:marTop w:val="0"/>
      <w:marBottom w:val="0"/>
      <w:divBdr>
        <w:top w:val="none" w:sz="0" w:space="0" w:color="auto"/>
        <w:left w:val="none" w:sz="0" w:space="0" w:color="auto"/>
        <w:bottom w:val="none" w:sz="0" w:space="0" w:color="auto"/>
        <w:right w:val="none" w:sz="0" w:space="0" w:color="auto"/>
      </w:divBdr>
      <w:divsChild>
        <w:div w:id="1903520503">
          <w:marLeft w:val="0"/>
          <w:marRight w:val="0"/>
          <w:marTop w:val="0"/>
          <w:marBottom w:val="0"/>
          <w:divBdr>
            <w:top w:val="none" w:sz="0" w:space="0" w:color="auto"/>
            <w:left w:val="none" w:sz="0" w:space="0" w:color="auto"/>
            <w:bottom w:val="none" w:sz="0" w:space="0" w:color="auto"/>
            <w:right w:val="none" w:sz="0" w:space="0" w:color="auto"/>
          </w:divBdr>
        </w:div>
      </w:divsChild>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0052730">
      <w:bodyDiv w:val="1"/>
      <w:marLeft w:val="0"/>
      <w:marRight w:val="0"/>
      <w:marTop w:val="0"/>
      <w:marBottom w:val="0"/>
      <w:divBdr>
        <w:top w:val="none" w:sz="0" w:space="0" w:color="auto"/>
        <w:left w:val="none" w:sz="0" w:space="0" w:color="auto"/>
        <w:bottom w:val="none" w:sz="0" w:space="0" w:color="auto"/>
        <w:right w:val="none" w:sz="0" w:space="0" w:color="auto"/>
      </w:divBdr>
      <w:divsChild>
        <w:div w:id="1346126924">
          <w:marLeft w:val="0"/>
          <w:marRight w:val="0"/>
          <w:marTop w:val="0"/>
          <w:marBottom w:val="0"/>
          <w:divBdr>
            <w:top w:val="none" w:sz="0" w:space="0" w:color="auto"/>
            <w:left w:val="none" w:sz="0" w:space="0" w:color="auto"/>
            <w:bottom w:val="none" w:sz="0" w:space="0" w:color="auto"/>
            <w:right w:val="none" w:sz="0" w:space="0" w:color="auto"/>
          </w:divBdr>
        </w:div>
      </w:divsChild>
    </w:div>
    <w:div w:id="863439194">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8003818">
      <w:bodyDiv w:val="1"/>
      <w:marLeft w:val="0"/>
      <w:marRight w:val="0"/>
      <w:marTop w:val="0"/>
      <w:marBottom w:val="0"/>
      <w:divBdr>
        <w:top w:val="none" w:sz="0" w:space="0" w:color="auto"/>
        <w:left w:val="none" w:sz="0" w:space="0" w:color="auto"/>
        <w:bottom w:val="none" w:sz="0" w:space="0" w:color="auto"/>
        <w:right w:val="none" w:sz="0" w:space="0" w:color="auto"/>
      </w:divBdr>
      <w:divsChild>
        <w:div w:id="1620523293">
          <w:marLeft w:val="0"/>
          <w:marRight w:val="0"/>
          <w:marTop w:val="0"/>
          <w:marBottom w:val="0"/>
          <w:divBdr>
            <w:top w:val="none" w:sz="0" w:space="0" w:color="auto"/>
            <w:left w:val="none" w:sz="0" w:space="0" w:color="auto"/>
            <w:bottom w:val="none" w:sz="0" w:space="0" w:color="auto"/>
            <w:right w:val="none" w:sz="0" w:space="0" w:color="auto"/>
          </w:divBdr>
        </w:div>
      </w:divsChild>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4256964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1207512">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7030270">
      <w:bodyDiv w:val="1"/>
      <w:marLeft w:val="0"/>
      <w:marRight w:val="0"/>
      <w:marTop w:val="0"/>
      <w:marBottom w:val="0"/>
      <w:divBdr>
        <w:top w:val="none" w:sz="0" w:space="0" w:color="auto"/>
        <w:left w:val="none" w:sz="0" w:space="0" w:color="auto"/>
        <w:bottom w:val="none" w:sz="0" w:space="0" w:color="auto"/>
        <w:right w:val="none" w:sz="0" w:space="0" w:color="auto"/>
      </w:divBdr>
    </w:div>
    <w:div w:id="997152182">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3314084">
      <w:bodyDiv w:val="1"/>
      <w:marLeft w:val="0"/>
      <w:marRight w:val="0"/>
      <w:marTop w:val="0"/>
      <w:marBottom w:val="0"/>
      <w:divBdr>
        <w:top w:val="none" w:sz="0" w:space="0" w:color="auto"/>
        <w:left w:val="none" w:sz="0" w:space="0" w:color="auto"/>
        <w:bottom w:val="none" w:sz="0" w:space="0" w:color="auto"/>
        <w:right w:val="none" w:sz="0" w:space="0" w:color="auto"/>
      </w:divBdr>
      <w:divsChild>
        <w:div w:id="1114253890">
          <w:marLeft w:val="0"/>
          <w:marRight w:val="0"/>
          <w:marTop w:val="0"/>
          <w:marBottom w:val="0"/>
          <w:divBdr>
            <w:top w:val="none" w:sz="0" w:space="0" w:color="auto"/>
            <w:left w:val="none" w:sz="0" w:space="0" w:color="auto"/>
            <w:bottom w:val="none" w:sz="0" w:space="0" w:color="auto"/>
            <w:right w:val="none" w:sz="0" w:space="0" w:color="auto"/>
          </w:divBdr>
        </w:div>
      </w:divsChild>
    </w:div>
    <w:div w:id="1006790202">
      <w:bodyDiv w:val="1"/>
      <w:marLeft w:val="0"/>
      <w:marRight w:val="0"/>
      <w:marTop w:val="0"/>
      <w:marBottom w:val="0"/>
      <w:divBdr>
        <w:top w:val="none" w:sz="0" w:space="0" w:color="auto"/>
        <w:left w:val="none" w:sz="0" w:space="0" w:color="auto"/>
        <w:bottom w:val="none" w:sz="0" w:space="0" w:color="auto"/>
        <w:right w:val="none" w:sz="0" w:space="0" w:color="auto"/>
      </w:divBdr>
      <w:divsChild>
        <w:div w:id="1642156909">
          <w:marLeft w:val="0"/>
          <w:marRight w:val="0"/>
          <w:marTop w:val="0"/>
          <w:marBottom w:val="0"/>
          <w:divBdr>
            <w:top w:val="none" w:sz="0" w:space="0" w:color="auto"/>
            <w:left w:val="none" w:sz="0" w:space="0" w:color="auto"/>
            <w:bottom w:val="none" w:sz="0" w:space="0" w:color="auto"/>
            <w:right w:val="none" w:sz="0" w:space="0" w:color="auto"/>
          </w:divBdr>
        </w:div>
        <w:div w:id="1605652665">
          <w:marLeft w:val="0"/>
          <w:marRight w:val="0"/>
          <w:marTop w:val="0"/>
          <w:marBottom w:val="0"/>
          <w:divBdr>
            <w:top w:val="none" w:sz="0" w:space="0" w:color="auto"/>
            <w:left w:val="none" w:sz="0" w:space="0" w:color="auto"/>
            <w:bottom w:val="none" w:sz="0" w:space="0" w:color="auto"/>
            <w:right w:val="none" w:sz="0" w:space="0" w:color="auto"/>
          </w:divBdr>
        </w:div>
        <w:div w:id="1206523152">
          <w:marLeft w:val="0"/>
          <w:marRight w:val="0"/>
          <w:marTop w:val="0"/>
          <w:marBottom w:val="0"/>
          <w:divBdr>
            <w:top w:val="none" w:sz="0" w:space="0" w:color="auto"/>
            <w:left w:val="none" w:sz="0" w:space="0" w:color="auto"/>
            <w:bottom w:val="none" w:sz="0" w:space="0" w:color="auto"/>
            <w:right w:val="none" w:sz="0" w:space="0" w:color="auto"/>
          </w:divBdr>
        </w:div>
        <w:div w:id="1701205463">
          <w:marLeft w:val="0"/>
          <w:marRight w:val="0"/>
          <w:marTop w:val="0"/>
          <w:marBottom w:val="0"/>
          <w:divBdr>
            <w:top w:val="none" w:sz="0" w:space="0" w:color="auto"/>
            <w:left w:val="none" w:sz="0" w:space="0" w:color="auto"/>
            <w:bottom w:val="none" w:sz="0" w:space="0" w:color="auto"/>
            <w:right w:val="none" w:sz="0" w:space="0" w:color="auto"/>
          </w:divBdr>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8775634">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205144">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378500">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1484175">
      <w:bodyDiv w:val="1"/>
      <w:marLeft w:val="0"/>
      <w:marRight w:val="0"/>
      <w:marTop w:val="0"/>
      <w:marBottom w:val="0"/>
      <w:divBdr>
        <w:top w:val="none" w:sz="0" w:space="0" w:color="auto"/>
        <w:left w:val="none" w:sz="0" w:space="0" w:color="auto"/>
        <w:bottom w:val="none" w:sz="0" w:space="0" w:color="auto"/>
        <w:right w:val="none" w:sz="0" w:space="0" w:color="auto"/>
      </w:divBdr>
      <w:divsChild>
        <w:div w:id="705301803">
          <w:marLeft w:val="0"/>
          <w:marRight w:val="0"/>
          <w:marTop w:val="0"/>
          <w:marBottom w:val="0"/>
          <w:divBdr>
            <w:top w:val="none" w:sz="0" w:space="0" w:color="auto"/>
            <w:left w:val="none" w:sz="0" w:space="0" w:color="auto"/>
            <w:bottom w:val="none" w:sz="0" w:space="0" w:color="auto"/>
            <w:right w:val="none" w:sz="0" w:space="0" w:color="auto"/>
          </w:divBdr>
        </w:div>
      </w:divsChild>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3455243">
      <w:bodyDiv w:val="1"/>
      <w:marLeft w:val="0"/>
      <w:marRight w:val="0"/>
      <w:marTop w:val="0"/>
      <w:marBottom w:val="0"/>
      <w:divBdr>
        <w:top w:val="none" w:sz="0" w:space="0" w:color="auto"/>
        <w:left w:val="none" w:sz="0" w:space="0" w:color="auto"/>
        <w:bottom w:val="none" w:sz="0" w:space="0" w:color="auto"/>
        <w:right w:val="none" w:sz="0" w:space="0" w:color="auto"/>
      </w:divBdr>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2460225">
      <w:bodyDiv w:val="1"/>
      <w:marLeft w:val="0"/>
      <w:marRight w:val="0"/>
      <w:marTop w:val="0"/>
      <w:marBottom w:val="0"/>
      <w:divBdr>
        <w:top w:val="none" w:sz="0" w:space="0" w:color="auto"/>
        <w:left w:val="none" w:sz="0" w:space="0" w:color="auto"/>
        <w:bottom w:val="none" w:sz="0" w:space="0" w:color="auto"/>
        <w:right w:val="none" w:sz="0" w:space="0" w:color="auto"/>
      </w:divBdr>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28008288">
      <w:bodyDiv w:val="1"/>
      <w:marLeft w:val="0"/>
      <w:marRight w:val="0"/>
      <w:marTop w:val="0"/>
      <w:marBottom w:val="0"/>
      <w:divBdr>
        <w:top w:val="none" w:sz="0" w:space="0" w:color="auto"/>
        <w:left w:val="none" w:sz="0" w:space="0" w:color="auto"/>
        <w:bottom w:val="none" w:sz="0" w:space="0" w:color="auto"/>
        <w:right w:val="none" w:sz="0" w:space="0" w:color="auto"/>
      </w:divBdr>
    </w:div>
    <w:div w:id="1133137348">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0487490">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721686">
      <w:bodyDiv w:val="1"/>
      <w:marLeft w:val="0"/>
      <w:marRight w:val="0"/>
      <w:marTop w:val="0"/>
      <w:marBottom w:val="0"/>
      <w:divBdr>
        <w:top w:val="none" w:sz="0" w:space="0" w:color="auto"/>
        <w:left w:val="none" w:sz="0" w:space="0" w:color="auto"/>
        <w:bottom w:val="none" w:sz="0" w:space="0" w:color="auto"/>
        <w:right w:val="none" w:sz="0" w:space="0" w:color="auto"/>
      </w:divBdr>
    </w:div>
    <w:div w:id="1255046488">
      <w:bodyDiv w:val="1"/>
      <w:marLeft w:val="0"/>
      <w:marRight w:val="0"/>
      <w:marTop w:val="0"/>
      <w:marBottom w:val="0"/>
      <w:divBdr>
        <w:top w:val="none" w:sz="0" w:space="0" w:color="auto"/>
        <w:left w:val="none" w:sz="0" w:space="0" w:color="auto"/>
        <w:bottom w:val="none" w:sz="0" w:space="0" w:color="auto"/>
        <w:right w:val="none" w:sz="0" w:space="0" w:color="auto"/>
      </w:divBdr>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3297939">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2471753">
      <w:bodyDiv w:val="1"/>
      <w:marLeft w:val="0"/>
      <w:marRight w:val="0"/>
      <w:marTop w:val="0"/>
      <w:marBottom w:val="0"/>
      <w:divBdr>
        <w:top w:val="none" w:sz="0" w:space="0" w:color="auto"/>
        <w:left w:val="none" w:sz="0" w:space="0" w:color="auto"/>
        <w:bottom w:val="none" w:sz="0" w:space="0" w:color="auto"/>
        <w:right w:val="none" w:sz="0" w:space="0" w:color="auto"/>
      </w:divBdr>
    </w:div>
    <w:div w:id="1274048805">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4214952">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4549120">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1086864">
      <w:bodyDiv w:val="1"/>
      <w:marLeft w:val="0"/>
      <w:marRight w:val="0"/>
      <w:marTop w:val="0"/>
      <w:marBottom w:val="0"/>
      <w:divBdr>
        <w:top w:val="none" w:sz="0" w:space="0" w:color="auto"/>
        <w:left w:val="none" w:sz="0" w:space="0" w:color="auto"/>
        <w:bottom w:val="none" w:sz="0" w:space="0" w:color="auto"/>
        <w:right w:val="none" w:sz="0" w:space="0" w:color="auto"/>
      </w:divBdr>
      <w:divsChild>
        <w:div w:id="602038120">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4867177">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5226620">
      <w:bodyDiv w:val="1"/>
      <w:marLeft w:val="0"/>
      <w:marRight w:val="0"/>
      <w:marTop w:val="0"/>
      <w:marBottom w:val="0"/>
      <w:divBdr>
        <w:top w:val="none" w:sz="0" w:space="0" w:color="auto"/>
        <w:left w:val="none" w:sz="0" w:space="0" w:color="auto"/>
        <w:bottom w:val="none" w:sz="0" w:space="0" w:color="auto"/>
        <w:right w:val="none" w:sz="0" w:space="0" w:color="auto"/>
      </w:divBdr>
      <w:divsChild>
        <w:div w:id="116603083">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369143">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7530654">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7017493">
      <w:bodyDiv w:val="1"/>
      <w:marLeft w:val="0"/>
      <w:marRight w:val="0"/>
      <w:marTop w:val="0"/>
      <w:marBottom w:val="0"/>
      <w:divBdr>
        <w:top w:val="none" w:sz="0" w:space="0" w:color="auto"/>
        <w:left w:val="none" w:sz="0" w:space="0" w:color="auto"/>
        <w:bottom w:val="none" w:sz="0" w:space="0" w:color="auto"/>
        <w:right w:val="none" w:sz="0" w:space="0" w:color="auto"/>
      </w:divBdr>
      <w:divsChild>
        <w:div w:id="18674808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6820541">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2336479">
      <w:bodyDiv w:val="1"/>
      <w:marLeft w:val="0"/>
      <w:marRight w:val="0"/>
      <w:marTop w:val="0"/>
      <w:marBottom w:val="0"/>
      <w:divBdr>
        <w:top w:val="none" w:sz="0" w:space="0" w:color="auto"/>
        <w:left w:val="none" w:sz="0" w:space="0" w:color="auto"/>
        <w:bottom w:val="none" w:sz="0" w:space="0" w:color="auto"/>
        <w:right w:val="none" w:sz="0" w:space="0" w:color="auto"/>
      </w:divBdr>
      <w:divsChild>
        <w:div w:id="1172138234">
          <w:marLeft w:val="0"/>
          <w:marRight w:val="0"/>
          <w:marTop w:val="0"/>
          <w:marBottom w:val="0"/>
          <w:divBdr>
            <w:top w:val="none" w:sz="0" w:space="0" w:color="auto"/>
            <w:left w:val="none" w:sz="0" w:space="0" w:color="auto"/>
            <w:bottom w:val="none" w:sz="0" w:space="0" w:color="auto"/>
            <w:right w:val="none" w:sz="0" w:space="0" w:color="auto"/>
          </w:divBdr>
        </w:div>
      </w:divsChild>
    </w:div>
    <w:div w:id="1514104952">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07957879">
      <w:bodyDiv w:val="1"/>
      <w:marLeft w:val="0"/>
      <w:marRight w:val="0"/>
      <w:marTop w:val="0"/>
      <w:marBottom w:val="0"/>
      <w:divBdr>
        <w:top w:val="none" w:sz="0" w:space="0" w:color="auto"/>
        <w:left w:val="none" w:sz="0" w:space="0" w:color="auto"/>
        <w:bottom w:val="none" w:sz="0" w:space="0" w:color="auto"/>
        <w:right w:val="none" w:sz="0" w:space="0" w:color="auto"/>
      </w:divBdr>
    </w:div>
    <w:div w:id="161089708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29705509">
      <w:bodyDiv w:val="1"/>
      <w:marLeft w:val="0"/>
      <w:marRight w:val="0"/>
      <w:marTop w:val="0"/>
      <w:marBottom w:val="0"/>
      <w:divBdr>
        <w:top w:val="none" w:sz="0" w:space="0" w:color="auto"/>
        <w:left w:val="none" w:sz="0" w:space="0" w:color="auto"/>
        <w:bottom w:val="none" w:sz="0" w:space="0" w:color="auto"/>
        <w:right w:val="none" w:sz="0" w:space="0" w:color="auto"/>
      </w:divBdr>
    </w:div>
    <w:div w:id="1632708521">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35208623">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535625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2000747">
      <w:bodyDiv w:val="1"/>
      <w:marLeft w:val="0"/>
      <w:marRight w:val="0"/>
      <w:marTop w:val="0"/>
      <w:marBottom w:val="0"/>
      <w:divBdr>
        <w:top w:val="none" w:sz="0" w:space="0" w:color="auto"/>
        <w:left w:val="none" w:sz="0" w:space="0" w:color="auto"/>
        <w:bottom w:val="none" w:sz="0" w:space="0" w:color="auto"/>
        <w:right w:val="none" w:sz="0" w:space="0" w:color="auto"/>
      </w:divBdr>
    </w:div>
    <w:div w:id="1663505048">
      <w:bodyDiv w:val="1"/>
      <w:marLeft w:val="0"/>
      <w:marRight w:val="0"/>
      <w:marTop w:val="0"/>
      <w:marBottom w:val="0"/>
      <w:divBdr>
        <w:top w:val="none" w:sz="0" w:space="0" w:color="auto"/>
        <w:left w:val="none" w:sz="0" w:space="0" w:color="auto"/>
        <w:bottom w:val="none" w:sz="0" w:space="0" w:color="auto"/>
        <w:right w:val="none" w:sz="0" w:space="0" w:color="auto"/>
      </w:divBdr>
      <w:divsChild>
        <w:div w:id="1407145302">
          <w:marLeft w:val="0"/>
          <w:marRight w:val="0"/>
          <w:marTop w:val="0"/>
          <w:marBottom w:val="0"/>
          <w:divBdr>
            <w:top w:val="none" w:sz="0" w:space="0" w:color="auto"/>
            <w:left w:val="none" w:sz="0" w:space="0" w:color="auto"/>
            <w:bottom w:val="none" w:sz="0" w:space="0" w:color="auto"/>
            <w:right w:val="none" w:sz="0" w:space="0" w:color="auto"/>
          </w:divBdr>
        </w:div>
      </w:divsChild>
    </w:div>
    <w:div w:id="1674842179">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3781442">
      <w:bodyDiv w:val="1"/>
      <w:marLeft w:val="0"/>
      <w:marRight w:val="0"/>
      <w:marTop w:val="0"/>
      <w:marBottom w:val="0"/>
      <w:divBdr>
        <w:top w:val="none" w:sz="0" w:space="0" w:color="auto"/>
        <w:left w:val="none" w:sz="0" w:space="0" w:color="auto"/>
        <w:bottom w:val="none" w:sz="0" w:space="0" w:color="auto"/>
        <w:right w:val="none" w:sz="0" w:space="0" w:color="auto"/>
      </w:divBdr>
    </w:div>
    <w:div w:id="168397427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7535740">
      <w:bodyDiv w:val="1"/>
      <w:marLeft w:val="0"/>
      <w:marRight w:val="0"/>
      <w:marTop w:val="0"/>
      <w:marBottom w:val="0"/>
      <w:divBdr>
        <w:top w:val="none" w:sz="0" w:space="0" w:color="auto"/>
        <w:left w:val="none" w:sz="0" w:space="0" w:color="auto"/>
        <w:bottom w:val="none" w:sz="0" w:space="0" w:color="auto"/>
        <w:right w:val="none" w:sz="0" w:space="0" w:color="auto"/>
      </w:divBdr>
      <w:divsChild>
        <w:div w:id="741567835">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174670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5639696">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31750">
      <w:bodyDiv w:val="1"/>
      <w:marLeft w:val="0"/>
      <w:marRight w:val="0"/>
      <w:marTop w:val="0"/>
      <w:marBottom w:val="0"/>
      <w:divBdr>
        <w:top w:val="none" w:sz="0" w:space="0" w:color="auto"/>
        <w:left w:val="none" w:sz="0" w:space="0" w:color="auto"/>
        <w:bottom w:val="none" w:sz="0" w:space="0" w:color="auto"/>
        <w:right w:val="none" w:sz="0" w:space="0" w:color="auto"/>
      </w:divBdr>
      <w:divsChild>
        <w:div w:id="1403872122">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9372244">
      <w:bodyDiv w:val="1"/>
      <w:marLeft w:val="0"/>
      <w:marRight w:val="0"/>
      <w:marTop w:val="0"/>
      <w:marBottom w:val="0"/>
      <w:divBdr>
        <w:top w:val="none" w:sz="0" w:space="0" w:color="auto"/>
        <w:left w:val="none" w:sz="0" w:space="0" w:color="auto"/>
        <w:bottom w:val="none" w:sz="0" w:space="0" w:color="auto"/>
        <w:right w:val="none" w:sz="0" w:space="0" w:color="auto"/>
      </w:divBdr>
    </w:div>
    <w:div w:id="180014992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15100745">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28547980">
      <w:bodyDiv w:val="1"/>
      <w:marLeft w:val="0"/>
      <w:marRight w:val="0"/>
      <w:marTop w:val="0"/>
      <w:marBottom w:val="0"/>
      <w:divBdr>
        <w:top w:val="none" w:sz="0" w:space="0" w:color="auto"/>
        <w:left w:val="none" w:sz="0" w:space="0" w:color="auto"/>
        <w:bottom w:val="none" w:sz="0" w:space="0" w:color="auto"/>
        <w:right w:val="none" w:sz="0" w:space="0" w:color="auto"/>
      </w:divBdr>
      <w:divsChild>
        <w:div w:id="1334991219">
          <w:marLeft w:val="0"/>
          <w:marRight w:val="0"/>
          <w:marTop w:val="0"/>
          <w:marBottom w:val="0"/>
          <w:divBdr>
            <w:top w:val="none" w:sz="0" w:space="0" w:color="auto"/>
            <w:left w:val="none" w:sz="0" w:space="0" w:color="auto"/>
            <w:bottom w:val="none" w:sz="0" w:space="0" w:color="auto"/>
            <w:right w:val="none" w:sz="0" w:space="0" w:color="auto"/>
          </w:divBdr>
        </w:div>
        <w:div w:id="573391160">
          <w:marLeft w:val="0"/>
          <w:marRight w:val="0"/>
          <w:marTop w:val="0"/>
          <w:marBottom w:val="0"/>
          <w:divBdr>
            <w:top w:val="none" w:sz="0" w:space="0" w:color="auto"/>
            <w:left w:val="none" w:sz="0" w:space="0" w:color="auto"/>
            <w:bottom w:val="none" w:sz="0" w:space="0" w:color="auto"/>
            <w:right w:val="none" w:sz="0" w:space="0" w:color="auto"/>
          </w:divBdr>
        </w:div>
        <w:div w:id="90400983">
          <w:marLeft w:val="0"/>
          <w:marRight w:val="0"/>
          <w:marTop w:val="0"/>
          <w:marBottom w:val="0"/>
          <w:divBdr>
            <w:top w:val="none" w:sz="0" w:space="0" w:color="auto"/>
            <w:left w:val="none" w:sz="0" w:space="0" w:color="auto"/>
            <w:bottom w:val="none" w:sz="0" w:space="0" w:color="auto"/>
            <w:right w:val="none" w:sz="0" w:space="0" w:color="auto"/>
          </w:divBdr>
        </w:div>
        <w:div w:id="456145235">
          <w:marLeft w:val="0"/>
          <w:marRight w:val="0"/>
          <w:marTop w:val="0"/>
          <w:marBottom w:val="0"/>
          <w:divBdr>
            <w:top w:val="none" w:sz="0" w:space="0" w:color="auto"/>
            <w:left w:val="none" w:sz="0" w:space="0" w:color="auto"/>
            <w:bottom w:val="none" w:sz="0" w:space="0" w:color="auto"/>
            <w:right w:val="none" w:sz="0" w:space="0" w:color="auto"/>
          </w:divBdr>
        </w:div>
        <w:div w:id="477653821">
          <w:marLeft w:val="0"/>
          <w:marRight w:val="0"/>
          <w:marTop w:val="0"/>
          <w:marBottom w:val="0"/>
          <w:divBdr>
            <w:top w:val="none" w:sz="0" w:space="0" w:color="auto"/>
            <w:left w:val="none" w:sz="0" w:space="0" w:color="auto"/>
            <w:bottom w:val="none" w:sz="0" w:space="0" w:color="auto"/>
            <w:right w:val="none" w:sz="0" w:space="0" w:color="auto"/>
          </w:divBdr>
        </w:div>
        <w:div w:id="290325402">
          <w:marLeft w:val="0"/>
          <w:marRight w:val="0"/>
          <w:marTop w:val="0"/>
          <w:marBottom w:val="0"/>
          <w:divBdr>
            <w:top w:val="none" w:sz="0" w:space="0" w:color="auto"/>
            <w:left w:val="none" w:sz="0" w:space="0" w:color="auto"/>
            <w:bottom w:val="none" w:sz="0" w:space="0" w:color="auto"/>
            <w:right w:val="none" w:sz="0" w:space="0" w:color="auto"/>
          </w:divBdr>
        </w:div>
        <w:div w:id="1012027295">
          <w:marLeft w:val="0"/>
          <w:marRight w:val="0"/>
          <w:marTop w:val="0"/>
          <w:marBottom w:val="0"/>
          <w:divBdr>
            <w:top w:val="none" w:sz="0" w:space="0" w:color="auto"/>
            <w:left w:val="none" w:sz="0" w:space="0" w:color="auto"/>
            <w:bottom w:val="none" w:sz="0" w:space="0" w:color="auto"/>
            <w:right w:val="none" w:sz="0" w:space="0" w:color="auto"/>
          </w:divBdr>
        </w:div>
        <w:div w:id="88352863">
          <w:marLeft w:val="0"/>
          <w:marRight w:val="0"/>
          <w:marTop w:val="0"/>
          <w:marBottom w:val="0"/>
          <w:divBdr>
            <w:top w:val="none" w:sz="0" w:space="0" w:color="auto"/>
            <w:left w:val="none" w:sz="0" w:space="0" w:color="auto"/>
            <w:bottom w:val="none" w:sz="0" w:space="0" w:color="auto"/>
            <w:right w:val="none" w:sz="0" w:space="0" w:color="auto"/>
          </w:divBdr>
        </w:div>
        <w:div w:id="831798721">
          <w:marLeft w:val="0"/>
          <w:marRight w:val="0"/>
          <w:marTop w:val="0"/>
          <w:marBottom w:val="0"/>
          <w:divBdr>
            <w:top w:val="none" w:sz="0" w:space="0" w:color="auto"/>
            <w:left w:val="none" w:sz="0" w:space="0" w:color="auto"/>
            <w:bottom w:val="none" w:sz="0" w:space="0" w:color="auto"/>
            <w:right w:val="none" w:sz="0" w:space="0" w:color="auto"/>
          </w:divBdr>
        </w:div>
        <w:div w:id="377097606">
          <w:marLeft w:val="0"/>
          <w:marRight w:val="0"/>
          <w:marTop w:val="0"/>
          <w:marBottom w:val="0"/>
          <w:divBdr>
            <w:top w:val="none" w:sz="0" w:space="0" w:color="auto"/>
            <w:left w:val="none" w:sz="0" w:space="0" w:color="auto"/>
            <w:bottom w:val="none" w:sz="0" w:space="0" w:color="auto"/>
            <w:right w:val="none" w:sz="0" w:space="0" w:color="auto"/>
          </w:divBdr>
        </w:div>
        <w:div w:id="67925593">
          <w:marLeft w:val="0"/>
          <w:marRight w:val="0"/>
          <w:marTop w:val="0"/>
          <w:marBottom w:val="0"/>
          <w:divBdr>
            <w:top w:val="none" w:sz="0" w:space="0" w:color="auto"/>
            <w:left w:val="none" w:sz="0" w:space="0" w:color="auto"/>
            <w:bottom w:val="none" w:sz="0" w:space="0" w:color="auto"/>
            <w:right w:val="none" w:sz="0" w:space="0" w:color="auto"/>
          </w:divBdr>
        </w:div>
        <w:div w:id="1929188289">
          <w:marLeft w:val="0"/>
          <w:marRight w:val="0"/>
          <w:marTop w:val="0"/>
          <w:marBottom w:val="0"/>
          <w:divBdr>
            <w:top w:val="none" w:sz="0" w:space="0" w:color="auto"/>
            <w:left w:val="none" w:sz="0" w:space="0" w:color="auto"/>
            <w:bottom w:val="none" w:sz="0" w:space="0" w:color="auto"/>
            <w:right w:val="none" w:sz="0" w:space="0" w:color="auto"/>
          </w:divBdr>
        </w:div>
        <w:div w:id="1627421589">
          <w:marLeft w:val="0"/>
          <w:marRight w:val="0"/>
          <w:marTop w:val="0"/>
          <w:marBottom w:val="0"/>
          <w:divBdr>
            <w:top w:val="none" w:sz="0" w:space="0" w:color="auto"/>
            <w:left w:val="none" w:sz="0" w:space="0" w:color="auto"/>
            <w:bottom w:val="none" w:sz="0" w:space="0" w:color="auto"/>
            <w:right w:val="none" w:sz="0" w:space="0" w:color="auto"/>
          </w:divBdr>
        </w:div>
      </w:divsChild>
    </w:div>
    <w:div w:id="1828587643">
      <w:bodyDiv w:val="1"/>
      <w:marLeft w:val="0"/>
      <w:marRight w:val="0"/>
      <w:marTop w:val="0"/>
      <w:marBottom w:val="0"/>
      <w:divBdr>
        <w:top w:val="none" w:sz="0" w:space="0" w:color="auto"/>
        <w:left w:val="none" w:sz="0" w:space="0" w:color="auto"/>
        <w:bottom w:val="none" w:sz="0" w:space="0" w:color="auto"/>
        <w:right w:val="none" w:sz="0" w:space="0" w:color="auto"/>
      </w:divBdr>
      <w:divsChild>
        <w:div w:id="1390037327">
          <w:marLeft w:val="0"/>
          <w:marRight w:val="0"/>
          <w:marTop w:val="0"/>
          <w:marBottom w:val="0"/>
          <w:divBdr>
            <w:top w:val="none" w:sz="0" w:space="0" w:color="auto"/>
            <w:left w:val="none" w:sz="0" w:space="0" w:color="auto"/>
            <w:bottom w:val="none" w:sz="0" w:space="0" w:color="auto"/>
            <w:right w:val="none" w:sz="0" w:space="0" w:color="auto"/>
          </w:divBdr>
        </w:div>
        <w:div w:id="979771817">
          <w:marLeft w:val="0"/>
          <w:marRight w:val="0"/>
          <w:marTop w:val="0"/>
          <w:marBottom w:val="0"/>
          <w:divBdr>
            <w:top w:val="none" w:sz="0" w:space="0" w:color="auto"/>
            <w:left w:val="none" w:sz="0" w:space="0" w:color="auto"/>
            <w:bottom w:val="none" w:sz="0" w:space="0" w:color="auto"/>
            <w:right w:val="none" w:sz="0" w:space="0" w:color="auto"/>
          </w:divBdr>
        </w:div>
        <w:div w:id="2058238109">
          <w:marLeft w:val="0"/>
          <w:marRight w:val="0"/>
          <w:marTop w:val="0"/>
          <w:marBottom w:val="0"/>
          <w:divBdr>
            <w:top w:val="none" w:sz="0" w:space="0" w:color="auto"/>
            <w:left w:val="none" w:sz="0" w:space="0" w:color="auto"/>
            <w:bottom w:val="none" w:sz="0" w:space="0" w:color="auto"/>
            <w:right w:val="none" w:sz="0" w:space="0" w:color="auto"/>
          </w:divBdr>
        </w:div>
        <w:div w:id="683020238">
          <w:marLeft w:val="0"/>
          <w:marRight w:val="0"/>
          <w:marTop w:val="0"/>
          <w:marBottom w:val="0"/>
          <w:divBdr>
            <w:top w:val="none" w:sz="0" w:space="0" w:color="auto"/>
            <w:left w:val="none" w:sz="0" w:space="0" w:color="auto"/>
            <w:bottom w:val="none" w:sz="0" w:space="0" w:color="auto"/>
            <w:right w:val="none" w:sz="0" w:space="0" w:color="auto"/>
          </w:divBdr>
        </w:div>
        <w:div w:id="1138181425">
          <w:marLeft w:val="0"/>
          <w:marRight w:val="0"/>
          <w:marTop w:val="0"/>
          <w:marBottom w:val="0"/>
          <w:divBdr>
            <w:top w:val="none" w:sz="0" w:space="0" w:color="auto"/>
            <w:left w:val="none" w:sz="0" w:space="0" w:color="auto"/>
            <w:bottom w:val="none" w:sz="0" w:space="0" w:color="auto"/>
            <w:right w:val="none" w:sz="0" w:space="0" w:color="auto"/>
          </w:divBdr>
        </w:div>
        <w:div w:id="2115444520">
          <w:marLeft w:val="0"/>
          <w:marRight w:val="0"/>
          <w:marTop w:val="0"/>
          <w:marBottom w:val="0"/>
          <w:divBdr>
            <w:top w:val="none" w:sz="0" w:space="0" w:color="auto"/>
            <w:left w:val="none" w:sz="0" w:space="0" w:color="auto"/>
            <w:bottom w:val="none" w:sz="0" w:space="0" w:color="auto"/>
            <w:right w:val="none" w:sz="0" w:space="0" w:color="auto"/>
          </w:divBdr>
        </w:div>
        <w:div w:id="47998000">
          <w:marLeft w:val="0"/>
          <w:marRight w:val="0"/>
          <w:marTop w:val="0"/>
          <w:marBottom w:val="0"/>
          <w:divBdr>
            <w:top w:val="none" w:sz="0" w:space="0" w:color="auto"/>
            <w:left w:val="none" w:sz="0" w:space="0" w:color="auto"/>
            <w:bottom w:val="none" w:sz="0" w:space="0" w:color="auto"/>
            <w:right w:val="none" w:sz="0" w:space="0" w:color="auto"/>
          </w:divBdr>
        </w:div>
        <w:div w:id="1740012440">
          <w:marLeft w:val="0"/>
          <w:marRight w:val="0"/>
          <w:marTop w:val="0"/>
          <w:marBottom w:val="0"/>
          <w:divBdr>
            <w:top w:val="none" w:sz="0" w:space="0" w:color="auto"/>
            <w:left w:val="none" w:sz="0" w:space="0" w:color="auto"/>
            <w:bottom w:val="none" w:sz="0" w:space="0" w:color="auto"/>
            <w:right w:val="none" w:sz="0" w:space="0" w:color="auto"/>
          </w:divBdr>
        </w:div>
        <w:div w:id="1404838283">
          <w:marLeft w:val="0"/>
          <w:marRight w:val="0"/>
          <w:marTop w:val="0"/>
          <w:marBottom w:val="0"/>
          <w:divBdr>
            <w:top w:val="none" w:sz="0" w:space="0" w:color="auto"/>
            <w:left w:val="none" w:sz="0" w:space="0" w:color="auto"/>
            <w:bottom w:val="none" w:sz="0" w:space="0" w:color="auto"/>
            <w:right w:val="none" w:sz="0" w:space="0" w:color="auto"/>
          </w:divBdr>
        </w:div>
        <w:div w:id="1995059852">
          <w:marLeft w:val="0"/>
          <w:marRight w:val="0"/>
          <w:marTop w:val="0"/>
          <w:marBottom w:val="0"/>
          <w:divBdr>
            <w:top w:val="none" w:sz="0" w:space="0" w:color="auto"/>
            <w:left w:val="none" w:sz="0" w:space="0" w:color="auto"/>
            <w:bottom w:val="none" w:sz="0" w:space="0" w:color="auto"/>
            <w:right w:val="none" w:sz="0" w:space="0" w:color="auto"/>
          </w:divBdr>
        </w:div>
        <w:div w:id="1072198135">
          <w:marLeft w:val="0"/>
          <w:marRight w:val="0"/>
          <w:marTop w:val="0"/>
          <w:marBottom w:val="0"/>
          <w:divBdr>
            <w:top w:val="none" w:sz="0" w:space="0" w:color="auto"/>
            <w:left w:val="none" w:sz="0" w:space="0" w:color="auto"/>
            <w:bottom w:val="none" w:sz="0" w:space="0" w:color="auto"/>
            <w:right w:val="none" w:sz="0" w:space="0" w:color="auto"/>
          </w:divBdr>
        </w:div>
        <w:div w:id="952637760">
          <w:marLeft w:val="0"/>
          <w:marRight w:val="0"/>
          <w:marTop w:val="0"/>
          <w:marBottom w:val="0"/>
          <w:divBdr>
            <w:top w:val="none" w:sz="0" w:space="0" w:color="auto"/>
            <w:left w:val="none" w:sz="0" w:space="0" w:color="auto"/>
            <w:bottom w:val="none" w:sz="0" w:space="0" w:color="auto"/>
            <w:right w:val="none" w:sz="0" w:space="0" w:color="auto"/>
          </w:divBdr>
        </w:div>
        <w:div w:id="870654728">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757319">
      <w:bodyDiv w:val="1"/>
      <w:marLeft w:val="0"/>
      <w:marRight w:val="0"/>
      <w:marTop w:val="0"/>
      <w:marBottom w:val="0"/>
      <w:divBdr>
        <w:top w:val="none" w:sz="0" w:space="0" w:color="auto"/>
        <w:left w:val="none" w:sz="0" w:space="0" w:color="auto"/>
        <w:bottom w:val="none" w:sz="0" w:space="0" w:color="auto"/>
        <w:right w:val="none" w:sz="0" w:space="0" w:color="auto"/>
      </w:divBdr>
      <w:divsChild>
        <w:div w:id="955911545">
          <w:marLeft w:val="0"/>
          <w:marRight w:val="0"/>
          <w:marTop w:val="0"/>
          <w:marBottom w:val="0"/>
          <w:divBdr>
            <w:top w:val="none" w:sz="0" w:space="0" w:color="auto"/>
            <w:left w:val="none" w:sz="0" w:space="0" w:color="auto"/>
            <w:bottom w:val="none" w:sz="0" w:space="0" w:color="auto"/>
            <w:right w:val="none" w:sz="0" w:space="0" w:color="auto"/>
          </w:divBdr>
        </w:div>
      </w:divsChild>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7811308">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053148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3514367">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2194929">
      <w:bodyDiv w:val="1"/>
      <w:marLeft w:val="0"/>
      <w:marRight w:val="0"/>
      <w:marTop w:val="0"/>
      <w:marBottom w:val="0"/>
      <w:divBdr>
        <w:top w:val="none" w:sz="0" w:space="0" w:color="auto"/>
        <w:left w:val="none" w:sz="0" w:space="0" w:color="auto"/>
        <w:bottom w:val="none" w:sz="0" w:space="0" w:color="auto"/>
        <w:right w:val="none" w:sz="0" w:space="0" w:color="auto"/>
      </w:divBdr>
      <w:divsChild>
        <w:div w:id="243875884">
          <w:marLeft w:val="0"/>
          <w:marRight w:val="0"/>
          <w:marTop w:val="0"/>
          <w:marBottom w:val="0"/>
          <w:divBdr>
            <w:top w:val="none" w:sz="0" w:space="0" w:color="auto"/>
            <w:left w:val="none" w:sz="0" w:space="0" w:color="auto"/>
            <w:bottom w:val="none" w:sz="0" w:space="0" w:color="auto"/>
            <w:right w:val="none" w:sz="0" w:space="0" w:color="auto"/>
          </w:divBdr>
        </w:div>
      </w:divsChild>
    </w:div>
    <w:div w:id="2003238968">
      <w:bodyDiv w:val="1"/>
      <w:marLeft w:val="0"/>
      <w:marRight w:val="0"/>
      <w:marTop w:val="0"/>
      <w:marBottom w:val="0"/>
      <w:divBdr>
        <w:top w:val="none" w:sz="0" w:space="0" w:color="auto"/>
        <w:left w:val="none" w:sz="0" w:space="0" w:color="auto"/>
        <w:bottom w:val="none" w:sz="0" w:space="0" w:color="auto"/>
        <w:right w:val="none" w:sz="0" w:space="0" w:color="auto"/>
      </w:divBdr>
    </w:div>
    <w:div w:id="2003577743">
      <w:bodyDiv w:val="1"/>
      <w:marLeft w:val="0"/>
      <w:marRight w:val="0"/>
      <w:marTop w:val="0"/>
      <w:marBottom w:val="0"/>
      <w:divBdr>
        <w:top w:val="none" w:sz="0" w:space="0" w:color="auto"/>
        <w:left w:val="none" w:sz="0" w:space="0" w:color="auto"/>
        <w:bottom w:val="none" w:sz="0" w:space="0" w:color="auto"/>
        <w:right w:val="none" w:sz="0" w:space="0" w:color="auto"/>
      </w:divBdr>
      <w:divsChild>
        <w:div w:id="2015989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878232">
      <w:bodyDiv w:val="1"/>
      <w:marLeft w:val="0"/>
      <w:marRight w:val="0"/>
      <w:marTop w:val="0"/>
      <w:marBottom w:val="0"/>
      <w:divBdr>
        <w:top w:val="none" w:sz="0" w:space="0" w:color="auto"/>
        <w:left w:val="none" w:sz="0" w:space="0" w:color="auto"/>
        <w:bottom w:val="none" w:sz="0" w:space="0" w:color="auto"/>
        <w:right w:val="none" w:sz="0" w:space="0" w:color="auto"/>
      </w:divBdr>
    </w:div>
    <w:div w:id="2013029350">
      <w:bodyDiv w:val="1"/>
      <w:marLeft w:val="0"/>
      <w:marRight w:val="0"/>
      <w:marTop w:val="0"/>
      <w:marBottom w:val="0"/>
      <w:divBdr>
        <w:top w:val="none" w:sz="0" w:space="0" w:color="auto"/>
        <w:left w:val="none" w:sz="0" w:space="0" w:color="auto"/>
        <w:bottom w:val="none" w:sz="0" w:space="0" w:color="auto"/>
        <w:right w:val="none" w:sz="0" w:space="0" w:color="auto"/>
      </w:divBdr>
      <w:divsChild>
        <w:div w:id="471142928">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949142">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2899910">
      <w:bodyDiv w:val="1"/>
      <w:marLeft w:val="0"/>
      <w:marRight w:val="0"/>
      <w:marTop w:val="0"/>
      <w:marBottom w:val="0"/>
      <w:divBdr>
        <w:top w:val="none" w:sz="0" w:space="0" w:color="auto"/>
        <w:left w:val="none" w:sz="0" w:space="0" w:color="auto"/>
        <w:bottom w:val="none" w:sz="0" w:space="0" w:color="auto"/>
        <w:right w:val="none" w:sz="0" w:space="0" w:color="auto"/>
      </w:divBdr>
    </w:div>
    <w:div w:id="2069380891">
      <w:bodyDiv w:val="1"/>
      <w:marLeft w:val="0"/>
      <w:marRight w:val="0"/>
      <w:marTop w:val="0"/>
      <w:marBottom w:val="0"/>
      <w:divBdr>
        <w:top w:val="none" w:sz="0" w:space="0" w:color="auto"/>
        <w:left w:val="none" w:sz="0" w:space="0" w:color="auto"/>
        <w:bottom w:val="none" w:sz="0" w:space="0" w:color="auto"/>
        <w:right w:val="none" w:sz="0" w:space="0" w:color="auto"/>
      </w:divBdr>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07783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5149988">
      <w:bodyDiv w:val="1"/>
      <w:marLeft w:val="0"/>
      <w:marRight w:val="0"/>
      <w:marTop w:val="0"/>
      <w:marBottom w:val="0"/>
      <w:divBdr>
        <w:top w:val="none" w:sz="0" w:space="0" w:color="auto"/>
        <w:left w:val="none" w:sz="0" w:space="0" w:color="auto"/>
        <w:bottom w:val="none" w:sz="0" w:space="0" w:color="auto"/>
        <w:right w:val="none" w:sz="0" w:space="0" w:color="auto"/>
      </w:divBdr>
    </w:div>
    <w:div w:id="2127767602">
      <w:bodyDiv w:val="1"/>
      <w:marLeft w:val="0"/>
      <w:marRight w:val="0"/>
      <w:marTop w:val="0"/>
      <w:marBottom w:val="0"/>
      <w:divBdr>
        <w:top w:val="none" w:sz="0" w:space="0" w:color="auto"/>
        <w:left w:val="none" w:sz="0" w:space="0" w:color="auto"/>
        <w:bottom w:val="none" w:sz="0" w:space="0" w:color="auto"/>
        <w:right w:val="none" w:sz="0" w:space="0" w:color="auto"/>
      </w:divBdr>
      <w:divsChild>
        <w:div w:id="112018647">
          <w:marLeft w:val="0"/>
          <w:marRight w:val="0"/>
          <w:marTop w:val="0"/>
          <w:marBottom w:val="0"/>
          <w:divBdr>
            <w:top w:val="none" w:sz="0" w:space="0" w:color="auto"/>
            <w:left w:val="none" w:sz="0" w:space="0" w:color="auto"/>
            <w:bottom w:val="none" w:sz="0" w:space="0" w:color="auto"/>
            <w:right w:val="none" w:sz="0" w:space="0" w:color="auto"/>
          </w:divBdr>
        </w:div>
      </w:divsChild>
    </w:div>
    <w:div w:id="2129472131">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89239">
      <w:bodyDiv w:val="1"/>
      <w:marLeft w:val="0"/>
      <w:marRight w:val="0"/>
      <w:marTop w:val="0"/>
      <w:marBottom w:val="0"/>
      <w:divBdr>
        <w:top w:val="none" w:sz="0" w:space="0" w:color="auto"/>
        <w:left w:val="none" w:sz="0" w:space="0" w:color="auto"/>
        <w:bottom w:val="none" w:sz="0" w:space="0" w:color="auto"/>
        <w:right w:val="none" w:sz="0" w:space="0" w:color="auto"/>
      </w:divBdr>
      <w:divsChild>
        <w:div w:id="1680886729">
          <w:marLeft w:val="0"/>
          <w:marRight w:val="0"/>
          <w:marTop w:val="0"/>
          <w:marBottom w:val="0"/>
          <w:divBdr>
            <w:top w:val="none" w:sz="0" w:space="0" w:color="auto"/>
            <w:left w:val="none" w:sz="0" w:space="0" w:color="auto"/>
            <w:bottom w:val="none" w:sz="0" w:space="0" w:color="auto"/>
            <w:right w:val="none" w:sz="0" w:space="0" w:color="auto"/>
          </w:divBdr>
          <w:divsChild>
            <w:div w:id="1924677549">
              <w:marLeft w:val="0"/>
              <w:marRight w:val="0"/>
              <w:marTop w:val="0"/>
              <w:marBottom w:val="0"/>
              <w:divBdr>
                <w:top w:val="none" w:sz="0" w:space="0" w:color="auto"/>
                <w:left w:val="none" w:sz="0" w:space="0" w:color="auto"/>
                <w:bottom w:val="none" w:sz="0" w:space="0" w:color="auto"/>
                <w:right w:val="none" w:sz="0" w:space="0" w:color="auto"/>
              </w:divBdr>
              <w:divsChild>
                <w:div w:id="1153332342">
                  <w:marLeft w:val="0"/>
                  <w:marRight w:val="0"/>
                  <w:marTop w:val="0"/>
                  <w:marBottom w:val="0"/>
                  <w:divBdr>
                    <w:top w:val="none" w:sz="0" w:space="0" w:color="auto"/>
                    <w:left w:val="none" w:sz="0" w:space="0" w:color="auto"/>
                    <w:bottom w:val="none" w:sz="0" w:space="0" w:color="auto"/>
                    <w:right w:val="none" w:sz="0" w:space="0" w:color="auto"/>
                  </w:divBdr>
                  <w:divsChild>
                    <w:div w:id="1898585652">
                      <w:marLeft w:val="0"/>
                      <w:marRight w:val="0"/>
                      <w:marTop w:val="0"/>
                      <w:marBottom w:val="0"/>
                      <w:divBdr>
                        <w:top w:val="none" w:sz="0" w:space="0" w:color="auto"/>
                        <w:left w:val="none" w:sz="0" w:space="0" w:color="auto"/>
                        <w:bottom w:val="none" w:sz="0" w:space="0" w:color="auto"/>
                        <w:right w:val="none" w:sz="0" w:space="0" w:color="auto"/>
                      </w:divBdr>
                      <w:divsChild>
                        <w:div w:id="2040858567">
                          <w:marLeft w:val="0"/>
                          <w:marRight w:val="0"/>
                          <w:marTop w:val="0"/>
                          <w:marBottom w:val="0"/>
                          <w:divBdr>
                            <w:top w:val="none" w:sz="0" w:space="0" w:color="auto"/>
                            <w:left w:val="none" w:sz="0" w:space="0" w:color="auto"/>
                            <w:bottom w:val="none" w:sz="0" w:space="0" w:color="auto"/>
                            <w:right w:val="none" w:sz="0" w:space="0" w:color="auto"/>
                          </w:divBdr>
                          <w:divsChild>
                            <w:div w:id="709765463">
                              <w:marLeft w:val="0"/>
                              <w:marRight w:val="0"/>
                              <w:marTop w:val="0"/>
                              <w:marBottom w:val="0"/>
                              <w:divBdr>
                                <w:top w:val="none" w:sz="0" w:space="0" w:color="auto"/>
                                <w:left w:val="none" w:sz="0" w:space="0" w:color="auto"/>
                                <w:bottom w:val="none" w:sz="0" w:space="0" w:color="auto"/>
                                <w:right w:val="none" w:sz="0" w:space="0" w:color="auto"/>
                              </w:divBdr>
                              <w:divsChild>
                                <w:div w:id="87080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17285A2-25F1-40C4-9AE7-77BDD8D59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11775</Words>
  <Characters>67118</Characters>
  <Application>Microsoft Office Word</Application>
  <DocSecurity>0</DocSecurity>
  <Lines>559</Lines>
  <Paragraphs>157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2026-03-04T12:47:00Z</cp:lastPrinted>
  <dcterms:created xsi:type="dcterms:W3CDTF">2026-03-04T12:49:00Z</dcterms:created>
  <dcterms:modified xsi:type="dcterms:W3CDTF">2026-03-04T12:49:00Z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