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rPr>
          <w:rFonts w:ascii="Simplified Arabic" w:cs="Simplified Arabic" w:hAnsi="Simplified Arabic"/>
          <w:b/>
          <w:bCs/>
          <w:sz w:val="32"/>
          <w:szCs w:val="32"/>
          <w:lang w:bidi="ar-EG"/>
        </w:rPr>
      </w:pPr>
      <w:r>
        <w:rPr>
          <w:rFonts w:ascii="Simplified Arabic" w:cs="Simplified Arabic" w:hAnsi="Simplified Arabic"/>
          <w:b/>
          <w:bCs/>
          <w:sz w:val="32"/>
          <w:szCs w:val="32"/>
          <w:lang w:bidi="ar-EG"/>
          <w:rtl/>
        </w:rPr>
        <w:t xml:space="preserve">جامعة ميدأوشن </w:t>
      </w:r>
    </w:p>
    <w:p>
      <w:pPr>
        <w:spacing w:line="360" w:lineRule="auto"/>
        <w:rPr>
          <w:rFonts w:ascii="Simplified Arabic" w:cs="Simplified Arabic" w:hAnsi="Simplified Arabic"/>
          <w:b/>
          <w:bCs/>
          <w:sz w:val="32"/>
          <w:szCs w:val="32"/>
          <w:lang w:bidi="ar-EG"/>
          <w:rtl/>
        </w:rPr>
      </w:pPr>
      <w:r>
        <w:rPr>
          <w:rFonts w:ascii="Simplified Arabic" w:cs="Simplified Arabic" w:hAnsi="Simplified Arabic"/>
          <w:sz w:val="32"/>
          <w:szCs w:val="32"/>
        </w:rPr>
        <w:drawing>
          <wp:anchor distT="0" distB="0" distL="114300" distR="114300" simplePos="0" relativeHeight="10" behindDoc="0" locked="0" layoutInCell="1" hidden="0" allowOverlap="1">
            <wp:simplePos x="0" y="0"/>
            <wp:positionH relativeFrom="margin">
              <wp:posOffset>-695325</wp:posOffset>
            </wp:positionH>
            <wp:positionV relativeFrom="margin">
              <wp:posOffset>-276225</wp:posOffset>
            </wp:positionV>
            <wp:extent cx="2227152" cy="2066925"/>
            <wp:effectExtent l="0" t="0" r="0" b="0"/>
            <wp:wrapSquare wrapText="bothSides"/>
            <wp:docPr id="1" name="Images 1" descr="A logo for a university&#10;&#10;Description automatically generated"/>
            <wp:cNvGraphicFramePr>
              <a:graphicFrameLocks noChangeAspect="1"/>
            </wp:cNvGraphicFramePr>
            <a:graphic>
              <a:graphicData uri="http://schemas.openxmlformats.org/drawingml/2006/picture">
                <pic:pic>
                  <pic:nvPicPr>
                    <pic:cNvPr id="3" name="Images 3"/>
                    <pic:cNvPicPr/>
                  </pic:nvPicPr>
                  <pic:blipFill>
                    <a:blip r:embed="rId4"/>
                    <a:stretch>
                      <a:fillRect/>
                    </a:stretch>
                  </pic:blipFill>
                  <pic:spPr>
                    <a:xfrm rot="0">
                      <a:off x="0" y="0"/>
                      <a:ext cx="2227152" cy="2066925"/>
                    </a:xfrm>
                    <a:prstGeom prst="rect"/>
                    <a:noFill/>
                    <a:ln w="12700" cmpd="sng" cap="flat">
                      <a:noFill/>
                      <a:prstDash val="solid"/>
                      <a:miter/>
                    </a:ln>
                  </pic:spPr>
                </pic:pic>
              </a:graphicData>
            </a:graphic>
          </wp:anchor>
        </w:drawing>
      </w:r>
      <w:r>
        <w:rPr>
          <w:rFonts w:ascii="Simplified Arabic" w:cs="Simplified Arabic" w:hAnsi="Simplified Arabic"/>
          <w:b/>
          <w:bCs/>
          <w:sz w:val="32"/>
          <w:szCs w:val="32"/>
          <w:lang w:bidi="ar-EG"/>
          <w:rtl/>
        </w:rPr>
        <w:t xml:space="preserve">كلية الإدارة </w:t>
      </w:r>
    </w:p>
    <w:p>
      <w:pPr>
        <w:spacing w:line="360" w:lineRule="auto"/>
        <w:rPr>
          <w:rFonts w:ascii="Simplified Arabic" w:cs="Simplified Arabic" w:hAnsi="Simplified Arabic"/>
          <w:b/>
          <w:bCs/>
          <w:sz w:val="32"/>
          <w:szCs w:val="32"/>
          <w:lang w:bidi="ar-EG"/>
          <w:rtl/>
        </w:rPr>
      </w:pPr>
      <w:r>
        <w:rPr>
          <w:rFonts w:ascii="Simplified Arabic" w:cs="Simplified Arabic" w:hAnsi="Simplified Arabic"/>
          <w:b/>
          <w:bCs/>
          <w:sz w:val="32"/>
          <w:szCs w:val="32"/>
          <w:lang w:bidi="ar-EG"/>
          <w:rtl/>
        </w:rPr>
        <w:t xml:space="preserve">قسم / تخصص. ماجستير إدارة المخاطر </w:t>
      </w:r>
    </w:p>
    <w:p>
      <w:pPr>
        <w:spacing w:line="360" w:lineRule="auto"/>
        <w:rPr>
          <w:rFonts w:ascii="Simplified Arabic" w:cs="Simplified Arabic" w:hAnsi="Simplified Arabic"/>
          <w:b/>
          <w:bCs/>
          <w:sz w:val="32"/>
          <w:szCs w:val="32"/>
          <w:lang w:bidi="ar-EG"/>
          <w:rtl/>
        </w:rPr>
      </w:pPr>
    </w:p>
    <w:p>
      <w:pPr>
        <w:spacing w:line="360" w:lineRule="auto"/>
        <w:jc w:val="center"/>
        <w:rPr>
          <w:rFonts w:ascii="Simplified Arabic" w:cs="Simplified Arabic" w:hAnsi="Simplified Arabic"/>
          <w:b/>
          <w:bCs/>
          <w:sz w:val="32"/>
          <w:szCs w:val="32"/>
          <w:lang w:bidi="ar-EG"/>
          <w:rtl/>
        </w:rPr>
      </w:pPr>
      <w:r>
        <w:rPr>
          <w:rFonts w:ascii="Simplified Arabic" w:cs="Simplified Arabic" w:hAnsi="Simplified Arabic"/>
          <w:b/>
          <w:bCs/>
          <w:sz w:val="32"/>
          <w:szCs w:val="32"/>
          <w:lang w:bidi="ar-EG"/>
          <w:rtl/>
        </w:rPr>
        <w:t>عنوان البحث</w:t>
      </w:r>
    </w:p>
    <w:p>
      <w:pPr>
        <w:spacing w:line="360" w:lineRule="auto"/>
        <w:jc w:val="center"/>
        <w:rPr>
          <w:rFonts w:ascii="Simplified Arabic" w:cs="Simplified Arabic" w:hAnsi="Simplified Arabic"/>
          <w:sz w:val="32"/>
          <w:szCs w:val="32"/>
          <w:lang w:bidi="ar-EG"/>
          <w:rtl/>
        </w:rPr>
      </w:pPr>
      <w:r>
        <w:rPr>
          <w:rFonts w:ascii="Simplified Arabic" w:cs="Simplified Arabic" w:hAnsi="Simplified Arabic"/>
          <w:sz w:val="32"/>
          <w:szCs w:val="32"/>
          <w:lang w:bidi="ar-EG"/>
          <w:rtl/>
        </w:rPr>
        <w:t>دور إدارة المخاطر في تعزيز حوكمة الشركات وتحقيق الاستدامة المالية في الشركات المساهمة السعودية.</w:t>
      </w:r>
    </w:p>
    <w:p>
      <w:pPr>
        <w:spacing w:line="360" w:lineRule="auto"/>
        <w:jc w:val="center"/>
        <w:rPr>
          <w:rFonts w:ascii="Simplified Arabic" w:cs="Simplified Arabic" w:hAnsi="Simplified Arabic"/>
          <w:b/>
          <w:bCs/>
          <w:sz w:val="32"/>
          <w:szCs w:val="32"/>
          <w:lang w:bidi="ar-EG"/>
          <w:rtl/>
        </w:rPr>
      </w:pPr>
      <w:r>
        <w:rPr>
          <w:rFonts w:ascii="Simplified Arabic" w:cs="Simplified Arabic" w:hAnsi="Simplified Arabic"/>
          <w:sz w:val="32"/>
          <w:szCs w:val="32"/>
          <w:lang w:bidi="ar-EG"/>
          <w:rtl/>
        </w:rPr>
        <w:t xml:space="preserve">إعداد الطالب / </w:t>
      </w:r>
      <w:r>
        <w:rPr>
          <w:rFonts w:ascii="Simplified Arabic" w:cs="Simplified Arabic" w:hAnsi="Simplified Arabic"/>
          <w:b/>
          <w:bCs/>
          <w:sz w:val="32"/>
          <w:szCs w:val="32"/>
          <w:lang w:bidi="ar-EG"/>
          <w:rtl/>
        </w:rPr>
        <w:t>عبدالمجيد عبدالله الفوزان</w:t>
      </w:r>
    </w:p>
    <w:p>
      <w:pPr>
        <w:spacing w:line="360" w:lineRule="auto"/>
        <w:jc w:val="center"/>
        <w:rPr>
          <w:rFonts w:ascii="Simplified Arabic" w:cs="Simplified Arabic" w:hAnsi="Simplified Arabic"/>
          <w:b/>
          <w:bCs/>
          <w:sz w:val="32"/>
          <w:szCs w:val="32"/>
          <w:lang w:bidi="ar-EG"/>
          <w:rtl/>
        </w:rPr>
      </w:pPr>
      <w:r>
        <w:rPr>
          <w:rFonts w:ascii="Simplified Arabic" w:cs="Simplified Arabic" w:hAnsi="Simplified Arabic"/>
          <w:b/>
          <w:bCs/>
          <w:sz w:val="32"/>
          <w:szCs w:val="32"/>
          <w:lang w:bidi="ar-EG"/>
          <w:rtl/>
        </w:rPr>
        <w:t>إشراف/</w:t>
      </w:r>
    </w:p>
    <w:p>
      <w:pPr>
        <w:spacing w:line="360" w:lineRule="auto"/>
        <w:jc w:val="center"/>
        <w:rPr>
          <w:rFonts w:ascii="Simplified Arabic" w:cs="Simplified Arabic" w:hAnsi="Simplified Arabic"/>
          <w:b/>
          <w:bCs/>
          <w:sz w:val="32"/>
          <w:szCs w:val="32"/>
          <w:lang w:bidi="ar-EG"/>
          <w:rtl/>
        </w:rPr>
      </w:pPr>
      <w:r>
        <w:rPr>
          <w:rFonts w:ascii="Simplified Arabic" w:cs="Simplified Arabic" w:hAnsi="Simplified Arabic"/>
          <w:b/>
          <w:bCs/>
          <w:sz w:val="32"/>
          <w:szCs w:val="32"/>
          <w:lang w:bidi="ar-EG"/>
          <w:rtl/>
        </w:rPr>
        <w:t>د.الفيصل  عبدالحميد محمد</w:t>
      </w:r>
    </w:p>
    <w:p>
      <w:pPr>
        <w:spacing w:line="360" w:lineRule="auto"/>
        <w:jc w:val="center"/>
        <w:rPr>
          <w:rFonts w:ascii="Simplified Arabic" w:cs="Simplified Arabic" w:hAnsi="Simplified Arabic"/>
          <w:b/>
          <w:bCs/>
          <w:sz w:val="32"/>
          <w:szCs w:val="32"/>
          <w:lang w:bidi="ar-EG"/>
          <w:rtl/>
        </w:rPr>
      </w:pPr>
      <w:r>
        <w:rPr>
          <w:rFonts w:ascii="Simplified Arabic" w:cs="Simplified Arabic" w:hAnsi="Simplified Arabic"/>
          <w:b/>
          <w:bCs/>
          <w:sz w:val="32"/>
          <w:szCs w:val="32"/>
          <w:lang w:bidi="ar-EG"/>
          <w:rtl/>
        </w:rPr>
        <w:t>د</w:t>
      </w:r>
      <w:r>
        <w:rPr>
          <w:rFonts w:ascii="Simplified Arabic" w:cs="Simplified Arabic" w:hAnsi="Simplified Arabic"/>
          <w:b/>
          <w:bCs/>
          <w:sz w:val="32"/>
          <w:szCs w:val="32"/>
          <w:lang w:bidi="ar-EG"/>
        </w:rPr>
        <w:t>.</w:t>
      </w:r>
      <w:bookmarkStart w:id="0" w:name="_GoBack"/>
      <w:bookmarkEnd w:id="0"/>
      <w:r>
        <w:rPr>
          <w:rFonts w:ascii="Simplified Arabic" w:cs="Simplified Arabic" w:hAnsi="Simplified Arabic"/>
          <w:b/>
          <w:bCs/>
          <w:sz w:val="32"/>
          <w:szCs w:val="32"/>
          <w:lang w:bidi="ar-EG"/>
          <w:rtl/>
        </w:rPr>
        <w:t>فايز علي الجراد</w:t>
      </w:r>
    </w:p>
    <w:p>
      <w:pPr>
        <w:spacing w:line="360" w:lineRule="auto"/>
        <w:rPr>
          <w:rFonts w:ascii="Simplified Arabic" w:cs="Simplified Arabic" w:hAnsi="Simplified Arabic"/>
          <w:b/>
          <w:bCs/>
          <w:sz w:val="32"/>
          <w:szCs w:val="32"/>
          <w:lang w:bidi="ar-EG"/>
          <w:rtl/>
        </w:rPr>
      </w:pPr>
    </w:p>
    <w:p>
      <w:pPr>
        <w:spacing w:line="360" w:lineRule="auto"/>
        <w:jc w:val="center"/>
        <w:rPr>
          <w:rFonts w:ascii="Simplified Arabic" w:cs="Simplified Arabic" w:hAnsi="Simplified Arabic"/>
          <w:b/>
          <w:bCs/>
          <w:sz w:val="32"/>
          <w:szCs w:val="32"/>
          <w:lang w:bidi="ar-EG"/>
          <w:rtl/>
        </w:rPr>
      </w:pPr>
      <w:r>
        <w:rPr>
          <w:rFonts w:ascii="Simplified Arabic" w:cs="Simplified Arabic" w:hAnsi="Simplified Arabic"/>
          <w:b/>
          <w:bCs/>
          <w:sz w:val="32"/>
          <w:szCs w:val="32"/>
          <w:lang w:bidi="ar-EG"/>
          <w:rtl/>
        </w:rPr>
        <w:t>العام الدراسي:</w:t>
      </w:r>
    </w:p>
    <w:p>
      <w:pPr>
        <w:spacing w:line="360" w:lineRule="auto"/>
        <w:jc w:val="center"/>
        <w:rPr>
          <w:rFonts w:ascii="Simplified Arabic" w:cs="Simplified Arabic" w:hAnsi="Simplified Arabic"/>
          <w:b/>
          <w:bCs/>
          <w:sz w:val="32"/>
          <w:szCs w:val="32"/>
          <w:lang w:bidi="ar-EG"/>
          <w:rtl/>
        </w:rPr>
      </w:pPr>
      <w:r>
        <w:rPr>
          <w:rFonts w:ascii="Simplified Arabic" w:cs="Simplified Arabic" w:hAnsi="Simplified Arabic"/>
          <w:b/>
          <w:bCs/>
          <w:sz w:val="32"/>
          <w:szCs w:val="32"/>
          <w:lang w:bidi="ar-EG"/>
          <w:rtl/>
        </w:rPr>
        <w:t>٢٠٢٦</w:t>
      </w:r>
    </w:p>
    <w:p>
      <w:pPr>
        <w:pStyle w:val="1"/>
        <w:bidi/>
        <w:spacing w:before="0" w:beforeAutospacing="0" w:after="120" w:afterAutospacing="0" w:line="360" w:lineRule="auto"/>
        <w:rPr>
          <w:rFonts w:ascii="Simplified Arabic" w:eastAsia="Times New Roman" w:cs="Simplified Arabic" w:hAnsi="Simplified Arabic"/>
          <w:color w:val="1B1C1D"/>
          <w:sz w:val="32"/>
          <w:szCs w:val="32"/>
        </w:rPr>
      </w:pPr>
    </w:p>
    <w:p>
      <w:pPr>
        <w:pStyle w:val="2"/>
        <w:spacing w:before="0" w:after="120" w:line="360" w:lineRule="auto"/>
        <w:rPr>
          <w:rFonts w:ascii="Simplified Arabic" w:eastAsia="Times New Roman" w:cs="Simplified Arabic" w:hAnsi="Simplified Arabic"/>
          <w:color w:val="1B1C1D"/>
          <w:rtl/>
        </w:rPr>
      </w:pPr>
    </w:p>
    <w:p>
      <w:pPr>
        <w:pStyle w:val="2"/>
        <w:spacing w:before="0" w:after="120" w:line="360" w:lineRule="auto"/>
        <w:rPr>
          <w:rFonts w:ascii="Simplified Arabic" w:eastAsia="Times New Roman" w:cs="Simplified Arabic" w:hAnsi="Simplified Arabic"/>
          <w:color w:val="1B1C1D"/>
          <w:rtl/>
        </w:rPr>
      </w:pPr>
    </w:p>
    <w:p>
      <w:pPr>
        <w:pStyle w:val="2"/>
        <w:spacing w:before="0" w:after="120" w:line="360" w:lineRule="auto"/>
        <w:rPr>
          <w:rFonts w:ascii="Simplified Arabic" w:eastAsia="Times New Roman" w:cs="Simplified Arabic" w:hAnsi="Simplified Arabic"/>
          <w:color w:val="1B1C1D"/>
          <w:rtl/>
        </w:rPr>
      </w:pPr>
    </w:p>
    <w:p>
      <w:pPr>
        <w:pStyle w:val="2"/>
        <w:spacing w:before="0" w:after="120" w:line="360" w:lineRule="auto"/>
        <w:rPr>
          <w:rFonts w:ascii="Simplified Arabic" w:eastAsia="Times New Roman" w:cs="Simplified Arabic" w:hAnsi="Simplified Arabic"/>
          <w:color w:val="1B1C1D"/>
          <w:rtl/>
        </w:rPr>
      </w:pP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مقدمة الدراسة</w:t>
      </w:r>
    </w:p>
    <w:p>
      <w:pPr>
        <w:pStyle w:val="17"/>
        <w:bidi/>
        <w:spacing w:before="0" w:beforeAutospacing="0" w:after="24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شهد الاقتصاد العالمي والمحلي تحولات هيكلية متسارعة، كان أبرزها تزايد الاعتماد على الشفافية والمساءلة والقدرة على مواجهة الصدمات الاقتصادية. وفي سياق المملكة العربية السعودية، ومع انطلاق رؤية 2030 وبرامج تطوير القطاع المالي وسوق رأس المال، أصبح تعزيز بيئة حوكمة الشركات الفعّالة وتحقيق الاستدامة المالية للشركات المساهمة المدرجة ركناً أساسياً لضمان النمو المستدام وجذب الاستثمارات.</w:t>
      </w:r>
    </w:p>
    <w:p>
      <w:pPr>
        <w:pStyle w:val="17"/>
        <w:bidi/>
        <w:spacing w:before="0" w:beforeAutospacing="0" w:after="24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تُعد حوكمة الشركات (</w:t>
      </w:r>
      <w:r>
        <w:rPr>
          <w:rFonts w:ascii="Simplified Arabic" w:cs="Simplified Arabic" w:hAnsi="Simplified Arabic"/>
          <w:color w:val="1B1C1D"/>
          <w:sz w:val="32"/>
          <w:szCs w:val="32"/>
        </w:rPr>
        <w:t>Corporate Governance</w:t>
      </w:r>
      <w:r>
        <w:rPr>
          <w:rFonts w:ascii="Simplified Arabic" w:cs="Simplified Arabic" w:hAnsi="Simplified Arabic"/>
          <w:color w:val="1B1C1D"/>
          <w:sz w:val="32"/>
          <w:szCs w:val="32"/>
          <w:rtl/>
        </w:rPr>
        <w:t>) الإطار الذي يضمن توازن مصالح مختلف الأطراف المعنية (المساهمين، الإدارة، العاملين، المجتمع) ويحدد كيفية اتخاذ القرارات والرقابة عليها، بينما تمثل الاستدامة المالية قدرة الشركة على توليد تدفقات نقدية كافية والوفاء بالتزاماتها على المدى الطويل.</w:t>
      </w:r>
    </w:p>
    <w:p>
      <w:pPr>
        <w:pStyle w:val="17"/>
        <w:bidi/>
        <w:spacing w:before="0" w:beforeAutospacing="0" w:after="24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وفي هذا الإطار، تبرز إدارة المخاطر (</w:t>
      </w:r>
      <w:r>
        <w:rPr>
          <w:rFonts w:ascii="Simplified Arabic" w:cs="Simplified Arabic" w:hAnsi="Simplified Arabic"/>
          <w:color w:val="1B1C1D"/>
          <w:sz w:val="32"/>
          <w:szCs w:val="32"/>
        </w:rPr>
        <w:t>Risk Management</w:t>
      </w:r>
      <w:r>
        <w:rPr>
          <w:rFonts w:ascii="Simplified Arabic" w:cs="Simplified Arabic" w:hAnsi="Simplified Arabic"/>
          <w:color w:val="1B1C1D"/>
          <w:sz w:val="32"/>
          <w:szCs w:val="32"/>
          <w:rtl/>
        </w:rPr>
        <w:t>) كآلية محورية وجسر وصل أساسي. لم تعد إدارة المخاطر مجرد وظيفة رقابية، بل أصبحت عملية استراتيجية متكاملة تهدف إلى تحديد وتقييم ومعالجة المخاطر التي قد تهدد تحقيق أهداف الشركة الاستراتيجية والتشغيلية، بما في ذلك مخاطر الإفصاح المالي ومخاطر تقلبات السوق. إن تطبيق إطار شامل لإدارة المخاطر المؤسسية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يعزز من جودة القرارات الإدارية، ويرفع مستوى الشفافية والمساءلة داخل هيكل الحوكمة، وبالتالي يدعم القدرة التنافسية للشركة ويحصنها ضد الأزمات، مما يصب مباشرة في تحقيق استدامتها المالية المنشودة. وعليه، تسعى هذه الدراسة لتحديد الأثر الفعلي والكيفي لتبني ممارسات إدارة المخاطر على تعزيز ركائز الحوكمة وتحقيق الاستقرار المالي للشركات المساهمة السعودية.</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مشكلة الدراسة (</w:t>
      </w:r>
      <w:r>
        <w:rPr>
          <w:rFonts w:ascii="Simplified Arabic" w:eastAsia="Times New Roman" w:cs="Simplified Arabic" w:hAnsi="Simplified Arabic"/>
          <w:color w:val="1B1C1D"/>
        </w:rPr>
        <w:t>The Problem Statement</w:t>
      </w:r>
      <w:r>
        <w:rPr>
          <w:rFonts w:ascii="Simplified Arabic" w:eastAsia="Times New Roman" w:cs="Simplified Arabic" w:hAnsi="Simplified Arabic"/>
          <w:color w:val="1B1C1D"/>
          <w:rtl/>
        </w:rPr>
        <w:t>)</w:t>
      </w:r>
    </w:p>
    <w:p>
      <w:pPr>
        <w:pStyle w:val="17"/>
        <w:bidi/>
        <w:spacing w:before="0" w:beforeAutospacing="0" w:after="24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تكمن مشكلة الدراسة في محاولة تحديد مدى فاعلية ودور إدارة المخاطر في التغلب على التحديات الهيكلية والتشغيلية التي تواجه الشركات المساهمة السعودية، وخاصة في ضوء المتطلبات التنظيمية المتزايدة والتقلبات الاقتصادية العالمية، وكيف ينعكس هذا الدور على تحسين ممارسات حوكمة الشركات وضمان الاستدامة المالية على المدى الطويل.</w:t>
      </w:r>
    </w:p>
    <w:p>
      <w:pPr>
        <w:pStyle w:val="17"/>
        <w:bidi/>
        <w:spacing w:before="0" w:before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المشكلة الرئيسية:</w:t>
      </w:r>
    </w:p>
    <w:p>
      <w:pPr>
        <w:pStyle w:val="17"/>
        <w:bidi/>
        <w:spacing w:before="0" w:before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ما هو الدور الذي تلعبه ممارسات إدارة المخاطر المؤسسية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في تعزيز أبعاد حوكمة الشركات وتحقيق الاستدامة المالية في الشركات المساهمة المدرجة في السوق المالية السعودية؟</w:t>
      </w:r>
    </w:p>
    <w:p>
      <w:pPr>
        <w:pStyle w:val="17"/>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التساؤلات الفرعية:</w:t>
      </w:r>
    </w:p>
    <w:p>
      <w:pPr>
        <w:pStyle w:val="17"/>
        <w:numPr>
          <w:ilvl w:val="0"/>
          <w:numId w:val="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ما هو مستوى تطبيق إطار إدارة المخاطر المؤسسية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وحجم ونوعية الإفصاح عنها في الشركات المساهمة السعودية؟</w:t>
      </w:r>
    </w:p>
    <w:p>
      <w:pPr>
        <w:pStyle w:val="17"/>
        <w:numPr>
          <w:ilvl w:val="0"/>
          <w:numId w:val="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ما هو الأثر المباشر لفاعلية لجنة المخاطر ومجلس الإدارة في إدارة المخاطر على جودة ممارسات حوكمة الشركات (الشفافية والرقابة الداخلية)؟</w:t>
      </w:r>
    </w:p>
    <w:p>
      <w:pPr>
        <w:pStyle w:val="17"/>
        <w:numPr>
          <w:ilvl w:val="0"/>
          <w:numId w:val="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كيف تساهم ممارسات إدارة المخاطر في تحسين مؤشرات الاستدامة المالية للشركات المساهمة السعودية (مثل كفاءة التشغيل والرافعة المالية)؟</w:t>
      </w:r>
    </w:p>
    <w:p>
      <w:pPr>
        <w:pStyle w:val="17"/>
        <w:numPr>
          <w:ilvl w:val="0"/>
          <w:numId w:val="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ما هي أهم المعوقات والتحديات التي تواجه الشركات المساهمة السعودية عند تطبيق إطار إدارة المخاطر المؤسسية المتكامل؟</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أهمية الدراسة (</w:t>
      </w:r>
      <w:r>
        <w:rPr>
          <w:rFonts w:ascii="Simplified Arabic" w:eastAsia="Times New Roman" w:cs="Simplified Arabic" w:hAnsi="Simplified Arabic"/>
          <w:color w:val="1B1C1D"/>
        </w:rPr>
        <w:t>The Study Importance</w:t>
      </w:r>
      <w:r>
        <w:rPr>
          <w:rFonts w:ascii="Simplified Arabic" w:eastAsia="Times New Roman" w:cs="Simplified Arabic" w:hAnsi="Simplified Arabic"/>
          <w:color w:val="1B1C1D"/>
          <w:rtl/>
        </w:rPr>
        <w:t>)</w:t>
      </w:r>
    </w:p>
    <w:p>
      <w:pPr>
        <w:pStyle w:val="17"/>
        <w:bidi/>
        <w:spacing w:before="0" w:beforeAutospacing="0" w:after="24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تستمد هذه الدراسة أهميتها من التطورات الاقتصادية والتنظيمية التي تشهدها السوق المالية السعودية (تداول) والحاجة الملحة لتقييم مدى تكامل وظيفة إدارة المخاطر مع الإطار العام للحوكمة.</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1. الأهمية العلمية (</w:t>
      </w:r>
      <w:r>
        <w:rPr>
          <w:rFonts w:ascii="Simplified Arabic" w:eastAsia="Times New Roman" w:cs="Simplified Arabic" w:hAnsi="Simplified Arabic"/>
          <w:color w:val="1B1C1D"/>
          <w:sz w:val="32"/>
          <w:szCs w:val="32"/>
        </w:rPr>
        <w:t>Scientific Importance</w:t>
      </w:r>
      <w:r>
        <w:rPr>
          <w:rFonts w:ascii="Simplified Arabic" w:eastAsia="Times New Roman" w:cs="Simplified Arabic" w:hAnsi="Simplified Arabic"/>
          <w:color w:val="1B1C1D"/>
          <w:sz w:val="32"/>
          <w:szCs w:val="32"/>
          <w:rtl/>
        </w:rPr>
        <w:t>)</w:t>
      </w:r>
    </w:p>
    <w:p>
      <w:pPr>
        <w:pStyle w:val="17"/>
        <w:numPr>
          <w:ilvl w:val="0"/>
          <w:numId w:val="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إثراء الأدبيات العربية:</w:t>
      </w:r>
      <w:r>
        <w:rPr>
          <w:rFonts w:ascii="Simplified Arabic" w:cs="Simplified Arabic" w:hAnsi="Simplified Arabic"/>
          <w:color w:val="1B1C1D"/>
          <w:sz w:val="32"/>
          <w:szCs w:val="32"/>
          <w:rtl/>
        </w:rPr>
        <w:t xml:space="preserve"> تساهم الدراسة في سد الفجوة في الأدبيات العربية والأبحاث المتعلقة بالعلاقة التفاعلية بين إدارة المخاطر وحوكمة الشركات والاستدامة المالية، خاصة في بيئة الأعمال السعودية التي تتسم بخصائص فريدة.</w:t>
      </w:r>
    </w:p>
    <w:p>
      <w:pPr>
        <w:pStyle w:val="17"/>
        <w:numPr>
          <w:ilvl w:val="0"/>
          <w:numId w:val="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بناء إطار نظري:</w:t>
      </w:r>
      <w:r>
        <w:rPr>
          <w:rFonts w:ascii="Simplified Arabic" w:cs="Simplified Arabic" w:hAnsi="Simplified Arabic"/>
          <w:color w:val="1B1C1D"/>
          <w:sz w:val="32"/>
          <w:szCs w:val="32"/>
          <w:rtl/>
        </w:rPr>
        <w:t xml:space="preserve"> تقدم الدراسة إطاراً مفاهيمياً وتحليلياً يربط بين المتغيرات الثلاثة (إدارة المخاطر، الحوكمة، الاستدامة المالية)، مما يمكن استخدامه كأساس لدراسات مستقبلية في المنطقة.</w:t>
      </w:r>
    </w:p>
    <w:p>
      <w:pPr>
        <w:pStyle w:val="17"/>
        <w:numPr>
          <w:ilvl w:val="0"/>
          <w:numId w:val="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تحديد أدوات القياس:</w:t>
      </w:r>
      <w:r>
        <w:rPr>
          <w:rFonts w:ascii="Simplified Arabic" w:cs="Simplified Arabic" w:hAnsi="Simplified Arabic"/>
          <w:color w:val="1B1C1D"/>
          <w:sz w:val="32"/>
          <w:szCs w:val="32"/>
          <w:rtl/>
        </w:rPr>
        <w:t xml:space="preserve"> تساعد الدراسة في تطوير وتحديد أدوات ومؤشرات كمية يمكن الاعتماد عليها لقياس فاعلية إدارة المخاطر المؤسسية والأثر الناتج عنها على الأداء المالي المستدام.</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2. الأهمية العملية (</w:t>
      </w:r>
      <w:r>
        <w:rPr>
          <w:rFonts w:ascii="Simplified Arabic" w:eastAsia="Times New Roman" w:cs="Simplified Arabic" w:hAnsi="Simplified Arabic"/>
          <w:color w:val="1B1C1D"/>
          <w:sz w:val="32"/>
          <w:szCs w:val="32"/>
        </w:rPr>
        <w:t>Practical Importance</w:t>
      </w:r>
      <w:r>
        <w:rPr>
          <w:rFonts w:ascii="Simplified Arabic" w:eastAsia="Times New Roman" w:cs="Simplified Arabic" w:hAnsi="Simplified Arabic"/>
          <w:color w:val="1B1C1D"/>
          <w:sz w:val="32"/>
          <w:szCs w:val="32"/>
          <w:rtl/>
        </w:rPr>
        <w:t>)</w:t>
      </w:r>
    </w:p>
    <w:p>
      <w:pPr>
        <w:pStyle w:val="17"/>
        <w:numPr>
          <w:ilvl w:val="0"/>
          <w:numId w:val="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صناع القرار في الشركات:</w:t>
      </w:r>
      <w:r>
        <w:rPr>
          <w:rFonts w:ascii="Simplified Arabic" w:cs="Simplified Arabic" w:hAnsi="Simplified Arabic"/>
          <w:color w:val="1B1C1D"/>
          <w:sz w:val="32"/>
          <w:szCs w:val="32"/>
          <w:rtl/>
        </w:rPr>
        <w:t xml:space="preserve"> توفر نتائج الدراسة توصيات عملية لإدارات الشركات المساهمة ومجالس الإدارة ولجان المخاطر، تمكنهم من تعزيز إطار إدارة المخاطر لديها وتحسين آليات الرقابة الداخلية وإعداد التقارير.</w:t>
      </w:r>
    </w:p>
    <w:p>
      <w:pPr>
        <w:pStyle w:val="17"/>
        <w:numPr>
          <w:ilvl w:val="0"/>
          <w:numId w:val="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الجهات التنظيمية والرقابية:</w:t>
      </w:r>
      <w:r>
        <w:rPr>
          <w:rFonts w:ascii="Simplified Arabic" w:cs="Simplified Arabic" w:hAnsi="Simplified Arabic"/>
          <w:color w:val="1B1C1D"/>
          <w:sz w:val="32"/>
          <w:szCs w:val="32"/>
          <w:rtl/>
        </w:rPr>
        <w:t xml:space="preserve"> تساعد الجهات التنظيمية مثل هيئة السوق المالية (</w:t>
      </w:r>
      <w:r>
        <w:rPr>
          <w:rFonts w:ascii="Simplified Arabic" w:cs="Simplified Arabic" w:hAnsi="Simplified Arabic"/>
          <w:color w:val="1B1C1D"/>
          <w:sz w:val="32"/>
          <w:szCs w:val="32"/>
        </w:rPr>
        <w:t>CMA</w:t>
      </w:r>
      <w:r>
        <w:rPr>
          <w:rFonts w:ascii="Simplified Arabic" w:cs="Simplified Arabic" w:hAnsi="Simplified Arabic"/>
          <w:color w:val="1B1C1D"/>
          <w:sz w:val="32"/>
          <w:szCs w:val="32"/>
          <w:rtl/>
        </w:rPr>
        <w:t>) في تقييم مدى كفاية اللوائح الحالية المتعلقة بإدارة المخاطر والحوكمة، وتوجيه جهودها نحو المجالات التي تحتاج إلى المزيد من التشديد أو التنظيم.</w:t>
      </w:r>
    </w:p>
    <w:p>
      <w:pPr>
        <w:pStyle w:val="17"/>
        <w:numPr>
          <w:ilvl w:val="0"/>
          <w:numId w:val="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المستثمرون والمحللون:</w:t>
      </w:r>
      <w:r>
        <w:rPr>
          <w:rFonts w:ascii="Simplified Arabic" w:cs="Simplified Arabic" w:hAnsi="Simplified Arabic"/>
          <w:color w:val="1B1C1D"/>
          <w:sz w:val="32"/>
          <w:szCs w:val="32"/>
          <w:rtl/>
        </w:rPr>
        <w:t xml:space="preserve"> تمنح الدراسة المستثمرين والمحللين الماليين رؤية أعمق حول كيفية تأثير ممارسات إدارة المخاطر الجيدة على مستوى المخاطر الإجمالية للشركة وقدرتها على تحقيق عوائد مستدامة، مما يساعد في اتخاذ قرارات استثمارية أكثر استنارة.</w:t>
      </w:r>
    </w:p>
    <w:p>
      <w:pPr>
        <w:pStyle w:val="17"/>
        <w:bidi/>
        <w:spacing w:before="0" w:beforeAutospacing="0" w:after="0" w:afterAutospacing="0" w:line="360" w:lineRule="auto"/>
        <w:rPr>
          <w:rFonts w:ascii="Simplified Arabic" w:cs="Simplified Arabic" w:hAnsi="Simplified Arabic"/>
          <w:color w:val="1B1C1D"/>
          <w:sz w:val="32"/>
          <w:szCs w:val="32"/>
        </w:rPr>
      </w:pPr>
    </w:p>
    <w:p>
      <w:pPr>
        <w:pStyle w:val="1"/>
        <w:bidi/>
        <w:spacing w:before="0" w:beforeAutospacing="0" w:after="120" w:afterAutospacing="0" w:line="360" w:lineRule="auto"/>
        <w:rPr>
          <w:rFonts w:ascii="Simplified Arabic" w:eastAsia="Times New Roman" w:cs="Simplified Arabic" w:hAnsi="Simplified Arabic"/>
          <w:color w:val="1B1C1D"/>
          <w:sz w:val="32"/>
          <w:szCs w:val="32"/>
        </w:rPr>
      </w:pP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أهداف الدراسة (</w:t>
      </w:r>
      <w:r>
        <w:rPr>
          <w:rFonts w:ascii="Simplified Arabic" w:eastAsia="Times New Roman" w:cs="Simplified Arabic" w:hAnsi="Simplified Arabic"/>
          <w:color w:val="1B1C1D"/>
        </w:rPr>
        <w:t>The Study Objectives</w:t>
      </w:r>
      <w:r>
        <w:rPr>
          <w:rFonts w:ascii="Simplified Arabic" w:eastAsia="Times New Roman" w:cs="Simplified Arabic" w:hAnsi="Simplified Arabic"/>
          <w:color w:val="1B1C1D"/>
          <w:rtl/>
        </w:rPr>
        <w:t>)</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الهدف الرئيسي</w:t>
      </w:r>
    </w:p>
    <w:p>
      <w:pPr>
        <w:pStyle w:val="17"/>
        <w:bidi/>
        <w:spacing w:before="0" w:beforeAutospacing="0" w:after="24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التحقق من الدور الأساسي والفعّال لممارسات إدارة المخاطر المؤسسية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في دعم وتعزيز أبعاد حوكمة الشركات، وبالتالي المساهمة في تحقيق الاستدامة المالية للشركات المساهمة المدرجة في السوق المالية السعودية.</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الأهداف الفرعية</w:t>
      </w:r>
    </w:p>
    <w:p>
      <w:pPr>
        <w:pStyle w:val="17"/>
        <w:numPr>
          <w:ilvl w:val="0"/>
          <w:numId w:val="4"/>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تحديد مستوى تطبيق الشركات المساهمة السعودية لإطار إدارة المخاطر المؤسسية، والتعرف على طبيعة ونطاق الإفصاح عن هذه الممارسات.</w:t>
      </w:r>
    </w:p>
    <w:p>
      <w:pPr>
        <w:pStyle w:val="17"/>
        <w:numPr>
          <w:ilvl w:val="0"/>
          <w:numId w:val="4"/>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تحليل الأثر المباشر لفاعلية الهياكل الإدارية المسؤولة عن المخاطر (مثل لجنة المخاطر ومجلس الإدارة) على جودة وكفاءة ممارسات حوكمة الشركات.</w:t>
      </w:r>
    </w:p>
    <w:p>
      <w:pPr>
        <w:pStyle w:val="17"/>
        <w:numPr>
          <w:ilvl w:val="0"/>
          <w:numId w:val="4"/>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تقييم مدى مساهمة ممارسات إدارة المخاطر في تحسين مؤشرات الأداء المالي الرئيسية ذات الصلة بالاستدامة المالية (مثل الربحية، السيولة، والرافعة المالية).</w:t>
      </w:r>
    </w:p>
    <w:p>
      <w:pPr>
        <w:pStyle w:val="17"/>
        <w:numPr>
          <w:ilvl w:val="0"/>
          <w:numId w:val="4"/>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الكشف عن أهم المعوقات والتحديات التي تواجه الشركات المساهمة السعودية عند السعي لتطبيق أو تطوير نظام متكامل لإدارة المخاطر المؤسسية.</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تساؤلات الدراسة (</w:t>
      </w:r>
      <w:r>
        <w:rPr>
          <w:rFonts w:ascii="Simplified Arabic" w:eastAsia="Times New Roman" w:cs="Simplified Arabic" w:hAnsi="Simplified Arabic"/>
          <w:color w:val="1B1C1D"/>
        </w:rPr>
        <w:t>The Study Questions</w:t>
      </w:r>
      <w:r>
        <w:rPr>
          <w:rFonts w:ascii="Simplified Arabic" w:eastAsia="Times New Roman" w:cs="Simplified Arabic" w:hAnsi="Simplified Arabic"/>
          <w:color w:val="1B1C1D"/>
          <w:rtl/>
        </w:rPr>
        <w:t>)</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التساؤل الرئيسي</w:t>
      </w:r>
    </w:p>
    <w:p>
      <w:pPr>
        <w:pStyle w:val="17"/>
        <w:bidi/>
        <w:spacing w:before="0" w:beforeAutospacing="0" w:after="24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ما هو الدور الذي تلعبه ممارسات إدارة المخاطر المؤسسية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في تعزيز أبعاد حوكمة الشركات وتحقيق الاستدامة المالية في الشركات المساهمة المدرجة في السوق المالية السعودية؟</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التساؤلات الفرعية</w:t>
      </w:r>
    </w:p>
    <w:p>
      <w:pPr>
        <w:pStyle w:val="17"/>
        <w:numPr>
          <w:ilvl w:val="0"/>
          <w:numId w:val="5"/>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ما هو مستوى تطبيق إطار إدارة المخاطر المؤسسية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وحجم ونوعية الإفصاح عنها في الشركات المساهمة السعودية؟</w:t>
      </w:r>
    </w:p>
    <w:p>
      <w:pPr>
        <w:pStyle w:val="17"/>
        <w:numPr>
          <w:ilvl w:val="0"/>
          <w:numId w:val="5"/>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ما هو الأثر المباشر لفاعلية لجنة المخاطر ومجلس الإدارة في إدارة المخاطر على جودة ممارسات حوكمة الشركات (الشفافية والرقابة الداخلية)؟</w:t>
      </w:r>
    </w:p>
    <w:p>
      <w:pPr>
        <w:pStyle w:val="17"/>
        <w:numPr>
          <w:ilvl w:val="0"/>
          <w:numId w:val="5"/>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كيف تساهم ممارسات إدارة المخاطر في تحسين مؤشرات الاستدامة المالية للشركات المساهمة السعودية (مثل كفاءة التشغيل والرافعة المالية)؟</w:t>
      </w:r>
    </w:p>
    <w:p>
      <w:pPr>
        <w:pStyle w:val="17"/>
        <w:numPr>
          <w:ilvl w:val="0"/>
          <w:numId w:val="5"/>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ما هي أهم المعوقات والتحديات التي تواجه الشركات المساهمة السعودية عند تطبيق إطار إدارة المخاطر المؤسسية المتكامل؟</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فرضيات الدراسة (</w:t>
      </w:r>
      <w:r>
        <w:rPr>
          <w:rFonts w:ascii="Simplified Arabic" w:eastAsia="Times New Roman" w:cs="Simplified Arabic" w:hAnsi="Simplified Arabic"/>
          <w:color w:val="1B1C1D"/>
        </w:rPr>
        <w:t>The Study Hypotheses</w:t>
      </w:r>
      <w:r>
        <w:rPr>
          <w:rFonts w:ascii="Simplified Arabic" w:eastAsia="Times New Roman" w:cs="Simplified Arabic" w:hAnsi="Simplified Arabic"/>
          <w:color w:val="1B1C1D"/>
          <w:rtl/>
        </w:rPr>
        <w:t>)</w:t>
      </w:r>
    </w:p>
    <w:p>
      <w:pPr>
        <w:pStyle w:val="17"/>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تعتمد الفرضيات على العلاقة المفترضة بين المتغيرات المستقلة والتابعة، وتُصاغ كفرضيات بديلة (</w:t>
      </w:r>
      <w:r>
        <w:rPr>
          <w:rFonts w:ascii="Simplified Arabic" w:cs="Simplified Arabic" w:hAnsi="Simplified Arabic"/>
          <w:color w:val="1B1C1D"/>
          <w:sz w:val="32"/>
          <w:szCs w:val="32"/>
        </w:rPr>
        <w:t>Hypotheses Alternatif</w:t>
      </w:r>
      <w:r>
        <w:rPr>
          <w:rFonts w:ascii="Simplified Arabic" w:cs="Simplified Arabic" w:hAnsi="Simplified Arabic"/>
          <w:color w:val="1B1C1D"/>
          <w:sz w:val="32"/>
          <w:szCs w:val="32"/>
          <w:rtl/>
        </w:rPr>
        <w:t xml:space="preserve"> - $</w:t>
      </w:r>
      <w:r>
        <w:rPr>
          <w:rFonts w:ascii="Simplified Arabic" w:cs="Simplified Arabic" w:hAnsi="Simplified Arabic"/>
          <w:color w:val="1B1C1D"/>
          <w:sz w:val="32"/>
          <w:szCs w:val="32"/>
        </w:rPr>
        <w:t>H_a</w:t>
      </w:r>
      <w:r>
        <w:rPr>
          <w:rFonts w:ascii="Simplified Arabic" w:cs="Simplified Arabic" w:hAnsi="Simplified Arabic"/>
          <w:color w:val="1B1C1D"/>
          <w:sz w:val="32"/>
          <w:szCs w:val="32"/>
          <w:rtl/>
        </w:rPr>
        <w:t>$):</w:t>
      </w:r>
    </w:p>
    <w:p>
      <w:pPr>
        <w:pStyle w:val="17"/>
        <w:numPr>
          <w:ilvl w:val="0"/>
          <w:numId w:val="6"/>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الفرضية الأولى (</w:t>
      </w:r>
      <w:r>
        <w:rPr>
          <w:rFonts w:ascii="Simplified Arabic" w:cs="Simplified Arabic" w:hAnsi="Simplified Arabic"/>
          <w:color w:val="1B1C1D"/>
          <w:sz w:val="32"/>
          <w:szCs w:val="32"/>
          <w:rtl/>
        </w:rPr>
        <w:t>$</w:t>
      </w:r>
      <w:r>
        <w:rPr>
          <w:rFonts w:ascii="Simplified Arabic" w:cs="Simplified Arabic" w:hAnsi="Simplified Arabic"/>
          <w:color w:val="1B1C1D"/>
          <w:sz w:val="32"/>
          <w:szCs w:val="32"/>
        </w:rPr>
        <w:t>H_{a1}</w:t>
      </w:r>
      <w:r>
        <w:rPr>
          <w:rFonts w:ascii="Simplified Arabic" w:cs="Simplified Arabic" w:hAnsi="Simplified Arabic"/>
          <w:color w:val="1B1C1D"/>
          <w:sz w:val="32"/>
          <w:szCs w:val="32"/>
          <w:rtl/>
        </w:rPr>
        <w:t>$</w:t>
      </w:r>
      <w:r>
        <w:rPr>
          <w:rStyle w:val="18"/>
          <w:rFonts w:ascii="Simplified Arabic" w:cs="Simplified Arabic" w:hAnsi="Simplified Arabic"/>
          <w:color w:val="1B1C1D"/>
          <w:sz w:val="32"/>
          <w:szCs w:val="32"/>
          <w:bdr w:val="none" w:sz="0" w:space="0" w:color="auto"/>
          <w:rtl/>
        </w:rPr>
        <w:t>):</w:t>
      </w:r>
      <w:r>
        <w:rPr>
          <w:rFonts w:ascii="Simplified Arabic" w:cs="Simplified Arabic" w:hAnsi="Simplified Arabic"/>
          <w:color w:val="1B1C1D"/>
          <w:sz w:val="32"/>
          <w:szCs w:val="32"/>
          <w:rtl/>
        </w:rPr>
        <w:t xml:space="preserve"> توجد علاقة ارتباط ذات دلالة إحصائية وإيجابية بين مدى تطبيق ممارسات إدارة المخاطر المؤسسية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وجودة حوكمة الشركات في الشركات المساهمة السعودية.</w:t>
      </w:r>
    </w:p>
    <w:p>
      <w:pPr>
        <w:pStyle w:val="17"/>
        <w:numPr>
          <w:ilvl w:val="0"/>
          <w:numId w:val="6"/>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الفرضية الثانية (</w:t>
      </w:r>
      <w:r>
        <w:rPr>
          <w:rFonts w:ascii="Simplified Arabic" w:cs="Simplified Arabic" w:hAnsi="Simplified Arabic"/>
          <w:color w:val="1B1C1D"/>
          <w:sz w:val="32"/>
          <w:szCs w:val="32"/>
          <w:rtl/>
        </w:rPr>
        <w:t>$</w:t>
      </w:r>
      <w:r>
        <w:rPr>
          <w:rFonts w:ascii="Simplified Arabic" w:cs="Simplified Arabic" w:hAnsi="Simplified Arabic"/>
          <w:color w:val="1B1C1D"/>
          <w:sz w:val="32"/>
          <w:szCs w:val="32"/>
        </w:rPr>
        <w:t>H_{a2}</w:t>
      </w:r>
      <w:r>
        <w:rPr>
          <w:rFonts w:ascii="Simplified Arabic" w:cs="Simplified Arabic" w:hAnsi="Simplified Arabic"/>
          <w:color w:val="1B1C1D"/>
          <w:sz w:val="32"/>
          <w:szCs w:val="32"/>
          <w:rtl/>
        </w:rPr>
        <w:t>$</w:t>
      </w:r>
      <w:r>
        <w:rPr>
          <w:rStyle w:val="18"/>
          <w:rFonts w:ascii="Simplified Arabic" w:cs="Simplified Arabic" w:hAnsi="Simplified Arabic"/>
          <w:color w:val="1B1C1D"/>
          <w:sz w:val="32"/>
          <w:szCs w:val="32"/>
          <w:bdr w:val="none" w:sz="0" w:space="0" w:color="auto"/>
          <w:rtl/>
        </w:rPr>
        <w:t>):</w:t>
      </w:r>
      <w:r>
        <w:rPr>
          <w:rFonts w:ascii="Simplified Arabic" w:cs="Simplified Arabic" w:hAnsi="Simplified Arabic"/>
          <w:color w:val="1B1C1D"/>
          <w:sz w:val="32"/>
          <w:szCs w:val="32"/>
          <w:rtl/>
        </w:rPr>
        <w:t xml:space="preserve"> توجد علاقة ارتباط ذات دلالة إحصائية وإيجابية بين مدى تطبيق ممارسات إدارة المخاطر المؤسسية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وتحقيق الاستدامة المالية في الشركات المساهمة السعودية.</w:t>
      </w:r>
    </w:p>
    <w:p>
      <w:pPr>
        <w:pStyle w:val="17"/>
        <w:numPr>
          <w:ilvl w:val="0"/>
          <w:numId w:val="6"/>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الفرضية الثالثة (</w:t>
      </w:r>
      <w:r>
        <w:rPr>
          <w:rFonts w:ascii="Simplified Arabic" w:cs="Simplified Arabic" w:hAnsi="Simplified Arabic"/>
          <w:color w:val="1B1C1D"/>
          <w:sz w:val="32"/>
          <w:szCs w:val="32"/>
          <w:rtl/>
        </w:rPr>
        <w:t>$</w:t>
      </w:r>
      <w:r>
        <w:rPr>
          <w:rFonts w:ascii="Simplified Arabic" w:cs="Simplified Arabic" w:hAnsi="Simplified Arabic"/>
          <w:color w:val="1B1C1D"/>
          <w:sz w:val="32"/>
          <w:szCs w:val="32"/>
        </w:rPr>
        <w:t>H_{a3}</w:t>
      </w:r>
      <w:r>
        <w:rPr>
          <w:rFonts w:ascii="Simplified Arabic" w:cs="Simplified Arabic" w:hAnsi="Simplified Arabic"/>
          <w:color w:val="1B1C1D"/>
          <w:sz w:val="32"/>
          <w:szCs w:val="32"/>
          <w:rtl/>
        </w:rPr>
        <w:t>$</w:t>
      </w:r>
      <w:r>
        <w:rPr>
          <w:rStyle w:val="18"/>
          <w:rFonts w:ascii="Simplified Arabic" w:cs="Simplified Arabic" w:hAnsi="Simplified Arabic"/>
          <w:color w:val="1B1C1D"/>
          <w:sz w:val="32"/>
          <w:szCs w:val="32"/>
          <w:bdr w:val="none" w:sz="0" w:space="0" w:color="auto"/>
          <w:rtl/>
        </w:rPr>
        <w:t>):</w:t>
      </w:r>
      <w:r>
        <w:rPr>
          <w:rFonts w:ascii="Simplified Arabic" w:cs="Simplified Arabic" w:hAnsi="Simplified Arabic"/>
          <w:color w:val="1B1C1D"/>
          <w:sz w:val="32"/>
          <w:szCs w:val="32"/>
          <w:rtl/>
        </w:rPr>
        <w:t xml:space="preserve"> تساهم جودة حوكمة الشركات كمتغير وسيط في تعزيز الأثر الإيجابي لإدارة المخاطر المؤسسية على الاستدامة المالية للشركات المساهمة السعودية.</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مصطلحات الدراسة (</w:t>
      </w:r>
      <w:r>
        <w:rPr>
          <w:rFonts w:ascii="Simplified Arabic" w:eastAsia="Times New Roman" w:cs="Simplified Arabic" w:hAnsi="Simplified Arabic"/>
          <w:color w:val="1B1C1D"/>
        </w:rPr>
        <w:t>The Study Terminology</w:t>
      </w:r>
      <w:r>
        <w:rPr>
          <w:rFonts w:ascii="Simplified Arabic" w:eastAsia="Times New Roman" w:cs="Simplified Arabic" w:hAnsi="Simplified Arabic"/>
          <w:color w:val="1B1C1D"/>
          <w:rtl/>
        </w:rPr>
        <w:t>)</w:t>
      </w:r>
    </w:p>
    <w:tbl>
      <w:tblPr>
        <w:jc w:val="lef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blGrid>
        <w:gridCol w:w="2244"/>
        <w:gridCol w:w="6598"/>
      </w:tblGrid>
      <w:tr>
        <w:tc>
          <w:tcPr/>
          <w:p>
            <w:pPr>
              <w:spacing w:line="360" w:lineRule="auto"/>
              <w:rPr>
                <w:rFonts w:ascii="Simplified Arabic" w:eastAsia="Times New Roman" w:cs="Simplified Arabic" w:hAnsi="Simplified Arabic"/>
                <w:color w:val="1B1C1D"/>
                <w:sz w:val="32"/>
                <w:szCs w:val="32"/>
                <w:rtl/>
              </w:rPr>
            </w:pPr>
            <w:r>
              <w:rPr>
                <w:rStyle w:val="18"/>
                <w:rFonts w:ascii="Simplified Arabic" w:eastAsia="Times New Roman" w:cs="Simplified Arabic" w:hAnsi="Simplified Arabic"/>
                <w:color w:val="1B1C1D"/>
                <w:sz w:val="32"/>
                <w:szCs w:val="32"/>
                <w:bdr w:val="none" w:sz="0" w:space="0" w:color="auto"/>
                <w:rtl/>
              </w:rPr>
              <w:t>المصطلح (</w:t>
            </w:r>
            <w:r>
              <w:rPr>
                <w:rStyle w:val="18"/>
                <w:rFonts w:ascii="Simplified Arabic" w:eastAsia="Times New Roman" w:cs="Simplified Arabic" w:hAnsi="Simplified Arabic"/>
                <w:color w:val="1B1C1D"/>
                <w:sz w:val="32"/>
                <w:szCs w:val="32"/>
                <w:bdr w:val="none" w:sz="0" w:space="0" w:color="auto"/>
              </w:rPr>
              <w:t>Term</w:t>
            </w:r>
            <w:r>
              <w:rPr>
                <w:rStyle w:val="18"/>
                <w:rFonts w:ascii="Simplified Arabic" w:eastAsia="Times New Roman" w:cs="Simplified Arabic" w:hAnsi="Simplified Arabic"/>
                <w:color w:val="1B1C1D"/>
                <w:sz w:val="32"/>
                <w:szCs w:val="32"/>
                <w:bdr w:val="none" w:sz="0" w:space="0" w:color="auto"/>
                <w:rtl/>
              </w:rPr>
              <w:t>)</w:t>
            </w:r>
          </w:p>
        </w:tc>
        <w:tc>
          <w:tcPr/>
          <w:p>
            <w:pPr>
              <w:spacing w:line="360" w:lineRule="auto"/>
              <w:rPr>
                <w:rFonts w:ascii="Simplified Arabic" w:eastAsia="Times New Roman" w:cs="Simplified Arabic" w:hAnsi="Simplified Arabic"/>
                <w:color w:val="1B1C1D"/>
                <w:sz w:val="32"/>
                <w:szCs w:val="32"/>
                <w:rtl/>
              </w:rPr>
            </w:pPr>
            <w:r>
              <w:rPr>
                <w:rStyle w:val="18"/>
                <w:rFonts w:ascii="Simplified Arabic" w:eastAsia="Times New Roman" w:cs="Simplified Arabic" w:hAnsi="Simplified Arabic"/>
                <w:color w:val="1B1C1D"/>
                <w:sz w:val="32"/>
                <w:szCs w:val="32"/>
                <w:bdr w:val="none" w:sz="0" w:space="0" w:color="auto"/>
                <w:rtl/>
              </w:rPr>
              <w:t>التعريف الإجرائي (</w:t>
            </w:r>
            <w:r>
              <w:rPr>
                <w:rStyle w:val="18"/>
                <w:rFonts w:ascii="Simplified Arabic" w:eastAsia="Times New Roman" w:cs="Simplified Arabic" w:hAnsi="Simplified Arabic"/>
                <w:color w:val="1B1C1D"/>
                <w:sz w:val="32"/>
                <w:szCs w:val="32"/>
                <w:bdr w:val="none" w:sz="0" w:space="0" w:color="auto"/>
              </w:rPr>
              <w:t>Operational Definition</w:t>
            </w:r>
            <w:r>
              <w:rPr>
                <w:rStyle w:val="18"/>
                <w:rFonts w:ascii="Simplified Arabic" w:eastAsia="Times New Roman" w:cs="Simplified Arabic" w:hAnsi="Simplified Arabic"/>
                <w:color w:val="1B1C1D"/>
                <w:sz w:val="32"/>
                <w:szCs w:val="32"/>
                <w:bdr w:val="none" w:sz="0" w:space="0" w:color="auto"/>
                <w:rtl/>
              </w:rPr>
              <w:t>)</w:t>
            </w:r>
          </w:p>
        </w:tc>
      </w:tr>
      <w:tr>
        <w:tc>
          <w:tcPr/>
          <w:p>
            <w:pPr>
              <w:pStyle w:val="17"/>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إدارة المخاطر المؤسسية (</w:t>
            </w:r>
            <w:r>
              <w:rPr>
                <w:rStyle w:val="18"/>
                <w:rFonts w:ascii="Simplified Arabic" w:cs="Simplified Arabic" w:hAnsi="Simplified Arabic"/>
                <w:color w:val="1B1C1D"/>
                <w:sz w:val="32"/>
                <w:szCs w:val="32"/>
                <w:bdr w:val="none" w:sz="0" w:space="0" w:color="auto"/>
              </w:rPr>
              <w:t>ERM</w:t>
            </w:r>
            <w:r>
              <w:rPr>
                <w:rStyle w:val="18"/>
                <w:rFonts w:ascii="Simplified Arabic" w:cs="Simplified Arabic" w:hAnsi="Simplified Arabic"/>
                <w:color w:val="1B1C1D"/>
                <w:sz w:val="32"/>
                <w:szCs w:val="32"/>
                <w:bdr w:val="none" w:sz="0" w:space="0" w:color="auto"/>
                <w:rtl/>
              </w:rPr>
              <w:t>)</w:t>
            </w:r>
          </w:p>
        </w:tc>
        <w:tc>
          <w:tcPr/>
          <w:p>
            <w:pPr>
              <w:pStyle w:val="17"/>
              <w:bidi/>
              <w:spacing w:before="0" w:beforeAutospacing="0" w:after="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الإطار المنهجي المتبع من قبل مجلس الإدارة والإدارة التنفيذية لتعريف وتقييم ومعالجة المخاطر والفرص لتحقيق أهداف الشركة، ويتم قياسه من خلال مؤشرات (مثل وجود لجنة للمخاطر، تقارير المخاطر، وثقافة المخاطر).</w:t>
            </w:r>
          </w:p>
        </w:tc>
      </w:tr>
      <w:tr>
        <w:tc>
          <w:tcPr/>
          <w:p>
            <w:pPr>
              <w:pStyle w:val="17"/>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حوكمة الشركات (</w:t>
            </w:r>
            <w:r>
              <w:rPr>
                <w:rStyle w:val="18"/>
                <w:rFonts w:ascii="Simplified Arabic" w:cs="Simplified Arabic" w:hAnsi="Simplified Arabic"/>
                <w:color w:val="1B1C1D"/>
                <w:sz w:val="32"/>
                <w:szCs w:val="32"/>
                <w:bdr w:val="none" w:sz="0" w:space="0" w:color="auto"/>
              </w:rPr>
              <w:t>Corporate Governance</w:t>
            </w:r>
            <w:r>
              <w:rPr>
                <w:rStyle w:val="18"/>
                <w:rFonts w:ascii="Simplified Arabic" w:cs="Simplified Arabic" w:hAnsi="Simplified Arabic"/>
                <w:color w:val="1B1C1D"/>
                <w:sz w:val="32"/>
                <w:szCs w:val="32"/>
                <w:bdr w:val="none" w:sz="0" w:space="0" w:color="auto"/>
                <w:rtl/>
              </w:rPr>
              <w:t>)</w:t>
            </w:r>
          </w:p>
        </w:tc>
        <w:tc>
          <w:tcPr/>
          <w:p>
            <w:pPr>
              <w:pStyle w:val="17"/>
              <w:bidi/>
              <w:spacing w:before="0" w:beforeAutospacing="0" w:after="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مجموعة القواعد والنظم والإجراءات التي تضمن الرقابة الفعالة على إدارة الشركة بما يحقق الشفافية والمساءلة وتوازن مصالح جميع الأطراف، ويتم قياسها من خلال مؤشرات (مثل استقلالية مجلس الإدارة، والإفصاح).</w:t>
            </w:r>
          </w:p>
        </w:tc>
      </w:tr>
      <w:tr>
        <w:tc>
          <w:tcPr/>
          <w:p>
            <w:pPr>
              <w:pStyle w:val="17"/>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الاستدامة المالية (</w:t>
            </w:r>
            <w:r>
              <w:rPr>
                <w:rStyle w:val="18"/>
                <w:rFonts w:ascii="Simplified Arabic" w:cs="Simplified Arabic" w:hAnsi="Simplified Arabic"/>
                <w:color w:val="1B1C1D"/>
                <w:sz w:val="32"/>
                <w:szCs w:val="32"/>
                <w:bdr w:val="none" w:sz="0" w:space="0" w:color="auto"/>
              </w:rPr>
              <w:t>Financial Sustainability</w:t>
            </w:r>
            <w:r>
              <w:rPr>
                <w:rStyle w:val="18"/>
                <w:rFonts w:ascii="Simplified Arabic" w:cs="Simplified Arabic" w:hAnsi="Simplified Arabic"/>
                <w:color w:val="1B1C1D"/>
                <w:sz w:val="32"/>
                <w:szCs w:val="32"/>
                <w:bdr w:val="none" w:sz="0" w:space="0" w:color="auto"/>
                <w:rtl/>
              </w:rPr>
              <w:t>)</w:t>
            </w:r>
          </w:p>
        </w:tc>
        <w:tc>
          <w:tcPr/>
          <w:p>
            <w:pPr>
              <w:pStyle w:val="17"/>
              <w:bidi/>
              <w:spacing w:before="0" w:beforeAutospacing="0" w:after="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قدرة الشركة على تحقيق وتوليد تدفقات نقدية وإيرادات كافية لتغطية التكاليف التشغيلية ورأس المال على المدى الطويل، ويتم قياسها من خلال مجموعة من النسب المالية (مثل نسبة تغطية الفوائد، ونمو الإيرادات).</w:t>
            </w:r>
          </w:p>
        </w:tc>
      </w:tr>
      <w:tr>
        <w:tc>
          <w:tcPr/>
          <w:p>
            <w:pPr>
              <w:pStyle w:val="17"/>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الشركات المساهمة السعودية</w:t>
            </w:r>
          </w:p>
        </w:tc>
        <w:tc>
          <w:tcPr/>
          <w:p>
            <w:pPr>
              <w:pStyle w:val="17"/>
              <w:bidi/>
              <w:spacing w:before="0" w:beforeAutospacing="0" w:after="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الشركات المدرجة في السوق المالية السعودية (تداول) وتخضع لأنظمة هيئة السوق المالية (</w:t>
            </w:r>
            <w:r>
              <w:rPr>
                <w:rFonts w:ascii="Simplified Arabic" w:cs="Simplified Arabic" w:hAnsi="Simplified Arabic"/>
                <w:color w:val="1B1C1D"/>
                <w:sz w:val="32"/>
                <w:szCs w:val="32"/>
              </w:rPr>
              <w:t>CMA</w:t>
            </w:r>
            <w:r>
              <w:rPr>
                <w:rFonts w:ascii="Simplified Arabic" w:cs="Simplified Arabic" w:hAnsi="Simplified Arabic"/>
                <w:color w:val="1B1C1D"/>
                <w:sz w:val="32"/>
                <w:szCs w:val="32"/>
                <w:rtl/>
              </w:rPr>
              <w:t>) التي تتطلب تطبيق لوائح حوكمة الشركات.</w:t>
            </w:r>
          </w:p>
        </w:tc>
      </w:tr>
    </w:tbl>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متغيرات الدراسة (</w:t>
      </w:r>
      <w:r>
        <w:rPr>
          <w:rFonts w:ascii="Simplified Arabic" w:eastAsia="Times New Roman" w:cs="Simplified Arabic" w:hAnsi="Simplified Arabic"/>
          <w:color w:val="1B1C1D"/>
        </w:rPr>
        <w:t>The Study Variables</w:t>
      </w:r>
      <w:r>
        <w:rPr>
          <w:rFonts w:ascii="Simplified Arabic" w:eastAsia="Times New Roman" w:cs="Simplified Arabic" w:hAnsi="Simplified Arabic"/>
          <w:color w:val="1B1C1D"/>
          <w:rtl/>
        </w:rPr>
        <w:t>)</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المتغير المستقل (</w:t>
      </w:r>
      <w:r>
        <w:rPr>
          <w:rFonts w:ascii="Simplified Arabic" w:eastAsia="Times New Roman" w:cs="Simplified Arabic" w:hAnsi="Simplified Arabic"/>
          <w:color w:val="1B1C1D"/>
          <w:sz w:val="32"/>
          <w:szCs w:val="32"/>
        </w:rPr>
        <w:t>Independent Variable</w:t>
      </w:r>
      <w:r>
        <w:rPr>
          <w:rFonts w:ascii="Simplified Arabic" w:eastAsia="Times New Roman" w:cs="Simplified Arabic" w:hAnsi="Simplified Arabic"/>
          <w:color w:val="1B1C1D"/>
          <w:sz w:val="32"/>
          <w:szCs w:val="32"/>
          <w:rtl/>
        </w:rPr>
        <w:t>)</w:t>
      </w:r>
    </w:p>
    <w:p>
      <w:pPr>
        <w:pStyle w:val="17"/>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إدارة المخاطر المؤسسية (</w:t>
      </w:r>
      <w:r>
        <w:rPr>
          <w:rStyle w:val="18"/>
          <w:rFonts w:ascii="Simplified Arabic" w:cs="Simplified Arabic" w:hAnsi="Simplified Arabic"/>
          <w:color w:val="1B1C1D"/>
          <w:sz w:val="32"/>
          <w:szCs w:val="32"/>
          <w:bdr w:val="none" w:sz="0" w:space="0" w:color="auto"/>
        </w:rPr>
        <w:t>ERM</w:t>
      </w:r>
      <w:r>
        <w:rPr>
          <w:rStyle w:val="18"/>
          <w:rFonts w:ascii="Simplified Arabic" w:cs="Simplified Arabic" w:hAnsi="Simplified Arabic"/>
          <w:color w:val="1B1C1D"/>
          <w:sz w:val="32"/>
          <w:szCs w:val="32"/>
          <w:bdr w:val="none" w:sz="0" w:space="0" w:color="auto"/>
          <w:rtl/>
        </w:rPr>
        <w:t>):</w:t>
      </w:r>
      <w:r>
        <w:rPr>
          <w:rFonts w:ascii="Simplified Arabic" w:cs="Simplified Arabic" w:hAnsi="Simplified Arabic"/>
          <w:color w:val="1B1C1D"/>
          <w:sz w:val="32"/>
          <w:szCs w:val="32"/>
          <w:rtl/>
        </w:rPr>
        <w:t xml:space="preserve"> (يقاس بمدى تطبيق ممارسات إدارة المخاطر وجودة الإفصاح عنها).</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المتغيرات التابعة (</w:t>
      </w:r>
      <w:r>
        <w:rPr>
          <w:rFonts w:ascii="Simplified Arabic" w:eastAsia="Times New Roman" w:cs="Simplified Arabic" w:hAnsi="Simplified Arabic"/>
          <w:color w:val="1B1C1D"/>
          <w:sz w:val="32"/>
          <w:szCs w:val="32"/>
        </w:rPr>
        <w:t>Dependent Variables</w:t>
      </w:r>
      <w:r>
        <w:rPr>
          <w:rFonts w:ascii="Simplified Arabic" w:eastAsia="Times New Roman" w:cs="Simplified Arabic" w:hAnsi="Simplified Arabic"/>
          <w:color w:val="1B1C1D"/>
          <w:sz w:val="32"/>
          <w:szCs w:val="32"/>
          <w:rtl/>
        </w:rPr>
        <w:t>)</w:t>
      </w:r>
    </w:p>
    <w:p>
      <w:pPr>
        <w:pStyle w:val="17"/>
        <w:numPr>
          <w:ilvl w:val="0"/>
          <w:numId w:val="7"/>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حوكمة الشركات (</w:t>
      </w:r>
      <w:r>
        <w:rPr>
          <w:rStyle w:val="18"/>
          <w:rFonts w:ascii="Simplified Arabic" w:cs="Simplified Arabic" w:hAnsi="Simplified Arabic"/>
          <w:color w:val="1B1C1D"/>
          <w:sz w:val="32"/>
          <w:szCs w:val="32"/>
          <w:bdr w:val="none" w:sz="0" w:space="0" w:color="auto"/>
        </w:rPr>
        <w:t>Corporate Governance</w:t>
      </w:r>
      <w:r>
        <w:rPr>
          <w:rStyle w:val="18"/>
          <w:rFonts w:ascii="Simplified Arabic" w:cs="Simplified Arabic" w:hAnsi="Simplified Arabic"/>
          <w:color w:val="1B1C1D"/>
          <w:sz w:val="32"/>
          <w:szCs w:val="32"/>
          <w:bdr w:val="none" w:sz="0" w:space="0" w:color="auto"/>
          <w:rtl/>
        </w:rPr>
        <w:t>):</w:t>
      </w:r>
      <w:r>
        <w:rPr>
          <w:rFonts w:ascii="Simplified Arabic" w:cs="Simplified Arabic" w:hAnsi="Simplified Arabic"/>
          <w:color w:val="1B1C1D"/>
          <w:sz w:val="32"/>
          <w:szCs w:val="32"/>
          <w:rtl/>
        </w:rPr>
        <w:t xml:space="preserve"> (تقاس من خلال مؤشرات الحوكمة المعلنة وجودة مجلس الإدارة ولجانه).</w:t>
      </w:r>
    </w:p>
    <w:p>
      <w:pPr>
        <w:pStyle w:val="17"/>
        <w:numPr>
          <w:ilvl w:val="0"/>
          <w:numId w:val="7"/>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الاستدامة المالية (</w:t>
      </w:r>
      <w:r>
        <w:rPr>
          <w:rStyle w:val="18"/>
          <w:rFonts w:ascii="Simplified Arabic" w:cs="Simplified Arabic" w:hAnsi="Simplified Arabic"/>
          <w:color w:val="1B1C1D"/>
          <w:sz w:val="32"/>
          <w:szCs w:val="32"/>
          <w:bdr w:val="none" w:sz="0" w:space="0" w:color="auto"/>
        </w:rPr>
        <w:t>Financial Sustainability</w:t>
      </w:r>
      <w:r>
        <w:rPr>
          <w:rStyle w:val="18"/>
          <w:rFonts w:ascii="Simplified Arabic" w:cs="Simplified Arabic" w:hAnsi="Simplified Arabic"/>
          <w:color w:val="1B1C1D"/>
          <w:sz w:val="32"/>
          <w:szCs w:val="32"/>
          <w:bdr w:val="none" w:sz="0" w:space="0" w:color="auto"/>
          <w:rtl/>
        </w:rPr>
        <w:t>):</w:t>
      </w:r>
      <w:r>
        <w:rPr>
          <w:rFonts w:ascii="Simplified Arabic" w:cs="Simplified Arabic" w:hAnsi="Simplified Arabic"/>
          <w:color w:val="1B1C1D"/>
          <w:sz w:val="32"/>
          <w:szCs w:val="32"/>
          <w:rtl/>
        </w:rPr>
        <w:t xml:space="preserve"> (تقاس من خلال المؤشرات والنسب المالية التي تعكس أداء الشركة على المدى الطويل).</w:t>
      </w:r>
    </w:p>
    <w:p>
      <w:pPr>
        <w:pStyle w:val="17"/>
        <w:bidi/>
        <w:spacing w:before="0" w:beforeAutospacing="0" w:after="0" w:afterAutospacing="0" w:line="360" w:lineRule="auto"/>
        <w:rPr>
          <w:rFonts w:ascii="Simplified Arabic" w:cs="Simplified Arabic" w:hAnsi="Simplified Arabic"/>
          <w:color w:val="1B1C1D"/>
          <w:sz w:val="32"/>
          <w:szCs w:val="32"/>
        </w:rPr>
      </w:pPr>
    </w:p>
    <w:p>
      <w:pPr>
        <w:pStyle w:val="17"/>
        <w:bidi/>
        <w:spacing w:before="0" w:beforeAutospacing="0" w:after="0" w:afterAutospacing="0" w:line="360" w:lineRule="auto"/>
        <w:rPr>
          <w:rFonts w:ascii="Simplified Arabic" w:cs="Simplified Arabic" w:hAnsi="Simplified Arabic"/>
          <w:color w:val="1B1C1D"/>
          <w:sz w:val="32"/>
          <w:szCs w:val="32"/>
        </w:rPr>
      </w:pPr>
    </w:p>
    <w:p>
      <w:pPr>
        <w:pStyle w:val="17"/>
        <w:bidi/>
        <w:spacing w:before="0" w:beforeAutospacing="0" w:after="0" w:afterAutospacing="0" w:line="360" w:lineRule="auto"/>
        <w:rPr>
          <w:rFonts w:ascii="Simplified Arabic" w:cs="Simplified Arabic" w:hAnsi="Simplified Arabic"/>
          <w:color w:val="1B1C1D"/>
          <w:sz w:val="32"/>
          <w:szCs w:val="32"/>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jc w:val="center"/>
        <w:rPr>
          <w:rFonts w:ascii="Simplified Arabic" w:cs="Simplified Arabic" w:hAnsi="Simplified Arabic"/>
          <w:b/>
          <w:bCs/>
          <w:color w:val="1B1C1D"/>
          <w:sz w:val="32"/>
          <w:szCs w:val="32"/>
          <w:rtl/>
        </w:rPr>
      </w:pPr>
      <w:r>
        <w:rPr>
          <w:rFonts w:ascii="Simplified Arabic" w:cs="Simplified Arabic" w:hAnsi="Simplified Arabic"/>
          <w:b/>
          <w:bCs/>
          <w:color w:val="1B1C1D"/>
          <w:sz w:val="32"/>
          <w:szCs w:val="32"/>
          <w:rtl/>
        </w:rPr>
        <w:t>الفصل الثاني</w:t>
      </w: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
        <w:bidi/>
        <w:spacing w:before="0" w:beforeAutospacing="0" w:after="120" w:afterAutospacing="0" w:line="360" w:lineRule="auto"/>
        <w:rPr>
          <w:rFonts w:ascii="Simplified Arabic" w:eastAsia="Times New Roman" w:cs="Simplified Arabic" w:hAnsi="Simplified Arabic"/>
          <w:color w:val="1B1C1D"/>
          <w:sz w:val="32"/>
          <w:szCs w:val="32"/>
        </w:rPr>
      </w:pPr>
      <w:r>
        <w:rPr>
          <w:rFonts w:ascii="Simplified Arabic" w:eastAsia="Times New Roman" w:cs="Simplified Arabic" w:hAnsi="Simplified Arabic"/>
          <w:color w:val="1B1C1D"/>
          <w:sz w:val="32"/>
          <w:szCs w:val="32"/>
          <w:rtl/>
        </w:rPr>
        <w:t xml:space="preserve"> الدراسات السابقة</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أولاً: الدراسات العربية</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1. دراسة أماني عادل مسعود (2014)</w:t>
      </w:r>
    </w:p>
    <w:p>
      <w:pPr>
        <w:pStyle w:val="17"/>
        <w:numPr>
          <w:ilvl w:val="0"/>
          <w:numId w:val="8"/>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العنوان:</w:t>
      </w:r>
      <w:r>
        <w:rPr>
          <w:rFonts w:ascii="Simplified Arabic" w:cs="Simplified Arabic" w:hAnsi="Simplified Arabic"/>
          <w:color w:val="1B1C1D"/>
          <w:sz w:val="32"/>
          <w:szCs w:val="32"/>
          <w:rtl/>
        </w:rPr>
        <w:t xml:space="preserve"> أثر تطبيق الحاكمية المؤسسية على استراتيجيات إدارة المخاطر في شركات التأمين الأردنية المدرجة في بورصة عمان.</w:t>
      </w:r>
    </w:p>
    <w:p>
      <w:pPr>
        <w:pStyle w:val="17"/>
        <w:numPr>
          <w:ilvl w:val="0"/>
          <w:numId w:val="8"/>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النوع والمصدر:</w:t>
      </w:r>
      <w:r>
        <w:rPr>
          <w:rFonts w:ascii="Simplified Arabic" w:cs="Simplified Arabic" w:hAnsi="Simplified Arabic"/>
          <w:color w:val="1B1C1D"/>
          <w:sz w:val="32"/>
          <w:szCs w:val="32"/>
          <w:rtl/>
        </w:rPr>
        <w:t xml:space="preserve"> مذكرة ماجستير تخصص المحاسبة، جامعة الزرقاء، الأردن.</w:t>
      </w:r>
    </w:p>
    <w:p>
      <w:pPr>
        <w:pStyle w:val="17"/>
        <w:numPr>
          <w:ilvl w:val="0"/>
          <w:numId w:val="8"/>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هدف الدراسة:</w:t>
      </w:r>
      <w:r>
        <w:rPr>
          <w:rFonts w:ascii="Simplified Arabic" w:cs="Simplified Arabic" w:hAnsi="Simplified Arabic"/>
          <w:color w:val="1B1C1D"/>
          <w:sz w:val="32"/>
          <w:szCs w:val="32"/>
          <w:rtl/>
        </w:rPr>
        <w:t xml:space="preserve"> تبيان أثر تطبيق مبادئ الحاكمية المؤسسية على استراتيجيات إدارة المخاطر في شركات التأمين الأردنية المدرجة في بورصة عمان.</w:t>
      </w:r>
    </w:p>
    <w:p>
      <w:pPr>
        <w:pStyle w:val="17"/>
        <w:numPr>
          <w:ilvl w:val="0"/>
          <w:numId w:val="8"/>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المنهجية:</w:t>
      </w:r>
      <w:r>
        <w:rPr>
          <w:rFonts w:ascii="Simplified Arabic" w:cs="Simplified Arabic" w:hAnsi="Simplified Arabic"/>
          <w:color w:val="1B1C1D"/>
          <w:sz w:val="32"/>
          <w:szCs w:val="32"/>
          <w:rtl/>
        </w:rPr>
        <w:t xml:space="preserve"> المنهج الوصفي التحليلي، باستخدام أداة الاستبيان التي وُزعت على (19) شركة تأمين (بمعدل استبانتان لكل شركة).</w:t>
      </w:r>
    </w:p>
    <w:p>
      <w:pPr>
        <w:pStyle w:val="17"/>
        <w:numPr>
          <w:ilvl w:val="0"/>
          <w:numId w:val="8"/>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النتائج الرئيسية:</w:t>
      </w:r>
    </w:p>
    <w:p>
      <w:pPr>
        <w:pStyle w:val="17"/>
        <w:numPr>
          <w:ilvl w:val="1"/>
          <w:numId w:val="8"/>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وجود أثر إيجابي لتطبيق مبادئ الحاكمية المؤسسية على استراتيجيات إدارة المخاطر.</w:t>
      </w:r>
    </w:p>
    <w:p>
      <w:pPr>
        <w:pStyle w:val="17"/>
        <w:numPr>
          <w:ilvl w:val="1"/>
          <w:numId w:val="8"/>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يُعتبر مبدأ مسؤوليات مجلس الإدارة هو الأكثر تأثيراً على استراتيجيات إدارة المخاطر مقارنة ببقية المبادئ.</w:t>
      </w:r>
    </w:p>
    <w:p>
      <w:pPr>
        <w:pStyle w:val="17"/>
        <w:numPr>
          <w:ilvl w:val="1"/>
          <w:numId w:val="8"/>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تُعد مبادئ الحاكمية المؤسسية ضرورية لإيجاد نظام رقابي محكم يساهم في تحسين أداء شركات التأمين الأردنية من خلال تحديد وتوزيع المهام والمسؤوليات والصلاحيات.</w:t>
      </w:r>
    </w:p>
    <w:p>
      <w:pPr>
        <w:pStyle w:val="17"/>
        <w:numPr>
          <w:ilvl w:val="1"/>
          <w:numId w:val="8"/>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تُعد إدارة المخاطر من أهم ركائز حوكمة المؤسسات، لأنها تطمئن المساهمين وأصحاب المصالح بأن مخاطر الشركة يتم السيطرة عليها ومتابعتها بشكل مهني ومنظم.</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2. دراسة رندة محمد سعيد أبو شعبان (2016)</w:t>
      </w:r>
    </w:p>
    <w:p>
      <w:pPr>
        <w:pStyle w:val="17"/>
        <w:numPr>
          <w:ilvl w:val="0"/>
          <w:numId w:val="9"/>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العنوان:</w:t>
      </w:r>
      <w:r>
        <w:rPr>
          <w:rFonts w:ascii="Simplified Arabic" w:cs="Simplified Arabic" w:hAnsi="Simplified Arabic"/>
          <w:color w:val="1B1C1D"/>
          <w:sz w:val="32"/>
          <w:szCs w:val="32"/>
          <w:rtl/>
        </w:rPr>
        <w:t xml:space="preserve"> دور التدقيق الداخلي في تقييم إدارة المخاطر التشغيلية: دراسة تطبيقية على المصارف العاملة في قطاع غزة.</w:t>
      </w:r>
    </w:p>
    <w:p>
      <w:pPr>
        <w:pStyle w:val="17"/>
        <w:numPr>
          <w:ilvl w:val="0"/>
          <w:numId w:val="9"/>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النوع والمصدر:</w:t>
      </w:r>
      <w:r>
        <w:rPr>
          <w:rFonts w:ascii="Simplified Arabic" w:cs="Simplified Arabic" w:hAnsi="Simplified Arabic"/>
          <w:color w:val="1B1C1D"/>
          <w:sz w:val="32"/>
          <w:szCs w:val="32"/>
          <w:rtl/>
        </w:rPr>
        <w:t xml:space="preserve"> أطروحة ماجستير في تخصص محاسبة وتمويل، كلية التجارة، الجامعة الإسلامية بغزة.</w:t>
      </w:r>
    </w:p>
    <w:p>
      <w:pPr>
        <w:pStyle w:val="17"/>
        <w:numPr>
          <w:ilvl w:val="0"/>
          <w:numId w:val="9"/>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هدف الدراسة:</w:t>
      </w:r>
      <w:r>
        <w:rPr>
          <w:rFonts w:ascii="Simplified Arabic" w:cs="Simplified Arabic" w:hAnsi="Simplified Arabic"/>
          <w:color w:val="1B1C1D"/>
          <w:sz w:val="32"/>
          <w:szCs w:val="32"/>
          <w:rtl/>
        </w:rPr>
        <w:t xml:space="preserve"> التعرف على دور التدقيق الداخلي في تقييم إدارة المخاطر التشغيلية بالتطبيق في المصارف العاملة في قطاع غزة.</w:t>
      </w:r>
    </w:p>
    <w:p>
      <w:pPr>
        <w:pStyle w:val="17"/>
        <w:numPr>
          <w:ilvl w:val="0"/>
          <w:numId w:val="9"/>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المنهجية:</w:t>
      </w:r>
      <w:r>
        <w:rPr>
          <w:rFonts w:ascii="Simplified Arabic" w:cs="Simplified Arabic" w:hAnsi="Simplified Arabic"/>
          <w:color w:val="1B1C1D"/>
          <w:sz w:val="32"/>
          <w:szCs w:val="32"/>
          <w:rtl/>
        </w:rPr>
        <w:t xml:space="preserve"> المنهج الوصفي التحليلي، باستخدام أداة الاستبيان التي وُزعت على (24) مدققاً داخلياً عاملاً في المصارف العاملة في قطاع غزة.</w:t>
      </w:r>
    </w:p>
    <w:p>
      <w:pPr>
        <w:pStyle w:val="17"/>
        <w:numPr>
          <w:ilvl w:val="0"/>
          <w:numId w:val="9"/>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النتائج الرئيسية:</w:t>
      </w:r>
    </w:p>
    <w:p>
      <w:pPr>
        <w:pStyle w:val="17"/>
        <w:numPr>
          <w:ilvl w:val="1"/>
          <w:numId w:val="9"/>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كفاءة المدقق الداخلي والصلاحيات الممنوحة له تلعب دوراً مهماً في عملية تقييمه لإدارة المخاطر التشغيلية.</w:t>
      </w:r>
    </w:p>
    <w:p>
      <w:pPr>
        <w:pStyle w:val="17"/>
        <w:numPr>
          <w:ilvl w:val="1"/>
          <w:numId w:val="9"/>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يهتم المدقق الداخلي بمراجعة أنظمة الرقابة الداخلية، مما يساعده على تقييم إدارة المخاطر التشغيلية.</w:t>
      </w:r>
    </w:p>
    <w:p>
      <w:pPr>
        <w:pStyle w:val="17"/>
        <w:numPr>
          <w:ilvl w:val="1"/>
          <w:numId w:val="9"/>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القيام بمراعاة الامتثال للقوانين والأنظمة وشمولية عمله يؤثر إيجاباً على تقييمه لإدارة المخاطر التشغيلية.</w:t>
      </w:r>
    </w:p>
    <w:p>
      <w:pPr>
        <w:pStyle w:val="17"/>
        <w:numPr>
          <w:ilvl w:val="1"/>
          <w:numId w:val="9"/>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اهتمام المدقق الداخلي بمتابعة نظم العمليات الإلكترونية يساعده على تقييم إدارة المخاطر التشغيلية، مع ملاحظة وجود مستوى منخفض من الاهتمام بإجراءات إدارة هذه الأنظمة لدى بعض المصارف.</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3. دراسة أشواق بنت منصور السهيمي وفهدة بنت سلطان السديري (2020)</w:t>
      </w:r>
    </w:p>
    <w:p>
      <w:pPr>
        <w:pStyle w:val="17"/>
        <w:numPr>
          <w:ilvl w:val="0"/>
          <w:numId w:val="10"/>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العنوان:</w:t>
      </w:r>
      <w:r>
        <w:rPr>
          <w:rFonts w:ascii="Simplified Arabic" w:cs="Simplified Arabic" w:hAnsi="Simplified Arabic"/>
          <w:color w:val="1B1C1D"/>
          <w:sz w:val="32"/>
          <w:szCs w:val="32"/>
          <w:rtl/>
        </w:rPr>
        <w:t xml:space="preserve"> دور المراجعة الداخلية في تقييم فاعلية عمليات إدارة المخاطر والمساهمة في تحسينها في قطاع التأمين السعودي (دراسة ميدانية).</w:t>
      </w:r>
    </w:p>
    <w:p>
      <w:pPr>
        <w:pStyle w:val="17"/>
        <w:numPr>
          <w:ilvl w:val="0"/>
          <w:numId w:val="10"/>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النوع والمصدر:</w:t>
      </w:r>
      <w:r>
        <w:rPr>
          <w:rFonts w:ascii="Simplified Arabic" w:cs="Simplified Arabic" w:hAnsi="Simplified Arabic"/>
          <w:color w:val="1B1C1D"/>
          <w:sz w:val="32"/>
          <w:szCs w:val="32"/>
          <w:rtl/>
        </w:rPr>
        <w:t xml:space="preserve"> دراسة منشورة في مجلة المحاسبة المصرية، المجلد 2020، العدد 17.</w:t>
      </w:r>
    </w:p>
    <w:p>
      <w:pPr>
        <w:pStyle w:val="17"/>
        <w:numPr>
          <w:ilvl w:val="0"/>
          <w:numId w:val="10"/>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هدف الدراسة:</w:t>
      </w:r>
      <w:r>
        <w:rPr>
          <w:rFonts w:ascii="Simplified Arabic" w:cs="Simplified Arabic" w:hAnsi="Simplified Arabic"/>
          <w:color w:val="1B1C1D"/>
          <w:sz w:val="32"/>
          <w:szCs w:val="32"/>
          <w:rtl/>
        </w:rPr>
        <w:t xml:space="preserve"> التعرف على دور المراجعة الداخلية في تقييم فاعلية عمليات إدارة المخاطر والمساهمة في تحسينها في قطاع التأمين السعودي، من خلال معرفة العوامل المؤثرة على المراجع الداخلي.</w:t>
      </w:r>
    </w:p>
    <w:p>
      <w:pPr>
        <w:pStyle w:val="17"/>
        <w:numPr>
          <w:ilvl w:val="0"/>
          <w:numId w:val="10"/>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المنهجية:</w:t>
      </w:r>
      <w:r>
        <w:rPr>
          <w:rFonts w:ascii="Simplified Arabic" w:cs="Simplified Arabic" w:hAnsi="Simplified Arabic"/>
          <w:color w:val="1B1C1D"/>
          <w:sz w:val="32"/>
          <w:szCs w:val="32"/>
          <w:rtl/>
        </w:rPr>
        <w:t xml:space="preserve"> تم الاعتماد على منهج النظرية الإيجابية، واستخدام أداة الاستبيان لجمع المعلومات من عينة الدراسة (موظفي الإدارة العليا، إدارة المخاطر، المراجعة الداخلية، وأعضاء لجان المراجعة في شركات التأمين السعودية).</w:t>
      </w:r>
    </w:p>
    <w:p>
      <w:pPr>
        <w:pStyle w:val="17"/>
        <w:numPr>
          <w:ilvl w:val="0"/>
          <w:numId w:val="10"/>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النتائج الرئيسية:</w:t>
      </w:r>
    </w:p>
    <w:p>
      <w:pPr>
        <w:pStyle w:val="17"/>
        <w:numPr>
          <w:ilvl w:val="1"/>
          <w:numId w:val="10"/>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يعتمد أداء المراجع الداخلي لدوره في تقييم فاعلية عمليات إدارة المخاطر والمساهمة في تحسينها على عدة عوامل، تتمثل في: استقلاليته، وامتلاكه للمقومات العلمية والعملية اللازمة، ووجود لجنة مراجعة فعالة.</w:t>
      </w:r>
    </w:p>
    <w:p>
      <w:pPr>
        <w:pStyle w:val="17"/>
        <w:numPr>
          <w:ilvl w:val="1"/>
          <w:numId w:val="10"/>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ضعف التواصل بين المراجع الداخلي والإدارة العليا والإدارات التنفيذية للحصول على المعلومات اللازمة يقلل من كفاءة وفاعلية أداء المراجع الداخلي لدوره.</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4. دراسة ريم بنت حمدان بن حامد البلوي وتـرفانـا عبد الرحمن غيث (2022)</w:t>
      </w:r>
    </w:p>
    <w:p>
      <w:pPr>
        <w:pStyle w:val="17"/>
        <w:numPr>
          <w:ilvl w:val="0"/>
          <w:numId w:val="11"/>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العنوان:</w:t>
      </w:r>
      <w:r>
        <w:rPr>
          <w:rFonts w:ascii="Simplified Arabic" w:cs="Simplified Arabic" w:hAnsi="Simplified Arabic"/>
          <w:color w:val="1B1C1D"/>
          <w:sz w:val="32"/>
          <w:szCs w:val="32"/>
          <w:rtl/>
        </w:rPr>
        <w:t xml:space="preserve"> أثر تطبيق آليات الحوكمة على إدارة مخاطر العمل المؤسسي في القطاع العام: دراسة ميدانية على الموظفين الإداريين في أمانة محافظة جدة.</w:t>
      </w:r>
    </w:p>
    <w:p>
      <w:pPr>
        <w:pStyle w:val="17"/>
        <w:numPr>
          <w:ilvl w:val="0"/>
          <w:numId w:val="11"/>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النوع والمصدر:</w:t>
      </w:r>
      <w:r>
        <w:rPr>
          <w:rFonts w:ascii="Simplified Arabic" w:cs="Simplified Arabic" w:hAnsi="Simplified Arabic"/>
          <w:color w:val="1B1C1D"/>
          <w:sz w:val="32"/>
          <w:szCs w:val="32"/>
          <w:rtl/>
        </w:rPr>
        <w:t xml:space="preserve"> دراسة منشورة في مجلة القراءة والمعرفة، المجلد 22، العدد 250.</w:t>
      </w:r>
    </w:p>
    <w:p>
      <w:pPr>
        <w:pStyle w:val="17"/>
        <w:numPr>
          <w:ilvl w:val="0"/>
          <w:numId w:val="11"/>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هدف الدراسة:</w:t>
      </w:r>
    </w:p>
    <w:p>
      <w:pPr>
        <w:pStyle w:val="17"/>
        <w:numPr>
          <w:ilvl w:val="1"/>
          <w:numId w:val="1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التعرف على أثر تطبيق آليات الحوكمة على إدارة مخاطر العمل المؤسسي في القطاع العام لدى أمانة محافظة جدة.</w:t>
      </w:r>
    </w:p>
    <w:p>
      <w:pPr>
        <w:pStyle w:val="17"/>
        <w:numPr>
          <w:ilvl w:val="1"/>
          <w:numId w:val="1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التعرف على درجة تطبيق آليات الحوكمة بأبعادها (أنظمة العمل، الشفافية، المشاركة) ومستوى إدارة المخاطر لدى الأمانة.</w:t>
      </w:r>
    </w:p>
    <w:p>
      <w:pPr>
        <w:pStyle w:val="17"/>
        <w:numPr>
          <w:ilvl w:val="1"/>
          <w:numId w:val="1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الكشف عن الفروق ذات الدلالة الإحصائية بين استجابات أفراد العينة حول تطبيق آليات الحوكمة وإدارة المخاطر تبعا للمتغيرات الشخصية والوظيفية.</w:t>
      </w:r>
    </w:p>
    <w:p>
      <w:pPr>
        <w:pStyle w:val="17"/>
        <w:numPr>
          <w:ilvl w:val="0"/>
          <w:numId w:val="11"/>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المنهجية:</w:t>
      </w:r>
      <w:r>
        <w:rPr>
          <w:rFonts w:ascii="Simplified Arabic" w:cs="Simplified Arabic" w:hAnsi="Simplified Arabic"/>
          <w:color w:val="1B1C1D"/>
          <w:sz w:val="32"/>
          <w:szCs w:val="32"/>
          <w:rtl/>
        </w:rPr>
        <w:t xml:space="preserve"> المنهج الوصفي التحليلي، باستخدام أداة الاستبيان التي وُزعت على عينة عشوائية مكونة من (323) موظفاً وموظفة لدى أمانة محافظة جدة.</w:t>
      </w:r>
    </w:p>
    <w:p>
      <w:pPr>
        <w:pStyle w:val="17"/>
        <w:numPr>
          <w:ilvl w:val="0"/>
          <w:numId w:val="11"/>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النتائج الرئيسية:</w:t>
      </w:r>
    </w:p>
    <w:p>
      <w:pPr>
        <w:pStyle w:val="17"/>
        <w:numPr>
          <w:ilvl w:val="1"/>
          <w:numId w:val="1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درجة تطبيق آليات الحوكمة لدى أمانة محافظة جدة كانت مرتفعة.</w:t>
      </w:r>
    </w:p>
    <w:p>
      <w:pPr>
        <w:pStyle w:val="17"/>
        <w:numPr>
          <w:ilvl w:val="1"/>
          <w:numId w:val="1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مستوى إدارة مخاطر العمل المؤسسية كان مرتفعاً.</w:t>
      </w:r>
    </w:p>
    <w:p>
      <w:pPr>
        <w:pStyle w:val="17"/>
        <w:numPr>
          <w:ilvl w:val="1"/>
          <w:numId w:val="11"/>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وجود أثر لتطبيق آليات الحوكمة على إدارة مخاطر العمل المؤسسية في القطاع العام لدى أمانة محافظة جدة من وجهة نظر الموظفين الإداريين.</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ثانياً: الدراسات الأجنبية</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 xml:space="preserve">1. دراسة </w:t>
      </w:r>
      <w:r>
        <w:rPr>
          <w:rFonts w:ascii="Simplified Arabic" w:eastAsia="Times New Roman" w:cs="Simplified Arabic" w:hAnsi="Simplified Arabic"/>
          <w:color w:val="1B1C1D"/>
          <w:sz w:val="32"/>
          <w:szCs w:val="32"/>
        </w:rPr>
        <w:t>Sirine Toumi (2016)</w:t>
      </w:r>
    </w:p>
    <w:p>
      <w:pPr>
        <w:pStyle w:val="17"/>
        <w:numPr>
          <w:ilvl w:val="0"/>
          <w:numId w:val="1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العنوان (بالفرنسية):</w:t>
      </w:r>
      <w:r>
        <w:rPr>
          <w:rFonts w:ascii="Simplified Arabic" w:cs="Simplified Arabic" w:hAnsi="Simplified Arabic"/>
          <w:color w:val="1B1C1D"/>
          <w:sz w:val="32"/>
          <w:szCs w:val="32"/>
          <w:rtl/>
        </w:rPr>
        <w:t xml:space="preserve"> </w:t>
      </w:r>
      <w:r>
        <w:rPr>
          <w:rFonts w:ascii="Simplified Arabic" w:cs="Simplified Arabic" w:hAnsi="Simplified Arabic"/>
          <w:color w:val="1B1C1D"/>
          <w:sz w:val="32"/>
          <w:szCs w:val="32"/>
        </w:rPr>
        <w:t>L'impact des mécanismes de gouvernance dans la gestion des risques bancaire et la performance des banques cas de la France, L'Allemagne et le Japon</w:t>
      </w:r>
      <w:r>
        <w:rPr>
          <w:rFonts w:ascii="Simplified Arabic" w:cs="Simplified Arabic" w:hAnsi="Simplified Arabic"/>
          <w:color w:val="1B1C1D"/>
          <w:sz w:val="32"/>
          <w:szCs w:val="32"/>
          <w:rtl/>
        </w:rPr>
        <w:t>.</w:t>
      </w:r>
    </w:p>
    <w:p>
      <w:pPr>
        <w:pStyle w:val="17"/>
        <w:numPr>
          <w:ilvl w:val="0"/>
          <w:numId w:val="1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الترجمة:</w:t>
      </w:r>
      <w:r>
        <w:rPr>
          <w:rFonts w:ascii="Simplified Arabic" w:cs="Simplified Arabic" w:hAnsi="Simplified Arabic"/>
          <w:color w:val="1B1C1D"/>
          <w:sz w:val="32"/>
          <w:szCs w:val="32"/>
          <w:rtl/>
        </w:rPr>
        <w:t xml:space="preserve"> أثر آليات الحوكمة في إدارة المخاطر المصرفية وأداء البنوك: حالة فرنسا، وألمانيا، واليابان.</w:t>
      </w:r>
    </w:p>
    <w:p>
      <w:pPr>
        <w:pStyle w:val="17"/>
        <w:numPr>
          <w:ilvl w:val="0"/>
          <w:numId w:val="1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النوع والمصدر:</w:t>
      </w:r>
      <w:r>
        <w:rPr>
          <w:rFonts w:ascii="Simplified Arabic" w:cs="Simplified Arabic" w:hAnsi="Simplified Arabic"/>
          <w:color w:val="1B1C1D"/>
          <w:sz w:val="32"/>
          <w:szCs w:val="32"/>
          <w:rtl/>
        </w:rPr>
        <w:t xml:space="preserve"> أطروحة دكتوراه تحت إشراف دولي مشترك (جامعة </w:t>
      </w:r>
      <w:r>
        <w:rPr>
          <w:rFonts w:ascii="Simplified Arabic" w:cs="Simplified Arabic" w:hAnsi="Simplified Arabic"/>
          <w:color w:val="1B1C1D"/>
          <w:sz w:val="32"/>
          <w:szCs w:val="32"/>
        </w:rPr>
        <w:t>Nice Sohphia Antipolis</w:t>
      </w:r>
      <w:r>
        <w:rPr>
          <w:rFonts w:ascii="Simplified Arabic" w:cs="Simplified Arabic" w:hAnsi="Simplified Arabic"/>
          <w:color w:val="1B1C1D"/>
          <w:sz w:val="32"/>
          <w:szCs w:val="32"/>
          <w:rtl/>
        </w:rPr>
        <w:t xml:space="preserve"> وجامعة تونس تخصص العلوم الاقتصادية).</w:t>
      </w:r>
    </w:p>
    <w:p>
      <w:pPr>
        <w:pStyle w:val="17"/>
        <w:numPr>
          <w:ilvl w:val="0"/>
          <w:numId w:val="1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هدف الدراسة:</w:t>
      </w:r>
      <w:r>
        <w:rPr>
          <w:rFonts w:ascii="Simplified Arabic" w:cs="Simplified Arabic" w:hAnsi="Simplified Arabic"/>
          <w:color w:val="1B1C1D"/>
          <w:sz w:val="32"/>
          <w:szCs w:val="32"/>
          <w:rtl/>
        </w:rPr>
        <w:t xml:space="preserve"> دراسة الآليات الداخلية للحوكمة المصرفية وتأثيرها على مخاطر الائتمان والأداء المصرفي، مع اكتشاف تأثير خصائص مجلس الإدارة واللجان التابعة له (حجم مجلس الإدارة، استقلالية المدير، الحضور).</w:t>
      </w:r>
    </w:p>
    <w:p>
      <w:pPr>
        <w:pStyle w:val="17"/>
        <w:numPr>
          <w:ilvl w:val="0"/>
          <w:numId w:val="1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المنهجية:</w:t>
      </w:r>
      <w:r>
        <w:rPr>
          <w:rFonts w:ascii="Simplified Arabic" w:cs="Simplified Arabic" w:hAnsi="Simplified Arabic"/>
          <w:color w:val="1B1C1D"/>
          <w:sz w:val="32"/>
          <w:szCs w:val="32"/>
          <w:rtl/>
        </w:rPr>
        <w:t xml:space="preserve"> الاعتماد على البيانات الجدولية (</w:t>
      </w:r>
      <w:r>
        <w:rPr>
          <w:rFonts w:ascii="Simplified Arabic" w:cs="Simplified Arabic" w:hAnsi="Simplified Arabic"/>
          <w:color w:val="1B1C1D"/>
          <w:sz w:val="32"/>
          <w:szCs w:val="32"/>
        </w:rPr>
        <w:t>data panel</w:t>
      </w:r>
      <w:r>
        <w:rPr>
          <w:rFonts w:ascii="Simplified Arabic" w:cs="Simplified Arabic" w:hAnsi="Simplified Arabic"/>
          <w:color w:val="1B1C1D"/>
          <w:sz w:val="32"/>
          <w:szCs w:val="32"/>
          <w:rtl/>
        </w:rPr>
        <w:t>) لتحليل العلاقة بين المتغيرات، بالتطبيق على عينة مكونة من (13) مصرفاً فرنسياً، و(13) مصرفاً ألمانياً، و(20) مصرفاً يابانياً خلال الفترة 2005-2012.</w:t>
      </w:r>
    </w:p>
    <w:p>
      <w:pPr>
        <w:pStyle w:val="17"/>
        <w:numPr>
          <w:ilvl w:val="0"/>
          <w:numId w:val="1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النتائج الرئيسية:</w:t>
      </w:r>
    </w:p>
    <w:p>
      <w:pPr>
        <w:pStyle w:val="17"/>
        <w:numPr>
          <w:ilvl w:val="1"/>
          <w:numId w:val="12"/>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تؤثر آليات الحوكمة الداخلية على مستوى القروض المتعثرة والأداء المالي للمصارف، ولكن بتأثيرات متفاوتة.</w:t>
      </w:r>
    </w:p>
    <w:p>
      <w:pPr>
        <w:pStyle w:val="17"/>
        <w:numPr>
          <w:ilvl w:val="1"/>
          <w:numId w:val="12"/>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وجود تباين في التأثير بين المصارف في البلدان التي شملتها الدراسة.</w:t>
      </w:r>
    </w:p>
    <w:p>
      <w:pPr>
        <w:pStyle w:val="17"/>
        <w:numPr>
          <w:ilvl w:val="1"/>
          <w:numId w:val="12"/>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يمثل مجلس الإدارة آلية رقابية مهمة، ولكن يجب الأخذ بعين الاعتبار الآليات الأخرى مثل هيكل الملكية وآليات الحوكمة الخارجية لتجنب تضارب المصالح وإقامة علاقة سليمة بين حملة الأسهم والمديرين وأصحاب المصلحة الآخرين.</w:t>
      </w:r>
    </w:p>
    <w:p>
      <w:pPr>
        <w:pStyle w:val="3"/>
        <w:spacing w:before="0" w:after="120" w:line="360" w:lineRule="auto"/>
        <w:rPr>
          <w:rFonts w:ascii="Simplified Arabic" w:eastAsia="Times New Roman" w:cs="Simplified Arabic" w:hAnsi="Simplified Arabic"/>
          <w:color w:val="1B1C1D"/>
          <w:sz w:val="32"/>
          <w:szCs w:val="32"/>
          <w:rtl/>
        </w:rPr>
      </w:pPr>
      <w:r>
        <w:rPr>
          <w:rFonts w:ascii="Simplified Arabic" w:eastAsia="Times New Roman" w:cs="Simplified Arabic" w:hAnsi="Simplified Arabic"/>
          <w:color w:val="1B1C1D"/>
          <w:sz w:val="32"/>
          <w:szCs w:val="32"/>
          <w:rtl/>
        </w:rPr>
        <w:t xml:space="preserve">2. دراسة </w:t>
      </w:r>
      <w:r>
        <w:rPr>
          <w:rFonts w:ascii="Simplified Arabic" w:eastAsia="Times New Roman" w:cs="Simplified Arabic" w:hAnsi="Simplified Arabic"/>
          <w:color w:val="1B1C1D"/>
          <w:sz w:val="32"/>
          <w:szCs w:val="32"/>
        </w:rPr>
        <w:t>Raef Gouiaa (2018)</w:t>
      </w:r>
    </w:p>
    <w:p>
      <w:pPr>
        <w:pStyle w:val="17"/>
        <w:numPr>
          <w:ilvl w:val="0"/>
          <w:numId w:val="1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العنوان (بالإنجليزية):</w:t>
      </w:r>
      <w:r>
        <w:rPr>
          <w:rFonts w:ascii="Simplified Arabic" w:cs="Simplified Arabic" w:hAnsi="Simplified Arabic"/>
          <w:color w:val="1B1C1D"/>
          <w:sz w:val="32"/>
          <w:szCs w:val="32"/>
          <w:rtl/>
        </w:rPr>
        <w:t xml:space="preserve"> </w:t>
      </w:r>
      <w:r>
        <w:rPr>
          <w:rFonts w:ascii="Simplified Arabic" w:cs="Simplified Arabic" w:hAnsi="Simplified Arabic"/>
          <w:color w:val="1B1C1D"/>
          <w:sz w:val="32"/>
          <w:szCs w:val="32"/>
        </w:rPr>
        <w:t>Analysis Of the Effect of Corporate Governance Attributes on Risk Management Practices</w:t>
      </w:r>
      <w:r>
        <w:rPr>
          <w:rFonts w:ascii="Simplified Arabic" w:cs="Simplified Arabic" w:hAnsi="Simplified Arabic"/>
          <w:color w:val="1B1C1D"/>
          <w:sz w:val="32"/>
          <w:szCs w:val="32"/>
          <w:rtl/>
        </w:rPr>
        <w:t>.</w:t>
      </w:r>
    </w:p>
    <w:p>
      <w:pPr>
        <w:pStyle w:val="17"/>
        <w:numPr>
          <w:ilvl w:val="0"/>
          <w:numId w:val="1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الترجمة:</w:t>
      </w:r>
      <w:r>
        <w:rPr>
          <w:rFonts w:ascii="Simplified Arabic" w:cs="Simplified Arabic" w:hAnsi="Simplified Arabic"/>
          <w:color w:val="1B1C1D"/>
          <w:sz w:val="32"/>
          <w:szCs w:val="32"/>
          <w:rtl/>
        </w:rPr>
        <w:t xml:space="preserve"> تحليل أثر سمات حوكمة الشركات على ممارسات إدارة المخاطر.</w:t>
      </w:r>
    </w:p>
    <w:p>
      <w:pPr>
        <w:pStyle w:val="17"/>
        <w:numPr>
          <w:ilvl w:val="0"/>
          <w:numId w:val="1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النوع والمصدر:</w:t>
      </w:r>
      <w:r>
        <w:rPr>
          <w:rFonts w:ascii="Simplified Arabic" w:cs="Simplified Arabic" w:hAnsi="Simplified Arabic"/>
          <w:color w:val="1B1C1D"/>
          <w:sz w:val="32"/>
          <w:szCs w:val="32"/>
          <w:rtl/>
        </w:rPr>
        <w:t xml:space="preserve"> دراسة منشورة في مجلة (</w:t>
      </w:r>
      <w:r>
        <w:rPr>
          <w:rFonts w:ascii="Simplified Arabic" w:cs="Simplified Arabic" w:hAnsi="Simplified Arabic"/>
          <w:color w:val="1B1C1D"/>
          <w:sz w:val="32"/>
          <w:szCs w:val="32"/>
        </w:rPr>
        <w:t>Governance and control: Financial Markets</w:t>
      </w:r>
      <w:r>
        <w:rPr>
          <w:rFonts w:ascii="Simplified Arabic" w:cs="Simplified Arabic" w:hAnsi="Simplified Arabic"/>
          <w:color w:val="1B1C1D"/>
          <w:sz w:val="32"/>
          <w:szCs w:val="32"/>
          <w:rtl/>
        </w:rPr>
        <w:t xml:space="preserve"> &amp; </w:t>
      </w:r>
      <w:r>
        <w:rPr>
          <w:rFonts w:ascii="Simplified Arabic" w:cs="Simplified Arabic" w:hAnsi="Simplified Arabic"/>
          <w:color w:val="1B1C1D"/>
          <w:sz w:val="32"/>
          <w:szCs w:val="32"/>
        </w:rPr>
        <w:t>Institutions</w:t>
      </w:r>
      <w:r>
        <w:rPr>
          <w:rFonts w:ascii="Simplified Arabic" w:cs="Simplified Arabic" w:hAnsi="Simplified Arabic"/>
          <w:color w:val="1B1C1D"/>
          <w:sz w:val="32"/>
          <w:szCs w:val="32"/>
          <w:rtl/>
        </w:rPr>
        <w:t>)، المجلد 8، العدد 1.</w:t>
      </w:r>
    </w:p>
    <w:p>
      <w:pPr>
        <w:pStyle w:val="17"/>
        <w:numPr>
          <w:ilvl w:val="0"/>
          <w:numId w:val="1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هدف الدراسة:</w:t>
      </w:r>
      <w:r>
        <w:rPr>
          <w:rFonts w:ascii="Simplified Arabic" w:cs="Simplified Arabic" w:hAnsi="Simplified Arabic"/>
          <w:color w:val="1B1C1D"/>
          <w:sz w:val="32"/>
          <w:szCs w:val="32"/>
          <w:rtl/>
        </w:rPr>
        <w:t xml:space="preserve"> تناول العلاقة بين أنظمة حوكمة الشركات وممارسات إدارة المخاطر، وتحليل كيفية تأثير خصائص حوكمة الشركات (خاصة خصائص مجلس الإدارة) على ممارسات إدارة المخاطر.</w:t>
      </w:r>
    </w:p>
    <w:p>
      <w:pPr>
        <w:pStyle w:val="17"/>
        <w:numPr>
          <w:ilvl w:val="0"/>
          <w:numId w:val="1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المنهجية:</w:t>
      </w:r>
      <w:r>
        <w:rPr>
          <w:rFonts w:ascii="Simplified Arabic" w:cs="Simplified Arabic" w:hAnsi="Simplified Arabic"/>
          <w:color w:val="1B1C1D"/>
          <w:sz w:val="32"/>
          <w:szCs w:val="32"/>
          <w:rtl/>
        </w:rPr>
        <w:t xml:space="preserve"> استخدام منهج تحليل المحتوى لتحديد مستوى التعرض للمخاطر واستراتيجيات إدارتها، بالتطبيق على الشركات الكندية المدرجة.</w:t>
      </w:r>
    </w:p>
    <w:p>
      <w:pPr>
        <w:pStyle w:val="17"/>
        <w:numPr>
          <w:ilvl w:val="0"/>
          <w:numId w:val="1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النتائج الرئيسية:</w:t>
      </w:r>
    </w:p>
    <w:p>
      <w:pPr>
        <w:pStyle w:val="17"/>
        <w:numPr>
          <w:ilvl w:val="1"/>
          <w:numId w:val="13"/>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تلعب خصائص حوكمة الشركات المتعلقة بهيكل مجلس الإدارة وخصائص المديرين وإجراءات عمل مجلس الإدارة (عدد الاجتماعات ومستوى الحضور) دوراً هاماً في إنشاء نهج متكامل لإدارة المخاطر.</w:t>
      </w:r>
    </w:p>
    <w:p>
      <w:pPr>
        <w:pStyle w:val="17"/>
        <w:numPr>
          <w:ilvl w:val="1"/>
          <w:numId w:val="13"/>
        </w:numPr>
        <w:bidi/>
        <w:spacing w:before="0" w:beforeAutospacing="0" w:after="12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تُحدد خصائص المديرين وإجراءات عمل مجلس الإدارة بشكل كبير جودة إدارة المخاطر، خاصة فيما يتعلق بمستوى تحمل المخاطر في القرارات المتعلقة بالمخاطر المالية.</w:t>
      </w:r>
    </w:p>
    <w:p>
      <w:pPr>
        <w:pStyle w:val="1"/>
        <w:bidi/>
        <w:spacing w:before="0" w:beforeAutospacing="0" w:after="120" w:afterAutospacing="0" w:line="360" w:lineRule="auto"/>
        <w:rPr>
          <w:rFonts w:ascii="Simplified Arabic" w:eastAsia="Times New Roman" w:cs="Simplified Arabic" w:hAnsi="Simplified Arabic"/>
          <w:color w:val="1B1C1D"/>
          <w:sz w:val="32"/>
          <w:szCs w:val="32"/>
          <w:rtl/>
        </w:rPr>
      </w:pPr>
    </w:p>
    <w:p>
      <w:pPr>
        <w:pStyle w:val="1"/>
        <w:bidi/>
        <w:spacing w:before="0" w:beforeAutospacing="0" w:after="120" w:afterAutospacing="0" w:line="360" w:lineRule="auto"/>
        <w:rPr>
          <w:rFonts w:ascii="Simplified Arabic" w:eastAsia="Times New Roman" w:cs="Simplified Arabic" w:hAnsi="Simplified Arabic"/>
          <w:color w:val="1B1C1D"/>
          <w:sz w:val="32"/>
          <w:szCs w:val="32"/>
          <w:rtl/>
        </w:rPr>
      </w:pPr>
    </w:p>
    <w:p>
      <w:pPr>
        <w:pStyle w:val="1"/>
        <w:bidi/>
        <w:spacing w:before="0" w:beforeAutospacing="0" w:after="120" w:afterAutospacing="0" w:line="360" w:lineRule="auto"/>
        <w:rPr>
          <w:rFonts w:ascii="Simplified Arabic" w:eastAsia="Times New Roman" w:cs="Simplified Arabic" w:hAnsi="Simplified Arabic"/>
          <w:color w:val="1B1C1D"/>
          <w:sz w:val="32"/>
          <w:szCs w:val="32"/>
        </w:rPr>
      </w:pPr>
      <w:r>
        <w:rPr>
          <w:rFonts w:ascii="Simplified Arabic" w:eastAsia="Times New Roman" w:cs="Simplified Arabic" w:hAnsi="Simplified Arabic"/>
          <w:color w:val="1B1C1D"/>
          <w:sz w:val="32"/>
          <w:szCs w:val="32"/>
          <w:rtl/>
        </w:rPr>
        <w:t xml:space="preserve"> الإطار النظري للدراسة</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الأول: الأساس النظري لإدارة المخاطر المؤسسية (</w:t>
      </w:r>
      <w:r>
        <w:rPr>
          <w:rFonts w:ascii="Simplified Arabic" w:eastAsia="Times New Roman" w:cs="Simplified Arabic" w:hAnsi="Simplified Arabic"/>
          <w:color w:val="1B1C1D"/>
        </w:rPr>
        <w:t>ERM</w:t>
      </w:r>
      <w:r>
        <w:rPr>
          <w:rFonts w:ascii="Simplified Arabic" w:eastAsia="Times New Roman" w:cs="Simplified Arabic" w:hAnsi="Simplified Arabic"/>
          <w:color w:val="1B1C1D"/>
          <w:rtl/>
        </w:rPr>
        <w:t>)</w:t>
      </w:r>
    </w:p>
    <w:p>
      <w:pPr>
        <w:pStyle w:val="17"/>
        <w:numPr>
          <w:ilvl w:val="0"/>
          <w:numId w:val="14"/>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1.1 المفهوم والتطور:</w:t>
      </w:r>
      <w:r>
        <w:rPr>
          <w:rFonts w:ascii="Simplified Arabic" w:cs="Simplified Arabic" w:hAnsi="Simplified Arabic"/>
          <w:color w:val="1B1C1D"/>
          <w:sz w:val="32"/>
          <w:szCs w:val="32"/>
          <w:rtl/>
        </w:rPr>
        <w:t xml:space="preserve"> نشأة وتطور مفهوم إدارة المخاطر من منظور وظيفي إلى منظور مؤسسي شامل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w:t>
      </w:r>
    </w:p>
    <w:p>
      <w:pPr>
        <w:pStyle w:val="17"/>
        <w:numPr>
          <w:ilvl w:val="0"/>
          <w:numId w:val="14"/>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1.2 أطر إدارة المخاطر:</w:t>
      </w:r>
      <w:r>
        <w:rPr>
          <w:rFonts w:ascii="Simplified Arabic" w:cs="Simplified Arabic" w:hAnsi="Simplified Arabic"/>
          <w:color w:val="1B1C1D"/>
          <w:sz w:val="32"/>
          <w:szCs w:val="32"/>
          <w:rtl/>
        </w:rPr>
        <w:t xml:space="preserve"> استعراض الأطر العالمية لإدارة المخاطر، مع التركيز على إطار </w:t>
      </w:r>
      <w:r>
        <w:rPr>
          <w:rFonts w:ascii="Simplified Arabic" w:cs="Simplified Arabic" w:hAnsi="Simplified Arabic"/>
          <w:color w:val="1B1C1D"/>
          <w:sz w:val="32"/>
          <w:szCs w:val="32"/>
        </w:rPr>
        <w:t>COSO-ERM (Integrated Framework)</w:t>
      </w:r>
      <w:r>
        <w:rPr>
          <w:rFonts w:ascii="Simplified Arabic" w:cs="Simplified Arabic" w:hAnsi="Simplified Arabic"/>
          <w:color w:val="1B1C1D"/>
          <w:sz w:val="32"/>
          <w:szCs w:val="32"/>
          <w:rtl/>
        </w:rPr>
        <w:t>.</w:t>
      </w:r>
    </w:p>
    <w:p>
      <w:pPr>
        <w:pStyle w:val="17"/>
        <w:numPr>
          <w:ilvl w:val="0"/>
          <w:numId w:val="14"/>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1.3 عناصر الإطار المتكامل للمخاطر:</w:t>
      </w:r>
      <w:r>
        <w:rPr>
          <w:rFonts w:ascii="Simplified Arabic" w:cs="Simplified Arabic" w:hAnsi="Simplified Arabic"/>
          <w:color w:val="1B1C1D"/>
          <w:sz w:val="32"/>
          <w:szCs w:val="32"/>
          <w:rtl/>
        </w:rPr>
        <w:t xml:space="preserve"> المكونات الرئيسية لإطار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xml:space="preserve"> (الحوكمة والثقافة، الاستراتيجية وتحديد الأهداف، الأداء، المراجعة والتنقيح، المعلومات والاتصال).</w:t>
      </w:r>
    </w:p>
    <w:p>
      <w:pPr>
        <w:pStyle w:val="17"/>
        <w:numPr>
          <w:ilvl w:val="0"/>
          <w:numId w:val="14"/>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1.4 أنواع المخاطر في الشركات المساهمة:</w:t>
      </w:r>
      <w:r>
        <w:rPr>
          <w:rFonts w:ascii="Simplified Arabic" w:cs="Simplified Arabic" w:hAnsi="Simplified Arabic"/>
          <w:color w:val="1B1C1D"/>
          <w:sz w:val="32"/>
          <w:szCs w:val="32"/>
          <w:rtl/>
        </w:rPr>
        <w:t xml:space="preserve"> تصنيف المخاطر التشغيلية، والمالية، والاستراتيجية، ومخاطر الالتزام والسمعة.</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الثاني: ماهية ومبادئ حوكمة الشركات (</w:t>
      </w:r>
      <w:r>
        <w:rPr>
          <w:rFonts w:ascii="Simplified Arabic" w:eastAsia="Times New Roman" w:cs="Simplified Arabic" w:hAnsi="Simplified Arabic"/>
          <w:color w:val="1B1C1D"/>
        </w:rPr>
        <w:t>Corporate Governance</w:t>
      </w:r>
      <w:r>
        <w:rPr>
          <w:rFonts w:ascii="Simplified Arabic" w:eastAsia="Times New Roman" w:cs="Simplified Arabic" w:hAnsi="Simplified Arabic"/>
          <w:color w:val="1B1C1D"/>
          <w:rtl/>
        </w:rPr>
        <w:t>)</w:t>
      </w:r>
    </w:p>
    <w:p>
      <w:pPr>
        <w:pStyle w:val="17"/>
        <w:numPr>
          <w:ilvl w:val="0"/>
          <w:numId w:val="15"/>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2.1 مفهوم وأهداف الحوكمة:</w:t>
      </w:r>
      <w:r>
        <w:rPr>
          <w:rFonts w:ascii="Simplified Arabic" w:cs="Simplified Arabic" w:hAnsi="Simplified Arabic"/>
          <w:color w:val="1B1C1D"/>
          <w:sz w:val="32"/>
          <w:szCs w:val="32"/>
          <w:rtl/>
        </w:rPr>
        <w:t xml:space="preserve"> تعريف حوكمة الشركات ودورها في تحقيق الشفافية والمساءلة وحماية حقوق المساهمين.</w:t>
      </w:r>
    </w:p>
    <w:p>
      <w:pPr>
        <w:pStyle w:val="17"/>
        <w:numPr>
          <w:ilvl w:val="0"/>
          <w:numId w:val="15"/>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2.2 نظريات الحوكمة:</w:t>
      </w:r>
      <w:r>
        <w:rPr>
          <w:rFonts w:ascii="Simplified Arabic" w:cs="Simplified Arabic" w:hAnsi="Simplified Arabic"/>
          <w:color w:val="1B1C1D"/>
          <w:sz w:val="32"/>
          <w:szCs w:val="32"/>
          <w:rtl/>
        </w:rPr>
        <w:t xml:space="preserve"> استعراض موجز لنظريات الوكالة، وأصحاب المصالح، والإشراف.</w:t>
      </w:r>
    </w:p>
    <w:p>
      <w:pPr>
        <w:pStyle w:val="17"/>
        <w:numPr>
          <w:ilvl w:val="0"/>
          <w:numId w:val="15"/>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2.3 ركائز الحوكمة الفعالة:</w:t>
      </w:r>
      <w:r>
        <w:rPr>
          <w:rFonts w:ascii="Simplified Arabic" w:cs="Simplified Arabic" w:hAnsi="Simplified Arabic"/>
          <w:color w:val="1B1C1D"/>
          <w:sz w:val="32"/>
          <w:szCs w:val="32"/>
          <w:rtl/>
        </w:rPr>
        <w:t xml:space="preserve"> مبادئ العدالة، والشفافية، والمساءلة، والمسؤولية.</w:t>
      </w:r>
    </w:p>
    <w:p>
      <w:pPr>
        <w:pStyle w:val="17"/>
        <w:numPr>
          <w:ilvl w:val="0"/>
          <w:numId w:val="15"/>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2.4 الهياكل الرئيسية للحوكمة:</w:t>
      </w:r>
      <w:r>
        <w:rPr>
          <w:rFonts w:ascii="Simplified Arabic" w:cs="Simplified Arabic" w:hAnsi="Simplified Arabic"/>
          <w:color w:val="1B1C1D"/>
          <w:sz w:val="32"/>
          <w:szCs w:val="32"/>
          <w:rtl/>
        </w:rPr>
        <w:t xml:space="preserve"> دور مجلس الإدارة ولجانه (المراجعة، الترشيحات والمكافآت) وأهمية استقلاليتهم.</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الثالث: الاستدامة المالية للشركات المساهمة</w:t>
      </w:r>
    </w:p>
    <w:p>
      <w:pPr>
        <w:pStyle w:val="17"/>
        <w:numPr>
          <w:ilvl w:val="0"/>
          <w:numId w:val="16"/>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3.1 مفهوم الاستدامة المالية:</w:t>
      </w:r>
      <w:r>
        <w:rPr>
          <w:rFonts w:ascii="Simplified Arabic" w:cs="Simplified Arabic" w:hAnsi="Simplified Arabic"/>
          <w:color w:val="1B1C1D"/>
          <w:sz w:val="32"/>
          <w:szCs w:val="32"/>
          <w:rtl/>
        </w:rPr>
        <w:t xml:space="preserve"> تعريفها وأبعادها (النمو، الربحية، الوفاء بالالتزامات) على المديين المتوسط والطويل.</w:t>
      </w:r>
    </w:p>
    <w:p>
      <w:pPr>
        <w:pStyle w:val="17"/>
        <w:numPr>
          <w:ilvl w:val="0"/>
          <w:numId w:val="16"/>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3.2 مؤشرات قياس الاستدامة المالية:</w:t>
      </w:r>
      <w:r>
        <w:rPr>
          <w:rFonts w:ascii="Simplified Arabic" w:cs="Simplified Arabic" w:hAnsi="Simplified Arabic"/>
          <w:color w:val="1B1C1D"/>
          <w:sz w:val="32"/>
          <w:szCs w:val="32"/>
          <w:rtl/>
        </w:rPr>
        <w:t xml:space="preserve"> النسب والمقاييس المالية المستخدمة لتقييم قدرة الشركة على الاستمرار (مثل التدفقات النقدية الحرة، ونمو الإيرادات، ومقاييس الكفاءة).</w:t>
      </w:r>
    </w:p>
    <w:p>
      <w:pPr>
        <w:pStyle w:val="17"/>
        <w:numPr>
          <w:ilvl w:val="0"/>
          <w:numId w:val="16"/>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3.3 العلاقة بين الاستقرار المالي والمخاطر:</w:t>
      </w:r>
      <w:r>
        <w:rPr>
          <w:rFonts w:ascii="Simplified Arabic" w:cs="Simplified Arabic" w:hAnsi="Simplified Arabic"/>
          <w:color w:val="1B1C1D"/>
          <w:sz w:val="32"/>
          <w:szCs w:val="32"/>
          <w:rtl/>
        </w:rPr>
        <w:t xml:space="preserve"> كيف يؤدي سوء إدارة المخاطر إلى زعزعة الاستدامة المالية والعكس.</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الرابع: الإطار التنظيمي لإدارة المخاطر والحوكمة في السعودية</w:t>
      </w:r>
    </w:p>
    <w:p>
      <w:pPr>
        <w:pStyle w:val="17"/>
        <w:numPr>
          <w:ilvl w:val="0"/>
          <w:numId w:val="17"/>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4.1 دور هيئة السوق المالية (</w:t>
      </w:r>
      <w:r>
        <w:rPr>
          <w:rStyle w:val="18"/>
          <w:rFonts w:ascii="Simplified Arabic" w:cs="Simplified Arabic" w:hAnsi="Simplified Arabic"/>
          <w:color w:val="1B1C1D"/>
          <w:sz w:val="32"/>
          <w:szCs w:val="32"/>
          <w:bdr w:val="none" w:sz="0" w:space="0" w:color="auto"/>
        </w:rPr>
        <w:t>CMA</w:t>
      </w:r>
      <w:r>
        <w:rPr>
          <w:rStyle w:val="18"/>
          <w:rFonts w:ascii="Simplified Arabic" w:cs="Simplified Arabic" w:hAnsi="Simplified Arabic"/>
          <w:color w:val="1B1C1D"/>
          <w:sz w:val="32"/>
          <w:szCs w:val="32"/>
          <w:bdr w:val="none" w:sz="0" w:space="0" w:color="auto"/>
          <w:rtl/>
        </w:rPr>
        <w:t>):</w:t>
      </w:r>
      <w:r>
        <w:rPr>
          <w:rFonts w:ascii="Simplified Arabic" w:cs="Simplified Arabic" w:hAnsi="Simplified Arabic"/>
          <w:color w:val="1B1C1D"/>
          <w:sz w:val="32"/>
          <w:szCs w:val="32"/>
          <w:rtl/>
        </w:rPr>
        <w:t xml:space="preserve"> استعراض لأهم اللوائح والقواعد الصادرة عن الهيئة بشأن حوكمة الشركات وإدارة المخاطر.</w:t>
      </w:r>
    </w:p>
    <w:p>
      <w:pPr>
        <w:pStyle w:val="17"/>
        <w:numPr>
          <w:ilvl w:val="0"/>
          <w:numId w:val="17"/>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4.2 لائحة حوكمة الشركات السعودية:</w:t>
      </w:r>
      <w:r>
        <w:rPr>
          <w:rFonts w:ascii="Simplified Arabic" w:cs="Simplified Arabic" w:hAnsi="Simplified Arabic"/>
          <w:color w:val="1B1C1D"/>
          <w:sz w:val="32"/>
          <w:szCs w:val="32"/>
          <w:rtl/>
        </w:rPr>
        <w:t xml:space="preserve"> تحليل لأهم المتطلبات المتعلقة بإدارة المخاطر وتشكيل لجنة المخاطر الإلزامية.</w:t>
      </w:r>
    </w:p>
    <w:p>
      <w:pPr>
        <w:pStyle w:val="17"/>
        <w:numPr>
          <w:ilvl w:val="0"/>
          <w:numId w:val="17"/>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4.3 التوافق مع رؤية 2030:</w:t>
      </w:r>
      <w:r>
        <w:rPr>
          <w:rFonts w:ascii="Simplified Arabic" w:cs="Simplified Arabic" w:hAnsi="Simplified Arabic"/>
          <w:color w:val="1B1C1D"/>
          <w:sz w:val="32"/>
          <w:szCs w:val="32"/>
          <w:rtl/>
        </w:rPr>
        <w:t xml:space="preserve"> كيف تدعم متطلبات الحوكمة والمخاطر أهداف التنمية الاقتصادية في المملكة.</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الخامس: تكامل إدارة المخاطر مع حوكمة الشركات (الارتباط الهيكلي)</w:t>
      </w:r>
    </w:p>
    <w:p>
      <w:pPr>
        <w:pStyle w:val="17"/>
        <w:numPr>
          <w:ilvl w:val="0"/>
          <w:numId w:val="18"/>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5.1 إدارة المخاطر كأحد أبعاد الحوكمة:</w:t>
      </w:r>
      <w:r>
        <w:rPr>
          <w:rFonts w:ascii="Simplified Arabic" w:cs="Simplified Arabic" w:hAnsi="Simplified Arabic"/>
          <w:color w:val="1B1C1D"/>
          <w:sz w:val="32"/>
          <w:szCs w:val="32"/>
          <w:rtl/>
        </w:rPr>
        <w:t xml:space="preserve"> تحليل دور إدارة المخاطر كوظيفة رقابية واستراتيجية داخل إطار الحوكمة.</w:t>
      </w:r>
    </w:p>
    <w:p>
      <w:pPr>
        <w:pStyle w:val="17"/>
        <w:numPr>
          <w:ilvl w:val="0"/>
          <w:numId w:val="18"/>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5.2 فاعلية لجنة المخاطر:</w:t>
      </w:r>
      <w:r>
        <w:rPr>
          <w:rFonts w:ascii="Simplified Arabic" w:cs="Simplified Arabic" w:hAnsi="Simplified Arabic"/>
          <w:color w:val="1B1C1D"/>
          <w:sz w:val="32"/>
          <w:szCs w:val="32"/>
          <w:rtl/>
        </w:rPr>
        <w:t xml:space="preserve"> هيكل اللجنة، مسؤولياتها، وكيفية مساهمتها في تعزيز الرقابة والإشراف لمجلس الإدارة.</w:t>
      </w:r>
    </w:p>
    <w:p>
      <w:pPr>
        <w:pStyle w:val="17"/>
        <w:numPr>
          <w:ilvl w:val="0"/>
          <w:numId w:val="18"/>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5.3 دور مجلس الإدارة في الإشراف على المخاطر:</w:t>
      </w:r>
      <w:r>
        <w:rPr>
          <w:rFonts w:ascii="Simplified Arabic" w:cs="Simplified Arabic" w:hAnsi="Simplified Arabic"/>
          <w:color w:val="1B1C1D"/>
          <w:sz w:val="32"/>
          <w:szCs w:val="32"/>
          <w:rtl/>
        </w:rPr>
        <w:t xml:space="preserve"> مسؤولية المجلس عن تحديد شهية المخاطر ومراجعة التقارير الدورية للمخاطر.</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السادس: إدارة المخاطر وتعزيز الشفافية والإفصاح</w:t>
      </w:r>
    </w:p>
    <w:p>
      <w:pPr>
        <w:pStyle w:val="17"/>
        <w:numPr>
          <w:ilvl w:val="0"/>
          <w:numId w:val="19"/>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6.1 متطلبات الإفصاح عن المخاطر:</w:t>
      </w:r>
      <w:r>
        <w:rPr>
          <w:rFonts w:ascii="Simplified Arabic" w:cs="Simplified Arabic" w:hAnsi="Simplified Arabic"/>
          <w:color w:val="1B1C1D"/>
          <w:sz w:val="32"/>
          <w:szCs w:val="32"/>
          <w:rtl/>
        </w:rPr>
        <w:t xml:space="preserve"> اللوائح المحلية والدولية للإفصاح عن أنواع المخاطر التي تواجه الشركة.</w:t>
      </w:r>
    </w:p>
    <w:p>
      <w:pPr>
        <w:pStyle w:val="17"/>
        <w:numPr>
          <w:ilvl w:val="0"/>
          <w:numId w:val="19"/>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6.2 جودة الإفصاح عن المخاطر:</w:t>
      </w:r>
      <w:r>
        <w:rPr>
          <w:rFonts w:ascii="Simplified Arabic" w:cs="Simplified Arabic" w:hAnsi="Simplified Arabic"/>
          <w:color w:val="1B1C1D"/>
          <w:sz w:val="32"/>
          <w:szCs w:val="32"/>
          <w:rtl/>
        </w:rPr>
        <w:t xml:space="preserve"> أثر الإفصاح الواضح والشامل على بناء ثقة المستثمرين وتقييم الشركة.</w:t>
      </w:r>
    </w:p>
    <w:p>
      <w:pPr>
        <w:pStyle w:val="17"/>
        <w:numPr>
          <w:ilvl w:val="0"/>
          <w:numId w:val="19"/>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6.3 ربط الإفصاح المالي بإدارة المخاطر:</w:t>
      </w:r>
      <w:r>
        <w:rPr>
          <w:rFonts w:ascii="Simplified Arabic" w:cs="Simplified Arabic" w:hAnsi="Simplified Arabic"/>
          <w:color w:val="1B1C1D"/>
          <w:sz w:val="32"/>
          <w:szCs w:val="32"/>
          <w:rtl/>
        </w:rPr>
        <w:t xml:space="preserve"> كيف تضمن إدارة المخاطر دقة وسلامة البيانات المالية المبلغ عنها.</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السابع: إدارة المخاطر والاستدامة المالية (الأثر المباشر)</w:t>
      </w:r>
    </w:p>
    <w:p>
      <w:pPr>
        <w:pStyle w:val="17"/>
        <w:numPr>
          <w:ilvl w:val="0"/>
          <w:numId w:val="20"/>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7.1 إدارة المخاطر الاستراتيجية والنمو:</w:t>
      </w:r>
      <w:r>
        <w:rPr>
          <w:rFonts w:ascii="Simplified Arabic" w:cs="Simplified Arabic" w:hAnsi="Simplified Arabic"/>
          <w:color w:val="1B1C1D"/>
          <w:sz w:val="32"/>
          <w:szCs w:val="32"/>
          <w:rtl/>
        </w:rPr>
        <w:t xml:space="preserve"> دور </w:t>
      </w:r>
      <w:r>
        <w:rPr>
          <w:rFonts w:ascii="Simplified Arabic" w:cs="Simplified Arabic" w:hAnsi="Simplified Arabic"/>
          <w:color w:val="1B1C1D"/>
          <w:sz w:val="32"/>
          <w:szCs w:val="32"/>
        </w:rPr>
        <w:t>ERM</w:t>
      </w:r>
      <w:r>
        <w:rPr>
          <w:rFonts w:ascii="Simplified Arabic" w:cs="Simplified Arabic" w:hAnsi="Simplified Arabic"/>
          <w:color w:val="1B1C1D"/>
          <w:sz w:val="32"/>
          <w:szCs w:val="32"/>
          <w:rtl/>
        </w:rPr>
        <w:t xml:space="preserve"> في تحديد الفرص واتخاذ القرارات الاستثمارية التي تدعم النمو المستدام.</w:t>
      </w:r>
    </w:p>
    <w:p>
      <w:pPr>
        <w:pStyle w:val="17"/>
        <w:numPr>
          <w:ilvl w:val="0"/>
          <w:numId w:val="20"/>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7.2 إدارة المخاطر التشغيلية وكفاءة التشغيل:</w:t>
      </w:r>
      <w:r>
        <w:rPr>
          <w:rFonts w:ascii="Simplified Arabic" w:cs="Simplified Arabic" w:hAnsi="Simplified Arabic"/>
          <w:color w:val="1B1C1D"/>
          <w:sz w:val="32"/>
          <w:szCs w:val="32"/>
          <w:rtl/>
        </w:rPr>
        <w:t xml:space="preserve"> كيف تؤدي إدارة المخاطر إلى تقليل الهدر وتحسين كفاءة استخدام الموارد، مما يعزز الربحية.</w:t>
      </w:r>
    </w:p>
    <w:p>
      <w:pPr>
        <w:pStyle w:val="17"/>
        <w:numPr>
          <w:ilvl w:val="0"/>
          <w:numId w:val="20"/>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7.3 إدارة المخاطر المالية والسيولة:</w:t>
      </w:r>
      <w:r>
        <w:rPr>
          <w:rFonts w:ascii="Simplified Arabic" w:cs="Simplified Arabic" w:hAnsi="Simplified Arabic"/>
          <w:color w:val="1B1C1D"/>
          <w:sz w:val="32"/>
          <w:szCs w:val="32"/>
          <w:rtl/>
        </w:rPr>
        <w:t xml:space="preserve"> تأثير إدارة مخاطر السوق والائتمان على الحفاظ على مركز مالي قوي وقدرة الشركة على سداد التزاماتها.</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 xml:space="preserve">المحور الثامن: التحديات والمعوقات لتطبيق </w:t>
      </w:r>
      <w:r>
        <w:rPr>
          <w:rFonts w:ascii="Simplified Arabic" w:eastAsia="Times New Roman" w:cs="Simplified Arabic" w:hAnsi="Simplified Arabic"/>
          <w:color w:val="1B1C1D"/>
        </w:rPr>
        <w:t>ERM</w:t>
      </w:r>
      <w:r>
        <w:rPr>
          <w:rFonts w:ascii="Simplified Arabic" w:eastAsia="Times New Roman" w:cs="Simplified Arabic" w:hAnsi="Simplified Arabic"/>
          <w:color w:val="1B1C1D"/>
          <w:rtl/>
        </w:rPr>
        <w:t xml:space="preserve"> في الشركات السعودية</w:t>
      </w:r>
    </w:p>
    <w:p>
      <w:pPr>
        <w:pStyle w:val="17"/>
        <w:numPr>
          <w:ilvl w:val="0"/>
          <w:numId w:val="21"/>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8.1 تحديات ثقافية وبشرية:</w:t>
      </w:r>
      <w:r>
        <w:rPr>
          <w:rFonts w:ascii="Simplified Arabic" w:cs="Simplified Arabic" w:hAnsi="Simplified Arabic"/>
          <w:color w:val="1B1C1D"/>
          <w:sz w:val="32"/>
          <w:szCs w:val="32"/>
          <w:rtl/>
        </w:rPr>
        <w:t xml:space="preserve"> مقاومة التغيير وغياب ثقافة المخاطر والافتقار إلى الكفاءات المتخصصة.</w:t>
      </w:r>
    </w:p>
    <w:p>
      <w:pPr>
        <w:pStyle w:val="17"/>
        <w:numPr>
          <w:ilvl w:val="0"/>
          <w:numId w:val="21"/>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8.2 تحديات هيكلية وتنظيمية:</w:t>
      </w:r>
      <w:r>
        <w:rPr>
          <w:rFonts w:ascii="Simplified Arabic" w:cs="Simplified Arabic" w:hAnsi="Simplified Arabic"/>
          <w:color w:val="1B1C1D"/>
          <w:sz w:val="32"/>
          <w:szCs w:val="32"/>
          <w:rtl/>
        </w:rPr>
        <w:t xml:space="preserve"> ضعف تكامل نظام إدارة المخاطر مع الاستراتيجية العامة للشركة.</w:t>
      </w:r>
    </w:p>
    <w:p>
      <w:pPr>
        <w:pStyle w:val="17"/>
        <w:numPr>
          <w:ilvl w:val="0"/>
          <w:numId w:val="21"/>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8.3 تحديات تقنية ومعلوماتية:</w:t>
      </w:r>
      <w:r>
        <w:rPr>
          <w:rFonts w:ascii="Simplified Arabic" w:cs="Simplified Arabic" w:hAnsi="Simplified Arabic"/>
          <w:color w:val="1B1C1D"/>
          <w:sz w:val="32"/>
          <w:szCs w:val="32"/>
          <w:rtl/>
        </w:rPr>
        <w:t xml:space="preserve"> غياب نظم معلومات متقدمة لدعم اتخاذ القرارات المتعلقة بالمخاطر.</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التاسع: القياس الكمي لمتغيرات الدراسة</w:t>
      </w:r>
    </w:p>
    <w:p>
      <w:pPr>
        <w:pStyle w:val="17"/>
        <w:numPr>
          <w:ilvl w:val="0"/>
          <w:numId w:val="2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 xml:space="preserve">9.1 قياس فاعلية </w:t>
      </w:r>
      <w:r>
        <w:rPr>
          <w:rStyle w:val="18"/>
          <w:rFonts w:ascii="Simplified Arabic" w:cs="Simplified Arabic" w:hAnsi="Simplified Arabic"/>
          <w:color w:val="1B1C1D"/>
          <w:sz w:val="32"/>
          <w:szCs w:val="32"/>
          <w:bdr w:val="none" w:sz="0" w:space="0" w:color="auto"/>
        </w:rPr>
        <w:t>ERM</w:t>
      </w:r>
      <w:r>
        <w:rPr>
          <w:rStyle w:val="18"/>
          <w:rFonts w:ascii="Simplified Arabic" w:cs="Simplified Arabic" w:hAnsi="Simplified Arabic"/>
          <w:color w:val="1B1C1D"/>
          <w:sz w:val="32"/>
          <w:szCs w:val="32"/>
          <w:bdr w:val="none" w:sz="0" w:space="0" w:color="auto"/>
          <w:rtl/>
        </w:rPr>
        <w:t>:</w:t>
      </w:r>
      <w:r>
        <w:rPr>
          <w:rFonts w:ascii="Simplified Arabic" w:cs="Simplified Arabic" w:hAnsi="Simplified Arabic"/>
          <w:color w:val="1B1C1D"/>
          <w:sz w:val="32"/>
          <w:szCs w:val="32"/>
          <w:rtl/>
        </w:rPr>
        <w:t xml:space="preserve"> مؤشرات قياس كمية وكيفية تحويل البيانات النوعية في الاستبيان إلى بيانات كمية.</w:t>
      </w:r>
    </w:p>
    <w:p>
      <w:pPr>
        <w:pStyle w:val="17"/>
        <w:numPr>
          <w:ilvl w:val="0"/>
          <w:numId w:val="2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9.2 قياس جودة الحوكمة:</w:t>
      </w:r>
      <w:r>
        <w:rPr>
          <w:rFonts w:ascii="Simplified Arabic" w:cs="Simplified Arabic" w:hAnsi="Simplified Arabic"/>
          <w:color w:val="1B1C1D"/>
          <w:sz w:val="32"/>
          <w:szCs w:val="32"/>
          <w:rtl/>
        </w:rPr>
        <w:t xml:space="preserve"> استخدام مؤشرات تركيبية (</w:t>
      </w:r>
      <w:r>
        <w:rPr>
          <w:rFonts w:ascii="Simplified Arabic" w:cs="Simplified Arabic" w:hAnsi="Simplified Arabic"/>
          <w:color w:val="1B1C1D"/>
          <w:sz w:val="32"/>
          <w:szCs w:val="32"/>
        </w:rPr>
        <w:t>Composite Indices</w:t>
      </w:r>
      <w:r>
        <w:rPr>
          <w:rFonts w:ascii="Simplified Arabic" w:cs="Simplified Arabic" w:hAnsi="Simplified Arabic"/>
          <w:color w:val="1B1C1D"/>
          <w:sz w:val="32"/>
          <w:szCs w:val="32"/>
          <w:rtl/>
        </w:rPr>
        <w:t>) لقياس جودة الحوكمة (مثل حجم مجلس الإدارة، عدد الاجتماعات، استقلالية الأعضاء).</w:t>
      </w:r>
    </w:p>
    <w:p>
      <w:pPr>
        <w:pStyle w:val="17"/>
        <w:numPr>
          <w:ilvl w:val="0"/>
          <w:numId w:val="22"/>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9.3 قياس الاستدامة المالية:</w:t>
      </w:r>
      <w:r>
        <w:rPr>
          <w:rFonts w:ascii="Simplified Arabic" w:cs="Simplified Arabic" w:hAnsi="Simplified Arabic"/>
          <w:color w:val="1B1C1D"/>
          <w:sz w:val="32"/>
          <w:szCs w:val="32"/>
          <w:rtl/>
        </w:rPr>
        <w:t xml:space="preserve"> تحديد النسب المالية الأكثر ارتباطاً بالاستدامة (مثل (</w:t>
      </w:r>
      <w:r>
        <w:rPr>
          <w:rFonts w:ascii="Simplified Arabic" w:cs="Simplified Arabic" w:hAnsi="Simplified Arabic"/>
          <w:color w:val="1B1C1D"/>
          <w:sz w:val="32"/>
          <w:szCs w:val="32"/>
        </w:rPr>
        <w:t>ROE), (ROA)</w:t>
      </w:r>
      <w:r>
        <w:rPr>
          <w:rFonts w:ascii="Simplified Arabic" w:cs="Simplified Arabic" w:hAnsi="Simplified Arabic"/>
          <w:color w:val="1B1C1D"/>
          <w:sz w:val="32"/>
          <w:szCs w:val="32"/>
          <w:rtl/>
        </w:rPr>
        <w:t>, ونسبة الدين إلى حقوق الملكية).</w:t>
      </w:r>
    </w:p>
    <w:p>
      <w:pPr>
        <w:pStyle w:val="2"/>
        <w:spacing w:before="0" w:after="120" w:line="360" w:lineRule="auto"/>
        <w:rPr>
          <w:rFonts w:ascii="Simplified Arabic" w:eastAsia="Times New Roman" w:cs="Simplified Arabic" w:hAnsi="Simplified Arabic"/>
          <w:color w:val="1B1C1D"/>
          <w:rtl/>
        </w:rPr>
      </w:pPr>
      <w:r>
        <w:rPr>
          <w:rFonts w:ascii="Simplified Arabic" w:eastAsia="Times New Roman" w:cs="Simplified Arabic" w:hAnsi="Simplified Arabic"/>
          <w:color w:val="1B1C1D"/>
          <w:rtl/>
        </w:rPr>
        <w:t>المحور العاشر: الدراسات السابقة (</w:t>
      </w:r>
      <w:r>
        <w:rPr>
          <w:rFonts w:ascii="Simplified Arabic" w:eastAsia="Times New Roman" w:cs="Simplified Arabic" w:hAnsi="Simplified Arabic"/>
          <w:color w:val="1B1C1D"/>
        </w:rPr>
        <w:t>Previous Studies</w:t>
      </w:r>
      <w:r>
        <w:rPr>
          <w:rFonts w:ascii="Simplified Arabic" w:eastAsia="Times New Roman" w:cs="Simplified Arabic" w:hAnsi="Simplified Arabic"/>
          <w:color w:val="1B1C1D"/>
          <w:rtl/>
        </w:rPr>
        <w:t>)</w:t>
      </w:r>
    </w:p>
    <w:p>
      <w:pPr>
        <w:pStyle w:val="17"/>
        <w:numPr>
          <w:ilvl w:val="0"/>
          <w:numId w:val="2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 xml:space="preserve">10.1 دراسات تناولت العلاقة بين </w:t>
      </w:r>
      <w:r>
        <w:rPr>
          <w:rStyle w:val="18"/>
          <w:rFonts w:ascii="Simplified Arabic" w:cs="Simplified Arabic" w:hAnsi="Simplified Arabic"/>
          <w:color w:val="1B1C1D"/>
          <w:sz w:val="32"/>
          <w:szCs w:val="32"/>
          <w:bdr w:val="none" w:sz="0" w:space="0" w:color="auto"/>
        </w:rPr>
        <w:t>ERM</w:t>
      </w:r>
      <w:r>
        <w:rPr>
          <w:rStyle w:val="18"/>
          <w:rFonts w:ascii="Simplified Arabic" w:cs="Simplified Arabic" w:hAnsi="Simplified Arabic"/>
          <w:color w:val="1B1C1D"/>
          <w:sz w:val="32"/>
          <w:szCs w:val="32"/>
          <w:bdr w:val="none" w:sz="0" w:space="0" w:color="auto"/>
          <w:rtl/>
        </w:rPr>
        <w:t xml:space="preserve"> وحوكمة الشركات:</w:t>
      </w:r>
      <w:r>
        <w:rPr>
          <w:rFonts w:ascii="Simplified Arabic" w:cs="Simplified Arabic" w:hAnsi="Simplified Arabic"/>
          <w:color w:val="1B1C1D"/>
          <w:sz w:val="32"/>
          <w:szCs w:val="32"/>
          <w:rtl/>
        </w:rPr>
        <w:t xml:space="preserve"> مراجعة لأبرز النتائج العالمية والمحلية في هذا المجال.</w:t>
      </w:r>
    </w:p>
    <w:p>
      <w:pPr>
        <w:pStyle w:val="17"/>
        <w:numPr>
          <w:ilvl w:val="0"/>
          <w:numId w:val="2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 xml:space="preserve">10.2 دراسات تناولت العلاقة بين </w:t>
      </w:r>
      <w:r>
        <w:rPr>
          <w:rStyle w:val="18"/>
          <w:rFonts w:ascii="Simplified Arabic" w:cs="Simplified Arabic" w:hAnsi="Simplified Arabic"/>
          <w:color w:val="1B1C1D"/>
          <w:sz w:val="32"/>
          <w:szCs w:val="32"/>
          <w:bdr w:val="none" w:sz="0" w:space="0" w:color="auto"/>
        </w:rPr>
        <w:t>ERM</w:t>
      </w:r>
      <w:r>
        <w:rPr>
          <w:rStyle w:val="18"/>
          <w:rFonts w:ascii="Simplified Arabic" w:cs="Simplified Arabic" w:hAnsi="Simplified Arabic"/>
          <w:color w:val="1B1C1D"/>
          <w:sz w:val="32"/>
          <w:szCs w:val="32"/>
          <w:bdr w:val="none" w:sz="0" w:space="0" w:color="auto"/>
          <w:rtl/>
        </w:rPr>
        <w:t xml:space="preserve"> والأداء المالي/الاستدامة:</w:t>
      </w:r>
      <w:r>
        <w:rPr>
          <w:rFonts w:ascii="Simplified Arabic" w:cs="Simplified Arabic" w:hAnsi="Simplified Arabic"/>
          <w:color w:val="1B1C1D"/>
          <w:sz w:val="32"/>
          <w:szCs w:val="32"/>
          <w:rtl/>
        </w:rPr>
        <w:t xml:space="preserve"> تحليل لأهم النتائج التي ربطت بين إدارة المخاطر والأداء طويل الأجل.</w:t>
      </w:r>
    </w:p>
    <w:p>
      <w:pPr>
        <w:pStyle w:val="17"/>
        <w:numPr>
          <w:ilvl w:val="0"/>
          <w:numId w:val="23"/>
        </w:numPr>
        <w:bidi/>
        <w:spacing w:before="0" w:beforeAutospacing="0" w:after="0" w:afterAutospacing="0" w:line="360" w:lineRule="auto"/>
        <w:rPr>
          <w:rFonts w:ascii="Simplified Arabic" w:cs="Simplified Arabic" w:hAnsi="Simplified Arabic"/>
          <w:color w:val="1B1C1D"/>
          <w:sz w:val="32"/>
          <w:szCs w:val="32"/>
          <w:rtl/>
        </w:rPr>
      </w:pPr>
      <w:r>
        <w:rPr>
          <w:rStyle w:val="18"/>
          <w:rFonts w:ascii="Simplified Arabic" w:cs="Simplified Arabic" w:hAnsi="Simplified Arabic"/>
          <w:color w:val="1B1C1D"/>
          <w:sz w:val="32"/>
          <w:szCs w:val="32"/>
          <w:bdr w:val="none" w:sz="0" w:space="0" w:color="auto"/>
          <w:rtl/>
        </w:rPr>
        <w:t>10.3 دراسات تناولت البيئة السعودية:</w:t>
      </w:r>
      <w:r>
        <w:rPr>
          <w:rFonts w:ascii="Simplified Arabic" w:cs="Simplified Arabic" w:hAnsi="Simplified Arabic"/>
          <w:color w:val="1B1C1D"/>
          <w:sz w:val="32"/>
          <w:szCs w:val="32"/>
          <w:rtl/>
        </w:rPr>
        <w:t xml:space="preserve"> استعراض الأبحاث التي طبقت على الشركات المساهمة السعودية لتحديد الفجوة المعرفية.</w:t>
      </w:r>
    </w:p>
    <w:p>
      <w:pPr>
        <w:pStyle w:val="1"/>
        <w:bidi/>
        <w:spacing w:before="0" w:beforeAutospacing="0" w:after="120" w:afterAutospacing="0" w:line="360" w:lineRule="auto"/>
        <w:rPr>
          <w:rFonts w:ascii="Simplified Arabic" w:eastAsia="Times New Roman" w:cs="Simplified Arabic" w:hAnsi="Simplified Arabic"/>
          <w:color w:val="1F1F1F"/>
          <w:sz w:val="32"/>
          <w:szCs w:val="32"/>
        </w:rPr>
      </w:pP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الأول: الأساس النظري لإدارة المخاطر المؤسسية (</w:t>
      </w:r>
      <w:r>
        <w:rPr>
          <w:rFonts w:ascii="Simplified Arabic" w:eastAsia="Times New Roman" w:cs="Simplified Arabic" w:hAnsi="Simplified Arabic"/>
          <w:color w:val="1F1F1F"/>
        </w:rPr>
        <w:t>ERM</w:t>
      </w:r>
      <w:r>
        <w:rPr>
          <w:rFonts w:ascii="Simplified Arabic" w:eastAsia="Times New Roman" w:cs="Simplified Arabic" w:hAnsi="Simplified Arabic"/>
          <w:color w:val="1F1F1F"/>
          <w:rtl/>
        </w:rPr>
        <w:t>)</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1.1 المفهوم والتطور</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شهد مفهوم إدارة المخاطر تحولاً جذرياً في العقود الأخيرة:</w:t>
      </w:r>
    </w:p>
    <w:p>
      <w:pPr>
        <w:pStyle w:val="17"/>
        <w:numPr>
          <w:ilvl w:val="0"/>
          <w:numId w:val="2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المنظور التقليدي (الوظيفي):</w:t>
      </w:r>
      <w:r>
        <w:rPr>
          <w:rFonts w:ascii="Simplified Arabic" w:cs="Simplified Arabic" w:hAnsi="Simplified Arabic"/>
          <w:color w:val="1F1F1F"/>
          <w:sz w:val="32"/>
          <w:szCs w:val="32"/>
          <w:rtl/>
        </w:rPr>
        <w:t xml:space="preserve"> كان التركيز ينصب على "إدارة المخاطر المجزأة" (</w:t>
      </w:r>
      <w:r>
        <w:rPr>
          <w:rFonts w:ascii="Simplified Arabic" w:cs="Simplified Arabic" w:hAnsi="Simplified Arabic"/>
          <w:color w:val="1F1F1F"/>
          <w:sz w:val="32"/>
          <w:szCs w:val="32"/>
        </w:rPr>
        <w:t>Silo-based</w:t>
      </w:r>
      <w:r>
        <w:rPr>
          <w:rFonts w:ascii="Simplified Arabic" w:cs="Simplified Arabic" w:hAnsi="Simplified Arabic"/>
          <w:color w:val="1F1F1F"/>
          <w:sz w:val="32"/>
          <w:szCs w:val="32"/>
          <w:rtl/>
        </w:rPr>
        <w:t>)، حيث تدير كل إداراة مخاطرها بشكل مستقل (مثل إدارة المخاطر المالية بمعزل عن التشغيلية). كان الهدف الأساسي هو شراء التأمين أو تجنب الخسائر المباشرة.</w:t>
      </w:r>
    </w:p>
    <w:p>
      <w:pPr>
        <w:pStyle w:val="17"/>
        <w:numPr>
          <w:ilvl w:val="0"/>
          <w:numId w:val="2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المنظور المؤسسي الشامل (</w:t>
      </w:r>
      <w:r>
        <w:rPr>
          <w:rStyle w:val="18"/>
          <w:rFonts w:ascii="Simplified Arabic" w:cs="Simplified Arabic" w:hAnsi="Simplified Arabic"/>
          <w:color w:val="1F1F1F"/>
          <w:sz w:val="32"/>
          <w:szCs w:val="32"/>
          <w:bdr w:val="none" w:sz="0" w:space="0" w:color="auto"/>
        </w:rPr>
        <w:t>ERM</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تطور المفهوم ليصبح استراتيجياً يهدف إلى إدارة جميع المخاطر التي تواجه المؤسسة بشكل متكامل. لا ينظر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للمخاطر كتهديدات فحسب، بل كفرص محتملة لتحقيق القيمة، ويربط بين إدارة المخاطر وصناعة القرار الاستراتيجي.</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 xml:space="preserve">1.2 أطر إدارة المخاطر (التركيز على </w:t>
      </w:r>
      <w:r>
        <w:rPr>
          <w:rFonts w:ascii="Simplified Arabic" w:eastAsia="Times New Roman" w:cs="Simplified Arabic" w:hAnsi="Simplified Arabic"/>
          <w:color w:val="1F1F1F"/>
          <w:sz w:val="32"/>
          <w:szCs w:val="32"/>
        </w:rPr>
        <w:t>COSO-ERM</w:t>
      </w:r>
      <w:r>
        <w:rPr>
          <w:rFonts w:ascii="Simplified Arabic" w:eastAsia="Times New Roman" w:cs="Simplified Arabic" w:hAnsi="Simplified Arabic"/>
          <w:color w:val="1F1F1F"/>
          <w:sz w:val="32"/>
          <w:szCs w:val="32"/>
          <w:rtl/>
        </w:rPr>
        <w:t>)</w:t>
      </w:r>
    </w:p>
    <w:p>
      <w:pPr>
        <w:pStyle w:val="17"/>
        <w:bidi/>
        <w:spacing w:before="0" w:beforeAutospacing="0" w:after="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 xml:space="preserve">تعددت الأطر (مثل </w:t>
      </w:r>
      <w:r>
        <w:rPr>
          <w:rFonts w:ascii="Simplified Arabic" w:cs="Simplified Arabic" w:hAnsi="Simplified Arabic"/>
          <w:color w:val="1F1F1F"/>
          <w:sz w:val="32"/>
          <w:szCs w:val="32"/>
        </w:rPr>
        <w:t>ISO 31000</w:t>
      </w:r>
      <w:r>
        <w:rPr>
          <w:rFonts w:ascii="Simplified Arabic" w:cs="Simplified Arabic" w:hAnsi="Simplified Arabic"/>
          <w:color w:val="1F1F1F"/>
          <w:sz w:val="32"/>
          <w:szCs w:val="32"/>
          <w:rtl/>
        </w:rPr>
        <w:t xml:space="preserve">)، ولكن يبقى إطار </w:t>
      </w:r>
      <w:r>
        <w:rPr>
          <w:rStyle w:val="18"/>
          <w:rFonts w:ascii="Simplified Arabic" w:cs="Simplified Arabic" w:hAnsi="Simplified Arabic"/>
          <w:color w:val="1F1F1F"/>
          <w:sz w:val="32"/>
          <w:szCs w:val="32"/>
          <w:bdr w:val="none" w:sz="0" w:space="0" w:color="auto"/>
        </w:rPr>
        <w:t>COSO</w:t>
      </w:r>
      <w:r>
        <w:rPr>
          <w:rFonts w:ascii="Simplified Arabic" w:cs="Simplified Arabic" w:hAnsi="Simplified Arabic"/>
          <w:color w:val="1F1F1F"/>
          <w:sz w:val="32"/>
          <w:szCs w:val="32"/>
          <w:rtl/>
        </w:rPr>
        <w:t xml:space="preserve"> هو الأكثر قبولاً عالمياً في الشركات:</w:t>
      </w:r>
    </w:p>
    <w:p>
      <w:pPr>
        <w:pStyle w:val="17"/>
        <w:numPr>
          <w:ilvl w:val="0"/>
          <w:numId w:val="25"/>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 xml:space="preserve">إطار </w:t>
      </w:r>
      <w:r>
        <w:rPr>
          <w:rStyle w:val="18"/>
          <w:rFonts w:ascii="Simplified Arabic" w:cs="Simplified Arabic" w:hAnsi="Simplified Arabic"/>
          <w:color w:val="1F1F1F"/>
          <w:sz w:val="32"/>
          <w:szCs w:val="32"/>
          <w:bdr w:val="none" w:sz="0" w:space="0" w:color="auto"/>
        </w:rPr>
        <w:t>COSO 2004</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ركز على المكونات الثمانية والرقابة الداخلية.</w:t>
      </w:r>
    </w:p>
    <w:p>
      <w:pPr>
        <w:pStyle w:val="17"/>
        <w:numPr>
          <w:ilvl w:val="0"/>
          <w:numId w:val="25"/>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 xml:space="preserve">إطار </w:t>
      </w:r>
      <w:r>
        <w:rPr>
          <w:rStyle w:val="18"/>
          <w:rFonts w:ascii="Simplified Arabic" w:cs="Simplified Arabic" w:hAnsi="Simplified Arabic"/>
          <w:color w:val="1F1F1F"/>
          <w:sz w:val="32"/>
          <w:szCs w:val="32"/>
          <w:bdr w:val="none" w:sz="0" w:space="0" w:color="auto"/>
        </w:rPr>
        <w:t>COSO 2017</w:t>
      </w:r>
      <w:r>
        <w:rPr>
          <w:rStyle w:val="18"/>
          <w:rFonts w:ascii="Simplified Arabic" w:cs="Simplified Arabic" w:hAnsi="Simplified Arabic"/>
          <w:color w:val="1F1F1F"/>
          <w:sz w:val="32"/>
          <w:szCs w:val="32"/>
          <w:bdr w:val="none" w:sz="0" w:space="0" w:color="auto"/>
          <w:rtl/>
        </w:rPr>
        <w:t xml:space="preserve"> المحدث:</w:t>
      </w:r>
      <w:r>
        <w:rPr>
          <w:rFonts w:ascii="Simplified Arabic" w:cs="Simplified Arabic" w:hAnsi="Simplified Arabic"/>
          <w:color w:val="1F1F1F"/>
          <w:sz w:val="32"/>
          <w:szCs w:val="32"/>
          <w:rtl/>
        </w:rPr>
        <w:t xml:space="preserve"> ركز بشكل أعمق على العلاقة بين "المخاطر والاستراتيجية والأداء"، معتبراً أن إدارة المخاطر ليست مجرد وظيفة قائمة بذاتها، بل هي جزء من الثقافة والعمليات اليومية.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1.3 عناصر الإطار المتكامل للمخاطر (</w:t>
      </w:r>
      <w:r>
        <w:rPr>
          <w:rFonts w:ascii="Simplified Arabic" w:eastAsia="Times New Roman" w:cs="Simplified Arabic" w:hAnsi="Simplified Arabic"/>
          <w:color w:val="1F1F1F"/>
          <w:sz w:val="32"/>
          <w:szCs w:val="32"/>
        </w:rPr>
        <w:t>COSO 2017</w:t>
      </w:r>
      <w:r>
        <w:rPr>
          <w:rFonts w:ascii="Simplified Arabic" w:eastAsia="Times New Roman" w:cs="Simplified Arabic" w:hAnsi="Simplified Arabic"/>
          <w:color w:val="1F1F1F"/>
          <w:sz w:val="32"/>
          <w:szCs w:val="32"/>
          <w:rtl/>
        </w:rPr>
        <w:t>)</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يتكون الإطار من خمسة مكونات مترابطة:</w:t>
      </w:r>
    </w:p>
    <w:p>
      <w:pPr>
        <w:pStyle w:val="17"/>
        <w:numPr>
          <w:ilvl w:val="0"/>
          <w:numId w:val="2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الحوكمة والثقافة (</w:t>
      </w:r>
      <w:r>
        <w:rPr>
          <w:rStyle w:val="18"/>
          <w:rFonts w:ascii="Simplified Arabic" w:cs="Simplified Arabic" w:hAnsi="Simplified Arabic"/>
          <w:color w:val="1F1F1F"/>
          <w:sz w:val="32"/>
          <w:szCs w:val="32"/>
          <w:bdr w:val="none" w:sz="0" w:space="0" w:color="auto"/>
        </w:rPr>
        <w:t>Governance and Culture</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وضع نغمة العمل في القمة، وتحديد مسؤوليات الرقابة، وتعزيز القيم الأخلاقية.</w:t>
      </w:r>
    </w:p>
    <w:p>
      <w:pPr>
        <w:pStyle w:val="17"/>
        <w:numPr>
          <w:ilvl w:val="0"/>
          <w:numId w:val="2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الاستراتيجية وتحديد الأهداف (</w:t>
      </w:r>
      <w:r>
        <w:rPr>
          <w:rStyle w:val="18"/>
          <w:rFonts w:ascii="Simplified Arabic" w:cs="Simplified Arabic" w:hAnsi="Simplified Arabic"/>
          <w:color w:val="1F1F1F"/>
          <w:sz w:val="32"/>
          <w:szCs w:val="32"/>
          <w:bdr w:val="none" w:sz="0" w:space="0" w:color="auto"/>
        </w:rPr>
        <w:t>Strategy and Objective-Setting</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دمج إدارة المخاطر في التخطيط الاستراتيجي وفهم سياق العمل وتحديد الشهية للمخاطر (</w:t>
      </w:r>
      <w:r>
        <w:rPr>
          <w:rFonts w:ascii="Simplified Arabic" w:cs="Simplified Arabic" w:hAnsi="Simplified Arabic"/>
          <w:color w:val="1F1F1F"/>
          <w:sz w:val="32"/>
          <w:szCs w:val="32"/>
        </w:rPr>
        <w:t>Risk Appetite</w:t>
      </w:r>
      <w:r>
        <w:rPr>
          <w:rFonts w:ascii="Simplified Arabic" w:cs="Simplified Arabic" w:hAnsi="Simplified Arabic"/>
          <w:color w:val="1F1F1F"/>
          <w:sz w:val="32"/>
          <w:szCs w:val="32"/>
          <w:rtl/>
        </w:rPr>
        <w:t>).</w:t>
      </w:r>
    </w:p>
    <w:p>
      <w:pPr>
        <w:pStyle w:val="17"/>
        <w:numPr>
          <w:ilvl w:val="0"/>
          <w:numId w:val="2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الأداء (</w:t>
      </w:r>
      <w:r>
        <w:rPr>
          <w:rStyle w:val="18"/>
          <w:rFonts w:ascii="Simplified Arabic" w:cs="Simplified Arabic" w:hAnsi="Simplified Arabic"/>
          <w:color w:val="1F1F1F"/>
          <w:sz w:val="32"/>
          <w:szCs w:val="32"/>
          <w:bdr w:val="none" w:sz="0" w:space="0" w:color="auto"/>
        </w:rPr>
        <w:t>Performance</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تحديد وتحديد أولويات المخاطر التي قد تؤثر على الأهداف، وتقييم حدتها، وتحديد الاستجابات المناسبة.</w:t>
      </w:r>
    </w:p>
    <w:p>
      <w:pPr>
        <w:pStyle w:val="17"/>
        <w:numPr>
          <w:ilvl w:val="0"/>
          <w:numId w:val="2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المراجعة والتنقيح (</w:t>
      </w:r>
      <w:r>
        <w:rPr>
          <w:rStyle w:val="18"/>
          <w:rFonts w:ascii="Simplified Arabic" w:cs="Simplified Arabic" w:hAnsi="Simplified Arabic"/>
          <w:color w:val="1F1F1F"/>
          <w:sz w:val="32"/>
          <w:szCs w:val="32"/>
          <w:bdr w:val="none" w:sz="0" w:space="0" w:color="auto"/>
        </w:rPr>
        <w:t>Review and Revision</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تقييم أداء الإطار نفسه بمرور الوقت وإجراء التعديلات بناءً على التغيرات الجوهرية.</w:t>
      </w:r>
    </w:p>
    <w:p>
      <w:pPr>
        <w:pStyle w:val="17"/>
        <w:numPr>
          <w:ilvl w:val="0"/>
          <w:numId w:val="2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المعلومات والاتصال (</w:t>
      </w:r>
      <w:r>
        <w:rPr>
          <w:rStyle w:val="18"/>
          <w:rFonts w:ascii="Simplified Arabic" w:cs="Simplified Arabic" w:hAnsi="Simplified Arabic"/>
          <w:color w:val="1F1F1F"/>
          <w:sz w:val="32"/>
          <w:szCs w:val="32"/>
          <w:bdr w:val="none" w:sz="0" w:space="0" w:color="auto"/>
        </w:rPr>
        <w:t>Information, Communication, and Reporting</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تبادل المعلومات الحيوية عبر كافة مستويات المؤسسة.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1.4 أنواع المخاطر في الشركات المساهمة</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تُصنف المخاطر في الشركات الكبرى إلى أربعة أصناف رئيسية:</w:t>
      </w:r>
    </w:p>
    <w:p>
      <w:pPr>
        <w:pStyle w:val="17"/>
        <w:numPr>
          <w:ilvl w:val="0"/>
          <w:numId w:val="2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المخاطر الاستراتيجية:</w:t>
      </w:r>
      <w:r>
        <w:rPr>
          <w:rFonts w:ascii="Simplified Arabic" w:cs="Simplified Arabic" w:hAnsi="Simplified Arabic"/>
          <w:color w:val="1F1F1F"/>
          <w:sz w:val="32"/>
          <w:szCs w:val="32"/>
          <w:rtl/>
        </w:rPr>
        <w:t xml:space="preserve"> مثل دخول منافسين جدد، أو تغير أذواق المستهلكين، أو قرارات الاستثمار الخاطئة.</w:t>
      </w:r>
    </w:p>
    <w:p>
      <w:pPr>
        <w:pStyle w:val="17"/>
        <w:numPr>
          <w:ilvl w:val="0"/>
          <w:numId w:val="2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المخاطر التشغيلية:</w:t>
      </w:r>
      <w:r>
        <w:rPr>
          <w:rFonts w:ascii="Simplified Arabic" w:cs="Simplified Arabic" w:hAnsi="Simplified Arabic"/>
          <w:color w:val="1F1F1F"/>
          <w:sz w:val="32"/>
          <w:szCs w:val="32"/>
          <w:rtl/>
        </w:rPr>
        <w:t xml:space="preserve"> ناتجة عن فشل العمليات الداخلية، أو الأخطاء البشرية، أو تعطل الأنظمة التقنية.</w:t>
      </w:r>
    </w:p>
    <w:p>
      <w:pPr>
        <w:pStyle w:val="17"/>
        <w:numPr>
          <w:ilvl w:val="0"/>
          <w:numId w:val="2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المخاطر المالية:</w:t>
      </w:r>
      <w:r>
        <w:rPr>
          <w:rFonts w:ascii="Simplified Arabic" w:cs="Simplified Arabic" w:hAnsi="Simplified Arabic"/>
          <w:color w:val="1F1F1F"/>
          <w:sz w:val="32"/>
          <w:szCs w:val="32"/>
          <w:rtl/>
        </w:rPr>
        <w:t xml:space="preserve"> تشمل مخاطر السيولة، وتقلبات أسعار الصرف، ومخاطر الائتمان، وتغير أسعار الفائدة.</w:t>
      </w:r>
    </w:p>
    <w:p>
      <w:pPr>
        <w:pStyle w:val="17"/>
        <w:numPr>
          <w:ilvl w:val="0"/>
          <w:numId w:val="2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مخاطر الالتزام والسمعة:</w:t>
      </w:r>
      <w:r>
        <w:rPr>
          <w:rFonts w:ascii="Simplified Arabic" w:cs="Simplified Arabic" w:hAnsi="Simplified Arabic"/>
          <w:color w:val="1F1F1F"/>
          <w:sz w:val="32"/>
          <w:szCs w:val="32"/>
          <w:rtl/>
        </w:rPr>
        <w:t xml:space="preserve"> تتعلق بمخالفة القوانين واللوائح، أو تضرر صورة الشركة أمام الجمهور والمستثمرين.</w:t>
      </w: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الثاني: ماهية ومبادئ حوكمة الشركات (</w:t>
      </w:r>
      <w:r>
        <w:rPr>
          <w:rFonts w:ascii="Simplified Arabic" w:eastAsia="Times New Roman" w:cs="Simplified Arabic" w:hAnsi="Simplified Arabic"/>
          <w:color w:val="1F1F1F"/>
        </w:rPr>
        <w:t>Corporate Governance</w:t>
      </w:r>
      <w:r>
        <w:rPr>
          <w:rFonts w:ascii="Simplified Arabic" w:eastAsia="Times New Roman" w:cs="Simplified Arabic" w:hAnsi="Simplified Arabic"/>
          <w:color w:val="1F1F1F"/>
          <w:rtl/>
        </w:rPr>
        <w:t>)</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2.1 مفهوم وأهداف الحوكمة</w:t>
      </w:r>
    </w:p>
    <w:p>
      <w:pPr>
        <w:pStyle w:val="17"/>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الحوكمة</w:t>
      </w:r>
      <w:r>
        <w:rPr>
          <w:rFonts w:ascii="Simplified Arabic" w:cs="Simplified Arabic" w:hAnsi="Simplified Arabic"/>
          <w:color w:val="1F1F1F"/>
          <w:sz w:val="32"/>
          <w:szCs w:val="32"/>
          <w:rtl/>
        </w:rPr>
        <w:t xml:space="preserve"> هي نظام يتم من خلاله توجيه الشركات والرقابة عليها. وتتمثل أهدافها في:</w:t>
      </w:r>
    </w:p>
    <w:p>
      <w:pPr>
        <w:pStyle w:val="17"/>
        <w:numPr>
          <w:ilvl w:val="0"/>
          <w:numId w:val="28"/>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الشفافية:</w:t>
      </w:r>
      <w:r>
        <w:rPr>
          <w:rFonts w:ascii="Simplified Arabic" w:cs="Simplified Arabic" w:hAnsi="Simplified Arabic"/>
          <w:color w:val="1F1F1F"/>
          <w:sz w:val="32"/>
          <w:szCs w:val="32"/>
          <w:rtl/>
        </w:rPr>
        <w:t xml:space="preserve"> الإفصاح الدقيق عن البيانات المالية والقرارات الجوهرية.</w:t>
      </w:r>
    </w:p>
    <w:p>
      <w:pPr>
        <w:pStyle w:val="17"/>
        <w:numPr>
          <w:ilvl w:val="0"/>
          <w:numId w:val="28"/>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المساءلة:</w:t>
      </w:r>
      <w:r>
        <w:rPr>
          <w:rFonts w:ascii="Simplified Arabic" w:cs="Simplified Arabic" w:hAnsi="Simplified Arabic"/>
          <w:color w:val="1F1F1F"/>
          <w:sz w:val="32"/>
          <w:szCs w:val="32"/>
          <w:rtl/>
        </w:rPr>
        <w:t xml:space="preserve"> ضمان وجود آليات لمراقبة أداء الإدارة التنفيذية ومحاسبتها.</w:t>
      </w:r>
    </w:p>
    <w:p>
      <w:pPr>
        <w:pStyle w:val="17"/>
        <w:numPr>
          <w:ilvl w:val="0"/>
          <w:numId w:val="28"/>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حماية حقوق المساهمين:</w:t>
      </w:r>
      <w:r>
        <w:rPr>
          <w:rFonts w:ascii="Simplified Arabic" w:cs="Simplified Arabic" w:hAnsi="Simplified Arabic"/>
          <w:color w:val="1F1F1F"/>
          <w:sz w:val="32"/>
          <w:szCs w:val="32"/>
          <w:rtl/>
        </w:rPr>
        <w:t xml:space="preserve"> ضمان معاملة عادلة لجميع المساهمين (الأغلبية والأقلية).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2.2 نظريات الحوكمة</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تستند الحوكمة إلى عدة جذور فكرية:</w:t>
      </w:r>
    </w:p>
    <w:p>
      <w:pPr>
        <w:pStyle w:val="17"/>
        <w:numPr>
          <w:ilvl w:val="0"/>
          <w:numId w:val="29"/>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نظرية الوكالة (</w:t>
      </w:r>
      <w:r>
        <w:rPr>
          <w:rStyle w:val="18"/>
          <w:rFonts w:ascii="Simplified Arabic" w:cs="Simplified Arabic" w:hAnsi="Simplified Arabic"/>
          <w:color w:val="1F1F1F"/>
          <w:sz w:val="32"/>
          <w:szCs w:val="32"/>
          <w:bdr w:val="none" w:sz="0" w:space="0" w:color="auto"/>
        </w:rPr>
        <w:t>Agency Theory</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تعالج الصراع بين "الأصيل" (المساهمين) و"الوكيل" (الإدارة)، حيث قد تسعى الإدارة لمصالحها الشخصية على حساب الملاك.</w:t>
      </w:r>
    </w:p>
    <w:p>
      <w:pPr>
        <w:pStyle w:val="17"/>
        <w:numPr>
          <w:ilvl w:val="0"/>
          <w:numId w:val="29"/>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نظرية أصحاب المصالح (</w:t>
      </w:r>
      <w:r>
        <w:rPr>
          <w:rStyle w:val="18"/>
          <w:rFonts w:ascii="Simplified Arabic" w:cs="Simplified Arabic" w:hAnsi="Simplified Arabic"/>
          <w:color w:val="1F1F1F"/>
          <w:sz w:val="32"/>
          <w:szCs w:val="32"/>
          <w:bdr w:val="none" w:sz="0" w:space="0" w:color="auto"/>
        </w:rPr>
        <w:t>Stakeholder Theory</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ترى أن الشركة مسؤولة تجاه دائرة أوسع تشمل الموظفين، العملاء، الموردين، والمجتمع، وليس المساهمين فقط.</w:t>
      </w:r>
    </w:p>
    <w:p>
      <w:pPr>
        <w:pStyle w:val="17"/>
        <w:numPr>
          <w:ilvl w:val="0"/>
          <w:numId w:val="29"/>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نظرية الإشراف (</w:t>
      </w:r>
      <w:r>
        <w:rPr>
          <w:rStyle w:val="18"/>
          <w:rFonts w:ascii="Simplified Arabic" w:cs="Simplified Arabic" w:hAnsi="Simplified Arabic"/>
          <w:color w:val="1F1F1F"/>
          <w:sz w:val="32"/>
          <w:szCs w:val="32"/>
          <w:bdr w:val="none" w:sz="0" w:space="0" w:color="auto"/>
        </w:rPr>
        <w:t>Stewardship Theory</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تفترض أن المديرين هم "أمناء" بالفطرة وسيعملون لمصلحة الشركة إذا توفرت لهم البيئة المناسبة.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2.3 ركائز الحوكمة الفعالة</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تقوم الحوكمة على أربعة مبادئ أخلاقية وتطبيقية:</w:t>
      </w:r>
    </w:p>
    <w:p>
      <w:pPr>
        <w:pStyle w:val="17"/>
        <w:numPr>
          <w:ilvl w:val="0"/>
          <w:numId w:val="3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العدالة:</w:t>
      </w:r>
      <w:r>
        <w:rPr>
          <w:rFonts w:ascii="Simplified Arabic" w:cs="Simplified Arabic" w:hAnsi="Simplified Arabic"/>
          <w:color w:val="1F1F1F"/>
          <w:sz w:val="32"/>
          <w:szCs w:val="32"/>
          <w:rtl/>
        </w:rPr>
        <w:t xml:space="preserve"> حماية حقوق المساهمين وضمان المعاملة المنصفة للجميع.</w:t>
      </w:r>
    </w:p>
    <w:p>
      <w:pPr>
        <w:pStyle w:val="17"/>
        <w:numPr>
          <w:ilvl w:val="0"/>
          <w:numId w:val="3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الشفافية:</w:t>
      </w:r>
      <w:r>
        <w:rPr>
          <w:rFonts w:ascii="Simplified Arabic" w:cs="Simplified Arabic" w:hAnsi="Simplified Arabic"/>
          <w:color w:val="1F1F1F"/>
          <w:sz w:val="32"/>
          <w:szCs w:val="32"/>
          <w:rtl/>
        </w:rPr>
        <w:t xml:space="preserve"> تقديم صورة صادقة وواضحة عن الوضع المالي والتشغيلي.</w:t>
      </w:r>
    </w:p>
    <w:p>
      <w:pPr>
        <w:pStyle w:val="17"/>
        <w:numPr>
          <w:ilvl w:val="0"/>
          <w:numId w:val="3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المساءلة:</w:t>
      </w:r>
      <w:r>
        <w:rPr>
          <w:rFonts w:ascii="Simplified Arabic" w:cs="Simplified Arabic" w:hAnsi="Simplified Arabic"/>
          <w:color w:val="1F1F1F"/>
          <w:sz w:val="32"/>
          <w:szCs w:val="32"/>
          <w:rtl/>
        </w:rPr>
        <w:t xml:space="preserve"> تحديد من المسؤول عن ماذا، وكيف يتم تقييم هذا الأداء.</w:t>
      </w:r>
    </w:p>
    <w:p>
      <w:pPr>
        <w:pStyle w:val="17"/>
        <w:numPr>
          <w:ilvl w:val="0"/>
          <w:numId w:val="3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المسؤولية:</w:t>
      </w:r>
      <w:r>
        <w:rPr>
          <w:rFonts w:ascii="Simplified Arabic" w:cs="Simplified Arabic" w:hAnsi="Simplified Arabic"/>
          <w:color w:val="1F1F1F"/>
          <w:sz w:val="32"/>
          <w:szCs w:val="32"/>
          <w:rtl/>
        </w:rPr>
        <w:t xml:space="preserve"> التزام الشركة بالمسؤولية القانونية والاجتماعية تجاه المجتمع والبيئة.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2.4 الهياكل الرئيسية للحوكمة</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تعتمد الحوكمة على هيكل تنظيمي يضمن الفصل بين السلطات:</w:t>
      </w:r>
    </w:p>
    <w:p>
      <w:pPr>
        <w:pStyle w:val="17"/>
        <w:numPr>
          <w:ilvl w:val="0"/>
          <w:numId w:val="3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مجلس الإدارة:</w:t>
      </w:r>
      <w:r>
        <w:rPr>
          <w:rFonts w:ascii="Simplified Arabic" w:cs="Simplified Arabic" w:hAnsi="Simplified Arabic"/>
          <w:color w:val="1F1F1F"/>
          <w:sz w:val="32"/>
          <w:szCs w:val="32"/>
          <w:rtl/>
        </w:rPr>
        <w:t xml:space="preserve"> هو المسؤول الأول عن التوجه الاستراتيجي والرقابة. ويشترط فيه التنوع والخبرة.</w:t>
      </w:r>
    </w:p>
    <w:p>
      <w:pPr>
        <w:pStyle w:val="17"/>
        <w:numPr>
          <w:ilvl w:val="0"/>
          <w:numId w:val="3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لجان المجلس:</w:t>
      </w:r>
    </w:p>
    <w:p>
      <w:pPr>
        <w:pStyle w:val="17"/>
        <w:numPr>
          <w:ilvl w:val="1"/>
          <w:numId w:val="3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لجنة المراجعة:</w:t>
      </w:r>
      <w:r>
        <w:rPr>
          <w:rFonts w:ascii="Simplified Arabic" w:cs="Simplified Arabic" w:hAnsi="Simplified Arabic"/>
          <w:color w:val="1F1F1F"/>
          <w:sz w:val="32"/>
          <w:szCs w:val="32"/>
          <w:rtl/>
        </w:rPr>
        <w:t xml:space="preserve"> تشرف على التقارير المالية والمدققين الداخليين والخارجيين.</w:t>
      </w:r>
    </w:p>
    <w:p>
      <w:pPr>
        <w:pStyle w:val="17"/>
        <w:numPr>
          <w:ilvl w:val="1"/>
          <w:numId w:val="3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لجنة الترشيحات والمكافآت:</w:t>
      </w:r>
      <w:r>
        <w:rPr>
          <w:rFonts w:ascii="Simplified Arabic" w:cs="Simplified Arabic" w:hAnsi="Simplified Arabic"/>
          <w:color w:val="1F1F1F"/>
          <w:sz w:val="32"/>
          <w:szCs w:val="32"/>
          <w:rtl/>
        </w:rPr>
        <w:t xml:space="preserve"> تضع معايير اختيار الأعضاء وتحدد سياسات الحوافز لضمان عدم تعارض المصالح.</w:t>
      </w:r>
    </w:p>
    <w:p>
      <w:pPr>
        <w:pStyle w:val="17"/>
        <w:numPr>
          <w:ilvl w:val="0"/>
          <w:numId w:val="3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الاستقلالية:</w:t>
      </w:r>
      <w:r>
        <w:rPr>
          <w:rFonts w:ascii="Simplified Arabic" w:cs="Simplified Arabic" w:hAnsi="Simplified Arabic"/>
          <w:color w:val="1F1F1F"/>
          <w:sz w:val="32"/>
          <w:szCs w:val="32"/>
          <w:rtl/>
        </w:rPr>
        <w:t xml:space="preserve"> ضرورة وجود أعضاء "مستقلين" في المجلس (لا تربطهم علاقة نفعية بالشركة) لضمان حيادية القرارات.</w:t>
      </w: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
        <w:bidi/>
        <w:spacing w:before="0" w:beforeAutospacing="0" w:after="120" w:afterAutospacing="0" w:line="360" w:lineRule="auto"/>
        <w:rPr>
          <w:rFonts w:ascii="Simplified Arabic" w:eastAsia="Times New Roman" w:cs="Simplified Arabic" w:hAnsi="Simplified Arabic"/>
          <w:color w:val="1F1F1F"/>
          <w:sz w:val="32"/>
          <w:szCs w:val="32"/>
        </w:rPr>
      </w:pP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الثالث: الاستدامة المالية للشركات المساهمة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3.1 مفهوم الاستدامة المالية وأبعادها</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لا تقتصر الاستدامة المالية على تحقيق الأرباح فحسب، بل هي قدرة الشركة على توليد قيمة مستمرة وضمان البقاء في السوق على المدى الطويل. وتتكون من ثلاثة أبعاد رئيسية:</w:t>
      </w:r>
    </w:p>
    <w:p>
      <w:pPr>
        <w:pStyle w:val="17"/>
        <w:numPr>
          <w:ilvl w:val="0"/>
          <w:numId w:val="3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النمو (</w:t>
      </w:r>
      <w:r>
        <w:rPr>
          <w:rStyle w:val="18"/>
          <w:rFonts w:ascii="Simplified Arabic" w:cs="Simplified Arabic" w:hAnsi="Simplified Arabic"/>
          <w:color w:val="1F1F1F"/>
          <w:sz w:val="32"/>
          <w:szCs w:val="32"/>
          <w:bdr w:val="none" w:sz="0" w:space="0" w:color="auto"/>
        </w:rPr>
        <w:t>Growth</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القدرة على التوسع وزيادة الحصة السوقية وتطوير المنتجات بما يضمن تدفقات إيرادات مستقبلية.</w:t>
      </w:r>
    </w:p>
    <w:p>
      <w:pPr>
        <w:pStyle w:val="17"/>
        <w:numPr>
          <w:ilvl w:val="0"/>
          <w:numId w:val="3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الربحية (</w:t>
      </w:r>
      <w:r>
        <w:rPr>
          <w:rStyle w:val="18"/>
          <w:rFonts w:ascii="Simplified Arabic" w:cs="Simplified Arabic" w:hAnsi="Simplified Arabic"/>
          <w:color w:val="1F1F1F"/>
          <w:sz w:val="32"/>
          <w:szCs w:val="32"/>
          <w:bdr w:val="none" w:sz="0" w:space="0" w:color="auto"/>
        </w:rPr>
        <w:t>Profitability</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كفاءة الشركة في تحويل الموارد إلى أرباح صافية، وضمان أن العائد على رأس المال المستثمر يتجاوز تكلفته.</w:t>
      </w:r>
    </w:p>
    <w:p>
      <w:pPr>
        <w:pStyle w:val="17"/>
        <w:numPr>
          <w:ilvl w:val="0"/>
          <w:numId w:val="3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الوفاء بالالتزامات (</w:t>
      </w:r>
      <w:r>
        <w:rPr>
          <w:rStyle w:val="18"/>
          <w:rFonts w:ascii="Simplified Arabic" w:cs="Simplified Arabic" w:hAnsi="Simplified Arabic"/>
          <w:color w:val="1F1F1F"/>
          <w:sz w:val="32"/>
          <w:szCs w:val="32"/>
          <w:bdr w:val="none" w:sz="0" w:space="0" w:color="auto"/>
        </w:rPr>
        <w:t>Solvency</w:t>
      </w:r>
      <w:r>
        <w:rPr>
          <w:rStyle w:val="18"/>
          <w:rFonts w:ascii="Simplified Arabic" w:cs="Simplified Arabic" w:hAnsi="Simplified Arabic"/>
          <w:color w:val="1F1F1F"/>
          <w:sz w:val="32"/>
          <w:szCs w:val="32"/>
          <w:bdr w:val="none" w:sz="0" w:space="0" w:color="auto"/>
          <w:rtl/>
        </w:rPr>
        <w:t xml:space="preserve"> &amp; </w:t>
      </w:r>
      <w:r>
        <w:rPr>
          <w:rStyle w:val="18"/>
          <w:rFonts w:ascii="Simplified Arabic" w:cs="Simplified Arabic" w:hAnsi="Simplified Arabic"/>
          <w:color w:val="1F1F1F"/>
          <w:sz w:val="32"/>
          <w:szCs w:val="32"/>
          <w:bdr w:val="none" w:sz="0" w:space="0" w:color="auto"/>
        </w:rPr>
        <w:t>Liquidity</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القدرة على سداد الديون قصيرة الأجل (السيولة) والالتزامات طويلة الأجل (الملاءة) دون تعثر.</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3.2 مؤشرات قياس الاستدامة المالية</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تستخدم الشركات والمستثمرون مجموعة من المقاييس الحيوية:</w:t>
      </w:r>
    </w:p>
    <w:p>
      <w:pPr>
        <w:pStyle w:val="17"/>
        <w:numPr>
          <w:ilvl w:val="0"/>
          <w:numId w:val="33"/>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التدفقات النقدية الحرة (</w:t>
      </w:r>
      <w:r>
        <w:rPr>
          <w:rStyle w:val="18"/>
          <w:rFonts w:ascii="Simplified Arabic" w:cs="Simplified Arabic" w:hAnsi="Simplified Arabic"/>
          <w:color w:val="1F1F1F"/>
          <w:sz w:val="32"/>
          <w:szCs w:val="32"/>
          <w:bdr w:val="none" w:sz="0" w:space="0" w:color="auto"/>
        </w:rPr>
        <w:t>Free Cash Flow</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النقد المتبقي بعد النفقات الرأسمالية؛ وهو المؤشر الأصدق على قدرة الشركة على تمويل نموها وتوزيع الأرباح.</w:t>
      </w:r>
    </w:p>
    <w:p>
      <w:pPr>
        <w:pStyle w:val="17"/>
        <w:numPr>
          <w:ilvl w:val="0"/>
          <w:numId w:val="33"/>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معدل نمو الإيرادات المركب (</w:t>
      </w:r>
      <w:r>
        <w:rPr>
          <w:rStyle w:val="18"/>
          <w:rFonts w:ascii="Simplified Arabic" w:cs="Simplified Arabic" w:hAnsi="Simplified Arabic"/>
          <w:color w:val="1F1F1F"/>
          <w:sz w:val="32"/>
          <w:szCs w:val="32"/>
          <w:bdr w:val="none" w:sz="0" w:space="0" w:color="auto"/>
        </w:rPr>
        <w:t>CAGR</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يقيس استدامة الطلب على منتجات الشركة عبر الزمن.</w:t>
      </w:r>
    </w:p>
    <w:p>
      <w:pPr>
        <w:pStyle w:val="17"/>
        <w:numPr>
          <w:ilvl w:val="0"/>
          <w:numId w:val="33"/>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نسب الكفاءة (</w:t>
      </w:r>
      <w:r>
        <w:rPr>
          <w:rStyle w:val="18"/>
          <w:rFonts w:ascii="Simplified Arabic" w:cs="Simplified Arabic" w:hAnsi="Simplified Arabic"/>
          <w:color w:val="1F1F1F"/>
          <w:sz w:val="32"/>
          <w:szCs w:val="32"/>
          <w:bdr w:val="none" w:sz="0" w:space="0" w:color="auto"/>
        </w:rPr>
        <w:t>Efficiency Ratios</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مثل معدل دوران الأصول وعائد الاستثمار، والتي تقيس مدى جودة إدارة الأصول لتوليد الدخل.</w:t>
      </w:r>
    </w:p>
    <w:p>
      <w:pPr>
        <w:pStyle w:val="17"/>
        <w:numPr>
          <w:ilvl w:val="0"/>
          <w:numId w:val="33"/>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نسبة الرافعة المالية (</w:t>
      </w:r>
      <w:r>
        <w:rPr>
          <w:rStyle w:val="18"/>
          <w:rFonts w:ascii="Simplified Arabic" w:cs="Simplified Arabic" w:hAnsi="Simplified Arabic"/>
          <w:color w:val="1F1F1F"/>
          <w:sz w:val="32"/>
          <w:szCs w:val="32"/>
          <w:bdr w:val="none" w:sz="0" w:space="0" w:color="auto"/>
        </w:rPr>
        <w:t>Leverage Ratio</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لمراقبة مستويات الديون وضمان عدم وصولها لمستويات تهدد الكيان.</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3.3 العلاقة بين الاستقرار المالي والمخاطر</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هناك علاقة طردية وتكاملية بينهما:</w:t>
      </w:r>
    </w:p>
    <w:p>
      <w:pPr>
        <w:pStyle w:val="17"/>
        <w:numPr>
          <w:ilvl w:val="0"/>
          <w:numId w:val="3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تأثير المخاطر على الاستدامة:</w:t>
      </w:r>
      <w:r>
        <w:rPr>
          <w:rFonts w:ascii="Simplified Arabic" w:cs="Simplified Arabic" w:hAnsi="Simplified Arabic"/>
          <w:color w:val="1F1F1F"/>
          <w:sz w:val="32"/>
          <w:szCs w:val="32"/>
          <w:rtl/>
        </w:rPr>
        <w:t xml:space="preserve"> سوء إدارة المخاطر (مثل مخاطر الائتمان أو التقلبات التشغيلية) قد يؤدي إلى استنزاف السيولة المفاجئ، مما يسبب انهيار الاستدامة المالية حتى للشركات الرابحة "دفترِيّاً".</w:t>
      </w:r>
    </w:p>
    <w:p>
      <w:pPr>
        <w:pStyle w:val="17"/>
        <w:numPr>
          <w:ilvl w:val="0"/>
          <w:numId w:val="3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تأثير الاستدامة على إدارة المخاطر:</w:t>
      </w:r>
      <w:r>
        <w:rPr>
          <w:rFonts w:ascii="Simplified Arabic" w:cs="Simplified Arabic" w:hAnsi="Simplified Arabic"/>
          <w:color w:val="1F1F1F"/>
          <w:sz w:val="32"/>
          <w:szCs w:val="32"/>
          <w:rtl/>
        </w:rPr>
        <w:t xml:space="preserve"> الشركات المستدامة مالياً تمتلك "مصدات مالية" (</w:t>
      </w:r>
      <w:r>
        <w:rPr>
          <w:rFonts w:ascii="Simplified Arabic" w:cs="Simplified Arabic" w:hAnsi="Simplified Arabic"/>
          <w:color w:val="1F1F1F"/>
          <w:sz w:val="32"/>
          <w:szCs w:val="32"/>
        </w:rPr>
        <w:t>Buffers</w:t>
      </w:r>
      <w:r>
        <w:rPr>
          <w:rFonts w:ascii="Simplified Arabic" w:cs="Simplified Arabic" w:hAnsi="Simplified Arabic"/>
          <w:color w:val="1F1F1F"/>
          <w:sz w:val="32"/>
          <w:szCs w:val="32"/>
          <w:rtl/>
        </w:rPr>
        <w:t>) تمكنها من تحمل الصدمات والمخاطر غير المتوقعة بشكل أفضل من الشركات ذات الملاءة الضعيفة.</w:t>
      </w: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الرابع: الإطار التنظيمي لإدارة المخاطر والحوكمة في السعودية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4.1 دور هيئة السوق المالية (</w:t>
      </w:r>
      <w:r>
        <w:rPr>
          <w:rFonts w:ascii="Simplified Arabic" w:eastAsia="Times New Roman" w:cs="Simplified Arabic" w:hAnsi="Simplified Arabic"/>
          <w:color w:val="1F1F1F"/>
          <w:sz w:val="32"/>
          <w:szCs w:val="32"/>
        </w:rPr>
        <w:t>CMA</w:t>
      </w:r>
      <w:r>
        <w:rPr>
          <w:rFonts w:ascii="Simplified Arabic" w:eastAsia="Times New Roman" w:cs="Simplified Arabic" w:hAnsi="Simplified Arabic"/>
          <w:color w:val="1F1F1F"/>
          <w:sz w:val="32"/>
          <w:szCs w:val="32"/>
          <w:rtl/>
        </w:rPr>
        <w:t>)</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تعد هيئة السوق المالية المنظم الرئيسي للشركات المساهمة في المملكة، وقد قامت بـ:</w:t>
      </w:r>
    </w:p>
    <w:p>
      <w:pPr>
        <w:pStyle w:val="17"/>
        <w:numPr>
          <w:ilvl w:val="0"/>
          <w:numId w:val="35"/>
        </w:numPr>
        <w:bidi/>
        <w:spacing w:before="0" w:beforeAutospacing="0" w:after="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 xml:space="preserve">إصدار </w:t>
      </w:r>
      <w:r>
        <w:rPr>
          <w:rStyle w:val="18"/>
          <w:rFonts w:ascii="Simplified Arabic" w:cs="Simplified Arabic" w:hAnsi="Simplified Arabic"/>
          <w:color w:val="1F1F1F"/>
          <w:sz w:val="32"/>
          <w:szCs w:val="32"/>
          <w:bdr w:val="none" w:sz="0" w:space="0" w:color="auto"/>
          <w:rtl/>
        </w:rPr>
        <w:t>لائحة حوكمة الشركات</w:t>
      </w:r>
      <w:r>
        <w:rPr>
          <w:rFonts w:ascii="Simplified Arabic" w:cs="Simplified Arabic" w:hAnsi="Simplified Arabic"/>
          <w:color w:val="1F1F1F"/>
          <w:sz w:val="32"/>
          <w:szCs w:val="32"/>
          <w:rtl/>
        </w:rPr>
        <w:t xml:space="preserve"> التي تعد مرجعاً إلزامياً واستشارياً (حسب المادة) لتنظيم العلاقة بين المساهمين ومجلس الإدارة.</w:t>
      </w:r>
    </w:p>
    <w:p>
      <w:pPr>
        <w:pStyle w:val="17"/>
        <w:numPr>
          <w:ilvl w:val="0"/>
          <w:numId w:val="35"/>
        </w:numPr>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فرض معايير صارمة للإفصاح والشفافية لضمان عدالة السوق.</w:t>
      </w:r>
    </w:p>
    <w:p>
      <w:pPr>
        <w:pStyle w:val="17"/>
        <w:numPr>
          <w:ilvl w:val="0"/>
          <w:numId w:val="35"/>
        </w:numPr>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تطوير القواعد المنظمة لعمليات المراجعة والتدقيق الداخلي.</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4.2 لائحة حوكمة الشركات السعودية وإدارة المخاطر</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أفردت اللائحة السعودية مساحة كبيرة لإدارة المخاطر، ومن أبرز متطلباتها:</w:t>
      </w:r>
    </w:p>
    <w:p>
      <w:pPr>
        <w:pStyle w:val="17"/>
        <w:numPr>
          <w:ilvl w:val="0"/>
          <w:numId w:val="3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لجنة المخاطر (</w:t>
      </w:r>
      <w:r>
        <w:rPr>
          <w:rStyle w:val="18"/>
          <w:rFonts w:ascii="Simplified Arabic" w:cs="Simplified Arabic" w:hAnsi="Simplified Arabic"/>
          <w:color w:val="1F1F1F"/>
          <w:sz w:val="32"/>
          <w:szCs w:val="32"/>
          <w:bdr w:val="none" w:sz="0" w:space="0" w:color="auto"/>
        </w:rPr>
        <w:t>Risk Committee</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تُلزم اللائحة الشركات (خاصة في القطاعات الحيوية أو عند وصول حجم أعمال معين) بتشكيل لجنة متخصصة للمخاطر تتبع لمجلس الإدارة.</w:t>
      </w:r>
    </w:p>
    <w:p>
      <w:pPr>
        <w:pStyle w:val="17"/>
        <w:numPr>
          <w:ilvl w:val="0"/>
          <w:numId w:val="3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مهام اللجنة:</w:t>
      </w:r>
      <w:r>
        <w:rPr>
          <w:rFonts w:ascii="Simplified Arabic" w:cs="Simplified Arabic" w:hAnsi="Simplified Arabic"/>
          <w:color w:val="1F1F1F"/>
          <w:sz w:val="32"/>
          <w:szCs w:val="32"/>
          <w:rtl/>
        </w:rPr>
        <w:t xml:space="preserve"> تشمل وضع سياسات شاملة لإدارة المخاطر، ومراجعة استراتيجيات إدارة المخاطر دورياً، والتأكد من استقلالية مديري المخاطر عن الإدارة التنفيذية.</w:t>
      </w:r>
    </w:p>
    <w:p>
      <w:pPr>
        <w:pStyle w:val="17"/>
        <w:numPr>
          <w:ilvl w:val="0"/>
          <w:numId w:val="3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الرقابة الداخلية:</w:t>
      </w:r>
      <w:r>
        <w:rPr>
          <w:rFonts w:ascii="Simplified Arabic" w:cs="Simplified Arabic" w:hAnsi="Simplified Arabic"/>
          <w:color w:val="1F1F1F"/>
          <w:sz w:val="32"/>
          <w:szCs w:val="32"/>
          <w:rtl/>
        </w:rPr>
        <w:t xml:space="preserve"> إلزامية وجود إدارة مراجعة داخلية تقوم بتقييم فاعلية أنظمة إدارة المخاطر ورفع تقارير مباشرة للجنة المراجعة.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4.3 التوافق مع رؤية المملكة 2030</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تدعم الحوكمة وإدارة المخاطر أهداف الرؤية من خلال:</w:t>
      </w:r>
    </w:p>
    <w:p>
      <w:pPr>
        <w:pStyle w:val="17"/>
        <w:numPr>
          <w:ilvl w:val="0"/>
          <w:numId w:val="3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جذب الاستثمار الأجنبي:</w:t>
      </w:r>
      <w:r>
        <w:rPr>
          <w:rFonts w:ascii="Simplified Arabic" w:cs="Simplified Arabic" w:hAnsi="Simplified Arabic"/>
          <w:color w:val="1F1F1F"/>
          <w:sz w:val="32"/>
          <w:szCs w:val="32"/>
          <w:rtl/>
        </w:rPr>
        <w:t xml:space="preserve"> لا يمكن جذب الاستثمارات العالمية إلا بوجود بيئة حوكمة شفافة ومخاطر مدروسة، مما يرفع تصنيف السوق السعودي عالمياً (مثل الانضمام لمؤشر </w:t>
      </w:r>
      <w:r>
        <w:rPr>
          <w:rFonts w:ascii="Simplified Arabic" w:cs="Simplified Arabic" w:hAnsi="Simplified Arabic"/>
          <w:color w:val="1F1F1F"/>
          <w:sz w:val="32"/>
          <w:szCs w:val="32"/>
        </w:rPr>
        <w:t>MSCI</w:t>
      </w:r>
      <w:r>
        <w:rPr>
          <w:rFonts w:ascii="Simplified Arabic" w:cs="Simplified Arabic" w:hAnsi="Simplified Arabic"/>
          <w:color w:val="1F1F1F"/>
          <w:sz w:val="32"/>
          <w:szCs w:val="32"/>
          <w:rtl/>
        </w:rPr>
        <w:t>).</w:t>
      </w:r>
    </w:p>
    <w:p>
      <w:pPr>
        <w:pStyle w:val="17"/>
        <w:numPr>
          <w:ilvl w:val="0"/>
          <w:numId w:val="3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تنمية القطاع الخاص:</w:t>
      </w:r>
      <w:r>
        <w:rPr>
          <w:rFonts w:ascii="Simplified Arabic" w:cs="Simplified Arabic" w:hAnsi="Simplified Arabic"/>
          <w:color w:val="1F1F1F"/>
          <w:sz w:val="32"/>
          <w:szCs w:val="32"/>
          <w:rtl/>
        </w:rPr>
        <w:t xml:space="preserve"> ضمان استدامة الشركات المساهمة الكبرى يساهم في تنويع الاقتصاد الوطني بعيداً عن النفط.</w:t>
      </w:r>
    </w:p>
    <w:p>
      <w:pPr>
        <w:pStyle w:val="17"/>
        <w:numPr>
          <w:ilvl w:val="0"/>
          <w:numId w:val="3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تعزيز النزاهة والمساءلة:</w:t>
      </w:r>
      <w:r>
        <w:rPr>
          <w:rFonts w:ascii="Simplified Arabic" w:cs="Simplified Arabic" w:hAnsi="Simplified Arabic"/>
          <w:color w:val="1F1F1F"/>
          <w:sz w:val="32"/>
          <w:szCs w:val="32"/>
          <w:rtl/>
        </w:rPr>
        <w:t xml:space="preserve"> الحوكمة الرشيدة هي الأداة الأساسية لمكافحة الفساد الإداري والمالي، وهو أحد الركائز الجوهرية لبرامج التحول الوطني.</w:t>
      </w: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الخامس: تكامل إدارة المخاطر مع حوكمة الشركات (الارتباط الهيكلي)</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5.1 إدارة المخاطر كأحد أبعاد الحوكمة</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لا تُعتبر إدارة المخاطر وظيفة ثانوية، بل هي "العمود الفقري" لنظام الحوكمة الرشيد:</w:t>
      </w:r>
    </w:p>
    <w:p>
      <w:pPr>
        <w:pStyle w:val="17"/>
        <w:numPr>
          <w:ilvl w:val="0"/>
          <w:numId w:val="38"/>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وظيفة رقابية:</w:t>
      </w:r>
      <w:r>
        <w:rPr>
          <w:rFonts w:ascii="Simplified Arabic" w:cs="Simplified Arabic" w:hAnsi="Simplified Arabic"/>
          <w:color w:val="1F1F1F"/>
          <w:sz w:val="32"/>
          <w:szCs w:val="32"/>
          <w:rtl/>
        </w:rPr>
        <w:t xml:space="preserve"> تعمل إدارة المخاطر كخط دفاع ثانٍ يضمن التزام الإدارة التنفيذية بالحدود المسموح بها.</w:t>
      </w:r>
    </w:p>
    <w:p>
      <w:pPr>
        <w:pStyle w:val="17"/>
        <w:numPr>
          <w:ilvl w:val="0"/>
          <w:numId w:val="38"/>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وظيفة استراتيجية:</w:t>
      </w:r>
      <w:r>
        <w:rPr>
          <w:rFonts w:ascii="Simplified Arabic" w:cs="Simplified Arabic" w:hAnsi="Simplified Arabic"/>
          <w:color w:val="1F1F1F"/>
          <w:sz w:val="32"/>
          <w:szCs w:val="32"/>
          <w:rtl/>
        </w:rPr>
        <w:t xml:space="preserve"> تساعد مجلس الإدارة على اتخاذ قرارات مدروسة من خلال توفير بيانات حول الفرص والتهديدات المرتبطة بكل قرار استراتيجي.</w:t>
      </w:r>
    </w:p>
    <w:p>
      <w:pPr>
        <w:pStyle w:val="17"/>
        <w:numPr>
          <w:ilvl w:val="0"/>
          <w:numId w:val="38"/>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جوهر الحوكمة:</w:t>
      </w:r>
      <w:r>
        <w:rPr>
          <w:rFonts w:ascii="Simplified Arabic" w:cs="Simplified Arabic" w:hAnsi="Simplified Arabic"/>
          <w:color w:val="1F1F1F"/>
          <w:sz w:val="32"/>
          <w:szCs w:val="32"/>
          <w:rtl/>
        </w:rPr>
        <w:t xml:space="preserve"> الحوكمة تهدف لحماية الشركة، ولا يمكن حماية الشركة دون نظام فعال لرصد المخاطر والتخفيف من آثارها.</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5.2 فاعلية لجنة المخاطر (</w:t>
      </w:r>
      <w:r>
        <w:rPr>
          <w:rFonts w:ascii="Simplified Arabic" w:eastAsia="Times New Roman" w:cs="Simplified Arabic" w:hAnsi="Simplified Arabic"/>
          <w:color w:val="1F1F1F"/>
          <w:sz w:val="32"/>
          <w:szCs w:val="32"/>
        </w:rPr>
        <w:t>Risk Committee</w:t>
      </w:r>
      <w:r>
        <w:rPr>
          <w:rFonts w:ascii="Simplified Arabic" w:eastAsia="Times New Roman" w:cs="Simplified Arabic" w:hAnsi="Simplified Arabic"/>
          <w:color w:val="1F1F1F"/>
          <w:sz w:val="32"/>
          <w:szCs w:val="32"/>
          <w:rtl/>
        </w:rPr>
        <w:t>)</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تعتبر لجنة المخاطر حلقة الوصل بين الإدارة التنفيذية ومجلس الإدارة:</w:t>
      </w:r>
    </w:p>
    <w:p>
      <w:pPr>
        <w:pStyle w:val="17"/>
        <w:numPr>
          <w:ilvl w:val="0"/>
          <w:numId w:val="39"/>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هيكل اللجنة:</w:t>
      </w:r>
      <w:r>
        <w:rPr>
          <w:rFonts w:ascii="Simplified Arabic" w:cs="Simplified Arabic" w:hAnsi="Simplified Arabic"/>
          <w:color w:val="1F1F1F"/>
          <w:sz w:val="32"/>
          <w:szCs w:val="32"/>
          <w:rtl/>
        </w:rPr>
        <w:t xml:space="preserve"> تُشكل عادة من أعضاء مجلس إدارة غير تنفيذيين، مع ضرورة وجود "مستقلين" لضمان الموضوعية.</w:t>
      </w:r>
    </w:p>
    <w:p>
      <w:pPr>
        <w:pStyle w:val="17"/>
        <w:numPr>
          <w:ilvl w:val="0"/>
          <w:numId w:val="39"/>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المسؤوليات:</w:t>
      </w:r>
    </w:p>
    <w:p>
      <w:pPr>
        <w:pStyle w:val="17"/>
        <w:numPr>
          <w:ilvl w:val="1"/>
          <w:numId w:val="39"/>
        </w:numPr>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مراجعة سياسات إدارة المخاطر واعتمادها.</w:t>
      </w:r>
    </w:p>
    <w:p>
      <w:pPr>
        <w:pStyle w:val="17"/>
        <w:numPr>
          <w:ilvl w:val="1"/>
          <w:numId w:val="39"/>
        </w:numPr>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التأكد من كفاية الموارد البشرية والتقنية المخصصة لإدارة المخاطر.</w:t>
      </w:r>
    </w:p>
    <w:p>
      <w:pPr>
        <w:pStyle w:val="17"/>
        <w:numPr>
          <w:ilvl w:val="1"/>
          <w:numId w:val="39"/>
        </w:numPr>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مراقبة التعرض للمخاطر الكبرى بشكل دوري.</w:t>
      </w:r>
    </w:p>
    <w:p>
      <w:pPr>
        <w:pStyle w:val="17"/>
        <w:numPr>
          <w:ilvl w:val="0"/>
          <w:numId w:val="39"/>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تعزيز الرقابة:</w:t>
      </w:r>
      <w:r>
        <w:rPr>
          <w:rFonts w:ascii="Simplified Arabic" w:cs="Simplified Arabic" w:hAnsi="Simplified Arabic"/>
          <w:color w:val="1F1F1F"/>
          <w:sz w:val="32"/>
          <w:szCs w:val="32"/>
          <w:rtl/>
        </w:rPr>
        <w:t xml:space="preserve"> ترفع اللجنة تقارير متخصصة لمجلس الإدارة، مما يفرغ المجلس للقضايا الاستراتيجية الكبرى مع ضمان وجود عين فاحصة على التفاصيل الفنية للمخاطر.</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5.3 دور مجلس الإدارة في الإشراف على المخاطر</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يتحمل المجلس المسؤولية النهائية عن "ثقافة المخاطر" في الشركة:</w:t>
      </w:r>
    </w:p>
    <w:p>
      <w:pPr>
        <w:pStyle w:val="17"/>
        <w:numPr>
          <w:ilvl w:val="0"/>
          <w:numId w:val="4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تحديد شهية المخاطر (</w:t>
      </w:r>
      <w:r>
        <w:rPr>
          <w:rStyle w:val="18"/>
          <w:rFonts w:ascii="Simplified Arabic" w:cs="Simplified Arabic" w:hAnsi="Simplified Arabic"/>
          <w:color w:val="1F1F1F"/>
          <w:sz w:val="32"/>
          <w:szCs w:val="32"/>
          <w:bdr w:val="none" w:sz="0" w:space="0" w:color="auto"/>
        </w:rPr>
        <w:t>Risk Appetite</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هي أهم مسؤولية للمجلس، حيث يحدد مقدار ونوع المخاطر التي تستعد الشركة لقبولها في سبيل تحقيق أهدافها.</w:t>
      </w:r>
    </w:p>
    <w:p>
      <w:pPr>
        <w:pStyle w:val="17"/>
        <w:numPr>
          <w:ilvl w:val="0"/>
          <w:numId w:val="4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المراجعة الدورية:</w:t>
      </w:r>
      <w:r>
        <w:rPr>
          <w:rFonts w:ascii="Simplified Arabic" w:cs="Simplified Arabic" w:hAnsi="Simplified Arabic"/>
          <w:color w:val="1F1F1F"/>
          <w:sz w:val="32"/>
          <w:szCs w:val="32"/>
          <w:rtl/>
        </w:rPr>
        <w:t xml:space="preserve"> يجب على المجلس مناقشة تقارير المخاطر كبند دائم في اجتماعاته، وليس فقط عند وقوع الأزمات.</w:t>
      </w:r>
    </w:p>
    <w:p>
      <w:pPr>
        <w:pStyle w:val="17"/>
        <w:numPr>
          <w:ilvl w:val="0"/>
          <w:numId w:val="4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المساءلة:</w:t>
      </w:r>
      <w:r>
        <w:rPr>
          <w:rFonts w:ascii="Simplified Arabic" w:cs="Simplified Arabic" w:hAnsi="Simplified Arabic"/>
          <w:color w:val="1F1F1F"/>
          <w:sz w:val="32"/>
          <w:szCs w:val="32"/>
          <w:rtl/>
        </w:rPr>
        <w:t xml:space="preserve"> محاسبة الإدارة التنفيذية في حال تجاوز الحدود المعتمدة للمخاطر.</w:t>
      </w: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السادس: إدارة المخاطر وتعزيز الشفافية والإفصاح</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6.1 متطلبات الإفصاح عن المخاطر</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 xml:space="preserve">تُلزم المعايير الدولية (مثل </w:t>
      </w:r>
      <w:r>
        <w:rPr>
          <w:rFonts w:ascii="Simplified Arabic" w:cs="Simplified Arabic" w:hAnsi="Simplified Arabic"/>
          <w:color w:val="1F1F1F"/>
          <w:sz w:val="32"/>
          <w:szCs w:val="32"/>
        </w:rPr>
        <w:t>IFRS</w:t>
      </w:r>
      <w:r>
        <w:rPr>
          <w:rFonts w:ascii="Simplified Arabic" w:cs="Simplified Arabic" w:hAnsi="Simplified Arabic"/>
          <w:color w:val="1F1F1F"/>
          <w:sz w:val="32"/>
          <w:szCs w:val="32"/>
          <w:rtl/>
        </w:rPr>
        <w:t>) واللوائح المحلية (هيئة السوق المالية) الشركات بالإفصاح عن:</w:t>
      </w:r>
    </w:p>
    <w:p>
      <w:pPr>
        <w:pStyle w:val="17"/>
        <w:numPr>
          <w:ilvl w:val="0"/>
          <w:numId w:val="4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المخاطر الجوهرية:</w:t>
      </w:r>
      <w:r>
        <w:rPr>
          <w:rFonts w:ascii="Simplified Arabic" w:cs="Simplified Arabic" w:hAnsi="Simplified Arabic"/>
          <w:color w:val="1F1F1F"/>
          <w:sz w:val="32"/>
          <w:szCs w:val="32"/>
          <w:rtl/>
        </w:rPr>
        <w:t xml:space="preserve"> أي خطر قد يؤثر على قرار المستثمر يجب الإفصاح عنه بوضوح.</w:t>
      </w:r>
    </w:p>
    <w:p>
      <w:pPr>
        <w:pStyle w:val="17"/>
        <w:numPr>
          <w:ilvl w:val="0"/>
          <w:numId w:val="4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منهجية الإدارة:</w:t>
      </w:r>
      <w:r>
        <w:rPr>
          <w:rFonts w:ascii="Simplified Arabic" w:cs="Simplified Arabic" w:hAnsi="Simplified Arabic"/>
          <w:color w:val="1F1F1F"/>
          <w:sz w:val="32"/>
          <w:szCs w:val="32"/>
          <w:rtl/>
        </w:rPr>
        <w:t xml:space="preserve"> كيف تقوم الشركة بتحديد وتقييم ومعالجة تلك المخاطر.</w:t>
      </w:r>
    </w:p>
    <w:p>
      <w:pPr>
        <w:pStyle w:val="17"/>
        <w:numPr>
          <w:ilvl w:val="0"/>
          <w:numId w:val="4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الحساسية المالية:</w:t>
      </w:r>
      <w:r>
        <w:rPr>
          <w:rFonts w:ascii="Simplified Arabic" w:cs="Simplified Arabic" w:hAnsi="Simplified Arabic"/>
          <w:color w:val="1F1F1F"/>
          <w:sz w:val="32"/>
          <w:szCs w:val="32"/>
          <w:rtl/>
        </w:rPr>
        <w:t xml:space="preserve"> أثر تغير المتغيرات (مثل أسعار الفائدة أو الصرف) على النتائج المالية.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6.2 جودة الإفصاح وأثرها على ثقة المستثمرين</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الإفصاح الجيد ليس مجرد سرد قانوني، بل هو أداة لبناء الثقة:</w:t>
      </w:r>
    </w:p>
    <w:p>
      <w:pPr>
        <w:pStyle w:val="17"/>
        <w:numPr>
          <w:ilvl w:val="0"/>
          <w:numId w:val="4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تقليل عدم اليقين:</w:t>
      </w:r>
      <w:r>
        <w:rPr>
          <w:rFonts w:ascii="Simplified Arabic" w:cs="Simplified Arabic" w:hAnsi="Simplified Arabic"/>
          <w:color w:val="1F1F1F"/>
          <w:sz w:val="32"/>
          <w:szCs w:val="32"/>
          <w:rtl/>
        </w:rPr>
        <w:t xml:space="preserve"> عندما يعرف المستثمر أن الشركة تدرك مخاطرها وتديرها، ينخفض "علاوة المخاطر" المطلوبة، مما قد يحسن من سعر السهم.</w:t>
      </w:r>
    </w:p>
    <w:p>
      <w:pPr>
        <w:pStyle w:val="17"/>
        <w:numPr>
          <w:ilvl w:val="0"/>
          <w:numId w:val="4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التقييم العادل:</w:t>
      </w:r>
      <w:r>
        <w:rPr>
          <w:rFonts w:ascii="Simplified Arabic" w:cs="Simplified Arabic" w:hAnsi="Simplified Arabic"/>
          <w:color w:val="1F1F1F"/>
          <w:sz w:val="32"/>
          <w:szCs w:val="32"/>
          <w:rtl/>
        </w:rPr>
        <w:t xml:space="preserve"> يساعد الإفصاح الشفاف المحللين الماليين على وضع توقعات أكثر دقة للتدفقات النقدية المستقبلية.</w:t>
      </w:r>
    </w:p>
    <w:p>
      <w:pPr>
        <w:pStyle w:val="17"/>
        <w:numPr>
          <w:ilvl w:val="0"/>
          <w:numId w:val="4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تجنب المفاجآت:</w:t>
      </w:r>
      <w:r>
        <w:rPr>
          <w:rFonts w:ascii="Simplified Arabic" w:cs="Simplified Arabic" w:hAnsi="Simplified Arabic"/>
          <w:color w:val="1F1F1F"/>
          <w:sz w:val="32"/>
          <w:szCs w:val="32"/>
          <w:rtl/>
        </w:rPr>
        <w:t xml:space="preserve"> الشركات التي تفصح بوضوح عن المخاطر المحتملة تكون أقل عرضة للهزات العنيفة في أسعار أسهمها عند وقوع الأحداث السلبية.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6.3 ربط الإفصاح المالي بإدارة المخاطر</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تضمن إدارة المخاطر سلامة الأرقام المعلنة من خلال:</w:t>
      </w:r>
    </w:p>
    <w:p>
      <w:pPr>
        <w:pStyle w:val="17"/>
        <w:numPr>
          <w:ilvl w:val="0"/>
          <w:numId w:val="43"/>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دقة التقديرات:</w:t>
      </w:r>
      <w:r>
        <w:rPr>
          <w:rFonts w:ascii="Simplified Arabic" w:cs="Simplified Arabic" w:hAnsi="Simplified Arabic"/>
          <w:color w:val="1F1F1F"/>
          <w:sz w:val="32"/>
          <w:szCs w:val="32"/>
          <w:rtl/>
        </w:rPr>
        <w:t xml:space="preserve"> العديد من البنود المالية (مثل المخصصات، وهبوط قيمة الأصول) تعتمد على تقييمات المخاطر؛ لذا فإن إدارة المخاطر القوية تضمن أن هذه التقديرات واقعية وليست متفائلة أو متشائمة بشكل مفرط.</w:t>
      </w:r>
    </w:p>
    <w:p>
      <w:pPr>
        <w:pStyle w:val="17"/>
        <w:numPr>
          <w:ilvl w:val="0"/>
          <w:numId w:val="43"/>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الرقابة على التقارير المالية:</w:t>
      </w:r>
      <w:r>
        <w:rPr>
          <w:rFonts w:ascii="Simplified Arabic" w:cs="Simplified Arabic" w:hAnsi="Simplified Arabic"/>
          <w:color w:val="1F1F1F"/>
          <w:sz w:val="32"/>
          <w:szCs w:val="32"/>
          <w:rtl/>
        </w:rPr>
        <w:t xml:space="preserve"> تعمل أنظمة إدارة المخاطر على تقليل احتمالية وقوع الأخطاء الجوهرية أو الاحتيال المالي، مما يعزز مصداقية القوائم المالية.</w:t>
      </w:r>
    </w:p>
    <w:p>
      <w:pPr>
        <w:pStyle w:val="1"/>
        <w:bidi/>
        <w:spacing w:before="0" w:beforeAutospacing="0" w:after="120" w:afterAutospacing="0" w:line="360" w:lineRule="auto"/>
        <w:rPr>
          <w:rFonts w:ascii="Simplified Arabic" w:eastAsia="Times New Roman" w:cs="Simplified Arabic" w:hAnsi="Simplified Arabic"/>
          <w:color w:val="1F1F1F"/>
          <w:sz w:val="32"/>
          <w:szCs w:val="32"/>
        </w:rPr>
      </w:pP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السابع: إدارة المخاطر والاستدامة المالية (الأثر المباشر)</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7.1 إدارة المخاطر الاستراتيجية والنمو</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لا تقتصر إدارة المخاطر المؤسسية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على الجانب الدفاعي، بل هي محرك للنمو:</w:t>
      </w:r>
    </w:p>
    <w:p>
      <w:pPr>
        <w:pStyle w:val="17"/>
        <w:numPr>
          <w:ilvl w:val="0"/>
          <w:numId w:val="4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تحديد الفرص:</w:t>
      </w:r>
      <w:r>
        <w:rPr>
          <w:rFonts w:ascii="Simplified Arabic" w:cs="Simplified Arabic" w:hAnsi="Simplified Arabic"/>
          <w:color w:val="1F1F1F"/>
          <w:sz w:val="32"/>
          <w:szCs w:val="32"/>
          <w:rtl/>
        </w:rPr>
        <w:t xml:space="preserve"> يساعد إطار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xml:space="preserve"> الإدارة على رؤية الجانب الإيجابي للمخاطر، مما يسمح باتخاذ قرارات استثمارية جريئة ولكن محسوبة (</w:t>
      </w:r>
      <w:r>
        <w:rPr>
          <w:rFonts w:ascii="Simplified Arabic" w:cs="Simplified Arabic" w:hAnsi="Simplified Arabic"/>
          <w:color w:val="1F1F1F"/>
          <w:sz w:val="32"/>
          <w:szCs w:val="32"/>
        </w:rPr>
        <w:t>Calculated Risks</w:t>
      </w:r>
      <w:r>
        <w:rPr>
          <w:rFonts w:ascii="Simplified Arabic" w:cs="Simplified Arabic" w:hAnsi="Simplified Arabic"/>
          <w:color w:val="1F1F1F"/>
          <w:sz w:val="32"/>
          <w:szCs w:val="32"/>
          <w:rtl/>
        </w:rPr>
        <w:t>).</w:t>
      </w:r>
    </w:p>
    <w:p>
      <w:pPr>
        <w:pStyle w:val="17"/>
        <w:numPr>
          <w:ilvl w:val="0"/>
          <w:numId w:val="4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دعم القرار الاستثماري:</w:t>
      </w:r>
      <w:r>
        <w:rPr>
          <w:rFonts w:ascii="Simplified Arabic" w:cs="Simplified Arabic" w:hAnsi="Simplified Arabic"/>
          <w:color w:val="1F1F1F"/>
          <w:sz w:val="32"/>
          <w:szCs w:val="32"/>
          <w:rtl/>
        </w:rPr>
        <w:t xml:space="preserve"> من خلال تحليل السيناريوهات (</w:t>
      </w:r>
      <w:r>
        <w:rPr>
          <w:rFonts w:ascii="Simplified Arabic" w:cs="Simplified Arabic" w:hAnsi="Simplified Arabic"/>
          <w:color w:val="1F1F1F"/>
          <w:sz w:val="32"/>
          <w:szCs w:val="32"/>
        </w:rPr>
        <w:t>Scenario Analysis</w:t>
      </w:r>
      <w:r>
        <w:rPr>
          <w:rFonts w:ascii="Simplified Arabic" w:cs="Simplified Arabic" w:hAnsi="Simplified Arabic"/>
          <w:color w:val="1F1F1F"/>
          <w:sz w:val="32"/>
          <w:szCs w:val="32"/>
          <w:rtl/>
        </w:rPr>
        <w:t>)، يمكن للشركة تقييم جدوى التوسع في أسواق جديدة أو طرح منتجات مبتكرة مع فهم كامل للتبعات المالية المحتملة.</w:t>
      </w:r>
    </w:p>
    <w:p>
      <w:pPr>
        <w:pStyle w:val="17"/>
        <w:numPr>
          <w:ilvl w:val="0"/>
          <w:numId w:val="4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النمو المستدام:</w:t>
      </w:r>
      <w:r>
        <w:rPr>
          <w:rFonts w:ascii="Simplified Arabic" w:cs="Simplified Arabic" w:hAnsi="Simplified Arabic"/>
          <w:color w:val="1F1F1F"/>
          <w:sz w:val="32"/>
          <w:szCs w:val="32"/>
          <w:rtl/>
        </w:rPr>
        <w:t xml:space="preserve"> يضمن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xml:space="preserve"> أن النمو لا يأتي على حساب استقرار الشركة على المدى البعيد، بل يكون نمواً متوازناً يتوافق مع قدرة الشركة المالية.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7.2 إدارة المخاطر التشغيلية وكفاءة التشغيل</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تساهم إدارة المخاطر التشغيلية في تعزيز الربحية بشكل مباشر عبر:</w:t>
      </w:r>
    </w:p>
    <w:p>
      <w:pPr>
        <w:pStyle w:val="17"/>
        <w:numPr>
          <w:ilvl w:val="0"/>
          <w:numId w:val="45"/>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تقليل الهدر:</w:t>
      </w:r>
      <w:r>
        <w:rPr>
          <w:rFonts w:ascii="Simplified Arabic" w:cs="Simplified Arabic" w:hAnsi="Simplified Arabic"/>
          <w:color w:val="1F1F1F"/>
          <w:sz w:val="32"/>
          <w:szCs w:val="32"/>
          <w:rtl/>
        </w:rPr>
        <w:t xml:space="preserve"> من خلال تحديد نقاط الضعف في العمليات، يتم تقليل الفاقد الناتج عن الأخطاء البشرية أو تعطل الآلات أو انقطاع سلاسل الإمداد.</w:t>
      </w:r>
    </w:p>
    <w:p>
      <w:pPr>
        <w:pStyle w:val="17"/>
        <w:numPr>
          <w:ilvl w:val="0"/>
          <w:numId w:val="45"/>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تحسين الموارد:</w:t>
      </w:r>
      <w:r>
        <w:rPr>
          <w:rFonts w:ascii="Simplified Arabic" w:cs="Simplified Arabic" w:hAnsi="Simplified Arabic"/>
          <w:color w:val="1F1F1F"/>
          <w:sz w:val="32"/>
          <w:szCs w:val="32"/>
          <w:rtl/>
        </w:rPr>
        <w:t xml:space="preserve"> توجيه الموارد المالية والبشرية نحو الأنشطة الأقل خطورة والأعلى كفائية.</w:t>
      </w:r>
    </w:p>
    <w:p>
      <w:pPr>
        <w:pStyle w:val="17"/>
        <w:numPr>
          <w:ilvl w:val="0"/>
          <w:numId w:val="45"/>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استمرارية الأعمال:</w:t>
      </w:r>
      <w:r>
        <w:rPr>
          <w:rFonts w:ascii="Simplified Arabic" w:cs="Simplified Arabic" w:hAnsi="Simplified Arabic"/>
          <w:color w:val="1F1F1F"/>
          <w:sz w:val="32"/>
          <w:szCs w:val="32"/>
          <w:rtl/>
        </w:rPr>
        <w:t xml:space="preserve"> وضع خطط للطوارئ (</w:t>
      </w:r>
      <w:r>
        <w:rPr>
          <w:rFonts w:ascii="Simplified Arabic" w:cs="Simplified Arabic" w:hAnsi="Simplified Arabic"/>
          <w:color w:val="1F1F1F"/>
          <w:sz w:val="32"/>
          <w:szCs w:val="32"/>
        </w:rPr>
        <w:t>BCP</w:t>
      </w:r>
      <w:r>
        <w:rPr>
          <w:rFonts w:ascii="Simplified Arabic" w:cs="Simplified Arabic" w:hAnsi="Simplified Arabic"/>
          <w:color w:val="1F1F1F"/>
          <w:sz w:val="32"/>
          <w:szCs w:val="32"/>
          <w:rtl/>
        </w:rPr>
        <w:t>) يضمن عدم توقف التدفقات النقدية عند وقوع أزمات تشغيلية، مما يحمي هوامش الربح.</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7.3 إدارة المخاطر المالية والسيولة</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يعد هذا المحور صمام الأمان للاستدامة المالية:</w:t>
      </w:r>
    </w:p>
    <w:p>
      <w:pPr>
        <w:pStyle w:val="17"/>
        <w:numPr>
          <w:ilvl w:val="0"/>
          <w:numId w:val="4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مخاطر السوق:</w:t>
      </w:r>
      <w:r>
        <w:rPr>
          <w:rFonts w:ascii="Simplified Arabic" w:cs="Simplified Arabic" w:hAnsi="Simplified Arabic"/>
          <w:color w:val="1F1F1F"/>
          <w:sz w:val="32"/>
          <w:szCs w:val="32"/>
          <w:rtl/>
        </w:rPr>
        <w:t xml:space="preserve"> إدارة تقلبات أسعار الصرف والفائدة تحمي الشركة من التآكل المفاجئ في الأرباح.</w:t>
      </w:r>
    </w:p>
    <w:p>
      <w:pPr>
        <w:pStyle w:val="17"/>
        <w:numPr>
          <w:ilvl w:val="0"/>
          <w:numId w:val="4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مخاطر الائتمان:</w:t>
      </w:r>
      <w:r>
        <w:rPr>
          <w:rFonts w:ascii="Simplified Arabic" w:cs="Simplified Arabic" w:hAnsi="Simplified Arabic"/>
          <w:color w:val="1F1F1F"/>
          <w:sz w:val="32"/>
          <w:szCs w:val="32"/>
          <w:rtl/>
        </w:rPr>
        <w:t xml:space="preserve"> وضع سياسات صارمة لمنح الائتمان للعملاء يضمن تحصيل الذمم المدينة في مواعيدها، مما يحافظ على سيولة نقدية كافية.</w:t>
      </w:r>
    </w:p>
    <w:p>
      <w:pPr>
        <w:pStyle w:val="17"/>
        <w:numPr>
          <w:ilvl w:val="0"/>
          <w:numId w:val="46"/>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المركز المالي القوي:</w:t>
      </w:r>
      <w:r>
        <w:rPr>
          <w:rFonts w:ascii="Simplified Arabic" w:cs="Simplified Arabic" w:hAnsi="Simplified Arabic"/>
          <w:color w:val="1F1F1F"/>
          <w:sz w:val="32"/>
          <w:szCs w:val="32"/>
          <w:rtl/>
        </w:rPr>
        <w:t xml:space="preserve"> إدارة الديون والالتزامات تضمن بقاء التصنيف الائتماني للشركة مرتفعاً، مما يقلل من تكلفة الاقتراض مستقبلاً.</w:t>
      </w: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 xml:space="preserve">المحور الثامن: التحديات والمعوقات لتطبيق </w:t>
      </w:r>
      <w:r>
        <w:rPr>
          <w:rFonts w:ascii="Simplified Arabic" w:eastAsia="Times New Roman" w:cs="Simplified Arabic" w:hAnsi="Simplified Arabic"/>
          <w:color w:val="1F1F1F"/>
        </w:rPr>
        <w:t>ERM</w:t>
      </w:r>
      <w:r>
        <w:rPr>
          <w:rFonts w:ascii="Simplified Arabic" w:eastAsia="Times New Roman" w:cs="Simplified Arabic" w:hAnsi="Simplified Arabic"/>
          <w:color w:val="1F1F1F"/>
          <w:rtl/>
        </w:rPr>
        <w:t xml:space="preserve"> في الشركات السعودية</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8.1 تحديات ثقافية وبشرية</w:t>
      </w:r>
    </w:p>
    <w:p>
      <w:pPr>
        <w:pStyle w:val="17"/>
        <w:numPr>
          <w:ilvl w:val="0"/>
          <w:numId w:val="4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مقاومة التغيير:</w:t>
      </w:r>
      <w:r>
        <w:rPr>
          <w:rFonts w:ascii="Simplified Arabic" w:cs="Simplified Arabic" w:hAnsi="Simplified Arabic"/>
          <w:color w:val="1F1F1F"/>
          <w:sz w:val="32"/>
          <w:szCs w:val="32"/>
          <w:rtl/>
        </w:rPr>
        <w:t xml:space="preserve"> قد تنظر الإدارات التقليدية لإدارة المخاطر كعائق للسرعة أو "شرطي" إضافي يحد من صلاحياتها.</w:t>
      </w:r>
    </w:p>
    <w:p>
      <w:pPr>
        <w:pStyle w:val="17"/>
        <w:numPr>
          <w:ilvl w:val="0"/>
          <w:numId w:val="4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غياب ثقافة المخاطر:</w:t>
      </w:r>
      <w:r>
        <w:rPr>
          <w:rFonts w:ascii="Simplified Arabic" w:cs="Simplified Arabic" w:hAnsi="Simplified Arabic"/>
          <w:color w:val="1F1F1F"/>
          <w:sz w:val="32"/>
          <w:szCs w:val="32"/>
          <w:rtl/>
        </w:rPr>
        <w:t xml:space="preserve"> عدم إدراك الموظفين في المستويات الدنيا بأن إدارة المخاطر هي مسؤولية الجميع، وليست مسؤولية إدارة واحدة فقط.</w:t>
      </w:r>
    </w:p>
    <w:p>
      <w:pPr>
        <w:pStyle w:val="17"/>
        <w:numPr>
          <w:ilvl w:val="0"/>
          <w:numId w:val="47"/>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ندرة الكفاءات:</w:t>
      </w:r>
      <w:r>
        <w:rPr>
          <w:rFonts w:ascii="Simplified Arabic" w:cs="Simplified Arabic" w:hAnsi="Simplified Arabic"/>
          <w:color w:val="1F1F1F"/>
          <w:sz w:val="32"/>
          <w:szCs w:val="32"/>
          <w:rtl/>
        </w:rPr>
        <w:t xml:space="preserve"> يواجه السوق السعودي طلباً عالياً على متخصصي إدارة المخاطر المعتمدين (مثل حاملين شهادة </w:t>
      </w:r>
      <w:r>
        <w:rPr>
          <w:rFonts w:ascii="Simplified Arabic" w:cs="Simplified Arabic" w:hAnsi="Simplified Arabic"/>
          <w:color w:val="1F1F1F"/>
          <w:sz w:val="32"/>
          <w:szCs w:val="32"/>
        </w:rPr>
        <w:t>CRM</w:t>
      </w:r>
      <w:r>
        <w:rPr>
          <w:rFonts w:ascii="Simplified Arabic" w:cs="Simplified Arabic" w:hAnsi="Simplified Arabic"/>
          <w:color w:val="1F1F1F"/>
          <w:sz w:val="32"/>
          <w:szCs w:val="32"/>
          <w:rtl/>
        </w:rPr>
        <w:t xml:space="preserve"> أو </w:t>
      </w:r>
      <w:r>
        <w:rPr>
          <w:rFonts w:ascii="Simplified Arabic" w:cs="Simplified Arabic" w:hAnsi="Simplified Arabic"/>
          <w:color w:val="1F1F1F"/>
          <w:sz w:val="32"/>
          <w:szCs w:val="32"/>
        </w:rPr>
        <w:t>FRM</w:t>
      </w:r>
      <w:r>
        <w:rPr>
          <w:rFonts w:ascii="Simplified Arabic" w:cs="Simplified Arabic" w:hAnsi="Simplified Arabic"/>
          <w:color w:val="1F1F1F"/>
          <w:sz w:val="32"/>
          <w:szCs w:val="32"/>
          <w:rtl/>
        </w:rPr>
        <w:t>) مقابل عرض محدود حالياً.</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8.2 تحديات هيكلية وتنظيمية</w:t>
      </w:r>
    </w:p>
    <w:p>
      <w:pPr>
        <w:pStyle w:val="17"/>
        <w:numPr>
          <w:ilvl w:val="0"/>
          <w:numId w:val="48"/>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ضعف التكامل الاستراتيجي:</w:t>
      </w:r>
      <w:r>
        <w:rPr>
          <w:rFonts w:ascii="Simplified Arabic" w:cs="Simplified Arabic" w:hAnsi="Simplified Arabic"/>
          <w:color w:val="1F1F1F"/>
          <w:sz w:val="32"/>
          <w:szCs w:val="32"/>
          <w:rtl/>
        </w:rPr>
        <w:t xml:space="preserve"> في بعض الشركات، تُمارس إدارة المخاطر كنشاط ورقي للامتثال لمتطلبات هيئة السوق المالية فقط، دون دمج نتائجها في الخطة الاستراتيجية للشركة.</w:t>
      </w:r>
    </w:p>
    <w:p>
      <w:pPr>
        <w:pStyle w:val="17"/>
        <w:numPr>
          <w:ilvl w:val="0"/>
          <w:numId w:val="48"/>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تداخل الصلاحيات:</w:t>
      </w:r>
      <w:r>
        <w:rPr>
          <w:rFonts w:ascii="Simplified Arabic" w:cs="Simplified Arabic" w:hAnsi="Simplified Arabic"/>
          <w:color w:val="1F1F1F"/>
          <w:sz w:val="32"/>
          <w:szCs w:val="32"/>
          <w:rtl/>
        </w:rPr>
        <w:t xml:space="preserve"> أحياناً يحدث تداخل بين مهام إدارة المخاطر وإدارة المراجعة الداخلية أو إدارة الالتزام، مما يؤدي إلى تشتت الجهود.</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8.3 تحديات تقنية ومعلوماتية</w:t>
      </w:r>
    </w:p>
    <w:p>
      <w:pPr>
        <w:pStyle w:val="17"/>
        <w:numPr>
          <w:ilvl w:val="0"/>
          <w:numId w:val="49"/>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جودة البيانات:</w:t>
      </w:r>
      <w:r>
        <w:rPr>
          <w:rFonts w:ascii="Simplified Arabic" w:cs="Simplified Arabic" w:hAnsi="Simplified Arabic"/>
          <w:color w:val="1F1F1F"/>
          <w:sz w:val="32"/>
          <w:szCs w:val="32"/>
          <w:rtl/>
        </w:rPr>
        <w:t xml:space="preserve"> تعتمد إدارة المخاطر على بيانات تاريخية وتوقعية دقيقة؛ وغالباً ما تعاني الشركات من تشتت البيانات في أنظمة مختلفة (</w:t>
      </w:r>
      <w:r>
        <w:rPr>
          <w:rFonts w:ascii="Simplified Arabic" w:cs="Simplified Arabic" w:hAnsi="Simplified Arabic"/>
          <w:color w:val="1F1F1F"/>
          <w:sz w:val="32"/>
          <w:szCs w:val="32"/>
        </w:rPr>
        <w:t>Data Silos</w:t>
      </w:r>
      <w:r>
        <w:rPr>
          <w:rFonts w:ascii="Simplified Arabic" w:cs="Simplified Arabic" w:hAnsi="Simplified Arabic"/>
          <w:color w:val="1F1F1F"/>
          <w:sz w:val="32"/>
          <w:szCs w:val="32"/>
          <w:rtl/>
        </w:rPr>
        <w:t>).</w:t>
      </w:r>
    </w:p>
    <w:p>
      <w:pPr>
        <w:pStyle w:val="17"/>
        <w:numPr>
          <w:ilvl w:val="0"/>
          <w:numId w:val="49"/>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الحاجة لنظم متقدمة:</w:t>
      </w:r>
      <w:r>
        <w:rPr>
          <w:rFonts w:ascii="Simplified Arabic" w:cs="Simplified Arabic" w:hAnsi="Simplified Arabic"/>
          <w:color w:val="1F1F1F"/>
          <w:sz w:val="32"/>
          <w:szCs w:val="32"/>
          <w:rtl/>
        </w:rPr>
        <w:t xml:space="preserve"> غياب البرمجيات المتخصصة في نمذجة المخاطر (</w:t>
      </w:r>
      <w:r>
        <w:rPr>
          <w:rFonts w:ascii="Simplified Arabic" w:cs="Simplified Arabic" w:hAnsi="Simplified Arabic"/>
          <w:color w:val="1F1F1F"/>
          <w:sz w:val="32"/>
          <w:szCs w:val="32"/>
        </w:rPr>
        <w:t>Risk Modeling</w:t>
      </w:r>
      <w:r>
        <w:rPr>
          <w:rFonts w:ascii="Simplified Arabic" w:cs="Simplified Arabic" w:hAnsi="Simplified Arabic"/>
          <w:color w:val="1F1F1F"/>
          <w:sz w:val="32"/>
          <w:szCs w:val="32"/>
          <w:rtl/>
        </w:rPr>
        <w:t>) والاعتماد على جداول البيانات اليدوية (</w:t>
      </w:r>
      <w:r>
        <w:rPr>
          <w:rFonts w:ascii="Simplified Arabic" w:cs="Simplified Arabic" w:hAnsi="Simplified Arabic"/>
          <w:color w:val="1F1F1F"/>
          <w:sz w:val="32"/>
          <w:szCs w:val="32"/>
        </w:rPr>
        <w:t>Excel</w:t>
      </w:r>
      <w:r>
        <w:rPr>
          <w:rFonts w:ascii="Simplified Arabic" w:cs="Simplified Arabic" w:hAnsi="Simplified Arabic"/>
          <w:color w:val="1F1F1F"/>
          <w:sz w:val="32"/>
          <w:szCs w:val="32"/>
          <w:rtl/>
        </w:rPr>
        <w:t>)، مما يزيد من احتمالية الخطأ البشري ويؤخر اتخاذ القرار في الأزمات.</w:t>
      </w: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
        <w:bidi/>
        <w:spacing w:before="0" w:beforeAutospacing="0" w:after="120" w:afterAutospacing="0" w:line="360" w:lineRule="auto"/>
        <w:rPr>
          <w:rFonts w:ascii="Simplified Arabic" w:eastAsia="Times New Roman" w:cs="Simplified Arabic" w:hAnsi="Simplified Arabic"/>
          <w:color w:val="1F1F1F"/>
          <w:sz w:val="32"/>
          <w:szCs w:val="32"/>
        </w:rPr>
      </w:pP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التاسع: القياس الكمي لمتغيرات الدراسة</w:t>
      </w:r>
    </w:p>
    <w:p>
      <w:pPr>
        <w:pStyle w:val="17"/>
        <w:bidi/>
        <w:spacing w:before="0" w:beforeAutospacing="0" w:after="24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يعتبر هذا المحور حجر الزاوية في الدراسات التطبيقية، حيث يتم تحويل المفاهيم المجردة إلى أرقام قابلة للتحليل الإحصائي:</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9.1 قياس فاعلية إدارة المخاطر المؤسسية (</w:t>
      </w:r>
      <w:r>
        <w:rPr>
          <w:rFonts w:ascii="Simplified Arabic" w:eastAsia="Times New Roman" w:cs="Simplified Arabic" w:hAnsi="Simplified Arabic"/>
          <w:color w:val="1F1F1F"/>
          <w:sz w:val="32"/>
          <w:szCs w:val="32"/>
        </w:rPr>
        <w:t>ERM</w:t>
      </w:r>
      <w:r>
        <w:rPr>
          <w:rFonts w:ascii="Simplified Arabic" w:eastAsia="Times New Roman" w:cs="Simplified Arabic" w:hAnsi="Simplified Arabic"/>
          <w:color w:val="1F1F1F"/>
          <w:sz w:val="32"/>
          <w:szCs w:val="32"/>
          <w:rtl/>
        </w:rPr>
        <w:t>)</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 xml:space="preserve">بما أن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xml:space="preserve"> مفهوم واسع، يتم قياسه غالباً من خلال:</w:t>
      </w:r>
    </w:p>
    <w:p>
      <w:pPr>
        <w:pStyle w:val="17"/>
        <w:numPr>
          <w:ilvl w:val="0"/>
          <w:numId w:val="5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مقياس الاستبيان (</w:t>
      </w:r>
      <w:r>
        <w:rPr>
          <w:rStyle w:val="18"/>
          <w:rFonts w:ascii="Simplified Arabic" w:cs="Simplified Arabic" w:hAnsi="Simplified Arabic"/>
          <w:color w:val="1F1F1F"/>
          <w:sz w:val="32"/>
          <w:szCs w:val="32"/>
          <w:bdr w:val="none" w:sz="0" w:space="0" w:color="auto"/>
        </w:rPr>
        <w:t>Likert Scale</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تحويل البيانات النوعية (مثل مدى الالتزام بإطار </w:t>
      </w:r>
      <w:r>
        <w:rPr>
          <w:rFonts w:ascii="Simplified Arabic" w:cs="Simplified Arabic" w:hAnsi="Simplified Arabic"/>
          <w:color w:val="1F1F1F"/>
          <w:sz w:val="32"/>
          <w:szCs w:val="32"/>
        </w:rPr>
        <w:t>COSO</w:t>
      </w:r>
      <w:r>
        <w:rPr>
          <w:rFonts w:ascii="Simplified Arabic" w:cs="Simplified Arabic" w:hAnsi="Simplified Arabic"/>
          <w:color w:val="1F1F1F"/>
          <w:sz w:val="32"/>
          <w:szCs w:val="32"/>
          <w:rtl/>
        </w:rPr>
        <w:t>) إلى قيم عددية (من 1 إلى 5). يتم قياس أبعاد مثل: دعم الإدارة العليا، وجود مدير مخاطر (</w:t>
      </w:r>
      <w:r>
        <w:rPr>
          <w:rFonts w:ascii="Simplified Arabic" w:cs="Simplified Arabic" w:hAnsi="Simplified Arabic"/>
          <w:color w:val="1F1F1F"/>
          <w:sz w:val="32"/>
          <w:szCs w:val="32"/>
        </w:rPr>
        <w:t>CRO</w:t>
      </w:r>
      <w:r>
        <w:rPr>
          <w:rFonts w:ascii="Simplified Arabic" w:cs="Simplified Arabic" w:hAnsi="Simplified Arabic"/>
          <w:color w:val="1F1F1F"/>
          <w:sz w:val="32"/>
          <w:szCs w:val="32"/>
          <w:rtl/>
        </w:rPr>
        <w:t>)، وتكرار تقارير المخاطر.</w:t>
      </w:r>
    </w:p>
    <w:p>
      <w:pPr>
        <w:pStyle w:val="17"/>
        <w:numPr>
          <w:ilvl w:val="0"/>
          <w:numId w:val="50"/>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مؤشر النضج (</w:t>
      </w:r>
      <w:r>
        <w:rPr>
          <w:rStyle w:val="18"/>
          <w:rFonts w:ascii="Simplified Arabic" w:cs="Simplified Arabic" w:hAnsi="Simplified Arabic"/>
          <w:color w:val="1F1F1F"/>
          <w:sz w:val="32"/>
          <w:szCs w:val="32"/>
          <w:bdr w:val="none" w:sz="0" w:space="0" w:color="auto"/>
        </w:rPr>
        <w:t>Maturity Index</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استخدام نماذج نضج إدارة المخاطر (مثل </w:t>
      </w:r>
      <w:r>
        <w:rPr>
          <w:rFonts w:ascii="Simplified Arabic" w:cs="Simplified Arabic" w:hAnsi="Simplified Arabic"/>
          <w:color w:val="1F1F1F"/>
          <w:sz w:val="32"/>
          <w:szCs w:val="32"/>
        </w:rPr>
        <w:t>RIMS Risk Maturity Model</w:t>
      </w:r>
      <w:r>
        <w:rPr>
          <w:rFonts w:ascii="Simplified Arabic" w:cs="Simplified Arabic" w:hAnsi="Simplified Arabic"/>
          <w:color w:val="1F1F1F"/>
          <w:sz w:val="32"/>
          <w:szCs w:val="32"/>
          <w:rtl/>
        </w:rPr>
        <w:t>) لتصنيف الشركات في مستويات كمية (من 1: مبتدئ إلى 5: ريادي).</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9.2 قياس جودة حوكمة الشركات (</w:t>
      </w:r>
      <w:r>
        <w:rPr>
          <w:rFonts w:ascii="Simplified Arabic" w:eastAsia="Times New Roman" w:cs="Simplified Arabic" w:hAnsi="Simplified Arabic"/>
          <w:color w:val="1F1F1F"/>
          <w:sz w:val="32"/>
          <w:szCs w:val="32"/>
        </w:rPr>
        <w:t>Corporate Governance Quality</w:t>
      </w:r>
      <w:r>
        <w:rPr>
          <w:rFonts w:ascii="Simplified Arabic" w:eastAsia="Times New Roman" w:cs="Simplified Arabic" w:hAnsi="Simplified Arabic"/>
          <w:color w:val="1F1F1F"/>
          <w:sz w:val="32"/>
          <w:szCs w:val="32"/>
          <w:rtl/>
        </w:rPr>
        <w:t>)</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يتم بناء مؤشر تركيبي (</w:t>
      </w:r>
      <w:r>
        <w:rPr>
          <w:rFonts w:ascii="Simplified Arabic" w:cs="Simplified Arabic" w:hAnsi="Simplified Arabic"/>
          <w:color w:val="1F1F1F"/>
          <w:sz w:val="32"/>
          <w:szCs w:val="32"/>
        </w:rPr>
        <w:t>Composite Index</w:t>
      </w:r>
      <w:r>
        <w:rPr>
          <w:rFonts w:ascii="Simplified Arabic" w:cs="Simplified Arabic" w:hAnsi="Simplified Arabic"/>
          <w:color w:val="1F1F1F"/>
          <w:sz w:val="32"/>
          <w:szCs w:val="32"/>
          <w:rtl/>
        </w:rPr>
        <w:t>) يجمع عدة متغيرات فرعية:</w:t>
      </w:r>
    </w:p>
    <w:p>
      <w:pPr>
        <w:pStyle w:val="17"/>
        <w:numPr>
          <w:ilvl w:val="0"/>
          <w:numId w:val="5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استقلالية المجلس:</w:t>
      </w:r>
      <w:r>
        <w:rPr>
          <w:rFonts w:ascii="Simplified Arabic" w:cs="Simplified Arabic" w:hAnsi="Simplified Arabic"/>
          <w:color w:val="1F1F1F"/>
          <w:sz w:val="32"/>
          <w:szCs w:val="32"/>
          <w:rtl/>
        </w:rPr>
        <w:t xml:space="preserve"> نسبة الأعضاء المستقلين إلى إجمالي عدد الأعضاء.</w:t>
      </w:r>
    </w:p>
    <w:p>
      <w:pPr>
        <w:pStyle w:val="17"/>
        <w:numPr>
          <w:ilvl w:val="0"/>
          <w:numId w:val="5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نشاط المجلس:</w:t>
      </w:r>
      <w:r>
        <w:rPr>
          <w:rFonts w:ascii="Simplified Arabic" w:cs="Simplified Arabic" w:hAnsi="Simplified Arabic"/>
          <w:color w:val="1F1F1F"/>
          <w:sz w:val="32"/>
          <w:szCs w:val="32"/>
          <w:rtl/>
        </w:rPr>
        <w:t xml:space="preserve"> عدد الاجتماعات السنوية المنعقدة.</w:t>
      </w:r>
    </w:p>
    <w:p>
      <w:pPr>
        <w:pStyle w:val="17"/>
        <w:numPr>
          <w:ilvl w:val="0"/>
          <w:numId w:val="5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هيكل الملكية:</w:t>
      </w:r>
      <w:r>
        <w:rPr>
          <w:rFonts w:ascii="Simplified Arabic" w:cs="Simplified Arabic" w:hAnsi="Simplified Arabic"/>
          <w:color w:val="1F1F1F"/>
          <w:sz w:val="32"/>
          <w:szCs w:val="32"/>
          <w:rtl/>
        </w:rPr>
        <w:t xml:space="preserve"> نسبة ملكية كبار المساهمين أو الملكية المؤسسية.</w:t>
      </w:r>
    </w:p>
    <w:p>
      <w:pPr>
        <w:pStyle w:val="17"/>
        <w:numPr>
          <w:ilvl w:val="0"/>
          <w:numId w:val="51"/>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الازدواجية:</w:t>
      </w:r>
      <w:r>
        <w:rPr>
          <w:rFonts w:ascii="Simplified Arabic" w:cs="Simplified Arabic" w:hAnsi="Simplified Arabic"/>
          <w:color w:val="1F1F1F"/>
          <w:sz w:val="32"/>
          <w:szCs w:val="32"/>
          <w:rtl/>
        </w:rPr>
        <w:t xml:space="preserve"> (</w:t>
      </w:r>
      <w:r>
        <w:rPr>
          <w:rFonts w:ascii="Simplified Arabic" w:cs="Simplified Arabic" w:hAnsi="Simplified Arabic"/>
          <w:color w:val="1F1F1F"/>
          <w:sz w:val="32"/>
          <w:szCs w:val="32"/>
        </w:rPr>
        <w:t>Dummy Variable</w:t>
      </w:r>
      <w:r>
        <w:rPr>
          <w:rFonts w:ascii="Simplified Arabic" w:cs="Simplified Arabic" w:hAnsi="Simplified Arabic"/>
          <w:color w:val="1F1F1F"/>
          <w:sz w:val="32"/>
          <w:szCs w:val="32"/>
          <w:rtl/>
        </w:rPr>
        <w:t>) تأخذ قيمة (1) إذا كان رئيس المجلس هو نفسه المدير التنفيذي و(0) في حال الانفصال.</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9.3 قياس الاستدامة المالية (</w:t>
      </w:r>
      <w:r>
        <w:rPr>
          <w:rFonts w:ascii="Simplified Arabic" w:eastAsia="Times New Roman" w:cs="Simplified Arabic" w:hAnsi="Simplified Arabic"/>
          <w:color w:val="1F1F1F"/>
          <w:sz w:val="32"/>
          <w:szCs w:val="32"/>
        </w:rPr>
        <w:t>Financial Sustainability</w:t>
      </w:r>
      <w:r>
        <w:rPr>
          <w:rFonts w:ascii="Simplified Arabic" w:eastAsia="Times New Roman" w:cs="Simplified Arabic" w:hAnsi="Simplified Arabic"/>
          <w:color w:val="1F1F1F"/>
          <w:sz w:val="32"/>
          <w:szCs w:val="32"/>
          <w:rtl/>
        </w:rPr>
        <w:t>)</w:t>
      </w:r>
    </w:p>
    <w:p>
      <w:pPr>
        <w:pStyle w:val="17"/>
        <w:bidi/>
        <w:spacing w:before="0" w:beforeAutospacing="0" w:after="120" w:afterAutospacing="0" w:line="360" w:lineRule="auto"/>
        <w:rPr>
          <w:rFonts w:ascii="Simplified Arabic" w:cs="Simplified Arabic" w:hAnsi="Simplified Arabic"/>
          <w:color w:val="1F1F1F"/>
          <w:sz w:val="32"/>
          <w:szCs w:val="32"/>
          <w:rtl/>
        </w:rPr>
      </w:pPr>
      <w:r>
        <w:rPr>
          <w:rFonts w:ascii="Simplified Arabic" w:cs="Simplified Arabic" w:hAnsi="Simplified Arabic"/>
          <w:color w:val="1F1F1F"/>
          <w:sz w:val="32"/>
          <w:szCs w:val="32"/>
          <w:rtl/>
        </w:rPr>
        <w:t>يتم التركيز على النسب التي تعكس قدرة الشركة على البقاء:</w:t>
      </w:r>
    </w:p>
    <w:p>
      <w:pPr>
        <w:pStyle w:val="17"/>
        <w:numPr>
          <w:ilvl w:val="0"/>
          <w:numId w:val="5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معدل العائد على الأصول (</w:t>
      </w:r>
      <w:r>
        <w:rPr>
          <w:rStyle w:val="18"/>
          <w:rFonts w:ascii="Simplified Arabic" w:cs="Simplified Arabic" w:hAnsi="Simplified Arabic"/>
          <w:color w:val="1F1F1F"/>
          <w:sz w:val="32"/>
          <w:szCs w:val="32"/>
          <w:bdr w:val="none" w:sz="0" w:space="0" w:color="auto"/>
        </w:rPr>
        <w:t>ROA</w:t>
      </w:r>
      <w:r>
        <w:rPr>
          <w:rStyle w:val="18"/>
          <w:rFonts w:ascii="Simplified Arabic" w:cs="Simplified Arabic" w:hAnsi="Simplified Arabic"/>
          <w:color w:val="1F1F1F"/>
          <w:sz w:val="32"/>
          <w:szCs w:val="32"/>
          <w:bdr w:val="none" w:sz="0" w:space="0" w:color="auto"/>
          <w:rtl/>
        </w:rPr>
        <w:t>) والعائد على حقوق الملكية (</w:t>
      </w:r>
      <w:r>
        <w:rPr>
          <w:rStyle w:val="18"/>
          <w:rFonts w:ascii="Simplified Arabic" w:cs="Simplified Arabic" w:hAnsi="Simplified Arabic"/>
          <w:color w:val="1F1F1F"/>
          <w:sz w:val="32"/>
          <w:szCs w:val="32"/>
          <w:bdr w:val="none" w:sz="0" w:space="0" w:color="auto"/>
        </w:rPr>
        <w:t>ROE</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لقياس كفاءة الربحية.</w:t>
      </w:r>
    </w:p>
    <w:p>
      <w:pPr>
        <w:pStyle w:val="17"/>
        <w:numPr>
          <w:ilvl w:val="0"/>
          <w:numId w:val="5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نسبة الدين إلى حقوق الملكية (</w:t>
      </w:r>
      <w:r>
        <w:rPr>
          <w:rStyle w:val="18"/>
          <w:rFonts w:ascii="Simplified Arabic" w:cs="Simplified Arabic" w:hAnsi="Simplified Arabic"/>
          <w:color w:val="1F1F1F"/>
          <w:sz w:val="32"/>
          <w:szCs w:val="32"/>
          <w:bdr w:val="none" w:sz="0" w:space="0" w:color="auto"/>
        </w:rPr>
        <w:t>D/E</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لقياس الملاءة المالية والمخاطر التمويلية.</w:t>
      </w:r>
    </w:p>
    <w:p>
      <w:pPr>
        <w:pStyle w:val="17"/>
        <w:numPr>
          <w:ilvl w:val="0"/>
          <w:numId w:val="5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نموذج "ألتمان" (</w:t>
      </w:r>
      <w:r>
        <w:rPr>
          <w:rStyle w:val="18"/>
          <w:rFonts w:ascii="Simplified Arabic" w:cs="Simplified Arabic" w:hAnsi="Simplified Arabic"/>
          <w:color w:val="1F1F1F"/>
          <w:sz w:val="32"/>
          <w:szCs w:val="32"/>
          <w:bdr w:val="none" w:sz="0" w:space="0" w:color="auto"/>
        </w:rPr>
        <w:t>Altman Z-Score</w:t>
      </w:r>
      <w:r>
        <w:rPr>
          <w:rStyle w:val="18"/>
          <w:rFonts w:ascii="Simplified Arabic" w:cs="Simplified Arabic" w:hAnsi="Simplified Arabic"/>
          <w:color w:val="1F1F1F"/>
          <w:sz w:val="32"/>
          <w:szCs w:val="32"/>
          <w:bdr w:val="none" w:sz="0" w:space="0" w:color="auto"/>
          <w:rtl/>
        </w:rPr>
        <w:t>):</w:t>
      </w:r>
      <w:r>
        <w:rPr>
          <w:rFonts w:ascii="Simplified Arabic" w:cs="Simplified Arabic" w:hAnsi="Simplified Arabic"/>
          <w:color w:val="1F1F1F"/>
          <w:sz w:val="32"/>
          <w:szCs w:val="32"/>
          <w:rtl/>
        </w:rPr>
        <w:t xml:space="preserve"> للتنبؤ بالتعثر المالي واستمرارية الشركة.</w:t>
      </w:r>
    </w:p>
    <w:p>
      <w:pPr>
        <w:pStyle w:val="17"/>
        <w:numPr>
          <w:ilvl w:val="0"/>
          <w:numId w:val="52"/>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التدفقات النقدية التشغيلية:</w:t>
      </w:r>
      <w:r>
        <w:rPr>
          <w:rFonts w:ascii="Simplified Arabic" w:cs="Simplified Arabic" w:hAnsi="Simplified Arabic"/>
          <w:color w:val="1F1F1F"/>
          <w:sz w:val="32"/>
          <w:szCs w:val="32"/>
          <w:rtl/>
        </w:rPr>
        <w:t xml:space="preserve"> لقياس جودة الأرباح المحققة.</w:t>
      </w:r>
    </w:p>
    <w:p>
      <w:pPr>
        <w:pStyle w:val="2"/>
        <w:spacing w:before="0" w:after="120" w:line="360" w:lineRule="auto"/>
        <w:rPr>
          <w:rFonts w:ascii="Simplified Arabic" w:eastAsia="Times New Roman" w:cs="Simplified Arabic" w:hAnsi="Simplified Arabic"/>
          <w:color w:val="1F1F1F"/>
          <w:rtl/>
        </w:rPr>
      </w:pPr>
      <w:r>
        <w:rPr>
          <w:rFonts w:ascii="Simplified Arabic" w:eastAsia="Times New Roman" w:cs="Simplified Arabic" w:hAnsi="Simplified Arabic"/>
          <w:color w:val="1F1F1F"/>
          <w:rtl/>
        </w:rPr>
        <w:t>المحور العاشر: الدراسات السابقة (</w:t>
      </w:r>
      <w:r>
        <w:rPr>
          <w:rFonts w:ascii="Simplified Arabic" w:eastAsia="Times New Roman" w:cs="Simplified Arabic" w:hAnsi="Simplified Arabic"/>
          <w:color w:val="1F1F1F"/>
        </w:rPr>
        <w:t>Previous Studies</w:t>
      </w:r>
      <w:r>
        <w:rPr>
          <w:rFonts w:ascii="Simplified Arabic" w:eastAsia="Times New Roman" w:cs="Simplified Arabic" w:hAnsi="Simplified Arabic"/>
          <w:color w:val="1F1F1F"/>
          <w:rtl/>
        </w:rPr>
        <w:t>)</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 xml:space="preserve">10.1 العلاقة بين </w:t>
      </w:r>
      <w:r>
        <w:rPr>
          <w:rFonts w:ascii="Simplified Arabic" w:eastAsia="Times New Roman" w:cs="Simplified Arabic" w:hAnsi="Simplified Arabic"/>
          <w:color w:val="1F1F1F"/>
          <w:sz w:val="32"/>
          <w:szCs w:val="32"/>
        </w:rPr>
        <w:t>ERM</w:t>
      </w:r>
      <w:r>
        <w:rPr>
          <w:rFonts w:ascii="Simplified Arabic" w:eastAsia="Times New Roman" w:cs="Simplified Arabic" w:hAnsi="Simplified Arabic"/>
          <w:color w:val="1F1F1F"/>
          <w:sz w:val="32"/>
          <w:szCs w:val="32"/>
          <w:rtl/>
        </w:rPr>
        <w:t xml:space="preserve"> وحوكمة الشركات</w:t>
      </w:r>
    </w:p>
    <w:p>
      <w:pPr>
        <w:pStyle w:val="17"/>
        <w:numPr>
          <w:ilvl w:val="0"/>
          <w:numId w:val="53"/>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الدراسات العالمية:</w:t>
      </w:r>
      <w:r>
        <w:rPr>
          <w:rFonts w:ascii="Simplified Arabic" w:cs="Simplified Arabic" w:hAnsi="Simplified Arabic"/>
          <w:color w:val="1F1F1F"/>
          <w:sz w:val="32"/>
          <w:szCs w:val="32"/>
          <w:rtl/>
        </w:rPr>
        <w:t xml:space="preserve"> أشارت دراسات (مثل </w:t>
      </w:r>
      <w:r>
        <w:rPr>
          <w:rFonts w:ascii="Simplified Arabic" w:cs="Simplified Arabic" w:hAnsi="Simplified Arabic"/>
          <w:color w:val="1F1F1F"/>
          <w:sz w:val="32"/>
          <w:szCs w:val="32"/>
        </w:rPr>
        <w:t>Beasley et al., 2005</w:t>
      </w:r>
      <w:r>
        <w:rPr>
          <w:rFonts w:ascii="Simplified Arabic" w:cs="Simplified Arabic" w:hAnsi="Simplified Arabic"/>
          <w:color w:val="1F1F1F"/>
          <w:sz w:val="32"/>
          <w:szCs w:val="32"/>
          <w:rtl/>
        </w:rPr>
        <w:t xml:space="preserve">) إلى أن وجود أعضاء مستقلين ولجان مراجعة قوية يرتبط بشكل طردي مع اعتماد أنظمة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xml:space="preserve"> متقدمة.</w:t>
      </w:r>
    </w:p>
    <w:p>
      <w:pPr>
        <w:pStyle w:val="17"/>
        <w:numPr>
          <w:ilvl w:val="0"/>
          <w:numId w:val="53"/>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الدراسات المحلية:</w:t>
      </w:r>
      <w:r>
        <w:rPr>
          <w:rFonts w:ascii="Simplified Arabic" w:cs="Simplified Arabic" w:hAnsi="Simplified Arabic"/>
          <w:color w:val="1F1F1F"/>
          <w:sz w:val="32"/>
          <w:szCs w:val="32"/>
          <w:rtl/>
        </w:rPr>
        <w:t xml:space="preserve"> أكدت الأبحاث في السعودية أن الشركات ذات الحوكمة القوية كانت أسرع في الامتثال للوائح هيئة السوق المالية المتعلقة بإدارة المخاطر.</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 xml:space="preserve">10.2 العلاقة بين </w:t>
      </w:r>
      <w:r>
        <w:rPr>
          <w:rFonts w:ascii="Simplified Arabic" w:eastAsia="Times New Roman" w:cs="Simplified Arabic" w:hAnsi="Simplified Arabic"/>
          <w:color w:val="1F1F1F"/>
          <w:sz w:val="32"/>
          <w:szCs w:val="32"/>
        </w:rPr>
        <w:t>ERM</w:t>
      </w:r>
      <w:r>
        <w:rPr>
          <w:rFonts w:ascii="Simplified Arabic" w:eastAsia="Times New Roman" w:cs="Simplified Arabic" w:hAnsi="Simplified Arabic"/>
          <w:color w:val="1F1F1F"/>
          <w:sz w:val="32"/>
          <w:szCs w:val="32"/>
          <w:rtl/>
        </w:rPr>
        <w:t xml:space="preserve"> والأداء المالي والاستدامة</w:t>
      </w:r>
    </w:p>
    <w:p>
      <w:pPr>
        <w:pStyle w:val="17"/>
        <w:numPr>
          <w:ilvl w:val="0"/>
          <w:numId w:val="5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النتائج الإيجابية:</w:t>
      </w:r>
      <w:r>
        <w:rPr>
          <w:rFonts w:ascii="Simplified Arabic" w:cs="Simplified Arabic" w:hAnsi="Simplified Arabic"/>
          <w:color w:val="1F1F1F"/>
          <w:sz w:val="32"/>
          <w:szCs w:val="32"/>
          <w:rtl/>
        </w:rPr>
        <w:t xml:space="preserve"> توصلت دراسات (مثل </w:t>
      </w:r>
      <w:r>
        <w:rPr>
          <w:rFonts w:ascii="Simplified Arabic" w:cs="Simplified Arabic" w:hAnsi="Simplified Arabic"/>
          <w:color w:val="1F1F1F"/>
          <w:sz w:val="32"/>
          <w:szCs w:val="32"/>
        </w:rPr>
        <w:t>Hoyt</w:t>
      </w:r>
      <w:r>
        <w:rPr>
          <w:rFonts w:ascii="Simplified Arabic" w:cs="Simplified Arabic" w:hAnsi="Simplified Arabic"/>
          <w:color w:val="1F1F1F"/>
          <w:sz w:val="32"/>
          <w:szCs w:val="32"/>
          <w:rtl/>
        </w:rPr>
        <w:t xml:space="preserve"> &amp; </w:t>
      </w:r>
      <w:r>
        <w:rPr>
          <w:rFonts w:ascii="Simplified Arabic" w:cs="Simplified Arabic" w:hAnsi="Simplified Arabic"/>
          <w:color w:val="1F1F1F"/>
          <w:sz w:val="32"/>
          <w:szCs w:val="32"/>
        </w:rPr>
        <w:t>Liebenberg, 2011</w:t>
      </w:r>
      <w:r>
        <w:rPr>
          <w:rFonts w:ascii="Simplified Arabic" w:cs="Simplified Arabic" w:hAnsi="Simplified Arabic"/>
          <w:color w:val="1F1F1F"/>
          <w:sz w:val="32"/>
          <w:szCs w:val="32"/>
          <w:rtl/>
        </w:rPr>
        <w:t>) إلى وجود "علاوة قيمة" (</w:t>
      </w:r>
      <w:r>
        <w:rPr>
          <w:rFonts w:ascii="Simplified Arabic" w:cs="Simplified Arabic" w:hAnsi="Simplified Arabic"/>
          <w:color w:val="1F1F1F"/>
          <w:sz w:val="32"/>
          <w:szCs w:val="32"/>
        </w:rPr>
        <w:t>Value Premium</w:t>
      </w:r>
      <w:r>
        <w:rPr>
          <w:rFonts w:ascii="Simplified Arabic" w:cs="Simplified Arabic" w:hAnsi="Simplified Arabic"/>
          <w:color w:val="1F1F1F"/>
          <w:sz w:val="32"/>
          <w:szCs w:val="32"/>
          <w:rtl/>
        </w:rPr>
        <w:t xml:space="preserve">) للشركات التي تطبق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حيث ترتفع قيمة هذه الشركات بنسبة تصل إلى 20% مقارنة بغيرها.</w:t>
      </w:r>
    </w:p>
    <w:p>
      <w:pPr>
        <w:pStyle w:val="17"/>
        <w:numPr>
          <w:ilvl w:val="0"/>
          <w:numId w:val="54"/>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أداء وقت الأزمات:</w:t>
      </w:r>
      <w:r>
        <w:rPr>
          <w:rFonts w:ascii="Simplified Arabic" w:cs="Simplified Arabic" w:hAnsi="Simplified Arabic"/>
          <w:color w:val="1F1F1F"/>
          <w:sz w:val="32"/>
          <w:szCs w:val="32"/>
          <w:rtl/>
        </w:rPr>
        <w:t xml:space="preserve"> أظهرت الدراسات التي تناولت أزمة 2008 وجائحة كورونا أن الشركات ذات أنظمة المخاطر المتكاملة كانت أكثر استدامة وأقل تذبذباً في عوائد أسهمها.</w:t>
      </w:r>
    </w:p>
    <w:p>
      <w:pPr>
        <w:pStyle w:val="3"/>
        <w:spacing w:before="0" w:after="120" w:line="360" w:lineRule="auto"/>
        <w:rPr>
          <w:rFonts w:ascii="Simplified Arabic" w:eastAsia="Times New Roman" w:cs="Simplified Arabic" w:hAnsi="Simplified Arabic"/>
          <w:color w:val="1F1F1F"/>
          <w:sz w:val="32"/>
          <w:szCs w:val="32"/>
          <w:rtl/>
        </w:rPr>
      </w:pPr>
      <w:r>
        <w:rPr>
          <w:rFonts w:ascii="Simplified Arabic" w:eastAsia="Times New Roman" w:cs="Simplified Arabic" w:hAnsi="Simplified Arabic"/>
          <w:color w:val="1F1F1F"/>
          <w:sz w:val="32"/>
          <w:szCs w:val="32"/>
          <w:rtl/>
        </w:rPr>
        <w:t>10.3 دراسات تناولت البيئة السعودية (تحديد الفجوة المعرفية)</w:t>
      </w:r>
    </w:p>
    <w:p>
      <w:pPr>
        <w:pStyle w:val="17"/>
        <w:numPr>
          <w:ilvl w:val="0"/>
          <w:numId w:val="55"/>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التركيز الحالي:</w:t>
      </w:r>
      <w:r>
        <w:rPr>
          <w:rFonts w:ascii="Simplified Arabic" w:cs="Simplified Arabic" w:hAnsi="Simplified Arabic"/>
          <w:color w:val="1F1F1F"/>
          <w:sz w:val="32"/>
          <w:szCs w:val="32"/>
          <w:rtl/>
        </w:rPr>
        <w:t xml:space="preserve"> معظم الدراسات السعودية ركزت على "القطاع المصرفي" نظراً لصرامة متطلبات (بازل).</w:t>
      </w:r>
    </w:p>
    <w:p>
      <w:pPr>
        <w:pStyle w:val="17"/>
        <w:numPr>
          <w:ilvl w:val="0"/>
          <w:numId w:val="55"/>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الفجوة المعرفية:</w:t>
      </w:r>
      <w:r>
        <w:rPr>
          <w:rFonts w:ascii="Simplified Arabic" w:cs="Simplified Arabic" w:hAnsi="Simplified Arabic"/>
          <w:color w:val="1F1F1F"/>
          <w:sz w:val="32"/>
          <w:szCs w:val="32"/>
          <w:rtl/>
        </w:rPr>
        <w:t xml:space="preserve"> هناك نقص في الدراسات التي تربط بين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xml:space="preserve"> والاستدامة المالية في "القطاعات غير المالية" (مثل الصناعة، التجزئة، الطاقة) في ظل رؤية 2030.</w:t>
      </w:r>
    </w:p>
    <w:p>
      <w:pPr>
        <w:pStyle w:val="17"/>
        <w:numPr>
          <w:ilvl w:val="0"/>
          <w:numId w:val="55"/>
        </w:numPr>
        <w:bidi/>
        <w:spacing w:before="0" w:beforeAutospacing="0" w:after="0" w:afterAutospacing="0" w:line="360" w:lineRule="auto"/>
        <w:rPr>
          <w:rFonts w:ascii="Simplified Arabic" w:cs="Simplified Arabic" w:hAnsi="Simplified Arabic"/>
          <w:color w:val="1F1F1F"/>
          <w:sz w:val="32"/>
          <w:szCs w:val="32"/>
          <w:rtl/>
        </w:rPr>
      </w:pPr>
      <w:r>
        <w:rPr>
          <w:rStyle w:val="18"/>
          <w:rFonts w:ascii="Simplified Arabic" w:cs="Simplified Arabic" w:hAnsi="Simplified Arabic"/>
          <w:color w:val="1F1F1F"/>
          <w:sz w:val="32"/>
          <w:szCs w:val="32"/>
          <w:bdr w:val="none" w:sz="0" w:space="0" w:color="auto"/>
          <w:rtl/>
        </w:rPr>
        <w:t>الإضافة المتوقعة:</w:t>
      </w:r>
      <w:r>
        <w:rPr>
          <w:rFonts w:ascii="Simplified Arabic" w:cs="Simplified Arabic" w:hAnsi="Simplified Arabic"/>
          <w:color w:val="1F1F1F"/>
          <w:sz w:val="32"/>
          <w:szCs w:val="32"/>
          <w:rtl/>
        </w:rPr>
        <w:t xml:space="preserve"> يهدف البحث الحالي إلى سد هذه الفجوة عبر تقديم نموذج متكامل يربط (الحوكمة -&gt; المخاطر -&gt; الاستدامة) في بيئة السوق السعودي الناشئ.</w:t>
      </w: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r>
        <w:rPr>
          <w:rFonts w:ascii="Simplified Arabic" w:cs="Simplified Arabic" w:hAnsi="Simplified Arabic"/>
          <w:color w:val="1B1C1D"/>
          <w:sz w:val="32"/>
          <w:szCs w:val="32"/>
          <w:rtl/>
        </w:rPr>
        <w:t xml:space="preserve">الخاتمة </w:t>
      </w:r>
    </w:p>
    <w:p>
      <w:pPr>
        <w:pStyle w:val="17"/>
        <w:bidi/>
        <w:spacing w:before="0" w:beforeAutospacing="0" w:after="240" w:afterAutospacing="0" w:line="360" w:lineRule="auto"/>
        <w:rPr>
          <w:rFonts w:ascii="Simplified Arabic" w:cs="Simplified Arabic" w:hAnsi="Simplified Arabic"/>
          <w:color w:val="1F1F1F"/>
          <w:sz w:val="32"/>
          <w:szCs w:val="32"/>
        </w:rPr>
      </w:pPr>
      <w:r>
        <w:rPr>
          <w:rFonts w:ascii="Simplified Arabic" w:cs="Simplified Arabic" w:hAnsi="Simplified Arabic"/>
          <w:color w:val="1F1F1F"/>
          <w:sz w:val="32"/>
          <w:szCs w:val="32"/>
          <w:rtl/>
        </w:rPr>
        <w:t>ختاماً، يتضح أن التكامل بين إدارة المخاطر المؤسسية (</w:t>
      </w:r>
      <w:r>
        <w:rPr>
          <w:rFonts w:ascii="Simplified Arabic" w:cs="Simplified Arabic" w:hAnsi="Simplified Arabic"/>
          <w:color w:val="1F1F1F"/>
          <w:sz w:val="32"/>
          <w:szCs w:val="32"/>
        </w:rPr>
        <w:t>ERM</w:t>
      </w:r>
      <w:r>
        <w:rPr>
          <w:rFonts w:ascii="Simplified Arabic" w:cs="Simplified Arabic" w:hAnsi="Simplified Arabic"/>
          <w:color w:val="1F1F1F"/>
          <w:sz w:val="32"/>
          <w:szCs w:val="32"/>
          <w:rtl/>
        </w:rPr>
        <w:t>) وحوكمة الشركات يمثل الركيزة الأساسية لضمان الاستدامة المالية والنمو المتوازن للشركات المساهمة في ظل بيئة اقتصادية تتسم بالتقلبات المتسارعة، حيث لم تعد إدارة المخاطر مجرد وظيفة رقابية، بل تحولت إلى ضرورة استراتيجية تساهم في تحسين جودة الإفصاح المالي وتعزيز ثقة المستثمرين، وهو ما يتماشى مع التوجهات الطموحة لرؤية المملكة 2030 الساعية لترسيخ مبادئ الشفافية والمساءلة والتميز المؤسسي لرفع تنافسية الاقتصاد السعودي عالمياً.</w:t>
      </w:r>
    </w:p>
    <w:p>
      <w:pPr>
        <w:pStyle w:val="17"/>
        <w:bidi/>
        <w:spacing w:before="0" w:beforeAutospacing="0" w:after="0" w:afterAutospacing="0" w:line="360" w:lineRule="auto"/>
        <w:rPr>
          <w:rFonts w:ascii="Simplified Arabic" w:cs="Simplified Arabic" w:hAnsi="Simplified Arabic"/>
          <w:color w:val="1B1C1D"/>
          <w:sz w:val="32"/>
          <w:szCs w:val="32"/>
          <w:rtl/>
        </w:rPr>
      </w:pPr>
    </w:p>
    <w:p>
      <w:pPr>
        <w:pStyle w:val="17"/>
        <w:bidi/>
        <w:spacing w:before="0" w:beforeAutospacing="0" w:after="0" w:afterAutospacing="0" w:line="360" w:lineRule="auto"/>
        <w:rPr>
          <w:rFonts w:ascii="Simplified Arabic" w:cs="Simplified Arabic" w:hAnsi="Simplified Arabic"/>
          <w:color w:val="1B1C1D"/>
          <w:sz w:val="32"/>
          <w:szCs w:val="32"/>
          <w:rtl/>
        </w:rPr>
      </w:pPr>
    </w:p>
    <w:sectPr>
      <w:footerReference w:type="default" r:id="rId2"/>
      <w:footerReference w:type="even" r:id="rId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Simplified Arabic">
    <w:panose1 w:val="02020603050405020304"/>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等线">
    <w:panose1 w:val="00000000000000000000"/>
    <w:charset w:val="00"/>
    <w:family w:val="auto"/>
    <w:pitch w:val="variable"/>
    <w:sig w:usb0="00000000" w:usb1="00000000" w:usb2="00000000" w:usb3="00000000" w:csb0="00000000" w:csb1="00000000"/>
  </w:font>
  <w:font w:name="Aptos Display">
    <w:panose1 w:val="020B0004020202020204"/>
    <w:charset w:val="00"/>
    <w:family w:val="swiss"/>
    <w:pitch w:val="variable"/>
    <w:sig w:usb0="20000287" w:usb1="00000003" w:usb2="00000000" w:usb3="00000000" w:csb0="0000019F" w:csb1="00000000"/>
  </w:font>
  <w:font w:name="等线 Light">
    <w:panose1 w:val="00000000000000000000"/>
    <w:charset w:val="00"/>
    <w:family w:val="auto"/>
    <w:pitch w:val="variable"/>
    <w:sig w:usb0="00000000" w:usb1="00000000" w:usb2="00000000" w:usb3="00000000" w:csb0="0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rPr>
        <w:rStyle w:val="22"/>
        <w:rtl/>
      </w:rPr>
      <w:id w:val="266360345"/>
      <w:docPartObj>
        <w:docPartGallery/>
        <w:docPartUnique/>
      </w:docPartObj>
    </w:sdtPr>
    <w:sdtContent>
      <w:p>
        <w:pPr>
          <w:pStyle w:val="16"/>
          <w:framePr w:w="0" w:hRule="auto" w:wrap="around" w:vAnchor="text" w:hAnchor="text" w:xAlign="center" w:y="1" w:anchorLock="0"/>
          <w:tabs>
            <w:tab w:val="center" w:pos="4153"/>
            <w:tab w:val="right" w:pos="8306"/>
          </w:tabs>
          <w:jc w:val="center"/>
          <w:rPr>
            <w:rStyle w:val="22"/>
          </w:rPr>
        </w:pPr>
        <w:r>
          <w:rPr>
            <w:rStyle w:val="22"/>
          </w:rPr>
          <w:fldChar w:fldCharType="begin"/>
        </w:r>
        <w:r>
          <w:rPr>
            <w:rStyle w:val="22"/>
          </w:rPr>
          <w:instrText xml:space="preserve"> PAGE </w:instrText>
        </w:r>
        <w:r>
          <w:rPr>
            <w:rStyle w:val="22"/>
            <w:rtl/>
          </w:rPr>
          <w:fldChar w:fldCharType="separate"/>
        </w:r>
        <w:r>
          <w:rPr>
            <w:rStyle w:val="22"/>
            <w:rtl/>
          </w:rPr>
          <w:t>2</w:t>
        </w:r>
        <w:r>
          <w:rPr>
            <w:rStyle w:val="22"/>
            <w:rtl/>
          </w:rPr>
          <w:fldChar w:fldCharType="end"/>
        </w:r>
      </w:p>
    </w:sdtContent>
  </w:sdt>
  <w:p>
    <w:pPr>
      <w:pStyle w:val="16"/>
      <w:tabs>
        <w:tab w:val="center" w:pos="4153"/>
        <w:tab w:val="right" w:pos="8306"/>
      </w:tabs>
    </w:pP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rPr>
        <w:rStyle w:val="22"/>
        <w:rtl/>
      </w:rPr>
      <w:id w:val="1698484946"/>
      <w:docPartObj>
        <w:docPartGallery/>
        <w:docPartUnique/>
      </w:docPartObj>
    </w:sdtPr>
    <w:sdtContent>
      <w:p>
        <w:pPr>
          <w:pStyle w:val="16"/>
          <w:framePr w:w="0" w:hRule="auto" w:wrap="around" w:vAnchor="text" w:hAnchor="text" w:xAlign="center" w:y="1" w:anchorLock="0"/>
          <w:tabs>
            <w:tab w:val="center" w:pos="4153"/>
            <w:tab w:val="right" w:pos="8306"/>
          </w:tabs>
          <w:jc w:val="center"/>
          <w:rPr>
            <w:rStyle w:val="22"/>
          </w:rPr>
        </w:pPr>
        <w:r>
          <w:rPr>
            <w:rStyle w:val="22"/>
          </w:rPr>
          <w:fldChar w:fldCharType="begin"/>
        </w:r>
        <w:r>
          <w:rPr>
            <w:rStyle w:val="22"/>
          </w:rPr>
          <w:instrText xml:space="preserve"> PAGE </w:instrText>
        </w:r>
        <w:r>
          <w:rPr>
            <w:rStyle w:val="22"/>
            <w:rtl/>
          </w:rPr>
          <w:fldChar w:fldCharType="separate"/>
        </w:r>
        <w:r>
          <w:rPr>
            <w:rStyle w:val="22"/>
            <w:rtl/>
          </w:rPr>
          <w:fldChar w:fldCharType="end"/>
        </w:r>
      </w:p>
    </w:sdtContent>
  </w:sdt>
  <w:p>
    <w:pPr>
      <w:pStyle w:val="16"/>
      <w:tabs>
        <w:tab w:val="center" w:pos="4153"/>
        <w:tab w:val="right" w:pos="830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multilevel"/>
    <w:tmpl w:val="FFFFFFFF"/>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multiLevelType w:val="multilevel"/>
    <w:tmpl w:val="FFFFFFFF"/>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multiLevelType w:val="multilevel"/>
    <w:tmpl w:val="FFFFFFFF"/>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multiLevelType w:val="multilevel"/>
    <w:tmpl w:val="FFFFFFFF"/>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multiLevelType w:val="multilevel"/>
    <w:tmpl w:val="FFFFFFFF"/>
    <w:lvl w:ilvl="0">
      <w:start w:val="1"/>
      <w:numFmt w:val="decimal"/>
      <w:lvlRestart w:val="0"/>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multiLevelType w:val="multilevel"/>
    <w:tmpl w:val="FFFFFFFF"/>
    <w:lvl w:ilvl="0">
      <w:start w:val="1"/>
      <w:numFmt w:val="decimal"/>
      <w:lvlRestart w:val="0"/>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multiLevelType w:val="multilevel"/>
    <w:tmpl w:val="FFFFFFFF"/>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05"/>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Aptos" w:eastAsia="Aptos" w:cs="Arial" w:hAnsi="Aptos"/>
      <w:kern w:val="2"/>
      <w:sz w:val="22"/>
      <w:szCs w:val="22"/>
      <w:lang w:val="en-US" w:eastAsia="en-US" w:bidi="ar-SA"/>
    </w:rPr>
  </w:style>
  <w:style w:type="paragraph" w:styleId="1">
    <w:name w:val="heading 1"/>
    <w:basedOn w:val="0"/>
    <w:pPr>
      <w:bidi w:val="0"/>
      <w:spacing w:before="100" w:beforeAutospacing="1" w:after="100" w:afterAutospacing="1" w:line="240" w:lineRule="auto"/>
      <w:outlineLvl w:val="0"/>
    </w:pPr>
    <w:rPr>
      <w:rFonts w:ascii="Times New Roman" w:eastAsia="等线" w:cs="Times New Roman" w:hAnsi="Times New Roman"/>
      <w:b/>
      <w:bCs/>
      <w:kern w:val="36"/>
      <w:sz w:val="48"/>
      <w:szCs w:val="48"/>
    </w:rPr>
  </w:style>
  <w:style w:type="paragraph" w:styleId="2">
    <w:name w:val="heading 2"/>
    <w:basedOn w:val="0"/>
    <w:next w:val="0"/>
    <w:pPr>
      <w:keepNext/>
      <w:keepLines/>
      <w:spacing w:before="160" w:after="80"/>
      <w:outlineLvl w:val="1"/>
    </w:pPr>
    <w:rPr>
      <w:rFonts w:ascii="Aptos Display" w:eastAsia="等线 Light" w:cs="Times New Roman" w:hAnsi="Aptos Display"/>
      <w:color w:val="0F4761"/>
      <w:sz w:val="32"/>
      <w:szCs w:val="32"/>
    </w:rPr>
  </w:style>
  <w:style w:type="paragraph" w:styleId="3">
    <w:name w:val="heading 3"/>
    <w:basedOn w:val="0"/>
    <w:next w:val="0"/>
    <w:pPr>
      <w:keepNext/>
      <w:keepLines/>
      <w:spacing w:before="160" w:after="80"/>
      <w:outlineLvl w:val="2"/>
    </w:pPr>
    <w:rPr>
      <w:rFonts w:eastAsia="等线 Light" w:cs="Times New Roman"/>
      <w:color w:val="0F4761"/>
      <w:sz w:val="28"/>
      <w:szCs w:val="28"/>
    </w:rPr>
  </w:style>
  <w:style w:type="character" w:default="1" w:styleId="10">
    <w:name w:val="Default Paragraph Font"/>
  </w:style>
  <w:style w:type="paragraph" w:styleId="15">
    <w:name w:val="header"/>
    <w:basedOn w:val="0"/>
    <w:pPr>
      <w:tabs>
        <w:tab w:val="center" w:pos="4153"/>
        <w:tab w:val="right" w:pos="8306"/>
      </w:tabs>
      <w:spacing w:after="0" w:line="240" w:lineRule="auto"/>
    </w:pPr>
  </w:style>
  <w:style w:type="paragraph" w:styleId="16">
    <w:name w:val="footer"/>
    <w:basedOn w:val="0"/>
    <w:pPr>
      <w:tabs>
        <w:tab w:val="center" w:pos="4153"/>
        <w:tab w:val="right" w:pos="8306"/>
      </w:tabs>
      <w:spacing w:after="0" w:line="240" w:lineRule="auto"/>
    </w:pPr>
  </w:style>
  <w:style w:type="paragraph" w:styleId="17">
    <w:name w:val="Normal (Web)"/>
    <w:basedOn w:val="0"/>
    <w:pPr>
      <w:bidi w:val="0"/>
      <w:spacing w:before="100" w:beforeAutospacing="1" w:after="100" w:afterAutospacing="1" w:line="240" w:lineRule="auto"/>
    </w:pPr>
    <w:rPr>
      <w:rFonts w:ascii="Times New Roman" w:eastAsia="等线" w:cs="Times New Roman" w:hAnsi="Times New Roman"/>
      <w:kern w:val="0"/>
      <w:sz w:val="24"/>
      <w:szCs w:val="24"/>
    </w:rPr>
  </w:style>
  <w:style w:type="character" w:styleId="18">
    <w:name w:val="Strong"/>
    <w:basedOn w:val="10"/>
    <w:rPr>
      <w:b/>
      <w:bCs/>
    </w:rPr>
  </w:style>
  <w:style w:type="paragraph" w:customStyle="1" w:styleId="19">
    <w:name w:val="List Paragraph"/>
    <w:basedOn w:val="0"/>
    <w:pPr>
      <w:ind w:left="720"/>
      <w:contextualSpacing/>
    </w:pPr>
  </w:style>
  <w:style w:type="character" w:customStyle="1" w:styleId="20">
    <w:name w:val="mord"/>
    <w:basedOn w:val="10"/>
  </w:style>
  <w:style w:type="character" w:customStyle="1" w:styleId="21">
    <w:name w:val="vlist-s"/>
    <w:basedOn w:val="10"/>
  </w:style>
  <w:style w:type="character" w:styleId="22">
    <w:name w:val="page number"/>
    <w:basedOn w:val="10"/>
  </w:style>
  <w:style w:type="character" w:styleId="23">
    <w:name w:val="Emphasis"/>
    <w:basedOn w:val="10"/>
    <w:rPr>
      <w:i/>
      <w:iC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image" Target="media/2.png"/><Relationship Id="rId5" Type="http://schemas.openxmlformats.org/officeDocument/2006/relationships/styles" Target="styles.xml"/><Relationship Id="rId6" Type="http://schemas.openxmlformats.org/officeDocument/2006/relationships/numbering" Target="numbering.xml"/><Relationship Id="rId7" Type="http://schemas.openxmlformats.org/officeDocument/2006/relationships/fontTable" Target="fontTable.xml"/></Relationships>
</file>

<file path=docProps/app.xml><?xml version="1.0" encoding="utf-8"?>
<Properties xmlns="http://schemas.openxmlformats.org/officeDocument/2006/extended-properties">
  <Template>Normal.eit</Template>
  <TotalTime>0</TotalTime>
  <Application>Honor_Office</Application>
  <Pages>39</Pages>
  <Words>5160</Words>
  <Characters>28944</Characters>
  <Lines>784</Lines>
  <Paragraphs>348</Paragraphs>
  <CharactersWithSpaces>33763</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marwamostafa2013</dc:creator>
  <cp:lastModifiedBy>HONOR Docs</cp:lastModifiedBy>
  <cp:revision>2</cp:revision>
  <dcterms:created xsi:type="dcterms:W3CDTF">2026-03-14T20:16:00Z</dcterms:created>
  <dcterms:modified xsi:type="dcterms:W3CDTF">2026-03-14T17:10:30Z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68f2fd9a23e1ceac570a100ecdb4b5f8f943ff09ef8eb1a6af8381691f381045</vt:lpwstr>
  </property>
</Properties>
</file>