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B9A" w:rsidRPr="00EB0E29" w:rsidRDefault="00872B9A" w:rsidP="00872B9A">
      <w:pPr>
        <w:spacing w:line="240" w:lineRule="auto"/>
        <w:rPr>
          <w:rFonts w:ascii="Simplified Arabic" w:hAnsi="Simplified Arabic" w:cs="Simplified Arabic"/>
          <w:b/>
          <w:bCs/>
          <w:sz w:val="28"/>
          <w:szCs w:val="28"/>
          <w:lang w:bidi="ar-EG"/>
        </w:rPr>
      </w:pPr>
      <w:r w:rsidRPr="00EB0E29">
        <w:rPr>
          <w:rFonts w:ascii="Simplified Arabic" w:hAnsi="Simplified Arabic" w:cs="Simplified Arabic"/>
          <w:b/>
          <w:bCs/>
          <w:noProof/>
          <w:sz w:val="28"/>
          <w:szCs w:val="28"/>
        </w:rPr>
        <w:drawing>
          <wp:anchor distT="0" distB="0" distL="114300" distR="114300" simplePos="0" relativeHeight="251659264" behindDoc="0" locked="0" layoutInCell="1" allowOverlap="1" wp14:anchorId="381DDAC9" wp14:editId="6C5F2430">
            <wp:simplePos x="0" y="0"/>
            <wp:positionH relativeFrom="margin">
              <wp:posOffset>-239049</wp:posOffset>
            </wp:positionH>
            <wp:positionV relativeFrom="margin">
              <wp:posOffset>-23149</wp:posOffset>
            </wp:positionV>
            <wp:extent cx="2226945" cy="1022350"/>
            <wp:effectExtent l="0" t="0" r="1905"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5" cstate="print">
                      <a:extLst>
                        <a:ext uri="{28A0092B-C50C-407E-A947-70E740481C1C}">
                          <a14:useLocalDpi xmlns:a14="http://schemas.microsoft.com/office/drawing/2010/main" val="0"/>
                        </a:ext>
                      </a:extLst>
                    </a:blip>
                    <a:srcRect t="28574" b="21944"/>
                    <a:stretch/>
                  </pic:blipFill>
                  <pic:spPr bwMode="auto">
                    <a:xfrm>
                      <a:off x="0" y="0"/>
                      <a:ext cx="2226945" cy="1022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B0E29">
        <w:rPr>
          <w:rFonts w:ascii="Simplified Arabic" w:hAnsi="Simplified Arabic" w:cs="Simplified Arabic"/>
          <w:b/>
          <w:bCs/>
          <w:sz w:val="28"/>
          <w:szCs w:val="28"/>
          <w:rtl/>
          <w:lang w:bidi="ar-EG"/>
        </w:rPr>
        <w:t xml:space="preserve">جامعة ميدأوشن </w:t>
      </w:r>
    </w:p>
    <w:p w:rsidR="00872B9A" w:rsidRPr="00EB0E29" w:rsidRDefault="00872B9A" w:rsidP="00872B9A">
      <w:pPr>
        <w:spacing w:line="240" w:lineRule="auto"/>
        <w:rPr>
          <w:rFonts w:ascii="Simplified Arabic" w:hAnsi="Simplified Arabic" w:cs="Simplified Arabic" w:hint="cs"/>
          <w:b/>
          <w:bCs/>
          <w:sz w:val="28"/>
          <w:szCs w:val="28"/>
          <w:rtl/>
        </w:rPr>
      </w:pPr>
      <w:r w:rsidRPr="00EB0E29">
        <w:rPr>
          <w:rFonts w:ascii="Simplified Arabic" w:hAnsi="Simplified Arabic" w:cs="Simplified Arabic"/>
          <w:b/>
          <w:bCs/>
          <w:sz w:val="28"/>
          <w:szCs w:val="28"/>
          <w:lang w:bidi="ar-EG"/>
        </w:rPr>
        <w:t xml:space="preserve">    </w:t>
      </w:r>
      <w:r w:rsidRPr="00EB0E29">
        <w:rPr>
          <w:rFonts w:ascii="Simplified Arabic" w:hAnsi="Simplified Arabic" w:cs="Simplified Arabic"/>
          <w:b/>
          <w:bCs/>
          <w:sz w:val="28"/>
          <w:szCs w:val="28"/>
          <w:rtl/>
          <w:lang w:bidi="ar-EG"/>
        </w:rPr>
        <w:t xml:space="preserve">كلية الإدارة </w:t>
      </w:r>
    </w:p>
    <w:p w:rsidR="00872B9A" w:rsidRPr="00EB0E29" w:rsidRDefault="00872B9A" w:rsidP="00872B9A">
      <w:pPr>
        <w:spacing w:line="240" w:lineRule="auto"/>
        <w:rPr>
          <w:rFonts w:ascii="Simplified Arabic" w:hAnsi="Simplified Arabic" w:cs="Simplified Arabic"/>
          <w:sz w:val="28"/>
          <w:szCs w:val="28"/>
          <w:rtl/>
          <w:lang w:bidi="ar-EG"/>
        </w:rPr>
      </w:pPr>
      <w:r w:rsidRPr="00EB0E29">
        <w:rPr>
          <w:rFonts w:ascii="Simplified Arabic" w:hAnsi="Simplified Arabic" w:cs="Simplified Arabic"/>
          <w:b/>
          <w:bCs/>
          <w:sz w:val="28"/>
          <w:szCs w:val="28"/>
          <w:rtl/>
          <w:lang w:bidi="ar-EG"/>
        </w:rPr>
        <w:t xml:space="preserve">قسم / تخصص إدارة </w:t>
      </w:r>
      <w:r>
        <w:rPr>
          <w:rFonts w:ascii="Simplified Arabic" w:hAnsi="Simplified Arabic" w:cs="Simplified Arabic" w:hint="cs"/>
          <w:b/>
          <w:bCs/>
          <w:sz w:val="28"/>
          <w:szCs w:val="28"/>
          <w:rtl/>
          <w:lang w:bidi="ar-EG"/>
        </w:rPr>
        <w:t>مخاطر</w:t>
      </w:r>
    </w:p>
    <w:p w:rsidR="00872B9A" w:rsidRDefault="00872B9A" w:rsidP="00872B9A">
      <w:pPr>
        <w:rPr>
          <w:rFonts w:ascii="Sakkal Majalla" w:hAnsi="Sakkal Majalla" w:cs="Sakkal Majalla"/>
          <w:sz w:val="28"/>
          <w:szCs w:val="28"/>
          <w:rtl/>
        </w:rPr>
      </w:pPr>
    </w:p>
    <w:p w:rsidR="00872B9A" w:rsidRDefault="00872B9A" w:rsidP="00872B9A">
      <w:pPr>
        <w:rPr>
          <w:rFonts w:ascii="Sakkal Majalla" w:hAnsi="Sakkal Majalla" w:cs="Sakkal Majalla"/>
          <w:sz w:val="28"/>
          <w:szCs w:val="28"/>
          <w:rtl/>
        </w:rPr>
      </w:pPr>
    </w:p>
    <w:p w:rsidR="00872B9A" w:rsidRPr="009125CE" w:rsidRDefault="00872B9A" w:rsidP="00872B9A">
      <w:pPr>
        <w:rPr>
          <w:rFonts w:ascii="Sakkal Majalla" w:hAnsi="Sakkal Majalla" w:cs="Sakkal Majalla"/>
          <w:sz w:val="28"/>
          <w:szCs w:val="28"/>
          <w:rtl/>
          <w:lang w:bidi="ar-EG"/>
        </w:rPr>
      </w:pPr>
      <w:r>
        <w:rPr>
          <w:rFonts w:ascii="Sakkal Majalla" w:hAnsi="Sakkal Majalla" w:cs="Sakkal Majalla"/>
          <w:noProof/>
          <w:sz w:val="28"/>
          <w:szCs w:val="28"/>
          <w:rtl/>
        </w:rPr>
        <mc:AlternateContent>
          <mc:Choice Requires="wps">
            <w:drawing>
              <wp:anchor distT="0" distB="0" distL="114300" distR="114300" simplePos="0" relativeHeight="251660288" behindDoc="0" locked="0" layoutInCell="1" allowOverlap="1" wp14:anchorId="18FC371B" wp14:editId="1EDACF6B">
                <wp:simplePos x="0" y="0"/>
                <wp:positionH relativeFrom="margin">
                  <wp:posOffset>187330</wp:posOffset>
                </wp:positionH>
                <wp:positionV relativeFrom="paragraph">
                  <wp:posOffset>43215</wp:posOffset>
                </wp:positionV>
                <wp:extent cx="5651500" cy="1375090"/>
                <wp:effectExtent l="0" t="0" r="6350" b="0"/>
                <wp:wrapNone/>
                <wp:docPr id="1" name="مستطيل مستدير الزوايا 1"/>
                <wp:cNvGraphicFramePr/>
                <a:graphic xmlns:a="http://schemas.openxmlformats.org/drawingml/2006/main">
                  <a:graphicData uri="http://schemas.microsoft.com/office/word/2010/wordprocessingShape">
                    <wps:wsp>
                      <wps:cNvSpPr/>
                      <wps:spPr>
                        <a:xfrm>
                          <a:off x="0" y="0"/>
                          <a:ext cx="5651500" cy="1375090"/>
                        </a:xfrm>
                        <a:prstGeom prst="roundRect">
                          <a:avLst/>
                        </a:prstGeom>
                        <a:blipFill>
                          <a:blip r:embed="rId6"/>
                          <a:tile tx="0" ty="0" sx="100000" sy="100000" flip="none" algn="tl"/>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72B9A" w:rsidRPr="004B7788" w:rsidRDefault="00872B9A" w:rsidP="00872B9A">
                            <w:pPr>
                              <w:spacing w:line="276" w:lineRule="auto"/>
                              <w:jc w:val="center"/>
                              <w:rPr>
                                <w:color w:val="0D0D0D" w:themeColor="text1" w:themeTint="F2"/>
                                <w:sz w:val="20"/>
                                <w:szCs w:val="20"/>
                                <w:rtl/>
                              </w:rPr>
                            </w:pPr>
                            <w:r>
                              <w:rPr>
                                <w:rFonts w:ascii="Sakkal Majalla" w:hAnsi="Sakkal Majalla" w:cs="PT Bold Heading" w:hint="cs"/>
                                <w:b/>
                                <w:bCs/>
                                <w:color w:val="0D0D0D" w:themeColor="text1" w:themeTint="F2"/>
                                <w:sz w:val="40"/>
                                <w:szCs w:val="40"/>
                                <w:rtl/>
                              </w:rPr>
                              <w:t>أ</w:t>
                            </w:r>
                            <w:r w:rsidRPr="004B7788">
                              <w:rPr>
                                <w:rFonts w:ascii="Sakkal Majalla" w:hAnsi="Sakkal Majalla" w:cs="PT Bold Heading" w:hint="cs"/>
                                <w:b/>
                                <w:bCs/>
                                <w:color w:val="0D0D0D" w:themeColor="text1" w:themeTint="F2"/>
                                <w:sz w:val="40"/>
                                <w:szCs w:val="40"/>
                                <w:rtl/>
                              </w:rPr>
                              <w:t>ثر ممارسات إدارة المخاطر في تعزيز الاستدامة وتحسين الأداء المالي في البنوك التجارية بالمملكة العربية السع</w:t>
                            </w:r>
                            <w:r>
                              <w:rPr>
                                <w:rFonts w:ascii="Sakkal Majalla" w:hAnsi="Sakkal Majalla" w:cs="PT Bold Heading" w:hint="cs"/>
                                <w:b/>
                                <w:bCs/>
                                <w:color w:val="0D0D0D" w:themeColor="text1" w:themeTint="F2"/>
                                <w:sz w:val="40"/>
                                <w:szCs w:val="40"/>
                                <w:rtl/>
                              </w:rPr>
                              <w:t>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8FC371B" id="مستطيل مستدير الزوايا 1" o:spid="_x0000_s1026" style="position:absolute;left:0;text-align:left;margin-left:14.75pt;margin-top:3.4pt;width:445pt;height:108.2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" stroked="f" strokeweight="1pt">
                <v:fill r:id="rId7" o:title="" recolor="t" rotate="t" type="tile"/>
                <v:stroke joinstyle="miter"/>
                <v:textbox>
                  <w:txbxContent>
                    <w:p w:rsidR="00872B9A" w:rsidRPr="004B7788" w:rsidRDefault="00872B9A" w:rsidP="00872B9A">
                      <w:pPr>
                        <w:spacing w:line="276" w:lineRule="auto"/>
                        <w:jc w:val="center"/>
                        <w:rPr>
                          <w:color w:val="0D0D0D" w:themeColor="text1" w:themeTint="F2"/>
                          <w:sz w:val="20"/>
                          <w:szCs w:val="20"/>
                          <w:rtl/>
                        </w:rPr>
                      </w:pPr>
                      <w:r>
                        <w:rPr>
                          <w:rFonts w:ascii="Sakkal Majalla" w:hAnsi="Sakkal Majalla" w:cs="PT Bold Heading" w:hint="cs"/>
                          <w:b/>
                          <w:bCs/>
                          <w:color w:val="0D0D0D" w:themeColor="text1" w:themeTint="F2"/>
                          <w:sz w:val="40"/>
                          <w:szCs w:val="40"/>
                          <w:rtl/>
                        </w:rPr>
                        <w:t>أ</w:t>
                      </w:r>
                      <w:r w:rsidRPr="004B7788">
                        <w:rPr>
                          <w:rFonts w:ascii="Sakkal Majalla" w:hAnsi="Sakkal Majalla" w:cs="PT Bold Heading" w:hint="cs"/>
                          <w:b/>
                          <w:bCs/>
                          <w:color w:val="0D0D0D" w:themeColor="text1" w:themeTint="F2"/>
                          <w:sz w:val="40"/>
                          <w:szCs w:val="40"/>
                          <w:rtl/>
                        </w:rPr>
                        <w:t>ثر ممارسات إدارة المخاطر في تعزيز الاستدامة وتحسين الأداء المالي في البنوك التجارية بالمملكة العربية السع</w:t>
                      </w:r>
                      <w:r>
                        <w:rPr>
                          <w:rFonts w:ascii="Sakkal Majalla" w:hAnsi="Sakkal Majalla" w:cs="PT Bold Heading" w:hint="cs"/>
                          <w:b/>
                          <w:bCs/>
                          <w:color w:val="0D0D0D" w:themeColor="text1" w:themeTint="F2"/>
                          <w:sz w:val="40"/>
                          <w:szCs w:val="40"/>
                          <w:rtl/>
                        </w:rPr>
                        <w:t>ودية</w:t>
                      </w:r>
                    </w:p>
                  </w:txbxContent>
                </v:textbox>
                <w10:wrap anchorx="margin"/>
              </v:roundrect>
            </w:pict>
          </mc:Fallback>
        </mc:AlternateContent>
      </w:r>
    </w:p>
    <w:p w:rsidR="00872B9A" w:rsidRPr="009125CE" w:rsidRDefault="00872B9A" w:rsidP="00872B9A">
      <w:pPr>
        <w:rPr>
          <w:rFonts w:ascii="Sakkal Majalla" w:hAnsi="Sakkal Majalla" w:cs="Sakkal Majalla"/>
          <w:sz w:val="28"/>
          <w:szCs w:val="28"/>
          <w:rtl/>
          <w:lang w:bidi="ar-EG"/>
        </w:rPr>
      </w:pPr>
    </w:p>
    <w:p w:rsidR="00872B9A" w:rsidRDefault="00872B9A" w:rsidP="00872B9A">
      <w:pPr>
        <w:rPr>
          <w:rFonts w:ascii="Sakkal Majalla" w:hAnsi="Sakkal Majalla" w:cs="Sakkal Majalla"/>
          <w:sz w:val="28"/>
          <w:szCs w:val="28"/>
          <w:rtl/>
          <w:lang w:bidi="ar-EG"/>
        </w:rPr>
      </w:pPr>
    </w:p>
    <w:p w:rsidR="00872B9A" w:rsidRPr="0024010E" w:rsidRDefault="00872B9A" w:rsidP="00872B9A">
      <w:pPr>
        <w:rPr>
          <w:rFonts w:ascii="Sakkal Majalla" w:hAnsi="Sakkal Majalla" w:cs="Sakkal Majalla"/>
          <w:rtl/>
        </w:rPr>
      </w:pPr>
    </w:p>
    <w:p w:rsidR="00872B9A" w:rsidRDefault="00872B9A" w:rsidP="00872B9A">
      <w:pPr>
        <w:spacing w:line="240" w:lineRule="auto"/>
        <w:jc w:val="center"/>
        <w:rPr>
          <w:rFonts w:ascii="Simplified Arabic" w:hAnsi="Simplified Arabic" w:cs="Simplified Arabic"/>
          <w:b/>
          <w:bCs/>
          <w:i/>
          <w:iCs/>
          <w:sz w:val="24"/>
          <w:szCs w:val="24"/>
          <w:rtl/>
        </w:rPr>
      </w:pPr>
      <w:r w:rsidRPr="00107962">
        <w:rPr>
          <w:rFonts w:ascii="Simplified Arabic" w:eastAsia="Calibri" w:hAnsi="Simplified Arabic" w:cs="Simplified Arabic"/>
          <w:i/>
          <w:iCs/>
          <w:color w:val="000000"/>
          <w:sz w:val="28"/>
          <w:szCs w:val="28"/>
          <w:rtl/>
          <w:lang w:bidi="ar-YE"/>
        </w:rPr>
        <w:t>بحث مقدم</w:t>
      </w:r>
      <w:r w:rsidRPr="00107962">
        <w:rPr>
          <w:rFonts w:ascii="Simplified Arabic" w:eastAsia="Calibri" w:hAnsi="Simplified Arabic" w:cs="Simplified Arabic" w:hint="cs"/>
          <w:i/>
          <w:iCs/>
          <w:color w:val="000000"/>
          <w:sz w:val="28"/>
          <w:szCs w:val="28"/>
          <w:rtl/>
          <w:lang w:bidi="ar-YE"/>
        </w:rPr>
        <w:t xml:space="preserve"> إلى </w:t>
      </w:r>
      <w:r w:rsidRPr="00107962">
        <w:rPr>
          <w:rFonts w:ascii="Simplified Arabic" w:eastAsia="Calibri" w:hAnsi="Simplified Arabic" w:cs="Simplified Arabic"/>
          <w:i/>
          <w:iCs/>
          <w:color w:val="000000"/>
          <w:sz w:val="28"/>
          <w:szCs w:val="28"/>
          <w:rtl/>
          <w:lang w:bidi="ar-YE"/>
        </w:rPr>
        <w:t xml:space="preserve">كلية </w:t>
      </w:r>
      <w:r w:rsidRPr="00107962">
        <w:rPr>
          <w:rFonts w:ascii="Simplified Arabic" w:eastAsia="Calibri" w:hAnsi="Simplified Arabic" w:cs="Simplified Arabic" w:hint="cs"/>
          <w:i/>
          <w:iCs/>
          <w:color w:val="000000"/>
          <w:sz w:val="28"/>
          <w:szCs w:val="28"/>
          <w:rtl/>
          <w:lang w:bidi="ar-YE"/>
        </w:rPr>
        <w:t xml:space="preserve">الإدارة جامعة ميدأوشن لاستكمال </w:t>
      </w:r>
      <w:r w:rsidRPr="00107962">
        <w:rPr>
          <w:rFonts w:ascii="Simplified Arabic" w:eastAsia="Calibri" w:hAnsi="Simplified Arabic" w:cs="Simplified Arabic"/>
          <w:i/>
          <w:iCs/>
          <w:color w:val="000000"/>
          <w:sz w:val="28"/>
          <w:szCs w:val="28"/>
          <w:rtl/>
          <w:lang w:bidi="ar-YE"/>
        </w:rPr>
        <w:t xml:space="preserve">متطلبات الحصول على </w:t>
      </w:r>
      <w:r w:rsidRPr="00107962">
        <w:rPr>
          <w:rFonts w:ascii="Simplified Arabic" w:eastAsia="Calibri" w:hAnsi="Simplified Arabic" w:cs="Simplified Arabic" w:hint="cs"/>
          <w:i/>
          <w:iCs/>
          <w:color w:val="000000"/>
          <w:sz w:val="28"/>
          <w:szCs w:val="28"/>
          <w:rtl/>
          <w:lang w:bidi="ar-YE"/>
        </w:rPr>
        <w:t>درجة الماجستير</w:t>
      </w:r>
      <w:r w:rsidRPr="00107962">
        <w:rPr>
          <w:rFonts w:ascii="Simplified Arabic" w:eastAsia="Calibri" w:hAnsi="Simplified Arabic" w:cs="Simplified Arabic"/>
          <w:i/>
          <w:iCs/>
          <w:color w:val="000000"/>
          <w:sz w:val="28"/>
          <w:szCs w:val="28"/>
          <w:lang w:bidi="ar-YE"/>
        </w:rPr>
        <w:t xml:space="preserve"> </w:t>
      </w:r>
    </w:p>
    <w:p w:rsidR="00872B9A" w:rsidRPr="00C65D4C" w:rsidRDefault="00872B9A" w:rsidP="00872B9A">
      <w:pPr>
        <w:spacing w:line="240" w:lineRule="auto"/>
        <w:jc w:val="center"/>
        <w:rPr>
          <w:rFonts w:ascii="Simplified Arabic" w:hAnsi="Simplified Arabic" w:cs="Simplified Arabic"/>
          <w:i/>
          <w:iCs/>
          <w:sz w:val="24"/>
          <w:szCs w:val="24"/>
          <w:rtl/>
        </w:rPr>
      </w:pPr>
      <w:r w:rsidRPr="00C65D4C">
        <w:rPr>
          <w:rFonts w:ascii="Simplified Arabic" w:hAnsi="Simplified Arabic" w:cs="Simplified Arabic" w:hint="cs"/>
          <w:i/>
          <w:iCs/>
          <w:sz w:val="24"/>
          <w:szCs w:val="24"/>
          <w:rtl/>
        </w:rPr>
        <w:t xml:space="preserve">تخصص إدارة </w:t>
      </w:r>
      <w:r>
        <w:rPr>
          <w:rFonts w:ascii="Simplified Arabic" w:hAnsi="Simplified Arabic" w:cs="Simplified Arabic" w:hint="cs"/>
          <w:i/>
          <w:iCs/>
          <w:sz w:val="24"/>
          <w:szCs w:val="24"/>
          <w:rtl/>
        </w:rPr>
        <w:t>مخاطر</w:t>
      </w:r>
      <w:r w:rsidRPr="00C65D4C">
        <w:rPr>
          <w:rFonts w:ascii="Simplified Arabic" w:hAnsi="Simplified Arabic" w:cs="Simplified Arabic" w:hint="cs"/>
          <w:i/>
          <w:iCs/>
          <w:sz w:val="24"/>
          <w:szCs w:val="24"/>
          <w:rtl/>
        </w:rPr>
        <w:t xml:space="preserve"> </w:t>
      </w:r>
    </w:p>
    <w:p w:rsidR="00872B9A" w:rsidRPr="001902DB" w:rsidRDefault="00872B9A" w:rsidP="00872B9A">
      <w:pPr>
        <w:jc w:val="center"/>
        <w:rPr>
          <w:rFonts w:ascii="Sakkal Majalla" w:hAnsi="Sakkal Majalla" w:cs="Sakkal Majalla" w:hint="cs"/>
          <w:b/>
          <w:bCs/>
          <w:sz w:val="28"/>
          <w:szCs w:val="28"/>
          <w:rtl/>
        </w:rPr>
      </w:pPr>
    </w:p>
    <w:p w:rsidR="00872B9A" w:rsidRPr="00107962" w:rsidRDefault="00872B9A" w:rsidP="00872B9A">
      <w:pPr>
        <w:jc w:val="center"/>
        <w:rPr>
          <w:rFonts w:asciiTheme="majorBidi" w:hAnsiTheme="majorBidi" w:cstheme="majorBidi"/>
          <w:sz w:val="28"/>
          <w:szCs w:val="28"/>
          <w:rtl/>
          <w:lang w:bidi="ar-EG"/>
        </w:rPr>
      </w:pPr>
      <w:r>
        <w:rPr>
          <w:rFonts w:asciiTheme="majorBidi" w:hAnsiTheme="majorBidi" w:cstheme="majorBidi"/>
          <w:sz w:val="28"/>
          <w:szCs w:val="28"/>
          <w:rtl/>
          <w:lang w:bidi="ar-EG"/>
        </w:rPr>
        <w:t>الباحث</w:t>
      </w:r>
      <w:r w:rsidRPr="00107962">
        <w:rPr>
          <w:rFonts w:asciiTheme="majorBidi" w:hAnsiTheme="majorBidi" w:cstheme="majorBidi"/>
          <w:sz w:val="28"/>
          <w:szCs w:val="28"/>
          <w:rtl/>
          <w:lang w:bidi="ar-EG"/>
        </w:rPr>
        <w:t xml:space="preserve">: </w:t>
      </w:r>
    </w:p>
    <w:p w:rsidR="00872B9A" w:rsidRDefault="00872B9A" w:rsidP="00872B9A">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 xml:space="preserve">محمد حسن عبدالله الحامد </w:t>
      </w:r>
    </w:p>
    <w:p w:rsidR="00872B9A" w:rsidRPr="0002570B" w:rsidRDefault="00872B9A" w:rsidP="00872B9A">
      <w:pPr>
        <w:jc w:val="center"/>
        <w:rPr>
          <w:rFonts w:ascii="Simplified Arabic" w:hAnsi="Simplified Arabic" w:cs="Simplified Arabic"/>
          <w:b/>
          <w:bCs/>
          <w:sz w:val="24"/>
          <w:szCs w:val="24"/>
          <w:rtl/>
          <w:lang w:bidi="ar-EG"/>
        </w:rPr>
      </w:pPr>
      <w:r w:rsidRPr="0002570B">
        <w:rPr>
          <w:rFonts w:ascii="Simplified Arabic" w:hAnsi="Simplified Arabic" w:cs="Simplified Arabic" w:hint="cs"/>
          <w:b/>
          <w:bCs/>
          <w:sz w:val="24"/>
          <w:szCs w:val="24"/>
          <w:rtl/>
          <w:lang w:bidi="ar-EG"/>
        </w:rPr>
        <w:t xml:space="preserve">الرقم الجامعي: </w:t>
      </w:r>
      <w:r>
        <w:rPr>
          <w:rFonts w:ascii="Simplified Arabic" w:hAnsi="Simplified Arabic" w:cs="Simplified Arabic" w:hint="cs"/>
          <w:b/>
          <w:bCs/>
          <w:sz w:val="24"/>
          <w:szCs w:val="24"/>
          <w:rtl/>
          <w:lang w:bidi="ar-EG"/>
        </w:rPr>
        <w:t>242002324</w:t>
      </w:r>
    </w:p>
    <w:p w:rsidR="00872B9A" w:rsidRPr="001902DB" w:rsidRDefault="00872B9A" w:rsidP="00872B9A">
      <w:pPr>
        <w:rPr>
          <w:rFonts w:ascii="Sakkal Majalla" w:hAnsi="Sakkal Majalla" w:cs="Sakkal Majalla"/>
          <w:b/>
          <w:bCs/>
          <w:sz w:val="28"/>
          <w:szCs w:val="28"/>
          <w:rtl/>
          <w:lang w:bidi="ar-EG"/>
        </w:rPr>
      </w:pPr>
    </w:p>
    <w:p w:rsidR="00872B9A" w:rsidRPr="0002570B" w:rsidRDefault="00872B9A" w:rsidP="00872B9A">
      <w:pPr>
        <w:spacing w:line="240" w:lineRule="auto"/>
        <w:jc w:val="center"/>
        <w:rPr>
          <w:rFonts w:ascii="Simplified Arabic" w:hAnsi="Simplified Arabic" w:cs="Simplified Arabic"/>
          <w:sz w:val="24"/>
          <w:szCs w:val="24"/>
          <w:rtl/>
          <w:lang w:bidi="ar-EG"/>
        </w:rPr>
      </w:pPr>
      <w:r w:rsidRPr="0002570B">
        <w:rPr>
          <w:rFonts w:ascii="Simplified Arabic" w:hAnsi="Simplified Arabic" w:cs="Simplified Arabic"/>
          <w:sz w:val="24"/>
          <w:szCs w:val="24"/>
          <w:rtl/>
          <w:lang w:bidi="ar-EG"/>
        </w:rPr>
        <w:t>إشراف/</w:t>
      </w:r>
    </w:p>
    <w:p w:rsidR="00872B9A" w:rsidRDefault="00872B9A" w:rsidP="00872B9A">
      <w:pPr>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د. الفيصل عبد الحميد حسن</w:t>
      </w:r>
    </w:p>
    <w:p w:rsidR="00872B9A" w:rsidRDefault="00872B9A" w:rsidP="00872B9A">
      <w:pPr>
        <w:spacing w:line="240" w:lineRule="auto"/>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 xml:space="preserve">د. فايز جراد </w:t>
      </w:r>
    </w:p>
    <w:p w:rsidR="00872B9A" w:rsidRDefault="00872B9A" w:rsidP="00872B9A">
      <w:pPr>
        <w:spacing w:line="240" w:lineRule="auto"/>
        <w:jc w:val="center"/>
        <w:rPr>
          <w:rFonts w:ascii="Simplified Arabic" w:hAnsi="Simplified Arabic" w:cs="Simplified Arabic"/>
          <w:b/>
          <w:bCs/>
          <w:sz w:val="28"/>
          <w:szCs w:val="28"/>
          <w:rtl/>
          <w:lang w:bidi="ar-EG"/>
        </w:rPr>
      </w:pPr>
    </w:p>
    <w:p w:rsidR="00872B9A" w:rsidRDefault="00872B9A" w:rsidP="00872B9A">
      <w:pPr>
        <w:spacing w:line="240" w:lineRule="auto"/>
        <w:jc w:val="center"/>
        <w:rPr>
          <w:rFonts w:ascii="Simplified Arabic" w:hAnsi="Simplified Arabic" w:cs="Simplified Arabic"/>
          <w:b/>
          <w:bCs/>
          <w:sz w:val="28"/>
          <w:szCs w:val="28"/>
          <w:rtl/>
          <w:lang w:bidi="ar-EG"/>
        </w:rPr>
      </w:pPr>
    </w:p>
    <w:p w:rsidR="00872B9A" w:rsidRDefault="00872B9A" w:rsidP="00872B9A">
      <w:pPr>
        <w:jc w:val="center"/>
        <w:rPr>
          <w:rFonts w:asciiTheme="majorBidi" w:hAnsiTheme="majorBidi" w:cstheme="majorBidi"/>
          <w:sz w:val="24"/>
          <w:szCs w:val="24"/>
          <w:rtl/>
          <w:lang w:bidi="ar-EG"/>
        </w:rPr>
      </w:pPr>
      <w:r>
        <w:rPr>
          <w:rFonts w:asciiTheme="majorBidi" w:hAnsiTheme="majorBidi" w:cstheme="majorBidi" w:hint="cs"/>
          <w:sz w:val="24"/>
          <w:szCs w:val="24"/>
          <w:rtl/>
          <w:lang w:bidi="ar-EG"/>
        </w:rPr>
        <w:t>2025م</w:t>
      </w:r>
    </w:p>
    <w:p w:rsidR="00872B9A" w:rsidRPr="004B7788" w:rsidRDefault="00872B9A" w:rsidP="00872B9A">
      <w:pPr>
        <w:jc w:val="center"/>
        <w:rPr>
          <w:rStyle w:val="a3"/>
          <w:rtl/>
        </w:rPr>
      </w:pPr>
    </w:p>
    <w:p w:rsidR="00872B9A" w:rsidRDefault="00872B9A" w:rsidP="00872B9A">
      <w:pPr>
        <w:jc w:val="center"/>
        <w:rPr>
          <w:rFonts w:asciiTheme="majorBidi" w:hAnsiTheme="majorBidi" w:cstheme="majorBidi"/>
          <w:sz w:val="24"/>
          <w:szCs w:val="24"/>
          <w:rtl/>
        </w:rPr>
      </w:pPr>
      <w:r w:rsidRPr="00107962">
        <w:rPr>
          <w:rFonts w:asciiTheme="majorBidi" w:hAnsiTheme="majorBidi" w:cstheme="majorBidi" w:hint="cs"/>
          <w:sz w:val="24"/>
          <w:szCs w:val="24"/>
          <w:rtl/>
          <w:lang w:bidi="ar-EG"/>
        </w:rPr>
        <w:t xml:space="preserve">حقوق الطبع محفوظة لصالح جامعة ميدأوشن </w:t>
      </w:r>
    </w:p>
    <w:p w:rsidR="00872B9A" w:rsidRPr="00FB4AE7" w:rsidRDefault="00872B9A" w:rsidP="00872B9A">
      <w:pPr>
        <w:pStyle w:val="1"/>
        <w:jc w:val="center"/>
        <w:rPr>
          <w:rFonts w:ascii="Sakkal Majalla" w:hAnsi="Sakkal Majalla" w:cs="PT Bold Heading"/>
          <w:sz w:val="36"/>
          <w:szCs w:val="36"/>
          <w:u w:val="single"/>
          <w:rtl/>
        </w:rPr>
      </w:pPr>
      <w:bookmarkStart w:id="0" w:name="_Toc181824685"/>
      <w:bookmarkStart w:id="1" w:name="_Toc203686979"/>
      <w:r w:rsidRPr="00AC05D0">
        <w:rPr>
          <w:rFonts w:ascii="Sakkal Majalla" w:hAnsi="Sakkal Majalla" w:cs="PT Bold Heading" w:hint="cs"/>
          <w:sz w:val="36"/>
          <w:szCs w:val="36"/>
          <w:u w:val="single"/>
          <w:rtl/>
        </w:rPr>
        <w:lastRenderedPageBreak/>
        <w:t>الفصل الأول: الإطار العام للبحث</w:t>
      </w:r>
      <w:bookmarkEnd w:id="0"/>
      <w:bookmarkEnd w:id="1"/>
    </w:p>
    <w:p w:rsidR="00872B9A" w:rsidRPr="00FB4AE7" w:rsidRDefault="00872B9A" w:rsidP="00872B9A">
      <w:pPr>
        <w:pStyle w:val="1"/>
        <w:rPr>
          <w:rFonts w:ascii="Simplified Arabic" w:hAnsi="Simplified Arabic" w:cs="Simplified Arabic"/>
          <w:b/>
          <w:bCs/>
          <w:color w:val="0D0D0D" w:themeColor="text1" w:themeTint="F2"/>
          <w:sz w:val="36"/>
          <w:szCs w:val="36"/>
          <w:rtl/>
        </w:rPr>
      </w:pPr>
      <w:bookmarkStart w:id="2" w:name="_Toc203686980"/>
      <w:r w:rsidRPr="00FB4AE7">
        <w:rPr>
          <w:rFonts w:ascii="Simplified Arabic" w:hAnsi="Simplified Arabic" w:cs="Simplified Arabic"/>
          <w:b/>
          <w:bCs/>
          <w:color w:val="0D0D0D" w:themeColor="text1" w:themeTint="F2"/>
          <w:sz w:val="36"/>
          <w:szCs w:val="36"/>
          <w:rtl/>
        </w:rPr>
        <w:t>مقدمة</w:t>
      </w:r>
      <w:bookmarkEnd w:id="2"/>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تُعتبر إدارة المخاطر من الركائز الأساسية التي تقوم عليها المؤسسات المالية وخاصة البنوك التجارية، حيث تلعب دورًا حيويًا في تحقيق الاستقرار المالي وضمان استدامة الأعمال في بيئة متقلبة ومتسارعة التغير. في ظل التحديات الاقتصادية العالمية والضغوط التنظيمية المتزايدة، أصبح لزامًا على البنوك تبني ممارسات فعالة لإدارة المخاطر بهدف تقليل التعرض للمخاطر المالية والتشغيلية والقانونية، وبالتالي تحسين الأداء المالي وضمان استدامتها على المدى الطويل (</w:t>
      </w:r>
      <w:r w:rsidRPr="006D54B5">
        <w:rPr>
          <w:rFonts w:ascii="Times New Roman" w:hAnsi="Times New Roman" w:cs="Times New Roman"/>
          <w:sz w:val="28"/>
          <w:szCs w:val="28"/>
        </w:rPr>
        <w:t>Fraser &amp; Simkins, 2016</w:t>
      </w:r>
      <w:r w:rsidRPr="006D54B5">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تُعرف إدارة المخاطر بأنها عملية تحديد وتقييم وتخفيض المخاطر التي قد تواجه المؤسسة، من خلال استراتيجيات وخطط محددة تتيح الاستعداد المسبق للتعامل مع الأحداث غير المتوقعة (</w:t>
      </w:r>
      <w:r w:rsidRPr="006D54B5">
        <w:rPr>
          <w:rFonts w:ascii="Times New Roman" w:hAnsi="Times New Roman" w:cs="Times New Roman"/>
          <w:sz w:val="28"/>
          <w:szCs w:val="28"/>
        </w:rPr>
        <w:t>Power, 2009</w:t>
      </w:r>
      <w:r w:rsidRPr="006D54B5">
        <w:rPr>
          <w:rFonts w:ascii="Times New Roman" w:hAnsi="Times New Roman" w:cs="Times New Roman"/>
          <w:sz w:val="28"/>
          <w:szCs w:val="28"/>
          <w:rtl/>
        </w:rPr>
        <w:t>). وفي القطاع المصرفي، تُعد ممارسات إدارة المخاطر عاملاً رئيسياً يساهم في حماية رأس المال، والحفاظ على سمعة البنك، وتعزيز ثقة المستثمرين والعملاء، مما يؤثر إيجابيًا على أدائه المالي واستدامته المؤسسية (</w:t>
      </w:r>
      <w:r w:rsidRPr="006D54B5">
        <w:rPr>
          <w:rFonts w:ascii="Times New Roman" w:hAnsi="Times New Roman" w:cs="Times New Roman"/>
          <w:sz w:val="28"/>
          <w:szCs w:val="28"/>
        </w:rPr>
        <w:t>Jorion, 2007</w:t>
      </w:r>
      <w:r w:rsidRPr="006D54B5">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على الرغم من الأهمية المتزايدة لإدارة المخاطر، إلا أن العلاقة بين ممارساتها والاستدامة المؤسسية في البنوك التجارية لا تزال موضوعًا يحتاج إلى مزيد من البحث، خصوصًا في الأسواق الناشئة مثل المملكة العربية السعودية، حيث يشهد القطاع المصرفي تطورات مستمرة نتيجة لسياسات الإصلاح الاقتصادي ورؤية 2030 (</w:t>
      </w:r>
      <w:r w:rsidRPr="006D54B5">
        <w:rPr>
          <w:rFonts w:ascii="Times New Roman" w:hAnsi="Times New Roman" w:cs="Times New Roman"/>
          <w:sz w:val="28"/>
          <w:szCs w:val="28"/>
        </w:rPr>
        <w:t>Al-Tamimi &amp; Al-Mazrooei, 2007</w:t>
      </w:r>
      <w:r w:rsidRPr="006D54B5">
        <w:rPr>
          <w:rFonts w:ascii="Times New Roman" w:hAnsi="Times New Roman" w:cs="Times New Roman"/>
          <w:sz w:val="28"/>
          <w:szCs w:val="28"/>
          <w:rtl/>
        </w:rPr>
        <w:t>). تشير بعض الدراسات إلى أن دمج مبادئ الاستدامة مع ممارسات إدارة المخاطر يعزز من قدرة البنوك على التعامل مع الأزمات المالية وتحقيق نمو مستدام (</w:t>
      </w:r>
      <w:r w:rsidRPr="006D54B5">
        <w:rPr>
          <w:rFonts w:ascii="Times New Roman" w:hAnsi="Times New Roman" w:cs="Times New Roman"/>
          <w:sz w:val="28"/>
          <w:szCs w:val="28"/>
        </w:rPr>
        <w:t>Sassen et al., 2016</w:t>
      </w:r>
      <w:r w:rsidRPr="006D54B5">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ومن جهة أخرى، يُعد الأداء المالي من المؤشرات الأساسية لقياس نجاح أي مؤسسة مصرفية، ويعتمد إلى حد كبير على كفاءة إدارة المخاطر التي تمارسها، حيث يمكن أن تقلل هذه الإدارة من الخسائر المحتملة وتعزز من استقرار الأرباح (</w:t>
      </w:r>
      <w:r w:rsidRPr="006D54B5">
        <w:rPr>
          <w:rFonts w:ascii="Times New Roman" w:hAnsi="Times New Roman" w:cs="Times New Roman"/>
          <w:sz w:val="28"/>
          <w:szCs w:val="28"/>
        </w:rPr>
        <w:t>Moles &amp; Terry, 2010</w:t>
      </w:r>
      <w:r w:rsidRPr="006D54B5">
        <w:rPr>
          <w:rFonts w:ascii="Times New Roman" w:hAnsi="Times New Roman" w:cs="Times New Roman"/>
          <w:sz w:val="28"/>
          <w:szCs w:val="28"/>
          <w:rtl/>
        </w:rPr>
        <w:t>). وبالرغم من ذلك، لا تزال هناك فجوات معرفية حول كيفية تأثير ممارسات إدارة المخاطر على الأداء المالي بشكل مباشر، وخاصة من منظور العاملين داخل البنوك الذين يشكلون نقطة التنفيذ الفعلية لهذه الممارسات.</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lastRenderedPageBreak/>
        <w:t>بناءً على ما سبق، تهدف هذه الدراسة إلى استكشاف دور ممارسات إدارة المخاطر في تعزيز الاستدامة وتحسين الأداء المالي في البنوك التجارية السعودية، وذلك من خلال تقييم واقع تطبيق هذه الممارسات من وجهة نظر العاملين وتحليل أثرها على المتغيرات المستهدفة. ويُنتظر أن تساهم نتائج الدراسة في توفير رؤى علمية وعملية تدعم تطوير سياسات إدارة المخاطر لتعزيز الاستدامة المالية والاقتصادية للبنوك.</w:t>
      </w:r>
    </w:p>
    <w:p w:rsidR="00872B9A" w:rsidRPr="00776862" w:rsidRDefault="00872B9A" w:rsidP="00872B9A">
      <w:pPr>
        <w:pStyle w:val="1"/>
        <w:spacing w:line="360" w:lineRule="auto"/>
        <w:rPr>
          <w:rFonts w:ascii="Simplified Arabic" w:hAnsi="Simplified Arabic" w:cs="Simplified Arabic"/>
          <w:b/>
          <w:bCs/>
          <w:color w:val="0D0D0D" w:themeColor="text1" w:themeTint="F2"/>
          <w:rtl/>
        </w:rPr>
      </w:pPr>
      <w:bookmarkStart w:id="3" w:name="_Toc203686981"/>
      <w:r w:rsidRPr="00776862">
        <w:rPr>
          <w:rFonts w:ascii="Simplified Arabic" w:hAnsi="Simplified Arabic" w:cs="Simplified Arabic"/>
          <w:b/>
          <w:bCs/>
          <w:color w:val="0D0D0D" w:themeColor="text1" w:themeTint="F2"/>
          <w:rtl/>
        </w:rPr>
        <w:t>مشكلة الدراسة:</w:t>
      </w:r>
      <w:bookmarkEnd w:id="3"/>
    </w:p>
    <w:p w:rsidR="00872B9A" w:rsidRPr="009F25C1" w:rsidRDefault="00872B9A" w:rsidP="00872B9A">
      <w:pPr>
        <w:spacing w:line="360" w:lineRule="auto"/>
        <w:ind w:firstLine="368"/>
        <w:jc w:val="both"/>
        <w:rPr>
          <w:rFonts w:ascii="Times New Roman" w:hAnsi="Times New Roman" w:cs="Times New Roman"/>
          <w:sz w:val="28"/>
          <w:szCs w:val="28"/>
          <w:rtl/>
          <w:lang w:bidi="ar-DZ"/>
        </w:rPr>
      </w:pPr>
      <w:r w:rsidRPr="009F25C1">
        <w:rPr>
          <w:rFonts w:ascii="Times New Roman" w:hAnsi="Times New Roman" w:cs="Times New Roman"/>
          <w:sz w:val="28"/>
          <w:szCs w:val="28"/>
          <w:rtl/>
          <w:lang w:bidi="ar-DZ"/>
        </w:rPr>
        <w:t>تواجه البنوك التجارية في ظل التغيرات الاقتصادية والتقلبات السوقية تحديات متزايدة تتعلق بإدارة المخاطر المالية وغير المالية، مما يؤثر بشكل مباشر على استقرارها المالي وقدرتها على تحقيق الاستدامة المؤسسية. وعلى الرغم من الأهمية المتزايدة لممارسات إدارة المخاطر في القطاع المصرفي، إلا أن هناك تفاوتًا واضحًا في مدى تطبيق هذه الممارسات وفعاليتها عبر البنوك المختلفة، خصوصًا في الأسواق الناشئة مثل المملكة العربية السعودية.</w:t>
      </w:r>
    </w:p>
    <w:p w:rsidR="00872B9A" w:rsidRPr="009F25C1" w:rsidRDefault="00872B9A" w:rsidP="00872B9A">
      <w:pPr>
        <w:spacing w:line="360" w:lineRule="auto"/>
        <w:ind w:firstLine="368"/>
        <w:jc w:val="both"/>
        <w:rPr>
          <w:rFonts w:ascii="Times New Roman" w:hAnsi="Times New Roman" w:cs="Times New Roman"/>
          <w:sz w:val="28"/>
          <w:szCs w:val="28"/>
          <w:rtl/>
          <w:lang w:bidi="ar-DZ"/>
        </w:rPr>
      </w:pPr>
      <w:r w:rsidRPr="009F25C1">
        <w:rPr>
          <w:rFonts w:ascii="Times New Roman" w:hAnsi="Times New Roman" w:cs="Times New Roman"/>
          <w:sz w:val="28"/>
          <w:szCs w:val="28"/>
          <w:rtl/>
          <w:lang w:bidi="ar-DZ"/>
        </w:rPr>
        <w:t>تُظهر الدراسات السابقة أن تطبيق ممارسات إدارة المخاطر بشكل فعّال يساهم في تقليل الخسائر المالية وتعزيز قدرة البنك على مواجهة التحديات، مما يؤثر بدوره على الأداء المالي للبنك واستدامته على المدى الطويل. مع ذلك، يظل الدور الحقيقي والفعلي لهذه الممارسات في تحقيق الاستدامة المالية وتحسين الأداء المالي غير واضح بشكل كامل في البيئة المصرفية السعودية، خاصة من منظور العاملين في البنوك الذين يشكلون العنصر الأساسي في تنفيذ وتطبيق هذه السياسات.</w:t>
      </w:r>
    </w:p>
    <w:p w:rsidR="00872B9A" w:rsidRPr="009F25C1" w:rsidRDefault="00872B9A" w:rsidP="00872B9A">
      <w:pPr>
        <w:spacing w:line="360" w:lineRule="auto"/>
        <w:ind w:firstLine="368"/>
        <w:jc w:val="both"/>
        <w:rPr>
          <w:rFonts w:ascii="Times New Roman" w:hAnsi="Times New Roman" w:cs="Times New Roman"/>
          <w:sz w:val="28"/>
          <w:szCs w:val="28"/>
          <w:rtl/>
          <w:lang w:bidi="ar-DZ"/>
        </w:rPr>
      </w:pPr>
      <w:r w:rsidRPr="009F25C1">
        <w:rPr>
          <w:rFonts w:ascii="Times New Roman" w:hAnsi="Times New Roman" w:cs="Times New Roman"/>
          <w:sz w:val="28"/>
          <w:szCs w:val="28"/>
          <w:rtl/>
          <w:lang w:bidi="ar-DZ"/>
        </w:rPr>
        <w:t>بالإضافة إلى ذلك، يلاحظ وجود فجوة معرفية في الأدبيات العلمية فيما يتعلق بكيفية تأثير ممارسات إدارة المخاطر على الاستدامة المؤسسية والأداء المالي للبنوك التجارية، ولا سيما فيما يتعلق بالعوامل الشخصية التي قد تؤثر على مدى إدراك وتطبيق هذه الممارسات بين العاملين في القطاع. هذا يجعل من الضروري إجراء دراسة ميدانية تركز على تقييم واقع تطبيق إدارة المخاطر من خلال وجهة نظر العاملين، وتحليل أثر هذه الممارسات على الاستدامة وتحسين الأداء المالي، مع الأخذ في الاعتبار المتغيرات الشخصية التي قد تفسر الفروق في وجهات النظر.</w:t>
      </w:r>
    </w:p>
    <w:p w:rsidR="00872B9A" w:rsidRPr="009F25C1" w:rsidRDefault="00872B9A" w:rsidP="00872B9A">
      <w:pPr>
        <w:spacing w:line="360" w:lineRule="auto"/>
        <w:ind w:firstLine="368"/>
        <w:jc w:val="both"/>
        <w:rPr>
          <w:rFonts w:ascii="Times New Roman" w:hAnsi="Times New Roman" w:cs="Times New Roman" w:hint="cs"/>
          <w:sz w:val="28"/>
          <w:szCs w:val="28"/>
          <w:rtl/>
        </w:rPr>
      </w:pPr>
      <w:r w:rsidRPr="009F25C1">
        <w:rPr>
          <w:rFonts w:ascii="Times New Roman" w:hAnsi="Times New Roman" w:cs="Times New Roman"/>
          <w:sz w:val="28"/>
          <w:szCs w:val="28"/>
          <w:rtl/>
          <w:lang w:bidi="ar-DZ"/>
        </w:rPr>
        <w:t>لذلك، تهدف هذه الدراسة إلى سد هذه الفجوة المعرفية من خلال التحقق من واقع ممارسات إدارة المخاطر في البنوك التجارية السعودية، وتقييم تأثيرها في تعزيز الاستدامة وتحسين الأداء المالي، مما يتيح إمكانية تطوير سياسات وإجراءات أكثر فعالية تساهم في استقرار القطاع المصرفي وتعزيز دوره في الاقتصاد الوطني.</w:t>
      </w:r>
    </w:p>
    <w:p w:rsidR="00872B9A" w:rsidRDefault="00872B9A" w:rsidP="00872B9A">
      <w:pPr>
        <w:pStyle w:val="1"/>
        <w:spacing w:line="360" w:lineRule="auto"/>
        <w:rPr>
          <w:rFonts w:ascii="Simplified Arabic" w:hAnsi="Simplified Arabic" w:cs="Simplified Arabic"/>
          <w:b/>
          <w:bCs/>
          <w:color w:val="0D0D0D" w:themeColor="text1" w:themeTint="F2"/>
          <w:rtl/>
        </w:rPr>
      </w:pPr>
      <w:bookmarkStart w:id="4" w:name="_Toc203686982"/>
      <w:r w:rsidRPr="00CF4920">
        <w:rPr>
          <w:rFonts w:ascii="Simplified Arabic" w:hAnsi="Simplified Arabic" w:cs="Simplified Arabic"/>
          <w:b/>
          <w:bCs/>
          <w:color w:val="0D0D0D" w:themeColor="text1" w:themeTint="F2"/>
          <w:rtl/>
        </w:rPr>
        <w:lastRenderedPageBreak/>
        <w:t>أهمية الدراس</w:t>
      </w:r>
      <w:r w:rsidRPr="00CF4920">
        <w:rPr>
          <w:rFonts w:ascii="Simplified Arabic" w:hAnsi="Simplified Arabic" w:cs="Simplified Arabic" w:hint="cs"/>
          <w:b/>
          <w:bCs/>
          <w:color w:val="0D0D0D" w:themeColor="text1" w:themeTint="F2"/>
          <w:rtl/>
        </w:rPr>
        <w:t>ة:</w:t>
      </w:r>
      <w:bookmarkEnd w:id="4"/>
    </w:p>
    <w:p w:rsidR="00872B9A" w:rsidRPr="005E669A" w:rsidRDefault="00872B9A" w:rsidP="00872B9A">
      <w:pPr>
        <w:spacing w:line="360" w:lineRule="auto"/>
        <w:jc w:val="both"/>
        <w:rPr>
          <w:rFonts w:asciiTheme="majorBidi" w:hAnsiTheme="majorBidi" w:cstheme="majorBidi"/>
          <w:b/>
          <w:bCs/>
          <w:sz w:val="28"/>
          <w:szCs w:val="28"/>
          <w:rtl/>
        </w:rPr>
      </w:pPr>
      <w:r w:rsidRPr="005E669A">
        <w:rPr>
          <w:rFonts w:asciiTheme="majorBidi" w:hAnsiTheme="majorBidi" w:cstheme="majorBidi" w:hint="cs"/>
          <w:b/>
          <w:bCs/>
          <w:sz w:val="28"/>
          <w:szCs w:val="28"/>
          <w:rtl/>
        </w:rPr>
        <w:t xml:space="preserve">اولاً: </w:t>
      </w:r>
      <w:r w:rsidRPr="005E669A">
        <w:rPr>
          <w:rFonts w:asciiTheme="majorBidi" w:hAnsiTheme="majorBidi" w:cstheme="majorBidi"/>
          <w:b/>
          <w:bCs/>
          <w:sz w:val="28"/>
          <w:szCs w:val="28"/>
          <w:rtl/>
        </w:rPr>
        <w:t>الأهمية العلمية:</w:t>
      </w:r>
    </w:p>
    <w:p w:rsidR="00872B9A" w:rsidRPr="009D6200" w:rsidRDefault="00872B9A" w:rsidP="00872B9A">
      <w:pPr>
        <w:pStyle w:val="a4"/>
        <w:numPr>
          <w:ilvl w:val="0"/>
          <w:numId w:val="2"/>
        </w:numPr>
        <w:spacing w:line="360" w:lineRule="auto"/>
        <w:ind w:left="360"/>
        <w:jc w:val="both"/>
        <w:rPr>
          <w:rFonts w:ascii="Times New Roman" w:hAnsi="Times New Roman" w:cs="Times New Roman"/>
          <w:sz w:val="28"/>
          <w:szCs w:val="28"/>
          <w:rtl/>
        </w:rPr>
      </w:pPr>
      <w:r w:rsidRPr="009D6200">
        <w:rPr>
          <w:rFonts w:ascii="Times New Roman" w:hAnsi="Times New Roman" w:cs="Times New Roman"/>
          <w:sz w:val="28"/>
          <w:szCs w:val="28"/>
          <w:rtl/>
        </w:rPr>
        <w:t>إثراء الأدبيات العلمية: يسهم هذا البحث في إثراء الأدبيات العلمية المتعلقة بإدارة المخاطر، والاستدامة، وتحسين الأداء المالي في القطاع المصرفي، لا سيما في السياق السعودي، من خلال تقديم إطار تحليلي مبني على آراء العاملين في البنوك التجارية.</w:t>
      </w:r>
    </w:p>
    <w:p w:rsidR="00872B9A" w:rsidRPr="009D6200" w:rsidRDefault="00872B9A" w:rsidP="00872B9A">
      <w:pPr>
        <w:pStyle w:val="a4"/>
        <w:numPr>
          <w:ilvl w:val="0"/>
          <w:numId w:val="2"/>
        </w:numPr>
        <w:spacing w:line="360" w:lineRule="auto"/>
        <w:ind w:left="360"/>
        <w:jc w:val="both"/>
        <w:rPr>
          <w:rFonts w:ascii="Times New Roman" w:hAnsi="Times New Roman" w:cs="Times New Roman"/>
          <w:sz w:val="28"/>
          <w:szCs w:val="28"/>
          <w:rtl/>
        </w:rPr>
      </w:pPr>
      <w:r w:rsidRPr="009D6200">
        <w:rPr>
          <w:rFonts w:ascii="Times New Roman" w:hAnsi="Times New Roman" w:cs="Times New Roman"/>
          <w:sz w:val="28"/>
          <w:szCs w:val="28"/>
          <w:rtl/>
        </w:rPr>
        <w:t>مواكبة التوجهات الحديثة: تمثل الدراسة مساهمة مهمة في مجال إدارة الأعمال والمصارف، حيث تواكب التوجهات العالمية الحديثة في ربط إدارة المخاطر بمفاهيم الاستدامة والكفاءة المالية، وتسلط الضوء على دور هذه الممارسات في تحقيق أداء مالي مستدام.</w:t>
      </w:r>
    </w:p>
    <w:p w:rsidR="00872B9A" w:rsidRPr="009D6200" w:rsidRDefault="00872B9A" w:rsidP="00872B9A">
      <w:pPr>
        <w:pStyle w:val="a4"/>
        <w:numPr>
          <w:ilvl w:val="0"/>
          <w:numId w:val="2"/>
        </w:numPr>
        <w:spacing w:line="360" w:lineRule="auto"/>
        <w:ind w:left="360"/>
        <w:jc w:val="both"/>
        <w:rPr>
          <w:rFonts w:ascii="Times New Roman" w:hAnsi="Times New Roman" w:cs="Times New Roman"/>
          <w:sz w:val="28"/>
          <w:szCs w:val="28"/>
          <w:rtl/>
        </w:rPr>
      </w:pPr>
      <w:r w:rsidRPr="009D6200">
        <w:rPr>
          <w:rFonts w:ascii="Times New Roman" w:hAnsi="Times New Roman" w:cs="Times New Roman"/>
          <w:sz w:val="28"/>
          <w:szCs w:val="28"/>
          <w:rtl/>
        </w:rPr>
        <w:t>تحليل العوامل المؤثرة: تتيح هذه الدراسة فرصة لتحليل العلاقة المتداخلة بين ممارسات إدارة المخاطر والاستدامة من جهة، والأداء المالي من جهة أخرى، مما يساهم في بناء فهم أعمق للعوامل التي تؤثر في كفاءة عمل البنوك التجارية.</w:t>
      </w:r>
    </w:p>
    <w:p w:rsidR="00872B9A" w:rsidRPr="005E669A" w:rsidRDefault="00872B9A" w:rsidP="00872B9A">
      <w:pPr>
        <w:spacing w:line="360" w:lineRule="auto"/>
        <w:jc w:val="both"/>
        <w:rPr>
          <w:rFonts w:asciiTheme="majorBidi" w:hAnsiTheme="majorBidi" w:cstheme="majorBidi"/>
          <w:b/>
          <w:bCs/>
          <w:sz w:val="28"/>
          <w:szCs w:val="28"/>
          <w:rtl/>
        </w:rPr>
      </w:pPr>
      <w:r w:rsidRPr="005E669A">
        <w:rPr>
          <w:rFonts w:asciiTheme="majorBidi" w:hAnsiTheme="majorBidi" w:cstheme="majorBidi" w:hint="cs"/>
          <w:b/>
          <w:bCs/>
          <w:sz w:val="28"/>
          <w:szCs w:val="28"/>
          <w:rtl/>
        </w:rPr>
        <w:t xml:space="preserve">ثانياً: </w:t>
      </w:r>
      <w:r w:rsidRPr="005E669A">
        <w:rPr>
          <w:rFonts w:asciiTheme="majorBidi" w:hAnsiTheme="majorBidi" w:cstheme="majorBidi"/>
          <w:b/>
          <w:bCs/>
          <w:sz w:val="28"/>
          <w:szCs w:val="28"/>
          <w:rtl/>
        </w:rPr>
        <w:t>الأهمية العملية:</w:t>
      </w:r>
    </w:p>
    <w:p w:rsidR="00872B9A" w:rsidRPr="009D6200" w:rsidRDefault="00872B9A" w:rsidP="00872B9A">
      <w:pPr>
        <w:pStyle w:val="a4"/>
        <w:numPr>
          <w:ilvl w:val="0"/>
          <w:numId w:val="3"/>
        </w:numPr>
        <w:spacing w:line="360" w:lineRule="auto"/>
        <w:ind w:left="360"/>
        <w:jc w:val="both"/>
        <w:rPr>
          <w:rFonts w:ascii="Times New Roman" w:hAnsi="Times New Roman" w:cs="Times New Roman"/>
          <w:sz w:val="28"/>
          <w:szCs w:val="28"/>
          <w:rtl/>
        </w:rPr>
      </w:pPr>
      <w:r w:rsidRPr="009D6200">
        <w:rPr>
          <w:rFonts w:ascii="Times New Roman" w:hAnsi="Times New Roman" w:cs="Times New Roman"/>
          <w:sz w:val="28"/>
          <w:szCs w:val="28"/>
          <w:rtl/>
        </w:rPr>
        <w:t>تحسين الأداء المالي في البنوك: تقدم الدراسة نتائج وتوصيات عملية يمكن أن تساهم في تحسين الأداء المالي للبنوك التجارية من خلال تطوير ممارسات إدارة المخاطر وتكاملها مع السياسات المالية والاستراتيجية.</w:t>
      </w:r>
    </w:p>
    <w:p w:rsidR="00872B9A" w:rsidRPr="009D6200" w:rsidRDefault="00872B9A" w:rsidP="00872B9A">
      <w:pPr>
        <w:pStyle w:val="a4"/>
        <w:numPr>
          <w:ilvl w:val="0"/>
          <w:numId w:val="3"/>
        </w:numPr>
        <w:spacing w:line="360" w:lineRule="auto"/>
        <w:ind w:left="360"/>
        <w:jc w:val="both"/>
        <w:rPr>
          <w:rFonts w:ascii="Times New Roman" w:hAnsi="Times New Roman" w:cs="Times New Roman"/>
          <w:sz w:val="28"/>
          <w:szCs w:val="28"/>
          <w:rtl/>
        </w:rPr>
      </w:pPr>
      <w:r w:rsidRPr="009D6200">
        <w:rPr>
          <w:rFonts w:ascii="Times New Roman" w:hAnsi="Times New Roman" w:cs="Times New Roman"/>
          <w:sz w:val="28"/>
          <w:szCs w:val="28"/>
          <w:rtl/>
        </w:rPr>
        <w:t>دعم متخذي القرار في البنوك: توفر نتائج الدراسة رؤى واقعية قائمة على بيانات ميدانية يمكن أن تساعد صناع القرار ومديري المخاطر في البنوك على تطوير سياسات وإجراءات أكثر فعالية لتعزيز الاستدامة وتقليل الخسائر المالية المحتملة.</w:t>
      </w:r>
    </w:p>
    <w:p w:rsidR="00872B9A" w:rsidRPr="009D6200" w:rsidRDefault="00872B9A" w:rsidP="00872B9A">
      <w:pPr>
        <w:pStyle w:val="a4"/>
        <w:numPr>
          <w:ilvl w:val="0"/>
          <w:numId w:val="3"/>
        </w:numPr>
        <w:spacing w:line="360" w:lineRule="auto"/>
        <w:ind w:left="360"/>
        <w:jc w:val="both"/>
        <w:rPr>
          <w:rFonts w:ascii="Times New Roman" w:hAnsi="Times New Roman" w:cs="Times New Roman"/>
          <w:sz w:val="28"/>
          <w:szCs w:val="28"/>
          <w:rtl/>
        </w:rPr>
      </w:pPr>
      <w:r w:rsidRPr="009D6200">
        <w:rPr>
          <w:rFonts w:ascii="Times New Roman" w:hAnsi="Times New Roman" w:cs="Times New Roman"/>
          <w:sz w:val="28"/>
          <w:szCs w:val="28"/>
          <w:rtl/>
        </w:rPr>
        <w:t>تعزيز استدامة القطاع المصرفي: تساهم الدراسة في دعم جهود البنوك نحو تبني ممارسات مصرفية مستدامة ومسؤولة، وذلك من خلال تسليط الضوء على أهمية دمج إدارة المخاطر في الخطط الاستراتيجية لضمان استمرارية الأعمال والاستجابة للمخاطر المستقبلية.</w:t>
      </w:r>
    </w:p>
    <w:p w:rsidR="00872B9A" w:rsidRPr="009D6200" w:rsidRDefault="00872B9A" w:rsidP="00872B9A">
      <w:pPr>
        <w:pStyle w:val="a4"/>
        <w:numPr>
          <w:ilvl w:val="0"/>
          <w:numId w:val="3"/>
        </w:numPr>
        <w:spacing w:line="360" w:lineRule="auto"/>
        <w:ind w:left="360"/>
        <w:jc w:val="both"/>
        <w:rPr>
          <w:rFonts w:ascii="Times New Roman" w:hAnsi="Times New Roman" w:cs="Times New Roman"/>
          <w:sz w:val="28"/>
          <w:szCs w:val="28"/>
          <w:rtl/>
        </w:rPr>
      </w:pPr>
      <w:r w:rsidRPr="009D6200">
        <w:rPr>
          <w:rFonts w:ascii="Times New Roman" w:hAnsi="Times New Roman" w:cs="Times New Roman"/>
          <w:sz w:val="28"/>
          <w:szCs w:val="28"/>
          <w:rtl/>
        </w:rPr>
        <w:t>تحديد الاحتياجات التدريبية: تساعد نتائج الدراسة في تحديد نقاط القوة والضعف في تطبيق إدارة المخاطر داخل البنوك، مما يدعم تصميم برامج تدريب وتطوير تستهدف رفع كفاءة العاملين وتحسين قدرتهم على التعامل مع المخاطر.</w:t>
      </w: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lang w:bidi="ar-DZ"/>
        </w:rPr>
      </w:pPr>
    </w:p>
    <w:p w:rsidR="00872B9A" w:rsidRDefault="00872B9A" w:rsidP="00872B9A">
      <w:pPr>
        <w:pStyle w:val="1"/>
        <w:spacing w:before="0" w:line="276" w:lineRule="auto"/>
        <w:rPr>
          <w:rFonts w:ascii="Simplified Arabic" w:hAnsi="Simplified Arabic" w:cs="Simplified Arabic"/>
          <w:b/>
          <w:bCs/>
          <w:color w:val="0D0D0D" w:themeColor="text1" w:themeTint="F2"/>
          <w:rtl/>
        </w:rPr>
      </w:pPr>
      <w:bookmarkStart w:id="5" w:name="_Toc203686983"/>
      <w:r w:rsidRPr="00CF4920">
        <w:rPr>
          <w:rFonts w:ascii="Simplified Arabic" w:hAnsi="Simplified Arabic" w:cs="Simplified Arabic"/>
          <w:b/>
          <w:bCs/>
          <w:color w:val="0D0D0D" w:themeColor="text1" w:themeTint="F2"/>
          <w:rtl/>
        </w:rPr>
        <w:lastRenderedPageBreak/>
        <w:t>أهداف الدراسة:</w:t>
      </w:r>
      <w:bookmarkEnd w:id="5"/>
    </w:p>
    <w:p w:rsidR="00872B9A" w:rsidRPr="00B84A47" w:rsidRDefault="00872B9A" w:rsidP="00872B9A">
      <w:pPr>
        <w:spacing w:line="360" w:lineRule="auto"/>
        <w:jc w:val="both"/>
        <w:rPr>
          <w:rFonts w:ascii="Times New Roman" w:hAnsi="Times New Roman" w:cs="Times New Roman"/>
          <w:sz w:val="28"/>
          <w:szCs w:val="28"/>
          <w:rtl/>
          <w:lang w:bidi="ar-DZ"/>
        </w:rPr>
      </w:pPr>
      <w:r w:rsidRPr="00B84A47">
        <w:rPr>
          <w:rFonts w:ascii="Times New Roman" w:hAnsi="Times New Roman" w:cs="Times New Roman"/>
          <w:sz w:val="28"/>
          <w:szCs w:val="28"/>
          <w:rtl/>
          <w:lang w:bidi="ar-DZ"/>
        </w:rPr>
        <w:t>يهدف البحث الحالي إلى التحقق من الهدف الرئيس، والذي هو:</w:t>
      </w:r>
    </w:p>
    <w:p w:rsidR="00872B9A" w:rsidRPr="00B84A47" w:rsidRDefault="00872B9A" w:rsidP="00872B9A">
      <w:pPr>
        <w:spacing w:line="360" w:lineRule="auto"/>
        <w:jc w:val="both"/>
        <w:rPr>
          <w:rFonts w:ascii="Times New Roman" w:hAnsi="Times New Roman" w:cs="Times New Roman"/>
          <w:sz w:val="28"/>
          <w:szCs w:val="28"/>
          <w:rtl/>
          <w:lang w:bidi="ar-DZ"/>
        </w:rPr>
      </w:pPr>
      <w:r w:rsidRPr="00B84A47">
        <w:rPr>
          <w:rFonts w:ascii="Times New Roman" w:hAnsi="Times New Roman" w:cs="Times New Roman"/>
          <w:sz w:val="28"/>
          <w:szCs w:val="28"/>
          <w:rtl/>
          <w:lang w:bidi="ar-DZ"/>
        </w:rPr>
        <w:t>معرفة دور ممارسات إدارة المخاطر في تعزيز الاستدامة وتحسين الأداء المالي في البنوك التجارية.</w:t>
      </w:r>
    </w:p>
    <w:p w:rsidR="00872B9A" w:rsidRPr="00B84A47" w:rsidRDefault="00872B9A" w:rsidP="00872B9A">
      <w:pPr>
        <w:spacing w:line="360" w:lineRule="auto"/>
        <w:jc w:val="both"/>
        <w:rPr>
          <w:rFonts w:ascii="Times New Roman" w:hAnsi="Times New Roman" w:cs="Times New Roman"/>
          <w:sz w:val="28"/>
          <w:szCs w:val="28"/>
          <w:rtl/>
          <w:lang w:bidi="ar-DZ"/>
        </w:rPr>
      </w:pPr>
      <w:r w:rsidRPr="00B84A47">
        <w:rPr>
          <w:rFonts w:ascii="Times New Roman" w:hAnsi="Times New Roman" w:cs="Times New Roman"/>
          <w:sz w:val="28"/>
          <w:szCs w:val="28"/>
          <w:rtl/>
          <w:lang w:bidi="ar-DZ"/>
        </w:rPr>
        <w:t>ويتفرع من هذا الهدف الرئيس الأهداف الفرعية التالية:</w:t>
      </w:r>
    </w:p>
    <w:p w:rsidR="00872B9A" w:rsidRPr="00B84A47" w:rsidRDefault="00872B9A" w:rsidP="00872B9A">
      <w:pPr>
        <w:pStyle w:val="a4"/>
        <w:numPr>
          <w:ilvl w:val="0"/>
          <w:numId w:val="1"/>
        </w:numPr>
        <w:spacing w:line="360" w:lineRule="auto"/>
        <w:jc w:val="both"/>
        <w:rPr>
          <w:rFonts w:ascii="Times New Roman" w:hAnsi="Times New Roman" w:cs="Times New Roman"/>
          <w:sz w:val="28"/>
          <w:szCs w:val="28"/>
          <w:rtl/>
          <w:lang w:bidi="ar-DZ"/>
        </w:rPr>
      </w:pPr>
      <w:r w:rsidRPr="00B84A47">
        <w:rPr>
          <w:rFonts w:ascii="Times New Roman" w:hAnsi="Times New Roman" w:cs="Times New Roman"/>
          <w:sz w:val="28"/>
          <w:szCs w:val="28"/>
          <w:rtl/>
          <w:lang w:bidi="ar-DZ"/>
        </w:rPr>
        <w:t>معرفة واقع تطبيق ممارسات إدارة المخاطر في البنوك التجارية بالمملكة العربية السعودية.</w:t>
      </w:r>
    </w:p>
    <w:p w:rsidR="00872B9A" w:rsidRPr="00B84A47" w:rsidRDefault="00872B9A" w:rsidP="00872B9A">
      <w:pPr>
        <w:pStyle w:val="a4"/>
        <w:numPr>
          <w:ilvl w:val="0"/>
          <w:numId w:val="1"/>
        </w:numPr>
        <w:spacing w:line="360" w:lineRule="auto"/>
        <w:jc w:val="both"/>
        <w:rPr>
          <w:rFonts w:ascii="Times New Roman" w:hAnsi="Times New Roman" w:cs="Times New Roman"/>
          <w:sz w:val="28"/>
          <w:szCs w:val="28"/>
          <w:rtl/>
          <w:lang w:bidi="ar-DZ"/>
        </w:rPr>
      </w:pPr>
      <w:r w:rsidRPr="00B84A47">
        <w:rPr>
          <w:rFonts w:ascii="Times New Roman" w:hAnsi="Times New Roman" w:cs="Times New Roman"/>
          <w:sz w:val="28"/>
          <w:szCs w:val="28"/>
          <w:rtl/>
          <w:lang w:bidi="ar-DZ"/>
        </w:rPr>
        <w:t>تحليل العلاقة بين ممارسات إدارة المخاطر وتعزيز الاستدامة في البنوك التجارية.</w:t>
      </w:r>
    </w:p>
    <w:p w:rsidR="00872B9A" w:rsidRPr="00B84A47" w:rsidRDefault="00872B9A" w:rsidP="00872B9A">
      <w:pPr>
        <w:pStyle w:val="a4"/>
        <w:numPr>
          <w:ilvl w:val="0"/>
          <w:numId w:val="1"/>
        </w:numPr>
        <w:spacing w:line="360" w:lineRule="auto"/>
        <w:jc w:val="both"/>
        <w:rPr>
          <w:rFonts w:ascii="Times New Roman" w:hAnsi="Times New Roman" w:cs="Times New Roman"/>
          <w:sz w:val="28"/>
          <w:szCs w:val="28"/>
          <w:rtl/>
          <w:lang w:bidi="ar-DZ"/>
        </w:rPr>
      </w:pPr>
      <w:r w:rsidRPr="00B84A47">
        <w:rPr>
          <w:rFonts w:ascii="Times New Roman" w:hAnsi="Times New Roman" w:cs="Times New Roman"/>
          <w:sz w:val="28"/>
          <w:szCs w:val="28"/>
          <w:rtl/>
          <w:lang w:bidi="ar-DZ"/>
        </w:rPr>
        <w:t>استكشاف أثر ممارسات إدارة المخاطر على تحسين الأداء المالي في البنوك التجارية.</w:t>
      </w:r>
    </w:p>
    <w:p w:rsidR="00872B9A" w:rsidRPr="00B84A47" w:rsidRDefault="00872B9A" w:rsidP="00872B9A">
      <w:pPr>
        <w:pStyle w:val="a4"/>
        <w:numPr>
          <w:ilvl w:val="0"/>
          <w:numId w:val="1"/>
        </w:numPr>
        <w:spacing w:line="360" w:lineRule="auto"/>
        <w:jc w:val="both"/>
        <w:rPr>
          <w:rFonts w:ascii="Times New Roman" w:hAnsi="Times New Roman" w:cs="Times New Roman"/>
          <w:sz w:val="28"/>
          <w:szCs w:val="28"/>
          <w:rtl/>
          <w:lang w:bidi="ar-DZ"/>
        </w:rPr>
      </w:pPr>
      <w:r w:rsidRPr="00B84A47">
        <w:rPr>
          <w:rFonts w:ascii="Times New Roman" w:hAnsi="Times New Roman" w:cs="Times New Roman"/>
          <w:sz w:val="28"/>
          <w:szCs w:val="28"/>
          <w:rtl/>
          <w:lang w:bidi="ar-DZ"/>
        </w:rPr>
        <w:t>معرفة ما إذا كان هناك تباين في اتجاهات إجابات عينة الدراسة حول دور ممارسات إدارة المخاطر في تعزيز الاستدامة وتحسين الأداء المالي في البنوك التجارية يُعزى إلى المتغيرات الشخصية (الجنس، العمر، المؤهل العلمي، عدد سنوات الخبرة، المسمى الوظيفي، نوع البنك).</w:t>
      </w:r>
    </w:p>
    <w:p w:rsidR="00872B9A" w:rsidRDefault="00872B9A" w:rsidP="00872B9A">
      <w:pPr>
        <w:spacing w:line="360" w:lineRule="auto"/>
        <w:jc w:val="both"/>
        <w:rPr>
          <w:rFonts w:ascii="Times New Roman" w:hAnsi="Times New Roman" w:cs="Times New Roman"/>
          <w:sz w:val="28"/>
          <w:szCs w:val="28"/>
          <w:rtl/>
          <w:lang w:bidi="ar-DZ"/>
        </w:rPr>
      </w:pPr>
    </w:p>
    <w:p w:rsidR="00872B9A" w:rsidRPr="00CF4920" w:rsidRDefault="00872B9A" w:rsidP="00872B9A">
      <w:pPr>
        <w:pStyle w:val="1"/>
        <w:spacing w:after="120" w:line="240" w:lineRule="auto"/>
        <w:rPr>
          <w:rFonts w:ascii="Simplified Arabic" w:hAnsi="Simplified Arabic" w:cs="Simplified Arabic"/>
          <w:b/>
          <w:bCs/>
          <w:color w:val="0D0D0D" w:themeColor="text1" w:themeTint="F2"/>
          <w:rtl/>
        </w:rPr>
      </w:pPr>
      <w:bookmarkStart w:id="6" w:name="_Toc203686984"/>
      <w:r w:rsidRPr="00CF4920">
        <w:rPr>
          <w:rFonts w:ascii="Simplified Arabic" w:hAnsi="Simplified Arabic" w:cs="Simplified Arabic"/>
          <w:b/>
          <w:bCs/>
          <w:color w:val="0D0D0D" w:themeColor="text1" w:themeTint="F2"/>
          <w:rtl/>
        </w:rPr>
        <w:t>تساؤلات الدراسة</w:t>
      </w:r>
      <w:bookmarkEnd w:id="6"/>
    </w:p>
    <w:p w:rsidR="00872B9A" w:rsidRDefault="00872B9A" w:rsidP="00872B9A">
      <w:pPr>
        <w:spacing w:line="360" w:lineRule="auto"/>
        <w:ind w:firstLine="368"/>
        <w:jc w:val="both"/>
        <w:rPr>
          <w:rFonts w:ascii="Times New Roman" w:hAnsi="Times New Roman" w:cs="Times New Roman"/>
          <w:sz w:val="28"/>
          <w:szCs w:val="28"/>
          <w:rtl/>
        </w:rPr>
      </w:pPr>
      <w:r w:rsidRPr="001A149A">
        <w:rPr>
          <w:rFonts w:ascii="Simplified Arabic" w:hAnsi="Simplified Arabic" w:cs="Simplified Arabic"/>
          <w:sz w:val="28"/>
          <w:szCs w:val="28"/>
          <w:rtl/>
        </w:rPr>
        <w:t xml:space="preserve">من خلال إشكالية البحث السابقة </w:t>
      </w:r>
      <w:r>
        <w:rPr>
          <w:rFonts w:ascii="Simplified Arabic" w:hAnsi="Simplified Arabic" w:cs="Simplified Arabic" w:hint="cs"/>
          <w:sz w:val="28"/>
          <w:szCs w:val="28"/>
          <w:rtl/>
        </w:rPr>
        <w:t>واهميته يمكن صياغة السؤال الرئيس للبحث "</w:t>
      </w:r>
      <w:r w:rsidRPr="005069EC">
        <w:rPr>
          <w:rFonts w:ascii="Simplified Arabic" w:hAnsi="Simplified Arabic" w:cs="Simplified Arabic" w:hint="cs"/>
          <w:b/>
          <w:bCs/>
          <w:sz w:val="28"/>
          <w:szCs w:val="28"/>
          <w:rtl/>
        </w:rPr>
        <w:t xml:space="preserve"> </w:t>
      </w:r>
      <w:r w:rsidRPr="00171CE7">
        <w:rPr>
          <w:rFonts w:ascii="Simplified Arabic" w:hAnsi="Simplified Arabic" w:cs="Simplified Arabic"/>
          <w:b/>
          <w:bCs/>
          <w:sz w:val="28"/>
          <w:szCs w:val="28"/>
          <w:rtl/>
        </w:rPr>
        <w:t>ما هو واقع</w:t>
      </w:r>
      <w:r>
        <w:rPr>
          <w:rFonts w:ascii="Simplified Arabic" w:hAnsi="Simplified Arabic" w:cs="Simplified Arabic" w:hint="cs"/>
          <w:b/>
          <w:bCs/>
          <w:sz w:val="28"/>
          <w:szCs w:val="28"/>
          <w:rtl/>
        </w:rPr>
        <w:t xml:space="preserve"> تطبيق أدارة المخاطر في البنوك التجارية بالمملكة العربية السعودية، وما هو أثرها في تعزيز الاستدامة وتحسين الأداء المالي بتلك البنوك</w:t>
      </w:r>
      <w:r w:rsidRPr="00171CE7">
        <w:rPr>
          <w:rFonts w:ascii="Simplified Arabic" w:hAnsi="Simplified Arabic" w:cs="Simplified Arabic"/>
          <w:b/>
          <w:bCs/>
          <w:sz w:val="28"/>
          <w:szCs w:val="28"/>
          <w:rtl/>
        </w:rPr>
        <w:t xml:space="preserve">؟ </w:t>
      </w:r>
      <w:r>
        <w:rPr>
          <w:rFonts w:ascii="Simplified Arabic" w:hAnsi="Simplified Arabic" w:cs="Simplified Arabic" w:hint="cs"/>
          <w:sz w:val="28"/>
          <w:szCs w:val="28"/>
          <w:rtl/>
        </w:rPr>
        <w:t>والذي يتفرع منه الأسئلة الفرعية التالية</w:t>
      </w:r>
    </w:p>
    <w:p w:rsidR="00872B9A" w:rsidRPr="009D6200" w:rsidRDefault="00872B9A" w:rsidP="00872B9A">
      <w:pPr>
        <w:pStyle w:val="a4"/>
        <w:numPr>
          <w:ilvl w:val="0"/>
          <w:numId w:val="4"/>
        </w:numPr>
        <w:spacing w:line="360" w:lineRule="auto"/>
        <w:jc w:val="both"/>
        <w:rPr>
          <w:rFonts w:ascii="Times New Roman" w:hAnsi="Times New Roman" w:cs="Times New Roman"/>
          <w:sz w:val="28"/>
          <w:szCs w:val="28"/>
          <w:rtl/>
        </w:rPr>
      </w:pPr>
      <w:r w:rsidRPr="009D6200">
        <w:rPr>
          <w:rFonts w:ascii="Times New Roman" w:hAnsi="Times New Roman" w:cs="Times New Roman"/>
          <w:sz w:val="28"/>
          <w:szCs w:val="28"/>
          <w:rtl/>
        </w:rPr>
        <w:t>ما هو واقع تطبيق ممارسات إدارة المخاطر في البنوك التجارية بالمملكة العربية السعودية من وجهة نظر العاملين؟</w:t>
      </w:r>
    </w:p>
    <w:p w:rsidR="00872B9A" w:rsidRPr="009D6200" w:rsidRDefault="00872B9A" w:rsidP="00872B9A">
      <w:pPr>
        <w:pStyle w:val="a4"/>
        <w:numPr>
          <w:ilvl w:val="0"/>
          <w:numId w:val="4"/>
        </w:numPr>
        <w:spacing w:line="360" w:lineRule="auto"/>
        <w:jc w:val="both"/>
        <w:rPr>
          <w:rFonts w:ascii="Times New Roman" w:hAnsi="Times New Roman" w:cs="Times New Roman"/>
          <w:sz w:val="28"/>
          <w:szCs w:val="28"/>
          <w:rtl/>
        </w:rPr>
      </w:pPr>
      <w:r w:rsidRPr="009D6200">
        <w:rPr>
          <w:rFonts w:ascii="Times New Roman" w:hAnsi="Times New Roman" w:cs="Times New Roman"/>
          <w:sz w:val="28"/>
          <w:szCs w:val="28"/>
          <w:rtl/>
        </w:rPr>
        <w:t>كيف تساهم ممارسات إدارة المخاطر في تعزيز الاستدامة داخل البنوك التجارية؟</w:t>
      </w:r>
    </w:p>
    <w:p w:rsidR="00872B9A" w:rsidRPr="009D6200" w:rsidRDefault="00872B9A" w:rsidP="00872B9A">
      <w:pPr>
        <w:pStyle w:val="a4"/>
        <w:numPr>
          <w:ilvl w:val="0"/>
          <w:numId w:val="4"/>
        </w:numPr>
        <w:spacing w:line="360" w:lineRule="auto"/>
        <w:jc w:val="both"/>
        <w:rPr>
          <w:rFonts w:ascii="Times New Roman" w:hAnsi="Times New Roman" w:cs="Times New Roman"/>
          <w:sz w:val="28"/>
          <w:szCs w:val="28"/>
          <w:rtl/>
        </w:rPr>
      </w:pPr>
      <w:r w:rsidRPr="009D6200">
        <w:rPr>
          <w:rFonts w:ascii="Times New Roman" w:hAnsi="Times New Roman" w:cs="Times New Roman"/>
          <w:sz w:val="28"/>
          <w:szCs w:val="28"/>
          <w:rtl/>
        </w:rPr>
        <w:t>ما أثر ممارسات إدارة المخاطر على تحسين الأداء المالي في البنوك التجارية؟</w:t>
      </w:r>
    </w:p>
    <w:p w:rsidR="00872B9A" w:rsidRPr="009D6200" w:rsidRDefault="00872B9A" w:rsidP="00872B9A">
      <w:pPr>
        <w:pStyle w:val="a4"/>
        <w:numPr>
          <w:ilvl w:val="0"/>
          <w:numId w:val="4"/>
        </w:numPr>
        <w:spacing w:line="360" w:lineRule="auto"/>
        <w:jc w:val="both"/>
        <w:rPr>
          <w:rFonts w:ascii="Times New Roman" w:hAnsi="Times New Roman" w:cs="Times New Roman"/>
          <w:sz w:val="28"/>
          <w:szCs w:val="28"/>
          <w:rtl/>
        </w:rPr>
      </w:pPr>
      <w:r w:rsidRPr="009D6200">
        <w:rPr>
          <w:rFonts w:ascii="Times New Roman" w:hAnsi="Times New Roman" w:cs="Times New Roman"/>
          <w:sz w:val="28"/>
          <w:szCs w:val="28"/>
          <w:rtl/>
        </w:rPr>
        <w:t xml:space="preserve">هل توجد فروق ذات دلالة إحصائية في اتجاهات العاملين تجاه دور ممارسات إدارة المخاطر في تعزيز الاستدامة وتحسين الأداء المالي تُعزى إلى المتغيرات الشخصية مثل الجنس، العمر، المؤهل العلمي، سنوات الخبرة، المسمى الوظيفي، أو </w:t>
      </w:r>
      <w:r w:rsidRPr="009D6200">
        <w:rPr>
          <w:rFonts w:ascii="Times New Roman" w:hAnsi="Times New Roman" w:cs="Times New Roman" w:hint="cs"/>
          <w:sz w:val="28"/>
          <w:szCs w:val="28"/>
          <w:rtl/>
        </w:rPr>
        <w:t>مكان العمل</w:t>
      </w:r>
      <w:r w:rsidRPr="009D6200">
        <w:rPr>
          <w:rFonts w:ascii="Times New Roman" w:hAnsi="Times New Roman" w:cs="Times New Roman"/>
          <w:sz w:val="28"/>
          <w:szCs w:val="28"/>
          <w:rtl/>
        </w:rPr>
        <w:t>؟</w:t>
      </w: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pStyle w:val="1"/>
        <w:spacing w:after="120" w:line="240" w:lineRule="auto"/>
        <w:rPr>
          <w:rFonts w:ascii="Simplified Arabic" w:hAnsi="Simplified Arabic" w:cs="Simplified Arabic"/>
          <w:b/>
          <w:bCs/>
          <w:color w:val="0D0D0D" w:themeColor="text1" w:themeTint="F2"/>
        </w:rPr>
      </w:pPr>
      <w:bookmarkStart w:id="7" w:name="_Toc203686985"/>
      <w:r w:rsidRPr="00CF4920">
        <w:rPr>
          <w:rFonts w:ascii="Simplified Arabic" w:hAnsi="Simplified Arabic" w:cs="Simplified Arabic"/>
          <w:b/>
          <w:bCs/>
          <w:color w:val="0D0D0D" w:themeColor="text1" w:themeTint="F2"/>
          <w:rtl/>
        </w:rPr>
        <w:lastRenderedPageBreak/>
        <w:t xml:space="preserve">فروض </w:t>
      </w:r>
      <w:r w:rsidRPr="00CF4920">
        <w:rPr>
          <w:rFonts w:ascii="Simplified Arabic" w:hAnsi="Simplified Arabic" w:cs="Simplified Arabic" w:hint="cs"/>
          <w:b/>
          <w:bCs/>
          <w:color w:val="0D0D0D" w:themeColor="text1" w:themeTint="F2"/>
          <w:rtl/>
        </w:rPr>
        <w:t>الدراسة:</w:t>
      </w:r>
      <w:bookmarkEnd w:id="7"/>
    </w:p>
    <w:p w:rsidR="00872B9A" w:rsidRPr="009D6200" w:rsidRDefault="00872B9A" w:rsidP="00872B9A">
      <w:pPr>
        <w:pStyle w:val="a4"/>
        <w:numPr>
          <w:ilvl w:val="0"/>
          <w:numId w:val="5"/>
        </w:numPr>
        <w:spacing w:line="360" w:lineRule="auto"/>
        <w:jc w:val="both"/>
        <w:rPr>
          <w:rFonts w:ascii="Times New Roman" w:hAnsi="Times New Roman" w:cs="Times New Roman"/>
          <w:b/>
          <w:bCs/>
          <w:sz w:val="28"/>
          <w:szCs w:val="28"/>
          <w:rtl/>
        </w:rPr>
      </w:pPr>
      <w:r w:rsidRPr="009D6200">
        <w:rPr>
          <w:rFonts w:ascii="Times New Roman" w:hAnsi="Times New Roman" w:cs="Times New Roman"/>
          <w:b/>
          <w:bCs/>
          <w:sz w:val="28"/>
          <w:szCs w:val="28"/>
          <w:rtl/>
        </w:rPr>
        <w:t>الفرضية الصفرية (</w:t>
      </w:r>
      <w:r w:rsidRPr="009D6200">
        <w:rPr>
          <w:rFonts w:ascii="Times New Roman" w:hAnsi="Times New Roman" w:cs="Times New Roman"/>
          <w:b/>
          <w:bCs/>
          <w:sz w:val="28"/>
          <w:szCs w:val="28"/>
        </w:rPr>
        <w:t>H₀₂</w:t>
      </w:r>
      <w:r w:rsidRPr="009D6200">
        <w:rPr>
          <w:rFonts w:ascii="Times New Roman" w:hAnsi="Times New Roman" w:cs="Times New Roman"/>
          <w:b/>
          <w:bCs/>
          <w:sz w:val="28"/>
          <w:szCs w:val="28"/>
          <w:rtl/>
        </w:rPr>
        <w:t>):</w:t>
      </w:r>
      <w:r w:rsidRPr="009D6200">
        <w:rPr>
          <w:rFonts w:ascii="Times New Roman" w:hAnsi="Times New Roman" w:cs="Times New Roman"/>
          <w:sz w:val="28"/>
          <w:szCs w:val="28"/>
          <w:rtl/>
        </w:rPr>
        <w:t xml:space="preserve"> لا توجد فروق ذات دلالة إحصائية في استجابات عينة الدراسة حول </w:t>
      </w:r>
      <w:r>
        <w:rPr>
          <w:rFonts w:ascii="Times New Roman" w:hAnsi="Times New Roman" w:cs="Times New Roman" w:hint="cs"/>
          <w:sz w:val="28"/>
          <w:szCs w:val="28"/>
          <w:rtl/>
        </w:rPr>
        <w:t>أثر</w:t>
      </w:r>
      <w:r w:rsidRPr="009D6200">
        <w:rPr>
          <w:rFonts w:ascii="Times New Roman" w:hAnsi="Times New Roman" w:cs="Times New Roman"/>
          <w:sz w:val="28"/>
          <w:szCs w:val="28"/>
          <w:rtl/>
        </w:rPr>
        <w:t xml:space="preserve"> ممارسات إدارة المخاطر في</w:t>
      </w:r>
      <w:r>
        <w:rPr>
          <w:rFonts w:ascii="Times New Roman" w:hAnsi="Times New Roman" w:cs="Times New Roman" w:hint="cs"/>
          <w:sz w:val="28"/>
          <w:szCs w:val="28"/>
          <w:rtl/>
        </w:rPr>
        <w:t xml:space="preserve"> تعزيز الاستدامة و</w:t>
      </w:r>
      <w:r w:rsidRPr="009D6200">
        <w:rPr>
          <w:rFonts w:ascii="Times New Roman" w:hAnsi="Times New Roman" w:cs="Times New Roman"/>
          <w:sz w:val="28"/>
          <w:szCs w:val="28"/>
          <w:rtl/>
        </w:rPr>
        <w:t>تحسين الأداء المالي تعزى إلى المتغيرات الشخصية (الجنس، العمر، سنوات الخبرة، المؤهل العلمي، التخصص، مكان العمل).</w:t>
      </w:r>
    </w:p>
    <w:p w:rsidR="00872B9A" w:rsidRPr="009D6200" w:rsidRDefault="00872B9A" w:rsidP="00872B9A">
      <w:pPr>
        <w:pStyle w:val="a4"/>
        <w:numPr>
          <w:ilvl w:val="0"/>
          <w:numId w:val="5"/>
        </w:numPr>
        <w:spacing w:line="360" w:lineRule="auto"/>
        <w:jc w:val="both"/>
        <w:rPr>
          <w:rFonts w:ascii="Times New Roman" w:hAnsi="Times New Roman" w:cs="Times New Roman"/>
          <w:b/>
          <w:bCs/>
          <w:sz w:val="28"/>
          <w:szCs w:val="28"/>
          <w:rtl/>
        </w:rPr>
      </w:pPr>
      <w:r w:rsidRPr="009D6200">
        <w:rPr>
          <w:rFonts w:ascii="Times New Roman" w:hAnsi="Times New Roman" w:cs="Times New Roman"/>
          <w:b/>
          <w:bCs/>
          <w:sz w:val="28"/>
          <w:szCs w:val="28"/>
          <w:rtl/>
        </w:rPr>
        <w:t>الفرضية البديلة (</w:t>
      </w:r>
      <w:r w:rsidRPr="009D6200">
        <w:rPr>
          <w:rFonts w:ascii="Times New Roman" w:hAnsi="Times New Roman" w:cs="Times New Roman"/>
          <w:b/>
          <w:bCs/>
          <w:sz w:val="28"/>
          <w:szCs w:val="28"/>
        </w:rPr>
        <w:t>H₁₂</w:t>
      </w:r>
      <w:r w:rsidRPr="009D6200">
        <w:rPr>
          <w:rFonts w:ascii="Times New Roman" w:hAnsi="Times New Roman" w:cs="Times New Roman"/>
          <w:b/>
          <w:bCs/>
          <w:sz w:val="28"/>
          <w:szCs w:val="28"/>
          <w:rtl/>
        </w:rPr>
        <w:t>):</w:t>
      </w:r>
      <w:r w:rsidRPr="009D6200">
        <w:rPr>
          <w:rFonts w:ascii="Times New Roman" w:hAnsi="Times New Roman" w:cs="Times New Roman"/>
          <w:sz w:val="28"/>
          <w:szCs w:val="28"/>
          <w:rtl/>
        </w:rPr>
        <w:t xml:space="preserve"> توجد فروق ذات دلالة إحصائية في استجابات عينة الدراسة حول </w:t>
      </w:r>
      <w:r>
        <w:rPr>
          <w:rFonts w:ascii="Times New Roman" w:hAnsi="Times New Roman" w:cs="Times New Roman" w:hint="cs"/>
          <w:sz w:val="28"/>
          <w:szCs w:val="28"/>
          <w:rtl/>
        </w:rPr>
        <w:t>أثر</w:t>
      </w:r>
      <w:r w:rsidRPr="009D6200">
        <w:rPr>
          <w:rFonts w:ascii="Times New Roman" w:hAnsi="Times New Roman" w:cs="Times New Roman"/>
          <w:sz w:val="28"/>
          <w:szCs w:val="28"/>
          <w:rtl/>
        </w:rPr>
        <w:t xml:space="preserve"> ممارسات إدارة المخاطر في</w:t>
      </w:r>
      <w:r>
        <w:rPr>
          <w:rFonts w:ascii="Times New Roman" w:hAnsi="Times New Roman" w:cs="Times New Roman" w:hint="cs"/>
          <w:sz w:val="28"/>
          <w:szCs w:val="28"/>
          <w:rtl/>
        </w:rPr>
        <w:t xml:space="preserve"> تعزيز الاستدامة و</w:t>
      </w:r>
      <w:r w:rsidRPr="009D6200">
        <w:rPr>
          <w:rFonts w:ascii="Times New Roman" w:hAnsi="Times New Roman" w:cs="Times New Roman"/>
          <w:sz w:val="28"/>
          <w:szCs w:val="28"/>
          <w:rtl/>
        </w:rPr>
        <w:t>تحسين الأداء المالي تعزى إلى المتغيرات الشخصية (الجنس، العمر، سنوات الخبرة، المؤهل العلمي، التخصص، مكان العمل).</w:t>
      </w:r>
    </w:p>
    <w:p w:rsidR="00872B9A" w:rsidRDefault="00872B9A" w:rsidP="00872B9A">
      <w:pPr>
        <w:spacing w:line="360" w:lineRule="auto"/>
        <w:jc w:val="both"/>
        <w:rPr>
          <w:rFonts w:ascii="Times New Roman" w:hAnsi="Times New Roman" w:cs="Times New Roman"/>
          <w:sz w:val="28"/>
          <w:szCs w:val="28"/>
          <w:rtl/>
        </w:rPr>
      </w:pPr>
    </w:p>
    <w:p w:rsidR="00872B9A" w:rsidRPr="006F0DFC" w:rsidRDefault="00872B9A" w:rsidP="00872B9A">
      <w:pPr>
        <w:pStyle w:val="1"/>
        <w:spacing w:line="276" w:lineRule="auto"/>
        <w:rPr>
          <w:rFonts w:ascii="Simplified Arabic" w:hAnsi="Simplified Arabic" w:cs="Simplified Arabic"/>
          <w:b/>
          <w:bCs/>
          <w:color w:val="0D0D0D" w:themeColor="text1" w:themeTint="F2"/>
          <w:rtl/>
        </w:rPr>
      </w:pPr>
      <w:bookmarkStart w:id="8" w:name="_Toc181824692"/>
      <w:bookmarkStart w:id="9" w:name="_Toc203686986"/>
      <w:r>
        <w:rPr>
          <w:rFonts w:ascii="Simplified Arabic" w:hAnsi="Simplified Arabic" w:cs="Simplified Arabic"/>
          <w:b/>
          <w:bCs/>
          <w:color w:val="0D0D0D" w:themeColor="text1" w:themeTint="F2"/>
          <w:rtl/>
        </w:rPr>
        <w:t>النظرية العلمية المتبعة</w:t>
      </w:r>
      <w:r w:rsidRPr="0085570A">
        <w:rPr>
          <w:rFonts w:ascii="Simplified Arabic" w:hAnsi="Simplified Arabic" w:cs="Simplified Arabic"/>
          <w:b/>
          <w:bCs/>
          <w:color w:val="0D0D0D" w:themeColor="text1" w:themeTint="F2"/>
          <w:rtl/>
        </w:rPr>
        <w:t xml:space="preserve"> لإعداد البحث:</w:t>
      </w:r>
      <w:bookmarkEnd w:id="8"/>
      <w:bookmarkEnd w:id="9"/>
      <w:r w:rsidRPr="0085570A">
        <w:rPr>
          <w:rFonts w:ascii="Simplified Arabic" w:hAnsi="Simplified Arabic" w:cs="Simplified Arabic"/>
          <w:b/>
          <w:bCs/>
          <w:color w:val="0D0D0D" w:themeColor="text1" w:themeTint="F2"/>
          <w:rtl/>
        </w:rPr>
        <w:t xml:space="preserve"> </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يعتمد هذا البحث على نظرية إدارة المخاطر المؤسسية (</w:t>
      </w:r>
      <w:r w:rsidRPr="006D54B5">
        <w:rPr>
          <w:rFonts w:ascii="Times New Roman" w:hAnsi="Times New Roman" w:cs="Times New Roman"/>
          <w:sz w:val="28"/>
          <w:szCs w:val="28"/>
        </w:rPr>
        <w:t>Enterprise Risk Management - ERM</w:t>
      </w:r>
      <w:r w:rsidRPr="006D54B5">
        <w:rPr>
          <w:rFonts w:ascii="Times New Roman" w:hAnsi="Times New Roman" w:cs="Times New Roman"/>
          <w:sz w:val="28"/>
          <w:szCs w:val="28"/>
          <w:rtl/>
        </w:rPr>
        <w:t>) كنظرية علمية رئيسية تُشكل الإطار المفاهيمي للدراسة. وتُعرف إدارة المخاطر المؤسسية بأنها مجموعة متكاملة من العمليات التي تنفذها المؤسسات بهدف التعرف على المخاطر المحتملة، تقييمها، وإدارتها بشكل منهجي لتقليل تأثيرها السلبي على تحقيق أهداف المؤسسة (</w:t>
      </w:r>
      <w:r w:rsidRPr="006D54B5">
        <w:rPr>
          <w:rFonts w:ascii="Times New Roman" w:hAnsi="Times New Roman" w:cs="Times New Roman"/>
          <w:sz w:val="28"/>
          <w:szCs w:val="28"/>
        </w:rPr>
        <w:t>Fraser &amp; Simkins, 2016</w:t>
      </w:r>
      <w:r w:rsidRPr="006D54B5">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تُركز هذه النظرية على دمج إدارة المخاطر في العمليات الاستراتيجية والتشغيلية للمؤسسة، بحيث يتم التعامل مع المخاطر بشكل شامل ومتوازن، وليس بمعزل عن الخطط التنظيمية والمالية (</w:t>
      </w:r>
      <w:r w:rsidRPr="006D54B5">
        <w:rPr>
          <w:rFonts w:ascii="Times New Roman" w:hAnsi="Times New Roman" w:cs="Times New Roman"/>
          <w:sz w:val="28"/>
          <w:szCs w:val="28"/>
        </w:rPr>
        <w:t>COSO, 2017</w:t>
      </w:r>
      <w:r w:rsidRPr="006D54B5">
        <w:rPr>
          <w:rFonts w:ascii="Times New Roman" w:hAnsi="Times New Roman" w:cs="Times New Roman"/>
          <w:sz w:val="28"/>
          <w:szCs w:val="28"/>
          <w:rtl/>
        </w:rPr>
        <w:t xml:space="preserve">). ومن خلال تطبيق مبادئ </w:t>
      </w:r>
      <w:r w:rsidRPr="006D54B5">
        <w:rPr>
          <w:rFonts w:ascii="Times New Roman" w:hAnsi="Times New Roman" w:cs="Times New Roman"/>
          <w:sz w:val="28"/>
          <w:szCs w:val="28"/>
        </w:rPr>
        <w:t>ERM</w:t>
      </w:r>
      <w:r w:rsidRPr="006D54B5">
        <w:rPr>
          <w:rFonts w:ascii="Times New Roman" w:hAnsi="Times New Roman" w:cs="Times New Roman"/>
          <w:sz w:val="28"/>
          <w:szCs w:val="28"/>
          <w:rtl/>
        </w:rPr>
        <w:t>، تسعى المؤسسات إلى تعزيز الاستدامة المؤسسية من خلال الحفاظ على الموارد المالية وتقليل المخاطر التي قد تعرقل تحقيق الأهداف الاقتصادية والاجتماعية.</w:t>
      </w:r>
    </w:p>
    <w:p w:rsidR="00872B9A"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بالإضافة إلى ذلك، يعتمد البحث على نموذج الاستدامة المؤسسية الذي يربط بين الأداء المالي والممارسات البيئية والاجتماعية، حيث يُنظر إلى الاستدامة على أنها تحقيق توازن بين هذه الجوانب لضمان استمرار المؤسسة وتحقيق أرباح مستدامة (</w:t>
      </w:r>
      <w:r w:rsidRPr="006D54B5">
        <w:rPr>
          <w:rFonts w:ascii="Times New Roman" w:hAnsi="Times New Roman" w:cs="Times New Roman"/>
          <w:sz w:val="28"/>
          <w:szCs w:val="28"/>
        </w:rPr>
        <w:t>Elkington, 1997</w:t>
      </w:r>
      <w:r w:rsidRPr="006D54B5">
        <w:rPr>
          <w:rFonts w:ascii="Times New Roman" w:hAnsi="Times New Roman" w:cs="Times New Roman"/>
          <w:sz w:val="28"/>
          <w:szCs w:val="28"/>
          <w:rtl/>
        </w:rPr>
        <w:t>). من هذا المنطلق، يتم دراسة كيفية تأثير ممارسات إدارة المخاطر على تعزيز هذا التوازن وتحسين الأداء المالي للبنوك التجارية.</w:t>
      </w:r>
    </w:p>
    <w:p w:rsidR="00872B9A" w:rsidRDefault="00872B9A" w:rsidP="00872B9A">
      <w:pPr>
        <w:spacing w:line="360" w:lineRule="auto"/>
        <w:ind w:firstLine="368"/>
        <w:jc w:val="both"/>
        <w:rPr>
          <w:rFonts w:ascii="Times New Roman" w:hAnsi="Times New Roman" w:cs="Times New Roman"/>
          <w:sz w:val="28"/>
          <w:szCs w:val="28"/>
          <w:rtl/>
        </w:rPr>
      </w:pPr>
    </w:p>
    <w:p w:rsidR="00872B9A" w:rsidRPr="0096507B" w:rsidRDefault="00872B9A" w:rsidP="00872B9A">
      <w:pPr>
        <w:pStyle w:val="1"/>
        <w:spacing w:after="120" w:line="240" w:lineRule="auto"/>
        <w:rPr>
          <w:rFonts w:ascii="Simplified Arabic" w:hAnsi="Simplified Arabic" w:cs="Simplified Arabic"/>
          <w:b/>
          <w:bCs/>
          <w:color w:val="0D0D0D" w:themeColor="text1" w:themeTint="F2"/>
          <w:rtl/>
        </w:rPr>
      </w:pPr>
      <w:bookmarkStart w:id="10" w:name="_Toc203686987"/>
      <w:r w:rsidRPr="0096507B">
        <w:rPr>
          <w:rFonts w:ascii="Simplified Arabic" w:hAnsi="Simplified Arabic" w:cs="Simplified Arabic" w:hint="cs"/>
          <w:b/>
          <w:bCs/>
          <w:color w:val="0D0D0D" w:themeColor="text1" w:themeTint="F2"/>
          <w:rtl/>
        </w:rPr>
        <w:lastRenderedPageBreak/>
        <w:t xml:space="preserve">النموذج </w:t>
      </w:r>
      <w:r>
        <w:rPr>
          <w:rFonts w:ascii="Simplified Arabic" w:hAnsi="Simplified Arabic" w:cs="Simplified Arabic" w:hint="cs"/>
          <w:b/>
          <w:bCs/>
          <w:color w:val="0D0D0D" w:themeColor="text1" w:themeTint="F2"/>
          <w:rtl/>
        </w:rPr>
        <w:t>المعرفي للدراسة:</w:t>
      </w:r>
      <w:bookmarkEnd w:id="10"/>
    </w:p>
    <w:p w:rsidR="00872B9A" w:rsidRDefault="00872B9A" w:rsidP="00872B9A">
      <w:pPr>
        <w:spacing w:line="360" w:lineRule="auto"/>
        <w:ind w:firstLine="368"/>
        <w:jc w:val="both"/>
        <w:rPr>
          <w:rFonts w:ascii="Times New Roman" w:hAnsi="Times New Roman" w:cs="Times New Roman"/>
          <w:sz w:val="28"/>
          <w:szCs w:val="28"/>
          <w:rtl/>
        </w:rPr>
      </w:pP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noProof/>
          <w:sz w:val="28"/>
          <w:szCs w:val="28"/>
          <w:rtl/>
          <w14:ligatures w14:val="none"/>
        </w:rPr>
        <mc:AlternateContent>
          <mc:Choice Requires="wpg">
            <w:drawing>
              <wp:anchor distT="0" distB="0" distL="114300" distR="114300" simplePos="0" relativeHeight="251662336" behindDoc="0" locked="0" layoutInCell="1" allowOverlap="1" wp14:anchorId="6BEE410A" wp14:editId="2E4218F1">
                <wp:simplePos x="0" y="0"/>
                <wp:positionH relativeFrom="column">
                  <wp:posOffset>-146619</wp:posOffset>
                </wp:positionH>
                <wp:positionV relativeFrom="paragraph">
                  <wp:posOffset>47932</wp:posOffset>
                </wp:positionV>
                <wp:extent cx="5459160" cy="3034730"/>
                <wp:effectExtent l="0" t="38100" r="27305" b="13335"/>
                <wp:wrapNone/>
                <wp:docPr id="7" name="مجموعة 7"/>
                <wp:cNvGraphicFramePr/>
                <a:graphic xmlns:a="http://schemas.openxmlformats.org/drawingml/2006/main">
                  <a:graphicData uri="http://schemas.microsoft.com/office/word/2010/wordprocessingGroup">
                    <wpg:wgp>
                      <wpg:cNvGrpSpPr/>
                      <wpg:grpSpPr>
                        <a:xfrm>
                          <a:off x="0" y="0"/>
                          <a:ext cx="5459160" cy="3034730"/>
                          <a:chOff x="0" y="0"/>
                          <a:chExt cx="5459160" cy="3034730"/>
                        </a:xfrm>
                      </wpg:grpSpPr>
                      <wps:wsp>
                        <wps:cNvPr id="217" name="مربع نص 2"/>
                        <wps:cNvSpPr txBox="1">
                          <a:spLocks noChangeArrowheads="1"/>
                        </wps:cNvSpPr>
                        <wps:spPr bwMode="auto">
                          <a:xfrm flipH="1">
                            <a:off x="0" y="725213"/>
                            <a:ext cx="2085340" cy="1790065"/>
                          </a:xfrm>
                          <a:prstGeom prst="rect">
                            <a:avLst/>
                          </a:prstGeom>
                          <a:ln>
                            <a:headEnd/>
                            <a:tailEnd/>
                          </a:ln>
                        </wps:spPr>
                        <wps:style>
                          <a:lnRef idx="3">
                            <a:schemeClr val="lt1"/>
                          </a:lnRef>
                          <a:fillRef idx="1">
                            <a:schemeClr val="accent1"/>
                          </a:fillRef>
                          <a:effectRef idx="1">
                            <a:schemeClr val="accent1"/>
                          </a:effectRef>
                          <a:fontRef idx="minor">
                            <a:schemeClr val="lt1"/>
                          </a:fontRef>
                        </wps:style>
                        <wps:txbx>
                          <w:txbxContent>
                            <w:p w:rsidR="00872B9A" w:rsidRPr="0014697F" w:rsidRDefault="00872B9A" w:rsidP="00872B9A">
                              <w:pPr>
                                <w:spacing w:after="0" w:line="276" w:lineRule="auto"/>
                                <w:jc w:val="center"/>
                                <w:rPr>
                                  <w:rFonts w:ascii="Times New Roman" w:hAnsi="Times New Roman" w:cs="Times New Roman"/>
                                  <w:b/>
                                  <w:bCs/>
                                  <w:sz w:val="32"/>
                                  <w:szCs w:val="32"/>
                                  <w:u w:val="single"/>
                                  <w:rtl/>
                                </w:rPr>
                              </w:pPr>
                              <w:r w:rsidRPr="0014697F">
                                <w:rPr>
                                  <w:rFonts w:ascii="Times New Roman" w:hAnsi="Times New Roman" w:cs="Times New Roman"/>
                                  <w:b/>
                                  <w:bCs/>
                                  <w:sz w:val="32"/>
                                  <w:szCs w:val="32"/>
                                  <w:u w:val="single"/>
                                  <w:rtl/>
                                </w:rPr>
                                <w:t>ممارسات إدارة المخاطر:</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tl/>
                                </w:rPr>
                              </w:pPr>
                              <w:r w:rsidRPr="0014697F">
                                <w:rPr>
                                  <w:rFonts w:ascii="Times New Roman" w:hAnsi="Times New Roman" w:cs="Times New Roman"/>
                                  <w:b/>
                                  <w:bCs/>
                                  <w:sz w:val="28"/>
                                  <w:szCs w:val="28"/>
                                  <w:rtl/>
                                </w:rPr>
                                <w:t>السياسات</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tl/>
                                </w:rPr>
                              </w:pPr>
                              <w:r w:rsidRPr="0014697F">
                                <w:rPr>
                                  <w:rFonts w:ascii="Times New Roman" w:hAnsi="Times New Roman" w:cs="Times New Roman"/>
                                  <w:b/>
                                  <w:bCs/>
                                  <w:sz w:val="28"/>
                                  <w:szCs w:val="28"/>
                                  <w:rtl/>
                                </w:rPr>
                                <w:t>الإجراءات</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tl/>
                                </w:rPr>
                              </w:pPr>
                              <w:r w:rsidRPr="0014697F">
                                <w:rPr>
                                  <w:rFonts w:ascii="Times New Roman" w:hAnsi="Times New Roman" w:cs="Times New Roman"/>
                                  <w:b/>
                                  <w:bCs/>
                                  <w:sz w:val="28"/>
                                  <w:szCs w:val="28"/>
                                  <w:rtl/>
                                </w:rPr>
                                <w:t>التقييمات الدورية</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tl/>
                                </w:rPr>
                              </w:pPr>
                              <w:r w:rsidRPr="0014697F">
                                <w:rPr>
                                  <w:rFonts w:ascii="Times New Roman" w:hAnsi="Times New Roman" w:cs="Times New Roman"/>
                                  <w:b/>
                                  <w:bCs/>
                                  <w:sz w:val="28"/>
                                  <w:szCs w:val="28"/>
                                  <w:rtl/>
                                </w:rPr>
                                <w:t>الدعم الإداري</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tl/>
                                </w:rPr>
                              </w:pPr>
                              <w:r w:rsidRPr="0014697F">
                                <w:rPr>
                                  <w:rFonts w:ascii="Times New Roman" w:hAnsi="Times New Roman" w:cs="Times New Roman"/>
                                  <w:b/>
                                  <w:bCs/>
                                  <w:sz w:val="28"/>
                                  <w:szCs w:val="28"/>
                                  <w:rtl/>
                                </w:rPr>
                                <w:t>التدريب</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Pr>
                              </w:pPr>
                              <w:r w:rsidRPr="0014697F">
                                <w:rPr>
                                  <w:rFonts w:ascii="Times New Roman" w:hAnsi="Times New Roman" w:cs="Times New Roman"/>
                                  <w:b/>
                                  <w:bCs/>
                                  <w:sz w:val="28"/>
                                  <w:szCs w:val="28"/>
                                  <w:rtl/>
                                </w:rPr>
                                <w:t>الثقافة التنظيمية</w:t>
                              </w:r>
                            </w:p>
                          </w:txbxContent>
                        </wps:txbx>
                        <wps:bodyPr rot="0" vert="horz" wrap="square" lIns="91440" tIns="45720" rIns="91440" bIns="45720" anchor="t" anchorCtr="0">
                          <a:spAutoFit/>
                        </wps:bodyPr>
                      </wps:wsp>
                      <wps:wsp>
                        <wps:cNvPr id="2" name="مربع نص 2"/>
                        <wps:cNvSpPr txBox="1">
                          <a:spLocks noChangeArrowheads="1"/>
                        </wps:cNvSpPr>
                        <wps:spPr bwMode="auto">
                          <a:xfrm flipH="1">
                            <a:off x="3430576" y="0"/>
                            <a:ext cx="1990090" cy="1065530"/>
                          </a:xfrm>
                          <a:prstGeom prst="rect">
                            <a:avLst/>
                          </a:prstGeom>
                          <a:ln>
                            <a:headEnd/>
                            <a:tailEnd/>
                          </a:ln>
                        </wps:spPr>
                        <wps:style>
                          <a:lnRef idx="0">
                            <a:schemeClr val="accent6"/>
                          </a:lnRef>
                          <a:fillRef idx="3">
                            <a:schemeClr val="accent6"/>
                          </a:fillRef>
                          <a:effectRef idx="3">
                            <a:schemeClr val="accent6"/>
                          </a:effectRef>
                          <a:fontRef idx="minor">
                            <a:schemeClr val="lt1"/>
                          </a:fontRef>
                        </wps:style>
                        <wps:txbx>
                          <w:txbxContent>
                            <w:p w:rsidR="00872B9A" w:rsidRPr="0014697F" w:rsidRDefault="00872B9A" w:rsidP="00872B9A">
                              <w:pPr>
                                <w:spacing w:after="0" w:line="276" w:lineRule="auto"/>
                                <w:jc w:val="center"/>
                                <w:rPr>
                                  <w:rFonts w:ascii="Times New Roman" w:hAnsi="Times New Roman" w:cs="Times New Roman"/>
                                  <w:b/>
                                  <w:bCs/>
                                  <w:sz w:val="32"/>
                                  <w:szCs w:val="32"/>
                                  <w:u w:val="single"/>
                                  <w:rtl/>
                                </w:rPr>
                              </w:pPr>
                              <w:r w:rsidRPr="0014697F">
                                <w:rPr>
                                  <w:rFonts w:ascii="Times New Roman" w:hAnsi="Times New Roman" w:cs="Times New Roman" w:hint="cs"/>
                                  <w:b/>
                                  <w:bCs/>
                                  <w:sz w:val="32"/>
                                  <w:szCs w:val="32"/>
                                  <w:u w:val="single"/>
                                  <w:rtl/>
                                </w:rPr>
                                <w:t>الاستدامة</w:t>
                              </w:r>
                              <w:r w:rsidRPr="0014697F">
                                <w:rPr>
                                  <w:rFonts w:ascii="Times New Roman" w:hAnsi="Times New Roman" w:cs="Times New Roman"/>
                                  <w:b/>
                                  <w:bCs/>
                                  <w:sz w:val="32"/>
                                  <w:szCs w:val="32"/>
                                  <w:u w:val="single"/>
                                  <w:rtl/>
                                </w:rPr>
                                <w:t>:</w:t>
                              </w:r>
                            </w:p>
                            <w:p w:rsidR="00872B9A" w:rsidRPr="0014697F" w:rsidRDefault="00872B9A" w:rsidP="00872B9A">
                              <w:pPr>
                                <w:pStyle w:val="a4"/>
                                <w:numPr>
                                  <w:ilvl w:val="0"/>
                                  <w:numId w:val="24"/>
                                </w:numPr>
                                <w:spacing w:after="0" w:line="276" w:lineRule="auto"/>
                                <w:rPr>
                                  <w:rFonts w:ascii="Times New Roman" w:hAnsi="Times New Roman" w:cs="Times New Roman"/>
                                  <w:b/>
                                  <w:bCs/>
                                  <w:sz w:val="28"/>
                                  <w:szCs w:val="28"/>
                                  <w:rtl/>
                                </w:rPr>
                              </w:pPr>
                              <w:r w:rsidRPr="0014697F">
                                <w:rPr>
                                  <w:rFonts w:ascii="Times New Roman" w:hAnsi="Times New Roman" w:cs="Times New Roman"/>
                                  <w:b/>
                                  <w:bCs/>
                                  <w:sz w:val="28"/>
                                  <w:szCs w:val="28"/>
                                  <w:rtl/>
                                </w:rPr>
                                <w:t>الاستدامة المالية</w:t>
                              </w:r>
                            </w:p>
                            <w:p w:rsidR="00872B9A" w:rsidRPr="0014697F" w:rsidRDefault="00872B9A" w:rsidP="00872B9A">
                              <w:pPr>
                                <w:pStyle w:val="a4"/>
                                <w:numPr>
                                  <w:ilvl w:val="0"/>
                                  <w:numId w:val="24"/>
                                </w:numPr>
                                <w:spacing w:after="0" w:line="276" w:lineRule="auto"/>
                                <w:rPr>
                                  <w:rFonts w:ascii="Times New Roman" w:hAnsi="Times New Roman" w:cs="Times New Roman"/>
                                  <w:b/>
                                  <w:bCs/>
                                  <w:sz w:val="28"/>
                                  <w:szCs w:val="28"/>
                                  <w:rtl/>
                                </w:rPr>
                              </w:pPr>
                              <w:r w:rsidRPr="0014697F">
                                <w:rPr>
                                  <w:rFonts w:ascii="Times New Roman" w:hAnsi="Times New Roman" w:cs="Times New Roman"/>
                                  <w:b/>
                                  <w:bCs/>
                                  <w:sz w:val="28"/>
                                  <w:szCs w:val="28"/>
                                  <w:rtl/>
                                </w:rPr>
                                <w:t xml:space="preserve"> المسؤولية الاجتماعية</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Pr>
                              </w:pPr>
                              <w:r w:rsidRPr="0014697F">
                                <w:rPr>
                                  <w:rFonts w:ascii="Times New Roman" w:hAnsi="Times New Roman" w:cs="Times New Roman"/>
                                  <w:b/>
                                  <w:bCs/>
                                  <w:sz w:val="28"/>
                                  <w:szCs w:val="28"/>
                                  <w:rtl/>
                                </w:rPr>
                                <w:t xml:space="preserve"> الاستدامة البيئية</w:t>
                              </w:r>
                            </w:p>
                          </w:txbxContent>
                        </wps:txbx>
                        <wps:bodyPr rot="0" vert="horz" wrap="square" lIns="91440" tIns="45720" rIns="91440" bIns="45720" anchor="t" anchorCtr="0">
                          <a:spAutoFit/>
                        </wps:bodyPr>
                      </wps:wsp>
                      <wpg:grpSp>
                        <wpg:cNvPr id="6" name="مجموعة 6"/>
                        <wpg:cNvGrpSpPr/>
                        <wpg:grpSpPr>
                          <a:xfrm>
                            <a:off x="2087354" y="725213"/>
                            <a:ext cx="3371806" cy="2309517"/>
                            <a:chOff x="0" y="0"/>
                            <a:chExt cx="3371806" cy="2309517"/>
                          </a:xfrm>
                        </wpg:grpSpPr>
                        <wps:wsp>
                          <wps:cNvPr id="3" name="مربع نص 2"/>
                          <wps:cNvSpPr txBox="1">
                            <a:spLocks noChangeArrowheads="1"/>
                          </wps:cNvSpPr>
                          <wps:spPr bwMode="auto">
                            <a:xfrm flipH="1">
                              <a:off x="1286466" y="1002687"/>
                              <a:ext cx="2085340" cy="1306830"/>
                            </a:xfrm>
                            <a:prstGeom prst="rect">
                              <a:avLst/>
                            </a:prstGeom>
                            <a:ln>
                              <a:headEnd/>
                              <a:tailEnd/>
                            </a:ln>
                          </wps:spPr>
                          <wps:style>
                            <a:lnRef idx="1">
                              <a:schemeClr val="accent5"/>
                            </a:lnRef>
                            <a:fillRef idx="3">
                              <a:schemeClr val="accent5"/>
                            </a:fillRef>
                            <a:effectRef idx="2">
                              <a:schemeClr val="accent5"/>
                            </a:effectRef>
                            <a:fontRef idx="minor">
                              <a:schemeClr val="lt1"/>
                            </a:fontRef>
                          </wps:style>
                          <wps:txbx>
                            <w:txbxContent>
                              <w:p w:rsidR="00872B9A" w:rsidRPr="0014697F" w:rsidRDefault="00872B9A" w:rsidP="00872B9A">
                                <w:pPr>
                                  <w:spacing w:after="0" w:line="276" w:lineRule="auto"/>
                                  <w:jc w:val="center"/>
                                  <w:rPr>
                                    <w:rFonts w:ascii="Times New Roman" w:hAnsi="Times New Roman" w:cs="Times New Roman"/>
                                    <w:b/>
                                    <w:bCs/>
                                    <w:sz w:val="32"/>
                                    <w:szCs w:val="32"/>
                                    <w:u w:val="single"/>
                                    <w:rtl/>
                                  </w:rPr>
                                </w:pPr>
                                <w:r w:rsidRPr="0014697F">
                                  <w:rPr>
                                    <w:rFonts w:ascii="Times New Roman" w:hAnsi="Times New Roman" w:cs="Times New Roman"/>
                                    <w:b/>
                                    <w:bCs/>
                                    <w:sz w:val="32"/>
                                    <w:szCs w:val="32"/>
                                    <w:u w:val="single"/>
                                    <w:rtl/>
                                  </w:rPr>
                                  <w:t>الأداء المالي</w:t>
                                </w:r>
                                <w:r w:rsidRPr="0014697F">
                                  <w:rPr>
                                    <w:rFonts w:ascii="Times New Roman" w:hAnsi="Times New Roman" w:cs="Times New Roman" w:hint="cs"/>
                                    <w:b/>
                                    <w:bCs/>
                                    <w:sz w:val="32"/>
                                    <w:szCs w:val="32"/>
                                    <w:u w:val="single"/>
                                    <w:rtl/>
                                  </w:rPr>
                                  <w:t>:</w:t>
                                </w:r>
                              </w:p>
                              <w:p w:rsidR="00872B9A" w:rsidRPr="0014697F" w:rsidRDefault="00872B9A" w:rsidP="00872B9A">
                                <w:pPr>
                                  <w:pStyle w:val="a4"/>
                                  <w:numPr>
                                    <w:ilvl w:val="0"/>
                                    <w:numId w:val="24"/>
                                  </w:numPr>
                                  <w:spacing w:after="0" w:line="276" w:lineRule="auto"/>
                                  <w:rPr>
                                    <w:rFonts w:ascii="Times New Roman" w:hAnsi="Times New Roman" w:cs="Times New Roman"/>
                                    <w:b/>
                                    <w:bCs/>
                                    <w:sz w:val="28"/>
                                    <w:szCs w:val="28"/>
                                    <w:rtl/>
                                  </w:rPr>
                                </w:pPr>
                                <w:r w:rsidRPr="0014697F">
                                  <w:rPr>
                                    <w:rFonts w:ascii="Times New Roman" w:hAnsi="Times New Roman" w:cs="Times New Roman"/>
                                    <w:b/>
                                    <w:bCs/>
                                    <w:sz w:val="28"/>
                                    <w:szCs w:val="28"/>
                                    <w:rtl/>
                                  </w:rPr>
                                  <w:t>الربحية</w:t>
                                </w:r>
                              </w:p>
                              <w:p w:rsidR="00872B9A" w:rsidRPr="0014697F" w:rsidRDefault="00872B9A" w:rsidP="00872B9A">
                                <w:pPr>
                                  <w:pStyle w:val="a4"/>
                                  <w:numPr>
                                    <w:ilvl w:val="0"/>
                                    <w:numId w:val="24"/>
                                  </w:numPr>
                                  <w:spacing w:after="0" w:line="276" w:lineRule="auto"/>
                                  <w:rPr>
                                    <w:rFonts w:ascii="Times New Roman" w:hAnsi="Times New Roman" w:cs="Times New Roman"/>
                                    <w:b/>
                                    <w:bCs/>
                                    <w:sz w:val="28"/>
                                    <w:szCs w:val="28"/>
                                    <w:rtl/>
                                  </w:rPr>
                                </w:pPr>
                                <w:r w:rsidRPr="0014697F">
                                  <w:rPr>
                                    <w:rFonts w:ascii="Times New Roman" w:hAnsi="Times New Roman" w:cs="Times New Roman"/>
                                    <w:b/>
                                    <w:bCs/>
                                    <w:sz w:val="28"/>
                                    <w:szCs w:val="28"/>
                                    <w:rtl/>
                                  </w:rPr>
                                  <w:t xml:space="preserve"> العائد على الأصول</w:t>
                                </w:r>
                              </w:p>
                              <w:p w:rsidR="00872B9A" w:rsidRPr="0014697F" w:rsidRDefault="00872B9A" w:rsidP="00872B9A">
                                <w:pPr>
                                  <w:pStyle w:val="a4"/>
                                  <w:numPr>
                                    <w:ilvl w:val="0"/>
                                    <w:numId w:val="24"/>
                                  </w:numPr>
                                  <w:spacing w:after="0" w:line="276" w:lineRule="auto"/>
                                  <w:rPr>
                                    <w:rFonts w:ascii="Times New Roman" w:hAnsi="Times New Roman" w:cs="Times New Roman"/>
                                    <w:b/>
                                    <w:bCs/>
                                    <w:sz w:val="28"/>
                                    <w:szCs w:val="28"/>
                                    <w:rtl/>
                                  </w:rPr>
                                </w:pPr>
                                <w:r w:rsidRPr="0014697F">
                                  <w:rPr>
                                    <w:rFonts w:ascii="Times New Roman" w:hAnsi="Times New Roman" w:cs="Times New Roman"/>
                                    <w:b/>
                                    <w:bCs/>
                                    <w:sz w:val="28"/>
                                    <w:szCs w:val="28"/>
                                    <w:rtl/>
                                  </w:rPr>
                                  <w:t xml:space="preserve"> جودة الأصول</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Pr>
                                </w:pPr>
                                <w:r w:rsidRPr="0014697F">
                                  <w:rPr>
                                    <w:rFonts w:ascii="Times New Roman" w:hAnsi="Times New Roman" w:cs="Times New Roman"/>
                                    <w:b/>
                                    <w:bCs/>
                                    <w:sz w:val="28"/>
                                    <w:szCs w:val="28"/>
                                    <w:rtl/>
                                  </w:rPr>
                                  <w:t xml:space="preserve"> السيولة</w:t>
                                </w:r>
                              </w:p>
                            </w:txbxContent>
                          </wps:txbx>
                          <wps:bodyPr rot="0" vert="horz" wrap="square" lIns="91440" tIns="45720" rIns="91440" bIns="45720" anchor="t" anchorCtr="0">
                            <a:spAutoFit/>
                          </wps:bodyPr>
                        </wps:wsp>
                        <wps:wsp>
                          <wps:cNvPr id="4" name="رابط كسهم مستقيم 4"/>
                          <wps:cNvCnPr/>
                          <wps:spPr>
                            <a:xfrm flipV="1">
                              <a:off x="0" y="0"/>
                              <a:ext cx="1345236" cy="59278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 name="رابط كسهم مستقيم 5"/>
                          <wps:cNvCnPr/>
                          <wps:spPr>
                            <a:xfrm>
                              <a:off x="0" y="977462"/>
                              <a:ext cx="1254935" cy="6180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6BEE410A" id="مجموعة 7" o:spid="_x0000_s1027" style="position:absolute;left:0;text-align:left;margin-left:-11.55pt;margin-top:3.75pt;width:429.85pt;height:238.95pt;z-index:251662336" coordsize="54591,30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">
                <v:shapetype id="_x0000_t202" coordsize="21600,21600" o:spt="202" path="m,l,21600r21600,l21600,xe">
                  <v:stroke joinstyle="miter"/>
                  <v:path gradientshapeok="t" o:connecttype="rect"/>
                </v:shapetype>
                <v:shape id="مربع نص 2" o:spid="_x0000_s1028" type="#_x0000_t202" style="position:absolute;top:7252;width:20853;height:1790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MlsYA&#10;AADcAAAADwAAAGRycy9kb3ducmV2LnhtbESPQWvCQBSE7wX/w/IEb3Wjh6SkrhJEqS1IMBZ6fWRf&#10;k9Ts25DdJum/7wqFHoeZ+YbZ7CbTioF611hWsFpGIIhLqxuuFLxfj49PIJxH1thaJgU/5GC3nT1s&#10;MNV25AsNha9EgLBLUUHtfZdK6cqaDLql7YiD92l7gz7IvpK6xzHATSvXURRLgw2HhRo72tdU3opv&#10;oyA7f1xeD8khcXn+9rLXxVcW41WpxXzKnkF4mvx/+K990grWqwTuZ8IRk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Q/MlsYAAADcAAAADwAAAAAAAAAAAAAAAACYAgAAZHJz&#10;L2Rvd25yZXYueG1sUEsFBgAAAAAEAAQA9QAAAIsDAAAAAA==&#10;" fillcolor="#5b9bd5 [3204]" strokecolor="white [3201]" strokeweight="1.5pt">
                  <v:textbox style="mso-fit-shape-to-text:t">
                    <w:txbxContent>
                      <w:p w:rsidR="00872B9A" w:rsidRPr="0014697F" w:rsidRDefault="00872B9A" w:rsidP="00872B9A">
                        <w:pPr>
                          <w:spacing w:after="0" w:line="276" w:lineRule="auto"/>
                          <w:jc w:val="center"/>
                          <w:rPr>
                            <w:rFonts w:ascii="Times New Roman" w:hAnsi="Times New Roman" w:cs="Times New Roman"/>
                            <w:b/>
                            <w:bCs/>
                            <w:sz w:val="32"/>
                            <w:szCs w:val="32"/>
                            <w:u w:val="single"/>
                            <w:rtl/>
                          </w:rPr>
                        </w:pPr>
                        <w:r w:rsidRPr="0014697F">
                          <w:rPr>
                            <w:rFonts w:ascii="Times New Roman" w:hAnsi="Times New Roman" w:cs="Times New Roman"/>
                            <w:b/>
                            <w:bCs/>
                            <w:sz w:val="32"/>
                            <w:szCs w:val="32"/>
                            <w:u w:val="single"/>
                            <w:rtl/>
                          </w:rPr>
                          <w:t>ممارسات إدارة المخاطر:</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tl/>
                          </w:rPr>
                        </w:pPr>
                        <w:r w:rsidRPr="0014697F">
                          <w:rPr>
                            <w:rFonts w:ascii="Times New Roman" w:hAnsi="Times New Roman" w:cs="Times New Roman"/>
                            <w:b/>
                            <w:bCs/>
                            <w:sz w:val="28"/>
                            <w:szCs w:val="28"/>
                            <w:rtl/>
                          </w:rPr>
                          <w:t>السياسات</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tl/>
                          </w:rPr>
                        </w:pPr>
                        <w:r w:rsidRPr="0014697F">
                          <w:rPr>
                            <w:rFonts w:ascii="Times New Roman" w:hAnsi="Times New Roman" w:cs="Times New Roman"/>
                            <w:b/>
                            <w:bCs/>
                            <w:sz w:val="28"/>
                            <w:szCs w:val="28"/>
                            <w:rtl/>
                          </w:rPr>
                          <w:t>الإجراءات</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tl/>
                          </w:rPr>
                        </w:pPr>
                        <w:r w:rsidRPr="0014697F">
                          <w:rPr>
                            <w:rFonts w:ascii="Times New Roman" w:hAnsi="Times New Roman" w:cs="Times New Roman"/>
                            <w:b/>
                            <w:bCs/>
                            <w:sz w:val="28"/>
                            <w:szCs w:val="28"/>
                            <w:rtl/>
                          </w:rPr>
                          <w:t>التقييمات الدورية</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tl/>
                          </w:rPr>
                        </w:pPr>
                        <w:r w:rsidRPr="0014697F">
                          <w:rPr>
                            <w:rFonts w:ascii="Times New Roman" w:hAnsi="Times New Roman" w:cs="Times New Roman"/>
                            <w:b/>
                            <w:bCs/>
                            <w:sz w:val="28"/>
                            <w:szCs w:val="28"/>
                            <w:rtl/>
                          </w:rPr>
                          <w:t>الدعم الإداري</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tl/>
                          </w:rPr>
                        </w:pPr>
                        <w:r w:rsidRPr="0014697F">
                          <w:rPr>
                            <w:rFonts w:ascii="Times New Roman" w:hAnsi="Times New Roman" w:cs="Times New Roman"/>
                            <w:b/>
                            <w:bCs/>
                            <w:sz w:val="28"/>
                            <w:szCs w:val="28"/>
                            <w:rtl/>
                          </w:rPr>
                          <w:t>التدريب</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Pr>
                        </w:pPr>
                        <w:r w:rsidRPr="0014697F">
                          <w:rPr>
                            <w:rFonts w:ascii="Times New Roman" w:hAnsi="Times New Roman" w:cs="Times New Roman"/>
                            <w:b/>
                            <w:bCs/>
                            <w:sz w:val="28"/>
                            <w:szCs w:val="28"/>
                            <w:rtl/>
                          </w:rPr>
                          <w:t>الثقافة التنظيمية</w:t>
                        </w:r>
                      </w:p>
                    </w:txbxContent>
                  </v:textbox>
                </v:shape>
                <v:shape id="مربع نص 2" o:spid="_x0000_s1029" type="#_x0000_t202" style="position:absolute;left:34305;width:19901;height:10655;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GTYsIA&#10;AADaAAAADwAAAGRycy9kb3ducmV2LnhtbESPQWvCQBSE7wX/w/IEb3Wj0FKimyCC1Js2LQVvz+wz&#10;G8y+TXe3Mf77bqHQ4zAz3zDrcrSdGMiH1rGCxTwDQVw73XKj4ON99/gCIkRkjZ1jUnCnAGUxeVhj&#10;rt2N32ioYiMShEOOCkyMfS5lqA1ZDHPXEyfv4rzFmKRvpPZ4S3DbyWWWPUuLLacFgz1tDdXX6tsq&#10;cO5YnQ6f/vVpPxw2eL6H7MvUSs2m42YFItIY/8N/7b1WsITfK+kG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kZNiwgAAANoAAAAPAAAAAAAAAAAAAAAAAJgCAABkcnMvZG93&#10;bnJldi54bWxQSwUGAAAAAAQABAD1AAAAhwMAAAAA&#10;" fillcolor="#77b64e [3033]" stroked="f">
                  <v:fill color2="#6eaa46 [3177]" rotate="t" colors="0 #81b861;.5 #6fb242;1 #61a235" focus="100%" type="gradient">
                    <o:fill v:ext="view" type="gradientUnscaled"/>
                  </v:fill>
                  <v:shadow on="t" color="black" opacity="41287f" offset="0,1.5pt"/>
                  <v:textbox style="mso-fit-shape-to-text:t">
                    <w:txbxContent>
                      <w:p w:rsidR="00872B9A" w:rsidRPr="0014697F" w:rsidRDefault="00872B9A" w:rsidP="00872B9A">
                        <w:pPr>
                          <w:spacing w:after="0" w:line="276" w:lineRule="auto"/>
                          <w:jc w:val="center"/>
                          <w:rPr>
                            <w:rFonts w:ascii="Times New Roman" w:hAnsi="Times New Roman" w:cs="Times New Roman"/>
                            <w:b/>
                            <w:bCs/>
                            <w:sz w:val="32"/>
                            <w:szCs w:val="32"/>
                            <w:u w:val="single"/>
                            <w:rtl/>
                          </w:rPr>
                        </w:pPr>
                        <w:r w:rsidRPr="0014697F">
                          <w:rPr>
                            <w:rFonts w:ascii="Times New Roman" w:hAnsi="Times New Roman" w:cs="Times New Roman" w:hint="cs"/>
                            <w:b/>
                            <w:bCs/>
                            <w:sz w:val="32"/>
                            <w:szCs w:val="32"/>
                            <w:u w:val="single"/>
                            <w:rtl/>
                          </w:rPr>
                          <w:t>الاستدامة</w:t>
                        </w:r>
                        <w:r w:rsidRPr="0014697F">
                          <w:rPr>
                            <w:rFonts w:ascii="Times New Roman" w:hAnsi="Times New Roman" w:cs="Times New Roman"/>
                            <w:b/>
                            <w:bCs/>
                            <w:sz w:val="32"/>
                            <w:szCs w:val="32"/>
                            <w:u w:val="single"/>
                            <w:rtl/>
                          </w:rPr>
                          <w:t>:</w:t>
                        </w:r>
                      </w:p>
                      <w:p w:rsidR="00872B9A" w:rsidRPr="0014697F" w:rsidRDefault="00872B9A" w:rsidP="00872B9A">
                        <w:pPr>
                          <w:pStyle w:val="a4"/>
                          <w:numPr>
                            <w:ilvl w:val="0"/>
                            <w:numId w:val="24"/>
                          </w:numPr>
                          <w:spacing w:after="0" w:line="276" w:lineRule="auto"/>
                          <w:rPr>
                            <w:rFonts w:ascii="Times New Roman" w:hAnsi="Times New Roman" w:cs="Times New Roman"/>
                            <w:b/>
                            <w:bCs/>
                            <w:sz w:val="28"/>
                            <w:szCs w:val="28"/>
                            <w:rtl/>
                          </w:rPr>
                        </w:pPr>
                        <w:r w:rsidRPr="0014697F">
                          <w:rPr>
                            <w:rFonts w:ascii="Times New Roman" w:hAnsi="Times New Roman" w:cs="Times New Roman"/>
                            <w:b/>
                            <w:bCs/>
                            <w:sz w:val="28"/>
                            <w:szCs w:val="28"/>
                            <w:rtl/>
                          </w:rPr>
                          <w:t>الاستدامة المالية</w:t>
                        </w:r>
                      </w:p>
                      <w:p w:rsidR="00872B9A" w:rsidRPr="0014697F" w:rsidRDefault="00872B9A" w:rsidP="00872B9A">
                        <w:pPr>
                          <w:pStyle w:val="a4"/>
                          <w:numPr>
                            <w:ilvl w:val="0"/>
                            <w:numId w:val="24"/>
                          </w:numPr>
                          <w:spacing w:after="0" w:line="276" w:lineRule="auto"/>
                          <w:rPr>
                            <w:rFonts w:ascii="Times New Roman" w:hAnsi="Times New Roman" w:cs="Times New Roman"/>
                            <w:b/>
                            <w:bCs/>
                            <w:sz w:val="28"/>
                            <w:szCs w:val="28"/>
                            <w:rtl/>
                          </w:rPr>
                        </w:pPr>
                        <w:r w:rsidRPr="0014697F">
                          <w:rPr>
                            <w:rFonts w:ascii="Times New Roman" w:hAnsi="Times New Roman" w:cs="Times New Roman"/>
                            <w:b/>
                            <w:bCs/>
                            <w:sz w:val="28"/>
                            <w:szCs w:val="28"/>
                            <w:rtl/>
                          </w:rPr>
                          <w:t xml:space="preserve"> المسؤولية الاجتماعية</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Pr>
                        </w:pPr>
                        <w:r w:rsidRPr="0014697F">
                          <w:rPr>
                            <w:rFonts w:ascii="Times New Roman" w:hAnsi="Times New Roman" w:cs="Times New Roman"/>
                            <w:b/>
                            <w:bCs/>
                            <w:sz w:val="28"/>
                            <w:szCs w:val="28"/>
                            <w:rtl/>
                          </w:rPr>
                          <w:t xml:space="preserve"> الاستدامة البيئية</w:t>
                        </w:r>
                      </w:p>
                    </w:txbxContent>
                  </v:textbox>
                </v:shape>
                <v:group id="مجموعة 6" o:spid="_x0000_s1030" style="position:absolute;left:20873;top:7252;width:33718;height:23095" coordsize="33718,23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مربع نص 2" o:spid="_x0000_s1031" type="#_x0000_t202" style="position:absolute;left:12864;top:10026;width:20854;height:13069;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ZWk8EA&#10;AADaAAAADwAAAGRycy9kb3ducmV2LnhtbESP3YrCMBSE7wXfIRzBO01X8YeuUUQQxBvX6gMcmrNt&#10;2eakNjGtb28WFvZymJlvmM2uN7UI1LrKsoKPaQKCOLe64kLB/XacrEE4j6yxtkwKXuRgtx0ONphq&#10;2/GVQuYLESHsUlRQet+kUrq8JINuahvi6H3b1qCPsi2kbrGLcFPLWZIspcGK40KJDR1Kyn+yp1FA&#10;ocpPWC/8efF8zL5uq3BZd0Gp8ajff4Lw1Pv/8F/7pBXM4fdKvAFy+w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DGVpPBAAAA2gAAAA8AAAAAAAAAAAAAAAAAmAIAAGRycy9kb3du&#10;cmV2LnhtbFBLBQYAAAAABAAEAPUAAACGAwAAAAA=&#10;" fillcolor="#4f7ac7 [3032]" strokecolor="#4472c4 [3208]" strokeweight=".5pt">
                    <v:fill color2="#416fc3 [3176]" rotate="t" colors="0 #6083cb;.5 #3e70ca;1 #2e61ba" focus="100%" type="gradient">
                      <o:fill v:ext="view" type="gradientUnscaled"/>
                    </v:fill>
                    <v:textbox style="mso-fit-shape-to-text:t">
                      <w:txbxContent>
                        <w:p w:rsidR="00872B9A" w:rsidRPr="0014697F" w:rsidRDefault="00872B9A" w:rsidP="00872B9A">
                          <w:pPr>
                            <w:spacing w:after="0" w:line="276" w:lineRule="auto"/>
                            <w:jc w:val="center"/>
                            <w:rPr>
                              <w:rFonts w:ascii="Times New Roman" w:hAnsi="Times New Roman" w:cs="Times New Roman"/>
                              <w:b/>
                              <w:bCs/>
                              <w:sz w:val="32"/>
                              <w:szCs w:val="32"/>
                              <w:u w:val="single"/>
                              <w:rtl/>
                            </w:rPr>
                          </w:pPr>
                          <w:r w:rsidRPr="0014697F">
                            <w:rPr>
                              <w:rFonts w:ascii="Times New Roman" w:hAnsi="Times New Roman" w:cs="Times New Roman"/>
                              <w:b/>
                              <w:bCs/>
                              <w:sz w:val="32"/>
                              <w:szCs w:val="32"/>
                              <w:u w:val="single"/>
                              <w:rtl/>
                            </w:rPr>
                            <w:t>الأداء المالي</w:t>
                          </w:r>
                          <w:r w:rsidRPr="0014697F">
                            <w:rPr>
                              <w:rFonts w:ascii="Times New Roman" w:hAnsi="Times New Roman" w:cs="Times New Roman" w:hint="cs"/>
                              <w:b/>
                              <w:bCs/>
                              <w:sz w:val="32"/>
                              <w:szCs w:val="32"/>
                              <w:u w:val="single"/>
                              <w:rtl/>
                            </w:rPr>
                            <w:t>:</w:t>
                          </w:r>
                        </w:p>
                        <w:p w:rsidR="00872B9A" w:rsidRPr="0014697F" w:rsidRDefault="00872B9A" w:rsidP="00872B9A">
                          <w:pPr>
                            <w:pStyle w:val="a4"/>
                            <w:numPr>
                              <w:ilvl w:val="0"/>
                              <w:numId w:val="24"/>
                            </w:numPr>
                            <w:spacing w:after="0" w:line="276" w:lineRule="auto"/>
                            <w:rPr>
                              <w:rFonts w:ascii="Times New Roman" w:hAnsi="Times New Roman" w:cs="Times New Roman"/>
                              <w:b/>
                              <w:bCs/>
                              <w:sz w:val="28"/>
                              <w:szCs w:val="28"/>
                              <w:rtl/>
                            </w:rPr>
                          </w:pPr>
                          <w:r w:rsidRPr="0014697F">
                            <w:rPr>
                              <w:rFonts w:ascii="Times New Roman" w:hAnsi="Times New Roman" w:cs="Times New Roman"/>
                              <w:b/>
                              <w:bCs/>
                              <w:sz w:val="28"/>
                              <w:szCs w:val="28"/>
                              <w:rtl/>
                            </w:rPr>
                            <w:t>الربحية</w:t>
                          </w:r>
                        </w:p>
                        <w:p w:rsidR="00872B9A" w:rsidRPr="0014697F" w:rsidRDefault="00872B9A" w:rsidP="00872B9A">
                          <w:pPr>
                            <w:pStyle w:val="a4"/>
                            <w:numPr>
                              <w:ilvl w:val="0"/>
                              <w:numId w:val="24"/>
                            </w:numPr>
                            <w:spacing w:after="0" w:line="276" w:lineRule="auto"/>
                            <w:rPr>
                              <w:rFonts w:ascii="Times New Roman" w:hAnsi="Times New Roman" w:cs="Times New Roman"/>
                              <w:b/>
                              <w:bCs/>
                              <w:sz w:val="28"/>
                              <w:szCs w:val="28"/>
                              <w:rtl/>
                            </w:rPr>
                          </w:pPr>
                          <w:r w:rsidRPr="0014697F">
                            <w:rPr>
                              <w:rFonts w:ascii="Times New Roman" w:hAnsi="Times New Roman" w:cs="Times New Roman"/>
                              <w:b/>
                              <w:bCs/>
                              <w:sz w:val="28"/>
                              <w:szCs w:val="28"/>
                              <w:rtl/>
                            </w:rPr>
                            <w:t xml:space="preserve"> العائد على الأصول</w:t>
                          </w:r>
                        </w:p>
                        <w:p w:rsidR="00872B9A" w:rsidRPr="0014697F" w:rsidRDefault="00872B9A" w:rsidP="00872B9A">
                          <w:pPr>
                            <w:pStyle w:val="a4"/>
                            <w:numPr>
                              <w:ilvl w:val="0"/>
                              <w:numId w:val="24"/>
                            </w:numPr>
                            <w:spacing w:after="0" w:line="276" w:lineRule="auto"/>
                            <w:rPr>
                              <w:rFonts w:ascii="Times New Roman" w:hAnsi="Times New Roman" w:cs="Times New Roman"/>
                              <w:b/>
                              <w:bCs/>
                              <w:sz w:val="28"/>
                              <w:szCs w:val="28"/>
                              <w:rtl/>
                            </w:rPr>
                          </w:pPr>
                          <w:r w:rsidRPr="0014697F">
                            <w:rPr>
                              <w:rFonts w:ascii="Times New Roman" w:hAnsi="Times New Roman" w:cs="Times New Roman"/>
                              <w:b/>
                              <w:bCs/>
                              <w:sz w:val="28"/>
                              <w:szCs w:val="28"/>
                              <w:rtl/>
                            </w:rPr>
                            <w:t xml:space="preserve"> جودة الأصول</w:t>
                          </w:r>
                        </w:p>
                        <w:p w:rsidR="00872B9A" w:rsidRPr="0014697F" w:rsidRDefault="00872B9A" w:rsidP="00872B9A">
                          <w:pPr>
                            <w:pStyle w:val="a4"/>
                            <w:numPr>
                              <w:ilvl w:val="0"/>
                              <w:numId w:val="24"/>
                            </w:numPr>
                            <w:spacing w:after="0" w:line="276" w:lineRule="auto"/>
                            <w:jc w:val="both"/>
                            <w:rPr>
                              <w:rFonts w:ascii="Times New Roman" w:hAnsi="Times New Roman" w:cs="Times New Roman"/>
                              <w:b/>
                              <w:bCs/>
                              <w:sz w:val="28"/>
                              <w:szCs w:val="28"/>
                            </w:rPr>
                          </w:pPr>
                          <w:r w:rsidRPr="0014697F">
                            <w:rPr>
                              <w:rFonts w:ascii="Times New Roman" w:hAnsi="Times New Roman" w:cs="Times New Roman"/>
                              <w:b/>
                              <w:bCs/>
                              <w:sz w:val="28"/>
                              <w:szCs w:val="28"/>
                              <w:rtl/>
                            </w:rPr>
                            <w:t xml:space="preserve"> السيولة</w:t>
                          </w:r>
                        </w:p>
                      </w:txbxContent>
                    </v:textbox>
                  </v:shape>
                  <v:shapetype id="_x0000_t32" coordsize="21600,21600" o:spt="32" o:oned="t" path="m,l21600,21600e" filled="f">
                    <v:path arrowok="t" fillok="f" o:connecttype="none"/>
                    <o:lock v:ext="edit" shapetype="t"/>
                  </v:shapetype>
                  <v:shape id="رابط كسهم مستقيم 4" o:spid="_x0000_s1032" type="#_x0000_t32" style="position:absolute;width:13452;height:592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OvWMQAAADaAAAADwAAAGRycy9kb3ducmV2LnhtbESPQWvCQBSE70L/w/IKXqRutLaU1FU0&#10;InitFmpvj+wzmzb7NmbXmPrru4LgcZiZb5jpvLOVaKnxpWMFo2ECgjh3uuRCwedu/fQGwgdkjZVj&#10;UvBHHuazh94UU+3O/EHtNhQiQtinqMCEUKdS+tyQRT90NXH0Dq6xGKJsCqkbPEe4reQ4SV6lxZLj&#10;gsGaMkP57/ZkFXwfXnS7zFZlbvbZ89dgcjn+7FdK9R+7xTuIQF24h2/tjVYwgeuVeAPk7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g69YxAAAANoAAAAPAAAAAAAAAAAA&#10;AAAAAKECAABkcnMvZG93bnJldi54bWxQSwUGAAAAAAQABAD5AAAAkgMAAAAA&#10;" strokecolor="#5b9bd5 [3204]" strokeweight=".5pt">
                    <v:stroke endarrow="block" joinstyle="miter"/>
                  </v:shape>
                  <v:shape id="رابط كسهم مستقيم 5" o:spid="_x0000_s1033" type="#_x0000_t32" style="position:absolute;top:9774;width:12549;height:6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8PWMEAAADaAAAADwAAAGRycy9kb3ducmV2LnhtbESPT2vCQBDF74V+h2UKXkQ3ihZNXaUU&#10;xF4brXgcsmM2mJ0N2anGb+8WCj0+3p8fb7XpfaOu1MU6sIHJOANFXAZbc2XgsN+OFqCiIFtsApOB&#10;O0XYrJ+fVpjbcOMvuhZSqTTCMUcDTqTNtY6lI49xHFri5J1D51GS7CptO7ylcd/oaZa9ao81J4LD&#10;lj4clZfixycuHabDYj5czi47/D4dndxnEzFm8NK/v4ES6uU//Nf+tAbm8Hsl3QC9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3w9YwQAAANoAAAAPAAAAAAAAAAAAAAAA&#10;AKECAABkcnMvZG93bnJldi54bWxQSwUGAAAAAAQABAD5AAAAjwMAAAAA&#10;" strokecolor="#5b9bd5 [3204]" strokeweight=".5pt">
                    <v:stroke endarrow="block" joinstyle="miter"/>
                  </v:shape>
                </v:group>
              </v:group>
            </w:pict>
          </mc:Fallback>
        </mc:AlternateContent>
      </w: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Pr="0014697F" w:rsidRDefault="00872B9A" w:rsidP="00872B9A">
      <w:pPr>
        <w:spacing w:line="360" w:lineRule="auto"/>
        <w:jc w:val="center"/>
        <w:rPr>
          <w:rFonts w:ascii="Times New Roman" w:hAnsi="Times New Roman" w:cs="Times New Roman"/>
          <w:b/>
          <w:bCs/>
          <w:sz w:val="28"/>
          <w:szCs w:val="28"/>
          <w:rtl/>
        </w:rPr>
      </w:pPr>
      <w:r w:rsidRPr="0014697F">
        <w:rPr>
          <w:rFonts w:ascii="Times New Roman" w:hAnsi="Times New Roman" w:cs="Times New Roman" w:hint="cs"/>
          <w:b/>
          <w:bCs/>
          <w:sz w:val="28"/>
          <w:szCs w:val="28"/>
          <w:rtl/>
        </w:rPr>
        <w:t>شكل (1): النموذج المعرفي للدراسة (من تصميم الباحث)</w:t>
      </w: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sz w:val="28"/>
          <w:szCs w:val="28"/>
          <w:rtl/>
        </w:rPr>
      </w:pPr>
    </w:p>
    <w:p w:rsidR="00872B9A" w:rsidRPr="00871B2D" w:rsidRDefault="00872B9A" w:rsidP="00872B9A">
      <w:pPr>
        <w:pStyle w:val="1"/>
        <w:jc w:val="center"/>
        <w:rPr>
          <w:rFonts w:ascii="Sakkal Majalla" w:hAnsi="Sakkal Majalla" w:cs="PT Bold Heading"/>
          <w:b/>
          <w:bCs/>
          <w:sz w:val="48"/>
          <w:szCs w:val="48"/>
          <w:rtl/>
        </w:rPr>
      </w:pPr>
      <w:bookmarkStart w:id="11" w:name="_Toc181824693"/>
      <w:bookmarkStart w:id="12" w:name="_Toc203686988"/>
      <w:r w:rsidRPr="00871B2D">
        <w:rPr>
          <w:rFonts w:ascii="Sakkal Majalla" w:hAnsi="Sakkal Majalla" w:cs="PT Bold Heading" w:hint="cs"/>
          <w:b/>
          <w:bCs/>
          <w:sz w:val="48"/>
          <w:szCs w:val="48"/>
          <w:rtl/>
        </w:rPr>
        <w:t>الفصل الثاني</w:t>
      </w:r>
      <w:bookmarkEnd w:id="11"/>
      <w:bookmarkEnd w:id="12"/>
    </w:p>
    <w:p w:rsidR="00872B9A" w:rsidRPr="00871B2D" w:rsidRDefault="00872B9A" w:rsidP="00872B9A">
      <w:pPr>
        <w:pStyle w:val="1"/>
        <w:jc w:val="center"/>
        <w:rPr>
          <w:rFonts w:ascii="Sakkal Majalla" w:hAnsi="Sakkal Majalla" w:cs="PT Bold Heading"/>
          <w:b/>
          <w:bCs/>
          <w:sz w:val="48"/>
          <w:szCs w:val="48"/>
          <w:rtl/>
        </w:rPr>
      </w:pPr>
      <w:bookmarkStart w:id="13" w:name="_Toc203686989"/>
      <w:r w:rsidRPr="00871B2D">
        <w:rPr>
          <w:rFonts w:ascii="Sakkal Majalla" w:hAnsi="Sakkal Majalla" w:cs="PT Bold Heading" w:hint="cs"/>
          <w:b/>
          <w:bCs/>
          <w:sz w:val="48"/>
          <w:szCs w:val="48"/>
          <w:rtl/>
        </w:rPr>
        <w:t>الدراسات السابقة والإطار النظري</w:t>
      </w:r>
      <w:bookmarkEnd w:id="13"/>
    </w:p>
    <w:p w:rsidR="00872B9A" w:rsidRPr="00C0064D" w:rsidRDefault="00872B9A" w:rsidP="00872B9A">
      <w:pPr>
        <w:rPr>
          <w:rFonts w:ascii="Sakkal Majalla" w:hAnsi="Sakkal Majalla" w:cs="PT Bold Heading"/>
          <w:sz w:val="28"/>
          <w:szCs w:val="28"/>
          <w:u w:val="single"/>
          <w:rtl/>
        </w:rPr>
      </w:pPr>
    </w:p>
    <w:p w:rsidR="00872B9A" w:rsidRDefault="00872B9A" w:rsidP="00872B9A">
      <w:pPr>
        <w:rPr>
          <w:rFonts w:ascii="Sakkal Majalla" w:hAnsi="Sakkal Majalla" w:cs="Sakkal Majalla"/>
          <w:sz w:val="28"/>
          <w:szCs w:val="28"/>
          <w:u w:val="single"/>
          <w:rtl/>
        </w:rPr>
      </w:pPr>
    </w:p>
    <w:p w:rsidR="00872B9A" w:rsidRDefault="00872B9A" w:rsidP="00872B9A">
      <w:pPr>
        <w:rPr>
          <w:rFonts w:ascii="Sakkal Majalla" w:hAnsi="Sakkal Majalla" w:cs="Sakkal Majalla"/>
          <w:sz w:val="28"/>
          <w:szCs w:val="28"/>
          <w:u w:val="single"/>
          <w:rtl/>
        </w:rPr>
      </w:pPr>
    </w:p>
    <w:p w:rsidR="00872B9A" w:rsidRDefault="00872B9A" w:rsidP="00872B9A">
      <w:pPr>
        <w:spacing w:line="276" w:lineRule="auto"/>
        <w:jc w:val="both"/>
        <w:rPr>
          <w:rFonts w:asciiTheme="majorBidi" w:hAnsiTheme="majorBidi" w:cstheme="majorBidi"/>
          <w:sz w:val="28"/>
          <w:szCs w:val="28"/>
          <w:rtl/>
        </w:rPr>
      </w:pPr>
    </w:p>
    <w:p w:rsidR="00872B9A" w:rsidRDefault="00872B9A" w:rsidP="00872B9A">
      <w:pPr>
        <w:spacing w:line="276" w:lineRule="auto"/>
        <w:jc w:val="both"/>
        <w:rPr>
          <w:rFonts w:asciiTheme="majorBidi" w:hAnsiTheme="majorBidi" w:cstheme="majorBidi"/>
          <w:sz w:val="28"/>
          <w:szCs w:val="28"/>
          <w:rtl/>
        </w:rPr>
      </w:pPr>
    </w:p>
    <w:p w:rsidR="00872B9A" w:rsidRDefault="00872B9A" w:rsidP="00872B9A">
      <w:pPr>
        <w:spacing w:line="276" w:lineRule="auto"/>
        <w:jc w:val="both"/>
        <w:rPr>
          <w:rFonts w:asciiTheme="majorBidi" w:hAnsiTheme="majorBidi" w:cstheme="majorBidi"/>
          <w:sz w:val="28"/>
          <w:szCs w:val="28"/>
          <w:rtl/>
        </w:rPr>
      </w:pPr>
    </w:p>
    <w:p w:rsidR="00872B9A" w:rsidRDefault="00872B9A" w:rsidP="00872B9A">
      <w:pPr>
        <w:spacing w:line="276" w:lineRule="auto"/>
        <w:jc w:val="both"/>
        <w:rPr>
          <w:rFonts w:asciiTheme="majorBidi" w:hAnsiTheme="majorBidi" w:cstheme="majorBidi"/>
          <w:sz w:val="28"/>
          <w:szCs w:val="28"/>
          <w:rtl/>
        </w:rPr>
      </w:pPr>
    </w:p>
    <w:p w:rsidR="00872B9A" w:rsidRDefault="00872B9A" w:rsidP="00872B9A">
      <w:pPr>
        <w:spacing w:line="276" w:lineRule="auto"/>
        <w:jc w:val="both"/>
        <w:rPr>
          <w:rFonts w:asciiTheme="majorBidi" w:hAnsiTheme="majorBidi" w:cstheme="majorBidi"/>
          <w:sz w:val="28"/>
          <w:szCs w:val="28"/>
          <w:rtl/>
        </w:rPr>
      </w:pPr>
    </w:p>
    <w:p w:rsidR="00872B9A" w:rsidRDefault="00872B9A" w:rsidP="00872B9A">
      <w:pPr>
        <w:spacing w:line="276" w:lineRule="auto"/>
        <w:jc w:val="both"/>
        <w:rPr>
          <w:rFonts w:asciiTheme="majorBidi" w:hAnsiTheme="majorBidi" w:cstheme="majorBidi"/>
          <w:sz w:val="28"/>
          <w:szCs w:val="28"/>
          <w:rtl/>
        </w:rPr>
      </w:pPr>
    </w:p>
    <w:p w:rsidR="00872B9A" w:rsidRDefault="00872B9A" w:rsidP="00872B9A">
      <w:pPr>
        <w:spacing w:line="276" w:lineRule="auto"/>
        <w:jc w:val="both"/>
        <w:rPr>
          <w:rFonts w:asciiTheme="majorBidi" w:hAnsiTheme="majorBidi" w:cstheme="majorBidi"/>
          <w:sz w:val="28"/>
          <w:szCs w:val="28"/>
          <w:rtl/>
        </w:rPr>
      </w:pPr>
    </w:p>
    <w:p w:rsidR="00872B9A" w:rsidRPr="001F4AEC" w:rsidRDefault="00872B9A" w:rsidP="00872B9A">
      <w:pPr>
        <w:pStyle w:val="1"/>
        <w:jc w:val="center"/>
        <w:rPr>
          <w:rFonts w:asciiTheme="majorBidi" w:hAnsiTheme="majorBidi" w:cs="PT Bold Heading"/>
          <w:sz w:val="36"/>
          <w:szCs w:val="36"/>
          <w:u w:val="single"/>
          <w:rtl/>
        </w:rPr>
      </w:pPr>
      <w:bookmarkStart w:id="14" w:name="_Toc181824694"/>
      <w:bookmarkStart w:id="15" w:name="_Toc203686990"/>
      <w:r w:rsidRPr="001F4AEC">
        <w:rPr>
          <w:rFonts w:asciiTheme="majorBidi" w:hAnsiTheme="majorBidi" w:cs="PT Bold Heading" w:hint="cs"/>
          <w:sz w:val="36"/>
          <w:szCs w:val="36"/>
          <w:u w:val="single"/>
          <w:rtl/>
        </w:rPr>
        <w:lastRenderedPageBreak/>
        <w:t>الدراسات السابقة</w:t>
      </w:r>
      <w:bookmarkEnd w:id="14"/>
      <w:bookmarkEnd w:id="15"/>
    </w:p>
    <w:p w:rsidR="00872B9A" w:rsidRPr="00AD0DBA" w:rsidRDefault="00872B9A" w:rsidP="00872B9A">
      <w:pPr>
        <w:pStyle w:val="3"/>
        <w:rPr>
          <w:rFonts w:ascii="Times New Roman" w:hAnsi="Times New Roman" w:cs="Times New Roman"/>
          <w:b/>
          <w:bCs/>
          <w:color w:val="0070C0"/>
          <w:sz w:val="28"/>
          <w:szCs w:val="28"/>
          <w:rtl/>
        </w:rPr>
      </w:pPr>
      <w:bookmarkStart w:id="16" w:name="_Toc203686991"/>
      <w:r w:rsidRPr="00AD0DBA">
        <w:rPr>
          <w:rFonts w:ascii="Times New Roman" w:hAnsi="Times New Roman" w:cs="Times New Roman"/>
          <w:b/>
          <w:bCs/>
          <w:color w:val="0070C0"/>
          <w:sz w:val="28"/>
          <w:szCs w:val="28"/>
          <w:rtl/>
        </w:rPr>
        <w:t>مقدمة:</w:t>
      </w:r>
      <w:bookmarkEnd w:id="16"/>
    </w:p>
    <w:p w:rsidR="00872B9A" w:rsidRPr="00D0754A" w:rsidRDefault="00872B9A" w:rsidP="00872B9A">
      <w:pPr>
        <w:ind w:firstLine="282"/>
        <w:jc w:val="both"/>
        <w:rPr>
          <w:rtl/>
        </w:rPr>
      </w:pPr>
      <w:r w:rsidRPr="0085570A">
        <w:rPr>
          <w:rFonts w:ascii="Simplified Arabic" w:eastAsia="Liberation Mono" w:hAnsi="Simplified Arabic" w:cs="Simplified Arabic"/>
          <w:sz w:val="28"/>
          <w:szCs w:val="28"/>
          <w:rtl/>
          <w:lang w:eastAsia="zh-CN"/>
        </w:rPr>
        <w:t xml:space="preserve">في هذا الجزء سوف نستعرض الدراسات السابقة التي تناولت موضوع </w:t>
      </w:r>
      <w:r w:rsidRPr="0085570A">
        <w:rPr>
          <w:rFonts w:ascii="Simplified Arabic" w:eastAsia="Liberation Mono" w:hAnsi="Simplified Arabic" w:cs="Simplified Arabic"/>
          <w:b/>
          <w:bCs/>
          <w:sz w:val="28"/>
          <w:szCs w:val="28"/>
          <w:rtl/>
          <w:lang w:eastAsia="zh-CN"/>
        </w:rPr>
        <w:t>"</w:t>
      </w:r>
      <w:r>
        <w:rPr>
          <w:rFonts w:ascii="Simplified Arabic" w:eastAsia="Liberation Mono" w:hAnsi="Simplified Arabic" w:cs="Simplified Arabic" w:hint="cs"/>
          <w:b/>
          <w:bCs/>
          <w:sz w:val="28"/>
          <w:szCs w:val="28"/>
          <w:rtl/>
          <w:lang w:eastAsia="zh-CN"/>
        </w:rPr>
        <w:t>أثر ممارسات إدارة المخاطر في تعزيز الاستدامة وتحسين الأداء المالي بالبنوك التجارية</w:t>
      </w:r>
      <w:r w:rsidRPr="0085570A">
        <w:rPr>
          <w:rFonts w:ascii="Simplified Arabic" w:eastAsia="Liberation Mono" w:hAnsi="Simplified Arabic" w:cs="Simplified Arabic"/>
          <w:b/>
          <w:bCs/>
          <w:sz w:val="28"/>
          <w:szCs w:val="28"/>
          <w:rtl/>
          <w:lang w:eastAsia="zh-CN"/>
        </w:rPr>
        <w:t>"</w:t>
      </w:r>
      <w:r w:rsidRPr="0085570A">
        <w:rPr>
          <w:rFonts w:ascii="Simplified Arabic" w:eastAsia="Liberation Mono" w:hAnsi="Simplified Arabic" w:cs="Simplified Arabic"/>
          <w:sz w:val="28"/>
          <w:szCs w:val="28"/>
          <w:rtl/>
          <w:lang w:eastAsia="zh-CN"/>
        </w:rPr>
        <w:t>، او تلك التي تناولت جانب من جوانب الدراسة الحالية او أحد متغيراتها سواءً المتغير التابع او المستقل، وذلك للاستفادة منها في هذه الدراسة من خلال الطريقة التي اعتمدتها الدراسات السابقة والإجراءات التي اتبعتها، واستعراض النتائج التي توصلت اليها، ومن ثم التعقيب عليها لتحديد مدى الاستفادة منها وتبيين الفجوة التي تعتريها واستعراض ما يميز دراستنا الحالية عن الدراسات السابقة. وفيما يلي نستعرض الدراسات السابقة مرتبة من الأحدث الى الأقدم:</w:t>
      </w:r>
    </w:p>
    <w:p w:rsidR="00872B9A" w:rsidRPr="00962431" w:rsidRDefault="00872B9A" w:rsidP="00872B9A">
      <w:pPr>
        <w:pStyle w:val="3"/>
        <w:spacing w:after="240" w:line="360" w:lineRule="auto"/>
        <w:rPr>
          <w:rFonts w:ascii="Times New Roman" w:hAnsi="Times New Roman" w:cs="Times New Roman"/>
          <w:b/>
          <w:bCs/>
          <w:color w:val="0070C0"/>
          <w:sz w:val="28"/>
          <w:szCs w:val="28"/>
          <w:rtl/>
        </w:rPr>
      </w:pPr>
      <w:bookmarkStart w:id="17" w:name="_Toc203686992"/>
      <w:r w:rsidRPr="00962431">
        <w:rPr>
          <w:rFonts w:ascii="Times New Roman" w:hAnsi="Times New Roman" w:cs="Times New Roman" w:hint="cs"/>
          <w:b/>
          <w:bCs/>
          <w:color w:val="0070C0"/>
          <w:sz w:val="28"/>
          <w:szCs w:val="28"/>
          <w:rtl/>
        </w:rPr>
        <w:t>أولاً: الدراسات العربية:</w:t>
      </w:r>
      <w:bookmarkEnd w:id="17"/>
    </w:p>
    <w:p w:rsidR="00872B9A" w:rsidRPr="00962431" w:rsidRDefault="00872B9A" w:rsidP="00872B9A">
      <w:pPr>
        <w:pStyle w:val="a4"/>
        <w:numPr>
          <w:ilvl w:val="0"/>
          <w:numId w:val="25"/>
        </w:numPr>
        <w:spacing w:line="360" w:lineRule="auto"/>
        <w:jc w:val="both"/>
        <w:rPr>
          <w:rFonts w:ascii="Times New Roman" w:hAnsi="Times New Roman" w:cs="Times New Roman"/>
          <w:b/>
          <w:bCs/>
          <w:sz w:val="28"/>
          <w:szCs w:val="28"/>
          <w:rtl/>
        </w:rPr>
      </w:pPr>
      <w:r w:rsidRPr="00962431">
        <w:rPr>
          <w:rFonts w:ascii="Times New Roman" w:hAnsi="Times New Roman" w:cs="Times New Roman"/>
          <w:b/>
          <w:bCs/>
          <w:sz w:val="28"/>
          <w:szCs w:val="28"/>
          <w:rtl/>
        </w:rPr>
        <w:t>دراسة (صالح، 2021). بعنوان "أثر ممارسات إدارة المخاطر على الأداء المالي في البنوك السعودية" المملكة العربية السعودية.</w:t>
      </w:r>
    </w:p>
    <w:p w:rsidR="00872B9A" w:rsidRPr="006D54B5" w:rsidRDefault="00872B9A" w:rsidP="00872B9A">
      <w:pPr>
        <w:spacing w:line="360" w:lineRule="auto"/>
        <w:ind w:firstLine="368"/>
        <w:jc w:val="both"/>
        <w:rPr>
          <w:rFonts w:ascii="Times New Roman" w:hAnsi="Times New Roman" w:cs="Times New Roman" w:hint="cs"/>
          <w:sz w:val="28"/>
          <w:szCs w:val="28"/>
          <w:rtl/>
        </w:rPr>
      </w:pPr>
      <w:r>
        <w:rPr>
          <w:rFonts w:ascii="Times New Roman" w:hAnsi="Times New Roman" w:cs="Times New Roman"/>
          <w:sz w:val="28"/>
          <w:szCs w:val="28"/>
          <w:rtl/>
        </w:rPr>
        <w:t>هدفت الدراسة إل</w:t>
      </w:r>
      <w:r>
        <w:rPr>
          <w:rFonts w:ascii="Times New Roman" w:hAnsi="Times New Roman" w:cs="Times New Roman" w:hint="cs"/>
          <w:sz w:val="28"/>
          <w:szCs w:val="28"/>
          <w:rtl/>
        </w:rPr>
        <w:t xml:space="preserve">ى </w:t>
      </w:r>
      <w:r w:rsidRPr="006D54B5">
        <w:rPr>
          <w:rFonts w:ascii="Times New Roman" w:hAnsi="Times New Roman" w:cs="Times New Roman"/>
          <w:sz w:val="28"/>
          <w:szCs w:val="28"/>
          <w:rtl/>
        </w:rPr>
        <w:t>استكشاف تأثير تطبيق ممارسات إدارة المخاطر على تحسين الأداء المالي في البنوك السعودية، مع التركيز على العلاقة بين إدارة المخاطر ومؤشرات الأداء المالي مثل العائد على الأصول (</w:t>
      </w:r>
      <w:r w:rsidRPr="006D54B5">
        <w:rPr>
          <w:rFonts w:ascii="Times New Roman" w:hAnsi="Times New Roman" w:cs="Times New Roman"/>
          <w:sz w:val="28"/>
          <w:szCs w:val="28"/>
        </w:rPr>
        <w:t>ROA</w:t>
      </w:r>
      <w:r w:rsidRPr="006D54B5">
        <w:rPr>
          <w:rFonts w:ascii="Times New Roman" w:hAnsi="Times New Roman" w:cs="Times New Roman"/>
          <w:sz w:val="28"/>
          <w:szCs w:val="28"/>
          <w:rtl/>
        </w:rPr>
        <w:t>) والعائد على حقوق الملكية (</w:t>
      </w:r>
      <w:r w:rsidRPr="006D54B5">
        <w:rPr>
          <w:rFonts w:ascii="Times New Roman" w:hAnsi="Times New Roman" w:cs="Times New Roman"/>
          <w:sz w:val="28"/>
          <w:szCs w:val="28"/>
        </w:rPr>
        <w:t>ROE</w:t>
      </w:r>
      <w:r w:rsidRPr="006D54B5">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اتبعت الدراسة المنهج الوصفي التحليلي، حيث تم استخدام استبيان لجمع البيانات من العاملين في عينة مكونة من 150 موظفًا من البنوك السعودية. استخدمت أدوات تحليل إحصائية تشمل التحليل الوصفي، اختبار معامل الارتباط، والانحدار الخطي البسيط لتحليل العلاقات بين متغيرات الدراسة.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أظهرت النتائج وجود علاقة إيجابية ودالة إحصائيًا بين ممارسات إدارة المخاطر وتحسين الأداء المالي للبنوك. كما تبين أن البنوك التي تطبق إجراءات صارمة لإدارة المخاطر تحقق مؤشرات مالية أفضل من حيث الربحية والسيولة وجودة الأصول. وأكدت النتائج أهمية التدريب والتوعية المستمرة للعاملين في تعزيز فعالية إدارة المخاطر.</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وقد أوصت الدراسة ب</w:t>
      </w:r>
      <w:r w:rsidRPr="006D54B5">
        <w:rPr>
          <w:rFonts w:ascii="Times New Roman" w:hAnsi="Times New Roman" w:cs="Times New Roman"/>
          <w:sz w:val="28"/>
          <w:szCs w:val="28"/>
          <w:rtl/>
        </w:rPr>
        <w:t>ضرورة تعزيز ثقافة إدارة المخاطر داخل البنوك من خلال برامج تدريبية مستمرة، وتحديث السياسات بما يتوافق مع المعايير الدولية، فضلاً عن ضرورة تفعيل دور وحدات إدارة المخاطر لتكون جزءًا أساسيًا من صنع القرار الاستراتيجي.</w:t>
      </w:r>
    </w:p>
    <w:p w:rsidR="00872B9A" w:rsidRPr="00962431" w:rsidRDefault="00872B9A" w:rsidP="00872B9A">
      <w:pPr>
        <w:pStyle w:val="a4"/>
        <w:numPr>
          <w:ilvl w:val="0"/>
          <w:numId w:val="25"/>
        </w:numPr>
        <w:spacing w:line="360" w:lineRule="auto"/>
        <w:jc w:val="both"/>
        <w:rPr>
          <w:rFonts w:ascii="Times New Roman" w:hAnsi="Times New Roman" w:cs="Times New Roman"/>
          <w:b/>
          <w:bCs/>
          <w:sz w:val="28"/>
          <w:szCs w:val="28"/>
          <w:rtl/>
        </w:rPr>
      </w:pPr>
      <w:r w:rsidRPr="00962431">
        <w:rPr>
          <w:rFonts w:ascii="Times New Roman" w:hAnsi="Times New Roman" w:cs="Times New Roman"/>
          <w:b/>
          <w:bCs/>
          <w:sz w:val="28"/>
          <w:szCs w:val="28"/>
          <w:rtl/>
        </w:rPr>
        <w:lastRenderedPageBreak/>
        <w:t>دراسة (الحسيني، 2019). بعنوان "تأثير ممارسات إدارة المخاطر على الأداء المالي للبنوك التجارية في العراق" العراق.</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تحديد مدى تأثير ممارسات إدارة المخاطر على مؤشرات الأداء المالي للبنوك التجارية العراقية، مع التركيز على دور إدارة المخاطر الائتمانية والتشغيلية.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 xml:space="preserve">اعتمدت الدراسة على المنهج الوصفي التحليلي، وجمعت البيانات عبر استبيانات وزعت على 120 موظفًا في عدة بنوك عراقية. تم استخدام برنامج </w:t>
      </w:r>
      <w:r w:rsidRPr="006D54B5">
        <w:rPr>
          <w:rFonts w:ascii="Times New Roman" w:hAnsi="Times New Roman" w:cs="Times New Roman"/>
          <w:sz w:val="28"/>
          <w:szCs w:val="28"/>
        </w:rPr>
        <w:t>SPSS</w:t>
      </w:r>
      <w:r w:rsidRPr="006D54B5">
        <w:rPr>
          <w:rFonts w:ascii="Times New Roman" w:hAnsi="Times New Roman" w:cs="Times New Roman"/>
          <w:sz w:val="28"/>
          <w:szCs w:val="28"/>
          <w:rtl/>
        </w:rPr>
        <w:t xml:space="preserve"> لتحليل البيانات، مع تطبيق اختبار معامل الارتباط والانحدار المتعدد.</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أظهرت النتائج أن تطبيق ممارسات إدارة المخاطر بشكل فعّال يسهم في تحسين مؤشرات الربحية وتقليل نسبة القروض المتعثرة. كما بينت الدراسة أهمية الدعم الإداري والتدريب المستمر لتعزيز تطبيق إدارة المخاطر.</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وقد أوصت الدراسة ب</w:t>
      </w:r>
      <w:r w:rsidRPr="006D54B5">
        <w:rPr>
          <w:rFonts w:ascii="Times New Roman" w:hAnsi="Times New Roman" w:cs="Times New Roman"/>
          <w:sz w:val="28"/>
          <w:szCs w:val="28"/>
          <w:rtl/>
        </w:rPr>
        <w:t>ضرورة زيادة الوعي بأهمية إدارة المخاطر لدى العاملين، وتعزيز الدعم المؤسسي من الإدارة العليا، بالإضافة إلى تحديث السياسات بما يتوافق مع أفضل الممارسات الدولية.</w:t>
      </w:r>
    </w:p>
    <w:p w:rsidR="00872B9A" w:rsidRPr="00962431" w:rsidRDefault="00872B9A" w:rsidP="00872B9A">
      <w:pPr>
        <w:pStyle w:val="a4"/>
        <w:numPr>
          <w:ilvl w:val="0"/>
          <w:numId w:val="25"/>
        </w:numPr>
        <w:spacing w:line="360" w:lineRule="auto"/>
        <w:jc w:val="both"/>
        <w:rPr>
          <w:rFonts w:ascii="Times New Roman" w:hAnsi="Times New Roman" w:cs="Times New Roman"/>
          <w:b/>
          <w:bCs/>
          <w:sz w:val="28"/>
          <w:szCs w:val="28"/>
          <w:rtl/>
        </w:rPr>
      </w:pPr>
      <w:r w:rsidRPr="00962431">
        <w:rPr>
          <w:rFonts w:ascii="Times New Roman" w:hAnsi="Times New Roman" w:cs="Times New Roman"/>
          <w:b/>
          <w:bCs/>
          <w:sz w:val="28"/>
          <w:szCs w:val="28"/>
          <w:rtl/>
        </w:rPr>
        <w:t xml:space="preserve"> دراسة (الرفاعي، 2018). بعنوان "دور إدارة المخاطر في تحسين الأداء المالي للبنوك الأردنية" الأردن.</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تحليل دور إدارة المخاطر في تحسين الأداء المالي للبنوك الأردنية من خلال دراسة العلاقة بين تطبيق أنظمة إدارة المخاطر ومؤشرات الربحية وجودة الأصول.</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استخدمت الدراسة المنهج الوصفي، مع جمع البيانات من 100 موظف في البنوك الأردنية عبر استبيان مصمم خصيصًا. تم تحليل البيانات باستخدام تحليل الانحدار الخطي واختبار الفرضيات.</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كشفت النتائج عن وجود علاقة إيجابية معنوية بين إدارة المخاطر وتحسين الأداء المالي، لا سيما فيما يتعلق بتقليل المخاطر التشغيلية والائتمانية. وأكدت النتائج على أهمية تحديث أنظمة الرقابة الداخلية.</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 xml:space="preserve">وقد أوصت الدراسة </w:t>
      </w:r>
      <w:r>
        <w:rPr>
          <w:rFonts w:ascii="Times New Roman" w:hAnsi="Times New Roman" w:cs="Times New Roman" w:hint="cs"/>
          <w:sz w:val="28"/>
          <w:szCs w:val="28"/>
          <w:rtl/>
        </w:rPr>
        <w:t>ب</w:t>
      </w:r>
      <w:r w:rsidRPr="006D54B5">
        <w:rPr>
          <w:rFonts w:ascii="Times New Roman" w:hAnsi="Times New Roman" w:cs="Times New Roman"/>
          <w:sz w:val="28"/>
          <w:szCs w:val="28"/>
          <w:rtl/>
        </w:rPr>
        <w:t>تطوير برامج تدريبية مكثفة للموظفين، وتعزيز الرقابة الداخلية والحوكمة المؤسسية، مع ضرورة دمج إدارة المخاطر ضمن الاستراتيجية الشاملة للبنك.</w:t>
      </w:r>
    </w:p>
    <w:p w:rsidR="00872B9A" w:rsidRPr="00962431" w:rsidRDefault="00872B9A" w:rsidP="00872B9A">
      <w:pPr>
        <w:pStyle w:val="a4"/>
        <w:numPr>
          <w:ilvl w:val="0"/>
          <w:numId w:val="25"/>
        </w:numPr>
        <w:spacing w:line="360" w:lineRule="auto"/>
        <w:jc w:val="both"/>
        <w:rPr>
          <w:rFonts w:ascii="Times New Roman" w:hAnsi="Times New Roman" w:cs="Times New Roman"/>
          <w:b/>
          <w:bCs/>
          <w:sz w:val="28"/>
          <w:szCs w:val="28"/>
          <w:rtl/>
        </w:rPr>
      </w:pPr>
      <w:r w:rsidRPr="00962431">
        <w:rPr>
          <w:rFonts w:ascii="Times New Roman" w:hAnsi="Times New Roman" w:cs="Times New Roman"/>
          <w:b/>
          <w:bCs/>
          <w:sz w:val="28"/>
          <w:szCs w:val="28"/>
          <w:rtl/>
        </w:rPr>
        <w:lastRenderedPageBreak/>
        <w:t xml:space="preserve"> دراسة (الحميدي، 2017). بعنوان "تأثير إدارة المخاطر على الأداء المالي للبنوك الإسلامية في مصر".</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دراسة أثر تطبيق إدارة المخاطر على الأداء المالي للبنوك الإسلامية في مصر، مع التركيز على المخاطر التمويلية والائتمانية.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 xml:space="preserve">اتبعت الدراسة المنهج الوصفي التحليلي، مع جمع البيانات من 80 موظفًا في البنوك الإسلامية المصرية باستخدام استبيان. كما تم تطبيق التحليل الإحصائي باستخدام برنامج </w:t>
      </w:r>
      <w:r w:rsidRPr="006D54B5">
        <w:rPr>
          <w:rFonts w:ascii="Times New Roman" w:hAnsi="Times New Roman" w:cs="Times New Roman"/>
          <w:sz w:val="28"/>
          <w:szCs w:val="28"/>
        </w:rPr>
        <w:t>SPSS</w:t>
      </w:r>
      <w:r w:rsidRPr="006D54B5">
        <w:rPr>
          <w:rFonts w:ascii="Times New Roman" w:hAnsi="Times New Roman" w:cs="Times New Roman"/>
          <w:sz w:val="28"/>
          <w:szCs w:val="28"/>
          <w:rtl/>
        </w:rPr>
        <w:t>، مع اختبار معامل الارتباط والانحدار.</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توصلت الدراسة إلى أن تطبيق إدارة المخاطر بشكل فعال يساهم في تحسين مؤشرات الأداء المالي، وخاصة في تقليل نسبة المخاطر التمويلية وتحسين الربحية. كما أظهرت أهمية التدريب والتوعية في رفع كفاءة تطبيق إدارة المخاطر.</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وقد أوصت الدراسة ب</w:t>
      </w:r>
      <w:r w:rsidRPr="006D54B5">
        <w:rPr>
          <w:rFonts w:ascii="Times New Roman" w:hAnsi="Times New Roman" w:cs="Times New Roman"/>
          <w:sz w:val="28"/>
          <w:szCs w:val="28"/>
          <w:rtl/>
        </w:rPr>
        <w:t>ضرورة اعتماد استراتيجيات متقدمة لإدارة المخاطر، وتوفير برامج تدريب مستمرة للعاملين، وتعزيز دور الرقابة الداخلية والحوكمة.</w:t>
      </w:r>
    </w:p>
    <w:p w:rsidR="00872B9A" w:rsidRPr="00962431" w:rsidRDefault="00872B9A" w:rsidP="00872B9A">
      <w:pPr>
        <w:pStyle w:val="a4"/>
        <w:numPr>
          <w:ilvl w:val="0"/>
          <w:numId w:val="25"/>
        </w:numPr>
        <w:spacing w:line="360" w:lineRule="auto"/>
        <w:jc w:val="both"/>
        <w:rPr>
          <w:rFonts w:ascii="Times New Roman" w:hAnsi="Times New Roman" w:cs="Times New Roman"/>
          <w:b/>
          <w:bCs/>
          <w:sz w:val="28"/>
          <w:szCs w:val="28"/>
          <w:rtl/>
        </w:rPr>
      </w:pPr>
      <w:r w:rsidRPr="00962431">
        <w:rPr>
          <w:rFonts w:ascii="Times New Roman" w:hAnsi="Times New Roman" w:cs="Times New Roman"/>
          <w:sz w:val="28"/>
          <w:szCs w:val="28"/>
          <w:rtl/>
        </w:rPr>
        <w:t xml:space="preserve"> </w:t>
      </w:r>
      <w:r w:rsidRPr="00962431">
        <w:rPr>
          <w:rFonts w:ascii="Times New Roman" w:hAnsi="Times New Roman" w:cs="Times New Roman"/>
          <w:b/>
          <w:bCs/>
          <w:sz w:val="28"/>
          <w:szCs w:val="28"/>
          <w:rtl/>
        </w:rPr>
        <w:t>دراسة (النجار، 2015). بعنوان "أثر إدارة المخاطر على الأداء المالي للبنوك التجارية في لبنان" لبنان.</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قياس تأثير ممارسات إدارة المخاطر على الأداء المالي للبنوك التجارية اللبنانية، مع تقييم دورها في الحد من المخاطر الائتمانية والتشغيلية.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استخدمت الدراسة المنهج الوصفي التحليلي، وجمعت البيانات عبر استبيان موجه إلى 90 موظفًا في البنوك اللبنانية. كما تم استخدام أدوات التحليل الإحصائي مثل الانحدار الخطي وتحليل الارتباط.</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أظهرت النتائج وجود علاقة إيجابية بين تطبيق إدارة المخاطر وتحسين مؤشرات الأداء المالي، مع التركيز على أهمية تقليل نسب القروض المتعثرة وتعزيز جودة الأصول.</w:t>
      </w:r>
    </w:p>
    <w:p w:rsidR="00872B9A" w:rsidRPr="00962431"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وقد أوصت الدراسة ب</w:t>
      </w:r>
      <w:r w:rsidRPr="006D54B5">
        <w:rPr>
          <w:rFonts w:ascii="Times New Roman" w:hAnsi="Times New Roman" w:cs="Times New Roman"/>
          <w:sz w:val="28"/>
          <w:szCs w:val="28"/>
          <w:rtl/>
        </w:rPr>
        <w:t>تفعيل وحدات إدارة المخاطر داخل البنوك، وتحسين برامج التدريب، بالإضافة إلى رفع مستوى التوعية بأهمية إدارة المخاطر بين الموظفين</w:t>
      </w:r>
    </w:p>
    <w:p w:rsidR="00872B9A" w:rsidRDefault="00872B9A" w:rsidP="00872B9A">
      <w:pPr>
        <w:spacing w:line="360" w:lineRule="auto"/>
        <w:jc w:val="both"/>
        <w:rPr>
          <w:rFonts w:ascii="Times New Roman" w:hAnsi="Times New Roman" w:cs="Times New Roman"/>
          <w:b/>
          <w:bCs/>
          <w:sz w:val="28"/>
          <w:szCs w:val="28"/>
          <w:rtl/>
        </w:rPr>
      </w:pPr>
    </w:p>
    <w:p w:rsidR="00872B9A" w:rsidRPr="00962431" w:rsidRDefault="00872B9A" w:rsidP="00872B9A">
      <w:pPr>
        <w:pStyle w:val="3"/>
        <w:spacing w:after="240" w:line="360" w:lineRule="auto"/>
        <w:rPr>
          <w:rFonts w:ascii="Times New Roman" w:hAnsi="Times New Roman" w:cs="Times New Roman" w:hint="cs"/>
          <w:b/>
          <w:bCs/>
          <w:color w:val="0070C0"/>
          <w:sz w:val="28"/>
          <w:szCs w:val="28"/>
          <w:rtl/>
        </w:rPr>
      </w:pPr>
      <w:bookmarkStart w:id="18" w:name="_Toc203686993"/>
      <w:r w:rsidRPr="00962431">
        <w:rPr>
          <w:rFonts w:ascii="Times New Roman" w:hAnsi="Times New Roman" w:cs="Times New Roman" w:hint="cs"/>
          <w:b/>
          <w:bCs/>
          <w:color w:val="0070C0"/>
          <w:sz w:val="28"/>
          <w:szCs w:val="28"/>
          <w:rtl/>
        </w:rPr>
        <w:lastRenderedPageBreak/>
        <w:t>ثانياً: الدراسات المحلية:</w:t>
      </w:r>
      <w:bookmarkEnd w:id="18"/>
    </w:p>
    <w:p w:rsidR="00872B9A" w:rsidRPr="00962431" w:rsidRDefault="00872B9A" w:rsidP="00872B9A">
      <w:pPr>
        <w:pStyle w:val="a4"/>
        <w:numPr>
          <w:ilvl w:val="0"/>
          <w:numId w:val="26"/>
        </w:numPr>
        <w:spacing w:line="360" w:lineRule="auto"/>
        <w:jc w:val="both"/>
        <w:rPr>
          <w:rFonts w:ascii="Times New Roman" w:hAnsi="Times New Roman" w:cs="Times New Roman"/>
          <w:b/>
          <w:bCs/>
          <w:sz w:val="28"/>
          <w:szCs w:val="28"/>
          <w:rtl/>
        </w:rPr>
      </w:pPr>
      <w:r w:rsidRPr="00962431">
        <w:rPr>
          <w:rFonts w:ascii="Times New Roman" w:hAnsi="Times New Roman" w:cs="Times New Roman"/>
          <w:b/>
          <w:bCs/>
          <w:sz w:val="28"/>
          <w:szCs w:val="28"/>
          <w:rtl/>
        </w:rPr>
        <w:t>دراسة (الزهراني، 2022). بعنوان "أثر ممارسات إدارة المخاطر على الأداء المالي للبنوك التجارية في المملكة العربية السعودية" السعودية.</w:t>
      </w:r>
    </w:p>
    <w:p w:rsidR="00872B9A" w:rsidRPr="006D54B5" w:rsidRDefault="00872B9A" w:rsidP="00872B9A">
      <w:pPr>
        <w:spacing w:line="360" w:lineRule="auto"/>
        <w:ind w:firstLine="226"/>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تقييم أثر تطبيق ممارسات إدارة المخاطر على الأداء المالي للبنوك التجارية في المملكة العربية السعودية، مع التركيز على العلاقة بين إدارة المخاطر والربحية والسيولة.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اتبعت الدراسة المنهج الوصفي التحليلي، وتم جمع البيانات من خلال استبيانات وزعت على 160 موظفًا من مختلف البنوك السعودية. استخدمت أدوات التحليل الإحصائي مثل اختبار الارتباط والانحدار لتحليل البيانات.</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أظهرت النتائج وجود علاقة إيجابية معنوية بين ممارسات إدارة المخاطر وتحسين الأداء المالي للبنوك، خاصة في ما يتعلق بالربحية وجودة الأصول. كما بينت أهمية الدعم الإداري والتدريب المستمر.</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وقد أوصت الدراسة ب</w:t>
      </w:r>
      <w:r w:rsidRPr="006D54B5">
        <w:rPr>
          <w:rFonts w:ascii="Times New Roman" w:hAnsi="Times New Roman" w:cs="Times New Roman"/>
          <w:sz w:val="28"/>
          <w:szCs w:val="28"/>
          <w:rtl/>
        </w:rPr>
        <w:t>تعزيز دور إدارة المخاطر داخل البنوك من خلال تطوير برامج تدريبية ورفع الوعي، وتحديث السياسات بما يتماشى مع المعايير الدولية.</w:t>
      </w:r>
    </w:p>
    <w:p w:rsidR="00872B9A" w:rsidRPr="00962431" w:rsidRDefault="00872B9A" w:rsidP="00872B9A">
      <w:pPr>
        <w:pStyle w:val="a4"/>
        <w:numPr>
          <w:ilvl w:val="0"/>
          <w:numId w:val="26"/>
        </w:numPr>
        <w:spacing w:line="360" w:lineRule="auto"/>
        <w:jc w:val="both"/>
        <w:rPr>
          <w:rFonts w:ascii="Times New Roman" w:hAnsi="Times New Roman" w:cs="Times New Roman"/>
          <w:sz w:val="28"/>
          <w:szCs w:val="28"/>
          <w:rtl/>
        </w:rPr>
      </w:pPr>
      <w:r w:rsidRPr="00962431">
        <w:rPr>
          <w:rFonts w:ascii="Times New Roman" w:hAnsi="Times New Roman" w:cs="Times New Roman"/>
          <w:sz w:val="28"/>
          <w:szCs w:val="28"/>
          <w:rtl/>
        </w:rPr>
        <w:t xml:space="preserve"> </w:t>
      </w:r>
      <w:r w:rsidRPr="00962431">
        <w:rPr>
          <w:rFonts w:ascii="Times New Roman" w:hAnsi="Times New Roman" w:cs="Times New Roman"/>
          <w:b/>
          <w:bCs/>
          <w:sz w:val="28"/>
          <w:szCs w:val="28"/>
          <w:rtl/>
        </w:rPr>
        <w:t>دراسة (السلمي، 2020). بعنوان "تأثير تطبيق إدارة المخاطر على الأداء المالي للبنوك السعودية: دراسة ميدانية" السعودية</w:t>
      </w:r>
      <w:r w:rsidRPr="00962431">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تحليل تأثير تطبيق إدارة المخاطر على الأداء المالي للبنوك السعودية، مع دراسة العلاقة بين إجراءات إدارة المخاطر وتقليل الخسائر المالية.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 xml:space="preserve">تم استخدام المنهج الوصفي التحليلي، وجمعت البيانات عبر استبيانات من 140 موظفًا في البنوك السعودية. تم تطبيق التحليل الإحصائي باستخدام برنامج </w:t>
      </w:r>
      <w:r w:rsidRPr="006D54B5">
        <w:rPr>
          <w:rFonts w:ascii="Times New Roman" w:hAnsi="Times New Roman" w:cs="Times New Roman"/>
          <w:sz w:val="28"/>
          <w:szCs w:val="28"/>
        </w:rPr>
        <w:t>SPSS</w:t>
      </w:r>
      <w:r w:rsidRPr="006D54B5">
        <w:rPr>
          <w:rFonts w:ascii="Times New Roman" w:hAnsi="Times New Roman" w:cs="Times New Roman"/>
          <w:sz w:val="28"/>
          <w:szCs w:val="28"/>
          <w:rtl/>
        </w:rPr>
        <w:t>، مع اختبار الفرضيات عن طريق الانحدار.</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أثبتت الدراسة وجود تأثير إيجابي لتطبيق إدارة المخاطر على تحسين الأداء المالي، وخصوصًا تقليل معدلات القروض المتعثرة وزيادة الكفاءة التشغيلية.</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وقد أوصت الدراسة ب</w:t>
      </w:r>
      <w:r w:rsidRPr="006D54B5">
        <w:rPr>
          <w:rFonts w:ascii="Times New Roman" w:hAnsi="Times New Roman" w:cs="Times New Roman"/>
          <w:sz w:val="28"/>
          <w:szCs w:val="28"/>
          <w:rtl/>
        </w:rPr>
        <w:t>ضرورة تطوير آليات متقدمة لإدارة المخاطر، وتوفير التدريب المستمر للموظفين، وتحسين الرقابة الداخلية في البنوك.</w:t>
      </w:r>
    </w:p>
    <w:p w:rsidR="00872B9A" w:rsidRPr="00962431" w:rsidRDefault="00872B9A" w:rsidP="00872B9A">
      <w:pPr>
        <w:pStyle w:val="a4"/>
        <w:numPr>
          <w:ilvl w:val="0"/>
          <w:numId w:val="26"/>
        </w:numPr>
        <w:spacing w:line="360" w:lineRule="auto"/>
        <w:jc w:val="both"/>
        <w:rPr>
          <w:rFonts w:ascii="Times New Roman" w:hAnsi="Times New Roman" w:cs="Times New Roman"/>
          <w:sz w:val="28"/>
          <w:szCs w:val="28"/>
          <w:rtl/>
        </w:rPr>
      </w:pPr>
      <w:r w:rsidRPr="00962431">
        <w:rPr>
          <w:rFonts w:ascii="Times New Roman" w:hAnsi="Times New Roman" w:cs="Times New Roman"/>
          <w:sz w:val="28"/>
          <w:szCs w:val="28"/>
          <w:rtl/>
        </w:rPr>
        <w:lastRenderedPageBreak/>
        <w:t xml:space="preserve"> </w:t>
      </w:r>
      <w:r w:rsidRPr="00962431">
        <w:rPr>
          <w:rFonts w:ascii="Times New Roman" w:hAnsi="Times New Roman" w:cs="Times New Roman"/>
          <w:b/>
          <w:bCs/>
          <w:sz w:val="28"/>
          <w:szCs w:val="28"/>
          <w:rtl/>
        </w:rPr>
        <w:t>دراسة (الماجد، 2018). بعنوان "دور إدارة المخاطر في تعزيز الأداء المالي للبنوك السعودية" السعودية</w:t>
      </w:r>
      <w:r w:rsidRPr="00962431">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تقييم دور إدارة المخاطر في تعزيز وتحسين الأداء المالي للبنوك السعودية، مع التركيز على المخاطر الائتمانية والتشغيلية.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استخدمت الدراسة المنهج الوصفي التحليلي، حيث جمعت البيانات من خلال استبيان موجه إلى 130 موظفًا في البنوك السعودية. تم تحليل البيانات باستخدام تقنيات الانحدار وتحليل الارتباط.</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أظهرت الدراسة أن إدارة المخاطر تلعب دورًا مهمًا في تعزيز الأداء المالي من خلال تقليل الخسائر وتحسين جودة الأصول. كما أبرزت أهمية القيادة العليا في دعم تطبيق نظم إدارة المخاطر.</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وقد أوصت الدراسة ب</w:t>
      </w:r>
      <w:r w:rsidRPr="006D54B5">
        <w:rPr>
          <w:rFonts w:ascii="Times New Roman" w:hAnsi="Times New Roman" w:cs="Times New Roman"/>
          <w:sz w:val="28"/>
          <w:szCs w:val="28"/>
          <w:rtl/>
        </w:rPr>
        <w:t>تفعيل دور إدارة المخاطر ضمن الهيكل التنظيمي للبنك، وتوفير برامج تدريبية متخصصة للعاملين، وتطوير نظم الرقابة والحوكمة.</w:t>
      </w:r>
    </w:p>
    <w:p w:rsidR="00872B9A" w:rsidRPr="00962431" w:rsidRDefault="00872B9A" w:rsidP="00872B9A">
      <w:pPr>
        <w:pStyle w:val="a4"/>
        <w:numPr>
          <w:ilvl w:val="0"/>
          <w:numId w:val="26"/>
        </w:numPr>
        <w:spacing w:line="360" w:lineRule="auto"/>
        <w:jc w:val="both"/>
        <w:rPr>
          <w:rFonts w:ascii="Times New Roman" w:hAnsi="Times New Roman" w:cs="Times New Roman"/>
          <w:b/>
          <w:bCs/>
          <w:sz w:val="28"/>
          <w:szCs w:val="28"/>
          <w:rtl/>
        </w:rPr>
      </w:pPr>
      <w:r w:rsidRPr="00962431">
        <w:rPr>
          <w:rFonts w:ascii="Times New Roman" w:hAnsi="Times New Roman" w:cs="Times New Roman"/>
          <w:sz w:val="28"/>
          <w:szCs w:val="28"/>
          <w:rtl/>
        </w:rPr>
        <w:t xml:space="preserve"> </w:t>
      </w:r>
      <w:r w:rsidRPr="00962431">
        <w:rPr>
          <w:rFonts w:ascii="Times New Roman" w:hAnsi="Times New Roman" w:cs="Times New Roman"/>
          <w:b/>
          <w:bCs/>
          <w:sz w:val="28"/>
          <w:szCs w:val="28"/>
          <w:rtl/>
        </w:rPr>
        <w:t>دراسة (الحمادي، 2016). بعنوان "تأثير إدارة المخاطر على الأداء المالي للبنوك السعودية: دراسة تحليلية" السعودية.</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دراسة تأثير إدارة المخاطر على الأداء المالي للبنوك السعودية، مع التركيز على أثر إدارة المخاطر التشغيلية والائتمانية.</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 xml:space="preserve">اتبعت الدراسة المنهج الوصفي التحليلي، مع جمع البيانات عبر استبيانات من 110 موظفًا في البنوك السعودية. تم استخدام التحليل الإحصائي لاختبار الفرضيات باستخدام برنامج </w:t>
      </w:r>
      <w:r w:rsidRPr="006D54B5">
        <w:rPr>
          <w:rFonts w:ascii="Times New Roman" w:hAnsi="Times New Roman" w:cs="Times New Roman"/>
          <w:sz w:val="28"/>
          <w:szCs w:val="28"/>
        </w:rPr>
        <w:t>SPSS</w:t>
      </w:r>
      <w:r w:rsidRPr="006D54B5">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أكدت الدراسة وجود علاقة إيجابية بين تطبيق إدارة المخاطر وتحسين مؤشرات الأداء المالي، لا سيما في الحد من المخاطر التشغيلية وتقليل نسبة القروض المتعثرة.</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وقد أوصت الدراسة ب</w:t>
      </w:r>
      <w:r w:rsidRPr="006D54B5">
        <w:rPr>
          <w:rFonts w:ascii="Times New Roman" w:hAnsi="Times New Roman" w:cs="Times New Roman"/>
          <w:sz w:val="28"/>
          <w:szCs w:val="28"/>
          <w:rtl/>
        </w:rPr>
        <w:t>ضرورة تحديث سياسات إدارة المخاطر بشكل دوري، وتعزيز التدريب وتطوير نظم الحوكمة في البنوك.</w:t>
      </w:r>
    </w:p>
    <w:p w:rsidR="00872B9A" w:rsidRPr="00962431" w:rsidRDefault="00872B9A" w:rsidP="00872B9A">
      <w:pPr>
        <w:pStyle w:val="a4"/>
        <w:numPr>
          <w:ilvl w:val="0"/>
          <w:numId w:val="26"/>
        </w:numPr>
        <w:spacing w:line="360" w:lineRule="auto"/>
        <w:jc w:val="both"/>
        <w:rPr>
          <w:rFonts w:ascii="Times New Roman" w:hAnsi="Times New Roman" w:cs="Times New Roman"/>
          <w:b/>
          <w:bCs/>
          <w:sz w:val="28"/>
          <w:szCs w:val="28"/>
          <w:rtl/>
        </w:rPr>
      </w:pPr>
      <w:r w:rsidRPr="00962431">
        <w:rPr>
          <w:rFonts w:ascii="Times New Roman" w:hAnsi="Times New Roman" w:cs="Times New Roman"/>
          <w:sz w:val="28"/>
          <w:szCs w:val="28"/>
          <w:rtl/>
        </w:rPr>
        <w:t xml:space="preserve"> </w:t>
      </w:r>
      <w:r w:rsidRPr="00962431">
        <w:rPr>
          <w:rFonts w:ascii="Times New Roman" w:hAnsi="Times New Roman" w:cs="Times New Roman"/>
          <w:b/>
          <w:bCs/>
          <w:sz w:val="28"/>
          <w:szCs w:val="28"/>
          <w:rtl/>
        </w:rPr>
        <w:t>دراسة (الغامدي، 2014). بعنوان "أثر إدارة المخاطر على الأداء المالي للبنوك السعودية: دراسة ميدانية" السعودية.</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lastRenderedPageBreak/>
        <w:t>هدفت الدراسة إلى</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تقييم أثر إدارة المخاطر على الأداء المالي للبنوك السعودية من خلال تحليل العلاقة بين إدارة المخاطر ومؤشرات الأداء المالي المختلفة.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استخدمت الدراسة المنهج الوصفي التحليلي، وتم جمع البيانات عبر استبيان من 100 موظف في البنوك السعودية. شمل التحليل استخدام الت</w:t>
      </w:r>
      <w:r>
        <w:rPr>
          <w:rFonts w:ascii="Times New Roman" w:hAnsi="Times New Roman" w:cs="Times New Roman"/>
          <w:sz w:val="28"/>
          <w:szCs w:val="28"/>
          <w:rtl/>
        </w:rPr>
        <w:t>حليل الانحداري واختبار الارتباط</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أظهرت النتائج أن تطبيق ممارسات إدارة المخاطر يؤثر إيجابيًا على الأداء المالي، مع أهمية كبيرة لدعم الإدارة العليا والتدريب في تعزيز هذا التأثير.</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وقد أوصت الدراسة ب</w:t>
      </w:r>
      <w:r w:rsidRPr="006D54B5">
        <w:rPr>
          <w:rFonts w:ascii="Times New Roman" w:hAnsi="Times New Roman" w:cs="Times New Roman"/>
          <w:sz w:val="28"/>
          <w:szCs w:val="28"/>
          <w:rtl/>
        </w:rPr>
        <w:t>تطوير برامج توعية وتدريب، وتعزيز دور الرقابة الداخلية، ودمج إدارة المخاطر في استراتيجية البنك.</w:t>
      </w:r>
    </w:p>
    <w:p w:rsidR="00872B9A" w:rsidRPr="00962431" w:rsidRDefault="00872B9A" w:rsidP="00872B9A">
      <w:pPr>
        <w:pStyle w:val="3"/>
        <w:spacing w:after="240" w:line="360" w:lineRule="auto"/>
        <w:rPr>
          <w:rFonts w:ascii="Times New Roman" w:hAnsi="Times New Roman" w:cs="Times New Roman" w:hint="cs"/>
          <w:b/>
          <w:bCs/>
          <w:color w:val="0070C0"/>
          <w:sz w:val="28"/>
          <w:szCs w:val="28"/>
          <w:rtl/>
        </w:rPr>
      </w:pPr>
      <w:bookmarkStart w:id="19" w:name="_Toc203686994"/>
      <w:r w:rsidRPr="00962431">
        <w:rPr>
          <w:rFonts w:ascii="Times New Roman" w:hAnsi="Times New Roman" w:cs="Times New Roman" w:hint="cs"/>
          <w:b/>
          <w:bCs/>
          <w:color w:val="0070C0"/>
          <w:sz w:val="28"/>
          <w:szCs w:val="28"/>
          <w:rtl/>
        </w:rPr>
        <w:t>ثالثاً: الدراسات الأجنبية</w:t>
      </w:r>
      <w:bookmarkEnd w:id="19"/>
      <w:r w:rsidRPr="00962431">
        <w:rPr>
          <w:rFonts w:ascii="Times New Roman" w:hAnsi="Times New Roman" w:cs="Times New Roman" w:hint="cs"/>
          <w:b/>
          <w:bCs/>
          <w:color w:val="0070C0"/>
          <w:sz w:val="28"/>
          <w:szCs w:val="28"/>
          <w:rtl/>
        </w:rPr>
        <w:t xml:space="preserve"> </w:t>
      </w:r>
    </w:p>
    <w:p w:rsidR="00872B9A" w:rsidRPr="00962431" w:rsidRDefault="00872B9A" w:rsidP="00872B9A">
      <w:pPr>
        <w:pStyle w:val="a4"/>
        <w:numPr>
          <w:ilvl w:val="0"/>
          <w:numId w:val="27"/>
        </w:numPr>
        <w:spacing w:line="360" w:lineRule="auto"/>
        <w:jc w:val="both"/>
        <w:rPr>
          <w:rFonts w:ascii="Times New Roman" w:hAnsi="Times New Roman" w:cs="Times New Roman"/>
          <w:sz w:val="28"/>
          <w:szCs w:val="28"/>
          <w:rtl/>
        </w:rPr>
      </w:pPr>
      <w:r w:rsidRPr="00962431">
        <w:rPr>
          <w:rFonts w:ascii="Times New Roman" w:hAnsi="Times New Roman" w:cs="Times New Roman"/>
          <w:b/>
          <w:bCs/>
          <w:sz w:val="28"/>
          <w:szCs w:val="28"/>
          <w:rtl/>
        </w:rPr>
        <w:t>دراسة (</w:t>
      </w:r>
      <w:r w:rsidRPr="00962431">
        <w:rPr>
          <w:rFonts w:ascii="Times New Roman" w:hAnsi="Times New Roman" w:cs="Times New Roman"/>
          <w:b/>
          <w:bCs/>
          <w:sz w:val="28"/>
          <w:szCs w:val="28"/>
        </w:rPr>
        <w:t>Smith &amp; Johnson, 2023</w:t>
      </w:r>
      <w:r w:rsidRPr="00962431">
        <w:rPr>
          <w:rFonts w:ascii="Times New Roman" w:hAnsi="Times New Roman" w:cs="Times New Roman"/>
          <w:b/>
          <w:bCs/>
          <w:sz w:val="28"/>
          <w:szCs w:val="28"/>
          <w:rtl/>
        </w:rPr>
        <w:t>). بعنوان "</w:t>
      </w:r>
      <w:r w:rsidRPr="00962431">
        <w:rPr>
          <w:rFonts w:ascii="Times New Roman" w:hAnsi="Times New Roman" w:cs="Times New Roman"/>
          <w:b/>
          <w:bCs/>
          <w:sz w:val="28"/>
          <w:szCs w:val="28"/>
        </w:rPr>
        <w:t>The Impact of Risk Management Practices on Financial Performance in Commercial Banks</w:t>
      </w:r>
      <w:r w:rsidRPr="00962431">
        <w:rPr>
          <w:rFonts w:ascii="Times New Roman" w:hAnsi="Times New Roman" w:cs="Times New Roman"/>
          <w:b/>
          <w:bCs/>
          <w:sz w:val="28"/>
          <w:szCs w:val="28"/>
          <w:rtl/>
        </w:rPr>
        <w:t>" الولايات المتحدة</w:t>
      </w:r>
      <w:r w:rsidRPr="00962431">
        <w:rPr>
          <w:rFonts w:ascii="Times New Roman" w:hAnsi="Times New Roman" w:cs="Times New Roman"/>
          <w:sz w:val="28"/>
          <w:szCs w:val="28"/>
          <w:rtl/>
        </w:rPr>
        <w:t xml:space="preserve"> </w:t>
      </w:r>
      <w:r w:rsidRPr="00962431">
        <w:rPr>
          <w:rFonts w:ascii="Times New Roman" w:hAnsi="Times New Roman" w:cs="Times New Roman"/>
          <w:b/>
          <w:bCs/>
          <w:sz w:val="28"/>
          <w:szCs w:val="28"/>
          <w:rtl/>
        </w:rPr>
        <w:t>الأمريكية</w:t>
      </w:r>
      <w:r w:rsidRPr="00962431">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تحليل تأثير تطبيق ممارسات إدارة المخاطر على الأداء المالي للبنوك التجارية في الولايات المتحدة، مع التركيز على العلاقة بين إدارة المخاطر والعائد على الأصول (</w:t>
      </w:r>
      <w:r w:rsidRPr="006D54B5">
        <w:rPr>
          <w:rFonts w:ascii="Times New Roman" w:hAnsi="Times New Roman" w:cs="Times New Roman"/>
          <w:sz w:val="28"/>
          <w:szCs w:val="28"/>
        </w:rPr>
        <w:t>ROA</w:t>
      </w:r>
      <w:r w:rsidRPr="006D54B5">
        <w:rPr>
          <w:rFonts w:ascii="Times New Roman" w:hAnsi="Times New Roman" w:cs="Times New Roman"/>
          <w:sz w:val="28"/>
          <w:szCs w:val="28"/>
          <w:rtl/>
        </w:rPr>
        <w:t>) والعائد على حقوق الملكية (</w:t>
      </w:r>
      <w:r w:rsidRPr="006D54B5">
        <w:rPr>
          <w:rFonts w:ascii="Times New Roman" w:hAnsi="Times New Roman" w:cs="Times New Roman"/>
          <w:sz w:val="28"/>
          <w:szCs w:val="28"/>
        </w:rPr>
        <w:t>ROE</w:t>
      </w:r>
      <w:r w:rsidRPr="006D54B5">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استخدمت الدراسة المنهج الكمي الوصفي، وتم جمع البيانات من خلال استبيانات وزعت على 200 موظف في عدد من البنوك الأمريكية. تم استخدام التحليل الإحصائي (تحليل الانحدار والانحدار المتعدد) لفحص العلاقات بين المتغيرات.</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أظهرت النتائج وجود علاقة إيجابية وقوية بين تطبيق ممارسات إدارة المخاطر وتحسين الأداء المالي للبنوك. وأكدت الدراسة أن تدريب العاملين وتوفير الدعم التقني يعزز من فاعلية الإدارة.</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وقد أوصت الدراسة ب</w:t>
      </w:r>
      <w:r w:rsidRPr="006D54B5">
        <w:rPr>
          <w:rFonts w:ascii="Times New Roman" w:hAnsi="Times New Roman" w:cs="Times New Roman"/>
          <w:sz w:val="28"/>
          <w:szCs w:val="28"/>
          <w:rtl/>
        </w:rPr>
        <w:t>ضرورة تكثيف برامج التدريب على إدارة المخاطر، وتحديث البنية التحتية التكنولوجية لدعم هذه الممارسات، بالإضافة إلى تعزيز إشراك الموظفين في صنع القرار.</w:t>
      </w:r>
    </w:p>
    <w:p w:rsidR="00872B9A" w:rsidRPr="00962431" w:rsidRDefault="00872B9A" w:rsidP="00872B9A">
      <w:pPr>
        <w:pStyle w:val="a4"/>
        <w:numPr>
          <w:ilvl w:val="0"/>
          <w:numId w:val="27"/>
        </w:numPr>
        <w:spacing w:line="360" w:lineRule="auto"/>
        <w:jc w:val="both"/>
        <w:rPr>
          <w:rFonts w:ascii="Times New Roman" w:hAnsi="Times New Roman" w:cs="Times New Roman"/>
          <w:b/>
          <w:bCs/>
          <w:sz w:val="28"/>
          <w:szCs w:val="28"/>
          <w:rtl/>
        </w:rPr>
      </w:pPr>
      <w:r w:rsidRPr="00962431">
        <w:rPr>
          <w:rFonts w:ascii="Times New Roman" w:hAnsi="Times New Roman" w:cs="Times New Roman"/>
          <w:b/>
          <w:bCs/>
          <w:sz w:val="28"/>
          <w:szCs w:val="28"/>
          <w:rtl/>
        </w:rPr>
        <w:t xml:space="preserve"> دراسة (</w:t>
      </w:r>
      <w:r w:rsidRPr="00962431">
        <w:rPr>
          <w:rFonts w:ascii="Times New Roman" w:hAnsi="Times New Roman" w:cs="Times New Roman"/>
          <w:b/>
          <w:bCs/>
          <w:sz w:val="28"/>
          <w:szCs w:val="28"/>
        </w:rPr>
        <w:t>Garcia et al., 2022</w:t>
      </w:r>
      <w:r w:rsidRPr="00962431">
        <w:rPr>
          <w:rFonts w:ascii="Times New Roman" w:hAnsi="Times New Roman" w:cs="Times New Roman"/>
          <w:b/>
          <w:bCs/>
          <w:sz w:val="28"/>
          <w:szCs w:val="28"/>
          <w:rtl/>
        </w:rPr>
        <w:t>). بعنوان "</w:t>
      </w:r>
      <w:r w:rsidRPr="00962431">
        <w:rPr>
          <w:rFonts w:ascii="Times New Roman" w:hAnsi="Times New Roman" w:cs="Times New Roman"/>
          <w:b/>
          <w:bCs/>
          <w:sz w:val="28"/>
          <w:szCs w:val="28"/>
        </w:rPr>
        <w:t>Risk Management and Financial Sustainability in European Banks</w:t>
      </w:r>
      <w:r w:rsidRPr="00962431">
        <w:rPr>
          <w:rFonts w:ascii="Times New Roman" w:hAnsi="Times New Roman" w:cs="Times New Roman"/>
          <w:b/>
          <w:bCs/>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lastRenderedPageBreak/>
        <w:t>هدفت الدراسة إلى</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دراسة العلاقة بين ممارسات إدارة المخاطر وتحقيق الاستدامة المالية في البنوك الأوروبية، مع تحليل أثر إدارة المخاطر على استقرار الأداء المالي.</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اتبعت الدراسة المنهج الوصفي التحليلي، وجمعت البيانات من 180 موظفاً في بنوك مختلفة بالدول الأوروبية عبر استبيان إلكتروني. استخدمت تقنيات التحليل الإحصائي مثل تحليل الانحدار الخطي والتحليل العاملي.</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أظهرت النتائج أن تطبيق ممارسات إدارة المخاطر يعزز الاستدامة المالية للبنوك ويقلل من تقلبات الأداء المالي. كما لوحظ دور مهم للحوكمة الرشيدة في تحسين النتائج.</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وقد أوصت الدراسة ب</w:t>
      </w:r>
      <w:r w:rsidRPr="006D54B5">
        <w:rPr>
          <w:rFonts w:ascii="Times New Roman" w:hAnsi="Times New Roman" w:cs="Times New Roman"/>
          <w:sz w:val="28"/>
          <w:szCs w:val="28"/>
          <w:rtl/>
        </w:rPr>
        <w:t>ضرورة تعزيز الحوكمة والشفافية، وتطوير أنظمة المعلومات لإدارة المخاطر، مع التركيز على بناء ثقافة مؤسسية داعمة للاستدامة.</w:t>
      </w:r>
    </w:p>
    <w:p w:rsidR="00872B9A" w:rsidRPr="00962431" w:rsidRDefault="00872B9A" w:rsidP="00872B9A">
      <w:pPr>
        <w:pStyle w:val="a4"/>
        <w:numPr>
          <w:ilvl w:val="0"/>
          <w:numId w:val="27"/>
        </w:numPr>
        <w:spacing w:line="360" w:lineRule="auto"/>
        <w:jc w:val="both"/>
        <w:rPr>
          <w:rFonts w:ascii="Times New Roman" w:hAnsi="Times New Roman" w:cs="Times New Roman"/>
          <w:b/>
          <w:bCs/>
          <w:sz w:val="28"/>
          <w:szCs w:val="28"/>
          <w:rtl/>
        </w:rPr>
      </w:pPr>
      <w:r w:rsidRPr="00962431">
        <w:rPr>
          <w:rFonts w:ascii="Times New Roman" w:hAnsi="Times New Roman" w:cs="Times New Roman"/>
          <w:sz w:val="28"/>
          <w:szCs w:val="28"/>
          <w:rtl/>
        </w:rPr>
        <w:t xml:space="preserve"> </w:t>
      </w:r>
      <w:r w:rsidRPr="00962431">
        <w:rPr>
          <w:rFonts w:ascii="Times New Roman" w:hAnsi="Times New Roman" w:cs="Times New Roman"/>
          <w:b/>
          <w:bCs/>
          <w:sz w:val="28"/>
          <w:szCs w:val="28"/>
          <w:rtl/>
        </w:rPr>
        <w:t>دراسة (</w:t>
      </w:r>
      <w:r w:rsidRPr="00962431">
        <w:rPr>
          <w:rFonts w:ascii="Times New Roman" w:hAnsi="Times New Roman" w:cs="Times New Roman"/>
          <w:b/>
          <w:bCs/>
          <w:sz w:val="28"/>
          <w:szCs w:val="28"/>
        </w:rPr>
        <w:t>Kumar &amp; Lee, 2021</w:t>
      </w:r>
      <w:r w:rsidRPr="00962431">
        <w:rPr>
          <w:rFonts w:ascii="Times New Roman" w:hAnsi="Times New Roman" w:cs="Times New Roman"/>
          <w:b/>
          <w:bCs/>
          <w:sz w:val="28"/>
          <w:szCs w:val="28"/>
          <w:rtl/>
        </w:rPr>
        <w:t>). بعنوان "</w:t>
      </w:r>
      <w:r w:rsidRPr="00962431">
        <w:rPr>
          <w:rFonts w:ascii="Times New Roman" w:hAnsi="Times New Roman" w:cs="Times New Roman"/>
          <w:b/>
          <w:bCs/>
          <w:sz w:val="28"/>
          <w:szCs w:val="28"/>
        </w:rPr>
        <w:t>The Role of Risk Management in Enhancing Bank Performance: Evidence from Asian Markets</w:t>
      </w:r>
      <w:r w:rsidRPr="00962431">
        <w:rPr>
          <w:rFonts w:ascii="Times New Roman" w:hAnsi="Times New Roman" w:cs="Times New Roman"/>
          <w:b/>
          <w:bCs/>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تحليل دور إدارة المخاطر في تحسين الأداء المالي للبنوك في الأسواق الآسيوية، مع التركيز على المخاطر التشغيلية والائتمانية.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اعتمدت الدراسة على المنهج الوصفي التحليلي، وتم استخدام استبيانات موجهة إلى 250 موظفاً في بنوك آسيوية مختلفة. شمل التحليل استخدام الانحدار المتعدد وتحليل الانحدار اللوجستي.</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أكدت النتائج وجود علاقة إيجابية ذات دلالة إحصائية بين تطبيق استراتيجيات إدارة المخاطر وتحسين الأداء المالي. وأبرزت أهمية دعم الإدارة العليا وتكنولوجيا المعلومات.</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وقد أوصت الدراسة ب</w:t>
      </w:r>
      <w:r w:rsidRPr="006D54B5">
        <w:rPr>
          <w:rFonts w:ascii="Times New Roman" w:hAnsi="Times New Roman" w:cs="Times New Roman"/>
          <w:sz w:val="28"/>
          <w:szCs w:val="28"/>
          <w:rtl/>
        </w:rPr>
        <w:t>الاستثمار في تطوير الأنظمة التكنولوجية، وتعزيز برامج التدريب المستمرة، ودمج إدارة المخاطر في الاستراتيجية التنظيمية للبنوك.</w:t>
      </w:r>
    </w:p>
    <w:p w:rsidR="00872B9A" w:rsidRPr="00962431" w:rsidRDefault="00872B9A" w:rsidP="00872B9A">
      <w:pPr>
        <w:pStyle w:val="a4"/>
        <w:numPr>
          <w:ilvl w:val="0"/>
          <w:numId w:val="27"/>
        </w:numPr>
        <w:spacing w:line="360" w:lineRule="auto"/>
        <w:jc w:val="both"/>
        <w:rPr>
          <w:rFonts w:ascii="Times New Roman" w:hAnsi="Times New Roman" w:cs="Times New Roman"/>
          <w:b/>
          <w:bCs/>
          <w:sz w:val="28"/>
          <w:szCs w:val="28"/>
          <w:rtl/>
        </w:rPr>
      </w:pPr>
      <w:r w:rsidRPr="00962431">
        <w:rPr>
          <w:rFonts w:ascii="Times New Roman" w:hAnsi="Times New Roman" w:cs="Times New Roman"/>
          <w:sz w:val="28"/>
          <w:szCs w:val="28"/>
          <w:rtl/>
        </w:rPr>
        <w:t xml:space="preserve"> </w:t>
      </w:r>
      <w:r w:rsidRPr="00962431">
        <w:rPr>
          <w:rFonts w:ascii="Times New Roman" w:hAnsi="Times New Roman" w:cs="Times New Roman"/>
          <w:b/>
          <w:bCs/>
          <w:sz w:val="28"/>
          <w:szCs w:val="28"/>
          <w:rtl/>
        </w:rPr>
        <w:t>دراسة (</w:t>
      </w:r>
      <w:r w:rsidRPr="00962431">
        <w:rPr>
          <w:rFonts w:ascii="Times New Roman" w:hAnsi="Times New Roman" w:cs="Times New Roman"/>
          <w:b/>
          <w:bCs/>
          <w:sz w:val="28"/>
          <w:szCs w:val="28"/>
        </w:rPr>
        <w:t>O’Connor &amp; Smith, 2020</w:t>
      </w:r>
      <w:r w:rsidRPr="00962431">
        <w:rPr>
          <w:rFonts w:ascii="Times New Roman" w:hAnsi="Times New Roman" w:cs="Times New Roman"/>
          <w:b/>
          <w:bCs/>
          <w:sz w:val="28"/>
          <w:szCs w:val="28"/>
          <w:rtl/>
        </w:rPr>
        <w:t>). بعنوان "</w:t>
      </w:r>
      <w:r w:rsidRPr="00962431">
        <w:rPr>
          <w:rFonts w:ascii="Times New Roman" w:hAnsi="Times New Roman" w:cs="Times New Roman"/>
          <w:b/>
          <w:bCs/>
          <w:sz w:val="28"/>
          <w:szCs w:val="28"/>
        </w:rPr>
        <w:t>Risk Management and Bank Profitability: A Study in the Australian Banking Sector</w:t>
      </w:r>
      <w:r w:rsidRPr="00962431">
        <w:rPr>
          <w:rFonts w:ascii="Times New Roman" w:hAnsi="Times New Roman" w:cs="Times New Roman"/>
          <w:b/>
          <w:bCs/>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تقييم أثر ممارسات إدارة المخاطر على ربحية البنوك في القطاع المصرفي الأسترالي، مع تحليل العلاقة بين تقليل المخاطر وزيادة العوائد.</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lastRenderedPageBreak/>
        <w:t>منهجية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اتبعت الدراسة المنهج الوصفي التحليلي، حيث جمعت بيانات من 150 موظفاً في بنوك أسترالية عبر استبيان. تم استخدام التحليل الإحصائي الانحداري وتحليل التباين.</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وجدت الدراسة أن البنوك التي تطبق إدارة مخاطر فعالة تحقق مستويات ربحية أعلى. كما أظهرت أهمية دور التدريب والدعم الإداري في تحسين الأداء.</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وقد أوصت الدراسة ب</w:t>
      </w:r>
      <w:r w:rsidRPr="006D54B5">
        <w:rPr>
          <w:rFonts w:ascii="Times New Roman" w:hAnsi="Times New Roman" w:cs="Times New Roman"/>
          <w:sz w:val="28"/>
          <w:szCs w:val="28"/>
          <w:rtl/>
        </w:rPr>
        <w:t>تعزيز التدريب الفني والإداري، وتطوير نظم المعلومات المرتبطة بإدارة المخاطر، وتحسين سياسات الحوكمة في البنوك.</w:t>
      </w:r>
    </w:p>
    <w:p w:rsidR="00872B9A" w:rsidRPr="00962431" w:rsidRDefault="00872B9A" w:rsidP="00872B9A">
      <w:pPr>
        <w:pStyle w:val="a4"/>
        <w:numPr>
          <w:ilvl w:val="0"/>
          <w:numId w:val="27"/>
        </w:numPr>
        <w:spacing w:line="360" w:lineRule="auto"/>
        <w:jc w:val="both"/>
        <w:rPr>
          <w:rFonts w:ascii="Times New Roman" w:hAnsi="Times New Roman" w:cs="Times New Roman"/>
          <w:b/>
          <w:bCs/>
          <w:sz w:val="28"/>
          <w:szCs w:val="28"/>
          <w:rtl/>
        </w:rPr>
      </w:pPr>
      <w:r w:rsidRPr="00962431">
        <w:rPr>
          <w:rFonts w:ascii="Times New Roman" w:hAnsi="Times New Roman" w:cs="Times New Roman"/>
          <w:b/>
          <w:bCs/>
          <w:sz w:val="28"/>
          <w:szCs w:val="28"/>
          <w:rtl/>
        </w:rPr>
        <w:t xml:space="preserve"> دراسة (</w:t>
      </w:r>
      <w:r w:rsidRPr="00962431">
        <w:rPr>
          <w:rFonts w:ascii="Times New Roman" w:hAnsi="Times New Roman" w:cs="Times New Roman"/>
          <w:b/>
          <w:bCs/>
          <w:sz w:val="28"/>
          <w:szCs w:val="28"/>
        </w:rPr>
        <w:t>Müller &amp; Weber, 2019</w:t>
      </w:r>
      <w:r w:rsidRPr="00962431">
        <w:rPr>
          <w:rFonts w:ascii="Times New Roman" w:hAnsi="Times New Roman" w:cs="Times New Roman"/>
          <w:b/>
          <w:bCs/>
          <w:sz w:val="28"/>
          <w:szCs w:val="28"/>
          <w:rtl/>
        </w:rPr>
        <w:t>). بعنوان "</w:t>
      </w:r>
      <w:r w:rsidRPr="00962431">
        <w:rPr>
          <w:rFonts w:ascii="Times New Roman" w:hAnsi="Times New Roman" w:cs="Times New Roman"/>
          <w:b/>
          <w:bCs/>
          <w:sz w:val="28"/>
          <w:szCs w:val="28"/>
        </w:rPr>
        <w:t>Enterprise Risk Management and Financial Performance: Evidence from German Banks</w:t>
      </w:r>
      <w:r w:rsidRPr="00962431">
        <w:rPr>
          <w:rFonts w:ascii="Times New Roman" w:hAnsi="Times New Roman" w:cs="Times New Roman"/>
          <w:b/>
          <w:bCs/>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بحث تأثير تطبيق إدارة المخاطر المؤسسية (</w:t>
      </w:r>
      <w:r w:rsidRPr="006D54B5">
        <w:rPr>
          <w:rFonts w:ascii="Times New Roman" w:hAnsi="Times New Roman" w:cs="Times New Roman"/>
          <w:sz w:val="28"/>
          <w:szCs w:val="28"/>
        </w:rPr>
        <w:t>ERM</w:t>
      </w:r>
      <w:r w:rsidRPr="006D54B5">
        <w:rPr>
          <w:rFonts w:ascii="Times New Roman" w:hAnsi="Times New Roman" w:cs="Times New Roman"/>
          <w:sz w:val="28"/>
          <w:szCs w:val="28"/>
          <w:rtl/>
        </w:rPr>
        <w:t xml:space="preserve">) على الأداء المالي للبنوك الألمانية، مع التركيز على كيفية دمج </w:t>
      </w:r>
      <w:r w:rsidRPr="006D54B5">
        <w:rPr>
          <w:rFonts w:ascii="Times New Roman" w:hAnsi="Times New Roman" w:cs="Times New Roman"/>
          <w:sz w:val="28"/>
          <w:szCs w:val="28"/>
        </w:rPr>
        <w:t>ERM</w:t>
      </w:r>
      <w:r w:rsidRPr="006D54B5">
        <w:rPr>
          <w:rFonts w:ascii="Times New Roman" w:hAnsi="Times New Roman" w:cs="Times New Roman"/>
          <w:sz w:val="28"/>
          <w:szCs w:val="28"/>
          <w:rtl/>
        </w:rPr>
        <w:t xml:space="preserve"> في الاستراتيجية المؤسسية.</w:t>
      </w:r>
    </w:p>
    <w:p w:rsidR="00872B9A" w:rsidRPr="006D54B5"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استخدمت الدراسة المنهج الوصفي التحليلي، وجمعت بيانات من 170 موظفاً في بنوك ألمانية مختلفة باستخدام استبيانات. استُخدم التحليل الإحصائي الانحداري والتحليل العاملي لاختبار الفرضيات.</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أظهرت النتائج أن تطبيق نظام إدارة المخاطر المؤسسية مرتبط بتحسين الأداء المالي، خصوصاً في تحسين الاستقرار المالي وتقليل المخاطر التشغيلية.</w:t>
      </w:r>
    </w:p>
    <w:p w:rsidR="00872B9A" w:rsidRPr="00962431" w:rsidRDefault="00872B9A" w:rsidP="00872B9A">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وقد أوصت الدراسة ب</w:t>
      </w:r>
      <w:r w:rsidRPr="006D54B5">
        <w:rPr>
          <w:rFonts w:ascii="Times New Roman" w:hAnsi="Times New Roman" w:cs="Times New Roman"/>
          <w:sz w:val="28"/>
          <w:szCs w:val="28"/>
          <w:rtl/>
        </w:rPr>
        <w:t xml:space="preserve">ضرورة دمج </w:t>
      </w:r>
      <w:r w:rsidRPr="006D54B5">
        <w:rPr>
          <w:rFonts w:ascii="Times New Roman" w:hAnsi="Times New Roman" w:cs="Times New Roman"/>
          <w:sz w:val="28"/>
          <w:szCs w:val="28"/>
        </w:rPr>
        <w:t>ERM</w:t>
      </w:r>
      <w:r w:rsidRPr="006D54B5">
        <w:rPr>
          <w:rFonts w:ascii="Times New Roman" w:hAnsi="Times New Roman" w:cs="Times New Roman"/>
          <w:sz w:val="28"/>
          <w:szCs w:val="28"/>
          <w:rtl/>
        </w:rPr>
        <w:t xml:space="preserve"> في الاستراتيجية العامة للبنك، وتوفير التدريب المناسب للموظفين، وتحسين نظم الحوكمة والرقابة الداخلية</w:t>
      </w:r>
    </w:p>
    <w:p w:rsidR="00872B9A" w:rsidRDefault="00872B9A" w:rsidP="00872B9A">
      <w:pPr>
        <w:spacing w:line="360" w:lineRule="auto"/>
        <w:jc w:val="both"/>
        <w:rPr>
          <w:rFonts w:ascii="Times New Roman" w:hAnsi="Times New Roman" w:cs="Times New Roman"/>
          <w:b/>
          <w:bCs/>
          <w:sz w:val="28"/>
          <w:szCs w:val="28"/>
          <w:rtl/>
        </w:rPr>
      </w:pPr>
    </w:p>
    <w:p w:rsidR="00872B9A" w:rsidRDefault="00872B9A" w:rsidP="00872B9A">
      <w:pPr>
        <w:spacing w:line="360" w:lineRule="auto"/>
        <w:jc w:val="both"/>
        <w:rPr>
          <w:rFonts w:ascii="Times New Roman" w:hAnsi="Times New Roman" w:cs="Times New Roman"/>
          <w:b/>
          <w:bCs/>
          <w:sz w:val="28"/>
          <w:szCs w:val="28"/>
          <w:rtl/>
        </w:rPr>
      </w:pPr>
    </w:p>
    <w:p w:rsidR="00872B9A" w:rsidRDefault="00872B9A" w:rsidP="00872B9A">
      <w:pPr>
        <w:spacing w:line="360" w:lineRule="auto"/>
        <w:jc w:val="both"/>
        <w:rPr>
          <w:rFonts w:ascii="Times New Roman" w:hAnsi="Times New Roman" w:cs="Times New Roman"/>
          <w:b/>
          <w:bCs/>
          <w:sz w:val="28"/>
          <w:szCs w:val="28"/>
          <w:rtl/>
        </w:rPr>
      </w:pPr>
    </w:p>
    <w:p w:rsidR="00872B9A" w:rsidRDefault="00872B9A" w:rsidP="00872B9A">
      <w:pPr>
        <w:spacing w:line="360" w:lineRule="auto"/>
        <w:jc w:val="both"/>
        <w:rPr>
          <w:rFonts w:ascii="Times New Roman" w:hAnsi="Times New Roman" w:cs="Times New Roman"/>
          <w:b/>
          <w:bCs/>
          <w:sz w:val="28"/>
          <w:szCs w:val="28"/>
          <w:rtl/>
        </w:rPr>
      </w:pPr>
    </w:p>
    <w:p w:rsidR="00872B9A" w:rsidRDefault="00872B9A" w:rsidP="00872B9A">
      <w:pPr>
        <w:spacing w:line="360" w:lineRule="auto"/>
        <w:jc w:val="both"/>
        <w:rPr>
          <w:rFonts w:ascii="Times New Roman" w:hAnsi="Times New Roman" w:cs="Times New Roman"/>
          <w:b/>
          <w:bCs/>
          <w:sz w:val="28"/>
          <w:szCs w:val="28"/>
          <w:rtl/>
        </w:rPr>
      </w:pPr>
    </w:p>
    <w:p w:rsidR="00872B9A" w:rsidRDefault="00872B9A" w:rsidP="00872B9A">
      <w:pPr>
        <w:spacing w:line="360" w:lineRule="auto"/>
        <w:jc w:val="both"/>
        <w:rPr>
          <w:rFonts w:ascii="Times New Roman" w:hAnsi="Times New Roman" w:cs="Times New Roman"/>
          <w:b/>
          <w:bCs/>
          <w:sz w:val="28"/>
          <w:szCs w:val="28"/>
          <w:rtl/>
        </w:rPr>
      </w:pPr>
    </w:p>
    <w:p w:rsidR="00872B9A" w:rsidRPr="00BB042C" w:rsidRDefault="00872B9A" w:rsidP="00872B9A">
      <w:pPr>
        <w:pStyle w:val="3"/>
        <w:spacing w:after="240" w:line="360" w:lineRule="auto"/>
        <w:rPr>
          <w:rFonts w:ascii="Times New Roman" w:hAnsi="Times New Roman" w:cs="Times New Roman"/>
          <w:b/>
          <w:bCs/>
          <w:color w:val="0070C0"/>
          <w:sz w:val="28"/>
          <w:szCs w:val="28"/>
          <w:rtl/>
        </w:rPr>
      </w:pPr>
      <w:bookmarkStart w:id="20" w:name="_Toc203686995"/>
      <w:r w:rsidRPr="00BB042C">
        <w:rPr>
          <w:rFonts w:ascii="Times New Roman" w:hAnsi="Times New Roman" w:cs="Times New Roman" w:hint="cs"/>
          <w:b/>
          <w:bCs/>
          <w:color w:val="0070C0"/>
          <w:sz w:val="28"/>
          <w:szCs w:val="28"/>
          <w:rtl/>
        </w:rPr>
        <w:lastRenderedPageBreak/>
        <w:t xml:space="preserve">رابعاً: </w:t>
      </w:r>
      <w:r w:rsidRPr="00BB042C">
        <w:rPr>
          <w:rFonts w:ascii="Times New Roman" w:hAnsi="Times New Roman" w:cs="Times New Roman"/>
          <w:b/>
          <w:bCs/>
          <w:color w:val="0070C0"/>
          <w:sz w:val="28"/>
          <w:szCs w:val="28"/>
          <w:rtl/>
        </w:rPr>
        <w:t>التعليق على الدراسات السابقة</w:t>
      </w:r>
      <w:bookmarkEnd w:id="20"/>
    </w:p>
    <w:p w:rsidR="00872B9A" w:rsidRPr="00BB042C" w:rsidRDefault="00872B9A" w:rsidP="00872B9A">
      <w:pPr>
        <w:pStyle w:val="a4"/>
        <w:numPr>
          <w:ilvl w:val="0"/>
          <w:numId w:val="28"/>
        </w:numPr>
        <w:spacing w:line="360" w:lineRule="auto"/>
        <w:jc w:val="both"/>
        <w:rPr>
          <w:rFonts w:ascii="Times New Roman" w:hAnsi="Times New Roman" w:cs="Times New Roman"/>
          <w:b/>
          <w:bCs/>
          <w:sz w:val="28"/>
          <w:szCs w:val="28"/>
          <w:rtl/>
        </w:rPr>
      </w:pPr>
      <w:r w:rsidRPr="00BB042C">
        <w:rPr>
          <w:rFonts w:ascii="Times New Roman" w:hAnsi="Times New Roman" w:cs="Times New Roman"/>
          <w:b/>
          <w:bCs/>
          <w:sz w:val="28"/>
          <w:szCs w:val="28"/>
          <w:rtl/>
        </w:rPr>
        <w:t xml:space="preserve"> ملخص الدراسات السابقة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تتضمن الدراسات السابقة خمس عشرة دراسة موزعة على ثلاثة تصنيفات جغرافية: خمس دراسات أجنبية من دول مختلفة مثل الولايات المتحدة، أوروبا، آسيا، أستراليا وألمانيا، وخمس دراسات عربية من دول الخليج العربي والعراق والأردن ومصر ولبنان، بالإضافة إلى خمس دراسات محلية تركزت جميعها في المملكة العربية السعودية. تغطي هذه الدراسات فترة زمنية تمتد من عام 2014 حتى عام 2023، مما يعكس اهتمامًا مستمرًا ومتزايدًا بأثر إدارة المخاطر على الأداء المالي في القطاع المصرفي.</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اتفق الباحثون في معظم الدراسات على الأهداف المشتركة المتعلقة بدراسة تأثير ممارسات إدارة المخاطر على تحسين الأداء المالي للبنوك، مع التركيز على مؤشرات الربحية، السيولة، وجودة الأصول، وتقليل المخاطر الائتمانية والتشغيلية.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من حيث المناهج، اتسمت الدراسات بالاعتماد الكبير على المنهج الوصفي التحليلي، مع استخدام أدوات جمع بيانات موحدة تتمثل أساسًا في استبيانات مغلقة معتمدين في التحليل على الإحصاءات الوصفية، معامل الارتباط، وتحليل الانحدار المتعدد.</w:t>
      </w:r>
    </w:p>
    <w:p w:rsidR="00872B9A"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بالنسبة للنتائج، اتفقت أغلب الدراسات على وجود أثر إيجابي وذو دلالة إحصائية لممارسات إدارة المخاطر في تحسين الأداء المالي للبنوك، مع تأكيد أهمية دعم الإدارة العليا، الثقافة التنظيمية، والتدريب المستمر كعوامل تعزز من تطبيق هذه الممارسات.</w:t>
      </w:r>
    </w:p>
    <w:p w:rsidR="00872B9A" w:rsidRPr="00BB042C" w:rsidRDefault="00872B9A" w:rsidP="00872B9A">
      <w:pPr>
        <w:pStyle w:val="a4"/>
        <w:numPr>
          <w:ilvl w:val="0"/>
          <w:numId w:val="28"/>
        </w:numPr>
        <w:spacing w:line="360" w:lineRule="auto"/>
        <w:jc w:val="both"/>
        <w:rPr>
          <w:rFonts w:ascii="Times New Roman" w:hAnsi="Times New Roman" w:cs="Times New Roman"/>
          <w:b/>
          <w:bCs/>
          <w:sz w:val="28"/>
          <w:szCs w:val="28"/>
          <w:rtl/>
        </w:rPr>
      </w:pPr>
      <w:r w:rsidRPr="00BB042C">
        <w:rPr>
          <w:rFonts w:ascii="Times New Roman" w:hAnsi="Times New Roman" w:cs="Times New Roman"/>
          <w:b/>
          <w:bCs/>
          <w:sz w:val="28"/>
          <w:szCs w:val="28"/>
          <w:rtl/>
        </w:rPr>
        <w:t xml:space="preserve">ما يميز الدراسة الحالية </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تتميز الدراسة الحالية بمحاولة دمج مفهوم الاستدامة المالية مع ممارسات إدارة المخاطر، وهو جانب نادر التناول في الدراسات السابقة التي اقتصرت بشكل رئيسي على الأداء المالي فقط. كما تسعى الدراسة إلى تضمين تحليل أعمق للعوامل المؤثرة في تطبيق إدارة المخاطر مثل المتغيرات الشخصية، الثقافة التنظيمية، والدعم التكنولوجي، مع اعتماد استبيان متكامل ومقنن باستخدام مقياس ليكرت الخماسي. بالإضافة إلى ذلك، تقدم الدراسة عينة أكثر تنوعًا وملائمة للمجتمع البنكي المستهدف، مع توقعات بتحليل النتائج بشكل يعكس الواقع العملي والتحديات التي تواجه البنوك في تحقيق الاستدامة والأداء المالي المتوازن.</w:t>
      </w:r>
    </w:p>
    <w:p w:rsidR="00872B9A" w:rsidRPr="006D54B5" w:rsidRDefault="00872B9A" w:rsidP="00872B9A">
      <w:pPr>
        <w:spacing w:line="360" w:lineRule="auto"/>
        <w:jc w:val="both"/>
        <w:rPr>
          <w:rFonts w:ascii="Times New Roman" w:hAnsi="Times New Roman" w:cs="Times New Roman"/>
          <w:sz w:val="28"/>
          <w:szCs w:val="28"/>
          <w:rtl/>
        </w:rPr>
      </w:pPr>
    </w:p>
    <w:p w:rsidR="00872B9A" w:rsidRDefault="00872B9A" w:rsidP="00872B9A">
      <w:pPr>
        <w:pStyle w:val="a4"/>
        <w:numPr>
          <w:ilvl w:val="0"/>
          <w:numId w:val="28"/>
        </w:numPr>
        <w:spacing w:line="360" w:lineRule="auto"/>
        <w:jc w:val="both"/>
        <w:rPr>
          <w:rFonts w:ascii="Times New Roman" w:hAnsi="Times New Roman" w:cs="Times New Roman"/>
          <w:b/>
          <w:bCs/>
          <w:sz w:val="28"/>
          <w:szCs w:val="28"/>
        </w:rPr>
      </w:pPr>
      <w:r w:rsidRPr="00BB042C">
        <w:rPr>
          <w:rFonts w:ascii="Times New Roman" w:hAnsi="Times New Roman" w:cs="Times New Roman"/>
          <w:b/>
          <w:bCs/>
          <w:sz w:val="28"/>
          <w:szCs w:val="28"/>
          <w:rtl/>
        </w:rPr>
        <w:lastRenderedPageBreak/>
        <w:t>أوجه الاختلاف والتشابه بين الدراسات السابقة والدراسة الحالية</w:t>
      </w:r>
    </w:p>
    <w:p w:rsidR="00872B9A" w:rsidRPr="00BB042C" w:rsidRDefault="00872B9A" w:rsidP="00872B9A">
      <w:pPr>
        <w:pStyle w:val="a4"/>
        <w:spacing w:line="360" w:lineRule="auto"/>
        <w:ind w:left="360"/>
        <w:jc w:val="center"/>
        <w:rPr>
          <w:rFonts w:ascii="Times New Roman" w:hAnsi="Times New Roman" w:cs="Times New Roman"/>
          <w:b/>
          <w:bCs/>
          <w:sz w:val="28"/>
          <w:szCs w:val="28"/>
          <w:rtl/>
        </w:rPr>
      </w:pPr>
      <w:r>
        <w:rPr>
          <w:rFonts w:ascii="Times New Roman" w:hAnsi="Times New Roman" w:cs="Times New Roman" w:hint="cs"/>
          <w:b/>
          <w:bCs/>
          <w:sz w:val="28"/>
          <w:szCs w:val="28"/>
          <w:rtl/>
        </w:rPr>
        <w:t>جدول رقم (1) مقارنة الدراسات السابقة واوجه التشابه والاختلاف مع الدراسة الحالية</w:t>
      </w:r>
    </w:p>
    <w:tbl>
      <w:tblPr>
        <w:tblStyle w:val="4-1"/>
        <w:tblW w:w="0" w:type="auto"/>
        <w:jc w:val="center"/>
        <w:tblLook w:val="04A0" w:firstRow="1" w:lastRow="0" w:firstColumn="1" w:lastColumn="0" w:noHBand="0" w:noVBand="1"/>
      </w:tblPr>
      <w:tblGrid>
        <w:gridCol w:w="2750"/>
        <w:gridCol w:w="1136"/>
        <w:gridCol w:w="1307"/>
        <w:gridCol w:w="1664"/>
        <w:gridCol w:w="1439"/>
      </w:tblGrid>
      <w:tr w:rsidR="00872B9A" w:rsidRPr="004C5FA1" w:rsidTr="00066C8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72B9A" w:rsidRPr="004C5FA1" w:rsidRDefault="00872B9A" w:rsidP="00066C84">
            <w:pPr>
              <w:jc w:val="center"/>
              <w:rPr>
                <w:rFonts w:ascii="Times New Roman" w:hAnsi="Times New Roman" w:cs="Times New Roman"/>
                <w:b w:val="0"/>
                <w:bCs w:val="0"/>
                <w:sz w:val="24"/>
                <w:szCs w:val="24"/>
              </w:rPr>
            </w:pPr>
            <w:r w:rsidRPr="004C5FA1">
              <w:rPr>
                <w:rFonts w:ascii="Times New Roman" w:hAnsi="Times New Roman" w:cs="Times New Roman"/>
                <w:b w:val="0"/>
                <w:bCs w:val="0"/>
                <w:sz w:val="24"/>
                <w:szCs w:val="24"/>
                <w:rtl/>
              </w:rPr>
              <w:t>عنوان</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الدراسة</w:t>
            </w:r>
          </w:p>
        </w:tc>
        <w:tc>
          <w:tcPr>
            <w:tcW w:w="0" w:type="auto"/>
            <w:vAlign w:val="center"/>
          </w:tcPr>
          <w:p w:rsidR="00872B9A" w:rsidRPr="004C5FA1" w:rsidRDefault="00872B9A" w:rsidP="00066C8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C5FA1">
              <w:rPr>
                <w:rFonts w:ascii="Times New Roman" w:hAnsi="Times New Roman" w:cs="Times New Roman"/>
                <w:b w:val="0"/>
                <w:bCs w:val="0"/>
                <w:sz w:val="24"/>
                <w:szCs w:val="24"/>
                <w:rtl/>
              </w:rPr>
              <w:t>البلد</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والتاريخ</w:t>
            </w:r>
          </w:p>
        </w:tc>
        <w:tc>
          <w:tcPr>
            <w:tcW w:w="0" w:type="auto"/>
            <w:vAlign w:val="center"/>
          </w:tcPr>
          <w:p w:rsidR="00872B9A" w:rsidRPr="004C5FA1" w:rsidRDefault="00872B9A" w:rsidP="00066C8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C5FA1">
              <w:rPr>
                <w:rFonts w:ascii="Times New Roman" w:hAnsi="Times New Roman" w:cs="Times New Roman"/>
                <w:b w:val="0"/>
                <w:bCs w:val="0"/>
                <w:sz w:val="24"/>
                <w:szCs w:val="24"/>
                <w:rtl/>
              </w:rPr>
              <w:t>الأبعاد</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المدروسة</w:t>
            </w:r>
          </w:p>
        </w:tc>
        <w:tc>
          <w:tcPr>
            <w:tcW w:w="0" w:type="auto"/>
            <w:vAlign w:val="center"/>
          </w:tcPr>
          <w:p w:rsidR="00872B9A" w:rsidRPr="004C5FA1" w:rsidRDefault="00872B9A" w:rsidP="00066C8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C5FA1">
              <w:rPr>
                <w:rFonts w:ascii="Times New Roman" w:hAnsi="Times New Roman" w:cs="Times New Roman"/>
                <w:b w:val="0"/>
                <w:bCs w:val="0"/>
                <w:sz w:val="24"/>
                <w:szCs w:val="24"/>
                <w:rtl/>
              </w:rPr>
              <w:t>أوجه</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التشابه</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مع</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الدراسة</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الحالية</w:t>
            </w:r>
          </w:p>
        </w:tc>
        <w:tc>
          <w:tcPr>
            <w:tcW w:w="0" w:type="auto"/>
            <w:vAlign w:val="center"/>
          </w:tcPr>
          <w:p w:rsidR="00872B9A" w:rsidRPr="004C5FA1" w:rsidRDefault="00872B9A" w:rsidP="00066C8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C5FA1">
              <w:rPr>
                <w:rFonts w:ascii="Times New Roman" w:hAnsi="Times New Roman" w:cs="Times New Roman"/>
                <w:b w:val="0"/>
                <w:bCs w:val="0"/>
                <w:sz w:val="24"/>
                <w:szCs w:val="24"/>
                <w:rtl/>
              </w:rPr>
              <w:t>أوجه</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الاختلاف</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مع</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الدراسة</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الحالية</w:t>
            </w:r>
          </w:p>
        </w:tc>
      </w:tr>
      <w:tr w:rsidR="00872B9A" w:rsidRPr="004C5FA1" w:rsidTr="00066C8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72B9A" w:rsidRPr="004C5FA1" w:rsidRDefault="00872B9A" w:rsidP="00066C84">
            <w:pPr>
              <w:jc w:val="center"/>
              <w:rPr>
                <w:rFonts w:ascii="Times New Roman" w:hAnsi="Times New Roman" w:cs="Times New Roman"/>
                <w:b w:val="0"/>
                <w:bCs w:val="0"/>
                <w:sz w:val="24"/>
                <w:szCs w:val="24"/>
              </w:rPr>
            </w:pPr>
            <w:r w:rsidRPr="004C5FA1">
              <w:rPr>
                <w:rFonts w:ascii="Times New Roman" w:hAnsi="Times New Roman" w:cs="Times New Roman"/>
                <w:b w:val="0"/>
                <w:bCs w:val="0"/>
                <w:sz w:val="24"/>
                <w:szCs w:val="24"/>
                <w:rtl/>
              </w:rPr>
              <w:t>أثر</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ممارسات</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إدارة</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المخاطر</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على</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الأداء</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المالي</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في</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البنوك</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السعودية</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الزهراني،</w:t>
            </w:r>
            <w:r w:rsidRPr="004C5FA1">
              <w:rPr>
                <w:rFonts w:ascii="Times New Roman" w:hAnsi="Times New Roman" w:cs="Times New Roman"/>
                <w:b w:val="0"/>
                <w:bCs w:val="0"/>
                <w:sz w:val="24"/>
                <w:szCs w:val="24"/>
              </w:rPr>
              <w:t xml:space="preserve"> 2022)</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السعودية،</w:t>
            </w:r>
            <w:r w:rsidRPr="004C5FA1">
              <w:rPr>
                <w:rFonts w:ascii="Times New Roman" w:hAnsi="Times New Roman" w:cs="Times New Roman"/>
                <w:sz w:val="24"/>
                <w:szCs w:val="24"/>
              </w:rPr>
              <w:t xml:space="preserve"> 2022</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إدارة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الأداء</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المالي</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التركيز</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على</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علاقة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إدارة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بالأداء</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المالي</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لم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تتناول</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الاستدامة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المالية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كمكون</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أساسي</w:t>
            </w:r>
          </w:p>
        </w:tc>
      </w:tr>
      <w:tr w:rsidR="00872B9A" w:rsidRPr="004C5FA1" w:rsidTr="00066C8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72B9A" w:rsidRPr="004C5FA1" w:rsidRDefault="00872B9A" w:rsidP="00066C84">
            <w:pPr>
              <w:jc w:val="center"/>
              <w:rPr>
                <w:rFonts w:ascii="Times New Roman" w:hAnsi="Times New Roman" w:cs="Times New Roman"/>
                <w:b w:val="0"/>
                <w:bCs w:val="0"/>
                <w:sz w:val="24"/>
                <w:szCs w:val="24"/>
              </w:rPr>
            </w:pPr>
            <w:r w:rsidRPr="004C5FA1">
              <w:rPr>
                <w:rFonts w:ascii="Times New Roman" w:hAnsi="Times New Roman" w:cs="Times New Roman"/>
                <w:b w:val="0"/>
                <w:bCs w:val="0"/>
                <w:sz w:val="24"/>
                <w:szCs w:val="24"/>
                <w:rtl/>
              </w:rPr>
              <w:t>تأثير</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تطبيق</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إدارة</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المخاطر</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على</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الأداء</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المالي</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للبنوك</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السعودية</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السلمي،</w:t>
            </w:r>
            <w:r w:rsidRPr="004C5FA1">
              <w:rPr>
                <w:rFonts w:ascii="Times New Roman" w:hAnsi="Times New Roman" w:cs="Times New Roman"/>
                <w:b w:val="0"/>
                <w:bCs w:val="0"/>
                <w:sz w:val="24"/>
                <w:szCs w:val="24"/>
              </w:rPr>
              <w:t xml:space="preserve"> 2020)</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السعودية،</w:t>
            </w:r>
            <w:r w:rsidRPr="004C5FA1">
              <w:rPr>
                <w:rFonts w:ascii="Times New Roman" w:hAnsi="Times New Roman" w:cs="Times New Roman"/>
                <w:sz w:val="24"/>
                <w:szCs w:val="24"/>
              </w:rPr>
              <w:t xml:space="preserve"> 2020</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إدارة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تقليل</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الخسائر</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استخدام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منهج</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وصفي</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وتحليل</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العلاقة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بين</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إدارة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والأداء</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لم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يشمل</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تحليل</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العوامل</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المؤثرة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أو</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الثقافة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التنظيمية</w:t>
            </w:r>
          </w:p>
        </w:tc>
      </w:tr>
      <w:tr w:rsidR="00872B9A" w:rsidRPr="004C5FA1" w:rsidTr="00066C8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72B9A" w:rsidRPr="004C5FA1" w:rsidRDefault="00872B9A" w:rsidP="00066C84">
            <w:pPr>
              <w:jc w:val="center"/>
              <w:rPr>
                <w:rFonts w:ascii="Times New Roman" w:hAnsi="Times New Roman" w:cs="Times New Roman"/>
                <w:b w:val="0"/>
                <w:bCs w:val="0"/>
                <w:sz w:val="24"/>
                <w:szCs w:val="24"/>
              </w:rPr>
            </w:pPr>
            <w:r w:rsidRPr="004C5FA1">
              <w:rPr>
                <w:rFonts w:ascii="Times New Roman" w:hAnsi="Times New Roman" w:cs="Times New Roman"/>
                <w:b w:val="0"/>
                <w:bCs w:val="0"/>
                <w:sz w:val="24"/>
                <w:szCs w:val="24"/>
                <w:rtl/>
              </w:rPr>
              <w:t>دور</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إدارة</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المخاطر</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في</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تعزيز</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الأداء</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المالي</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للبنوك</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السعودية</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الماجد،</w:t>
            </w:r>
            <w:r w:rsidRPr="004C5FA1">
              <w:rPr>
                <w:rFonts w:ascii="Times New Roman" w:hAnsi="Times New Roman" w:cs="Times New Roman"/>
                <w:b w:val="0"/>
                <w:bCs w:val="0"/>
                <w:sz w:val="24"/>
                <w:szCs w:val="24"/>
              </w:rPr>
              <w:t xml:space="preserve"> 2018)</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السعودية،</w:t>
            </w:r>
            <w:r w:rsidRPr="004C5FA1">
              <w:rPr>
                <w:rFonts w:ascii="Times New Roman" w:hAnsi="Times New Roman" w:cs="Times New Roman"/>
                <w:sz w:val="24"/>
                <w:szCs w:val="24"/>
              </w:rPr>
              <w:t xml:space="preserve"> 2018</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إدارة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الائتمانية</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بحث</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العلاقة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بين</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إدارة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وجودة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الأصول</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لم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يربط</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الدراسة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بمفهوم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الاستدامة</w:t>
            </w:r>
          </w:p>
        </w:tc>
      </w:tr>
      <w:tr w:rsidR="00872B9A" w:rsidRPr="004C5FA1" w:rsidTr="00066C8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72B9A" w:rsidRPr="004C5FA1" w:rsidRDefault="00872B9A" w:rsidP="00066C84">
            <w:pPr>
              <w:jc w:val="center"/>
              <w:rPr>
                <w:rFonts w:ascii="Times New Roman" w:hAnsi="Times New Roman" w:cs="Times New Roman"/>
                <w:b w:val="0"/>
                <w:bCs w:val="0"/>
                <w:sz w:val="24"/>
                <w:szCs w:val="24"/>
              </w:rPr>
            </w:pPr>
            <w:r w:rsidRPr="004C5FA1">
              <w:rPr>
                <w:rFonts w:ascii="Times New Roman" w:hAnsi="Times New Roman" w:cs="Times New Roman"/>
                <w:b w:val="0"/>
                <w:bCs w:val="0"/>
                <w:sz w:val="24"/>
                <w:szCs w:val="24"/>
                <w:rtl/>
              </w:rPr>
              <w:t>تأثير</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إدارة</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المخاطر</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على</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الأداء</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المالي</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للبنوك</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السعودية</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الحمادي،</w:t>
            </w:r>
            <w:r w:rsidRPr="004C5FA1">
              <w:rPr>
                <w:rFonts w:ascii="Times New Roman" w:hAnsi="Times New Roman" w:cs="Times New Roman"/>
                <w:b w:val="0"/>
                <w:bCs w:val="0"/>
                <w:sz w:val="24"/>
                <w:szCs w:val="24"/>
              </w:rPr>
              <w:t xml:space="preserve"> 2016)</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السعودية،</w:t>
            </w:r>
            <w:r w:rsidRPr="004C5FA1">
              <w:rPr>
                <w:rFonts w:ascii="Times New Roman" w:hAnsi="Times New Roman" w:cs="Times New Roman"/>
                <w:sz w:val="24"/>
                <w:szCs w:val="24"/>
              </w:rPr>
              <w:t xml:space="preserve"> 2016</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إدارة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التشغيلية</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التأكيد</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على</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العلاقة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بين</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إدارة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وتحسين</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الأداء</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المالي</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عدم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تناول</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المتغيرات</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الشخصية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كعوامل</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مؤثرة</w:t>
            </w:r>
          </w:p>
        </w:tc>
      </w:tr>
      <w:tr w:rsidR="00872B9A" w:rsidRPr="004C5FA1" w:rsidTr="00066C8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72B9A" w:rsidRPr="004C5FA1" w:rsidRDefault="00872B9A" w:rsidP="00066C84">
            <w:pPr>
              <w:jc w:val="center"/>
              <w:rPr>
                <w:rFonts w:ascii="Times New Roman" w:hAnsi="Times New Roman" w:cs="Times New Roman"/>
                <w:b w:val="0"/>
                <w:bCs w:val="0"/>
                <w:sz w:val="24"/>
                <w:szCs w:val="24"/>
              </w:rPr>
            </w:pPr>
            <w:r w:rsidRPr="004C5FA1">
              <w:rPr>
                <w:rFonts w:ascii="Times New Roman" w:hAnsi="Times New Roman" w:cs="Times New Roman"/>
                <w:b w:val="0"/>
                <w:bCs w:val="0"/>
                <w:sz w:val="24"/>
                <w:szCs w:val="24"/>
                <w:rtl/>
              </w:rPr>
              <w:t>أثر</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إدارة</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المخاطر</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على</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الأداء</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المالي</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للبنوك</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السعودية</w:t>
            </w:r>
            <w:r w:rsidRPr="004C5FA1">
              <w:rPr>
                <w:rFonts w:ascii="Times New Roman" w:hAnsi="Times New Roman" w:cs="Times New Roman"/>
                <w:b w:val="0"/>
                <w:bCs w:val="0"/>
                <w:sz w:val="24"/>
                <w:szCs w:val="24"/>
              </w:rPr>
              <w:t xml:space="preserve"> (</w:t>
            </w:r>
            <w:r w:rsidRPr="004C5FA1">
              <w:rPr>
                <w:rFonts w:ascii="Times New Roman" w:hAnsi="Times New Roman" w:cs="Times New Roman"/>
                <w:b w:val="0"/>
                <w:bCs w:val="0"/>
                <w:sz w:val="24"/>
                <w:szCs w:val="24"/>
                <w:rtl/>
              </w:rPr>
              <w:t>الغامدي،</w:t>
            </w:r>
            <w:r w:rsidRPr="004C5FA1">
              <w:rPr>
                <w:rFonts w:ascii="Times New Roman" w:hAnsi="Times New Roman" w:cs="Times New Roman"/>
                <w:b w:val="0"/>
                <w:bCs w:val="0"/>
                <w:sz w:val="24"/>
                <w:szCs w:val="24"/>
              </w:rPr>
              <w:t xml:space="preserve"> 2014)</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السعودية،</w:t>
            </w:r>
            <w:r w:rsidRPr="004C5FA1">
              <w:rPr>
                <w:rFonts w:ascii="Times New Roman" w:hAnsi="Times New Roman" w:cs="Times New Roman"/>
                <w:sz w:val="24"/>
                <w:szCs w:val="24"/>
              </w:rPr>
              <w:t xml:space="preserve"> 2014</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إدارة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الحوكمة</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دراسة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أثر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إدارة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على</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الأداء</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المالي</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لم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يتم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التركيز</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على</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التكنولوجيا</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ودعم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الإدارة</w:t>
            </w:r>
          </w:p>
        </w:tc>
      </w:tr>
      <w:tr w:rsidR="00872B9A" w:rsidRPr="004C5FA1" w:rsidTr="00066C8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72B9A" w:rsidRPr="004C5FA1" w:rsidRDefault="00872B9A" w:rsidP="00066C84">
            <w:pPr>
              <w:jc w:val="center"/>
              <w:rPr>
                <w:rFonts w:ascii="Times New Roman" w:hAnsi="Times New Roman" w:cs="Times New Roman"/>
                <w:b w:val="0"/>
                <w:bCs w:val="0"/>
                <w:sz w:val="24"/>
                <w:szCs w:val="24"/>
              </w:rPr>
            </w:pPr>
            <w:r w:rsidRPr="004C5FA1">
              <w:rPr>
                <w:rFonts w:ascii="Times New Roman" w:hAnsi="Times New Roman" w:cs="Times New Roman"/>
                <w:b w:val="0"/>
                <w:bCs w:val="0"/>
                <w:sz w:val="24"/>
                <w:szCs w:val="24"/>
              </w:rPr>
              <w:t>The Impact of Risk Management Practices on Financial Performance in Commercial Banks (Smith &amp; Johnson, 2023)</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الولايات</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المتحدة،</w:t>
            </w:r>
            <w:r w:rsidRPr="004C5FA1">
              <w:rPr>
                <w:rFonts w:ascii="Times New Roman" w:hAnsi="Times New Roman" w:cs="Times New Roman"/>
                <w:sz w:val="24"/>
                <w:szCs w:val="24"/>
              </w:rPr>
              <w:t xml:space="preserve"> 2023</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ممارسات</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إدارة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الأداء</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المالي</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استخدام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الاستبيان</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ومقياس</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ليكرت</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لتحليل</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العلاقة</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لم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يتم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التركيز</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على</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الاستدامة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المالية</w:t>
            </w:r>
          </w:p>
        </w:tc>
      </w:tr>
      <w:tr w:rsidR="00872B9A" w:rsidRPr="004C5FA1" w:rsidTr="00066C8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72B9A" w:rsidRPr="004C5FA1" w:rsidRDefault="00872B9A" w:rsidP="00066C84">
            <w:pPr>
              <w:jc w:val="center"/>
              <w:rPr>
                <w:rFonts w:ascii="Times New Roman" w:hAnsi="Times New Roman" w:cs="Times New Roman"/>
                <w:b w:val="0"/>
                <w:bCs w:val="0"/>
                <w:sz w:val="24"/>
                <w:szCs w:val="24"/>
              </w:rPr>
            </w:pPr>
            <w:r w:rsidRPr="004C5FA1">
              <w:rPr>
                <w:rFonts w:ascii="Times New Roman" w:hAnsi="Times New Roman" w:cs="Times New Roman"/>
                <w:b w:val="0"/>
                <w:bCs w:val="0"/>
                <w:sz w:val="24"/>
                <w:szCs w:val="24"/>
              </w:rPr>
              <w:t>The Role of Risk Management in Enhancing Bank Performance: Evidence from Asian Markets (Kumar &amp; Lee, 2021)</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آسيا،</w:t>
            </w:r>
            <w:r w:rsidRPr="004C5FA1">
              <w:rPr>
                <w:rFonts w:ascii="Times New Roman" w:hAnsi="Times New Roman" w:cs="Times New Roman"/>
                <w:sz w:val="24"/>
                <w:szCs w:val="24"/>
              </w:rPr>
              <w:t xml:space="preserve"> 2021</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إدارة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التشغيلية</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اهتمام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بالتحليل</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الإحصائي</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للعلاقة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بين</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المتغيرات</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لم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تتناول</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الثقافة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التنظيمية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كعامل</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مؤثر</w:t>
            </w:r>
          </w:p>
        </w:tc>
      </w:tr>
      <w:tr w:rsidR="00872B9A" w:rsidRPr="004C5FA1" w:rsidTr="00066C8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72B9A" w:rsidRPr="004C5FA1" w:rsidRDefault="00872B9A" w:rsidP="00066C84">
            <w:pPr>
              <w:jc w:val="center"/>
              <w:rPr>
                <w:rFonts w:ascii="Times New Roman" w:hAnsi="Times New Roman" w:cs="Times New Roman"/>
                <w:b w:val="0"/>
                <w:bCs w:val="0"/>
                <w:sz w:val="24"/>
                <w:szCs w:val="24"/>
              </w:rPr>
            </w:pPr>
            <w:r w:rsidRPr="004C5FA1">
              <w:rPr>
                <w:rFonts w:ascii="Times New Roman" w:hAnsi="Times New Roman" w:cs="Times New Roman"/>
                <w:b w:val="0"/>
                <w:bCs w:val="0"/>
                <w:sz w:val="24"/>
                <w:szCs w:val="24"/>
              </w:rPr>
              <w:t>Risk Management and Bank Profitability: A Study in the Australian Banking Sector (O’Connor &amp; Smith, 2020)</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أستراليا،</w:t>
            </w:r>
            <w:r w:rsidRPr="004C5FA1">
              <w:rPr>
                <w:rFonts w:ascii="Times New Roman" w:hAnsi="Times New Roman" w:cs="Times New Roman"/>
                <w:sz w:val="24"/>
                <w:szCs w:val="24"/>
              </w:rPr>
              <w:t xml:space="preserve"> 2020</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إدارة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الربحية</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الاعتماد</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على</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منهج</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وصفي</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وتحليل</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إحصائي</w:t>
            </w:r>
          </w:p>
        </w:tc>
        <w:tc>
          <w:tcPr>
            <w:tcW w:w="0" w:type="auto"/>
            <w:vAlign w:val="center"/>
          </w:tcPr>
          <w:p w:rsidR="00872B9A" w:rsidRPr="004C5FA1" w:rsidRDefault="00872B9A" w:rsidP="00066C8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لم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تناقش</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دور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الدعم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التكنولوجي</w:t>
            </w:r>
          </w:p>
        </w:tc>
      </w:tr>
      <w:tr w:rsidR="00872B9A" w:rsidRPr="004C5FA1" w:rsidTr="00066C8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72B9A" w:rsidRPr="004C5FA1" w:rsidRDefault="00872B9A" w:rsidP="00066C84">
            <w:pPr>
              <w:jc w:val="center"/>
              <w:rPr>
                <w:rFonts w:ascii="Times New Roman" w:hAnsi="Times New Roman" w:cs="Times New Roman"/>
                <w:b w:val="0"/>
                <w:bCs w:val="0"/>
                <w:sz w:val="24"/>
                <w:szCs w:val="24"/>
              </w:rPr>
            </w:pPr>
            <w:r w:rsidRPr="004C5FA1">
              <w:rPr>
                <w:rFonts w:ascii="Times New Roman" w:hAnsi="Times New Roman" w:cs="Times New Roman"/>
                <w:b w:val="0"/>
                <w:bCs w:val="0"/>
                <w:sz w:val="24"/>
                <w:szCs w:val="24"/>
              </w:rPr>
              <w:t>Enterprise Risk Management and Financial Performance: Evidence from German Banks (Müller &amp; Weber, 2019)</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ألمانيا،</w:t>
            </w:r>
            <w:r w:rsidRPr="004C5FA1">
              <w:rPr>
                <w:rFonts w:ascii="Times New Roman" w:hAnsi="Times New Roman" w:cs="Times New Roman"/>
                <w:sz w:val="24"/>
                <w:szCs w:val="24"/>
              </w:rPr>
              <w:t xml:space="preserve"> 2019</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إدارة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المخاطر</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المؤسسية،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الأداء</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المالي</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دمج</w:t>
            </w:r>
            <w:r w:rsidRPr="004C5FA1">
              <w:rPr>
                <w:rFonts w:ascii="Times New Roman" w:hAnsi="Times New Roman" w:cs="Times New Roman"/>
                <w:sz w:val="24"/>
                <w:szCs w:val="24"/>
              </w:rPr>
              <w:t xml:space="preserve"> ERM </w:t>
            </w:r>
            <w:r w:rsidRPr="004C5FA1">
              <w:rPr>
                <w:rFonts w:ascii="Times New Roman" w:hAnsi="Times New Roman" w:cs="Times New Roman"/>
                <w:sz w:val="24"/>
                <w:szCs w:val="24"/>
                <w:rtl/>
              </w:rPr>
              <w:t>في</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الاستراتيجية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البنكية</w:t>
            </w:r>
          </w:p>
        </w:tc>
        <w:tc>
          <w:tcPr>
            <w:tcW w:w="0" w:type="auto"/>
            <w:vAlign w:val="center"/>
          </w:tcPr>
          <w:p w:rsidR="00872B9A" w:rsidRPr="004C5FA1" w:rsidRDefault="00872B9A" w:rsidP="00066C8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C5FA1">
              <w:rPr>
                <w:rFonts w:ascii="Times New Roman" w:hAnsi="Times New Roman" w:cs="Times New Roman"/>
                <w:sz w:val="24"/>
                <w:szCs w:val="24"/>
                <w:rtl/>
              </w:rPr>
              <w:t>لم</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تشمل</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دراسة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المتغيرات</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الشخصية</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أو</w:t>
            </w:r>
            <w:r w:rsidRPr="004C5FA1">
              <w:rPr>
                <w:rFonts w:ascii="Times New Roman" w:hAnsi="Times New Roman" w:cs="Times New Roman"/>
                <w:sz w:val="24"/>
                <w:szCs w:val="24"/>
              </w:rPr>
              <w:t xml:space="preserve"> </w:t>
            </w:r>
            <w:r w:rsidRPr="004C5FA1">
              <w:rPr>
                <w:rFonts w:ascii="Times New Roman" w:hAnsi="Times New Roman" w:cs="Times New Roman"/>
                <w:sz w:val="24"/>
                <w:szCs w:val="24"/>
                <w:rtl/>
              </w:rPr>
              <w:t>التدريب</w:t>
            </w:r>
          </w:p>
        </w:tc>
      </w:tr>
    </w:tbl>
    <w:p w:rsidR="00872B9A" w:rsidRPr="001F4AEC" w:rsidRDefault="00872B9A" w:rsidP="00872B9A">
      <w:pPr>
        <w:pStyle w:val="1"/>
        <w:jc w:val="center"/>
        <w:rPr>
          <w:rFonts w:ascii="Sakkal Majalla" w:hAnsi="Sakkal Majalla" w:cs="PT Bold Heading"/>
          <w:sz w:val="36"/>
          <w:szCs w:val="36"/>
          <w:u w:val="single"/>
          <w:rtl/>
        </w:rPr>
      </w:pPr>
      <w:bookmarkStart w:id="21" w:name="_Toc181824695"/>
      <w:bookmarkStart w:id="22" w:name="_Toc203686996"/>
      <w:r w:rsidRPr="001F4AEC">
        <w:rPr>
          <w:rFonts w:ascii="Sakkal Majalla" w:hAnsi="Sakkal Majalla" w:cs="PT Bold Heading" w:hint="cs"/>
          <w:sz w:val="36"/>
          <w:szCs w:val="36"/>
          <w:u w:val="single"/>
          <w:rtl/>
        </w:rPr>
        <w:lastRenderedPageBreak/>
        <w:t>الإطار النظري</w:t>
      </w:r>
      <w:bookmarkEnd w:id="21"/>
      <w:bookmarkEnd w:id="22"/>
    </w:p>
    <w:p w:rsidR="00872B9A" w:rsidRPr="00593916" w:rsidRDefault="00872B9A" w:rsidP="00872B9A">
      <w:pPr>
        <w:rPr>
          <w:rtl/>
        </w:rPr>
      </w:pPr>
    </w:p>
    <w:p w:rsidR="00872B9A" w:rsidRPr="00480671" w:rsidRDefault="00872B9A" w:rsidP="00872B9A">
      <w:pPr>
        <w:pStyle w:val="2"/>
        <w:spacing w:line="360" w:lineRule="auto"/>
        <w:rPr>
          <w:rFonts w:ascii="Simplified Arabic" w:hAnsi="Simplified Arabic" w:cs="Simplified Arabic"/>
          <w:b/>
          <w:bCs/>
          <w:color w:val="0070C0"/>
          <w:sz w:val="32"/>
          <w:szCs w:val="32"/>
          <w:rtl/>
        </w:rPr>
      </w:pPr>
      <w:bookmarkStart w:id="23" w:name="_Toc203686997"/>
      <w:r w:rsidRPr="00480671">
        <w:rPr>
          <w:rFonts w:ascii="Simplified Arabic" w:hAnsi="Simplified Arabic" w:cs="Simplified Arabic" w:hint="cs"/>
          <w:b/>
          <w:bCs/>
          <w:color w:val="0070C0"/>
          <w:sz w:val="32"/>
          <w:szCs w:val="32"/>
          <w:rtl/>
        </w:rPr>
        <w:t xml:space="preserve">1. </w:t>
      </w:r>
      <w:r w:rsidRPr="00480671">
        <w:rPr>
          <w:rFonts w:ascii="Simplified Arabic" w:hAnsi="Simplified Arabic" w:cs="Simplified Arabic"/>
          <w:b/>
          <w:bCs/>
          <w:color w:val="0070C0"/>
          <w:sz w:val="32"/>
          <w:szCs w:val="32"/>
          <w:rtl/>
        </w:rPr>
        <w:t>مفهوم إدارة المخاطر وأهميتها</w:t>
      </w:r>
      <w:bookmarkEnd w:id="23"/>
    </w:p>
    <w:p w:rsidR="00872B9A" w:rsidRPr="00B45421" w:rsidRDefault="00872B9A" w:rsidP="00872B9A">
      <w:pPr>
        <w:spacing w:line="360" w:lineRule="auto"/>
        <w:jc w:val="both"/>
        <w:outlineLvl w:val="2"/>
        <w:rPr>
          <w:rFonts w:asciiTheme="majorBidi" w:hAnsiTheme="majorBidi" w:cstheme="majorBidi"/>
          <w:b/>
          <w:bCs/>
          <w:sz w:val="28"/>
          <w:szCs w:val="28"/>
          <w:rtl/>
        </w:rPr>
      </w:pPr>
      <w:bookmarkStart w:id="24" w:name="_Toc203686998"/>
      <w:r w:rsidRPr="00B45421">
        <w:rPr>
          <w:rFonts w:asciiTheme="majorBidi" w:hAnsiTheme="majorBidi" w:cstheme="majorBidi"/>
          <w:b/>
          <w:bCs/>
          <w:sz w:val="28"/>
          <w:szCs w:val="28"/>
          <w:rtl/>
        </w:rPr>
        <w:t>1.1 تعريف إدارة المخاطر</w:t>
      </w:r>
      <w:bookmarkEnd w:id="24"/>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إدارة المخاطر هي العملية التي تتضمن التعرف على المخاطر المحتملة التي قد تواجه المنظمة، وتحليلها، وتقييمها، ثم اتخاذ الإجراءات المناسبة للحد من تأثيرها أو الاستفادة منها إذا كانت فرصًا (</w:t>
      </w:r>
      <w:r w:rsidRPr="006D54B5">
        <w:rPr>
          <w:rFonts w:ascii="Times New Roman" w:hAnsi="Times New Roman" w:cs="Times New Roman"/>
          <w:sz w:val="28"/>
          <w:szCs w:val="28"/>
        </w:rPr>
        <w:t>Hillson, 2017</w:t>
      </w:r>
      <w:r w:rsidRPr="006D54B5">
        <w:rPr>
          <w:rFonts w:ascii="Times New Roman" w:hAnsi="Times New Roman" w:cs="Times New Roman"/>
          <w:sz w:val="28"/>
          <w:szCs w:val="28"/>
          <w:rtl/>
        </w:rPr>
        <w:t>). تعرفها اللجنة الدولية لمعايير إدارة المخاطر (</w:t>
      </w:r>
      <w:r w:rsidRPr="006D54B5">
        <w:rPr>
          <w:rFonts w:ascii="Times New Roman" w:hAnsi="Times New Roman" w:cs="Times New Roman"/>
          <w:sz w:val="28"/>
          <w:szCs w:val="28"/>
        </w:rPr>
        <w:t>ISO 31000</w:t>
      </w:r>
      <w:r w:rsidRPr="006D54B5">
        <w:rPr>
          <w:rFonts w:ascii="Times New Roman" w:hAnsi="Times New Roman" w:cs="Times New Roman"/>
          <w:sz w:val="28"/>
          <w:szCs w:val="28"/>
          <w:rtl/>
        </w:rPr>
        <w:t>) بأنها "تأثير عدم اليقين على الأهداف"، حيث تشمل الإدارة المنهجية لجميع الجوانب المتعلقة بالمخاطر لتحقيق الأهداف التنظيمية (</w:t>
      </w:r>
      <w:r w:rsidRPr="006D54B5">
        <w:rPr>
          <w:rFonts w:ascii="Times New Roman" w:hAnsi="Times New Roman" w:cs="Times New Roman"/>
          <w:sz w:val="28"/>
          <w:szCs w:val="28"/>
        </w:rPr>
        <w:t>ISO, 2018</w:t>
      </w:r>
      <w:r w:rsidRPr="006D54B5">
        <w:rPr>
          <w:rFonts w:ascii="Times New Roman" w:hAnsi="Times New Roman" w:cs="Times New Roman"/>
          <w:sz w:val="28"/>
          <w:szCs w:val="28"/>
          <w:rtl/>
        </w:rPr>
        <w:t>).</w:t>
      </w:r>
    </w:p>
    <w:p w:rsidR="00872B9A" w:rsidRPr="00480671" w:rsidRDefault="00872B9A" w:rsidP="00872B9A">
      <w:pPr>
        <w:spacing w:line="360" w:lineRule="auto"/>
        <w:jc w:val="both"/>
        <w:outlineLvl w:val="2"/>
        <w:rPr>
          <w:rFonts w:asciiTheme="majorBidi" w:hAnsiTheme="majorBidi" w:cstheme="majorBidi"/>
          <w:b/>
          <w:bCs/>
          <w:sz w:val="28"/>
          <w:szCs w:val="28"/>
          <w:rtl/>
        </w:rPr>
      </w:pPr>
      <w:bookmarkStart w:id="25" w:name="_Toc203686999"/>
      <w:r>
        <w:rPr>
          <w:rFonts w:asciiTheme="majorBidi" w:hAnsiTheme="majorBidi" w:cstheme="majorBidi" w:hint="cs"/>
          <w:b/>
          <w:bCs/>
          <w:sz w:val="28"/>
          <w:szCs w:val="28"/>
          <w:rtl/>
        </w:rPr>
        <w:t xml:space="preserve">2.1 </w:t>
      </w:r>
      <w:r w:rsidRPr="00480671">
        <w:rPr>
          <w:rFonts w:asciiTheme="majorBidi" w:hAnsiTheme="majorBidi" w:cstheme="majorBidi"/>
          <w:b/>
          <w:bCs/>
          <w:sz w:val="28"/>
          <w:szCs w:val="28"/>
          <w:rtl/>
        </w:rPr>
        <w:t>تطور مفهوم إدارة المخاطر عبر الزمن</w:t>
      </w:r>
      <w:bookmarkEnd w:id="25"/>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شهد مفهوم إدارة المخاطر تطورًا ملحوظًا عبر العقود الماضية، إذ كان في بداياته يركز فقط على المخاطر المالية والمخاطر التقنية، ثم توسع ليشمل المخاطر الاستراتيجية والتشغيلية والقانونية والبيئية. في السبعينيات، كان التركيز الأساسي على إدارة المخاطر المالية لدى المؤسسات، ولا سيما في البنوك وشركات التأمين، أما الآن فقد أصبح يشمل إدارة المخاطر المؤسسية (</w:t>
      </w:r>
      <w:r w:rsidRPr="006D54B5">
        <w:rPr>
          <w:rFonts w:ascii="Times New Roman" w:hAnsi="Times New Roman" w:cs="Times New Roman"/>
          <w:sz w:val="28"/>
          <w:szCs w:val="28"/>
        </w:rPr>
        <w:t>ERM</w:t>
      </w:r>
      <w:r w:rsidRPr="006D54B5">
        <w:rPr>
          <w:rFonts w:ascii="Times New Roman" w:hAnsi="Times New Roman" w:cs="Times New Roman"/>
          <w:sz w:val="28"/>
          <w:szCs w:val="28"/>
          <w:rtl/>
        </w:rPr>
        <w:t>) التي تأخذ منظورًا شاملاً لإدارة كافة أنواع المخاطر بشكل متكامل (</w:t>
      </w:r>
      <w:r w:rsidRPr="006D54B5">
        <w:rPr>
          <w:rFonts w:ascii="Times New Roman" w:hAnsi="Times New Roman" w:cs="Times New Roman"/>
          <w:sz w:val="28"/>
          <w:szCs w:val="28"/>
        </w:rPr>
        <w:t>Fraser &amp; Simkins, 2016</w:t>
      </w:r>
      <w:r w:rsidRPr="006D54B5">
        <w:rPr>
          <w:rFonts w:ascii="Times New Roman" w:hAnsi="Times New Roman" w:cs="Times New Roman"/>
          <w:sz w:val="28"/>
          <w:szCs w:val="28"/>
          <w:rtl/>
        </w:rPr>
        <w:t>).</w:t>
      </w:r>
    </w:p>
    <w:p w:rsidR="00872B9A" w:rsidRPr="00480671" w:rsidRDefault="00872B9A" w:rsidP="00872B9A">
      <w:pPr>
        <w:pStyle w:val="a4"/>
        <w:spacing w:line="360" w:lineRule="auto"/>
        <w:ind w:left="84"/>
        <w:jc w:val="both"/>
        <w:outlineLvl w:val="2"/>
        <w:rPr>
          <w:rFonts w:asciiTheme="majorBidi" w:hAnsiTheme="majorBidi" w:cstheme="majorBidi"/>
          <w:b/>
          <w:bCs/>
          <w:sz w:val="28"/>
          <w:szCs w:val="28"/>
          <w:rtl/>
        </w:rPr>
      </w:pPr>
      <w:r>
        <w:rPr>
          <w:rFonts w:asciiTheme="majorBidi" w:hAnsiTheme="majorBidi" w:cstheme="majorBidi"/>
          <w:b/>
          <w:bCs/>
          <w:sz w:val="28"/>
          <w:szCs w:val="28"/>
          <w:rtl/>
        </w:rPr>
        <w:t xml:space="preserve"> </w:t>
      </w:r>
      <w:bookmarkStart w:id="26" w:name="_Toc203687000"/>
      <w:r>
        <w:rPr>
          <w:rFonts w:asciiTheme="majorBidi" w:hAnsiTheme="majorBidi" w:cstheme="majorBidi" w:hint="cs"/>
          <w:b/>
          <w:bCs/>
          <w:sz w:val="28"/>
          <w:szCs w:val="28"/>
          <w:rtl/>
        </w:rPr>
        <w:t xml:space="preserve">3.1 </w:t>
      </w:r>
      <w:r w:rsidRPr="00480671">
        <w:rPr>
          <w:rFonts w:asciiTheme="majorBidi" w:hAnsiTheme="majorBidi" w:cstheme="majorBidi"/>
          <w:b/>
          <w:bCs/>
          <w:sz w:val="28"/>
          <w:szCs w:val="28"/>
          <w:rtl/>
        </w:rPr>
        <w:t>أنواع المخاطر في القطاع المصرفي</w:t>
      </w:r>
      <w:bookmarkEnd w:id="26"/>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يتعرض القطاع المصرفي لمجموعة واسعة من المخاطر، من أبرزها:</w:t>
      </w:r>
    </w:p>
    <w:p w:rsidR="00872B9A" w:rsidRPr="00480671" w:rsidRDefault="00872B9A" w:rsidP="00872B9A">
      <w:pPr>
        <w:pStyle w:val="a4"/>
        <w:numPr>
          <w:ilvl w:val="0"/>
          <w:numId w:val="6"/>
        </w:numPr>
        <w:spacing w:line="360" w:lineRule="auto"/>
        <w:jc w:val="both"/>
        <w:rPr>
          <w:rFonts w:ascii="Times New Roman" w:hAnsi="Times New Roman" w:cs="Times New Roman"/>
          <w:sz w:val="28"/>
          <w:szCs w:val="28"/>
          <w:rtl/>
        </w:rPr>
      </w:pPr>
      <w:r w:rsidRPr="00480671">
        <w:rPr>
          <w:rFonts w:ascii="Times New Roman" w:hAnsi="Times New Roman" w:cs="Times New Roman"/>
          <w:b/>
          <w:bCs/>
          <w:sz w:val="28"/>
          <w:szCs w:val="28"/>
          <w:rtl/>
        </w:rPr>
        <w:t>المخاطر الائتمانية</w:t>
      </w:r>
      <w:r w:rsidRPr="00480671">
        <w:rPr>
          <w:rFonts w:ascii="Times New Roman" w:hAnsi="Times New Roman" w:cs="Times New Roman"/>
          <w:sz w:val="28"/>
          <w:szCs w:val="28"/>
          <w:rtl/>
        </w:rPr>
        <w:t>: وتتعلق بعدم قدرة العملاء على سداد القروض والالتزامات المالية (</w:t>
      </w:r>
      <w:r w:rsidRPr="00480671">
        <w:rPr>
          <w:rFonts w:ascii="Times New Roman" w:hAnsi="Times New Roman" w:cs="Times New Roman"/>
          <w:sz w:val="28"/>
          <w:szCs w:val="28"/>
        </w:rPr>
        <w:t>Saunders &amp; Allen, 2020</w:t>
      </w:r>
      <w:r w:rsidRPr="00480671">
        <w:rPr>
          <w:rFonts w:ascii="Times New Roman" w:hAnsi="Times New Roman" w:cs="Times New Roman"/>
          <w:sz w:val="28"/>
          <w:szCs w:val="28"/>
          <w:rtl/>
        </w:rPr>
        <w:t>).</w:t>
      </w:r>
    </w:p>
    <w:p w:rsidR="00872B9A" w:rsidRPr="00480671" w:rsidRDefault="00872B9A" w:rsidP="00872B9A">
      <w:pPr>
        <w:pStyle w:val="a4"/>
        <w:numPr>
          <w:ilvl w:val="0"/>
          <w:numId w:val="6"/>
        </w:numPr>
        <w:spacing w:line="360" w:lineRule="auto"/>
        <w:jc w:val="both"/>
        <w:rPr>
          <w:rFonts w:ascii="Times New Roman" w:hAnsi="Times New Roman" w:cs="Times New Roman"/>
          <w:sz w:val="28"/>
          <w:szCs w:val="28"/>
          <w:rtl/>
        </w:rPr>
      </w:pPr>
      <w:r w:rsidRPr="00480671">
        <w:rPr>
          <w:rFonts w:ascii="Times New Roman" w:hAnsi="Times New Roman" w:cs="Times New Roman"/>
          <w:b/>
          <w:bCs/>
          <w:sz w:val="28"/>
          <w:szCs w:val="28"/>
          <w:rtl/>
        </w:rPr>
        <w:t>مخاطر السوق</w:t>
      </w:r>
      <w:r w:rsidRPr="00480671">
        <w:rPr>
          <w:rFonts w:ascii="Times New Roman" w:hAnsi="Times New Roman" w:cs="Times New Roman"/>
          <w:sz w:val="28"/>
          <w:szCs w:val="28"/>
          <w:rtl/>
        </w:rPr>
        <w:t>: المرتبطة بتقلبات أسعار الفائدة، العملات، والأسواق المالية (</w:t>
      </w:r>
      <w:r w:rsidRPr="00480671">
        <w:rPr>
          <w:rFonts w:ascii="Times New Roman" w:hAnsi="Times New Roman" w:cs="Times New Roman"/>
          <w:sz w:val="28"/>
          <w:szCs w:val="28"/>
        </w:rPr>
        <w:t>Hull, 2018</w:t>
      </w:r>
      <w:r w:rsidRPr="00480671">
        <w:rPr>
          <w:rFonts w:ascii="Times New Roman" w:hAnsi="Times New Roman" w:cs="Times New Roman"/>
          <w:sz w:val="28"/>
          <w:szCs w:val="28"/>
          <w:rtl/>
        </w:rPr>
        <w:t>).</w:t>
      </w:r>
    </w:p>
    <w:p w:rsidR="00872B9A" w:rsidRPr="00480671" w:rsidRDefault="00872B9A" w:rsidP="00872B9A">
      <w:pPr>
        <w:pStyle w:val="a4"/>
        <w:numPr>
          <w:ilvl w:val="0"/>
          <w:numId w:val="6"/>
        </w:numPr>
        <w:spacing w:line="360" w:lineRule="auto"/>
        <w:jc w:val="both"/>
        <w:rPr>
          <w:rFonts w:ascii="Times New Roman" w:hAnsi="Times New Roman" w:cs="Times New Roman"/>
          <w:sz w:val="28"/>
          <w:szCs w:val="28"/>
          <w:rtl/>
        </w:rPr>
      </w:pPr>
      <w:r w:rsidRPr="00480671">
        <w:rPr>
          <w:rFonts w:ascii="Times New Roman" w:hAnsi="Times New Roman" w:cs="Times New Roman"/>
          <w:b/>
          <w:bCs/>
          <w:sz w:val="28"/>
          <w:szCs w:val="28"/>
          <w:rtl/>
        </w:rPr>
        <w:t>المخاطر التشغيلية</w:t>
      </w:r>
      <w:r w:rsidRPr="00480671">
        <w:rPr>
          <w:rFonts w:ascii="Times New Roman" w:hAnsi="Times New Roman" w:cs="Times New Roman"/>
          <w:sz w:val="28"/>
          <w:szCs w:val="28"/>
          <w:rtl/>
        </w:rPr>
        <w:t>: الناجمة عن أخطاء أو فشل الأنظمة أو الإجراءات الداخلية (</w:t>
      </w:r>
      <w:r w:rsidRPr="00480671">
        <w:rPr>
          <w:rFonts w:ascii="Times New Roman" w:hAnsi="Times New Roman" w:cs="Times New Roman"/>
          <w:sz w:val="28"/>
          <w:szCs w:val="28"/>
        </w:rPr>
        <w:t>Basel Committee, 2011</w:t>
      </w:r>
      <w:r w:rsidRPr="00480671">
        <w:rPr>
          <w:rFonts w:ascii="Times New Roman" w:hAnsi="Times New Roman" w:cs="Times New Roman"/>
          <w:sz w:val="28"/>
          <w:szCs w:val="28"/>
          <w:rtl/>
        </w:rPr>
        <w:t>).</w:t>
      </w:r>
    </w:p>
    <w:p w:rsidR="00872B9A" w:rsidRPr="00480671" w:rsidRDefault="00872B9A" w:rsidP="00872B9A">
      <w:pPr>
        <w:pStyle w:val="a4"/>
        <w:numPr>
          <w:ilvl w:val="0"/>
          <w:numId w:val="6"/>
        </w:numPr>
        <w:spacing w:line="360" w:lineRule="auto"/>
        <w:jc w:val="both"/>
        <w:rPr>
          <w:rFonts w:ascii="Times New Roman" w:hAnsi="Times New Roman" w:cs="Times New Roman"/>
          <w:sz w:val="28"/>
          <w:szCs w:val="28"/>
          <w:rtl/>
        </w:rPr>
      </w:pPr>
      <w:r w:rsidRPr="00480671">
        <w:rPr>
          <w:rFonts w:ascii="Times New Roman" w:hAnsi="Times New Roman" w:cs="Times New Roman"/>
          <w:b/>
          <w:bCs/>
          <w:sz w:val="28"/>
          <w:szCs w:val="28"/>
          <w:rtl/>
        </w:rPr>
        <w:t>مخاطر السيولة</w:t>
      </w:r>
      <w:r w:rsidRPr="00480671">
        <w:rPr>
          <w:rFonts w:ascii="Times New Roman" w:hAnsi="Times New Roman" w:cs="Times New Roman"/>
          <w:sz w:val="28"/>
          <w:szCs w:val="28"/>
          <w:rtl/>
        </w:rPr>
        <w:t>: تتعلق بقدرة البنك على الوفاء بالالتزامات النقدية عند استحقاقها (</w:t>
      </w:r>
      <w:r w:rsidRPr="00480671">
        <w:rPr>
          <w:rFonts w:ascii="Times New Roman" w:hAnsi="Times New Roman" w:cs="Times New Roman"/>
          <w:sz w:val="28"/>
          <w:szCs w:val="28"/>
        </w:rPr>
        <w:t>Diamond &amp; Dybvig, 1983</w:t>
      </w:r>
      <w:r w:rsidRPr="00480671">
        <w:rPr>
          <w:rFonts w:ascii="Times New Roman" w:hAnsi="Times New Roman" w:cs="Times New Roman"/>
          <w:sz w:val="28"/>
          <w:szCs w:val="28"/>
          <w:rtl/>
        </w:rPr>
        <w:t>).</w:t>
      </w:r>
    </w:p>
    <w:p w:rsidR="00872B9A" w:rsidRDefault="00872B9A" w:rsidP="00872B9A">
      <w:pPr>
        <w:pStyle w:val="a4"/>
        <w:numPr>
          <w:ilvl w:val="0"/>
          <w:numId w:val="6"/>
        </w:numPr>
        <w:spacing w:line="360" w:lineRule="auto"/>
        <w:jc w:val="both"/>
        <w:rPr>
          <w:rFonts w:ascii="Times New Roman" w:hAnsi="Times New Roman" w:cs="Times New Roman"/>
          <w:sz w:val="28"/>
          <w:szCs w:val="28"/>
        </w:rPr>
      </w:pPr>
      <w:r w:rsidRPr="00480671">
        <w:rPr>
          <w:rFonts w:ascii="Times New Roman" w:hAnsi="Times New Roman" w:cs="Times New Roman"/>
          <w:b/>
          <w:bCs/>
          <w:sz w:val="28"/>
          <w:szCs w:val="28"/>
          <w:rtl/>
        </w:rPr>
        <w:lastRenderedPageBreak/>
        <w:t>المخاطر القانونية والتنظيمية</w:t>
      </w:r>
      <w:r w:rsidRPr="00480671">
        <w:rPr>
          <w:rFonts w:ascii="Times New Roman" w:hAnsi="Times New Roman" w:cs="Times New Roman"/>
          <w:sz w:val="28"/>
          <w:szCs w:val="28"/>
          <w:rtl/>
        </w:rPr>
        <w:t>: الناتجة عن عدم الامتثال للقوانين واللوائح (</w:t>
      </w:r>
      <w:r w:rsidRPr="00480671">
        <w:rPr>
          <w:rFonts w:ascii="Times New Roman" w:hAnsi="Times New Roman" w:cs="Times New Roman"/>
          <w:sz w:val="28"/>
          <w:szCs w:val="28"/>
        </w:rPr>
        <w:t>Eling &amp; Marek, 2014</w:t>
      </w:r>
      <w:r w:rsidRPr="00480671">
        <w:rPr>
          <w:rFonts w:ascii="Times New Roman" w:hAnsi="Times New Roman" w:cs="Times New Roman"/>
          <w:sz w:val="28"/>
          <w:szCs w:val="28"/>
          <w:rtl/>
        </w:rPr>
        <w:t>).</w:t>
      </w:r>
    </w:p>
    <w:p w:rsidR="00872B9A" w:rsidRPr="00480671" w:rsidRDefault="00872B9A" w:rsidP="00872B9A">
      <w:pPr>
        <w:pStyle w:val="a4"/>
        <w:spacing w:line="360" w:lineRule="auto"/>
        <w:ind w:left="728"/>
        <w:jc w:val="both"/>
        <w:rPr>
          <w:rFonts w:ascii="Times New Roman" w:hAnsi="Times New Roman" w:cs="Times New Roman"/>
          <w:sz w:val="28"/>
          <w:szCs w:val="28"/>
          <w:rtl/>
        </w:rPr>
      </w:pPr>
    </w:p>
    <w:p w:rsidR="00872B9A" w:rsidRPr="00480671" w:rsidRDefault="00872B9A" w:rsidP="00872B9A">
      <w:pPr>
        <w:pStyle w:val="a4"/>
        <w:spacing w:line="360" w:lineRule="auto"/>
        <w:ind w:left="84"/>
        <w:jc w:val="both"/>
        <w:outlineLvl w:val="2"/>
        <w:rPr>
          <w:rFonts w:asciiTheme="majorBidi" w:hAnsiTheme="majorBidi" w:cstheme="majorBidi"/>
          <w:b/>
          <w:bCs/>
          <w:sz w:val="28"/>
          <w:szCs w:val="28"/>
          <w:rtl/>
        </w:rPr>
      </w:pPr>
      <w:bookmarkStart w:id="27" w:name="_Toc203687001"/>
      <w:r>
        <w:rPr>
          <w:rFonts w:asciiTheme="majorBidi" w:hAnsiTheme="majorBidi" w:cstheme="majorBidi" w:hint="cs"/>
          <w:b/>
          <w:bCs/>
          <w:sz w:val="28"/>
          <w:szCs w:val="28"/>
          <w:rtl/>
        </w:rPr>
        <w:t xml:space="preserve">4.1 </w:t>
      </w:r>
      <w:r w:rsidRPr="00480671">
        <w:rPr>
          <w:rFonts w:asciiTheme="majorBidi" w:hAnsiTheme="majorBidi" w:cstheme="majorBidi"/>
          <w:b/>
          <w:bCs/>
          <w:sz w:val="28"/>
          <w:szCs w:val="28"/>
          <w:rtl/>
        </w:rPr>
        <w:t>أهمية إدارة المخاطر في المؤسسات المالية</w:t>
      </w:r>
      <w:bookmarkEnd w:id="27"/>
    </w:p>
    <w:p w:rsidR="00872B9A" w:rsidRPr="004C5FA1"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تكمن أهمية إدارة المخاطر في قدرتها على حماية المؤسسات المالية من الخسائر المحتملة، وتعزيز الاستقرار المالي، وضمان استمرارية العمليات، وتحسين جودة اتخاذ القرارات (</w:t>
      </w:r>
      <w:r w:rsidRPr="006D54B5">
        <w:rPr>
          <w:rFonts w:ascii="Times New Roman" w:hAnsi="Times New Roman" w:cs="Times New Roman"/>
          <w:sz w:val="28"/>
          <w:szCs w:val="28"/>
        </w:rPr>
        <w:t>COSO, 2017</w:t>
      </w:r>
      <w:r w:rsidRPr="006D54B5">
        <w:rPr>
          <w:rFonts w:ascii="Times New Roman" w:hAnsi="Times New Roman" w:cs="Times New Roman"/>
          <w:sz w:val="28"/>
          <w:szCs w:val="28"/>
          <w:rtl/>
        </w:rPr>
        <w:t>). في البنوك، تساهم إدارة المخاطر في تعزيز الثقة بين البنك والعملاء والمستثمرين، وتحقيق التوازن بين المخاطر والعوائد (</w:t>
      </w:r>
      <w:r w:rsidRPr="006D54B5">
        <w:rPr>
          <w:rFonts w:ascii="Times New Roman" w:hAnsi="Times New Roman" w:cs="Times New Roman"/>
          <w:sz w:val="28"/>
          <w:szCs w:val="28"/>
        </w:rPr>
        <w:t>Al-Tamimi &amp; Al-Mazrooei, 2007</w:t>
      </w:r>
      <w:r w:rsidRPr="006D54B5">
        <w:rPr>
          <w:rFonts w:ascii="Times New Roman" w:hAnsi="Times New Roman" w:cs="Times New Roman"/>
          <w:sz w:val="28"/>
          <w:szCs w:val="28"/>
          <w:rtl/>
        </w:rPr>
        <w:t>). كما أنها تلعب دورًا حيويًا في الامتثال التنظيمي وتجنب العقوبات المالية والقانونية التي قد تلحق بالبنك (</w:t>
      </w:r>
      <w:r w:rsidRPr="006D54B5">
        <w:rPr>
          <w:rFonts w:ascii="Times New Roman" w:hAnsi="Times New Roman" w:cs="Times New Roman"/>
          <w:sz w:val="28"/>
          <w:szCs w:val="28"/>
        </w:rPr>
        <w:t>Basel Committee, 2011</w:t>
      </w:r>
      <w:r>
        <w:rPr>
          <w:rFonts w:ascii="Times New Roman" w:hAnsi="Times New Roman" w:cs="Times New Roman"/>
          <w:sz w:val="28"/>
          <w:szCs w:val="28"/>
          <w:rtl/>
        </w:rPr>
        <w:t>).</w:t>
      </w:r>
    </w:p>
    <w:p w:rsidR="00872B9A" w:rsidRPr="00480671" w:rsidRDefault="00872B9A" w:rsidP="00872B9A">
      <w:pPr>
        <w:pStyle w:val="2"/>
        <w:spacing w:line="360" w:lineRule="auto"/>
        <w:rPr>
          <w:rFonts w:ascii="Simplified Arabic" w:hAnsi="Simplified Arabic" w:cs="Simplified Arabic"/>
          <w:b/>
          <w:bCs/>
          <w:color w:val="0070C0"/>
          <w:sz w:val="32"/>
          <w:szCs w:val="32"/>
          <w:rtl/>
        </w:rPr>
      </w:pPr>
      <w:bookmarkStart w:id="28" w:name="_Toc203687002"/>
      <w:r w:rsidRPr="00480671">
        <w:rPr>
          <w:rFonts w:ascii="Simplified Arabic" w:hAnsi="Simplified Arabic" w:cs="Simplified Arabic"/>
          <w:b/>
          <w:bCs/>
          <w:color w:val="0070C0"/>
          <w:sz w:val="32"/>
          <w:szCs w:val="32"/>
          <w:rtl/>
        </w:rPr>
        <w:t>2. نماذج وأُطر إدارة المخاطر</w:t>
      </w:r>
      <w:bookmarkEnd w:id="28"/>
    </w:p>
    <w:p w:rsidR="00872B9A" w:rsidRPr="00480671" w:rsidRDefault="00872B9A" w:rsidP="00872B9A">
      <w:pPr>
        <w:spacing w:line="360" w:lineRule="auto"/>
        <w:jc w:val="both"/>
        <w:outlineLvl w:val="2"/>
        <w:rPr>
          <w:rFonts w:asciiTheme="majorBidi" w:hAnsiTheme="majorBidi" w:cstheme="majorBidi"/>
          <w:b/>
          <w:bCs/>
          <w:sz w:val="28"/>
          <w:szCs w:val="28"/>
          <w:rtl/>
        </w:rPr>
      </w:pPr>
      <w:bookmarkStart w:id="29" w:name="_Toc203687003"/>
      <w:r>
        <w:rPr>
          <w:rFonts w:asciiTheme="majorBidi" w:hAnsiTheme="majorBidi" w:cstheme="majorBidi" w:hint="cs"/>
          <w:b/>
          <w:bCs/>
          <w:sz w:val="28"/>
          <w:szCs w:val="28"/>
          <w:rtl/>
        </w:rPr>
        <w:t xml:space="preserve">1.2 </w:t>
      </w:r>
      <w:r w:rsidRPr="00480671">
        <w:rPr>
          <w:rFonts w:asciiTheme="majorBidi" w:hAnsiTheme="majorBidi" w:cstheme="majorBidi"/>
          <w:b/>
          <w:bCs/>
          <w:sz w:val="28"/>
          <w:szCs w:val="28"/>
          <w:rtl/>
        </w:rPr>
        <w:t>مفهوم الأُطر والنماذج في إدارة المخاطر</w:t>
      </w:r>
      <w:bookmarkEnd w:id="29"/>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تعتبر الأُطر والنماذج في إدارة المخاطر أدوات منهجية تساعد المؤسسات على تنظيم وتوجيه عملية التعرف على المخاطر، تقييمها، مراقبتها، ومعالجتها بشكل فعال. تهدف هذه الأُطر إلى توفير هيكل شامل يربط بين السياسات، الإجراءات، والموارد لتحقيق أهداف المؤسسة مع تقليل المخاطر التي قد تعوق ذلك (</w:t>
      </w:r>
      <w:r w:rsidRPr="006D54B5">
        <w:rPr>
          <w:rFonts w:ascii="Times New Roman" w:hAnsi="Times New Roman" w:cs="Times New Roman"/>
          <w:sz w:val="28"/>
          <w:szCs w:val="28"/>
        </w:rPr>
        <w:t>Fraser &amp; Simkins, 2016</w:t>
      </w:r>
      <w:r w:rsidRPr="006D54B5">
        <w:rPr>
          <w:rFonts w:ascii="Times New Roman" w:hAnsi="Times New Roman" w:cs="Times New Roman"/>
          <w:sz w:val="28"/>
          <w:szCs w:val="28"/>
          <w:rtl/>
        </w:rPr>
        <w:t>). تساعد الأُطر المؤسسات على تبني نهج موحد ومتسق في التعامل مع المخاطر المختلفة، سواء كانت مالية، تشغيلية، استراتيجية، أو غيرها.</w:t>
      </w:r>
    </w:p>
    <w:p w:rsidR="00872B9A" w:rsidRPr="00480671" w:rsidRDefault="00872B9A" w:rsidP="00872B9A">
      <w:pPr>
        <w:spacing w:line="360" w:lineRule="auto"/>
        <w:jc w:val="both"/>
        <w:outlineLvl w:val="2"/>
        <w:rPr>
          <w:rFonts w:asciiTheme="majorBidi" w:hAnsiTheme="majorBidi" w:cstheme="majorBidi"/>
          <w:b/>
          <w:bCs/>
          <w:sz w:val="28"/>
          <w:szCs w:val="28"/>
          <w:rtl/>
        </w:rPr>
      </w:pPr>
      <w:r w:rsidRPr="00480671">
        <w:rPr>
          <w:rFonts w:asciiTheme="majorBidi" w:hAnsiTheme="majorBidi" w:cstheme="majorBidi"/>
          <w:b/>
          <w:bCs/>
          <w:sz w:val="28"/>
          <w:szCs w:val="28"/>
          <w:rtl/>
        </w:rPr>
        <w:t xml:space="preserve"> </w:t>
      </w:r>
      <w:bookmarkStart w:id="30" w:name="_Toc203687004"/>
      <w:r w:rsidRPr="00480671">
        <w:rPr>
          <w:rFonts w:asciiTheme="majorBidi" w:hAnsiTheme="majorBidi" w:cstheme="majorBidi"/>
          <w:b/>
          <w:bCs/>
          <w:sz w:val="28"/>
          <w:szCs w:val="28"/>
          <w:rtl/>
        </w:rPr>
        <w:t xml:space="preserve">2.2 إطار عمل </w:t>
      </w:r>
      <w:r w:rsidRPr="00480671">
        <w:rPr>
          <w:rFonts w:asciiTheme="majorBidi" w:hAnsiTheme="majorBidi" w:cstheme="majorBidi"/>
          <w:b/>
          <w:bCs/>
          <w:sz w:val="28"/>
          <w:szCs w:val="28"/>
        </w:rPr>
        <w:t>COSO</w:t>
      </w:r>
      <w:r w:rsidRPr="00480671">
        <w:rPr>
          <w:rFonts w:asciiTheme="majorBidi" w:hAnsiTheme="majorBidi" w:cstheme="majorBidi"/>
          <w:b/>
          <w:bCs/>
          <w:sz w:val="28"/>
          <w:szCs w:val="28"/>
          <w:rtl/>
        </w:rPr>
        <w:t xml:space="preserve"> لإدارة المخاطر</w:t>
      </w:r>
      <w:bookmarkEnd w:id="30"/>
    </w:p>
    <w:p w:rsidR="00872B9A" w:rsidRPr="006D54B5" w:rsidRDefault="00872B9A" w:rsidP="00872B9A">
      <w:pPr>
        <w:spacing w:line="360" w:lineRule="auto"/>
        <w:ind w:firstLine="368"/>
        <w:jc w:val="both"/>
        <w:rPr>
          <w:rFonts w:ascii="Times New Roman" w:hAnsi="Times New Roman" w:cs="Times New Roman" w:hint="cs"/>
          <w:sz w:val="28"/>
          <w:szCs w:val="28"/>
          <w:rtl/>
        </w:rPr>
      </w:pPr>
      <w:r w:rsidRPr="006D54B5">
        <w:rPr>
          <w:rFonts w:ascii="Times New Roman" w:hAnsi="Times New Roman" w:cs="Times New Roman"/>
          <w:sz w:val="28"/>
          <w:szCs w:val="28"/>
          <w:rtl/>
        </w:rPr>
        <w:t>يعد إطار عمل لجنة المنظمات الراعية للجنة التحقق من الإجراءات (</w:t>
      </w:r>
      <w:r w:rsidRPr="006D54B5">
        <w:rPr>
          <w:rFonts w:ascii="Times New Roman" w:hAnsi="Times New Roman" w:cs="Times New Roman"/>
          <w:sz w:val="28"/>
          <w:szCs w:val="28"/>
        </w:rPr>
        <w:t>COSO</w:t>
      </w:r>
      <w:r w:rsidRPr="006D54B5">
        <w:rPr>
          <w:rFonts w:ascii="Times New Roman" w:hAnsi="Times New Roman" w:cs="Times New Roman"/>
          <w:sz w:val="28"/>
          <w:szCs w:val="28"/>
          <w:rtl/>
        </w:rPr>
        <w:t>) واحدًا من أكثر الأُطر قبولًا وانتشارًا في مجال إدارة المخاطر المؤسسية (</w:t>
      </w:r>
      <w:r w:rsidRPr="006D54B5">
        <w:rPr>
          <w:rFonts w:ascii="Times New Roman" w:hAnsi="Times New Roman" w:cs="Times New Roman"/>
          <w:sz w:val="28"/>
          <w:szCs w:val="28"/>
        </w:rPr>
        <w:t>ERM</w:t>
      </w:r>
      <w:r w:rsidRPr="006D54B5">
        <w:rPr>
          <w:rFonts w:ascii="Times New Roman" w:hAnsi="Times New Roman" w:cs="Times New Roman"/>
          <w:sz w:val="28"/>
          <w:szCs w:val="28"/>
          <w:rtl/>
        </w:rPr>
        <w:t xml:space="preserve">). قدم </w:t>
      </w:r>
      <w:r w:rsidRPr="006D54B5">
        <w:rPr>
          <w:rFonts w:ascii="Times New Roman" w:hAnsi="Times New Roman" w:cs="Times New Roman"/>
          <w:sz w:val="28"/>
          <w:szCs w:val="28"/>
        </w:rPr>
        <w:t>COSO</w:t>
      </w:r>
      <w:r w:rsidRPr="006D54B5">
        <w:rPr>
          <w:rFonts w:ascii="Times New Roman" w:hAnsi="Times New Roman" w:cs="Times New Roman"/>
          <w:sz w:val="28"/>
          <w:szCs w:val="28"/>
          <w:rtl/>
        </w:rPr>
        <w:t xml:space="preserve"> إطارًا متكاملاً لإدارة المخاطر يساعد المؤسسات على تحديد المخاطر، تقييمها، وإدارتها بطريقة منهجية تتوافق مع استراتيجيات المؤسسة وأهدافها (</w:t>
      </w:r>
      <w:r w:rsidRPr="006D54B5">
        <w:rPr>
          <w:rFonts w:ascii="Times New Roman" w:hAnsi="Times New Roman" w:cs="Times New Roman"/>
          <w:sz w:val="28"/>
          <w:szCs w:val="28"/>
        </w:rPr>
        <w:t>COSO, 2017</w:t>
      </w:r>
      <w:r w:rsidRPr="006D54B5">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يتضمن إطار </w:t>
      </w:r>
      <w:r w:rsidRPr="006D54B5">
        <w:rPr>
          <w:rFonts w:ascii="Times New Roman" w:hAnsi="Times New Roman" w:cs="Times New Roman"/>
          <w:sz w:val="28"/>
          <w:szCs w:val="28"/>
        </w:rPr>
        <w:t>COSO</w:t>
      </w:r>
      <w:r w:rsidRPr="006D54B5">
        <w:rPr>
          <w:rFonts w:ascii="Times New Roman" w:hAnsi="Times New Roman" w:cs="Times New Roman"/>
          <w:sz w:val="28"/>
          <w:szCs w:val="28"/>
          <w:rtl/>
        </w:rPr>
        <w:t xml:space="preserve"> خمسة مكونات رئيسية:</w:t>
      </w:r>
    </w:p>
    <w:p w:rsidR="00872B9A" w:rsidRPr="00480671" w:rsidRDefault="00872B9A" w:rsidP="00872B9A">
      <w:pPr>
        <w:pStyle w:val="a4"/>
        <w:numPr>
          <w:ilvl w:val="0"/>
          <w:numId w:val="7"/>
        </w:numPr>
        <w:spacing w:line="360" w:lineRule="auto"/>
        <w:jc w:val="both"/>
        <w:rPr>
          <w:rFonts w:ascii="Times New Roman" w:hAnsi="Times New Roman" w:cs="Times New Roman"/>
          <w:sz w:val="28"/>
          <w:szCs w:val="28"/>
          <w:rtl/>
        </w:rPr>
      </w:pPr>
      <w:r w:rsidRPr="00480671">
        <w:rPr>
          <w:rFonts w:ascii="Times New Roman" w:hAnsi="Times New Roman" w:cs="Times New Roman"/>
          <w:sz w:val="28"/>
          <w:szCs w:val="28"/>
          <w:rtl/>
        </w:rPr>
        <w:t>بيئة الرقابة (</w:t>
      </w:r>
      <w:r w:rsidRPr="00480671">
        <w:rPr>
          <w:rFonts w:ascii="Times New Roman" w:hAnsi="Times New Roman" w:cs="Times New Roman"/>
          <w:sz w:val="28"/>
          <w:szCs w:val="28"/>
        </w:rPr>
        <w:t>Control Environment</w:t>
      </w:r>
      <w:r w:rsidRPr="00480671">
        <w:rPr>
          <w:rFonts w:ascii="Times New Roman" w:hAnsi="Times New Roman" w:cs="Times New Roman"/>
          <w:sz w:val="28"/>
          <w:szCs w:val="28"/>
          <w:rtl/>
        </w:rPr>
        <w:t>): تشمل القيم، المبادئ الأخلاقية، وثقافة المؤسسة التي تشكل الأساس لإدارة المخاطر.</w:t>
      </w:r>
    </w:p>
    <w:p w:rsidR="00872B9A" w:rsidRPr="00480671" w:rsidRDefault="00872B9A" w:rsidP="00872B9A">
      <w:pPr>
        <w:pStyle w:val="a4"/>
        <w:numPr>
          <w:ilvl w:val="0"/>
          <w:numId w:val="7"/>
        </w:numPr>
        <w:spacing w:line="360" w:lineRule="auto"/>
        <w:jc w:val="both"/>
        <w:rPr>
          <w:rFonts w:ascii="Times New Roman" w:hAnsi="Times New Roman" w:cs="Times New Roman"/>
          <w:sz w:val="28"/>
          <w:szCs w:val="28"/>
          <w:rtl/>
        </w:rPr>
      </w:pPr>
      <w:r w:rsidRPr="00480671">
        <w:rPr>
          <w:rFonts w:ascii="Times New Roman" w:hAnsi="Times New Roman" w:cs="Times New Roman"/>
          <w:sz w:val="28"/>
          <w:szCs w:val="28"/>
          <w:rtl/>
        </w:rPr>
        <w:lastRenderedPageBreak/>
        <w:t>تحديد المخاطر (</w:t>
      </w:r>
      <w:r w:rsidRPr="00480671">
        <w:rPr>
          <w:rFonts w:ascii="Times New Roman" w:hAnsi="Times New Roman" w:cs="Times New Roman"/>
          <w:sz w:val="28"/>
          <w:szCs w:val="28"/>
        </w:rPr>
        <w:t>Risk Identification</w:t>
      </w:r>
      <w:r w:rsidRPr="00480671">
        <w:rPr>
          <w:rFonts w:ascii="Times New Roman" w:hAnsi="Times New Roman" w:cs="Times New Roman"/>
          <w:sz w:val="28"/>
          <w:szCs w:val="28"/>
          <w:rtl/>
        </w:rPr>
        <w:t>): عملية التعرف على المخاطر التي قد تؤثر على تحقيق الأهداف.</w:t>
      </w:r>
    </w:p>
    <w:p w:rsidR="00872B9A" w:rsidRPr="00480671" w:rsidRDefault="00872B9A" w:rsidP="00872B9A">
      <w:pPr>
        <w:pStyle w:val="a4"/>
        <w:numPr>
          <w:ilvl w:val="0"/>
          <w:numId w:val="7"/>
        </w:numPr>
        <w:spacing w:line="360" w:lineRule="auto"/>
        <w:jc w:val="both"/>
        <w:rPr>
          <w:rFonts w:ascii="Times New Roman" w:hAnsi="Times New Roman" w:cs="Times New Roman"/>
          <w:sz w:val="28"/>
          <w:szCs w:val="28"/>
          <w:rtl/>
        </w:rPr>
      </w:pPr>
      <w:r w:rsidRPr="00480671">
        <w:rPr>
          <w:rFonts w:ascii="Times New Roman" w:hAnsi="Times New Roman" w:cs="Times New Roman"/>
          <w:sz w:val="28"/>
          <w:szCs w:val="28"/>
          <w:rtl/>
        </w:rPr>
        <w:t>تقييم المخاطر (</w:t>
      </w:r>
      <w:r w:rsidRPr="00480671">
        <w:rPr>
          <w:rFonts w:ascii="Times New Roman" w:hAnsi="Times New Roman" w:cs="Times New Roman"/>
          <w:sz w:val="28"/>
          <w:szCs w:val="28"/>
        </w:rPr>
        <w:t>Risk Assessment</w:t>
      </w:r>
      <w:r w:rsidRPr="00480671">
        <w:rPr>
          <w:rFonts w:ascii="Times New Roman" w:hAnsi="Times New Roman" w:cs="Times New Roman"/>
          <w:sz w:val="28"/>
          <w:szCs w:val="28"/>
          <w:rtl/>
        </w:rPr>
        <w:t>): تحليل وتقييم المخاطر من حيث احتمال حدوثها وتأثيرها.</w:t>
      </w:r>
    </w:p>
    <w:p w:rsidR="00872B9A" w:rsidRPr="00480671" w:rsidRDefault="00872B9A" w:rsidP="00872B9A">
      <w:pPr>
        <w:pStyle w:val="a4"/>
        <w:numPr>
          <w:ilvl w:val="0"/>
          <w:numId w:val="7"/>
        </w:numPr>
        <w:spacing w:line="360" w:lineRule="auto"/>
        <w:jc w:val="both"/>
        <w:rPr>
          <w:rFonts w:ascii="Times New Roman" w:hAnsi="Times New Roman" w:cs="Times New Roman"/>
          <w:sz w:val="28"/>
          <w:szCs w:val="28"/>
          <w:rtl/>
        </w:rPr>
      </w:pPr>
      <w:r w:rsidRPr="00480671">
        <w:rPr>
          <w:rFonts w:ascii="Times New Roman" w:hAnsi="Times New Roman" w:cs="Times New Roman"/>
          <w:sz w:val="28"/>
          <w:szCs w:val="28"/>
          <w:rtl/>
        </w:rPr>
        <w:t>الأنشطة الرقابية (</w:t>
      </w:r>
      <w:r w:rsidRPr="00480671">
        <w:rPr>
          <w:rFonts w:ascii="Times New Roman" w:hAnsi="Times New Roman" w:cs="Times New Roman"/>
          <w:sz w:val="28"/>
          <w:szCs w:val="28"/>
        </w:rPr>
        <w:t>Control Activities</w:t>
      </w:r>
      <w:r w:rsidRPr="00480671">
        <w:rPr>
          <w:rFonts w:ascii="Times New Roman" w:hAnsi="Times New Roman" w:cs="Times New Roman"/>
          <w:sz w:val="28"/>
          <w:szCs w:val="28"/>
          <w:rtl/>
        </w:rPr>
        <w:t>): الإجراءات والسياسات التي تهدف إلى تقليل أو إدارة المخاطر.</w:t>
      </w:r>
    </w:p>
    <w:p w:rsidR="00872B9A" w:rsidRPr="00480671" w:rsidRDefault="00872B9A" w:rsidP="00872B9A">
      <w:pPr>
        <w:pStyle w:val="a4"/>
        <w:numPr>
          <w:ilvl w:val="0"/>
          <w:numId w:val="7"/>
        </w:numPr>
        <w:spacing w:line="360" w:lineRule="auto"/>
        <w:jc w:val="both"/>
        <w:rPr>
          <w:rFonts w:ascii="Times New Roman" w:hAnsi="Times New Roman" w:cs="Times New Roman"/>
          <w:sz w:val="28"/>
          <w:szCs w:val="28"/>
          <w:rtl/>
        </w:rPr>
      </w:pPr>
      <w:r w:rsidRPr="00480671">
        <w:rPr>
          <w:rFonts w:ascii="Times New Roman" w:hAnsi="Times New Roman" w:cs="Times New Roman"/>
          <w:sz w:val="28"/>
          <w:szCs w:val="28"/>
          <w:rtl/>
        </w:rPr>
        <w:t>المراقبة (</w:t>
      </w:r>
      <w:r w:rsidRPr="00480671">
        <w:rPr>
          <w:rFonts w:ascii="Times New Roman" w:hAnsi="Times New Roman" w:cs="Times New Roman"/>
          <w:sz w:val="28"/>
          <w:szCs w:val="28"/>
        </w:rPr>
        <w:t>Monitoring</w:t>
      </w:r>
      <w:r w:rsidRPr="00480671">
        <w:rPr>
          <w:rFonts w:ascii="Times New Roman" w:hAnsi="Times New Roman" w:cs="Times New Roman"/>
          <w:sz w:val="28"/>
          <w:szCs w:val="28"/>
          <w:rtl/>
        </w:rPr>
        <w:t>): تقييم مستمر لفعالية عمليات إدارة المخاطر وإجراء التعديلات عند الحاجة.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يوفر إطار </w:t>
      </w:r>
      <w:r w:rsidRPr="006D54B5">
        <w:rPr>
          <w:rFonts w:ascii="Times New Roman" w:hAnsi="Times New Roman" w:cs="Times New Roman"/>
          <w:sz w:val="28"/>
          <w:szCs w:val="28"/>
        </w:rPr>
        <w:t>COSO</w:t>
      </w:r>
      <w:r w:rsidRPr="006D54B5">
        <w:rPr>
          <w:rFonts w:ascii="Times New Roman" w:hAnsi="Times New Roman" w:cs="Times New Roman"/>
          <w:sz w:val="28"/>
          <w:szCs w:val="28"/>
          <w:rtl/>
        </w:rPr>
        <w:t xml:space="preserve"> مرونة تسمح للمؤسسات بتكييفه وفقًا لحجمها وطبيعة عملها، كما يعزز من دمج إدارة المخاطر في كل عمليات المؤسسة (</w:t>
      </w:r>
      <w:r w:rsidRPr="006D54B5">
        <w:rPr>
          <w:rFonts w:ascii="Times New Roman" w:hAnsi="Times New Roman" w:cs="Times New Roman"/>
          <w:sz w:val="28"/>
          <w:szCs w:val="28"/>
        </w:rPr>
        <w:t>Beasley, Branson, &amp; Hancock, 2018</w:t>
      </w:r>
      <w:r w:rsidRPr="006D54B5">
        <w:rPr>
          <w:rFonts w:ascii="Times New Roman" w:hAnsi="Times New Roman" w:cs="Times New Roman"/>
          <w:sz w:val="28"/>
          <w:szCs w:val="28"/>
          <w:rtl/>
        </w:rPr>
        <w:t>).</w:t>
      </w:r>
    </w:p>
    <w:p w:rsidR="00872B9A" w:rsidRPr="00480671" w:rsidRDefault="00872B9A" w:rsidP="00872B9A">
      <w:pPr>
        <w:spacing w:line="360" w:lineRule="auto"/>
        <w:jc w:val="both"/>
        <w:outlineLvl w:val="2"/>
        <w:rPr>
          <w:rFonts w:asciiTheme="majorBidi" w:hAnsiTheme="majorBidi" w:cstheme="majorBidi"/>
          <w:b/>
          <w:bCs/>
          <w:sz w:val="28"/>
          <w:szCs w:val="28"/>
          <w:rtl/>
        </w:rPr>
      </w:pPr>
      <w:bookmarkStart w:id="31" w:name="_Toc203687005"/>
      <w:r>
        <w:rPr>
          <w:rFonts w:asciiTheme="majorBidi" w:hAnsiTheme="majorBidi" w:cstheme="majorBidi" w:hint="cs"/>
          <w:b/>
          <w:bCs/>
          <w:sz w:val="28"/>
          <w:szCs w:val="28"/>
          <w:rtl/>
        </w:rPr>
        <w:t xml:space="preserve">3.2 </w:t>
      </w:r>
      <w:r w:rsidRPr="00480671">
        <w:rPr>
          <w:rFonts w:asciiTheme="majorBidi" w:hAnsiTheme="majorBidi" w:cstheme="majorBidi"/>
          <w:b/>
          <w:bCs/>
          <w:sz w:val="28"/>
          <w:szCs w:val="28"/>
          <w:rtl/>
        </w:rPr>
        <w:t xml:space="preserve"> إطار إدارة المخاطر المؤسسية (</w:t>
      </w:r>
      <w:r w:rsidRPr="00480671">
        <w:rPr>
          <w:rFonts w:asciiTheme="majorBidi" w:hAnsiTheme="majorBidi" w:cstheme="majorBidi"/>
          <w:b/>
          <w:bCs/>
          <w:sz w:val="28"/>
          <w:szCs w:val="28"/>
        </w:rPr>
        <w:t>ERM</w:t>
      </w:r>
      <w:r w:rsidRPr="00480671">
        <w:rPr>
          <w:rFonts w:asciiTheme="majorBidi" w:hAnsiTheme="majorBidi" w:cstheme="majorBidi"/>
          <w:b/>
          <w:bCs/>
          <w:sz w:val="28"/>
          <w:szCs w:val="28"/>
          <w:rtl/>
        </w:rPr>
        <w:t>)</w:t>
      </w:r>
      <w:bookmarkEnd w:id="31"/>
    </w:p>
    <w:p w:rsidR="00872B9A" w:rsidRPr="006D54B5" w:rsidRDefault="00872B9A" w:rsidP="00872B9A">
      <w:pPr>
        <w:spacing w:line="360" w:lineRule="auto"/>
        <w:ind w:firstLine="368"/>
        <w:jc w:val="both"/>
        <w:rPr>
          <w:rFonts w:ascii="Times New Roman" w:hAnsi="Times New Roman" w:cs="Times New Roman" w:hint="cs"/>
          <w:sz w:val="28"/>
          <w:szCs w:val="28"/>
          <w:rtl/>
        </w:rPr>
      </w:pPr>
      <w:r w:rsidRPr="006D54B5">
        <w:rPr>
          <w:rFonts w:ascii="Times New Roman" w:hAnsi="Times New Roman" w:cs="Times New Roman"/>
          <w:sz w:val="28"/>
          <w:szCs w:val="28"/>
          <w:rtl/>
        </w:rPr>
        <w:t>يركز مفهوم إدارة المخاطر المؤسسية (</w:t>
      </w:r>
      <w:r w:rsidRPr="006D54B5">
        <w:rPr>
          <w:rFonts w:ascii="Times New Roman" w:hAnsi="Times New Roman" w:cs="Times New Roman"/>
          <w:sz w:val="28"/>
          <w:szCs w:val="28"/>
        </w:rPr>
        <w:t>Enterprise Risk Management</w:t>
      </w:r>
      <w:r w:rsidRPr="006D54B5">
        <w:rPr>
          <w:rFonts w:ascii="Times New Roman" w:hAnsi="Times New Roman" w:cs="Times New Roman"/>
          <w:sz w:val="28"/>
          <w:szCs w:val="28"/>
          <w:rtl/>
        </w:rPr>
        <w:t xml:space="preserve">) على نظرة شاملة ومتكاملة للمخاطر عبر كامل المؤسسة، بدلاً من التعامل مع كل نوع من المخاطر على حدة. يعرف </w:t>
      </w:r>
      <w:r w:rsidRPr="006D54B5">
        <w:rPr>
          <w:rFonts w:ascii="Times New Roman" w:hAnsi="Times New Roman" w:cs="Times New Roman"/>
          <w:sz w:val="28"/>
          <w:szCs w:val="28"/>
        </w:rPr>
        <w:t>ERM</w:t>
      </w:r>
      <w:r w:rsidRPr="006D54B5">
        <w:rPr>
          <w:rFonts w:ascii="Times New Roman" w:hAnsi="Times New Roman" w:cs="Times New Roman"/>
          <w:sz w:val="28"/>
          <w:szCs w:val="28"/>
          <w:rtl/>
        </w:rPr>
        <w:t xml:space="preserve"> بأنه عملية تحديد الأحداث المحتملة التي تؤثر على المنظمة، وتقييم المخاطر، ووضع استراتيجيات للتحكم بها بما يدعم تحقيق الأهداف الاستراتيجية والتشغيلية (</w:t>
      </w:r>
      <w:r w:rsidRPr="006D54B5">
        <w:rPr>
          <w:rFonts w:ascii="Times New Roman" w:hAnsi="Times New Roman" w:cs="Times New Roman"/>
          <w:sz w:val="28"/>
          <w:szCs w:val="28"/>
        </w:rPr>
        <w:t>Fraser &amp; Simkins, 2016</w:t>
      </w:r>
      <w:r w:rsidRPr="006D54B5">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من أهم مزايا </w:t>
      </w:r>
      <w:r w:rsidRPr="006D54B5">
        <w:rPr>
          <w:rFonts w:ascii="Times New Roman" w:hAnsi="Times New Roman" w:cs="Times New Roman"/>
          <w:sz w:val="28"/>
          <w:szCs w:val="28"/>
        </w:rPr>
        <w:t>ERM</w:t>
      </w:r>
      <w:r w:rsidRPr="006D54B5">
        <w:rPr>
          <w:rFonts w:ascii="Times New Roman" w:hAnsi="Times New Roman" w:cs="Times New Roman"/>
          <w:sz w:val="28"/>
          <w:szCs w:val="28"/>
          <w:rtl/>
        </w:rPr>
        <w:t xml:space="preserve"> أنه يوفر </w:t>
      </w:r>
      <w:r w:rsidRPr="00480671">
        <w:rPr>
          <w:rFonts w:ascii="Times New Roman" w:hAnsi="Times New Roman" w:cs="Times New Roman"/>
          <w:color w:val="0D0D0D" w:themeColor="text1" w:themeTint="F2"/>
          <w:sz w:val="28"/>
          <w:szCs w:val="28"/>
          <w:rtl/>
        </w:rPr>
        <w:t xml:space="preserve">رؤية </w:t>
      </w:r>
      <w:r w:rsidRPr="006D54B5">
        <w:rPr>
          <w:rFonts w:ascii="Times New Roman" w:hAnsi="Times New Roman" w:cs="Times New Roman"/>
          <w:sz w:val="28"/>
          <w:szCs w:val="28"/>
          <w:rtl/>
        </w:rPr>
        <w:t xml:space="preserve">موحدة للمخاطر مما يسهل التنسيق واتخاذ القرارات </w:t>
      </w:r>
      <w:r w:rsidRPr="00480671">
        <w:rPr>
          <w:rFonts w:ascii="Times New Roman" w:hAnsi="Times New Roman" w:cs="Times New Roman"/>
          <w:color w:val="0D0D0D" w:themeColor="text1" w:themeTint="F2"/>
          <w:sz w:val="28"/>
          <w:szCs w:val="28"/>
          <w:rtl/>
        </w:rPr>
        <w:t xml:space="preserve">المدروسة على مستوى الإدارة العليا. كما يساهم في تخصيص الموارد بكفاءة وإدارة المخاطر ذات </w:t>
      </w:r>
      <w:r w:rsidRPr="006D54B5">
        <w:rPr>
          <w:rFonts w:ascii="Times New Roman" w:hAnsi="Times New Roman" w:cs="Times New Roman"/>
          <w:sz w:val="28"/>
          <w:szCs w:val="28"/>
          <w:rtl/>
        </w:rPr>
        <w:t>الأولوية بشكل أفضل (</w:t>
      </w:r>
      <w:r w:rsidRPr="006D54B5">
        <w:rPr>
          <w:rFonts w:ascii="Times New Roman" w:hAnsi="Times New Roman" w:cs="Times New Roman"/>
          <w:sz w:val="28"/>
          <w:szCs w:val="28"/>
        </w:rPr>
        <w:t>Hoyt &amp; Liebenberg, 2011</w:t>
      </w:r>
      <w:r>
        <w:rPr>
          <w:rFonts w:ascii="Times New Roman" w:hAnsi="Times New Roman" w:cs="Times New Roman"/>
          <w:sz w:val="28"/>
          <w:szCs w:val="28"/>
          <w:rtl/>
        </w:rPr>
        <w:t>).</w:t>
      </w:r>
    </w:p>
    <w:p w:rsidR="00872B9A" w:rsidRPr="00480671" w:rsidRDefault="00872B9A" w:rsidP="00872B9A">
      <w:pPr>
        <w:spacing w:line="360" w:lineRule="auto"/>
        <w:jc w:val="both"/>
        <w:outlineLvl w:val="2"/>
        <w:rPr>
          <w:rFonts w:asciiTheme="majorBidi" w:hAnsiTheme="majorBidi" w:cstheme="majorBidi"/>
          <w:b/>
          <w:bCs/>
          <w:sz w:val="28"/>
          <w:szCs w:val="28"/>
          <w:rtl/>
        </w:rPr>
      </w:pPr>
      <w:r>
        <w:rPr>
          <w:rFonts w:asciiTheme="majorBidi" w:hAnsiTheme="majorBidi" w:cstheme="majorBidi"/>
          <w:b/>
          <w:bCs/>
          <w:sz w:val="28"/>
          <w:szCs w:val="28"/>
          <w:rtl/>
        </w:rPr>
        <w:t xml:space="preserve"> </w:t>
      </w:r>
      <w:bookmarkStart w:id="32" w:name="_Toc203687006"/>
      <w:r>
        <w:rPr>
          <w:rFonts w:asciiTheme="majorBidi" w:hAnsiTheme="majorBidi" w:cstheme="majorBidi" w:hint="cs"/>
          <w:b/>
          <w:bCs/>
          <w:sz w:val="28"/>
          <w:szCs w:val="28"/>
          <w:rtl/>
        </w:rPr>
        <w:t xml:space="preserve">4.2 </w:t>
      </w:r>
      <w:r w:rsidRPr="00480671">
        <w:rPr>
          <w:rFonts w:asciiTheme="majorBidi" w:hAnsiTheme="majorBidi" w:cstheme="majorBidi"/>
          <w:b/>
          <w:bCs/>
          <w:sz w:val="28"/>
          <w:szCs w:val="28"/>
          <w:rtl/>
        </w:rPr>
        <w:t>نماذج تقييم وتحليل المخاطر</w:t>
      </w:r>
      <w:bookmarkEnd w:id="32"/>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تتضمن نماذج تقييم المخاطر عدة أدوات وتقنيات تُستخدم لتحليل احتمالية وقوع المخاطر وتأثيرها، ومن أشهر هذه النماذج:</w:t>
      </w:r>
    </w:p>
    <w:p w:rsidR="00872B9A" w:rsidRPr="00480671" w:rsidRDefault="00872B9A" w:rsidP="00872B9A">
      <w:pPr>
        <w:pStyle w:val="a4"/>
        <w:numPr>
          <w:ilvl w:val="0"/>
          <w:numId w:val="8"/>
        </w:numPr>
        <w:spacing w:line="360" w:lineRule="auto"/>
        <w:ind w:left="728"/>
        <w:jc w:val="both"/>
        <w:rPr>
          <w:rFonts w:ascii="Times New Roman" w:hAnsi="Times New Roman" w:cs="Times New Roman"/>
          <w:sz w:val="28"/>
          <w:szCs w:val="28"/>
          <w:rtl/>
        </w:rPr>
      </w:pPr>
      <w:r w:rsidRPr="00480671">
        <w:rPr>
          <w:rFonts w:ascii="Times New Roman" w:hAnsi="Times New Roman" w:cs="Times New Roman"/>
          <w:sz w:val="28"/>
          <w:szCs w:val="28"/>
          <w:rtl/>
        </w:rPr>
        <w:t xml:space="preserve">تحليل </w:t>
      </w:r>
      <w:r w:rsidRPr="00480671">
        <w:rPr>
          <w:rFonts w:ascii="Times New Roman" w:hAnsi="Times New Roman" w:cs="Times New Roman"/>
          <w:sz w:val="28"/>
          <w:szCs w:val="28"/>
        </w:rPr>
        <w:t>SWOT</w:t>
      </w:r>
      <w:r w:rsidRPr="00480671">
        <w:rPr>
          <w:rFonts w:ascii="Times New Roman" w:hAnsi="Times New Roman" w:cs="Times New Roman"/>
          <w:sz w:val="28"/>
          <w:szCs w:val="28"/>
          <w:rtl/>
        </w:rPr>
        <w:t>: لتقييم نقاط القوة، الضعف، الفرص، والتهديدات (</w:t>
      </w:r>
      <w:r w:rsidRPr="00480671">
        <w:rPr>
          <w:rFonts w:ascii="Times New Roman" w:hAnsi="Times New Roman" w:cs="Times New Roman"/>
          <w:sz w:val="28"/>
          <w:szCs w:val="28"/>
        </w:rPr>
        <w:t>Gürel &amp; Tat, 2017</w:t>
      </w:r>
      <w:r w:rsidRPr="00480671">
        <w:rPr>
          <w:rFonts w:ascii="Times New Roman" w:hAnsi="Times New Roman" w:cs="Times New Roman"/>
          <w:sz w:val="28"/>
          <w:szCs w:val="28"/>
          <w:rtl/>
        </w:rPr>
        <w:t>).</w:t>
      </w:r>
    </w:p>
    <w:p w:rsidR="00872B9A" w:rsidRPr="00480671" w:rsidRDefault="00872B9A" w:rsidP="00872B9A">
      <w:pPr>
        <w:pStyle w:val="a4"/>
        <w:numPr>
          <w:ilvl w:val="0"/>
          <w:numId w:val="8"/>
        </w:numPr>
        <w:spacing w:line="360" w:lineRule="auto"/>
        <w:ind w:left="728"/>
        <w:jc w:val="both"/>
        <w:rPr>
          <w:rFonts w:ascii="Times New Roman" w:hAnsi="Times New Roman" w:cs="Times New Roman"/>
          <w:sz w:val="28"/>
          <w:szCs w:val="28"/>
          <w:rtl/>
        </w:rPr>
      </w:pPr>
      <w:r w:rsidRPr="00480671">
        <w:rPr>
          <w:rFonts w:ascii="Times New Roman" w:hAnsi="Times New Roman" w:cs="Times New Roman"/>
          <w:sz w:val="28"/>
          <w:szCs w:val="28"/>
          <w:rtl/>
        </w:rPr>
        <w:lastRenderedPageBreak/>
        <w:t>تحليل الاحتمالية والتأثير (</w:t>
      </w:r>
      <w:r w:rsidRPr="00480671">
        <w:rPr>
          <w:rFonts w:ascii="Times New Roman" w:hAnsi="Times New Roman" w:cs="Times New Roman"/>
          <w:sz w:val="28"/>
          <w:szCs w:val="28"/>
        </w:rPr>
        <w:t>Probability-Impact Matrix</w:t>
      </w:r>
      <w:r w:rsidRPr="00480671">
        <w:rPr>
          <w:rFonts w:ascii="Times New Roman" w:hAnsi="Times New Roman" w:cs="Times New Roman"/>
          <w:sz w:val="28"/>
          <w:szCs w:val="28"/>
          <w:rtl/>
        </w:rPr>
        <w:t>): حيث يتم تصنيف المخاطر حسب احتمالية حدوثها ومدى تأثيرها (</w:t>
      </w:r>
      <w:r w:rsidRPr="00480671">
        <w:rPr>
          <w:rFonts w:ascii="Times New Roman" w:hAnsi="Times New Roman" w:cs="Times New Roman"/>
          <w:sz w:val="28"/>
          <w:szCs w:val="28"/>
        </w:rPr>
        <w:t>Hillson, 2017</w:t>
      </w:r>
      <w:r w:rsidRPr="00480671">
        <w:rPr>
          <w:rFonts w:ascii="Times New Roman" w:hAnsi="Times New Roman" w:cs="Times New Roman"/>
          <w:sz w:val="28"/>
          <w:szCs w:val="28"/>
          <w:rtl/>
        </w:rPr>
        <w:t>).</w:t>
      </w:r>
    </w:p>
    <w:p w:rsidR="00872B9A" w:rsidRPr="00480671" w:rsidRDefault="00872B9A" w:rsidP="00872B9A">
      <w:pPr>
        <w:pStyle w:val="a4"/>
        <w:numPr>
          <w:ilvl w:val="0"/>
          <w:numId w:val="8"/>
        </w:numPr>
        <w:spacing w:line="360" w:lineRule="auto"/>
        <w:ind w:left="728"/>
        <w:jc w:val="both"/>
        <w:rPr>
          <w:rFonts w:ascii="Times New Roman" w:hAnsi="Times New Roman" w:cs="Times New Roman"/>
          <w:sz w:val="28"/>
          <w:szCs w:val="28"/>
          <w:rtl/>
        </w:rPr>
      </w:pPr>
      <w:r w:rsidRPr="00480671">
        <w:rPr>
          <w:rFonts w:ascii="Times New Roman" w:hAnsi="Times New Roman" w:cs="Times New Roman"/>
          <w:sz w:val="28"/>
          <w:szCs w:val="28"/>
          <w:rtl/>
        </w:rPr>
        <w:t>نماذج المحاكاة (</w:t>
      </w:r>
      <w:r w:rsidRPr="00480671">
        <w:rPr>
          <w:rFonts w:ascii="Times New Roman" w:hAnsi="Times New Roman" w:cs="Times New Roman"/>
          <w:sz w:val="28"/>
          <w:szCs w:val="28"/>
        </w:rPr>
        <w:t>Simulation Models</w:t>
      </w:r>
      <w:r w:rsidRPr="00480671">
        <w:rPr>
          <w:rFonts w:ascii="Times New Roman" w:hAnsi="Times New Roman" w:cs="Times New Roman"/>
          <w:sz w:val="28"/>
          <w:szCs w:val="28"/>
          <w:rtl/>
        </w:rPr>
        <w:t>): مثل محاكاة مونت كارلو التي تستخدم لتقدير توزيع النتائج المحتملة للمخاطر (</w:t>
      </w:r>
      <w:r w:rsidRPr="00480671">
        <w:rPr>
          <w:rFonts w:ascii="Times New Roman" w:hAnsi="Times New Roman" w:cs="Times New Roman"/>
          <w:sz w:val="28"/>
          <w:szCs w:val="28"/>
        </w:rPr>
        <w:t>Law, 2015</w:t>
      </w:r>
      <w:r w:rsidRPr="00480671">
        <w:rPr>
          <w:rFonts w:ascii="Times New Roman" w:hAnsi="Times New Roman" w:cs="Times New Roman"/>
          <w:sz w:val="28"/>
          <w:szCs w:val="28"/>
          <w:rtl/>
        </w:rPr>
        <w:t>).</w:t>
      </w:r>
    </w:p>
    <w:p w:rsidR="00872B9A" w:rsidRPr="00480671" w:rsidRDefault="00872B9A" w:rsidP="00872B9A">
      <w:pPr>
        <w:pStyle w:val="a4"/>
        <w:numPr>
          <w:ilvl w:val="0"/>
          <w:numId w:val="8"/>
        </w:numPr>
        <w:spacing w:line="360" w:lineRule="auto"/>
        <w:ind w:left="728"/>
        <w:jc w:val="both"/>
        <w:rPr>
          <w:rFonts w:ascii="Times New Roman" w:hAnsi="Times New Roman" w:cs="Times New Roman" w:hint="cs"/>
          <w:sz w:val="28"/>
          <w:szCs w:val="28"/>
          <w:rtl/>
        </w:rPr>
      </w:pPr>
      <w:r w:rsidRPr="00480671">
        <w:rPr>
          <w:rFonts w:ascii="Times New Roman" w:hAnsi="Times New Roman" w:cs="Times New Roman"/>
          <w:sz w:val="28"/>
          <w:szCs w:val="28"/>
          <w:rtl/>
        </w:rPr>
        <w:t>التحليل الكمي والنوعي للمخاطر: لتحديد أولويات المخاطر باستخدام مقاييس كمية ونوعية (</w:t>
      </w:r>
      <w:r w:rsidRPr="00480671">
        <w:rPr>
          <w:rFonts w:ascii="Times New Roman" w:hAnsi="Times New Roman" w:cs="Times New Roman"/>
          <w:sz w:val="28"/>
          <w:szCs w:val="28"/>
        </w:rPr>
        <w:t>Aven, 2016</w:t>
      </w:r>
      <w:r w:rsidRPr="00480671">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هذه النماذج تساعد في اتخاذ قرارات قائمة على البيانات وتحسين استراتيجيات تقليل </w:t>
      </w:r>
      <w:r>
        <w:rPr>
          <w:rFonts w:ascii="Times New Roman" w:hAnsi="Times New Roman" w:cs="Times New Roman"/>
          <w:sz w:val="28"/>
          <w:szCs w:val="28"/>
          <w:rtl/>
        </w:rPr>
        <w:t>المخاطر.</w:t>
      </w:r>
    </w:p>
    <w:p w:rsidR="00872B9A" w:rsidRPr="00480671" w:rsidRDefault="00872B9A" w:rsidP="00872B9A">
      <w:pPr>
        <w:spacing w:line="360" w:lineRule="auto"/>
        <w:jc w:val="both"/>
        <w:outlineLvl w:val="2"/>
        <w:rPr>
          <w:rFonts w:asciiTheme="majorBidi" w:hAnsiTheme="majorBidi" w:cstheme="majorBidi"/>
          <w:b/>
          <w:bCs/>
          <w:sz w:val="28"/>
          <w:szCs w:val="28"/>
          <w:rtl/>
        </w:rPr>
      </w:pPr>
      <w:r>
        <w:rPr>
          <w:rFonts w:asciiTheme="majorBidi" w:hAnsiTheme="majorBidi" w:cstheme="majorBidi"/>
          <w:b/>
          <w:bCs/>
          <w:sz w:val="28"/>
          <w:szCs w:val="28"/>
          <w:rtl/>
        </w:rPr>
        <w:t xml:space="preserve"> </w:t>
      </w:r>
      <w:bookmarkStart w:id="33" w:name="_Toc203687007"/>
      <w:r>
        <w:rPr>
          <w:rFonts w:asciiTheme="majorBidi" w:hAnsiTheme="majorBidi" w:cstheme="majorBidi" w:hint="cs"/>
          <w:b/>
          <w:bCs/>
          <w:sz w:val="28"/>
          <w:szCs w:val="28"/>
          <w:rtl/>
        </w:rPr>
        <w:t xml:space="preserve">5.2 </w:t>
      </w:r>
      <w:r w:rsidRPr="00480671">
        <w:rPr>
          <w:rFonts w:asciiTheme="majorBidi" w:hAnsiTheme="majorBidi" w:cstheme="majorBidi"/>
          <w:b/>
          <w:bCs/>
          <w:sz w:val="28"/>
          <w:szCs w:val="28"/>
          <w:rtl/>
        </w:rPr>
        <w:t>تطبيقات إدارة المخاطر في البنوك</w:t>
      </w:r>
      <w:bookmarkEnd w:id="33"/>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في القطاع المصرفي، يُطبق نظام إدارة المخاطر بطريقة دقيقة ومنهجية، حيث يتطلب التنظيم والرقابة الصارمة بسبب طبيعة الأعمال وحساسية الأموال والأصول (</w:t>
      </w:r>
      <w:r w:rsidRPr="006D54B5">
        <w:rPr>
          <w:rFonts w:ascii="Times New Roman" w:hAnsi="Times New Roman" w:cs="Times New Roman"/>
          <w:sz w:val="28"/>
          <w:szCs w:val="28"/>
        </w:rPr>
        <w:t>Saunders &amp; Allen, 2020</w:t>
      </w:r>
      <w:r w:rsidRPr="006D54B5">
        <w:rPr>
          <w:rFonts w:ascii="Times New Roman" w:hAnsi="Times New Roman" w:cs="Times New Roman"/>
          <w:sz w:val="28"/>
          <w:szCs w:val="28"/>
          <w:rtl/>
        </w:rPr>
        <w:t>). تقوم البنوك باستخدام أنظمة وتقنيات متقدمة في إدارة المخاطر الائتمانية، التشغيلية، السوقية، والسيولة، وتتبع التوجيهات الدولية مثل اتفاقيات بازل (</w:t>
      </w:r>
      <w:r w:rsidRPr="006D54B5">
        <w:rPr>
          <w:rFonts w:ascii="Times New Roman" w:hAnsi="Times New Roman" w:cs="Times New Roman"/>
          <w:sz w:val="28"/>
          <w:szCs w:val="28"/>
        </w:rPr>
        <w:t>Basel Accords</w:t>
      </w:r>
      <w:r w:rsidRPr="006D54B5">
        <w:rPr>
          <w:rFonts w:ascii="Times New Roman" w:hAnsi="Times New Roman" w:cs="Times New Roman"/>
          <w:sz w:val="28"/>
          <w:szCs w:val="28"/>
          <w:rtl/>
        </w:rPr>
        <w:t>) التي تحدد الحد الأدنى لرأس المال المطلوب لمواجهة المخاطر (</w:t>
      </w:r>
      <w:r w:rsidRPr="006D54B5">
        <w:rPr>
          <w:rFonts w:ascii="Times New Roman" w:hAnsi="Times New Roman" w:cs="Times New Roman"/>
          <w:sz w:val="28"/>
          <w:szCs w:val="28"/>
        </w:rPr>
        <w:t>Basel Committee, 2011</w:t>
      </w:r>
      <w:r w:rsidRPr="006D54B5">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كما تعتمد البنوك على وحدات متخصصة لإدارة المخاطر، وتدريب مستمر للموظفين، وتقييم دوري لنظم الرقابة الداخلية لتقليل احتمالية حدوث الخسائر وتحسين استقرار الأداء المالي (</w:t>
      </w:r>
      <w:r w:rsidRPr="006D54B5">
        <w:rPr>
          <w:rFonts w:ascii="Times New Roman" w:hAnsi="Times New Roman" w:cs="Times New Roman"/>
          <w:sz w:val="28"/>
          <w:szCs w:val="28"/>
        </w:rPr>
        <w:t>Al-Tamimi &amp; Al-Mazrooei, 2007</w:t>
      </w:r>
      <w:r w:rsidRPr="006D54B5">
        <w:rPr>
          <w:rFonts w:ascii="Times New Roman" w:hAnsi="Times New Roman" w:cs="Times New Roman"/>
          <w:sz w:val="28"/>
          <w:szCs w:val="28"/>
          <w:rtl/>
        </w:rPr>
        <w:t>).</w:t>
      </w:r>
    </w:p>
    <w:p w:rsidR="00872B9A" w:rsidRDefault="00872B9A" w:rsidP="00872B9A">
      <w:pPr>
        <w:spacing w:line="360" w:lineRule="auto"/>
        <w:jc w:val="both"/>
        <w:rPr>
          <w:rFonts w:ascii="Times New Roman" w:hAnsi="Times New Roman" w:cs="Times New Roman"/>
          <w:b/>
          <w:bCs/>
          <w:sz w:val="28"/>
          <w:szCs w:val="28"/>
          <w:rtl/>
        </w:rPr>
      </w:pPr>
    </w:p>
    <w:p w:rsidR="00872B9A" w:rsidRPr="00334B3F" w:rsidRDefault="00872B9A" w:rsidP="00872B9A">
      <w:pPr>
        <w:pStyle w:val="2"/>
        <w:spacing w:line="360" w:lineRule="auto"/>
        <w:rPr>
          <w:rFonts w:ascii="Simplified Arabic" w:hAnsi="Simplified Arabic" w:cs="Simplified Arabic"/>
          <w:b/>
          <w:bCs/>
          <w:color w:val="0070C0"/>
          <w:sz w:val="32"/>
          <w:szCs w:val="32"/>
          <w:rtl/>
        </w:rPr>
      </w:pPr>
      <w:bookmarkStart w:id="34" w:name="_Toc203687008"/>
      <w:r w:rsidRPr="00334B3F">
        <w:rPr>
          <w:rFonts w:ascii="Simplified Arabic" w:hAnsi="Simplified Arabic" w:cs="Simplified Arabic"/>
          <w:b/>
          <w:bCs/>
          <w:color w:val="0070C0"/>
          <w:sz w:val="32"/>
          <w:szCs w:val="32"/>
          <w:rtl/>
        </w:rPr>
        <w:t>3. الاستدامة في المؤسسات المالية</w:t>
      </w:r>
      <w:bookmarkEnd w:id="34"/>
    </w:p>
    <w:p w:rsidR="00872B9A" w:rsidRPr="00334B3F" w:rsidRDefault="00872B9A" w:rsidP="00872B9A">
      <w:pPr>
        <w:spacing w:line="360" w:lineRule="auto"/>
        <w:jc w:val="both"/>
        <w:outlineLvl w:val="2"/>
        <w:rPr>
          <w:rFonts w:asciiTheme="majorBidi" w:hAnsiTheme="majorBidi" w:cstheme="majorBidi"/>
          <w:b/>
          <w:bCs/>
          <w:sz w:val="28"/>
          <w:szCs w:val="28"/>
          <w:rtl/>
        </w:rPr>
      </w:pPr>
      <w:r>
        <w:rPr>
          <w:rFonts w:asciiTheme="majorBidi" w:hAnsiTheme="majorBidi" w:cstheme="majorBidi"/>
          <w:b/>
          <w:bCs/>
          <w:sz w:val="28"/>
          <w:szCs w:val="28"/>
          <w:rtl/>
        </w:rPr>
        <w:t xml:space="preserve"> </w:t>
      </w:r>
      <w:bookmarkStart w:id="35" w:name="_Toc203687009"/>
      <w:r>
        <w:rPr>
          <w:rFonts w:asciiTheme="majorBidi" w:hAnsiTheme="majorBidi" w:cstheme="majorBidi" w:hint="cs"/>
          <w:b/>
          <w:bCs/>
          <w:sz w:val="28"/>
          <w:szCs w:val="28"/>
          <w:rtl/>
        </w:rPr>
        <w:t xml:space="preserve">1.3 </w:t>
      </w:r>
      <w:r w:rsidRPr="00334B3F">
        <w:rPr>
          <w:rFonts w:asciiTheme="majorBidi" w:hAnsiTheme="majorBidi" w:cstheme="majorBidi"/>
          <w:b/>
          <w:bCs/>
          <w:sz w:val="28"/>
          <w:szCs w:val="28"/>
          <w:rtl/>
        </w:rPr>
        <w:t>مفهوم الاستدامة وأبعادها</w:t>
      </w:r>
      <w:bookmarkEnd w:id="35"/>
    </w:p>
    <w:p w:rsidR="00872B9A"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الاستدامة هي مفهوم شامل يشير إلى قدرة الأنظمة أو المؤسسات على المحافظة على استمراريتها وأدائها الجيد عبر الزمن، مع تحقيق توازن بين الأبعاد الاقتصادية والاجتماعية والبيئية. وفقًا للتعريف الرسمي الذي قدمته اللجنة العالمية للبيئة والتنمية (</w:t>
      </w:r>
      <w:r w:rsidRPr="006D54B5">
        <w:rPr>
          <w:rFonts w:ascii="Times New Roman" w:hAnsi="Times New Roman" w:cs="Times New Roman"/>
          <w:sz w:val="28"/>
          <w:szCs w:val="28"/>
        </w:rPr>
        <w:t>WCED</w:t>
      </w:r>
      <w:r w:rsidRPr="006D54B5">
        <w:rPr>
          <w:rFonts w:ascii="Times New Roman" w:hAnsi="Times New Roman" w:cs="Times New Roman"/>
          <w:sz w:val="28"/>
          <w:szCs w:val="28"/>
          <w:rtl/>
        </w:rPr>
        <w:t>) عام 1987، "التنمية المستدامة هي التنمية التي تلبي احتياجات الحاضر دون المساس بقدرة الأجيال القادمة على تلبية احتياجاتها" (</w:t>
      </w:r>
      <w:r w:rsidRPr="006D54B5">
        <w:rPr>
          <w:rFonts w:ascii="Times New Roman" w:hAnsi="Times New Roman" w:cs="Times New Roman"/>
          <w:sz w:val="28"/>
          <w:szCs w:val="28"/>
        </w:rPr>
        <w:t>Brundtland Commission, 1987</w:t>
      </w:r>
      <w:r w:rsidRPr="006D54B5">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lastRenderedPageBreak/>
        <w:t>ينقسم مفهوم الاستدامة عادة إلى ثلاثة أبعاد رئيسة (</w:t>
      </w:r>
      <w:r w:rsidRPr="006D54B5">
        <w:rPr>
          <w:rFonts w:ascii="Times New Roman" w:hAnsi="Times New Roman" w:cs="Times New Roman"/>
          <w:sz w:val="28"/>
          <w:szCs w:val="28"/>
        </w:rPr>
        <w:t>Elkington, 1997</w:t>
      </w:r>
      <w:r w:rsidRPr="006D54B5">
        <w:rPr>
          <w:rFonts w:ascii="Times New Roman" w:hAnsi="Times New Roman" w:cs="Times New Roman"/>
          <w:sz w:val="28"/>
          <w:szCs w:val="28"/>
          <w:rtl/>
        </w:rPr>
        <w:t>):</w:t>
      </w:r>
    </w:p>
    <w:p w:rsidR="00872B9A" w:rsidRPr="00334B3F" w:rsidRDefault="00872B9A" w:rsidP="00872B9A">
      <w:pPr>
        <w:pStyle w:val="a4"/>
        <w:numPr>
          <w:ilvl w:val="0"/>
          <w:numId w:val="9"/>
        </w:numPr>
        <w:spacing w:line="360" w:lineRule="auto"/>
        <w:jc w:val="both"/>
        <w:rPr>
          <w:rFonts w:ascii="Times New Roman" w:hAnsi="Times New Roman" w:cs="Times New Roman"/>
          <w:sz w:val="28"/>
          <w:szCs w:val="28"/>
          <w:rtl/>
        </w:rPr>
      </w:pPr>
      <w:r w:rsidRPr="00334B3F">
        <w:rPr>
          <w:rFonts w:ascii="Times New Roman" w:hAnsi="Times New Roman" w:cs="Times New Roman"/>
          <w:sz w:val="28"/>
          <w:szCs w:val="28"/>
          <w:rtl/>
        </w:rPr>
        <w:t>البعد الاقتصادي: يتناول تحقيق الكفاءة الاقتصادية، النمو المستدام، والربحية المالية بما يدعم استمرارية المؤسسة.</w:t>
      </w:r>
    </w:p>
    <w:p w:rsidR="00872B9A" w:rsidRPr="00334B3F" w:rsidRDefault="00872B9A" w:rsidP="00872B9A">
      <w:pPr>
        <w:pStyle w:val="a4"/>
        <w:numPr>
          <w:ilvl w:val="0"/>
          <w:numId w:val="9"/>
        </w:numPr>
        <w:spacing w:line="360" w:lineRule="auto"/>
        <w:jc w:val="both"/>
        <w:rPr>
          <w:rFonts w:ascii="Times New Roman" w:hAnsi="Times New Roman" w:cs="Times New Roman"/>
          <w:sz w:val="28"/>
          <w:szCs w:val="28"/>
          <w:rtl/>
        </w:rPr>
      </w:pPr>
      <w:r w:rsidRPr="00334B3F">
        <w:rPr>
          <w:rFonts w:ascii="Times New Roman" w:hAnsi="Times New Roman" w:cs="Times New Roman"/>
          <w:sz w:val="28"/>
          <w:szCs w:val="28"/>
          <w:rtl/>
        </w:rPr>
        <w:t>البعد الاجتماعي: يهتم بالعدالة الاجتماعية، حقوق الإنسان، ظروف العمل، ورفاهية المجتمعات المحلية.</w:t>
      </w:r>
    </w:p>
    <w:p w:rsidR="00872B9A" w:rsidRPr="00334B3F" w:rsidRDefault="00872B9A" w:rsidP="00872B9A">
      <w:pPr>
        <w:pStyle w:val="a4"/>
        <w:numPr>
          <w:ilvl w:val="0"/>
          <w:numId w:val="9"/>
        </w:numPr>
        <w:spacing w:line="360" w:lineRule="auto"/>
        <w:jc w:val="both"/>
        <w:rPr>
          <w:rFonts w:ascii="Times New Roman" w:hAnsi="Times New Roman" w:cs="Times New Roman"/>
          <w:sz w:val="28"/>
          <w:szCs w:val="28"/>
          <w:rtl/>
        </w:rPr>
      </w:pPr>
      <w:r w:rsidRPr="00334B3F">
        <w:rPr>
          <w:rFonts w:ascii="Times New Roman" w:hAnsi="Times New Roman" w:cs="Times New Roman"/>
          <w:sz w:val="28"/>
          <w:szCs w:val="28"/>
          <w:rtl/>
        </w:rPr>
        <w:t>البعد البيئي: يركز على حماية الموارد الطبيعية، تقليل التلوث، والحفاظ على التنوع البيولوجي.</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تعتبر هذه الأبعاد مترابطة ولا يمكن الفصل بينها، فنجاح الاستدامة ي</w:t>
      </w:r>
      <w:r>
        <w:rPr>
          <w:rFonts w:ascii="Times New Roman" w:hAnsi="Times New Roman" w:cs="Times New Roman"/>
          <w:sz w:val="28"/>
          <w:szCs w:val="28"/>
          <w:rtl/>
        </w:rPr>
        <w:t>تطلب تحقيق توازن متكامل بينهما.</w:t>
      </w:r>
    </w:p>
    <w:p w:rsidR="00872B9A" w:rsidRPr="00334B3F" w:rsidRDefault="00872B9A" w:rsidP="00872B9A">
      <w:pPr>
        <w:spacing w:line="360" w:lineRule="auto"/>
        <w:jc w:val="both"/>
        <w:outlineLvl w:val="2"/>
        <w:rPr>
          <w:rFonts w:asciiTheme="majorBidi" w:hAnsiTheme="majorBidi" w:cstheme="majorBidi"/>
          <w:b/>
          <w:bCs/>
          <w:sz w:val="28"/>
          <w:szCs w:val="28"/>
          <w:rtl/>
        </w:rPr>
      </w:pPr>
      <w:r>
        <w:rPr>
          <w:rFonts w:asciiTheme="majorBidi" w:hAnsiTheme="majorBidi" w:cstheme="majorBidi"/>
          <w:b/>
          <w:bCs/>
          <w:sz w:val="28"/>
          <w:szCs w:val="28"/>
          <w:rtl/>
        </w:rPr>
        <w:t xml:space="preserve"> </w:t>
      </w:r>
      <w:bookmarkStart w:id="36" w:name="_Toc203687010"/>
      <w:r>
        <w:rPr>
          <w:rFonts w:asciiTheme="majorBidi" w:hAnsiTheme="majorBidi" w:cstheme="majorBidi" w:hint="cs"/>
          <w:b/>
          <w:bCs/>
          <w:sz w:val="28"/>
          <w:szCs w:val="28"/>
          <w:rtl/>
        </w:rPr>
        <w:t xml:space="preserve">2.3 </w:t>
      </w:r>
      <w:r w:rsidRPr="00334B3F">
        <w:rPr>
          <w:rFonts w:asciiTheme="majorBidi" w:hAnsiTheme="majorBidi" w:cstheme="majorBidi"/>
          <w:b/>
          <w:bCs/>
          <w:sz w:val="28"/>
          <w:szCs w:val="28"/>
          <w:rtl/>
        </w:rPr>
        <w:t>الاستدامة في القطاع المالي والمصرفي</w:t>
      </w:r>
      <w:bookmarkEnd w:id="36"/>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مع تزايد الوعي العالمي بقضايا التغير المناخي والمسؤولية الاجتماعية، أصبح لمفهوم الاستدامة أثر كبير على القطاع المالي، وخاصة البنوك، التي تلعب دورًا محوريًا في دعم الاقتصاد وتمويل المشاريع المختلفة (</w:t>
      </w:r>
      <w:r w:rsidRPr="006D54B5">
        <w:rPr>
          <w:rFonts w:ascii="Times New Roman" w:hAnsi="Times New Roman" w:cs="Times New Roman"/>
          <w:sz w:val="28"/>
          <w:szCs w:val="28"/>
        </w:rPr>
        <w:t>Sassen, Azadi, &amp; Amini, 2016</w:t>
      </w:r>
      <w:r w:rsidRPr="006D54B5">
        <w:rPr>
          <w:rFonts w:ascii="Times New Roman" w:hAnsi="Times New Roman" w:cs="Times New Roman"/>
          <w:sz w:val="28"/>
          <w:szCs w:val="28"/>
          <w:rtl/>
        </w:rPr>
        <w:t>). حيث لم تعد البنوك تقتصر فقط على تحقيق الربحية، بل يتوقع منها المساهمة الفعالة في التنمية المستدامة عن طريق تبني ممارسات تمويل مسؤولة تراعي الأبعاد الثلاثة للاستدامة.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تشمل الاستدامة البنكية تطبيق معايير التمويل الأخضر، المسؤولية الاجتماعية للمؤسسات (</w:t>
      </w:r>
      <w:r w:rsidRPr="006D54B5">
        <w:rPr>
          <w:rFonts w:ascii="Times New Roman" w:hAnsi="Times New Roman" w:cs="Times New Roman"/>
          <w:sz w:val="28"/>
          <w:szCs w:val="28"/>
        </w:rPr>
        <w:t>CSR</w:t>
      </w:r>
      <w:r w:rsidRPr="006D54B5">
        <w:rPr>
          <w:rFonts w:ascii="Times New Roman" w:hAnsi="Times New Roman" w:cs="Times New Roman"/>
          <w:sz w:val="28"/>
          <w:szCs w:val="28"/>
          <w:rtl/>
        </w:rPr>
        <w:t>)، والحوكمة الرشيدة. كما أن البنوك تتحمل مسؤولية تقييم المخاطر البيئية والاجتماعية في قرارات الإقراض والاستثمار لتجنب دعم المشاريع التي قد تضر بالبيئة أو المجتمع (</w:t>
      </w:r>
      <w:r w:rsidRPr="006D54B5">
        <w:rPr>
          <w:rFonts w:ascii="Times New Roman" w:hAnsi="Times New Roman" w:cs="Times New Roman"/>
          <w:sz w:val="28"/>
          <w:szCs w:val="28"/>
        </w:rPr>
        <w:t>Weber, 2017</w:t>
      </w:r>
      <w:r>
        <w:rPr>
          <w:rFonts w:ascii="Times New Roman" w:hAnsi="Times New Roman" w:cs="Times New Roman"/>
          <w:sz w:val="28"/>
          <w:szCs w:val="28"/>
          <w:rtl/>
        </w:rPr>
        <w:t>).</w:t>
      </w:r>
    </w:p>
    <w:p w:rsidR="00872B9A" w:rsidRPr="00334B3F" w:rsidRDefault="00872B9A" w:rsidP="00872B9A">
      <w:pPr>
        <w:spacing w:line="360" w:lineRule="auto"/>
        <w:jc w:val="both"/>
        <w:outlineLvl w:val="2"/>
        <w:rPr>
          <w:rFonts w:asciiTheme="majorBidi" w:hAnsiTheme="majorBidi" w:cstheme="majorBidi"/>
          <w:b/>
          <w:bCs/>
          <w:sz w:val="28"/>
          <w:szCs w:val="28"/>
          <w:rtl/>
        </w:rPr>
      </w:pPr>
      <w:r w:rsidRPr="00334B3F">
        <w:rPr>
          <w:rFonts w:asciiTheme="majorBidi" w:hAnsiTheme="majorBidi" w:cstheme="majorBidi"/>
          <w:b/>
          <w:bCs/>
          <w:sz w:val="28"/>
          <w:szCs w:val="28"/>
          <w:rtl/>
        </w:rPr>
        <w:t xml:space="preserve"> </w:t>
      </w:r>
      <w:bookmarkStart w:id="37" w:name="_Toc203687011"/>
      <w:r w:rsidRPr="00334B3F">
        <w:rPr>
          <w:rFonts w:asciiTheme="majorBidi" w:hAnsiTheme="majorBidi" w:cstheme="majorBidi"/>
          <w:b/>
          <w:bCs/>
          <w:sz w:val="28"/>
          <w:szCs w:val="28"/>
          <w:rtl/>
        </w:rPr>
        <w:t>3.3 دور الاستدامة في تحسين سمعة وأداء البنوك</w:t>
      </w:r>
      <w:bookmarkEnd w:id="37"/>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أظهرت الدراسات أن تبني ممارسات الاستدامة يؤدي إلى تعزيز سمعة البنك وزيادة الثقة بين العملاء والمستثمرين، مما ينعكس إيجابًا على أدائه المالي وقدرته التنافسية (</w:t>
      </w:r>
      <w:r w:rsidRPr="006D54B5">
        <w:rPr>
          <w:rFonts w:ascii="Times New Roman" w:hAnsi="Times New Roman" w:cs="Times New Roman"/>
          <w:sz w:val="28"/>
          <w:szCs w:val="28"/>
        </w:rPr>
        <w:t>Eccles, Ioannou, &amp; Serafeim, 2014</w:t>
      </w:r>
      <w:r w:rsidRPr="006D54B5">
        <w:rPr>
          <w:rFonts w:ascii="Times New Roman" w:hAnsi="Times New Roman" w:cs="Times New Roman"/>
          <w:sz w:val="28"/>
          <w:szCs w:val="28"/>
          <w:rtl/>
        </w:rPr>
        <w:t>). فالعملاء اليوم باتوا يفضلون التعامل مع مؤسسات مالية مسؤولة بيئيًا واجتماعيًا، ويؤدي ذلك إلى زيادة ولائهم ورضاهم.</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lastRenderedPageBreak/>
        <w:t>علاوة على ذلك، فإن إدارة الاستدامة تساعد البنوك على تقليل المخاطر المرتبطة بالسمعة والامتثال، مما يخفف من احتمالية التعرض لعقوبات قانونية أو خسائر مالية غير متوقعة (</w:t>
      </w:r>
      <w:r w:rsidRPr="006D54B5">
        <w:rPr>
          <w:rFonts w:ascii="Times New Roman" w:hAnsi="Times New Roman" w:cs="Times New Roman"/>
          <w:sz w:val="28"/>
          <w:szCs w:val="28"/>
        </w:rPr>
        <w:t>Friede, Busch, &amp; Bassen, 2015</w:t>
      </w:r>
      <w:r>
        <w:rPr>
          <w:rFonts w:ascii="Times New Roman" w:hAnsi="Times New Roman" w:cs="Times New Roman"/>
          <w:sz w:val="28"/>
          <w:szCs w:val="28"/>
          <w:rtl/>
        </w:rPr>
        <w:t>).</w:t>
      </w:r>
    </w:p>
    <w:p w:rsidR="00872B9A" w:rsidRPr="00334B3F" w:rsidRDefault="00872B9A" w:rsidP="00872B9A">
      <w:pPr>
        <w:spacing w:line="360" w:lineRule="auto"/>
        <w:jc w:val="both"/>
        <w:outlineLvl w:val="2"/>
        <w:rPr>
          <w:rFonts w:asciiTheme="majorBidi" w:hAnsiTheme="majorBidi" w:cstheme="majorBidi"/>
          <w:b/>
          <w:bCs/>
          <w:sz w:val="28"/>
          <w:szCs w:val="28"/>
          <w:rtl/>
        </w:rPr>
      </w:pPr>
      <w:r>
        <w:rPr>
          <w:rFonts w:asciiTheme="majorBidi" w:hAnsiTheme="majorBidi" w:cstheme="majorBidi"/>
          <w:b/>
          <w:bCs/>
          <w:sz w:val="28"/>
          <w:szCs w:val="28"/>
          <w:rtl/>
        </w:rPr>
        <w:t xml:space="preserve"> </w:t>
      </w:r>
      <w:bookmarkStart w:id="38" w:name="_Toc203687012"/>
      <w:r>
        <w:rPr>
          <w:rFonts w:asciiTheme="majorBidi" w:hAnsiTheme="majorBidi" w:cstheme="majorBidi" w:hint="cs"/>
          <w:b/>
          <w:bCs/>
          <w:sz w:val="28"/>
          <w:szCs w:val="28"/>
          <w:rtl/>
        </w:rPr>
        <w:t xml:space="preserve">4.3 </w:t>
      </w:r>
      <w:r w:rsidRPr="00334B3F">
        <w:rPr>
          <w:rFonts w:asciiTheme="majorBidi" w:hAnsiTheme="majorBidi" w:cstheme="majorBidi"/>
          <w:b/>
          <w:bCs/>
          <w:sz w:val="28"/>
          <w:szCs w:val="28"/>
          <w:rtl/>
        </w:rPr>
        <w:t>العلاقة بين الاستدامة وإدارة المخاطر</w:t>
      </w:r>
      <w:bookmarkEnd w:id="38"/>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تتداخل إدارة المخاطر مع الاستدامة في أن كليهما يهدف إلى حماية المؤسسة من التهديدات التي قد تعيق استمراريتها. إذ أن دمج مخاطر الاستدامة—مثل المخاطر البيئية والاجتماعية والحوكمة (</w:t>
      </w:r>
      <w:r w:rsidRPr="006D54B5">
        <w:rPr>
          <w:rFonts w:ascii="Times New Roman" w:hAnsi="Times New Roman" w:cs="Times New Roman"/>
          <w:sz w:val="28"/>
          <w:szCs w:val="28"/>
        </w:rPr>
        <w:t>ESG</w:t>
      </w:r>
      <w:r w:rsidRPr="006D54B5">
        <w:rPr>
          <w:rFonts w:ascii="Times New Roman" w:hAnsi="Times New Roman" w:cs="Times New Roman"/>
          <w:sz w:val="28"/>
          <w:szCs w:val="28"/>
          <w:rtl/>
        </w:rPr>
        <w:t>)—في عملية إدارة المخاطر البنكية أصبح من الضروريات (</w:t>
      </w:r>
      <w:r w:rsidRPr="006D54B5">
        <w:rPr>
          <w:rFonts w:ascii="Times New Roman" w:hAnsi="Times New Roman" w:cs="Times New Roman"/>
          <w:sz w:val="28"/>
          <w:szCs w:val="28"/>
        </w:rPr>
        <w:t>Sullivan &amp; Mackenzie, 2020</w:t>
      </w:r>
      <w:r w:rsidRPr="006D54B5">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hint="cs"/>
          <w:sz w:val="28"/>
          <w:szCs w:val="28"/>
          <w:rtl/>
        </w:rPr>
      </w:pPr>
      <w:r w:rsidRPr="006D54B5">
        <w:rPr>
          <w:rFonts w:ascii="Times New Roman" w:hAnsi="Times New Roman" w:cs="Times New Roman"/>
          <w:sz w:val="28"/>
          <w:szCs w:val="28"/>
          <w:rtl/>
        </w:rPr>
        <w:t>يتطلب ذلك تقييم المخاطر البيئية (كالاحتباس الحراري وتغير المناخ)، والمخاطر الاجتماعية (مثل انتهاكات حقوق الإنسان)، وتقييم مخاطر الحوكمة التي قد تؤدي إلى ممارسات غير مسؤولة. إن الاعتراف بهذه المخاطر يساعد البنك في تحسين استراتيجيته ويضمن استمرارية العمل في بيئة متغيرة (</w:t>
      </w:r>
      <w:r w:rsidRPr="006D54B5">
        <w:rPr>
          <w:rFonts w:ascii="Times New Roman" w:hAnsi="Times New Roman" w:cs="Times New Roman"/>
          <w:sz w:val="28"/>
          <w:szCs w:val="28"/>
        </w:rPr>
        <w:t>Kotsantonis, Pinney, &amp; Serafeim, 2016</w:t>
      </w:r>
      <w:r>
        <w:rPr>
          <w:rFonts w:ascii="Times New Roman" w:hAnsi="Times New Roman" w:cs="Times New Roman"/>
          <w:sz w:val="28"/>
          <w:szCs w:val="28"/>
          <w:rtl/>
        </w:rPr>
        <w:t>).</w:t>
      </w:r>
    </w:p>
    <w:p w:rsidR="00872B9A" w:rsidRPr="00334B3F" w:rsidRDefault="00872B9A" w:rsidP="00872B9A">
      <w:pPr>
        <w:spacing w:line="360" w:lineRule="auto"/>
        <w:jc w:val="both"/>
        <w:outlineLvl w:val="2"/>
        <w:rPr>
          <w:rFonts w:asciiTheme="majorBidi" w:hAnsiTheme="majorBidi" w:cstheme="majorBidi"/>
          <w:b/>
          <w:bCs/>
          <w:sz w:val="28"/>
          <w:szCs w:val="28"/>
          <w:rtl/>
        </w:rPr>
      </w:pPr>
      <w:bookmarkStart w:id="39" w:name="_Toc203687013"/>
      <w:r>
        <w:rPr>
          <w:rFonts w:asciiTheme="majorBidi" w:hAnsiTheme="majorBidi" w:cstheme="majorBidi" w:hint="cs"/>
          <w:b/>
          <w:bCs/>
          <w:sz w:val="28"/>
          <w:szCs w:val="28"/>
          <w:rtl/>
        </w:rPr>
        <w:t xml:space="preserve">5.3 </w:t>
      </w:r>
      <w:r w:rsidRPr="00334B3F">
        <w:rPr>
          <w:rFonts w:asciiTheme="majorBidi" w:hAnsiTheme="majorBidi" w:cstheme="majorBidi"/>
          <w:b/>
          <w:bCs/>
          <w:sz w:val="28"/>
          <w:szCs w:val="28"/>
          <w:rtl/>
        </w:rPr>
        <w:t xml:space="preserve"> تحديات تطبيق الاستدامة في البنوك</w:t>
      </w:r>
      <w:bookmarkEnd w:id="39"/>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على الرغم من الفوائد الكبيرة للاستدامة، تواجه البنوك عدة تحديات في تطبيقها، منها:</w:t>
      </w:r>
    </w:p>
    <w:p w:rsidR="00872B9A" w:rsidRPr="00334B3F" w:rsidRDefault="00872B9A" w:rsidP="00872B9A">
      <w:pPr>
        <w:pStyle w:val="a4"/>
        <w:numPr>
          <w:ilvl w:val="0"/>
          <w:numId w:val="10"/>
        </w:numPr>
        <w:spacing w:line="360" w:lineRule="auto"/>
        <w:jc w:val="both"/>
        <w:rPr>
          <w:rFonts w:ascii="Times New Roman" w:hAnsi="Times New Roman" w:cs="Times New Roman"/>
          <w:sz w:val="28"/>
          <w:szCs w:val="28"/>
          <w:rtl/>
        </w:rPr>
      </w:pPr>
      <w:r w:rsidRPr="00334B3F">
        <w:rPr>
          <w:rFonts w:ascii="Times New Roman" w:hAnsi="Times New Roman" w:cs="Times New Roman"/>
          <w:sz w:val="28"/>
          <w:szCs w:val="28"/>
          <w:rtl/>
        </w:rPr>
        <w:t>صعوبة قياس أثر الاستدامة: فالأبعاد الاجتماعية والبيئية غالبًا ما تكون أقل تحديدًا وموضوعية مقارنة بالأداء المالي، مما يصعب تقييمها بدقة (</w:t>
      </w:r>
      <w:r w:rsidRPr="00334B3F">
        <w:rPr>
          <w:rFonts w:ascii="Times New Roman" w:hAnsi="Times New Roman" w:cs="Times New Roman"/>
          <w:sz w:val="28"/>
          <w:szCs w:val="28"/>
        </w:rPr>
        <w:t>Schaltegger &amp; Burritt, 2018</w:t>
      </w:r>
      <w:r w:rsidRPr="00334B3F">
        <w:rPr>
          <w:rFonts w:ascii="Times New Roman" w:hAnsi="Times New Roman" w:cs="Times New Roman"/>
          <w:sz w:val="28"/>
          <w:szCs w:val="28"/>
          <w:rtl/>
        </w:rPr>
        <w:t>).</w:t>
      </w:r>
    </w:p>
    <w:p w:rsidR="00872B9A" w:rsidRPr="00334B3F" w:rsidRDefault="00872B9A" w:rsidP="00872B9A">
      <w:pPr>
        <w:pStyle w:val="a4"/>
        <w:numPr>
          <w:ilvl w:val="0"/>
          <w:numId w:val="10"/>
        </w:numPr>
        <w:spacing w:line="360" w:lineRule="auto"/>
        <w:jc w:val="both"/>
        <w:rPr>
          <w:rFonts w:ascii="Times New Roman" w:hAnsi="Times New Roman" w:cs="Times New Roman"/>
          <w:sz w:val="28"/>
          <w:szCs w:val="28"/>
          <w:rtl/>
        </w:rPr>
      </w:pPr>
      <w:r w:rsidRPr="00334B3F">
        <w:rPr>
          <w:rFonts w:ascii="Times New Roman" w:hAnsi="Times New Roman" w:cs="Times New Roman"/>
          <w:sz w:val="28"/>
          <w:szCs w:val="28"/>
          <w:rtl/>
        </w:rPr>
        <w:t>تكلفة التنفيذ: قد تحتاج البنوك إلى استثمارات مبدئية كبيرة في أنظمة المراقبة والتقارير البيئية والاجتماعية.</w:t>
      </w:r>
    </w:p>
    <w:p w:rsidR="00872B9A" w:rsidRPr="00334B3F" w:rsidRDefault="00872B9A" w:rsidP="00872B9A">
      <w:pPr>
        <w:pStyle w:val="a4"/>
        <w:numPr>
          <w:ilvl w:val="0"/>
          <w:numId w:val="10"/>
        </w:numPr>
        <w:spacing w:line="360" w:lineRule="auto"/>
        <w:jc w:val="both"/>
        <w:rPr>
          <w:rFonts w:ascii="Times New Roman" w:hAnsi="Times New Roman" w:cs="Times New Roman"/>
          <w:sz w:val="28"/>
          <w:szCs w:val="28"/>
          <w:rtl/>
        </w:rPr>
      </w:pPr>
      <w:r w:rsidRPr="00334B3F">
        <w:rPr>
          <w:rFonts w:ascii="Times New Roman" w:hAnsi="Times New Roman" w:cs="Times New Roman"/>
          <w:sz w:val="28"/>
          <w:szCs w:val="28"/>
          <w:rtl/>
        </w:rPr>
        <w:t>مقاومة التغيير الداخلي: قد تواجه مقاومة من داخل المؤسسة بسبب الثقافة التنظيمية أو نقص الوعي بأهمية الاستدامة.</w:t>
      </w:r>
    </w:p>
    <w:p w:rsidR="00872B9A" w:rsidRPr="004C5FA1" w:rsidRDefault="00872B9A" w:rsidP="00872B9A">
      <w:pPr>
        <w:pStyle w:val="a4"/>
        <w:numPr>
          <w:ilvl w:val="0"/>
          <w:numId w:val="10"/>
        </w:numPr>
        <w:spacing w:line="360" w:lineRule="auto"/>
        <w:jc w:val="both"/>
        <w:rPr>
          <w:rFonts w:ascii="Times New Roman" w:hAnsi="Times New Roman" w:cs="Times New Roman"/>
          <w:sz w:val="28"/>
          <w:szCs w:val="28"/>
          <w:rtl/>
        </w:rPr>
      </w:pPr>
      <w:r w:rsidRPr="00334B3F">
        <w:rPr>
          <w:rFonts w:ascii="Times New Roman" w:hAnsi="Times New Roman" w:cs="Times New Roman"/>
          <w:sz w:val="28"/>
          <w:szCs w:val="28"/>
          <w:rtl/>
        </w:rPr>
        <w:t>التشريعات المتغيرة: تختلف معايير الحوكمة والاستدامة بين الدول، مما يشكل تحديًا على البنوك التي تعمل في بيئات متعددة (</w:t>
      </w:r>
      <w:r w:rsidRPr="00334B3F">
        <w:rPr>
          <w:rFonts w:ascii="Times New Roman" w:hAnsi="Times New Roman" w:cs="Times New Roman"/>
          <w:sz w:val="28"/>
          <w:szCs w:val="28"/>
        </w:rPr>
        <w:t>Ioannou &amp; Serafeim, 2015</w:t>
      </w:r>
      <w:r w:rsidRPr="00334B3F">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b/>
          <w:bCs/>
          <w:sz w:val="28"/>
          <w:szCs w:val="28"/>
          <w:rtl/>
        </w:rPr>
      </w:pPr>
    </w:p>
    <w:p w:rsidR="00872B9A" w:rsidRPr="003A6AC6" w:rsidRDefault="00872B9A" w:rsidP="00872B9A">
      <w:pPr>
        <w:pStyle w:val="2"/>
        <w:spacing w:line="360" w:lineRule="auto"/>
        <w:rPr>
          <w:rFonts w:ascii="Simplified Arabic" w:hAnsi="Simplified Arabic" w:cs="Simplified Arabic"/>
          <w:b/>
          <w:bCs/>
          <w:color w:val="0070C0"/>
          <w:sz w:val="32"/>
          <w:szCs w:val="32"/>
          <w:rtl/>
        </w:rPr>
      </w:pPr>
      <w:bookmarkStart w:id="40" w:name="_Toc203687014"/>
      <w:r w:rsidRPr="003A6AC6">
        <w:rPr>
          <w:rFonts w:ascii="Simplified Arabic" w:hAnsi="Simplified Arabic" w:cs="Simplified Arabic"/>
          <w:b/>
          <w:bCs/>
          <w:color w:val="0070C0"/>
          <w:sz w:val="32"/>
          <w:szCs w:val="32"/>
          <w:rtl/>
        </w:rPr>
        <w:lastRenderedPageBreak/>
        <w:t xml:space="preserve">4. </w:t>
      </w:r>
      <w:r>
        <w:rPr>
          <w:rFonts w:ascii="Simplified Arabic" w:hAnsi="Simplified Arabic" w:cs="Simplified Arabic" w:hint="cs"/>
          <w:b/>
          <w:bCs/>
          <w:color w:val="0070C0"/>
          <w:sz w:val="32"/>
          <w:szCs w:val="32"/>
          <w:rtl/>
        </w:rPr>
        <w:t>ال</w:t>
      </w:r>
      <w:r w:rsidRPr="003A6AC6">
        <w:rPr>
          <w:rFonts w:ascii="Simplified Arabic" w:hAnsi="Simplified Arabic" w:cs="Simplified Arabic"/>
          <w:b/>
          <w:bCs/>
          <w:color w:val="0070C0"/>
          <w:sz w:val="32"/>
          <w:szCs w:val="32"/>
          <w:rtl/>
        </w:rPr>
        <w:t xml:space="preserve">أداء </w:t>
      </w:r>
      <w:r>
        <w:rPr>
          <w:rFonts w:ascii="Simplified Arabic" w:hAnsi="Simplified Arabic" w:cs="Simplified Arabic" w:hint="cs"/>
          <w:b/>
          <w:bCs/>
          <w:color w:val="0070C0"/>
          <w:sz w:val="32"/>
          <w:szCs w:val="32"/>
          <w:rtl/>
        </w:rPr>
        <w:t>المالي ل</w:t>
      </w:r>
      <w:r w:rsidRPr="003A6AC6">
        <w:rPr>
          <w:rFonts w:ascii="Simplified Arabic" w:hAnsi="Simplified Arabic" w:cs="Simplified Arabic"/>
          <w:b/>
          <w:bCs/>
          <w:color w:val="0070C0"/>
          <w:sz w:val="32"/>
          <w:szCs w:val="32"/>
          <w:rtl/>
        </w:rPr>
        <w:t>لبنوك</w:t>
      </w:r>
      <w:bookmarkEnd w:id="40"/>
      <w:r w:rsidRPr="003A6AC6">
        <w:rPr>
          <w:rFonts w:ascii="Simplified Arabic" w:hAnsi="Simplified Arabic" w:cs="Simplified Arabic"/>
          <w:b/>
          <w:bCs/>
          <w:color w:val="0070C0"/>
          <w:sz w:val="32"/>
          <w:szCs w:val="32"/>
          <w:rtl/>
        </w:rPr>
        <w:t xml:space="preserve"> </w:t>
      </w:r>
    </w:p>
    <w:p w:rsidR="00872B9A" w:rsidRPr="003A6AC6" w:rsidRDefault="00872B9A" w:rsidP="00872B9A">
      <w:pPr>
        <w:spacing w:line="360" w:lineRule="auto"/>
        <w:jc w:val="both"/>
        <w:outlineLvl w:val="2"/>
        <w:rPr>
          <w:rFonts w:asciiTheme="majorBidi" w:hAnsiTheme="majorBidi" w:cstheme="majorBidi"/>
          <w:b/>
          <w:bCs/>
          <w:sz w:val="28"/>
          <w:szCs w:val="28"/>
          <w:rtl/>
        </w:rPr>
      </w:pPr>
      <w:r>
        <w:rPr>
          <w:rFonts w:asciiTheme="majorBidi" w:hAnsiTheme="majorBidi" w:cstheme="majorBidi"/>
          <w:b/>
          <w:bCs/>
          <w:sz w:val="28"/>
          <w:szCs w:val="28"/>
          <w:rtl/>
        </w:rPr>
        <w:t xml:space="preserve"> </w:t>
      </w:r>
      <w:bookmarkStart w:id="41" w:name="_Toc203687015"/>
      <w:r>
        <w:rPr>
          <w:rFonts w:asciiTheme="majorBidi" w:hAnsiTheme="majorBidi" w:cstheme="majorBidi" w:hint="cs"/>
          <w:b/>
          <w:bCs/>
          <w:sz w:val="28"/>
          <w:szCs w:val="28"/>
          <w:rtl/>
        </w:rPr>
        <w:t xml:space="preserve">1.4 </w:t>
      </w:r>
      <w:r w:rsidRPr="003A6AC6">
        <w:rPr>
          <w:rFonts w:asciiTheme="majorBidi" w:hAnsiTheme="majorBidi" w:cstheme="majorBidi"/>
          <w:b/>
          <w:bCs/>
          <w:sz w:val="28"/>
          <w:szCs w:val="28"/>
          <w:rtl/>
        </w:rPr>
        <w:t>مفهوم الأداء المالي</w:t>
      </w:r>
      <w:bookmarkEnd w:id="41"/>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يُعرف الأداء المالي بأنه قدرة المؤسسة على تحقيق أهدافها المالية من خلال استخدام الموارد المتاحة بكفاءة، وتحقيق مستويات مقبولة من الربحية والسيولة والاستقرار المالي. ويُعد الأداء المالي أحد المؤشرات الرئيسية على نجاح المؤسسات، وخاصة في القطاع المصرفي الذي يتطلب مراقبة دقيقة للمخاطر والعوائد (المغربي، 2020).</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ويرى الدليمي (2017) أن الأداء المالي هو مجموعة من المؤشرات الكمية والنوعية التي تعكس مدى قدرة البنك على تحقيق نتائج إيجابية مستدامة من حيث الربحية، الكفاءة التشغيلية، والاستقرار المالي، بما يضمن استمرارية العمل وتحقيق الميزة التنافسية.</w:t>
      </w:r>
    </w:p>
    <w:p w:rsidR="00872B9A" w:rsidRPr="003A6AC6" w:rsidRDefault="00872B9A" w:rsidP="00872B9A">
      <w:pPr>
        <w:spacing w:line="360" w:lineRule="auto"/>
        <w:jc w:val="both"/>
        <w:outlineLvl w:val="2"/>
        <w:rPr>
          <w:rFonts w:asciiTheme="majorBidi" w:hAnsiTheme="majorBidi" w:cstheme="majorBidi"/>
          <w:b/>
          <w:bCs/>
          <w:sz w:val="28"/>
          <w:szCs w:val="28"/>
          <w:rtl/>
        </w:rPr>
      </w:pPr>
      <w:r>
        <w:rPr>
          <w:rFonts w:asciiTheme="majorBidi" w:hAnsiTheme="majorBidi" w:cstheme="majorBidi"/>
          <w:b/>
          <w:bCs/>
          <w:sz w:val="28"/>
          <w:szCs w:val="28"/>
          <w:rtl/>
        </w:rPr>
        <w:t xml:space="preserve"> </w:t>
      </w:r>
      <w:bookmarkStart w:id="42" w:name="_Toc203687016"/>
      <w:r>
        <w:rPr>
          <w:rFonts w:asciiTheme="majorBidi" w:hAnsiTheme="majorBidi" w:cstheme="majorBidi" w:hint="cs"/>
          <w:b/>
          <w:bCs/>
          <w:sz w:val="28"/>
          <w:szCs w:val="28"/>
          <w:rtl/>
        </w:rPr>
        <w:t xml:space="preserve">4.2 </w:t>
      </w:r>
      <w:r w:rsidRPr="003A6AC6">
        <w:rPr>
          <w:rFonts w:asciiTheme="majorBidi" w:hAnsiTheme="majorBidi" w:cstheme="majorBidi"/>
          <w:b/>
          <w:bCs/>
          <w:sz w:val="28"/>
          <w:szCs w:val="28"/>
          <w:rtl/>
        </w:rPr>
        <w:t xml:space="preserve"> أهمية قياس الأداء المالي في البنوك</w:t>
      </w:r>
      <w:bookmarkEnd w:id="42"/>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تنبع أهمية قياس الأداء المالي للبنوك من الدور الحيوي الذي تلعبه في الاستقرار المالي والاقتصادي للدولة، حيث تُمثل البنوك الوسيط الأساسي بين المدخرين والمستثمرين. ويساعد تقييم الأداء المالي على:</w:t>
      </w:r>
    </w:p>
    <w:p w:rsidR="00872B9A" w:rsidRPr="003A6AC6" w:rsidRDefault="00872B9A" w:rsidP="00872B9A">
      <w:pPr>
        <w:pStyle w:val="a4"/>
        <w:numPr>
          <w:ilvl w:val="0"/>
          <w:numId w:val="11"/>
        </w:numPr>
        <w:spacing w:line="360" w:lineRule="auto"/>
        <w:jc w:val="both"/>
        <w:rPr>
          <w:rFonts w:ascii="Times New Roman" w:hAnsi="Times New Roman" w:cs="Times New Roman"/>
          <w:sz w:val="28"/>
          <w:szCs w:val="28"/>
          <w:rtl/>
        </w:rPr>
      </w:pPr>
      <w:r w:rsidRPr="003A6AC6">
        <w:rPr>
          <w:rFonts w:ascii="Times New Roman" w:hAnsi="Times New Roman" w:cs="Times New Roman"/>
          <w:sz w:val="28"/>
          <w:szCs w:val="28"/>
          <w:rtl/>
        </w:rPr>
        <w:t>تحديد مستوى الكفاءة في استخدام الموارد المالية.</w:t>
      </w:r>
    </w:p>
    <w:p w:rsidR="00872B9A" w:rsidRPr="003A6AC6" w:rsidRDefault="00872B9A" w:rsidP="00872B9A">
      <w:pPr>
        <w:pStyle w:val="a4"/>
        <w:numPr>
          <w:ilvl w:val="0"/>
          <w:numId w:val="11"/>
        </w:numPr>
        <w:spacing w:line="360" w:lineRule="auto"/>
        <w:jc w:val="both"/>
        <w:rPr>
          <w:rFonts w:ascii="Times New Roman" w:hAnsi="Times New Roman" w:cs="Times New Roman"/>
          <w:sz w:val="28"/>
          <w:szCs w:val="28"/>
          <w:rtl/>
        </w:rPr>
      </w:pPr>
      <w:r w:rsidRPr="003A6AC6">
        <w:rPr>
          <w:rFonts w:ascii="Times New Roman" w:hAnsi="Times New Roman" w:cs="Times New Roman"/>
          <w:sz w:val="28"/>
          <w:szCs w:val="28"/>
          <w:rtl/>
        </w:rPr>
        <w:t>توجيه قرارات الإدارة العليا حول القروض والاستثمارات.</w:t>
      </w:r>
    </w:p>
    <w:p w:rsidR="00872B9A" w:rsidRPr="003A6AC6" w:rsidRDefault="00872B9A" w:rsidP="00872B9A">
      <w:pPr>
        <w:pStyle w:val="a4"/>
        <w:numPr>
          <w:ilvl w:val="0"/>
          <w:numId w:val="11"/>
        </w:numPr>
        <w:spacing w:line="360" w:lineRule="auto"/>
        <w:jc w:val="both"/>
        <w:rPr>
          <w:rFonts w:ascii="Times New Roman" w:hAnsi="Times New Roman" w:cs="Times New Roman"/>
          <w:sz w:val="28"/>
          <w:szCs w:val="28"/>
          <w:rtl/>
        </w:rPr>
      </w:pPr>
      <w:r w:rsidRPr="003A6AC6">
        <w:rPr>
          <w:rFonts w:ascii="Times New Roman" w:hAnsi="Times New Roman" w:cs="Times New Roman"/>
          <w:sz w:val="28"/>
          <w:szCs w:val="28"/>
          <w:rtl/>
        </w:rPr>
        <w:t>تعزيز الشفافية أمام الجهات التنظيمية والأسواق المالية.</w:t>
      </w:r>
    </w:p>
    <w:p w:rsidR="00872B9A" w:rsidRPr="003A6AC6" w:rsidRDefault="00872B9A" w:rsidP="00872B9A">
      <w:pPr>
        <w:pStyle w:val="a4"/>
        <w:numPr>
          <w:ilvl w:val="0"/>
          <w:numId w:val="11"/>
        </w:numPr>
        <w:spacing w:line="360" w:lineRule="auto"/>
        <w:jc w:val="both"/>
        <w:rPr>
          <w:rFonts w:ascii="Times New Roman" w:hAnsi="Times New Roman" w:cs="Times New Roman"/>
          <w:sz w:val="28"/>
          <w:szCs w:val="28"/>
          <w:rtl/>
        </w:rPr>
      </w:pPr>
      <w:r w:rsidRPr="003A6AC6">
        <w:rPr>
          <w:rFonts w:ascii="Times New Roman" w:hAnsi="Times New Roman" w:cs="Times New Roman"/>
          <w:sz w:val="28"/>
          <w:szCs w:val="28"/>
          <w:rtl/>
        </w:rPr>
        <w:t>قياس أثر السياسات المالية والمخاطر على استدامة الأعمال.</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يشير </w:t>
      </w:r>
      <w:r w:rsidRPr="006D54B5">
        <w:rPr>
          <w:rFonts w:ascii="Times New Roman" w:hAnsi="Times New Roman" w:cs="Times New Roman"/>
          <w:sz w:val="28"/>
          <w:szCs w:val="28"/>
        </w:rPr>
        <w:t>Almazari</w:t>
      </w:r>
      <w:r w:rsidRPr="006D54B5">
        <w:rPr>
          <w:rFonts w:ascii="Times New Roman" w:hAnsi="Times New Roman" w:cs="Times New Roman"/>
          <w:sz w:val="28"/>
          <w:szCs w:val="28"/>
          <w:rtl/>
        </w:rPr>
        <w:t xml:space="preserve"> (2014) إلى أن تقييم الأداء المالي للبنوك يعد أداة أساسية لتحسين الكفاءة والربحية، كما يساعد في تطوير استراتيجيات طويلة الأجل في ظل التنافسية العالمية.</w:t>
      </w:r>
    </w:p>
    <w:p w:rsidR="00872B9A" w:rsidRPr="003A6AC6" w:rsidRDefault="00872B9A" w:rsidP="00872B9A">
      <w:pPr>
        <w:spacing w:line="360" w:lineRule="auto"/>
        <w:jc w:val="both"/>
        <w:outlineLvl w:val="2"/>
        <w:rPr>
          <w:rFonts w:asciiTheme="majorBidi" w:hAnsiTheme="majorBidi" w:cstheme="majorBidi"/>
          <w:b/>
          <w:bCs/>
          <w:sz w:val="28"/>
          <w:szCs w:val="28"/>
          <w:rtl/>
        </w:rPr>
      </w:pPr>
      <w:r>
        <w:rPr>
          <w:rFonts w:asciiTheme="majorBidi" w:hAnsiTheme="majorBidi" w:cstheme="majorBidi"/>
          <w:b/>
          <w:bCs/>
          <w:sz w:val="28"/>
          <w:szCs w:val="28"/>
          <w:rtl/>
        </w:rPr>
        <w:t xml:space="preserve"> </w:t>
      </w:r>
      <w:bookmarkStart w:id="43" w:name="_Toc203687017"/>
      <w:r>
        <w:rPr>
          <w:rFonts w:asciiTheme="majorBidi" w:hAnsiTheme="majorBidi" w:cstheme="majorBidi" w:hint="cs"/>
          <w:b/>
          <w:bCs/>
          <w:sz w:val="28"/>
          <w:szCs w:val="28"/>
          <w:rtl/>
        </w:rPr>
        <w:t xml:space="preserve">4.3 </w:t>
      </w:r>
      <w:r w:rsidRPr="003A6AC6">
        <w:rPr>
          <w:rFonts w:asciiTheme="majorBidi" w:hAnsiTheme="majorBidi" w:cstheme="majorBidi"/>
          <w:b/>
          <w:bCs/>
          <w:sz w:val="28"/>
          <w:szCs w:val="28"/>
          <w:rtl/>
        </w:rPr>
        <w:t>مؤشرات قياس الأداء المالي في البنوك</w:t>
      </w:r>
      <w:bookmarkEnd w:id="43"/>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تعتمد البنوك على مجموعة من المؤشرات المالية لتقييم أدائها، ومن أبرزها:</w:t>
      </w:r>
    </w:p>
    <w:p w:rsidR="00872B9A" w:rsidRPr="0096507B" w:rsidRDefault="00872B9A" w:rsidP="00872B9A">
      <w:pPr>
        <w:pStyle w:val="a4"/>
        <w:numPr>
          <w:ilvl w:val="0"/>
          <w:numId w:val="12"/>
        </w:numPr>
        <w:spacing w:line="360" w:lineRule="auto"/>
        <w:jc w:val="both"/>
        <w:rPr>
          <w:rFonts w:ascii="Times New Roman" w:hAnsi="Times New Roman" w:cs="Times New Roman"/>
          <w:b/>
          <w:bCs/>
          <w:sz w:val="28"/>
          <w:szCs w:val="28"/>
          <w:rtl/>
        </w:rPr>
      </w:pPr>
      <w:r w:rsidRPr="0096507B">
        <w:rPr>
          <w:rFonts w:ascii="Times New Roman" w:hAnsi="Times New Roman" w:cs="Times New Roman"/>
          <w:b/>
          <w:bCs/>
          <w:sz w:val="28"/>
          <w:szCs w:val="28"/>
          <w:rtl/>
        </w:rPr>
        <w:t>مؤشرات الربحية: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 العائد على الأصول (</w:t>
      </w:r>
      <w:r w:rsidRPr="006D54B5">
        <w:rPr>
          <w:rFonts w:ascii="Times New Roman" w:hAnsi="Times New Roman" w:cs="Times New Roman"/>
          <w:sz w:val="28"/>
          <w:szCs w:val="28"/>
        </w:rPr>
        <w:t>ROA</w:t>
      </w:r>
      <w:r w:rsidRPr="006D54B5">
        <w:rPr>
          <w:rFonts w:ascii="Times New Roman" w:hAnsi="Times New Roman" w:cs="Times New Roman"/>
          <w:sz w:val="28"/>
          <w:szCs w:val="28"/>
          <w:rtl/>
        </w:rPr>
        <w:t>): يقيس كفاءة استخدام أصول البنك لتحقيق أرباح.</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 العائد على حقوق الملكية (</w:t>
      </w:r>
      <w:r w:rsidRPr="006D54B5">
        <w:rPr>
          <w:rFonts w:ascii="Times New Roman" w:hAnsi="Times New Roman" w:cs="Times New Roman"/>
          <w:sz w:val="28"/>
          <w:szCs w:val="28"/>
        </w:rPr>
        <w:t>ROE</w:t>
      </w:r>
      <w:r w:rsidRPr="006D54B5">
        <w:rPr>
          <w:rFonts w:ascii="Times New Roman" w:hAnsi="Times New Roman" w:cs="Times New Roman"/>
          <w:sz w:val="28"/>
          <w:szCs w:val="28"/>
          <w:rtl/>
        </w:rPr>
        <w:t>): يعكس مدى استفادة الملاك من استثماراتهم في البنك.</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lastRenderedPageBreak/>
        <w:t xml:space="preserve"> هامش صافي الفائدة: الفرق بين إيرادات الفوائد وتكاليف الفوائد.</w:t>
      </w:r>
    </w:p>
    <w:p w:rsidR="00872B9A" w:rsidRPr="0096507B" w:rsidRDefault="00872B9A" w:rsidP="00872B9A">
      <w:pPr>
        <w:pStyle w:val="a4"/>
        <w:numPr>
          <w:ilvl w:val="0"/>
          <w:numId w:val="12"/>
        </w:numPr>
        <w:spacing w:line="360" w:lineRule="auto"/>
        <w:jc w:val="both"/>
        <w:rPr>
          <w:rFonts w:ascii="Times New Roman" w:hAnsi="Times New Roman" w:cs="Times New Roman"/>
          <w:b/>
          <w:bCs/>
          <w:sz w:val="28"/>
          <w:szCs w:val="28"/>
          <w:rtl/>
        </w:rPr>
      </w:pPr>
      <w:r w:rsidRPr="0096507B">
        <w:rPr>
          <w:rFonts w:ascii="Times New Roman" w:hAnsi="Times New Roman" w:cs="Times New Roman"/>
          <w:b/>
          <w:bCs/>
          <w:sz w:val="28"/>
          <w:szCs w:val="28"/>
          <w:rtl/>
        </w:rPr>
        <w:t>مؤشرات الكفاءة التشغيلية: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 نسبة التكاليف إلى الدخل: تقيس مدى كفاءة إدارة التكاليف في البنك.</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 معدل دوران الأصول: يعكس قدرة البنك على استخدام أصوله لتحقيق إيرادات.</w:t>
      </w:r>
    </w:p>
    <w:p w:rsidR="00872B9A" w:rsidRPr="0096507B" w:rsidRDefault="00872B9A" w:rsidP="00872B9A">
      <w:pPr>
        <w:pStyle w:val="a4"/>
        <w:numPr>
          <w:ilvl w:val="0"/>
          <w:numId w:val="12"/>
        </w:numPr>
        <w:spacing w:line="360" w:lineRule="auto"/>
        <w:jc w:val="both"/>
        <w:rPr>
          <w:rFonts w:ascii="Times New Roman" w:hAnsi="Times New Roman" w:cs="Times New Roman"/>
          <w:b/>
          <w:bCs/>
          <w:sz w:val="28"/>
          <w:szCs w:val="28"/>
          <w:rtl/>
        </w:rPr>
      </w:pPr>
      <w:r w:rsidRPr="0096507B">
        <w:rPr>
          <w:rFonts w:ascii="Times New Roman" w:hAnsi="Times New Roman" w:cs="Times New Roman"/>
          <w:b/>
          <w:bCs/>
          <w:sz w:val="28"/>
          <w:szCs w:val="28"/>
          <w:rtl/>
        </w:rPr>
        <w:t>مؤشرات السيولة: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 نسبة القروض إلى الودائع: تقيس مدى اعتماد البنك على مصادره التمويلية الذاتية.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 نسبة الأصول السائلة إلى إجمالي الأصول: مؤشر على قدرة البنك على الوفاء بالتزاماته قصيرة الأجل.</w:t>
      </w:r>
    </w:p>
    <w:p w:rsidR="00872B9A" w:rsidRPr="0096507B" w:rsidRDefault="00872B9A" w:rsidP="00872B9A">
      <w:pPr>
        <w:pStyle w:val="a4"/>
        <w:numPr>
          <w:ilvl w:val="0"/>
          <w:numId w:val="12"/>
        </w:numPr>
        <w:spacing w:line="360" w:lineRule="auto"/>
        <w:jc w:val="both"/>
        <w:rPr>
          <w:rFonts w:ascii="Times New Roman" w:hAnsi="Times New Roman" w:cs="Times New Roman"/>
          <w:b/>
          <w:bCs/>
          <w:sz w:val="28"/>
          <w:szCs w:val="28"/>
          <w:rtl/>
        </w:rPr>
      </w:pPr>
      <w:r w:rsidRPr="0096507B">
        <w:rPr>
          <w:rFonts w:ascii="Times New Roman" w:hAnsi="Times New Roman" w:cs="Times New Roman"/>
          <w:b/>
          <w:bCs/>
          <w:sz w:val="28"/>
          <w:szCs w:val="28"/>
          <w:rtl/>
        </w:rPr>
        <w:t>مؤشرات السلامة المالية: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 كفاية رأس المال: وفق متطلبات بازل.</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 نسبة القروض المتعثرة: مؤشر على جودة محفظة القروض وإدارة المخاطر الائتمانية.</w:t>
      </w:r>
      <w:r>
        <w:rPr>
          <w:rFonts w:ascii="Times New Roman" w:hAnsi="Times New Roman" w:cs="Times New Roman" w:hint="cs"/>
          <w:sz w:val="28"/>
          <w:szCs w:val="28"/>
          <w:rtl/>
        </w:rPr>
        <w:t xml:space="preserve"> </w:t>
      </w:r>
      <w:r w:rsidRPr="006D54B5">
        <w:rPr>
          <w:rFonts w:ascii="Times New Roman" w:hAnsi="Times New Roman" w:cs="Times New Roman"/>
          <w:sz w:val="28"/>
          <w:szCs w:val="28"/>
          <w:rtl/>
        </w:rPr>
        <w:t>(السيد، 2019؛ أبو شنب، 2021)</w:t>
      </w:r>
    </w:p>
    <w:p w:rsidR="00872B9A" w:rsidRPr="0096507B" w:rsidRDefault="00872B9A" w:rsidP="00872B9A">
      <w:pPr>
        <w:spacing w:line="360" w:lineRule="auto"/>
        <w:jc w:val="both"/>
        <w:outlineLvl w:val="2"/>
        <w:rPr>
          <w:rFonts w:asciiTheme="majorBidi" w:hAnsiTheme="majorBidi" w:cstheme="majorBidi"/>
          <w:b/>
          <w:bCs/>
          <w:sz w:val="28"/>
          <w:szCs w:val="28"/>
          <w:rtl/>
        </w:rPr>
      </w:pPr>
      <w:bookmarkStart w:id="44" w:name="_Toc203687018"/>
      <w:r w:rsidRPr="0096507B">
        <w:rPr>
          <w:rFonts w:asciiTheme="majorBidi" w:hAnsiTheme="majorBidi" w:cstheme="majorBidi"/>
          <w:b/>
          <w:bCs/>
          <w:sz w:val="28"/>
          <w:szCs w:val="28"/>
          <w:rtl/>
        </w:rPr>
        <w:t>4.4 العوامل المؤثرة في الأداء المالي للبنوك</w:t>
      </w:r>
      <w:bookmarkEnd w:id="44"/>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يتأثر الأداء المالي للبنوك بعدة عوامل، منها:</w:t>
      </w:r>
    </w:p>
    <w:p w:rsidR="00872B9A" w:rsidRPr="0096507B" w:rsidRDefault="00872B9A" w:rsidP="00872B9A">
      <w:pPr>
        <w:pStyle w:val="a4"/>
        <w:numPr>
          <w:ilvl w:val="0"/>
          <w:numId w:val="13"/>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العوامل الداخلية: مثل الهيكل الإداري، كفاءة الموظفين، استراتيجيات التسويق، جودة إدارة المخاطر.</w:t>
      </w:r>
    </w:p>
    <w:p w:rsidR="00872B9A" w:rsidRPr="0096507B" w:rsidRDefault="00872B9A" w:rsidP="00872B9A">
      <w:pPr>
        <w:pStyle w:val="a4"/>
        <w:numPr>
          <w:ilvl w:val="0"/>
          <w:numId w:val="13"/>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العوامل الخارجية: كالوضع الاقتصادي، السياسات النقدية، المنافسة المصرفية، والبيئة التنظيمية.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توضح دراسة العدوان (2020) أن فعالية إدارة المخاطر تُعد من أبرز العوامل الداخلية المؤثرة في تحسين مؤشرات الأداء المالي، حيث يؤدي تطبيق سياسات رقابة صارمة إلى خفض الخسائر وتحقيق الاستقرار المالي.</w:t>
      </w:r>
    </w:p>
    <w:p w:rsidR="00872B9A" w:rsidRDefault="00872B9A" w:rsidP="00872B9A">
      <w:pPr>
        <w:spacing w:line="360" w:lineRule="auto"/>
        <w:jc w:val="both"/>
        <w:rPr>
          <w:rFonts w:ascii="Times New Roman" w:hAnsi="Times New Roman" w:cs="Times New Roman"/>
          <w:sz w:val="28"/>
          <w:szCs w:val="28"/>
          <w:rtl/>
        </w:rPr>
      </w:pPr>
    </w:p>
    <w:p w:rsidR="00872B9A" w:rsidRDefault="00872B9A" w:rsidP="00872B9A">
      <w:pPr>
        <w:spacing w:line="360" w:lineRule="auto"/>
        <w:jc w:val="both"/>
        <w:rPr>
          <w:rFonts w:ascii="Times New Roman" w:hAnsi="Times New Roman" w:cs="Times New Roman"/>
          <w:b/>
          <w:bCs/>
          <w:sz w:val="28"/>
          <w:szCs w:val="28"/>
          <w:rtl/>
        </w:rPr>
      </w:pPr>
    </w:p>
    <w:p w:rsidR="00872B9A" w:rsidRPr="0096507B" w:rsidRDefault="00872B9A" w:rsidP="00872B9A">
      <w:pPr>
        <w:pStyle w:val="2"/>
        <w:spacing w:line="360" w:lineRule="auto"/>
        <w:rPr>
          <w:rFonts w:ascii="Simplified Arabic" w:hAnsi="Simplified Arabic" w:cs="Simplified Arabic"/>
          <w:b/>
          <w:bCs/>
          <w:color w:val="0070C0"/>
          <w:sz w:val="32"/>
          <w:szCs w:val="32"/>
          <w:rtl/>
        </w:rPr>
      </w:pPr>
      <w:bookmarkStart w:id="45" w:name="_Toc203687019"/>
      <w:r w:rsidRPr="0096507B">
        <w:rPr>
          <w:rFonts w:ascii="Simplified Arabic" w:hAnsi="Simplified Arabic" w:cs="Simplified Arabic"/>
          <w:b/>
          <w:bCs/>
          <w:color w:val="0070C0"/>
          <w:sz w:val="32"/>
          <w:szCs w:val="32"/>
          <w:rtl/>
        </w:rPr>
        <w:lastRenderedPageBreak/>
        <w:t>5. دور إدارة المخاطر في دعم الاستدامة البنكية</w:t>
      </w:r>
      <w:bookmarkEnd w:id="45"/>
    </w:p>
    <w:p w:rsidR="00872B9A" w:rsidRPr="0096507B" w:rsidRDefault="00872B9A" w:rsidP="00872B9A">
      <w:pPr>
        <w:spacing w:line="360" w:lineRule="auto"/>
        <w:jc w:val="both"/>
        <w:outlineLvl w:val="2"/>
        <w:rPr>
          <w:rFonts w:asciiTheme="majorBidi" w:hAnsiTheme="majorBidi" w:cstheme="majorBidi"/>
          <w:b/>
          <w:bCs/>
          <w:sz w:val="28"/>
          <w:szCs w:val="28"/>
          <w:rtl/>
        </w:rPr>
      </w:pPr>
      <w:r>
        <w:rPr>
          <w:rFonts w:asciiTheme="majorBidi" w:hAnsiTheme="majorBidi" w:cstheme="majorBidi"/>
          <w:b/>
          <w:bCs/>
          <w:sz w:val="28"/>
          <w:szCs w:val="28"/>
          <w:rtl/>
        </w:rPr>
        <w:t xml:space="preserve"> </w:t>
      </w:r>
      <w:bookmarkStart w:id="46" w:name="_Toc203687020"/>
      <w:r>
        <w:rPr>
          <w:rFonts w:asciiTheme="majorBidi" w:hAnsiTheme="majorBidi" w:cstheme="majorBidi" w:hint="cs"/>
          <w:b/>
          <w:bCs/>
          <w:sz w:val="28"/>
          <w:szCs w:val="28"/>
          <w:rtl/>
        </w:rPr>
        <w:t xml:space="preserve">1.5 </w:t>
      </w:r>
      <w:r w:rsidRPr="0096507B">
        <w:rPr>
          <w:rFonts w:asciiTheme="majorBidi" w:hAnsiTheme="majorBidi" w:cstheme="majorBidi"/>
          <w:b/>
          <w:bCs/>
          <w:sz w:val="28"/>
          <w:szCs w:val="28"/>
          <w:rtl/>
        </w:rPr>
        <w:t>التكامل بين إدارة المخاطر والاستدامة في البنوك</w:t>
      </w:r>
      <w:bookmarkEnd w:id="46"/>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في ظل التحديات المتزايدة في البيئة الاقتصادية والمالية والبيئية، أصبح من الضروري أن لا تُفصل إدارة المخاطر عن جهود تحقيق الاستدامة في البنوك. إذ تُعد الممارسات الفعالة في إدارة المخاطر أداة أساسية تُمكّن البنوك من مواجهة المخاطر البيئية والاجتماعية والحوكمة (</w:t>
      </w:r>
      <w:r w:rsidRPr="006D54B5">
        <w:rPr>
          <w:rFonts w:ascii="Times New Roman" w:hAnsi="Times New Roman" w:cs="Times New Roman"/>
          <w:sz w:val="28"/>
          <w:szCs w:val="28"/>
        </w:rPr>
        <w:t>ESG</w:t>
      </w:r>
      <w:r w:rsidRPr="006D54B5">
        <w:rPr>
          <w:rFonts w:ascii="Times New Roman" w:hAnsi="Times New Roman" w:cs="Times New Roman"/>
          <w:sz w:val="28"/>
          <w:szCs w:val="28"/>
          <w:rtl/>
        </w:rPr>
        <w:t>) وتعزيز استدامتها طويلة المدى (</w:t>
      </w:r>
      <w:r w:rsidRPr="006D54B5">
        <w:rPr>
          <w:rFonts w:ascii="Times New Roman" w:hAnsi="Times New Roman" w:cs="Times New Roman"/>
          <w:sz w:val="28"/>
          <w:szCs w:val="28"/>
        </w:rPr>
        <w:t>Weber, 2017</w:t>
      </w:r>
      <w:r w:rsidRPr="006D54B5">
        <w:rPr>
          <w:rFonts w:ascii="Times New Roman" w:hAnsi="Times New Roman" w:cs="Times New Roman"/>
          <w:sz w:val="28"/>
          <w:szCs w:val="28"/>
          <w:rtl/>
        </w:rPr>
        <w:t>). فالاستدامة لا تتحقق فقط من خلال الالتزام الأخلاقي، بل عبر إدماجها ضمن العمليات الاستراتيجية لإدارة المخاطر المؤسسية.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ويشير </w:t>
      </w:r>
      <w:r w:rsidRPr="006D54B5">
        <w:rPr>
          <w:rFonts w:ascii="Times New Roman" w:hAnsi="Times New Roman" w:cs="Times New Roman"/>
          <w:sz w:val="28"/>
          <w:szCs w:val="28"/>
        </w:rPr>
        <w:t>Scholtens</w:t>
      </w:r>
      <w:r w:rsidRPr="006D54B5">
        <w:rPr>
          <w:rFonts w:ascii="Times New Roman" w:hAnsi="Times New Roman" w:cs="Times New Roman"/>
          <w:sz w:val="28"/>
          <w:szCs w:val="28"/>
          <w:rtl/>
        </w:rPr>
        <w:t xml:space="preserve"> (2009) إلى أن البنوك التي تدير مخاطرها على نحو متكامل، تأخذ في الاعتبار ليس فقط الربحية، ولكن التأثيرات الاجتماعية والبيئية لأنشطتها، مما يعزز التوازن بين أهدافها المالية والتنموية.</w:t>
      </w:r>
    </w:p>
    <w:p w:rsidR="00872B9A" w:rsidRPr="0096507B" w:rsidRDefault="00872B9A" w:rsidP="00872B9A">
      <w:pPr>
        <w:spacing w:line="360" w:lineRule="auto"/>
        <w:jc w:val="both"/>
        <w:outlineLvl w:val="2"/>
        <w:rPr>
          <w:rFonts w:asciiTheme="majorBidi" w:hAnsiTheme="majorBidi" w:cstheme="majorBidi"/>
          <w:b/>
          <w:bCs/>
          <w:sz w:val="28"/>
          <w:szCs w:val="28"/>
          <w:rtl/>
        </w:rPr>
      </w:pPr>
      <w:r>
        <w:rPr>
          <w:rFonts w:asciiTheme="majorBidi" w:hAnsiTheme="majorBidi" w:cstheme="majorBidi"/>
          <w:b/>
          <w:bCs/>
          <w:sz w:val="28"/>
          <w:szCs w:val="28"/>
          <w:rtl/>
        </w:rPr>
        <w:t xml:space="preserve"> </w:t>
      </w:r>
      <w:bookmarkStart w:id="47" w:name="_Toc203687021"/>
      <w:r>
        <w:rPr>
          <w:rFonts w:asciiTheme="majorBidi" w:hAnsiTheme="majorBidi" w:cstheme="majorBidi" w:hint="cs"/>
          <w:b/>
          <w:bCs/>
          <w:sz w:val="28"/>
          <w:szCs w:val="28"/>
          <w:rtl/>
        </w:rPr>
        <w:t xml:space="preserve">2.5 </w:t>
      </w:r>
      <w:r w:rsidRPr="0096507B">
        <w:rPr>
          <w:rFonts w:asciiTheme="majorBidi" w:hAnsiTheme="majorBidi" w:cstheme="majorBidi"/>
          <w:b/>
          <w:bCs/>
          <w:sz w:val="28"/>
          <w:szCs w:val="28"/>
          <w:rtl/>
        </w:rPr>
        <w:t>كيف تدعم ممارسات إدارة المخاطر الاستدامة</w:t>
      </w:r>
      <w:bookmarkEnd w:id="47"/>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تسهم إدارة المخاطر البنكية في دعم الاستدامة من خلال عدة آليات:</w:t>
      </w:r>
    </w:p>
    <w:p w:rsidR="00872B9A" w:rsidRPr="0096507B" w:rsidRDefault="00872B9A" w:rsidP="00872B9A">
      <w:pPr>
        <w:pStyle w:val="a4"/>
        <w:numPr>
          <w:ilvl w:val="0"/>
          <w:numId w:val="14"/>
        </w:numPr>
        <w:spacing w:line="360" w:lineRule="auto"/>
        <w:ind w:left="720"/>
        <w:jc w:val="both"/>
        <w:rPr>
          <w:rFonts w:ascii="Times New Roman" w:hAnsi="Times New Roman" w:cs="Times New Roman"/>
          <w:sz w:val="28"/>
          <w:szCs w:val="28"/>
          <w:rtl/>
        </w:rPr>
      </w:pPr>
      <w:r w:rsidRPr="0096507B">
        <w:rPr>
          <w:rFonts w:ascii="Times New Roman" w:hAnsi="Times New Roman" w:cs="Times New Roman"/>
          <w:sz w:val="28"/>
          <w:szCs w:val="28"/>
          <w:rtl/>
        </w:rPr>
        <w:t>تحليل المخاطر البيئية والاجتماعية قبل التمويل: حيث تساعد أدوات إدارة المخاطر في تقييم الأثر البيئي والاجتماعي للمشروعات التي يتم تمويلها، وتجنب تلك التي قد تشكل تهديدًا طويل الأجل على البيئة أو المجتمع (</w:t>
      </w:r>
      <w:r w:rsidRPr="0096507B">
        <w:rPr>
          <w:rFonts w:ascii="Times New Roman" w:hAnsi="Times New Roman" w:cs="Times New Roman"/>
          <w:sz w:val="28"/>
          <w:szCs w:val="28"/>
        </w:rPr>
        <w:t>Thomson &amp; Jain, 2016</w:t>
      </w:r>
      <w:r w:rsidRPr="0096507B">
        <w:rPr>
          <w:rFonts w:ascii="Times New Roman" w:hAnsi="Times New Roman" w:cs="Times New Roman"/>
          <w:sz w:val="28"/>
          <w:szCs w:val="28"/>
          <w:rtl/>
        </w:rPr>
        <w:t>).</w:t>
      </w:r>
    </w:p>
    <w:p w:rsidR="00872B9A" w:rsidRPr="0096507B" w:rsidRDefault="00872B9A" w:rsidP="00872B9A">
      <w:pPr>
        <w:pStyle w:val="a4"/>
        <w:numPr>
          <w:ilvl w:val="0"/>
          <w:numId w:val="14"/>
        </w:numPr>
        <w:spacing w:line="360" w:lineRule="auto"/>
        <w:ind w:left="720"/>
        <w:jc w:val="both"/>
        <w:rPr>
          <w:rFonts w:ascii="Times New Roman" w:hAnsi="Times New Roman" w:cs="Times New Roman"/>
          <w:sz w:val="28"/>
          <w:szCs w:val="28"/>
          <w:rtl/>
        </w:rPr>
      </w:pPr>
      <w:r w:rsidRPr="0096507B">
        <w:rPr>
          <w:rFonts w:ascii="Times New Roman" w:hAnsi="Times New Roman" w:cs="Times New Roman"/>
          <w:sz w:val="28"/>
          <w:szCs w:val="28"/>
          <w:rtl/>
        </w:rPr>
        <w:t>تعزيز الشفافية والامتثال: من خلال الرقابة الداخلية والتقارير الدورية التي تتيح متابعة الأداء الأخلاقي والبيئي، مما يقلل من مخاطر السمعة والتنظيم (</w:t>
      </w:r>
      <w:r w:rsidRPr="0096507B">
        <w:rPr>
          <w:rFonts w:ascii="Times New Roman" w:hAnsi="Times New Roman" w:cs="Times New Roman"/>
          <w:sz w:val="28"/>
          <w:szCs w:val="28"/>
        </w:rPr>
        <w:t>Sullivan &amp; Mackenzie, 2020</w:t>
      </w:r>
      <w:r w:rsidRPr="0096507B">
        <w:rPr>
          <w:rFonts w:ascii="Times New Roman" w:hAnsi="Times New Roman" w:cs="Times New Roman"/>
          <w:sz w:val="28"/>
          <w:szCs w:val="28"/>
          <w:rtl/>
        </w:rPr>
        <w:t>).</w:t>
      </w:r>
    </w:p>
    <w:p w:rsidR="00872B9A" w:rsidRPr="0096507B" w:rsidRDefault="00872B9A" w:rsidP="00872B9A">
      <w:pPr>
        <w:pStyle w:val="a4"/>
        <w:numPr>
          <w:ilvl w:val="0"/>
          <w:numId w:val="14"/>
        </w:numPr>
        <w:spacing w:line="360" w:lineRule="auto"/>
        <w:ind w:left="720"/>
        <w:jc w:val="both"/>
        <w:rPr>
          <w:rFonts w:ascii="Times New Roman" w:hAnsi="Times New Roman" w:cs="Times New Roman"/>
          <w:sz w:val="28"/>
          <w:szCs w:val="28"/>
          <w:rtl/>
        </w:rPr>
      </w:pPr>
      <w:r w:rsidRPr="0096507B">
        <w:rPr>
          <w:rFonts w:ascii="Times New Roman" w:hAnsi="Times New Roman" w:cs="Times New Roman"/>
          <w:sz w:val="28"/>
          <w:szCs w:val="28"/>
          <w:rtl/>
        </w:rPr>
        <w:t>توجيه الاستثمار نحو المشاريع المستدامة: تساعد تقنيات إدارة المخاطر في تخصيص الموارد بشكل أكثر كفاءة نحو مشاريع ذات طابع مستدام كتمويل الطاقة النظيفة أو البنية التحتية الخضراء.</w:t>
      </w:r>
    </w:p>
    <w:p w:rsidR="00872B9A" w:rsidRPr="0096507B" w:rsidRDefault="00872B9A" w:rsidP="00872B9A">
      <w:pPr>
        <w:pStyle w:val="a4"/>
        <w:numPr>
          <w:ilvl w:val="0"/>
          <w:numId w:val="14"/>
        </w:numPr>
        <w:spacing w:line="360" w:lineRule="auto"/>
        <w:ind w:left="720"/>
        <w:jc w:val="both"/>
        <w:rPr>
          <w:rFonts w:ascii="Times New Roman" w:hAnsi="Times New Roman" w:cs="Times New Roman"/>
          <w:sz w:val="28"/>
          <w:szCs w:val="28"/>
          <w:rtl/>
        </w:rPr>
      </w:pPr>
      <w:r w:rsidRPr="0096507B">
        <w:rPr>
          <w:rFonts w:ascii="Times New Roman" w:hAnsi="Times New Roman" w:cs="Times New Roman"/>
          <w:sz w:val="28"/>
          <w:szCs w:val="28"/>
          <w:rtl/>
        </w:rPr>
        <w:t>التخطيط للطوارئ والكوارث البيئية: البنوك التي تتبنى إدارة مخاطر استراتيجية تدمج سيناريوهات الكوارث البيئية (مثل تغير المناخ أو نقص الموارد) في خططها المستقبلية، مما يدعم مرونتها واستدامتها.</w:t>
      </w:r>
    </w:p>
    <w:p w:rsidR="00872B9A" w:rsidRDefault="00872B9A" w:rsidP="00872B9A">
      <w:pPr>
        <w:spacing w:line="360" w:lineRule="auto"/>
        <w:ind w:firstLine="368"/>
        <w:jc w:val="both"/>
        <w:rPr>
          <w:rFonts w:ascii="Times New Roman" w:hAnsi="Times New Roman" w:cs="Times New Roman"/>
          <w:sz w:val="28"/>
          <w:szCs w:val="28"/>
          <w:rtl/>
        </w:rPr>
      </w:pPr>
    </w:p>
    <w:p w:rsidR="00872B9A" w:rsidRPr="006D54B5" w:rsidRDefault="00872B9A" w:rsidP="00872B9A">
      <w:pPr>
        <w:spacing w:line="360" w:lineRule="auto"/>
        <w:ind w:firstLine="368"/>
        <w:jc w:val="both"/>
        <w:rPr>
          <w:rFonts w:ascii="Times New Roman" w:hAnsi="Times New Roman" w:cs="Times New Roman"/>
          <w:sz w:val="28"/>
          <w:szCs w:val="28"/>
          <w:rtl/>
        </w:rPr>
      </w:pPr>
    </w:p>
    <w:p w:rsidR="00872B9A" w:rsidRPr="0096507B" w:rsidRDefault="00872B9A" w:rsidP="00872B9A">
      <w:pPr>
        <w:spacing w:line="360" w:lineRule="auto"/>
        <w:jc w:val="both"/>
        <w:outlineLvl w:val="2"/>
        <w:rPr>
          <w:rFonts w:asciiTheme="majorBidi" w:hAnsiTheme="majorBidi" w:cstheme="majorBidi"/>
          <w:b/>
          <w:bCs/>
          <w:sz w:val="28"/>
          <w:szCs w:val="28"/>
          <w:rtl/>
        </w:rPr>
      </w:pPr>
      <w:bookmarkStart w:id="48" w:name="_Toc203687022"/>
      <w:r w:rsidRPr="0096507B">
        <w:rPr>
          <w:rFonts w:asciiTheme="majorBidi" w:hAnsiTheme="majorBidi" w:cstheme="majorBidi" w:hint="cs"/>
          <w:b/>
          <w:bCs/>
          <w:sz w:val="28"/>
          <w:szCs w:val="28"/>
          <w:rtl/>
        </w:rPr>
        <w:lastRenderedPageBreak/>
        <w:t xml:space="preserve">3.5 </w:t>
      </w:r>
      <w:r w:rsidRPr="0096507B">
        <w:rPr>
          <w:rFonts w:asciiTheme="majorBidi" w:hAnsiTheme="majorBidi" w:cstheme="majorBidi"/>
          <w:b/>
          <w:bCs/>
          <w:sz w:val="28"/>
          <w:szCs w:val="28"/>
          <w:rtl/>
        </w:rPr>
        <w:t xml:space="preserve"> التزامات البنوك بالمعايير البيئية والاجتماعية</w:t>
      </w:r>
      <w:bookmarkEnd w:id="48"/>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أصبحت العديد من البنوك التجارية، خاصة في الدول المتقدمة، تلتزم طواعيةً أو قانونيًا بمعايير الاستدامة مثل:</w:t>
      </w:r>
    </w:p>
    <w:p w:rsidR="00872B9A" w:rsidRPr="0096507B" w:rsidRDefault="00872B9A" w:rsidP="00872B9A">
      <w:pPr>
        <w:pStyle w:val="a4"/>
        <w:numPr>
          <w:ilvl w:val="0"/>
          <w:numId w:val="15"/>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مبادئ الإقراض المسؤول (</w:t>
      </w:r>
      <w:r w:rsidRPr="0096507B">
        <w:rPr>
          <w:rFonts w:ascii="Times New Roman" w:hAnsi="Times New Roman" w:cs="Times New Roman"/>
          <w:sz w:val="28"/>
          <w:szCs w:val="28"/>
        </w:rPr>
        <w:t>Equator Principles</w:t>
      </w:r>
      <w:r w:rsidRPr="0096507B">
        <w:rPr>
          <w:rFonts w:ascii="Times New Roman" w:hAnsi="Times New Roman" w:cs="Times New Roman"/>
          <w:sz w:val="28"/>
          <w:szCs w:val="28"/>
          <w:rtl/>
        </w:rPr>
        <w:t>): وهي مجموعة من المبادئ الطوعية التي تُستخدم لتقييم وإدارة المخاطر البيئية والاجتماعية في التمويل البنكي للمشاريع.</w:t>
      </w:r>
    </w:p>
    <w:p w:rsidR="00872B9A" w:rsidRPr="0096507B" w:rsidRDefault="00872B9A" w:rsidP="00872B9A">
      <w:pPr>
        <w:pStyle w:val="a4"/>
        <w:numPr>
          <w:ilvl w:val="0"/>
          <w:numId w:val="15"/>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إرشادات البنك الدولي ومعايير الأداء البيئي والاجتماعي (</w:t>
      </w:r>
      <w:r w:rsidRPr="0096507B">
        <w:rPr>
          <w:rFonts w:ascii="Times New Roman" w:hAnsi="Times New Roman" w:cs="Times New Roman"/>
          <w:sz w:val="28"/>
          <w:szCs w:val="28"/>
        </w:rPr>
        <w:t>IFC Performance Standards</w:t>
      </w:r>
      <w:r w:rsidRPr="0096507B">
        <w:rPr>
          <w:rFonts w:ascii="Times New Roman" w:hAnsi="Times New Roman" w:cs="Times New Roman"/>
          <w:sz w:val="28"/>
          <w:szCs w:val="28"/>
          <w:rtl/>
        </w:rPr>
        <w:t>).</w:t>
      </w:r>
    </w:p>
    <w:p w:rsidR="00872B9A" w:rsidRPr="0096507B" w:rsidRDefault="00872B9A" w:rsidP="00872B9A">
      <w:pPr>
        <w:pStyle w:val="a4"/>
        <w:numPr>
          <w:ilvl w:val="0"/>
          <w:numId w:val="15"/>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معايير الحوكمة البيئية والاجتماعية (</w:t>
      </w:r>
      <w:r w:rsidRPr="0096507B">
        <w:rPr>
          <w:rFonts w:ascii="Times New Roman" w:hAnsi="Times New Roman" w:cs="Times New Roman"/>
          <w:sz w:val="28"/>
          <w:szCs w:val="28"/>
        </w:rPr>
        <w:t>ESG</w:t>
      </w:r>
      <w:r w:rsidRPr="0096507B">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تشير هذه المبادرات إلى تحول البنوك من دور "الوسيط المالي التقليدي" إلى "فاعل اقتصادي واجتماعي مسؤول"، وهو ما يتطلب تبني نماذج متطورة لإدارة المخاطر تأخذ بعين الاعتبار الاستدامة كأحد أبعاد الربحية (</w:t>
      </w:r>
      <w:r w:rsidRPr="006D54B5">
        <w:rPr>
          <w:rFonts w:ascii="Times New Roman" w:hAnsi="Times New Roman" w:cs="Times New Roman"/>
          <w:sz w:val="28"/>
          <w:szCs w:val="28"/>
        </w:rPr>
        <w:t>Jeucken, 2001</w:t>
      </w:r>
      <w:r>
        <w:rPr>
          <w:rFonts w:ascii="Times New Roman" w:hAnsi="Times New Roman" w:cs="Times New Roman"/>
          <w:sz w:val="28"/>
          <w:szCs w:val="28"/>
          <w:rtl/>
        </w:rPr>
        <w:t>).</w:t>
      </w:r>
    </w:p>
    <w:p w:rsidR="00872B9A" w:rsidRPr="0096507B" w:rsidRDefault="00872B9A" w:rsidP="00872B9A">
      <w:pPr>
        <w:spacing w:line="360" w:lineRule="auto"/>
        <w:jc w:val="both"/>
        <w:outlineLvl w:val="2"/>
        <w:rPr>
          <w:rFonts w:asciiTheme="majorBidi" w:hAnsiTheme="majorBidi" w:cstheme="majorBidi"/>
          <w:b/>
          <w:bCs/>
          <w:sz w:val="28"/>
          <w:szCs w:val="28"/>
          <w:rtl/>
        </w:rPr>
      </w:pPr>
      <w:r w:rsidRPr="0096507B">
        <w:rPr>
          <w:rFonts w:asciiTheme="majorBidi" w:hAnsiTheme="majorBidi" w:cstheme="majorBidi"/>
          <w:b/>
          <w:bCs/>
          <w:sz w:val="28"/>
          <w:szCs w:val="28"/>
          <w:rtl/>
        </w:rPr>
        <w:t xml:space="preserve"> </w:t>
      </w:r>
      <w:bookmarkStart w:id="49" w:name="_Toc203687023"/>
      <w:r>
        <w:rPr>
          <w:rFonts w:asciiTheme="majorBidi" w:hAnsiTheme="majorBidi" w:cstheme="majorBidi" w:hint="cs"/>
          <w:b/>
          <w:bCs/>
          <w:sz w:val="28"/>
          <w:szCs w:val="28"/>
          <w:rtl/>
        </w:rPr>
        <w:t>4.5</w:t>
      </w:r>
      <w:r w:rsidRPr="0096507B">
        <w:rPr>
          <w:rFonts w:asciiTheme="majorBidi" w:hAnsiTheme="majorBidi" w:cstheme="majorBidi"/>
          <w:b/>
          <w:bCs/>
          <w:sz w:val="28"/>
          <w:szCs w:val="28"/>
          <w:rtl/>
        </w:rPr>
        <w:t xml:space="preserve"> الأمثلة العملية على التكامل بين إدارة المخاطر والاستدامة</w:t>
      </w:r>
      <w:bookmarkEnd w:id="49"/>
    </w:p>
    <w:p w:rsidR="00872B9A" w:rsidRPr="0096507B" w:rsidRDefault="00872B9A" w:rsidP="00872B9A">
      <w:pPr>
        <w:pStyle w:val="a4"/>
        <w:numPr>
          <w:ilvl w:val="0"/>
          <w:numId w:val="16"/>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 xml:space="preserve">بنك </w:t>
      </w:r>
      <w:r w:rsidRPr="0096507B">
        <w:rPr>
          <w:rFonts w:ascii="Times New Roman" w:hAnsi="Times New Roman" w:cs="Times New Roman"/>
          <w:sz w:val="28"/>
          <w:szCs w:val="28"/>
        </w:rPr>
        <w:t>HSBC</w:t>
      </w:r>
      <w:r w:rsidRPr="0096507B">
        <w:rPr>
          <w:rFonts w:ascii="Times New Roman" w:hAnsi="Times New Roman" w:cs="Times New Roman"/>
          <w:sz w:val="28"/>
          <w:szCs w:val="28"/>
          <w:rtl/>
        </w:rPr>
        <w:t>: يُعد من أوائل البنوك التي طبّقت نظامًا لتقييم المخاطر البيئية في قرارات الإقراض، وقد أدخل مؤشرات أداء استدامية ضمن نظام إدارة المخاطر المؤسسية.</w:t>
      </w:r>
    </w:p>
    <w:p w:rsidR="00872B9A" w:rsidRPr="004C5FA1" w:rsidRDefault="00872B9A" w:rsidP="00872B9A">
      <w:pPr>
        <w:pStyle w:val="a4"/>
        <w:numPr>
          <w:ilvl w:val="0"/>
          <w:numId w:val="16"/>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 xml:space="preserve">بنك </w:t>
      </w:r>
      <w:r w:rsidRPr="0096507B">
        <w:rPr>
          <w:rFonts w:ascii="Times New Roman" w:hAnsi="Times New Roman" w:cs="Times New Roman"/>
          <w:sz w:val="28"/>
          <w:szCs w:val="28"/>
        </w:rPr>
        <w:t>ING</w:t>
      </w:r>
      <w:r w:rsidRPr="0096507B">
        <w:rPr>
          <w:rFonts w:ascii="Times New Roman" w:hAnsi="Times New Roman" w:cs="Times New Roman"/>
          <w:sz w:val="28"/>
          <w:szCs w:val="28"/>
          <w:rtl/>
        </w:rPr>
        <w:t xml:space="preserve"> الهولندي: اعتمد نهجًا في "تقييم المخاطر غير المالية"، حيث يتم فحص البصمة الكربونية للمشروعات الممولة ضمن إطار تحليل المخاطر (</w:t>
      </w:r>
      <w:r w:rsidRPr="0096507B">
        <w:rPr>
          <w:rFonts w:ascii="Times New Roman" w:hAnsi="Times New Roman" w:cs="Times New Roman"/>
          <w:sz w:val="28"/>
          <w:szCs w:val="28"/>
        </w:rPr>
        <w:t>ING Group, 2020</w:t>
      </w:r>
      <w:r w:rsidRPr="0096507B">
        <w:rPr>
          <w:rFonts w:ascii="Times New Roman" w:hAnsi="Times New Roman" w:cs="Times New Roman"/>
          <w:sz w:val="28"/>
          <w:szCs w:val="28"/>
          <w:rtl/>
        </w:rPr>
        <w:t>).</w:t>
      </w:r>
    </w:p>
    <w:p w:rsidR="00872B9A" w:rsidRPr="0096507B" w:rsidRDefault="00872B9A" w:rsidP="00872B9A">
      <w:pPr>
        <w:spacing w:line="360" w:lineRule="auto"/>
        <w:jc w:val="both"/>
        <w:outlineLvl w:val="2"/>
        <w:rPr>
          <w:rFonts w:asciiTheme="majorBidi" w:hAnsiTheme="majorBidi" w:cstheme="majorBidi"/>
          <w:b/>
          <w:bCs/>
          <w:sz w:val="28"/>
          <w:szCs w:val="28"/>
          <w:rtl/>
        </w:rPr>
      </w:pPr>
      <w:r w:rsidRPr="0096507B">
        <w:rPr>
          <w:rFonts w:asciiTheme="majorBidi" w:hAnsiTheme="majorBidi" w:cstheme="majorBidi"/>
          <w:b/>
          <w:bCs/>
          <w:sz w:val="28"/>
          <w:szCs w:val="28"/>
          <w:rtl/>
        </w:rPr>
        <w:t xml:space="preserve"> </w:t>
      </w:r>
      <w:bookmarkStart w:id="50" w:name="_Toc203687024"/>
      <w:r w:rsidRPr="0096507B">
        <w:rPr>
          <w:rFonts w:asciiTheme="majorBidi" w:hAnsiTheme="majorBidi" w:cstheme="majorBidi"/>
          <w:b/>
          <w:bCs/>
          <w:sz w:val="28"/>
          <w:szCs w:val="28"/>
          <w:rtl/>
        </w:rPr>
        <w:t>5.5 تحديات تكامل إدارة المخاطر مع أهداف الاستدامة</w:t>
      </w:r>
      <w:bookmarkEnd w:id="50"/>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رغم وجود تطورات ملحوظة، إلا أن هناك تحديات تعيق هذا التكامل، من أهمها:</w:t>
      </w:r>
    </w:p>
    <w:p w:rsidR="00872B9A" w:rsidRPr="0096507B" w:rsidRDefault="00872B9A" w:rsidP="00872B9A">
      <w:pPr>
        <w:pStyle w:val="a4"/>
        <w:numPr>
          <w:ilvl w:val="0"/>
          <w:numId w:val="17"/>
        </w:numPr>
        <w:spacing w:line="360" w:lineRule="auto"/>
        <w:ind w:left="728"/>
        <w:jc w:val="both"/>
        <w:rPr>
          <w:rFonts w:ascii="Times New Roman" w:hAnsi="Times New Roman" w:cs="Times New Roman"/>
          <w:sz w:val="28"/>
          <w:szCs w:val="28"/>
          <w:rtl/>
        </w:rPr>
      </w:pPr>
      <w:r w:rsidRPr="0096507B">
        <w:rPr>
          <w:rFonts w:ascii="Times New Roman" w:hAnsi="Times New Roman" w:cs="Times New Roman"/>
          <w:sz w:val="28"/>
          <w:szCs w:val="28"/>
          <w:rtl/>
        </w:rPr>
        <w:t>ضعف الخبرات الفنية: حيث تفتقر العديد من إدارات المخاطر في البنوك إلى الكفاءات المتخصصة في القضايا البيئية والاجتماعية.</w:t>
      </w:r>
    </w:p>
    <w:p w:rsidR="00872B9A" w:rsidRPr="0096507B" w:rsidRDefault="00872B9A" w:rsidP="00872B9A">
      <w:pPr>
        <w:pStyle w:val="a4"/>
        <w:numPr>
          <w:ilvl w:val="0"/>
          <w:numId w:val="17"/>
        </w:numPr>
        <w:spacing w:line="360" w:lineRule="auto"/>
        <w:ind w:left="728"/>
        <w:jc w:val="both"/>
        <w:rPr>
          <w:rFonts w:ascii="Times New Roman" w:hAnsi="Times New Roman" w:cs="Times New Roman"/>
          <w:sz w:val="28"/>
          <w:szCs w:val="28"/>
          <w:rtl/>
        </w:rPr>
      </w:pPr>
      <w:r w:rsidRPr="0096507B">
        <w:rPr>
          <w:rFonts w:ascii="Times New Roman" w:hAnsi="Times New Roman" w:cs="Times New Roman"/>
          <w:sz w:val="28"/>
          <w:szCs w:val="28"/>
          <w:rtl/>
        </w:rPr>
        <w:t xml:space="preserve">محدودية البيانات: تواجه البنوك صعوبات في الحصول على بيانات موثوقة وقابلة للقياس عن تأثيرات </w:t>
      </w:r>
      <w:r w:rsidRPr="0096507B">
        <w:rPr>
          <w:rFonts w:ascii="Times New Roman" w:hAnsi="Times New Roman" w:cs="Times New Roman"/>
          <w:sz w:val="28"/>
          <w:szCs w:val="28"/>
        </w:rPr>
        <w:t>ESG</w:t>
      </w:r>
      <w:r w:rsidRPr="0096507B">
        <w:rPr>
          <w:rFonts w:ascii="Times New Roman" w:hAnsi="Times New Roman" w:cs="Times New Roman"/>
          <w:sz w:val="28"/>
          <w:szCs w:val="28"/>
          <w:rtl/>
        </w:rPr>
        <w:t>.</w:t>
      </w:r>
    </w:p>
    <w:p w:rsidR="00872B9A" w:rsidRPr="004C5FA1" w:rsidRDefault="00872B9A" w:rsidP="00872B9A">
      <w:pPr>
        <w:pStyle w:val="a4"/>
        <w:numPr>
          <w:ilvl w:val="0"/>
          <w:numId w:val="17"/>
        </w:numPr>
        <w:spacing w:line="360" w:lineRule="auto"/>
        <w:ind w:left="728"/>
        <w:jc w:val="both"/>
        <w:rPr>
          <w:rFonts w:ascii="Times New Roman" w:hAnsi="Times New Roman" w:cs="Times New Roman"/>
          <w:sz w:val="28"/>
          <w:szCs w:val="28"/>
          <w:rtl/>
        </w:rPr>
      </w:pPr>
      <w:r w:rsidRPr="0096507B">
        <w:rPr>
          <w:rFonts w:ascii="Times New Roman" w:hAnsi="Times New Roman" w:cs="Times New Roman"/>
          <w:sz w:val="28"/>
          <w:szCs w:val="28"/>
          <w:rtl/>
        </w:rPr>
        <w:t>مقاومة التغيير المؤسسي: بعض المؤسسات لا تزال ترى أن الاعتبارات البيئية والاجتماعية هي "كُلفة" وليست "استثمارًا"، ما يعيق تبنيها في استراتيجيات المخاطر (</w:t>
      </w:r>
      <w:r w:rsidRPr="0096507B">
        <w:rPr>
          <w:rFonts w:ascii="Times New Roman" w:hAnsi="Times New Roman" w:cs="Times New Roman"/>
          <w:sz w:val="28"/>
          <w:szCs w:val="28"/>
        </w:rPr>
        <w:t>Sassen, Azadi, &amp; Amini, 2016</w:t>
      </w:r>
      <w:r w:rsidRPr="0096507B">
        <w:rPr>
          <w:rFonts w:ascii="Times New Roman" w:hAnsi="Times New Roman" w:cs="Times New Roman"/>
          <w:sz w:val="28"/>
          <w:szCs w:val="28"/>
          <w:rtl/>
        </w:rPr>
        <w:t>).</w:t>
      </w:r>
    </w:p>
    <w:p w:rsidR="00872B9A" w:rsidRPr="0096507B" w:rsidRDefault="00872B9A" w:rsidP="00872B9A">
      <w:pPr>
        <w:spacing w:line="360" w:lineRule="auto"/>
        <w:jc w:val="both"/>
        <w:outlineLvl w:val="2"/>
        <w:rPr>
          <w:rFonts w:asciiTheme="majorBidi" w:hAnsiTheme="majorBidi" w:cstheme="majorBidi"/>
          <w:b/>
          <w:bCs/>
          <w:sz w:val="28"/>
          <w:szCs w:val="28"/>
          <w:rtl/>
        </w:rPr>
      </w:pPr>
      <w:r>
        <w:rPr>
          <w:rFonts w:asciiTheme="majorBidi" w:hAnsiTheme="majorBidi" w:cstheme="majorBidi"/>
          <w:b/>
          <w:bCs/>
          <w:sz w:val="28"/>
          <w:szCs w:val="28"/>
          <w:rtl/>
        </w:rPr>
        <w:lastRenderedPageBreak/>
        <w:t xml:space="preserve"> </w:t>
      </w:r>
      <w:bookmarkStart w:id="51" w:name="_Toc203687025"/>
      <w:r>
        <w:rPr>
          <w:rFonts w:asciiTheme="majorBidi" w:hAnsiTheme="majorBidi" w:cstheme="majorBidi" w:hint="cs"/>
          <w:b/>
          <w:bCs/>
          <w:sz w:val="28"/>
          <w:szCs w:val="28"/>
          <w:rtl/>
        </w:rPr>
        <w:t xml:space="preserve">6.5 </w:t>
      </w:r>
      <w:r w:rsidRPr="0096507B">
        <w:rPr>
          <w:rFonts w:asciiTheme="majorBidi" w:hAnsiTheme="majorBidi" w:cstheme="majorBidi"/>
          <w:b/>
          <w:bCs/>
          <w:sz w:val="28"/>
          <w:szCs w:val="28"/>
          <w:rtl/>
        </w:rPr>
        <w:t>فوائد التكامل على المدى الطويل</w:t>
      </w:r>
      <w:bookmarkEnd w:id="51"/>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عند اعتماد التكامل بين إدارة المخاطر والاستدامة البنكية، تحقق المؤسسات المالية عدة مكاسب:</w:t>
      </w:r>
    </w:p>
    <w:p w:rsidR="00872B9A" w:rsidRPr="0096507B" w:rsidRDefault="00872B9A" w:rsidP="00872B9A">
      <w:pPr>
        <w:pStyle w:val="a4"/>
        <w:numPr>
          <w:ilvl w:val="0"/>
          <w:numId w:val="18"/>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تقليل الخسائر المحتملة الناتجة عن المخاطر البيئية والاجتماعية.</w:t>
      </w:r>
    </w:p>
    <w:p w:rsidR="00872B9A" w:rsidRPr="0096507B" w:rsidRDefault="00872B9A" w:rsidP="00872B9A">
      <w:pPr>
        <w:pStyle w:val="a4"/>
        <w:numPr>
          <w:ilvl w:val="0"/>
          <w:numId w:val="18"/>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زيادة ثقة المستثمرين والعملاء المهتمين بالاستدامة.</w:t>
      </w:r>
    </w:p>
    <w:p w:rsidR="00872B9A" w:rsidRPr="0096507B" w:rsidRDefault="00872B9A" w:rsidP="00872B9A">
      <w:pPr>
        <w:pStyle w:val="a4"/>
        <w:numPr>
          <w:ilvl w:val="0"/>
          <w:numId w:val="18"/>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تحسين التقييمات الائتمانية طويلة الأجل.</w:t>
      </w:r>
    </w:p>
    <w:p w:rsidR="00872B9A" w:rsidRPr="0096507B" w:rsidRDefault="00872B9A" w:rsidP="00872B9A">
      <w:pPr>
        <w:pStyle w:val="a4"/>
        <w:numPr>
          <w:ilvl w:val="0"/>
          <w:numId w:val="18"/>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تعزيز سمعة البنك محليًا ودوليًا.</w:t>
      </w:r>
    </w:p>
    <w:p w:rsidR="00872B9A" w:rsidRPr="0096507B" w:rsidRDefault="00872B9A" w:rsidP="00872B9A">
      <w:pPr>
        <w:pStyle w:val="a4"/>
        <w:numPr>
          <w:ilvl w:val="0"/>
          <w:numId w:val="18"/>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 xml:space="preserve">المساهمة في تحقيق أهداف التنمية المستدامة </w:t>
      </w:r>
      <w:r w:rsidRPr="0096507B">
        <w:rPr>
          <w:rFonts w:ascii="Times New Roman" w:hAnsi="Times New Roman" w:cs="Times New Roman"/>
          <w:sz w:val="28"/>
          <w:szCs w:val="28"/>
        </w:rPr>
        <w:t>SDGs</w:t>
      </w:r>
      <w:r w:rsidRPr="0096507B">
        <w:rPr>
          <w:rFonts w:ascii="Times New Roman" w:hAnsi="Times New Roman" w:cs="Times New Roman"/>
          <w:sz w:val="28"/>
          <w:szCs w:val="28"/>
          <w:rtl/>
        </w:rPr>
        <w:t xml:space="preserve"> (الأمم المتحدة، 2015).</w:t>
      </w:r>
    </w:p>
    <w:p w:rsidR="00872B9A" w:rsidRDefault="00872B9A" w:rsidP="00872B9A">
      <w:pPr>
        <w:spacing w:line="360" w:lineRule="auto"/>
        <w:jc w:val="both"/>
        <w:rPr>
          <w:rFonts w:ascii="Times New Roman" w:hAnsi="Times New Roman" w:cs="Times New Roman" w:hint="cs"/>
          <w:b/>
          <w:bCs/>
          <w:sz w:val="28"/>
          <w:szCs w:val="28"/>
          <w:rtl/>
        </w:rPr>
      </w:pPr>
    </w:p>
    <w:p w:rsidR="00872B9A" w:rsidRPr="0096507B" w:rsidRDefault="00872B9A" w:rsidP="00872B9A">
      <w:pPr>
        <w:pStyle w:val="2"/>
        <w:spacing w:line="360" w:lineRule="auto"/>
        <w:rPr>
          <w:rFonts w:ascii="Simplified Arabic" w:hAnsi="Simplified Arabic" w:cs="Simplified Arabic"/>
          <w:b/>
          <w:bCs/>
          <w:color w:val="0070C0"/>
          <w:sz w:val="32"/>
          <w:szCs w:val="32"/>
          <w:rtl/>
        </w:rPr>
      </w:pPr>
      <w:bookmarkStart w:id="52" w:name="_Toc203687026"/>
      <w:r w:rsidRPr="0096507B">
        <w:rPr>
          <w:rFonts w:ascii="Simplified Arabic" w:hAnsi="Simplified Arabic" w:cs="Simplified Arabic"/>
          <w:b/>
          <w:bCs/>
          <w:color w:val="0070C0"/>
          <w:sz w:val="32"/>
          <w:szCs w:val="32"/>
          <w:rtl/>
        </w:rPr>
        <w:t>6. أثر إدارة المخاطر على تحسين الأداء المالي في البنوك</w:t>
      </w:r>
      <w:bookmarkEnd w:id="52"/>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تلعب إدارة المخاطر دورًا جوهريًا في المؤسسات المالية، لا سيما في البنوك، إذ تُعد آلية استراتيجية لتعزيز الاستقرار وتحقيق الأهداف المالية. فمع تصاعد التعقيدات في بيئة الأعمال وازدياد المخاطر التنظيمية والائتمانية والتشغيلية، أصبحت البنوك ملزمة بتطبيق سياسات فعالة لإدارة المخاطر لضمان حماية أصولها، تحسين كفاءة عملياتها، وضمان استدامة أرباحها (</w:t>
      </w:r>
      <w:r w:rsidRPr="006D54B5">
        <w:rPr>
          <w:rFonts w:ascii="Times New Roman" w:hAnsi="Times New Roman" w:cs="Times New Roman"/>
          <w:sz w:val="28"/>
          <w:szCs w:val="28"/>
        </w:rPr>
        <w:t>Saunders &amp; Allen, 2020</w:t>
      </w:r>
      <w:r w:rsidRPr="006D54B5">
        <w:rPr>
          <w:rFonts w:ascii="Times New Roman" w:hAnsi="Times New Roman" w:cs="Times New Roman"/>
          <w:sz w:val="28"/>
          <w:szCs w:val="28"/>
          <w:rtl/>
        </w:rPr>
        <w:t>).</w:t>
      </w:r>
    </w:p>
    <w:p w:rsidR="00872B9A" w:rsidRPr="0096507B" w:rsidRDefault="00872B9A" w:rsidP="00872B9A">
      <w:pPr>
        <w:spacing w:line="360" w:lineRule="auto"/>
        <w:jc w:val="both"/>
        <w:outlineLvl w:val="2"/>
        <w:rPr>
          <w:rFonts w:asciiTheme="majorBidi" w:hAnsiTheme="majorBidi" w:cstheme="majorBidi"/>
          <w:b/>
          <w:bCs/>
          <w:sz w:val="28"/>
          <w:szCs w:val="28"/>
          <w:rtl/>
        </w:rPr>
      </w:pPr>
      <w:r w:rsidRPr="0096507B">
        <w:rPr>
          <w:rFonts w:asciiTheme="majorBidi" w:hAnsiTheme="majorBidi" w:cstheme="majorBidi"/>
          <w:b/>
          <w:bCs/>
          <w:sz w:val="28"/>
          <w:szCs w:val="28"/>
          <w:rtl/>
        </w:rPr>
        <w:t xml:space="preserve"> </w:t>
      </w:r>
      <w:bookmarkStart w:id="53" w:name="_Toc203687027"/>
      <w:r>
        <w:rPr>
          <w:rFonts w:asciiTheme="majorBidi" w:hAnsiTheme="majorBidi" w:cstheme="majorBidi" w:hint="cs"/>
          <w:b/>
          <w:bCs/>
          <w:sz w:val="28"/>
          <w:szCs w:val="28"/>
          <w:rtl/>
        </w:rPr>
        <w:t>1.6</w:t>
      </w:r>
      <w:r w:rsidRPr="0096507B">
        <w:rPr>
          <w:rFonts w:asciiTheme="majorBidi" w:hAnsiTheme="majorBidi" w:cstheme="majorBidi"/>
          <w:b/>
          <w:bCs/>
          <w:sz w:val="28"/>
          <w:szCs w:val="28"/>
          <w:rtl/>
        </w:rPr>
        <w:t xml:space="preserve"> أهمية إدارة المخاطر في تحقيق الاستقرار المالي للبنوك</w:t>
      </w:r>
      <w:bookmarkEnd w:id="53"/>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تهدف إدارة المخاطر في البنوك إلى تقليل احتمال وقوع الخسائر المالية أو التأثيرات السلبية على الأداء المالي من خلال تحديد المخاطر المحتملة وتحليلها وإيجاد حلول واستراتيجيات للتعامل معها. إن تبني أنظمة فعالة لإدارة المخاطر يُعد شرطًا أساسيًا لتعزيز الثقة بين البنوك والمودعين والمستثمرين، مما ينعكس إيجابًا على الأداء المالي العام (</w:t>
      </w:r>
      <w:r w:rsidRPr="006D54B5">
        <w:rPr>
          <w:rFonts w:ascii="Times New Roman" w:hAnsi="Times New Roman" w:cs="Times New Roman"/>
          <w:sz w:val="28"/>
          <w:szCs w:val="28"/>
        </w:rPr>
        <w:t>Hull, 2018</w:t>
      </w:r>
      <w:r w:rsidRPr="006D54B5">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كما تؤكد لجنة بازل للرقابة المصرفية (</w:t>
      </w:r>
      <w:r w:rsidRPr="006D54B5">
        <w:rPr>
          <w:rFonts w:ascii="Times New Roman" w:hAnsi="Times New Roman" w:cs="Times New Roman"/>
          <w:sz w:val="28"/>
          <w:szCs w:val="28"/>
        </w:rPr>
        <w:t>Basel Committee, 2011</w:t>
      </w:r>
      <w:r w:rsidRPr="006D54B5">
        <w:rPr>
          <w:rFonts w:ascii="Times New Roman" w:hAnsi="Times New Roman" w:cs="Times New Roman"/>
          <w:sz w:val="28"/>
          <w:szCs w:val="28"/>
          <w:rtl/>
        </w:rPr>
        <w:t>) على أهمية إدارة المخاطر في تحقيق الاستقرار المالي، من خلال فرض متطلبات لرأس المال لمواجهة مختلف أنواع المخاطر مثل مخاطر الائتمان، السوق، والتشغيل.</w:t>
      </w:r>
    </w:p>
    <w:p w:rsidR="00872B9A" w:rsidRDefault="00872B9A" w:rsidP="00872B9A">
      <w:pPr>
        <w:spacing w:line="360" w:lineRule="auto"/>
        <w:ind w:firstLine="368"/>
        <w:jc w:val="both"/>
        <w:rPr>
          <w:rFonts w:ascii="Times New Roman" w:hAnsi="Times New Roman" w:cs="Times New Roman"/>
          <w:sz w:val="28"/>
          <w:szCs w:val="28"/>
          <w:rtl/>
        </w:rPr>
      </w:pPr>
    </w:p>
    <w:p w:rsidR="00872B9A" w:rsidRPr="006D54B5" w:rsidRDefault="00872B9A" w:rsidP="00872B9A">
      <w:pPr>
        <w:spacing w:line="360" w:lineRule="auto"/>
        <w:ind w:firstLine="368"/>
        <w:jc w:val="both"/>
        <w:rPr>
          <w:rFonts w:ascii="Times New Roman" w:hAnsi="Times New Roman" w:cs="Times New Roman"/>
          <w:sz w:val="28"/>
          <w:szCs w:val="28"/>
          <w:rtl/>
        </w:rPr>
      </w:pPr>
    </w:p>
    <w:p w:rsidR="00872B9A" w:rsidRPr="0096507B" w:rsidRDefault="00872B9A" w:rsidP="00872B9A">
      <w:pPr>
        <w:spacing w:line="360" w:lineRule="auto"/>
        <w:jc w:val="both"/>
        <w:outlineLvl w:val="2"/>
        <w:rPr>
          <w:rFonts w:asciiTheme="majorBidi" w:hAnsiTheme="majorBidi" w:cstheme="majorBidi"/>
          <w:b/>
          <w:bCs/>
          <w:sz w:val="28"/>
          <w:szCs w:val="28"/>
          <w:rtl/>
        </w:rPr>
      </w:pPr>
      <w:r>
        <w:rPr>
          <w:rFonts w:asciiTheme="majorBidi" w:hAnsiTheme="majorBidi" w:cstheme="majorBidi"/>
          <w:b/>
          <w:bCs/>
          <w:sz w:val="28"/>
          <w:szCs w:val="28"/>
          <w:rtl/>
        </w:rPr>
        <w:lastRenderedPageBreak/>
        <w:t xml:space="preserve"> </w:t>
      </w:r>
      <w:bookmarkStart w:id="54" w:name="_Toc203687028"/>
      <w:r>
        <w:rPr>
          <w:rFonts w:asciiTheme="majorBidi" w:hAnsiTheme="majorBidi" w:cstheme="majorBidi" w:hint="cs"/>
          <w:b/>
          <w:bCs/>
          <w:sz w:val="28"/>
          <w:szCs w:val="28"/>
          <w:rtl/>
        </w:rPr>
        <w:t xml:space="preserve">6.2 </w:t>
      </w:r>
      <w:r w:rsidRPr="0096507B">
        <w:rPr>
          <w:rFonts w:asciiTheme="majorBidi" w:hAnsiTheme="majorBidi" w:cstheme="majorBidi"/>
          <w:b/>
          <w:bCs/>
          <w:sz w:val="28"/>
          <w:szCs w:val="28"/>
          <w:rtl/>
        </w:rPr>
        <w:t>أنواع المخاطر المؤثرة على الأداء المالي في البنوك</w:t>
      </w:r>
      <w:bookmarkEnd w:id="54"/>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تشمل أبرز أنواع المخاطر التي تؤثر على الأداء المالي ما يلي:</w:t>
      </w:r>
    </w:p>
    <w:p w:rsidR="00872B9A" w:rsidRPr="0096507B" w:rsidRDefault="00872B9A" w:rsidP="00872B9A">
      <w:pPr>
        <w:pStyle w:val="a4"/>
        <w:numPr>
          <w:ilvl w:val="0"/>
          <w:numId w:val="19"/>
        </w:numPr>
        <w:spacing w:line="360" w:lineRule="auto"/>
        <w:ind w:left="728"/>
        <w:jc w:val="both"/>
        <w:rPr>
          <w:rFonts w:ascii="Times New Roman" w:hAnsi="Times New Roman" w:cs="Times New Roman"/>
          <w:sz w:val="28"/>
          <w:szCs w:val="28"/>
          <w:rtl/>
        </w:rPr>
      </w:pPr>
      <w:r w:rsidRPr="0096507B">
        <w:rPr>
          <w:rFonts w:ascii="Times New Roman" w:hAnsi="Times New Roman" w:cs="Times New Roman"/>
          <w:sz w:val="28"/>
          <w:szCs w:val="28"/>
          <w:rtl/>
        </w:rPr>
        <w:t>مخاطر الائتمان: وهي المخاطر الناتجة عن فشل المقترض في سداد التزاماته، ما يؤدي إلى خسائر في الإيرادات ويؤثر على جودة الأصول.</w:t>
      </w:r>
    </w:p>
    <w:p w:rsidR="00872B9A" w:rsidRPr="0096507B" w:rsidRDefault="00872B9A" w:rsidP="00872B9A">
      <w:pPr>
        <w:pStyle w:val="a4"/>
        <w:numPr>
          <w:ilvl w:val="0"/>
          <w:numId w:val="19"/>
        </w:numPr>
        <w:spacing w:line="360" w:lineRule="auto"/>
        <w:ind w:left="728"/>
        <w:jc w:val="both"/>
        <w:rPr>
          <w:rFonts w:ascii="Times New Roman" w:hAnsi="Times New Roman" w:cs="Times New Roman"/>
          <w:sz w:val="28"/>
          <w:szCs w:val="28"/>
          <w:rtl/>
        </w:rPr>
      </w:pPr>
      <w:r w:rsidRPr="0096507B">
        <w:rPr>
          <w:rFonts w:ascii="Times New Roman" w:hAnsi="Times New Roman" w:cs="Times New Roman"/>
          <w:sz w:val="28"/>
          <w:szCs w:val="28"/>
          <w:rtl/>
        </w:rPr>
        <w:t>مخاطر السوق: وهي تقلبات أسعار الفائدة أو أسعار الصرف التي تؤثر على عوائد الاستثمارات.</w:t>
      </w:r>
    </w:p>
    <w:p w:rsidR="00872B9A" w:rsidRPr="0096507B" w:rsidRDefault="00872B9A" w:rsidP="00872B9A">
      <w:pPr>
        <w:pStyle w:val="a4"/>
        <w:numPr>
          <w:ilvl w:val="0"/>
          <w:numId w:val="19"/>
        </w:numPr>
        <w:spacing w:line="360" w:lineRule="auto"/>
        <w:ind w:left="728"/>
        <w:jc w:val="both"/>
        <w:rPr>
          <w:rFonts w:ascii="Times New Roman" w:hAnsi="Times New Roman" w:cs="Times New Roman"/>
          <w:sz w:val="28"/>
          <w:szCs w:val="28"/>
          <w:rtl/>
        </w:rPr>
      </w:pPr>
      <w:r w:rsidRPr="0096507B">
        <w:rPr>
          <w:rFonts w:ascii="Times New Roman" w:hAnsi="Times New Roman" w:cs="Times New Roman"/>
          <w:sz w:val="28"/>
          <w:szCs w:val="28"/>
          <w:rtl/>
        </w:rPr>
        <w:t>مخاطر التشغيل: تنشأ من فشل الأنظمة أو الإجراءات أو الأخطاء البشرية، مما يسبب خسائر مالية أو قانونية.</w:t>
      </w:r>
    </w:p>
    <w:p w:rsidR="00872B9A" w:rsidRPr="0096507B" w:rsidRDefault="00872B9A" w:rsidP="00872B9A">
      <w:pPr>
        <w:pStyle w:val="a4"/>
        <w:numPr>
          <w:ilvl w:val="0"/>
          <w:numId w:val="19"/>
        </w:numPr>
        <w:spacing w:line="360" w:lineRule="auto"/>
        <w:ind w:left="728"/>
        <w:jc w:val="both"/>
        <w:rPr>
          <w:rFonts w:ascii="Times New Roman" w:hAnsi="Times New Roman" w:cs="Times New Roman"/>
          <w:sz w:val="28"/>
          <w:szCs w:val="28"/>
          <w:rtl/>
        </w:rPr>
      </w:pPr>
      <w:r w:rsidRPr="0096507B">
        <w:rPr>
          <w:rFonts w:ascii="Times New Roman" w:hAnsi="Times New Roman" w:cs="Times New Roman"/>
          <w:sz w:val="28"/>
          <w:szCs w:val="28"/>
          <w:rtl/>
        </w:rPr>
        <w:t>مخاطر السيولة: وهي عدم قدرة البنك على الوفاء بالتزاماته قصيرة الأجل، ما قد يؤدي إلى فقدان الثقة من العملاء.</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كلما زادت قدرة البنك على إدارة هذه المخاطر بكفاءة، تحسنت مرونته واستقر أداؤه المالي (</w:t>
      </w:r>
      <w:r w:rsidRPr="006D54B5">
        <w:rPr>
          <w:rFonts w:ascii="Times New Roman" w:hAnsi="Times New Roman" w:cs="Times New Roman"/>
          <w:sz w:val="28"/>
          <w:szCs w:val="28"/>
        </w:rPr>
        <w:t>Miu &amp; Ozdemir, 2016</w:t>
      </w:r>
      <w:r w:rsidRPr="006D54B5">
        <w:rPr>
          <w:rFonts w:ascii="Times New Roman" w:hAnsi="Times New Roman" w:cs="Times New Roman"/>
          <w:sz w:val="28"/>
          <w:szCs w:val="28"/>
          <w:rtl/>
        </w:rPr>
        <w:t>).</w:t>
      </w:r>
    </w:p>
    <w:p w:rsidR="00872B9A" w:rsidRPr="006D54B5" w:rsidRDefault="00872B9A" w:rsidP="00872B9A">
      <w:pPr>
        <w:spacing w:line="360" w:lineRule="auto"/>
        <w:jc w:val="both"/>
        <w:rPr>
          <w:rFonts w:ascii="Times New Roman" w:hAnsi="Times New Roman" w:cs="Times New Roman"/>
          <w:sz w:val="28"/>
          <w:szCs w:val="28"/>
          <w:rtl/>
        </w:rPr>
      </w:pPr>
    </w:p>
    <w:p w:rsidR="00872B9A" w:rsidRPr="0096507B" w:rsidRDefault="00872B9A" w:rsidP="00872B9A">
      <w:pPr>
        <w:spacing w:line="360" w:lineRule="auto"/>
        <w:jc w:val="both"/>
        <w:outlineLvl w:val="2"/>
        <w:rPr>
          <w:rFonts w:asciiTheme="majorBidi" w:hAnsiTheme="majorBidi" w:cstheme="majorBidi"/>
          <w:b/>
          <w:bCs/>
          <w:sz w:val="28"/>
          <w:szCs w:val="28"/>
          <w:rtl/>
        </w:rPr>
      </w:pPr>
      <w:r>
        <w:rPr>
          <w:rFonts w:asciiTheme="majorBidi" w:hAnsiTheme="majorBidi" w:cstheme="majorBidi"/>
          <w:b/>
          <w:bCs/>
          <w:sz w:val="28"/>
          <w:szCs w:val="28"/>
          <w:rtl/>
        </w:rPr>
        <w:t xml:space="preserve"> </w:t>
      </w:r>
      <w:bookmarkStart w:id="55" w:name="_Toc203687029"/>
      <w:r>
        <w:rPr>
          <w:rFonts w:asciiTheme="majorBidi" w:hAnsiTheme="majorBidi" w:cstheme="majorBidi" w:hint="cs"/>
          <w:b/>
          <w:bCs/>
          <w:sz w:val="28"/>
          <w:szCs w:val="28"/>
          <w:rtl/>
        </w:rPr>
        <w:t xml:space="preserve">6.3 </w:t>
      </w:r>
      <w:r w:rsidRPr="0096507B">
        <w:rPr>
          <w:rFonts w:asciiTheme="majorBidi" w:hAnsiTheme="majorBidi" w:cstheme="majorBidi"/>
          <w:b/>
          <w:bCs/>
          <w:sz w:val="28"/>
          <w:szCs w:val="28"/>
          <w:rtl/>
        </w:rPr>
        <w:t>العلاقة بين إدارة المخاطر والمؤشرات المالية</w:t>
      </w:r>
      <w:bookmarkEnd w:id="55"/>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ترتبط جودة إدارة المخاطر بشكل مباشر بعدة مؤشرات مالية رئيسية:</w:t>
      </w:r>
    </w:p>
    <w:p w:rsidR="00872B9A" w:rsidRPr="0096507B" w:rsidRDefault="00872B9A" w:rsidP="00872B9A">
      <w:pPr>
        <w:pStyle w:val="a4"/>
        <w:numPr>
          <w:ilvl w:val="0"/>
          <w:numId w:val="20"/>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العائد على الأصول (</w:t>
      </w:r>
      <w:r w:rsidRPr="0096507B">
        <w:rPr>
          <w:rFonts w:ascii="Times New Roman" w:hAnsi="Times New Roman" w:cs="Times New Roman"/>
          <w:sz w:val="28"/>
          <w:szCs w:val="28"/>
        </w:rPr>
        <w:t>ROA</w:t>
      </w:r>
      <w:r w:rsidRPr="0096507B">
        <w:rPr>
          <w:rFonts w:ascii="Times New Roman" w:hAnsi="Times New Roman" w:cs="Times New Roman"/>
          <w:sz w:val="28"/>
          <w:szCs w:val="28"/>
          <w:rtl/>
        </w:rPr>
        <w:t xml:space="preserve">): أظهرت دراسات أن تطبيق إدارة فعالة للمخاطر يسهم في تحسين </w:t>
      </w:r>
      <w:r w:rsidRPr="0096507B">
        <w:rPr>
          <w:rFonts w:ascii="Times New Roman" w:hAnsi="Times New Roman" w:cs="Times New Roman"/>
          <w:sz w:val="28"/>
          <w:szCs w:val="28"/>
        </w:rPr>
        <w:t>ROA</w:t>
      </w:r>
      <w:r w:rsidRPr="0096507B">
        <w:rPr>
          <w:rFonts w:ascii="Times New Roman" w:hAnsi="Times New Roman" w:cs="Times New Roman"/>
          <w:sz w:val="28"/>
          <w:szCs w:val="28"/>
          <w:rtl/>
        </w:rPr>
        <w:t xml:space="preserve"> نتيجة انخفاض الخسائر المتوقعة (</w:t>
      </w:r>
      <w:r w:rsidRPr="0096507B">
        <w:rPr>
          <w:rFonts w:ascii="Times New Roman" w:hAnsi="Times New Roman" w:cs="Times New Roman"/>
          <w:sz w:val="28"/>
          <w:szCs w:val="28"/>
        </w:rPr>
        <w:t>Al-Tamimi &amp; Al-Mazrooei, 2007</w:t>
      </w:r>
      <w:r w:rsidRPr="0096507B">
        <w:rPr>
          <w:rFonts w:ascii="Times New Roman" w:hAnsi="Times New Roman" w:cs="Times New Roman"/>
          <w:sz w:val="28"/>
          <w:szCs w:val="28"/>
          <w:rtl/>
        </w:rPr>
        <w:t>).</w:t>
      </w:r>
    </w:p>
    <w:p w:rsidR="00872B9A" w:rsidRPr="0096507B" w:rsidRDefault="00872B9A" w:rsidP="00872B9A">
      <w:pPr>
        <w:pStyle w:val="a4"/>
        <w:numPr>
          <w:ilvl w:val="0"/>
          <w:numId w:val="20"/>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العائد على حقوق الملكية (</w:t>
      </w:r>
      <w:r w:rsidRPr="0096507B">
        <w:rPr>
          <w:rFonts w:ascii="Times New Roman" w:hAnsi="Times New Roman" w:cs="Times New Roman"/>
          <w:sz w:val="28"/>
          <w:szCs w:val="28"/>
        </w:rPr>
        <w:t>ROE</w:t>
      </w:r>
      <w:r w:rsidRPr="0096507B">
        <w:rPr>
          <w:rFonts w:ascii="Times New Roman" w:hAnsi="Times New Roman" w:cs="Times New Roman"/>
          <w:sz w:val="28"/>
          <w:szCs w:val="28"/>
          <w:rtl/>
        </w:rPr>
        <w:t>): تعزز إدارة المخاطر من كفاءة استخدام رأس المال، مما يزيد من العائد على حقوق المساهمين.</w:t>
      </w:r>
    </w:p>
    <w:p w:rsidR="00872B9A" w:rsidRPr="0096507B" w:rsidRDefault="00872B9A" w:rsidP="00872B9A">
      <w:pPr>
        <w:pStyle w:val="a4"/>
        <w:numPr>
          <w:ilvl w:val="0"/>
          <w:numId w:val="20"/>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نسبة القروض المتعثرة: تشير إلى كفاءة إدارة المخاطر الائتمانية، وكلما انخفضت، كان الأداء المالي أكثر استقرارًا.</w:t>
      </w:r>
    </w:p>
    <w:p w:rsidR="00872B9A" w:rsidRPr="0096507B" w:rsidRDefault="00872B9A" w:rsidP="00872B9A">
      <w:pPr>
        <w:pStyle w:val="a4"/>
        <w:numPr>
          <w:ilvl w:val="0"/>
          <w:numId w:val="20"/>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كفاية رأس المال: تساهم إدارة المخاطر في تحسين نسبة كفاية رأس المال من خلال تقليل الخسائر غير المتوقعة وتحسين إدارة رأس المال (</w:t>
      </w:r>
      <w:r w:rsidRPr="0096507B">
        <w:rPr>
          <w:rFonts w:ascii="Times New Roman" w:hAnsi="Times New Roman" w:cs="Times New Roman"/>
          <w:sz w:val="28"/>
          <w:szCs w:val="28"/>
        </w:rPr>
        <w:t>Basel Committee, 2011</w:t>
      </w:r>
      <w:r w:rsidRPr="0096507B">
        <w:rPr>
          <w:rFonts w:ascii="Times New Roman" w:hAnsi="Times New Roman" w:cs="Times New Roman"/>
          <w:sz w:val="28"/>
          <w:szCs w:val="28"/>
          <w:rtl/>
        </w:rPr>
        <w:t>).</w:t>
      </w:r>
    </w:p>
    <w:p w:rsidR="00872B9A" w:rsidRDefault="00872B9A" w:rsidP="00872B9A">
      <w:pPr>
        <w:spacing w:line="360" w:lineRule="auto"/>
        <w:jc w:val="both"/>
        <w:rPr>
          <w:rFonts w:ascii="Times New Roman" w:hAnsi="Times New Roman" w:cs="Times New Roman"/>
          <w:sz w:val="28"/>
          <w:szCs w:val="28"/>
          <w:rtl/>
        </w:rPr>
      </w:pPr>
    </w:p>
    <w:p w:rsidR="00872B9A" w:rsidRPr="0096507B" w:rsidRDefault="00872B9A" w:rsidP="00872B9A">
      <w:pPr>
        <w:spacing w:line="360" w:lineRule="auto"/>
        <w:jc w:val="both"/>
        <w:outlineLvl w:val="2"/>
        <w:rPr>
          <w:rFonts w:asciiTheme="majorBidi" w:hAnsiTheme="majorBidi" w:cstheme="majorBidi"/>
          <w:b/>
          <w:bCs/>
          <w:sz w:val="28"/>
          <w:szCs w:val="28"/>
          <w:rtl/>
        </w:rPr>
      </w:pPr>
      <w:bookmarkStart w:id="56" w:name="_Toc203687030"/>
      <w:r w:rsidRPr="0096507B">
        <w:rPr>
          <w:rFonts w:asciiTheme="majorBidi" w:hAnsiTheme="majorBidi" w:cstheme="majorBidi" w:hint="cs"/>
          <w:b/>
          <w:bCs/>
          <w:sz w:val="28"/>
          <w:szCs w:val="28"/>
          <w:rtl/>
        </w:rPr>
        <w:lastRenderedPageBreak/>
        <w:t>6.4</w:t>
      </w:r>
      <w:r w:rsidRPr="0096507B">
        <w:rPr>
          <w:rFonts w:asciiTheme="majorBidi" w:hAnsiTheme="majorBidi" w:cstheme="majorBidi"/>
          <w:b/>
          <w:bCs/>
          <w:sz w:val="28"/>
          <w:szCs w:val="28"/>
          <w:rtl/>
        </w:rPr>
        <w:t xml:space="preserve"> آليات تحسين الأداء المالي من خلال إدارة المخاطر</w:t>
      </w:r>
      <w:bookmarkEnd w:id="56"/>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من أبرز الآليات التي تعتمدها البنوك لتحقيق ذلك:</w:t>
      </w:r>
    </w:p>
    <w:p w:rsidR="00872B9A" w:rsidRPr="0096507B" w:rsidRDefault="00872B9A" w:rsidP="00872B9A">
      <w:pPr>
        <w:pStyle w:val="a4"/>
        <w:numPr>
          <w:ilvl w:val="0"/>
          <w:numId w:val="21"/>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التخطيط الاستراتيجي للمخاطر: من خلال مواءمة أهداف البنك مع سياسات إدارة المخاطر.</w:t>
      </w:r>
    </w:p>
    <w:p w:rsidR="00872B9A" w:rsidRPr="0096507B" w:rsidRDefault="00872B9A" w:rsidP="00872B9A">
      <w:pPr>
        <w:pStyle w:val="a4"/>
        <w:numPr>
          <w:ilvl w:val="0"/>
          <w:numId w:val="21"/>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أنظمة الإنذار المبكر: لاكتشاف الإشارات المبكرة للفشل أو التدهور المالي.</w:t>
      </w:r>
    </w:p>
    <w:p w:rsidR="00872B9A" w:rsidRPr="0096507B" w:rsidRDefault="00872B9A" w:rsidP="00872B9A">
      <w:pPr>
        <w:pStyle w:val="a4"/>
        <w:numPr>
          <w:ilvl w:val="0"/>
          <w:numId w:val="21"/>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توزيع رأس المال بحسب درجة المخاطرة: لضمان استقرار رأس المال ومواجهة الطوارئ.</w:t>
      </w:r>
    </w:p>
    <w:p w:rsidR="00872B9A" w:rsidRPr="0096507B" w:rsidRDefault="00872B9A" w:rsidP="00872B9A">
      <w:pPr>
        <w:pStyle w:val="a4"/>
        <w:numPr>
          <w:ilvl w:val="0"/>
          <w:numId w:val="21"/>
        </w:numPr>
        <w:spacing w:line="360" w:lineRule="auto"/>
        <w:jc w:val="both"/>
        <w:rPr>
          <w:rFonts w:ascii="Times New Roman" w:hAnsi="Times New Roman" w:cs="Times New Roman"/>
          <w:sz w:val="28"/>
          <w:szCs w:val="28"/>
          <w:rtl/>
        </w:rPr>
      </w:pPr>
      <w:r w:rsidRPr="0096507B">
        <w:rPr>
          <w:rFonts w:ascii="Times New Roman" w:hAnsi="Times New Roman" w:cs="Times New Roman"/>
          <w:sz w:val="28"/>
          <w:szCs w:val="28"/>
          <w:rtl/>
        </w:rPr>
        <w:t>التقارير الدورية الشفافة: تعزز الرقابة وتحد من الخسائر الناتجة عن المخاطر غير المحسوبة.</w:t>
      </w:r>
    </w:p>
    <w:p w:rsidR="00872B9A" w:rsidRDefault="00872B9A" w:rsidP="00872B9A">
      <w:pPr>
        <w:pStyle w:val="a4"/>
        <w:numPr>
          <w:ilvl w:val="0"/>
          <w:numId w:val="21"/>
        </w:numPr>
        <w:spacing w:line="360" w:lineRule="auto"/>
        <w:jc w:val="both"/>
        <w:rPr>
          <w:rFonts w:ascii="Times New Roman" w:hAnsi="Times New Roman" w:cs="Times New Roman"/>
          <w:sz w:val="28"/>
          <w:szCs w:val="28"/>
        </w:rPr>
      </w:pPr>
      <w:r w:rsidRPr="0096507B">
        <w:rPr>
          <w:rFonts w:ascii="Times New Roman" w:hAnsi="Times New Roman" w:cs="Times New Roman"/>
          <w:sz w:val="28"/>
          <w:szCs w:val="28"/>
          <w:rtl/>
        </w:rPr>
        <w:t>الاستثمار في التكنولوجيا التحليلية: مثل أنظمة الذكاء الاصطناعي لتوقع المخاطر قبل حدوثها.</w:t>
      </w:r>
    </w:p>
    <w:p w:rsidR="00872B9A" w:rsidRPr="005E05BD" w:rsidRDefault="00872B9A" w:rsidP="00872B9A">
      <w:pPr>
        <w:pStyle w:val="a4"/>
        <w:spacing w:line="360" w:lineRule="auto"/>
        <w:jc w:val="both"/>
        <w:rPr>
          <w:rFonts w:ascii="Times New Roman" w:hAnsi="Times New Roman" w:cs="Times New Roman"/>
          <w:sz w:val="28"/>
          <w:szCs w:val="28"/>
          <w:rtl/>
        </w:rPr>
      </w:pPr>
    </w:p>
    <w:p w:rsidR="00872B9A" w:rsidRPr="0096507B" w:rsidRDefault="00872B9A" w:rsidP="00872B9A">
      <w:pPr>
        <w:pStyle w:val="2"/>
        <w:numPr>
          <w:ilvl w:val="0"/>
          <w:numId w:val="22"/>
        </w:numPr>
        <w:spacing w:line="360" w:lineRule="auto"/>
        <w:rPr>
          <w:rFonts w:ascii="Simplified Arabic" w:hAnsi="Simplified Arabic" w:cs="Simplified Arabic"/>
          <w:b/>
          <w:bCs/>
          <w:color w:val="0070C0"/>
          <w:sz w:val="32"/>
          <w:szCs w:val="32"/>
          <w:rtl/>
        </w:rPr>
      </w:pPr>
      <w:bookmarkStart w:id="57" w:name="_Toc203687031"/>
      <w:r w:rsidRPr="0096507B">
        <w:rPr>
          <w:rFonts w:ascii="Simplified Arabic" w:hAnsi="Simplified Arabic" w:cs="Simplified Arabic"/>
          <w:b/>
          <w:bCs/>
          <w:color w:val="0070C0"/>
          <w:sz w:val="32"/>
          <w:szCs w:val="32"/>
          <w:rtl/>
        </w:rPr>
        <w:t>العوامل المؤثرة على تطبيق إدارة المخاطر في البنوك</w:t>
      </w:r>
      <w:bookmarkEnd w:id="57"/>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يشكل تطبيق إدارة المخاطر في البنوك عملية معقدة تتأثر بعدة عوامل داخلية وخارجية تتضافر لتحدد مدى فعالية هذه الإدارة في تحقيق أهداف المؤسسة المالية. وتستند هذه العوامل إلى دراسات وأطر نظرية معتمدة في مجال إدارة المخاطر البنكية، ويمكن تلخيصها كما يلي:</w:t>
      </w:r>
    </w:p>
    <w:p w:rsidR="00872B9A" w:rsidRPr="0096507B" w:rsidRDefault="00872B9A" w:rsidP="00872B9A">
      <w:pPr>
        <w:pStyle w:val="a4"/>
        <w:numPr>
          <w:ilvl w:val="0"/>
          <w:numId w:val="23"/>
        </w:numPr>
        <w:spacing w:line="360" w:lineRule="auto"/>
        <w:jc w:val="both"/>
        <w:rPr>
          <w:rFonts w:ascii="Times New Roman" w:hAnsi="Times New Roman" w:cs="Times New Roman"/>
          <w:b/>
          <w:bCs/>
          <w:sz w:val="28"/>
          <w:szCs w:val="28"/>
          <w:rtl/>
        </w:rPr>
      </w:pPr>
      <w:r w:rsidRPr="0096507B">
        <w:rPr>
          <w:rFonts w:ascii="Times New Roman" w:hAnsi="Times New Roman" w:cs="Times New Roman"/>
          <w:b/>
          <w:bCs/>
          <w:sz w:val="28"/>
          <w:szCs w:val="28"/>
          <w:rtl/>
        </w:rPr>
        <w:t>الإطار التشريعي والتنظيمي</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تلعب الأطر التنظيمية والتشريعية دورًا جوهريًا في فرض التزامات على البنوك لتطبيق نظم إدارة مخاطر متطورة، بما في ذلك متطلبات رأس المال والمعايير الرقابية التي تصدرها الهيئات المختصة مثل لجنة بازل. ويعمل وجود إطار قانوني واضح على ضمان الالتزام بالحد الأدنى من السياسات والممارسات في مواجهة المخاطر المختلفة (</w:t>
      </w:r>
      <w:r w:rsidRPr="006D54B5">
        <w:rPr>
          <w:rFonts w:ascii="Times New Roman" w:hAnsi="Times New Roman" w:cs="Times New Roman"/>
          <w:sz w:val="28"/>
          <w:szCs w:val="28"/>
        </w:rPr>
        <w:t>Basel Committee on Banking Supervision, 2011</w:t>
      </w:r>
      <w:r w:rsidRPr="006D54B5">
        <w:rPr>
          <w:rFonts w:ascii="Times New Roman" w:hAnsi="Times New Roman" w:cs="Times New Roman"/>
          <w:sz w:val="28"/>
          <w:szCs w:val="28"/>
          <w:rtl/>
        </w:rPr>
        <w:t>).</w:t>
      </w:r>
    </w:p>
    <w:p w:rsidR="00872B9A" w:rsidRPr="0096507B" w:rsidRDefault="00872B9A" w:rsidP="00872B9A">
      <w:pPr>
        <w:pStyle w:val="a4"/>
        <w:numPr>
          <w:ilvl w:val="0"/>
          <w:numId w:val="23"/>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 xml:space="preserve"> </w:t>
      </w:r>
      <w:r w:rsidRPr="0096507B">
        <w:rPr>
          <w:rFonts w:ascii="Times New Roman" w:hAnsi="Times New Roman" w:cs="Times New Roman"/>
          <w:b/>
          <w:bCs/>
          <w:sz w:val="28"/>
          <w:szCs w:val="28"/>
          <w:rtl/>
        </w:rPr>
        <w:t>الثقافة التنظيمية لإدارة المخاطر</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تُعتبر الثقافة التنظيمية من العوامل الأساسية التي تؤثر على مدى التزام العاملين في البنك بسياسات وإجراءات إدارة المخاطر. فالثقافة التي تدعم الشفافية والإبلاغ الحر عن المخاطر </w:t>
      </w:r>
      <w:r w:rsidRPr="006D54B5">
        <w:rPr>
          <w:rFonts w:ascii="Times New Roman" w:hAnsi="Times New Roman" w:cs="Times New Roman"/>
          <w:sz w:val="28"/>
          <w:szCs w:val="28"/>
          <w:rtl/>
        </w:rPr>
        <w:lastRenderedPageBreak/>
        <w:t>والتهديدات، بالإضافة إلى تعزيز بيئة عمل تحفز التعامل الإيجابي مع المخاطر، ترفع من فعالية نظم الإدارة وتعزز نتائجها (</w:t>
      </w:r>
      <w:r w:rsidRPr="006D54B5">
        <w:rPr>
          <w:rFonts w:ascii="Times New Roman" w:hAnsi="Times New Roman" w:cs="Times New Roman"/>
          <w:sz w:val="28"/>
          <w:szCs w:val="28"/>
        </w:rPr>
        <w:t>Power, 2007</w:t>
      </w:r>
      <w:r w:rsidRPr="006D54B5">
        <w:rPr>
          <w:rFonts w:ascii="Times New Roman" w:hAnsi="Times New Roman" w:cs="Times New Roman"/>
          <w:sz w:val="28"/>
          <w:szCs w:val="28"/>
          <w:rtl/>
        </w:rPr>
        <w:t>).</w:t>
      </w:r>
    </w:p>
    <w:p w:rsidR="00872B9A" w:rsidRPr="0096507B" w:rsidRDefault="00872B9A" w:rsidP="00872B9A">
      <w:pPr>
        <w:pStyle w:val="a4"/>
        <w:numPr>
          <w:ilvl w:val="0"/>
          <w:numId w:val="23"/>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 xml:space="preserve"> </w:t>
      </w:r>
      <w:r w:rsidRPr="0096507B">
        <w:rPr>
          <w:rFonts w:ascii="Times New Roman" w:hAnsi="Times New Roman" w:cs="Times New Roman"/>
          <w:b/>
          <w:bCs/>
          <w:sz w:val="28"/>
          <w:szCs w:val="28"/>
          <w:rtl/>
        </w:rPr>
        <w:t>دور مجلس الإدارة والإدارة العليا</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يُعد الدعم الفعّال من قبل مجلس الإدارة والإدارة التنفيذية من العوامل الحاسمة في نجاح تطبيق إدارة المخاطر. إذ تؤدي القيادة العليا دورًا محوريًا في دمج إدارة المخاطر ضمن الاستراتيجية الشاملة للبنك، وتوفير الموارد اللازمة، فضلاً عن مراقبة الأداء والامتثال (</w:t>
      </w:r>
      <w:r w:rsidRPr="006D54B5">
        <w:rPr>
          <w:rFonts w:ascii="Times New Roman" w:hAnsi="Times New Roman" w:cs="Times New Roman"/>
          <w:sz w:val="28"/>
          <w:szCs w:val="28"/>
        </w:rPr>
        <w:t>Hull, 2018</w:t>
      </w:r>
      <w:r w:rsidRPr="006D54B5">
        <w:rPr>
          <w:rFonts w:ascii="Times New Roman" w:hAnsi="Times New Roman" w:cs="Times New Roman"/>
          <w:sz w:val="28"/>
          <w:szCs w:val="28"/>
          <w:rtl/>
        </w:rPr>
        <w:t>).</w:t>
      </w:r>
    </w:p>
    <w:p w:rsidR="00872B9A" w:rsidRPr="0096507B" w:rsidRDefault="00872B9A" w:rsidP="00872B9A">
      <w:pPr>
        <w:pStyle w:val="a4"/>
        <w:numPr>
          <w:ilvl w:val="0"/>
          <w:numId w:val="23"/>
        </w:numPr>
        <w:spacing w:line="360" w:lineRule="auto"/>
        <w:jc w:val="both"/>
        <w:rPr>
          <w:rFonts w:ascii="Times New Roman" w:hAnsi="Times New Roman" w:cs="Times New Roman"/>
          <w:b/>
          <w:bCs/>
          <w:sz w:val="28"/>
          <w:szCs w:val="28"/>
          <w:rtl/>
        </w:rPr>
      </w:pPr>
      <w:r w:rsidRPr="0096507B">
        <w:rPr>
          <w:rFonts w:ascii="Times New Roman" w:hAnsi="Times New Roman" w:cs="Times New Roman"/>
          <w:b/>
          <w:bCs/>
          <w:sz w:val="28"/>
          <w:szCs w:val="28"/>
          <w:rtl/>
        </w:rPr>
        <w:t>الموارد البشرية والتدريب</w:t>
      </w:r>
    </w:p>
    <w:p w:rsidR="00872B9A" w:rsidRPr="0096507B"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تتطلب إدارة المخاطر كفاءات متخصصة وفهمًا عميقًا لأدوات وأساليب تقييم المخاطر. ويؤدي ضعف التدريب ونقص الخبرة إلى تطبيق غير فعّال، بينما يساهم توفير برامج تدريبية مستمرة وبناء القدرات في تحسين قدرة العاملين على التعامل مع المخاطر وتحليلها بدقة (</w:t>
      </w:r>
      <w:r w:rsidRPr="006D54B5">
        <w:rPr>
          <w:rFonts w:ascii="Times New Roman" w:hAnsi="Times New Roman" w:cs="Times New Roman"/>
          <w:sz w:val="28"/>
          <w:szCs w:val="28"/>
        </w:rPr>
        <w:t>Fraser, Simkins, &amp; Narvaez, 2014</w:t>
      </w:r>
      <w:r w:rsidRPr="006D54B5">
        <w:rPr>
          <w:rFonts w:ascii="Times New Roman" w:hAnsi="Times New Roman" w:cs="Times New Roman"/>
          <w:sz w:val="28"/>
          <w:szCs w:val="28"/>
          <w:rtl/>
        </w:rPr>
        <w:t>).</w:t>
      </w:r>
    </w:p>
    <w:p w:rsidR="00872B9A" w:rsidRPr="0096507B" w:rsidRDefault="00872B9A" w:rsidP="00872B9A">
      <w:pPr>
        <w:pStyle w:val="a4"/>
        <w:numPr>
          <w:ilvl w:val="0"/>
          <w:numId w:val="23"/>
        </w:numPr>
        <w:spacing w:line="360" w:lineRule="auto"/>
        <w:jc w:val="both"/>
        <w:rPr>
          <w:rFonts w:ascii="Times New Roman" w:hAnsi="Times New Roman" w:cs="Times New Roman"/>
          <w:b/>
          <w:bCs/>
          <w:sz w:val="28"/>
          <w:szCs w:val="28"/>
          <w:rtl/>
        </w:rPr>
      </w:pPr>
      <w:r w:rsidRPr="0096507B">
        <w:rPr>
          <w:rFonts w:ascii="Times New Roman" w:hAnsi="Times New Roman" w:cs="Times New Roman"/>
          <w:b/>
          <w:bCs/>
          <w:sz w:val="28"/>
          <w:szCs w:val="28"/>
          <w:rtl/>
        </w:rPr>
        <w:t>الدعم التكنولوجي والبنية التحتية الرقمية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تعتمد أنظمة إدارة المخاطر الحديثة على تكنولوجيا المعلومات التي تُمكّن من جمع وتحليل البيانات بشكل دقيق وفي الوقت المناسب. وتساعد البنية التحتية التقنية المتطورة على تطوير نماذج المخاطر، وأنظمة الإنذار المبكر، مما يرفع من كفاءة وفعالية عمليات إدارة المخاطر (</w:t>
      </w:r>
      <w:r w:rsidRPr="006D54B5">
        <w:rPr>
          <w:rFonts w:ascii="Times New Roman" w:hAnsi="Times New Roman" w:cs="Times New Roman"/>
          <w:sz w:val="28"/>
          <w:szCs w:val="28"/>
        </w:rPr>
        <w:t>Lam, 2014</w:t>
      </w:r>
      <w:r w:rsidRPr="006D54B5">
        <w:rPr>
          <w:rFonts w:ascii="Times New Roman" w:hAnsi="Times New Roman" w:cs="Times New Roman"/>
          <w:sz w:val="28"/>
          <w:szCs w:val="28"/>
          <w:rtl/>
        </w:rPr>
        <w:t>).</w:t>
      </w:r>
    </w:p>
    <w:p w:rsidR="00872B9A" w:rsidRPr="0096507B" w:rsidRDefault="00872B9A" w:rsidP="00872B9A">
      <w:pPr>
        <w:pStyle w:val="a4"/>
        <w:numPr>
          <w:ilvl w:val="0"/>
          <w:numId w:val="23"/>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 xml:space="preserve"> </w:t>
      </w:r>
      <w:r w:rsidRPr="0096507B">
        <w:rPr>
          <w:rFonts w:ascii="Times New Roman" w:hAnsi="Times New Roman" w:cs="Times New Roman"/>
          <w:b/>
          <w:bCs/>
          <w:sz w:val="28"/>
          <w:szCs w:val="28"/>
          <w:rtl/>
        </w:rPr>
        <w:t>المرونة المؤسسية وسرعة الاستجابة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تُعد قدرة البنك على الاستجابة السريعة والمرنة لتغيرات بيئة العمل والمخاطر غير المتوقعة مؤشرًا على نضج إدارة المخاطر لديه. فالبنوك التي تتمتع بمرونة مؤسسية عالية تستطيع تعديل استراتيجياتها بسرعة وتقليل الخسائر المحتملة (</w:t>
      </w:r>
      <w:r w:rsidRPr="006D54B5">
        <w:rPr>
          <w:rFonts w:ascii="Times New Roman" w:hAnsi="Times New Roman" w:cs="Times New Roman"/>
          <w:sz w:val="28"/>
          <w:szCs w:val="28"/>
        </w:rPr>
        <w:t>McConnell &amp; Blacker, 2017</w:t>
      </w:r>
      <w:r w:rsidRPr="006D54B5">
        <w:rPr>
          <w:rFonts w:ascii="Times New Roman" w:hAnsi="Times New Roman" w:cs="Times New Roman"/>
          <w:sz w:val="28"/>
          <w:szCs w:val="28"/>
          <w:rtl/>
        </w:rPr>
        <w:t>).</w:t>
      </w:r>
    </w:p>
    <w:p w:rsidR="00872B9A" w:rsidRPr="0096507B" w:rsidRDefault="00872B9A" w:rsidP="00872B9A">
      <w:pPr>
        <w:pStyle w:val="a4"/>
        <w:numPr>
          <w:ilvl w:val="0"/>
          <w:numId w:val="23"/>
        </w:numPr>
        <w:spacing w:line="360" w:lineRule="auto"/>
        <w:jc w:val="both"/>
        <w:rPr>
          <w:rFonts w:ascii="Times New Roman" w:hAnsi="Times New Roman" w:cs="Times New Roman"/>
          <w:b/>
          <w:bCs/>
          <w:sz w:val="28"/>
          <w:szCs w:val="28"/>
          <w:rtl/>
        </w:rPr>
      </w:pPr>
      <w:r w:rsidRPr="0096507B">
        <w:rPr>
          <w:rFonts w:ascii="Times New Roman" w:hAnsi="Times New Roman" w:cs="Times New Roman"/>
          <w:b/>
          <w:bCs/>
          <w:sz w:val="28"/>
          <w:szCs w:val="28"/>
          <w:rtl/>
        </w:rPr>
        <w:t>تعقيد منتجات البنك</w:t>
      </w:r>
    </w:p>
    <w:p w:rsidR="00872B9A"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يؤثر مدى تعقيد وتنوع المنتجات المصرفية المقدمة على متطلبات إدارة المخاطر، حيث تزداد الحاجة إلى أدوات متقدمة وتحليل دقيق للمخاطر في حال تقديم منتجات مالية معقدة كالمشتقات أو التمويل طويل الأجل (</w:t>
      </w:r>
      <w:r w:rsidRPr="006D54B5">
        <w:rPr>
          <w:rFonts w:ascii="Times New Roman" w:hAnsi="Times New Roman" w:cs="Times New Roman"/>
          <w:sz w:val="28"/>
          <w:szCs w:val="28"/>
        </w:rPr>
        <w:t>Saunders &amp; Allen, 2020</w:t>
      </w:r>
      <w:r w:rsidRPr="006D54B5">
        <w:rPr>
          <w:rFonts w:ascii="Times New Roman" w:hAnsi="Times New Roman" w:cs="Times New Roman"/>
          <w:sz w:val="28"/>
          <w:szCs w:val="28"/>
          <w:rtl/>
        </w:rPr>
        <w:t>).</w:t>
      </w:r>
    </w:p>
    <w:p w:rsidR="00872B9A" w:rsidRPr="006D54B5" w:rsidRDefault="00872B9A" w:rsidP="00872B9A">
      <w:pPr>
        <w:spacing w:line="360" w:lineRule="auto"/>
        <w:ind w:firstLine="368"/>
        <w:jc w:val="both"/>
        <w:rPr>
          <w:rFonts w:ascii="Times New Roman" w:hAnsi="Times New Roman" w:cs="Times New Roman"/>
          <w:sz w:val="28"/>
          <w:szCs w:val="28"/>
          <w:rtl/>
        </w:rPr>
      </w:pPr>
    </w:p>
    <w:p w:rsidR="00872B9A" w:rsidRPr="0096507B" w:rsidRDefault="00872B9A" w:rsidP="00872B9A">
      <w:pPr>
        <w:pStyle w:val="a4"/>
        <w:numPr>
          <w:ilvl w:val="0"/>
          <w:numId w:val="23"/>
        </w:numPr>
        <w:spacing w:line="360" w:lineRule="auto"/>
        <w:jc w:val="both"/>
        <w:rPr>
          <w:rFonts w:ascii="Times New Roman" w:hAnsi="Times New Roman" w:cs="Times New Roman"/>
          <w:b/>
          <w:bCs/>
          <w:sz w:val="28"/>
          <w:szCs w:val="28"/>
          <w:rtl/>
        </w:rPr>
      </w:pPr>
      <w:r w:rsidRPr="0096507B">
        <w:rPr>
          <w:rFonts w:ascii="Times New Roman" w:hAnsi="Times New Roman" w:cs="Times New Roman"/>
          <w:b/>
          <w:bCs/>
          <w:sz w:val="28"/>
          <w:szCs w:val="28"/>
          <w:rtl/>
        </w:rPr>
        <w:lastRenderedPageBreak/>
        <w:t>الضغوط التنافسية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تتعرض بعض البنوك لضغوط كبيرة لتحقيق أرباح سريعة في ظل منافسة شرسة، مما قد يدفعها إلى التهاون في تطبيق معايير إدارة المخاطر. ويُعتبر هذا العامل من العوامل التي تزيد من احتمالية تعرض البنك لمخاطر مالية وتشغيلية عالية (</w:t>
      </w:r>
      <w:r w:rsidRPr="006D54B5">
        <w:rPr>
          <w:rFonts w:ascii="Times New Roman" w:hAnsi="Times New Roman" w:cs="Times New Roman"/>
          <w:sz w:val="28"/>
          <w:szCs w:val="28"/>
        </w:rPr>
        <w:t>Taleb, 2007</w:t>
      </w:r>
      <w:r w:rsidRPr="006D54B5">
        <w:rPr>
          <w:rFonts w:ascii="Times New Roman" w:hAnsi="Times New Roman" w:cs="Times New Roman"/>
          <w:sz w:val="28"/>
          <w:szCs w:val="28"/>
          <w:rtl/>
        </w:rPr>
        <w:t>).</w:t>
      </w:r>
    </w:p>
    <w:p w:rsidR="00872B9A" w:rsidRPr="0096507B" w:rsidRDefault="00872B9A" w:rsidP="00872B9A">
      <w:pPr>
        <w:pStyle w:val="a4"/>
        <w:numPr>
          <w:ilvl w:val="0"/>
          <w:numId w:val="23"/>
        </w:numPr>
        <w:spacing w:line="360" w:lineRule="auto"/>
        <w:jc w:val="both"/>
        <w:rPr>
          <w:rFonts w:ascii="Times New Roman" w:hAnsi="Times New Roman" w:cs="Times New Roman"/>
          <w:b/>
          <w:bCs/>
          <w:sz w:val="28"/>
          <w:szCs w:val="28"/>
          <w:rtl/>
        </w:rPr>
      </w:pPr>
      <w:r w:rsidRPr="0096507B">
        <w:rPr>
          <w:rFonts w:ascii="Times New Roman" w:hAnsi="Times New Roman" w:cs="Times New Roman"/>
          <w:b/>
          <w:bCs/>
          <w:sz w:val="28"/>
          <w:szCs w:val="28"/>
          <w:rtl/>
        </w:rPr>
        <w:t>درجة الالتزام بمعايير الحوكمة</w:t>
      </w:r>
    </w:p>
    <w:p w:rsidR="00872B9A" w:rsidRPr="006D54B5" w:rsidRDefault="00872B9A" w:rsidP="00872B9A">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يشكل وجود هيكل حوكمة قوي، يتضمن لجانًا مختصة بإدارة المخاطر، عاملاً مهمًا في تعزيز الرقابة الداخلية وضمان تنفيذ السياسات والإجراءات المرتبطة بالمخاطر بشكل فعال ومنتظم (</w:t>
      </w:r>
      <w:r w:rsidRPr="006D54B5">
        <w:rPr>
          <w:rFonts w:ascii="Times New Roman" w:hAnsi="Times New Roman" w:cs="Times New Roman"/>
          <w:sz w:val="28"/>
          <w:szCs w:val="28"/>
        </w:rPr>
        <w:t>Solomon, 2020</w:t>
      </w:r>
      <w:r w:rsidRPr="006D54B5">
        <w:rPr>
          <w:rFonts w:ascii="Times New Roman" w:hAnsi="Times New Roman" w:cs="Times New Roman"/>
          <w:sz w:val="28"/>
          <w:szCs w:val="28"/>
          <w:rtl/>
        </w:rPr>
        <w:t>).</w:t>
      </w:r>
    </w:p>
    <w:p w:rsidR="00872B9A" w:rsidRDefault="00872B9A" w:rsidP="00872B9A">
      <w:pPr>
        <w:spacing w:line="360" w:lineRule="auto"/>
        <w:ind w:firstLine="368"/>
        <w:jc w:val="both"/>
        <w:rPr>
          <w:rFonts w:ascii="Times New Roman" w:hAnsi="Times New Roman" w:cs="Times New Roman"/>
          <w:sz w:val="28"/>
          <w:szCs w:val="28"/>
          <w:rtl/>
        </w:rPr>
      </w:pPr>
    </w:p>
    <w:p w:rsidR="00872B9A" w:rsidRDefault="00872B9A" w:rsidP="00872B9A">
      <w:pPr>
        <w:spacing w:line="360" w:lineRule="auto"/>
        <w:ind w:firstLine="368"/>
        <w:jc w:val="both"/>
        <w:rPr>
          <w:rFonts w:ascii="Times New Roman" w:hAnsi="Times New Roman" w:cs="Times New Roman"/>
          <w:sz w:val="28"/>
          <w:szCs w:val="28"/>
          <w:rtl/>
        </w:rPr>
      </w:pPr>
    </w:p>
    <w:p w:rsidR="00872B9A" w:rsidRDefault="00872B9A" w:rsidP="00872B9A">
      <w:pPr>
        <w:spacing w:line="360" w:lineRule="auto"/>
        <w:ind w:firstLine="368"/>
        <w:jc w:val="both"/>
        <w:rPr>
          <w:rFonts w:ascii="Times New Roman" w:hAnsi="Times New Roman" w:cs="Times New Roman"/>
          <w:sz w:val="28"/>
          <w:szCs w:val="28"/>
          <w:rtl/>
        </w:rPr>
      </w:pPr>
    </w:p>
    <w:p w:rsidR="00872B9A" w:rsidRDefault="00872B9A" w:rsidP="00872B9A">
      <w:pPr>
        <w:spacing w:line="360" w:lineRule="auto"/>
        <w:ind w:firstLine="368"/>
        <w:jc w:val="both"/>
        <w:rPr>
          <w:rFonts w:ascii="Times New Roman" w:hAnsi="Times New Roman" w:cs="Times New Roman"/>
          <w:sz w:val="28"/>
          <w:szCs w:val="28"/>
          <w:rtl/>
        </w:rPr>
      </w:pPr>
    </w:p>
    <w:p w:rsidR="00872B9A" w:rsidRDefault="00872B9A" w:rsidP="00872B9A">
      <w:pPr>
        <w:spacing w:line="360" w:lineRule="auto"/>
        <w:ind w:firstLine="368"/>
        <w:jc w:val="both"/>
        <w:rPr>
          <w:rFonts w:ascii="Times New Roman" w:hAnsi="Times New Roman" w:cs="Times New Roman"/>
          <w:sz w:val="28"/>
          <w:szCs w:val="28"/>
          <w:rtl/>
        </w:rPr>
      </w:pPr>
    </w:p>
    <w:p w:rsidR="00872B9A" w:rsidRDefault="00872B9A" w:rsidP="00872B9A">
      <w:pPr>
        <w:spacing w:line="360" w:lineRule="auto"/>
        <w:ind w:firstLine="368"/>
        <w:jc w:val="both"/>
        <w:rPr>
          <w:rFonts w:ascii="Times New Roman" w:hAnsi="Times New Roman" w:cs="Times New Roman"/>
          <w:sz w:val="28"/>
          <w:szCs w:val="28"/>
          <w:rtl/>
        </w:rPr>
      </w:pPr>
    </w:p>
    <w:p w:rsidR="00872B9A" w:rsidRDefault="00872B9A" w:rsidP="00872B9A">
      <w:pPr>
        <w:spacing w:line="360" w:lineRule="auto"/>
        <w:ind w:firstLine="368"/>
        <w:jc w:val="both"/>
        <w:rPr>
          <w:rFonts w:ascii="Times New Roman" w:hAnsi="Times New Roman" w:cs="Times New Roman"/>
          <w:sz w:val="28"/>
          <w:szCs w:val="28"/>
          <w:rtl/>
        </w:rPr>
      </w:pPr>
    </w:p>
    <w:p w:rsidR="00872B9A" w:rsidRDefault="00872B9A" w:rsidP="00872B9A">
      <w:pPr>
        <w:spacing w:line="360" w:lineRule="auto"/>
        <w:ind w:firstLine="368"/>
        <w:jc w:val="both"/>
        <w:rPr>
          <w:rFonts w:ascii="Times New Roman" w:hAnsi="Times New Roman" w:cs="Times New Roman"/>
          <w:sz w:val="28"/>
          <w:szCs w:val="28"/>
          <w:rtl/>
        </w:rPr>
      </w:pPr>
    </w:p>
    <w:p w:rsidR="00872B9A" w:rsidRDefault="00872B9A" w:rsidP="00872B9A">
      <w:pPr>
        <w:spacing w:line="360" w:lineRule="auto"/>
        <w:ind w:firstLine="368"/>
        <w:jc w:val="both"/>
        <w:rPr>
          <w:rFonts w:ascii="Times New Roman" w:hAnsi="Times New Roman" w:cs="Times New Roman"/>
          <w:sz w:val="28"/>
          <w:szCs w:val="28"/>
          <w:rtl/>
        </w:rPr>
      </w:pPr>
    </w:p>
    <w:p w:rsidR="00872B9A" w:rsidRDefault="00872B9A" w:rsidP="00872B9A">
      <w:pPr>
        <w:spacing w:line="360" w:lineRule="auto"/>
        <w:ind w:firstLine="368"/>
        <w:jc w:val="both"/>
        <w:rPr>
          <w:rFonts w:ascii="Times New Roman" w:hAnsi="Times New Roman" w:cs="Times New Roman"/>
          <w:sz w:val="28"/>
          <w:szCs w:val="28"/>
          <w:rtl/>
        </w:rPr>
      </w:pPr>
    </w:p>
    <w:p w:rsidR="00872B9A" w:rsidRDefault="00872B9A" w:rsidP="00872B9A">
      <w:pPr>
        <w:spacing w:line="360" w:lineRule="auto"/>
        <w:ind w:firstLine="368"/>
        <w:jc w:val="both"/>
        <w:rPr>
          <w:rFonts w:ascii="Times New Roman" w:hAnsi="Times New Roman" w:cs="Times New Roman"/>
          <w:sz w:val="28"/>
          <w:szCs w:val="28"/>
          <w:rtl/>
        </w:rPr>
      </w:pPr>
    </w:p>
    <w:p w:rsidR="00872B9A" w:rsidRDefault="00872B9A" w:rsidP="00872B9A">
      <w:pPr>
        <w:spacing w:line="360" w:lineRule="auto"/>
        <w:ind w:firstLine="368"/>
        <w:jc w:val="both"/>
        <w:rPr>
          <w:rFonts w:ascii="Times New Roman" w:hAnsi="Times New Roman" w:cs="Times New Roman"/>
          <w:sz w:val="28"/>
          <w:szCs w:val="28"/>
          <w:rtl/>
        </w:rPr>
      </w:pPr>
    </w:p>
    <w:p w:rsidR="00872B9A" w:rsidRDefault="00872B9A" w:rsidP="00872B9A">
      <w:pPr>
        <w:spacing w:line="360" w:lineRule="auto"/>
        <w:ind w:firstLine="368"/>
        <w:jc w:val="both"/>
        <w:rPr>
          <w:rFonts w:ascii="Times New Roman" w:hAnsi="Times New Roman" w:cs="Times New Roman"/>
          <w:sz w:val="28"/>
          <w:szCs w:val="28"/>
          <w:rtl/>
        </w:rPr>
      </w:pPr>
    </w:p>
    <w:p w:rsidR="009317AE" w:rsidRDefault="009317AE">
      <w:bookmarkStart w:id="58" w:name="_GoBack"/>
      <w:bookmarkEnd w:id="58"/>
    </w:p>
    <w:sectPr w:rsidR="009317AE" w:rsidSect="00B20AB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PT Bold Heading">
    <w:panose1 w:val="02010400000000000000"/>
    <w:charset w:val="B2"/>
    <w:family w:val="auto"/>
    <w:pitch w:val="variable"/>
    <w:sig w:usb0="00002001" w:usb1="80000000" w:usb2="00000008" w:usb3="00000000" w:csb0="00000040" w:csb1="00000000"/>
  </w:font>
  <w:font w:name="Liberation Mono">
    <w:altName w:val="Cambri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10664"/>
    <w:multiLevelType w:val="hybridMultilevel"/>
    <w:tmpl w:val="D6481C70"/>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670106"/>
    <w:multiLevelType w:val="hybridMultilevel"/>
    <w:tmpl w:val="D8468CD0"/>
    <w:lvl w:ilvl="0" w:tplc="9AAE9D20">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2">
    <w:nsid w:val="1A89206C"/>
    <w:multiLevelType w:val="hybridMultilevel"/>
    <w:tmpl w:val="FCA875C2"/>
    <w:lvl w:ilvl="0" w:tplc="9AAE9D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F146A7E"/>
    <w:multiLevelType w:val="hybridMultilevel"/>
    <w:tmpl w:val="77B4A412"/>
    <w:lvl w:ilvl="0" w:tplc="E0EEB67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4482125"/>
    <w:multiLevelType w:val="hybridMultilevel"/>
    <w:tmpl w:val="6F92D226"/>
    <w:lvl w:ilvl="0" w:tplc="FBA6A750">
      <w:start w:val="1"/>
      <w:numFmt w:val="decimal"/>
      <w:lvlText w:val="%1."/>
      <w:lvlJc w:val="left"/>
      <w:pPr>
        <w:ind w:left="360" w:hanging="360"/>
      </w:pPr>
      <w:rPr>
        <w:rFonts w:hint="default"/>
      </w:rPr>
    </w:lvl>
    <w:lvl w:ilvl="1" w:tplc="04090019" w:tentative="1">
      <w:start w:val="1"/>
      <w:numFmt w:val="lowerLetter"/>
      <w:lvlText w:val="%2."/>
      <w:lvlJc w:val="left"/>
      <w:pPr>
        <w:ind w:left="872" w:hanging="360"/>
      </w:pPr>
    </w:lvl>
    <w:lvl w:ilvl="2" w:tplc="0409001B" w:tentative="1">
      <w:start w:val="1"/>
      <w:numFmt w:val="lowerRoman"/>
      <w:lvlText w:val="%3."/>
      <w:lvlJc w:val="right"/>
      <w:pPr>
        <w:ind w:left="1592" w:hanging="180"/>
      </w:pPr>
    </w:lvl>
    <w:lvl w:ilvl="3" w:tplc="0409000F" w:tentative="1">
      <w:start w:val="1"/>
      <w:numFmt w:val="decimal"/>
      <w:lvlText w:val="%4."/>
      <w:lvlJc w:val="left"/>
      <w:pPr>
        <w:ind w:left="2312" w:hanging="360"/>
      </w:pPr>
    </w:lvl>
    <w:lvl w:ilvl="4" w:tplc="04090019" w:tentative="1">
      <w:start w:val="1"/>
      <w:numFmt w:val="lowerLetter"/>
      <w:lvlText w:val="%5."/>
      <w:lvlJc w:val="left"/>
      <w:pPr>
        <w:ind w:left="3032" w:hanging="360"/>
      </w:pPr>
    </w:lvl>
    <w:lvl w:ilvl="5" w:tplc="0409001B" w:tentative="1">
      <w:start w:val="1"/>
      <w:numFmt w:val="lowerRoman"/>
      <w:lvlText w:val="%6."/>
      <w:lvlJc w:val="right"/>
      <w:pPr>
        <w:ind w:left="3752" w:hanging="180"/>
      </w:pPr>
    </w:lvl>
    <w:lvl w:ilvl="6" w:tplc="0409000F" w:tentative="1">
      <w:start w:val="1"/>
      <w:numFmt w:val="decimal"/>
      <w:lvlText w:val="%7."/>
      <w:lvlJc w:val="left"/>
      <w:pPr>
        <w:ind w:left="4472" w:hanging="360"/>
      </w:pPr>
    </w:lvl>
    <w:lvl w:ilvl="7" w:tplc="04090019" w:tentative="1">
      <w:start w:val="1"/>
      <w:numFmt w:val="lowerLetter"/>
      <w:lvlText w:val="%8."/>
      <w:lvlJc w:val="left"/>
      <w:pPr>
        <w:ind w:left="5192" w:hanging="360"/>
      </w:pPr>
    </w:lvl>
    <w:lvl w:ilvl="8" w:tplc="0409001B" w:tentative="1">
      <w:start w:val="1"/>
      <w:numFmt w:val="lowerRoman"/>
      <w:lvlText w:val="%9."/>
      <w:lvlJc w:val="right"/>
      <w:pPr>
        <w:ind w:left="5912" w:hanging="180"/>
      </w:pPr>
    </w:lvl>
  </w:abstractNum>
  <w:abstractNum w:abstractNumId="5">
    <w:nsid w:val="244A73F1"/>
    <w:multiLevelType w:val="hybridMultilevel"/>
    <w:tmpl w:val="49489C28"/>
    <w:lvl w:ilvl="0" w:tplc="9AAE9D20">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6">
    <w:nsid w:val="28092C96"/>
    <w:multiLevelType w:val="hybridMultilevel"/>
    <w:tmpl w:val="52E477D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90A1D38"/>
    <w:multiLevelType w:val="hybridMultilevel"/>
    <w:tmpl w:val="6DD4F57C"/>
    <w:lvl w:ilvl="0" w:tplc="9AAE9D20">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8">
    <w:nsid w:val="2CFF0024"/>
    <w:multiLevelType w:val="hybridMultilevel"/>
    <w:tmpl w:val="5E986034"/>
    <w:lvl w:ilvl="0" w:tplc="255448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FFF0379"/>
    <w:multiLevelType w:val="hybridMultilevel"/>
    <w:tmpl w:val="399A4BAC"/>
    <w:lvl w:ilvl="0" w:tplc="5DD2C708">
      <w:start w:val="7"/>
      <w:numFmt w:val="decimal"/>
      <w:suff w:val="space"/>
      <w:lvlText w:val="%1."/>
      <w:lvlJc w:val="left"/>
      <w:pPr>
        <w:ind w:left="360" w:hanging="360"/>
      </w:pPr>
      <w:rPr>
        <w:rFonts w:ascii="Times New Roman" w:hAnsi="Times New Roman" w:cs="Times New Roman" w:hint="default"/>
      </w:rPr>
    </w:lvl>
    <w:lvl w:ilvl="1" w:tplc="4C6A0A68">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8EA3861"/>
    <w:multiLevelType w:val="hybridMultilevel"/>
    <w:tmpl w:val="3C505DBC"/>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35635C"/>
    <w:multiLevelType w:val="hybridMultilevel"/>
    <w:tmpl w:val="5D4CC148"/>
    <w:lvl w:ilvl="0" w:tplc="9AAE9D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C485947"/>
    <w:multiLevelType w:val="hybridMultilevel"/>
    <w:tmpl w:val="734CC2AC"/>
    <w:lvl w:ilvl="0" w:tplc="9AAE9D20">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3">
    <w:nsid w:val="42E055DA"/>
    <w:multiLevelType w:val="hybridMultilevel"/>
    <w:tmpl w:val="A90CD236"/>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8A7DE7"/>
    <w:multiLevelType w:val="hybridMultilevel"/>
    <w:tmpl w:val="AC9A267E"/>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C64745"/>
    <w:multiLevelType w:val="hybridMultilevel"/>
    <w:tmpl w:val="E9E0F1B0"/>
    <w:lvl w:ilvl="0" w:tplc="7EB0C31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0C3078E"/>
    <w:multiLevelType w:val="hybridMultilevel"/>
    <w:tmpl w:val="12F81DA4"/>
    <w:lvl w:ilvl="0" w:tplc="91A048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579C3F64"/>
    <w:multiLevelType w:val="hybridMultilevel"/>
    <w:tmpl w:val="354E5370"/>
    <w:lvl w:ilvl="0" w:tplc="9AAE9D20">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8">
    <w:nsid w:val="5A5540A6"/>
    <w:multiLevelType w:val="hybridMultilevel"/>
    <w:tmpl w:val="D3AC0F5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D821BB1"/>
    <w:multiLevelType w:val="hybridMultilevel"/>
    <w:tmpl w:val="126AB5DC"/>
    <w:lvl w:ilvl="0" w:tplc="9AAE9D20">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0">
    <w:nsid w:val="5DDE4F4F"/>
    <w:multiLevelType w:val="hybridMultilevel"/>
    <w:tmpl w:val="83E69614"/>
    <w:lvl w:ilvl="0" w:tplc="9AAE9D20">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1">
    <w:nsid w:val="628C6410"/>
    <w:multiLevelType w:val="hybridMultilevel"/>
    <w:tmpl w:val="14EE39AE"/>
    <w:lvl w:ilvl="0" w:tplc="06728A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641A16E3"/>
    <w:multiLevelType w:val="hybridMultilevel"/>
    <w:tmpl w:val="6AFE3334"/>
    <w:lvl w:ilvl="0" w:tplc="9AAE9D20">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3">
    <w:nsid w:val="674A4071"/>
    <w:multiLevelType w:val="hybridMultilevel"/>
    <w:tmpl w:val="CB8AFEF2"/>
    <w:lvl w:ilvl="0" w:tplc="9AAE9D20">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24">
    <w:nsid w:val="6D331ACC"/>
    <w:multiLevelType w:val="hybridMultilevel"/>
    <w:tmpl w:val="64EE7B4A"/>
    <w:lvl w:ilvl="0" w:tplc="9AAE9D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A8D57DF"/>
    <w:multiLevelType w:val="hybridMultilevel"/>
    <w:tmpl w:val="AC604E24"/>
    <w:lvl w:ilvl="0" w:tplc="9AAE9D20">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6">
    <w:nsid w:val="7B246508"/>
    <w:multiLevelType w:val="hybridMultilevel"/>
    <w:tmpl w:val="49A4A6EA"/>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B386426"/>
    <w:multiLevelType w:val="hybridMultilevel"/>
    <w:tmpl w:val="9F9A5FDA"/>
    <w:lvl w:ilvl="0" w:tplc="9AAE9D20">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num w:numId="1">
    <w:abstractNumId w:val="2"/>
  </w:num>
  <w:num w:numId="2">
    <w:abstractNumId w:val="26"/>
  </w:num>
  <w:num w:numId="3">
    <w:abstractNumId w:val="10"/>
  </w:num>
  <w:num w:numId="4">
    <w:abstractNumId w:val="24"/>
  </w:num>
  <w:num w:numId="5">
    <w:abstractNumId w:val="11"/>
  </w:num>
  <w:num w:numId="6">
    <w:abstractNumId w:val="27"/>
  </w:num>
  <w:num w:numId="7">
    <w:abstractNumId w:val="3"/>
  </w:num>
  <w:num w:numId="8">
    <w:abstractNumId w:val="17"/>
  </w:num>
  <w:num w:numId="9">
    <w:abstractNumId w:val="5"/>
  </w:num>
  <w:num w:numId="10">
    <w:abstractNumId w:val="22"/>
  </w:num>
  <w:num w:numId="11">
    <w:abstractNumId w:val="25"/>
  </w:num>
  <w:num w:numId="12">
    <w:abstractNumId w:val="4"/>
  </w:num>
  <w:num w:numId="13">
    <w:abstractNumId w:val="19"/>
  </w:num>
  <w:num w:numId="14">
    <w:abstractNumId w:val="12"/>
  </w:num>
  <w:num w:numId="15">
    <w:abstractNumId w:val="20"/>
  </w:num>
  <w:num w:numId="16">
    <w:abstractNumId w:val="14"/>
  </w:num>
  <w:num w:numId="17">
    <w:abstractNumId w:val="23"/>
  </w:num>
  <w:num w:numId="18">
    <w:abstractNumId w:val="7"/>
  </w:num>
  <w:num w:numId="19">
    <w:abstractNumId w:val="1"/>
  </w:num>
  <w:num w:numId="20">
    <w:abstractNumId w:val="13"/>
  </w:num>
  <w:num w:numId="21">
    <w:abstractNumId w:val="0"/>
  </w:num>
  <w:num w:numId="22">
    <w:abstractNumId w:val="9"/>
  </w:num>
  <w:num w:numId="23">
    <w:abstractNumId w:val="6"/>
  </w:num>
  <w:num w:numId="24">
    <w:abstractNumId w:val="18"/>
  </w:num>
  <w:num w:numId="25">
    <w:abstractNumId w:val="15"/>
  </w:num>
  <w:num w:numId="26">
    <w:abstractNumId w:val="8"/>
  </w:num>
  <w:num w:numId="27">
    <w:abstractNumId w:val="16"/>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B9A"/>
    <w:rsid w:val="00872B9A"/>
    <w:rsid w:val="008D4CF7"/>
    <w:rsid w:val="009317AE"/>
    <w:rsid w:val="00B20A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2B085A-1C69-49DB-9EE9-D04DE4099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2B9A"/>
    <w:pPr>
      <w:bidi/>
    </w:pPr>
    <w:rPr>
      <w:kern w:val="2"/>
      <w14:ligatures w14:val="standardContextual"/>
    </w:rPr>
  </w:style>
  <w:style w:type="paragraph" w:styleId="1">
    <w:name w:val="heading 1"/>
    <w:basedOn w:val="a"/>
    <w:next w:val="a"/>
    <w:link w:val="1Char"/>
    <w:uiPriority w:val="9"/>
    <w:qFormat/>
    <w:rsid w:val="00872B9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872B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872B9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Book Title"/>
    <w:basedOn w:val="a0"/>
    <w:uiPriority w:val="33"/>
    <w:qFormat/>
    <w:rsid w:val="00872B9A"/>
    <w:rPr>
      <w:b/>
      <w:bCs/>
      <w:i/>
      <w:iCs/>
      <w:spacing w:val="5"/>
    </w:rPr>
  </w:style>
  <w:style w:type="character" w:customStyle="1" w:styleId="1Char">
    <w:name w:val="عنوان 1 Char"/>
    <w:basedOn w:val="a0"/>
    <w:link w:val="1"/>
    <w:uiPriority w:val="9"/>
    <w:rsid w:val="00872B9A"/>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2Char">
    <w:name w:val="عنوان 2 Char"/>
    <w:basedOn w:val="a0"/>
    <w:link w:val="2"/>
    <w:uiPriority w:val="9"/>
    <w:rsid w:val="00872B9A"/>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3Char">
    <w:name w:val="عنوان 3 Char"/>
    <w:basedOn w:val="a0"/>
    <w:link w:val="3"/>
    <w:uiPriority w:val="9"/>
    <w:rsid w:val="00872B9A"/>
    <w:rPr>
      <w:rFonts w:asciiTheme="majorHAnsi" w:eastAsiaTheme="majorEastAsia" w:hAnsiTheme="majorHAnsi" w:cstheme="majorBidi"/>
      <w:color w:val="1F4D78" w:themeColor="accent1" w:themeShade="7F"/>
      <w:kern w:val="2"/>
      <w:sz w:val="24"/>
      <w:szCs w:val="24"/>
      <w14:ligatures w14:val="standardContextual"/>
    </w:rPr>
  </w:style>
  <w:style w:type="paragraph" w:styleId="a4">
    <w:name w:val="List Paragraph"/>
    <w:basedOn w:val="a"/>
    <w:uiPriority w:val="34"/>
    <w:qFormat/>
    <w:rsid w:val="00872B9A"/>
    <w:pPr>
      <w:ind w:left="720"/>
      <w:contextualSpacing/>
    </w:pPr>
  </w:style>
  <w:style w:type="table" w:styleId="4-1">
    <w:name w:val="Grid Table 4 Accent 1"/>
    <w:basedOn w:val="a1"/>
    <w:uiPriority w:val="49"/>
    <w:rsid w:val="00872B9A"/>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6956</Words>
  <Characters>39654</Characters>
  <Application>Microsoft Office Word</Application>
  <DocSecurity>0</DocSecurity>
  <Lines>330</Lines>
  <Paragraphs>93</Paragraphs>
  <ScaleCrop>false</ScaleCrop>
  <Company/>
  <LinksUpToDate>false</LinksUpToDate>
  <CharactersWithSpaces>46517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1</cp:revision>
  <dcterms:created xsi:type="dcterms:W3CDTF">2025-07-18T18:57:00Z</dcterms:created>
  <dcterms:modified xsi:type="dcterms:W3CDTF">2025-07-18T18:58:00Z</dcterms:modified>
</cp:coreProperties>
</file>