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17A84" w14:textId="77777777" w:rsidR="00207BEC" w:rsidRPr="00207BEC" w:rsidRDefault="007951CD" w:rsidP="00207BEC">
      <w:pPr>
        <w:bidi/>
        <w:jc w:val="both"/>
        <w:rPr>
          <w:rFonts w:ascii="Simplified Arabic" w:hAnsi="Simplified Arabic" w:cs="Simplified Arabic"/>
          <w:b/>
          <w:sz w:val="22"/>
          <w:lang w:bidi="ar-JO"/>
        </w:rPr>
      </w:pPr>
      <w:r w:rsidRPr="00207BEC">
        <w:rPr>
          <w:rFonts w:ascii="Simplified Arabic" w:hAnsi="Simplified Arabic" w:cs="Simplified Arabic"/>
          <w:b/>
          <w:sz w:val="22"/>
          <w:lang w:bidi="ar-JO"/>
        </w:rPr>
        <w:t>تقرير تدقيق الالتزام</w:t>
      </w:r>
    </w:p>
    <w:p w14:paraId="2F43BE8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اسم الباحث: عادل بن علي حماص</w:t>
      </w:r>
    </w:p>
    <w:p w14:paraId="54F0C03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عنوان الدراسة: 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24023AB9" w14:textId="77777777" w:rsidR="007951CD" w:rsidRPr="00207BEC" w:rsidRDefault="007951CD" w:rsidP="00207BEC">
      <w:pPr>
        <w:bidi/>
        <w:jc w:val="both"/>
        <w:rPr>
          <w:rFonts w:ascii="Simplified Arabic" w:hAnsi="Simplified Arabic" w:cs="Simplified Arabic"/>
          <w:sz w:val="22"/>
          <w:lang w:bidi="ar-JO"/>
        </w:rPr>
      </w:pPr>
    </w:p>
    <w:p w14:paraId="0493937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القرار النهائي</w:t>
      </w:r>
    </w:p>
    <w:p w14:paraId="2C8C0D6D" w14:textId="77777777" w:rsidR="007951CD" w:rsidRPr="00207BEC" w:rsidRDefault="007951CD" w:rsidP="00207BEC">
      <w:pPr>
        <w:bidi/>
        <w:jc w:val="both"/>
        <w:rPr>
          <w:rFonts w:ascii="Simplified Arabic" w:hAnsi="Simplified Arabic" w:cs="Simplified Arabic"/>
          <w:sz w:val="22"/>
          <w:u w:val="single"/>
          <w:lang w:bidi="ar-JO"/>
        </w:rPr>
      </w:pPr>
      <w:r w:rsidRPr="00207BEC">
        <w:rPr>
          <w:rFonts w:ascii="Simplified Arabic" w:hAnsi="Simplified Arabic" w:cs="Simplified Arabic"/>
          <w:b/>
          <w:sz w:val="22"/>
          <w:u w:val="single"/>
          <w:lang w:bidi="ar-JO"/>
        </w:rPr>
        <w:t>اعتماد مشروط للفصل الأول</w:t>
      </w:r>
    </w:p>
    <w:p w14:paraId="13EBCAFE"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مبررات الاعتماد المشروط: تحسن جوهري في بناء مشكلة الدراسة وعرض مؤشرات التفتيش البيئي ووجود صياغة محكمة لعبارة المشكلة، مع بقاء ملاحظات عالية الأهمية تتعلق بالتوثيق وجودة المصادر، وتحويل الأسئلة إلى فرضيات قابلة للاختبار، وربط الأهداف بمؤشرات أداء، واستكمال قائمة المراجع ومعايير التحليل.</w:t>
      </w:r>
    </w:p>
    <w:p w14:paraId="76202DC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ملخص تنفيذي مختصر</w:t>
      </w:r>
    </w:p>
    <w:p w14:paraId="4B89261A" w14:textId="77777777" w:rsidR="007951CD" w:rsidRPr="00207BEC" w:rsidRDefault="007951CD" w:rsidP="00207BEC">
      <w:pPr>
        <w:pStyle w:val="ListBullet"/>
        <w:tabs>
          <w:tab w:val="num" w:pos="360"/>
        </w:tabs>
        <w:bidi/>
        <w:ind w:left="360" w:hanging="360"/>
        <w:jc w:val="both"/>
        <w:rPr>
          <w:rFonts w:ascii="Simplified Arabic" w:hAnsi="Simplified Arabic" w:cs="Simplified Arabic"/>
          <w:sz w:val="22"/>
          <w:lang w:bidi="ar-JO"/>
        </w:rPr>
      </w:pPr>
      <w:r w:rsidRPr="00207BEC">
        <w:rPr>
          <w:rFonts w:ascii="Simplified Arabic" w:hAnsi="Simplified Arabic" w:cs="Simplified Arabic"/>
          <w:sz w:val="22"/>
          <w:lang w:bidi="ar-JO"/>
        </w:rPr>
        <w:t>نقاط قوة بارزة: (أ) إدراج مؤشرات كمية تفصيلية لخدمة التفتيش البيئي، (ب) صياغة واضحة لتسلسل المشكلة وخلاصة الفجوة، (ج) تنظيم جيد لمكونات الفصل (مقدمة/مشكلة/تساؤلات/أهمية/أهداف/مفاهيم/حدود/منهجية/نموذج).</w:t>
      </w:r>
    </w:p>
    <w:p w14:paraId="67878231" w14:textId="77777777" w:rsidR="007951CD" w:rsidRPr="00207BEC" w:rsidRDefault="007951CD" w:rsidP="00207BEC">
      <w:pPr>
        <w:pStyle w:val="ListBullet"/>
        <w:tabs>
          <w:tab w:val="num" w:pos="360"/>
        </w:tabs>
        <w:bidi/>
        <w:ind w:left="360" w:hanging="360"/>
        <w:jc w:val="both"/>
        <w:rPr>
          <w:rFonts w:ascii="Simplified Arabic" w:hAnsi="Simplified Arabic" w:cs="Simplified Arabic"/>
          <w:sz w:val="22"/>
          <w:lang w:bidi="ar-JO"/>
        </w:rPr>
      </w:pPr>
      <w:r w:rsidRPr="00207BEC">
        <w:rPr>
          <w:rFonts w:ascii="Simplified Arabic" w:hAnsi="Simplified Arabic" w:cs="Simplified Arabic"/>
          <w:sz w:val="22"/>
          <w:lang w:bidi="ar-JO"/>
        </w:rPr>
        <w:t>نقاط تتطلب إغلاقاً قبل اعتماد نهائي: (1) تعزيز الصرامة المرجعية واستبدال المصادر غير المحكّمة، (2) إضافة فرضيات كمية ومتغيرات ضابطة، (3) ربط الأهداف بمؤشرات أداء محددة، (4) تفصيل معايير تحليل الجدوى (NPV/IRR/Payback/SLA) وتوحيد التوثيق (APA-7) واستكمال قائمة المراجع.</w:t>
      </w:r>
    </w:p>
    <w:p w14:paraId="549A8E55" w14:textId="77777777" w:rsidR="007951CD" w:rsidRPr="00207BEC" w:rsidRDefault="007951CD" w:rsidP="00207BEC">
      <w:pPr>
        <w:pStyle w:val="ListBullet"/>
        <w:tabs>
          <w:tab w:val="num" w:pos="360"/>
        </w:tabs>
        <w:bidi/>
        <w:ind w:left="360" w:hanging="360"/>
        <w:jc w:val="both"/>
        <w:rPr>
          <w:rFonts w:ascii="Simplified Arabic" w:hAnsi="Simplified Arabic" w:cs="Simplified Arabic"/>
          <w:sz w:val="22"/>
          <w:lang w:bidi="ar-JO"/>
        </w:rPr>
      </w:pPr>
      <w:r w:rsidRPr="00207BEC">
        <w:rPr>
          <w:rFonts w:ascii="Simplified Arabic" w:hAnsi="Simplified Arabic" w:cs="Simplified Arabic"/>
          <w:sz w:val="22"/>
          <w:lang w:bidi="ar-JO"/>
        </w:rPr>
        <w:t>المخرجات المتوقعة بعد الإغلاق: فصل أول أكثر إحكاماً وقابلية للتتبع، يمهّد بسلاسة للفصلين الثاني والثالث ويقلل الملاحظات المنهجية لاحقاً.</w:t>
      </w:r>
    </w:p>
    <w:p w14:paraId="4853285F" w14:textId="77777777" w:rsidR="007951CD" w:rsidRPr="00207BEC" w:rsidRDefault="007951CD" w:rsidP="00207BEC">
      <w:pPr>
        <w:bidi/>
        <w:jc w:val="both"/>
        <w:rPr>
          <w:rFonts w:ascii="Simplified Arabic" w:hAnsi="Simplified Arabic" w:cs="Simplified Arabic"/>
          <w:sz w:val="22"/>
          <w:lang w:bidi="ar-JO"/>
        </w:rPr>
      </w:pPr>
    </w:p>
    <w:p w14:paraId="3940A80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lastRenderedPageBreak/>
        <w:t>جدول تدقيق الالتزام بالملاحظات</w:t>
      </w:r>
    </w:p>
    <w:tbl>
      <w:tblPr>
        <w:tblStyle w:val="TableGrid"/>
        <w:bidiVisual/>
        <w:tblW w:w="13706" w:type="dxa"/>
        <w:tblLayout w:type="fixed"/>
        <w:tblLook w:val="04A0" w:firstRow="1" w:lastRow="0" w:firstColumn="1" w:lastColumn="0" w:noHBand="0" w:noVBand="1"/>
      </w:tblPr>
      <w:tblGrid>
        <w:gridCol w:w="1247"/>
        <w:gridCol w:w="2608"/>
        <w:gridCol w:w="2948"/>
        <w:gridCol w:w="1474"/>
        <w:gridCol w:w="2948"/>
        <w:gridCol w:w="1234"/>
        <w:gridCol w:w="1247"/>
      </w:tblGrid>
      <w:tr w:rsidR="007951CD" w:rsidRPr="00207BEC" w14:paraId="32C67D24" w14:textId="77777777" w:rsidTr="00207BEC">
        <w:tc>
          <w:tcPr>
            <w:tcW w:w="1247" w:type="dxa"/>
          </w:tcPr>
          <w:p w14:paraId="007A83B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رقم الملاحظة</w:t>
            </w:r>
          </w:p>
        </w:tc>
        <w:tc>
          <w:tcPr>
            <w:tcW w:w="2608" w:type="dxa"/>
          </w:tcPr>
          <w:p w14:paraId="771AAF6E"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جوهر المتطلب</w:t>
            </w:r>
          </w:p>
        </w:tc>
        <w:tc>
          <w:tcPr>
            <w:tcW w:w="2948" w:type="dxa"/>
          </w:tcPr>
          <w:p w14:paraId="55C90D8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الدليل (من التسليم النهائي)</w:t>
            </w:r>
          </w:p>
        </w:tc>
        <w:tc>
          <w:tcPr>
            <w:tcW w:w="1474" w:type="dxa"/>
          </w:tcPr>
          <w:p w14:paraId="1D185E6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درجة الالتزام</w:t>
            </w:r>
          </w:p>
        </w:tc>
        <w:tc>
          <w:tcPr>
            <w:tcW w:w="2948" w:type="dxa"/>
          </w:tcPr>
          <w:p w14:paraId="4AE9E93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إرشادات الإغلاق</w:t>
            </w:r>
          </w:p>
        </w:tc>
        <w:tc>
          <w:tcPr>
            <w:tcW w:w="1234" w:type="dxa"/>
          </w:tcPr>
          <w:p w14:paraId="0AA4900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الأهمية</w:t>
            </w:r>
          </w:p>
        </w:tc>
        <w:tc>
          <w:tcPr>
            <w:tcW w:w="1247" w:type="dxa"/>
          </w:tcPr>
          <w:p w14:paraId="6635A34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b/>
                <w:sz w:val="22"/>
                <w:lang w:bidi="ar-JO"/>
              </w:rPr>
              <w:t>القرار</w:t>
            </w:r>
          </w:p>
        </w:tc>
      </w:tr>
      <w:tr w:rsidR="007951CD" w:rsidRPr="00207BEC" w14:paraId="1EBAFD15" w14:textId="77777777" w:rsidTr="00207BEC">
        <w:tc>
          <w:tcPr>
            <w:tcW w:w="1247" w:type="dxa"/>
          </w:tcPr>
          <w:p w14:paraId="03BBA27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1.1</w:t>
            </w:r>
          </w:p>
        </w:tc>
        <w:tc>
          <w:tcPr>
            <w:tcW w:w="2608" w:type="dxa"/>
          </w:tcPr>
          <w:p w14:paraId="5053DD7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اختصار المقدمة وبدؤها مباشرة بسياق السعودية بعد 2018 (الإستراتيجية الوطنية للبيئة، المراكز الخمسة، صندوق البيئة) بما يقود سريعاً إلى مشكلة الدراسة.</w:t>
            </w:r>
          </w:p>
        </w:tc>
        <w:tc>
          <w:tcPr>
            <w:tcW w:w="2948" w:type="dxa"/>
          </w:tcPr>
          <w:p w14:paraId="3C64B15E"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المقدمة تبدأ بتعريف عام للشراكات ثم تنتقل لسياق السعودية ورؤية 2030 وبرنامج التحول الوطني وتعرض إعادة الهيكلة والجهات (ص10-11). ما زال يمكن تقديم السياق السعودي في السطر الأول وتقليص التمهيد العام.</w:t>
            </w:r>
          </w:p>
        </w:tc>
        <w:tc>
          <w:tcPr>
            <w:tcW w:w="1474" w:type="dxa"/>
          </w:tcPr>
          <w:p w14:paraId="7DF53C62"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441A889E"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أعد صياغة أول فقرتين لتبدأ بسياق 2018 وإعادة الهيكلة، ثم عرّف PPP بإيجاز ضمن السياق، مع حذف/تقليص العبارات العامة.</w:t>
            </w:r>
          </w:p>
        </w:tc>
        <w:tc>
          <w:tcPr>
            <w:tcW w:w="1234" w:type="dxa"/>
          </w:tcPr>
          <w:p w14:paraId="48F7E98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69C752A9"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2667C543" w14:textId="77777777" w:rsidTr="00207BEC">
        <w:tc>
          <w:tcPr>
            <w:tcW w:w="1247" w:type="dxa"/>
          </w:tcPr>
          <w:p w14:paraId="068BC06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1.2</w:t>
            </w:r>
          </w:p>
        </w:tc>
        <w:tc>
          <w:tcPr>
            <w:tcW w:w="2608" w:type="dxa"/>
          </w:tcPr>
          <w:p w14:paraId="3A603A7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استبدال المصادر العامة بمصادر محكّمة/رسمية (OECD/WB/NCP/MEWA/NCEC) وتحديث الإحالات لآخر 5 سنوات قدر الإمكان.</w:t>
            </w:r>
          </w:p>
        </w:tc>
        <w:tc>
          <w:tcPr>
            <w:tcW w:w="2948" w:type="dxa"/>
          </w:tcPr>
          <w:p w14:paraId="18AF5F9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تمت الاستعانة بمصادر رسمية داخلية مثل المركز الوطني للرقابة على الالتزام البيئي (2020) بالإضافة إلى مصادر غير محكّمة/غير واضحة الاعتماد مثل Leaders World Magazine وDevix وغيرها (ص12-23).</w:t>
            </w:r>
          </w:p>
        </w:tc>
        <w:tc>
          <w:tcPr>
            <w:tcW w:w="1474" w:type="dxa"/>
          </w:tcPr>
          <w:p w14:paraId="1AF2E97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73F34A4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راجع قائمة المراجع: استبدل المقالات/المواقع العامة بتقارير WB/OECD، أدلة المركز الوطني للتخصيص (NCP)، تقارير MEWA/NCEC، وأضف بيانات/تقارير 2021-2025 حيثما أمكن.</w:t>
            </w:r>
          </w:p>
        </w:tc>
        <w:tc>
          <w:tcPr>
            <w:tcW w:w="1234" w:type="dxa"/>
          </w:tcPr>
          <w:p w14:paraId="5774792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2A58A96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5AA09FDD" w14:textId="77777777" w:rsidTr="00207BEC">
        <w:tc>
          <w:tcPr>
            <w:tcW w:w="1247" w:type="dxa"/>
          </w:tcPr>
          <w:p w14:paraId="760763F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1.3</w:t>
            </w:r>
          </w:p>
        </w:tc>
        <w:tc>
          <w:tcPr>
            <w:tcW w:w="2608" w:type="dxa"/>
          </w:tcPr>
          <w:p w14:paraId="1492152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ختم المقدمة بفقرة «خلاصة الفجوة» توضح نوع الفجوة ولماذا التفتيش البيئي، تمهيداً للمشكلة.</w:t>
            </w:r>
          </w:p>
        </w:tc>
        <w:tc>
          <w:tcPr>
            <w:tcW w:w="2948" w:type="dxa"/>
          </w:tcPr>
          <w:p w14:paraId="4341612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 xml:space="preserve">أُدرجت «خالصة الفجوة العلمية والعملية» داخل قسم المشكلة (ص17) بشكل جيّد، بينما لا تزال نهاية المقدمة </w:t>
            </w:r>
            <w:r w:rsidRPr="00207BEC">
              <w:rPr>
                <w:rFonts w:ascii="Simplified Arabic" w:hAnsi="Simplified Arabic" w:cs="Simplified Arabic"/>
                <w:sz w:val="22"/>
                <w:lang w:bidi="ar-JO"/>
              </w:rPr>
              <w:lastRenderedPageBreak/>
              <w:t>تحتاج جملة انتقالية تُحيل مباشرة للفجوة/المشكلة.</w:t>
            </w:r>
          </w:p>
        </w:tc>
        <w:tc>
          <w:tcPr>
            <w:tcW w:w="1474" w:type="dxa"/>
          </w:tcPr>
          <w:p w14:paraId="3E3866D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lastRenderedPageBreak/>
              <w:t>ملتزم جزئياً</w:t>
            </w:r>
          </w:p>
        </w:tc>
        <w:tc>
          <w:tcPr>
            <w:tcW w:w="2948" w:type="dxa"/>
          </w:tcPr>
          <w:p w14:paraId="14CEFC6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 xml:space="preserve">أضف في نهاية المقدمة فقرة قصيرة (4-6 أسطر) تلخص الفجوة وتنتقل </w:t>
            </w:r>
            <w:r w:rsidRPr="00207BEC">
              <w:rPr>
                <w:rFonts w:ascii="Simplified Arabic" w:hAnsi="Simplified Arabic" w:cs="Simplified Arabic"/>
                <w:sz w:val="22"/>
                <w:lang w:bidi="ar-JO"/>
              </w:rPr>
              <w:lastRenderedPageBreak/>
              <w:t>للمشكلة، مع إحالة موجزة لقسم (2) في الفصل.</w:t>
            </w:r>
          </w:p>
        </w:tc>
        <w:tc>
          <w:tcPr>
            <w:tcW w:w="1234" w:type="dxa"/>
          </w:tcPr>
          <w:p w14:paraId="63B51C1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lastRenderedPageBreak/>
              <w:t>متوسطة</w:t>
            </w:r>
          </w:p>
        </w:tc>
        <w:tc>
          <w:tcPr>
            <w:tcW w:w="1247" w:type="dxa"/>
          </w:tcPr>
          <w:p w14:paraId="3604363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48354ABB" w14:textId="77777777" w:rsidTr="00207BEC">
        <w:tc>
          <w:tcPr>
            <w:tcW w:w="1247" w:type="dxa"/>
          </w:tcPr>
          <w:p w14:paraId="5F21D0D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1.4</w:t>
            </w:r>
          </w:p>
        </w:tc>
        <w:tc>
          <w:tcPr>
            <w:tcW w:w="2608" w:type="dxa"/>
          </w:tcPr>
          <w:p w14:paraId="2F5626C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نقل الشكر إلى صفحة مستقلة خارج الفصل/قبل الفهرس وفق دليل الجامعة، والحفاظ على الفصل الأول كإطار منهجي.</w:t>
            </w:r>
          </w:p>
        </w:tc>
        <w:tc>
          <w:tcPr>
            <w:tcW w:w="2948" w:type="dxa"/>
          </w:tcPr>
          <w:p w14:paraId="171B0D4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 وضع «كلمة شكر وتقدير» في صفحة مستقلة (ص2) منفصلة عن متن الفصل الأول الذي يبدأ من ص9.</w:t>
            </w:r>
          </w:p>
        </w:tc>
        <w:tc>
          <w:tcPr>
            <w:tcW w:w="1474" w:type="dxa"/>
          </w:tcPr>
          <w:p w14:paraId="03D9BE0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بالكامل</w:t>
            </w:r>
          </w:p>
        </w:tc>
        <w:tc>
          <w:tcPr>
            <w:tcW w:w="2948" w:type="dxa"/>
          </w:tcPr>
          <w:p w14:paraId="535BECD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لا إجراء.</w:t>
            </w:r>
          </w:p>
        </w:tc>
        <w:tc>
          <w:tcPr>
            <w:tcW w:w="1234" w:type="dxa"/>
          </w:tcPr>
          <w:p w14:paraId="08997C8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منخفضة</w:t>
            </w:r>
          </w:p>
        </w:tc>
        <w:tc>
          <w:tcPr>
            <w:tcW w:w="1247" w:type="dxa"/>
          </w:tcPr>
          <w:p w14:paraId="0349FB2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مغلق</w:t>
            </w:r>
          </w:p>
        </w:tc>
      </w:tr>
      <w:tr w:rsidR="007951CD" w:rsidRPr="00207BEC" w14:paraId="4EC3DAB5" w14:textId="77777777" w:rsidTr="00207BEC">
        <w:tc>
          <w:tcPr>
            <w:tcW w:w="1247" w:type="dxa"/>
          </w:tcPr>
          <w:p w14:paraId="3F80C4E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1.5</w:t>
            </w:r>
          </w:p>
        </w:tc>
        <w:tc>
          <w:tcPr>
            <w:tcW w:w="2608" w:type="dxa"/>
          </w:tcPr>
          <w:p w14:paraId="4A0F6C2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اعتماد أسلوب تحليلي مكثف: فقرات قصيرة، فكرة لكل فقرة، مع جمل انتقالية، وتقليل التكرار.</w:t>
            </w:r>
          </w:p>
        </w:tc>
        <w:tc>
          <w:tcPr>
            <w:tcW w:w="2948" w:type="dxa"/>
          </w:tcPr>
          <w:p w14:paraId="4CB5B70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هناك تحسن في التنظيم (عناوين فرعية، جداول/أرقام)، إلا أن بعض المقاطع لا تزال طويلة وسردية، خصوصاً في الأهمية النظرية (ص18-20).</w:t>
            </w:r>
          </w:p>
        </w:tc>
        <w:tc>
          <w:tcPr>
            <w:tcW w:w="1474" w:type="dxa"/>
          </w:tcPr>
          <w:p w14:paraId="723BD96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7D10AF1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قسّم الفقرات الطويلة، وحوّل السرد إلى حجج مدعومة بمؤشرات، وأزل التكرار (خصوصاً فوائد PPP العامة).</w:t>
            </w:r>
          </w:p>
        </w:tc>
        <w:tc>
          <w:tcPr>
            <w:tcW w:w="1234" w:type="dxa"/>
          </w:tcPr>
          <w:p w14:paraId="041A01A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74BE976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0EAC38DD" w14:textId="77777777" w:rsidTr="00207BEC">
        <w:tc>
          <w:tcPr>
            <w:tcW w:w="1247" w:type="dxa"/>
          </w:tcPr>
          <w:p w14:paraId="4AAA2EE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2.1</w:t>
            </w:r>
          </w:p>
        </w:tc>
        <w:tc>
          <w:tcPr>
            <w:tcW w:w="2608" w:type="dxa"/>
          </w:tcPr>
          <w:p w14:paraId="7DD5B232"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 xml:space="preserve">إعادة بناء المشكلة بسلسلة: مؤشرات الأداء الراهن للتفتيش البيئي </w:t>
            </w:r>
            <w:r w:rsidRPr="00207BEC">
              <w:rPr>
                <w:rFonts w:ascii="Times New Roman" w:hAnsi="Times New Roman" w:cs="Times New Roman"/>
                <w:sz w:val="22"/>
                <w:lang w:bidi="ar-JO"/>
              </w:rPr>
              <w:t>→</w:t>
            </w:r>
            <w:r w:rsidRPr="00207BEC">
              <w:rPr>
                <w:rFonts w:ascii="Simplified Arabic" w:hAnsi="Simplified Arabic" w:cs="Simplified Arabic"/>
                <w:sz w:val="22"/>
                <w:lang w:bidi="ar-JO"/>
              </w:rPr>
              <w:t xml:space="preserve"> قصور تشغيلي/مالي </w:t>
            </w:r>
            <w:r w:rsidRPr="00207BEC">
              <w:rPr>
                <w:rFonts w:ascii="Times New Roman" w:hAnsi="Times New Roman" w:cs="Times New Roman"/>
                <w:sz w:val="22"/>
                <w:lang w:bidi="ar-JO"/>
              </w:rPr>
              <w:t>→</w:t>
            </w:r>
            <w:r w:rsidRPr="00207BEC">
              <w:rPr>
                <w:rFonts w:ascii="Simplified Arabic" w:hAnsi="Simplified Arabic" w:cs="Simplified Arabic"/>
                <w:sz w:val="22"/>
                <w:lang w:bidi="ar-JO"/>
              </w:rPr>
              <w:t xml:space="preserve"> قصور الأدبيات في نمذجة PPP </w:t>
            </w:r>
            <w:r w:rsidRPr="00207BEC">
              <w:rPr>
                <w:rFonts w:ascii="Times New Roman" w:hAnsi="Times New Roman" w:cs="Times New Roman"/>
                <w:sz w:val="22"/>
                <w:lang w:bidi="ar-JO"/>
              </w:rPr>
              <w:t>→</w:t>
            </w:r>
            <w:r w:rsidRPr="00207BEC">
              <w:rPr>
                <w:rFonts w:ascii="Simplified Arabic" w:hAnsi="Simplified Arabic" w:cs="Simplified Arabic"/>
                <w:sz w:val="22"/>
                <w:lang w:bidi="ar-JO"/>
              </w:rPr>
              <w:t xml:space="preserve"> عبارة مشكلة موجزة.</w:t>
            </w:r>
          </w:p>
        </w:tc>
        <w:tc>
          <w:tcPr>
            <w:tcW w:w="2948" w:type="dxa"/>
          </w:tcPr>
          <w:p w14:paraId="0A223269"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 عرض مؤشرات تفصيلية للتفتيش البيئي (تكلفة/عجز، عدد المفتشين، المنشآت، الزيارات، المخالفات...) ثم خُتمت بعبارة مشكلة محكمة (ص15-17).</w:t>
            </w:r>
          </w:p>
        </w:tc>
        <w:tc>
          <w:tcPr>
            <w:tcW w:w="1474" w:type="dxa"/>
          </w:tcPr>
          <w:p w14:paraId="5CF49E9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بالكامل</w:t>
            </w:r>
          </w:p>
        </w:tc>
        <w:tc>
          <w:tcPr>
            <w:tcW w:w="2948" w:type="dxa"/>
          </w:tcPr>
          <w:p w14:paraId="2F73F1E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لا إجراء.</w:t>
            </w:r>
          </w:p>
        </w:tc>
        <w:tc>
          <w:tcPr>
            <w:tcW w:w="1234" w:type="dxa"/>
          </w:tcPr>
          <w:p w14:paraId="0E13DA8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2AB2211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مغلق</w:t>
            </w:r>
          </w:p>
        </w:tc>
      </w:tr>
      <w:tr w:rsidR="007951CD" w:rsidRPr="00207BEC" w14:paraId="7DC66A19" w14:textId="77777777" w:rsidTr="00207BEC">
        <w:tc>
          <w:tcPr>
            <w:tcW w:w="1247" w:type="dxa"/>
          </w:tcPr>
          <w:p w14:paraId="000E310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2.2</w:t>
            </w:r>
          </w:p>
        </w:tc>
        <w:tc>
          <w:tcPr>
            <w:tcW w:w="2608" w:type="dxa"/>
          </w:tcPr>
          <w:p w14:paraId="3B7BC2F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توضيح سبب اختيار التفتيش البيئي مقارنة بخدمات بيئية أخرى (3-4 بنود).</w:t>
            </w:r>
          </w:p>
        </w:tc>
        <w:tc>
          <w:tcPr>
            <w:tcW w:w="2948" w:type="dxa"/>
          </w:tcPr>
          <w:p w14:paraId="15F36D6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 xml:space="preserve">ذُكر سبب الاختيار (أهمية الخدمة، توفر البيانات، دور NCEC) (ص14 و30) </w:t>
            </w:r>
            <w:r w:rsidRPr="00207BEC">
              <w:rPr>
                <w:rFonts w:ascii="Simplified Arabic" w:hAnsi="Simplified Arabic" w:cs="Simplified Arabic"/>
                <w:sz w:val="22"/>
                <w:lang w:bidi="ar-JO"/>
              </w:rPr>
              <w:lastRenderedPageBreak/>
              <w:t>دون مقارنة موجزة منظمة بخدمات أخرى (النفايات/الرصد/إدارة الغطاء النباتي).</w:t>
            </w:r>
          </w:p>
        </w:tc>
        <w:tc>
          <w:tcPr>
            <w:tcW w:w="1474" w:type="dxa"/>
          </w:tcPr>
          <w:p w14:paraId="36B7D5B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lastRenderedPageBreak/>
              <w:t>ملتزم جزئياً</w:t>
            </w:r>
          </w:p>
        </w:tc>
        <w:tc>
          <w:tcPr>
            <w:tcW w:w="2948" w:type="dxa"/>
          </w:tcPr>
          <w:p w14:paraId="458E9F2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 xml:space="preserve">أضف فقرة مقارنة قصيرة تُبرز قابلية التسعير، قابليّة القياس، حساسية </w:t>
            </w:r>
            <w:r w:rsidRPr="00207BEC">
              <w:rPr>
                <w:rFonts w:ascii="Simplified Arabic" w:hAnsi="Simplified Arabic" w:cs="Simplified Arabic"/>
                <w:sz w:val="22"/>
                <w:lang w:bidi="ar-JO"/>
              </w:rPr>
              <w:lastRenderedPageBreak/>
              <w:t>المخاطر، وتوافر البيانات مقارنة بخدمات أخرى.</w:t>
            </w:r>
          </w:p>
        </w:tc>
        <w:tc>
          <w:tcPr>
            <w:tcW w:w="1234" w:type="dxa"/>
          </w:tcPr>
          <w:p w14:paraId="0B7C749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lastRenderedPageBreak/>
              <w:t>متوسطة</w:t>
            </w:r>
          </w:p>
        </w:tc>
        <w:tc>
          <w:tcPr>
            <w:tcW w:w="1247" w:type="dxa"/>
          </w:tcPr>
          <w:p w14:paraId="4090602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27E598EE" w14:textId="77777777" w:rsidTr="00207BEC">
        <w:tc>
          <w:tcPr>
            <w:tcW w:w="1247" w:type="dxa"/>
          </w:tcPr>
          <w:p w14:paraId="3FE1336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2.3</w:t>
            </w:r>
          </w:p>
        </w:tc>
        <w:tc>
          <w:tcPr>
            <w:tcW w:w="2608" w:type="dxa"/>
          </w:tcPr>
          <w:p w14:paraId="3D7E974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إدراج مؤشرات قابلة للقياس مع إسناد رسمي (MEWA/NCEC/تقارير سنوية).</w:t>
            </w:r>
          </w:p>
        </w:tc>
        <w:tc>
          <w:tcPr>
            <w:tcW w:w="2948" w:type="dxa"/>
          </w:tcPr>
          <w:p w14:paraId="3C7DEE29"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وردت مؤشرات رقمية عديدة وإسناد للمركز الوطني للرقابة على الالتزام البيئي (2020) (ص15-17).</w:t>
            </w:r>
          </w:p>
        </w:tc>
        <w:tc>
          <w:tcPr>
            <w:tcW w:w="1474" w:type="dxa"/>
          </w:tcPr>
          <w:p w14:paraId="4626684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بالكامل</w:t>
            </w:r>
          </w:p>
        </w:tc>
        <w:tc>
          <w:tcPr>
            <w:tcW w:w="2948" w:type="dxa"/>
          </w:tcPr>
          <w:p w14:paraId="4A7BF77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عزّز الإسناد بتقارير سنوية أحدث إن توفرت، دون أن يؤثر ذلك على إغلاق الملاحظة.</w:t>
            </w:r>
          </w:p>
        </w:tc>
        <w:tc>
          <w:tcPr>
            <w:tcW w:w="1234" w:type="dxa"/>
          </w:tcPr>
          <w:p w14:paraId="10D056A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2398619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مغلق</w:t>
            </w:r>
          </w:p>
        </w:tc>
      </w:tr>
      <w:tr w:rsidR="007951CD" w:rsidRPr="00207BEC" w14:paraId="7D97AF96" w14:textId="77777777" w:rsidTr="00207BEC">
        <w:tc>
          <w:tcPr>
            <w:tcW w:w="1247" w:type="dxa"/>
          </w:tcPr>
          <w:p w14:paraId="2E28B49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2.4</w:t>
            </w:r>
          </w:p>
        </w:tc>
        <w:tc>
          <w:tcPr>
            <w:tcW w:w="2608" w:type="dxa"/>
          </w:tcPr>
          <w:p w14:paraId="6AA494F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تقييد قابلية نقل نماذج UK/Scotland إلى السعودية (اختلاف العقود، الشفافية، استقلالية المنظّم).</w:t>
            </w:r>
          </w:p>
        </w:tc>
        <w:tc>
          <w:tcPr>
            <w:tcW w:w="2948" w:type="dxa"/>
          </w:tcPr>
          <w:p w14:paraId="46F3A39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 ذكر نماذج UK/Scotland في المستخلص (ص4) دون فقرة تقييد/مواءمة مؤسسية داخل الفصل الأول.</w:t>
            </w:r>
          </w:p>
        </w:tc>
        <w:tc>
          <w:tcPr>
            <w:tcW w:w="1474" w:type="dxa"/>
          </w:tcPr>
          <w:p w14:paraId="0BD7CC39"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غير ملتزم</w:t>
            </w:r>
          </w:p>
        </w:tc>
        <w:tc>
          <w:tcPr>
            <w:tcW w:w="2948" w:type="dxa"/>
          </w:tcPr>
          <w:p w14:paraId="70C25D8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أضف فقرة (3-5 أسطر) توضح حدود المقارنة الدولية ومعايير المواءمة المؤسسية قبل تبني أي عناصر من التجارب الأجنبية.</w:t>
            </w:r>
          </w:p>
        </w:tc>
        <w:tc>
          <w:tcPr>
            <w:tcW w:w="1234" w:type="dxa"/>
          </w:tcPr>
          <w:p w14:paraId="6B8BE8E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7173ABEE"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04E53001" w14:textId="77777777" w:rsidTr="00207BEC">
        <w:tc>
          <w:tcPr>
            <w:tcW w:w="1247" w:type="dxa"/>
          </w:tcPr>
          <w:p w14:paraId="6917EFC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3.2</w:t>
            </w:r>
          </w:p>
        </w:tc>
        <w:tc>
          <w:tcPr>
            <w:tcW w:w="2608" w:type="dxa"/>
          </w:tcPr>
          <w:p w14:paraId="5657192F"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هيكلة الأهداف الفرعية بما يطابق خطة التحليل: توصيف الراهن، جدوى تشغيلية/مالية، بدائل تعاقدية، توزيع مخاطر، سيناريوهات رسوم وعوائد.</w:t>
            </w:r>
          </w:p>
        </w:tc>
        <w:tc>
          <w:tcPr>
            <w:tcW w:w="2948" w:type="dxa"/>
          </w:tcPr>
          <w:p w14:paraId="666E032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 تضمين توصيف الوضع الراهن، جدوى، بدائل تعاقدية، تحليل مخاطر، وتوصيات (ص23-24).</w:t>
            </w:r>
          </w:p>
        </w:tc>
        <w:tc>
          <w:tcPr>
            <w:tcW w:w="1474" w:type="dxa"/>
          </w:tcPr>
          <w:p w14:paraId="257AE7C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بالكامل</w:t>
            </w:r>
          </w:p>
        </w:tc>
        <w:tc>
          <w:tcPr>
            <w:tcW w:w="2948" w:type="dxa"/>
          </w:tcPr>
          <w:p w14:paraId="771A682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تحسين لغوي بسيط: تصحيح SWOT بدل SWAT وتوحيد مصطلحات البدائل.</w:t>
            </w:r>
          </w:p>
        </w:tc>
        <w:tc>
          <w:tcPr>
            <w:tcW w:w="1234" w:type="dxa"/>
          </w:tcPr>
          <w:p w14:paraId="4B1A761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5131F73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مغلق</w:t>
            </w:r>
          </w:p>
        </w:tc>
      </w:tr>
      <w:tr w:rsidR="007951CD" w:rsidRPr="00207BEC" w14:paraId="18B58D38" w14:textId="77777777" w:rsidTr="00207BEC">
        <w:tc>
          <w:tcPr>
            <w:tcW w:w="1247" w:type="dxa"/>
          </w:tcPr>
          <w:p w14:paraId="15525BA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4.1</w:t>
            </w:r>
          </w:p>
        </w:tc>
        <w:tc>
          <w:tcPr>
            <w:tcW w:w="2608" w:type="dxa"/>
          </w:tcPr>
          <w:p w14:paraId="1392D2D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تقليص الأسئلة إلى سؤال رئيس وأربعة أسئلة فرعية مرتبطة مباشرة بالأهداف.</w:t>
            </w:r>
          </w:p>
        </w:tc>
        <w:tc>
          <w:tcPr>
            <w:tcW w:w="2948" w:type="dxa"/>
          </w:tcPr>
          <w:p w14:paraId="02AE316F"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تمت صياغة سؤال رئيس وتقسيم الأسئلة إلى ثلاثة محاور وبعدد فرعي أكبر من أربعة (ص18).</w:t>
            </w:r>
          </w:p>
        </w:tc>
        <w:tc>
          <w:tcPr>
            <w:tcW w:w="1474" w:type="dxa"/>
          </w:tcPr>
          <w:p w14:paraId="6FAB27D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14237B7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دمج الأسئلة المتقاربة وتقليصها لأربعة فرعية تتطابق واحد-لواحد مع الأهداف وخطة التحليل.</w:t>
            </w:r>
          </w:p>
        </w:tc>
        <w:tc>
          <w:tcPr>
            <w:tcW w:w="1234" w:type="dxa"/>
          </w:tcPr>
          <w:p w14:paraId="30450682"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6317877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455246D8" w14:textId="77777777" w:rsidTr="00207BEC">
        <w:tc>
          <w:tcPr>
            <w:tcW w:w="1247" w:type="dxa"/>
          </w:tcPr>
          <w:p w14:paraId="42E51D1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lastRenderedPageBreak/>
              <w:t>4.3</w:t>
            </w:r>
          </w:p>
        </w:tc>
        <w:tc>
          <w:tcPr>
            <w:tcW w:w="2608" w:type="dxa"/>
          </w:tcPr>
          <w:p w14:paraId="6A98C5B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إدراج متغيرات ضابطة (المنطقة/نوع المنشأة/حجمها/خطورة النشاط) لضمان تفسير النتائج.</w:t>
            </w:r>
          </w:p>
        </w:tc>
        <w:tc>
          <w:tcPr>
            <w:tcW w:w="2948" w:type="dxa"/>
          </w:tcPr>
          <w:p w14:paraId="01E670D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لم تُذكر متغيرات ضابطة ضمن الأسئلة أو منهجية جمع البيانات (ص18 و29).</w:t>
            </w:r>
          </w:p>
        </w:tc>
        <w:tc>
          <w:tcPr>
            <w:tcW w:w="1474" w:type="dxa"/>
          </w:tcPr>
          <w:p w14:paraId="00840D7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غير ملتزم</w:t>
            </w:r>
          </w:p>
        </w:tc>
        <w:tc>
          <w:tcPr>
            <w:tcW w:w="2948" w:type="dxa"/>
          </w:tcPr>
          <w:p w14:paraId="6505B03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أضف فقرة «المتغيرات الضابطة» ضمن المنهجية، مع تعريف تصنيفات المنشآت وكيف ستُستخدم في التحليل/المقارنة.</w:t>
            </w:r>
          </w:p>
        </w:tc>
        <w:tc>
          <w:tcPr>
            <w:tcW w:w="1234" w:type="dxa"/>
          </w:tcPr>
          <w:p w14:paraId="264686A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7AA9208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1D5D7CB1" w14:textId="77777777" w:rsidTr="00207BEC">
        <w:tc>
          <w:tcPr>
            <w:tcW w:w="1247" w:type="dxa"/>
          </w:tcPr>
          <w:p w14:paraId="007497E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5.1</w:t>
            </w:r>
          </w:p>
        </w:tc>
        <w:tc>
          <w:tcPr>
            <w:tcW w:w="2608" w:type="dxa"/>
          </w:tcPr>
          <w:p w14:paraId="13F50F3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فصل الأهمية النظرية عن التطبيقية وبيان الإسهام العلمي بوضوح.</w:t>
            </w:r>
          </w:p>
        </w:tc>
        <w:tc>
          <w:tcPr>
            <w:tcW w:w="2948" w:type="dxa"/>
          </w:tcPr>
          <w:p w14:paraId="3B5508E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 الفصل إلى (الأهمية النظرية) و(الأهمية التطبيقية) بعناوين واضحة (ص18-23).</w:t>
            </w:r>
          </w:p>
        </w:tc>
        <w:tc>
          <w:tcPr>
            <w:tcW w:w="1474" w:type="dxa"/>
          </w:tcPr>
          <w:p w14:paraId="484317B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بالكامل</w:t>
            </w:r>
          </w:p>
        </w:tc>
        <w:tc>
          <w:tcPr>
            <w:tcW w:w="2948" w:type="dxa"/>
          </w:tcPr>
          <w:p w14:paraId="50F1937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لا إجراء.</w:t>
            </w:r>
          </w:p>
        </w:tc>
        <w:tc>
          <w:tcPr>
            <w:tcW w:w="1234" w:type="dxa"/>
          </w:tcPr>
          <w:p w14:paraId="5EB2D062"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0CF13A7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مغلق</w:t>
            </w:r>
          </w:p>
        </w:tc>
      </w:tr>
      <w:tr w:rsidR="007951CD" w:rsidRPr="00207BEC" w14:paraId="42311682" w14:textId="77777777" w:rsidTr="00207BEC">
        <w:tc>
          <w:tcPr>
            <w:tcW w:w="1247" w:type="dxa"/>
          </w:tcPr>
          <w:p w14:paraId="26855D6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5.2</w:t>
            </w:r>
          </w:p>
        </w:tc>
        <w:tc>
          <w:tcPr>
            <w:tcW w:w="2608" w:type="dxa"/>
          </w:tcPr>
          <w:p w14:paraId="655C2C3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ربط فوائد الدراسة بمؤشرات قياس محددة (خفض تكلفة، رفع تغطية، جودة الترخيص...).</w:t>
            </w:r>
          </w:p>
        </w:tc>
        <w:tc>
          <w:tcPr>
            <w:tcW w:w="2948" w:type="dxa"/>
          </w:tcPr>
          <w:p w14:paraId="1C198CAE"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 ذكر مؤشرات وتكاليف بيئية وصحية، لكن الربط المباشر بمؤشرات خدمة التفتيش (KPI) ما زال غير مُحكم داخل هذا القسم (ص21-23).</w:t>
            </w:r>
          </w:p>
        </w:tc>
        <w:tc>
          <w:tcPr>
            <w:tcW w:w="1474" w:type="dxa"/>
          </w:tcPr>
          <w:p w14:paraId="1B36C05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1E7E586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 xml:space="preserve">أضف جدول صغير/فقرة ربط: (الفائدة </w:t>
            </w:r>
            <w:r w:rsidRPr="00207BEC">
              <w:rPr>
                <w:rFonts w:ascii="Times New Roman" w:hAnsi="Times New Roman" w:cs="Times New Roman"/>
                <w:sz w:val="22"/>
                <w:lang w:bidi="ar-JO"/>
              </w:rPr>
              <w:t>←</w:t>
            </w:r>
            <w:r w:rsidRPr="00207BEC">
              <w:rPr>
                <w:rFonts w:ascii="Simplified Arabic" w:hAnsi="Simplified Arabic" w:cs="Simplified Arabic"/>
                <w:sz w:val="22"/>
                <w:lang w:bidi="ar-JO"/>
              </w:rPr>
              <w:t xml:space="preserve"> KPI </w:t>
            </w:r>
            <w:r w:rsidRPr="00207BEC">
              <w:rPr>
                <w:rFonts w:ascii="Times New Roman" w:hAnsi="Times New Roman" w:cs="Times New Roman"/>
                <w:sz w:val="22"/>
                <w:lang w:bidi="ar-JO"/>
              </w:rPr>
              <w:t>←</w:t>
            </w:r>
            <w:r w:rsidRPr="00207BEC">
              <w:rPr>
                <w:rFonts w:ascii="Simplified Arabic" w:hAnsi="Simplified Arabic" w:cs="Simplified Arabic"/>
                <w:sz w:val="22"/>
                <w:lang w:bidi="ar-JO"/>
              </w:rPr>
              <w:t xml:space="preserve"> مصدر البيانات) بما يخص التفتيش البيئي.</w:t>
            </w:r>
          </w:p>
        </w:tc>
        <w:tc>
          <w:tcPr>
            <w:tcW w:w="1234" w:type="dxa"/>
          </w:tcPr>
          <w:p w14:paraId="701205C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7E73F95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5BDBD8C4" w14:textId="77777777" w:rsidTr="00207BEC">
        <w:tc>
          <w:tcPr>
            <w:tcW w:w="1247" w:type="dxa"/>
          </w:tcPr>
          <w:p w14:paraId="703950F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5.3</w:t>
            </w:r>
          </w:p>
        </w:tc>
        <w:tc>
          <w:tcPr>
            <w:tcW w:w="2608" w:type="dxa"/>
          </w:tcPr>
          <w:p w14:paraId="61E4087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قصر الإسناد على مصادر رسمية ومحكّمة وتوثيقها توثيقاً معيارياً.</w:t>
            </w:r>
          </w:p>
        </w:tc>
        <w:tc>
          <w:tcPr>
            <w:tcW w:w="2948" w:type="dxa"/>
          </w:tcPr>
          <w:p w14:paraId="0425BD7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لا يزال هناك اعتماد على مصادر غير محكّمة/غير موثقة معيارياً في هذا القسم (مثل بعض المجلات/المواقع) (ص21-23).</w:t>
            </w:r>
          </w:p>
        </w:tc>
        <w:tc>
          <w:tcPr>
            <w:tcW w:w="1474" w:type="dxa"/>
          </w:tcPr>
          <w:p w14:paraId="36E11CFF"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75223C0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استبدال المصادر غير المحكّمة وتقوية الإسناد بتقارير WHO/WB/OECD/NCP وبيانات وطنية حديثة.</w:t>
            </w:r>
          </w:p>
        </w:tc>
        <w:tc>
          <w:tcPr>
            <w:tcW w:w="1234" w:type="dxa"/>
          </w:tcPr>
          <w:p w14:paraId="3D65A6C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7FBB9F5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65E4F0ED" w14:textId="77777777" w:rsidTr="00207BEC">
        <w:tc>
          <w:tcPr>
            <w:tcW w:w="1247" w:type="dxa"/>
          </w:tcPr>
          <w:p w14:paraId="1C17B83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6.1</w:t>
            </w:r>
          </w:p>
        </w:tc>
        <w:tc>
          <w:tcPr>
            <w:tcW w:w="2608" w:type="dxa"/>
          </w:tcPr>
          <w:p w14:paraId="5503B84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تثبيت وحدة التحليل: خدمة التفتيش البيئي تحت إشراف NCEC مع تحديد فئات منشآت/نطاق معاينة.</w:t>
            </w:r>
          </w:p>
        </w:tc>
        <w:tc>
          <w:tcPr>
            <w:tcW w:w="2948" w:type="dxa"/>
          </w:tcPr>
          <w:p w14:paraId="0AC0630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 xml:space="preserve">وُضعت حدود مكانية/زمانية/بشرية/موضوعية وذُكرت خدمة التفتيش البيئي كوحدة تركيز </w:t>
            </w:r>
            <w:r w:rsidRPr="00207BEC">
              <w:rPr>
                <w:rFonts w:ascii="Simplified Arabic" w:hAnsi="Simplified Arabic" w:cs="Simplified Arabic"/>
                <w:sz w:val="22"/>
                <w:lang w:bidi="ar-JO"/>
              </w:rPr>
              <w:lastRenderedPageBreak/>
              <w:t>(ص27-28) لكن دون تحديد فئات منشآت/خطة معاينة.</w:t>
            </w:r>
          </w:p>
        </w:tc>
        <w:tc>
          <w:tcPr>
            <w:tcW w:w="1474" w:type="dxa"/>
          </w:tcPr>
          <w:p w14:paraId="11A35C49"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lastRenderedPageBreak/>
              <w:t>ملتزم جزئياً</w:t>
            </w:r>
          </w:p>
        </w:tc>
        <w:tc>
          <w:tcPr>
            <w:tcW w:w="2948" w:type="dxa"/>
          </w:tcPr>
          <w:p w14:paraId="4318091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حدد فئات المنشآت (3 فئات مثلاً) وخطة معاينة طبقية وعدد تقديري لتقوية المنهجية.</w:t>
            </w:r>
          </w:p>
        </w:tc>
        <w:tc>
          <w:tcPr>
            <w:tcW w:w="1234" w:type="dxa"/>
          </w:tcPr>
          <w:p w14:paraId="0C22073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107B512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53D2E704" w14:textId="77777777" w:rsidTr="00207BEC">
        <w:tc>
          <w:tcPr>
            <w:tcW w:w="1247" w:type="dxa"/>
          </w:tcPr>
          <w:p w14:paraId="1AFB90F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6.2</w:t>
            </w:r>
          </w:p>
        </w:tc>
        <w:tc>
          <w:tcPr>
            <w:tcW w:w="2608" w:type="dxa"/>
          </w:tcPr>
          <w:p w14:paraId="3FF3FCB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تحديد نافذة زمنية للقياس (قبل/بعد أو مقارنة مرجعية) وربطها بالمؤشرات.</w:t>
            </w:r>
          </w:p>
        </w:tc>
        <w:tc>
          <w:tcPr>
            <w:tcW w:w="2948" w:type="dxa"/>
          </w:tcPr>
          <w:p w14:paraId="0E31B9F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ذُكر أن البيانات جُمعت خلال 2019-2022 وتشمل معلومات 2017-2022 (ص28) دون نافذة قياس محددة للمقارنة.</w:t>
            </w:r>
          </w:p>
        </w:tc>
        <w:tc>
          <w:tcPr>
            <w:tcW w:w="1474" w:type="dxa"/>
          </w:tcPr>
          <w:p w14:paraId="24B7096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1CF0666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اعتمد نافذة قياس محددة (مثلاً 12 شهراً) أو فترة مقارنة (قبل/بعد تطبيق النموذج) مع تبرير.</w:t>
            </w:r>
          </w:p>
        </w:tc>
        <w:tc>
          <w:tcPr>
            <w:tcW w:w="1234" w:type="dxa"/>
          </w:tcPr>
          <w:p w14:paraId="4D95107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6AA4EAD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3961EBD8" w14:textId="77777777" w:rsidTr="00207BEC">
        <w:tc>
          <w:tcPr>
            <w:tcW w:w="1247" w:type="dxa"/>
          </w:tcPr>
          <w:p w14:paraId="5CF5704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6.3</w:t>
            </w:r>
          </w:p>
        </w:tc>
        <w:tc>
          <w:tcPr>
            <w:tcW w:w="2608" w:type="dxa"/>
          </w:tcPr>
          <w:p w14:paraId="4EE115E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ذكر المستبعدات وتعليلها وتأثيرها على قابلية التعميم.</w:t>
            </w:r>
          </w:p>
        </w:tc>
        <w:tc>
          <w:tcPr>
            <w:tcW w:w="2948" w:type="dxa"/>
          </w:tcPr>
          <w:p w14:paraId="2C113A8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لم يُذكر ما سيتم استبعاده صراحةً (خدمات أخرى/تفتيش عالي المخاطر... إلخ) (ص27-28).</w:t>
            </w:r>
          </w:p>
        </w:tc>
        <w:tc>
          <w:tcPr>
            <w:tcW w:w="1474" w:type="dxa"/>
          </w:tcPr>
          <w:p w14:paraId="2BFEDBB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غير ملتزم</w:t>
            </w:r>
          </w:p>
        </w:tc>
        <w:tc>
          <w:tcPr>
            <w:tcW w:w="2948" w:type="dxa"/>
          </w:tcPr>
          <w:p w14:paraId="6B405F7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أضف فقرة «المستبعدات» وتوضيح أثرها على تعميم النتائج وحدود الاستدلال.</w:t>
            </w:r>
          </w:p>
        </w:tc>
        <w:tc>
          <w:tcPr>
            <w:tcW w:w="1234" w:type="dxa"/>
          </w:tcPr>
          <w:p w14:paraId="1F9C0DFC"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40D152C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71EAF431" w14:textId="77777777" w:rsidTr="00207BEC">
        <w:tc>
          <w:tcPr>
            <w:tcW w:w="1247" w:type="dxa"/>
          </w:tcPr>
          <w:p w14:paraId="7CA19CD9"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7.1</w:t>
            </w:r>
          </w:p>
        </w:tc>
        <w:tc>
          <w:tcPr>
            <w:tcW w:w="2608" w:type="dxa"/>
          </w:tcPr>
          <w:p w14:paraId="5F0B39C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تعريفات إجرائية محايدة تقتصر على طريقة القياس دون تضمين نتائج مرغوبة.</w:t>
            </w:r>
          </w:p>
        </w:tc>
        <w:tc>
          <w:tcPr>
            <w:tcW w:w="2948" w:type="dxa"/>
          </w:tcPr>
          <w:p w14:paraId="4CB548CF"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بعض التعريفات الإجرائية تتضمن أحكاماً عامة (مثل ربط المفهوم بتحسين الكفاءة) بينما توجد تعريفات جيدة قابلة للقياس (ص25).</w:t>
            </w:r>
          </w:p>
        </w:tc>
        <w:tc>
          <w:tcPr>
            <w:tcW w:w="1474" w:type="dxa"/>
          </w:tcPr>
          <w:p w14:paraId="61B7172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47FFE080"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 xml:space="preserve">تنقيح التعريفات الإجرائية لتصبح (تعريف </w:t>
            </w:r>
            <w:r w:rsidRPr="00207BEC">
              <w:rPr>
                <w:rFonts w:ascii="Times New Roman" w:hAnsi="Times New Roman" w:cs="Times New Roman"/>
                <w:sz w:val="22"/>
                <w:lang w:bidi="ar-JO"/>
              </w:rPr>
              <w:t>←</w:t>
            </w:r>
            <w:r w:rsidRPr="00207BEC">
              <w:rPr>
                <w:rFonts w:ascii="Simplified Arabic" w:hAnsi="Simplified Arabic" w:cs="Simplified Arabic"/>
                <w:sz w:val="22"/>
                <w:lang w:bidi="ar-JO"/>
              </w:rPr>
              <w:t xml:space="preserve"> مؤشر/طريقة حساب </w:t>
            </w:r>
            <w:r w:rsidRPr="00207BEC">
              <w:rPr>
                <w:rFonts w:ascii="Times New Roman" w:hAnsi="Times New Roman" w:cs="Times New Roman"/>
                <w:sz w:val="22"/>
                <w:lang w:bidi="ar-JO"/>
              </w:rPr>
              <w:t>←</w:t>
            </w:r>
            <w:r w:rsidRPr="00207BEC">
              <w:rPr>
                <w:rFonts w:ascii="Simplified Arabic" w:hAnsi="Simplified Arabic" w:cs="Simplified Arabic"/>
                <w:sz w:val="22"/>
                <w:lang w:bidi="ar-JO"/>
              </w:rPr>
              <w:t xml:space="preserve"> مصدر) دون عبارات تقييمية.</w:t>
            </w:r>
          </w:p>
        </w:tc>
        <w:tc>
          <w:tcPr>
            <w:tcW w:w="1234" w:type="dxa"/>
          </w:tcPr>
          <w:p w14:paraId="3E54643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46958A6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7E725461" w14:textId="77777777" w:rsidTr="00207BEC">
        <w:tc>
          <w:tcPr>
            <w:tcW w:w="1247" w:type="dxa"/>
          </w:tcPr>
          <w:p w14:paraId="5DA7022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7.2</w:t>
            </w:r>
          </w:p>
        </w:tc>
        <w:tc>
          <w:tcPr>
            <w:tcW w:w="2608" w:type="dxa"/>
          </w:tcPr>
          <w:p w14:paraId="6B0A398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إنشاء جدول موحّد للمفاهيم والمقاييس (تعريف نظري/إجرائي/KPI/مصدر).</w:t>
            </w:r>
          </w:p>
        </w:tc>
        <w:tc>
          <w:tcPr>
            <w:tcW w:w="2948" w:type="dxa"/>
          </w:tcPr>
          <w:p w14:paraId="024CF19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 إدراج جدول للمصطلحات التطبيقية (Table 2) (ص26) لكنه لا يغطي جميع المفاهيم الأساسية ولا يتضمن KPI/مصادر قياس لكل مفهوم.</w:t>
            </w:r>
          </w:p>
        </w:tc>
        <w:tc>
          <w:tcPr>
            <w:tcW w:w="1474" w:type="dxa"/>
          </w:tcPr>
          <w:p w14:paraId="5CDC0A2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007DBEF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وسع Table 2 إلى «قاموس قياس» يشمل المفاهيم الأساسية (PPP، الحوكمة، الكفاءة، التغطية، زمن الإغلاق...) مع KPI ومصدر.</w:t>
            </w:r>
          </w:p>
        </w:tc>
        <w:tc>
          <w:tcPr>
            <w:tcW w:w="1234" w:type="dxa"/>
          </w:tcPr>
          <w:p w14:paraId="73145AA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متوسطة</w:t>
            </w:r>
          </w:p>
        </w:tc>
        <w:tc>
          <w:tcPr>
            <w:tcW w:w="1247" w:type="dxa"/>
          </w:tcPr>
          <w:p w14:paraId="6EE5BC3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387C8480" w14:textId="77777777" w:rsidTr="00207BEC">
        <w:tc>
          <w:tcPr>
            <w:tcW w:w="1247" w:type="dxa"/>
          </w:tcPr>
          <w:p w14:paraId="031C1BAE"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lastRenderedPageBreak/>
              <w:t>7.3</w:t>
            </w:r>
          </w:p>
        </w:tc>
        <w:tc>
          <w:tcPr>
            <w:tcW w:w="2608" w:type="dxa"/>
          </w:tcPr>
          <w:p w14:paraId="685EA139"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توحيد المسميات والتمييز بين PPP/التخصيص/الخصخصة/Outsourcing بدقة مفاهيمية.</w:t>
            </w:r>
          </w:p>
        </w:tc>
        <w:tc>
          <w:tcPr>
            <w:tcW w:w="2948" w:type="dxa"/>
          </w:tcPr>
          <w:p w14:paraId="115BFEB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استُخدم PPP والتخصيص/التشغيل/التوريد في مواضع متعددة دون فقرة تمييز مفاهيمي مختصرة (ص24-25).</w:t>
            </w:r>
          </w:p>
        </w:tc>
        <w:tc>
          <w:tcPr>
            <w:tcW w:w="1474" w:type="dxa"/>
          </w:tcPr>
          <w:p w14:paraId="1146CE3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64625F8F"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أضف فقرة تمييز مفاهيمي وتبنَّ مصطلحاً مظلياً واحداً في المتن (PPP) مع تعريف واضح للبدائل التعاقدية.</w:t>
            </w:r>
          </w:p>
        </w:tc>
        <w:tc>
          <w:tcPr>
            <w:tcW w:w="1234" w:type="dxa"/>
          </w:tcPr>
          <w:p w14:paraId="2CF8DEA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628236C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3C710377" w14:textId="77777777" w:rsidTr="00207BEC">
        <w:tc>
          <w:tcPr>
            <w:tcW w:w="1247" w:type="dxa"/>
          </w:tcPr>
          <w:p w14:paraId="1BF4074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8.1</w:t>
            </w:r>
          </w:p>
        </w:tc>
        <w:tc>
          <w:tcPr>
            <w:tcW w:w="2608" w:type="dxa"/>
          </w:tcPr>
          <w:p w14:paraId="7BC81464"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إدراج فقرة تنظيم فصول الأطروحة في نهاية الفصل الأول.</w:t>
            </w:r>
          </w:p>
        </w:tc>
        <w:tc>
          <w:tcPr>
            <w:tcW w:w="2948" w:type="dxa"/>
          </w:tcPr>
          <w:p w14:paraId="45C34C3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أُدرجت فقرة توضح محتوى الفصول القادمة (ص31).</w:t>
            </w:r>
          </w:p>
        </w:tc>
        <w:tc>
          <w:tcPr>
            <w:tcW w:w="1474" w:type="dxa"/>
          </w:tcPr>
          <w:p w14:paraId="704FDEF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بالكامل</w:t>
            </w:r>
          </w:p>
        </w:tc>
        <w:tc>
          <w:tcPr>
            <w:tcW w:w="2948" w:type="dxa"/>
          </w:tcPr>
          <w:p w14:paraId="432A067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لا إجراء.</w:t>
            </w:r>
          </w:p>
        </w:tc>
        <w:tc>
          <w:tcPr>
            <w:tcW w:w="1234" w:type="dxa"/>
          </w:tcPr>
          <w:p w14:paraId="3E4707EE"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منخفضة</w:t>
            </w:r>
          </w:p>
        </w:tc>
        <w:tc>
          <w:tcPr>
            <w:tcW w:w="1247" w:type="dxa"/>
          </w:tcPr>
          <w:p w14:paraId="4608033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مغلق</w:t>
            </w:r>
          </w:p>
        </w:tc>
      </w:tr>
      <w:tr w:rsidR="007951CD" w:rsidRPr="00207BEC" w14:paraId="62F9CC9A" w14:textId="77777777" w:rsidTr="00207BEC">
        <w:tc>
          <w:tcPr>
            <w:tcW w:w="1247" w:type="dxa"/>
          </w:tcPr>
          <w:p w14:paraId="569ED0EF"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8.2</w:t>
            </w:r>
          </w:p>
        </w:tc>
        <w:tc>
          <w:tcPr>
            <w:tcW w:w="2608" w:type="dxa"/>
          </w:tcPr>
          <w:p w14:paraId="25C23F76"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تحديد أدوات التحليل ومعايير اتخاذ القرار (مثل NPV/IRR/Payback/SLA) والبرمجيات/الأساليب (تحليل حساسية/محاكاة).</w:t>
            </w:r>
          </w:p>
        </w:tc>
        <w:tc>
          <w:tcPr>
            <w:tcW w:w="2948" w:type="dxa"/>
          </w:tcPr>
          <w:p w14:paraId="28095528"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تم ذكر تحليل المنافع والتكاليف وإطار جمع البيانات بصورة عامة (ص29) دون تفصيل معايير القرار أو المقاييس المالية القياسية.</w:t>
            </w:r>
          </w:p>
        </w:tc>
        <w:tc>
          <w:tcPr>
            <w:tcW w:w="1474" w:type="dxa"/>
          </w:tcPr>
          <w:p w14:paraId="0914975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ملتزم جزئياً</w:t>
            </w:r>
          </w:p>
        </w:tc>
        <w:tc>
          <w:tcPr>
            <w:tcW w:w="2948" w:type="dxa"/>
          </w:tcPr>
          <w:p w14:paraId="75FF3DE5"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أضف فقرة موجزة: معايير الحكم على الجدوى (NPV/IRR/Payback) ومؤشرات SLA، وأداة التحليل (Excel/أي برنامج) وخطوات تحليل الحساسية.</w:t>
            </w:r>
          </w:p>
        </w:tc>
        <w:tc>
          <w:tcPr>
            <w:tcW w:w="1234" w:type="dxa"/>
          </w:tcPr>
          <w:p w14:paraId="5BF6711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185DD67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r w:rsidR="007951CD" w:rsidRPr="00207BEC" w14:paraId="10DE0CFB" w14:textId="77777777" w:rsidTr="00207BEC">
        <w:tc>
          <w:tcPr>
            <w:tcW w:w="1247" w:type="dxa"/>
          </w:tcPr>
          <w:p w14:paraId="242B1853"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8.3</w:t>
            </w:r>
          </w:p>
        </w:tc>
        <w:tc>
          <w:tcPr>
            <w:tcW w:w="2608" w:type="dxa"/>
          </w:tcPr>
          <w:p w14:paraId="2450DC9B"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الالتزام بتوثيق معياري (APA-7) وتوحيد نمط الاستشهاد وإعداد قائمة مراجع مكتملة.</w:t>
            </w:r>
          </w:p>
        </w:tc>
        <w:tc>
          <w:tcPr>
            <w:tcW w:w="2948" w:type="dxa"/>
          </w:tcPr>
          <w:p w14:paraId="4D2BDF7A"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ضمن الفصل الأول تظهر إحالات متنوعة، بينما لا تظهر قائمة مراجع في نهاية الفصل الأول ضمن الملف الحالي (ص9-31).</w:t>
            </w:r>
          </w:p>
        </w:tc>
        <w:tc>
          <w:tcPr>
            <w:tcW w:w="1474" w:type="dxa"/>
          </w:tcPr>
          <w:p w14:paraId="27293BDD"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غير ملتزم</w:t>
            </w:r>
          </w:p>
        </w:tc>
        <w:tc>
          <w:tcPr>
            <w:tcW w:w="2948" w:type="dxa"/>
          </w:tcPr>
          <w:p w14:paraId="73EA606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إدراج/استكمال قائمة المراجع في نهاية الرسالة وفق APA-7، وتوحيد الاستشهاد داخل المتن وإضافة DOI/روابط رسمية حيث تتاح.</w:t>
            </w:r>
          </w:p>
        </w:tc>
        <w:tc>
          <w:tcPr>
            <w:tcW w:w="1234" w:type="dxa"/>
          </w:tcPr>
          <w:p w14:paraId="018053F1"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عالية</w:t>
            </w:r>
          </w:p>
        </w:tc>
        <w:tc>
          <w:tcPr>
            <w:tcW w:w="1247" w:type="dxa"/>
          </w:tcPr>
          <w:p w14:paraId="3320EAD7" w14:textId="77777777" w:rsidR="007951CD" w:rsidRPr="00207BEC" w:rsidRDefault="007951CD" w:rsidP="00207BEC">
            <w:pPr>
              <w:bidi/>
              <w:jc w:val="both"/>
              <w:rPr>
                <w:rFonts w:ascii="Simplified Arabic" w:hAnsi="Simplified Arabic" w:cs="Simplified Arabic"/>
                <w:sz w:val="22"/>
                <w:lang w:bidi="ar-JO"/>
              </w:rPr>
            </w:pPr>
            <w:r w:rsidRPr="00207BEC">
              <w:rPr>
                <w:rFonts w:ascii="Simplified Arabic" w:hAnsi="Simplified Arabic" w:cs="Simplified Arabic"/>
                <w:sz w:val="22"/>
                <w:lang w:bidi="ar-JO"/>
              </w:rPr>
              <w:t>مفتوح</w:t>
            </w:r>
          </w:p>
        </w:tc>
      </w:tr>
    </w:tbl>
    <w:p w14:paraId="31A4B41E" w14:textId="77777777" w:rsidR="007951CD" w:rsidRPr="00207BEC" w:rsidRDefault="007951CD" w:rsidP="00207BEC">
      <w:pPr>
        <w:bidi/>
        <w:jc w:val="both"/>
        <w:rPr>
          <w:rFonts w:ascii="Simplified Arabic" w:hAnsi="Simplified Arabic" w:cs="Simplified Arabic"/>
          <w:sz w:val="22"/>
          <w:lang w:bidi="ar-JO"/>
        </w:rPr>
      </w:pPr>
    </w:p>
    <w:sectPr w:rsidR="007951CD" w:rsidRPr="00207BEC" w:rsidSect="007951CD">
      <w:pgSz w:w="15840" w:h="12240" w:orient="landscape"/>
      <w:pgMar w:top="180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B04C37C"/>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2D38402A"/>
    <w:lvl w:ilvl="0">
      <w:start w:val="1"/>
      <w:numFmt w:val="bullet"/>
      <w:pStyle w:val="ListBullet"/>
      <w:lvlText w:val=""/>
      <w:lvlJc w:val="left"/>
      <w:pPr>
        <w:tabs>
          <w:tab w:val="num" w:pos="360"/>
        </w:tabs>
        <w:ind w:left="360" w:hanging="360"/>
      </w:pPr>
      <w:rPr>
        <w:rFonts w:ascii="Symbol" w:hAnsi="Symbol" w:hint="default"/>
      </w:rPr>
    </w:lvl>
  </w:abstractNum>
  <w:num w:numId="1" w16cid:durableId="1657223875">
    <w:abstractNumId w:val="1"/>
  </w:num>
  <w:num w:numId="2" w16cid:durableId="1651591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A0MbIEAhNTS3MjMyUdpeDU4uLM/DyQAsNaAAjOSagsAAAA"/>
  </w:docVars>
  <w:rsids>
    <w:rsidRoot w:val="00147074"/>
    <w:rsid w:val="00147074"/>
    <w:rsid w:val="00207BEC"/>
    <w:rsid w:val="0034044D"/>
    <w:rsid w:val="00770467"/>
    <w:rsid w:val="007951CD"/>
    <w:rsid w:val="00B000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A6771"/>
  <w15:chartTrackingRefBased/>
  <w15:docId w15:val="{B5D576EB-9855-4558-881A-EAB6EDD01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1CD"/>
    <w:pPr>
      <w:spacing w:after="200" w:line="276" w:lineRule="auto"/>
    </w:pPr>
    <w:rPr>
      <w:rFonts w:ascii="Arial" w:eastAsiaTheme="minorEastAsia" w:hAnsi="Arial" w:cs="Arial"/>
      <w:kern w:val="0"/>
      <w:szCs w:val="22"/>
      <w14:ligatures w14:val="none"/>
    </w:rPr>
  </w:style>
  <w:style w:type="paragraph" w:styleId="Heading1">
    <w:name w:val="heading 1"/>
    <w:basedOn w:val="Normal"/>
    <w:next w:val="Normal"/>
    <w:link w:val="Heading1Char"/>
    <w:uiPriority w:val="9"/>
    <w:qFormat/>
    <w:rsid w:val="001470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0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0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0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0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0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0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0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0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0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0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0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0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0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0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0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0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074"/>
    <w:rPr>
      <w:rFonts w:eastAsiaTheme="majorEastAsia" w:cstheme="majorBidi"/>
      <w:color w:val="272727" w:themeColor="text1" w:themeTint="D8"/>
    </w:rPr>
  </w:style>
  <w:style w:type="paragraph" w:styleId="Title">
    <w:name w:val="Title"/>
    <w:basedOn w:val="Normal"/>
    <w:next w:val="Normal"/>
    <w:link w:val="TitleChar"/>
    <w:uiPriority w:val="10"/>
    <w:qFormat/>
    <w:rsid w:val="00147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0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0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0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074"/>
    <w:pPr>
      <w:spacing w:before="160"/>
      <w:jc w:val="center"/>
    </w:pPr>
    <w:rPr>
      <w:i/>
      <w:iCs/>
      <w:color w:val="404040" w:themeColor="text1" w:themeTint="BF"/>
    </w:rPr>
  </w:style>
  <w:style w:type="character" w:customStyle="1" w:styleId="QuoteChar">
    <w:name w:val="Quote Char"/>
    <w:basedOn w:val="DefaultParagraphFont"/>
    <w:link w:val="Quote"/>
    <w:uiPriority w:val="29"/>
    <w:rsid w:val="00147074"/>
    <w:rPr>
      <w:i/>
      <w:iCs/>
      <w:color w:val="404040" w:themeColor="text1" w:themeTint="BF"/>
    </w:rPr>
  </w:style>
  <w:style w:type="paragraph" w:styleId="ListParagraph">
    <w:name w:val="List Paragraph"/>
    <w:basedOn w:val="Normal"/>
    <w:uiPriority w:val="34"/>
    <w:qFormat/>
    <w:rsid w:val="00147074"/>
    <w:pPr>
      <w:ind w:left="720"/>
      <w:contextualSpacing/>
    </w:pPr>
  </w:style>
  <w:style w:type="character" w:styleId="IntenseEmphasis">
    <w:name w:val="Intense Emphasis"/>
    <w:basedOn w:val="DefaultParagraphFont"/>
    <w:uiPriority w:val="21"/>
    <w:qFormat/>
    <w:rsid w:val="00147074"/>
    <w:rPr>
      <w:i/>
      <w:iCs/>
      <w:color w:val="0F4761" w:themeColor="accent1" w:themeShade="BF"/>
    </w:rPr>
  </w:style>
  <w:style w:type="paragraph" w:styleId="IntenseQuote">
    <w:name w:val="Intense Quote"/>
    <w:basedOn w:val="Normal"/>
    <w:next w:val="Normal"/>
    <w:link w:val="IntenseQuoteChar"/>
    <w:uiPriority w:val="30"/>
    <w:qFormat/>
    <w:rsid w:val="001470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074"/>
    <w:rPr>
      <w:i/>
      <w:iCs/>
      <w:color w:val="0F4761" w:themeColor="accent1" w:themeShade="BF"/>
    </w:rPr>
  </w:style>
  <w:style w:type="character" w:styleId="IntenseReference">
    <w:name w:val="Intense Reference"/>
    <w:basedOn w:val="DefaultParagraphFont"/>
    <w:uiPriority w:val="32"/>
    <w:qFormat/>
    <w:rsid w:val="00147074"/>
    <w:rPr>
      <w:b/>
      <w:bCs/>
      <w:smallCaps/>
      <w:color w:val="0F4761" w:themeColor="accent1" w:themeShade="BF"/>
      <w:spacing w:val="5"/>
    </w:rPr>
  </w:style>
  <w:style w:type="paragraph" w:styleId="ListBullet">
    <w:name w:val="List Bullet"/>
    <w:basedOn w:val="Normal"/>
    <w:uiPriority w:val="99"/>
    <w:unhideWhenUsed/>
    <w:rsid w:val="007951CD"/>
    <w:pPr>
      <w:numPr>
        <w:numId w:val="1"/>
      </w:numPr>
      <w:tabs>
        <w:tab w:val="clear" w:pos="360"/>
      </w:tabs>
      <w:ind w:left="0" w:firstLine="0"/>
      <w:contextualSpacing/>
    </w:pPr>
  </w:style>
  <w:style w:type="paragraph" w:styleId="ListNumber">
    <w:name w:val="List Number"/>
    <w:basedOn w:val="Normal"/>
    <w:uiPriority w:val="99"/>
    <w:unhideWhenUsed/>
    <w:rsid w:val="007951CD"/>
    <w:pPr>
      <w:numPr>
        <w:numId w:val="2"/>
      </w:numPr>
      <w:tabs>
        <w:tab w:val="clear" w:pos="360"/>
      </w:tabs>
      <w:ind w:left="0" w:firstLine="0"/>
      <w:contextualSpacing/>
    </w:pPr>
  </w:style>
  <w:style w:type="table" w:styleId="TableGrid">
    <w:name w:val="Table Grid"/>
    <w:basedOn w:val="TableNormal"/>
    <w:uiPriority w:val="39"/>
    <w:rsid w:val="00795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1309</Words>
  <Characters>7462</Characters>
  <Application>Microsoft Office Word</Application>
  <DocSecurity>0</DocSecurity>
  <Lines>62</Lines>
  <Paragraphs>17</Paragraphs>
  <ScaleCrop>false</ScaleCrop>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4</cp:revision>
  <dcterms:created xsi:type="dcterms:W3CDTF">2025-12-21T08:18:00Z</dcterms:created>
  <dcterms:modified xsi:type="dcterms:W3CDTF">2025-12-23T06:00:00Z</dcterms:modified>
</cp:coreProperties>
</file>