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2d48"/>
          <w:sz w:val="44"/>
          <w:szCs w:val="44"/>
        </w:rPr>
        <w:t xml:space="preserve">From Reactive to Autonomous:</w:t>
      </w:r>
    </w:p>
    <w:p>
      <w:pPr>
        <w:spacing w:after="160"/>
        <w:jc w:val="center"/>
      </w:pPr>
      <w:r>
        <w:rPr>
          <w:rFonts w:ascii="Calibri" w:cs="Calibri" w:eastAsia="Calibri" w:hAnsi="Calibri"/>
          <w:b/>
          <w:bCs/>
          <w:color w:val="1a2d48"/>
          <w:sz w:val="34"/>
          <w:szCs w:val="34"/>
        </w:rPr>
        <w:t xml:space="preserve">How AI Can Transform Metro Crowd Management</w:t>
      </w:r>
    </w:p>
    <w:p>
      <w:pPr>
        <w:spacing w:after="400"/>
        <w:jc w:val="center"/>
      </w:pPr>
      <w:r>
        <w:rPr>
          <w:rFonts w:ascii="Calibri" w:cs="Calibri" w:eastAsia="Calibri" w:hAnsi="Calibri"/>
          <w:i/>
          <w:iCs/>
          <w:color w:val="555555"/>
          <w:sz w:val="24"/>
          <w:szCs w:val="24"/>
        </w:rPr>
        <w:t xml:space="preserve">A technical overview of an AI-based dispatch and timetabling system for Riyadh Metro, built on Automatic Fare Collection (AFC) data, CCTV computer vision, and machine learning.</w:t>
      </w: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1a2d48"/>
          <w:sz w:val="30"/>
          <w:szCs w:val="30"/>
        </w:rPr>
        <w:t xml:space="preserve">The Problem: Metro Crowd Management Is Still a Manual, Reactive Process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Modern metro systems are seeing rapid ridership growth, and Riyadh Metro is no exception. Yet at most stations, crowd management still works the same way it did a decade ago: an Operations Control Centre (OCC) controller watches CCTV feeds, notices a platform getting crowded, and manually decides to add an extra train — often after the crowding has already become a problem.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This reactive approach has three structural weaknesses:</w:t>
      </w:r>
    </w:p>
    <w:p>
      <w:pPr>
        <w:pStyle w:val="ListParagraph"/>
        <w:numPr>
          <w:ilvl w:val="0"/>
          <w:numId w:val="1"/>
        </w:numPr>
        <w:spacing w:after="140" w:line="30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It depends on human attention.</w:t>
      </w:r>
      <w:r>
        <w:rPr>
          <w:rFonts w:ascii="Calibri" w:cs="Calibri" w:eastAsia="Calibri" w:hAnsi="Calibri"/>
          <w:sz w:val="22"/>
          <w:szCs w:val="22"/>
        </w:rPr>
        <w:t xml:space="preserve"> A controller monitoring dozens of camera feeds at once cannot catch every early warning sign, especially during multi-station surges.</w:t>
      </w:r>
    </w:p>
    <w:p>
      <w:pPr>
        <w:pStyle w:val="ListParagraph"/>
        <w:numPr>
          <w:ilvl w:val="0"/>
          <w:numId w:val="1"/>
        </w:numPr>
        <w:spacing w:after="140" w:line="30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Timetables are static.</w:t>
      </w:r>
      <w:r>
        <w:rPr>
          <w:rFonts w:ascii="Calibri" w:cs="Calibri" w:eastAsia="Calibri" w:hAnsi="Calibri"/>
          <w:sz w:val="22"/>
          <w:szCs w:val="22"/>
        </w:rPr>
        <w:t xml:space="preserve"> They're written in advance based on historical averages and don't adapt to real-time or even weekly shifts in demand.</w:t>
      </w:r>
    </w:p>
    <w:p>
      <w:pPr>
        <w:pStyle w:val="ListParagraph"/>
        <w:numPr>
          <w:ilvl w:val="0"/>
          <w:numId w:val="1"/>
        </w:numPr>
        <w:spacing w:after="140" w:line="30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Data sources are siloed.</w:t>
      </w:r>
      <w:r>
        <w:rPr>
          <w:rFonts w:ascii="Calibri" w:cs="Calibri" w:eastAsia="Calibri" w:hAnsi="Calibri"/>
          <w:sz w:val="22"/>
          <w:szCs w:val="22"/>
        </w:rPr>
        <w:t xml:space="preserve"> Automatic Fare Collection (AFC) gate data, CCTV footage, and the timetable/incident system are never combined into a single, unified signal — so no part of the system has the full picture.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This project set out to replace that reactive workflow with an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autonomous, predictive system</w:t>
      </w:r>
      <w:r>
        <w:rPr>
          <w:rFonts w:ascii="Calibri" w:cs="Calibri" w:eastAsia="Calibri" w:hAnsi="Calibri"/>
          <w:sz w:val="22"/>
          <w:szCs w:val="22"/>
        </w:rPr>
        <w:t xml:space="preserve">: one that fuses multiple real-time data sources, forecasts crowding before it happens, and automatically generates dispatch decisions and updated timetables — with no manual data entry or controller intervention required for routine operations.</w:t>
      </w: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1a2d48"/>
          <w:sz w:val="30"/>
          <w:szCs w:val="30"/>
        </w:rPr>
        <w:t xml:space="preserve">System Architecture: Three Data Sources, One Signal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The system is built around a six-stage pipeline that fuses three complementary data streams into a single crowd-intelligence signal, which then feeds two cooperating AI models.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1. Automatic Fare Collection (AFC) gates</w:t>
      </w:r>
      <w:r>
        <w:rPr>
          <w:rFonts w:ascii="Calibri" w:cs="Calibri" w:eastAsia="Calibri" w:hAnsi="Calibri"/>
          <w:sz w:val="22"/>
          <w:szCs w:val="22"/>
        </w:rPr>
        <w:t xml:space="preserve"> supply exact passenger entry/exit counts per station, per hour. From these, four derived features are computed: entries, exits, net flow, and a running cumulative occupancy rate. AFC is precise for counting gate transactions, but it can't measure how many passengers are physically on the platform at a given moment.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2. CCTV + YOLOv8 computer vision</w:t>
      </w:r>
      <w:r>
        <w:rPr>
          <w:rFonts w:ascii="Calibri" w:cs="Calibri" w:eastAsia="Calibri" w:hAnsi="Calibri"/>
          <w:sz w:val="22"/>
          <w:szCs w:val="22"/>
        </w:rPr>
        <w:t xml:space="preserve"> fills that gap. Cameras covering three platform zones (front, middle, rear) capture a frame every 30 seconds, and a YOLOv8 person-detection model converts each frame into a headcount and per-zone density score. Unlike AFC, CCTV measures real-time platform occupancy directly — and it keeps working even if a fare gate malfunctions.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3. The timetable and incident system</w:t>
      </w:r>
      <w:r>
        <w:rPr>
          <w:rFonts w:ascii="Calibri" w:cs="Calibri" w:eastAsia="Calibri" w:hAnsi="Calibri"/>
          <w:sz w:val="22"/>
          <w:szCs w:val="22"/>
        </w:rPr>
        <w:t xml:space="preserve"> supplies operational context: scheduled trains, delay minutes, and incident severity — which lets the models tell the difference between ordinary demand fluctuations and crowding caused by a service disruption.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These three streams are combined using a weighted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data fusion formula</w:t>
      </w:r>
      <w:r>
        <w:rPr>
          <w:rFonts w:ascii="Calibri" w:cs="Calibri" w:eastAsia="Calibri" w:hAnsi="Calibri"/>
          <w:sz w:val="22"/>
          <w:szCs w:val="22"/>
        </w:rPr>
        <w:t xml:space="preserve">:</w:t>
      </w:r>
    </w:p>
    <w:p>
      <w:pPr>
        <w:pBdr>
          <w:top w:val="single" w:color="CCCCCC" w:sz="4"/>
          <w:bottom w:val="single" w:color="CCCCCC" w:sz="4"/>
          <w:left w:val="single" w:color="CCCCCC" w:sz="4"/>
          <w:right w:val="single" w:color="CCCCCC" w:sz="4"/>
        </w:pBdr>
        <w:shd w:fill="F2F2F2" w:color="auto" w:val="clear"/>
        <w:spacing w:after="200" w:before="120"/>
        <w:jc w:val="center"/>
      </w:pPr>
      <w:r>
        <w:rPr>
          <w:rFonts w:ascii="Consolas" w:cs="Consolas" w:eastAsia="Consolas" w:hAnsi="Consolas"/>
          <w:sz w:val="22"/>
          <w:szCs w:val="22"/>
        </w:rPr>
        <w:t xml:space="preserve">fused_occupancy = 0.60 × AFC_occupancy + 0.40 × CCTV_headcount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AFC is weighted more heavily because it's an exact transaction count, while CCTV acts as a real-time corrective signal for what AFC alone can't see. This fused occupancy value becomes the primary input feature for both AI models described below.</w:t>
      </w: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1a2d48"/>
          <w:sz w:val="30"/>
          <w:szCs w:val="30"/>
        </w:rPr>
        <w:t xml:space="preserve">The Dataset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The models were trained and validated on a dataset covering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12 stations across 16 weeks</w:t>
      </w:r>
      <w:r>
        <w:rPr>
          <w:rFonts w:ascii="Calibri" w:cs="Calibri" w:eastAsia="Calibri" w:hAnsi="Calibri"/>
          <w:sz w:val="22"/>
          <w:szCs w:val="22"/>
        </w:rPr>
        <w:t xml:space="preserve"> of Line 3 operations, sampled hourly across 19 operating hours a day. That works out to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25,536 records</w:t>
      </w:r>
      <w:r>
        <w:rPr>
          <w:rFonts w:ascii="Calibri" w:cs="Calibri" w:eastAsia="Calibri" w:hAnsi="Calibri"/>
          <w:sz w:val="22"/>
          <w:szCs w:val="22"/>
        </w:rPr>
        <w:t xml:space="preserve">, each describing one station at one hour on one day, across 34 combined AFC, CCTV, timetable, and derived features.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The dataset reflects a real operational challenge: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class imbalance</w:t>
      </w:r>
      <w:r>
        <w:rPr>
          <w:rFonts w:ascii="Calibri" w:cs="Calibri" w:eastAsia="Calibri" w:hAnsi="Calibri"/>
          <w:sz w:val="22"/>
          <w:szCs w:val="22"/>
        </w:rPr>
        <w:t xml:space="preserve">. Most station-hours require no additional trains, but the highest-severity “Critical” class (requiring three extra trains) is still well represented — over 7,000 records. Handling this imbalance correctly, without letting the model under-predict the rare-but-critical cases, was a key design constraint for the modeling approach below.</w:t>
      </w: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1a2d48"/>
          <w:sz w:val="30"/>
          <w:szCs w:val="30"/>
        </w:rPr>
        <w:t xml:space="preserve">Two Cooperating AI Models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Rather than one monolithic model, the system uses two purpose-built models that share the same fused input signal:</w:t>
      </w:r>
    </w:p>
    <w:p>
      <w:pPr>
        <w:pStyle w:val="Heading2"/>
        <w:spacing w:after="120" w:before="260"/>
      </w:pPr>
      <w:r>
        <w:rPr>
          <w:rFonts w:ascii="Calibri" w:cs="Calibri" w:eastAsia="Calibri" w:hAnsi="Calibri"/>
          <w:b/>
          <w:bCs/>
          <w:color w:val="1a2d48"/>
          <w:sz w:val="25"/>
          <w:szCs w:val="25"/>
        </w:rPr>
        <w:t xml:space="preserve">Model 1 — Dispatch Classifier (Random Forest)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A Random Forest Classifier (400 trees, balanced_subsample class weighting) predicts, for the current hour, how many extra trains are needed: 0, +1, +2, or +3. The class weighting directly addresses the imbalance problem — it's specifically tuned so the model doesn't miss rare Critical-demand events, which are the most operationally costly to get wrong.</w:t>
      </w:r>
    </w:p>
    <w:p>
      <w:pPr>
        <w:pStyle w:val="Heading2"/>
        <w:spacing w:after="120" w:before="260"/>
      </w:pPr>
      <w:r>
        <w:rPr>
          <w:rFonts w:ascii="Calibri" w:cs="Calibri" w:eastAsia="Calibri" w:hAnsi="Calibri"/>
          <w:b/>
          <w:bCs/>
          <w:color w:val="1a2d48"/>
          <w:sz w:val="25"/>
          <w:szCs w:val="25"/>
        </w:rPr>
        <w:t xml:space="preserve">Model 2 — Timetable Forecaster (Gradient Boosting)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A Gradient Boosting Regressor (300 trees, max depth 4) forecasts occupancy rate up to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four weeks ahead</w:t>
      </w:r>
      <w:r>
        <w:rPr>
          <w:rFonts w:ascii="Calibri" w:cs="Calibri" w:eastAsia="Calibri" w:hAnsi="Calibri"/>
          <w:sz w:val="22"/>
          <w:szCs w:val="22"/>
        </w:rPr>
        <w:t xml:space="preserve">, retrained weekly to stay current. Its output feeds a fixed set of autonomous decision rules that convert a predicted occupancy percentage directly into a dispatch action and headway adjustment — for example, above 92% predicted occupancy triggers “+3 trains, −6 min headway,” while below 30% triggers a train reduction to save operating cost.</w:t>
      </w: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1a2d48"/>
          <w:sz w:val="30"/>
          <w:szCs w:val="30"/>
        </w:rPr>
        <w:t xml:space="preserve">Experimental Results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The results validate both the modeling approach and the value of fusing multiple data sources: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560"/>
      </w:tblGrid>
      <w:tr>
        <w:trPr>
          <w:tblHeader/>
        </w:trPr>
        <w:tc>
          <w:tcPr>
            <w:tcW w:type="dxa" w:w="3800"/>
            <w:tcBorders>
              <w:top w:val="single" w:color="1F4E79" w:sz="4"/>
              <w:left w:val="single" w:color="1F4E79" w:sz="4"/>
              <w:bottom w:val="single" w:color="1F4E79" w:sz="4"/>
              <w:right w:val="single" w:color="1F4E79" w:sz="4"/>
            </w:tcBorders>
            <w:shd w:fill="1F4E79" w:color="auto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2"/>
                <w:szCs w:val="22"/>
              </w:rPr>
              <w:t xml:space="preserve">Metric</w:t>
            </w:r>
          </w:p>
        </w:tc>
        <w:tc>
          <w:tcPr>
            <w:tcW w:type="dxa" w:w="5560"/>
            <w:tcBorders>
              <w:top w:val="single" w:color="1F4E79" w:sz="4"/>
              <w:left w:val="single" w:color="1F4E79" w:sz="4"/>
              <w:bottom w:val="single" w:color="1F4E79" w:sz="4"/>
              <w:right w:val="single" w:color="1F4E79" w:sz="4"/>
            </w:tcBorders>
            <w:shd w:fill="1F4E79" w:color="auto" w:val="clear"/>
            <w:tcMar>
              <w:top w:type="dxa" w:w="100"/>
              <w:left w:type="dxa" w:w="120"/>
              <w:bottom w:type="dxa" w:w="100"/>
              <w:right w:type="dxa" w:w="120"/>
            </w:tcMar>
            <w:vAlign w:val="center"/>
          </w:tcPr>
          <w:p>
            <w:pPr>
              <w:jc w:val="center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2"/>
                <w:szCs w:val="22"/>
              </w:rPr>
              <w:t xml:space="preserve">Result</w:t>
            </w:r>
          </w:p>
        </w:tc>
      </w:tr>
      <w:tr>
        <w:tc>
          <w:tcPr>
            <w:tcW w:type="dxa" w:w="3800"/>
            <w:tcBorders>
              <w:top w:val="single" w:color="1F4E79" w:sz="4"/>
              <w:left w:val="single" w:color="1F4E79" w:sz="4"/>
              <w:bottom w:val="single" w:color="1F4E79" w:sz="4"/>
              <w:right w:val="single" w:color="1F4E79" w:sz="4"/>
            </w:tcBorders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sz w:val="21"/>
                <w:szCs w:val="21"/>
              </w:rPr>
              <w:t xml:space="preserve">Dispatch classifier accuracy</w:t>
            </w:r>
          </w:p>
        </w:tc>
        <w:tc>
          <w:tcPr>
            <w:tcW w:type="dxa" w:w="5560"/>
            <w:tcBorders>
              <w:top w:val="single" w:color="1F4E79" w:sz="4"/>
              <w:left w:val="single" w:color="1F4E79" w:sz="4"/>
              <w:bottom w:val="single" w:color="1F4E79" w:sz="4"/>
              <w:right w:val="single" w:color="1F4E79" w:sz="4"/>
            </w:tcBorders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1"/>
                <w:szCs w:val="21"/>
              </w:rPr>
              <w:t xml:space="preserve">99.7%</w:t>
            </w:r>
          </w:p>
        </w:tc>
      </w:tr>
      <w:tr>
        <w:tc>
          <w:tcPr>
            <w:tcW w:type="dxa" w:w="3800"/>
            <w:tcBorders>
              <w:top w:val="single" w:color="1F4E79" w:sz="4"/>
              <w:left w:val="single" w:color="1F4E79" w:sz="4"/>
              <w:bottom w:val="single" w:color="1F4E79" w:sz="4"/>
              <w:right w:val="single" w:color="1F4E79" w:sz="4"/>
            </w:tcBorders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sz w:val="21"/>
                <w:szCs w:val="21"/>
              </w:rPr>
              <w:t xml:space="preserve">Macro F1-score (all 4 classes)</w:t>
            </w:r>
          </w:p>
        </w:tc>
        <w:tc>
          <w:tcPr>
            <w:tcW w:type="dxa" w:w="5560"/>
            <w:tcBorders>
              <w:top w:val="single" w:color="1F4E79" w:sz="4"/>
              <w:left w:val="single" w:color="1F4E79" w:sz="4"/>
              <w:bottom w:val="single" w:color="1F4E79" w:sz="4"/>
              <w:right w:val="single" w:color="1F4E79" w:sz="4"/>
            </w:tcBorders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1"/>
                <w:szCs w:val="21"/>
              </w:rPr>
              <w:t xml:space="preserve">0.995</w:t>
            </w:r>
          </w:p>
        </w:tc>
      </w:tr>
      <w:tr>
        <w:tc>
          <w:tcPr>
            <w:tcW w:type="dxa" w:w="3800"/>
            <w:tcBorders>
              <w:top w:val="single" w:color="1F4E79" w:sz="4"/>
              <w:left w:val="single" w:color="1F4E79" w:sz="4"/>
              <w:bottom w:val="single" w:color="1F4E79" w:sz="4"/>
              <w:right w:val="single" w:color="1F4E79" w:sz="4"/>
            </w:tcBorders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sz w:val="21"/>
                <w:szCs w:val="21"/>
              </w:rPr>
              <w:t xml:space="preserve">Misclassifications (test set of 5,244)</w:t>
            </w:r>
          </w:p>
        </w:tc>
        <w:tc>
          <w:tcPr>
            <w:tcW w:type="dxa" w:w="5560"/>
            <w:tcBorders>
              <w:top w:val="single" w:color="1F4E79" w:sz="4"/>
              <w:left w:val="single" w:color="1F4E79" w:sz="4"/>
              <w:bottom w:val="single" w:color="1F4E79" w:sz="4"/>
              <w:right w:val="single" w:color="1F4E79" w:sz="4"/>
            </w:tcBorders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1"/>
                <w:szCs w:val="21"/>
              </w:rPr>
              <w:t xml:space="preserve">14 total, all adjacent-class (e.g., +2 predicted as +1/+3)</w:t>
            </w:r>
          </w:p>
        </w:tc>
      </w:tr>
      <w:tr>
        <w:tc>
          <w:tcPr>
            <w:tcW w:type="dxa" w:w="3800"/>
            <w:tcBorders>
              <w:top w:val="single" w:color="1F4E79" w:sz="4"/>
              <w:left w:val="single" w:color="1F4E79" w:sz="4"/>
              <w:bottom w:val="single" w:color="1F4E79" w:sz="4"/>
              <w:right w:val="single" w:color="1F4E79" w:sz="4"/>
            </w:tcBorders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sz w:val="21"/>
                <w:szCs w:val="21"/>
              </w:rPr>
              <w:t xml:space="preserve">Timetable forecaster error (MAE)</w:t>
            </w:r>
          </w:p>
        </w:tc>
        <w:tc>
          <w:tcPr>
            <w:tcW w:type="dxa" w:w="5560"/>
            <w:tcBorders>
              <w:top w:val="single" w:color="1F4E79" w:sz="4"/>
              <w:left w:val="single" w:color="1F4E79" w:sz="4"/>
              <w:bottom w:val="single" w:color="1F4E79" w:sz="4"/>
              <w:right w:val="single" w:color="1F4E79" w:sz="4"/>
            </w:tcBorders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1"/>
                <w:szCs w:val="21"/>
              </w:rPr>
              <w:t xml:space="preserve">2.87% occupancy</w:t>
            </w:r>
          </w:p>
        </w:tc>
      </w:tr>
      <w:tr>
        <w:tc>
          <w:tcPr>
            <w:tcW w:type="dxa" w:w="3800"/>
            <w:tcBorders>
              <w:top w:val="single" w:color="1F4E79" w:sz="4"/>
              <w:left w:val="single" w:color="1F4E79" w:sz="4"/>
              <w:bottom w:val="single" w:color="1F4E79" w:sz="4"/>
              <w:right w:val="single" w:color="1F4E79" w:sz="4"/>
            </w:tcBorders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sz w:val="21"/>
                <w:szCs w:val="21"/>
              </w:rPr>
              <w:t xml:space="preserve">Autonomous 4-week timetable</w:t>
            </w:r>
          </w:p>
        </w:tc>
        <w:tc>
          <w:tcPr>
            <w:tcW w:type="dxa" w:w="5560"/>
            <w:tcBorders>
              <w:top w:val="single" w:color="1F4E79" w:sz="4"/>
              <w:left w:val="single" w:color="1F4E79" w:sz="4"/>
              <w:bottom w:val="single" w:color="1F4E79" w:sz="4"/>
              <w:right w:val="single" w:color="1F4E79" w:sz="4"/>
            </w:tcBorders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1"/>
                <w:szCs w:val="21"/>
              </w:rPr>
              <w:t xml:space="preserve">6,384 time slots computed → 3,501 insertions, 1,445 reductions, 1,822 Critical alerts</w:t>
            </w:r>
          </w:p>
        </w:tc>
      </w:tr>
      <w:tr>
        <w:tc>
          <w:tcPr>
            <w:tcW w:type="dxa" w:w="3800"/>
            <w:tcBorders>
              <w:top w:val="single" w:color="1F4E79" w:sz="4"/>
              <w:left w:val="single" w:color="1F4E79" w:sz="4"/>
              <w:bottom w:val="single" w:color="1F4E79" w:sz="4"/>
              <w:right w:val="single" w:color="1F4E79" w:sz="4"/>
            </w:tcBorders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sz w:val="21"/>
                <w:szCs w:val="21"/>
              </w:rPr>
              <w:t xml:space="preserve">CCTV camera network uptime</w:t>
            </w:r>
          </w:p>
        </w:tc>
        <w:tc>
          <w:tcPr>
            <w:tcW w:type="dxa" w:w="5560"/>
            <w:tcBorders>
              <w:top w:val="single" w:color="1F4E79" w:sz="4"/>
              <w:left w:val="single" w:color="1F4E79" w:sz="4"/>
              <w:bottom w:val="single" w:color="1F4E79" w:sz="4"/>
              <w:right w:val="single" w:color="1F4E79" w:sz="4"/>
            </w:tcBorders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1"/>
                <w:szCs w:val="21"/>
              </w:rPr>
              <w:t xml:space="preserve">87.9% fully operational, 8.1% partial, 4.1% offline (auto-fallback to AFC)</w:t>
            </w:r>
          </w:p>
        </w:tc>
      </w:tr>
      <w:tr>
        <w:tc>
          <w:tcPr>
            <w:tcW w:type="dxa" w:w="3800"/>
            <w:tcBorders>
              <w:top w:val="single" w:color="1F4E79" w:sz="4"/>
              <w:left w:val="single" w:color="1F4E79" w:sz="4"/>
              <w:bottom w:val="single" w:color="1F4E79" w:sz="4"/>
              <w:right w:val="single" w:color="1F4E79" w:sz="4"/>
            </w:tcBorders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rFonts w:ascii="Calibri" w:cs="Calibri" w:eastAsia="Calibri" w:hAnsi="Calibri"/>
                <w:b/>
                <w:bCs/>
                <w:sz w:val="21"/>
                <w:szCs w:val="21"/>
              </w:rPr>
              <w:t xml:space="preserve">YOLOv8 average detection confidence</w:t>
            </w:r>
          </w:p>
        </w:tc>
        <w:tc>
          <w:tcPr>
            <w:tcW w:type="dxa" w:w="5560"/>
            <w:tcBorders>
              <w:top w:val="single" w:color="1F4E79" w:sz="4"/>
              <w:left w:val="single" w:color="1F4E79" w:sz="4"/>
              <w:bottom w:val="single" w:color="1F4E79" w:sz="4"/>
              <w:right w:val="single" w:color="1F4E79" w:sz="4"/>
            </w:tcBorders>
            <w:tcMar>
              <w:top w:type="dxa" w:w="90"/>
              <w:left w:type="dxa" w:w="120"/>
              <w:bottom w:type="dxa" w:w="90"/>
              <w:right w:type="dxa" w:w="120"/>
            </w:tcMar>
            <w:vAlign w:val="center"/>
          </w:tcPr>
          <w:p>
            <w:r>
              <w:rPr>
                <w:rFonts w:ascii="Calibri" w:cs="Calibri" w:eastAsia="Calibri" w:hAnsi="Calibri"/>
                <w:b w:val="false"/>
                <w:bCs w:val="false"/>
                <w:sz w:val="21"/>
                <w:szCs w:val="21"/>
              </w:rPr>
              <w:t xml:space="preserve">93.5%</w:t>
            </w:r>
          </w:p>
        </w:tc>
      </w:tr>
    </w:tbl>
    <w:p>
      <w:pPr>
        <w:spacing w:after="26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Two results stand out. First, the classifier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never once missed a Critical-demand event</w:t>
      </w:r>
      <w:r>
        <w:rPr>
          <w:rFonts w:ascii="Calibri" w:cs="Calibri" w:eastAsia="Calibri" w:hAnsi="Calibri"/>
          <w:sz w:val="22"/>
          <w:szCs w:val="22"/>
        </w:rPr>
        <w:t xml:space="preserve"> in testing — every error was a near-miss between adjacent classes, never a dangerous “no action” prediction when action was actually needed. Second, comparing AFC-only estimation against the combined AFC+CCTV configuration confirms that CCTV isn't redundant: it adds genuinely new information (direct occupancy measurement, per-zone density, and resilience to gate failure) that AFC alone structurally cannot provide.</w:t>
      </w: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1a2d48"/>
          <w:sz w:val="30"/>
          <w:szCs w:val="30"/>
        </w:rPr>
        <w:t xml:space="preserve">Explainability: Why the Model Made Each Decision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An autonomous dispatch system is only useful if operators can trust it — which means every decision needs to be explainable, not just accurate. The project incorporates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SHAP (SHapley Additive exPlanations)</w:t>
      </w:r>
      <w:r>
        <w:rPr>
          <w:rFonts w:ascii="Calibri" w:cs="Calibri" w:eastAsia="Calibri" w:hAnsi="Calibri"/>
          <w:sz w:val="22"/>
          <w:szCs w:val="22"/>
        </w:rPr>
        <w:t xml:space="preserve"> analysis to quantify exactly which input features drove each individual prediction.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Across all dispatch classes, SHAP analysis consistently identifies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fused occupancy rate</w:t>
      </w:r>
      <w:r>
        <w:rPr>
          <w:rFonts w:ascii="Calibri" w:cs="Calibri" w:eastAsia="Calibri" w:hAnsi="Calibri"/>
          <w:sz w:val="22"/>
          <w:szCs w:val="22"/>
        </w:rPr>
        <w:t xml:space="preserve"> and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delay minutes</w:t>
      </w:r>
      <w:r>
        <w:rPr>
          <w:rFonts w:ascii="Calibri" w:cs="Calibri" w:eastAsia="Calibri" w:hAnsi="Calibri"/>
          <w:sz w:val="22"/>
          <w:szCs w:val="22"/>
        </w:rPr>
        <w:t xml:space="preserve"> as the two strongest predictors — which lines up with operational intuition (crowding and service disruption are the two most obvious real-world drivers of dispatch need) and gives human reviewers a clear, auditable reason behind every AI-generated decision.</w:t>
      </w: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1a2d48"/>
          <w:sz w:val="30"/>
          <w:szCs w:val="30"/>
        </w:rPr>
        <w:t xml:space="preserve">From Model to Tool: The Interactive Dashboard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The trained models don't stop at a notebook — they're packaged into a browser-based interactive dashboard with three main views:</w:t>
      </w:r>
    </w:p>
    <w:p>
      <w:pPr>
        <w:pStyle w:val="ListParagraph"/>
        <w:numPr>
          <w:ilvl w:val="0"/>
          <w:numId w:val="1"/>
        </w:numPr>
        <w:spacing w:after="140" w:line="30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AI Timetable view</w:t>
      </w:r>
      <w:r>
        <w:rPr>
          <w:rFonts w:ascii="Calibri" w:cs="Calibri" w:eastAsia="Calibri" w:hAnsi="Calibri"/>
          <w:sz w:val="22"/>
          <w:szCs w:val="22"/>
        </w:rPr>
        <w:t xml:space="preserve"> — all 6,384 computed time slots, filterable by station, day, hour, or alert severity, with color-coded status.</w:t>
      </w:r>
    </w:p>
    <w:p>
      <w:pPr>
        <w:pStyle w:val="ListParagraph"/>
        <w:numPr>
          <w:ilvl w:val="0"/>
          <w:numId w:val="1"/>
        </w:numPr>
        <w:spacing w:after="140" w:line="30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Station Deep-Dive view</w:t>
      </w:r>
      <w:r>
        <w:rPr>
          <w:rFonts w:ascii="Calibri" w:cs="Calibri" w:eastAsia="Calibri" w:hAnsi="Calibri"/>
          <w:sz w:val="22"/>
          <w:szCs w:val="22"/>
        </w:rPr>
        <w:t xml:space="preserve"> — the full four-week plan, occupancy trend, and peak-hour profile for any single station.</w:t>
      </w:r>
    </w:p>
    <w:p>
      <w:pPr>
        <w:pStyle w:val="ListParagraph"/>
        <w:numPr>
          <w:ilvl w:val="0"/>
          <w:numId w:val="1"/>
        </w:numPr>
        <w:spacing w:after="140" w:line="30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Analytics &amp; Trends view</w:t>
      </w:r>
      <w:r>
        <w:rPr>
          <w:rFonts w:ascii="Calibri" w:cs="Calibri" w:eastAsia="Calibri" w:hAnsi="Calibri"/>
          <w:sz w:val="22"/>
          <w:szCs w:val="22"/>
        </w:rPr>
        <w:t xml:space="preserve"> — action distribution, Critical-alert frequency, and weekday-vs-weekend demand comparison across the full 16-week history.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A later addition to the dashboard mirrors a familiar consumer experience: a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“Check Status by Date”</w:t>
      </w:r>
      <w:r>
        <w:rPr>
          <w:rFonts w:ascii="Calibri" w:cs="Calibri" w:eastAsia="Calibri" w:hAnsi="Calibri"/>
          <w:sz w:val="22"/>
          <w:szCs w:val="22"/>
        </w:rPr>
        <w:t xml:space="preserve"> search, styled after flight and train booking sites. Users pick any date within the model's four-week forecast horizon (bounded automatically so out-of-range dates are rejected gracefully), and the tool instantly surfaces that date's dispatch status — normal, high, or critical — along with how many trains were added or removed. On page load, it automatically shows today's status first, so the most relevant information is visible immediately with zero clicks.</w:t>
      </w: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1a2d48"/>
          <w:sz w:val="30"/>
          <w:szCs w:val="30"/>
        </w:rPr>
        <w:t xml:space="preserve">Limitations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The results are strong, but four limitations should be acknowledged honestly before this moves toward real-world deployment:</w:t>
      </w:r>
    </w:p>
    <w:p>
      <w:pPr>
        <w:spacing w:after="140" w:line="300"/>
        <w:ind w:left="360" w:hanging="26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1.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Synthetic dataset.</w:t>
      </w:r>
      <w:r>
        <w:rPr>
          <w:rFonts w:ascii="Calibri" w:cs="Calibri" w:eastAsia="Calibri" w:hAnsi="Calibri"/>
          <w:sz w:val="22"/>
          <w:szCs w:val="22"/>
        </w:rPr>
        <w:t xml:space="preserve"> The training data mirrors realistic operational patterns but isn't drawn from genuine OCC historical exports.</w:t>
      </w:r>
    </w:p>
    <w:p>
      <w:pPr>
        <w:spacing w:after="140" w:line="300"/>
        <w:ind w:left="360" w:hanging="26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2.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CCTV pipeline not yet live.</w:t>
      </w:r>
      <w:r>
        <w:rPr>
          <w:rFonts w:ascii="Calibri" w:cs="Calibri" w:eastAsia="Calibri" w:hAnsi="Calibri"/>
          <w:sz w:val="22"/>
          <w:szCs w:val="22"/>
        </w:rPr>
        <w:t xml:space="preserve"> The vision pipeline is architecturally complete but has been validated against simulated camera data, not a live IP camera feed.</w:t>
      </w:r>
    </w:p>
    <w:p>
      <w:pPr>
        <w:spacing w:after="140" w:line="300"/>
        <w:ind w:left="360" w:hanging="26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3.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No ground-truth validation.</w:t>
      </w:r>
      <w:r>
        <w:rPr>
          <w:rFonts w:ascii="Calibri" w:cs="Calibri" w:eastAsia="Calibri" w:hAnsi="Calibri"/>
          <w:sz w:val="22"/>
          <w:szCs w:val="22"/>
        </w:rPr>
        <w:t xml:space="preserve"> AFC-derived crowd estimates are a proxy; they haven't yet been checked against independent manual headcounts.</w:t>
      </w:r>
    </w:p>
    <w:p>
      <w:pPr>
        <w:spacing w:after="140" w:line="300"/>
        <w:ind w:left="360" w:hanging="26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4. </w:t>
      </w:r>
      <w:r>
        <w:rPr>
          <w:rFonts w:ascii="Calibri" w:cs="Calibri" w:eastAsia="Calibri" w:hAnsi="Calibri"/>
          <w:b/>
          <w:bCs/>
          <w:sz w:val="22"/>
          <w:szCs w:val="22"/>
        </w:rPr>
        <w:t xml:space="preserve">Four-week forecasting ceiling.</w:t>
      </w:r>
      <w:r>
        <w:rPr>
          <w:rFonts w:ascii="Calibri" w:cs="Calibri" w:eastAsia="Calibri" w:hAnsi="Calibri"/>
          <w:sz w:val="22"/>
          <w:szCs w:val="22"/>
        </w:rPr>
        <w:t xml:space="preserve"> Accuracy is expected to degrade past the four-week horizon the model was designed and tested for.</w:t>
      </w: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1a2d48"/>
          <w:sz w:val="30"/>
          <w:szCs w:val="30"/>
        </w:rPr>
        <w:t xml:space="preserve">Future Work</w:t>
      </w:r>
    </w:p>
    <w:p>
      <w:pPr>
        <w:spacing w:after="16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Each limitation maps directly to a proposed next step:</w:t>
      </w:r>
    </w:p>
    <w:p>
      <w:pPr>
        <w:pStyle w:val="ListParagraph"/>
        <w:numPr>
          <w:ilvl w:val="0"/>
          <w:numId w:val="1"/>
        </w:numPr>
        <w:spacing w:after="140" w:line="30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Real data integration</w:t>
      </w:r>
      <w:r>
        <w:rPr>
          <w:rFonts w:ascii="Calibri" w:cs="Calibri" w:eastAsia="Calibri" w:hAnsi="Calibri"/>
          <w:sz w:val="22"/>
          <w:szCs w:val="22"/>
        </w:rPr>
        <w:t xml:space="preserve"> — retrain and validate on genuine OCC operational exports.</w:t>
      </w:r>
    </w:p>
    <w:p>
      <w:pPr>
        <w:pStyle w:val="ListParagraph"/>
        <w:numPr>
          <w:ilvl w:val="0"/>
          <w:numId w:val="1"/>
        </w:numPr>
        <w:spacing w:after="140" w:line="30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Live API connection</w:t>
      </w:r>
      <w:r>
        <w:rPr>
          <w:rFonts w:ascii="Calibri" w:cs="Calibri" w:eastAsia="Calibri" w:hAnsi="Calibri"/>
          <w:sz w:val="22"/>
          <w:szCs w:val="22"/>
        </w:rPr>
        <w:t xml:space="preserve"> — connect the CCTV pipeline to a real IP camera feed for true real-time inference.</w:t>
      </w:r>
    </w:p>
    <w:p>
      <w:pPr>
        <w:pStyle w:val="ListParagraph"/>
        <w:numPr>
          <w:ilvl w:val="0"/>
          <w:numId w:val="1"/>
        </w:numPr>
        <w:spacing w:after="140" w:line="30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LSTM-based forecasting</w:t>
      </w:r>
      <w:r>
        <w:rPr>
          <w:rFonts w:ascii="Calibri" w:cs="Calibri" w:eastAsia="Calibri" w:hAnsi="Calibri"/>
          <w:sz w:val="22"/>
          <w:szCs w:val="22"/>
        </w:rPr>
        <w:t xml:space="preserve"> — extend the timetable forecaster beyond four weeks using a sequence model better suited to long-range seasonal patterns.</w:t>
      </w:r>
    </w:p>
    <w:p>
      <w:pPr>
        <w:pStyle w:val="ListParagraph"/>
        <w:numPr>
          <w:ilvl w:val="0"/>
          <w:numId w:val="1"/>
        </w:numPr>
        <w:spacing w:after="140" w:line="30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OCC mobile app</w:t>
      </w:r>
      <w:r>
        <w:rPr>
          <w:rFonts w:ascii="Calibri" w:cs="Calibri" w:eastAsia="Calibri" w:hAnsi="Calibri"/>
          <w:sz w:val="22"/>
          <w:szCs w:val="22"/>
        </w:rPr>
        <w:t xml:space="preserve"> — push Critical alerts directly to controllers' phones with a one-tap approval step, keeping a human checkpoint during the transition to full autonomy.</w:t>
      </w:r>
    </w:p>
    <w:p>
      <w:pPr>
        <w:pStyle w:val="ListParagraph"/>
        <w:numPr>
          <w:ilvl w:val="0"/>
          <w:numId w:val="1"/>
        </w:numPr>
        <w:spacing w:after="140" w:line="300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Multi-line scaling</w:t>
      </w:r>
      <w:r>
        <w:rPr>
          <w:rFonts w:ascii="Calibri" w:cs="Calibri" w:eastAsia="Calibri" w:hAnsi="Calibri"/>
          <w:sz w:val="22"/>
          <w:szCs w:val="22"/>
        </w:rPr>
        <w:t xml:space="preserve"> — extend the approach from a single line to network-wide, cross-line capacity balancing.</w:t>
      </w:r>
    </w:p>
    <w:p>
      <w:pPr>
        <w:pStyle w:val="Heading1"/>
        <w:spacing w:after="160" w:before="360"/>
      </w:pPr>
      <w:r>
        <w:rPr>
          <w:rFonts w:ascii="Calibri" w:cs="Calibri" w:eastAsia="Calibri" w:hAnsi="Calibri"/>
          <w:b/>
          <w:bCs/>
          <w:color w:val="1a2d48"/>
          <w:sz w:val="30"/>
          <w:szCs w:val="30"/>
        </w:rPr>
        <w:t xml:space="preserve">Conclusion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This project demonstrates that fusing AFC data, CCTV computer vision, and timetable context — processed through two purpose-built, cooperating machine learning models — can turn metro crowd management from a manual, reactive process into a proactive, explainable, and largely autonomous one. With 99.7% dispatch accuracy, a fully autonomous four-week timetable, and SHAP-backed transparency behind every decision, the results provide a credible technical foundation for the real-data validation and live deployment work outlined above.</w:t>
      </w:r>
    </w:p>
    <w:p>
      <w:pPr>
        <w:pBdr>
          <w:bottom w:val="single" w:color="CCCCCC" w:sz="6"/>
        </w:pBdr>
        <w:spacing w:after="300" w:before="300"/>
      </w:pPr>
    </w:p>
    <w:p>
      <w:pPr>
        <w:spacing w:before="200"/>
        <w:jc w:val="center"/>
      </w:pPr>
      <w:r>
        <w:rPr>
          <w:rFonts w:ascii="Calibri" w:cs="Calibri" w:eastAsia="Calibri" w:hAnsi="Calibri"/>
          <w:i/>
          <w:iCs/>
          <w:color w:val="666666"/>
          <w:sz w:val="20"/>
          <w:szCs w:val="20"/>
        </w:rPr>
        <w:t xml:space="preserve">This article summarizes the methodology, results, and conclusions of an AI/ML graduate research project on autonomous crowd management for Riyadh Metro, covering system architecture, dataset design, model training, experimental evaluation, and an interactive decision-support dashboard.</w:t>
      </w:r>
    </w:p>
    <w:sectPr>
      <w:pgSz w:w="12240" w:h="15840" w:orient="portrait"/>
      <w:pgMar w:top="1080" w:right="1260" w:bottom="1080" w:left="126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2026-07-21T11:47:15.827Z</dcterms:created>
  <dcterms:modified xsi:type="dcterms:W3CDTF">2026-07-21T11:47:15.840Z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